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650" w:hanging="2650" w:hangingChars="600"/>
        <w:rPr>
          <w:rFonts w:ascii="宋体" w:hAnsi="宋体" w:cs="宋体"/>
          <w:b/>
          <w:bCs/>
          <w:sz w:val="44"/>
          <w:szCs w:val="44"/>
        </w:rPr>
      </w:pPr>
    </w:p>
    <w:p>
      <w:pPr>
        <w:pStyle w:val="35"/>
        <w:rPr>
          <w:color w:val="auto"/>
        </w:rPr>
      </w:pPr>
    </w:p>
    <w:p>
      <w:pPr>
        <w:spacing w:line="360" w:lineRule="auto"/>
        <w:jc w:val="center"/>
        <w:rPr>
          <w:rFonts w:ascii="宋体" w:hAnsi="宋体" w:cs="仿宋_GB2312"/>
          <w:sz w:val="44"/>
          <w:szCs w:val="44"/>
        </w:rPr>
      </w:pPr>
      <w:r>
        <w:rPr>
          <w:rFonts w:hint="eastAsia" w:ascii="宋体" w:hAnsi="宋体" w:cs="仿宋_GB2312"/>
          <w:sz w:val="44"/>
          <w:szCs w:val="44"/>
        </w:rPr>
        <w:t>奉化区市政排水管网修复（检测）项目</w:t>
      </w:r>
    </w:p>
    <w:p>
      <w:pPr>
        <w:spacing w:line="360" w:lineRule="auto"/>
        <w:jc w:val="center"/>
        <w:rPr>
          <w:rFonts w:ascii="宋体" w:hAnsi="宋体" w:cs="仿宋_GB2312"/>
          <w:sz w:val="44"/>
          <w:szCs w:val="44"/>
        </w:rPr>
      </w:pPr>
      <w:r>
        <w:rPr>
          <w:rFonts w:hint="eastAsia" w:ascii="宋体" w:hAnsi="宋体" w:cs="仿宋_GB2312"/>
          <w:sz w:val="44"/>
          <w:szCs w:val="44"/>
        </w:rPr>
        <w:t>公开招标采购文件</w:t>
      </w:r>
    </w:p>
    <w:p>
      <w:pPr>
        <w:spacing w:line="360" w:lineRule="auto"/>
        <w:jc w:val="center"/>
        <w:rPr>
          <w:rFonts w:ascii="宋体" w:hAnsi="宋体" w:cs="仿宋_GB2312"/>
          <w:sz w:val="44"/>
          <w:szCs w:val="44"/>
        </w:rPr>
      </w:pPr>
      <w:r>
        <w:rPr>
          <w:rFonts w:hint="eastAsia" w:ascii="宋体" w:hAnsi="宋体" w:cs="仿宋_GB2312"/>
          <w:sz w:val="44"/>
          <w:szCs w:val="44"/>
        </w:rPr>
        <w:t xml:space="preserve"> （电子招投标）</w:t>
      </w:r>
    </w:p>
    <w:p>
      <w:pPr>
        <w:spacing w:line="360" w:lineRule="auto"/>
        <w:jc w:val="center"/>
        <w:rPr>
          <w:rFonts w:ascii="宋体" w:hAnsi="宋体" w:cs="仿宋_GB2312"/>
          <w:sz w:val="32"/>
          <w:szCs w:val="32"/>
        </w:rPr>
      </w:pPr>
      <w:r>
        <w:rPr>
          <w:rFonts w:hint="eastAsia" w:ascii="宋体" w:hAnsi="宋体" w:cs="仿宋_GB2312"/>
          <w:sz w:val="32"/>
          <w:szCs w:val="32"/>
        </w:rPr>
        <w:t>项目编号: FHZFCG(2022)305D</w:t>
      </w:r>
    </w:p>
    <w:p>
      <w:pPr>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2"/>
          <w:szCs w:val="32"/>
        </w:rPr>
      </w:pPr>
    </w:p>
    <w:p>
      <w:pPr>
        <w:snapToGrid w:val="0"/>
        <w:spacing w:line="360" w:lineRule="auto"/>
        <w:jc w:val="center"/>
        <w:rPr>
          <w:rFonts w:ascii="宋体" w:hAnsi="宋体" w:cs="宋体"/>
          <w:sz w:val="32"/>
          <w:szCs w:val="32"/>
        </w:rPr>
      </w:pPr>
    </w:p>
    <w:p>
      <w:pPr>
        <w:snapToGrid w:val="0"/>
        <w:spacing w:line="360" w:lineRule="auto"/>
        <w:jc w:val="center"/>
        <w:rPr>
          <w:rFonts w:ascii="宋体" w:hAnsi="宋体" w:cs="宋体"/>
          <w:sz w:val="32"/>
          <w:szCs w:val="32"/>
        </w:rPr>
      </w:pPr>
    </w:p>
    <w:p>
      <w:pPr>
        <w:snapToGrid w:val="0"/>
        <w:spacing w:line="360" w:lineRule="auto"/>
        <w:jc w:val="center"/>
        <w:rPr>
          <w:rFonts w:ascii="宋体" w:hAnsi="宋体" w:cs="宋体"/>
          <w:sz w:val="32"/>
          <w:szCs w:val="32"/>
        </w:rPr>
      </w:pPr>
    </w:p>
    <w:p>
      <w:pPr>
        <w:snapToGrid w:val="0"/>
        <w:spacing w:line="360" w:lineRule="auto"/>
        <w:ind w:firstLine="960" w:firstLineChars="300"/>
        <w:rPr>
          <w:rFonts w:ascii="宋体" w:hAnsi="宋体" w:cs="仿宋_GB2312"/>
          <w:sz w:val="32"/>
          <w:szCs w:val="32"/>
        </w:rPr>
      </w:pPr>
      <w:r>
        <w:rPr>
          <w:rFonts w:hint="eastAsia" w:ascii="宋体" w:hAnsi="宋体" w:cs="仿宋_GB2312"/>
          <w:sz w:val="32"/>
          <w:szCs w:val="32"/>
        </w:rPr>
        <w:t>采购人:宁波市奉化区综合行政执法局</w:t>
      </w:r>
    </w:p>
    <w:p>
      <w:pPr>
        <w:snapToGrid w:val="0"/>
        <w:spacing w:line="360" w:lineRule="auto"/>
        <w:ind w:firstLine="960" w:firstLineChars="300"/>
        <w:rPr>
          <w:rFonts w:ascii="宋体" w:hAnsi="宋体" w:cs="仿宋_GB2312"/>
          <w:sz w:val="32"/>
          <w:szCs w:val="32"/>
        </w:rPr>
      </w:pPr>
      <w:r>
        <w:rPr>
          <w:rFonts w:hint="eastAsia" w:ascii="宋体" w:hAnsi="宋体" w:cs="仿宋_GB2312"/>
          <w:bCs/>
          <w:sz w:val="32"/>
          <w:szCs w:val="32"/>
        </w:rPr>
        <w:t>采购代理机构</w:t>
      </w:r>
      <w:r>
        <w:rPr>
          <w:rFonts w:hint="eastAsia" w:ascii="宋体" w:hAnsi="宋体" w:cs="仿宋_GB2312"/>
          <w:sz w:val="32"/>
          <w:szCs w:val="32"/>
        </w:rPr>
        <w:t>：宁波于丹项目管理咨询有限公司</w:t>
      </w:r>
    </w:p>
    <w:p>
      <w:pPr>
        <w:pStyle w:val="2"/>
        <w:ind w:firstLine="560"/>
        <w:rPr>
          <w:rFonts w:ascii="宋体" w:hAnsi="宋体" w:eastAsia="宋体" w:cs="宋体"/>
        </w:rPr>
      </w:pPr>
    </w:p>
    <w:p>
      <w:pPr>
        <w:snapToGrid w:val="0"/>
        <w:spacing w:line="360" w:lineRule="auto"/>
        <w:jc w:val="center"/>
        <w:rPr>
          <w:rFonts w:ascii="宋体" w:hAnsi="宋体" w:cs="宋体"/>
          <w:bCs/>
          <w:sz w:val="32"/>
          <w:szCs w:val="32"/>
        </w:rPr>
      </w:pPr>
      <w:r>
        <w:rPr>
          <w:rFonts w:hint="eastAsia" w:ascii="宋体" w:hAnsi="宋体" w:cs="宋体"/>
          <w:bCs/>
          <w:sz w:val="32"/>
          <w:szCs w:val="32"/>
        </w:rPr>
        <w:t>二〇二二 年十二月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rPr>
          <w:rFonts w:ascii="宋体" w:hAnsi="宋体" w:cs="宋体"/>
          <w:sz w:val="24"/>
          <w:u w:val="single"/>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仿宋"/>
          <w:sz w:val="24"/>
          <w:u w:val="single"/>
        </w:rPr>
      </w:pPr>
      <w:r>
        <w:rPr>
          <w:rFonts w:hint="eastAsia" w:ascii="宋体" w:hAnsi="宋体" w:cs="宋体"/>
          <w:sz w:val="24"/>
          <w:u w:val="thick"/>
        </w:rPr>
        <w:t>奉化区市政排水管网修复（检测）项目</w:t>
      </w:r>
      <w:r>
        <w:rPr>
          <w:rFonts w:hint="eastAsia" w:ascii="宋体" w:hAnsi="宋体" w:cs="仿宋"/>
          <w:sz w:val="24"/>
        </w:rPr>
        <w:t>的潜在供应商应在政采云平台（</w:t>
      </w:r>
      <w:r>
        <w:fldChar w:fldCharType="begin"/>
      </w:r>
      <w:r>
        <w:instrText xml:space="preserve"> HYPERLINK "https://www.zcygov.cn/）获取（下载）招标文件，并于2022年%20%20月%20%20日%20%20点00分00秒" </w:instrText>
      </w:r>
      <w:r>
        <w:fldChar w:fldCharType="separate"/>
      </w:r>
      <w:r>
        <w:rPr>
          <w:rStyle w:val="22"/>
          <w:rFonts w:hint="eastAsia" w:ascii="宋体" w:hAnsi="宋体" w:eastAsia="宋体" w:cs="仿宋"/>
          <w:color w:val="auto"/>
          <w:sz w:val="24"/>
        </w:rPr>
        <w:t>https://www.zcygov.cn/）获取（下载）招标文件，并于202</w:t>
      </w:r>
      <w:r>
        <w:rPr>
          <w:rStyle w:val="22"/>
          <w:rFonts w:hint="eastAsia" w:ascii="宋体" w:hAnsi="宋体" w:cs="仿宋"/>
          <w:color w:val="auto"/>
          <w:sz w:val="24"/>
          <w:lang w:val="en-US" w:eastAsia="zh-CN"/>
        </w:rPr>
        <w:t>3</w:t>
      </w:r>
      <w:r>
        <w:rPr>
          <w:rStyle w:val="22"/>
          <w:rFonts w:hint="eastAsia" w:ascii="宋体" w:hAnsi="宋体" w:eastAsia="宋体" w:cs="仿宋"/>
          <w:color w:val="auto"/>
          <w:sz w:val="24"/>
        </w:rPr>
        <w:t>年</w:t>
      </w:r>
      <w:r>
        <w:rPr>
          <w:rStyle w:val="22"/>
          <w:rFonts w:hint="eastAsia" w:ascii="宋体" w:hAnsi="宋体" w:cs="仿宋"/>
          <w:color w:val="auto"/>
          <w:sz w:val="24"/>
          <w:lang w:val="en-US" w:eastAsia="zh-CN"/>
        </w:rPr>
        <w:t>2</w:t>
      </w:r>
      <w:r>
        <w:rPr>
          <w:rStyle w:val="22"/>
          <w:rFonts w:hint="eastAsia" w:ascii="宋体" w:hAnsi="宋体" w:eastAsia="宋体" w:cs="仿宋"/>
          <w:color w:val="auto"/>
          <w:sz w:val="24"/>
        </w:rPr>
        <w:t>月</w:t>
      </w:r>
      <w:r>
        <w:rPr>
          <w:rStyle w:val="22"/>
          <w:rFonts w:hint="eastAsia" w:ascii="宋体" w:hAnsi="宋体" w:cs="仿宋"/>
          <w:color w:val="auto"/>
          <w:sz w:val="24"/>
          <w:lang w:val="en-US" w:eastAsia="zh-CN"/>
        </w:rPr>
        <w:t>1</w:t>
      </w:r>
      <w:r>
        <w:rPr>
          <w:rStyle w:val="22"/>
          <w:rFonts w:hint="eastAsia" w:ascii="宋体" w:hAnsi="宋体" w:eastAsia="宋体" w:cs="仿宋"/>
          <w:color w:val="auto"/>
          <w:sz w:val="24"/>
        </w:rPr>
        <w:t>日</w:t>
      </w:r>
      <w:r>
        <w:rPr>
          <w:rStyle w:val="22"/>
          <w:rFonts w:hint="eastAsia" w:ascii="宋体" w:hAnsi="宋体" w:cs="仿宋"/>
          <w:color w:val="auto"/>
          <w:sz w:val="24"/>
          <w:lang w:val="en-US" w:eastAsia="zh-CN"/>
        </w:rPr>
        <w:t>9</w:t>
      </w:r>
      <w:r>
        <w:rPr>
          <w:rStyle w:val="22"/>
          <w:rFonts w:hint="eastAsia" w:ascii="宋体" w:hAnsi="宋体" w:eastAsia="宋体" w:cs="仿宋"/>
          <w:color w:val="auto"/>
          <w:sz w:val="24"/>
        </w:rPr>
        <w:t>点00分</w:t>
      </w:r>
      <w:r>
        <w:rPr>
          <w:rStyle w:val="22"/>
          <w:rFonts w:hint="eastAsia" w:ascii="宋体" w:hAnsi="宋体" w:eastAsia="宋体" w:cs="仿宋"/>
          <w:bCs/>
          <w:color w:val="auto"/>
          <w:sz w:val="24"/>
        </w:rPr>
        <w:t>00秒</w:t>
      </w:r>
      <w:r>
        <w:rPr>
          <w:rStyle w:val="22"/>
          <w:rFonts w:hint="eastAsia" w:ascii="宋体" w:hAnsi="宋体" w:eastAsia="宋体" w:cs="仿宋"/>
          <w:bCs/>
          <w:color w:val="auto"/>
          <w:sz w:val="24"/>
        </w:rPr>
        <w:fldChar w:fldCharType="end"/>
      </w:r>
      <w:r>
        <w:rPr>
          <w:rFonts w:hint="eastAsia" w:ascii="宋体" w:hAnsi="宋体" w:cs="仿宋"/>
          <w:bCs/>
          <w:sz w:val="24"/>
        </w:rPr>
        <w:t>（北京时间）前</w:t>
      </w:r>
      <w:r>
        <w:rPr>
          <w:rFonts w:hint="eastAsia" w:ascii="宋体" w:hAnsi="宋体" w:cs="仿宋"/>
          <w:sz w:val="24"/>
        </w:rPr>
        <w:t>递交（上传）投标文件。</w:t>
      </w:r>
    </w:p>
    <w:p>
      <w:pPr>
        <w:spacing w:line="360" w:lineRule="auto"/>
        <w:rPr>
          <w:rFonts w:ascii="宋体" w:hAnsi="宋体" w:cs="仿宋"/>
          <w:b/>
          <w:sz w:val="24"/>
        </w:rPr>
      </w:pPr>
      <w:bookmarkStart w:id="11" w:name="_Toc13468"/>
      <w:bookmarkStart w:id="12" w:name="_Toc3366"/>
      <w:r>
        <w:rPr>
          <w:rFonts w:hint="eastAsia" w:ascii="宋体" w:hAnsi="宋体" w:cs="仿宋"/>
          <w:b/>
          <w:sz w:val="24"/>
        </w:rPr>
        <w:t>一、项目基本情况</w:t>
      </w:r>
      <w:bookmarkEnd w:id="11"/>
      <w:bookmarkEnd w:id="12"/>
    </w:p>
    <w:p>
      <w:pPr>
        <w:numPr>
          <w:ilvl w:val="0"/>
          <w:numId w:val="1"/>
        </w:numPr>
        <w:spacing w:line="360" w:lineRule="auto"/>
        <w:ind w:left="0" w:firstLine="425"/>
        <w:rPr>
          <w:rFonts w:ascii="宋体" w:hAnsi="宋体" w:cs="宋体"/>
          <w:sz w:val="24"/>
        </w:rPr>
      </w:pPr>
      <w:r>
        <w:rPr>
          <w:rFonts w:hint="eastAsia" w:ascii="宋体" w:hAnsi="宋体" w:cs="宋体"/>
          <w:b/>
          <w:sz w:val="24"/>
        </w:rPr>
        <w:t>项目编号：</w:t>
      </w:r>
      <w:r>
        <w:rPr>
          <w:rFonts w:hint="eastAsia" w:ascii="宋体" w:hAnsi="宋体" w:cs="宋体"/>
          <w:sz w:val="24"/>
          <w:u w:val="thick"/>
        </w:rPr>
        <w:t>FHZFCG(2022)305D</w:t>
      </w:r>
    </w:p>
    <w:p>
      <w:pPr>
        <w:numPr>
          <w:ilvl w:val="0"/>
          <w:numId w:val="1"/>
        </w:numPr>
        <w:spacing w:line="360" w:lineRule="auto"/>
        <w:ind w:left="0" w:firstLine="425"/>
        <w:rPr>
          <w:rFonts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cs="宋体"/>
          <w:sz w:val="24"/>
          <w:u w:val="thick"/>
        </w:rPr>
        <w:t>奉化区市政排水管网修复（检测）项目</w:t>
      </w:r>
    </w:p>
    <w:p>
      <w:pPr>
        <w:numPr>
          <w:ilvl w:val="0"/>
          <w:numId w:val="1"/>
        </w:numPr>
        <w:spacing w:line="360" w:lineRule="auto"/>
        <w:ind w:left="0" w:firstLine="425"/>
        <w:rPr>
          <w:rFonts w:ascii="宋体" w:hAnsi="宋体" w:cs="宋体"/>
          <w:sz w:val="24"/>
        </w:rPr>
      </w:pPr>
      <w:r>
        <w:rPr>
          <w:rFonts w:hint="eastAsia" w:ascii="宋体" w:hAnsi="宋体" w:cs="宋体"/>
          <w:b/>
          <w:sz w:val="24"/>
        </w:rPr>
        <w:t>预算总金额（元）：</w:t>
      </w:r>
      <w:r>
        <w:rPr>
          <w:rFonts w:hint="eastAsia" w:ascii="宋体" w:hAnsi="宋体"/>
          <w:sz w:val="24"/>
          <w:u w:val="thick"/>
        </w:rPr>
        <w:t>17970000</w:t>
      </w:r>
    </w:p>
    <w:p>
      <w:pPr>
        <w:numPr>
          <w:ilvl w:val="0"/>
          <w:numId w:val="1"/>
        </w:numPr>
        <w:spacing w:line="360" w:lineRule="auto"/>
        <w:ind w:left="0" w:firstLine="425"/>
        <w:rPr>
          <w:rFonts w:ascii="宋体" w:hAnsi="宋体" w:cs="宋体"/>
          <w:b/>
          <w:sz w:val="24"/>
        </w:rPr>
      </w:pPr>
      <w:r>
        <w:rPr>
          <w:rFonts w:hint="eastAsia" w:ascii="宋体" w:hAnsi="宋体" w:cs="宋体"/>
          <w:b/>
          <w:sz w:val="24"/>
        </w:rPr>
        <w:t>最高限价（元）：</w:t>
      </w:r>
      <w:r>
        <w:rPr>
          <w:rFonts w:hint="eastAsia" w:ascii="宋体" w:hAnsi="宋体"/>
          <w:sz w:val="24"/>
          <w:u w:val="thick"/>
        </w:rPr>
        <w:t>17970000</w:t>
      </w:r>
    </w:p>
    <w:p>
      <w:pPr>
        <w:numPr>
          <w:ilvl w:val="0"/>
          <w:numId w:val="1"/>
        </w:numPr>
        <w:spacing w:line="360" w:lineRule="auto"/>
        <w:ind w:left="0" w:firstLine="425"/>
        <w:rPr>
          <w:rFonts w:ascii="宋体" w:hAnsi="宋体" w:cs="宋体"/>
          <w:b/>
          <w:sz w:val="24"/>
        </w:rPr>
      </w:pPr>
      <w:r>
        <w:rPr>
          <w:rFonts w:hint="eastAsia" w:ascii="宋体" w:hAnsi="宋体" w:cs="宋体"/>
          <w:b/>
          <w:sz w:val="24"/>
        </w:rPr>
        <w:t>每</w:t>
      </w:r>
      <w:r>
        <w:rPr>
          <w:rFonts w:ascii="宋体" w:hAnsi="宋体" w:cs="宋体"/>
          <w:b/>
          <w:sz w:val="24"/>
        </w:rPr>
        <w:t>标项</w:t>
      </w:r>
      <w:r>
        <w:rPr>
          <w:rFonts w:hint="eastAsia" w:ascii="宋体" w:hAnsi="宋体" w:cs="宋体"/>
          <w:b/>
          <w:sz w:val="24"/>
        </w:rPr>
        <w:t>预算</w:t>
      </w:r>
      <w:r>
        <w:rPr>
          <w:rFonts w:ascii="宋体" w:hAnsi="宋体" w:cs="宋体"/>
          <w:b/>
          <w:sz w:val="24"/>
        </w:rPr>
        <w:t>价</w:t>
      </w:r>
      <w:r>
        <w:rPr>
          <w:rFonts w:hint="eastAsia" w:ascii="宋体" w:hAnsi="宋体" w:cs="宋体"/>
          <w:b/>
          <w:sz w:val="24"/>
        </w:rPr>
        <w:t>：</w:t>
      </w:r>
    </w:p>
    <w:p>
      <w:pPr>
        <w:pStyle w:val="5"/>
        <w:spacing w:line="360" w:lineRule="auto"/>
        <w:ind w:firstLine="480"/>
        <w:rPr>
          <w:rFonts w:hAnsi="宋体" w:cs="宋体"/>
          <w:snapToGrid/>
          <w:color w:val="auto"/>
          <w:kern w:val="2"/>
          <w:sz w:val="24"/>
          <w:szCs w:val="24"/>
        </w:rPr>
      </w:pPr>
      <w:r>
        <w:rPr>
          <w:rFonts w:hint="eastAsia" w:hAnsi="宋体" w:cs="宋体"/>
          <w:b/>
          <w:color w:val="auto"/>
          <w:sz w:val="24"/>
        </w:rPr>
        <w:t>标项一：</w:t>
      </w:r>
    </w:p>
    <w:p>
      <w:pPr>
        <w:pStyle w:val="5"/>
        <w:spacing w:line="360" w:lineRule="auto"/>
        <w:ind w:firstLine="480"/>
        <w:rPr>
          <w:rFonts w:hAnsi="宋体" w:cs="宋体"/>
          <w:color w:val="auto"/>
          <w:sz w:val="24"/>
          <w:szCs w:val="24"/>
        </w:rPr>
      </w:pPr>
      <w:r>
        <w:rPr>
          <w:rFonts w:hint="eastAsia" w:hAnsi="宋体" w:cs="宋体"/>
          <w:snapToGrid/>
          <w:color w:val="auto"/>
          <w:kern w:val="2"/>
          <w:sz w:val="24"/>
          <w:szCs w:val="24"/>
        </w:rPr>
        <w:t>标项名称：</w:t>
      </w:r>
      <w:r>
        <w:rPr>
          <w:rFonts w:hint="eastAsia" w:hAnsi="宋体" w:cs="宋体"/>
          <w:color w:val="auto"/>
          <w:sz w:val="24"/>
        </w:rPr>
        <w:t>奉化区岳林街道斗门路、桃源路等路段市政排水管网修复（检测）项目</w:t>
      </w:r>
    </w:p>
    <w:p>
      <w:pPr>
        <w:pStyle w:val="5"/>
        <w:spacing w:line="360" w:lineRule="auto"/>
        <w:ind w:left="479" w:leftChars="228" w:firstLine="0"/>
        <w:rPr>
          <w:rFonts w:hAnsi="宋体" w:cs="宋体"/>
          <w:sz w:val="24"/>
          <w:szCs w:val="24"/>
        </w:rPr>
      </w:pPr>
      <w:r>
        <w:rPr>
          <w:rFonts w:hint="eastAsia" w:hAnsi="宋体" w:cs="宋体"/>
          <w:sz w:val="24"/>
          <w:szCs w:val="24"/>
        </w:rPr>
        <w:t>预算金额（元）:</w:t>
      </w:r>
      <w:r>
        <w:rPr>
          <w:rFonts w:hint="eastAsia" w:hAnsi="宋体" w:cs="宋体"/>
          <w:color w:val="auto"/>
          <w:sz w:val="24"/>
          <w:u w:val="thick"/>
        </w:rPr>
        <w:t>507</w:t>
      </w:r>
      <w:r>
        <w:rPr>
          <w:rFonts w:hint="eastAsia" w:hAnsi="宋体" w:cs="宋体"/>
          <w:color w:val="auto"/>
          <w:sz w:val="24"/>
          <w:u w:val="thick"/>
          <w:lang w:val="en-US" w:eastAsia="zh-CN"/>
        </w:rPr>
        <w:t>0000</w:t>
      </w:r>
      <w:r>
        <w:rPr>
          <w:rFonts w:hint="eastAsia" w:hAnsi="宋体" w:cs="宋体"/>
          <w:color w:val="auto"/>
          <w:sz w:val="24"/>
        </w:rPr>
        <w:t>；</w:t>
      </w:r>
      <w:r>
        <w:rPr>
          <w:rFonts w:hint="eastAsia" w:hAnsi="宋体" w:cs="宋体"/>
          <w:color w:val="FF0000"/>
          <w:sz w:val="24"/>
          <w:szCs w:val="24"/>
        </w:rPr>
        <w:t xml:space="preserve"> </w:t>
      </w:r>
      <w:r>
        <w:rPr>
          <w:rFonts w:hint="eastAsia" w:hAnsi="宋体" w:cs="宋体"/>
          <w:sz w:val="24"/>
          <w:szCs w:val="24"/>
        </w:rPr>
        <w:br w:type="textWrapping"/>
      </w:r>
      <w:r>
        <w:rPr>
          <w:rFonts w:hint="eastAsia" w:hAnsi="宋体" w:cs="宋体"/>
          <w:sz w:val="24"/>
          <w:szCs w:val="24"/>
        </w:rPr>
        <w:t>简要规格描述或项目基本概况介绍、用途：详见第三章《采购需求》</w:t>
      </w:r>
    </w:p>
    <w:p>
      <w:pPr>
        <w:spacing w:line="360" w:lineRule="auto"/>
        <w:ind w:firstLine="960" w:firstLineChars="4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标项二：</w:t>
      </w:r>
    </w:p>
    <w:p>
      <w:pPr>
        <w:pStyle w:val="5"/>
        <w:spacing w:line="360" w:lineRule="auto"/>
        <w:ind w:firstLine="480"/>
        <w:rPr>
          <w:rFonts w:hAnsi="宋体" w:cs="宋体"/>
          <w:color w:val="auto"/>
          <w:sz w:val="24"/>
          <w:szCs w:val="24"/>
        </w:rPr>
      </w:pPr>
      <w:r>
        <w:rPr>
          <w:rFonts w:hint="eastAsia" w:hAnsi="宋体" w:cs="宋体"/>
          <w:snapToGrid/>
          <w:color w:val="auto"/>
          <w:kern w:val="2"/>
          <w:sz w:val="24"/>
          <w:szCs w:val="24"/>
        </w:rPr>
        <w:t>标项名称：</w:t>
      </w:r>
      <w:r>
        <w:rPr>
          <w:rFonts w:hint="eastAsia" w:hAnsi="宋体" w:cs="宋体"/>
          <w:color w:val="auto"/>
          <w:sz w:val="24"/>
        </w:rPr>
        <w:t>奉化区岳林街道中山东路、大成东路等路段市政排水管网修复（检测）项目</w:t>
      </w:r>
    </w:p>
    <w:p>
      <w:pPr>
        <w:pStyle w:val="5"/>
        <w:spacing w:line="360" w:lineRule="auto"/>
        <w:ind w:left="479" w:leftChars="228" w:firstLine="0"/>
        <w:rPr>
          <w:rFonts w:hAnsi="宋体" w:cs="宋体"/>
          <w:sz w:val="24"/>
          <w:szCs w:val="24"/>
        </w:rPr>
      </w:pPr>
      <w:r>
        <w:rPr>
          <w:rFonts w:hint="eastAsia" w:hAnsi="宋体" w:cs="宋体"/>
          <w:sz w:val="24"/>
          <w:szCs w:val="24"/>
        </w:rPr>
        <w:t>预算金额（元）:</w:t>
      </w:r>
      <w:r>
        <w:rPr>
          <w:rFonts w:hint="eastAsia" w:hAnsi="宋体" w:cs="宋体"/>
          <w:color w:val="auto"/>
          <w:sz w:val="24"/>
          <w:u w:val="thick"/>
        </w:rPr>
        <w:t>441</w:t>
      </w:r>
      <w:r>
        <w:rPr>
          <w:rFonts w:hint="eastAsia" w:hAnsi="宋体" w:cs="宋体"/>
          <w:color w:val="auto"/>
          <w:sz w:val="24"/>
          <w:u w:val="thick"/>
          <w:lang w:val="en-US" w:eastAsia="zh-CN"/>
        </w:rPr>
        <w:t>0000</w:t>
      </w:r>
      <w:r>
        <w:rPr>
          <w:rFonts w:hint="eastAsia" w:hAnsi="宋体" w:cs="宋体"/>
          <w:color w:val="auto"/>
          <w:sz w:val="24"/>
        </w:rPr>
        <w:t>；</w:t>
      </w:r>
      <w:r>
        <w:rPr>
          <w:rFonts w:hint="eastAsia" w:hAnsi="宋体" w:cs="宋体"/>
          <w:color w:val="FF0000"/>
          <w:sz w:val="24"/>
          <w:szCs w:val="24"/>
        </w:rPr>
        <w:t xml:space="preserve"> </w:t>
      </w:r>
      <w:r>
        <w:rPr>
          <w:rFonts w:hint="eastAsia" w:hAnsi="宋体" w:cs="宋体"/>
          <w:sz w:val="24"/>
          <w:szCs w:val="24"/>
        </w:rPr>
        <w:br w:type="textWrapping"/>
      </w:r>
      <w:r>
        <w:rPr>
          <w:rFonts w:hint="eastAsia" w:hAnsi="宋体" w:cs="宋体"/>
          <w:sz w:val="24"/>
          <w:szCs w:val="24"/>
        </w:rPr>
        <w:t>简要规格描述或项目基本概况介绍、用途：详见第三章《采购需求》</w:t>
      </w:r>
    </w:p>
    <w:p>
      <w:pPr>
        <w:pStyle w:val="2"/>
        <w:ind w:firstLine="560"/>
      </w:pPr>
    </w:p>
    <w:p>
      <w:pPr>
        <w:spacing w:line="360" w:lineRule="auto"/>
        <w:ind w:firstLine="482" w:firstLineChars="200"/>
        <w:rPr>
          <w:rFonts w:ascii="宋体" w:hAnsi="宋体" w:cs="宋体"/>
          <w:sz w:val="24"/>
        </w:rPr>
      </w:pPr>
      <w:r>
        <w:rPr>
          <w:rFonts w:hint="eastAsia" w:ascii="宋体" w:hAnsi="宋体" w:cs="宋体"/>
          <w:b/>
          <w:sz w:val="24"/>
        </w:rPr>
        <w:t>标项三：</w:t>
      </w:r>
    </w:p>
    <w:p>
      <w:pPr>
        <w:pStyle w:val="5"/>
        <w:spacing w:line="360" w:lineRule="auto"/>
        <w:ind w:firstLine="480"/>
        <w:rPr>
          <w:rFonts w:hAnsi="宋体" w:cs="宋体"/>
          <w:color w:val="auto"/>
          <w:sz w:val="24"/>
          <w:szCs w:val="24"/>
        </w:rPr>
      </w:pPr>
      <w:r>
        <w:rPr>
          <w:rFonts w:hint="eastAsia" w:hAnsi="宋体" w:cs="宋体"/>
          <w:snapToGrid/>
          <w:color w:val="auto"/>
          <w:kern w:val="2"/>
          <w:sz w:val="24"/>
          <w:szCs w:val="24"/>
        </w:rPr>
        <w:t>标项名称：</w:t>
      </w:r>
      <w:r>
        <w:rPr>
          <w:rFonts w:hint="eastAsia" w:hAnsi="宋体" w:cs="宋体"/>
          <w:color w:val="auto"/>
          <w:sz w:val="24"/>
        </w:rPr>
        <w:t>奉化区锦屏街道西锦路、秀水路等路段市政排水管网修复（检测）项目</w:t>
      </w:r>
    </w:p>
    <w:p>
      <w:pPr>
        <w:pStyle w:val="5"/>
        <w:spacing w:line="360" w:lineRule="auto"/>
        <w:ind w:left="479" w:leftChars="228" w:firstLine="0"/>
        <w:rPr>
          <w:rFonts w:hAnsi="宋体" w:cs="宋体"/>
          <w:sz w:val="24"/>
          <w:szCs w:val="24"/>
        </w:rPr>
      </w:pPr>
      <w:r>
        <w:rPr>
          <w:rFonts w:hint="eastAsia" w:hAnsi="宋体" w:cs="宋体"/>
          <w:sz w:val="24"/>
          <w:szCs w:val="24"/>
        </w:rPr>
        <w:t>预算金额（元）:</w:t>
      </w:r>
      <w:r>
        <w:rPr>
          <w:rFonts w:hint="eastAsia" w:hAnsi="宋体" w:cs="宋体"/>
          <w:color w:val="auto"/>
          <w:sz w:val="24"/>
          <w:u w:val="thick"/>
        </w:rPr>
        <w:t>38</w:t>
      </w:r>
      <w:r>
        <w:rPr>
          <w:rFonts w:hint="eastAsia" w:hAnsi="宋体" w:cs="宋体"/>
          <w:color w:val="auto"/>
          <w:sz w:val="24"/>
          <w:u w:val="thick"/>
          <w:lang w:val="en-US" w:eastAsia="zh-CN"/>
        </w:rPr>
        <w:t>60000</w:t>
      </w:r>
      <w:r>
        <w:rPr>
          <w:rFonts w:hint="eastAsia" w:hAnsi="宋体" w:cs="宋体"/>
          <w:color w:val="auto"/>
          <w:sz w:val="24"/>
        </w:rPr>
        <w:t>；</w:t>
      </w:r>
      <w:r>
        <w:rPr>
          <w:rFonts w:hint="eastAsia" w:hAnsi="宋体" w:cs="宋体"/>
          <w:color w:val="FF0000"/>
          <w:sz w:val="24"/>
          <w:szCs w:val="24"/>
        </w:rPr>
        <w:t xml:space="preserve"> </w:t>
      </w:r>
      <w:r>
        <w:rPr>
          <w:rFonts w:hint="eastAsia" w:hAnsi="宋体" w:cs="宋体"/>
          <w:sz w:val="24"/>
          <w:szCs w:val="24"/>
        </w:rPr>
        <w:br w:type="textWrapping"/>
      </w:r>
      <w:r>
        <w:rPr>
          <w:rFonts w:hint="eastAsia" w:hAnsi="宋体" w:cs="宋体"/>
          <w:sz w:val="24"/>
          <w:szCs w:val="24"/>
        </w:rPr>
        <w:t>简要规格描述或项目基本概况介绍、用途：详见第三章《采购需求》</w:t>
      </w:r>
    </w:p>
    <w:p>
      <w:pPr>
        <w:pStyle w:val="2"/>
        <w:ind w:firstLine="560"/>
      </w:pPr>
    </w:p>
    <w:p>
      <w:pPr>
        <w:spacing w:line="360" w:lineRule="auto"/>
        <w:ind w:firstLine="482" w:firstLineChars="200"/>
        <w:rPr>
          <w:rFonts w:ascii="宋体" w:hAnsi="宋体" w:cs="宋体"/>
          <w:sz w:val="24"/>
        </w:rPr>
      </w:pPr>
      <w:r>
        <w:rPr>
          <w:rFonts w:hint="eastAsia" w:ascii="宋体" w:hAnsi="宋体" w:cs="宋体"/>
          <w:b/>
          <w:sz w:val="24"/>
        </w:rPr>
        <w:t>标项四：</w:t>
      </w:r>
    </w:p>
    <w:p>
      <w:pPr>
        <w:pStyle w:val="5"/>
        <w:spacing w:line="360" w:lineRule="auto"/>
        <w:ind w:firstLine="480"/>
        <w:rPr>
          <w:rFonts w:hAnsi="宋体" w:cs="宋体"/>
          <w:color w:val="auto"/>
          <w:sz w:val="24"/>
          <w:szCs w:val="24"/>
        </w:rPr>
      </w:pPr>
      <w:r>
        <w:rPr>
          <w:rFonts w:hint="eastAsia" w:hAnsi="宋体" w:cs="宋体"/>
          <w:snapToGrid/>
          <w:color w:val="auto"/>
          <w:kern w:val="2"/>
          <w:sz w:val="24"/>
          <w:szCs w:val="24"/>
        </w:rPr>
        <w:t>标项名称：</w:t>
      </w:r>
      <w:r>
        <w:rPr>
          <w:rFonts w:hint="eastAsia" w:hAnsi="宋体" w:cs="宋体"/>
          <w:color w:val="auto"/>
          <w:sz w:val="24"/>
        </w:rPr>
        <w:t>奉化区锦屏街道金钟路（南山路-桥东岸路）、南山路（金钟路-茗山路）等路段市政排水管网修复（检测）项目</w:t>
      </w:r>
    </w:p>
    <w:p>
      <w:pPr>
        <w:pStyle w:val="5"/>
        <w:spacing w:line="360" w:lineRule="auto"/>
        <w:ind w:left="479" w:leftChars="228" w:firstLine="0"/>
        <w:rPr>
          <w:rFonts w:hAnsi="宋体" w:cs="宋体"/>
          <w:sz w:val="24"/>
          <w:szCs w:val="24"/>
        </w:rPr>
      </w:pPr>
      <w:r>
        <w:rPr>
          <w:rFonts w:hint="eastAsia" w:hAnsi="宋体" w:cs="宋体"/>
          <w:sz w:val="24"/>
          <w:szCs w:val="24"/>
        </w:rPr>
        <w:t>预算金额（元）:</w:t>
      </w:r>
      <w:r>
        <w:rPr>
          <w:rFonts w:hint="eastAsia" w:hAnsi="宋体" w:cs="宋体"/>
          <w:color w:val="auto"/>
          <w:sz w:val="24"/>
          <w:u w:val="thick"/>
        </w:rPr>
        <w:t>463</w:t>
      </w:r>
      <w:r>
        <w:rPr>
          <w:rFonts w:hint="eastAsia" w:hAnsi="宋体" w:cs="宋体"/>
          <w:color w:val="auto"/>
          <w:sz w:val="24"/>
          <w:u w:val="thick"/>
          <w:lang w:val="en-US" w:eastAsia="zh-CN"/>
        </w:rPr>
        <w:t>0000</w:t>
      </w:r>
      <w:r>
        <w:rPr>
          <w:rFonts w:hint="eastAsia" w:hAnsi="宋体" w:cs="宋体"/>
          <w:color w:val="auto"/>
          <w:sz w:val="24"/>
        </w:rPr>
        <w:t>；</w:t>
      </w:r>
      <w:r>
        <w:rPr>
          <w:rFonts w:hint="eastAsia" w:hAnsi="宋体" w:cs="宋体"/>
          <w:color w:val="FF0000"/>
          <w:sz w:val="24"/>
          <w:szCs w:val="24"/>
        </w:rPr>
        <w:t xml:space="preserve"> </w:t>
      </w:r>
      <w:r>
        <w:rPr>
          <w:rFonts w:hint="eastAsia" w:hAnsi="宋体" w:cs="宋体"/>
          <w:sz w:val="24"/>
          <w:szCs w:val="24"/>
        </w:rPr>
        <w:br w:type="textWrapping"/>
      </w:r>
      <w:r>
        <w:rPr>
          <w:rFonts w:hint="eastAsia" w:hAnsi="宋体" w:cs="宋体"/>
          <w:sz w:val="24"/>
          <w:szCs w:val="24"/>
        </w:rPr>
        <w:t>简要规格描述或项目基本概况介绍、用途：详见第三章《采购需求》</w:t>
      </w: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备注：</w:t>
      </w:r>
      <w:r>
        <w:rPr>
          <w:rFonts w:hint="eastAsia" w:ascii="宋体" w:hAnsi="宋体" w:cs="宋体"/>
          <w:bCs/>
          <w:sz w:val="24"/>
        </w:rPr>
        <w:t>以上标项一、标项二、标项三、标项四在本次投标报价按费率报价形式，以%为单位，保留整数，合同单价=综合</w:t>
      </w:r>
      <w:r>
        <w:rPr>
          <w:rFonts w:hint="eastAsia" w:ascii="宋体" w:hAnsi="宋体" w:cs="宋体"/>
          <w:sz w:val="24"/>
        </w:rPr>
        <w:t>单价最高限价*中标费率。</w:t>
      </w:r>
    </w:p>
    <w:p>
      <w:pPr>
        <w:numPr>
          <w:ilvl w:val="0"/>
          <w:numId w:val="1"/>
        </w:numPr>
        <w:spacing w:line="360" w:lineRule="auto"/>
        <w:ind w:left="0" w:firstLine="425"/>
        <w:rPr>
          <w:rFonts w:ascii="宋体" w:hAnsi="宋体" w:cs="宋体"/>
          <w:b/>
          <w:sz w:val="24"/>
        </w:rPr>
      </w:pPr>
      <w:r>
        <w:rPr>
          <w:rFonts w:hint="eastAsia" w:ascii="宋体" w:hAnsi="宋体" w:cs="宋体"/>
          <w:b/>
          <w:sz w:val="24"/>
        </w:rPr>
        <w:t>采购需求：</w:t>
      </w:r>
      <w:r>
        <w:rPr>
          <w:rFonts w:ascii="宋体" w:hAnsi="宋体" w:cs="宋体"/>
          <w:sz w:val="24"/>
        </w:rPr>
        <w:t>具体详见采购文件</w:t>
      </w:r>
      <w:r>
        <w:rPr>
          <w:rFonts w:hint="eastAsia" w:ascii="宋体" w:hAnsi="宋体" w:cs="宋体"/>
          <w:sz w:val="24"/>
        </w:rPr>
        <w:t>第三</w:t>
      </w:r>
      <w:r>
        <w:rPr>
          <w:rFonts w:ascii="宋体" w:hAnsi="宋体" w:cs="宋体"/>
          <w:sz w:val="24"/>
        </w:rPr>
        <w:t>章采购需求。</w:t>
      </w:r>
    </w:p>
    <w:p>
      <w:pPr>
        <w:numPr>
          <w:ilvl w:val="0"/>
          <w:numId w:val="1"/>
        </w:numPr>
        <w:spacing w:line="360" w:lineRule="auto"/>
        <w:ind w:left="0" w:firstLine="425"/>
        <w:rPr>
          <w:rFonts w:ascii="宋体" w:hAnsi="宋体" w:cs="宋体"/>
          <w:sz w:val="24"/>
        </w:rPr>
      </w:pPr>
      <w:r>
        <w:rPr>
          <w:rFonts w:hint="eastAsia" w:ascii="宋体" w:hAnsi="宋体" w:cs="宋体"/>
          <w:b/>
          <w:sz w:val="24"/>
        </w:rPr>
        <w:t>合同履约期限：</w:t>
      </w:r>
      <w:r>
        <w:rPr>
          <w:rFonts w:hint="eastAsia" w:ascii="宋体" w:hAnsi="宋体" w:cs="宋体"/>
          <w:sz w:val="24"/>
        </w:rPr>
        <w:t>各标项自合同签订之日且具备实施条件起1</w:t>
      </w:r>
      <w:r>
        <w:rPr>
          <w:rFonts w:hint="eastAsia" w:ascii="宋体" w:hAnsi="宋体" w:cs="宋体"/>
          <w:sz w:val="24"/>
          <w:lang w:val="en-US" w:eastAsia="zh-CN"/>
        </w:rPr>
        <w:t>8</w:t>
      </w:r>
      <w:r>
        <w:rPr>
          <w:rFonts w:hint="eastAsia" w:ascii="宋体" w:hAnsi="宋体" w:cs="宋体"/>
          <w:sz w:val="24"/>
        </w:rPr>
        <w:t>0</w:t>
      </w:r>
      <w:r>
        <w:rPr>
          <w:rFonts w:hint="eastAsia"/>
          <w:sz w:val="24"/>
          <w:lang w:val="en-US" w:eastAsia="zh-CN"/>
        </w:rPr>
        <w:t>日历</w:t>
      </w:r>
      <w:r>
        <w:rPr>
          <w:rFonts w:hint="eastAsia"/>
          <w:sz w:val="24"/>
        </w:rPr>
        <w:t>天</w:t>
      </w:r>
      <w:r>
        <w:rPr>
          <w:rFonts w:hint="eastAsia" w:ascii="宋体" w:hAnsi="宋体" w:cs="宋体"/>
          <w:sz w:val="24"/>
        </w:rPr>
        <w:t>内完成。</w:t>
      </w:r>
    </w:p>
    <w:p>
      <w:pPr>
        <w:numPr>
          <w:ilvl w:val="0"/>
          <w:numId w:val="1"/>
        </w:numPr>
        <w:spacing w:line="360" w:lineRule="auto"/>
        <w:ind w:left="0" w:firstLine="425"/>
        <w:rPr>
          <w:rFonts w:ascii="宋体" w:hAnsi="宋体" w:cs="宋体"/>
          <w:b/>
          <w:sz w:val="24"/>
        </w:rPr>
      </w:pPr>
      <w:bookmarkStart w:id="13" w:name="_Toc28359003"/>
      <w:bookmarkStart w:id="14" w:name="_Toc28359080"/>
      <w:bookmarkStart w:id="15" w:name="_Toc24259"/>
      <w:bookmarkStart w:id="16" w:name="_Toc35393791"/>
      <w:bookmarkStart w:id="17" w:name="_Toc1485"/>
      <w:bookmarkStart w:id="18" w:name="_Toc35393622"/>
      <w:r>
        <w:rPr>
          <w:rFonts w:hint="eastAsia" w:ascii="宋体" w:hAnsi="宋体" w:cs="宋体"/>
          <w:b/>
          <w:sz w:val="24"/>
        </w:rPr>
        <w:t>本项目接受联合体投标：</w:t>
      </w:r>
      <w:r>
        <w:rPr>
          <w:rFonts w:hint="eastAsia" w:ascii="宋体" w:hAnsi="宋体" w:cs="宋体"/>
          <w:bCs/>
          <w:sz w:val="24"/>
        </w:rPr>
        <w:t>☑</w:t>
      </w:r>
      <w:r>
        <w:rPr>
          <w:rFonts w:hint="eastAsia" w:ascii="宋体" w:hAnsi="宋体" w:cs="宋体"/>
          <w:sz w:val="24"/>
        </w:rPr>
        <w:t xml:space="preserve">是， </w:t>
      </w:r>
      <w:r>
        <w:rPr>
          <w:rFonts w:hint="eastAsia" w:ascii="宋体" w:hAnsi="宋体" w:cs="宋体"/>
          <w:bCs/>
          <w:sz w:val="24"/>
        </w:rPr>
        <w:t>□</w:t>
      </w:r>
      <w:r>
        <w:rPr>
          <w:rFonts w:hint="eastAsia" w:ascii="宋体" w:hAnsi="宋体" w:cs="宋体"/>
          <w:sz w:val="24"/>
        </w:rPr>
        <w:t>否。</w:t>
      </w:r>
    </w:p>
    <w:p>
      <w:pPr>
        <w:spacing w:line="360" w:lineRule="auto"/>
        <w:rPr>
          <w:rFonts w:ascii="宋体" w:hAnsi="宋体" w:cs="仿宋"/>
          <w:b/>
          <w:sz w:val="24"/>
        </w:rPr>
      </w:pPr>
      <w:r>
        <w:rPr>
          <w:rFonts w:hint="eastAsia" w:ascii="宋体" w:hAnsi="宋体" w:cs="仿宋"/>
          <w:b/>
          <w:sz w:val="24"/>
        </w:rPr>
        <w:t>二、申请人的资格要求</w:t>
      </w:r>
      <w:bookmarkEnd w:id="13"/>
      <w:bookmarkEnd w:id="14"/>
      <w:bookmarkEnd w:id="15"/>
      <w:bookmarkEnd w:id="16"/>
      <w:bookmarkEnd w:id="17"/>
      <w:bookmarkEnd w:id="18"/>
    </w:p>
    <w:p>
      <w:pPr>
        <w:spacing w:line="360" w:lineRule="auto"/>
        <w:ind w:firstLine="482" w:firstLineChars="200"/>
        <w:rPr>
          <w:rFonts w:ascii="宋体" w:hAnsi="宋体" w:cs="宋体"/>
          <w:sz w:val="24"/>
        </w:rPr>
      </w:pPr>
      <w:r>
        <w:rPr>
          <w:rFonts w:hint="eastAsia" w:ascii="宋体" w:hAnsi="宋体" w:cs="宋体"/>
          <w:b/>
          <w:sz w:val="24"/>
        </w:rPr>
        <w:t>1</w:t>
      </w:r>
      <w:r>
        <w:rPr>
          <w:rFonts w:ascii="宋体" w:hAnsi="宋体" w:cs="宋体"/>
          <w:b/>
          <w:sz w:val="24"/>
        </w:rPr>
        <w:t>.</w:t>
      </w:r>
      <w:r>
        <w:rPr>
          <w:rFonts w:hint="eastAsia" w:ascii="宋体" w:hAnsi="宋体" w:cs="宋体"/>
          <w:sz w:val="24"/>
        </w:rPr>
        <w:t>符合《中华人民共和国政府采购法》第二十二条，且未被“信用中国”（www.creditchina.gov.cn）、“中国政府采购网”（www.ccgp.gov.cn）列入失信被执行人、重大税收违法案件当事人名单、政府采购严重违法失信行为记录名单。</w:t>
      </w:r>
    </w:p>
    <w:p>
      <w:pPr>
        <w:pStyle w:val="2"/>
        <w:ind w:firstLine="560"/>
      </w:pPr>
    </w:p>
    <w:p>
      <w:pPr>
        <w:spacing w:line="360" w:lineRule="auto"/>
        <w:ind w:firstLine="480"/>
        <w:rPr>
          <w:rFonts w:ascii="宋体" w:hAnsi="宋体" w:cs="宋体"/>
          <w:snapToGrid w:val="0"/>
          <w:kern w:val="28"/>
          <w:sz w:val="24"/>
          <w:szCs w:val="20"/>
        </w:rPr>
      </w:pPr>
      <w:r>
        <w:rPr>
          <w:rFonts w:hint="eastAsia" w:ascii="宋体" w:hAnsi="宋体" w:cs="宋体"/>
          <w:b/>
          <w:snapToGrid w:val="0"/>
          <w:kern w:val="28"/>
          <w:sz w:val="24"/>
          <w:szCs w:val="20"/>
        </w:rPr>
        <w:t>2.</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kern w:val="0"/>
          <w:sz w:val="24"/>
        </w:rPr>
      </w:pPr>
      <w:r>
        <w:rPr>
          <w:rFonts w:hint="eastAsia" w:ascii="宋体" w:hAnsi="宋体" w:cs="宋体"/>
          <w:kern w:val="0"/>
          <w:sz w:val="24"/>
        </w:rPr>
        <w:sym w:font="Wingdings" w:char="00A8"/>
      </w:r>
      <w:r>
        <w:rPr>
          <w:rFonts w:ascii="宋体" w:hAnsi="宋体" w:cs="宋体"/>
          <w:kern w:val="0"/>
          <w:sz w:val="24"/>
        </w:rPr>
        <w:t>无</w:t>
      </w:r>
    </w:p>
    <w:p>
      <w:pPr>
        <w:spacing w:line="360" w:lineRule="auto"/>
        <w:ind w:firstLine="480" w:firstLineChars="200"/>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r>
        <w:rPr>
          <w:rFonts w:hint="eastAsia" w:ascii="宋体" w:hAnsi="宋体" w:cs="宋体"/>
          <w:kern w:val="0"/>
          <w:sz w:val="24"/>
        </w:rPr>
        <w:sym w:font="Wingdings" w:char="00A8"/>
      </w:r>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货物全部由符合政策要求的小微企业制造，提供中小企业声明函；</w:t>
      </w:r>
    </w:p>
    <w:p>
      <w:pPr>
        <w:spacing w:line="360" w:lineRule="auto"/>
        <w:ind w:firstLine="897" w:firstLineChars="374"/>
        <w:rPr>
          <w:rFonts w:ascii="宋体" w:hAnsi="宋体" w:cs="宋体"/>
          <w:sz w:val="24"/>
        </w:rPr>
      </w:pPr>
      <w:r>
        <w:rPr>
          <w:rFonts w:hint="eastAsia" w:ascii="宋体" w:hAnsi="宋体" w:cs="宋体"/>
          <w:kern w:val="0"/>
          <w:sz w:val="24"/>
        </w:rPr>
        <w:sym w:font="Wingdings" w:char="00FE"/>
      </w:r>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rPr>
      </w:pPr>
      <w:r>
        <w:rPr>
          <w:rFonts w:hint="eastAsia" w:ascii="宋体" w:hAnsi="宋体" w:cs="宋体"/>
          <w:kern w:val="0"/>
          <w:sz w:val="24"/>
        </w:rPr>
        <w:sym w:font="Wingdings" w:char="00A8"/>
      </w:r>
      <w:r>
        <w:rPr>
          <w:rFonts w:hint="eastAsia" w:ascii="宋体" w:hAnsi="宋体" w:cs="宋体"/>
          <w:sz w:val="24"/>
        </w:rPr>
        <w:t>服务全部由符合政策要求的小微企业承接，提供中小企业声明函；</w:t>
      </w:r>
    </w:p>
    <w:p>
      <w:pPr>
        <w:spacing w:line="360" w:lineRule="auto"/>
        <w:ind w:firstLine="480" w:firstLineChars="200"/>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宋体" w:hAnsi="宋体" w:cs="宋体"/>
          <w:sz w:val="24"/>
        </w:rPr>
        <w:t>；</w:t>
      </w:r>
    </w:p>
    <w:p>
      <w:pPr>
        <w:spacing w:line="360" w:lineRule="auto"/>
        <w:ind w:firstLine="480" w:firstLineChars="200"/>
      </w:pPr>
      <w:r>
        <w:rPr>
          <w:rFonts w:hint="eastAsia" w:ascii="宋体" w:hAnsi="宋体" w:cs="宋体"/>
          <w:kern w:val="0"/>
          <w:sz w:val="24"/>
        </w:rPr>
        <w:sym w:font="Wingdings" w:char="00A8"/>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如果供应商本身提供所有标的均由中小企业制造、承建或承接，视同符合了资格条件，无需再向中小企业分包，无需提供分包意向协议</w:t>
      </w:r>
      <w:r>
        <w:rPr>
          <w:rFonts w:hint="eastAsia" w:ascii="宋体" w:hAnsi="宋体" w:cs="宋体"/>
          <w:sz w:val="24"/>
        </w:rPr>
        <w:t>；</w:t>
      </w:r>
    </w:p>
    <w:p>
      <w:pPr>
        <w:spacing w:line="360" w:lineRule="auto"/>
        <w:ind w:firstLine="482" w:firstLineChars="200"/>
        <w:rPr>
          <w:rFonts w:ascii="宋体" w:hAnsi="宋体" w:cs="宋体"/>
          <w:b/>
          <w:bCs/>
          <w:sz w:val="24"/>
        </w:rPr>
      </w:pPr>
      <w:r>
        <w:rPr>
          <w:rFonts w:hint="eastAsia" w:ascii="宋体" w:hAnsi="宋体" w:cs="宋体"/>
          <w:b/>
          <w:sz w:val="24"/>
        </w:rPr>
        <w:t>3.</w:t>
      </w:r>
      <w:r>
        <w:rPr>
          <w:rFonts w:hint="eastAsia" w:ascii="宋体" w:hAnsi="宋体" w:cs="宋体"/>
          <w:sz w:val="24"/>
        </w:rPr>
        <w:t>本项目的特定资格要求：</w:t>
      </w:r>
      <w:r>
        <w:rPr>
          <w:rFonts w:hint="eastAsia" w:ascii="宋体" w:hAnsi="宋体" w:cs="宋体"/>
          <w:b/>
          <w:bCs/>
          <w:sz w:val="24"/>
        </w:rPr>
        <w:t>供应商需具备市政公用工程施工总承包叁级及以上资质且具有有效的安全生产许可证（提供资质证书及安全生产许可证复印件）。</w:t>
      </w:r>
    </w:p>
    <w:p>
      <w:pPr>
        <w:pStyle w:val="2"/>
        <w:ind w:firstLine="560"/>
      </w:pPr>
    </w:p>
    <w:p>
      <w:pPr>
        <w:spacing w:line="360" w:lineRule="auto"/>
        <w:rPr>
          <w:rFonts w:ascii="宋体" w:hAnsi="宋体" w:cs="仿宋"/>
          <w:b/>
          <w:sz w:val="24"/>
        </w:rPr>
      </w:pPr>
      <w:bookmarkStart w:id="19" w:name="_Toc35393623"/>
      <w:bookmarkStart w:id="20" w:name="_Toc35393792"/>
      <w:bookmarkStart w:id="21" w:name="_Toc2080"/>
      <w:bookmarkStart w:id="22" w:name="_Toc14395"/>
      <w:r>
        <w:rPr>
          <w:rFonts w:hint="eastAsia" w:ascii="宋体" w:hAnsi="宋体" w:cs="仿宋"/>
          <w:b/>
          <w:sz w:val="24"/>
        </w:rPr>
        <w:t>三、获取招标文件</w:t>
      </w:r>
      <w:bookmarkEnd w:id="19"/>
      <w:bookmarkEnd w:id="20"/>
      <w:bookmarkEnd w:id="21"/>
      <w:bookmarkEnd w:id="22"/>
    </w:p>
    <w:p>
      <w:pPr>
        <w:numPr>
          <w:ilvl w:val="0"/>
          <w:numId w:val="2"/>
        </w:numPr>
        <w:spacing w:line="360" w:lineRule="auto"/>
        <w:ind w:left="0" w:firstLine="425"/>
        <w:rPr>
          <w:rFonts w:ascii="宋体" w:hAnsi="宋体" w:cs="宋体"/>
          <w:sz w:val="24"/>
        </w:rPr>
      </w:pPr>
      <w:r>
        <w:rPr>
          <w:rFonts w:hint="eastAsia" w:ascii="宋体" w:hAnsi="宋体" w:cs="宋体"/>
          <w:b/>
          <w:sz w:val="24"/>
        </w:rPr>
        <w:t>时间：</w:t>
      </w:r>
      <w:r>
        <w:rPr>
          <w:rFonts w:hint="eastAsia" w:ascii="宋体" w:hAnsi="宋体" w:cs="仿宋"/>
          <w:sz w:val="24"/>
        </w:rPr>
        <w:t>至</w:t>
      </w:r>
      <w:r>
        <w:rPr>
          <w:rStyle w:val="22"/>
          <w:rFonts w:hint="eastAsia" w:ascii="宋体" w:hAnsi="宋体" w:eastAsia="宋体" w:cs="仿宋"/>
          <w:color w:val="auto"/>
          <w:sz w:val="24"/>
        </w:rPr>
        <w:t>202</w:t>
      </w:r>
      <w:r>
        <w:rPr>
          <w:rStyle w:val="22"/>
          <w:rFonts w:hint="eastAsia" w:ascii="宋体" w:hAnsi="宋体" w:cs="仿宋"/>
          <w:color w:val="auto"/>
          <w:sz w:val="24"/>
          <w:lang w:val="en-US" w:eastAsia="zh-CN"/>
        </w:rPr>
        <w:t>3</w:t>
      </w:r>
      <w:r>
        <w:rPr>
          <w:rStyle w:val="22"/>
          <w:rFonts w:hint="eastAsia" w:ascii="宋体" w:hAnsi="宋体" w:eastAsia="宋体" w:cs="仿宋"/>
          <w:color w:val="auto"/>
          <w:sz w:val="24"/>
        </w:rPr>
        <w:t>年</w:t>
      </w:r>
      <w:r>
        <w:rPr>
          <w:rStyle w:val="22"/>
          <w:rFonts w:hint="eastAsia" w:ascii="宋体" w:hAnsi="宋体" w:cs="仿宋"/>
          <w:color w:val="auto"/>
          <w:sz w:val="24"/>
          <w:lang w:val="en-US" w:eastAsia="zh-CN"/>
        </w:rPr>
        <w:t>2</w:t>
      </w:r>
      <w:r>
        <w:rPr>
          <w:rStyle w:val="22"/>
          <w:rFonts w:hint="eastAsia" w:ascii="宋体" w:hAnsi="宋体" w:eastAsia="宋体" w:cs="仿宋"/>
          <w:color w:val="auto"/>
          <w:sz w:val="24"/>
        </w:rPr>
        <w:t>月</w:t>
      </w:r>
      <w:r>
        <w:rPr>
          <w:rStyle w:val="22"/>
          <w:rFonts w:hint="eastAsia" w:ascii="宋体" w:hAnsi="宋体" w:cs="仿宋"/>
          <w:color w:val="auto"/>
          <w:sz w:val="24"/>
          <w:lang w:val="en-US" w:eastAsia="zh-CN"/>
        </w:rPr>
        <w:t>1</w:t>
      </w:r>
      <w:r>
        <w:rPr>
          <w:rStyle w:val="22"/>
          <w:rFonts w:hint="eastAsia" w:ascii="宋体" w:hAnsi="宋体" w:eastAsia="宋体" w:cs="仿宋"/>
          <w:color w:val="auto"/>
          <w:sz w:val="24"/>
        </w:rPr>
        <w:t>日</w:t>
      </w:r>
      <w:r>
        <w:rPr>
          <w:rStyle w:val="22"/>
          <w:rFonts w:hint="eastAsia" w:ascii="宋体" w:hAnsi="宋体" w:cs="仿宋"/>
          <w:color w:val="auto"/>
          <w:sz w:val="24"/>
          <w:lang w:val="en-US" w:eastAsia="zh-CN"/>
        </w:rPr>
        <w:t>9</w:t>
      </w:r>
      <w:r>
        <w:rPr>
          <w:rStyle w:val="22"/>
          <w:rFonts w:hint="eastAsia" w:ascii="宋体" w:hAnsi="宋体" w:eastAsia="宋体" w:cs="仿宋"/>
          <w:color w:val="auto"/>
          <w:sz w:val="24"/>
        </w:rPr>
        <w:t>点00分</w:t>
      </w:r>
      <w:r>
        <w:rPr>
          <w:rStyle w:val="22"/>
          <w:rFonts w:hint="eastAsia" w:ascii="宋体" w:hAnsi="宋体" w:eastAsia="宋体" w:cs="仿宋"/>
          <w:bCs/>
          <w:color w:val="auto"/>
          <w:sz w:val="24"/>
        </w:rPr>
        <w:t>00秒</w:t>
      </w:r>
      <w:r>
        <w:rPr>
          <w:rFonts w:hint="eastAsia" w:ascii="宋体" w:hAnsi="宋体" w:cs="仿宋"/>
          <w:sz w:val="24"/>
        </w:rPr>
        <w:t>，每天上午00:00至12:00 ，下午12:00至23:59（北京时间）；</w:t>
      </w:r>
    </w:p>
    <w:p>
      <w:pPr>
        <w:numPr>
          <w:ilvl w:val="0"/>
          <w:numId w:val="2"/>
        </w:numPr>
        <w:spacing w:line="360" w:lineRule="auto"/>
        <w:ind w:left="0" w:firstLine="425"/>
        <w:rPr>
          <w:rFonts w:ascii="宋体" w:hAnsi="宋体" w:cs="宋体"/>
          <w:sz w:val="24"/>
        </w:rPr>
      </w:pPr>
      <w:r>
        <w:rPr>
          <w:rFonts w:hint="eastAsia" w:ascii="宋体" w:hAnsi="宋体" w:cs="宋体"/>
          <w:b/>
          <w:sz w:val="24"/>
        </w:rPr>
        <w:t>地点（网址）：</w:t>
      </w:r>
      <w:r>
        <w:rPr>
          <w:rFonts w:hint="eastAsia" w:ascii="宋体" w:hAnsi="宋体" w:cs="宋体"/>
          <w:sz w:val="24"/>
        </w:rPr>
        <w:t>政采云平台（</w:t>
      </w:r>
      <w:r>
        <w:rPr>
          <w:rFonts w:hint="eastAsia"/>
          <w:sz w:val="24"/>
        </w:rPr>
        <w:t>https://www.zcygov.cn</w:t>
      </w:r>
      <w:r>
        <w:rPr>
          <w:rFonts w:hint="eastAsia" w:ascii="宋体" w:hAnsi="宋体" w:cs="宋体"/>
          <w:sz w:val="24"/>
        </w:rPr>
        <w:t xml:space="preserve">）； </w:t>
      </w:r>
    </w:p>
    <w:p>
      <w:pPr>
        <w:numPr>
          <w:ilvl w:val="0"/>
          <w:numId w:val="2"/>
        </w:numPr>
        <w:spacing w:line="360" w:lineRule="auto"/>
        <w:ind w:left="0" w:firstLine="425"/>
        <w:rPr>
          <w:rFonts w:ascii="仿宋" w:hAnsi="仿宋" w:eastAsia="仿宋" w:cs="宋体"/>
          <w:bCs/>
          <w:sz w:val="24"/>
          <w:u w:val="single"/>
        </w:rPr>
      </w:pPr>
      <w:r>
        <w:rPr>
          <w:rFonts w:hint="eastAsia" w:ascii="宋体" w:hAnsi="宋体" w:cs="宋体"/>
          <w:b/>
          <w:sz w:val="24"/>
        </w:rPr>
        <w:t>方式：</w:t>
      </w:r>
      <w:r>
        <w:rPr>
          <w:rFonts w:hint="eastAsia" w:ascii="宋体" w:hAnsi="宋体" w:cs="仿宋"/>
          <w:sz w:val="24"/>
        </w:rPr>
        <w:t>供应商登录政采云平台https://www.zcygov.cn/在线申请获取招标文件；（进入“项目采购”应用，在获取采购文件菜单中选择项目，申请获取招标文件）；</w:t>
      </w:r>
    </w:p>
    <w:p>
      <w:pPr>
        <w:numPr>
          <w:ilvl w:val="0"/>
          <w:numId w:val="2"/>
        </w:numPr>
        <w:spacing w:line="360" w:lineRule="auto"/>
        <w:ind w:left="0" w:firstLine="425"/>
        <w:rPr>
          <w:rFonts w:ascii="宋体" w:hAnsi="宋体" w:cs="宋体"/>
          <w:sz w:val="24"/>
        </w:rPr>
      </w:pPr>
      <w:r>
        <w:rPr>
          <w:rFonts w:hint="eastAsia" w:ascii="宋体" w:hAnsi="宋体" w:cs="仿宋"/>
          <w:b/>
          <w:sz w:val="24"/>
        </w:rPr>
        <w:t>售价（元）</w:t>
      </w:r>
      <w:r>
        <w:rPr>
          <w:rFonts w:hint="eastAsia" w:ascii="宋体" w:hAnsi="宋体" w:cs="宋体"/>
          <w:sz w:val="24"/>
        </w:rPr>
        <w:t>：0。</w:t>
      </w:r>
    </w:p>
    <w:p>
      <w:pPr>
        <w:spacing w:line="360" w:lineRule="auto"/>
        <w:rPr>
          <w:rFonts w:ascii="宋体" w:hAnsi="宋体" w:cs="仿宋"/>
          <w:b/>
          <w:sz w:val="24"/>
        </w:rPr>
      </w:pPr>
      <w:bookmarkStart w:id="23" w:name="_Toc28359005"/>
      <w:bookmarkStart w:id="24" w:name="_Toc28359082"/>
      <w:bookmarkStart w:id="25" w:name="_Toc35393793"/>
      <w:bookmarkStart w:id="26" w:name="_Toc35393624"/>
      <w:bookmarkStart w:id="27" w:name="_Toc24890"/>
      <w:bookmarkStart w:id="28" w:name="_Toc7555"/>
      <w:r>
        <w:rPr>
          <w:rFonts w:hint="eastAsia" w:ascii="宋体" w:hAnsi="宋体" w:cs="仿宋"/>
          <w:b/>
          <w:sz w:val="24"/>
        </w:rPr>
        <w:t>四、提交投标文件</w:t>
      </w:r>
      <w:bookmarkEnd w:id="23"/>
      <w:bookmarkEnd w:id="24"/>
      <w:r>
        <w:rPr>
          <w:rFonts w:hint="eastAsia" w:ascii="宋体" w:hAnsi="宋体" w:cs="仿宋"/>
          <w:b/>
          <w:sz w:val="24"/>
        </w:rPr>
        <w:t>截止时间、开标时间和地点</w:t>
      </w:r>
      <w:bookmarkEnd w:id="25"/>
      <w:bookmarkEnd w:id="26"/>
      <w:bookmarkEnd w:id="27"/>
      <w:bookmarkEnd w:id="28"/>
    </w:p>
    <w:p>
      <w:pPr>
        <w:numPr>
          <w:ilvl w:val="0"/>
          <w:numId w:val="3"/>
        </w:numPr>
        <w:spacing w:line="360" w:lineRule="auto"/>
        <w:ind w:left="0" w:firstLine="425"/>
        <w:rPr>
          <w:rFonts w:ascii="宋体" w:hAnsi="宋体" w:cs="宋体"/>
          <w:sz w:val="24"/>
        </w:rPr>
      </w:pPr>
      <w:bookmarkStart w:id="29" w:name="_Toc35393794"/>
      <w:bookmarkStart w:id="30" w:name="_Toc35393625"/>
      <w:bookmarkStart w:id="31" w:name="_Toc28359007"/>
      <w:bookmarkStart w:id="32" w:name="_Toc28359084"/>
      <w:r>
        <w:rPr>
          <w:rFonts w:hint="eastAsia" w:ascii="宋体" w:hAnsi="宋体" w:cs="宋体"/>
          <w:b/>
          <w:sz w:val="24"/>
        </w:rPr>
        <w:t>提交投标文件截止时间：</w:t>
      </w:r>
      <w:r>
        <w:rPr>
          <w:rStyle w:val="22"/>
          <w:rFonts w:hint="eastAsia" w:ascii="宋体" w:hAnsi="宋体" w:eastAsia="宋体" w:cs="仿宋"/>
          <w:color w:val="auto"/>
          <w:sz w:val="24"/>
        </w:rPr>
        <w:t>202</w:t>
      </w:r>
      <w:r>
        <w:rPr>
          <w:rStyle w:val="22"/>
          <w:rFonts w:hint="eastAsia" w:ascii="宋体" w:hAnsi="宋体" w:cs="仿宋"/>
          <w:color w:val="auto"/>
          <w:sz w:val="24"/>
          <w:lang w:val="en-US" w:eastAsia="zh-CN"/>
        </w:rPr>
        <w:t>3</w:t>
      </w:r>
      <w:r>
        <w:rPr>
          <w:rStyle w:val="22"/>
          <w:rFonts w:hint="eastAsia" w:ascii="宋体" w:hAnsi="宋体" w:eastAsia="宋体" w:cs="仿宋"/>
          <w:color w:val="auto"/>
          <w:sz w:val="24"/>
        </w:rPr>
        <w:t>年</w:t>
      </w:r>
      <w:r>
        <w:rPr>
          <w:rStyle w:val="22"/>
          <w:rFonts w:hint="eastAsia" w:ascii="宋体" w:hAnsi="宋体" w:cs="仿宋"/>
          <w:color w:val="auto"/>
          <w:sz w:val="24"/>
          <w:lang w:val="en-US" w:eastAsia="zh-CN"/>
        </w:rPr>
        <w:t>2</w:t>
      </w:r>
      <w:r>
        <w:rPr>
          <w:rStyle w:val="22"/>
          <w:rFonts w:hint="eastAsia" w:ascii="宋体" w:hAnsi="宋体" w:eastAsia="宋体" w:cs="仿宋"/>
          <w:color w:val="auto"/>
          <w:sz w:val="24"/>
        </w:rPr>
        <w:t>月</w:t>
      </w:r>
      <w:r>
        <w:rPr>
          <w:rStyle w:val="22"/>
          <w:rFonts w:hint="eastAsia" w:ascii="宋体" w:hAnsi="宋体" w:cs="仿宋"/>
          <w:color w:val="auto"/>
          <w:sz w:val="24"/>
          <w:lang w:val="en-US" w:eastAsia="zh-CN"/>
        </w:rPr>
        <w:t>1</w:t>
      </w:r>
      <w:r>
        <w:rPr>
          <w:rStyle w:val="22"/>
          <w:rFonts w:hint="eastAsia" w:ascii="宋体" w:hAnsi="宋体" w:eastAsia="宋体" w:cs="仿宋"/>
          <w:color w:val="auto"/>
          <w:sz w:val="24"/>
        </w:rPr>
        <w:t>日</w:t>
      </w:r>
      <w:r>
        <w:rPr>
          <w:rStyle w:val="22"/>
          <w:rFonts w:hint="eastAsia" w:ascii="宋体" w:hAnsi="宋体" w:cs="仿宋"/>
          <w:color w:val="auto"/>
          <w:sz w:val="24"/>
          <w:lang w:val="en-US" w:eastAsia="zh-CN"/>
        </w:rPr>
        <w:t>9</w:t>
      </w:r>
      <w:r>
        <w:rPr>
          <w:rStyle w:val="22"/>
          <w:rFonts w:hint="eastAsia" w:ascii="宋体" w:hAnsi="宋体" w:eastAsia="宋体" w:cs="仿宋"/>
          <w:color w:val="auto"/>
          <w:sz w:val="24"/>
        </w:rPr>
        <w:t>点00分</w:t>
      </w:r>
      <w:r>
        <w:rPr>
          <w:rStyle w:val="22"/>
          <w:rFonts w:hint="eastAsia" w:ascii="宋体" w:hAnsi="宋体" w:eastAsia="宋体" w:cs="仿宋"/>
          <w:bCs/>
          <w:color w:val="auto"/>
          <w:sz w:val="24"/>
        </w:rPr>
        <w:t>00秒</w:t>
      </w:r>
      <w:r>
        <w:rPr>
          <w:rFonts w:hint="eastAsia" w:ascii="宋体" w:hAnsi="宋体" w:cs="宋体"/>
          <w:sz w:val="24"/>
        </w:rPr>
        <w:t>（北京时间）；</w:t>
      </w:r>
    </w:p>
    <w:p>
      <w:pPr>
        <w:numPr>
          <w:ilvl w:val="0"/>
          <w:numId w:val="3"/>
        </w:numPr>
        <w:spacing w:line="360" w:lineRule="auto"/>
        <w:ind w:left="0" w:firstLine="425"/>
        <w:rPr>
          <w:rFonts w:ascii="宋体" w:hAnsi="宋体" w:cs="宋体"/>
          <w:sz w:val="24"/>
        </w:rPr>
      </w:pPr>
      <w:r>
        <w:rPr>
          <w:rFonts w:hint="eastAsia" w:ascii="宋体" w:hAnsi="宋体" w:cs="宋体"/>
          <w:b/>
          <w:sz w:val="24"/>
        </w:rPr>
        <w:t>投标地点（网址）：</w:t>
      </w:r>
      <w:r>
        <w:rPr>
          <w:rFonts w:hint="eastAsia" w:ascii="宋体" w:hAnsi="宋体" w:cs="宋体"/>
          <w:sz w:val="24"/>
        </w:rPr>
        <w:t>政采云平台（https://www.zcygov.cn）；</w:t>
      </w:r>
    </w:p>
    <w:p>
      <w:pPr>
        <w:numPr>
          <w:ilvl w:val="0"/>
          <w:numId w:val="3"/>
        </w:numPr>
        <w:spacing w:line="360" w:lineRule="auto"/>
        <w:ind w:left="0" w:firstLine="425"/>
        <w:rPr>
          <w:rFonts w:ascii="宋体" w:hAnsi="宋体" w:cs="宋体"/>
          <w:sz w:val="24"/>
        </w:rPr>
      </w:pPr>
      <w:r>
        <w:rPr>
          <w:rFonts w:hint="eastAsia" w:ascii="宋体" w:hAnsi="宋体" w:cs="宋体"/>
          <w:b/>
          <w:sz w:val="24"/>
        </w:rPr>
        <w:t>开标时间：</w:t>
      </w:r>
      <w:r>
        <w:rPr>
          <w:rStyle w:val="22"/>
          <w:rFonts w:hint="eastAsia" w:ascii="宋体" w:hAnsi="宋体" w:eastAsia="宋体" w:cs="仿宋"/>
          <w:color w:val="auto"/>
          <w:sz w:val="24"/>
        </w:rPr>
        <w:t>202</w:t>
      </w:r>
      <w:r>
        <w:rPr>
          <w:rStyle w:val="22"/>
          <w:rFonts w:hint="eastAsia" w:ascii="宋体" w:hAnsi="宋体" w:cs="仿宋"/>
          <w:color w:val="auto"/>
          <w:sz w:val="24"/>
          <w:lang w:val="en-US" w:eastAsia="zh-CN"/>
        </w:rPr>
        <w:t>3</w:t>
      </w:r>
      <w:r>
        <w:rPr>
          <w:rStyle w:val="22"/>
          <w:rFonts w:hint="eastAsia" w:ascii="宋体" w:hAnsi="宋体" w:eastAsia="宋体" w:cs="仿宋"/>
          <w:color w:val="auto"/>
          <w:sz w:val="24"/>
        </w:rPr>
        <w:t>年</w:t>
      </w:r>
      <w:r>
        <w:rPr>
          <w:rStyle w:val="22"/>
          <w:rFonts w:hint="eastAsia" w:ascii="宋体" w:hAnsi="宋体" w:cs="仿宋"/>
          <w:color w:val="auto"/>
          <w:sz w:val="24"/>
          <w:lang w:val="en-US" w:eastAsia="zh-CN"/>
        </w:rPr>
        <w:t>2</w:t>
      </w:r>
      <w:r>
        <w:rPr>
          <w:rStyle w:val="22"/>
          <w:rFonts w:hint="eastAsia" w:ascii="宋体" w:hAnsi="宋体" w:eastAsia="宋体" w:cs="仿宋"/>
          <w:color w:val="auto"/>
          <w:sz w:val="24"/>
        </w:rPr>
        <w:t>月</w:t>
      </w:r>
      <w:r>
        <w:rPr>
          <w:rStyle w:val="22"/>
          <w:rFonts w:hint="eastAsia" w:ascii="宋体" w:hAnsi="宋体" w:cs="仿宋"/>
          <w:color w:val="auto"/>
          <w:sz w:val="24"/>
          <w:lang w:val="en-US" w:eastAsia="zh-CN"/>
        </w:rPr>
        <w:t>1</w:t>
      </w:r>
      <w:r>
        <w:rPr>
          <w:rStyle w:val="22"/>
          <w:rFonts w:hint="eastAsia" w:ascii="宋体" w:hAnsi="宋体" w:eastAsia="宋体" w:cs="仿宋"/>
          <w:color w:val="auto"/>
          <w:sz w:val="24"/>
        </w:rPr>
        <w:t>日</w:t>
      </w:r>
      <w:r>
        <w:rPr>
          <w:rStyle w:val="22"/>
          <w:rFonts w:hint="eastAsia" w:ascii="宋体" w:hAnsi="宋体" w:cs="仿宋"/>
          <w:color w:val="auto"/>
          <w:sz w:val="24"/>
          <w:lang w:val="en-US" w:eastAsia="zh-CN"/>
        </w:rPr>
        <w:t>9</w:t>
      </w:r>
      <w:r>
        <w:rPr>
          <w:rStyle w:val="22"/>
          <w:rFonts w:hint="eastAsia" w:ascii="宋体" w:hAnsi="宋体" w:eastAsia="宋体" w:cs="仿宋"/>
          <w:color w:val="auto"/>
          <w:sz w:val="24"/>
        </w:rPr>
        <w:t>点00分</w:t>
      </w:r>
      <w:r>
        <w:rPr>
          <w:rStyle w:val="22"/>
          <w:rFonts w:hint="eastAsia" w:ascii="宋体" w:hAnsi="宋体" w:eastAsia="宋体" w:cs="仿宋"/>
          <w:bCs/>
          <w:color w:val="auto"/>
          <w:sz w:val="24"/>
        </w:rPr>
        <w:t>00秒</w:t>
      </w:r>
      <w:r>
        <w:rPr>
          <w:rFonts w:hint="eastAsia" w:ascii="宋体" w:hAnsi="宋体" w:cs="宋体"/>
          <w:sz w:val="24"/>
        </w:rPr>
        <w:t>（北京时间）；</w:t>
      </w:r>
    </w:p>
    <w:p>
      <w:pPr>
        <w:numPr>
          <w:ilvl w:val="0"/>
          <w:numId w:val="3"/>
        </w:numPr>
        <w:spacing w:line="360" w:lineRule="auto"/>
        <w:ind w:left="0" w:firstLine="425"/>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numPr>
          <w:ilvl w:val="0"/>
          <w:numId w:val="3"/>
        </w:numPr>
        <w:spacing w:line="360" w:lineRule="auto"/>
        <w:ind w:left="0" w:firstLine="425"/>
        <w:rPr>
          <w:rFonts w:ascii="宋体" w:hAnsi="宋体" w:cs="宋体"/>
          <w:sz w:val="24"/>
        </w:rPr>
      </w:pPr>
      <w:r>
        <w:rPr>
          <w:rFonts w:hint="eastAsia" w:ascii="宋体" w:hAnsi="宋体" w:cs="宋体"/>
          <w:b/>
          <w:sz w:val="24"/>
        </w:rPr>
        <w:t>开标地点（线下）：</w:t>
      </w:r>
      <w:r>
        <w:rPr>
          <w:rFonts w:hint="eastAsia" w:ascii="宋体" w:hAnsi="宋体" w:cs="宋体"/>
          <w:sz w:val="24"/>
        </w:rPr>
        <w:t>宁波市奉化区公共资源交易中心开标厅三（宁波市奉化区大成东路277号4楼）。</w:t>
      </w:r>
    </w:p>
    <w:p>
      <w:pPr>
        <w:spacing w:line="360" w:lineRule="auto"/>
        <w:rPr>
          <w:rFonts w:ascii="宋体" w:hAnsi="宋体" w:cs="仿宋"/>
          <w:b/>
          <w:sz w:val="24"/>
        </w:rPr>
      </w:pPr>
      <w:bookmarkStart w:id="33" w:name="_Toc20087"/>
      <w:bookmarkStart w:id="34" w:name="_Toc9398"/>
      <w:r>
        <w:rPr>
          <w:rFonts w:hint="eastAsia" w:ascii="宋体" w:hAnsi="宋体" w:cs="仿宋"/>
          <w:b/>
          <w:sz w:val="24"/>
        </w:rPr>
        <w:t>五、公告期限</w:t>
      </w:r>
      <w:bookmarkEnd w:id="29"/>
      <w:bookmarkEnd w:id="30"/>
      <w:bookmarkEnd w:id="31"/>
      <w:bookmarkEnd w:id="32"/>
      <w:bookmarkEnd w:id="33"/>
      <w:bookmarkEnd w:id="34"/>
    </w:p>
    <w:p>
      <w:pPr>
        <w:spacing w:line="360" w:lineRule="auto"/>
        <w:ind w:firstLine="480" w:firstLineChars="200"/>
        <w:rPr>
          <w:rFonts w:ascii="宋体" w:hAnsi="宋体" w:cs="宋体"/>
          <w:sz w:val="24"/>
        </w:rPr>
      </w:pPr>
      <w:r>
        <w:rPr>
          <w:rFonts w:hint="eastAsia" w:ascii="宋体" w:hAnsi="宋体" w:cs="宋体"/>
          <w:sz w:val="24"/>
        </w:rPr>
        <w:t>自本公告发布之日起</w:t>
      </w:r>
      <w:r>
        <w:rPr>
          <w:rFonts w:ascii="宋体" w:hAnsi="宋体" w:cs="宋体"/>
          <w:sz w:val="24"/>
        </w:rPr>
        <w:t>5</w:t>
      </w:r>
      <w:r>
        <w:rPr>
          <w:rFonts w:hint="eastAsia" w:ascii="宋体" w:hAnsi="宋体" w:cs="宋体"/>
          <w:sz w:val="24"/>
        </w:rPr>
        <w:t>个工作日。</w:t>
      </w:r>
    </w:p>
    <w:p>
      <w:pPr>
        <w:spacing w:line="360" w:lineRule="auto"/>
        <w:rPr>
          <w:rFonts w:ascii="宋体" w:hAnsi="宋体" w:cs="仿宋"/>
          <w:b/>
          <w:sz w:val="24"/>
        </w:rPr>
      </w:pPr>
      <w:bookmarkStart w:id="35" w:name="_Toc35393626"/>
      <w:bookmarkStart w:id="36" w:name="_Toc9146"/>
      <w:bookmarkStart w:id="37" w:name="_Toc29891"/>
      <w:bookmarkStart w:id="38" w:name="_Toc35393795"/>
      <w:r>
        <w:rPr>
          <w:rFonts w:hint="eastAsia" w:ascii="宋体" w:hAnsi="宋体" w:cs="仿宋"/>
          <w:b/>
          <w:sz w:val="24"/>
        </w:rPr>
        <w:t>六、其他补充事宜</w:t>
      </w:r>
      <w:bookmarkEnd w:id="35"/>
      <w:bookmarkEnd w:id="36"/>
      <w:bookmarkEnd w:id="37"/>
      <w:bookmarkEnd w:id="38"/>
    </w:p>
    <w:p>
      <w:pPr>
        <w:spacing w:line="360" w:lineRule="auto"/>
        <w:ind w:firstLine="480" w:firstLineChars="200"/>
        <w:rPr>
          <w:rFonts w:ascii="宋体" w:hAnsi="宋体" w:cs="仿宋"/>
          <w:sz w:val="24"/>
        </w:rPr>
      </w:pPr>
      <w:r>
        <w:rPr>
          <w:rFonts w:hint="eastAsia" w:ascii="宋体" w:hAnsi="宋体"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仿宋"/>
          <w:sz w:val="24"/>
        </w:rPr>
      </w:pPr>
      <w:r>
        <w:rPr>
          <w:rFonts w:hint="eastAsia" w:ascii="宋体" w:hAnsi="宋体"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cs="仿宋"/>
          <w:kern w:val="0"/>
          <w:sz w:val="24"/>
          <w:lang w:val="zh-CN"/>
        </w:rPr>
        <w:t>供应商</w:t>
      </w:r>
      <w:r>
        <w:rPr>
          <w:rFonts w:hint="eastAsia" w:ascii="宋体" w:hAnsi="宋体" w:cs="仿宋"/>
          <w:sz w:val="24"/>
        </w:rPr>
        <w:t>在开标前应确保成为浙江省政府采购网正式注册入库供应商，并完成CA数字证书办理。完成CA数字证书办理在资料齐全的情况下预计7个工作日左右，请各</w:t>
      </w:r>
      <w:r>
        <w:rPr>
          <w:rFonts w:hint="eastAsia" w:ascii="宋体" w:hAnsi="宋体" w:cs="仿宋"/>
          <w:kern w:val="0"/>
          <w:sz w:val="24"/>
          <w:lang w:val="zh-CN"/>
        </w:rPr>
        <w:t>供应商</w:t>
      </w:r>
      <w:r>
        <w:rPr>
          <w:rFonts w:hint="eastAsia" w:ascii="宋体" w:hAnsi="宋体" w:cs="仿宋"/>
          <w:sz w:val="24"/>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ascii="宋体" w:hAnsi="宋体" w:cs="仿宋"/>
          <w:kern w:val="0"/>
          <w:sz w:val="24"/>
          <w:lang w:val="zh-CN"/>
        </w:rPr>
        <w:t>供应商</w:t>
      </w:r>
      <w:r>
        <w:rPr>
          <w:rFonts w:hint="eastAsia" w:ascii="宋体" w:hAnsi="宋体" w:cs="仿宋"/>
          <w:sz w:val="24"/>
        </w:rPr>
        <w:t>按照平台提示和招标文件的规定在半小时内完成在线解密。⑨具体操作指南：详见政采云平台“服务中心-帮助文档-项目采购-操作流程-电子招投标-政府采购项目电子交易管理操作指南-供应商”。</w:t>
      </w:r>
    </w:p>
    <w:p>
      <w:pPr>
        <w:pStyle w:val="2"/>
        <w:ind w:firstLine="560"/>
      </w:pPr>
    </w:p>
    <w:p>
      <w:pPr>
        <w:spacing w:line="360" w:lineRule="auto"/>
        <w:rPr>
          <w:rFonts w:ascii="宋体" w:hAnsi="宋体" w:cs="仿宋"/>
          <w:b/>
          <w:sz w:val="24"/>
        </w:rPr>
      </w:pPr>
      <w:bookmarkStart w:id="39" w:name="_Toc26817"/>
      <w:bookmarkStart w:id="40" w:name="_Toc968"/>
      <w:r>
        <w:rPr>
          <w:rFonts w:hint="eastAsia" w:ascii="宋体" w:hAnsi="宋体" w:cs="仿宋"/>
          <w:b/>
          <w:sz w:val="24"/>
        </w:rPr>
        <w:t>七、</w:t>
      </w:r>
      <w:bookmarkEnd w:id="39"/>
      <w:bookmarkEnd w:id="40"/>
      <w:r>
        <w:rPr>
          <w:rFonts w:hint="eastAsia" w:ascii="宋体" w:hAnsi="宋体" w:cs="仿宋"/>
          <w:b/>
          <w:sz w:val="24"/>
        </w:rPr>
        <w:t>对本次采购提出询问、质疑、投诉，请按以下方式联系</w:t>
      </w:r>
    </w:p>
    <w:p>
      <w:pPr>
        <w:spacing w:line="360" w:lineRule="auto"/>
        <w:ind w:firstLine="482" w:firstLineChars="200"/>
        <w:rPr>
          <w:rFonts w:ascii="宋体" w:hAnsi="宋体" w:cs="仿宋"/>
          <w:sz w:val="24"/>
        </w:rPr>
      </w:pPr>
      <w:r>
        <w:rPr>
          <w:rFonts w:hint="eastAsia" w:ascii="宋体" w:hAnsi="宋体" w:cs="仿宋"/>
          <w:b/>
          <w:sz w:val="24"/>
        </w:rPr>
        <w:t>1.</w:t>
      </w:r>
      <w:r>
        <w:rPr>
          <w:rFonts w:hint="eastAsia" w:ascii="宋体" w:hAnsi="宋体" w:cs="仿宋"/>
          <w:sz w:val="24"/>
        </w:rPr>
        <w:t>采购人信息</w:t>
      </w:r>
    </w:p>
    <w:p>
      <w:pPr>
        <w:spacing w:line="360" w:lineRule="auto"/>
        <w:rPr>
          <w:rFonts w:ascii="宋体" w:hAnsi="宋体" w:cs="仿宋"/>
          <w:sz w:val="24"/>
        </w:rPr>
      </w:pPr>
      <w:r>
        <w:rPr>
          <w:rFonts w:hint="eastAsia" w:ascii="宋体" w:hAnsi="宋体" w:cs="仿宋"/>
          <w:sz w:val="24"/>
        </w:rPr>
        <w:t xml:space="preserve">    名    称：</w:t>
      </w:r>
      <w:r>
        <w:rPr>
          <w:rFonts w:hint="eastAsia" w:ascii="宋体" w:hAnsi="宋体" w:cs="宋体"/>
          <w:bCs/>
          <w:sz w:val="24"/>
        </w:rPr>
        <w:t>宁波市奉化区综合行政执法局</w:t>
      </w:r>
    </w:p>
    <w:p>
      <w:pPr>
        <w:spacing w:line="360" w:lineRule="auto"/>
        <w:rPr>
          <w:rFonts w:ascii="宋体" w:hAnsi="宋体" w:cs="仿宋"/>
          <w:sz w:val="24"/>
        </w:rPr>
      </w:pPr>
      <w:r>
        <w:rPr>
          <w:rFonts w:hint="eastAsia" w:ascii="宋体" w:hAnsi="宋体" w:cs="仿宋"/>
          <w:sz w:val="24"/>
        </w:rPr>
        <w:t xml:space="preserve">    地    址：</w:t>
      </w:r>
      <w:r>
        <w:rPr>
          <w:rFonts w:hint="eastAsia" w:ascii="宋体" w:hAnsi="宋体" w:cs="宋体"/>
          <w:sz w:val="24"/>
        </w:rPr>
        <w:t>宁波市奉化区长汀路242号</w:t>
      </w:r>
    </w:p>
    <w:p>
      <w:pPr>
        <w:spacing w:line="360" w:lineRule="auto"/>
        <w:ind w:firstLine="480"/>
        <w:rPr>
          <w:rFonts w:ascii="宋体" w:hAnsi="宋体" w:cs="仿宋"/>
          <w:sz w:val="24"/>
        </w:rPr>
      </w:pPr>
      <w:r>
        <w:rPr>
          <w:rFonts w:hint="eastAsia" w:ascii="宋体" w:hAnsi="宋体" w:cs="仿宋"/>
          <w:sz w:val="24"/>
        </w:rPr>
        <w:t xml:space="preserve">传    真：/ </w:t>
      </w:r>
    </w:p>
    <w:p>
      <w:pPr>
        <w:spacing w:line="360" w:lineRule="auto"/>
        <w:ind w:firstLine="480"/>
        <w:rPr>
          <w:rFonts w:ascii="宋体" w:hAnsi="宋体" w:cs="仿宋"/>
          <w:sz w:val="24"/>
        </w:rPr>
      </w:pPr>
      <w:r>
        <w:rPr>
          <w:rFonts w:hint="eastAsia" w:ascii="宋体" w:hAnsi="宋体" w:cs="仿宋"/>
          <w:sz w:val="24"/>
        </w:rPr>
        <w:t xml:space="preserve">执行询问联系人：朱先生        </w:t>
      </w:r>
    </w:p>
    <w:p>
      <w:pPr>
        <w:spacing w:line="360" w:lineRule="auto"/>
        <w:ind w:firstLine="480"/>
        <w:rPr>
          <w:rFonts w:ascii="宋体" w:hAnsi="宋体" w:cs="仿宋"/>
          <w:sz w:val="24"/>
        </w:rPr>
      </w:pPr>
      <w:r>
        <w:rPr>
          <w:rFonts w:hint="eastAsia" w:ascii="宋体" w:hAnsi="宋体" w:cs="仿宋"/>
          <w:sz w:val="24"/>
        </w:rPr>
        <w:t>执行询问联系方式：0574-88907806  </w:t>
      </w:r>
    </w:p>
    <w:p>
      <w:pPr>
        <w:spacing w:line="360" w:lineRule="auto"/>
        <w:ind w:firstLine="480"/>
        <w:rPr>
          <w:rFonts w:ascii="宋体" w:hAnsi="宋体" w:cs="仿宋"/>
          <w:sz w:val="24"/>
        </w:rPr>
      </w:pPr>
      <w:r>
        <w:rPr>
          <w:rFonts w:hint="eastAsia" w:ascii="宋体" w:hAnsi="宋体" w:cs="仿宋"/>
          <w:sz w:val="24"/>
        </w:rPr>
        <w:t>质疑答复联系人：蔡先生    </w:t>
      </w:r>
    </w:p>
    <w:p>
      <w:pPr>
        <w:spacing w:line="360" w:lineRule="auto"/>
        <w:ind w:firstLine="480"/>
        <w:rPr>
          <w:rFonts w:ascii="宋体" w:hAnsi="宋体" w:cs="仿宋"/>
          <w:sz w:val="24"/>
        </w:rPr>
      </w:pPr>
      <w:r>
        <w:rPr>
          <w:rFonts w:hint="eastAsia" w:ascii="宋体" w:hAnsi="宋体" w:cs="仿宋"/>
          <w:sz w:val="24"/>
        </w:rPr>
        <w:t>质疑答复联系方式：0574－88907801</w:t>
      </w:r>
    </w:p>
    <w:p>
      <w:pPr>
        <w:spacing w:line="360" w:lineRule="auto"/>
        <w:rPr>
          <w:rFonts w:ascii="宋体" w:hAnsi="宋体" w:cs="仿宋"/>
          <w:sz w:val="24"/>
        </w:rPr>
      </w:pPr>
      <w:r>
        <w:rPr>
          <w:rFonts w:hint="eastAsia" w:ascii="宋体" w:hAnsi="宋体" w:cs="仿宋"/>
          <w:sz w:val="24"/>
        </w:rPr>
        <w:t xml:space="preserve">   </w:t>
      </w:r>
      <w:r>
        <w:rPr>
          <w:rFonts w:hint="eastAsia" w:ascii="宋体" w:hAnsi="宋体" w:cs="仿宋"/>
          <w:b/>
          <w:sz w:val="24"/>
        </w:rPr>
        <w:t xml:space="preserve"> 2.</w:t>
      </w:r>
      <w:r>
        <w:rPr>
          <w:rFonts w:hint="eastAsia" w:ascii="宋体" w:hAnsi="宋体" w:cs="仿宋"/>
          <w:sz w:val="24"/>
        </w:rPr>
        <w:t xml:space="preserve">采购代理机构信息            </w:t>
      </w:r>
    </w:p>
    <w:p>
      <w:pPr>
        <w:spacing w:line="360" w:lineRule="auto"/>
        <w:ind w:firstLine="480"/>
        <w:rPr>
          <w:rFonts w:ascii="宋体" w:hAnsi="宋体" w:cs="仿宋"/>
          <w:sz w:val="24"/>
        </w:rPr>
      </w:pPr>
      <w:r>
        <w:rPr>
          <w:rFonts w:hint="eastAsia" w:ascii="宋体" w:hAnsi="宋体" w:cs="仿宋"/>
          <w:sz w:val="24"/>
        </w:rPr>
        <w:t>名    称：</w:t>
      </w:r>
      <w:r>
        <w:rPr>
          <w:rFonts w:hint="eastAsia" w:ascii="宋体" w:hAnsi="宋体" w:cs="宋体"/>
          <w:sz w:val="24"/>
        </w:rPr>
        <w:t>宁波于丹项目管理咨询有限公司</w:t>
      </w:r>
    </w:p>
    <w:p>
      <w:pPr>
        <w:spacing w:line="360" w:lineRule="auto"/>
        <w:ind w:firstLine="480"/>
        <w:rPr>
          <w:rFonts w:ascii="宋体" w:hAnsi="宋体" w:cs="仿宋"/>
          <w:sz w:val="24"/>
        </w:rPr>
      </w:pPr>
      <w:r>
        <w:rPr>
          <w:rFonts w:hint="eastAsia" w:ascii="宋体" w:hAnsi="宋体" w:cs="仿宋"/>
          <w:sz w:val="24"/>
        </w:rPr>
        <w:t>地    址：</w:t>
      </w:r>
      <w:r>
        <w:rPr>
          <w:rFonts w:hint="eastAsia" w:ascii="宋体" w:hAnsi="宋体" w:cs="宋体"/>
          <w:sz w:val="24"/>
        </w:rPr>
        <w:t>宁波市奉化区新丰路66号供销大厦二楼</w:t>
      </w:r>
    </w:p>
    <w:p>
      <w:pPr>
        <w:spacing w:line="360" w:lineRule="auto"/>
        <w:ind w:firstLine="480"/>
        <w:rPr>
          <w:rFonts w:ascii="宋体" w:hAnsi="宋体" w:cs="宋体"/>
          <w:bCs/>
          <w:sz w:val="24"/>
        </w:rPr>
      </w:pPr>
      <w:r>
        <w:rPr>
          <w:rFonts w:hint="eastAsia" w:ascii="宋体" w:hAnsi="宋体" w:cs="仿宋"/>
          <w:sz w:val="24"/>
        </w:rPr>
        <w:t>传    真：</w:t>
      </w:r>
      <w:r>
        <w:rPr>
          <w:rFonts w:hint="eastAsia" w:ascii="宋体" w:hAnsi="宋体" w:cs="宋体"/>
          <w:bCs/>
          <w:sz w:val="24"/>
        </w:rPr>
        <w:t>0574-</w:t>
      </w:r>
      <w:r>
        <w:rPr>
          <w:rFonts w:ascii="宋体" w:hAnsi="宋体" w:cs="宋体"/>
          <w:bCs/>
          <w:sz w:val="24"/>
        </w:rPr>
        <w:t>88972256</w:t>
      </w:r>
    </w:p>
    <w:p>
      <w:pPr>
        <w:spacing w:line="360" w:lineRule="auto"/>
        <w:ind w:firstLine="480"/>
        <w:rPr>
          <w:rFonts w:ascii="宋体" w:hAnsi="宋体" w:cs="仿宋"/>
          <w:sz w:val="24"/>
        </w:rPr>
      </w:pPr>
      <w:r>
        <w:rPr>
          <w:rFonts w:hint="eastAsia" w:ascii="宋体" w:hAnsi="宋体" w:cs="仿宋"/>
          <w:sz w:val="24"/>
        </w:rPr>
        <w:t xml:space="preserve">执行询问联系人：邬吉光、林莉、王智帅、张竞方、陈秀栋       </w:t>
      </w:r>
    </w:p>
    <w:p>
      <w:pPr>
        <w:spacing w:line="360" w:lineRule="auto"/>
        <w:ind w:firstLine="480"/>
        <w:rPr>
          <w:rFonts w:ascii="宋体" w:hAnsi="宋体" w:cs="仿宋"/>
          <w:sz w:val="24"/>
        </w:rPr>
      </w:pPr>
      <w:r>
        <w:rPr>
          <w:rFonts w:hint="eastAsia" w:ascii="宋体" w:hAnsi="宋体" w:cs="仿宋"/>
          <w:sz w:val="24"/>
        </w:rPr>
        <w:t>执行询问联系方式：0574-</w:t>
      </w:r>
      <w:r>
        <w:rPr>
          <w:rFonts w:ascii="宋体" w:hAnsi="宋体" w:cs="仿宋"/>
          <w:sz w:val="24"/>
        </w:rPr>
        <w:t>88972255/15168508085</w:t>
      </w:r>
      <w:r>
        <w:rPr>
          <w:rFonts w:hint="eastAsia" w:ascii="宋体" w:hAnsi="宋体" w:cs="仿宋"/>
          <w:sz w:val="24"/>
        </w:rPr>
        <w:t xml:space="preserve">  </w:t>
      </w:r>
    </w:p>
    <w:p>
      <w:pPr>
        <w:spacing w:line="360" w:lineRule="auto"/>
        <w:ind w:firstLine="480"/>
        <w:rPr>
          <w:rFonts w:ascii="宋体" w:hAnsi="宋体" w:cs="仿宋"/>
          <w:sz w:val="24"/>
        </w:rPr>
      </w:pPr>
      <w:r>
        <w:rPr>
          <w:rFonts w:hint="eastAsia" w:ascii="宋体" w:hAnsi="宋体" w:cs="仿宋"/>
          <w:sz w:val="24"/>
        </w:rPr>
        <w:t>质疑答复联系人：楼宇锋   </w:t>
      </w:r>
    </w:p>
    <w:p>
      <w:pPr>
        <w:spacing w:line="360" w:lineRule="auto"/>
        <w:ind w:firstLine="480"/>
        <w:rPr>
          <w:rFonts w:ascii="宋体" w:hAnsi="宋体" w:cs="仿宋"/>
          <w:sz w:val="24"/>
        </w:rPr>
      </w:pPr>
      <w:r>
        <w:rPr>
          <w:rFonts w:hint="eastAsia" w:ascii="宋体" w:hAnsi="宋体" w:cs="仿宋"/>
          <w:sz w:val="24"/>
        </w:rPr>
        <w:t>质疑答复联系方式：0574－</w:t>
      </w:r>
      <w:r>
        <w:rPr>
          <w:rFonts w:ascii="宋体" w:hAnsi="宋体" w:cs="仿宋"/>
          <w:sz w:val="24"/>
        </w:rPr>
        <w:t>88972255</w:t>
      </w:r>
    </w:p>
    <w:p>
      <w:pPr>
        <w:spacing w:line="360" w:lineRule="auto"/>
        <w:rPr>
          <w:rFonts w:ascii="宋体" w:hAnsi="宋体" w:cs="仿宋"/>
          <w:sz w:val="24"/>
        </w:rPr>
      </w:pPr>
      <w:r>
        <w:rPr>
          <w:rFonts w:hint="eastAsia" w:ascii="宋体" w:hAnsi="宋体" w:cs="仿宋"/>
          <w:sz w:val="24"/>
        </w:rPr>
        <w:t xml:space="preserve">   </w:t>
      </w:r>
      <w:r>
        <w:rPr>
          <w:rFonts w:hint="eastAsia" w:ascii="宋体" w:hAnsi="宋体" w:cs="仿宋"/>
          <w:b/>
          <w:sz w:val="24"/>
        </w:rPr>
        <w:t>3.</w:t>
      </w:r>
      <w:r>
        <w:rPr>
          <w:rFonts w:hint="eastAsia" w:ascii="宋体" w:hAnsi="宋体" w:cs="仿宋"/>
          <w:sz w:val="24"/>
        </w:rPr>
        <w:t xml:space="preserve">同级监督管理部门            </w:t>
      </w:r>
    </w:p>
    <w:p>
      <w:pPr>
        <w:spacing w:line="360" w:lineRule="auto"/>
        <w:rPr>
          <w:rFonts w:ascii="宋体" w:hAnsi="宋体" w:cs="仿宋"/>
          <w:sz w:val="24"/>
        </w:rPr>
      </w:pPr>
      <w:r>
        <w:rPr>
          <w:rFonts w:hint="eastAsia" w:ascii="宋体" w:hAnsi="宋体" w:cs="仿宋"/>
          <w:sz w:val="24"/>
        </w:rPr>
        <w:t xml:space="preserve">    名    称：宁波市奉化区财政局采购办</w:t>
      </w:r>
    </w:p>
    <w:p>
      <w:pPr>
        <w:spacing w:line="360" w:lineRule="auto"/>
        <w:rPr>
          <w:rFonts w:ascii="宋体" w:hAnsi="宋体" w:cs="仿宋"/>
          <w:sz w:val="24"/>
        </w:rPr>
      </w:pPr>
      <w:r>
        <w:rPr>
          <w:rFonts w:hint="eastAsia" w:ascii="宋体" w:hAnsi="宋体" w:cs="仿宋"/>
          <w:sz w:val="24"/>
        </w:rPr>
        <w:t xml:space="preserve">    地    址：宁波市奉化区大成东路275号1015办公室</w:t>
      </w:r>
    </w:p>
    <w:p>
      <w:pPr>
        <w:spacing w:line="360" w:lineRule="auto"/>
        <w:rPr>
          <w:rFonts w:ascii="宋体" w:hAnsi="宋体" w:cs="仿宋"/>
          <w:sz w:val="24"/>
        </w:rPr>
      </w:pPr>
      <w:r>
        <w:rPr>
          <w:rFonts w:hint="eastAsia" w:ascii="宋体" w:hAnsi="宋体" w:cs="仿宋"/>
          <w:sz w:val="24"/>
        </w:rPr>
        <w:t xml:space="preserve">  </w:t>
      </w:r>
      <w:r>
        <w:rPr>
          <w:rFonts w:ascii="宋体" w:hAnsi="宋体" w:cs="仿宋"/>
          <w:sz w:val="24"/>
        </w:rPr>
        <w:t xml:space="preserve">  </w:t>
      </w:r>
      <w:r>
        <w:rPr>
          <w:rFonts w:hint="eastAsia" w:ascii="宋体" w:hAnsi="宋体" w:cs="仿宋"/>
          <w:sz w:val="24"/>
        </w:rPr>
        <w:t>传    真：</w:t>
      </w:r>
      <w:r>
        <w:rPr>
          <w:rFonts w:ascii="宋体" w:hAnsi="宋体" w:cs="仿宋"/>
          <w:sz w:val="24"/>
        </w:rPr>
        <w:t>0574-89285326</w:t>
      </w:r>
    </w:p>
    <w:p>
      <w:pPr>
        <w:spacing w:line="360" w:lineRule="auto"/>
        <w:rPr>
          <w:rFonts w:ascii="宋体" w:hAnsi="宋体" w:cs="仿宋"/>
          <w:sz w:val="24"/>
        </w:rPr>
      </w:pPr>
      <w:r>
        <w:rPr>
          <w:rFonts w:hint="eastAsia" w:ascii="宋体" w:hAnsi="宋体" w:cs="仿宋"/>
          <w:sz w:val="24"/>
        </w:rPr>
        <w:t xml:space="preserve">    联 系 人 ：邓老师</w:t>
      </w:r>
    </w:p>
    <w:p>
      <w:pPr>
        <w:spacing w:line="360" w:lineRule="auto"/>
        <w:ind w:firstLine="480" w:firstLineChars="200"/>
        <w:rPr>
          <w:rFonts w:ascii="宋体" w:hAnsi="宋体" w:cs="仿宋"/>
          <w:sz w:val="24"/>
        </w:rPr>
      </w:pPr>
      <w:r>
        <w:rPr>
          <w:rFonts w:hint="eastAsia" w:ascii="宋体" w:hAnsi="宋体" w:cs="仿宋"/>
          <w:sz w:val="24"/>
        </w:rPr>
        <w:t>监督投诉电话：</w:t>
      </w:r>
      <w:r>
        <w:rPr>
          <w:rFonts w:ascii="宋体" w:hAnsi="宋体" w:cs="仿宋"/>
          <w:sz w:val="24"/>
        </w:rPr>
        <w:t xml:space="preserve">0574-89285326 </w:t>
      </w:r>
      <w:r>
        <w:rPr>
          <w:rFonts w:hint="eastAsia" w:ascii="宋体" w:hAnsi="宋体" w:cs="仿宋"/>
          <w:sz w:val="24"/>
        </w:rPr>
        <w:t xml:space="preserve">         </w:t>
      </w:r>
    </w:p>
    <w:p>
      <w:pPr>
        <w:spacing w:line="360" w:lineRule="auto"/>
        <w:ind w:firstLine="480" w:firstLineChars="200"/>
        <w:rPr>
          <w:rFonts w:ascii="宋体" w:hAnsi="宋体" w:cs="仿宋"/>
          <w:sz w:val="24"/>
        </w:rPr>
      </w:pPr>
      <w:r>
        <w:rPr>
          <w:rFonts w:hint="eastAsia" w:ascii="宋体" w:hAnsi="宋体"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仿宋"/>
          <w:sz w:val="24"/>
        </w:rPr>
      </w:pPr>
      <w:r>
        <w:rPr>
          <w:rFonts w:hint="eastAsia" w:ascii="宋体" w:hAnsi="宋体" w:cs="仿宋"/>
          <w:sz w:val="24"/>
        </w:rPr>
        <w:t>CA问题联系电话（人工）：汇信CA 400-888-4636；天谷CA 400-087-8198。</w:t>
      </w:r>
    </w:p>
    <w:p>
      <w:pPr>
        <w:pStyle w:val="2"/>
        <w:ind w:firstLine="560"/>
      </w:pPr>
    </w:p>
    <w:p>
      <w:pPr>
        <w:pStyle w:val="2"/>
        <w:ind w:firstLine="560"/>
      </w:pPr>
    </w:p>
    <w:p>
      <w:pPr>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投标须知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18"/>
        <w:tblW w:w="9072"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9"/>
        <w:gridCol w:w="1843"/>
        <w:gridCol w:w="652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8" w:hRule="atLeast"/>
          <w:tblHeader/>
        </w:trPr>
        <w:tc>
          <w:tcPr>
            <w:tcW w:w="709" w:type="dxa"/>
            <w:shd w:val="clear" w:color="auto" w:fill="FFFFFF"/>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shd w:val="clear" w:color="auto" w:fill="FFFFFF"/>
          </w:tcPr>
          <w:p>
            <w:pPr>
              <w:snapToGrid w:val="0"/>
              <w:spacing w:line="360" w:lineRule="auto"/>
              <w:jc w:val="center"/>
              <w:rPr>
                <w:rFonts w:ascii="宋体" w:hAnsi="宋体" w:cs="宋体"/>
                <w:b/>
                <w:sz w:val="24"/>
              </w:rPr>
            </w:pPr>
            <w:r>
              <w:rPr>
                <w:rFonts w:hint="eastAsia" w:ascii="宋体" w:hAnsi="宋体" w:cs="宋体"/>
                <w:b/>
                <w:sz w:val="24"/>
              </w:rPr>
              <w:t>事项</w:t>
            </w:r>
          </w:p>
        </w:tc>
        <w:tc>
          <w:tcPr>
            <w:tcW w:w="6520" w:type="dxa"/>
            <w:shd w:val="clear" w:color="auto" w:fill="FFFFFF"/>
          </w:tcPr>
          <w:p>
            <w:pPr>
              <w:pStyle w:val="2"/>
              <w:snapToGrid w:val="0"/>
              <w:ind w:firstLine="0" w:firstLineChars="0"/>
              <w:jc w:val="center"/>
              <w:rPr>
                <w:rFonts w:ascii="宋体" w:hAnsi="宋体" w:eastAsia="宋体" w:cs="宋体"/>
                <w:b/>
                <w:sz w:val="24"/>
              </w:rPr>
            </w:pPr>
            <w:r>
              <w:rPr>
                <w:rFonts w:hint="eastAsia" w:ascii="宋体" w:hAnsi="宋体" w:eastAsia="宋体" w:cs="宋体"/>
                <w:b/>
                <w:sz w:val="24"/>
              </w:rPr>
              <w:t>本项目的特别规定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709" w:type="dxa"/>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vAlign w:val="center"/>
          </w:tcPr>
          <w:p>
            <w:pPr>
              <w:snapToGrid w:val="0"/>
              <w:spacing w:line="360" w:lineRule="auto"/>
              <w:jc w:val="left"/>
              <w:rPr>
                <w:rFonts w:ascii="宋体" w:hAnsi="宋体" w:cs="宋体"/>
                <w:b/>
                <w:sz w:val="24"/>
              </w:rPr>
            </w:pPr>
            <w:r>
              <w:rPr>
                <w:rFonts w:hint="eastAsia" w:ascii="宋体" w:hAnsi="宋体" w:cs="宋体"/>
                <w:b/>
                <w:sz w:val="24"/>
              </w:rPr>
              <w:t>报价要求</w:t>
            </w:r>
          </w:p>
        </w:tc>
        <w:tc>
          <w:tcPr>
            <w:tcW w:w="6520" w:type="dxa"/>
            <w:vAlign w:val="center"/>
          </w:tcPr>
          <w:p>
            <w:pPr>
              <w:snapToGrid w:val="0"/>
              <w:spacing w:line="360" w:lineRule="auto"/>
              <w:jc w:val="left"/>
              <w:rPr>
                <w:rFonts w:hint="eastAsia" w:ascii="宋体" w:hAnsi="宋体" w:eastAsia="宋体" w:cs="宋体"/>
                <w:snapToGrid w:val="0"/>
                <w:color w:val="auto"/>
                <w:kern w:val="28"/>
                <w:sz w:val="24"/>
                <w:szCs w:val="20"/>
                <w:lang w:val="zh-CN" w:eastAsia="zh-CN" w:bidi="ar-SA"/>
              </w:rPr>
            </w:pPr>
            <w:r>
              <w:rPr>
                <w:rFonts w:hint="eastAsia" w:ascii="宋体" w:hAnsi="宋体" w:eastAsia="宋体" w:cs="宋体"/>
                <w:snapToGrid w:val="0"/>
                <w:color w:val="auto"/>
                <w:kern w:val="28"/>
                <w:sz w:val="24"/>
                <w:szCs w:val="20"/>
                <w:lang w:val="zh-CN" w:eastAsia="zh-CN" w:bidi="ar-SA"/>
              </w:rPr>
              <w:t>有关本项目实施所需的所有费用（含税费）均计入报价。</w:t>
            </w:r>
            <w:r>
              <w:rPr>
                <w:rFonts w:hint="eastAsia" w:ascii="宋体" w:hAnsi="宋体" w:eastAsia="宋体" w:cs="宋体"/>
                <w:snapToGrid w:val="0"/>
                <w:color w:val="auto"/>
                <w:kern w:val="28"/>
                <w:sz w:val="24"/>
                <w:szCs w:val="20"/>
                <w:lang w:val="en-US" w:eastAsia="zh-CN" w:bidi="ar-SA"/>
              </w:rPr>
              <w:t>开标一览表是报价的唯一载体</w:t>
            </w:r>
            <w:r>
              <w:rPr>
                <w:rFonts w:hint="eastAsia" w:ascii="宋体" w:hAnsi="宋体" w:eastAsia="宋体" w:cs="宋体"/>
                <w:snapToGrid w:val="0"/>
                <w:color w:val="auto"/>
                <w:kern w:val="28"/>
                <w:sz w:val="24"/>
                <w:szCs w:val="20"/>
                <w:lang w:val="zh-CN" w:eastAsia="zh-CN" w:bidi="ar-SA"/>
              </w:rPr>
              <w:t>。投标文件中价格全部采用人民币报价。招标文件未列明，而供应商认为必需的费用也需列入报价。</w:t>
            </w:r>
          </w:p>
          <w:p>
            <w:pPr>
              <w:snapToGrid w:val="0"/>
              <w:spacing w:line="360" w:lineRule="auto"/>
              <w:jc w:val="left"/>
              <w:rPr>
                <w:rFonts w:hint="eastAsia" w:ascii="宋体" w:hAnsi="宋体" w:eastAsia="宋体" w:cs="宋体"/>
                <w:snapToGrid w:val="0"/>
                <w:color w:val="auto"/>
                <w:kern w:val="28"/>
                <w:sz w:val="24"/>
                <w:szCs w:val="20"/>
                <w:lang w:val="zh-CN" w:eastAsia="zh-CN" w:bidi="ar-SA"/>
              </w:rPr>
            </w:pPr>
            <w:r>
              <w:rPr>
                <w:rFonts w:hint="eastAsia" w:ascii="宋体" w:hAnsi="宋体" w:eastAsia="宋体" w:cs="宋体"/>
                <w:snapToGrid w:val="0"/>
                <w:color w:val="auto"/>
                <w:kern w:val="28"/>
                <w:sz w:val="24"/>
                <w:szCs w:val="20"/>
                <w:lang w:val="zh-CN" w:eastAsia="zh-CN" w:bidi="ar-SA"/>
              </w:rPr>
              <w:t>投标报价出现下列情形的，投标无效：</w:t>
            </w:r>
          </w:p>
          <w:p>
            <w:pPr>
              <w:snapToGrid w:val="0"/>
              <w:spacing w:line="360" w:lineRule="auto"/>
              <w:ind w:firstLine="240" w:firstLineChars="100"/>
              <w:jc w:val="left"/>
              <w:rPr>
                <w:rFonts w:hint="eastAsia" w:ascii="宋体" w:hAnsi="宋体" w:eastAsia="宋体" w:cs="宋体"/>
                <w:snapToGrid w:val="0"/>
                <w:color w:val="auto"/>
                <w:kern w:val="28"/>
                <w:sz w:val="24"/>
                <w:szCs w:val="20"/>
                <w:lang w:val="zh-CN" w:eastAsia="zh-CN" w:bidi="ar-SA"/>
              </w:rPr>
            </w:pPr>
            <w:r>
              <w:rPr>
                <w:rFonts w:hint="eastAsia" w:ascii="宋体" w:hAnsi="宋体" w:eastAsia="宋体" w:cs="宋体"/>
                <w:snapToGrid w:val="0"/>
                <w:color w:val="auto"/>
                <w:kern w:val="28"/>
                <w:sz w:val="24"/>
                <w:szCs w:val="20"/>
                <w:lang w:val="zh-CN" w:eastAsia="zh-CN" w:bidi="ar-SA"/>
              </w:rPr>
              <w:t>投标文件出现不是唯一的、有选择性投标报价的；</w:t>
            </w:r>
          </w:p>
          <w:p>
            <w:pPr>
              <w:snapToGrid w:val="0"/>
              <w:spacing w:line="360" w:lineRule="auto"/>
              <w:ind w:firstLine="240" w:firstLineChars="100"/>
              <w:jc w:val="left"/>
              <w:rPr>
                <w:rFonts w:hint="eastAsia" w:ascii="宋体" w:hAnsi="宋体" w:eastAsia="宋体" w:cs="宋体"/>
                <w:snapToGrid w:val="0"/>
                <w:color w:val="auto"/>
                <w:kern w:val="28"/>
                <w:sz w:val="24"/>
                <w:szCs w:val="20"/>
                <w:lang w:val="zh-CN" w:eastAsia="zh-CN" w:bidi="ar-SA"/>
              </w:rPr>
            </w:pPr>
            <w:r>
              <w:rPr>
                <w:rFonts w:hint="eastAsia" w:ascii="宋体" w:hAnsi="宋体" w:eastAsia="宋体" w:cs="宋体"/>
                <w:snapToGrid w:val="0"/>
                <w:color w:val="auto"/>
                <w:kern w:val="28"/>
                <w:sz w:val="24"/>
                <w:szCs w:val="20"/>
                <w:lang w:val="zh-CN" w:eastAsia="zh-CN" w:bidi="ar-SA"/>
              </w:rPr>
              <w:t xml:space="preserve">投标报价超过招标文件中规定的预算金额或者最高限价（或综合单价最高限价）的； </w:t>
            </w:r>
          </w:p>
          <w:p>
            <w:pPr>
              <w:snapToGrid w:val="0"/>
              <w:spacing w:line="360" w:lineRule="auto"/>
              <w:ind w:firstLine="240" w:firstLineChars="100"/>
              <w:jc w:val="left"/>
              <w:rPr>
                <w:rFonts w:hint="eastAsia" w:ascii="宋体" w:hAnsi="宋体" w:eastAsia="宋体" w:cs="宋体"/>
                <w:snapToGrid w:val="0"/>
                <w:color w:val="auto"/>
                <w:kern w:val="28"/>
                <w:sz w:val="24"/>
                <w:szCs w:val="20"/>
                <w:lang w:val="zh-CN" w:eastAsia="zh-CN" w:bidi="ar-SA"/>
              </w:rPr>
            </w:pPr>
            <w:r>
              <w:rPr>
                <w:rFonts w:hint="eastAsia" w:ascii="宋体" w:hAnsi="宋体" w:eastAsia="宋体" w:cs="宋体"/>
                <w:snapToGrid w:val="0"/>
                <w:color w:val="auto"/>
                <w:kern w:val="28"/>
                <w:sz w:val="24"/>
                <w:szCs w:val="20"/>
                <w:lang w:val="zh-CN" w:eastAsia="zh-CN" w:bidi="ar-SA"/>
              </w:rPr>
              <w:t>报价明显低于其他通过符合性审查供应商的报价，有可能影响产品质量或者不能诚信履约的，未能按要求提供书面说明或者提交相关证明材料证明其报价合理性的；</w:t>
            </w:r>
          </w:p>
          <w:p>
            <w:pPr>
              <w:snapToGrid w:val="0"/>
              <w:spacing w:line="360" w:lineRule="auto"/>
              <w:ind w:firstLine="240" w:firstLineChars="100"/>
              <w:jc w:val="left"/>
              <w:rPr>
                <w:lang w:val="zh-CN"/>
              </w:rPr>
            </w:pPr>
            <w:r>
              <w:rPr>
                <w:rFonts w:hint="eastAsia" w:ascii="宋体" w:hAnsi="宋体" w:eastAsia="宋体" w:cs="宋体"/>
                <w:snapToGrid w:val="0"/>
                <w:color w:val="auto"/>
                <w:kern w:val="28"/>
                <w:sz w:val="24"/>
                <w:szCs w:val="20"/>
                <w:lang w:val="zh-CN" w:eastAsia="zh-CN" w:bidi="ar-SA"/>
              </w:rPr>
              <w:t>供应商对根据修正原则修正后的报价不确认的。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709" w:type="dxa"/>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vAlign w:val="center"/>
          </w:tcPr>
          <w:p>
            <w:pPr>
              <w:pStyle w:val="9"/>
              <w:spacing w:line="360" w:lineRule="auto"/>
              <w:jc w:val="left"/>
              <w:rPr>
                <w:rFonts w:hAnsi="宋体" w:cs="宋体"/>
                <w:b/>
                <w:sz w:val="24"/>
              </w:rPr>
            </w:pPr>
            <w:r>
              <w:rPr>
                <w:rFonts w:hint="eastAsia" w:hAnsi="宋体" w:cs="宋体"/>
                <w:b/>
                <w:kern w:val="28"/>
                <w:sz w:val="24"/>
                <w:szCs w:val="24"/>
              </w:rPr>
              <w:t>投标保证金</w:t>
            </w:r>
          </w:p>
        </w:tc>
        <w:tc>
          <w:tcPr>
            <w:tcW w:w="6520" w:type="dxa"/>
            <w:vAlign w:val="center"/>
          </w:tcPr>
          <w:p>
            <w:pPr>
              <w:pStyle w:val="5"/>
              <w:spacing w:line="360" w:lineRule="auto"/>
              <w:ind w:firstLine="0"/>
              <w:jc w:val="left"/>
              <w:rPr>
                <w:rFonts w:hAnsi="宋体" w:cs="宋体"/>
                <w:b/>
                <w:color w:val="auto"/>
                <w:kern w:val="0"/>
                <w:sz w:val="24"/>
              </w:rPr>
            </w:pPr>
            <w:r>
              <w:rPr>
                <w:rFonts w:hint="eastAsia" w:hAnsi="宋体" w:cs="宋体"/>
                <w:color w:val="auto"/>
                <w:sz w:val="24"/>
              </w:rPr>
              <w:t>投标保证金：</w:t>
            </w:r>
            <w:r>
              <w:rPr>
                <w:rFonts w:hint="eastAsia" w:hAnsi="宋体" w:cs="宋体"/>
                <w:snapToGrid/>
                <w:color w:val="auto"/>
                <w:kern w:val="2"/>
                <w:sz w:val="24"/>
                <w:szCs w:val="24"/>
              </w:rPr>
              <w:t>不适用</w:t>
            </w:r>
            <w:r>
              <w:rPr>
                <w:rFonts w:hint="eastAsia" w:hAnsi="宋体" w:cs="宋体"/>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vAlign w:val="center"/>
          </w:tcPr>
          <w:p>
            <w:pPr>
              <w:snapToGrid w:val="0"/>
              <w:spacing w:line="360" w:lineRule="auto"/>
              <w:ind w:firstLine="482" w:firstLineChars="200"/>
              <w:jc w:val="left"/>
              <w:rPr>
                <w:rFonts w:ascii="宋体" w:hAnsi="宋体" w:cs="宋体"/>
                <w:b/>
                <w:sz w:val="24"/>
              </w:rPr>
            </w:pPr>
            <w:r>
              <w:rPr>
                <w:rFonts w:hint="eastAsia" w:ascii="宋体" w:hAnsi="宋体" w:cs="宋体"/>
                <w:b/>
                <w:sz w:val="24"/>
              </w:rPr>
              <w:t>分包</w:t>
            </w:r>
          </w:p>
        </w:tc>
        <w:tc>
          <w:tcPr>
            <w:tcW w:w="6520" w:type="dxa"/>
            <w:vAlign w:val="center"/>
          </w:tcPr>
          <w:p>
            <w:pPr>
              <w:spacing w:line="360" w:lineRule="auto"/>
              <w:rPr>
                <w:rFonts w:ascii="宋体" w:hAnsi="宋体" w:cs="宋体"/>
                <w:sz w:val="24"/>
              </w:rPr>
            </w:pPr>
            <w:r>
              <w:rPr>
                <w:rFonts w:hint="eastAsia" w:ascii="宋体" w:hAnsi="宋体" w:cs="宋体"/>
                <w:sz w:val="24"/>
              </w:rPr>
              <w:t>不同意分包。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vAlign w:val="center"/>
          </w:tcPr>
          <w:p>
            <w:pPr>
              <w:snapToGrid w:val="0"/>
              <w:spacing w:line="360" w:lineRule="auto"/>
              <w:jc w:val="left"/>
              <w:rPr>
                <w:rFonts w:ascii="宋体" w:hAnsi="宋体" w:cs="宋体"/>
                <w:b/>
                <w:sz w:val="24"/>
              </w:rPr>
            </w:pPr>
            <w:r>
              <w:rPr>
                <w:rFonts w:hint="eastAsia" w:ascii="宋体" w:hAnsi="宋体" w:cs="宋体"/>
                <w:b/>
                <w:sz w:val="24"/>
              </w:rPr>
              <w:t>供应商应当提供的资格文件</w:t>
            </w:r>
          </w:p>
        </w:tc>
        <w:tc>
          <w:tcPr>
            <w:tcW w:w="6520" w:type="dxa"/>
            <w:vAlign w:val="center"/>
          </w:tcPr>
          <w:p>
            <w:pPr>
              <w:spacing w:line="360" w:lineRule="auto"/>
              <w:rPr>
                <w:rFonts w:ascii="宋体" w:hAnsi="宋体" w:cs="宋体"/>
                <w:sz w:val="24"/>
              </w:rPr>
            </w:pPr>
            <w:r>
              <w:rPr>
                <w:rFonts w:hint="eastAsia" w:ascii="宋体" w:hAnsi="宋体" w:cs="宋体"/>
                <w:sz w:val="24"/>
              </w:rPr>
              <w:t>资格证明文件：见招标文件第二部分9.1。</w:t>
            </w:r>
          </w:p>
          <w:p>
            <w:pPr>
              <w:spacing w:line="360" w:lineRule="auto"/>
              <w:rPr>
                <w:rFonts w:ascii="宋体" w:hAnsi="宋体" w:cs="宋体"/>
                <w:kern w:val="0"/>
                <w:sz w:val="24"/>
              </w:rPr>
            </w:pPr>
            <w:r>
              <w:rPr>
                <w:rFonts w:hint="eastAsia" w:ascii="宋体" w:hAnsi="宋体" w:cs="宋体"/>
                <w:sz w:val="24"/>
              </w:rPr>
              <w:t>资格证明文件不全的或者不符合招标文件标明的资格要求的，视为供应商不具备招标文件中规定的资格要求，投标无效。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vAlign w:val="center"/>
          </w:tcPr>
          <w:p>
            <w:pPr>
              <w:snapToGrid w:val="0"/>
              <w:spacing w:line="360" w:lineRule="auto"/>
              <w:jc w:val="left"/>
              <w:rPr>
                <w:rFonts w:ascii="宋体" w:hAnsi="宋体" w:cs="宋体"/>
                <w:b/>
                <w:sz w:val="24"/>
              </w:rPr>
            </w:pPr>
            <w:r>
              <w:rPr>
                <w:rFonts w:hint="eastAsia" w:ascii="宋体" w:hAnsi="宋体" w:cs="宋体"/>
                <w:b/>
                <w:sz w:val="24"/>
              </w:rPr>
              <w:t>开标前答疑会或现场考察</w:t>
            </w:r>
          </w:p>
        </w:tc>
        <w:tc>
          <w:tcPr>
            <w:tcW w:w="6520" w:type="dxa"/>
            <w:vAlign w:val="center"/>
          </w:tcPr>
          <w:p>
            <w:pPr>
              <w:spacing w:line="360" w:lineRule="auto"/>
              <w:rPr>
                <w:rFonts w:ascii="宋体" w:hAnsi="宋体" w:cs="宋体"/>
                <w:sz w:val="24"/>
              </w:rPr>
            </w:pPr>
            <w:r>
              <w:rPr>
                <w:rFonts w:hint="eastAsia" w:ascii="宋体" w:hAnsi="宋体" w:cs="宋体"/>
                <w:sz w:val="24"/>
              </w:rPr>
              <w:t>不组织。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vAlign w:val="center"/>
          </w:tcPr>
          <w:p>
            <w:pPr>
              <w:snapToGrid w:val="0"/>
              <w:spacing w:line="360" w:lineRule="auto"/>
              <w:jc w:val="left"/>
              <w:rPr>
                <w:rFonts w:ascii="宋体" w:hAnsi="宋体" w:cs="宋体"/>
                <w:b/>
                <w:sz w:val="24"/>
              </w:rPr>
            </w:pPr>
            <w:r>
              <w:rPr>
                <w:rFonts w:hint="eastAsia" w:ascii="宋体" w:hAnsi="宋体" w:cs="宋体"/>
                <w:b/>
                <w:sz w:val="24"/>
              </w:rPr>
              <w:t>样品提供</w:t>
            </w:r>
          </w:p>
        </w:tc>
        <w:tc>
          <w:tcPr>
            <w:tcW w:w="6520" w:type="dxa"/>
            <w:vAlign w:val="center"/>
          </w:tcPr>
          <w:p>
            <w:pPr>
              <w:spacing w:line="360" w:lineRule="auto"/>
              <w:rPr>
                <w:rFonts w:ascii="宋体" w:hAnsi="宋体" w:cs="宋体"/>
                <w:sz w:val="24"/>
              </w:rPr>
            </w:pPr>
            <w:r>
              <w:rPr>
                <w:rFonts w:hint="eastAsia" w:ascii="宋体" w:hAnsi="宋体" w:cs="宋体"/>
                <w:sz w:val="24"/>
              </w:rPr>
              <w:t>不要求提供。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vAlign w:val="center"/>
          </w:tcPr>
          <w:p>
            <w:pPr>
              <w:snapToGrid w:val="0"/>
              <w:spacing w:line="360" w:lineRule="auto"/>
              <w:jc w:val="left"/>
              <w:rPr>
                <w:rFonts w:ascii="宋体" w:hAnsi="宋体" w:cs="宋体"/>
                <w:bCs/>
                <w:sz w:val="24"/>
              </w:rPr>
            </w:pPr>
            <w:r>
              <w:rPr>
                <w:rFonts w:hint="eastAsia" w:ascii="宋体" w:hAnsi="宋体" w:cs="宋体"/>
                <w:b/>
                <w:sz w:val="24"/>
              </w:rPr>
              <w:t>方案讲解演示</w:t>
            </w:r>
          </w:p>
        </w:tc>
        <w:tc>
          <w:tcPr>
            <w:tcW w:w="6520" w:type="dxa"/>
            <w:vAlign w:val="center"/>
          </w:tcPr>
          <w:p>
            <w:pPr>
              <w:spacing w:line="360" w:lineRule="auto"/>
              <w:rPr>
                <w:rFonts w:ascii="宋体" w:hAnsi="宋体" w:cs="宋体"/>
                <w:sz w:val="24"/>
              </w:rPr>
            </w:pPr>
            <w:r>
              <w:rPr>
                <w:rFonts w:hint="eastAsia" w:ascii="宋体" w:hAnsi="宋体" w:cs="宋体"/>
                <w:sz w:val="24"/>
              </w:rPr>
              <w:t>不组织。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Align w:val="center"/>
          </w:tcPr>
          <w:p>
            <w:pPr>
              <w:snapToGrid w:val="0"/>
              <w:spacing w:line="360" w:lineRule="auto"/>
              <w:jc w:val="left"/>
              <w:rPr>
                <w:rFonts w:ascii="宋体" w:hAnsi="宋体" w:cs="宋体"/>
                <w:b/>
                <w:sz w:val="24"/>
              </w:rPr>
            </w:pPr>
            <w:r>
              <w:rPr>
                <w:rFonts w:hint="eastAsia" w:ascii="宋体" w:hAnsi="宋体" w:cs="宋体"/>
                <w:b/>
                <w:sz w:val="24"/>
              </w:rPr>
              <w:t>是否允许采购进口产品</w:t>
            </w:r>
          </w:p>
        </w:tc>
        <w:tc>
          <w:tcPr>
            <w:tcW w:w="6520" w:type="dxa"/>
            <w:vAlign w:val="center"/>
          </w:tcPr>
          <w:p>
            <w:pPr>
              <w:spacing w:line="360" w:lineRule="auto"/>
              <w:rPr>
                <w:rFonts w:ascii="宋体" w:hAnsi="宋体" w:cs="宋体"/>
                <w:kern w:val="0"/>
                <w:sz w:val="24"/>
              </w:rPr>
            </w:pPr>
            <w:r>
              <w:rPr>
                <w:rFonts w:hint="eastAsia" w:ascii="宋体" w:hAnsi="宋体" w:cs="宋体"/>
                <w:kern w:val="0"/>
                <w:sz w:val="24"/>
              </w:rPr>
              <w:t>本项目不允许采购进口产品。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vAlign w:val="center"/>
          </w:tcPr>
          <w:p>
            <w:pPr>
              <w:snapToGrid w:val="0"/>
              <w:spacing w:line="360" w:lineRule="auto"/>
              <w:jc w:val="left"/>
              <w:rPr>
                <w:rFonts w:ascii="宋体" w:hAnsi="宋体" w:cs="宋体"/>
                <w:b/>
                <w:sz w:val="24"/>
              </w:rPr>
            </w:pPr>
            <w:r>
              <w:rPr>
                <w:rFonts w:hint="eastAsia" w:ascii="宋体" w:hAnsi="宋体" w:cs="宋体"/>
                <w:b/>
                <w:sz w:val="24"/>
              </w:rPr>
              <w:t>项目属性与核心产品</w:t>
            </w:r>
          </w:p>
        </w:tc>
        <w:tc>
          <w:tcPr>
            <w:tcW w:w="6520" w:type="dxa"/>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vAlign w:val="center"/>
          </w:tcPr>
          <w:p>
            <w:pPr>
              <w:snapToGrid w:val="0"/>
              <w:spacing w:line="360" w:lineRule="auto"/>
              <w:jc w:val="left"/>
              <w:rPr>
                <w:rFonts w:ascii="宋体" w:hAnsi="宋体" w:cs="宋体"/>
                <w:b/>
                <w:sz w:val="24"/>
              </w:rPr>
            </w:pPr>
            <w:r>
              <w:rPr>
                <w:rFonts w:hint="eastAsia" w:ascii="宋体" w:hAnsi="宋体" w:cs="宋体"/>
                <w:b/>
                <w:sz w:val="24"/>
              </w:rPr>
              <w:t>采购标的对应的中小企业划分标准所属行业</w:t>
            </w:r>
          </w:p>
        </w:tc>
        <w:tc>
          <w:tcPr>
            <w:tcW w:w="6520" w:type="dxa"/>
            <w:vAlign w:val="center"/>
          </w:tcPr>
          <w:p>
            <w:pPr>
              <w:snapToGrid w:val="0"/>
              <w:spacing w:line="360" w:lineRule="auto"/>
              <w:rPr>
                <w:rFonts w:ascii="宋体" w:hAnsi="宋体" w:cs="宋体"/>
              </w:rPr>
            </w:pPr>
            <w:r>
              <w:rPr>
                <w:rFonts w:hint="eastAsia" w:ascii="宋体" w:hAnsi="宋体" w:cs="宋体"/>
                <w:kern w:val="0"/>
                <w:sz w:val="24"/>
              </w:rPr>
              <w:t>标的：</w:t>
            </w:r>
            <w:r>
              <w:rPr>
                <w:rFonts w:hint="eastAsia" w:ascii="宋体" w:hAnsi="宋体" w:cs="宋体"/>
                <w:sz w:val="24"/>
              </w:rPr>
              <w:t>管道修复</w:t>
            </w:r>
            <w:r>
              <w:rPr>
                <w:rFonts w:hint="eastAsia" w:ascii="宋体" w:hAnsi="宋体" w:cs="宋体"/>
                <w:kern w:val="0"/>
                <w:sz w:val="24"/>
              </w:rPr>
              <w:t>，属于</w:t>
            </w:r>
            <w:r>
              <w:rPr>
                <w:rFonts w:hint="eastAsia" w:ascii="宋体" w:hAnsi="宋体" w:cs="宋体"/>
                <w:kern w:val="0"/>
                <w:sz w:val="24"/>
                <w:u w:val="single"/>
              </w:rPr>
              <w:t xml:space="preserve"> 建筑</w:t>
            </w:r>
            <w:r>
              <w:rPr>
                <w:rFonts w:hint="eastAsia" w:ascii="宋体" w:hAnsi="宋体" w:cs="宋体"/>
                <w:kern w:val="0"/>
                <w:sz w:val="24"/>
              </w:rPr>
              <w:t>行业；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vAlign w:val="center"/>
          </w:tcPr>
          <w:p>
            <w:pPr>
              <w:snapToGrid w:val="0"/>
              <w:spacing w:line="360" w:lineRule="auto"/>
              <w:jc w:val="left"/>
              <w:rPr>
                <w:rFonts w:ascii="宋体" w:hAnsi="宋体" w:cs="宋体"/>
                <w:b/>
                <w:sz w:val="24"/>
              </w:rPr>
            </w:pPr>
            <w:r>
              <w:rPr>
                <w:rFonts w:hint="eastAsia" w:ascii="宋体" w:hAnsi="宋体" w:cs="宋体"/>
                <w:b/>
                <w:sz w:val="24"/>
              </w:rPr>
              <w:t>中小企业信用融资</w:t>
            </w:r>
          </w:p>
        </w:tc>
        <w:tc>
          <w:tcPr>
            <w:tcW w:w="6520" w:type="dxa"/>
            <w:vAlign w:val="center"/>
          </w:tcPr>
          <w:p>
            <w:pPr>
              <w:spacing w:line="360"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vAlign w:val="center"/>
          </w:tcPr>
          <w:p>
            <w:pPr>
              <w:snapToGrid w:val="0"/>
              <w:spacing w:line="360" w:lineRule="auto"/>
              <w:jc w:val="left"/>
              <w:rPr>
                <w:rFonts w:ascii="宋体" w:hAnsi="宋体" w:cs="宋体"/>
                <w:b/>
                <w:sz w:val="24"/>
              </w:rPr>
            </w:pPr>
            <w:r>
              <w:rPr>
                <w:rFonts w:hint="eastAsia" w:ascii="宋体" w:hAnsi="宋体" w:cs="宋体"/>
                <w:b/>
                <w:sz w:val="24"/>
              </w:rPr>
              <w:t>中标服务费</w:t>
            </w:r>
          </w:p>
        </w:tc>
        <w:tc>
          <w:tcPr>
            <w:tcW w:w="6520" w:type="dxa"/>
            <w:vAlign w:val="center"/>
          </w:tcPr>
          <w:p>
            <w:pPr>
              <w:pStyle w:val="7"/>
              <w:rPr>
                <w:rFonts w:hAnsi="宋体" w:cs="宋体"/>
                <w:kern w:val="28"/>
              </w:rPr>
            </w:pPr>
            <w:r>
              <w:rPr>
                <w:rFonts w:hint="eastAsia" w:hAnsi="宋体" w:cs="宋体"/>
                <w:kern w:val="28"/>
                <w:szCs w:val="24"/>
                <w:lang w:val="en-US"/>
              </w:rPr>
              <w:t>中标人向采购代理机构支付中标服务费</w:t>
            </w:r>
            <w:r>
              <w:rPr>
                <w:rFonts w:hint="eastAsia" w:hAnsi="宋体" w:cs="宋体"/>
                <w:kern w:val="28"/>
                <w:szCs w:val="24"/>
                <w:u w:val="single"/>
                <w:lang w:val="en-US"/>
              </w:rPr>
              <w:t>170000</w:t>
            </w:r>
            <w:r>
              <w:rPr>
                <w:rFonts w:hint="eastAsia" w:hAnsi="宋体" w:cs="宋体"/>
                <w:kern w:val="28"/>
                <w:szCs w:val="24"/>
                <w:lang w:val="en-US"/>
              </w:rPr>
              <w:t>元，其中标项一47000元，标项二42000元，标项三37000元，标项四44000元；</w:t>
            </w:r>
            <w:r>
              <w:rPr>
                <w:rFonts w:hint="eastAsia" w:hAnsi="宋体" w:cs="宋体"/>
                <w:snapToGrid/>
                <w:kern w:val="28"/>
              </w:rPr>
              <w:t>中标人应在本公司发出中标通知书5个工作日内向本招标公司支付招标服务费；招标服务费只收现金、银行票汇款、电汇款。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Align w:val="center"/>
          </w:tcPr>
          <w:p>
            <w:pPr>
              <w:snapToGrid w:val="0"/>
              <w:spacing w:line="360" w:lineRule="auto"/>
              <w:jc w:val="left"/>
              <w:rPr>
                <w:rFonts w:ascii="宋体" w:hAnsi="宋体" w:cs="宋体"/>
                <w:b/>
                <w:sz w:val="24"/>
              </w:rPr>
            </w:pPr>
            <w:r>
              <w:rPr>
                <w:rFonts w:hint="eastAsia" w:ascii="宋体" w:hAnsi="宋体" w:cs="宋体"/>
                <w:b/>
                <w:sz w:val="24"/>
              </w:rPr>
              <w:t>特别说明</w:t>
            </w:r>
          </w:p>
        </w:tc>
        <w:tc>
          <w:tcPr>
            <w:tcW w:w="6520"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公益一类事业单位不属于政府购买服务的承接主体，不得参与承接政府购买服务。</w:t>
            </w:r>
          </w:p>
        </w:tc>
      </w:tr>
    </w:tbl>
    <w:p>
      <w:pPr>
        <w:pStyle w:val="2"/>
        <w:ind w:firstLine="560"/>
      </w:pPr>
    </w:p>
    <w:bookmarkEnd w:id="10"/>
    <w:p>
      <w:pPr>
        <w:spacing w:line="360" w:lineRule="auto"/>
        <w:ind w:firstLine="3845" w:firstLineChars="1197"/>
        <w:outlineLvl w:val="0"/>
        <w:rPr>
          <w:rFonts w:ascii="宋体" w:hAnsi="宋体" w:cs="宋体"/>
          <w:b/>
          <w:sz w:val="32"/>
          <w:szCs w:val="20"/>
        </w:rPr>
        <w:sectPr>
          <w:footerReference r:id="rId5" w:type="first"/>
          <w:headerReference r:id="rId3" w:type="default"/>
          <w:footerReference r:id="rId4" w:type="default"/>
          <w:pgSz w:w="11906" w:h="16838"/>
          <w:pgMar w:top="1276" w:right="1418" w:bottom="1247" w:left="1418" w:header="851" w:footer="992" w:gutter="0"/>
          <w:pgNumType w:start="1"/>
          <w:cols w:space="720" w:num="1"/>
          <w:docGrid w:linePitch="312" w:charSpace="0"/>
        </w:sectPr>
      </w:pPr>
      <w:bookmarkStart w:id="41" w:name="第三部分"/>
      <w:bookmarkStart w:id="42" w:name="_Toc164416483"/>
    </w:p>
    <w:p>
      <w:pPr>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w:t>
      </w:r>
      <w:r>
        <w:rPr>
          <w:rFonts w:hint="eastAsia" w:ascii="宋体" w:hAnsi="宋体" w:cs="宋体"/>
          <w:kern w:val="0"/>
          <w:sz w:val="24"/>
          <w:lang w:val="zh-CN"/>
        </w:rPr>
        <w:t>供应商</w:t>
      </w:r>
      <w:r>
        <w:rPr>
          <w:rFonts w:hint="eastAsia" w:ascii="宋体" w:hAnsi="宋体" w:cs="宋体"/>
          <w:sz w:val="24"/>
        </w:rPr>
        <w:t>”系指是指响应招标、参加投标竞争的法人、其他组织或者自然人。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hint="eastAsia" w:ascii="宋体" w:hAnsi="宋体" w:cs="宋体"/>
          <w:kern w:val="0"/>
          <w:sz w:val="24"/>
        </w:rPr>
        <w:sym w:font="Wingdings" w:char="00FE"/>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采购项目需要落实的政府采购政策</w:t>
      </w:r>
    </w:p>
    <w:p>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kern w:val="0"/>
          <w:sz w:val="24"/>
          <w:lang w:val="zh-CN"/>
        </w:rPr>
        <w:t>供应商</w:t>
      </w:r>
      <w:r>
        <w:rPr>
          <w:rFonts w:hint="eastAsia" w:ascii="宋体" w:hAnsi="宋体" w:cs="宋体"/>
          <w:sz w:val="24"/>
        </w:rPr>
        <w:t>须按招标文件要求提供相关产品认证证书。</w:t>
      </w:r>
    </w:p>
    <w:p>
      <w:pPr>
        <w:spacing w:line="360" w:lineRule="auto"/>
        <w:ind w:firstLine="480" w:firstLineChars="2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w:t>
      </w:r>
      <w:r>
        <w:rPr>
          <w:rFonts w:hint="eastAsia" w:ascii="宋体" w:hAnsi="宋体" w:cs="宋体"/>
          <w:kern w:val="0"/>
          <w:sz w:val="24"/>
          <w:lang w:val="zh-CN"/>
        </w:rPr>
        <w:t>供应商</w:t>
      </w:r>
      <w:r>
        <w:rPr>
          <w:rFonts w:hint="eastAsia" w:ascii="宋体" w:hAnsi="宋体" w:cs="宋体"/>
          <w:kern w:val="0"/>
          <w:sz w:val="24"/>
        </w:rPr>
        <w:t>提供的货物、工程或者服务符合下列情形的，享受中小企业扶持政策：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3.3.2.2在工程采购项目中，工程由中小企业承建，即工程施工单位为中小企业；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在货物采购项目中，</w:t>
      </w:r>
      <w:r>
        <w:rPr>
          <w:rFonts w:hint="eastAsia" w:ascii="宋体" w:hAnsi="宋体" w:cs="宋体"/>
          <w:kern w:val="0"/>
          <w:sz w:val="24"/>
          <w:lang w:val="zh-CN"/>
        </w:rPr>
        <w:t>供应商</w:t>
      </w:r>
      <w:r>
        <w:rPr>
          <w:rFonts w:hint="eastAsia" w:ascii="宋体" w:hAnsi="宋体" w:cs="宋体"/>
          <w:kern w:val="0"/>
          <w:sz w:val="24"/>
        </w:rPr>
        <w:t>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w:t>
      </w:r>
      <w:r>
        <w:rPr>
          <w:rFonts w:hint="eastAsia" w:ascii="宋体" w:hAnsi="宋体" w:cs="宋体"/>
          <w:kern w:val="0"/>
          <w:sz w:val="24"/>
          <w:lang w:val="zh-CN"/>
        </w:rPr>
        <w:t>供应商</w:t>
      </w:r>
      <w:r>
        <w:rPr>
          <w:rFonts w:hint="eastAsia" w:ascii="宋体" w:hAnsi="宋体" w:cs="宋体"/>
          <w:sz w:val="24"/>
        </w:rPr>
        <w:t>应按照招标文件格式要求提供《中小企业声明函》，</w:t>
      </w:r>
      <w:r>
        <w:rPr>
          <w:rFonts w:hint="eastAsia" w:ascii="宋体" w:hAnsi="宋体" w:cs="宋体"/>
          <w:kern w:val="0"/>
          <w:sz w:val="24"/>
          <w:lang w:val="zh-CN"/>
        </w:rPr>
        <w:t>供应商</w:t>
      </w:r>
      <w:r>
        <w:rPr>
          <w:rFonts w:hint="eastAsia" w:ascii="宋体" w:hAnsi="宋体" w:cs="宋体"/>
          <w:sz w:val="24"/>
        </w:rPr>
        <w:t>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3.4支持创新发展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宋体" w:hAnsi="宋体" w:cs="宋体"/>
          <w:sz w:val="24"/>
        </w:rPr>
      </w:pPr>
      <w:r>
        <w:rPr>
          <w:rFonts w:hint="eastAsia" w:ascii="宋体" w:hAnsi="宋体" w:cs="宋体"/>
          <w:sz w:val="24"/>
        </w:rPr>
        <w:t>3.4.3根据《关于促进自主创新进一步改进招标采购工作的意见》(甬资交管办〔2019〕 1号)规定，若投标产品列入地级市及以上政府部门重点自主创新产品目录的，相应的资格审查和业绩评分视同完全满足（以投标文件中提供地级市及以上政府部门重点自主创新产品目录证明材料为准）。</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特别说明</w:t>
      </w:r>
    </w:p>
    <w:p>
      <w:pPr>
        <w:spacing w:line="360" w:lineRule="auto"/>
        <w:ind w:firstLine="480" w:firstLineChars="200"/>
        <w:rPr>
          <w:rFonts w:ascii="宋体" w:hAnsi="宋体" w:cs="宋体"/>
          <w:sz w:val="24"/>
        </w:rPr>
      </w:pPr>
      <w:r>
        <w:rPr>
          <w:rFonts w:hint="eastAsia" w:ascii="宋体" w:hAnsi="宋体" w:cs="宋体"/>
          <w:sz w:val="24"/>
        </w:rPr>
        <w:t>4.1关于分公司投标</w:t>
      </w:r>
    </w:p>
    <w:p>
      <w:pPr>
        <w:spacing w:line="360" w:lineRule="auto"/>
        <w:ind w:firstLine="480" w:firstLineChars="200"/>
        <w:rPr>
          <w:rFonts w:ascii="宋体" w:hAnsi="宋体" w:cs="宋体"/>
          <w:sz w:val="24"/>
        </w:rPr>
      </w:pPr>
      <w:r>
        <w:rPr>
          <w:rFonts w:hint="eastAsia" w:ascii="宋体" w:hAnsi="宋体" w:cs="宋体"/>
          <w:sz w:val="24"/>
        </w:rPr>
        <w:t xml:space="preserve">除银行、保险、石油石化、电力、电信等特殊行业外。法人的分支机构由于不能独立承担民事责任，不能以分支机构的身份参加政府采购，只能以法人身份参加。 </w:t>
      </w:r>
    </w:p>
    <w:p>
      <w:pPr>
        <w:spacing w:line="360" w:lineRule="auto"/>
        <w:ind w:firstLine="480" w:firstLineChars="200"/>
        <w:rPr>
          <w:rFonts w:ascii="宋体" w:hAnsi="宋体" w:cs="宋体"/>
          <w:sz w:val="24"/>
        </w:rPr>
      </w:pPr>
      <w:r>
        <w:rPr>
          <w:rFonts w:hint="eastAsia" w:ascii="宋体" w:hAnsi="宋体" w:cs="宋体"/>
          <w:sz w:val="24"/>
        </w:rPr>
        <w:t>4.2关于知识产权</w:t>
      </w:r>
    </w:p>
    <w:p>
      <w:pPr>
        <w:spacing w:line="360" w:lineRule="auto"/>
        <w:ind w:firstLine="480" w:firstLineChars="200"/>
        <w:rPr>
          <w:rFonts w:ascii="宋体" w:hAnsi="宋体" w:cs="宋体"/>
          <w:sz w:val="24"/>
        </w:rPr>
      </w:pPr>
      <w:r>
        <w:rPr>
          <w:rFonts w:hint="eastAsia" w:ascii="宋体" w:hAnsi="宋体" w:cs="宋体"/>
          <w:sz w:val="24"/>
        </w:rPr>
        <w:t xml:space="preserve">4.2.1 </w:t>
      </w:r>
      <w:r>
        <w:rPr>
          <w:rFonts w:hint="eastAsia" w:ascii="宋体" w:hAnsi="宋体" w:cs="宋体"/>
          <w:kern w:val="0"/>
          <w:sz w:val="24"/>
          <w:lang w:val="zh-CN"/>
        </w:rPr>
        <w:t>供应商</w:t>
      </w:r>
      <w:r>
        <w:rPr>
          <w:rFonts w:hint="eastAsia" w:ascii="宋体" w:hAnsi="宋体" w:cs="宋体"/>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ascii="宋体" w:hAnsi="宋体" w:cs="宋体"/>
          <w:kern w:val="0"/>
          <w:sz w:val="24"/>
          <w:lang w:val="zh-CN"/>
        </w:rPr>
        <w:t>供应商</w:t>
      </w:r>
      <w:r>
        <w:rPr>
          <w:rFonts w:hint="eastAsia" w:ascii="宋体" w:hAnsi="宋体" w:cs="宋体"/>
          <w:sz w:val="24"/>
        </w:rPr>
        <w:t>承担。</w:t>
      </w:r>
    </w:p>
    <w:p>
      <w:pPr>
        <w:spacing w:line="360" w:lineRule="auto"/>
        <w:ind w:firstLine="480" w:firstLineChars="200"/>
        <w:rPr>
          <w:rFonts w:ascii="宋体" w:hAnsi="宋体" w:cs="宋体"/>
          <w:sz w:val="24"/>
        </w:rPr>
      </w:pPr>
      <w:r>
        <w:rPr>
          <w:rFonts w:hint="eastAsia" w:ascii="宋体" w:hAnsi="宋体" w:cs="宋体"/>
          <w:sz w:val="24"/>
        </w:rPr>
        <w:t>4.2.2 投标报价应包含所有应向所有权人支付的专利权、商标权或其它知识产权的一切相关费用。</w:t>
      </w:r>
    </w:p>
    <w:p>
      <w:pPr>
        <w:spacing w:line="360" w:lineRule="auto"/>
        <w:ind w:firstLine="480" w:firstLineChars="200"/>
        <w:rPr>
          <w:rFonts w:ascii="宋体" w:hAnsi="宋体" w:cs="宋体"/>
          <w:sz w:val="24"/>
        </w:rPr>
      </w:pPr>
      <w:r>
        <w:rPr>
          <w:rFonts w:hint="eastAsia" w:ascii="宋体" w:hAnsi="宋体" w:cs="宋体"/>
          <w:sz w:val="24"/>
        </w:rPr>
        <w:t>4.2.3 系统软件、通用软件必须是具有在中国境内的合法使用权或版权的正版软件，涉及到第三方提出侵权或知识产权的起诉及支付版税等费用由</w:t>
      </w:r>
      <w:r>
        <w:rPr>
          <w:rFonts w:hint="eastAsia" w:ascii="宋体" w:hAnsi="宋体" w:cs="宋体"/>
          <w:kern w:val="0"/>
          <w:sz w:val="24"/>
          <w:lang w:val="zh-CN"/>
        </w:rPr>
        <w:t>供应商</w:t>
      </w:r>
      <w:r>
        <w:rPr>
          <w:rFonts w:hint="eastAsia" w:ascii="宋体" w:hAnsi="宋体" w:cs="宋体"/>
          <w:sz w:val="24"/>
        </w:rPr>
        <w:t>承担所有责任及费用。</w:t>
      </w:r>
    </w:p>
    <w:p>
      <w:pPr>
        <w:spacing w:line="360" w:lineRule="auto"/>
        <w:ind w:firstLine="480" w:firstLineChars="200"/>
        <w:rPr>
          <w:rFonts w:ascii="宋体" w:hAnsi="宋体" w:cs="宋体"/>
          <w:sz w:val="24"/>
        </w:rPr>
      </w:pPr>
      <w:r>
        <w:rPr>
          <w:rFonts w:hint="eastAsia" w:ascii="宋体" w:hAnsi="宋体" w:cs="宋体"/>
          <w:sz w:val="24"/>
        </w:rPr>
        <w:t>4.3</w:t>
      </w:r>
      <w:r>
        <w:rPr>
          <w:rFonts w:hint="eastAsia" w:ascii="宋体" w:hAnsi="宋体" w:cs="宋体"/>
          <w:kern w:val="0"/>
          <w:sz w:val="24"/>
          <w:lang w:val="zh-CN"/>
        </w:rPr>
        <w:t>供应商</w:t>
      </w:r>
      <w:r>
        <w:rPr>
          <w:rFonts w:hint="eastAsia" w:ascii="宋体" w:hAnsi="宋体" w:cs="宋体"/>
          <w:sz w:val="24"/>
        </w:rPr>
        <w:t>的风险</w:t>
      </w:r>
    </w:p>
    <w:p>
      <w:pPr>
        <w:spacing w:line="360" w:lineRule="auto"/>
        <w:ind w:firstLine="480" w:firstLineChars="200"/>
        <w:rPr>
          <w:rFonts w:ascii="宋体" w:hAnsi="宋体" w:cs="宋体"/>
          <w:sz w:val="24"/>
        </w:rPr>
      </w:pPr>
      <w:r>
        <w:rPr>
          <w:rFonts w:hint="eastAsia" w:ascii="宋体" w:hAnsi="宋体" w:cs="宋体"/>
          <w:sz w:val="24"/>
        </w:rPr>
        <w:t xml:space="preserve">4.3.1 </w:t>
      </w:r>
      <w:r>
        <w:rPr>
          <w:rFonts w:hint="eastAsia" w:ascii="宋体" w:hAnsi="宋体" w:cs="宋体"/>
          <w:kern w:val="0"/>
          <w:sz w:val="24"/>
          <w:lang w:val="zh-CN"/>
        </w:rPr>
        <w:t>供应商</w:t>
      </w:r>
      <w:r>
        <w:rPr>
          <w:rFonts w:hint="eastAsia" w:ascii="宋体" w:hAnsi="宋体" w:cs="宋体"/>
          <w:sz w:val="24"/>
        </w:rPr>
        <w:t>应详细阅读招标文件中的全部内容和要求，按照招标文件的要求提交投标文件，没有按照招标文件要求提供投标文件和资料导致的风险由</w:t>
      </w:r>
      <w:r>
        <w:rPr>
          <w:rFonts w:hint="eastAsia" w:ascii="宋体" w:hAnsi="宋体" w:cs="宋体"/>
          <w:kern w:val="0"/>
          <w:sz w:val="24"/>
          <w:lang w:val="zh-CN"/>
        </w:rPr>
        <w:t>供应商</w:t>
      </w:r>
      <w:r>
        <w:rPr>
          <w:rFonts w:hint="eastAsia" w:ascii="宋体" w:hAnsi="宋体" w:cs="宋体"/>
          <w:sz w:val="24"/>
        </w:rPr>
        <w:t>承担,并对所提供的全部资料的真实性承担法律责任。</w:t>
      </w:r>
    </w:p>
    <w:p>
      <w:pPr>
        <w:spacing w:line="360" w:lineRule="auto"/>
        <w:ind w:firstLine="480" w:firstLineChars="200"/>
        <w:rPr>
          <w:rFonts w:ascii="宋体" w:hAnsi="宋体" w:cs="宋体"/>
          <w:sz w:val="24"/>
        </w:rPr>
      </w:pPr>
      <w:r>
        <w:rPr>
          <w:rFonts w:hint="eastAsia" w:ascii="宋体" w:hAnsi="宋体" w:cs="宋体"/>
          <w:sz w:val="24"/>
        </w:rPr>
        <w:t>4.3.2 无论因何种原因导致本次采购活动终止致</w:t>
      </w:r>
      <w:r>
        <w:rPr>
          <w:rFonts w:hint="eastAsia" w:ascii="宋体" w:hAnsi="宋体" w:cs="宋体"/>
          <w:kern w:val="0"/>
          <w:sz w:val="24"/>
          <w:lang w:val="zh-CN"/>
        </w:rPr>
        <w:t>供应商</w:t>
      </w:r>
      <w:r>
        <w:rPr>
          <w:rFonts w:hint="eastAsia" w:ascii="宋体" w:hAnsi="宋体" w:cs="宋体"/>
          <w:sz w:val="24"/>
        </w:rPr>
        <w:t>损失的，相关责任人均不承担任何责任。</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询问、质疑、投诉</w:t>
      </w:r>
    </w:p>
    <w:p>
      <w:pPr>
        <w:spacing w:line="360" w:lineRule="auto"/>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.1供应商询问</w:t>
      </w:r>
    </w:p>
    <w:p>
      <w:pPr>
        <w:spacing w:line="360" w:lineRule="auto"/>
        <w:ind w:firstLine="480" w:firstLineChars="200"/>
        <w:rPr>
          <w:rFonts w:ascii="宋体" w:hAnsi="宋体" w:cs="宋体"/>
          <w:sz w:val="24"/>
          <w:lang w:val="zh-CN"/>
        </w:rPr>
      </w:pPr>
      <w:r>
        <w:rPr>
          <w:rFonts w:hint="eastAsia" w:ascii="宋体" w:hAnsi="宋体" w:cs="宋体"/>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.2供应商质疑</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.2</w:t>
      </w:r>
      <w:r>
        <w:rPr>
          <w:rFonts w:hint="eastAsia" w:ascii="宋体" w:hAnsi="宋体" w:cs="宋体"/>
          <w:sz w:val="24"/>
        </w:rPr>
        <w:t>.1提出质疑的供应商应当是参与所质疑项目采购活动的供应商。潜在供应商已依法获取其可质疑的招标文件的，可以对该文件提出质疑。</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.2</w:t>
      </w:r>
      <w:r>
        <w:rPr>
          <w:rFonts w:hint="eastAsia" w:ascii="宋体"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ascii="宋体" w:hAnsi="宋体" w:cs="宋体"/>
          <w:sz w:val="24"/>
        </w:rPr>
      </w:pPr>
      <w:r>
        <w:rPr>
          <w:rFonts w:hint="eastAsia" w:ascii="宋体" w:hAnsi="宋体" w:cs="宋体"/>
          <w:sz w:val="24"/>
        </w:rPr>
        <w:t>5.2.2.1对招标文件提出质疑的，质疑期限为供应商获得招标文件之日或者招标文件公告期限届满之日起计算。</w:t>
      </w:r>
    </w:p>
    <w:p>
      <w:pPr>
        <w:spacing w:line="360" w:lineRule="auto"/>
        <w:ind w:firstLine="480" w:firstLineChars="200"/>
        <w:rPr>
          <w:rFonts w:ascii="宋体" w:hAnsi="宋体" w:cs="宋体"/>
          <w:sz w:val="24"/>
        </w:rPr>
      </w:pPr>
      <w:r>
        <w:rPr>
          <w:rFonts w:hint="eastAsia" w:ascii="宋体" w:hAnsi="宋体" w:cs="宋体"/>
          <w:sz w:val="24"/>
        </w:rPr>
        <w:t>5.2.2.2对采购过程提出质疑的，质疑期限为各采购程序环节结束之日起计算。</w:t>
      </w:r>
    </w:p>
    <w:p>
      <w:pPr>
        <w:spacing w:line="360" w:lineRule="auto"/>
        <w:ind w:firstLine="480" w:firstLineChars="200"/>
        <w:rPr>
          <w:rFonts w:ascii="宋体" w:hAnsi="宋体" w:cs="宋体"/>
          <w:sz w:val="24"/>
        </w:rPr>
      </w:pPr>
      <w:r>
        <w:rPr>
          <w:rFonts w:hint="eastAsia" w:ascii="宋体" w:hAnsi="宋体" w:cs="宋体"/>
          <w:sz w:val="24"/>
        </w:rPr>
        <w:t>5.2.2.3对采购结果提出质疑的，质疑期限自采购结果公告期限届满之日起计算。</w:t>
      </w:r>
    </w:p>
    <w:p>
      <w:pPr>
        <w:spacing w:line="360" w:lineRule="auto"/>
        <w:ind w:firstLine="480" w:firstLineChars="200"/>
        <w:rPr>
          <w:rFonts w:ascii="宋体" w:hAnsi="宋体" w:cs="宋体"/>
          <w:sz w:val="24"/>
        </w:rPr>
      </w:pPr>
      <w:r>
        <w:rPr>
          <w:rFonts w:hint="eastAsia" w:ascii="宋体" w:hAnsi="宋体" w:cs="宋体"/>
          <w:sz w:val="24"/>
        </w:rPr>
        <w:t>5.2.2.4对同一采购程序环节的质疑，供应商须一次性提出。</w:t>
      </w:r>
    </w:p>
    <w:p>
      <w:pPr>
        <w:spacing w:line="360" w:lineRule="auto"/>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.2.3</w:t>
      </w:r>
      <w:r>
        <w:rPr>
          <w:rFonts w:hint="eastAsia" w:ascii="宋体" w:hAnsi="宋体" w:cs="宋体"/>
          <w:sz w:val="24"/>
        </w:rPr>
        <w:t>供应商提出质疑应当提交质疑函和必要的证明材料。质疑函应当包括下列内容：</w:t>
      </w:r>
    </w:p>
    <w:p>
      <w:pPr>
        <w:spacing w:line="360" w:lineRule="auto"/>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.2.3.1供应商的姓名或者名称、地址、邮编、联系人及联系电话；</w:t>
      </w:r>
    </w:p>
    <w:p>
      <w:pPr>
        <w:spacing w:line="360" w:lineRule="auto"/>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.2.3.2质疑项目的名称、编号；</w:t>
      </w:r>
    </w:p>
    <w:p>
      <w:pPr>
        <w:spacing w:line="360" w:lineRule="auto"/>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.2.3.3具体、明确的质疑事项和与质疑事项相关的请求；</w:t>
      </w:r>
    </w:p>
    <w:p>
      <w:pPr>
        <w:spacing w:line="360" w:lineRule="auto"/>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.2.3.4事实依据；</w:t>
      </w:r>
    </w:p>
    <w:p>
      <w:pPr>
        <w:spacing w:line="360" w:lineRule="auto"/>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.2.3.5必要的法律依据；</w:t>
      </w:r>
    </w:p>
    <w:p>
      <w:pPr>
        <w:spacing w:line="360" w:lineRule="auto"/>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.2.3.6提出质疑的日期。</w:t>
      </w:r>
    </w:p>
    <w:p>
      <w:pPr>
        <w:spacing w:line="360" w:lineRule="auto"/>
        <w:ind w:firstLine="480" w:firstLineChars="200"/>
        <w:rPr>
          <w:rFonts w:ascii="宋体" w:hAnsi="宋体" w:cs="宋体"/>
          <w:sz w:val="24"/>
        </w:rPr>
      </w:pPr>
      <w:r>
        <w:rPr>
          <w:rFonts w:hint="eastAsia" w:ascii="宋体" w:hAnsi="宋体" w:cs="宋体"/>
          <w:sz w:val="24"/>
        </w:rPr>
        <w:t>5.2.3.7对招标文件提出质疑的需要提供在政采云平台获取招标文件的截图。</w:t>
      </w:r>
    </w:p>
    <w:p>
      <w:pPr>
        <w:spacing w:line="360" w:lineRule="auto"/>
        <w:ind w:firstLine="480" w:firstLineChars="200"/>
        <w:rPr>
          <w:rFonts w:ascii="宋体" w:hAnsi="宋体" w:cs="宋体"/>
          <w:sz w:val="24"/>
        </w:rPr>
      </w:pPr>
      <w:r>
        <w:rPr>
          <w:rFonts w:hint="eastAsia" w:ascii="宋体" w:hAnsi="宋体" w:cs="宋体"/>
          <w:sz w:val="24"/>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ascii="宋体" w:hAnsi="宋体" w:cs="宋体"/>
          <w:sz w:val="24"/>
        </w:rPr>
      </w:pPr>
      <w:r>
        <w:rPr>
          <w:rFonts w:hint="eastAsia" w:ascii="宋体" w:hAnsi="宋体" w:cs="宋体"/>
          <w:sz w:val="24"/>
        </w:rPr>
        <w:t>质疑函范本请到浙江政府采购网下载专区下载。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.2</w:t>
      </w:r>
      <w:r>
        <w:rPr>
          <w:rFonts w:hint="eastAsia" w:ascii="宋体" w:hAnsi="宋体" w:cs="宋体"/>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.2</w:t>
      </w:r>
      <w:r>
        <w:rPr>
          <w:rFonts w:hint="eastAsia" w:ascii="宋体" w:hAnsi="宋体" w:cs="宋体"/>
          <w:sz w:val="24"/>
        </w:rPr>
        <w:t>.5询问或者质疑事项可能影响采购结果的，采购人应当暂停签订合同，已经签订合同的，应当中止履行合同。</w:t>
      </w:r>
    </w:p>
    <w:p>
      <w:pPr>
        <w:spacing w:line="360" w:lineRule="auto"/>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.3供应商投诉</w:t>
      </w:r>
    </w:p>
    <w:p>
      <w:pPr>
        <w:spacing w:line="360" w:lineRule="auto"/>
        <w:ind w:firstLine="480" w:firstLineChars="200"/>
        <w:rPr>
          <w:rFonts w:ascii="宋体" w:hAnsi="宋体" w:cs="宋体"/>
          <w:sz w:val="24"/>
        </w:rPr>
      </w:pPr>
      <w:r>
        <w:rPr>
          <w:rFonts w:hint="eastAsia" w:ascii="宋体" w:hAnsi="宋体" w:cs="宋体"/>
          <w:sz w:val="24"/>
        </w:rPr>
        <w:t>5.3.1质疑供应商对采购人、采购代理机构的答复不满意或者采购人、采购代理机构未在规定的时间内作出答复的，可以在答复期满后十五个工作日内向同级政府采购监督管理部门提出投诉。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ascii="宋体" w:hAnsi="宋体" w:cs="宋体"/>
          <w:sz w:val="24"/>
        </w:rPr>
      </w:pPr>
      <w:r>
        <w:rPr>
          <w:rFonts w:hint="eastAsia" w:ascii="宋体" w:hAnsi="宋体" w:cs="宋体"/>
          <w:sz w:val="24"/>
        </w:rPr>
        <w:t>5.3.</w:t>
      </w:r>
      <w:r>
        <w:rPr>
          <w:rFonts w:hint="eastAsia" w:ascii="宋体" w:hAnsi="宋体" w:cs="宋体"/>
          <w:sz w:val="24"/>
          <w:lang w:val="zh-CN"/>
        </w:rPr>
        <w:t>2</w:t>
      </w:r>
      <w:r>
        <w:rPr>
          <w:rFonts w:hint="eastAsia" w:ascii="宋体" w:hAnsi="宋体" w:cs="宋体"/>
          <w:sz w:val="24"/>
        </w:rPr>
        <w:t>供应商投诉的事项不得超出已质疑事项的范围，基于质疑答复内容提出的投诉事项除外。</w:t>
      </w:r>
    </w:p>
    <w:p>
      <w:pPr>
        <w:spacing w:line="360" w:lineRule="auto"/>
        <w:ind w:firstLine="480" w:firstLineChars="200"/>
        <w:rPr>
          <w:rFonts w:ascii="宋体" w:hAnsi="宋体" w:cs="宋体"/>
          <w:sz w:val="24"/>
        </w:rPr>
      </w:pPr>
      <w:r>
        <w:rPr>
          <w:rFonts w:hint="eastAsia" w:ascii="宋体" w:hAnsi="宋体" w:cs="宋体"/>
          <w:sz w:val="24"/>
        </w:rPr>
        <w:t>5.3.3供应商投诉应当有明确的请求和必要的证明材料。</w:t>
      </w:r>
    </w:p>
    <w:p>
      <w:pPr>
        <w:spacing w:line="360" w:lineRule="auto"/>
        <w:ind w:firstLine="480" w:firstLineChars="200"/>
        <w:rPr>
          <w:rFonts w:ascii="宋体" w:hAnsi="宋体" w:cs="宋体"/>
          <w:sz w:val="24"/>
        </w:rPr>
      </w:pPr>
      <w:r>
        <w:rPr>
          <w:rFonts w:hint="eastAsia" w:ascii="宋体" w:hAnsi="宋体" w:cs="宋体"/>
          <w:sz w:val="24"/>
        </w:rPr>
        <w:t>5.3.5 以联合体形式参加政府采购活动的，其投诉应当由组成联合体的所有供应商共同提出。</w:t>
      </w:r>
    </w:p>
    <w:p>
      <w:pPr>
        <w:spacing w:line="360" w:lineRule="auto"/>
        <w:ind w:firstLine="480" w:firstLineChars="200"/>
        <w:rPr>
          <w:rFonts w:ascii="宋体" w:hAnsi="宋体" w:cs="宋体"/>
          <w:sz w:val="18"/>
          <w:szCs w:val="18"/>
        </w:rPr>
      </w:pPr>
      <w:r>
        <w:rPr>
          <w:rFonts w:hint="eastAsia" w:ascii="宋体" w:hAnsi="宋体" w:cs="宋体"/>
          <w:sz w:val="24"/>
        </w:rPr>
        <w:t>投诉书范本请到浙江政府采购网下载专区下载。</w:t>
      </w:r>
    </w:p>
    <w:p>
      <w:pPr>
        <w:spacing w:line="360" w:lineRule="auto"/>
        <w:jc w:val="center"/>
        <w:outlineLvl w:val="0"/>
        <w:rPr>
          <w:rFonts w:ascii="宋体" w:hAnsi="宋体" w:cs="宋体"/>
          <w:b/>
          <w:sz w:val="32"/>
          <w:szCs w:val="20"/>
        </w:rPr>
      </w:pPr>
      <w:r>
        <w:rPr>
          <w:rFonts w:hint="eastAsia" w:ascii="宋体" w:hAnsi="宋体" w:cs="宋体"/>
          <w:b/>
          <w:sz w:val="32"/>
          <w:szCs w:val="20"/>
        </w:rPr>
        <w:t xml:space="preserve">      </w:t>
      </w:r>
    </w:p>
    <w:p>
      <w:pPr>
        <w:rPr>
          <w:rFonts w:ascii="宋体" w:hAnsi="宋体" w:cs="宋体"/>
          <w:b/>
          <w:sz w:val="32"/>
          <w:szCs w:val="20"/>
        </w:rPr>
      </w:pPr>
      <w:r>
        <w:rPr>
          <w:rFonts w:hint="eastAsia" w:ascii="宋体" w:hAnsi="宋体" w:cs="宋体"/>
          <w:b/>
          <w:sz w:val="32"/>
          <w:szCs w:val="20"/>
        </w:rPr>
        <w:br w:type="page"/>
      </w:r>
    </w:p>
    <w:p>
      <w:pPr>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招标文件的构成</w:t>
      </w:r>
    </w:p>
    <w:p>
      <w:pPr>
        <w:pStyle w:val="9"/>
        <w:spacing w:line="360" w:lineRule="auto"/>
        <w:ind w:firstLine="480" w:firstLineChars="200"/>
        <w:rPr>
          <w:rFonts w:hAnsi="宋体" w:cs="宋体"/>
          <w:sz w:val="24"/>
          <w:szCs w:val="24"/>
        </w:rPr>
      </w:pPr>
      <w:r>
        <w:rPr>
          <w:rFonts w:hint="eastAsia" w:hAnsi="宋体" w:cs="宋体"/>
          <w:sz w:val="24"/>
          <w:szCs w:val="24"/>
        </w:rPr>
        <w:t>6.1 招标文件包括下列文件及附件：</w:t>
      </w:r>
    </w:p>
    <w:p>
      <w:pPr>
        <w:pStyle w:val="9"/>
        <w:spacing w:line="360" w:lineRule="auto"/>
        <w:ind w:firstLine="480" w:firstLineChars="200"/>
        <w:rPr>
          <w:rFonts w:hAnsi="宋体" w:cs="宋体"/>
          <w:sz w:val="24"/>
          <w:szCs w:val="24"/>
        </w:rPr>
      </w:pPr>
      <w:r>
        <w:rPr>
          <w:rFonts w:hint="eastAsia" w:hAnsi="宋体" w:cs="宋体"/>
          <w:sz w:val="24"/>
          <w:szCs w:val="24"/>
        </w:rPr>
        <w:t>6.1.1 招标公告；</w:t>
      </w:r>
    </w:p>
    <w:p>
      <w:pPr>
        <w:pStyle w:val="9"/>
        <w:spacing w:line="360" w:lineRule="auto"/>
        <w:ind w:firstLine="480" w:firstLineChars="200"/>
        <w:rPr>
          <w:rFonts w:hAnsi="宋体" w:cs="宋体"/>
          <w:sz w:val="24"/>
          <w:szCs w:val="24"/>
        </w:rPr>
      </w:pPr>
      <w:r>
        <w:rPr>
          <w:rFonts w:hint="eastAsia" w:hAnsi="宋体" w:cs="宋体"/>
          <w:sz w:val="24"/>
          <w:szCs w:val="24"/>
        </w:rPr>
        <w:t xml:space="preserve">6.1.2 </w:t>
      </w:r>
      <w:r>
        <w:rPr>
          <w:rFonts w:hint="eastAsia" w:hAnsi="宋体" w:cs="宋体"/>
          <w:sz w:val="24"/>
          <w:szCs w:val="24"/>
          <w:lang w:val="zh-CN"/>
        </w:rPr>
        <w:t>投标</w:t>
      </w:r>
      <w:r>
        <w:rPr>
          <w:rFonts w:hint="eastAsia" w:hAnsi="宋体" w:cs="宋体"/>
          <w:sz w:val="24"/>
          <w:szCs w:val="24"/>
        </w:rPr>
        <w:t>须知；</w:t>
      </w:r>
    </w:p>
    <w:p>
      <w:pPr>
        <w:pStyle w:val="9"/>
        <w:spacing w:line="360" w:lineRule="auto"/>
        <w:ind w:firstLine="480" w:firstLineChars="200"/>
        <w:rPr>
          <w:rFonts w:hAnsi="宋体" w:cs="宋体"/>
          <w:sz w:val="24"/>
          <w:szCs w:val="24"/>
        </w:rPr>
      </w:pPr>
      <w:r>
        <w:rPr>
          <w:rFonts w:hint="eastAsia" w:hAnsi="宋体" w:cs="宋体"/>
          <w:sz w:val="24"/>
          <w:szCs w:val="24"/>
        </w:rPr>
        <w:t>6.1.3 采购需求；</w:t>
      </w:r>
    </w:p>
    <w:p>
      <w:pPr>
        <w:pStyle w:val="9"/>
        <w:spacing w:line="360" w:lineRule="auto"/>
        <w:ind w:firstLine="480" w:firstLineChars="200"/>
        <w:rPr>
          <w:rFonts w:hAnsi="宋体" w:cs="宋体"/>
          <w:sz w:val="24"/>
          <w:szCs w:val="24"/>
        </w:rPr>
      </w:pPr>
      <w:r>
        <w:rPr>
          <w:rFonts w:hint="eastAsia" w:hAnsi="宋体" w:cs="宋体"/>
          <w:sz w:val="24"/>
          <w:szCs w:val="24"/>
        </w:rPr>
        <w:t>6.1.4 评标办法；</w:t>
      </w:r>
    </w:p>
    <w:p>
      <w:pPr>
        <w:pStyle w:val="9"/>
        <w:spacing w:line="360" w:lineRule="auto"/>
        <w:ind w:firstLine="480" w:firstLineChars="200"/>
        <w:rPr>
          <w:rFonts w:hAnsi="宋体" w:cs="宋体"/>
          <w:sz w:val="24"/>
          <w:szCs w:val="24"/>
        </w:rPr>
      </w:pPr>
      <w:r>
        <w:rPr>
          <w:rFonts w:hint="eastAsia" w:hAnsi="宋体" w:cs="宋体"/>
          <w:sz w:val="24"/>
          <w:szCs w:val="24"/>
        </w:rPr>
        <w:t>6.1.5 拟签订的合同文本；</w:t>
      </w:r>
    </w:p>
    <w:p>
      <w:pPr>
        <w:pStyle w:val="9"/>
        <w:spacing w:line="360" w:lineRule="auto"/>
        <w:ind w:firstLine="480" w:firstLineChars="200"/>
        <w:rPr>
          <w:rFonts w:hAnsi="宋体" w:cs="宋体"/>
          <w:sz w:val="24"/>
          <w:szCs w:val="24"/>
        </w:rPr>
      </w:pPr>
      <w:r>
        <w:rPr>
          <w:rFonts w:hint="eastAsia" w:hAnsi="宋体" w:cs="宋体"/>
          <w:sz w:val="24"/>
          <w:szCs w:val="24"/>
        </w:rPr>
        <w:t>6.1.6 应提交的有关格式范例。</w:t>
      </w:r>
    </w:p>
    <w:p>
      <w:pPr>
        <w:spacing w:line="360" w:lineRule="auto"/>
        <w:ind w:firstLine="480" w:firstLineChars="200"/>
        <w:rPr>
          <w:rFonts w:ascii="宋体" w:hAnsi="宋体" w:cs="宋体"/>
          <w:sz w:val="24"/>
        </w:rPr>
      </w:pPr>
      <w:r>
        <w:rPr>
          <w:rFonts w:hint="eastAsia" w:ascii="宋体" w:hAnsi="宋体" w:cs="宋体"/>
          <w:sz w:val="24"/>
        </w:rPr>
        <w:t>6.2与本项目有关的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招标文件的澄清、修改</w:t>
      </w:r>
    </w:p>
    <w:p>
      <w:pPr>
        <w:spacing w:line="360" w:lineRule="auto"/>
        <w:ind w:firstLine="480" w:firstLineChars="200"/>
        <w:rPr>
          <w:rFonts w:ascii="宋体" w:hAnsi="宋体" w:cs="宋体"/>
          <w:sz w:val="24"/>
        </w:rPr>
      </w:pPr>
      <w:r>
        <w:rPr>
          <w:rFonts w:hint="eastAsia" w:ascii="宋体" w:hAnsi="宋体" w:cs="宋体"/>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pPr>
        <w:spacing w:line="360" w:lineRule="auto"/>
        <w:ind w:firstLine="480" w:firstLineChars="200"/>
        <w:rPr>
          <w:rFonts w:ascii="宋体" w:hAnsi="宋体" w:cs="宋体"/>
          <w:sz w:val="24"/>
        </w:rPr>
      </w:pPr>
      <w:r>
        <w:rPr>
          <w:rFonts w:hint="eastAsia" w:ascii="宋体" w:hAnsi="宋体" w:cs="宋体"/>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pPr>
        <w:spacing w:line="360" w:lineRule="auto"/>
        <w:ind w:firstLine="480" w:firstLineChars="200"/>
        <w:rPr>
          <w:rFonts w:ascii="宋体" w:hAnsi="宋体" w:cs="宋体"/>
          <w:sz w:val="24"/>
        </w:rPr>
      </w:pPr>
      <w:r>
        <w:rPr>
          <w:rFonts w:hint="eastAsia" w:ascii="宋体" w:hAnsi="宋体" w:cs="宋体"/>
          <w:sz w:val="24"/>
        </w:rPr>
        <w:t>7.3 如更正公告有重新发布电子招标文件的，</w:t>
      </w:r>
      <w:r>
        <w:rPr>
          <w:rFonts w:hint="eastAsia" w:ascii="宋体" w:hAnsi="宋体" w:cs="宋体"/>
          <w:kern w:val="0"/>
          <w:sz w:val="24"/>
          <w:lang w:val="zh-CN"/>
        </w:rPr>
        <w:t>供应商</w:t>
      </w:r>
      <w:r>
        <w:rPr>
          <w:rFonts w:hint="eastAsia" w:ascii="宋体" w:hAnsi="宋体" w:cs="宋体"/>
          <w:sz w:val="24"/>
        </w:rPr>
        <w:t>应下载最新发布的电子招标文件制作投标文件。</w:t>
      </w:r>
    </w:p>
    <w:p>
      <w:pPr>
        <w:spacing w:line="360" w:lineRule="auto"/>
        <w:ind w:firstLine="480" w:firstLineChars="200"/>
        <w:rPr>
          <w:rFonts w:ascii="宋体" w:hAnsi="宋体" w:cs="宋体"/>
          <w:b/>
          <w:sz w:val="30"/>
          <w:szCs w:val="20"/>
        </w:rPr>
      </w:pPr>
      <w:r>
        <w:rPr>
          <w:rFonts w:hint="eastAsia" w:ascii="宋体" w:hAnsi="宋体" w:cs="宋体"/>
          <w:sz w:val="24"/>
        </w:rPr>
        <w:t>7.4 已获取招标文件的潜在</w:t>
      </w:r>
      <w:r>
        <w:rPr>
          <w:rFonts w:hint="eastAsia" w:ascii="宋体" w:hAnsi="宋体" w:cs="宋体"/>
          <w:kern w:val="0"/>
          <w:sz w:val="24"/>
          <w:lang w:val="zh-CN"/>
        </w:rPr>
        <w:t>供应商</w:t>
      </w:r>
      <w:r>
        <w:rPr>
          <w:rFonts w:hint="eastAsia" w:ascii="宋体" w:hAnsi="宋体" w:cs="宋体"/>
          <w:sz w:val="24"/>
        </w:rPr>
        <w:t>，若有问题需要澄清，应于投标截止时间前，以书面形式向采购代理机构提出。</w:t>
      </w:r>
      <w:r>
        <w:rPr>
          <w:rFonts w:hint="eastAsia" w:ascii="宋体" w:hAnsi="宋体" w:cs="宋体"/>
          <w:kern w:val="0"/>
          <w:sz w:val="24"/>
          <w:lang w:val="zh-CN"/>
        </w:rPr>
        <w:t>供应商</w:t>
      </w:r>
      <w:r>
        <w:rPr>
          <w:rFonts w:hint="eastAsia" w:ascii="宋体" w:hAnsi="宋体" w:cs="宋体"/>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ascii="宋体" w:hAnsi="宋体" w:cs="宋体"/>
          <w:kern w:val="0"/>
          <w:sz w:val="24"/>
          <w:lang w:val="zh-CN"/>
        </w:rPr>
        <w:t>供应商</w:t>
      </w:r>
      <w:r>
        <w:rPr>
          <w:rFonts w:hint="eastAsia" w:ascii="宋体" w:hAnsi="宋体" w:cs="宋体"/>
          <w:sz w:val="24"/>
        </w:rPr>
        <w:t>。</w:t>
      </w:r>
    </w:p>
    <w:p>
      <w:pPr>
        <w:spacing w:line="360" w:lineRule="auto"/>
        <w:jc w:val="center"/>
        <w:outlineLvl w:val="0"/>
        <w:rPr>
          <w:rFonts w:ascii="宋体" w:hAnsi="宋体" w:cs="宋体"/>
          <w:b/>
          <w:sz w:val="32"/>
          <w:szCs w:val="32"/>
        </w:rPr>
      </w:pPr>
      <w:r>
        <w:rPr>
          <w:rFonts w:hint="eastAsia" w:ascii="宋体" w:hAnsi="宋体" w:cs="宋体"/>
          <w:b/>
          <w:sz w:val="30"/>
          <w:szCs w:val="20"/>
        </w:rPr>
        <w:br w:type="page"/>
      </w:r>
      <w:r>
        <w:rPr>
          <w:rFonts w:hint="eastAsia" w:ascii="宋体" w:hAnsi="宋体" w:cs="宋体"/>
          <w:b/>
          <w:sz w:val="32"/>
          <w:szCs w:val="32"/>
        </w:rPr>
        <w:t>三、投标</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w:t>
      </w:r>
      <w:r>
        <w:rPr>
          <w:rFonts w:hint="eastAsia" w:ascii="宋体" w:hAnsi="宋体" w:cs="宋体"/>
          <w:kern w:val="0"/>
          <w:sz w:val="24"/>
          <w:lang w:val="zh-CN"/>
        </w:rPr>
        <w:t>供应商</w:t>
      </w:r>
      <w:r>
        <w:rPr>
          <w:rFonts w:hint="eastAsia" w:ascii="宋体" w:hAnsi="宋体" w:cs="宋体"/>
          <w:sz w:val="24"/>
        </w:rPr>
        <w:t>与采购有关的来往通知、函件和文件均应使用中文。</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 xml:space="preserve">9.1 </w:t>
      </w:r>
      <w:r>
        <w:rPr>
          <w:rFonts w:hint="eastAsia" w:ascii="宋体" w:hAnsi="宋体" w:cs="宋体"/>
          <w:b/>
          <w:sz w:val="24"/>
        </w:rPr>
        <w:t>资格文件</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9.1.1有效的企业法人营业执照（或事业法人登记证）、其他组织（个体工商户）的营业执照或者民办非企业单位登记证书；</w:t>
      </w:r>
    </w:p>
    <w:p>
      <w:pPr>
        <w:snapToGrid w:val="0"/>
        <w:spacing w:line="360" w:lineRule="auto"/>
        <w:ind w:firstLine="480" w:firstLineChars="200"/>
        <w:rPr>
          <w:rFonts w:ascii="宋体" w:hAnsi="宋体" w:cs="宋体"/>
          <w:sz w:val="24"/>
        </w:rPr>
      </w:pPr>
      <w:r>
        <w:rPr>
          <w:rFonts w:hint="eastAsia" w:ascii="宋体" w:hAnsi="宋体" w:cs="宋体"/>
          <w:sz w:val="24"/>
        </w:rPr>
        <w:t>9.1.2符合参加政府采购活动应当具备的一般条件的承诺函(格式见第六部分)；</w:t>
      </w:r>
    </w:p>
    <w:p>
      <w:pPr>
        <w:snapToGrid w:val="0"/>
        <w:spacing w:line="360" w:lineRule="auto"/>
        <w:ind w:firstLine="480" w:firstLineChars="200"/>
        <w:rPr>
          <w:rFonts w:ascii="宋体" w:hAnsi="宋体" w:cs="宋体"/>
          <w:sz w:val="24"/>
        </w:rPr>
      </w:pPr>
      <w:r>
        <w:rPr>
          <w:rFonts w:hint="eastAsia" w:ascii="宋体" w:hAnsi="宋体" w:cs="宋体"/>
          <w:sz w:val="24"/>
        </w:rPr>
        <w:t>9.1.3落实政府采购政策需满足的资格要求（如适用）；</w:t>
      </w:r>
    </w:p>
    <w:p>
      <w:pPr>
        <w:snapToGrid w:val="0"/>
        <w:spacing w:line="360" w:lineRule="auto"/>
        <w:ind w:firstLine="480" w:firstLineChars="200"/>
        <w:rPr>
          <w:rFonts w:ascii="宋体" w:hAnsi="宋体" w:cs="宋体"/>
          <w:sz w:val="24"/>
        </w:rPr>
      </w:pPr>
      <w:r>
        <w:rPr>
          <w:rFonts w:hint="eastAsia" w:ascii="宋体" w:hAnsi="宋体" w:cs="宋体"/>
          <w:sz w:val="24"/>
        </w:rPr>
        <w:t>9.1.4联合协议（如有）；</w:t>
      </w:r>
    </w:p>
    <w:p>
      <w:pPr>
        <w:snapToGrid w:val="0"/>
        <w:spacing w:line="360" w:lineRule="auto"/>
        <w:ind w:firstLine="480" w:firstLineChars="200"/>
        <w:rPr>
          <w:rFonts w:ascii="宋体" w:hAnsi="宋体" w:cs="宋体"/>
          <w:sz w:val="24"/>
        </w:rPr>
      </w:pPr>
      <w:r>
        <w:rPr>
          <w:rFonts w:hint="eastAsia" w:ascii="宋体" w:hAnsi="宋体" w:cs="宋体"/>
          <w:sz w:val="24"/>
        </w:rPr>
        <w:t>9.1.5分包意向协议（如有）；</w:t>
      </w:r>
    </w:p>
    <w:p>
      <w:pPr>
        <w:snapToGrid w:val="0"/>
        <w:spacing w:line="360" w:lineRule="auto"/>
        <w:ind w:firstLine="480" w:firstLineChars="200"/>
        <w:rPr>
          <w:rFonts w:ascii="宋体" w:hAnsi="宋体" w:cs="宋体"/>
          <w:sz w:val="24"/>
        </w:rPr>
      </w:pPr>
      <w:r>
        <w:rPr>
          <w:rFonts w:hint="eastAsia" w:ascii="宋体" w:hAnsi="宋体" w:cs="宋体"/>
          <w:sz w:val="24"/>
        </w:rPr>
        <w:t>9.1.6本项目的特定资格要求（如有）。</w:t>
      </w:r>
    </w:p>
    <w:p>
      <w:pPr>
        <w:snapToGrid w:val="0"/>
        <w:spacing w:line="360" w:lineRule="auto"/>
        <w:ind w:firstLine="480" w:firstLineChars="200"/>
        <w:rPr>
          <w:rFonts w:ascii="宋体" w:hAnsi="宋体" w:cs="宋体"/>
          <w:b/>
          <w:bCs/>
          <w:sz w:val="24"/>
          <w:lang w:val="zh-CN"/>
        </w:rPr>
      </w:pPr>
      <w:r>
        <w:rPr>
          <w:rFonts w:hint="eastAsia" w:ascii="宋体" w:hAnsi="宋体" w:cs="宋体"/>
          <w:sz w:val="24"/>
        </w:rPr>
        <w:t>9</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pPr>
        <w:snapToGrid w:val="0"/>
        <w:spacing w:line="360" w:lineRule="auto"/>
        <w:ind w:firstLine="480" w:firstLineChars="200"/>
        <w:rPr>
          <w:rFonts w:ascii="宋体" w:hAnsi="宋体" w:cs="宋体"/>
          <w:sz w:val="24"/>
        </w:rPr>
      </w:pPr>
      <w:r>
        <w:rPr>
          <w:rFonts w:hint="eastAsia" w:ascii="宋体" w:hAnsi="宋体" w:cs="宋体"/>
          <w:sz w:val="24"/>
        </w:rPr>
        <w:t>9.2.1 符合性自查表；</w:t>
      </w:r>
    </w:p>
    <w:p>
      <w:pPr>
        <w:snapToGrid w:val="0"/>
        <w:spacing w:line="360" w:lineRule="auto"/>
        <w:ind w:firstLine="480" w:firstLineChars="200"/>
        <w:rPr>
          <w:rFonts w:ascii="宋体" w:hAnsi="宋体" w:cs="宋体"/>
          <w:sz w:val="24"/>
        </w:rPr>
      </w:pPr>
      <w:r>
        <w:rPr>
          <w:rFonts w:hint="eastAsia" w:ascii="宋体" w:hAnsi="宋体" w:cs="宋体"/>
          <w:sz w:val="24"/>
        </w:rPr>
        <w:t>9.2.2 投标函；</w:t>
      </w:r>
      <w:r>
        <w:rPr>
          <w:rFonts w:hint="eastAsia" w:ascii="宋体" w:hAnsi="宋体" w:cs="宋体"/>
          <w:sz w:val="24"/>
          <w:lang w:val="zh-CN"/>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9.2.3 授权委托书或法定代表人（单位负责人、自然人本人）身份证明；</w:t>
      </w:r>
    </w:p>
    <w:p>
      <w:pPr>
        <w:snapToGrid w:val="0"/>
        <w:spacing w:line="360" w:lineRule="auto"/>
        <w:ind w:firstLine="480" w:firstLineChars="200"/>
        <w:rPr>
          <w:rFonts w:ascii="宋体" w:hAnsi="宋体" w:cs="宋体"/>
          <w:sz w:val="24"/>
        </w:rPr>
      </w:pPr>
      <w:r>
        <w:rPr>
          <w:rFonts w:hint="eastAsia" w:ascii="宋体" w:hAnsi="宋体" w:cs="宋体"/>
          <w:sz w:val="24"/>
        </w:rPr>
        <w:t>9.2.4 供应商情况表；</w:t>
      </w:r>
    </w:p>
    <w:p>
      <w:pPr>
        <w:snapToGrid w:val="0"/>
        <w:spacing w:line="360" w:lineRule="auto"/>
        <w:ind w:firstLine="480" w:firstLineChars="200"/>
        <w:rPr>
          <w:rFonts w:ascii="宋体" w:hAnsi="宋体" w:cs="宋体"/>
          <w:sz w:val="24"/>
        </w:rPr>
      </w:pPr>
      <w:r>
        <w:rPr>
          <w:rFonts w:hint="eastAsia" w:ascii="宋体" w:hAnsi="宋体" w:cs="宋体"/>
          <w:sz w:val="24"/>
        </w:rPr>
        <w:t>9.2.5 距采购人最近或者能为本项目提供最优服务的网点情况表；</w:t>
      </w:r>
    </w:p>
    <w:p>
      <w:pPr>
        <w:snapToGrid w:val="0"/>
        <w:spacing w:line="360" w:lineRule="auto"/>
        <w:ind w:firstLine="480" w:firstLineChars="200"/>
        <w:rPr>
          <w:rFonts w:ascii="宋体" w:hAnsi="宋体" w:cs="宋体"/>
          <w:sz w:val="24"/>
        </w:rPr>
      </w:pPr>
      <w:r>
        <w:rPr>
          <w:rFonts w:hint="eastAsia" w:ascii="宋体" w:hAnsi="宋体" w:cs="宋体"/>
          <w:sz w:val="24"/>
        </w:rPr>
        <w:t>9</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 评标标准相应的商务技术资料；</w:t>
      </w:r>
    </w:p>
    <w:p>
      <w:pPr>
        <w:snapToGrid w:val="0"/>
        <w:spacing w:line="360" w:lineRule="auto"/>
        <w:ind w:firstLine="480" w:firstLineChars="200"/>
        <w:rPr>
          <w:rFonts w:ascii="宋体" w:hAnsi="宋体" w:cs="宋体"/>
          <w:sz w:val="24"/>
        </w:rPr>
      </w:pPr>
      <w:r>
        <w:rPr>
          <w:rFonts w:hint="eastAsia" w:ascii="宋体" w:hAnsi="宋体" w:cs="宋体"/>
          <w:sz w:val="24"/>
        </w:rPr>
        <w:t>9.2.7 商务响应表；</w:t>
      </w:r>
    </w:p>
    <w:p>
      <w:pPr>
        <w:snapToGrid w:val="0"/>
        <w:spacing w:line="360" w:lineRule="auto"/>
        <w:ind w:firstLine="480" w:firstLineChars="200"/>
        <w:rPr>
          <w:rFonts w:ascii="宋体" w:hAnsi="宋体" w:cs="宋体"/>
          <w:sz w:val="24"/>
        </w:rPr>
      </w:pPr>
      <w:r>
        <w:rPr>
          <w:rFonts w:hint="eastAsia" w:ascii="宋体" w:hAnsi="宋体" w:cs="宋体"/>
          <w:sz w:val="24"/>
        </w:rPr>
        <w:t>9.2.8 技术响应表；</w:t>
      </w:r>
    </w:p>
    <w:p>
      <w:pPr>
        <w:snapToGrid w:val="0"/>
        <w:spacing w:line="360" w:lineRule="auto"/>
        <w:ind w:firstLine="480" w:firstLineChars="200"/>
        <w:rPr>
          <w:rFonts w:ascii="宋体" w:hAnsi="宋体" w:cs="宋体"/>
          <w:sz w:val="24"/>
        </w:rPr>
      </w:pPr>
      <w:r>
        <w:rPr>
          <w:rFonts w:hint="eastAsia" w:ascii="宋体" w:hAnsi="宋体" w:cs="宋体"/>
          <w:sz w:val="24"/>
        </w:rPr>
        <w:t>9.2.9 同类业绩情况一览表；</w:t>
      </w:r>
    </w:p>
    <w:p>
      <w:pPr>
        <w:snapToGrid w:val="0"/>
        <w:spacing w:line="360" w:lineRule="auto"/>
        <w:ind w:firstLine="480" w:firstLineChars="200"/>
        <w:rPr>
          <w:rFonts w:ascii="宋体" w:hAnsi="宋体" w:cs="宋体"/>
          <w:sz w:val="24"/>
        </w:rPr>
      </w:pPr>
      <w:r>
        <w:rPr>
          <w:rFonts w:hint="eastAsia" w:ascii="宋体" w:hAnsi="宋体" w:cs="宋体"/>
          <w:sz w:val="24"/>
        </w:rPr>
        <w:t>9.2.10</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rPr>
      </w:pPr>
      <w:r>
        <w:rPr>
          <w:rFonts w:hint="eastAsia" w:ascii="宋体" w:hAnsi="宋体" w:cs="宋体"/>
          <w:sz w:val="24"/>
        </w:rPr>
        <w:t>9.2.11其他资料（如有）。</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rPr>
        <w:br w:type="page"/>
      </w:r>
      <w:r>
        <w:rPr>
          <w:rFonts w:hint="eastAsia" w:ascii="宋体" w:hAnsi="宋体" w:cs="宋体"/>
          <w:kern w:val="0"/>
          <w:sz w:val="24"/>
        </w:rPr>
        <w:t>9</w:t>
      </w:r>
      <w:r>
        <w:rPr>
          <w:rFonts w:hint="eastAsia" w:ascii="宋体" w:hAnsi="宋体" w:cs="宋体"/>
          <w:kern w:val="0"/>
          <w:sz w:val="24"/>
          <w:lang w:val="zh-CN"/>
        </w:rPr>
        <w:t>.</w:t>
      </w:r>
      <w:r>
        <w:rPr>
          <w:rFonts w:hint="eastAsia" w:ascii="宋体" w:hAnsi="宋体" w:cs="宋体"/>
          <w:kern w:val="0"/>
          <w:sz w:val="24"/>
        </w:rPr>
        <w:t xml:space="preserve">3 </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9.3.1 开标一览表；</w:t>
      </w:r>
    </w:p>
    <w:p>
      <w:pPr>
        <w:snapToGrid w:val="0"/>
        <w:spacing w:line="360" w:lineRule="auto"/>
        <w:ind w:firstLine="480" w:firstLineChars="200"/>
        <w:rPr>
          <w:rFonts w:ascii="宋体" w:hAnsi="宋体" w:cs="宋体"/>
          <w:sz w:val="24"/>
        </w:rPr>
      </w:pPr>
      <w:r>
        <w:rPr>
          <w:rFonts w:hint="eastAsia" w:ascii="宋体" w:hAnsi="宋体" w:cs="宋体"/>
          <w:sz w:val="24"/>
        </w:rPr>
        <w:t>9.3.2 投标报价明细表；</w:t>
      </w:r>
    </w:p>
    <w:p>
      <w:pPr>
        <w:snapToGrid w:val="0"/>
        <w:spacing w:line="360" w:lineRule="auto"/>
        <w:ind w:firstLine="480" w:firstLineChars="200"/>
        <w:rPr>
          <w:rFonts w:ascii="宋体" w:hAnsi="宋体" w:cs="宋体"/>
          <w:sz w:val="24"/>
        </w:rPr>
      </w:pPr>
      <w:r>
        <w:rPr>
          <w:rFonts w:hint="eastAsia" w:ascii="宋体" w:hAnsi="宋体" w:cs="宋体"/>
          <w:sz w:val="24"/>
        </w:rPr>
        <w:t>9.3.3 中小企业声明函（如有）；</w:t>
      </w:r>
    </w:p>
    <w:p>
      <w:pPr>
        <w:snapToGrid w:val="0"/>
        <w:spacing w:line="360" w:lineRule="auto"/>
        <w:ind w:firstLine="480" w:firstLineChars="200"/>
        <w:rPr>
          <w:rFonts w:ascii="宋体" w:hAnsi="宋体" w:cs="宋体"/>
          <w:sz w:val="24"/>
        </w:rPr>
      </w:pPr>
      <w:r>
        <w:rPr>
          <w:rFonts w:hint="eastAsia" w:ascii="宋体" w:hAnsi="宋体" w:cs="宋体"/>
          <w:sz w:val="24"/>
        </w:rPr>
        <w:t>9.3.4 残疾人福利性单位声明函（如有）；</w:t>
      </w:r>
    </w:p>
    <w:p>
      <w:pPr>
        <w:snapToGrid w:val="0"/>
        <w:spacing w:line="360" w:lineRule="auto"/>
        <w:ind w:firstLine="480" w:firstLineChars="200"/>
        <w:rPr>
          <w:rFonts w:ascii="宋体" w:hAnsi="宋体" w:cs="宋体"/>
          <w:sz w:val="24"/>
        </w:rPr>
      </w:pPr>
      <w:r>
        <w:rPr>
          <w:rFonts w:hint="eastAsia" w:ascii="宋体" w:hAnsi="宋体" w:cs="宋体"/>
          <w:sz w:val="24"/>
        </w:rPr>
        <w:t>9.3.5 监狱企业的证明文件（如有）；</w:t>
      </w:r>
    </w:p>
    <w:p>
      <w:pPr>
        <w:snapToGrid w:val="0"/>
        <w:spacing w:line="360" w:lineRule="auto"/>
        <w:ind w:firstLine="480" w:firstLineChars="200"/>
        <w:rPr>
          <w:rFonts w:ascii="宋体" w:hAnsi="宋体" w:cs="宋体"/>
          <w:sz w:val="24"/>
        </w:rPr>
      </w:pPr>
      <w:r>
        <w:rPr>
          <w:rFonts w:hint="eastAsia" w:ascii="宋体" w:hAnsi="宋体" w:cs="宋体"/>
          <w:sz w:val="24"/>
        </w:rPr>
        <w:t>9.3.6 政府采购统计基础信息表；</w:t>
      </w:r>
    </w:p>
    <w:p>
      <w:pPr>
        <w:snapToGrid w:val="0"/>
        <w:spacing w:line="360" w:lineRule="auto"/>
        <w:ind w:firstLine="480" w:firstLineChars="200"/>
        <w:rPr>
          <w:rFonts w:ascii="宋体" w:hAnsi="宋体" w:cs="宋体"/>
          <w:sz w:val="24"/>
        </w:rPr>
      </w:pPr>
      <w:r>
        <w:rPr>
          <w:rFonts w:hint="eastAsia" w:ascii="宋体" w:hAnsi="宋体" w:cs="宋体"/>
          <w:sz w:val="24"/>
        </w:rPr>
        <w:t>9.3.7其他资料（如有）。</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.1投标文件分为资格文件、商务技术文件、报价文件三部分。各供应商在编制投标文件时请按照招标文件第六部分规定的格式进行。</w:t>
      </w:r>
      <w:r>
        <w:rPr>
          <w:rFonts w:hint="eastAsia" w:ascii="宋体" w:hAnsi="宋体" w:cs="宋体"/>
          <w:kern w:val="0"/>
          <w:sz w:val="24"/>
        </w:rPr>
        <w:t>未有规定格式的资料，</w:t>
      </w:r>
      <w:r>
        <w:rPr>
          <w:rFonts w:hint="eastAsia" w:ascii="宋体" w:hAnsi="宋体" w:cs="宋体"/>
          <w:kern w:val="0"/>
          <w:sz w:val="24"/>
          <w:lang w:val="zh-CN"/>
        </w:rPr>
        <w:t>供应商</w:t>
      </w:r>
      <w:r>
        <w:rPr>
          <w:rFonts w:hint="eastAsia" w:ascii="宋体" w:hAnsi="宋体" w:cs="宋体"/>
          <w:kern w:val="0"/>
          <w:sz w:val="24"/>
        </w:rPr>
        <w:t>应自行编制，但至少须包含9.投标文件组成中的内容。</w:t>
      </w:r>
      <w:r>
        <w:rPr>
          <w:rFonts w:hint="eastAsia" w:ascii="宋体" w:hAnsi="宋体" w:cs="宋体"/>
          <w:kern w:val="0"/>
          <w:sz w:val="24"/>
          <w:lang w:val="zh-CN"/>
        </w:rPr>
        <w:t>混乱的编排导致投标文件被误读或评标委员会查找不到有效文件是供应商的风险。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.3使用“政采云电子交易客户端”需要提前申领CA数字证书，申领流程请自行前往“浙江政府采购网-下载专区-电子交易客户端-CA驱动和申领流程”进行查阅。</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投标文件的签署、盖章</w:t>
      </w:r>
    </w:p>
    <w:p>
      <w:pPr>
        <w:pStyle w:val="39"/>
        <w:snapToGrid w:val="0"/>
        <w:spacing w:before="0"/>
        <w:ind w:firstLine="480"/>
        <w:rPr>
          <w:rFonts w:ascii="宋体" w:hAnsi="宋体" w:cs="宋体"/>
          <w:b/>
        </w:rPr>
      </w:pPr>
      <w:r>
        <w:rPr>
          <w:rFonts w:hint="eastAsia" w:ascii="宋体" w:hAnsi="宋体" w:cs="宋体"/>
          <w:szCs w:val="24"/>
        </w:rPr>
        <w:t>11.1投标文件按照招标文件第六部分格式要</w:t>
      </w:r>
      <w:r>
        <w:rPr>
          <w:rFonts w:hint="eastAsia" w:ascii="宋体" w:hAnsi="宋体" w:cs="宋体"/>
        </w:rPr>
        <w:t>求进行签署、盖章。</w:t>
      </w:r>
      <w:r>
        <w:rPr>
          <w:rFonts w:hint="eastAsia" w:ascii="宋体" w:hAnsi="宋体" w:cs="宋体"/>
          <w:b/>
        </w:rPr>
        <w:t>▲供应商的投标文件未按照招标文件要求签署、盖章的，其投标无效</w:t>
      </w:r>
      <w:r>
        <w:rPr>
          <w:rFonts w:hint="eastAsia" w:ascii="宋体" w:hAnsi="宋体" w:cs="宋体"/>
          <w:szCs w:val="24"/>
        </w:rPr>
        <w:t>。</w:t>
      </w:r>
    </w:p>
    <w:p>
      <w:pPr>
        <w:pStyle w:val="39"/>
        <w:snapToGrid w:val="0"/>
        <w:spacing w:before="0"/>
        <w:ind w:firstLine="480"/>
        <w:rPr>
          <w:rFonts w:ascii="宋体" w:hAnsi="宋体" w:cs="宋体"/>
        </w:rPr>
      </w:pPr>
      <w:r>
        <w:rPr>
          <w:rFonts w:hint="eastAsia" w:ascii="宋体" w:hAnsi="宋体" w:cs="宋体"/>
        </w:rPr>
        <w:t>11.2为确保网上操作合法、有效和安全，</w:t>
      </w:r>
      <w:r>
        <w:rPr>
          <w:rFonts w:hint="eastAsia" w:ascii="宋体" w:hAnsi="宋体" w:cs="宋体"/>
          <w:kern w:val="0"/>
          <w:lang w:val="zh-CN"/>
        </w:rPr>
        <w:t>供应商</w:t>
      </w:r>
      <w:r>
        <w:rPr>
          <w:rFonts w:hint="eastAsia" w:ascii="宋体" w:hAnsi="宋体" w:cs="宋体"/>
        </w:rPr>
        <w:t>应当在投标截止时间前完成在“政府采购云平台”的身份认证，确保在电子投标过程中能够对相关数据电文进行加密和使用电子签名。</w:t>
      </w:r>
    </w:p>
    <w:p>
      <w:pPr>
        <w:pStyle w:val="39"/>
        <w:snapToGrid w:val="0"/>
        <w:spacing w:before="0"/>
        <w:ind w:firstLine="480"/>
        <w:rPr>
          <w:rFonts w:ascii="宋体" w:hAnsi="宋体" w:cs="宋体"/>
          <w:szCs w:val="24"/>
        </w:rPr>
      </w:pPr>
      <w:r>
        <w:rPr>
          <w:rFonts w:hint="eastAsia" w:ascii="宋体" w:hAnsi="宋体" w:cs="宋体"/>
        </w:rPr>
        <w:t>11.3招标文件对投标文件签署、盖章的要求适用于电子签名。</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投标文件的提交、补充、修改、撤回</w:t>
      </w:r>
    </w:p>
    <w:p>
      <w:pPr>
        <w:pStyle w:val="39"/>
        <w:ind w:firstLine="480"/>
        <w:rPr>
          <w:rFonts w:ascii="宋体" w:hAnsi="宋体" w:cs="宋体"/>
          <w:szCs w:val="24"/>
        </w:rPr>
      </w:pPr>
      <w:r>
        <w:rPr>
          <w:rFonts w:hint="eastAsia" w:ascii="宋体" w:hAnsi="宋体" w:cs="宋体"/>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9"/>
        <w:spacing w:before="0"/>
        <w:ind w:firstLine="480"/>
        <w:rPr>
          <w:rFonts w:ascii="宋体" w:hAnsi="宋体" w:cs="宋体"/>
          <w:szCs w:val="24"/>
        </w:rPr>
      </w:pPr>
      <w:r>
        <w:rPr>
          <w:rFonts w:hint="eastAsia" w:ascii="宋体" w:hAnsi="宋体" w:cs="宋体"/>
          <w:szCs w:val="24"/>
        </w:rPr>
        <w:t>12.2电子交易平台收到投标文件，将妥善保存并即时向供应商发出确认回执通知。在投标截止时间前，除供应商补充、修改或者撤回投标文件外，任何单位和个人不得解密或提取投标文件。</w:t>
      </w:r>
    </w:p>
    <w:p>
      <w:pPr>
        <w:pStyle w:val="39"/>
        <w:spacing w:before="0"/>
        <w:ind w:firstLine="480"/>
        <w:rPr>
          <w:rFonts w:ascii="宋体" w:hAnsi="宋体" w:cs="宋体"/>
          <w:szCs w:val="24"/>
        </w:rPr>
      </w:pPr>
      <w:r>
        <w:rPr>
          <w:rFonts w:hint="eastAsia" w:ascii="宋体" w:hAnsi="宋体" w:cs="宋体"/>
          <w:szCs w:val="24"/>
        </w:rPr>
        <w:t>12.3采购人、采购代理机构可以视情况延长投标文件提交的截止时间。在上述情况下，采购代理机构与</w:t>
      </w:r>
      <w:r>
        <w:rPr>
          <w:rFonts w:hint="eastAsia" w:ascii="宋体" w:hAnsi="宋体" w:cs="宋体"/>
          <w:kern w:val="0"/>
          <w:lang w:val="zh-CN"/>
        </w:rPr>
        <w:t>供应商</w:t>
      </w:r>
      <w:r>
        <w:rPr>
          <w:rFonts w:hint="eastAsia" w:ascii="宋体" w:hAnsi="宋体" w:cs="宋体"/>
          <w:szCs w:val="24"/>
        </w:rPr>
        <w:t>以前在投标截止期方面的全部权利、责任和义务，将适用于延长至新的投标截止期。</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投标有效期为从提交投标文件的截止之日起90天。▲</w:t>
      </w:r>
      <w:r>
        <w:rPr>
          <w:rFonts w:hint="eastAsia" w:ascii="宋体" w:hAnsi="宋体" w:cs="宋体"/>
          <w:b/>
          <w:sz w:val="24"/>
          <w:szCs w:val="20"/>
        </w:rPr>
        <w:t>供应商的投标文件中承</w:t>
      </w:r>
      <w:r>
        <w:rPr>
          <w:rFonts w:hint="eastAsia" w:ascii="宋体" w:hAnsi="宋体" w:cs="宋体"/>
          <w:b/>
          <w:sz w:val="24"/>
          <w:szCs w:val="21"/>
        </w:rPr>
        <w:t>诺的投标有效期少于招标文件中载明的投标有效期的，投标无效。</w:t>
      </w:r>
    </w:p>
    <w:p>
      <w:pPr>
        <w:pStyle w:val="39"/>
        <w:spacing w:before="0"/>
        <w:ind w:firstLine="643"/>
        <w:rPr>
          <w:rFonts w:ascii="宋体" w:hAnsi="宋体" w:cs="宋体"/>
          <w:b/>
          <w:sz w:val="32"/>
        </w:rPr>
      </w:pPr>
    </w:p>
    <w:p>
      <w:pPr>
        <w:pStyle w:val="39"/>
        <w:spacing w:before="0"/>
        <w:ind w:firstLine="1928" w:firstLineChars="600"/>
        <w:rPr>
          <w:rFonts w:ascii="宋体" w:hAnsi="宋体" w:cs="宋体"/>
          <w:b/>
          <w:sz w:val="32"/>
        </w:rPr>
      </w:pPr>
      <w:r>
        <w:rPr>
          <w:rFonts w:hint="eastAsia" w:ascii="宋体" w:hAnsi="宋体" w:cs="宋体"/>
          <w:b/>
          <w:sz w:val="32"/>
        </w:rPr>
        <w:t>四、开标、资格审查与信用信息查询</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 xml:space="preserve">开标 </w:t>
      </w:r>
    </w:p>
    <w:p>
      <w:pPr>
        <w:pStyle w:val="32"/>
        <w:spacing w:before="0" w:line="360" w:lineRule="auto"/>
        <w:ind w:left="0" w:firstLine="480" w:firstLineChars="200"/>
        <w:contextualSpacing/>
        <w:rPr>
          <w:rFonts w:ascii="宋体" w:hAnsi="宋体" w:cs="宋体"/>
          <w:sz w:val="24"/>
        </w:rPr>
      </w:pPr>
      <w:r>
        <w:rPr>
          <w:rFonts w:hint="eastAsia" w:ascii="宋体" w:hAnsi="宋体" w:cs="宋体"/>
          <w:sz w:val="24"/>
        </w:rPr>
        <w:t>14.1采购代理机构按照招标文件规定的时间通过电子交易平台组织开标，所有</w:t>
      </w:r>
      <w:r>
        <w:rPr>
          <w:rFonts w:hint="eastAsia" w:ascii="宋体" w:hAnsi="宋体" w:cs="宋体"/>
          <w:sz w:val="24"/>
          <w:lang w:val="zh-CN"/>
        </w:rPr>
        <w:t>供应商</w:t>
      </w:r>
      <w:r>
        <w:rPr>
          <w:rFonts w:hint="eastAsia" w:ascii="宋体" w:hAnsi="宋体" w:cs="宋体"/>
          <w:sz w:val="24"/>
        </w:rPr>
        <w:t>均应当准时在线参加。</w:t>
      </w:r>
      <w:r>
        <w:rPr>
          <w:rFonts w:hint="eastAsia" w:ascii="宋体" w:hAnsi="宋体" w:cs="宋体"/>
          <w:sz w:val="24"/>
          <w:lang w:val="zh-CN"/>
        </w:rPr>
        <w:t>供应商</w:t>
      </w:r>
      <w:r>
        <w:rPr>
          <w:rFonts w:hint="eastAsia" w:ascii="宋体" w:hAnsi="宋体" w:cs="宋体"/>
          <w:sz w:val="24"/>
        </w:rPr>
        <w:t>不足3家的，不得开标。</w:t>
      </w:r>
    </w:p>
    <w:p>
      <w:pPr>
        <w:pStyle w:val="32"/>
        <w:spacing w:before="0" w:line="360" w:lineRule="auto"/>
        <w:ind w:left="0" w:firstLine="240" w:firstLineChars="100"/>
        <w:contextualSpacing/>
        <w:rPr>
          <w:rFonts w:ascii="宋体" w:hAnsi="宋体" w:cs="宋体"/>
          <w:sz w:val="24"/>
        </w:rPr>
      </w:pPr>
      <w:r>
        <w:rPr>
          <w:rFonts w:hint="eastAsia" w:ascii="宋体" w:hAnsi="宋体" w:cs="宋体"/>
          <w:sz w:val="24"/>
        </w:rPr>
        <w:t>　14.2开标时，电子交易平台按开标时间自动提取所有投标文件。采购代理机构依托电子交易平台发起开始解密指令，</w:t>
      </w:r>
      <w:r>
        <w:rPr>
          <w:rFonts w:hint="eastAsia" w:ascii="宋体" w:hAnsi="宋体" w:cs="宋体"/>
          <w:sz w:val="24"/>
          <w:lang w:val="zh-CN"/>
        </w:rPr>
        <w:t>供应商</w:t>
      </w:r>
      <w:r>
        <w:rPr>
          <w:rFonts w:hint="eastAsia" w:ascii="宋体" w:hAnsi="宋体" w:cs="宋体"/>
          <w:sz w:val="24"/>
        </w:rPr>
        <w:t>按照平台提示和招标文件的规定在半小时内完成在线解密。</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资格审查</w:t>
      </w:r>
    </w:p>
    <w:p>
      <w:pPr>
        <w:pStyle w:val="39"/>
        <w:spacing w:before="0"/>
        <w:ind w:firstLine="480"/>
        <w:rPr>
          <w:rFonts w:ascii="宋体" w:hAnsi="宋体" w:cs="宋体"/>
          <w:kern w:val="0"/>
          <w:szCs w:val="24"/>
        </w:rPr>
      </w:pPr>
      <w:r>
        <w:rPr>
          <w:rFonts w:hint="eastAsia" w:ascii="宋体" w:hAnsi="宋体" w:cs="宋体"/>
          <w:kern w:val="0"/>
          <w:szCs w:val="24"/>
        </w:rPr>
        <w:t>15.1开标后，采购人或采购代理机构依据法律法规和招标文件的规定，对供应商的资格条件进行审查。</w:t>
      </w:r>
    </w:p>
    <w:p>
      <w:pPr>
        <w:pStyle w:val="39"/>
        <w:spacing w:before="0"/>
        <w:ind w:firstLine="480"/>
        <w:rPr>
          <w:rFonts w:ascii="宋体" w:hAnsi="宋体" w:cs="宋体"/>
        </w:rPr>
      </w:pPr>
      <w:r>
        <w:rPr>
          <w:rFonts w:hint="eastAsia" w:ascii="宋体" w:hAnsi="宋体" w:cs="宋体"/>
          <w:kern w:val="0"/>
          <w:szCs w:val="24"/>
        </w:rPr>
        <w:t>15.</w:t>
      </w:r>
      <w:r>
        <w:rPr>
          <w:rFonts w:hint="eastAsia" w:ascii="宋体" w:hAnsi="宋体" w:cs="宋体"/>
        </w:rPr>
        <w:t>2对未通过资格审查的供应商，采购人或采购代理机构告知其未通过的原因。</w:t>
      </w:r>
    </w:p>
    <w:p>
      <w:pPr>
        <w:pStyle w:val="39"/>
        <w:spacing w:before="0"/>
        <w:ind w:firstLine="480"/>
        <w:rPr>
          <w:rFonts w:ascii="宋体" w:hAnsi="宋体" w:cs="宋体"/>
        </w:rPr>
      </w:pPr>
      <w:r>
        <w:rPr>
          <w:rFonts w:hint="eastAsia" w:ascii="宋体" w:hAnsi="宋体" w:cs="宋体"/>
          <w:kern w:val="0"/>
          <w:szCs w:val="24"/>
        </w:rPr>
        <w:t>15.</w:t>
      </w:r>
      <w:r>
        <w:rPr>
          <w:rFonts w:hint="eastAsia" w:ascii="宋体" w:hAnsi="宋体" w:cs="宋体"/>
        </w:rPr>
        <w:t>3合格供应商不足3家的，不再评标。</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信用信息查询</w:t>
      </w:r>
    </w:p>
    <w:p>
      <w:pPr>
        <w:pStyle w:val="39"/>
        <w:spacing w:before="0"/>
        <w:ind w:firstLine="495" w:firstLineChars="0"/>
        <w:rPr>
          <w:rFonts w:ascii="宋体" w:hAnsi="宋体" w:cs="宋体"/>
          <w:kern w:val="0"/>
          <w:szCs w:val="24"/>
        </w:rPr>
      </w:pPr>
      <w:r>
        <w:rPr>
          <w:rFonts w:hint="eastAsia" w:ascii="宋体" w:hAnsi="宋体" w:cs="宋体"/>
          <w:kern w:val="0"/>
          <w:szCs w:val="24"/>
        </w:rPr>
        <w:t>16.1信用信息查询渠道及截止时间：采购代理机构将通过“信用中国”网站(www.creditchina.gov.cn)、中国政府采购网(www.ccgp.gov.cn)渠道查询供应商投标截止时间当天的信用记录。</w:t>
      </w:r>
    </w:p>
    <w:p>
      <w:pPr>
        <w:pStyle w:val="39"/>
        <w:spacing w:before="0"/>
        <w:ind w:firstLine="495" w:firstLineChars="0"/>
        <w:rPr>
          <w:rFonts w:ascii="宋体" w:hAnsi="宋体" w:cs="宋体"/>
          <w:kern w:val="0"/>
          <w:szCs w:val="24"/>
        </w:rPr>
      </w:pPr>
      <w:r>
        <w:rPr>
          <w:rFonts w:hint="eastAsia" w:ascii="宋体" w:hAnsi="宋体" w:cs="宋体"/>
          <w:kern w:val="0"/>
          <w:szCs w:val="24"/>
        </w:rPr>
        <w:t>16.2信用信息的使用规则：经查询列入失信被执行人名单、重大税收违法案件当事人名单、政府采购严重违法失信行为记录名单的</w:t>
      </w:r>
      <w:r>
        <w:rPr>
          <w:rFonts w:hint="eastAsia" w:ascii="宋体" w:hAnsi="宋体" w:cs="宋体"/>
          <w:kern w:val="0"/>
          <w:lang w:val="zh-CN"/>
        </w:rPr>
        <w:t>供应商</w:t>
      </w:r>
      <w:r>
        <w:rPr>
          <w:rFonts w:hint="eastAsia" w:ascii="宋体" w:hAnsi="宋体" w:cs="宋体"/>
          <w:kern w:val="0"/>
          <w:szCs w:val="24"/>
        </w:rPr>
        <w:t>将被拒绝参与政府采购活动。</w:t>
      </w:r>
    </w:p>
    <w:p>
      <w:pPr>
        <w:pStyle w:val="39"/>
        <w:spacing w:before="0"/>
        <w:ind w:firstLine="480"/>
        <w:rPr>
          <w:rFonts w:ascii="宋体" w:hAnsi="宋体" w:cs="宋体"/>
          <w:kern w:val="0"/>
          <w:szCs w:val="24"/>
        </w:rPr>
      </w:pPr>
      <w:r>
        <w:rPr>
          <w:rFonts w:hint="eastAsia" w:ascii="宋体" w:hAnsi="宋体" w:cs="宋体"/>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0"/>
        <w:rPr>
          <w:rFonts w:ascii="宋体" w:hAnsi="宋体" w:cs="宋体"/>
          <w:b/>
          <w:sz w:val="32"/>
          <w:szCs w:val="32"/>
        </w:rPr>
      </w:pPr>
      <w:r>
        <w:rPr>
          <w:rFonts w:hint="eastAsia" w:ascii="宋体" w:hAnsi="宋体" w:cs="宋体"/>
          <w:b/>
          <w:sz w:val="32"/>
          <w:szCs w:val="32"/>
        </w:rPr>
        <w:t>五、评标</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bookmarkStart w:id="43" w:name="_Toc91899903"/>
      <w:r>
        <w:rPr>
          <w:rFonts w:hint="eastAsia" w:ascii="宋体" w:hAnsi="宋体" w:cs="宋体"/>
          <w:b/>
          <w:sz w:val="24"/>
        </w:rPr>
        <w:t>评标委员会</w:t>
      </w:r>
    </w:p>
    <w:p>
      <w:pPr>
        <w:pStyle w:val="39"/>
        <w:spacing w:before="0"/>
        <w:ind w:firstLine="480"/>
        <w:rPr>
          <w:rFonts w:ascii="宋体" w:hAnsi="宋体" w:cs="宋体"/>
          <w:kern w:val="0"/>
          <w:szCs w:val="24"/>
        </w:rPr>
      </w:pPr>
      <w:r>
        <w:rPr>
          <w:rFonts w:hint="eastAsia" w:ascii="宋体" w:hAnsi="宋体" w:cs="宋体"/>
          <w:kern w:val="0"/>
          <w:szCs w:val="24"/>
        </w:rPr>
        <w:t>17.1 本次招标依法组建评标委员会。评标委员会由采购人代表和评审专家组成，评审专家从专家库随机抽取。</w:t>
      </w:r>
    </w:p>
    <w:p>
      <w:pPr>
        <w:pStyle w:val="39"/>
        <w:spacing w:before="0"/>
        <w:ind w:firstLine="480"/>
        <w:rPr>
          <w:rFonts w:ascii="宋体" w:hAnsi="宋体" w:cs="宋体"/>
          <w:kern w:val="0"/>
          <w:szCs w:val="24"/>
        </w:rPr>
      </w:pPr>
      <w:r>
        <w:rPr>
          <w:rFonts w:hint="eastAsia" w:ascii="宋体" w:hAnsi="宋体" w:cs="宋体"/>
          <w:kern w:val="0"/>
          <w:szCs w:val="24"/>
        </w:rPr>
        <w:t>17.2 评标原则。评标委员会必须遵循公平、公正、客观、科学的原则和规定的程序进行评标；评标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pStyle w:val="39"/>
        <w:spacing w:before="0"/>
        <w:ind w:firstLine="480"/>
        <w:rPr>
          <w:rFonts w:ascii="宋体" w:hAnsi="宋体" w:cs="宋体"/>
          <w:kern w:val="0"/>
          <w:szCs w:val="24"/>
        </w:rPr>
      </w:pPr>
      <w:r>
        <w:rPr>
          <w:rFonts w:hint="eastAsia" w:ascii="宋体" w:hAnsi="宋体" w:cs="宋体"/>
          <w:kern w:val="0"/>
          <w:szCs w:val="24"/>
        </w:rPr>
        <w:t>17.3 评审专家有下列情形之一的，应主动提出回避，采购当事人也可以要求该评审专家回避：</w:t>
      </w:r>
    </w:p>
    <w:p>
      <w:pPr>
        <w:pStyle w:val="39"/>
        <w:spacing w:before="0"/>
        <w:ind w:firstLine="480"/>
        <w:rPr>
          <w:rFonts w:ascii="宋体" w:hAnsi="宋体" w:cs="宋体"/>
          <w:kern w:val="0"/>
          <w:szCs w:val="24"/>
        </w:rPr>
      </w:pPr>
      <w:r>
        <w:rPr>
          <w:rFonts w:hint="eastAsia" w:ascii="宋体" w:hAnsi="宋体" w:cs="宋体"/>
          <w:kern w:val="0"/>
          <w:szCs w:val="24"/>
        </w:rPr>
        <w:t>17.3.1 参加采购活动前3年内与供应商存在劳动关系；</w:t>
      </w:r>
    </w:p>
    <w:p>
      <w:pPr>
        <w:pStyle w:val="39"/>
        <w:spacing w:before="0"/>
        <w:ind w:firstLine="480"/>
        <w:rPr>
          <w:rFonts w:ascii="宋体" w:hAnsi="宋体" w:cs="宋体"/>
          <w:kern w:val="0"/>
          <w:szCs w:val="24"/>
        </w:rPr>
      </w:pPr>
      <w:r>
        <w:rPr>
          <w:rFonts w:hint="eastAsia" w:ascii="宋体" w:hAnsi="宋体" w:cs="宋体"/>
          <w:kern w:val="0"/>
          <w:szCs w:val="24"/>
        </w:rPr>
        <w:t>17.3.2 参加采购活动前3年内担任供应商的董事、监事；</w:t>
      </w:r>
    </w:p>
    <w:p>
      <w:pPr>
        <w:pStyle w:val="39"/>
        <w:spacing w:before="0"/>
        <w:ind w:firstLine="480"/>
        <w:rPr>
          <w:rFonts w:ascii="宋体" w:hAnsi="宋体" w:cs="宋体"/>
          <w:kern w:val="0"/>
          <w:szCs w:val="24"/>
        </w:rPr>
      </w:pPr>
      <w:r>
        <w:rPr>
          <w:rFonts w:hint="eastAsia" w:ascii="宋体" w:hAnsi="宋体" w:cs="宋体"/>
          <w:kern w:val="0"/>
          <w:szCs w:val="24"/>
        </w:rPr>
        <w:t>17.3.3 参加采购活动前3年内是供应商的控股股东或者实际控制人；</w:t>
      </w:r>
    </w:p>
    <w:p>
      <w:pPr>
        <w:pStyle w:val="39"/>
        <w:spacing w:before="0"/>
        <w:ind w:firstLine="480"/>
        <w:rPr>
          <w:rFonts w:ascii="宋体" w:hAnsi="宋体" w:cs="宋体"/>
          <w:kern w:val="0"/>
          <w:szCs w:val="24"/>
        </w:rPr>
      </w:pPr>
      <w:r>
        <w:rPr>
          <w:rFonts w:hint="eastAsia" w:ascii="宋体" w:hAnsi="宋体" w:cs="宋体"/>
          <w:kern w:val="0"/>
          <w:szCs w:val="24"/>
        </w:rPr>
        <w:t>17.3.4 与供应商的法定代表人或者负责人有夫妻、直系血亲、三代以内旁系血亲或者近姻亲关系；</w:t>
      </w:r>
    </w:p>
    <w:p>
      <w:pPr>
        <w:pStyle w:val="39"/>
        <w:spacing w:before="0"/>
        <w:ind w:firstLine="480"/>
        <w:rPr>
          <w:rFonts w:ascii="宋体" w:hAnsi="宋体" w:cs="宋体"/>
          <w:kern w:val="0"/>
          <w:szCs w:val="24"/>
        </w:rPr>
      </w:pPr>
      <w:r>
        <w:rPr>
          <w:rFonts w:hint="eastAsia" w:ascii="宋体" w:hAnsi="宋体" w:cs="宋体"/>
          <w:kern w:val="0"/>
          <w:szCs w:val="24"/>
        </w:rPr>
        <w:t>17.3.5 与供应商有其他可能影响政府采购活动公平、公正进行的关系。</w:t>
      </w:r>
    </w:p>
    <w:p>
      <w:pPr>
        <w:pStyle w:val="39"/>
        <w:spacing w:before="0"/>
        <w:ind w:firstLine="480"/>
        <w:rPr>
          <w:rFonts w:ascii="宋体" w:hAnsi="宋体" w:cs="宋体"/>
          <w:kern w:val="0"/>
          <w:szCs w:val="24"/>
        </w:rPr>
      </w:pPr>
      <w:r>
        <w:rPr>
          <w:rFonts w:hint="eastAsia" w:ascii="宋体" w:hAnsi="宋体" w:cs="宋体"/>
          <w:kern w:val="0"/>
          <w:szCs w:val="24"/>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9"/>
        <w:spacing w:before="0"/>
        <w:ind w:firstLine="480"/>
        <w:rPr>
          <w:rFonts w:ascii="宋体" w:hAnsi="宋体" w:cs="宋体"/>
          <w:kern w:val="0"/>
          <w:szCs w:val="24"/>
        </w:rPr>
      </w:pPr>
      <w:r>
        <w:rPr>
          <w:rFonts w:hint="eastAsia" w:ascii="宋体" w:hAnsi="宋体" w:cs="宋体"/>
          <w:kern w:val="0"/>
          <w:szCs w:val="24"/>
        </w:rPr>
        <w:t>17.4 评标委员会判断投标文件的有效性、合格性和响应情况，仅依据投标人所递交一切文件的真实表述，不受与本项目无直接关联的外部信息、传言而影响自身的专业判断。</w:t>
      </w:r>
    </w:p>
    <w:p>
      <w:pPr>
        <w:pStyle w:val="39"/>
        <w:spacing w:before="0"/>
        <w:ind w:firstLine="480"/>
        <w:rPr>
          <w:rFonts w:ascii="宋体" w:hAnsi="宋体" w:cs="宋体"/>
        </w:rPr>
      </w:pPr>
      <w:r>
        <w:rPr>
          <w:rFonts w:hint="eastAsia" w:ascii="宋体" w:hAnsi="宋体" w:cs="宋体"/>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评标</w:t>
      </w:r>
    </w:p>
    <w:p>
      <w:pPr>
        <w:pStyle w:val="39"/>
        <w:spacing w:before="0"/>
        <w:ind w:firstLine="480"/>
        <w:rPr>
          <w:rFonts w:ascii="宋体" w:hAnsi="宋体" w:cs="宋体"/>
          <w:kern w:val="0"/>
          <w:szCs w:val="24"/>
        </w:rPr>
      </w:pPr>
      <w:r>
        <w:rPr>
          <w:rFonts w:hint="eastAsia" w:ascii="宋体" w:hAnsi="宋体" w:cs="宋体"/>
          <w:kern w:val="0"/>
          <w:szCs w:val="24"/>
        </w:rPr>
        <w:t>评标委员会将根据招标文件和有关规定，履行评标工作职责，并按照评标方法及评分标准，全面衡量各</w:t>
      </w:r>
      <w:r>
        <w:rPr>
          <w:rFonts w:hint="eastAsia" w:ascii="宋体" w:hAnsi="宋体" w:cs="宋体"/>
          <w:kern w:val="0"/>
          <w:lang w:val="zh-CN"/>
        </w:rPr>
        <w:t>供应商</w:t>
      </w:r>
      <w:r>
        <w:rPr>
          <w:rFonts w:hint="eastAsia" w:ascii="宋体" w:hAnsi="宋体" w:cs="宋体"/>
          <w:kern w:val="0"/>
          <w:szCs w:val="24"/>
        </w:rPr>
        <w:t>对招标文件的响应情况。对实质上响应招标文件的</w:t>
      </w:r>
      <w:r>
        <w:rPr>
          <w:rFonts w:hint="eastAsia" w:ascii="宋体" w:hAnsi="宋体" w:cs="宋体"/>
          <w:kern w:val="0"/>
          <w:lang w:val="zh-CN"/>
        </w:rPr>
        <w:t>供应商</w:t>
      </w:r>
      <w:r>
        <w:rPr>
          <w:rFonts w:hint="eastAsia" w:ascii="宋体" w:hAnsi="宋体" w:cs="宋体"/>
          <w:kern w:val="0"/>
          <w:szCs w:val="24"/>
        </w:rPr>
        <w:t>，按照评审因素的量化指标推荐综合得分排名第一的为中标候选人。</w:t>
      </w:r>
    </w:p>
    <w:p>
      <w:pPr>
        <w:pStyle w:val="39"/>
        <w:spacing w:before="0"/>
        <w:ind w:firstLine="480"/>
        <w:rPr>
          <w:rFonts w:ascii="宋体" w:hAnsi="宋体" w:cs="宋体"/>
          <w:kern w:val="0"/>
          <w:szCs w:val="24"/>
        </w:rPr>
      </w:pPr>
      <w:r>
        <w:rPr>
          <w:rFonts w:hint="eastAsia" w:ascii="宋体" w:hAnsi="宋体" w:cs="宋体"/>
          <w:kern w:val="0"/>
          <w:szCs w:val="24"/>
        </w:rPr>
        <w:t>得分相同的，按投标报价由低到高顺序排列。得分且投标报价相同的，投标文件满足招标文件全部实质性要求，且按照评审因素的量化指标评审得分最高的</w:t>
      </w:r>
      <w:r>
        <w:rPr>
          <w:rFonts w:hint="eastAsia" w:ascii="宋体" w:hAnsi="宋体" w:cs="宋体"/>
          <w:kern w:val="0"/>
          <w:lang w:val="zh-CN"/>
        </w:rPr>
        <w:t>供应商</w:t>
      </w:r>
      <w:r>
        <w:rPr>
          <w:rFonts w:hint="eastAsia" w:ascii="宋体" w:hAnsi="宋体" w:cs="宋体"/>
          <w:kern w:val="0"/>
          <w:szCs w:val="24"/>
        </w:rPr>
        <w:t>为排名第一的中标候选人。</w:t>
      </w:r>
    </w:p>
    <w:p>
      <w:pPr>
        <w:pStyle w:val="39"/>
        <w:spacing w:before="0"/>
        <w:ind w:firstLine="480"/>
        <w:rPr>
          <w:rFonts w:ascii="宋体" w:hAnsi="宋体" w:cs="宋体"/>
          <w:kern w:val="0"/>
          <w:szCs w:val="24"/>
        </w:rPr>
      </w:pPr>
      <w:r>
        <w:rPr>
          <w:rFonts w:hint="eastAsia" w:ascii="宋体" w:hAnsi="宋体" w:cs="宋体"/>
          <w:kern w:val="0"/>
          <w:szCs w:val="24"/>
        </w:rPr>
        <w:t>详见招标文件第四部分评标办法。</w:t>
      </w:r>
    </w:p>
    <w:p>
      <w:pPr>
        <w:spacing w:line="360" w:lineRule="auto"/>
        <w:rPr>
          <w:rFonts w:ascii="宋体" w:hAnsi="宋体" w:cs="宋体"/>
          <w:b/>
          <w:sz w:val="32"/>
          <w:szCs w:val="32"/>
        </w:rPr>
      </w:pPr>
    </w:p>
    <w:p>
      <w:pPr>
        <w:snapToGrid w:val="0"/>
        <w:spacing w:line="360" w:lineRule="auto"/>
        <w:jc w:val="center"/>
        <w:outlineLvl w:val="0"/>
        <w:rPr>
          <w:rFonts w:ascii="宋体" w:hAnsi="宋体" w:cs="宋体"/>
          <w:b/>
          <w:sz w:val="32"/>
          <w:szCs w:val="32"/>
        </w:rPr>
      </w:pPr>
      <w:r>
        <w:rPr>
          <w:rFonts w:hint="eastAsia" w:ascii="宋体" w:hAnsi="宋体" w:cs="宋体"/>
          <w:b/>
          <w:sz w:val="32"/>
          <w:szCs w:val="32"/>
        </w:rPr>
        <w:t>六、定 标</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确定中标供应商</w:t>
      </w:r>
    </w:p>
    <w:p>
      <w:pPr>
        <w:pStyle w:val="39"/>
        <w:spacing w:before="0"/>
        <w:ind w:firstLine="480"/>
        <w:rPr>
          <w:rFonts w:ascii="宋体" w:hAnsi="宋体" w:cs="宋体"/>
          <w:kern w:val="0"/>
          <w:szCs w:val="24"/>
        </w:rPr>
      </w:pPr>
      <w:r>
        <w:rPr>
          <w:rFonts w:hint="eastAsia" w:ascii="宋体" w:hAnsi="宋体" w:cs="宋体"/>
          <w:kern w:val="0"/>
          <w:szCs w:val="24"/>
        </w:rPr>
        <w:t>本项目由评标委员会推荐一个中标候选人，采购人不得在评标委员会推荐的中标候选人以外确定中标候选人。</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中标通知与中标结果公告</w:t>
      </w:r>
    </w:p>
    <w:p>
      <w:pPr>
        <w:pStyle w:val="39"/>
        <w:spacing w:before="0"/>
        <w:ind w:firstLine="480"/>
        <w:rPr>
          <w:rFonts w:ascii="宋体" w:hAnsi="宋体" w:cs="宋体"/>
          <w:kern w:val="0"/>
          <w:szCs w:val="24"/>
        </w:rPr>
      </w:pPr>
      <w:r>
        <w:rPr>
          <w:rFonts w:hint="eastAsia" w:ascii="宋体" w:hAnsi="宋体" w:cs="宋体"/>
          <w:kern w:val="0"/>
          <w:szCs w:val="24"/>
        </w:rPr>
        <w:t>20.1自中标人确定之日起2个工作日内，采购代理机构通过电子交易平台向中标人发出中标通知书，同时编制发布采购结果公告。采购代理机构也可以以纸质形式进行中标通知。</w:t>
      </w:r>
    </w:p>
    <w:p>
      <w:pPr>
        <w:pStyle w:val="39"/>
        <w:spacing w:before="0"/>
        <w:ind w:firstLine="480"/>
        <w:rPr>
          <w:rFonts w:ascii="宋体" w:hAnsi="宋体" w:cs="宋体"/>
          <w:kern w:val="0"/>
          <w:szCs w:val="24"/>
        </w:rPr>
      </w:pPr>
      <w:r>
        <w:rPr>
          <w:rFonts w:hint="eastAsia" w:ascii="宋体" w:hAnsi="宋体" w:cs="宋体"/>
          <w:kern w:val="0"/>
          <w:szCs w:val="24"/>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pPr>
        <w:pStyle w:val="39"/>
        <w:spacing w:before="0"/>
        <w:ind w:firstLine="480"/>
        <w:rPr>
          <w:rFonts w:ascii="宋体" w:hAnsi="宋体" w:cs="宋体"/>
          <w:kern w:val="0"/>
          <w:szCs w:val="24"/>
        </w:rPr>
      </w:pPr>
      <w:r>
        <w:rPr>
          <w:rFonts w:hint="eastAsia" w:ascii="宋体" w:hAnsi="宋体" w:cs="宋体"/>
          <w:kern w:val="0"/>
          <w:szCs w:val="24"/>
        </w:rPr>
        <w:t>20.3公告期限为1个工作日。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合同授予</w:t>
      </w:r>
    </w:p>
    <w:p>
      <w:pPr>
        <w:pStyle w:val="39"/>
        <w:spacing w:before="0"/>
        <w:ind w:firstLine="480"/>
        <w:rPr>
          <w:rFonts w:ascii="宋体" w:hAnsi="宋体" w:cs="宋体"/>
          <w:kern w:val="0"/>
          <w:szCs w:val="24"/>
        </w:rPr>
      </w:pPr>
      <w:r>
        <w:rPr>
          <w:rFonts w:hint="eastAsia" w:ascii="宋体" w:hAnsi="宋体" w:cs="宋体"/>
          <w:kern w:val="0"/>
          <w:szCs w:val="24"/>
        </w:rPr>
        <w:t>合同主要条款详见第五部分拟签订的合同文本。</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合同的签订</w:t>
      </w:r>
    </w:p>
    <w:p>
      <w:pPr>
        <w:pStyle w:val="39"/>
        <w:spacing w:before="0"/>
        <w:ind w:firstLine="480"/>
        <w:rPr>
          <w:rFonts w:ascii="宋体" w:hAnsi="宋体" w:cs="宋体"/>
          <w:kern w:val="0"/>
          <w:szCs w:val="24"/>
        </w:rPr>
      </w:pPr>
      <w:r>
        <w:rPr>
          <w:rFonts w:hint="eastAsia" w:ascii="宋体" w:hAnsi="宋体" w:cs="宋体"/>
          <w:kern w:val="0"/>
          <w:szCs w:val="24"/>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39"/>
        <w:spacing w:before="0"/>
        <w:ind w:firstLine="480"/>
        <w:rPr>
          <w:rFonts w:ascii="宋体" w:hAnsi="宋体" w:cs="宋体"/>
          <w:kern w:val="0"/>
          <w:szCs w:val="24"/>
        </w:rPr>
      </w:pPr>
      <w:r>
        <w:rPr>
          <w:rFonts w:hint="eastAsia" w:ascii="宋体" w:hAnsi="宋体" w:cs="宋体"/>
          <w:kern w:val="0"/>
          <w:szCs w:val="24"/>
          <w:lang w:val="zh-CN"/>
        </w:rPr>
        <w:t>2</w:t>
      </w:r>
      <w:r>
        <w:rPr>
          <w:rFonts w:hint="eastAsia" w:ascii="宋体" w:hAnsi="宋体" w:cs="宋体"/>
          <w:kern w:val="0"/>
          <w:szCs w:val="24"/>
        </w:rPr>
        <w:t>2</w:t>
      </w:r>
      <w:r>
        <w:rPr>
          <w:rFonts w:hint="eastAsia" w:ascii="宋体" w:hAnsi="宋体" w:cs="宋体"/>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pPr>
        <w:pStyle w:val="39"/>
        <w:spacing w:before="0"/>
        <w:ind w:firstLine="480"/>
        <w:rPr>
          <w:rFonts w:ascii="宋体" w:hAnsi="宋体" w:cs="宋体"/>
          <w:kern w:val="0"/>
          <w:szCs w:val="24"/>
        </w:rPr>
      </w:pPr>
      <w:r>
        <w:rPr>
          <w:rFonts w:hint="eastAsia" w:ascii="宋体" w:hAnsi="宋体" w:cs="宋体"/>
          <w:kern w:val="0"/>
          <w:szCs w:val="24"/>
        </w:rPr>
        <w:t>22.3如签订合同并生效后，供应商无故拒绝或延期，除按照合同条款处理外，列入不良行为记录名单，并给予通报。</w:t>
      </w:r>
    </w:p>
    <w:p>
      <w:pPr>
        <w:pStyle w:val="39"/>
        <w:spacing w:before="0"/>
        <w:ind w:firstLine="480"/>
        <w:rPr>
          <w:rFonts w:ascii="宋体" w:hAnsi="宋体" w:cs="宋体"/>
          <w:kern w:val="0"/>
          <w:szCs w:val="24"/>
        </w:rPr>
      </w:pPr>
      <w:r>
        <w:rPr>
          <w:rFonts w:hint="eastAsia" w:ascii="宋体" w:hAnsi="宋体" w:cs="宋体"/>
          <w:kern w:val="0"/>
          <w:szCs w:val="24"/>
        </w:rPr>
        <w:t>22.4中标供应商拒绝与采购人签订合同的，列入不良行为记录名单，采购人、采购代理机构重新开展政府采购活动。</w:t>
      </w:r>
    </w:p>
    <w:p>
      <w:pPr>
        <w:pStyle w:val="39"/>
        <w:spacing w:before="0"/>
        <w:ind w:firstLine="480"/>
        <w:rPr>
          <w:rFonts w:ascii="宋体" w:hAnsi="宋体" w:cs="宋体"/>
          <w:kern w:val="0"/>
          <w:szCs w:val="24"/>
        </w:rPr>
      </w:pPr>
      <w:r>
        <w:rPr>
          <w:rFonts w:hint="eastAsia" w:ascii="宋体" w:hAnsi="宋体" w:cs="宋体"/>
          <w:kern w:val="0"/>
          <w:szCs w:val="24"/>
        </w:rPr>
        <w:t>22.5采购合同由采购人与中标供应商根据招标文件、投标文件等内容通过政府采购电子交易平台在线签订，自动备案。</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履约保证金</w:t>
      </w:r>
    </w:p>
    <w:p>
      <w:pPr>
        <w:tabs>
          <w:tab w:val="left" w:pos="0"/>
        </w:tabs>
        <w:spacing w:line="360" w:lineRule="auto"/>
        <w:ind w:firstLine="482"/>
        <w:rPr>
          <w:rFonts w:ascii="宋体" w:hAnsi="宋体" w:cs="宋体"/>
          <w:b/>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w:t>
      </w:r>
      <w:r>
        <w:rPr>
          <w:rFonts w:hint="eastAsia" w:ascii="宋体" w:hAnsi="宋体" w:cs="宋体"/>
          <w:b/>
          <w:sz w:val="24"/>
        </w:rPr>
        <w:t>采购人不得拒收履约保函。</w:t>
      </w:r>
    </w:p>
    <w:p>
      <w:pPr>
        <w:pStyle w:val="7"/>
        <w:rPr>
          <w:rFonts w:hAnsi="宋体" w:cs="宋体"/>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电子交易活动的中止</w:t>
      </w:r>
    </w:p>
    <w:p>
      <w:pPr>
        <w:tabs>
          <w:tab w:val="left" w:pos="0"/>
        </w:tabs>
        <w:spacing w:line="360" w:lineRule="auto"/>
        <w:ind w:firstLine="480"/>
        <w:rPr>
          <w:rFonts w:ascii="宋体" w:hAnsi="宋体" w:cs="宋体"/>
          <w:kern w:val="0"/>
          <w:sz w:val="24"/>
        </w:rPr>
      </w:pPr>
      <w:r>
        <w:rPr>
          <w:rFonts w:hint="eastAsia" w:ascii="宋体" w:hAnsi="宋体" w:cs="宋体"/>
          <w:kern w:val="0"/>
          <w:sz w:val="24"/>
        </w:rPr>
        <w:t>采购过程中出现以下情形，导致电子交易平台无法正常运行，或者无法保证电子交易的公平、公正和安全时，采购代理机构可中止电子交易活动：</w:t>
      </w:r>
    </w:p>
    <w:p>
      <w:pPr>
        <w:pStyle w:val="39"/>
        <w:snapToGrid w:val="0"/>
        <w:spacing w:before="0"/>
        <w:ind w:firstLine="480"/>
        <w:rPr>
          <w:rFonts w:ascii="宋体" w:hAnsi="宋体" w:cs="宋体"/>
        </w:rPr>
      </w:pPr>
      <w:r>
        <w:rPr>
          <w:rFonts w:hint="eastAsia" w:ascii="宋体" w:hAnsi="宋体" w:cs="宋体"/>
        </w:rPr>
        <w:t xml:space="preserve">24.1电子交易平台发生故障而无法登录访问的； </w:t>
      </w:r>
    </w:p>
    <w:p>
      <w:pPr>
        <w:pStyle w:val="39"/>
        <w:snapToGrid w:val="0"/>
        <w:spacing w:before="0"/>
        <w:ind w:firstLine="480"/>
        <w:rPr>
          <w:rFonts w:ascii="宋体" w:hAnsi="宋体" w:cs="宋体"/>
        </w:rPr>
      </w:pPr>
      <w:r>
        <w:rPr>
          <w:rFonts w:hint="eastAsia" w:ascii="宋体" w:hAnsi="宋体" w:cs="宋体"/>
        </w:rPr>
        <w:t>24.2电子交易平台应用或数据库出现错误，不能进行正常操作的；</w:t>
      </w:r>
    </w:p>
    <w:p>
      <w:pPr>
        <w:pStyle w:val="39"/>
        <w:snapToGrid w:val="0"/>
        <w:spacing w:before="0"/>
        <w:ind w:firstLine="480"/>
        <w:rPr>
          <w:rFonts w:ascii="宋体" w:hAnsi="宋体" w:cs="宋体"/>
        </w:rPr>
      </w:pPr>
      <w:r>
        <w:rPr>
          <w:rFonts w:hint="eastAsia" w:ascii="宋体" w:hAnsi="宋体" w:cs="宋体"/>
        </w:rPr>
        <w:t>24.3电子交易平台发现严重安全漏洞，有潜在泄密危险的；</w:t>
      </w:r>
    </w:p>
    <w:p>
      <w:pPr>
        <w:pStyle w:val="39"/>
        <w:snapToGrid w:val="0"/>
        <w:spacing w:before="0"/>
        <w:ind w:firstLine="480"/>
        <w:rPr>
          <w:rFonts w:ascii="宋体" w:hAnsi="宋体" w:cs="宋体"/>
        </w:rPr>
      </w:pPr>
      <w:r>
        <w:rPr>
          <w:rFonts w:hint="eastAsia" w:ascii="宋体" w:hAnsi="宋体" w:cs="宋体"/>
        </w:rPr>
        <w:t xml:space="preserve">24.4病毒发作导致不能进行正常操作的； </w:t>
      </w:r>
    </w:p>
    <w:p>
      <w:pPr>
        <w:pStyle w:val="39"/>
        <w:snapToGrid w:val="0"/>
        <w:spacing w:before="0"/>
        <w:ind w:firstLine="480"/>
        <w:rPr>
          <w:rFonts w:ascii="宋体" w:hAnsi="宋体" w:cs="宋体"/>
        </w:rPr>
      </w:pPr>
      <w:r>
        <w:rPr>
          <w:rFonts w:hint="eastAsia" w:ascii="宋体" w:hAnsi="宋体" w:cs="宋体"/>
        </w:rPr>
        <w:t>24.5其他无法保证电子交易的公平、公正和安全的情况。</w:t>
      </w:r>
    </w:p>
    <w:p>
      <w:pPr>
        <w:tabs>
          <w:tab w:val="left" w:pos="0"/>
        </w:tabs>
        <w:spacing w:line="360" w:lineRule="auto"/>
        <w:ind w:firstLine="480"/>
        <w:rPr>
          <w:rFonts w:ascii="宋体" w:hAnsi="宋体" w:cs="宋体"/>
          <w:sz w:val="24"/>
        </w:rPr>
        <w:sectPr>
          <w:footerReference r:id="rId6" w:type="default"/>
          <w:pgSz w:w="11906" w:h="16838"/>
          <w:pgMar w:top="1276" w:right="1418" w:bottom="1247" w:left="1418" w:header="851" w:footer="992" w:gutter="0"/>
          <w:cols w:space="720" w:num="1"/>
          <w:docGrid w:linePitch="312" w:charSpace="0"/>
        </w:sectPr>
      </w:pPr>
    </w:p>
    <w:p>
      <w:pPr>
        <w:snapToGrid w:val="0"/>
        <w:spacing w:line="360" w:lineRule="auto"/>
        <w:jc w:val="center"/>
        <w:rPr>
          <w:rFonts w:ascii="宋体" w:hAnsi="宋体" w:cs="宋体"/>
          <w:b/>
          <w:sz w:val="32"/>
        </w:rPr>
      </w:pPr>
      <w:r>
        <w:rPr>
          <w:rFonts w:hint="eastAsia" w:ascii="宋体" w:hAnsi="宋体" w:cs="宋体"/>
          <w:b/>
          <w:sz w:val="32"/>
        </w:rPr>
        <w:t>九、验收</w:t>
      </w:r>
    </w:p>
    <w:p>
      <w:pPr>
        <w:numPr>
          <w:ilvl w:val="0"/>
          <w:numId w:val="4"/>
        </w:numPr>
        <w:adjustRightInd w:val="0"/>
        <w:snapToGrid w:val="0"/>
        <w:spacing w:before="120" w:beforeLines="50" w:line="360" w:lineRule="auto"/>
        <w:ind w:firstLine="482" w:firstLineChars="200"/>
        <w:jc w:val="left"/>
        <w:outlineLvl w:val="1"/>
        <w:rPr>
          <w:rFonts w:ascii="宋体" w:hAnsi="宋体" w:cs="宋体"/>
          <w:b/>
          <w:sz w:val="24"/>
        </w:rPr>
      </w:pPr>
      <w:r>
        <w:rPr>
          <w:rFonts w:hint="eastAsia" w:ascii="宋体" w:hAnsi="宋体" w:cs="宋体"/>
          <w:b/>
          <w:sz w:val="24"/>
        </w:rPr>
        <w:t>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rPr>
      </w:pPr>
      <w:r>
        <w:rPr>
          <w:rFonts w:hint="eastAsia" w:ascii="宋体" w:hAnsi="宋体" w:cs="宋体"/>
          <w:kern w:val="0"/>
          <w:sz w:val="24"/>
        </w:rPr>
        <w:t>25.2采购预算100万元（含）以上的采购项目履约完成后，采购人必须成立验收小组进行验收，并出具验收报告，作为财务货款支出的原始凭证。采购预算300万元（含）以上的采购项目履约完成后，未中标供应商可以参加项目验收活动，但不属于验收小组成员，中标供应商须积极配合未中标供应商参与项目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25.3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kern w:val="0"/>
          <w:sz w:val="24"/>
        </w:rPr>
      </w:pPr>
      <w:r>
        <w:rPr>
          <w:rFonts w:hint="eastAsia" w:ascii="宋体" w:hAnsi="宋体" w:cs="宋体"/>
          <w:kern w:val="0"/>
          <w:sz w:val="24"/>
        </w:rPr>
        <w:t>25.4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41"/>
      <w:bookmarkEnd w:id="42"/>
      <w:bookmarkEnd w:id="43"/>
      <w:bookmarkStart w:id="44" w:name="_Hlt68057669"/>
      <w:bookmarkEnd w:id="44"/>
      <w:bookmarkStart w:id="45" w:name="_Hlt74730295"/>
      <w:bookmarkEnd w:id="45"/>
      <w:bookmarkStart w:id="46" w:name="_Hlt74707468"/>
      <w:bookmarkEnd w:id="46"/>
      <w:bookmarkStart w:id="47" w:name="_Hlt74729768"/>
      <w:bookmarkEnd w:id="47"/>
      <w:bookmarkStart w:id="48" w:name="_Hlt75236101"/>
      <w:bookmarkEnd w:id="48"/>
      <w:bookmarkStart w:id="49" w:name="_Hlt68072990"/>
      <w:bookmarkEnd w:id="49"/>
      <w:bookmarkStart w:id="50" w:name="_Hlt68073093"/>
      <w:bookmarkEnd w:id="50"/>
      <w:bookmarkStart w:id="51" w:name="_Hlt68403820"/>
      <w:bookmarkEnd w:id="51"/>
      <w:bookmarkStart w:id="52" w:name="_Hlt75236011"/>
      <w:bookmarkEnd w:id="52"/>
      <w:bookmarkStart w:id="53" w:name="_Hlt75236290"/>
      <w:bookmarkEnd w:id="53"/>
      <w:bookmarkStart w:id="54" w:name="_Hlt68072998"/>
      <w:bookmarkEnd w:id="54"/>
      <w:bookmarkStart w:id="55" w:name="_Hlt74714665"/>
      <w:bookmarkEnd w:id="55"/>
      <w:bookmarkStart w:id="56" w:name="第四部分"/>
    </w:p>
    <w:p>
      <w:pPr>
        <w:spacing w:line="360" w:lineRule="auto"/>
        <w:jc w:val="center"/>
        <w:rPr>
          <w:rFonts w:ascii="宋体" w:hAnsi="宋体" w:cs="宋体"/>
          <w:b/>
          <w:sz w:val="36"/>
          <w:szCs w:val="36"/>
        </w:rPr>
      </w:pPr>
      <w:r>
        <w:rPr>
          <w:rFonts w:hint="eastAsia" w:ascii="宋体" w:hAnsi="宋体" w:cs="宋体"/>
          <w:kern w:val="0"/>
          <w:sz w:val="24"/>
        </w:rPr>
        <w:br w:type="page"/>
      </w:r>
      <w:r>
        <w:rPr>
          <w:rFonts w:hint="eastAsia" w:ascii="宋体" w:hAnsi="宋体" w:cs="宋体"/>
          <w:b/>
          <w:sz w:val="36"/>
          <w:szCs w:val="36"/>
        </w:rPr>
        <w:t>第三部分   采购需求</w:t>
      </w:r>
    </w:p>
    <w:p>
      <w:pPr>
        <w:spacing w:line="360" w:lineRule="auto"/>
        <w:rPr>
          <w:rFonts w:ascii="宋体" w:hAnsi="宋体"/>
          <w:b/>
          <w:sz w:val="24"/>
        </w:rPr>
      </w:pPr>
      <w:r>
        <w:rPr>
          <w:rFonts w:hint="eastAsia" w:ascii="宋体" w:hAnsi="宋体"/>
          <w:b/>
          <w:sz w:val="24"/>
        </w:rPr>
        <w:t>一、项目概况</w:t>
      </w:r>
    </w:p>
    <w:p>
      <w:pPr>
        <w:spacing w:line="360" w:lineRule="auto"/>
        <w:ind w:firstLine="480" w:firstLineChars="200"/>
        <w:rPr>
          <w:sz w:val="24"/>
        </w:rPr>
      </w:pPr>
      <w:r>
        <w:rPr>
          <w:rFonts w:hint="eastAsia"/>
          <w:sz w:val="24"/>
        </w:rPr>
        <w:t>随着城市化的迅猛发展，大量的房产建设、道路建设与改造，各类排水设施的长时间运行使用，导致城区的排水设施出现不同程度的管网错位塌陷、脱节、管壁破损、腐蚀、管道变形，井盖破损，井口堵塞等严重影响排水设施的正常运行。</w:t>
      </w:r>
    </w:p>
    <w:p>
      <w:pPr>
        <w:spacing w:line="360" w:lineRule="auto"/>
        <w:ind w:firstLine="480" w:firstLineChars="200"/>
        <w:rPr>
          <w:sz w:val="24"/>
        </w:rPr>
      </w:pPr>
      <w:r>
        <w:rPr>
          <w:rFonts w:hint="eastAsia"/>
          <w:sz w:val="24"/>
        </w:rPr>
        <w:t>为进一步提高排水管网收集效率，提升运行质量，保障城市排水设施功能完好，整体提升排水设施建设、运营和管理水平，全面开展城区排水设施疏通及非开挖修复行动计划。进行本次采购。</w:t>
      </w:r>
    </w:p>
    <w:p>
      <w:pPr>
        <w:pStyle w:val="2"/>
        <w:spacing w:line="360" w:lineRule="auto"/>
        <w:ind w:firstLine="480"/>
        <w:rPr>
          <w:rFonts w:eastAsia="宋体"/>
          <w:sz w:val="24"/>
        </w:rPr>
      </w:pPr>
      <w:r>
        <w:rPr>
          <w:rFonts w:hint="eastAsia" w:eastAsia="宋体"/>
          <w:sz w:val="24"/>
        </w:rPr>
        <w:t>项目地点：宁波市奉化区综合行政执法局养管区域内的排水管道（主要为奉化城区岳林锦屏街道）。</w:t>
      </w:r>
    </w:p>
    <w:p>
      <w:pPr>
        <w:pStyle w:val="2"/>
        <w:spacing w:line="360" w:lineRule="auto"/>
        <w:ind w:firstLine="480"/>
        <w:rPr>
          <w:rFonts w:eastAsia="宋体"/>
          <w:sz w:val="24"/>
        </w:rPr>
      </w:pPr>
      <w:r>
        <w:rPr>
          <w:rFonts w:hint="eastAsia" w:eastAsia="宋体"/>
          <w:sz w:val="24"/>
        </w:rPr>
        <w:t>区块划分：</w:t>
      </w:r>
    </w:p>
    <w:p>
      <w:pPr>
        <w:spacing w:line="360" w:lineRule="auto"/>
        <w:ind w:firstLine="482" w:firstLineChars="200"/>
        <w:jc w:val="left"/>
        <w:rPr>
          <w:rFonts w:ascii="宋体" w:hAnsi="宋体" w:cs="宋体"/>
          <w:sz w:val="24"/>
        </w:rPr>
      </w:pPr>
      <w:r>
        <w:rPr>
          <w:rFonts w:hint="eastAsia" w:ascii="宋体" w:hAnsi="宋体" w:cs="宋体"/>
          <w:b/>
          <w:sz w:val="24"/>
        </w:rPr>
        <w:t>标项一：</w:t>
      </w:r>
      <w:r>
        <w:rPr>
          <w:rFonts w:hint="eastAsia" w:ascii="宋体" w:hAnsi="宋体" w:cs="宋体"/>
          <w:sz w:val="24"/>
        </w:rPr>
        <w:t xml:space="preserve">奉化区岳林街道斗门路、桃源路等路段市政排水管网修复（检测）项目，合同执行价 </w:t>
      </w:r>
      <w:r>
        <w:rPr>
          <w:rFonts w:hint="eastAsia" w:ascii="宋体" w:hAnsi="宋体" w:cs="宋体"/>
          <w:sz w:val="24"/>
          <w:lang w:val="en-US" w:eastAsia="zh-CN"/>
        </w:rPr>
        <w:t>507万</w:t>
      </w:r>
      <w:r>
        <w:rPr>
          <w:rFonts w:hint="eastAsia" w:ascii="宋体" w:hAnsi="宋体" w:cs="宋体"/>
          <w:sz w:val="24"/>
        </w:rPr>
        <w:t>元；区块包括（斗门路、桃源路、锦庭路、长汀路、金钟路、滨江路、南山路</w:t>
      </w:r>
      <w:r>
        <w:rPr>
          <w:rFonts w:hint="eastAsia" w:ascii="宋体" w:hAnsi="宋体" w:cs="宋体"/>
          <w:sz w:val="24"/>
          <w:lang w:eastAsia="zh-CN"/>
        </w:rPr>
        <w:t>等路段</w:t>
      </w:r>
      <w:r>
        <w:rPr>
          <w:rFonts w:hint="eastAsia" w:ascii="宋体" w:hAnsi="宋体" w:cs="宋体"/>
          <w:sz w:val="24"/>
        </w:rPr>
        <w:t>）</w:t>
      </w:r>
    </w:p>
    <w:p>
      <w:pPr>
        <w:spacing w:line="360" w:lineRule="auto"/>
        <w:ind w:firstLine="482" w:firstLineChars="200"/>
        <w:jc w:val="left"/>
        <w:rPr>
          <w:rFonts w:ascii="宋体" w:hAnsi="宋体" w:cs="宋体"/>
          <w:sz w:val="24"/>
        </w:rPr>
      </w:pPr>
      <w:r>
        <w:rPr>
          <w:rFonts w:hint="eastAsia" w:ascii="宋体" w:hAnsi="宋体" w:cs="宋体"/>
          <w:b/>
          <w:sz w:val="24"/>
        </w:rPr>
        <w:t>标项二：</w:t>
      </w:r>
      <w:r>
        <w:rPr>
          <w:rFonts w:hint="eastAsia" w:ascii="宋体" w:hAnsi="宋体" w:cs="宋体"/>
          <w:sz w:val="24"/>
        </w:rPr>
        <w:t>奉化区岳林街道中山东路、大成东路等路段市政排水管网修复（检测）项目，合同执行价 441</w:t>
      </w:r>
      <w:r>
        <w:rPr>
          <w:rFonts w:hint="eastAsia" w:ascii="宋体" w:hAnsi="宋体" w:cs="宋体"/>
          <w:sz w:val="24"/>
          <w:lang w:eastAsia="zh-CN"/>
        </w:rPr>
        <w:t>万</w:t>
      </w:r>
      <w:r>
        <w:rPr>
          <w:rFonts w:hint="eastAsia" w:ascii="宋体" w:hAnsi="宋体" w:cs="宋体"/>
          <w:sz w:val="24"/>
        </w:rPr>
        <w:t>元；区块包括（中山东路、大成东路、金海路、白水路、大田路、东升路、金沙路、清泉路、金峰路、渗滤液专线、甬临线</w:t>
      </w:r>
      <w:r>
        <w:rPr>
          <w:rFonts w:hint="eastAsia" w:ascii="宋体" w:hAnsi="宋体" w:cs="宋体"/>
          <w:sz w:val="24"/>
          <w:lang w:eastAsia="zh-CN"/>
        </w:rPr>
        <w:t>等路段</w:t>
      </w:r>
      <w:r>
        <w:rPr>
          <w:rFonts w:hint="eastAsia" w:ascii="宋体" w:hAnsi="宋体" w:cs="宋体"/>
          <w:sz w:val="24"/>
        </w:rPr>
        <w:t>）</w:t>
      </w:r>
    </w:p>
    <w:p>
      <w:pPr>
        <w:pStyle w:val="2"/>
        <w:spacing w:line="360" w:lineRule="auto"/>
        <w:ind w:firstLine="482"/>
        <w:jc w:val="left"/>
        <w:rPr>
          <w:rFonts w:ascii="宋体" w:hAnsi="宋体" w:eastAsia="宋体" w:cs="宋体"/>
          <w:sz w:val="24"/>
        </w:rPr>
      </w:pPr>
      <w:r>
        <w:rPr>
          <w:rFonts w:hint="eastAsia" w:ascii="宋体" w:hAnsi="宋体" w:eastAsia="宋体" w:cs="宋体"/>
          <w:b/>
          <w:sz w:val="24"/>
        </w:rPr>
        <w:t>标项三：</w:t>
      </w:r>
      <w:r>
        <w:rPr>
          <w:rFonts w:hint="eastAsia" w:ascii="宋体" w:hAnsi="宋体" w:eastAsia="宋体" w:cs="宋体"/>
          <w:sz w:val="24"/>
        </w:rPr>
        <w:t>奉化区锦屏街道西锦路、秀水路等路段市政排水管网修复（检测）项目，合同执行价</w:t>
      </w:r>
      <w:r>
        <w:rPr>
          <w:rFonts w:hint="eastAsia" w:ascii="宋体" w:hAnsi="宋体" w:eastAsia="宋体" w:cs="宋体"/>
          <w:sz w:val="24"/>
          <w:lang w:val="en-US" w:eastAsia="zh-CN"/>
        </w:rPr>
        <w:t>386万</w:t>
      </w:r>
      <w:r>
        <w:rPr>
          <w:rFonts w:hint="eastAsia" w:ascii="宋体" w:hAnsi="宋体" w:eastAsia="宋体" w:cs="宋体"/>
          <w:sz w:val="24"/>
        </w:rPr>
        <w:t>元；区块包括【西锦路（大成路—东西高压走廊）、西锦路（三溪路-塘河路）、秀水路（桥东岸路-金钟路）、河头路（庄山路-望悠路）、广平路（桥西岸路-大成路）、中塔路（锦屏北路－庄山路）、仁湖路（桥西岸路-南山路）、法兴路（淑浦南路—河头路）、望悠路（河头路-南山路）</w:t>
      </w:r>
      <w:r>
        <w:rPr>
          <w:rFonts w:hint="eastAsia" w:ascii="宋体" w:hAnsi="宋体" w:eastAsia="宋体" w:cs="宋体"/>
          <w:sz w:val="24"/>
          <w:lang w:eastAsia="zh-CN"/>
        </w:rPr>
        <w:t>等路段</w:t>
      </w:r>
      <w:r>
        <w:rPr>
          <w:rFonts w:hint="eastAsia" w:ascii="宋体" w:hAnsi="宋体" w:eastAsia="宋体" w:cs="宋体"/>
          <w:sz w:val="24"/>
        </w:rPr>
        <w:t>】</w:t>
      </w:r>
    </w:p>
    <w:p>
      <w:pPr>
        <w:pStyle w:val="2"/>
        <w:spacing w:line="360" w:lineRule="auto"/>
        <w:ind w:firstLine="482"/>
        <w:jc w:val="left"/>
        <w:rPr>
          <w:rFonts w:ascii="宋体" w:hAnsi="宋体" w:eastAsia="宋体" w:cs="宋体"/>
          <w:sz w:val="24"/>
        </w:rPr>
      </w:pPr>
      <w:r>
        <w:rPr>
          <w:rFonts w:hint="eastAsia" w:ascii="宋体" w:hAnsi="宋体" w:eastAsia="宋体" w:cs="宋体"/>
          <w:b/>
          <w:sz w:val="24"/>
        </w:rPr>
        <w:t>标项四：</w:t>
      </w:r>
      <w:r>
        <w:rPr>
          <w:rFonts w:hint="eastAsia" w:ascii="宋体" w:hAnsi="宋体" w:eastAsia="宋体" w:cs="宋体"/>
          <w:sz w:val="24"/>
        </w:rPr>
        <w:t>奉化区锦屏街道金钟路（南山路-桥东岸路）、南山路（金钟路-茗山路）等路段市政排水管网修复（检测）项目，合同执行价463</w:t>
      </w:r>
      <w:r>
        <w:rPr>
          <w:rFonts w:hint="eastAsia" w:ascii="宋体" w:hAnsi="宋体" w:eastAsia="宋体" w:cs="宋体"/>
          <w:sz w:val="24"/>
          <w:lang w:eastAsia="zh-CN"/>
        </w:rPr>
        <w:t>万</w:t>
      </w:r>
      <w:r>
        <w:rPr>
          <w:rFonts w:hint="eastAsia" w:ascii="宋体" w:hAnsi="宋体" w:eastAsia="宋体" w:cs="宋体"/>
          <w:sz w:val="24"/>
        </w:rPr>
        <w:t>元；区块包括【金钟路（南山路-桥东岸路）、南山路（金钟路-茗山路）、茗阳路（清风路—茗山路）、锦屏南路、岳林路（桥西岸路-南山路）、茗山路（南山北路-锦屏北路）、西直路（奉南路-南泉路）</w:t>
      </w:r>
      <w:r>
        <w:rPr>
          <w:rFonts w:hint="eastAsia" w:ascii="宋体" w:hAnsi="宋体" w:eastAsia="宋体" w:cs="宋体"/>
          <w:sz w:val="24"/>
          <w:lang w:eastAsia="zh-CN"/>
        </w:rPr>
        <w:t>等路段</w:t>
      </w:r>
      <w:r>
        <w:rPr>
          <w:rFonts w:hint="eastAsia" w:ascii="宋体" w:hAnsi="宋体" w:eastAsia="宋体" w:cs="宋体"/>
          <w:sz w:val="24"/>
        </w:rPr>
        <w:t>】</w:t>
      </w:r>
    </w:p>
    <w:p>
      <w:pPr>
        <w:pStyle w:val="2"/>
        <w:spacing w:line="360" w:lineRule="auto"/>
        <w:ind w:firstLine="482"/>
        <w:rPr>
          <w:rFonts w:hint="eastAsia" w:ascii="Times New Roman" w:hAnsi="Times New Roman" w:eastAsia="宋体"/>
          <w:b/>
          <w:bCs/>
          <w:sz w:val="24"/>
          <w:lang w:eastAsia="zh-CN"/>
        </w:rPr>
      </w:pPr>
      <w:r>
        <w:rPr>
          <w:rFonts w:hint="eastAsia" w:ascii="Times New Roman" w:hAnsi="Times New Roman" w:eastAsia="宋体"/>
          <w:b/>
          <w:bCs/>
          <w:sz w:val="24"/>
        </w:rPr>
        <w:t>以上标项一、标项二、标项三、标项四在合同执行价中为暂定总价，且采购人不保证实际工程量能达到合同金额。</w:t>
      </w:r>
      <w:r>
        <w:rPr>
          <w:rFonts w:hint="eastAsia" w:ascii="Times New Roman" w:hAnsi="Times New Roman" w:eastAsia="宋体"/>
          <w:b/>
          <w:bCs/>
          <w:sz w:val="24"/>
          <w:lang w:eastAsia="zh-CN"/>
        </w:rPr>
        <w:t>中标人按采购人出具的图纸、检测报告及任务单进行施工。</w:t>
      </w:r>
    </w:p>
    <w:p>
      <w:pPr>
        <w:spacing w:line="360" w:lineRule="auto"/>
        <w:rPr>
          <w:rFonts w:ascii="宋体" w:hAnsi="宋体"/>
          <w:b/>
          <w:sz w:val="24"/>
        </w:rPr>
      </w:pPr>
      <w:r>
        <w:rPr>
          <w:rFonts w:hint="eastAsia" w:ascii="宋体" w:hAnsi="宋体"/>
          <w:b/>
          <w:sz w:val="24"/>
        </w:rPr>
        <w:t>二、主要采购内容介绍</w:t>
      </w:r>
    </w:p>
    <w:p>
      <w:pPr>
        <w:pStyle w:val="2"/>
        <w:ind w:firstLine="0" w:firstLineChars="0"/>
        <w:jc w:val="left"/>
        <w:rPr>
          <w:rFonts w:ascii="宋体" w:hAnsi="宋体" w:eastAsia="宋体" w:cs="宋体"/>
          <w:b/>
          <w:sz w:val="24"/>
        </w:rPr>
      </w:pPr>
      <w:r>
        <w:rPr>
          <w:rFonts w:hint="eastAsia" w:ascii="宋体" w:hAnsi="宋体" w:eastAsia="宋体" w:cs="宋体"/>
          <w:b/>
          <w:sz w:val="24"/>
        </w:rPr>
        <w:t>标项一：奉化区岳林街道斗门路、桃源路等路段市政排水管网修复（检测）项目</w:t>
      </w:r>
    </w:p>
    <w:p>
      <w:pPr>
        <w:pStyle w:val="2"/>
        <w:ind w:firstLine="0" w:firstLineChars="0"/>
        <w:jc w:val="left"/>
        <w:rPr>
          <w:rFonts w:ascii="宋体" w:hAnsi="宋体" w:eastAsia="宋体" w:cs="宋体"/>
          <w:b/>
          <w:sz w:val="24"/>
        </w:rPr>
      </w:pPr>
    </w:p>
    <w:tbl>
      <w:tblPr>
        <w:tblStyle w:val="18"/>
        <w:tblW w:w="9087" w:type="dxa"/>
        <w:tblInd w:w="93" w:type="dxa"/>
        <w:tblLayout w:type="autofit"/>
        <w:tblCellMar>
          <w:top w:w="0" w:type="dxa"/>
          <w:left w:w="108" w:type="dxa"/>
          <w:bottom w:w="0" w:type="dxa"/>
          <w:right w:w="108" w:type="dxa"/>
        </w:tblCellMar>
      </w:tblPr>
      <w:tblGrid>
        <w:gridCol w:w="724"/>
        <w:gridCol w:w="2126"/>
        <w:gridCol w:w="2552"/>
        <w:gridCol w:w="1134"/>
        <w:gridCol w:w="861"/>
        <w:gridCol w:w="1690"/>
      </w:tblGrid>
      <w:tr>
        <w:tblPrEx>
          <w:tblCellMar>
            <w:top w:w="0" w:type="dxa"/>
            <w:left w:w="108" w:type="dxa"/>
            <w:bottom w:w="0" w:type="dxa"/>
            <w:right w:w="108" w:type="dxa"/>
          </w:tblCellMar>
        </w:tblPrEx>
        <w:trPr>
          <w:trHeight w:val="360" w:hRule="atLeast"/>
        </w:trPr>
        <w:tc>
          <w:tcPr>
            <w:tcW w:w="72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序号</w:t>
            </w:r>
          </w:p>
        </w:tc>
        <w:tc>
          <w:tcPr>
            <w:tcW w:w="21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项目名称</w:t>
            </w:r>
          </w:p>
        </w:tc>
        <w:tc>
          <w:tcPr>
            <w:tcW w:w="255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项目特征</w:t>
            </w:r>
          </w:p>
        </w:tc>
        <w:tc>
          <w:tcPr>
            <w:tcW w:w="1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计量单位</w:t>
            </w:r>
          </w:p>
        </w:tc>
        <w:tc>
          <w:tcPr>
            <w:tcW w:w="861" w:type="dxa"/>
            <w:vMerge w:val="restart"/>
            <w:tcBorders>
              <w:top w:val="single" w:color="000000" w:sz="8" w:space="0"/>
              <w:left w:val="single" w:color="000000" w:sz="4" w:space="0"/>
              <w:bottom w:val="single" w:color="000000" w:sz="4" w:space="0"/>
              <w:right w:val="nil"/>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工程量</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综合单价</w:t>
            </w:r>
          </w:p>
          <w:p>
            <w:pPr>
              <w:widowControl/>
              <w:jc w:val="center"/>
              <w:textAlignment w:val="center"/>
              <w:rPr>
                <w:rFonts w:ascii="宋体" w:hAnsi="宋体" w:cs="宋体"/>
                <w:sz w:val="20"/>
                <w:szCs w:val="20"/>
              </w:rPr>
            </w:pPr>
            <w:r>
              <w:rPr>
                <w:rFonts w:hint="eastAsia" w:ascii="宋体" w:hAnsi="宋体" w:cs="宋体"/>
                <w:kern w:val="0"/>
                <w:sz w:val="20"/>
                <w:szCs w:val="20"/>
                <w:lang w:bidi="ar"/>
              </w:rPr>
              <w:t>最高限价（元）</w:t>
            </w:r>
          </w:p>
        </w:tc>
      </w:tr>
      <w:tr>
        <w:tblPrEx>
          <w:tblCellMar>
            <w:top w:w="0" w:type="dxa"/>
            <w:left w:w="108" w:type="dxa"/>
            <w:bottom w:w="0" w:type="dxa"/>
            <w:right w:w="108" w:type="dxa"/>
          </w:tblCellMar>
        </w:tblPrEx>
        <w:trPr>
          <w:trHeight w:val="360" w:hRule="atLeast"/>
        </w:trPr>
        <w:tc>
          <w:tcPr>
            <w:tcW w:w="72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21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255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1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861" w:type="dxa"/>
            <w:vMerge w:val="continue"/>
            <w:tcBorders>
              <w:top w:val="single" w:color="000000" w:sz="8" w:space="0"/>
              <w:left w:val="single" w:color="000000" w:sz="4" w:space="0"/>
              <w:bottom w:val="single" w:color="000000" w:sz="4" w:space="0"/>
              <w:right w:val="nil"/>
            </w:tcBorders>
            <w:shd w:val="clear" w:color="FFFFFF" w:fill="FFFFFF"/>
            <w:vAlign w:val="center"/>
          </w:tcPr>
          <w:p>
            <w:pPr>
              <w:jc w:val="center"/>
              <w:rPr>
                <w:rFonts w:ascii="宋体" w:hAnsi="宋体" w:cs="宋体"/>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ascii="宋体" w:hAnsi="宋体" w:cs="宋体"/>
                <w:sz w:val="20"/>
                <w:szCs w:val="20"/>
              </w:rPr>
            </w:pPr>
          </w:p>
        </w:tc>
      </w:tr>
      <w:tr>
        <w:tblPrEx>
          <w:tblCellMar>
            <w:top w:w="0" w:type="dxa"/>
            <w:left w:w="108" w:type="dxa"/>
            <w:bottom w:w="0" w:type="dxa"/>
            <w:right w:w="108" w:type="dxa"/>
          </w:tblCellMar>
        </w:tblPrEx>
        <w:trPr>
          <w:trHeight w:val="312" w:hRule="atLeast"/>
        </w:trPr>
        <w:tc>
          <w:tcPr>
            <w:tcW w:w="72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21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255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1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861" w:type="dxa"/>
            <w:vMerge w:val="continue"/>
            <w:tcBorders>
              <w:top w:val="single" w:color="000000" w:sz="8" w:space="0"/>
              <w:left w:val="single" w:color="000000" w:sz="4" w:space="0"/>
              <w:bottom w:val="single" w:color="000000" w:sz="4" w:space="0"/>
              <w:right w:val="nil"/>
            </w:tcBorders>
            <w:shd w:val="clear" w:color="FFFFFF" w:fill="FFFFFF"/>
            <w:vAlign w:val="center"/>
          </w:tcPr>
          <w:p>
            <w:pPr>
              <w:jc w:val="center"/>
              <w:rPr>
                <w:rFonts w:ascii="宋体" w:hAnsi="宋体" w:cs="宋体"/>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ascii="宋体" w:hAnsi="宋体" w:cs="宋体"/>
                <w:sz w:val="20"/>
                <w:szCs w:val="20"/>
              </w:rPr>
            </w:pP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φ300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378</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5123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φ400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176</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5153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φ500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26</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6706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φ600~φ700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95</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6746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φ800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26</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11043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φ1000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39</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11147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φ1200~φ1500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14018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气囊封堵 φ500以内</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80</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884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9</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气囊封堵 φ600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1239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潜水砖封 φ≤800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10323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潜水砖封 φ≤1200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14930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12</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潜水砖封 φ≤1600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19931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拆除气囊封堵 φ500以内</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80</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273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14</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拆除气囊封堵 φ≥600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314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潜水拆砖封 φ≤800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5029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16</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潜水拆砖封 φ≤1200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8685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17</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潜水拆砖封 φ≤1600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11493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18</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临时排水</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临时排水</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台班</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314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19</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DN300非开挖短管置换修复</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2511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DN400非开挖短管置换修复</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3348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21</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DN500非开挖短管置换修复</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4290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22</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DN600非开挖短管置换修复</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8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4918 </w:t>
            </w:r>
          </w:p>
        </w:tc>
      </w:tr>
    </w:tbl>
    <w:p>
      <w:pPr>
        <w:pStyle w:val="2"/>
        <w:ind w:firstLine="0" w:firstLineChars="0"/>
      </w:pPr>
    </w:p>
    <w:p>
      <w:pPr>
        <w:pStyle w:val="2"/>
        <w:ind w:firstLine="0" w:firstLineChars="0"/>
      </w:pPr>
    </w:p>
    <w:p>
      <w:pPr>
        <w:pStyle w:val="2"/>
        <w:ind w:firstLine="0" w:firstLineChars="0"/>
      </w:pPr>
    </w:p>
    <w:p>
      <w:pPr>
        <w:pStyle w:val="2"/>
        <w:ind w:firstLine="0" w:firstLineChars="0"/>
        <w:jc w:val="left"/>
        <w:rPr>
          <w:rFonts w:ascii="宋体" w:hAnsi="宋体" w:eastAsia="宋体" w:cs="宋体"/>
          <w:b/>
          <w:sz w:val="24"/>
        </w:rPr>
      </w:pPr>
      <w:r>
        <w:rPr>
          <w:rFonts w:hint="eastAsia" w:ascii="宋体" w:hAnsi="宋体" w:eastAsia="宋体" w:cs="宋体"/>
          <w:b/>
          <w:sz w:val="24"/>
        </w:rPr>
        <w:t>标项二：奉化区岳林街道中山东路、大成东路等路段市政排水管网修复（检测）项目</w:t>
      </w:r>
    </w:p>
    <w:p>
      <w:pPr>
        <w:pStyle w:val="2"/>
        <w:ind w:firstLine="0" w:firstLineChars="0"/>
        <w:jc w:val="left"/>
        <w:rPr>
          <w:rFonts w:ascii="宋体" w:hAnsi="宋体" w:eastAsia="宋体" w:cs="宋体"/>
          <w:b/>
          <w:sz w:val="24"/>
        </w:rPr>
      </w:pPr>
    </w:p>
    <w:tbl>
      <w:tblPr>
        <w:tblStyle w:val="18"/>
        <w:tblW w:w="9087" w:type="dxa"/>
        <w:tblInd w:w="93" w:type="dxa"/>
        <w:tblLayout w:type="autofit"/>
        <w:tblCellMar>
          <w:top w:w="0" w:type="dxa"/>
          <w:left w:w="108" w:type="dxa"/>
          <w:bottom w:w="0" w:type="dxa"/>
          <w:right w:w="108" w:type="dxa"/>
        </w:tblCellMar>
      </w:tblPr>
      <w:tblGrid>
        <w:gridCol w:w="724"/>
        <w:gridCol w:w="2126"/>
        <w:gridCol w:w="2552"/>
        <w:gridCol w:w="1134"/>
        <w:gridCol w:w="850"/>
        <w:gridCol w:w="1701"/>
      </w:tblGrid>
      <w:tr>
        <w:tblPrEx>
          <w:tblCellMar>
            <w:top w:w="0" w:type="dxa"/>
            <w:left w:w="108" w:type="dxa"/>
            <w:bottom w:w="0" w:type="dxa"/>
            <w:right w:w="108" w:type="dxa"/>
          </w:tblCellMar>
        </w:tblPrEx>
        <w:trPr>
          <w:trHeight w:val="360" w:hRule="atLeast"/>
        </w:trPr>
        <w:tc>
          <w:tcPr>
            <w:tcW w:w="72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序号</w:t>
            </w:r>
          </w:p>
        </w:tc>
        <w:tc>
          <w:tcPr>
            <w:tcW w:w="21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项目名称</w:t>
            </w:r>
          </w:p>
        </w:tc>
        <w:tc>
          <w:tcPr>
            <w:tcW w:w="255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项目特征</w:t>
            </w:r>
          </w:p>
        </w:tc>
        <w:tc>
          <w:tcPr>
            <w:tcW w:w="1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计量单位</w:t>
            </w:r>
          </w:p>
        </w:tc>
        <w:tc>
          <w:tcPr>
            <w:tcW w:w="8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工程量</w:t>
            </w:r>
          </w:p>
        </w:tc>
        <w:tc>
          <w:tcPr>
            <w:tcW w:w="170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综合单价</w:t>
            </w:r>
          </w:p>
          <w:p>
            <w:pPr>
              <w:widowControl/>
              <w:jc w:val="center"/>
              <w:textAlignment w:val="center"/>
              <w:rPr>
                <w:rFonts w:ascii="宋体" w:hAnsi="宋体" w:cs="宋体"/>
                <w:sz w:val="20"/>
                <w:szCs w:val="20"/>
              </w:rPr>
            </w:pPr>
            <w:r>
              <w:rPr>
                <w:rFonts w:hint="eastAsia" w:ascii="宋体" w:hAnsi="宋体" w:cs="宋体"/>
                <w:kern w:val="0"/>
                <w:sz w:val="20"/>
                <w:szCs w:val="20"/>
                <w:lang w:bidi="ar"/>
              </w:rPr>
              <w:t>最高限价（元）</w:t>
            </w:r>
          </w:p>
        </w:tc>
      </w:tr>
      <w:tr>
        <w:tblPrEx>
          <w:tblCellMar>
            <w:top w:w="0" w:type="dxa"/>
            <w:left w:w="108" w:type="dxa"/>
            <w:bottom w:w="0" w:type="dxa"/>
            <w:right w:w="108" w:type="dxa"/>
          </w:tblCellMar>
        </w:tblPrEx>
        <w:trPr>
          <w:trHeight w:val="360" w:hRule="atLeast"/>
        </w:trPr>
        <w:tc>
          <w:tcPr>
            <w:tcW w:w="72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21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255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1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8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170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60" w:hRule="atLeast"/>
        </w:trPr>
        <w:tc>
          <w:tcPr>
            <w:tcW w:w="72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21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255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1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8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170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管道非开挖修复 局部树脂固化 φ300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227</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5123</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管道非开挖修复 局部树脂固化 φ400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111</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5153</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管道非开挖修复 局部树脂固化 φ500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29</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6706</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管道非开挖修复 局部树脂固化 φ600~φ700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80</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6746</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管道非开挖修复 局部树脂固化 φ800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63</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11043</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管道非开挖修复 局部树脂固化 φ1000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26</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11147</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管道非开挖修复 局部树脂固化 φ1200~φ1500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34</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14018</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气囊封堵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封堵管口 气囊封堵 φ500以内</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80</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884</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9</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气囊封堵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封堵管口 气囊封堵 φ600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1239</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气囊封堵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封堵管口 潜水砖封 φ≤800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10323</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气囊封堵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封堵管口 潜水砖封 φ≤1200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14930</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12</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气囊封堵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封堵管口 潜水砖封 φ≤1600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19931</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拆除封堵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拆除封堵 拆除气囊封堵 φ500以内</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80</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273</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14</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拆除封堵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拆除封堵 拆除气囊封堵 φ≥600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314</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拆除封堵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拆除封堵 潜水拆砖封 φ≤800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5029</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16</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拆除封堵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拆除封堵 潜水拆砖封 φ≤1200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8685</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17</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拆除封堵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拆除封堵 潜水拆砖封 φ≤1600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11493</w:t>
            </w:r>
          </w:p>
        </w:tc>
      </w:tr>
      <w:tr>
        <w:tblPrEx>
          <w:tblCellMar>
            <w:top w:w="0" w:type="dxa"/>
            <w:left w:w="108" w:type="dxa"/>
            <w:bottom w:w="0" w:type="dxa"/>
            <w:right w:w="108" w:type="dxa"/>
          </w:tblCellMar>
        </w:tblPrEx>
        <w:trPr>
          <w:trHeight w:val="315"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18</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临时排水</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临时排水</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台班</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314</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19</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DN300非开挖短管置换修复</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2511</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DN400非开挖短管置换修复</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3348</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21</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DN500非开挖短管置换修复</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4290</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22</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DN600非开挖短管置换修复</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4918</w:t>
            </w:r>
          </w:p>
        </w:tc>
      </w:tr>
    </w:tbl>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r>
        <w:rPr>
          <w:rFonts w:hint="eastAsia" w:ascii="宋体" w:hAnsi="宋体" w:eastAsia="宋体" w:cs="宋体"/>
          <w:b/>
          <w:sz w:val="24"/>
        </w:rPr>
        <w:t>标项三：奉化区锦屏街道西锦路、秀水路等路段市政排水管网修复（检测）项目</w:t>
      </w:r>
    </w:p>
    <w:p>
      <w:pPr>
        <w:pStyle w:val="2"/>
        <w:ind w:firstLine="0" w:firstLineChars="0"/>
      </w:pPr>
    </w:p>
    <w:tbl>
      <w:tblPr>
        <w:tblStyle w:val="18"/>
        <w:tblW w:w="9229" w:type="dxa"/>
        <w:tblInd w:w="93" w:type="dxa"/>
        <w:tblLayout w:type="autofit"/>
        <w:tblCellMar>
          <w:top w:w="0" w:type="dxa"/>
          <w:left w:w="108" w:type="dxa"/>
          <w:bottom w:w="0" w:type="dxa"/>
          <w:right w:w="108" w:type="dxa"/>
        </w:tblCellMar>
      </w:tblPr>
      <w:tblGrid>
        <w:gridCol w:w="724"/>
        <w:gridCol w:w="2126"/>
        <w:gridCol w:w="2552"/>
        <w:gridCol w:w="1134"/>
        <w:gridCol w:w="850"/>
        <w:gridCol w:w="1843"/>
      </w:tblGrid>
      <w:tr>
        <w:tblPrEx>
          <w:tblCellMar>
            <w:top w:w="0" w:type="dxa"/>
            <w:left w:w="108" w:type="dxa"/>
            <w:bottom w:w="0" w:type="dxa"/>
            <w:right w:w="108" w:type="dxa"/>
          </w:tblCellMar>
        </w:tblPrEx>
        <w:trPr>
          <w:trHeight w:val="360" w:hRule="atLeast"/>
        </w:trPr>
        <w:tc>
          <w:tcPr>
            <w:tcW w:w="72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序号</w:t>
            </w:r>
          </w:p>
        </w:tc>
        <w:tc>
          <w:tcPr>
            <w:tcW w:w="21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项目名称</w:t>
            </w:r>
          </w:p>
        </w:tc>
        <w:tc>
          <w:tcPr>
            <w:tcW w:w="255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项目特征</w:t>
            </w:r>
          </w:p>
        </w:tc>
        <w:tc>
          <w:tcPr>
            <w:tcW w:w="1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计量单位</w:t>
            </w:r>
          </w:p>
        </w:tc>
        <w:tc>
          <w:tcPr>
            <w:tcW w:w="8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工程量</w:t>
            </w:r>
          </w:p>
        </w:tc>
        <w:tc>
          <w:tcPr>
            <w:tcW w:w="184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综合单价</w:t>
            </w:r>
          </w:p>
          <w:p>
            <w:pPr>
              <w:widowControl/>
              <w:jc w:val="center"/>
              <w:textAlignment w:val="center"/>
              <w:rPr>
                <w:rFonts w:ascii="宋体" w:hAnsi="宋体" w:cs="宋体"/>
                <w:sz w:val="20"/>
                <w:szCs w:val="20"/>
              </w:rPr>
            </w:pPr>
            <w:r>
              <w:rPr>
                <w:rFonts w:hint="eastAsia" w:ascii="宋体" w:hAnsi="宋体" w:cs="宋体"/>
                <w:kern w:val="0"/>
                <w:sz w:val="20"/>
                <w:szCs w:val="20"/>
                <w:lang w:bidi="ar"/>
              </w:rPr>
              <w:t>最高限价（元）</w:t>
            </w:r>
          </w:p>
        </w:tc>
      </w:tr>
      <w:tr>
        <w:tblPrEx>
          <w:tblCellMar>
            <w:top w:w="0" w:type="dxa"/>
            <w:left w:w="108" w:type="dxa"/>
            <w:bottom w:w="0" w:type="dxa"/>
            <w:right w:w="108" w:type="dxa"/>
          </w:tblCellMar>
        </w:tblPrEx>
        <w:trPr>
          <w:trHeight w:val="360" w:hRule="atLeast"/>
        </w:trPr>
        <w:tc>
          <w:tcPr>
            <w:tcW w:w="72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21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255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1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8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184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60" w:hRule="atLeast"/>
        </w:trPr>
        <w:tc>
          <w:tcPr>
            <w:tcW w:w="72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21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255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1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8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184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φ300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351</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5123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φ400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106</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5153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φ500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33</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6706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37</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6746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φ700~φ800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39</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11043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φ1000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12</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11147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气囊封堵 φ500以内</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80</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884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气囊封堵 φ600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1239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9</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潜水砖封 φ≤800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10323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潜水砖封 φ≤1200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14930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潜水砖封 φ≤1600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19931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12</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拆除气囊封堵 φ500以内</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80</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273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拆除气囊封堵 φ≥600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314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14</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潜水拆砖封 φ≤800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5029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潜水拆砖封 φ≤1200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8685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16</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潜水拆砖封 φ≤1600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11493 </w:t>
            </w:r>
          </w:p>
        </w:tc>
      </w:tr>
      <w:tr>
        <w:tblPrEx>
          <w:tblCellMar>
            <w:top w:w="0" w:type="dxa"/>
            <w:left w:w="108" w:type="dxa"/>
            <w:bottom w:w="0" w:type="dxa"/>
            <w:right w:w="108" w:type="dxa"/>
          </w:tblCellMar>
        </w:tblPrEx>
        <w:trPr>
          <w:trHeight w:val="315"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17</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临时排水</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临时排水</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台班</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314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18</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DN300非开挖短管置换修复</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2511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19</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DN400非开挖短管置换修复</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3348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DN500非开挖短管置换修复</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4290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21</w:t>
            </w:r>
          </w:p>
        </w:tc>
        <w:tc>
          <w:tcPr>
            <w:tcW w:w="2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DN600非开挖短管置换修复</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4918 </w:t>
            </w:r>
          </w:p>
        </w:tc>
      </w:tr>
    </w:tbl>
    <w:p>
      <w:pPr>
        <w:pStyle w:val="2"/>
        <w:ind w:firstLine="0" w:firstLineChars="0"/>
      </w:pPr>
    </w:p>
    <w:p>
      <w:pPr>
        <w:pStyle w:val="2"/>
        <w:ind w:firstLine="0" w:firstLineChars="0"/>
      </w:pPr>
    </w:p>
    <w:p>
      <w:pPr>
        <w:pStyle w:val="2"/>
        <w:ind w:firstLine="0" w:firstLineChars="0"/>
      </w:pPr>
    </w:p>
    <w:p>
      <w:pPr>
        <w:pStyle w:val="2"/>
        <w:ind w:firstLine="0" w:firstLineChars="0"/>
      </w:pPr>
      <w:r>
        <w:rPr>
          <w:rFonts w:hint="eastAsia" w:ascii="宋体" w:hAnsi="宋体" w:eastAsia="宋体" w:cs="宋体"/>
          <w:b/>
          <w:sz w:val="24"/>
        </w:rPr>
        <w:t>标项四：奉化区锦屏街道金钟路（南山路-桥东岸路）、南山路（金钟路-茗山路）等路段市政排水管网修复（检测）项目</w:t>
      </w:r>
    </w:p>
    <w:tbl>
      <w:tblPr>
        <w:tblStyle w:val="18"/>
        <w:tblW w:w="9087" w:type="dxa"/>
        <w:tblInd w:w="93" w:type="dxa"/>
        <w:tblLayout w:type="autofit"/>
        <w:tblCellMar>
          <w:top w:w="0" w:type="dxa"/>
          <w:left w:w="108" w:type="dxa"/>
          <w:bottom w:w="0" w:type="dxa"/>
          <w:right w:w="108" w:type="dxa"/>
        </w:tblCellMar>
      </w:tblPr>
      <w:tblGrid>
        <w:gridCol w:w="724"/>
        <w:gridCol w:w="2268"/>
        <w:gridCol w:w="2410"/>
        <w:gridCol w:w="1134"/>
        <w:gridCol w:w="850"/>
        <w:gridCol w:w="1701"/>
      </w:tblGrid>
      <w:tr>
        <w:tblPrEx>
          <w:tblCellMar>
            <w:top w:w="0" w:type="dxa"/>
            <w:left w:w="108" w:type="dxa"/>
            <w:bottom w:w="0" w:type="dxa"/>
            <w:right w:w="108" w:type="dxa"/>
          </w:tblCellMar>
        </w:tblPrEx>
        <w:trPr>
          <w:trHeight w:val="360" w:hRule="atLeast"/>
        </w:trPr>
        <w:tc>
          <w:tcPr>
            <w:tcW w:w="72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序号</w:t>
            </w:r>
          </w:p>
        </w:tc>
        <w:tc>
          <w:tcPr>
            <w:tcW w:w="226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项目名称</w:t>
            </w:r>
          </w:p>
        </w:tc>
        <w:tc>
          <w:tcPr>
            <w:tcW w:w="24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项目特征</w:t>
            </w:r>
          </w:p>
        </w:tc>
        <w:tc>
          <w:tcPr>
            <w:tcW w:w="113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计量单位</w:t>
            </w:r>
          </w:p>
        </w:tc>
        <w:tc>
          <w:tcPr>
            <w:tcW w:w="8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工程量</w:t>
            </w:r>
          </w:p>
        </w:tc>
        <w:tc>
          <w:tcPr>
            <w:tcW w:w="170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lang w:bidi="ar"/>
              </w:rPr>
              <w:t>综合单价</w:t>
            </w:r>
          </w:p>
          <w:p>
            <w:pPr>
              <w:widowControl/>
              <w:jc w:val="center"/>
              <w:textAlignment w:val="center"/>
              <w:rPr>
                <w:rFonts w:ascii="宋体" w:hAnsi="宋体" w:cs="宋体"/>
                <w:sz w:val="20"/>
                <w:szCs w:val="20"/>
              </w:rPr>
            </w:pPr>
            <w:r>
              <w:rPr>
                <w:rFonts w:hint="eastAsia" w:ascii="宋体" w:hAnsi="宋体" w:cs="宋体"/>
                <w:kern w:val="0"/>
                <w:sz w:val="20"/>
                <w:szCs w:val="20"/>
                <w:lang w:bidi="ar"/>
              </w:rPr>
              <w:t>最高限价（元）</w:t>
            </w:r>
          </w:p>
        </w:tc>
      </w:tr>
      <w:tr>
        <w:tblPrEx>
          <w:tblCellMar>
            <w:top w:w="0" w:type="dxa"/>
            <w:left w:w="108" w:type="dxa"/>
            <w:bottom w:w="0" w:type="dxa"/>
            <w:right w:w="108" w:type="dxa"/>
          </w:tblCellMar>
        </w:tblPrEx>
        <w:trPr>
          <w:trHeight w:val="360" w:hRule="atLeast"/>
        </w:trPr>
        <w:tc>
          <w:tcPr>
            <w:tcW w:w="72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22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2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1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8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170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60" w:hRule="atLeast"/>
        </w:trPr>
        <w:tc>
          <w:tcPr>
            <w:tcW w:w="724"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22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24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113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8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c>
          <w:tcPr>
            <w:tcW w:w="170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φ300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316</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5123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φ400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219</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5153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φ500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45</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6706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49</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6746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φ700~φ800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31</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11043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φ1000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11147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φ1200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29</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14018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气囊封堵 φ500以内</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80</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884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9</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气囊封堵 φ600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1239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潜水砖封 φ≤800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10323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潜水砖封 φ≤1200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14930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12</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潜水砖封 φ≤1600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19931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拆除气囊封堵 φ500以内</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80</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273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14</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拆除气囊封堵 φ≥600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314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潜水拆砖封 φ≤800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5029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16</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潜水拆砖封 φ≤1200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8685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17</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潜水拆砖封 φ≤1600</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11493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18</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临时排水</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临时排水</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台班</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314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19</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DN300非开挖短管置换修复</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2511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DN400非开挖短管置换修复</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3348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21</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DN500非开挖短管置换修复</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4290 </w:t>
            </w:r>
          </w:p>
        </w:tc>
      </w:tr>
      <w:tr>
        <w:tblPrEx>
          <w:tblCellMar>
            <w:top w:w="0" w:type="dxa"/>
            <w:left w:w="108" w:type="dxa"/>
            <w:bottom w:w="0" w:type="dxa"/>
            <w:right w:w="108" w:type="dxa"/>
          </w:tblCellMar>
        </w:tblPrEx>
        <w:trPr>
          <w:trHeight w:val="570" w:hRule="atLeast"/>
        </w:trPr>
        <w:tc>
          <w:tcPr>
            <w:tcW w:w="72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22</w:t>
            </w:r>
          </w:p>
        </w:tc>
        <w:tc>
          <w:tcPr>
            <w:tcW w:w="22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DN600非开挖短管置换修复</w:t>
            </w:r>
          </w:p>
        </w:tc>
        <w:tc>
          <w:tcPr>
            <w:tcW w:w="11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4918 </w:t>
            </w:r>
          </w:p>
        </w:tc>
      </w:tr>
    </w:tbl>
    <w:p>
      <w:pPr>
        <w:pStyle w:val="2"/>
        <w:ind w:firstLine="0" w:firstLineChars="0"/>
      </w:pPr>
    </w:p>
    <w:p>
      <w:pPr>
        <w:pStyle w:val="2"/>
        <w:ind w:firstLine="0" w:firstLineChars="0"/>
      </w:pPr>
    </w:p>
    <w:p>
      <w:pPr>
        <w:spacing w:line="360" w:lineRule="auto"/>
        <w:ind w:firstLine="482" w:firstLineChars="200"/>
        <w:rPr>
          <w:b/>
          <w:bCs/>
          <w:sz w:val="24"/>
          <w:szCs w:val="32"/>
        </w:rPr>
        <w:sectPr>
          <w:pgSz w:w="11906" w:h="16838"/>
          <w:pgMar w:top="1276" w:right="1418" w:bottom="1247" w:left="1418" w:header="851" w:footer="992" w:gutter="0"/>
          <w:cols w:space="720" w:num="1"/>
          <w:docGrid w:linePitch="312" w:charSpace="0"/>
        </w:sectPr>
      </w:pPr>
      <w:r>
        <w:rPr>
          <w:rFonts w:hint="eastAsia"/>
          <w:b/>
          <w:bCs/>
          <w:sz w:val="24"/>
          <w:szCs w:val="32"/>
        </w:rPr>
        <w:t>以上标项一、标项二、标项三、标项四在本次投标报价按费率报价形式，以%为单位，保留整数，合同单价=综合单价最高限价*中标费率，综合单价包含人工、机械、材料、规费、措施费、税金、管理费等一切费用。</w:t>
      </w:r>
    </w:p>
    <w:p>
      <w:pPr>
        <w:spacing w:line="360" w:lineRule="auto"/>
        <w:rPr>
          <w:b/>
          <w:sz w:val="24"/>
        </w:rPr>
      </w:pPr>
      <w:r>
        <w:rPr>
          <w:rFonts w:hint="eastAsia"/>
          <w:b/>
          <w:sz w:val="24"/>
        </w:rPr>
        <w:t>三、项目执行的国家相关标准、行业标准、地方标准或者其他标准规范</w:t>
      </w:r>
    </w:p>
    <w:p>
      <w:pPr>
        <w:spacing w:line="360" w:lineRule="auto"/>
        <w:ind w:firstLine="420" w:firstLineChars="200"/>
        <w:rPr>
          <w:szCs w:val="21"/>
        </w:rPr>
      </w:pPr>
      <w:r>
        <w:rPr>
          <w:rFonts w:hint="eastAsia"/>
        </w:rPr>
        <w:t>按国家、行业相关规范和标准为设计标准及依据，依据国家相关法律规章、国家和行业相关标准、相关研究成果等资料，重点包括但不限于以下设计规范和标准：</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1、《中华人民共和国工程建设标准强制性条文（城镇建设部分）》（2013版）；</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2、《室外排水设计规范》（GB 50014-2006）(2016年版)；</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3、《埋地塑料排水管道工程技术规范》（CJJ143-2010）；</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4、《城镇排水管道非开挖修复更新工程技术规程》（CJJ/T210-2014）；</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5、《检查井井盖》（GB/T23858-2009）；</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6、《混凝土和钢筋混凝土排水管》（GB/T11836-2009）；</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7、《城市道路工程设计规范》（CJJ37-2012）（2016年版）；</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8、《预拌砂浆应用技术规程》（JGJ/T223-2010）；</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9、《宁波促进预拌砂浆发展和应用管理实施细则》（甬建发[2014]113号）；</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10、《市政排水管道工程及附属设施》（06MS201）；</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11、《宁波市市政排水工程通用图》；</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12、其他相关的规范及技术规程。</w:t>
      </w:r>
    </w:p>
    <w:p>
      <w:pPr>
        <w:spacing w:line="360" w:lineRule="auto"/>
        <w:ind w:firstLine="420" w:firstLineChars="200"/>
      </w:pPr>
      <w:r>
        <w:rPr>
          <w:rFonts w:hint="eastAsia"/>
        </w:rPr>
        <w:t>注：投标人必须执行国家、地方、有关机构所有相关的技术规范与标准，且确保所采用的技术规范、标准必须是国家或有关机构发布的最新版本，无论此版本在此有无提及。</w:t>
      </w:r>
    </w:p>
    <w:p>
      <w:pPr>
        <w:spacing w:line="360" w:lineRule="auto"/>
        <w:rPr>
          <w:b/>
          <w:sz w:val="24"/>
        </w:rPr>
      </w:pPr>
      <w:r>
        <w:rPr>
          <w:rFonts w:hint="eastAsia"/>
          <w:b/>
          <w:sz w:val="24"/>
        </w:rPr>
        <w:t>四、项目需满足的质量、安全、技术规格、物理特性等要求</w:t>
      </w:r>
    </w:p>
    <w:p>
      <w:pPr>
        <w:spacing w:line="360" w:lineRule="auto"/>
        <w:ind w:firstLine="482" w:firstLineChars="200"/>
        <w:rPr>
          <w:b/>
          <w:sz w:val="24"/>
        </w:rPr>
      </w:pPr>
      <w:r>
        <w:rPr>
          <w:rFonts w:hint="eastAsia"/>
          <w:b/>
          <w:sz w:val="24"/>
        </w:rPr>
        <w:t>（一）服务内容</w:t>
      </w:r>
    </w:p>
    <w:p>
      <w:pPr>
        <w:spacing w:line="360" w:lineRule="auto"/>
        <w:ind w:firstLine="420" w:firstLineChars="200"/>
      </w:pPr>
      <w:r>
        <w:rPr>
          <w:rFonts w:hint="eastAsia"/>
        </w:rPr>
        <w:t>1、排水管网疏通等：由投标人先行对排水设施进行踏勘，对排水管网进行专业疏通、清淤。</w:t>
      </w:r>
    </w:p>
    <w:p>
      <w:pPr>
        <w:spacing w:line="360" w:lineRule="auto"/>
        <w:ind w:firstLine="420" w:firstLineChars="200"/>
        <w:rPr>
          <w:rFonts w:hint="eastAsia"/>
        </w:rPr>
      </w:pPr>
      <w:r>
        <w:rPr>
          <w:rFonts w:hint="eastAsia"/>
        </w:rPr>
        <w:t>2、非开挖修复：根据业主提供的检测报告对管道缺陷进行非开挖修复，工艺采用点状原位固化工艺、整体紫外光固化工艺，出具非开挖修复成果报告。</w:t>
      </w:r>
    </w:p>
    <w:p>
      <w:pPr>
        <w:spacing w:line="360" w:lineRule="auto"/>
        <w:ind w:firstLine="420" w:firstLineChars="200"/>
        <w:rPr>
          <w:rFonts w:hint="eastAsia"/>
          <w:lang w:val="en-US"/>
        </w:rPr>
      </w:pPr>
      <w:r>
        <w:rPr>
          <w:rFonts w:hint="eastAsia"/>
          <w:lang w:val="en-US"/>
        </w:rPr>
        <w:t xml:space="preserve"> 3、开挖修复：根据实际需求，进行局部开挖修复。</w:t>
      </w:r>
    </w:p>
    <w:p>
      <w:pPr>
        <w:spacing w:line="360" w:lineRule="auto"/>
        <w:ind w:firstLine="482" w:firstLineChars="200"/>
        <w:rPr>
          <w:b/>
          <w:sz w:val="24"/>
        </w:rPr>
      </w:pPr>
      <w:r>
        <w:rPr>
          <w:rFonts w:hint="eastAsia"/>
          <w:b/>
          <w:sz w:val="24"/>
        </w:rPr>
        <w:t>（二）具体服务要求</w:t>
      </w:r>
    </w:p>
    <w:p>
      <w:pPr>
        <w:spacing w:line="360" w:lineRule="auto"/>
        <w:ind w:firstLine="422" w:firstLineChars="200"/>
        <w:rPr>
          <w:b/>
        </w:rPr>
      </w:pPr>
      <w:r>
        <w:rPr>
          <w:rFonts w:hint="eastAsia"/>
          <w:b/>
        </w:rPr>
        <w:t>1、排水管道疏通清淤</w:t>
      </w:r>
    </w:p>
    <w:p>
      <w:pPr>
        <w:spacing w:line="360" w:lineRule="auto"/>
        <w:ind w:firstLine="420" w:firstLineChars="200"/>
        <w:rPr>
          <w:rFonts w:ascii="宋体" w:hAnsi="宋体"/>
          <w:szCs w:val="21"/>
        </w:rPr>
      </w:pPr>
      <w:r>
        <w:rPr>
          <w:rFonts w:hint="eastAsia" w:ascii="宋体" w:hAnsi="宋体"/>
          <w:szCs w:val="21"/>
        </w:rPr>
        <w:t>管道的疏通清淤必须遵守《城镇排水管渠与泵站维护技术规程》（CJJ68-2007）中的相关规定要求。清淤后，管渠内的的淤积深度不得超过管径的十分之一，</w:t>
      </w:r>
    </w:p>
    <w:p>
      <w:pPr>
        <w:spacing w:line="360" w:lineRule="auto"/>
        <w:ind w:firstLine="420" w:firstLineChars="200"/>
        <w:rPr>
          <w:rFonts w:ascii="宋体" w:hAnsi="宋体"/>
          <w:szCs w:val="21"/>
        </w:rPr>
      </w:pPr>
      <w:r>
        <w:rPr>
          <w:rFonts w:hint="eastAsia" w:ascii="宋体" w:hAnsi="宋体"/>
          <w:szCs w:val="21"/>
        </w:rPr>
        <w:t>清疏需满足CCTV检测要求，对检查井、管道内淤进行清理，含残墙、建筑垃圾、堵头等杂物的管道清疏。</w:t>
      </w:r>
    </w:p>
    <w:p>
      <w:pPr>
        <w:spacing w:line="360" w:lineRule="auto"/>
        <w:ind w:firstLine="420" w:firstLineChars="200"/>
        <w:rPr>
          <w:rFonts w:ascii="宋体" w:hAnsi="宋体"/>
          <w:szCs w:val="21"/>
        </w:rPr>
      </w:pPr>
      <w:r>
        <w:rPr>
          <w:rFonts w:hint="eastAsia" w:ascii="宋体" w:hAnsi="宋体"/>
          <w:szCs w:val="21"/>
        </w:rPr>
        <w:t>在测区范围内进行掏挖窨井、通风排毒、导水排水、皮囊管塞、管道清淤、窨井清捞等作业。</w:t>
      </w:r>
    </w:p>
    <w:p>
      <w:pPr>
        <w:spacing w:line="360" w:lineRule="auto"/>
        <w:ind w:firstLine="420" w:firstLineChars="200"/>
        <w:rPr>
          <w:rFonts w:ascii="宋体" w:hAnsi="宋体"/>
          <w:szCs w:val="21"/>
        </w:rPr>
      </w:pPr>
      <w:r>
        <w:rPr>
          <w:rFonts w:hint="eastAsia" w:ascii="宋体" w:hAnsi="宋体"/>
          <w:szCs w:val="21"/>
        </w:rPr>
        <w:t>清淤作业前需要提交清淤方案，方案内要对产生的淤泥、污水转运堆放、排放可能对环境的影响做出相应评估。（管道及检查井清掏出来的淤泥等杂物外运，淤泥产生单位和接收单位需签订污泥处理协议及污泥处置转移4联单作为台账资料，接收单位需有处置资质）</w:t>
      </w:r>
    </w:p>
    <w:p>
      <w:pPr>
        <w:spacing w:line="360" w:lineRule="auto"/>
        <w:ind w:firstLine="420" w:firstLineChars="200"/>
        <w:rPr>
          <w:rFonts w:ascii="宋体" w:hAnsi="宋体" w:cs="宋体"/>
          <w:szCs w:val="21"/>
        </w:rPr>
      </w:pPr>
      <w:r>
        <w:rPr>
          <w:rFonts w:hint="eastAsia" w:ascii="宋体" w:hAnsi="宋体" w:cs="宋体"/>
          <w:szCs w:val="21"/>
        </w:rPr>
        <w:t>（1)管道封堵</w:t>
      </w:r>
      <w:bookmarkStart w:id="57" w:name="_Toc30178"/>
      <w:bookmarkStart w:id="58" w:name="_Toc518170789"/>
      <w:r>
        <w:rPr>
          <w:rFonts w:hint="eastAsia" w:ascii="宋体" w:hAnsi="宋体" w:cs="宋体"/>
          <w:szCs w:val="21"/>
        </w:rPr>
        <w:t>要求</w:t>
      </w:r>
    </w:p>
    <w:p>
      <w:pPr>
        <w:spacing w:line="360" w:lineRule="auto"/>
        <w:ind w:firstLine="420" w:firstLineChars="200"/>
        <w:rPr>
          <w:rFonts w:ascii="宋体" w:hAnsi="宋体" w:cs="宋体"/>
          <w:bCs/>
          <w:szCs w:val="21"/>
        </w:rPr>
      </w:pPr>
      <w:r>
        <w:rPr>
          <w:rFonts w:hint="eastAsia" w:ascii="宋体" w:hAnsi="宋体" w:cs="宋体"/>
          <w:bCs/>
          <w:szCs w:val="21"/>
        </w:rPr>
        <w:t>管道检测修复作业前，需要根据管道内水位情况，有针对性地进行管道封堵降水工作。</w:t>
      </w:r>
      <w:bookmarkEnd w:id="57"/>
      <w:bookmarkEnd w:id="58"/>
    </w:p>
    <w:p>
      <w:pPr>
        <w:spacing w:line="360" w:lineRule="auto"/>
        <w:ind w:firstLine="420" w:firstLineChars="200"/>
        <w:rPr>
          <w:rFonts w:ascii="宋体" w:hAnsi="宋体" w:cs="宋体"/>
          <w:bCs/>
          <w:szCs w:val="21"/>
        </w:rPr>
      </w:pPr>
      <w:bookmarkStart w:id="59" w:name="_Toc21066"/>
      <w:bookmarkStart w:id="60" w:name="_Toc518170790"/>
      <w:r>
        <w:rPr>
          <w:rFonts w:hint="eastAsia" w:ascii="宋体" w:hAnsi="宋体" w:cs="宋体"/>
          <w:bCs/>
          <w:szCs w:val="21"/>
        </w:rPr>
        <w:t>①封堵管道必须经排水管理部门批准；封堵前应做好临时排水措施；</w:t>
      </w:r>
      <w:bookmarkEnd w:id="59"/>
      <w:bookmarkEnd w:id="60"/>
    </w:p>
    <w:p>
      <w:pPr>
        <w:spacing w:line="360" w:lineRule="auto"/>
        <w:ind w:firstLine="420" w:firstLineChars="200"/>
        <w:rPr>
          <w:rFonts w:ascii="宋体" w:hAnsi="宋体" w:cs="宋体"/>
          <w:bCs/>
          <w:szCs w:val="21"/>
        </w:rPr>
      </w:pPr>
      <w:bookmarkStart w:id="61" w:name="_Toc518170791"/>
      <w:bookmarkStart w:id="62" w:name="_Toc17422"/>
      <w:r>
        <w:rPr>
          <w:rFonts w:hint="eastAsia" w:ascii="宋体" w:hAnsi="宋体" w:cs="宋体"/>
          <w:bCs/>
          <w:szCs w:val="21"/>
        </w:rPr>
        <w:t>②封堵管道应先封堵上游管口，再封堵下游管口；拆除封堵时，应先拆下游管堵，再拆上游管堵；</w:t>
      </w:r>
      <w:bookmarkEnd w:id="61"/>
      <w:bookmarkEnd w:id="62"/>
    </w:p>
    <w:p>
      <w:pPr>
        <w:spacing w:line="360" w:lineRule="auto"/>
        <w:ind w:firstLine="420" w:firstLineChars="200"/>
        <w:rPr>
          <w:rFonts w:ascii="宋体" w:hAnsi="宋体"/>
          <w:bCs/>
          <w:szCs w:val="21"/>
        </w:rPr>
      </w:pPr>
      <w:bookmarkStart w:id="63" w:name="_Toc518170794"/>
      <w:bookmarkStart w:id="64" w:name="_Toc28694"/>
      <w:r>
        <w:rPr>
          <w:rFonts w:hint="eastAsia" w:ascii="宋体" w:hAnsi="宋体" w:cs="宋体"/>
          <w:szCs w:val="21"/>
        </w:rPr>
        <w:t>④</w:t>
      </w:r>
      <w:r>
        <w:rPr>
          <w:rFonts w:hint="eastAsia" w:ascii="宋体" w:hAnsi="宋体"/>
          <w:bCs/>
          <w:szCs w:val="21"/>
        </w:rPr>
        <w:t>使用充气管塞封堵管道应符合下列规定：</w:t>
      </w:r>
      <w:bookmarkEnd w:id="63"/>
      <w:bookmarkEnd w:id="64"/>
    </w:p>
    <w:p>
      <w:pPr>
        <w:spacing w:line="360" w:lineRule="auto"/>
        <w:ind w:firstLine="420" w:firstLineChars="200"/>
        <w:rPr>
          <w:rFonts w:ascii="宋体" w:hAnsi="宋体"/>
          <w:bCs/>
          <w:szCs w:val="21"/>
        </w:rPr>
      </w:pPr>
      <w:bookmarkStart w:id="65" w:name="_Toc13854"/>
      <w:bookmarkStart w:id="66" w:name="_Toc518170795"/>
      <w:r>
        <w:rPr>
          <w:rFonts w:hint="eastAsia" w:ascii="宋体" w:hAnsi="宋体"/>
          <w:bCs/>
          <w:szCs w:val="21"/>
        </w:rPr>
        <w:t>A 必须使用合格的充气管塞；</w:t>
      </w:r>
      <w:bookmarkEnd w:id="65"/>
      <w:bookmarkEnd w:id="66"/>
    </w:p>
    <w:p>
      <w:pPr>
        <w:spacing w:line="360" w:lineRule="auto"/>
        <w:ind w:firstLine="420" w:firstLineChars="200"/>
        <w:rPr>
          <w:rFonts w:ascii="宋体" w:hAnsi="宋体"/>
          <w:bCs/>
          <w:szCs w:val="21"/>
        </w:rPr>
      </w:pPr>
      <w:bookmarkStart w:id="67" w:name="_Toc518170796"/>
      <w:bookmarkStart w:id="68" w:name="_Toc6889"/>
      <w:r>
        <w:rPr>
          <w:rFonts w:hint="eastAsia" w:ascii="宋体" w:hAnsi="宋体"/>
          <w:bCs/>
          <w:szCs w:val="21"/>
        </w:rPr>
        <w:t>B 管塞所承受的水压不得大于该管塞的最大允许压力；</w:t>
      </w:r>
      <w:bookmarkEnd w:id="67"/>
      <w:bookmarkEnd w:id="68"/>
    </w:p>
    <w:p>
      <w:pPr>
        <w:spacing w:line="360" w:lineRule="auto"/>
        <w:ind w:firstLine="420" w:firstLineChars="200"/>
        <w:rPr>
          <w:rFonts w:ascii="宋体" w:hAnsi="宋体"/>
          <w:bCs/>
          <w:szCs w:val="21"/>
        </w:rPr>
      </w:pPr>
      <w:bookmarkStart w:id="69" w:name="_Toc18782"/>
      <w:bookmarkStart w:id="70" w:name="_Toc518170797"/>
      <w:r>
        <w:rPr>
          <w:rFonts w:hint="eastAsia" w:ascii="宋体" w:hAnsi="宋体"/>
          <w:bCs/>
          <w:szCs w:val="21"/>
        </w:rPr>
        <w:t>C 安放管塞的部位不得留有石子等杂物；</w:t>
      </w:r>
      <w:bookmarkEnd w:id="69"/>
      <w:bookmarkEnd w:id="70"/>
    </w:p>
    <w:p>
      <w:pPr>
        <w:spacing w:line="360" w:lineRule="auto"/>
        <w:ind w:firstLine="420" w:firstLineChars="200"/>
        <w:rPr>
          <w:rFonts w:ascii="宋体" w:hAnsi="宋体"/>
          <w:bCs/>
          <w:szCs w:val="21"/>
        </w:rPr>
      </w:pPr>
      <w:bookmarkStart w:id="71" w:name="_Toc1994"/>
      <w:bookmarkStart w:id="72" w:name="_Toc518170798"/>
      <w:r>
        <w:rPr>
          <w:rFonts w:hint="eastAsia" w:ascii="宋体" w:hAnsi="宋体"/>
          <w:bCs/>
          <w:szCs w:val="21"/>
        </w:rPr>
        <w:t>D 应按规定的压力充气，在使用期间必须有专人每天检查气压状况，发现低于规定气压时必须及时补气；</w:t>
      </w:r>
      <w:bookmarkEnd w:id="71"/>
      <w:bookmarkEnd w:id="72"/>
    </w:p>
    <w:p>
      <w:pPr>
        <w:spacing w:line="360" w:lineRule="auto"/>
        <w:ind w:firstLine="420" w:firstLineChars="200"/>
        <w:rPr>
          <w:rFonts w:ascii="宋体" w:hAnsi="宋体"/>
          <w:bCs/>
          <w:szCs w:val="21"/>
        </w:rPr>
      </w:pPr>
      <w:bookmarkStart w:id="73" w:name="_Toc12187"/>
      <w:bookmarkStart w:id="74" w:name="_Toc518170799"/>
      <w:r>
        <w:rPr>
          <w:rFonts w:hint="eastAsia" w:ascii="宋体" w:hAnsi="宋体"/>
          <w:bCs/>
          <w:szCs w:val="21"/>
        </w:rPr>
        <w:t>E 应按规定做好防滑动支撑措施；</w:t>
      </w:r>
      <w:bookmarkEnd w:id="73"/>
      <w:bookmarkEnd w:id="74"/>
    </w:p>
    <w:p>
      <w:pPr>
        <w:spacing w:line="360" w:lineRule="auto"/>
        <w:ind w:firstLine="420" w:firstLineChars="200"/>
        <w:rPr>
          <w:rFonts w:ascii="宋体" w:hAnsi="宋体"/>
          <w:bCs/>
          <w:szCs w:val="21"/>
        </w:rPr>
      </w:pPr>
      <w:bookmarkStart w:id="75" w:name="_Toc10911"/>
      <w:bookmarkStart w:id="76" w:name="_Toc518170800"/>
      <w:r>
        <w:rPr>
          <w:rFonts w:hint="eastAsia" w:ascii="宋体" w:hAnsi="宋体"/>
          <w:bCs/>
          <w:szCs w:val="21"/>
        </w:rPr>
        <w:t>F 拆除管塞时应缓慢放气，并在下游安放拦截设备；</w:t>
      </w:r>
      <w:bookmarkEnd w:id="75"/>
      <w:bookmarkEnd w:id="76"/>
    </w:p>
    <w:p>
      <w:pPr>
        <w:spacing w:line="360" w:lineRule="auto"/>
        <w:ind w:firstLine="420" w:firstLineChars="200"/>
        <w:rPr>
          <w:rFonts w:ascii="宋体" w:hAnsi="宋体"/>
          <w:bCs/>
          <w:szCs w:val="21"/>
        </w:rPr>
      </w:pPr>
      <w:bookmarkStart w:id="77" w:name="_Toc518170801"/>
      <w:bookmarkStart w:id="78" w:name="_Toc6696"/>
      <w:r>
        <w:rPr>
          <w:rFonts w:hint="eastAsia" w:ascii="宋体" w:hAnsi="宋体"/>
          <w:bCs/>
          <w:szCs w:val="21"/>
        </w:rPr>
        <w:t>G 放气时，井下操作人员不得在井内停留。</w:t>
      </w:r>
      <w:bookmarkEnd w:id="77"/>
      <w:bookmarkEnd w:id="78"/>
    </w:p>
    <w:p>
      <w:pPr>
        <w:spacing w:line="360" w:lineRule="auto"/>
        <w:ind w:firstLine="420" w:firstLineChars="200"/>
        <w:rPr>
          <w:rFonts w:ascii="宋体" w:hAnsi="宋体"/>
          <w:szCs w:val="21"/>
        </w:rPr>
      </w:pPr>
      <w:bookmarkStart w:id="79" w:name="_Toc518170808"/>
      <w:bookmarkStart w:id="80" w:name="_Toc28393"/>
      <w:r>
        <w:rPr>
          <w:rFonts w:hint="eastAsia" w:ascii="宋体" w:hAnsi="宋体"/>
          <w:szCs w:val="21"/>
        </w:rPr>
        <w:t>(2)临时排水：</w:t>
      </w:r>
    </w:p>
    <w:p>
      <w:pPr>
        <w:spacing w:line="360" w:lineRule="auto"/>
        <w:ind w:firstLine="420" w:firstLineChars="200"/>
        <w:rPr>
          <w:rFonts w:ascii="宋体" w:hAnsi="宋体"/>
          <w:bCs/>
          <w:szCs w:val="21"/>
        </w:rPr>
      </w:pPr>
      <w:r>
        <w:rPr>
          <w:rFonts w:hint="eastAsia" w:ascii="宋体" w:hAnsi="宋体"/>
          <w:bCs/>
          <w:szCs w:val="21"/>
        </w:rPr>
        <w:t>管道内水位高于管径的百分之三十时，必须将水位降至百分之三十以下，方可检测。</w:t>
      </w:r>
    </w:p>
    <w:p>
      <w:pPr>
        <w:spacing w:line="360" w:lineRule="auto"/>
        <w:ind w:firstLine="420" w:firstLineChars="200"/>
        <w:rPr>
          <w:rFonts w:ascii="宋体" w:hAnsi="宋体"/>
          <w:bCs/>
          <w:szCs w:val="21"/>
        </w:rPr>
      </w:pPr>
      <w:r>
        <w:rPr>
          <w:rFonts w:hint="eastAsia" w:ascii="宋体" w:hAnsi="宋体" w:cs="宋体"/>
          <w:szCs w:val="21"/>
        </w:rPr>
        <w:t>①</w:t>
      </w:r>
      <w:r>
        <w:rPr>
          <w:rFonts w:hint="eastAsia" w:ascii="宋体" w:hAnsi="宋体"/>
          <w:bCs/>
          <w:szCs w:val="21"/>
        </w:rPr>
        <w:t>管道降水宜采用液压动力站和潜水泥浆泵</w:t>
      </w:r>
      <w:bookmarkEnd w:id="79"/>
      <w:bookmarkEnd w:id="80"/>
      <w:bookmarkStart w:id="81" w:name="_Toc518170810"/>
      <w:r>
        <w:rPr>
          <w:rFonts w:hint="eastAsia" w:ascii="宋体" w:hAnsi="宋体"/>
          <w:bCs/>
          <w:szCs w:val="21"/>
        </w:rPr>
        <w:t>；</w:t>
      </w:r>
      <w:bookmarkEnd w:id="81"/>
    </w:p>
    <w:p>
      <w:pPr>
        <w:spacing w:line="360" w:lineRule="auto"/>
        <w:ind w:firstLine="420" w:firstLineChars="200"/>
        <w:rPr>
          <w:rFonts w:ascii="宋体" w:hAnsi="宋体"/>
          <w:bCs/>
          <w:szCs w:val="21"/>
        </w:rPr>
      </w:pPr>
      <w:bookmarkStart w:id="82" w:name="_Toc7936"/>
      <w:bookmarkStart w:id="83" w:name="_Toc518170811"/>
      <w:r>
        <w:rPr>
          <w:rFonts w:hint="eastAsia" w:ascii="宋体" w:hAnsi="宋体" w:cs="宋体"/>
          <w:szCs w:val="21"/>
        </w:rPr>
        <w:t>②</w:t>
      </w:r>
      <w:r>
        <w:rPr>
          <w:rFonts w:hint="eastAsia" w:ascii="宋体" w:hAnsi="宋体"/>
          <w:bCs/>
          <w:szCs w:val="21"/>
        </w:rPr>
        <w:t>降水设备抽水前应对检查井内漂浮物等进行清捞，避免垃圾堵塞水泵，影响水泵的抽水能力；</w:t>
      </w:r>
      <w:bookmarkEnd w:id="82"/>
      <w:bookmarkEnd w:id="83"/>
    </w:p>
    <w:p>
      <w:pPr>
        <w:spacing w:line="360" w:lineRule="auto"/>
        <w:ind w:firstLine="420" w:firstLineChars="200"/>
        <w:rPr>
          <w:rFonts w:ascii="宋体" w:hAnsi="宋体"/>
          <w:bCs/>
          <w:szCs w:val="21"/>
        </w:rPr>
      </w:pPr>
      <w:bookmarkStart w:id="84" w:name="_Toc518170812"/>
      <w:bookmarkStart w:id="85" w:name="_Toc12671"/>
      <w:r>
        <w:rPr>
          <w:rFonts w:hint="eastAsia" w:ascii="宋体" w:hAnsi="宋体" w:cs="宋体"/>
          <w:szCs w:val="21"/>
        </w:rPr>
        <w:t>③</w:t>
      </w:r>
      <w:r>
        <w:rPr>
          <w:rFonts w:hint="eastAsia" w:ascii="宋体" w:hAnsi="宋体"/>
          <w:bCs/>
          <w:szCs w:val="21"/>
        </w:rPr>
        <w:t>管道内的积水应排至下游同类型通畅的管网；水泵抽水水带应密封良好，不得有污水渗出；</w:t>
      </w:r>
      <w:bookmarkEnd w:id="84"/>
      <w:bookmarkEnd w:id="85"/>
    </w:p>
    <w:p>
      <w:pPr>
        <w:spacing w:line="360" w:lineRule="auto"/>
        <w:ind w:firstLine="420" w:firstLineChars="200"/>
        <w:rPr>
          <w:rFonts w:ascii="宋体" w:hAnsi="宋体"/>
          <w:bCs/>
          <w:szCs w:val="21"/>
        </w:rPr>
      </w:pPr>
      <w:bookmarkStart w:id="86" w:name="_Toc30263"/>
      <w:bookmarkStart w:id="87" w:name="_Toc518170813"/>
      <w:r>
        <w:rPr>
          <w:rFonts w:hint="eastAsia" w:ascii="宋体" w:hAnsi="宋体" w:cs="宋体"/>
          <w:szCs w:val="21"/>
        </w:rPr>
        <w:t>④</w:t>
      </w:r>
      <w:r>
        <w:rPr>
          <w:rFonts w:hint="eastAsia" w:ascii="宋体" w:hAnsi="宋体"/>
          <w:bCs/>
          <w:szCs w:val="21"/>
        </w:rPr>
        <w:t>在水泵抽水过程中严禁人员下到检查井内；</w:t>
      </w:r>
      <w:bookmarkEnd w:id="86"/>
      <w:bookmarkEnd w:id="87"/>
    </w:p>
    <w:p>
      <w:pPr>
        <w:spacing w:line="360" w:lineRule="auto"/>
        <w:ind w:firstLine="420" w:firstLineChars="200"/>
        <w:rPr>
          <w:rFonts w:ascii="宋体" w:hAnsi="宋体"/>
          <w:bCs/>
          <w:szCs w:val="21"/>
        </w:rPr>
      </w:pPr>
      <w:r>
        <w:rPr>
          <w:rFonts w:hint="eastAsia" w:ascii="宋体" w:hAnsi="宋体" w:cs="宋体"/>
          <w:szCs w:val="21"/>
        </w:rPr>
        <w:t>⑤</w:t>
      </w:r>
      <w:r>
        <w:rPr>
          <w:rFonts w:hint="eastAsia" w:ascii="宋体" w:hAnsi="宋体"/>
          <w:bCs/>
          <w:szCs w:val="21"/>
        </w:rPr>
        <w:t>当管道内淤积高于管径的百分之三十时，降水至露出淤泥进行QV检测，并上报淤积情况。</w:t>
      </w:r>
    </w:p>
    <w:p>
      <w:pPr>
        <w:spacing w:line="360" w:lineRule="auto"/>
        <w:ind w:firstLine="420" w:firstLineChars="200"/>
        <w:rPr>
          <w:rFonts w:ascii="宋体" w:hAnsi="宋体"/>
          <w:bCs/>
          <w:szCs w:val="21"/>
        </w:rPr>
      </w:pPr>
      <w:bookmarkStart w:id="88" w:name="_Toc11803"/>
      <w:bookmarkStart w:id="89" w:name="_Toc518170815"/>
      <w:r>
        <w:rPr>
          <w:rFonts w:hint="eastAsia" w:ascii="宋体" w:hAnsi="宋体" w:cs="宋体"/>
          <w:szCs w:val="21"/>
        </w:rPr>
        <w:t>⑥</w:t>
      </w:r>
      <w:r>
        <w:rPr>
          <w:rFonts w:hint="eastAsia" w:ascii="宋体" w:hAnsi="宋体"/>
          <w:bCs/>
          <w:szCs w:val="21"/>
        </w:rPr>
        <w:t>降水作业应将封堵段管道内的水抽排至临近下游管道，减少污水对环境的污染。</w:t>
      </w:r>
      <w:bookmarkEnd w:id="88"/>
      <w:bookmarkEnd w:id="89"/>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bCs/>
          <w:szCs w:val="21"/>
        </w:rPr>
      </w:pPr>
      <w:r>
        <w:rPr>
          <w:rFonts w:hint="eastAsia" w:ascii="宋体" w:hAnsi="宋体"/>
          <w:bCs/>
          <w:szCs w:val="21"/>
        </w:rPr>
        <w:t>管线疏通清洗特别对待情况：在管线疏通清洗时，遇到硬质性混凝土沉淀形成连片的沉积层无法处理的特殊情况，必须填写洽商记录，并经业主（监理）严格审查后，才能以作为管线健康状况评估的管线功能性缺陷问题处理，在发包人确认统一修复方案后，及时配合进行同步修复。</w:t>
      </w:r>
    </w:p>
    <w:p>
      <w:pPr>
        <w:pStyle w:val="17"/>
        <w:keepNext w:val="0"/>
        <w:keepLines w:val="0"/>
        <w:pageBreakBefore w:val="0"/>
        <w:widowControl w:val="0"/>
        <w:kinsoku/>
        <w:wordWrap/>
        <w:overflowPunct/>
        <w:topLinePunct w:val="0"/>
        <w:autoSpaceDE/>
        <w:autoSpaceDN/>
        <w:bidi w:val="0"/>
        <w:adjustRightInd/>
        <w:spacing w:line="360" w:lineRule="auto"/>
        <w:ind w:firstLine="482"/>
        <w:textAlignment w:val="auto"/>
        <w:rPr>
          <w:b/>
          <w:bCs/>
        </w:rPr>
      </w:pPr>
      <w:r>
        <w:rPr>
          <w:rFonts w:hint="eastAsia"/>
          <w:b/>
        </w:rPr>
        <w:t>▲</w:t>
      </w:r>
      <w:r>
        <w:rPr>
          <w:rFonts w:hint="eastAsia"/>
          <w:b/>
          <w:bCs/>
          <w:sz w:val="22"/>
          <w:szCs w:val="22"/>
        </w:rPr>
        <w:t>中标人必须在施工前办理完成污泥无害化处置相关协议。</w:t>
      </w:r>
    </w:p>
    <w:p>
      <w:pPr>
        <w:keepNext w:val="0"/>
        <w:keepLines w:val="0"/>
        <w:pageBreakBefore w:val="0"/>
        <w:widowControl w:val="0"/>
        <w:kinsoku/>
        <w:wordWrap/>
        <w:overflowPunct/>
        <w:topLinePunct w:val="0"/>
        <w:autoSpaceDE/>
        <w:autoSpaceDN/>
        <w:bidi w:val="0"/>
        <w:adjustRightInd/>
        <w:snapToGrid w:val="0"/>
        <w:spacing w:line="360" w:lineRule="auto"/>
        <w:ind w:left="400"/>
        <w:jc w:val="left"/>
        <w:textAlignment w:val="auto"/>
        <w:rPr>
          <w:rFonts w:ascii="Arial" w:hAnsi="Arial"/>
          <w:szCs w:val="21"/>
        </w:rPr>
      </w:pPr>
      <w:r>
        <w:rPr>
          <w:rFonts w:hint="eastAsia" w:ascii="Arial" w:hAnsi="Arial"/>
          <w:szCs w:val="21"/>
        </w:rPr>
        <w:t>3、</w:t>
      </w:r>
      <w:r>
        <w:rPr>
          <w:rFonts w:hint="eastAsia" w:ascii="Arial" w:hAnsi="Arial"/>
          <w:b/>
          <w:bCs/>
          <w:szCs w:val="21"/>
        </w:rPr>
        <w:t>修复（非开挖修复及小型开挖修复）</w:t>
      </w:r>
    </w:p>
    <w:p>
      <w:pPr>
        <w:snapToGrid w:val="0"/>
        <w:spacing w:line="360" w:lineRule="auto"/>
        <w:ind w:firstLine="422" w:firstLineChars="200"/>
        <w:jc w:val="left"/>
        <w:rPr>
          <w:rFonts w:ascii="Arial" w:hAnsi="Arial"/>
          <w:b/>
          <w:szCs w:val="21"/>
        </w:rPr>
      </w:pPr>
      <w:r>
        <w:rPr>
          <w:rFonts w:hint="eastAsia" w:ascii="Arial" w:hAnsi="Arial"/>
          <w:b/>
          <w:szCs w:val="21"/>
        </w:rPr>
        <w:t>3.1总体要求</w:t>
      </w:r>
    </w:p>
    <w:p>
      <w:pPr>
        <w:numPr>
          <w:ilvl w:val="0"/>
          <w:numId w:val="5"/>
        </w:numPr>
        <w:snapToGrid w:val="0"/>
        <w:spacing w:line="360" w:lineRule="auto"/>
        <w:rPr>
          <w:rFonts w:ascii="Arial" w:hAnsi="Arial"/>
          <w:szCs w:val="21"/>
        </w:rPr>
      </w:pPr>
      <w:r>
        <w:rPr>
          <w:rFonts w:hint="eastAsia" w:ascii="Arial" w:hAnsi="Arial"/>
          <w:szCs w:val="21"/>
        </w:rPr>
        <w:t>非开挖修复前和非开挖修复完成后，投标人须用CCTV设备进行内窥检测，并形成修前修后视频资料。</w:t>
      </w:r>
    </w:p>
    <w:p>
      <w:pPr>
        <w:numPr>
          <w:ilvl w:val="0"/>
          <w:numId w:val="5"/>
        </w:numPr>
        <w:snapToGrid w:val="0"/>
        <w:spacing w:line="360" w:lineRule="auto"/>
        <w:rPr>
          <w:rFonts w:ascii="Arial" w:hAnsi="Arial"/>
          <w:szCs w:val="21"/>
        </w:rPr>
      </w:pPr>
      <w:r>
        <w:rPr>
          <w:rFonts w:hint="eastAsia" w:ascii="Arial" w:hAnsi="Arial"/>
          <w:szCs w:val="21"/>
        </w:rPr>
        <w:t>项目完成后，中标人须提供《管道修复报告》（3份纸质稿及1份电子稿）及修复前和修复后的视频给采购人。</w:t>
      </w:r>
    </w:p>
    <w:p>
      <w:pPr>
        <w:numPr>
          <w:ilvl w:val="0"/>
          <w:numId w:val="5"/>
        </w:numPr>
        <w:snapToGrid w:val="0"/>
        <w:spacing w:line="360" w:lineRule="auto"/>
        <w:rPr>
          <w:rFonts w:ascii="Arial" w:hAnsi="Arial"/>
          <w:szCs w:val="21"/>
        </w:rPr>
      </w:pPr>
      <w:r>
        <w:rPr>
          <w:rFonts w:hint="eastAsia" w:ascii="Arial" w:hAnsi="Arial"/>
          <w:szCs w:val="21"/>
        </w:rPr>
        <w:t>投标人应承诺：其他本招标要求以外的内容满足《城镇排水管道非开挖修复更新工程技术规程》、《城镇排水管道非开挖修复更新工程技术规程》及《给水排水管道工程施工及验收规范》GB 50268等的相关要求。</w:t>
      </w:r>
    </w:p>
    <w:p>
      <w:pPr>
        <w:pStyle w:val="17"/>
        <w:numPr>
          <w:ilvl w:val="0"/>
          <w:numId w:val="5"/>
        </w:numPr>
        <w:spacing w:line="360" w:lineRule="auto"/>
        <w:ind w:firstLineChars="0"/>
        <w:rPr>
          <w:rFonts w:ascii="Arial" w:hAnsi="Arial"/>
          <w:sz w:val="21"/>
          <w:szCs w:val="21"/>
        </w:rPr>
      </w:pPr>
      <w:r>
        <w:rPr>
          <w:rFonts w:hint="eastAsia" w:ascii="Arial" w:hAnsi="Arial"/>
          <w:sz w:val="21"/>
          <w:szCs w:val="21"/>
        </w:rPr>
        <w:t>开挖修复：应按施工规范实施，做好安全文明措施。</w:t>
      </w:r>
    </w:p>
    <w:p>
      <w:pPr>
        <w:snapToGrid w:val="0"/>
        <w:spacing w:line="360" w:lineRule="auto"/>
        <w:ind w:firstLine="422" w:firstLineChars="200"/>
        <w:jc w:val="left"/>
        <w:rPr>
          <w:rFonts w:ascii="Arial" w:hAnsi="Arial"/>
          <w:b/>
          <w:szCs w:val="21"/>
        </w:rPr>
      </w:pPr>
      <w:r>
        <w:rPr>
          <w:rFonts w:hint="eastAsia" w:ascii="Arial" w:hAnsi="Arial"/>
          <w:b/>
          <w:szCs w:val="21"/>
        </w:rPr>
        <w:t>3.2修复要求</w:t>
      </w:r>
    </w:p>
    <w:p>
      <w:pPr>
        <w:numPr>
          <w:ilvl w:val="0"/>
          <w:numId w:val="6"/>
        </w:numPr>
        <w:snapToGrid w:val="0"/>
        <w:spacing w:line="360" w:lineRule="auto"/>
        <w:rPr>
          <w:rFonts w:ascii="Arial" w:hAnsi="Arial"/>
          <w:szCs w:val="21"/>
        </w:rPr>
      </w:pPr>
      <w:r>
        <w:rPr>
          <w:rFonts w:hint="eastAsia" w:ascii="Arial" w:hAnsi="Arial"/>
          <w:szCs w:val="21"/>
        </w:rPr>
        <w:t>当管道内需采取临时排水措施时，应符合下列规定：</w:t>
      </w:r>
    </w:p>
    <w:p>
      <w:pPr>
        <w:numPr>
          <w:ilvl w:val="0"/>
          <w:numId w:val="7"/>
        </w:numPr>
        <w:snapToGrid w:val="0"/>
        <w:spacing w:line="360" w:lineRule="auto"/>
        <w:rPr>
          <w:rFonts w:ascii="Arial" w:hAnsi="Arial"/>
          <w:szCs w:val="21"/>
        </w:rPr>
      </w:pPr>
      <w:r>
        <w:rPr>
          <w:rFonts w:hint="eastAsia" w:ascii="Arial" w:hAnsi="Arial"/>
          <w:szCs w:val="21"/>
        </w:rPr>
        <w:t>应按现行行业标准《城镇排水管渠与泵站维护技术规程》CJJ68的有关规定对原有管道进行封堵；</w:t>
      </w:r>
    </w:p>
    <w:p>
      <w:pPr>
        <w:numPr>
          <w:ilvl w:val="0"/>
          <w:numId w:val="7"/>
        </w:numPr>
        <w:snapToGrid w:val="0"/>
        <w:spacing w:line="360" w:lineRule="auto"/>
        <w:rPr>
          <w:rFonts w:ascii="Arial" w:hAnsi="Arial"/>
          <w:szCs w:val="21"/>
        </w:rPr>
      </w:pPr>
      <w:r>
        <w:rPr>
          <w:rFonts w:hint="eastAsia" w:ascii="Arial" w:hAnsi="Arial"/>
          <w:szCs w:val="21"/>
        </w:rPr>
        <w:t>当堵管采用充气管塞时，应随时检查管堵的气压，当管堵气压降低时应及时充气；</w:t>
      </w:r>
    </w:p>
    <w:p>
      <w:pPr>
        <w:numPr>
          <w:ilvl w:val="0"/>
          <w:numId w:val="7"/>
        </w:numPr>
        <w:snapToGrid w:val="0"/>
        <w:spacing w:line="360" w:lineRule="auto"/>
        <w:rPr>
          <w:rFonts w:ascii="Arial" w:hAnsi="Arial"/>
          <w:szCs w:val="21"/>
        </w:rPr>
      </w:pPr>
      <w:r>
        <w:rPr>
          <w:rFonts w:hint="eastAsia" w:ascii="Arial" w:hAnsi="Arial"/>
          <w:szCs w:val="21"/>
        </w:rPr>
        <w:t>当管堵上、下游有水压力差时，应对管堵进行支撑；</w:t>
      </w:r>
    </w:p>
    <w:p>
      <w:pPr>
        <w:numPr>
          <w:ilvl w:val="0"/>
          <w:numId w:val="7"/>
        </w:numPr>
        <w:snapToGrid w:val="0"/>
        <w:spacing w:line="360" w:lineRule="auto"/>
        <w:rPr>
          <w:rFonts w:ascii="Arial" w:hAnsi="Arial"/>
          <w:szCs w:val="21"/>
        </w:rPr>
      </w:pPr>
      <w:r>
        <w:rPr>
          <w:rFonts w:hint="eastAsia" w:ascii="Arial" w:hAnsi="Arial"/>
          <w:szCs w:val="21"/>
        </w:rPr>
        <w:t>临时排水设施的排水能力应能确保各修复工艺的施工要求。</w:t>
      </w:r>
    </w:p>
    <w:p>
      <w:pPr>
        <w:numPr>
          <w:ilvl w:val="0"/>
          <w:numId w:val="6"/>
        </w:numPr>
        <w:snapToGrid w:val="0"/>
        <w:spacing w:line="360" w:lineRule="auto"/>
        <w:rPr>
          <w:rFonts w:ascii="Arial" w:hAnsi="Arial"/>
          <w:szCs w:val="21"/>
        </w:rPr>
      </w:pPr>
      <w:r>
        <w:rPr>
          <w:rFonts w:hint="eastAsia" w:ascii="Arial" w:hAnsi="Arial"/>
          <w:szCs w:val="21"/>
        </w:rPr>
        <w:t>本项目非开挖修复方式以</w:t>
      </w:r>
      <w:r>
        <w:rPr>
          <w:rFonts w:hint="eastAsia" w:ascii="Arial" w:hAnsi="Arial"/>
          <w:b/>
          <w:bCs/>
          <w:szCs w:val="21"/>
        </w:rPr>
        <w:t>点状原位固化工艺、整体紫外光固化工艺</w:t>
      </w:r>
      <w:r>
        <w:rPr>
          <w:rFonts w:hint="eastAsia" w:ascii="Arial" w:hAnsi="Arial"/>
          <w:szCs w:val="21"/>
        </w:rPr>
        <w:t>为主，</w:t>
      </w:r>
      <w:r>
        <w:rPr>
          <w:rFonts w:hint="eastAsia" w:ascii="Arial" w:hAnsi="Arial" w:cs="Arial"/>
          <w:bCs/>
          <w:szCs w:val="21"/>
        </w:rPr>
        <w:t>项目实施期间，可根据实际管道情况进行调整。具体操作规程、验收按照</w:t>
      </w:r>
      <w:r>
        <w:rPr>
          <w:rFonts w:hint="eastAsia" w:ascii="Arial" w:hAnsi="Arial"/>
          <w:szCs w:val="21"/>
        </w:rPr>
        <w:t>《城镇排水管道非开挖修复更新工程技术规程》CJJ/T 210-2014执行。</w:t>
      </w:r>
    </w:p>
    <w:p>
      <w:pPr>
        <w:numPr>
          <w:ilvl w:val="0"/>
          <w:numId w:val="6"/>
        </w:numPr>
        <w:snapToGrid w:val="0"/>
        <w:spacing w:line="360" w:lineRule="auto"/>
        <w:rPr>
          <w:rFonts w:ascii="Arial" w:hAnsi="Arial"/>
          <w:szCs w:val="21"/>
        </w:rPr>
      </w:pPr>
      <w:r>
        <w:rPr>
          <w:rFonts w:hint="eastAsia" w:ascii="Arial" w:hAnsi="Arial"/>
          <w:szCs w:val="21"/>
        </w:rPr>
        <w:t>整体紫外光固化修复的材料性能测试参数</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23"/>
        <w:gridCol w:w="2841"/>
        <w:gridCol w:w="27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64" w:type="dxa"/>
            <w:gridSpan w:val="2"/>
            <w:vAlign w:val="center"/>
          </w:tcPr>
          <w:p>
            <w:pPr>
              <w:snapToGrid w:val="0"/>
              <w:spacing w:line="360" w:lineRule="auto"/>
              <w:jc w:val="center"/>
              <w:rPr>
                <w:rFonts w:ascii="Arial" w:hAnsi="Arial"/>
                <w:b/>
                <w:bCs/>
              </w:rPr>
            </w:pPr>
            <w:r>
              <w:rPr>
                <w:rFonts w:hint="eastAsia" w:ascii="Arial" w:hAnsi="Arial"/>
                <w:b/>
                <w:bCs/>
              </w:rPr>
              <w:t>各项性能</w:t>
            </w:r>
          </w:p>
        </w:tc>
        <w:tc>
          <w:tcPr>
            <w:tcW w:w="2746" w:type="dxa"/>
            <w:vAlign w:val="center"/>
          </w:tcPr>
          <w:p>
            <w:pPr>
              <w:snapToGrid w:val="0"/>
              <w:spacing w:line="360" w:lineRule="auto"/>
              <w:jc w:val="center"/>
              <w:rPr>
                <w:rFonts w:ascii="Arial" w:hAnsi="Arial"/>
                <w:b/>
                <w:bCs/>
              </w:rPr>
            </w:pPr>
            <w:r>
              <w:rPr>
                <w:rFonts w:hint="eastAsia" w:ascii="Arial" w:hAnsi="Arial"/>
                <w:b/>
                <w:bCs/>
              </w:rPr>
              <w:t>测试依据标准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vAlign w:val="center"/>
          </w:tcPr>
          <w:p>
            <w:pPr>
              <w:snapToGrid w:val="0"/>
              <w:spacing w:line="360" w:lineRule="auto"/>
              <w:jc w:val="center"/>
              <w:rPr>
                <w:rFonts w:ascii="Arial" w:hAnsi="Arial"/>
                <w:szCs w:val="21"/>
              </w:rPr>
            </w:pPr>
            <w:r>
              <w:rPr>
                <w:rFonts w:hint="eastAsia" w:ascii="Arial" w:hAnsi="Arial"/>
                <w:szCs w:val="21"/>
              </w:rPr>
              <w:t>弯曲强度（MPa）</w:t>
            </w:r>
          </w:p>
        </w:tc>
        <w:tc>
          <w:tcPr>
            <w:tcW w:w="2841" w:type="dxa"/>
            <w:vAlign w:val="center"/>
          </w:tcPr>
          <w:p>
            <w:pPr>
              <w:snapToGrid w:val="0"/>
              <w:spacing w:line="360" w:lineRule="auto"/>
              <w:jc w:val="center"/>
              <w:rPr>
                <w:rFonts w:ascii="Arial" w:hAnsi="Arial"/>
                <w:szCs w:val="21"/>
              </w:rPr>
            </w:pPr>
            <w:r>
              <w:rPr>
                <w:rFonts w:hint="eastAsia" w:ascii="Arial" w:hAnsi="Arial"/>
                <w:szCs w:val="21"/>
              </w:rPr>
              <w:t>＞45</w:t>
            </w:r>
          </w:p>
        </w:tc>
        <w:tc>
          <w:tcPr>
            <w:tcW w:w="2746" w:type="dxa"/>
            <w:vAlign w:val="center"/>
          </w:tcPr>
          <w:p>
            <w:pPr>
              <w:snapToGrid w:val="0"/>
              <w:spacing w:line="360" w:lineRule="auto"/>
              <w:jc w:val="center"/>
              <w:rPr>
                <w:rFonts w:ascii="Arial" w:hAnsi="Arial"/>
                <w:szCs w:val="21"/>
              </w:rPr>
            </w:pPr>
            <w:r>
              <w:rPr>
                <w:rFonts w:hint="eastAsia" w:ascii="Arial" w:hAnsi="Arial"/>
                <w:szCs w:val="21"/>
              </w:rPr>
              <w:t>GB/T 1449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vAlign w:val="center"/>
          </w:tcPr>
          <w:p>
            <w:pPr>
              <w:snapToGrid w:val="0"/>
              <w:spacing w:line="360" w:lineRule="auto"/>
              <w:jc w:val="center"/>
              <w:rPr>
                <w:rFonts w:ascii="Arial" w:hAnsi="Arial"/>
                <w:szCs w:val="21"/>
              </w:rPr>
            </w:pPr>
            <w:r>
              <w:rPr>
                <w:rFonts w:hint="eastAsia" w:ascii="Arial" w:hAnsi="Arial"/>
                <w:szCs w:val="21"/>
              </w:rPr>
              <w:t>弯曲模量（MPa）</w:t>
            </w:r>
          </w:p>
        </w:tc>
        <w:tc>
          <w:tcPr>
            <w:tcW w:w="2841" w:type="dxa"/>
            <w:vAlign w:val="center"/>
          </w:tcPr>
          <w:p>
            <w:pPr>
              <w:snapToGrid w:val="0"/>
              <w:spacing w:line="360" w:lineRule="auto"/>
              <w:jc w:val="center"/>
              <w:rPr>
                <w:rFonts w:ascii="Arial" w:hAnsi="Arial"/>
                <w:szCs w:val="21"/>
              </w:rPr>
            </w:pPr>
            <w:r>
              <w:rPr>
                <w:rFonts w:hint="eastAsia" w:ascii="Arial" w:hAnsi="Arial"/>
                <w:szCs w:val="21"/>
              </w:rPr>
              <w:t>＞6500</w:t>
            </w:r>
          </w:p>
        </w:tc>
        <w:tc>
          <w:tcPr>
            <w:tcW w:w="2746" w:type="dxa"/>
            <w:vAlign w:val="center"/>
          </w:tcPr>
          <w:p>
            <w:pPr>
              <w:snapToGrid w:val="0"/>
              <w:spacing w:line="360" w:lineRule="auto"/>
              <w:jc w:val="center"/>
              <w:rPr>
                <w:rFonts w:ascii="Arial" w:hAnsi="Arial"/>
                <w:szCs w:val="21"/>
              </w:rPr>
            </w:pPr>
            <w:r>
              <w:rPr>
                <w:rFonts w:hint="eastAsia" w:ascii="Arial" w:hAnsi="Arial"/>
                <w:szCs w:val="21"/>
              </w:rPr>
              <w:t>GB/T 1449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vAlign w:val="center"/>
          </w:tcPr>
          <w:p>
            <w:pPr>
              <w:snapToGrid w:val="0"/>
              <w:spacing w:line="360" w:lineRule="auto"/>
              <w:jc w:val="center"/>
              <w:rPr>
                <w:rFonts w:ascii="Arial" w:hAnsi="Arial"/>
                <w:szCs w:val="21"/>
              </w:rPr>
            </w:pPr>
            <w:r>
              <w:rPr>
                <w:rFonts w:hint="eastAsia" w:ascii="Arial" w:hAnsi="Arial"/>
                <w:szCs w:val="21"/>
              </w:rPr>
              <w:t>抗拉强度（MPa）</w:t>
            </w:r>
          </w:p>
        </w:tc>
        <w:tc>
          <w:tcPr>
            <w:tcW w:w="2841" w:type="dxa"/>
            <w:vAlign w:val="center"/>
          </w:tcPr>
          <w:p>
            <w:pPr>
              <w:snapToGrid w:val="0"/>
              <w:spacing w:line="360" w:lineRule="auto"/>
              <w:jc w:val="center"/>
              <w:rPr>
                <w:rFonts w:ascii="Arial" w:hAnsi="Arial"/>
                <w:szCs w:val="21"/>
              </w:rPr>
            </w:pPr>
            <w:r>
              <w:rPr>
                <w:rFonts w:hint="eastAsia" w:ascii="Arial" w:hAnsi="Arial"/>
                <w:szCs w:val="21"/>
              </w:rPr>
              <w:t>＞62</w:t>
            </w:r>
          </w:p>
        </w:tc>
        <w:tc>
          <w:tcPr>
            <w:tcW w:w="2746" w:type="dxa"/>
            <w:vAlign w:val="center"/>
          </w:tcPr>
          <w:p>
            <w:pPr>
              <w:snapToGrid w:val="0"/>
              <w:spacing w:line="360" w:lineRule="auto"/>
              <w:jc w:val="center"/>
              <w:rPr>
                <w:rFonts w:ascii="Arial" w:hAnsi="Arial"/>
                <w:szCs w:val="21"/>
              </w:rPr>
            </w:pPr>
            <w:r>
              <w:rPr>
                <w:rFonts w:hint="eastAsia" w:ascii="Arial" w:hAnsi="Arial"/>
                <w:szCs w:val="21"/>
              </w:rPr>
              <w:t>GB/T 1040.4</w:t>
            </w:r>
          </w:p>
        </w:tc>
      </w:tr>
    </w:tbl>
    <w:p>
      <w:pPr>
        <w:numPr>
          <w:ilvl w:val="0"/>
          <w:numId w:val="6"/>
        </w:numPr>
        <w:snapToGrid w:val="0"/>
        <w:spacing w:before="120" w:beforeLines="50" w:line="360" w:lineRule="auto"/>
        <w:ind w:firstLine="420" w:firstLineChars="200"/>
        <w:rPr>
          <w:rFonts w:ascii="Arial" w:hAnsi="Arial"/>
        </w:rPr>
      </w:pPr>
      <w:r>
        <w:rPr>
          <w:rFonts w:hint="eastAsia" w:ascii="Arial" w:hAnsi="Arial"/>
        </w:rPr>
        <w:t>采购人关于修复材料推荐：</w:t>
      </w:r>
    </w:p>
    <w:p>
      <w:pPr>
        <w:snapToGrid w:val="0"/>
        <w:spacing w:line="360" w:lineRule="auto"/>
        <w:ind w:firstLine="420" w:firstLineChars="200"/>
        <w:rPr>
          <w:rFonts w:ascii="Arial" w:hAnsi="Arial"/>
          <w:szCs w:val="21"/>
        </w:rPr>
      </w:pPr>
      <w:r>
        <w:rPr>
          <w:rFonts w:hint="eastAsia" w:ascii="Arial" w:hAnsi="Arial"/>
          <w:szCs w:val="21"/>
        </w:rPr>
        <w:t>点状修复材料推荐品牌：特瑞堡、Sikoter—3P、Spheretex GmbH或等同于，整体紫外光修复材料推荐品牌：IMPREG（英普瑞格）、SAERTEX（萨泰克斯）、VHENWHEN（万维）或等同于。</w:t>
      </w:r>
      <w:r>
        <w:rPr>
          <w:rFonts w:hint="eastAsia" w:ascii="Arial" w:hAnsi="Arial" w:cs="楷体"/>
        </w:rPr>
        <w:t>上述所列的推荐品牌是采购人认为符合本项目需求的，同时采购人也欢迎投标人采用其他能满足本项目招标需求且性能与所推荐品牌型号相当或优于的产品参加。</w:t>
      </w:r>
    </w:p>
    <w:p>
      <w:pPr>
        <w:numPr>
          <w:ilvl w:val="0"/>
          <w:numId w:val="6"/>
        </w:numPr>
        <w:snapToGrid w:val="0"/>
        <w:spacing w:before="120" w:beforeLines="50" w:line="360" w:lineRule="auto"/>
        <w:ind w:firstLine="420" w:firstLineChars="200"/>
        <w:rPr>
          <w:rFonts w:ascii="Arial" w:hAnsi="Arial"/>
          <w:szCs w:val="21"/>
        </w:rPr>
      </w:pPr>
      <w:r>
        <w:rPr>
          <w:rFonts w:hint="eastAsia" w:ascii="Arial" w:hAnsi="Arial"/>
          <w:szCs w:val="21"/>
        </w:rPr>
        <w:t>修复质保期：验收通过后两年。</w:t>
      </w:r>
    </w:p>
    <w:p>
      <w:pPr>
        <w:numPr>
          <w:ilvl w:val="0"/>
          <w:numId w:val="6"/>
        </w:numPr>
        <w:snapToGrid w:val="0"/>
        <w:spacing w:line="360" w:lineRule="auto"/>
        <w:ind w:firstLine="420" w:firstLineChars="200"/>
        <w:rPr>
          <w:rFonts w:ascii="Arial" w:hAnsi="Arial"/>
          <w:szCs w:val="21"/>
        </w:rPr>
      </w:pPr>
      <w:r>
        <w:rPr>
          <w:rFonts w:ascii="Arial" w:hAnsi="Arial"/>
        </w:rPr>
        <w:t>工程竣工验收的质量控制资料应包括下列内容：</w:t>
      </w:r>
    </w:p>
    <w:p>
      <w:pPr>
        <w:numPr>
          <w:ilvl w:val="0"/>
          <w:numId w:val="8"/>
        </w:numPr>
        <w:snapToGrid w:val="0"/>
        <w:spacing w:line="360" w:lineRule="auto"/>
        <w:ind w:firstLine="420" w:firstLineChars="200"/>
        <w:rPr>
          <w:rFonts w:ascii="Arial" w:hAnsi="Arial"/>
        </w:rPr>
      </w:pPr>
      <w:r>
        <w:rPr>
          <w:rFonts w:ascii="Arial" w:hAnsi="Arial"/>
        </w:rPr>
        <w:t>建设基本程序办理资料及开工报告；</w:t>
      </w:r>
    </w:p>
    <w:p>
      <w:pPr>
        <w:numPr>
          <w:ilvl w:val="0"/>
          <w:numId w:val="8"/>
        </w:numPr>
        <w:snapToGrid w:val="0"/>
        <w:spacing w:line="360" w:lineRule="auto"/>
        <w:ind w:firstLine="420" w:firstLineChars="200"/>
        <w:rPr>
          <w:rFonts w:ascii="Arial" w:hAnsi="Arial"/>
        </w:rPr>
      </w:pPr>
      <w:r>
        <w:rPr>
          <w:rFonts w:ascii="Arial" w:hAnsi="Arial"/>
        </w:rPr>
        <w:t>原有管道竣工图纸等相关资料，工程沿线勘察资料；</w:t>
      </w:r>
    </w:p>
    <w:p>
      <w:pPr>
        <w:numPr>
          <w:ilvl w:val="0"/>
          <w:numId w:val="8"/>
        </w:numPr>
        <w:snapToGrid w:val="0"/>
        <w:spacing w:line="360" w:lineRule="auto"/>
        <w:ind w:firstLine="420" w:firstLineChars="200"/>
        <w:rPr>
          <w:rFonts w:ascii="Arial" w:hAnsi="Arial"/>
        </w:rPr>
      </w:pPr>
      <w:r>
        <w:rPr>
          <w:rFonts w:ascii="Arial" w:hAnsi="Arial"/>
        </w:rPr>
        <w:t>修复更新前对原有管道的检测和评定报告及电视检测（CCTV) 记录；</w:t>
      </w:r>
    </w:p>
    <w:p>
      <w:pPr>
        <w:numPr>
          <w:ilvl w:val="0"/>
          <w:numId w:val="8"/>
        </w:numPr>
        <w:snapToGrid w:val="0"/>
        <w:spacing w:line="360" w:lineRule="auto"/>
        <w:ind w:firstLine="420" w:firstLineChars="200"/>
        <w:rPr>
          <w:rFonts w:ascii="Arial" w:hAnsi="Arial"/>
        </w:rPr>
      </w:pPr>
      <w:r>
        <w:rPr>
          <w:rFonts w:ascii="Arial" w:hAnsi="Arial"/>
        </w:rPr>
        <w:t>设计施工图及施工组织设计（施工方案）；</w:t>
      </w:r>
    </w:p>
    <w:p>
      <w:pPr>
        <w:numPr>
          <w:ilvl w:val="0"/>
          <w:numId w:val="8"/>
        </w:numPr>
        <w:snapToGrid w:val="0"/>
        <w:spacing w:line="360" w:lineRule="auto"/>
        <w:ind w:firstLine="420" w:firstLineChars="200"/>
        <w:rPr>
          <w:rFonts w:ascii="Arial" w:hAnsi="Arial"/>
        </w:rPr>
      </w:pPr>
      <w:r>
        <w:rPr>
          <w:rFonts w:ascii="Arial" w:hAnsi="Arial"/>
        </w:rPr>
        <w:t>工程原材料、各类型材、管材等材料的质量合格证、性能检验报告、复试报告等质量保证资料；</w:t>
      </w:r>
    </w:p>
    <w:p>
      <w:pPr>
        <w:numPr>
          <w:ilvl w:val="0"/>
          <w:numId w:val="8"/>
        </w:numPr>
        <w:snapToGrid w:val="0"/>
        <w:spacing w:line="360" w:lineRule="auto"/>
        <w:ind w:firstLine="420" w:firstLineChars="200"/>
        <w:rPr>
          <w:rFonts w:ascii="Arial" w:hAnsi="Arial"/>
        </w:rPr>
      </w:pPr>
      <w:r>
        <w:rPr>
          <w:rFonts w:ascii="Arial" w:hAnsi="Arial"/>
        </w:rPr>
        <w:t>所有施工过程的施工记录及施工检验记录；</w:t>
      </w:r>
    </w:p>
    <w:p>
      <w:pPr>
        <w:numPr>
          <w:ilvl w:val="0"/>
          <w:numId w:val="8"/>
        </w:numPr>
        <w:snapToGrid w:val="0"/>
        <w:spacing w:line="360" w:lineRule="auto"/>
        <w:ind w:firstLine="420" w:firstLineChars="200"/>
        <w:rPr>
          <w:rFonts w:ascii="Arial" w:hAnsi="Arial"/>
        </w:rPr>
      </w:pPr>
      <w:r>
        <w:rPr>
          <w:rFonts w:ascii="Arial" w:hAnsi="Arial"/>
        </w:rPr>
        <w:t>所有分项工程验收批、分项工程、分部工程、单位工程的质量验收记录；</w:t>
      </w:r>
    </w:p>
    <w:p>
      <w:pPr>
        <w:numPr>
          <w:ilvl w:val="0"/>
          <w:numId w:val="8"/>
        </w:numPr>
        <w:snapToGrid w:val="0"/>
        <w:spacing w:line="360" w:lineRule="auto"/>
        <w:ind w:firstLine="420" w:firstLineChars="200"/>
        <w:rPr>
          <w:rFonts w:ascii="Arial" w:hAnsi="Arial"/>
        </w:rPr>
      </w:pPr>
      <w:r>
        <w:rPr>
          <w:rFonts w:ascii="Arial" w:hAnsi="Arial"/>
        </w:rPr>
        <w:t>修复更新后管道的检测和评定报告及电视检测（CCTV)记录；</w:t>
      </w:r>
    </w:p>
    <w:p>
      <w:pPr>
        <w:numPr>
          <w:ilvl w:val="0"/>
          <w:numId w:val="8"/>
        </w:numPr>
        <w:snapToGrid w:val="0"/>
        <w:spacing w:line="360" w:lineRule="auto"/>
        <w:ind w:firstLine="420" w:firstLineChars="200"/>
        <w:rPr>
          <w:rFonts w:ascii="Arial" w:hAnsi="Arial"/>
        </w:rPr>
      </w:pPr>
      <w:r>
        <w:rPr>
          <w:rFonts w:ascii="Arial" w:hAnsi="Arial"/>
        </w:rPr>
        <w:t>施工、监理、设计、检测等单位的工程竣工质量合格证明及总结报告；</w:t>
      </w:r>
      <w:r>
        <w:rPr>
          <w:rFonts w:hint="eastAsia" w:ascii="Arial" w:hAnsi="Arial"/>
        </w:rPr>
        <w:t xml:space="preserve">   </w:t>
      </w:r>
    </w:p>
    <w:p>
      <w:pPr>
        <w:numPr>
          <w:ilvl w:val="0"/>
          <w:numId w:val="8"/>
        </w:numPr>
        <w:snapToGrid w:val="0"/>
        <w:spacing w:line="360" w:lineRule="auto"/>
        <w:ind w:firstLine="420" w:firstLineChars="200"/>
        <w:rPr>
          <w:rFonts w:ascii="Arial" w:hAnsi="Arial"/>
        </w:rPr>
      </w:pPr>
      <w:r>
        <w:rPr>
          <w:rFonts w:ascii="Arial" w:hAnsi="Arial"/>
        </w:rPr>
        <w:t>相关工程会议纪要、设计变更、业务洽商等记录；</w:t>
      </w:r>
    </w:p>
    <w:p>
      <w:pPr>
        <w:numPr>
          <w:ilvl w:val="0"/>
          <w:numId w:val="8"/>
        </w:numPr>
        <w:snapToGrid w:val="0"/>
        <w:spacing w:line="360" w:lineRule="auto"/>
        <w:ind w:firstLine="420" w:firstLineChars="200"/>
        <w:rPr>
          <w:rFonts w:ascii="Arial" w:hAnsi="Arial"/>
        </w:rPr>
      </w:pPr>
      <w:r>
        <w:rPr>
          <w:rFonts w:ascii="Arial" w:hAnsi="Arial"/>
        </w:rPr>
        <w:t>质量事故、生产安全事故处理资料；</w:t>
      </w:r>
    </w:p>
    <w:p>
      <w:pPr>
        <w:numPr>
          <w:ilvl w:val="0"/>
          <w:numId w:val="8"/>
        </w:numPr>
        <w:snapToGrid w:val="0"/>
        <w:spacing w:line="360" w:lineRule="auto"/>
        <w:ind w:firstLine="420" w:firstLineChars="200"/>
        <w:rPr>
          <w:rFonts w:ascii="Arial" w:hAnsi="Arial"/>
        </w:rPr>
      </w:pPr>
      <w:r>
        <w:rPr>
          <w:rFonts w:ascii="Arial" w:hAnsi="Arial"/>
        </w:rPr>
        <w:t>工程竣工图和竣工报告等。</w:t>
      </w:r>
    </w:p>
    <w:p>
      <w:pPr>
        <w:adjustRightInd w:val="0"/>
        <w:snapToGrid w:val="0"/>
        <w:spacing w:line="360" w:lineRule="auto"/>
        <w:ind w:firstLine="211" w:firstLineChars="100"/>
        <w:rPr>
          <w:rFonts w:ascii="宋体" w:hAnsi="宋体" w:cs="宋体"/>
          <w:b/>
          <w:bCs/>
          <w:szCs w:val="21"/>
        </w:rPr>
      </w:pPr>
      <w:r>
        <w:rPr>
          <w:rFonts w:hint="eastAsia" w:ascii="宋体" w:hAnsi="宋体" w:cs="宋体"/>
          <w:b/>
          <w:bCs/>
          <w:szCs w:val="21"/>
        </w:rPr>
        <w:t>（三）大开挖管道施工要求</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1、挖槽</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a.本工程开挖时注意采用购车支撑，保障槽壁稳定。支撑采用的类型、构造均应根据现场条件，按有关规范、规程执行。</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b.严禁扰动槽底土壤，如发生超挖，严禁用土回填。</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c.槽底不得受水浸泡。</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2、地基处理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a.地基超挖时，如槽底有地下水，不适于加夯时，可用天然级配砂石回填。</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b.地基土壤不符合设计要求，需要换土时，应彻底清除，经检验合格，方可回填。</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c.如遇基坑为淤泥或虚土时，应挖除淤泥及虚土，回填塘渣。</w:t>
      </w:r>
    </w:p>
    <w:p>
      <w:pPr>
        <w:autoSpaceDE w:val="0"/>
        <w:autoSpaceDN w:val="0"/>
        <w:adjustRightInd w:val="0"/>
        <w:snapToGrid w:val="0"/>
        <w:spacing w:line="360" w:lineRule="auto"/>
        <w:ind w:firstLine="279" w:firstLineChars="133"/>
        <w:jc w:val="left"/>
        <w:rPr>
          <w:rFonts w:ascii="宋体" w:hAnsi="宋体" w:cs="宋体"/>
          <w:szCs w:val="21"/>
        </w:rPr>
      </w:pPr>
      <w:r>
        <w:rPr>
          <w:rFonts w:hint="eastAsia" w:ascii="宋体" w:hAnsi="宋体" w:cs="宋体"/>
          <w:szCs w:val="21"/>
        </w:rPr>
        <w:t>3、沟槽回填</w:t>
      </w:r>
    </w:p>
    <w:p>
      <w:pPr>
        <w:autoSpaceDE w:val="0"/>
        <w:autoSpaceDN w:val="0"/>
        <w:adjustRightInd w:val="0"/>
        <w:snapToGrid w:val="0"/>
        <w:spacing w:line="360" w:lineRule="auto"/>
        <w:ind w:firstLine="279" w:firstLineChars="133"/>
        <w:jc w:val="left"/>
        <w:rPr>
          <w:rFonts w:ascii="宋体" w:hAnsi="宋体" w:cs="宋体"/>
          <w:szCs w:val="21"/>
        </w:rPr>
      </w:pPr>
      <w:r>
        <w:rPr>
          <w:rFonts w:hint="eastAsia" w:ascii="宋体" w:hAnsi="宋体" w:cs="宋体"/>
          <w:szCs w:val="21"/>
        </w:rPr>
        <w:t>a.管道工程的主体结构经验收合格，凡已具备还土条件者，均应及时还土。</w:t>
      </w:r>
    </w:p>
    <w:p>
      <w:pPr>
        <w:autoSpaceDE w:val="0"/>
        <w:autoSpaceDN w:val="0"/>
        <w:adjustRightInd w:val="0"/>
        <w:snapToGrid w:val="0"/>
        <w:spacing w:line="360" w:lineRule="auto"/>
        <w:ind w:firstLine="279" w:firstLineChars="133"/>
        <w:jc w:val="left"/>
        <w:rPr>
          <w:rFonts w:ascii="宋体" w:hAnsi="宋体" w:cs="宋体"/>
          <w:szCs w:val="21"/>
        </w:rPr>
      </w:pPr>
      <w:r>
        <w:rPr>
          <w:rFonts w:hint="eastAsia" w:ascii="宋体" w:hAnsi="宋体" w:cs="宋体"/>
          <w:szCs w:val="21"/>
        </w:rPr>
        <w:t>b.槽底如有积水，应先排除，严禁带水回填，以免出现"弹簧土〃。当日回填应当日夯实。</w:t>
      </w:r>
    </w:p>
    <w:p>
      <w:pPr>
        <w:autoSpaceDE w:val="0"/>
        <w:autoSpaceDN w:val="0"/>
        <w:adjustRightInd w:val="0"/>
        <w:snapToGrid w:val="0"/>
        <w:spacing w:line="360" w:lineRule="auto"/>
        <w:ind w:firstLine="279" w:firstLineChars="133"/>
        <w:jc w:val="left"/>
        <w:rPr>
          <w:rFonts w:ascii="宋体" w:hAnsi="宋体" w:cs="宋体"/>
          <w:szCs w:val="21"/>
        </w:rPr>
      </w:pPr>
      <w:r>
        <w:rPr>
          <w:rFonts w:hint="eastAsia" w:ascii="宋体" w:hAnsi="宋体" w:cs="宋体"/>
          <w:szCs w:val="21"/>
        </w:rPr>
        <w:t>c.沟槽回填土，必须确保构筑物的安全，管道、井室等不位移、不破坏。因此，回填土应注意以下事项：</w:t>
      </w:r>
    </w:p>
    <w:p>
      <w:pPr>
        <w:autoSpaceDE w:val="0"/>
        <w:autoSpaceDN w:val="0"/>
        <w:adjustRightInd w:val="0"/>
        <w:snapToGrid w:val="0"/>
        <w:spacing w:line="360" w:lineRule="auto"/>
        <w:ind w:firstLine="279" w:firstLineChars="133"/>
        <w:jc w:val="left"/>
        <w:rPr>
          <w:rFonts w:ascii="宋体" w:hAnsi="宋体" w:cs="宋体"/>
          <w:szCs w:val="21"/>
        </w:rPr>
      </w:pPr>
      <w:r>
        <w:rPr>
          <w:rFonts w:hint="eastAsia" w:ascii="宋体" w:hAnsi="宋体" w:cs="宋体"/>
          <w:szCs w:val="21"/>
        </w:rPr>
        <w:t>①沟槽两侧应同时回填，两侧高差不得超过30厘米。</w:t>
      </w:r>
    </w:p>
    <w:p>
      <w:pPr>
        <w:autoSpaceDE w:val="0"/>
        <w:autoSpaceDN w:val="0"/>
        <w:adjustRightInd w:val="0"/>
        <w:snapToGrid w:val="0"/>
        <w:spacing w:line="360" w:lineRule="auto"/>
        <w:ind w:firstLine="279" w:firstLineChars="133"/>
        <w:jc w:val="left"/>
        <w:rPr>
          <w:rFonts w:ascii="宋体" w:hAnsi="宋体" w:cs="宋体"/>
          <w:szCs w:val="21"/>
        </w:rPr>
      </w:pPr>
      <w:r>
        <w:rPr>
          <w:rFonts w:hint="eastAsia" w:ascii="宋体" w:hAnsi="宋体" w:cs="宋体"/>
          <w:szCs w:val="21"/>
        </w:rPr>
        <w:t>②非同时进行的两个回填土段的搭接处，不得形成陡坎，应随铺土将夯实层留成阶梯状， 阶梯的长度应大于高度的两倍。</w:t>
      </w:r>
    </w:p>
    <w:p>
      <w:pPr>
        <w:autoSpaceDE w:val="0"/>
        <w:autoSpaceDN w:val="0"/>
        <w:adjustRightInd w:val="0"/>
        <w:snapToGrid w:val="0"/>
        <w:spacing w:line="360" w:lineRule="auto"/>
        <w:ind w:firstLine="279" w:firstLineChars="133"/>
        <w:jc w:val="left"/>
        <w:rPr>
          <w:rFonts w:ascii="宋体" w:hAnsi="宋体" w:cs="宋体"/>
          <w:szCs w:val="21"/>
        </w:rPr>
      </w:pPr>
      <w:r>
        <w:rPr>
          <w:rFonts w:hint="eastAsia" w:ascii="宋体" w:hAnsi="宋体" w:cs="宋体"/>
          <w:szCs w:val="21"/>
        </w:rPr>
        <w:t>③管顶50厘米以上直至道路垫层底部范围内，应釆用最大粒径不大于5厘米的碎石分层整平夯实，每层回填厚度不得超过20厘米。</w:t>
      </w:r>
    </w:p>
    <w:p>
      <w:pPr>
        <w:autoSpaceDE w:val="0"/>
        <w:autoSpaceDN w:val="0"/>
        <w:adjustRightInd w:val="0"/>
        <w:snapToGrid w:val="0"/>
        <w:spacing w:line="360" w:lineRule="auto"/>
        <w:ind w:firstLine="279" w:firstLineChars="133"/>
        <w:jc w:val="left"/>
        <w:rPr>
          <w:rFonts w:ascii="宋体" w:hAnsi="宋体" w:cs="宋体"/>
          <w:szCs w:val="21"/>
        </w:rPr>
      </w:pPr>
      <w:r>
        <w:rPr>
          <w:rFonts w:hint="eastAsia" w:ascii="宋体" w:hAnsi="宋体" w:cs="宋体"/>
          <w:szCs w:val="21"/>
        </w:rPr>
        <w:t>d.沟填土夯实应夯夯相连，不得漏夯。压路机压实时，碾轮重叠宽度应大于20厘米。</w:t>
      </w:r>
    </w:p>
    <w:p>
      <w:pPr>
        <w:autoSpaceDE w:val="0"/>
        <w:autoSpaceDN w:val="0"/>
        <w:adjustRightInd w:val="0"/>
        <w:snapToGrid w:val="0"/>
        <w:spacing w:line="360" w:lineRule="auto"/>
        <w:ind w:firstLine="279" w:firstLineChars="133"/>
        <w:jc w:val="left"/>
        <w:rPr>
          <w:rFonts w:ascii="宋体" w:hAnsi="宋体" w:cs="宋体"/>
          <w:szCs w:val="21"/>
        </w:rPr>
      </w:pPr>
      <w:r>
        <w:rPr>
          <w:rFonts w:hint="eastAsia" w:ascii="宋体" w:hAnsi="宋体" w:cs="宋体"/>
          <w:szCs w:val="21"/>
        </w:rPr>
        <w:t>e.管道材料：使用HDPE管。</w:t>
      </w:r>
    </w:p>
    <w:p>
      <w:pPr>
        <w:adjustRightInd w:val="0"/>
        <w:snapToGrid w:val="0"/>
        <w:spacing w:line="500" w:lineRule="exact"/>
        <w:outlineLvl w:val="1"/>
        <w:rPr>
          <w:rFonts w:ascii="宋体" w:hAnsi="宋体" w:cs="宋体"/>
          <w:b/>
          <w:szCs w:val="21"/>
        </w:rPr>
      </w:pPr>
      <w:r>
        <w:rPr>
          <w:rFonts w:hint="eastAsia" w:ascii="宋体" w:hAnsi="宋体" w:cs="宋体"/>
          <w:b/>
          <w:szCs w:val="21"/>
        </w:rPr>
        <w:t>（五）、管道工程密闭性检验、变形检验要求</w:t>
      </w:r>
    </w:p>
    <w:p>
      <w:pPr>
        <w:adjustRightInd w:val="0"/>
        <w:snapToGrid w:val="0"/>
        <w:spacing w:line="500" w:lineRule="exact"/>
        <w:rPr>
          <w:rFonts w:ascii="宋体" w:hAnsi="宋体" w:cs="宋体"/>
          <w:b/>
          <w:bCs/>
          <w:szCs w:val="21"/>
        </w:rPr>
      </w:pPr>
      <w:r>
        <w:rPr>
          <w:rFonts w:hint="eastAsia" w:ascii="宋体" w:hAnsi="宋体" w:cs="宋体"/>
          <w:b/>
          <w:bCs/>
          <w:szCs w:val="21"/>
        </w:rPr>
        <w:t>（1）变形检验</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本工程范围内所有开挖施工的PE管道，包括主管和支管在沟槽回填至设计标高后，应在12h～24h内测量管道竖向直径变形量，并计算管道变形率，变形率不应超过3%。当变形率超过3%但不超过5%时，按《给水排水管道工程施工及验收规范》（GB 50268-2008）中第4.5.12条文进行处理。</w:t>
      </w:r>
    </w:p>
    <w:p>
      <w:pPr>
        <w:adjustRightInd w:val="0"/>
        <w:snapToGrid w:val="0"/>
        <w:spacing w:line="500" w:lineRule="exact"/>
        <w:rPr>
          <w:rFonts w:ascii="宋体" w:hAnsi="宋体" w:cs="宋体"/>
          <w:b/>
          <w:bCs/>
          <w:szCs w:val="21"/>
        </w:rPr>
      </w:pPr>
      <w:r>
        <w:rPr>
          <w:rFonts w:hint="eastAsia" w:ascii="宋体" w:hAnsi="宋体" w:cs="宋体"/>
          <w:b/>
          <w:bCs/>
          <w:szCs w:val="21"/>
        </w:rPr>
        <w:t>（2）闭水试验</w:t>
      </w:r>
    </w:p>
    <w:p>
      <w:pPr>
        <w:adjustRightInd w:val="0"/>
        <w:snapToGrid w:val="0"/>
        <w:spacing w:line="500" w:lineRule="exact"/>
        <w:ind w:firstLine="420" w:firstLineChars="200"/>
        <w:rPr>
          <w:rFonts w:ascii="宋体" w:hAnsi="宋体" w:cs="宋体"/>
          <w:szCs w:val="21"/>
        </w:rPr>
      </w:pPr>
      <w:r>
        <w:rPr>
          <w:rFonts w:hint="eastAsia" w:ascii="宋体" w:hAnsi="宋体" w:cs="宋体"/>
          <w:szCs w:val="21"/>
        </w:rPr>
        <w:t>本工程范围内所有新建污水管道，包括各支管及修复后的污水PE管道都必须做闭水试验，</w:t>
      </w:r>
    </w:p>
    <w:p>
      <w:pPr>
        <w:adjustRightInd w:val="0"/>
        <w:snapToGrid w:val="0"/>
        <w:spacing w:line="500" w:lineRule="exact"/>
        <w:rPr>
          <w:rFonts w:ascii="宋体" w:hAnsi="宋体" w:cs="宋体"/>
          <w:szCs w:val="21"/>
        </w:rPr>
      </w:pPr>
      <w:r>
        <w:rPr>
          <w:rFonts w:hint="eastAsia" w:ascii="宋体" w:hAnsi="宋体" w:cs="宋体"/>
          <w:szCs w:val="21"/>
        </w:rPr>
        <w:t>做法详见《给水排水管道工程施工及验收规范》（GB 50268-2008）中第9.3章节进行处理。每种管径且每200米随机抽检一段，抽检段位于两个检查井之间。</w:t>
      </w:r>
    </w:p>
    <w:p>
      <w:pPr>
        <w:autoSpaceDE w:val="0"/>
        <w:autoSpaceDN w:val="0"/>
        <w:adjustRightInd w:val="0"/>
        <w:snapToGrid w:val="0"/>
        <w:spacing w:line="500" w:lineRule="exact"/>
        <w:jc w:val="left"/>
        <w:rPr>
          <w:rFonts w:ascii="宋体" w:hAnsi="宋体" w:cs="宋体"/>
          <w:b/>
          <w:kern w:val="0"/>
          <w:szCs w:val="21"/>
        </w:rPr>
      </w:pPr>
      <w:r>
        <w:rPr>
          <w:rFonts w:hint="eastAsia" w:ascii="宋体" w:hAnsi="宋体" w:cs="宋体"/>
          <w:b/>
          <w:kern w:val="0"/>
          <w:szCs w:val="21"/>
        </w:rPr>
        <w:t>（3）工程施工、验收标准</w:t>
      </w:r>
    </w:p>
    <w:p>
      <w:pPr>
        <w:adjustRightInd w:val="0"/>
        <w:snapToGrid w:val="0"/>
        <w:spacing w:line="500" w:lineRule="exact"/>
        <w:ind w:firstLine="420" w:firstLineChars="200"/>
        <w:rPr>
          <w:rFonts w:ascii="宋体" w:hAnsi="宋体" w:cs="宋体"/>
          <w:kern w:val="0"/>
          <w:szCs w:val="21"/>
        </w:rPr>
      </w:pPr>
      <w:r>
        <w:rPr>
          <w:rFonts w:hint="eastAsia" w:ascii="宋体" w:hAnsi="宋体" w:cs="宋体"/>
          <w:kern w:val="0"/>
          <w:szCs w:val="21"/>
        </w:rPr>
        <w:t>1、《给水排水管道工程施工及验收规范》（GB50268-2008）；</w:t>
      </w:r>
    </w:p>
    <w:p>
      <w:pPr>
        <w:adjustRightInd w:val="0"/>
        <w:snapToGrid w:val="0"/>
        <w:spacing w:line="500" w:lineRule="exact"/>
        <w:ind w:firstLine="420" w:firstLineChars="200"/>
        <w:rPr>
          <w:rFonts w:ascii="宋体" w:hAnsi="宋体" w:cs="宋体"/>
          <w:kern w:val="0"/>
          <w:szCs w:val="21"/>
        </w:rPr>
      </w:pPr>
      <w:r>
        <w:rPr>
          <w:rFonts w:hint="eastAsia" w:ascii="宋体" w:hAnsi="宋体" w:cs="宋体"/>
          <w:kern w:val="0"/>
          <w:szCs w:val="21"/>
        </w:rPr>
        <w:t>2、《给水排水构筑物工程施工及验收规范》（GB50141-2008）；</w:t>
      </w:r>
    </w:p>
    <w:p>
      <w:pPr>
        <w:autoSpaceDE w:val="0"/>
        <w:autoSpaceDN w:val="0"/>
        <w:adjustRightInd w:val="0"/>
        <w:snapToGrid w:val="0"/>
        <w:spacing w:line="500" w:lineRule="exact"/>
        <w:ind w:firstLine="420" w:firstLineChars="200"/>
        <w:jc w:val="left"/>
        <w:rPr>
          <w:rFonts w:ascii="宋体" w:hAnsi="宋体" w:cs="宋体"/>
          <w:kern w:val="0"/>
          <w:szCs w:val="21"/>
        </w:rPr>
      </w:pPr>
      <w:r>
        <w:rPr>
          <w:rFonts w:hint="eastAsia" w:ascii="宋体" w:hAnsi="宋体" w:cs="宋体"/>
          <w:kern w:val="0"/>
          <w:szCs w:val="21"/>
        </w:rPr>
        <w:t>3、《城镇排水管道非开挖修复更新工程技术规程》（CJJ/T210-2014）；</w:t>
      </w:r>
    </w:p>
    <w:p>
      <w:pPr>
        <w:adjustRightInd w:val="0"/>
        <w:snapToGrid w:val="0"/>
        <w:spacing w:line="500" w:lineRule="exact"/>
        <w:ind w:firstLine="420" w:firstLineChars="200"/>
      </w:pPr>
      <w:r>
        <w:rPr>
          <w:rFonts w:hint="eastAsia" w:ascii="宋体" w:hAnsi="宋体" w:cs="宋体"/>
          <w:kern w:val="0"/>
          <w:szCs w:val="21"/>
        </w:rPr>
        <w:t>4、《城镇道路工程施工与质量验收规范》（CJJ1-2008）。</w:t>
      </w:r>
    </w:p>
    <w:p>
      <w:pPr>
        <w:pStyle w:val="17"/>
        <w:ind w:firstLine="480"/>
      </w:pPr>
    </w:p>
    <w:p>
      <w:pPr>
        <w:spacing w:line="360" w:lineRule="auto"/>
        <w:rPr>
          <w:rFonts w:ascii="Times New Roman" w:hAnsi="Times New Roman"/>
          <w:b/>
          <w:sz w:val="24"/>
        </w:rPr>
      </w:pPr>
      <w:r>
        <w:rPr>
          <w:rFonts w:hint="eastAsia" w:ascii="Times New Roman" w:hAnsi="Times New Roman"/>
          <w:b/>
          <w:sz w:val="24"/>
        </w:rPr>
        <w:t>五、结算方式</w:t>
      </w:r>
    </w:p>
    <w:p>
      <w:pPr>
        <w:widowControl/>
        <w:snapToGrid w:val="0"/>
        <w:spacing w:line="360" w:lineRule="auto"/>
        <w:ind w:firstLine="420" w:firstLineChars="200"/>
      </w:pPr>
      <w:r>
        <w:rPr>
          <w:rFonts w:hint="eastAsia" w:ascii="Arial" w:hAnsi="Arial"/>
        </w:rPr>
        <w:t xml:space="preserve">  </w:t>
      </w:r>
      <w:r>
        <w:rPr>
          <w:rFonts w:hint="eastAsia"/>
        </w:rPr>
        <w:t>本项目</w:t>
      </w:r>
      <w:r>
        <w:rPr>
          <w:rFonts w:hint="eastAsia"/>
          <w:lang w:eastAsia="zh-CN"/>
        </w:rPr>
        <w:t>包括开挖修复及非开挖修复，</w:t>
      </w:r>
      <w:r>
        <w:rPr>
          <w:rFonts w:hint="eastAsia"/>
        </w:rPr>
        <w:t>合同为固定单价合同，可调总价，</w:t>
      </w:r>
      <w:r>
        <w:rPr>
          <w:rFonts w:hint="eastAsia" w:ascii="Times New Roman" w:hAnsi="Times New Roman"/>
          <w:szCs w:val="21"/>
        </w:rPr>
        <w:t>合同单价=综合单价最高限价*中标费率。</w:t>
      </w:r>
      <w:r>
        <w:rPr>
          <w:rFonts w:hint="eastAsia"/>
        </w:rPr>
        <w:t>材料风险系数投标人在投标时应自行充分考虑。由于工程量变更造成的数量增减,按照中标人相应报价单价，结合实际增减工程量（按实计算）办理审计结算：</w:t>
      </w:r>
    </w:p>
    <w:p>
      <w:pPr>
        <w:widowControl/>
        <w:snapToGrid w:val="0"/>
        <w:spacing w:line="360" w:lineRule="auto"/>
        <w:ind w:firstLine="420" w:firstLineChars="200"/>
      </w:pPr>
      <w:r>
        <w:rPr>
          <w:rFonts w:hint="eastAsia"/>
        </w:rPr>
        <w:t>1、报价清单中已有适用于变更工程量综合单价的，按已有的综合单价确定；</w:t>
      </w:r>
    </w:p>
    <w:p>
      <w:pPr>
        <w:widowControl/>
        <w:snapToGrid w:val="0"/>
        <w:spacing w:line="360" w:lineRule="auto"/>
        <w:ind w:firstLine="420" w:firstLineChars="200"/>
      </w:pPr>
      <w:r>
        <w:rPr>
          <w:rFonts w:hint="eastAsia"/>
        </w:rPr>
        <w:t>2、报价清单中有类似于变更工程量综合单价的，可参照类似综合单价确定；</w:t>
      </w:r>
    </w:p>
    <w:p>
      <w:pPr>
        <w:widowControl/>
        <w:snapToGrid w:val="0"/>
        <w:spacing w:line="360" w:lineRule="auto"/>
        <w:ind w:firstLine="420" w:firstLineChars="200"/>
      </w:pPr>
      <w:r>
        <w:rPr>
          <w:rFonts w:hint="eastAsia"/>
        </w:rPr>
        <w:t>3、报价清单中没有适用或类似于变更工程量综合单价的，参照以下方式确定：</w:t>
      </w:r>
    </w:p>
    <w:p>
      <w:pPr>
        <w:widowControl/>
        <w:snapToGrid w:val="0"/>
        <w:spacing w:line="360" w:lineRule="auto"/>
        <w:ind w:firstLine="420" w:firstLineChars="200"/>
      </w:pPr>
      <w:r>
        <w:rPr>
          <w:rFonts w:hint="eastAsia"/>
        </w:rPr>
        <w:t>（1）宁波市奉化区综合行政执法局提供的工程量清单；《建设工程工程量清单计价规范》（GB50500-2013）及浙江省相关规定；《浙江省市政工程预算定额》（2018版）；《浙江省市政设施养护维修预算定额》（2018版）；</w:t>
      </w:r>
    </w:p>
    <w:p>
      <w:pPr>
        <w:widowControl/>
        <w:snapToGrid w:val="0"/>
        <w:spacing w:line="360" w:lineRule="auto"/>
        <w:ind w:firstLine="420" w:firstLineChars="200"/>
      </w:pPr>
      <w:r>
        <w:rPr>
          <w:rFonts w:hint="eastAsia"/>
        </w:rPr>
        <w:t>《浙江省建设工程计价规则》（2018版）；《浙江省施工机械台班费用定额》(2018版)；其他有关补充定额及文件等；《关于增值税调整后我省建设工程计价依据增值税税率及有关计价调整的通知》（浙建建发[2019]92号）。</w:t>
      </w:r>
    </w:p>
    <w:p>
      <w:pPr>
        <w:widowControl/>
        <w:numPr>
          <w:ilvl w:val="0"/>
          <w:numId w:val="9"/>
        </w:numPr>
        <w:snapToGrid w:val="0"/>
        <w:spacing w:line="360" w:lineRule="auto"/>
        <w:ind w:firstLine="420" w:firstLineChars="200"/>
        <w:rPr>
          <w:rFonts w:ascii="Times New Roman" w:hAnsi="Times New Roman"/>
        </w:rPr>
      </w:pPr>
      <w:r>
        <w:rPr>
          <w:rFonts w:hint="eastAsia" w:ascii="Times New Roman" w:hAnsi="Times New Roman"/>
        </w:rPr>
        <w:t>取费标准：市政设施养护维修工程按“市政土建道路、排水、河道护岸、水处理构筑物及城市管廊、生活垃圾处理工程”市政养护中值计。安全文明施工费按“市区一般工程”中值费率，二次搬运费、冬雨季施工增加费、行车、行人干扰增加费按一般建筑工程中值费率计取，不计提前竣工增加费、标化工地增加费、优质工程增加费；规费参考浙建建[2018]61号文件按标准费率的30%计取。采用一般计税法，税金按9%考虑。</w:t>
      </w:r>
    </w:p>
    <w:p>
      <w:pPr>
        <w:widowControl/>
        <w:numPr>
          <w:ilvl w:val="0"/>
          <w:numId w:val="9"/>
        </w:numPr>
        <w:snapToGrid w:val="0"/>
        <w:spacing w:line="360" w:lineRule="auto"/>
        <w:ind w:firstLine="420" w:firstLineChars="200"/>
        <w:rPr>
          <w:rFonts w:ascii="Times New Roman" w:hAnsi="Times New Roman"/>
        </w:rPr>
      </w:pPr>
      <w:r>
        <w:rPr>
          <w:rFonts w:hint="eastAsia" w:ascii="Times New Roman" w:hAnsi="Times New Roman"/>
        </w:rPr>
        <w:t>信息价：依次参照开工当月刊《宁波建设工程造价信息》综合版奉化区信息价、开工当月刊宁波市区信息价、开工当月刊《浙江造价信息》，无信息价的材料按市场价计入，材料价格均采用除税价计入；人工市场信息价按开工当月刊《宁波建设工程造价信息》综合版。</w:t>
      </w:r>
    </w:p>
    <w:p>
      <w:pPr>
        <w:pStyle w:val="7"/>
        <w:autoSpaceDE/>
        <w:autoSpaceDN/>
        <w:ind w:firstLine="480" w:firstLineChars="200"/>
        <w:rPr>
          <w:rFonts w:ascii="Times New Roman" w:hAnsi="Times New Roman" w:cs="Times New Roman"/>
          <w:lang w:val="en-US"/>
        </w:rPr>
      </w:pPr>
      <w:r>
        <w:rPr>
          <w:rFonts w:hint="eastAsia" w:ascii="Times New Roman" w:hAnsi="Times New Roman" w:cs="Times New Roman"/>
          <w:lang w:val="en-US"/>
        </w:rPr>
        <w:t>结算综合单价的确定：根据（1）-（3）规则、办法计算后得出的综合单价结合中标费率为依据进行结算。</w:t>
      </w:r>
    </w:p>
    <w:p>
      <w:pPr>
        <w:spacing w:line="360" w:lineRule="auto"/>
        <w:rPr>
          <w:rFonts w:ascii="Times New Roman" w:hAnsi="Times New Roman"/>
          <w:b/>
          <w:sz w:val="24"/>
        </w:rPr>
      </w:pPr>
      <w:r>
        <w:rPr>
          <w:rFonts w:hint="eastAsia" w:ascii="Times New Roman" w:hAnsi="Times New Roman"/>
          <w:b/>
          <w:sz w:val="24"/>
        </w:rPr>
        <w:t>六、人员配置及施工工具配置：</w:t>
      </w:r>
    </w:p>
    <w:p>
      <w:pPr>
        <w:autoSpaceDE w:val="0"/>
        <w:autoSpaceDN w:val="0"/>
        <w:snapToGrid w:val="0"/>
        <w:spacing w:line="360" w:lineRule="auto"/>
        <w:ind w:firstLine="480" w:firstLineChars="200"/>
        <w:textAlignment w:val="bottom"/>
        <w:rPr>
          <w:rFonts w:ascii="Arial" w:hAnsi="Arial"/>
          <w:sz w:val="24"/>
          <w:szCs w:val="24"/>
        </w:rPr>
      </w:pPr>
      <w:r>
        <w:rPr>
          <w:rFonts w:hint="eastAsia" w:ascii="Arial" w:hAnsi="Arial"/>
          <w:sz w:val="24"/>
          <w:szCs w:val="24"/>
        </w:rPr>
        <w:t>6.1 项目负责人配置要求：为保障服务质量，投标人</w:t>
      </w:r>
      <w:r>
        <w:rPr>
          <w:rFonts w:hint="eastAsia" w:ascii="Arial" w:hAnsi="Arial"/>
          <w:sz w:val="24"/>
          <w:szCs w:val="24"/>
          <w:lang w:eastAsia="zh-CN"/>
        </w:rPr>
        <w:t>每个标项需</w:t>
      </w:r>
      <w:r>
        <w:rPr>
          <w:rFonts w:hint="eastAsia" w:ascii="Arial" w:hAnsi="Arial"/>
          <w:sz w:val="24"/>
          <w:szCs w:val="24"/>
        </w:rPr>
        <w:t>配置项目负责人1名。项目负责人为投标人现有的正式在职员工，须具有市政公用工程专业二级及以上注册建造师资格和有效的安全生产考核合格证书（B证），投标文件中提供项目负责人的开标前近三个月的投标人为其所缴纳社保证明（由社保部门出具并盖章的社保证明为准）、执业资格证书复印件及安全生产考核合格证书（B证）复印件，以上内容均加盖公章。</w:t>
      </w:r>
    </w:p>
    <w:p>
      <w:pPr>
        <w:autoSpaceDE w:val="0"/>
        <w:autoSpaceDN w:val="0"/>
        <w:snapToGrid w:val="0"/>
        <w:spacing w:line="360" w:lineRule="auto"/>
        <w:ind w:firstLine="480" w:firstLineChars="200"/>
        <w:textAlignment w:val="bottom"/>
        <w:rPr>
          <w:rFonts w:hint="eastAsia" w:ascii="Arial" w:hAnsi="Arial" w:eastAsia="宋体"/>
          <w:sz w:val="24"/>
          <w:szCs w:val="24"/>
          <w:lang w:eastAsia="zh-CN"/>
        </w:rPr>
      </w:pPr>
      <w:r>
        <w:rPr>
          <w:rFonts w:hint="eastAsia" w:ascii="Arial" w:hAnsi="Arial"/>
          <w:sz w:val="24"/>
          <w:szCs w:val="24"/>
        </w:rPr>
        <w:t xml:space="preserve">6.2 </w:t>
      </w:r>
      <w:r>
        <w:rPr>
          <w:rFonts w:hint="eastAsia" w:ascii="Arial" w:hAnsi="Arial"/>
          <w:sz w:val="24"/>
          <w:szCs w:val="24"/>
          <w:lang w:eastAsia="zh-CN"/>
        </w:rPr>
        <w:t>每个标项</w:t>
      </w:r>
      <w:r>
        <w:rPr>
          <w:rFonts w:hint="eastAsia" w:ascii="Arial" w:hAnsi="Arial"/>
          <w:sz w:val="24"/>
          <w:szCs w:val="24"/>
        </w:rPr>
        <w:t>项目部中除项目负责人外，不少于10名作业人员(其中至少配置1名具有安全生产考核合格证书（C证）的人员和1名技术负责人）。</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Arial" w:hAnsi="Arial"/>
          <w:sz w:val="24"/>
          <w:szCs w:val="24"/>
        </w:rPr>
      </w:pPr>
      <w:r>
        <w:rPr>
          <w:rFonts w:hint="eastAsia" w:ascii="Arial" w:hAnsi="Arial"/>
          <w:sz w:val="24"/>
          <w:szCs w:val="24"/>
        </w:rPr>
        <w:t xml:space="preserve">6.3 </w:t>
      </w:r>
      <w:r>
        <w:rPr>
          <w:rFonts w:hint="eastAsia"/>
          <w:sz w:val="24"/>
          <w:szCs w:val="24"/>
        </w:rPr>
        <w:t>投标人</w:t>
      </w:r>
      <w:r>
        <w:rPr>
          <w:rFonts w:hint="eastAsia" w:ascii="Arial" w:hAnsi="Arial"/>
          <w:sz w:val="24"/>
          <w:szCs w:val="24"/>
        </w:rPr>
        <w:t>应配备施工所需的施工工具。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24"/>
        </w:rPr>
      </w:pPr>
      <w:r>
        <w:rPr>
          <w:rFonts w:hint="eastAsia" w:ascii="Arial" w:hAnsi="Arial"/>
          <w:sz w:val="24"/>
          <w:szCs w:val="24"/>
        </w:rPr>
        <w:t>6.4</w:t>
      </w:r>
      <w:r>
        <w:rPr>
          <w:rFonts w:hint="eastAsia" w:ascii="Arial" w:hAnsi="Arial"/>
          <w:b/>
          <w:bCs/>
          <w:sz w:val="24"/>
          <w:szCs w:val="24"/>
        </w:rPr>
        <w:t xml:space="preserve"> </w:t>
      </w:r>
      <w:r>
        <w:rPr>
          <w:rFonts w:hint="eastAsia"/>
          <w:b/>
          <w:bCs/>
          <w:sz w:val="24"/>
          <w:szCs w:val="24"/>
        </w:rPr>
        <w:t>投标人按标项顺序</w:t>
      </w:r>
      <w:r>
        <w:rPr>
          <w:rFonts w:hint="eastAsia" w:ascii="宋体" w:hAnsi="宋体"/>
          <w:b/>
          <w:bCs/>
          <w:sz w:val="24"/>
          <w:szCs w:val="24"/>
        </w:rPr>
        <w:t>获得一个标项的中标候选人资格后，</w:t>
      </w:r>
      <w:r>
        <w:rPr>
          <w:rFonts w:hint="eastAsia"/>
          <w:b/>
          <w:bCs/>
          <w:sz w:val="24"/>
          <w:szCs w:val="24"/>
        </w:rPr>
        <w:t>拟投入的相同人员证书（项目负责人、安全员、技术负责人、</w:t>
      </w:r>
      <w:r>
        <w:rPr>
          <w:rFonts w:hint="eastAsia" w:ascii="宋体" w:hAnsi="宋体" w:cs="宋体"/>
          <w:b/>
          <w:bCs/>
          <w:sz w:val="24"/>
          <w:szCs w:val="24"/>
        </w:rPr>
        <w:t>高级下水道养护工、市政潜水员及及各类有限空间作业人员</w:t>
      </w:r>
      <w:r>
        <w:rPr>
          <w:rFonts w:hint="eastAsia"/>
          <w:b/>
          <w:bCs/>
          <w:sz w:val="24"/>
          <w:szCs w:val="24"/>
        </w:rPr>
        <w:t>）、相同施工工具（第四章评分标准中）</w:t>
      </w:r>
      <w:r>
        <w:rPr>
          <w:rFonts w:hint="eastAsia" w:ascii="宋体" w:hAnsi="宋体"/>
          <w:b/>
          <w:bCs/>
          <w:sz w:val="24"/>
          <w:szCs w:val="24"/>
        </w:rPr>
        <w:t>不再作为后续标项的评审材料（扣除相应得分）</w:t>
      </w:r>
      <w:r>
        <w:rPr>
          <w:rFonts w:hint="eastAsia"/>
          <w:b/>
          <w:bCs/>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b/>
          <w:bCs/>
          <w:kern w:val="2"/>
          <w:sz w:val="24"/>
          <w:szCs w:val="24"/>
          <w:lang w:val="en-US" w:eastAsia="zh-CN" w:bidi="ar-SA"/>
        </w:rPr>
      </w:pPr>
      <w:r>
        <w:rPr>
          <w:rFonts w:hint="eastAsia" w:ascii="Calibri" w:hAnsi="Calibri" w:eastAsia="宋体" w:cs="Times New Roman"/>
          <w:b/>
          <w:bCs/>
          <w:kern w:val="2"/>
          <w:sz w:val="24"/>
          <w:szCs w:val="24"/>
          <w:lang w:val="en-US" w:eastAsia="zh-CN" w:bidi="ar-SA"/>
        </w:rPr>
        <w:t>6.5 中标供应商须在项目所在地成立项目部及售后服务点并保证售后服务人员在岗。</w:t>
      </w:r>
    </w:p>
    <w:p>
      <w:pPr>
        <w:tabs>
          <w:tab w:val="left" w:pos="0"/>
          <w:tab w:val="left" w:pos="360"/>
          <w:tab w:val="left" w:pos="540"/>
        </w:tabs>
        <w:spacing w:line="360" w:lineRule="auto"/>
        <w:ind w:right="31" w:rightChars="15"/>
        <w:rPr>
          <w:b/>
          <w:sz w:val="24"/>
        </w:rPr>
      </w:pPr>
      <w:r>
        <w:rPr>
          <w:rFonts w:hint="eastAsia"/>
          <w:b/>
          <w:sz w:val="24"/>
        </w:rPr>
        <w:t>七、违约责任</w:t>
      </w:r>
    </w:p>
    <w:p>
      <w:pPr>
        <w:widowControl/>
        <w:numPr>
          <w:ilvl w:val="0"/>
          <w:numId w:val="10"/>
        </w:numPr>
        <w:autoSpaceDE w:val="0"/>
        <w:autoSpaceDN w:val="0"/>
        <w:snapToGrid w:val="0"/>
        <w:spacing w:line="360" w:lineRule="auto"/>
        <w:textAlignment w:val="bottom"/>
        <w:rPr>
          <w:rFonts w:ascii="Arial" w:hAnsi="Arial" w:cs="Arial"/>
          <w:bCs/>
          <w:sz w:val="24"/>
          <w:szCs w:val="24"/>
        </w:rPr>
      </w:pPr>
      <w:r>
        <w:rPr>
          <w:rFonts w:hint="eastAsia" w:ascii="Arial" w:hAnsi="Arial" w:cs="Arial"/>
          <w:bCs/>
          <w:sz w:val="24"/>
          <w:szCs w:val="24"/>
        </w:rPr>
        <w:t>修复等作业中：</w:t>
      </w:r>
    </w:p>
    <w:p>
      <w:pPr>
        <w:widowControl/>
        <w:numPr>
          <w:ilvl w:val="0"/>
          <w:numId w:val="11"/>
        </w:numPr>
        <w:autoSpaceDE w:val="0"/>
        <w:autoSpaceDN w:val="0"/>
        <w:snapToGrid w:val="0"/>
        <w:spacing w:line="360" w:lineRule="auto"/>
        <w:textAlignment w:val="bottom"/>
        <w:rPr>
          <w:rFonts w:ascii="Arial" w:hAnsi="Arial" w:cs="Arial"/>
          <w:bCs/>
          <w:sz w:val="24"/>
          <w:szCs w:val="24"/>
        </w:rPr>
      </w:pPr>
      <w:r>
        <w:rPr>
          <w:rFonts w:hint="eastAsia" w:ascii="Arial" w:hAnsi="Arial" w:cs="Arial"/>
          <w:bCs/>
          <w:sz w:val="24"/>
          <w:szCs w:val="24"/>
        </w:rPr>
        <w:t>未达到招标文件服务要求的，每发现一项不符合标准处扣人民币500元的违约金；</w:t>
      </w:r>
    </w:p>
    <w:p>
      <w:pPr>
        <w:widowControl/>
        <w:numPr>
          <w:ilvl w:val="0"/>
          <w:numId w:val="11"/>
        </w:numPr>
        <w:autoSpaceDE w:val="0"/>
        <w:autoSpaceDN w:val="0"/>
        <w:snapToGrid w:val="0"/>
        <w:spacing w:line="360" w:lineRule="auto"/>
        <w:textAlignment w:val="bottom"/>
        <w:rPr>
          <w:rFonts w:ascii="Arial" w:hAnsi="Arial" w:cs="Arial"/>
          <w:bCs/>
          <w:sz w:val="24"/>
          <w:szCs w:val="24"/>
        </w:rPr>
      </w:pPr>
      <w:r>
        <w:rPr>
          <w:rFonts w:hint="eastAsia" w:ascii="Arial" w:hAnsi="Arial" w:cs="Arial"/>
          <w:bCs/>
          <w:sz w:val="24"/>
          <w:szCs w:val="24"/>
        </w:rPr>
        <w:t>未达到各项质量验收标准的，每发现一项不符合标准处扣人民币500元的违约金，同时招标人在接到采购人整改通知后立即无偿返工；</w:t>
      </w:r>
    </w:p>
    <w:p>
      <w:pPr>
        <w:numPr>
          <w:ilvl w:val="0"/>
          <w:numId w:val="11"/>
        </w:numPr>
        <w:autoSpaceDE w:val="0"/>
        <w:autoSpaceDN w:val="0"/>
        <w:snapToGrid w:val="0"/>
        <w:spacing w:line="360" w:lineRule="auto"/>
        <w:textAlignment w:val="bottom"/>
        <w:rPr>
          <w:rFonts w:ascii="Arial" w:hAnsi="Arial" w:cs="Arial"/>
          <w:bCs/>
          <w:sz w:val="24"/>
          <w:szCs w:val="24"/>
        </w:rPr>
      </w:pPr>
      <w:r>
        <w:rPr>
          <w:rFonts w:hint="eastAsia" w:ascii="Arial" w:hAnsi="Arial" w:cs="Arial"/>
          <w:bCs/>
          <w:sz w:val="24"/>
          <w:szCs w:val="24"/>
        </w:rPr>
        <w:t>中标人合同履行期间，未做好临时围挡工作（因围挡封闭或警示不到位）造成过往车辆（或行人）伤害的，由中标人承担全部责任，在自行处理有关赔偿事项后，对中标人每次处以5000元的违约金；</w:t>
      </w:r>
    </w:p>
    <w:p>
      <w:pPr>
        <w:numPr>
          <w:ilvl w:val="0"/>
          <w:numId w:val="11"/>
        </w:numPr>
        <w:autoSpaceDE w:val="0"/>
        <w:autoSpaceDN w:val="0"/>
        <w:snapToGrid w:val="0"/>
        <w:spacing w:line="360" w:lineRule="auto"/>
        <w:textAlignment w:val="bottom"/>
        <w:rPr>
          <w:rFonts w:ascii="Arial" w:hAnsi="Arial" w:cs="Arial"/>
          <w:bCs/>
          <w:sz w:val="24"/>
          <w:szCs w:val="24"/>
        </w:rPr>
      </w:pPr>
      <w:r>
        <w:rPr>
          <w:rFonts w:hint="eastAsia" w:ascii="Arial" w:hAnsi="Arial" w:cs="Arial"/>
          <w:bCs/>
          <w:sz w:val="24"/>
          <w:szCs w:val="24"/>
        </w:rPr>
        <w:t>作业人员未穿戴安全防护设备的，发现一次扣人民币2000元的违约金；</w:t>
      </w:r>
    </w:p>
    <w:p>
      <w:pPr>
        <w:numPr>
          <w:ilvl w:val="0"/>
          <w:numId w:val="11"/>
        </w:numPr>
        <w:autoSpaceDE w:val="0"/>
        <w:autoSpaceDN w:val="0"/>
        <w:snapToGrid w:val="0"/>
        <w:spacing w:line="360" w:lineRule="auto"/>
        <w:textAlignment w:val="bottom"/>
        <w:rPr>
          <w:rFonts w:ascii="Arial" w:hAnsi="Arial" w:cs="Arial"/>
          <w:bCs/>
          <w:sz w:val="24"/>
          <w:szCs w:val="24"/>
        </w:rPr>
      </w:pPr>
      <w:r>
        <w:rPr>
          <w:rFonts w:hint="eastAsia" w:ascii="Arial" w:hAnsi="Arial"/>
          <w:sz w:val="24"/>
          <w:szCs w:val="24"/>
        </w:rPr>
        <w:t>疏通、清淤后检查井、接户井周边未进行清理的或运输淤泥、固体废弃物等杂物车辆外貌不整洁或运输途中存在滴、漏、撒现象的，每发现一次，处</w:t>
      </w:r>
      <w:r>
        <w:rPr>
          <w:rFonts w:hint="eastAsia" w:ascii="Arial" w:hAnsi="Arial" w:cs="Arial"/>
          <w:bCs/>
          <w:sz w:val="24"/>
          <w:szCs w:val="24"/>
        </w:rPr>
        <w:t>人民币1000元的违约金；</w:t>
      </w:r>
    </w:p>
    <w:p>
      <w:pPr>
        <w:numPr>
          <w:ilvl w:val="0"/>
          <w:numId w:val="11"/>
        </w:numPr>
        <w:autoSpaceDE w:val="0"/>
        <w:autoSpaceDN w:val="0"/>
        <w:snapToGrid w:val="0"/>
        <w:spacing w:line="360" w:lineRule="auto"/>
        <w:textAlignment w:val="bottom"/>
        <w:rPr>
          <w:rFonts w:ascii="Arial" w:hAnsi="Arial" w:cs="Arial"/>
          <w:bCs/>
          <w:sz w:val="24"/>
          <w:szCs w:val="24"/>
        </w:rPr>
      </w:pPr>
      <w:r>
        <w:rPr>
          <w:rFonts w:hint="eastAsia" w:ascii="Arial" w:hAnsi="Arial"/>
          <w:sz w:val="24"/>
          <w:szCs w:val="24"/>
        </w:rPr>
        <w:t>各排水管网漏接、错接、雨污混接以及污染源的检查不到位或检查错误的，每发生一次，处</w:t>
      </w:r>
      <w:r>
        <w:rPr>
          <w:rFonts w:hint="eastAsia" w:ascii="Arial" w:hAnsi="Arial" w:cs="Arial"/>
          <w:bCs/>
          <w:sz w:val="24"/>
          <w:szCs w:val="24"/>
        </w:rPr>
        <w:t>人民币1000元的违约金；</w:t>
      </w:r>
    </w:p>
    <w:p>
      <w:pPr>
        <w:numPr>
          <w:ilvl w:val="0"/>
          <w:numId w:val="11"/>
        </w:numPr>
        <w:autoSpaceDE w:val="0"/>
        <w:autoSpaceDN w:val="0"/>
        <w:snapToGrid w:val="0"/>
        <w:spacing w:line="360" w:lineRule="auto"/>
        <w:textAlignment w:val="bottom"/>
        <w:rPr>
          <w:rFonts w:ascii="Arial" w:hAnsi="Arial" w:cs="Arial"/>
          <w:bCs/>
          <w:sz w:val="24"/>
          <w:szCs w:val="24"/>
        </w:rPr>
      </w:pPr>
      <w:r>
        <w:rPr>
          <w:rFonts w:hint="eastAsia" w:ascii="Arial" w:hAnsi="Arial"/>
          <w:sz w:val="24"/>
          <w:szCs w:val="24"/>
        </w:rPr>
        <w:t>淤泥的倾倒不符合各主管部门要求的，每发生一次，处</w:t>
      </w:r>
      <w:r>
        <w:rPr>
          <w:rFonts w:hint="eastAsia" w:ascii="Arial" w:hAnsi="Arial" w:cs="Arial"/>
          <w:bCs/>
          <w:sz w:val="24"/>
          <w:szCs w:val="24"/>
        </w:rPr>
        <w:t>人民币5000元的违约金，造成采购人处罚或不良社会影响的，</w:t>
      </w:r>
      <w:r>
        <w:rPr>
          <w:rFonts w:hint="eastAsia" w:ascii="Arial" w:hAnsi="Arial"/>
          <w:sz w:val="24"/>
          <w:szCs w:val="24"/>
        </w:rPr>
        <w:t>处</w:t>
      </w:r>
      <w:r>
        <w:rPr>
          <w:rFonts w:hint="eastAsia" w:ascii="Arial" w:hAnsi="Arial" w:cs="Arial"/>
          <w:bCs/>
          <w:sz w:val="24"/>
          <w:szCs w:val="24"/>
        </w:rPr>
        <w:t>人民币10000元的违约金；</w:t>
      </w:r>
    </w:p>
    <w:p>
      <w:pPr>
        <w:numPr>
          <w:ilvl w:val="0"/>
          <w:numId w:val="11"/>
        </w:numPr>
        <w:autoSpaceDE w:val="0"/>
        <w:autoSpaceDN w:val="0"/>
        <w:snapToGrid w:val="0"/>
        <w:spacing w:line="360" w:lineRule="auto"/>
        <w:textAlignment w:val="bottom"/>
        <w:rPr>
          <w:rFonts w:ascii="Arial" w:hAnsi="Arial" w:cs="Arial"/>
          <w:bCs/>
          <w:sz w:val="24"/>
          <w:szCs w:val="24"/>
        </w:rPr>
      </w:pPr>
      <w:r>
        <w:rPr>
          <w:rFonts w:hint="eastAsia" w:ascii="Arial" w:hAnsi="Arial"/>
          <w:sz w:val="24"/>
          <w:szCs w:val="24"/>
        </w:rPr>
        <w:t>发现井盖缺失或严重破损不及时或未及时进行修复（或更换），每发生一次，处</w:t>
      </w:r>
      <w:r>
        <w:rPr>
          <w:rFonts w:hint="eastAsia" w:ascii="Arial" w:hAnsi="Arial" w:cs="Arial"/>
          <w:bCs/>
          <w:sz w:val="24"/>
          <w:szCs w:val="24"/>
        </w:rPr>
        <w:t>人民币500元的违约金；</w:t>
      </w:r>
    </w:p>
    <w:p>
      <w:pPr>
        <w:numPr>
          <w:ilvl w:val="0"/>
          <w:numId w:val="11"/>
        </w:numPr>
        <w:autoSpaceDE w:val="0"/>
        <w:autoSpaceDN w:val="0"/>
        <w:snapToGrid w:val="0"/>
        <w:spacing w:line="360" w:lineRule="auto"/>
        <w:textAlignment w:val="bottom"/>
        <w:rPr>
          <w:rFonts w:ascii="Arial" w:hAnsi="Arial" w:cs="Arial"/>
          <w:bCs/>
          <w:sz w:val="24"/>
          <w:szCs w:val="24"/>
        </w:rPr>
      </w:pPr>
      <w:r>
        <w:rPr>
          <w:rFonts w:hint="eastAsia" w:ascii="Arial" w:hAnsi="Arial"/>
          <w:sz w:val="24"/>
          <w:szCs w:val="24"/>
        </w:rPr>
        <w:t>因中标人自身原因在规定的项目工期内未完成服务内容的</w:t>
      </w:r>
      <w:r>
        <w:rPr>
          <w:rFonts w:hint="eastAsia" w:ascii="Arial" w:hAnsi="Arial" w:cs="Arial"/>
          <w:bCs/>
          <w:sz w:val="24"/>
          <w:szCs w:val="24"/>
        </w:rPr>
        <w:t>，按人民币5000元/日扣除合同款项。非中标人原因引起管道检测不能进行的，需告知采购人报备，否则视为在</w:t>
      </w:r>
      <w:r>
        <w:rPr>
          <w:rFonts w:hint="eastAsia" w:ascii="Arial" w:hAnsi="Arial"/>
          <w:sz w:val="24"/>
          <w:szCs w:val="24"/>
        </w:rPr>
        <w:t>规定的项目工期内未完成服务内容；</w:t>
      </w:r>
    </w:p>
    <w:p>
      <w:pPr>
        <w:numPr>
          <w:ilvl w:val="0"/>
          <w:numId w:val="11"/>
        </w:numPr>
        <w:autoSpaceDE w:val="0"/>
        <w:autoSpaceDN w:val="0"/>
        <w:snapToGrid w:val="0"/>
        <w:spacing w:line="360" w:lineRule="auto"/>
        <w:textAlignment w:val="bottom"/>
        <w:rPr>
          <w:rFonts w:ascii="Arial" w:hAnsi="Arial" w:cs="Arial"/>
          <w:bCs/>
          <w:sz w:val="24"/>
          <w:szCs w:val="24"/>
        </w:rPr>
      </w:pPr>
      <w:r>
        <w:rPr>
          <w:rFonts w:hint="eastAsia" w:ascii="Arial" w:hAnsi="Arial"/>
          <w:sz w:val="24"/>
          <w:szCs w:val="24"/>
        </w:rPr>
        <w:t>修复材料弄虚作假的，</w:t>
      </w:r>
      <w:r>
        <w:rPr>
          <w:rFonts w:hint="eastAsia" w:ascii="Arial" w:hAnsi="Arial" w:cs="Arial"/>
          <w:bCs/>
          <w:sz w:val="24"/>
          <w:szCs w:val="24"/>
        </w:rPr>
        <w:t>每发现一处扣除该合同款的5％，并罚没履约保证金。</w:t>
      </w:r>
    </w:p>
    <w:p>
      <w:pPr>
        <w:numPr>
          <w:ilvl w:val="0"/>
          <w:numId w:val="10"/>
        </w:numPr>
        <w:autoSpaceDE w:val="0"/>
        <w:autoSpaceDN w:val="0"/>
        <w:snapToGrid w:val="0"/>
        <w:spacing w:line="360" w:lineRule="auto"/>
        <w:textAlignment w:val="bottom"/>
        <w:rPr>
          <w:rFonts w:ascii="Arial" w:hAnsi="Arial" w:cs="Arial"/>
          <w:bCs/>
          <w:sz w:val="24"/>
          <w:szCs w:val="24"/>
        </w:rPr>
      </w:pPr>
      <w:r>
        <w:rPr>
          <w:rFonts w:hint="eastAsia" w:ascii="Arial" w:hAnsi="Arial" w:cs="Arial"/>
          <w:bCs/>
          <w:sz w:val="24"/>
          <w:szCs w:val="24"/>
        </w:rPr>
        <w:t>中标人提交的管道检测报告、视频等资料有造假行为的，每发现一处扣除该合同款的5％，并罚没履约保证金。</w:t>
      </w:r>
    </w:p>
    <w:p>
      <w:pPr>
        <w:numPr>
          <w:ilvl w:val="0"/>
          <w:numId w:val="10"/>
        </w:numPr>
        <w:autoSpaceDE w:val="0"/>
        <w:autoSpaceDN w:val="0"/>
        <w:snapToGrid w:val="0"/>
        <w:spacing w:line="360" w:lineRule="auto"/>
        <w:textAlignment w:val="bottom"/>
        <w:rPr>
          <w:rFonts w:ascii="Arial" w:hAnsi="Arial" w:cs="Arial"/>
          <w:bCs/>
          <w:sz w:val="24"/>
          <w:szCs w:val="24"/>
        </w:rPr>
      </w:pPr>
      <w:r>
        <w:rPr>
          <w:rFonts w:hint="eastAsia" w:ascii="Arial" w:hAnsi="Arial" w:cs="Arial"/>
          <w:bCs/>
          <w:sz w:val="24"/>
          <w:szCs w:val="24"/>
        </w:rPr>
        <w:t>中标人未履行工作过程中“定人”原则，未经采购人允许更换项目负责人的，每次处人民币50000元的违约金；未经采购人允许更换作业人员的，每次处人民币10000元的违约金；</w:t>
      </w:r>
      <w:r>
        <w:rPr>
          <w:rFonts w:ascii="Arial" w:hAnsi="Arial" w:cs="Arial"/>
          <w:bCs/>
          <w:sz w:val="24"/>
          <w:szCs w:val="24"/>
        </w:rPr>
        <w:t>有较大安全隐患的作业安全员</w:t>
      </w:r>
      <w:r>
        <w:rPr>
          <w:rFonts w:hint="eastAsia" w:ascii="Arial" w:hAnsi="Arial" w:cs="Arial"/>
          <w:bCs/>
          <w:sz w:val="24"/>
          <w:szCs w:val="24"/>
        </w:rPr>
        <w:t>未</w:t>
      </w:r>
      <w:r>
        <w:rPr>
          <w:rFonts w:ascii="Arial" w:hAnsi="Arial" w:cs="Arial"/>
          <w:bCs/>
          <w:sz w:val="24"/>
          <w:szCs w:val="24"/>
        </w:rPr>
        <w:t>到场</w:t>
      </w:r>
      <w:r>
        <w:rPr>
          <w:rFonts w:hint="eastAsia" w:ascii="Arial" w:hAnsi="Arial" w:cs="Arial"/>
          <w:bCs/>
          <w:sz w:val="24"/>
          <w:szCs w:val="24"/>
        </w:rPr>
        <w:t>，按缺勤扣人民币5000元/次/人。</w:t>
      </w:r>
    </w:p>
    <w:p>
      <w:pPr>
        <w:numPr>
          <w:ilvl w:val="0"/>
          <w:numId w:val="10"/>
        </w:numPr>
        <w:autoSpaceDE w:val="0"/>
        <w:autoSpaceDN w:val="0"/>
        <w:snapToGrid w:val="0"/>
        <w:spacing w:line="360" w:lineRule="auto"/>
        <w:textAlignment w:val="bottom"/>
        <w:rPr>
          <w:rFonts w:ascii="Arial" w:hAnsi="Arial" w:cs="Arial"/>
          <w:bCs/>
          <w:sz w:val="24"/>
          <w:szCs w:val="24"/>
        </w:rPr>
      </w:pPr>
      <w:r>
        <w:rPr>
          <w:rFonts w:hint="eastAsia" w:ascii="Arial" w:hAnsi="Arial" w:cs="Arial"/>
          <w:bCs/>
          <w:sz w:val="24"/>
          <w:szCs w:val="24"/>
        </w:rPr>
        <w:t>在工程量审查、签证过程中，每发现中标人上报工程量超过实际工程量15%时，直接扣除虚报工程量部分，并对中标人、监理单位进行处罚，第一次处人民币1000元的违约金，第二次处人民币5000元的违约金，第三次处人民币10000元的违约金，第四次采购人有权单方终止合同，扣除费用直接从当月合同费用中扣除。</w:t>
      </w:r>
    </w:p>
    <w:p>
      <w:pPr>
        <w:numPr>
          <w:ilvl w:val="0"/>
          <w:numId w:val="10"/>
        </w:numPr>
        <w:autoSpaceDE w:val="0"/>
        <w:autoSpaceDN w:val="0"/>
        <w:snapToGrid w:val="0"/>
        <w:spacing w:line="360" w:lineRule="auto"/>
        <w:textAlignment w:val="bottom"/>
        <w:rPr>
          <w:rFonts w:ascii="Arial" w:hAnsi="Arial" w:cs="Arial"/>
          <w:bCs/>
          <w:sz w:val="24"/>
          <w:szCs w:val="24"/>
        </w:rPr>
      </w:pPr>
      <w:r>
        <w:rPr>
          <w:rFonts w:hint="eastAsia" w:ascii="Arial" w:hAnsi="Arial" w:cs="Arial"/>
          <w:bCs/>
          <w:sz w:val="24"/>
          <w:szCs w:val="24"/>
        </w:rPr>
        <w:t>中标人如因自身人员出现伤亡事故、造成较大影响的，由中标人在自行处理好伤亡事故之后，处50000元的违约金且采购人有权单方终止合同。</w:t>
      </w:r>
    </w:p>
    <w:p>
      <w:pPr>
        <w:numPr>
          <w:ilvl w:val="0"/>
          <w:numId w:val="10"/>
        </w:numPr>
        <w:autoSpaceDE w:val="0"/>
        <w:autoSpaceDN w:val="0"/>
        <w:snapToGrid w:val="0"/>
        <w:spacing w:line="360" w:lineRule="auto"/>
        <w:textAlignment w:val="bottom"/>
        <w:rPr>
          <w:rFonts w:ascii="Arial" w:hAnsi="Arial" w:cs="Arial"/>
          <w:bCs/>
          <w:sz w:val="24"/>
          <w:szCs w:val="24"/>
        </w:rPr>
      </w:pPr>
      <w:r>
        <w:rPr>
          <w:rFonts w:hint="eastAsia" w:ascii="Arial" w:hAnsi="Arial" w:cs="Arial"/>
          <w:bCs/>
          <w:sz w:val="24"/>
          <w:szCs w:val="24"/>
        </w:rPr>
        <w:t>中标人未按照采购人要求做好内业资料的，每发现一次处人民币500元的违约金，中标人在接到采购人整改通知一周内完善内业资料。</w:t>
      </w:r>
    </w:p>
    <w:p>
      <w:pPr>
        <w:pStyle w:val="17"/>
        <w:rPr>
          <w:sz w:val="24"/>
          <w:szCs w:val="24"/>
        </w:rPr>
      </w:pPr>
      <w:r>
        <w:rPr>
          <w:rFonts w:hint="eastAsia" w:ascii="Arial" w:hAnsi="Arial" w:cs="Arial"/>
          <w:bCs/>
          <w:sz w:val="24"/>
          <w:szCs w:val="24"/>
        </w:rPr>
        <w:t>7、开挖修复方式的确定：由采购人根据实际情况确定采用何种开挖修复方式。</w:t>
      </w:r>
    </w:p>
    <w:p>
      <w:pPr>
        <w:pStyle w:val="17"/>
        <w:jc w:val="left"/>
        <w:rPr>
          <w:rFonts w:ascii="Arial" w:hAnsi="Arial" w:cs="Arial"/>
          <w:bCs/>
          <w:sz w:val="24"/>
          <w:szCs w:val="24"/>
        </w:rPr>
      </w:pPr>
      <w:r>
        <w:rPr>
          <w:rFonts w:hint="eastAsia" w:ascii="Arial" w:hAnsi="Arial" w:cs="Arial"/>
          <w:bCs/>
          <w:sz w:val="24"/>
          <w:szCs w:val="24"/>
        </w:rPr>
        <w:t>8、项目验收时，采购人有权要求抽样验收，抽样数量（不少于检测总量的20%）由采购人确定，费用已计入投标报价中。若验收时不合格或出现问题需再次修复的，由采购人通知中标人后进行，费用由中标人承担。</w:t>
      </w:r>
    </w:p>
    <w:p>
      <w:pPr>
        <w:tabs>
          <w:tab w:val="left" w:pos="0"/>
          <w:tab w:val="left" w:pos="360"/>
          <w:tab w:val="left" w:pos="540"/>
        </w:tabs>
        <w:spacing w:line="360" w:lineRule="auto"/>
        <w:ind w:right="31" w:rightChars="15"/>
        <w:rPr>
          <w:b/>
          <w:sz w:val="24"/>
        </w:rPr>
      </w:pPr>
      <w:bookmarkStart w:id="464" w:name="_GoBack"/>
      <w:bookmarkEnd w:id="464"/>
      <w:r>
        <w:rPr>
          <w:rFonts w:hint="eastAsia"/>
        </w:rPr>
        <w:br w:type="page"/>
      </w:r>
      <w:r>
        <w:rPr>
          <w:rFonts w:hint="eastAsia"/>
          <w:b/>
          <w:sz w:val="24"/>
        </w:rPr>
        <w:t>八、商务要求</w:t>
      </w:r>
    </w:p>
    <w:p>
      <w:pPr>
        <w:pStyle w:val="2"/>
        <w:ind w:firstLine="480"/>
        <w:rPr>
          <w:rFonts w:eastAsia="宋体"/>
          <w:sz w:val="24"/>
        </w:rPr>
      </w:pPr>
      <w:r>
        <w:rPr>
          <w:rFonts w:hint="eastAsia" w:eastAsia="宋体"/>
          <w:sz w:val="24"/>
        </w:rPr>
        <w:t>标项一</w:t>
      </w:r>
      <w:r>
        <w:rPr>
          <w:rFonts w:eastAsia="宋体"/>
          <w:sz w:val="24"/>
        </w:rPr>
        <w:t>、</w:t>
      </w:r>
      <w:r>
        <w:rPr>
          <w:rFonts w:hint="eastAsia" w:eastAsia="宋体"/>
          <w:sz w:val="24"/>
        </w:rPr>
        <w:t>二</w:t>
      </w:r>
      <w:r>
        <w:rPr>
          <w:rFonts w:eastAsia="宋体"/>
          <w:sz w:val="24"/>
        </w:rPr>
        <w:t>、</w:t>
      </w:r>
      <w:r>
        <w:rPr>
          <w:rFonts w:hint="eastAsia" w:eastAsia="宋体"/>
          <w:sz w:val="24"/>
        </w:rPr>
        <w:t>三</w:t>
      </w:r>
      <w:r>
        <w:rPr>
          <w:rFonts w:eastAsia="宋体"/>
          <w:sz w:val="24"/>
        </w:rPr>
        <w:t>、</w:t>
      </w:r>
      <w:r>
        <w:rPr>
          <w:rFonts w:hint="eastAsia" w:eastAsia="宋体"/>
          <w:sz w:val="24"/>
        </w:rPr>
        <w:t>四</w:t>
      </w:r>
    </w:p>
    <w:tbl>
      <w:tblPr>
        <w:tblStyle w:val="18"/>
        <w:tblW w:w="9072"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268"/>
        <w:gridCol w:w="68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8" w:hRule="atLeast"/>
          <w:tblHeader/>
        </w:trPr>
        <w:tc>
          <w:tcPr>
            <w:tcW w:w="2268" w:type="dxa"/>
            <w:shd w:val="clear" w:color="auto" w:fill="FFFFFF"/>
            <w:vAlign w:val="center"/>
          </w:tcPr>
          <w:p>
            <w:pPr>
              <w:widowControl/>
              <w:spacing w:line="360" w:lineRule="auto"/>
              <w:jc w:val="center"/>
              <w:rPr>
                <w:rFonts w:ascii="宋体" w:hAnsi="宋体" w:cs="宋体"/>
                <w:sz w:val="28"/>
                <w:szCs w:val="28"/>
              </w:rPr>
            </w:pPr>
            <w:r>
              <w:rPr>
                <w:rFonts w:ascii="宋体" w:hAnsi="宋体" w:cs="宋体"/>
                <w:sz w:val="28"/>
                <w:szCs w:val="28"/>
              </w:rPr>
              <w:t>项目</w:t>
            </w:r>
          </w:p>
        </w:tc>
        <w:tc>
          <w:tcPr>
            <w:tcW w:w="6804" w:type="dxa"/>
            <w:shd w:val="clear" w:color="auto" w:fill="FFFFFF"/>
            <w:vAlign w:val="center"/>
          </w:tcPr>
          <w:p>
            <w:pPr>
              <w:widowControl/>
              <w:spacing w:line="360" w:lineRule="auto"/>
              <w:jc w:val="center"/>
              <w:rPr>
                <w:rFonts w:ascii="宋体" w:hAnsi="宋体" w:cs="宋体"/>
                <w:sz w:val="28"/>
                <w:szCs w:val="28"/>
              </w:rPr>
            </w:pPr>
            <w:r>
              <w:rPr>
                <w:rFonts w:ascii="宋体" w:hAnsi="宋体" w:cs="宋体"/>
                <w:sz w:val="28"/>
                <w:szCs w:val="28"/>
              </w:rPr>
              <w:t>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8" w:type="dxa"/>
            <w:vAlign w:val="center"/>
          </w:tcPr>
          <w:p>
            <w:pPr>
              <w:spacing w:line="360" w:lineRule="auto"/>
              <w:rPr>
                <w:sz w:val="24"/>
              </w:rPr>
            </w:pPr>
            <w:r>
              <w:rPr>
                <w:rFonts w:hint="eastAsia"/>
                <w:sz w:val="24"/>
              </w:rPr>
              <w:t>服务期限</w:t>
            </w:r>
          </w:p>
        </w:tc>
        <w:tc>
          <w:tcPr>
            <w:tcW w:w="6804" w:type="dxa"/>
            <w:vAlign w:val="center"/>
          </w:tcPr>
          <w:p>
            <w:pPr>
              <w:spacing w:line="360" w:lineRule="auto"/>
              <w:rPr>
                <w:sz w:val="24"/>
              </w:rPr>
            </w:pPr>
            <w:r>
              <w:rPr>
                <w:rFonts w:hint="eastAsia"/>
                <w:sz w:val="24"/>
              </w:rPr>
              <w:t>每个标项自合同签订之日且具备实施条件起1</w:t>
            </w:r>
            <w:r>
              <w:rPr>
                <w:rFonts w:hint="eastAsia"/>
                <w:sz w:val="24"/>
                <w:lang w:val="en-US" w:eastAsia="zh-CN"/>
              </w:rPr>
              <w:t>80日历</w:t>
            </w:r>
            <w:r>
              <w:rPr>
                <w:rFonts w:hint="eastAsia"/>
                <w:sz w:val="24"/>
              </w:rPr>
              <w:t>天内完成。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8" w:type="dxa"/>
            <w:vAlign w:val="center"/>
          </w:tcPr>
          <w:p>
            <w:pPr>
              <w:spacing w:line="360" w:lineRule="auto"/>
              <w:rPr>
                <w:sz w:val="24"/>
              </w:rPr>
            </w:pPr>
            <w:r>
              <w:rPr>
                <w:rFonts w:hint="eastAsia"/>
                <w:sz w:val="24"/>
              </w:rPr>
              <w:t>交货时间</w:t>
            </w:r>
          </w:p>
        </w:tc>
        <w:tc>
          <w:tcPr>
            <w:tcW w:w="6804" w:type="dxa"/>
            <w:vAlign w:val="center"/>
          </w:tcPr>
          <w:p>
            <w:pPr>
              <w:spacing w:line="360" w:lineRule="auto"/>
              <w:rPr>
                <w:sz w:val="24"/>
              </w:rPr>
            </w:pPr>
            <w:r>
              <w:rPr>
                <w:rFonts w:hint="eastAsia"/>
                <w:sz w:val="24"/>
              </w:rPr>
              <w:t>自合同签订之日按照业主需求交货。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8" w:type="dxa"/>
            <w:vAlign w:val="center"/>
          </w:tcPr>
          <w:p>
            <w:pPr>
              <w:spacing w:line="360" w:lineRule="auto"/>
              <w:rPr>
                <w:sz w:val="24"/>
              </w:rPr>
            </w:pPr>
            <w:r>
              <w:rPr>
                <w:rFonts w:hint="eastAsia"/>
                <w:sz w:val="24"/>
              </w:rPr>
              <w:t>交货地点</w:t>
            </w:r>
          </w:p>
        </w:tc>
        <w:tc>
          <w:tcPr>
            <w:tcW w:w="6804" w:type="dxa"/>
            <w:vAlign w:val="center"/>
          </w:tcPr>
          <w:p>
            <w:pPr>
              <w:spacing w:line="360" w:lineRule="auto"/>
              <w:rPr>
                <w:sz w:val="24"/>
              </w:rPr>
            </w:pPr>
            <w:r>
              <w:rPr>
                <w:rFonts w:hint="eastAsia"/>
                <w:sz w:val="24"/>
              </w:rPr>
              <w:t>地点：业主指定地点。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8" w:type="dxa"/>
            <w:vAlign w:val="center"/>
          </w:tcPr>
          <w:p>
            <w:pPr>
              <w:spacing w:line="360" w:lineRule="auto"/>
              <w:rPr>
                <w:sz w:val="24"/>
              </w:rPr>
            </w:pPr>
            <w:r>
              <w:rPr>
                <w:rFonts w:hint="eastAsia"/>
                <w:sz w:val="24"/>
              </w:rPr>
              <w:t>质保期</w:t>
            </w:r>
          </w:p>
        </w:tc>
        <w:tc>
          <w:tcPr>
            <w:tcW w:w="6804" w:type="dxa"/>
            <w:vAlign w:val="center"/>
          </w:tcPr>
          <w:p>
            <w:pPr>
              <w:spacing w:line="360" w:lineRule="auto"/>
              <w:rPr>
                <w:sz w:val="24"/>
              </w:rPr>
            </w:pPr>
            <w:r>
              <w:rPr>
                <w:rFonts w:hint="eastAsia"/>
                <w:sz w:val="24"/>
              </w:rPr>
              <w:t>验收合格起不少于</w:t>
            </w:r>
            <w:r>
              <w:rPr>
                <w:sz w:val="24"/>
              </w:rPr>
              <w:t>24个月</w:t>
            </w:r>
            <w:r>
              <w:rPr>
                <w:rFonts w:hint="eastAsia"/>
                <w:sz w:val="24"/>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8" w:type="dxa"/>
            <w:vAlign w:val="center"/>
          </w:tcPr>
          <w:p>
            <w:pPr>
              <w:spacing w:line="360" w:lineRule="auto"/>
              <w:rPr>
                <w:sz w:val="24"/>
              </w:rPr>
            </w:pPr>
            <w:r>
              <w:rPr>
                <w:rFonts w:hint="eastAsia"/>
                <w:sz w:val="24"/>
              </w:rPr>
              <w:t>质量保证</w:t>
            </w:r>
          </w:p>
        </w:tc>
        <w:tc>
          <w:tcPr>
            <w:tcW w:w="6804" w:type="dxa"/>
            <w:vAlign w:val="center"/>
          </w:tcPr>
          <w:p>
            <w:pPr>
              <w:spacing w:line="360" w:lineRule="auto"/>
              <w:rPr>
                <w:sz w:val="24"/>
              </w:rPr>
            </w:pPr>
            <w:r>
              <w:rPr>
                <w:rFonts w:hint="eastAsia"/>
                <w:sz w:val="24"/>
              </w:rPr>
              <w:t>1.在质保期内，如中标人修复的管道出现质量问题，中标人在采购人通知后2小时到达指定地点踏勘，五天内无偿完成修复，若超出规定时间，采购人有权安排第三方进行修复，所产生的费用由中标人支付，若中标人不同意或不支付，采购人有权将中标人纳入不良供应商名单，并保留追究赔偿损失的权利；</w:t>
            </w:r>
          </w:p>
          <w:p>
            <w:pPr>
              <w:spacing w:line="360" w:lineRule="auto"/>
              <w:rPr>
                <w:sz w:val="24"/>
              </w:rPr>
            </w:pPr>
            <w:r>
              <w:rPr>
                <w:rFonts w:hint="eastAsia"/>
                <w:sz w:val="24"/>
              </w:rPr>
              <w:t>2.项目验收过程中，由于项目不达标等原因所造成的一切费用均由中标人负责；</w:t>
            </w:r>
          </w:p>
          <w:p>
            <w:pPr>
              <w:spacing w:line="360" w:lineRule="auto"/>
              <w:rPr>
                <w:sz w:val="24"/>
              </w:rPr>
            </w:pPr>
            <w:r>
              <w:rPr>
                <w:sz w:val="24"/>
              </w:rPr>
              <w:t>3.</w:t>
            </w:r>
            <w:r>
              <w:rPr>
                <w:rFonts w:hint="eastAsia"/>
                <w:sz w:val="24"/>
              </w:rPr>
              <w:t>供应商在合同服务期内，若发生任何事故，一律由供应商负责，与采购人无关。</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8" w:type="dxa"/>
            <w:vAlign w:val="center"/>
          </w:tcPr>
          <w:p>
            <w:pPr>
              <w:spacing w:line="360" w:lineRule="auto"/>
              <w:rPr>
                <w:sz w:val="24"/>
              </w:rPr>
            </w:pPr>
            <w:r>
              <w:rPr>
                <w:rFonts w:hint="eastAsia"/>
                <w:sz w:val="24"/>
              </w:rPr>
              <w:t>验收标准</w:t>
            </w:r>
          </w:p>
        </w:tc>
        <w:tc>
          <w:tcPr>
            <w:tcW w:w="6804" w:type="dxa"/>
            <w:vAlign w:val="center"/>
          </w:tcPr>
          <w:p>
            <w:pPr>
              <w:spacing w:line="360" w:lineRule="auto"/>
              <w:rPr>
                <w:sz w:val="24"/>
              </w:rPr>
            </w:pPr>
            <w:r>
              <w:rPr>
                <w:rFonts w:hint="eastAsia"/>
                <w:sz w:val="24"/>
              </w:rPr>
              <w:t>由采购人组织验收，按照达到国家、地方质量验收标准相关规定执行；</w:t>
            </w:r>
          </w:p>
          <w:p>
            <w:pPr>
              <w:spacing w:line="360" w:lineRule="auto"/>
              <w:rPr>
                <w:sz w:val="24"/>
              </w:rPr>
            </w:pPr>
            <w:r>
              <w:rPr>
                <w:rFonts w:hint="eastAsia"/>
                <w:sz w:val="24"/>
              </w:rPr>
              <w:t>验收程序：按照采购流程执行；</w:t>
            </w:r>
          </w:p>
          <w:p>
            <w:pPr>
              <w:spacing w:line="360" w:lineRule="auto"/>
              <w:rPr>
                <w:sz w:val="24"/>
              </w:rPr>
            </w:pPr>
            <w:r>
              <w:rPr>
                <w:rFonts w:hint="eastAsia"/>
                <w:sz w:val="24"/>
              </w:rPr>
              <w:t>验收报告：由采购人出具规则组织验收；</w:t>
            </w:r>
          </w:p>
          <w:p>
            <w:pPr>
              <w:spacing w:line="360" w:lineRule="auto"/>
              <w:rPr>
                <w:sz w:val="24"/>
              </w:rPr>
            </w:pPr>
            <w:r>
              <w:rPr>
                <w:rFonts w:hint="eastAsia"/>
                <w:sz w:val="24"/>
              </w:rPr>
              <w:t>组织验收主体：本项目的履约验收工作由采购人依法组织实施。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8" w:type="dxa"/>
            <w:vAlign w:val="center"/>
          </w:tcPr>
          <w:p>
            <w:pPr>
              <w:spacing w:line="360" w:lineRule="auto"/>
              <w:rPr>
                <w:sz w:val="24"/>
              </w:rPr>
            </w:pPr>
            <w:r>
              <w:rPr>
                <w:rFonts w:hint="eastAsia"/>
                <w:sz w:val="24"/>
              </w:rPr>
              <w:t>履约保证金</w:t>
            </w:r>
          </w:p>
        </w:tc>
        <w:tc>
          <w:tcPr>
            <w:tcW w:w="6804" w:type="dxa"/>
            <w:vAlign w:val="center"/>
          </w:tcPr>
          <w:p>
            <w:pPr>
              <w:spacing w:line="360" w:lineRule="auto"/>
              <w:rPr>
                <w:sz w:val="24"/>
              </w:rPr>
            </w:pPr>
            <w:r>
              <w:rPr>
                <w:rFonts w:hint="eastAsia"/>
                <w:sz w:val="24"/>
              </w:rPr>
              <w:t>1.履约保证金：合同金额的1%；</w:t>
            </w:r>
          </w:p>
          <w:p>
            <w:pPr>
              <w:spacing w:line="360" w:lineRule="auto"/>
              <w:rPr>
                <w:sz w:val="24"/>
              </w:rPr>
            </w:pPr>
            <w:r>
              <w:rPr>
                <w:rFonts w:hint="eastAsia"/>
                <w:sz w:val="24"/>
              </w:rPr>
              <w:t>2.履约保证金形式：电汇、转账支票、银行保函、保险保单等；</w:t>
            </w:r>
          </w:p>
          <w:p>
            <w:pPr>
              <w:spacing w:line="360" w:lineRule="auto"/>
              <w:rPr>
                <w:sz w:val="24"/>
              </w:rPr>
            </w:pPr>
            <w:r>
              <w:rPr>
                <w:rFonts w:hint="eastAsia"/>
                <w:sz w:val="24"/>
              </w:rPr>
              <w:t>3.履约保证金在合同签订后15天内支付给采购人；在合同履行完毕，完成终交验收手续后一周内无息退还（如中标人未能履行合同规定的任何义务，采购人有权从履约保证金中得到相应补偿）。</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8" w:type="dxa"/>
            <w:vAlign w:val="center"/>
          </w:tcPr>
          <w:p>
            <w:pPr>
              <w:spacing w:line="360" w:lineRule="auto"/>
              <w:rPr>
                <w:sz w:val="24"/>
              </w:rPr>
            </w:pPr>
            <w:r>
              <w:rPr>
                <w:rFonts w:hint="eastAsia"/>
                <w:sz w:val="24"/>
              </w:rPr>
              <w:t>付款方式</w:t>
            </w:r>
          </w:p>
        </w:tc>
        <w:tc>
          <w:tcPr>
            <w:tcW w:w="6804" w:type="dxa"/>
            <w:vAlign w:val="center"/>
          </w:tcPr>
          <w:p>
            <w:pPr>
              <w:spacing w:line="360" w:lineRule="auto"/>
              <w:rPr>
                <w:sz w:val="24"/>
              </w:rPr>
            </w:pPr>
            <w:r>
              <w:rPr>
                <w:rFonts w:hint="eastAsia"/>
                <w:sz w:val="24"/>
              </w:rPr>
              <w:t>1、本项目为固定全费用单价，合同履行期间数量如有变动，以中标人的各全费用单价和各方签字确认的数量，按实结算。</w:t>
            </w:r>
          </w:p>
          <w:p>
            <w:pPr>
              <w:spacing w:line="360" w:lineRule="auto"/>
              <w:rPr>
                <w:sz w:val="24"/>
              </w:rPr>
            </w:pPr>
            <w:r>
              <w:rPr>
                <w:rFonts w:hint="eastAsia"/>
                <w:sz w:val="24"/>
              </w:rPr>
              <w:t>2、合同签订后15个工作日内支付合同价的10%作为首付款，项目完成一半工程量时支付合同价款的</w:t>
            </w:r>
            <w:r>
              <w:rPr>
                <w:rFonts w:hint="eastAsia"/>
                <w:sz w:val="24"/>
                <w:lang w:val="en-US" w:eastAsia="zh-CN"/>
              </w:rPr>
              <w:t>3</w:t>
            </w:r>
            <w:r>
              <w:rPr>
                <w:rFonts w:hint="eastAsia"/>
                <w:sz w:val="24"/>
              </w:rPr>
              <w:t>0%，项目完成竣工提供全过程影像资料，一次性验收合格后支付至合同价的80%，通过审计部门结算审计后结合中标人履约考评情况支付至结算审计价的100%。</w:t>
            </w:r>
          </w:p>
          <w:p>
            <w:pPr>
              <w:spacing w:line="360" w:lineRule="auto"/>
              <w:rPr>
                <w:sz w:val="24"/>
              </w:rPr>
            </w:pPr>
            <w:r>
              <w:rPr>
                <w:rFonts w:hint="eastAsia"/>
                <w:sz w:val="24"/>
              </w:rPr>
              <w:t>▲注：以上进度款支付包含农民工工资。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2268" w:type="dxa"/>
            <w:vAlign w:val="center"/>
          </w:tcPr>
          <w:p>
            <w:pPr>
              <w:spacing w:line="360" w:lineRule="auto"/>
              <w:rPr>
                <w:sz w:val="24"/>
              </w:rPr>
            </w:pPr>
            <w:r>
              <w:rPr>
                <w:rFonts w:hint="eastAsia"/>
                <w:sz w:val="24"/>
              </w:rPr>
              <w:t>合同终止</w:t>
            </w:r>
          </w:p>
        </w:tc>
        <w:tc>
          <w:tcPr>
            <w:tcW w:w="6804" w:type="dxa"/>
          </w:tcPr>
          <w:p>
            <w:pPr>
              <w:spacing w:line="360" w:lineRule="auto"/>
              <w:rPr>
                <w:sz w:val="24"/>
              </w:rPr>
            </w:pPr>
            <w:r>
              <w:rPr>
                <w:rFonts w:hint="eastAsia"/>
                <w:sz w:val="24"/>
              </w:rPr>
              <w:t>1.中标人在合同有效期内，不得无理由终止合同，确有特殊情况的，须提前两个月向采购人提出书面申请，经采购人同意后，方可终止合同，同时扣除履约保证金；</w:t>
            </w:r>
          </w:p>
          <w:p>
            <w:pPr>
              <w:spacing w:line="360" w:lineRule="auto"/>
              <w:rPr>
                <w:sz w:val="24"/>
              </w:rPr>
            </w:pPr>
            <w:r>
              <w:rPr>
                <w:rFonts w:hint="eastAsia"/>
                <w:sz w:val="24"/>
              </w:rPr>
              <w:t xml:space="preserve">2.本项目遇不可抗力影响或国家政策或法律法规的重大调整影响合同无法执行的； </w:t>
            </w:r>
          </w:p>
          <w:p>
            <w:pPr>
              <w:spacing w:line="360" w:lineRule="auto"/>
              <w:rPr>
                <w:sz w:val="24"/>
              </w:rPr>
            </w:pPr>
            <w:r>
              <w:rPr>
                <w:rFonts w:hint="eastAsia"/>
                <w:sz w:val="24"/>
              </w:rPr>
              <w:t xml:space="preserve">3.有以下行为之一的，采购人有权终止合同： </w:t>
            </w:r>
          </w:p>
          <w:p>
            <w:pPr>
              <w:spacing w:line="360" w:lineRule="auto"/>
              <w:rPr>
                <w:sz w:val="24"/>
              </w:rPr>
            </w:pP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 xml:space="preserve">违反安全管理、规范作业规定，造成重大伤亡或重大损失； </w:t>
            </w:r>
          </w:p>
          <w:p>
            <w:pPr>
              <w:spacing w:line="360" w:lineRule="auto"/>
              <w:rPr>
                <w:sz w:val="24"/>
              </w:rPr>
            </w:pP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 xml:space="preserve">经省、市级新闻媒体曝光，中标供应商为责任方，造成影响极其恶劣影响的； </w:t>
            </w:r>
          </w:p>
          <w:p>
            <w:pPr>
              <w:spacing w:line="360" w:lineRule="auto"/>
              <w:rPr>
                <w:sz w:val="24"/>
              </w:rPr>
            </w:pPr>
            <w:r>
              <w:rPr>
                <w:sz w:val="24"/>
              </w:rPr>
              <w:fldChar w:fldCharType="begin"/>
            </w:r>
            <w:r>
              <w:rPr>
                <w:sz w:val="24"/>
              </w:rPr>
              <w:instrText xml:space="preserve"> </w:instrText>
            </w:r>
            <w:r>
              <w:rPr>
                <w:rFonts w:hint="eastAsia"/>
                <w:sz w:val="24"/>
              </w:rPr>
              <w:instrText xml:space="preserve">= 3 \* GB3</w:instrText>
            </w:r>
            <w:r>
              <w:rPr>
                <w:sz w:val="24"/>
              </w:rPr>
              <w:instrText xml:space="preserve"> </w:instrText>
            </w:r>
            <w:r>
              <w:rPr>
                <w:sz w:val="24"/>
              </w:rPr>
              <w:fldChar w:fldCharType="separate"/>
            </w:r>
            <w:r>
              <w:rPr>
                <w:rFonts w:hint="eastAsia"/>
                <w:sz w:val="24"/>
              </w:rPr>
              <w:t>③</w:t>
            </w:r>
            <w:r>
              <w:rPr>
                <w:sz w:val="24"/>
              </w:rPr>
              <w:fldChar w:fldCharType="end"/>
            </w:r>
            <w:r>
              <w:rPr>
                <w:rFonts w:hint="eastAsia"/>
                <w:sz w:val="24"/>
              </w:rPr>
              <w:t xml:space="preserve">违反劳动法或其他相关法律法规，造成恶劣影响； </w:t>
            </w:r>
          </w:p>
          <w:p>
            <w:pPr>
              <w:spacing w:line="360" w:lineRule="auto"/>
              <w:rPr>
                <w:sz w:val="24"/>
              </w:rPr>
            </w:pPr>
            <w:r>
              <w:rPr>
                <w:sz w:val="24"/>
              </w:rPr>
              <w:fldChar w:fldCharType="begin"/>
            </w:r>
            <w:r>
              <w:rPr>
                <w:sz w:val="24"/>
              </w:rPr>
              <w:instrText xml:space="preserve"> </w:instrText>
            </w:r>
            <w:r>
              <w:rPr>
                <w:rFonts w:hint="eastAsia"/>
                <w:sz w:val="24"/>
              </w:rPr>
              <w:instrText xml:space="preserve">= 4 \* GB3</w:instrText>
            </w:r>
            <w:r>
              <w:rPr>
                <w:sz w:val="24"/>
              </w:rPr>
              <w:instrText xml:space="preserve"> </w:instrText>
            </w:r>
            <w:r>
              <w:rPr>
                <w:sz w:val="24"/>
              </w:rPr>
              <w:fldChar w:fldCharType="separate"/>
            </w:r>
            <w:r>
              <w:rPr>
                <w:rFonts w:hint="eastAsia"/>
                <w:sz w:val="24"/>
              </w:rPr>
              <w:t>④</w:t>
            </w:r>
            <w:r>
              <w:rPr>
                <w:sz w:val="24"/>
              </w:rPr>
              <w:fldChar w:fldCharType="end"/>
            </w:r>
            <w:r>
              <w:rPr>
                <w:rFonts w:hint="eastAsia"/>
                <w:sz w:val="24"/>
              </w:rPr>
              <w:t xml:space="preserve">其它弄虚作假及其他不正当行为； </w:t>
            </w:r>
          </w:p>
          <w:p>
            <w:pPr>
              <w:spacing w:line="360" w:lineRule="auto"/>
              <w:rPr>
                <w:sz w:val="24"/>
              </w:rPr>
            </w:pPr>
            <w:r>
              <w:rPr>
                <w:sz w:val="24"/>
              </w:rPr>
              <w:fldChar w:fldCharType="begin"/>
            </w:r>
            <w:r>
              <w:rPr>
                <w:sz w:val="24"/>
              </w:rPr>
              <w:instrText xml:space="preserve"> </w:instrText>
            </w:r>
            <w:r>
              <w:rPr>
                <w:rFonts w:hint="eastAsia"/>
                <w:sz w:val="24"/>
              </w:rPr>
              <w:instrText xml:space="preserve">= 5 \* GB3</w:instrText>
            </w:r>
            <w:r>
              <w:rPr>
                <w:sz w:val="24"/>
              </w:rPr>
              <w:instrText xml:space="preserve"> </w:instrText>
            </w:r>
            <w:r>
              <w:rPr>
                <w:sz w:val="24"/>
              </w:rPr>
              <w:fldChar w:fldCharType="separate"/>
            </w:r>
            <w:r>
              <w:rPr>
                <w:rFonts w:hint="eastAsia"/>
                <w:sz w:val="24"/>
              </w:rPr>
              <w:t>⑤</w:t>
            </w:r>
            <w:r>
              <w:rPr>
                <w:sz w:val="24"/>
              </w:rPr>
              <w:fldChar w:fldCharType="end"/>
            </w:r>
            <w:r>
              <w:rPr>
                <w:rFonts w:hint="eastAsia"/>
                <w:sz w:val="24"/>
              </w:rPr>
              <w:t>合同期限届满时自行终止；</w:t>
            </w:r>
          </w:p>
          <w:p>
            <w:pPr>
              <w:spacing w:line="360" w:lineRule="auto"/>
              <w:rPr>
                <w:sz w:val="24"/>
              </w:rPr>
            </w:pPr>
            <w:r>
              <w:rPr>
                <w:sz w:val="24"/>
              </w:rPr>
              <w:fldChar w:fldCharType="begin"/>
            </w:r>
            <w:r>
              <w:rPr>
                <w:sz w:val="24"/>
              </w:rPr>
              <w:instrText xml:space="preserve"> </w:instrText>
            </w:r>
            <w:r>
              <w:rPr>
                <w:rFonts w:hint="eastAsia"/>
                <w:sz w:val="24"/>
              </w:rPr>
              <w:instrText xml:space="preserve">= 6 \* GB3</w:instrText>
            </w:r>
            <w:r>
              <w:rPr>
                <w:sz w:val="24"/>
              </w:rPr>
              <w:instrText xml:space="preserve"> </w:instrText>
            </w:r>
            <w:r>
              <w:rPr>
                <w:sz w:val="24"/>
              </w:rPr>
              <w:fldChar w:fldCharType="separate"/>
            </w:r>
            <w:r>
              <w:rPr>
                <w:rFonts w:hint="eastAsia"/>
                <w:sz w:val="24"/>
              </w:rPr>
              <w:t>⑥</w:t>
            </w:r>
            <w:r>
              <w:rPr>
                <w:sz w:val="24"/>
              </w:rPr>
              <w:fldChar w:fldCharType="end"/>
            </w:r>
            <w:r>
              <w:rPr>
                <w:rFonts w:hint="eastAsia"/>
                <w:sz w:val="24"/>
              </w:rPr>
              <w:t xml:space="preserve">合同履约期间，乙方法人组织破产，或重组变更法人主体的； </w:t>
            </w:r>
          </w:p>
          <w:p>
            <w:pPr>
              <w:spacing w:line="360" w:lineRule="auto"/>
              <w:rPr>
                <w:sz w:val="24"/>
              </w:rPr>
            </w:pPr>
            <w:r>
              <w:rPr>
                <w:sz w:val="24"/>
              </w:rPr>
              <w:fldChar w:fldCharType="begin"/>
            </w:r>
            <w:r>
              <w:rPr>
                <w:sz w:val="24"/>
              </w:rPr>
              <w:instrText xml:space="preserve"> </w:instrText>
            </w:r>
            <w:r>
              <w:rPr>
                <w:rFonts w:hint="eastAsia"/>
                <w:sz w:val="24"/>
              </w:rPr>
              <w:instrText xml:space="preserve">= 7 \* GB3</w:instrText>
            </w:r>
            <w:r>
              <w:rPr>
                <w:sz w:val="24"/>
              </w:rPr>
              <w:instrText xml:space="preserve"> </w:instrText>
            </w:r>
            <w:r>
              <w:rPr>
                <w:sz w:val="24"/>
              </w:rPr>
              <w:fldChar w:fldCharType="separate"/>
            </w:r>
            <w:r>
              <w:rPr>
                <w:rFonts w:hint="eastAsia"/>
                <w:sz w:val="24"/>
              </w:rPr>
              <w:t>⑦</w:t>
            </w:r>
            <w:r>
              <w:rPr>
                <w:sz w:val="24"/>
              </w:rPr>
              <w:fldChar w:fldCharType="end"/>
            </w:r>
            <w:r>
              <w:rPr>
                <w:rFonts w:hint="eastAsia"/>
                <w:sz w:val="24"/>
              </w:rPr>
              <w:t>根据招标文件及合同规定，其它不续签或终止合同的规定，其它法律规定的终止情形。</w:t>
            </w:r>
          </w:p>
        </w:tc>
      </w:tr>
    </w:tbl>
    <w:p>
      <w:pPr>
        <w:pStyle w:val="2"/>
        <w:spacing w:line="360" w:lineRule="auto"/>
        <w:ind w:firstLine="482"/>
        <w:rPr>
          <w:rFonts w:ascii="宋体" w:hAnsi="宋体" w:eastAsia="宋体"/>
          <w:b/>
          <w:sz w:val="24"/>
        </w:rPr>
        <w:sectPr>
          <w:pgSz w:w="11906" w:h="16838"/>
          <w:pgMar w:top="1276" w:right="1418" w:bottom="1247" w:left="1418" w:header="851" w:footer="992" w:gutter="0"/>
          <w:cols w:space="720" w:num="1"/>
          <w:docGrid w:linePitch="312" w:charSpace="0"/>
        </w:sectPr>
      </w:pPr>
    </w:p>
    <w:p>
      <w:pPr>
        <w:snapToGrid w:val="0"/>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90" w:name="_Toc184308092"/>
      <w:bookmarkEnd w:id="90"/>
      <w:bookmarkStart w:id="91" w:name="_Toc184313303"/>
      <w:bookmarkEnd w:id="91"/>
      <w:bookmarkStart w:id="92" w:name="_Toc184310308"/>
      <w:bookmarkEnd w:id="92"/>
      <w:bookmarkStart w:id="93" w:name="_Toc184313249"/>
      <w:bookmarkEnd w:id="93"/>
      <w:bookmarkStart w:id="94" w:name="_Toc184313270"/>
      <w:bookmarkEnd w:id="94"/>
      <w:bookmarkStart w:id="95" w:name="_Toc184312079"/>
      <w:bookmarkEnd w:id="95"/>
      <w:bookmarkStart w:id="96" w:name="_Toc184312103"/>
      <w:bookmarkEnd w:id="96"/>
      <w:bookmarkStart w:id="97" w:name="_Toc184313269"/>
      <w:bookmarkEnd w:id="97"/>
      <w:bookmarkStart w:id="98" w:name="_Toc184308055"/>
      <w:bookmarkEnd w:id="98"/>
      <w:bookmarkStart w:id="99" w:name="_Toc184314447"/>
      <w:bookmarkEnd w:id="99"/>
      <w:bookmarkStart w:id="100" w:name="_Toc184310291"/>
      <w:bookmarkEnd w:id="100"/>
      <w:bookmarkStart w:id="101" w:name="_Toc184314451"/>
      <w:bookmarkEnd w:id="101"/>
      <w:bookmarkStart w:id="102" w:name="_Toc184312068"/>
      <w:bookmarkEnd w:id="102"/>
      <w:bookmarkStart w:id="103" w:name="_Toc184313267"/>
      <w:bookmarkEnd w:id="103"/>
      <w:bookmarkStart w:id="104" w:name="_Toc184310329"/>
      <w:bookmarkEnd w:id="104"/>
      <w:bookmarkStart w:id="105" w:name="_Toc184310274"/>
      <w:bookmarkEnd w:id="105"/>
      <w:bookmarkStart w:id="106" w:name="_Toc184310276"/>
      <w:bookmarkEnd w:id="106"/>
      <w:bookmarkStart w:id="107" w:name="_Toc184308086"/>
      <w:bookmarkEnd w:id="107"/>
      <w:bookmarkStart w:id="108" w:name="_Toc184308102"/>
      <w:bookmarkEnd w:id="108"/>
      <w:bookmarkStart w:id="109" w:name="_Toc184314416"/>
      <w:bookmarkEnd w:id="109"/>
      <w:bookmarkStart w:id="110" w:name="_Toc184310318"/>
      <w:bookmarkEnd w:id="110"/>
      <w:bookmarkStart w:id="111" w:name="_Toc184308059"/>
      <w:bookmarkEnd w:id="111"/>
      <w:bookmarkStart w:id="112" w:name="_Toc184314414"/>
      <w:bookmarkEnd w:id="112"/>
      <w:bookmarkStart w:id="113" w:name="_Toc184312076"/>
      <w:bookmarkEnd w:id="113"/>
      <w:bookmarkStart w:id="114" w:name="_Toc184310294"/>
      <w:bookmarkEnd w:id="114"/>
      <w:bookmarkStart w:id="115" w:name="_Toc184308075"/>
      <w:bookmarkEnd w:id="115"/>
      <w:bookmarkStart w:id="116" w:name="_Toc184310290"/>
      <w:bookmarkEnd w:id="116"/>
      <w:bookmarkStart w:id="117" w:name="_Toc184313278"/>
      <w:bookmarkEnd w:id="117"/>
      <w:bookmarkStart w:id="118" w:name="_Toc184308041"/>
      <w:bookmarkEnd w:id="118"/>
      <w:bookmarkStart w:id="119" w:name="_Toc184308044"/>
      <w:bookmarkEnd w:id="119"/>
      <w:bookmarkStart w:id="120" w:name="_Toc184310320"/>
      <w:bookmarkEnd w:id="120"/>
      <w:bookmarkStart w:id="121" w:name="_Toc184312127"/>
      <w:bookmarkEnd w:id="121"/>
      <w:bookmarkStart w:id="122" w:name="_Toc184314424"/>
      <w:bookmarkEnd w:id="122"/>
      <w:bookmarkStart w:id="123" w:name="_Toc184313274"/>
      <w:bookmarkEnd w:id="123"/>
      <w:bookmarkStart w:id="124" w:name="_Toc184312113"/>
      <w:bookmarkEnd w:id="124"/>
      <w:bookmarkStart w:id="125" w:name="_Toc184312111"/>
      <w:bookmarkEnd w:id="125"/>
      <w:bookmarkStart w:id="126" w:name="_Toc184310335"/>
      <w:bookmarkEnd w:id="126"/>
      <w:bookmarkStart w:id="127" w:name="_Toc184310278"/>
      <w:bookmarkEnd w:id="127"/>
      <w:bookmarkStart w:id="128" w:name="_Toc184308104"/>
      <w:bookmarkEnd w:id="128"/>
      <w:bookmarkStart w:id="129" w:name="_Toc184314415"/>
      <w:bookmarkEnd w:id="129"/>
      <w:bookmarkStart w:id="130" w:name="_Toc184310279"/>
      <w:bookmarkEnd w:id="130"/>
      <w:bookmarkStart w:id="131" w:name="_Toc184314464"/>
      <w:bookmarkEnd w:id="131"/>
      <w:bookmarkStart w:id="132" w:name="_Toc184308062"/>
      <w:bookmarkEnd w:id="132"/>
      <w:bookmarkStart w:id="133" w:name="_Toc184314437"/>
      <w:bookmarkEnd w:id="133"/>
      <w:bookmarkStart w:id="134" w:name="_Toc184310287"/>
      <w:bookmarkEnd w:id="134"/>
      <w:bookmarkStart w:id="135" w:name="_Toc184313260"/>
      <w:bookmarkEnd w:id="135"/>
      <w:bookmarkStart w:id="136" w:name="_Toc184310277"/>
      <w:bookmarkEnd w:id="136"/>
      <w:bookmarkStart w:id="137" w:name="_Toc184313246"/>
      <w:bookmarkEnd w:id="137"/>
      <w:bookmarkStart w:id="138" w:name="_Toc184314423"/>
      <w:bookmarkEnd w:id="138"/>
      <w:bookmarkStart w:id="139" w:name="_Toc184308038"/>
      <w:bookmarkEnd w:id="139"/>
      <w:bookmarkStart w:id="140" w:name="_Toc184313296"/>
      <w:bookmarkEnd w:id="140"/>
      <w:bookmarkStart w:id="141" w:name="_Toc184313243"/>
      <w:bookmarkEnd w:id="141"/>
      <w:bookmarkStart w:id="142" w:name="_Toc184313284"/>
      <w:bookmarkEnd w:id="142"/>
      <w:bookmarkStart w:id="143" w:name="_Toc184313297"/>
      <w:bookmarkEnd w:id="143"/>
      <w:bookmarkStart w:id="144" w:name="_Toc184308042"/>
      <w:bookmarkEnd w:id="144"/>
      <w:bookmarkStart w:id="145" w:name="_Toc184313244"/>
      <w:bookmarkEnd w:id="145"/>
      <w:bookmarkStart w:id="146" w:name="_Toc184314448"/>
      <w:bookmarkEnd w:id="146"/>
      <w:bookmarkStart w:id="147" w:name="_Toc184312080"/>
      <w:bookmarkEnd w:id="147"/>
      <w:bookmarkStart w:id="148" w:name="_Toc184312092"/>
      <w:bookmarkEnd w:id="148"/>
      <w:bookmarkStart w:id="149" w:name="_Toc184308096"/>
      <w:bookmarkEnd w:id="149"/>
      <w:bookmarkStart w:id="150" w:name="_Toc184308105"/>
      <w:bookmarkEnd w:id="150"/>
      <w:bookmarkStart w:id="151" w:name="_Toc184312125"/>
      <w:bookmarkEnd w:id="151"/>
      <w:bookmarkStart w:id="152" w:name="_Toc184308050"/>
      <w:bookmarkEnd w:id="152"/>
      <w:bookmarkStart w:id="153" w:name="_Toc184314435"/>
      <w:bookmarkEnd w:id="153"/>
      <w:bookmarkStart w:id="154" w:name="_Toc184314422"/>
      <w:bookmarkEnd w:id="154"/>
      <w:bookmarkStart w:id="155" w:name="_Toc184310313"/>
      <w:bookmarkEnd w:id="155"/>
      <w:bookmarkStart w:id="156" w:name="_Toc184312090"/>
      <w:bookmarkEnd w:id="156"/>
      <w:bookmarkStart w:id="157" w:name="_Toc184314427"/>
      <w:bookmarkEnd w:id="157"/>
      <w:bookmarkStart w:id="158" w:name="_Toc184308080"/>
      <w:bookmarkEnd w:id="158"/>
      <w:bookmarkStart w:id="159" w:name="_Toc184313300"/>
      <w:bookmarkEnd w:id="159"/>
      <w:bookmarkStart w:id="160" w:name="_Toc184310272"/>
      <w:bookmarkEnd w:id="160"/>
      <w:bookmarkStart w:id="161" w:name="_Toc184313305"/>
      <w:bookmarkEnd w:id="161"/>
      <w:bookmarkStart w:id="162" w:name="_Toc184313309"/>
      <w:bookmarkEnd w:id="162"/>
      <w:bookmarkStart w:id="163" w:name="_Toc184312123"/>
      <w:bookmarkEnd w:id="163"/>
      <w:bookmarkStart w:id="164" w:name="_Toc184310339"/>
      <w:bookmarkEnd w:id="164"/>
      <w:bookmarkStart w:id="165" w:name="_Toc184310325"/>
      <w:bookmarkEnd w:id="165"/>
      <w:bookmarkStart w:id="166" w:name="_Toc184308098"/>
      <w:bookmarkEnd w:id="166"/>
      <w:bookmarkStart w:id="167" w:name="_Toc184312124"/>
      <w:bookmarkEnd w:id="167"/>
      <w:bookmarkStart w:id="168" w:name="_Toc184308094"/>
      <w:bookmarkEnd w:id="168"/>
      <w:bookmarkStart w:id="169" w:name="_Toc184310316"/>
      <w:bookmarkEnd w:id="169"/>
      <w:bookmarkStart w:id="170" w:name="_Toc184308037"/>
      <w:bookmarkEnd w:id="170"/>
      <w:bookmarkStart w:id="171" w:name="_Toc184313304"/>
      <w:bookmarkEnd w:id="171"/>
      <w:bookmarkStart w:id="172" w:name="_Toc184313290"/>
      <w:bookmarkEnd w:id="172"/>
      <w:bookmarkStart w:id="173" w:name="_Toc184312077"/>
      <w:bookmarkEnd w:id="173"/>
      <w:bookmarkStart w:id="174" w:name="_Toc184308095"/>
      <w:bookmarkEnd w:id="174"/>
      <w:bookmarkStart w:id="175" w:name="_Toc184312132"/>
      <w:bookmarkEnd w:id="175"/>
      <w:bookmarkStart w:id="176" w:name="_Toc184313241"/>
      <w:bookmarkEnd w:id="176"/>
      <w:bookmarkStart w:id="177" w:name="_Toc184312129"/>
      <w:bookmarkEnd w:id="177"/>
      <w:bookmarkStart w:id="178" w:name="_Toc184310338"/>
      <w:bookmarkEnd w:id="178"/>
      <w:bookmarkStart w:id="179" w:name="_Toc184308089"/>
      <w:bookmarkEnd w:id="179"/>
      <w:bookmarkStart w:id="180" w:name="_Toc184314418"/>
      <w:bookmarkEnd w:id="180"/>
      <w:bookmarkStart w:id="181" w:name="_Toc184314467"/>
      <w:bookmarkEnd w:id="181"/>
      <w:bookmarkStart w:id="182" w:name="_Toc184313265"/>
      <w:bookmarkEnd w:id="182"/>
      <w:bookmarkStart w:id="183" w:name="_Toc184310280"/>
      <w:bookmarkEnd w:id="183"/>
      <w:bookmarkStart w:id="184" w:name="_Toc184314471"/>
      <w:bookmarkEnd w:id="184"/>
      <w:bookmarkStart w:id="185" w:name="_Toc184314412"/>
      <w:bookmarkEnd w:id="185"/>
      <w:bookmarkStart w:id="186" w:name="_Toc184308036"/>
      <w:bookmarkEnd w:id="186"/>
      <w:bookmarkStart w:id="187" w:name="_Toc184310304"/>
      <w:bookmarkEnd w:id="187"/>
      <w:bookmarkStart w:id="188" w:name="_Toc184312074"/>
      <w:bookmarkEnd w:id="188"/>
      <w:bookmarkStart w:id="189" w:name="_Toc184314433"/>
      <w:bookmarkEnd w:id="189"/>
      <w:bookmarkStart w:id="190" w:name="_Toc184313276"/>
      <w:bookmarkEnd w:id="190"/>
      <w:bookmarkStart w:id="191" w:name="_Toc184313289"/>
      <w:bookmarkEnd w:id="191"/>
      <w:bookmarkStart w:id="192" w:name="_Toc184313245"/>
      <w:bookmarkEnd w:id="192"/>
      <w:bookmarkStart w:id="193" w:name="_Toc184314468"/>
      <w:bookmarkEnd w:id="193"/>
      <w:bookmarkStart w:id="194" w:name="_Toc184312130"/>
      <w:bookmarkEnd w:id="194"/>
      <w:bookmarkStart w:id="195" w:name="_Toc184310332"/>
      <w:bookmarkEnd w:id="195"/>
      <w:bookmarkStart w:id="196" w:name="_Toc184308073"/>
      <w:bookmarkEnd w:id="196"/>
      <w:bookmarkStart w:id="197" w:name="_Toc184310330"/>
      <w:bookmarkEnd w:id="197"/>
      <w:bookmarkStart w:id="198" w:name="_Toc184312075"/>
      <w:bookmarkEnd w:id="198"/>
      <w:bookmarkStart w:id="199" w:name="_Toc184310312"/>
      <w:bookmarkEnd w:id="199"/>
      <w:bookmarkStart w:id="200" w:name="_Toc184313261"/>
      <w:bookmarkEnd w:id="200"/>
      <w:bookmarkStart w:id="201" w:name="_Toc184310340"/>
      <w:bookmarkEnd w:id="201"/>
      <w:bookmarkStart w:id="202" w:name="_Toc184308103"/>
      <w:bookmarkEnd w:id="202"/>
      <w:bookmarkStart w:id="203" w:name="_Toc184312119"/>
      <w:bookmarkEnd w:id="203"/>
      <w:bookmarkStart w:id="204" w:name="_Toc184310331"/>
      <w:bookmarkEnd w:id="204"/>
      <w:bookmarkStart w:id="205" w:name="_Toc184314454"/>
      <w:bookmarkEnd w:id="205"/>
      <w:bookmarkStart w:id="206" w:name="_Toc184310333"/>
      <w:bookmarkEnd w:id="206"/>
      <w:bookmarkStart w:id="207" w:name="_Toc184310295"/>
      <w:bookmarkEnd w:id="207"/>
      <w:bookmarkStart w:id="208" w:name="_Toc184308085"/>
      <w:bookmarkEnd w:id="208"/>
      <w:bookmarkStart w:id="209" w:name="_Toc184313285"/>
      <w:bookmarkEnd w:id="209"/>
      <w:bookmarkStart w:id="210" w:name="_Toc184312110"/>
      <w:bookmarkEnd w:id="210"/>
      <w:bookmarkStart w:id="211" w:name="_Toc184312089"/>
      <w:bookmarkEnd w:id="211"/>
      <w:bookmarkStart w:id="212" w:name="_Toc184312109"/>
      <w:bookmarkEnd w:id="212"/>
      <w:bookmarkStart w:id="213" w:name="_Toc184312067"/>
      <w:bookmarkEnd w:id="213"/>
      <w:bookmarkStart w:id="214" w:name="_Toc184308088"/>
      <w:bookmarkEnd w:id="214"/>
      <w:bookmarkStart w:id="215" w:name="_Toc184314477"/>
      <w:bookmarkEnd w:id="215"/>
      <w:bookmarkStart w:id="216" w:name="_Toc184312107"/>
      <w:bookmarkEnd w:id="216"/>
      <w:bookmarkStart w:id="217" w:name="_Toc184313248"/>
      <w:bookmarkEnd w:id="217"/>
      <w:bookmarkStart w:id="218" w:name="_Toc184313298"/>
      <w:bookmarkEnd w:id="218"/>
      <w:bookmarkStart w:id="219" w:name="_Toc184310321"/>
      <w:bookmarkEnd w:id="219"/>
      <w:bookmarkStart w:id="220" w:name="_Toc184314411"/>
      <w:bookmarkEnd w:id="220"/>
      <w:bookmarkStart w:id="221" w:name="_Toc184308097"/>
      <w:bookmarkEnd w:id="221"/>
      <w:bookmarkStart w:id="222" w:name="_Toc184314463"/>
      <w:bookmarkEnd w:id="222"/>
      <w:bookmarkStart w:id="223" w:name="_Toc184314469"/>
      <w:bookmarkEnd w:id="223"/>
      <w:bookmarkStart w:id="224" w:name="_Toc184312134"/>
      <w:bookmarkEnd w:id="224"/>
      <w:bookmarkStart w:id="225" w:name="_Toc184308046"/>
      <w:bookmarkEnd w:id="225"/>
      <w:bookmarkStart w:id="226" w:name="_Toc184313250"/>
      <w:bookmarkEnd w:id="226"/>
      <w:bookmarkStart w:id="227" w:name="_Toc184312091"/>
      <w:bookmarkEnd w:id="227"/>
      <w:bookmarkStart w:id="228" w:name="_Toc184314481"/>
      <w:bookmarkEnd w:id="228"/>
      <w:bookmarkStart w:id="229" w:name="_Toc184314452"/>
      <w:bookmarkEnd w:id="229"/>
      <w:bookmarkStart w:id="230" w:name="_Toc184310324"/>
      <w:bookmarkEnd w:id="230"/>
      <w:bookmarkStart w:id="231" w:name="_Toc184312073"/>
      <w:bookmarkEnd w:id="231"/>
      <w:bookmarkStart w:id="232" w:name="_Toc184308093"/>
      <w:bookmarkEnd w:id="232"/>
      <w:bookmarkStart w:id="233" w:name="_Toc184312069"/>
      <w:bookmarkEnd w:id="233"/>
      <w:bookmarkStart w:id="234" w:name="_Toc184314472"/>
      <w:bookmarkEnd w:id="234"/>
      <w:bookmarkStart w:id="235" w:name="_Toc184313264"/>
      <w:bookmarkEnd w:id="235"/>
      <w:bookmarkStart w:id="236" w:name="_Toc184308074"/>
      <w:bookmarkEnd w:id="236"/>
      <w:bookmarkStart w:id="237" w:name="_Toc184313273"/>
      <w:bookmarkEnd w:id="237"/>
      <w:bookmarkStart w:id="238" w:name="_Toc184310286"/>
      <w:bookmarkEnd w:id="238"/>
      <w:bookmarkStart w:id="239" w:name="_Toc184308078"/>
      <w:bookmarkEnd w:id="239"/>
      <w:bookmarkStart w:id="240" w:name="_Toc184313258"/>
      <w:bookmarkEnd w:id="240"/>
      <w:bookmarkStart w:id="241" w:name="_Toc184308064"/>
      <w:bookmarkEnd w:id="241"/>
      <w:bookmarkStart w:id="242" w:name="_Toc184314443"/>
      <w:bookmarkEnd w:id="242"/>
      <w:bookmarkStart w:id="243" w:name="_Toc184312078"/>
      <w:bookmarkEnd w:id="243"/>
      <w:bookmarkStart w:id="244" w:name="_Toc184310283"/>
      <w:bookmarkEnd w:id="244"/>
      <w:bookmarkStart w:id="245" w:name="_Toc184313247"/>
      <w:bookmarkEnd w:id="245"/>
      <w:bookmarkStart w:id="246" w:name="_Toc184313271"/>
      <w:bookmarkEnd w:id="246"/>
      <w:bookmarkStart w:id="247" w:name="_Toc184310337"/>
      <w:bookmarkEnd w:id="247"/>
      <w:bookmarkStart w:id="248" w:name="_Toc184312084"/>
      <w:bookmarkEnd w:id="248"/>
      <w:bookmarkStart w:id="249" w:name="_Toc184314432"/>
      <w:bookmarkEnd w:id="249"/>
      <w:bookmarkStart w:id="250" w:name="_Toc184314421"/>
      <w:bookmarkEnd w:id="250"/>
      <w:bookmarkStart w:id="251" w:name="_Toc184310314"/>
      <w:bookmarkEnd w:id="251"/>
      <w:bookmarkStart w:id="252" w:name="_Toc184313255"/>
      <w:bookmarkEnd w:id="252"/>
      <w:bookmarkStart w:id="253" w:name="_Toc184308065"/>
      <w:bookmarkEnd w:id="253"/>
      <w:bookmarkStart w:id="254" w:name="_Toc184312097"/>
      <w:bookmarkEnd w:id="254"/>
      <w:bookmarkStart w:id="255" w:name="_Toc184314440"/>
      <w:bookmarkEnd w:id="255"/>
      <w:bookmarkStart w:id="256" w:name="_Toc184310300"/>
      <w:bookmarkEnd w:id="256"/>
      <w:bookmarkStart w:id="257" w:name="_Toc184313238"/>
      <w:bookmarkEnd w:id="257"/>
      <w:bookmarkStart w:id="258" w:name="_Toc184313257"/>
      <w:bookmarkEnd w:id="258"/>
      <w:bookmarkStart w:id="259" w:name="_Toc184314434"/>
      <w:bookmarkEnd w:id="259"/>
      <w:bookmarkStart w:id="260" w:name="_Toc184310343"/>
      <w:bookmarkEnd w:id="260"/>
      <w:bookmarkStart w:id="261" w:name="_Toc184308052"/>
      <w:bookmarkEnd w:id="261"/>
      <w:bookmarkStart w:id="262" w:name="_Toc184312102"/>
      <w:bookmarkEnd w:id="262"/>
      <w:bookmarkStart w:id="263" w:name="_Toc184312096"/>
      <w:bookmarkEnd w:id="263"/>
      <w:bookmarkStart w:id="264" w:name="_Toc184314479"/>
      <w:bookmarkEnd w:id="264"/>
      <w:bookmarkStart w:id="265" w:name="_Toc184308100"/>
      <w:bookmarkEnd w:id="265"/>
      <w:bookmarkStart w:id="266" w:name="_Toc184310282"/>
      <w:bookmarkEnd w:id="266"/>
      <w:bookmarkStart w:id="267" w:name="_Toc184310305"/>
      <w:bookmarkEnd w:id="267"/>
      <w:bookmarkStart w:id="268" w:name="_Toc184308063"/>
      <w:bookmarkEnd w:id="268"/>
      <w:bookmarkStart w:id="269" w:name="_Toc184313308"/>
      <w:bookmarkEnd w:id="269"/>
      <w:bookmarkStart w:id="270" w:name="_Toc184310310"/>
      <w:bookmarkEnd w:id="270"/>
      <w:bookmarkStart w:id="271" w:name="_Toc184308048"/>
      <w:bookmarkEnd w:id="271"/>
      <w:bookmarkStart w:id="272" w:name="_Toc184314442"/>
      <w:bookmarkEnd w:id="272"/>
      <w:bookmarkStart w:id="273" w:name="_Toc184314482"/>
      <w:bookmarkEnd w:id="273"/>
      <w:bookmarkStart w:id="274" w:name="_Toc184312126"/>
      <w:bookmarkEnd w:id="274"/>
      <w:bookmarkStart w:id="275" w:name="_Toc184310306"/>
      <w:bookmarkEnd w:id="275"/>
      <w:bookmarkStart w:id="276" w:name="_Toc184308082"/>
      <w:bookmarkEnd w:id="276"/>
      <w:bookmarkStart w:id="277" w:name="_Toc184312131"/>
      <w:bookmarkEnd w:id="277"/>
      <w:bookmarkStart w:id="278" w:name="_Toc184314420"/>
      <w:bookmarkEnd w:id="278"/>
      <w:bookmarkStart w:id="279" w:name="_Toc184310285"/>
      <w:bookmarkEnd w:id="279"/>
      <w:bookmarkStart w:id="280" w:name="_Toc184312104"/>
      <w:bookmarkEnd w:id="280"/>
      <w:bookmarkStart w:id="281" w:name="_Toc184310301"/>
      <w:bookmarkEnd w:id="281"/>
      <w:bookmarkStart w:id="282" w:name="_Toc184314456"/>
      <w:bookmarkEnd w:id="282"/>
      <w:bookmarkStart w:id="283" w:name="_Toc184312099"/>
      <w:bookmarkEnd w:id="283"/>
      <w:bookmarkStart w:id="284" w:name="_Toc184313279"/>
      <w:bookmarkEnd w:id="284"/>
      <w:bookmarkStart w:id="285" w:name="_Toc184308084"/>
      <w:bookmarkEnd w:id="285"/>
      <w:bookmarkStart w:id="286" w:name="_Toc184313272"/>
      <w:bookmarkEnd w:id="286"/>
      <w:bookmarkStart w:id="287" w:name="_Toc184314417"/>
      <w:bookmarkEnd w:id="287"/>
      <w:bookmarkStart w:id="288" w:name="_Toc184312136"/>
      <w:bookmarkEnd w:id="288"/>
      <w:bookmarkStart w:id="289" w:name="_Toc184310309"/>
      <w:bookmarkEnd w:id="289"/>
      <w:bookmarkStart w:id="290" w:name="_Toc184308108"/>
      <w:bookmarkEnd w:id="290"/>
      <w:bookmarkStart w:id="291" w:name="_Toc184313291"/>
      <w:bookmarkEnd w:id="291"/>
      <w:bookmarkStart w:id="292" w:name="_Toc184308069"/>
      <w:bookmarkEnd w:id="292"/>
      <w:bookmarkStart w:id="293" w:name="_Toc184313310"/>
      <w:bookmarkEnd w:id="293"/>
      <w:bookmarkStart w:id="294" w:name="_Toc184314439"/>
      <w:bookmarkEnd w:id="294"/>
      <w:bookmarkStart w:id="295" w:name="_Toc184314445"/>
      <w:bookmarkEnd w:id="295"/>
      <w:bookmarkStart w:id="296" w:name="_Toc184308070"/>
      <w:bookmarkEnd w:id="296"/>
      <w:bookmarkStart w:id="297" w:name="_Toc184310328"/>
      <w:bookmarkEnd w:id="297"/>
      <w:bookmarkStart w:id="298" w:name="_Toc184310323"/>
      <w:bookmarkEnd w:id="298"/>
      <w:bookmarkStart w:id="299" w:name="_Toc184308045"/>
      <w:bookmarkEnd w:id="299"/>
      <w:bookmarkStart w:id="300" w:name="_Toc184308072"/>
      <w:bookmarkEnd w:id="300"/>
      <w:bookmarkStart w:id="301" w:name="_Toc184310302"/>
      <w:bookmarkEnd w:id="301"/>
      <w:bookmarkStart w:id="302" w:name="_Toc184308051"/>
      <w:bookmarkEnd w:id="302"/>
      <w:bookmarkStart w:id="303" w:name="_Toc184314441"/>
      <w:bookmarkEnd w:id="303"/>
      <w:bookmarkStart w:id="304" w:name="_Toc184313301"/>
      <w:bookmarkEnd w:id="304"/>
      <w:bookmarkStart w:id="305" w:name="_Toc184312108"/>
      <w:bookmarkEnd w:id="305"/>
      <w:bookmarkStart w:id="306" w:name="_Toc184314474"/>
      <w:bookmarkEnd w:id="306"/>
      <w:bookmarkStart w:id="307" w:name="_Toc184310303"/>
      <w:bookmarkEnd w:id="307"/>
      <w:bookmarkStart w:id="308" w:name="_Toc184308106"/>
      <w:bookmarkEnd w:id="308"/>
      <w:bookmarkStart w:id="309" w:name="_Toc184312138"/>
      <w:bookmarkEnd w:id="309"/>
      <w:bookmarkStart w:id="310" w:name="_Toc184310284"/>
      <w:bookmarkEnd w:id="310"/>
      <w:bookmarkStart w:id="311" w:name="_Toc184310307"/>
      <w:bookmarkEnd w:id="311"/>
      <w:bookmarkStart w:id="312" w:name="_Toc184312072"/>
      <w:bookmarkEnd w:id="312"/>
      <w:bookmarkStart w:id="313" w:name="_Toc184308087"/>
      <w:bookmarkEnd w:id="313"/>
      <w:bookmarkStart w:id="314" w:name="_Toc184312139"/>
      <w:bookmarkEnd w:id="314"/>
      <w:bookmarkStart w:id="315" w:name="_Toc184313293"/>
      <w:bookmarkEnd w:id="315"/>
      <w:bookmarkStart w:id="316" w:name="_Toc184308107"/>
      <w:bookmarkEnd w:id="316"/>
      <w:bookmarkStart w:id="317" w:name="_Toc184308077"/>
      <w:bookmarkEnd w:id="317"/>
      <w:bookmarkStart w:id="318" w:name="_Toc184308043"/>
      <w:bookmarkEnd w:id="318"/>
      <w:bookmarkStart w:id="319" w:name="_Toc184310327"/>
      <w:bookmarkEnd w:id="319"/>
      <w:bookmarkStart w:id="320" w:name="_Toc184314465"/>
      <w:bookmarkEnd w:id="320"/>
      <w:bookmarkStart w:id="321" w:name="_Toc184314419"/>
      <w:bookmarkEnd w:id="321"/>
      <w:bookmarkStart w:id="322" w:name="_Toc184314461"/>
      <w:bookmarkEnd w:id="322"/>
      <w:bookmarkStart w:id="323" w:name="_Toc184314436"/>
      <w:bookmarkEnd w:id="323"/>
      <w:bookmarkStart w:id="324" w:name="_Toc184310319"/>
      <w:bookmarkEnd w:id="324"/>
      <w:bookmarkStart w:id="325" w:name="_Toc184313242"/>
      <w:bookmarkEnd w:id="325"/>
      <w:bookmarkStart w:id="326" w:name="_Toc184308060"/>
      <w:bookmarkEnd w:id="326"/>
      <w:bookmarkStart w:id="327" w:name="_Toc184312093"/>
      <w:bookmarkEnd w:id="327"/>
      <w:bookmarkStart w:id="328" w:name="_Toc184308071"/>
      <w:bookmarkEnd w:id="328"/>
      <w:bookmarkStart w:id="329" w:name="_Toc184310311"/>
      <w:bookmarkEnd w:id="329"/>
      <w:bookmarkStart w:id="330" w:name="_Toc184314425"/>
      <w:bookmarkEnd w:id="330"/>
      <w:bookmarkStart w:id="331" w:name="_Toc184314460"/>
      <w:bookmarkEnd w:id="331"/>
      <w:bookmarkStart w:id="332" w:name="_Toc184310342"/>
      <w:bookmarkEnd w:id="332"/>
      <w:bookmarkStart w:id="333" w:name="_Toc184314444"/>
      <w:bookmarkEnd w:id="333"/>
      <w:bookmarkStart w:id="334" w:name="_Toc184314462"/>
      <w:bookmarkEnd w:id="334"/>
      <w:bookmarkStart w:id="335" w:name="_Toc184313302"/>
      <w:bookmarkEnd w:id="335"/>
      <w:bookmarkStart w:id="336" w:name="_Toc184313282"/>
      <w:bookmarkEnd w:id="336"/>
      <w:bookmarkStart w:id="337" w:name="_Toc184312071"/>
      <w:bookmarkEnd w:id="337"/>
      <w:bookmarkStart w:id="338" w:name="_Toc184310344"/>
      <w:bookmarkEnd w:id="338"/>
      <w:bookmarkStart w:id="339" w:name="_Toc184314480"/>
      <w:bookmarkEnd w:id="339"/>
      <w:bookmarkStart w:id="340" w:name="_Toc184312101"/>
      <w:bookmarkEnd w:id="340"/>
      <w:bookmarkStart w:id="341" w:name="_Toc184313295"/>
      <w:bookmarkEnd w:id="341"/>
      <w:bookmarkStart w:id="342" w:name="_Toc184314426"/>
      <w:bookmarkEnd w:id="342"/>
      <w:bookmarkStart w:id="343" w:name="_Toc184313283"/>
      <w:bookmarkEnd w:id="343"/>
      <w:bookmarkStart w:id="344" w:name="_Toc184308066"/>
      <w:bookmarkEnd w:id="344"/>
      <w:bookmarkStart w:id="345" w:name="_Toc184313286"/>
      <w:bookmarkEnd w:id="345"/>
      <w:bookmarkStart w:id="346" w:name="_Toc184313294"/>
      <w:bookmarkEnd w:id="346"/>
      <w:bookmarkStart w:id="347" w:name="_Toc184314450"/>
      <w:bookmarkEnd w:id="347"/>
      <w:bookmarkStart w:id="348" w:name="_Toc184313262"/>
      <w:bookmarkEnd w:id="348"/>
      <w:bookmarkStart w:id="349" w:name="_Toc184312082"/>
      <w:bookmarkEnd w:id="349"/>
      <w:bookmarkStart w:id="350" w:name="_Toc184308076"/>
      <w:bookmarkEnd w:id="350"/>
      <w:bookmarkStart w:id="351" w:name="_Toc184310297"/>
      <w:bookmarkEnd w:id="351"/>
      <w:bookmarkStart w:id="352" w:name="_Toc184313252"/>
      <w:bookmarkEnd w:id="352"/>
      <w:bookmarkStart w:id="353" w:name="_Toc184310326"/>
      <w:bookmarkEnd w:id="353"/>
      <w:bookmarkStart w:id="354" w:name="_Toc184308067"/>
      <w:bookmarkEnd w:id="354"/>
      <w:bookmarkStart w:id="355" w:name="_Toc184308049"/>
      <w:bookmarkEnd w:id="355"/>
      <w:bookmarkStart w:id="356" w:name="_Toc184313288"/>
      <w:bookmarkEnd w:id="356"/>
      <w:bookmarkStart w:id="357" w:name="_Toc184313280"/>
      <w:bookmarkEnd w:id="357"/>
      <w:bookmarkStart w:id="358" w:name="_Toc184314466"/>
      <w:bookmarkEnd w:id="358"/>
      <w:bookmarkStart w:id="359" w:name="_Toc184308039"/>
      <w:bookmarkEnd w:id="359"/>
      <w:bookmarkStart w:id="360" w:name="_Toc184310288"/>
      <w:bookmarkEnd w:id="360"/>
      <w:bookmarkStart w:id="361" w:name="_Toc184312133"/>
      <w:bookmarkEnd w:id="361"/>
      <w:bookmarkStart w:id="362" w:name="_Toc184312118"/>
      <w:bookmarkEnd w:id="362"/>
      <w:bookmarkStart w:id="363" w:name="_Toc184314470"/>
      <w:bookmarkEnd w:id="363"/>
      <w:bookmarkStart w:id="364" w:name="_Toc184308079"/>
      <w:bookmarkEnd w:id="364"/>
      <w:bookmarkStart w:id="365" w:name="_Toc184308083"/>
      <w:bookmarkEnd w:id="365"/>
      <w:bookmarkStart w:id="366" w:name="_Toc184313268"/>
      <w:bookmarkEnd w:id="366"/>
      <w:bookmarkStart w:id="367" w:name="_Toc184313299"/>
      <w:bookmarkEnd w:id="367"/>
      <w:bookmarkStart w:id="368" w:name="_Toc184314428"/>
      <w:bookmarkEnd w:id="368"/>
      <w:bookmarkStart w:id="369" w:name="_Toc184310334"/>
      <w:bookmarkEnd w:id="369"/>
      <w:bookmarkStart w:id="370" w:name="_Toc184312128"/>
      <w:bookmarkEnd w:id="370"/>
      <w:bookmarkStart w:id="371" w:name="_Toc184312121"/>
      <w:bookmarkEnd w:id="371"/>
      <w:bookmarkStart w:id="372" w:name="_Toc184310299"/>
      <w:bookmarkEnd w:id="372"/>
      <w:bookmarkStart w:id="373" w:name="_Toc184308053"/>
      <w:bookmarkEnd w:id="373"/>
      <w:bookmarkStart w:id="374" w:name="_Toc184308040"/>
      <w:bookmarkEnd w:id="374"/>
      <w:bookmarkStart w:id="375" w:name="_Toc184314459"/>
      <w:bookmarkEnd w:id="375"/>
      <w:bookmarkStart w:id="376" w:name="_Toc184312137"/>
      <w:bookmarkEnd w:id="376"/>
      <w:bookmarkStart w:id="377" w:name="_Toc184310281"/>
      <w:bookmarkEnd w:id="377"/>
      <w:bookmarkStart w:id="378" w:name="_Toc184312086"/>
      <w:bookmarkEnd w:id="378"/>
      <w:bookmarkStart w:id="379" w:name="_Toc184312122"/>
      <w:bookmarkEnd w:id="379"/>
      <w:bookmarkStart w:id="380" w:name="_Toc184308101"/>
      <w:bookmarkEnd w:id="380"/>
      <w:bookmarkStart w:id="381" w:name="_Toc184308056"/>
      <w:bookmarkEnd w:id="381"/>
      <w:bookmarkStart w:id="382" w:name="_Toc184312112"/>
      <w:bookmarkEnd w:id="382"/>
      <w:bookmarkStart w:id="383" w:name="_Toc184314478"/>
      <w:bookmarkEnd w:id="383"/>
      <w:bookmarkStart w:id="384" w:name="_Toc184314430"/>
      <w:bookmarkEnd w:id="384"/>
      <w:bookmarkStart w:id="385" w:name="_Toc184314413"/>
      <w:bookmarkEnd w:id="385"/>
      <w:bookmarkStart w:id="386" w:name="_Toc184312120"/>
      <w:bookmarkEnd w:id="386"/>
      <w:bookmarkStart w:id="387" w:name="_Toc184314457"/>
      <w:bookmarkEnd w:id="387"/>
      <w:bookmarkStart w:id="388" w:name="_Toc184310275"/>
      <w:bookmarkEnd w:id="388"/>
      <w:bookmarkStart w:id="389" w:name="_Toc184313253"/>
      <w:bookmarkEnd w:id="389"/>
      <w:bookmarkStart w:id="390" w:name="_Toc184308068"/>
      <w:bookmarkEnd w:id="390"/>
      <w:bookmarkStart w:id="391" w:name="_Toc184312105"/>
      <w:bookmarkEnd w:id="391"/>
      <w:bookmarkStart w:id="392" w:name="_Toc184310317"/>
      <w:bookmarkEnd w:id="392"/>
      <w:bookmarkStart w:id="393" w:name="_Toc184312085"/>
      <w:bookmarkEnd w:id="393"/>
      <w:bookmarkStart w:id="394" w:name="_Toc184313275"/>
      <w:bookmarkEnd w:id="394"/>
      <w:bookmarkStart w:id="395" w:name="_Toc184312094"/>
      <w:bookmarkEnd w:id="395"/>
      <w:bookmarkStart w:id="396" w:name="_Toc184308081"/>
      <w:bookmarkEnd w:id="396"/>
      <w:bookmarkStart w:id="397" w:name="_Toc184310336"/>
      <w:bookmarkEnd w:id="397"/>
      <w:bookmarkStart w:id="398" w:name="_Toc184308054"/>
      <w:bookmarkEnd w:id="398"/>
      <w:bookmarkStart w:id="399" w:name="_Toc184312116"/>
      <w:bookmarkEnd w:id="399"/>
      <w:bookmarkStart w:id="400" w:name="_Toc184312114"/>
      <w:bookmarkEnd w:id="400"/>
      <w:bookmarkStart w:id="401" w:name="_Toc184313277"/>
      <w:bookmarkEnd w:id="401"/>
      <w:bookmarkStart w:id="402" w:name="_Toc184308099"/>
      <w:bookmarkEnd w:id="402"/>
      <w:bookmarkStart w:id="403" w:name="_Toc184314429"/>
      <w:bookmarkEnd w:id="403"/>
      <w:bookmarkStart w:id="404" w:name="_Toc184312135"/>
      <w:bookmarkEnd w:id="404"/>
      <w:bookmarkStart w:id="405" w:name="_Toc184308091"/>
      <w:bookmarkEnd w:id="405"/>
      <w:bookmarkStart w:id="406" w:name="_Toc184314458"/>
      <w:bookmarkEnd w:id="406"/>
      <w:bookmarkStart w:id="407" w:name="_Toc184313263"/>
      <w:bookmarkEnd w:id="407"/>
      <w:bookmarkStart w:id="408" w:name="_Toc184313292"/>
      <w:bookmarkEnd w:id="408"/>
      <w:bookmarkStart w:id="409" w:name="_Toc184313306"/>
      <w:bookmarkEnd w:id="409"/>
      <w:bookmarkStart w:id="410" w:name="_Toc184313287"/>
      <w:bookmarkEnd w:id="410"/>
      <w:bookmarkStart w:id="411" w:name="_Toc184314455"/>
      <w:bookmarkEnd w:id="411"/>
      <w:bookmarkStart w:id="412" w:name="_Toc184310292"/>
      <w:bookmarkEnd w:id="412"/>
      <w:bookmarkStart w:id="413" w:name="_Toc184310298"/>
      <w:bookmarkEnd w:id="413"/>
      <w:bookmarkStart w:id="414" w:name="_Toc184314476"/>
      <w:bookmarkEnd w:id="414"/>
      <w:bookmarkStart w:id="415" w:name="_Toc184310296"/>
      <w:bookmarkEnd w:id="415"/>
      <w:bookmarkStart w:id="416" w:name="_Toc184310322"/>
      <w:bookmarkEnd w:id="416"/>
      <w:bookmarkStart w:id="417" w:name="_Toc184312070"/>
      <w:bookmarkEnd w:id="417"/>
      <w:bookmarkStart w:id="418" w:name="_Toc184314449"/>
      <w:bookmarkEnd w:id="418"/>
      <w:bookmarkStart w:id="419" w:name="_Toc184308090"/>
      <w:bookmarkEnd w:id="419"/>
      <w:bookmarkStart w:id="420" w:name="_Toc184310273"/>
      <w:bookmarkEnd w:id="420"/>
      <w:bookmarkStart w:id="421" w:name="_Toc184314431"/>
      <w:bookmarkEnd w:id="421"/>
      <w:bookmarkStart w:id="422" w:name="_Toc184313239"/>
      <w:bookmarkEnd w:id="422"/>
      <w:bookmarkStart w:id="423" w:name="_Toc184310289"/>
      <w:bookmarkEnd w:id="423"/>
      <w:bookmarkStart w:id="424" w:name="_Toc184312100"/>
      <w:bookmarkEnd w:id="424"/>
      <w:bookmarkStart w:id="425" w:name="_Toc184313240"/>
      <w:bookmarkEnd w:id="425"/>
      <w:bookmarkStart w:id="426" w:name="_Toc184313256"/>
      <w:bookmarkEnd w:id="426"/>
      <w:bookmarkStart w:id="427" w:name="_Toc184310293"/>
      <w:bookmarkEnd w:id="427"/>
      <w:bookmarkStart w:id="428" w:name="_Toc184312083"/>
      <w:bookmarkEnd w:id="428"/>
      <w:bookmarkStart w:id="429" w:name="_Toc184312087"/>
      <w:bookmarkEnd w:id="429"/>
      <w:bookmarkStart w:id="430" w:name="_Toc184312088"/>
      <w:bookmarkEnd w:id="430"/>
      <w:bookmarkStart w:id="431" w:name="_Toc184313254"/>
      <w:bookmarkEnd w:id="431"/>
      <w:bookmarkStart w:id="432" w:name="_Toc184308057"/>
      <w:bookmarkEnd w:id="432"/>
      <w:bookmarkStart w:id="433" w:name="_Toc184314453"/>
      <w:bookmarkEnd w:id="433"/>
      <w:bookmarkStart w:id="434" w:name="_Toc184313251"/>
      <w:bookmarkEnd w:id="434"/>
      <w:bookmarkStart w:id="435" w:name="_Toc184313266"/>
      <w:bookmarkEnd w:id="435"/>
      <w:bookmarkStart w:id="436" w:name="_Toc184314446"/>
      <w:bookmarkEnd w:id="436"/>
      <w:bookmarkStart w:id="437" w:name="_Toc184312081"/>
      <w:bookmarkEnd w:id="437"/>
      <w:bookmarkStart w:id="438" w:name="_Toc184314475"/>
      <w:bookmarkEnd w:id="438"/>
      <w:bookmarkStart w:id="439" w:name="_Toc184314410"/>
      <w:bookmarkEnd w:id="439"/>
      <w:bookmarkStart w:id="440" w:name="_Toc184308058"/>
      <w:bookmarkEnd w:id="440"/>
      <w:bookmarkStart w:id="441" w:name="_Toc184314438"/>
      <w:bookmarkEnd w:id="441"/>
      <w:bookmarkStart w:id="442" w:name="_Toc184314473"/>
      <w:bookmarkEnd w:id="442"/>
      <w:bookmarkStart w:id="443" w:name="_Toc184310315"/>
      <w:bookmarkEnd w:id="443"/>
      <w:bookmarkStart w:id="444" w:name="_Toc184312106"/>
      <w:bookmarkEnd w:id="444"/>
      <w:bookmarkStart w:id="445" w:name="_Toc184310341"/>
      <w:bookmarkEnd w:id="445"/>
      <w:bookmarkStart w:id="446" w:name="_Toc184312115"/>
      <w:bookmarkEnd w:id="446"/>
      <w:bookmarkStart w:id="447" w:name="_Toc184308061"/>
      <w:bookmarkEnd w:id="447"/>
      <w:bookmarkStart w:id="448" w:name="_Toc184313281"/>
      <w:bookmarkEnd w:id="448"/>
      <w:bookmarkStart w:id="449" w:name="_Toc184312117"/>
      <w:bookmarkEnd w:id="449"/>
      <w:bookmarkStart w:id="450" w:name="_Toc184313259"/>
      <w:bookmarkEnd w:id="450"/>
      <w:bookmarkStart w:id="451" w:name="_Toc184312098"/>
      <w:bookmarkEnd w:id="451"/>
      <w:bookmarkStart w:id="452" w:name="_Toc184313307"/>
      <w:bookmarkEnd w:id="452"/>
      <w:bookmarkStart w:id="453" w:name="_Toc184312095"/>
      <w:bookmarkEnd w:id="453"/>
      <w:bookmarkStart w:id="454" w:name="_Toc184308047"/>
      <w:bookmarkEnd w:id="454"/>
      <w:r>
        <w:rPr>
          <w:rFonts w:hint="eastAsia" w:ascii="宋体" w:hAnsi="宋体" w:cs="宋体"/>
          <w:b/>
          <w:sz w:val="36"/>
          <w:szCs w:val="36"/>
        </w:rPr>
        <w:t>评标办法</w:t>
      </w:r>
    </w:p>
    <w:p>
      <w:pPr>
        <w:snapToGrid w:val="0"/>
        <w:spacing w:line="360" w:lineRule="auto"/>
        <w:jc w:val="center"/>
        <w:rPr>
          <w:rFonts w:ascii="宋体" w:hAnsi="宋体" w:cs="仿宋"/>
          <w:b/>
          <w:sz w:val="32"/>
          <w:szCs w:val="20"/>
        </w:rPr>
      </w:pPr>
      <w:r>
        <w:rPr>
          <w:rFonts w:hint="eastAsia" w:ascii="宋体" w:hAnsi="宋体" w:cs="仿宋"/>
          <w:b/>
          <w:sz w:val="32"/>
          <w:szCs w:val="20"/>
        </w:rPr>
        <w:t>评标办法前附表</w:t>
      </w:r>
    </w:p>
    <w:p>
      <w:pPr>
        <w:pStyle w:val="2"/>
        <w:ind w:firstLine="562"/>
        <w:jc w:val="center"/>
      </w:pPr>
      <w:r>
        <w:rPr>
          <w:rFonts w:hint="eastAsia" w:hAnsi="宋体" w:cs="宋体"/>
          <w:b/>
          <w:bCs/>
        </w:rPr>
        <w:t>标项一</w:t>
      </w:r>
      <w:r>
        <w:rPr>
          <w:rFonts w:hAnsi="宋体" w:cs="宋体"/>
          <w:b/>
          <w:bCs/>
        </w:rPr>
        <w:t>、</w:t>
      </w:r>
      <w:r>
        <w:rPr>
          <w:rFonts w:hint="eastAsia" w:hAnsi="宋体" w:cs="宋体"/>
          <w:b/>
          <w:bCs/>
        </w:rPr>
        <w:t>二</w:t>
      </w:r>
      <w:r>
        <w:rPr>
          <w:rFonts w:hAnsi="宋体" w:cs="宋体"/>
          <w:b/>
          <w:bCs/>
        </w:rPr>
        <w:t>、</w:t>
      </w:r>
      <w:r>
        <w:rPr>
          <w:rFonts w:hint="eastAsia" w:hAnsi="宋体" w:cs="宋体"/>
          <w:b/>
          <w:bCs/>
        </w:rPr>
        <w:t>三</w:t>
      </w:r>
      <w:r>
        <w:rPr>
          <w:rFonts w:hAnsi="宋体" w:cs="宋体"/>
          <w:b/>
          <w:bCs/>
        </w:rPr>
        <w:t>、</w:t>
      </w:r>
      <w:r>
        <w:rPr>
          <w:rFonts w:hint="eastAsia" w:hAnsi="宋体" w:cs="宋体"/>
          <w:b/>
          <w:bCs/>
        </w:rPr>
        <w:t>四</w:t>
      </w:r>
    </w:p>
    <w:tbl>
      <w:tblPr>
        <w:tblStyle w:val="18"/>
        <w:tblW w:w="9214"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09"/>
        <w:gridCol w:w="1559"/>
        <w:gridCol w:w="69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8" w:hRule="atLeast"/>
          <w:tblHeader/>
        </w:trPr>
        <w:tc>
          <w:tcPr>
            <w:tcW w:w="709" w:type="dxa"/>
            <w:shd w:val="clear" w:color="auto" w:fill="FFFFFF"/>
            <w:vAlign w:val="center"/>
          </w:tcPr>
          <w:p>
            <w:pPr>
              <w:widowControl/>
              <w:spacing w:line="360" w:lineRule="auto"/>
              <w:jc w:val="center"/>
              <w:rPr>
                <w:rFonts w:ascii="宋体" w:hAnsi="宋体" w:cs="宋体"/>
                <w:sz w:val="22"/>
                <w:szCs w:val="22"/>
              </w:rPr>
            </w:pPr>
            <w:r>
              <w:rPr>
                <w:rFonts w:hint="eastAsia" w:ascii="宋体" w:hAnsi="宋体" w:cs="宋体"/>
                <w:sz w:val="22"/>
                <w:szCs w:val="22"/>
              </w:rPr>
              <w:t>序号</w:t>
            </w:r>
          </w:p>
        </w:tc>
        <w:tc>
          <w:tcPr>
            <w:tcW w:w="1559" w:type="dxa"/>
            <w:shd w:val="clear" w:color="auto" w:fill="FFFFFF"/>
            <w:vAlign w:val="center"/>
          </w:tcPr>
          <w:p>
            <w:pPr>
              <w:widowControl/>
              <w:spacing w:line="360" w:lineRule="auto"/>
              <w:jc w:val="center"/>
              <w:rPr>
                <w:rFonts w:ascii="宋体" w:hAnsi="宋体" w:cs="宋体"/>
                <w:sz w:val="22"/>
                <w:szCs w:val="22"/>
              </w:rPr>
            </w:pPr>
            <w:r>
              <w:rPr>
                <w:rFonts w:hint="eastAsia" w:ascii="宋体" w:hAnsi="宋体" w:cs="宋体"/>
                <w:sz w:val="22"/>
                <w:szCs w:val="22"/>
              </w:rPr>
              <w:t>因素分值</w:t>
            </w:r>
          </w:p>
        </w:tc>
        <w:tc>
          <w:tcPr>
            <w:tcW w:w="6946" w:type="dxa"/>
            <w:shd w:val="clear" w:color="auto" w:fill="FFFFFF"/>
            <w:vAlign w:val="center"/>
          </w:tcPr>
          <w:p>
            <w:pPr>
              <w:widowControl/>
              <w:spacing w:line="360" w:lineRule="auto"/>
              <w:jc w:val="center"/>
              <w:rPr>
                <w:rFonts w:ascii="宋体" w:hAnsi="宋体" w:cs="宋体"/>
                <w:sz w:val="22"/>
                <w:szCs w:val="22"/>
              </w:rPr>
            </w:pPr>
            <w:r>
              <w:rPr>
                <w:rFonts w:hint="eastAsia" w:ascii="宋体" w:hAnsi="宋体" w:cs="宋体"/>
                <w:sz w:val="22"/>
                <w:szCs w:val="22"/>
              </w:rPr>
              <w:t>细项评审因素划分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9214" w:type="dxa"/>
            <w:gridSpan w:val="3"/>
            <w:vAlign w:val="center"/>
          </w:tcPr>
          <w:p>
            <w:pPr>
              <w:widowControl/>
              <w:jc w:val="center"/>
              <w:textAlignment w:val="center"/>
              <w:rPr>
                <w:rFonts w:ascii="宋体" w:hAnsi="宋体" w:cs="宋体"/>
                <w:kern w:val="0"/>
                <w:sz w:val="20"/>
                <w:szCs w:val="20"/>
                <w:lang w:bidi="ar"/>
              </w:rPr>
            </w:pPr>
            <w:r>
              <w:rPr>
                <w:rFonts w:hint="eastAsia" w:ascii="宋体" w:hAnsi="宋体" w:cs="宋体"/>
                <w:sz w:val="22"/>
                <w:szCs w:val="22"/>
              </w:rPr>
              <w:t>技术商务90分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709" w:type="dxa"/>
            <w:vAlign w:val="center"/>
          </w:tcPr>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1</w:t>
            </w:r>
          </w:p>
        </w:tc>
        <w:tc>
          <w:tcPr>
            <w:tcW w:w="1559" w:type="dxa"/>
            <w:vAlign w:val="center"/>
          </w:tcPr>
          <w:p>
            <w:pPr>
              <w:pStyle w:val="16"/>
              <w:spacing w:after="0" w:line="360" w:lineRule="auto"/>
              <w:ind w:firstLine="0" w:firstLineChars="0"/>
              <w:rPr>
                <w:rFonts w:ascii="宋体" w:hAnsi="宋体" w:cs="宋体"/>
                <w:color w:val="auto"/>
                <w:sz w:val="22"/>
                <w:szCs w:val="22"/>
              </w:rPr>
            </w:pPr>
            <w:r>
              <w:rPr>
                <w:rFonts w:hint="eastAsia"/>
                <w:color w:val="auto"/>
                <w:szCs w:val="21"/>
              </w:rPr>
              <w:t>服务响应情况（</w:t>
            </w:r>
            <w:r>
              <w:rPr>
                <w:color w:val="auto"/>
                <w:szCs w:val="21"/>
                <w:lang w:val="en-US"/>
              </w:rPr>
              <w:t>8</w:t>
            </w:r>
            <w:r>
              <w:rPr>
                <w:rFonts w:hint="eastAsia"/>
                <w:color w:val="auto"/>
                <w:szCs w:val="21"/>
              </w:rPr>
              <w:t>分）</w:t>
            </w:r>
          </w:p>
        </w:tc>
        <w:tc>
          <w:tcPr>
            <w:tcW w:w="6946" w:type="dxa"/>
            <w:vAlign w:val="center"/>
          </w:tcPr>
          <w:p>
            <w:pPr>
              <w:pStyle w:val="16"/>
              <w:spacing w:after="0" w:line="360" w:lineRule="auto"/>
              <w:ind w:firstLine="0" w:firstLineChars="0"/>
              <w:rPr>
                <w:rFonts w:ascii="宋体" w:hAnsi="宋体" w:cs="宋体"/>
                <w:color w:val="auto"/>
                <w:sz w:val="22"/>
                <w:szCs w:val="22"/>
              </w:rPr>
            </w:pPr>
            <w:r>
              <w:rPr>
                <w:rFonts w:hint="eastAsia"/>
                <w:color w:val="auto"/>
                <w:szCs w:val="21"/>
              </w:rPr>
              <w:t>根据投标人对采购文件第三章“采购内容和技术（服务）要求”响应情况进行评议，完全满足“采购内容和技术（服务）要求”的得</w:t>
            </w:r>
            <w:r>
              <w:rPr>
                <w:color w:val="auto"/>
                <w:szCs w:val="21"/>
                <w:lang w:val="en-US"/>
              </w:rPr>
              <w:t>8</w:t>
            </w:r>
            <w:r>
              <w:rPr>
                <w:rFonts w:hint="eastAsia"/>
                <w:color w:val="auto"/>
                <w:szCs w:val="21"/>
              </w:rPr>
              <w:t>分，每负偏离1条扣1分。负偏离达</w:t>
            </w:r>
            <w:r>
              <w:rPr>
                <w:color w:val="auto"/>
                <w:szCs w:val="21"/>
              </w:rPr>
              <w:t>8</w:t>
            </w:r>
            <w:r>
              <w:rPr>
                <w:rFonts w:hint="eastAsia"/>
                <w:color w:val="auto"/>
                <w:szCs w:val="21"/>
              </w:rPr>
              <w:t>条及以上，作无效投标处理。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709" w:type="dxa"/>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2</w:t>
            </w:r>
          </w:p>
        </w:tc>
        <w:tc>
          <w:tcPr>
            <w:tcW w:w="1559" w:type="dxa"/>
            <w:vAlign w:val="center"/>
          </w:tcPr>
          <w:p>
            <w:pPr>
              <w:pStyle w:val="16"/>
              <w:spacing w:after="0" w:line="360" w:lineRule="auto"/>
              <w:ind w:firstLine="0" w:firstLineChars="0"/>
              <w:rPr>
                <w:color w:val="auto"/>
                <w:szCs w:val="21"/>
              </w:rPr>
            </w:pPr>
            <w:r>
              <w:rPr>
                <w:rFonts w:hint="eastAsia" w:ascii="宋体" w:hAnsi="宋体"/>
                <w:color w:val="auto"/>
              </w:rPr>
              <w:t>施工总平面布置（</w:t>
            </w:r>
            <w:r>
              <w:rPr>
                <w:rFonts w:ascii="宋体" w:hAnsi="宋体"/>
                <w:color w:val="auto"/>
              </w:rPr>
              <w:t>5</w:t>
            </w:r>
            <w:r>
              <w:rPr>
                <w:rFonts w:hint="eastAsia" w:ascii="宋体" w:hAnsi="宋体"/>
                <w:color w:val="auto"/>
              </w:rPr>
              <w:t>分）</w:t>
            </w:r>
          </w:p>
        </w:tc>
        <w:tc>
          <w:tcPr>
            <w:tcW w:w="6946" w:type="dxa"/>
            <w:vAlign w:val="center"/>
          </w:tcPr>
          <w:p>
            <w:pPr>
              <w:rPr>
                <w:rFonts w:ascii="宋体" w:hAnsi="宋体"/>
                <w:bCs/>
                <w:color w:val="auto"/>
                <w:sz w:val="24"/>
              </w:rPr>
            </w:pPr>
            <w:r>
              <w:rPr>
                <w:rFonts w:ascii="宋体" w:hAnsi="宋体"/>
                <w:bCs/>
                <w:color w:val="auto"/>
                <w:sz w:val="24"/>
              </w:rPr>
              <w:fldChar w:fldCharType="begin"/>
            </w:r>
            <w:r>
              <w:rPr>
                <w:rFonts w:ascii="宋体" w:hAnsi="宋体"/>
                <w:bCs/>
                <w:color w:val="auto"/>
                <w:sz w:val="24"/>
              </w:rPr>
              <w:instrText xml:space="preserve"> </w:instrText>
            </w:r>
            <w:r>
              <w:rPr>
                <w:rFonts w:hint="eastAsia" w:ascii="宋体" w:hAnsi="宋体"/>
                <w:bCs/>
                <w:color w:val="auto"/>
                <w:sz w:val="24"/>
              </w:rPr>
              <w:instrText xml:space="preserve">= 1 \* GB3</w:instrText>
            </w:r>
            <w:r>
              <w:rPr>
                <w:rFonts w:ascii="宋体" w:hAnsi="宋体"/>
                <w:bCs/>
                <w:color w:val="auto"/>
                <w:sz w:val="24"/>
              </w:rPr>
              <w:instrText xml:space="preserve"> </w:instrText>
            </w:r>
            <w:r>
              <w:rPr>
                <w:rFonts w:ascii="宋体" w:hAnsi="宋体"/>
                <w:bCs/>
                <w:color w:val="auto"/>
                <w:sz w:val="24"/>
              </w:rPr>
              <w:fldChar w:fldCharType="separate"/>
            </w:r>
            <w:r>
              <w:rPr>
                <w:rFonts w:hint="eastAsia" w:ascii="宋体" w:hAnsi="宋体"/>
                <w:bCs/>
                <w:color w:val="auto"/>
                <w:sz w:val="24"/>
              </w:rPr>
              <w:t>①</w:t>
            </w:r>
            <w:r>
              <w:rPr>
                <w:rFonts w:ascii="宋体" w:hAnsi="宋体"/>
                <w:bCs/>
                <w:color w:val="auto"/>
                <w:sz w:val="24"/>
              </w:rPr>
              <w:fldChar w:fldCharType="end"/>
            </w:r>
            <w:r>
              <w:rPr>
                <w:rFonts w:hint="eastAsia" w:ascii="宋体" w:hAnsi="宋体"/>
                <w:bCs/>
                <w:color w:val="auto"/>
                <w:sz w:val="24"/>
              </w:rPr>
              <w:t>总体布置规范合理，满足技术、质量、安全、文明施工需要，得</w:t>
            </w:r>
            <w:r>
              <w:rPr>
                <w:rFonts w:ascii="宋体" w:hAnsi="宋体"/>
                <w:bCs/>
                <w:color w:val="auto"/>
                <w:sz w:val="24"/>
              </w:rPr>
              <w:t>5</w:t>
            </w:r>
            <w:r>
              <w:rPr>
                <w:rFonts w:hint="eastAsia" w:ascii="宋体" w:hAnsi="宋体"/>
                <w:bCs/>
                <w:color w:val="auto"/>
                <w:sz w:val="24"/>
              </w:rPr>
              <w:t>分；</w:t>
            </w:r>
          </w:p>
          <w:p>
            <w:pPr>
              <w:pStyle w:val="16"/>
              <w:spacing w:after="0" w:line="360" w:lineRule="auto"/>
              <w:ind w:firstLine="0" w:firstLineChars="0"/>
              <w:rPr>
                <w:rFonts w:ascii="宋体" w:hAnsi="宋体"/>
                <w:bCs/>
                <w:color w:val="auto"/>
              </w:rPr>
            </w:pPr>
            <w:r>
              <w:rPr>
                <w:rFonts w:ascii="宋体" w:hAnsi="宋体"/>
                <w:bCs/>
                <w:color w:val="auto"/>
                <w:lang w:val="en-US"/>
              </w:rPr>
              <w:fldChar w:fldCharType="begin"/>
            </w:r>
            <w:r>
              <w:rPr>
                <w:rFonts w:ascii="宋体" w:hAnsi="宋体"/>
                <w:bCs/>
                <w:color w:val="auto"/>
                <w:lang w:val="en-US"/>
              </w:rPr>
              <w:instrText xml:space="preserve"> </w:instrText>
            </w:r>
            <w:r>
              <w:rPr>
                <w:rFonts w:hint="eastAsia" w:ascii="宋体" w:hAnsi="宋体"/>
                <w:bCs/>
                <w:color w:val="auto"/>
                <w:lang w:val="en-US"/>
              </w:rPr>
              <w:instrText xml:space="preserve">= 2 \* GB3</w:instrText>
            </w:r>
            <w:r>
              <w:rPr>
                <w:rFonts w:ascii="宋体" w:hAnsi="宋体"/>
                <w:bCs/>
                <w:color w:val="auto"/>
                <w:lang w:val="en-US"/>
              </w:rPr>
              <w:instrText xml:space="preserve"> </w:instrText>
            </w:r>
            <w:r>
              <w:rPr>
                <w:rFonts w:ascii="宋体" w:hAnsi="宋体"/>
                <w:bCs/>
                <w:color w:val="auto"/>
                <w:lang w:val="en-US"/>
              </w:rPr>
              <w:fldChar w:fldCharType="separate"/>
            </w:r>
            <w:r>
              <w:rPr>
                <w:rFonts w:hint="eastAsia" w:ascii="宋体" w:hAnsi="宋体"/>
                <w:bCs/>
                <w:color w:val="auto"/>
                <w:lang w:val="en-US"/>
              </w:rPr>
              <w:t>②</w:t>
            </w:r>
            <w:r>
              <w:rPr>
                <w:rFonts w:ascii="宋体" w:hAnsi="宋体"/>
                <w:bCs/>
                <w:color w:val="auto"/>
                <w:lang w:val="en-US"/>
              </w:rPr>
              <w:fldChar w:fldCharType="end"/>
            </w:r>
            <w:r>
              <w:rPr>
                <w:rFonts w:hint="eastAsia" w:ascii="宋体" w:hAnsi="宋体"/>
                <w:bCs/>
                <w:color w:val="auto"/>
              </w:rPr>
              <w:t>总体布置不</w:t>
            </w:r>
            <w:r>
              <w:rPr>
                <w:rFonts w:ascii="宋体" w:hAnsi="宋体"/>
                <w:bCs/>
                <w:color w:val="auto"/>
              </w:rPr>
              <w:t>够</w:t>
            </w:r>
            <w:r>
              <w:rPr>
                <w:rFonts w:hint="eastAsia" w:ascii="宋体" w:hAnsi="宋体"/>
                <w:bCs/>
                <w:color w:val="auto"/>
              </w:rPr>
              <w:t>规范合理，但能满足技术、质量、安全、文明施工需要，得</w:t>
            </w:r>
            <w:r>
              <w:rPr>
                <w:rFonts w:ascii="宋体" w:hAnsi="宋体"/>
                <w:bCs/>
                <w:color w:val="auto"/>
              </w:rPr>
              <w:t>3</w:t>
            </w:r>
            <w:r>
              <w:rPr>
                <w:rFonts w:hint="eastAsia" w:ascii="宋体" w:hAnsi="宋体"/>
                <w:bCs/>
                <w:color w:val="auto"/>
              </w:rPr>
              <w:t>分；</w:t>
            </w:r>
          </w:p>
          <w:p>
            <w:pPr>
              <w:pStyle w:val="16"/>
              <w:spacing w:after="0" w:line="360" w:lineRule="auto"/>
              <w:ind w:firstLine="0" w:firstLineChars="0"/>
              <w:rPr>
                <w:rFonts w:ascii="宋体" w:hAnsi="宋体"/>
                <w:bCs/>
                <w:color w:val="auto"/>
              </w:rPr>
            </w:pPr>
            <w:r>
              <w:rPr>
                <w:rFonts w:ascii="宋体" w:hAnsi="宋体"/>
                <w:bCs/>
                <w:color w:val="auto"/>
              </w:rPr>
              <w:fldChar w:fldCharType="begin"/>
            </w:r>
            <w:r>
              <w:rPr>
                <w:rFonts w:ascii="宋体" w:hAnsi="宋体"/>
                <w:bCs/>
                <w:color w:val="auto"/>
              </w:rPr>
              <w:instrText xml:space="preserve"> </w:instrText>
            </w:r>
            <w:r>
              <w:rPr>
                <w:rFonts w:hint="eastAsia" w:ascii="宋体" w:hAnsi="宋体"/>
                <w:bCs/>
                <w:color w:val="auto"/>
              </w:rPr>
              <w:instrText xml:space="preserve">= 3 \* GB3</w:instrText>
            </w:r>
            <w:r>
              <w:rPr>
                <w:rFonts w:ascii="宋体" w:hAnsi="宋体"/>
                <w:bCs/>
                <w:color w:val="auto"/>
              </w:rPr>
              <w:instrText xml:space="preserve"> </w:instrText>
            </w:r>
            <w:r>
              <w:rPr>
                <w:rFonts w:ascii="宋体" w:hAnsi="宋体"/>
                <w:bCs/>
                <w:color w:val="auto"/>
              </w:rPr>
              <w:fldChar w:fldCharType="separate"/>
            </w:r>
            <w:r>
              <w:rPr>
                <w:rFonts w:hint="eastAsia" w:ascii="宋体" w:hAnsi="宋体"/>
                <w:bCs/>
                <w:color w:val="auto"/>
              </w:rPr>
              <w:t>③</w:t>
            </w:r>
            <w:r>
              <w:rPr>
                <w:rFonts w:ascii="宋体" w:hAnsi="宋体"/>
                <w:bCs/>
                <w:color w:val="auto"/>
              </w:rPr>
              <w:fldChar w:fldCharType="end"/>
            </w:r>
            <w:r>
              <w:rPr>
                <w:rFonts w:hint="eastAsia" w:ascii="宋体" w:hAnsi="宋体"/>
                <w:bCs/>
                <w:color w:val="auto"/>
              </w:rPr>
              <w:t>总体布置错乱，技术、质量、安全、文明施工不符合采购需要，得</w:t>
            </w:r>
            <w:r>
              <w:rPr>
                <w:rFonts w:ascii="宋体" w:hAnsi="宋体"/>
                <w:bCs/>
                <w:color w:val="auto"/>
              </w:rPr>
              <w:t>1</w:t>
            </w:r>
            <w:r>
              <w:rPr>
                <w:rFonts w:hint="eastAsia" w:ascii="宋体" w:hAnsi="宋体"/>
                <w:bCs/>
                <w:color w:val="auto"/>
              </w:rPr>
              <w:t>分，或</w:t>
            </w:r>
            <w:r>
              <w:rPr>
                <w:rFonts w:ascii="宋体" w:hAnsi="宋体"/>
                <w:bCs/>
                <w:color w:val="auto"/>
              </w:rPr>
              <w:t>未提供不得分</w:t>
            </w:r>
            <w:r>
              <w:rPr>
                <w:rFonts w:hint="eastAsia" w:ascii="宋体" w:hAnsi="宋体"/>
                <w:bCs/>
                <w:color w:val="auto"/>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709" w:type="dxa"/>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3</w:t>
            </w:r>
          </w:p>
        </w:tc>
        <w:tc>
          <w:tcPr>
            <w:tcW w:w="1559" w:type="dxa"/>
            <w:vAlign w:val="center"/>
          </w:tcPr>
          <w:p>
            <w:pPr>
              <w:pStyle w:val="16"/>
              <w:spacing w:after="0" w:line="360" w:lineRule="auto"/>
              <w:ind w:firstLine="0" w:firstLineChars="0"/>
              <w:rPr>
                <w:rFonts w:ascii="宋体" w:hAnsi="宋体"/>
              </w:rPr>
            </w:pPr>
            <w:r>
              <w:rPr>
                <w:rFonts w:hint="eastAsia" w:ascii="宋体" w:hAnsi="宋体"/>
              </w:rPr>
              <w:t>实施技术方案（</w:t>
            </w:r>
            <w:r>
              <w:rPr>
                <w:rFonts w:ascii="宋体" w:hAnsi="宋体"/>
              </w:rPr>
              <w:t>25</w:t>
            </w:r>
            <w:r>
              <w:rPr>
                <w:rFonts w:hint="eastAsia" w:ascii="宋体" w:hAnsi="宋体"/>
              </w:rPr>
              <w:t>分）</w:t>
            </w:r>
          </w:p>
        </w:tc>
        <w:tc>
          <w:tcPr>
            <w:tcW w:w="6946" w:type="dxa"/>
            <w:vAlign w:val="center"/>
          </w:tcPr>
          <w:p>
            <w:pPr>
              <w:pStyle w:val="16"/>
              <w:spacing w:after="0" w:line="360" w:lineRule="auto"/>
              <w:ind w:firstLine="0" w:firstLineChars="0"/>
              <w:rPr>
                <w:b/>
                <w:szCs w:val="21"/>
              </w:rPr>
            </w:pPr>
            <w:r>
              <w:rPr>
                <w:rFonts w:hint="eastAsia"/>
                <w:b/>
                <w:szCs w:val="21"/>
              </w:rPr>
              <w:t>1）管道非开挖修复 局部树脂固化（5分）：</w:t>
            </w:r>
          </w:p>
          <w:p>
            <w:pPr>
              <w:pStyle w:val="16"/>
              <w:spacing w:after="0" w:line="360" w:lineRule="auto"/>
              <w:ind w:firstLine="0" w:firstLineChars="0"/>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szCs w:val="21"/>
              </w:rPr>
              <w:t>施工工艺先进、科学，有序，</w:t>
            </w:r>
            <w:r>
              <w:rPr>
                <w:rFonts w:hint="eastAsia"/>
                <w:szCs w:val="21"/>
              </w:rPr>
              <w:t>使用范围广泛，工艺原理表达清晰规范，</w:t>
            </w:r>
            <w:r>
              <w:rPr>
                <w:szCs w:val="21"/>
              </w:rPr>
              <w:t>达到质量达标，</w:t>
            </w:r>
            <w:r>
              <w:rPr>
                <w:rFonts w:hint="eastAsia"/>
                <w:szCs w:val="21"/>
              </w:rPr>
              <w:t>前后</w:t>
            </w:r>
            <w:r>
              <w:rPr>
                <w:szCs w:val="21"/>
              </w:rPr>
              <w:t>效果图对比显著，施工注意点明确周密，各工序验收方法可靠全面，成果真实可追溯等</w:t>
            </w:r>
            <w:r>
              <w:rPr>
                <w:rFonts w:hint="eastAsia"/>
                <w:szCs w:val="21"/>
              </w:rPr>
              <w:t>，</w:t>
            </w:r>
            <w:r>
              <w:rPr>
                <w:szCs w:val="21"/>
              </w:rPr>
              <w:t>得</w:t>
            </w:r>
            <w:r>
              <w:rPr>
                <w:rFonts w:hint="eastAsia"/>
                <w:szCs w:val="21"/>
              </w:rPr>
              <w:t>5分；</w:t>
            </w:r>
          </w:p>
          <w:p>
            <w:pPr>
              <w:pStyle w:val="16"/>
              <w:spacing w:after="0" w:line="360" w:lineRule="auto"/>
              <w:ind w:firstLine="0" w:firstLineChars="0"/>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szCs w:val="21"/>
              </w:rPr>
              <w:t>施工工艺工序、</w:t>
            </w:r>
            <w:r>
              <w:rPr>
                <w:rFonts w:hint="eastAsia"/>
                <w:szCs w:val="21"/>
              </w:rPr>
              <w:t>使用范围、工艺原理、</w:t>
            </w:r>
            <w:r>
              <w:rPr>
                <w:szCs w:val="21"/>
              </w:rPr>
              <w:t>质量标准、</w:t>
            </w:r>
            <w:r>
              <w:rPr>
                <w:rFonts w:hint="eastAsia"/>
                <w:szCs w:val="21"/>
              </w:rPr>
              <w:t>前后</w:t>
            </w:r>
            <w:r>
              <w:rPr>
                <w:szCs w:val="21"/>
              </w:rPr>
              <w:t>效果图对比、施工注意点、各工序验收方法、成果等陈述简陋</w:t>
            </w:r>
            <w:r>
              <w:rPr>
                <w:rFonts w:hint="eastAsia"/>
                <w:szCs w:val="21"/>
              </w:rPr>
              <w:t>，</w:t>
            </w:r>
            <w:r>
              <w:rPr>
                <w:szCs w:val="21"/>
              </w:rPr>
              <w:t>得3</w:t>
            </w:r>
            <w:r>
              <w:rPr>
                <w:rFonts w:hint="eastAsia"/>
                <w:szCs w:val="21"/>
              </w:rPr>
              <w:t>分；</w:t>
            </w:r>
          </w:p>
          <w:p>
            <w:pPr>
              <w:pStyle w:val="16"/>
              <w:spacing w:after="0" w:line="360" w:lineRule="auto"/>
              <w:ind w:firstLine="0" w:firstLineChars="0"/>
              <w:rPr>
                <w:szCs w:val="21"/>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szCs w:val="21"/>
              </w:rPr>
              <w:t>施工工艺、</w:t>
            </w:r>
            <w:r>
              <w:rPr>
                <w:rFonts w:hint="eastAsia"/>
                <w:szCs w:val="21"/>
              </w:rPr>
              <w:t>使用范围、工艺原理、</w:t>
            </w:r>
            <w:r>
              <w:rPr>
                <w:szCs w:val="21"/>
              </w:rPr>
              <w:t>达到质量要求、</w:t>
            </w:r>
            <w:r>
              <w:rPr>
                <w:rFonts w:hint="eastAsia"/>
                <w:szCs w:val="21"/>
              </w:rPr>
              <w:t>前后</w:t>
            </w:r>
            <w:r>
              <w:rPr>
                <w:szCs w:val="21"/>
              </w:rPr>
              <w:t>效果图对比、施工注意点、各工序验收方法、成果等有阐但不符合采购文件要求</w:t>
            </w:r>
            <w:r>
              <w:rPr>
                <w:rFonts w:hint="eastAsia"/>
                <w:szCs w:val="21"/>
              </w:rPr>
              <w:t>，</w:t>
            </w:r>
            <w:r>
              <w:rPr>
                <w:szCs w:val="21"/>
              </w:rPr>
              <w:t>得1</w:t>
            </w:r>
            <w:r>
              <w:rPr>
                <w:rFonts w:hint="eastAsia"/>
                <w:szCs w:val="21"/>
              </w:rPr>
              <w:t>分，或未提供不得分；</w:t>
            </w:r>
          </w:p>
          <w:p>
            <w:pPr>
              <w:pStyle w:val="16"/>
              <w:spacing w:after="0" w:line="360" w:lineRule="auto"/>
              <w:ind w:firstLine="0" w:firstLineChars="0"/>
              <w:rPr>
                <w:b/>
                <w:szCs w:val="21"/>
              </w:rPr>
            </w:pPr>
            <w:r>
              <w:rPr>
                <w:rFonts w:hint="eastAsia"/>
                <w:b/>
                <w:szCs w:val="21"/>
              </w:rPr>
              <w:t>2）封堵管口（气囊封堵、潜水砖封）（5分）：</w:t>
            </w:r>
            <w:r>
              <w:rPr>
                <w:b/>
                <w:szCs w:val="21"/>
              </w:rPr>
              <w:t xml:space="preserve"> </w:t>
            </w:r>
          </w:p>
          <w:p>
            <w:pPr>
              <w:pStyle w:val="16"/>
              <w:spacing w:after="0" w:line="360" w:lineRule="auto"/>
              <w:ind w:firstLine="0" w:firstLineChars="0"/>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szCs w:val="21"/>
              </w:rPr>
              <w:t>施工工艺前卫有序，</w:t>
            </w:r>
            <w:r>
              <w:rPr>
                <w:rFonts w:hint="eastAsia"/>
                <w:szCs w:val="21"/>
              </w:rPr>
              <w:t>封堵措施平面</w:t>
            </w:r>
            <w:r>
              <w:rPr>
                <w:szCs w:val="21"/>
              </w:rPr>
              <w:t>示意图清晰规范，封堵方法详尽可靠，技术措施</w:t>
            </w:r>
            <w:r>
              <w:rPr>
                <w:rFonts w:hint="eastAsia"/>
                <w:szCs w:val="21"/>
              </w:rPr>
              <w:t>先进并采用新型施工技术，施工特点明确，施工条件充分合理，施工资源配置齐全，</w:t>
            </w:r>
            <w:r>
              <w:rPr>
                <w:szCs w:val="21"/>
              </w:rPr>
              <w:t>成果真实可追溯等</w:t>
            </w:r>
            <w:r>
              <w:rPr>
                <w:rFonts w:hint="eastAsia"/>
                <w:szCs w:val="21"/>
              </w:rPr>
              <w:t>，</w:t>
            </w:r>
            <w:r>
              <w:rPr>
                <w:szCs w:val="21"/>
              </w:rPr>
              <w:t>得</w:t>
            </w:r>
            <w:r>
              <w:rPr>
                <w:rFonts w:hint="eastAsia"/>
                <w:szCs w:val="21"/>
              </w:rPr>
              <w:t>5分；</w:t>
            </w:r>
            <w:r>
              <w:rPr>
                <w:szCs w:val="21"/>
              </w:rPr>
              <w:t xml:space="preserve"> </w:t>
            </w:r>
          </w:p>
          <w:p>
            <w:pPr>
              <w:pStyle w:val="16"/>
              <w:spacing w:after="0" w:line="360" w:lineRule="auto"/>
              <w:ind w:firstLine="0" w:firstLineChars="0"/>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szCs w:val="21"/>
              </w:rPr>
              <w:t>施工工艺工序、</w:t>
            </w:r>
            <w:r>
              <w:rPr>
                <w:rFonts w:hint="eastAsia"/>
                <w:szCs w:val="21"/>
              </w:rPr>
              <w:t>封堵措施平面</w:t>
            </w:r>
            <w:r>
              <w:rPr>
                <w:szCs w:val="21"/>
              </w:rPr>
              <w:t>示意图、封堵方法、技术措施、</w:t>
            </w:r>
            <w:r>
              <w:rPr>
                <w:rFonts w:hint="eastAsia"/>
                <w:szCs w:val="21"/>
              </w:rPr>
              <w:t>施工特点、施工条件、施工资源配置、</w:t>
            </w:r>
            <w:r>
              <w:rPr>
                <w:szCs w:val="21"/>
              </w:rPr>
              <w:t>成果等陈述简陋</w:t>
            </w:r>
            <w:r>
              <w:rPr>
                <w:rFonts w:hint="eastAsia"/>
                <w:szCs w:val="21"/>
              </w:rPr>
              <w:t>，</w:t>
            </w:r>
            <w:r>
              <w:rPr>
                <w:szCs w:val="21"/>
              </w:rPr>
              <w:t>得3</w:t>
            </w:r>
            <w:r>
              <w:rPr>
                <w:rFonts w:hint="eastAsia"/>
                <w:szCs w:val="21"/>
              </w:rPr>
              <w:t>分；</w:t>
            </w:r>
          </w:p>
          <w:p>
            <w:pPr>
              <w:pStyle w:val="16"/>
              <w:spacing w:after="0" w:line="360" w:lineRule="auto"/>
              <w:ind w:firstLine="0" w:firstLineChars="0"/>
              <w:rPr>
                <w:szCs w:val="21"/>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szCs w:val="21"/>
              </w:rPr>
              <w:t>施工工艺工序、</w:t>
            </w:r>
            <w:r>
              <w:rPr>
                <w:rFonts w:hint="eastAsia"/>
                <w:szCs w:val="21"/>
              </w:rPr>
              <w:t>封堵措施平面</w:t>
            </w:r>
            <w:r>
              <w:rPr>
                <w:szCs w:val="21"/>
              </w:rPr>
              <w:t>示意图、封堵方法、技术措施、</w:t>
            </w:r>
            <w:r>
              <w:rPr>
                <w:rFonts w:hint="eastAsia"/>
                <w:szCs w:val="21"/>
              </w:rPr>
              <w:t>施工特点、施工条件、施工资源配置、</w:t>
            </w:r>
            <w:r>
              <w:rPr>
                <w:szCs w:val="21"/>
              </w:rPr>
              <w:t>成果等有阐述但不符合采购文件要求</w:t>
            </w:r>
            <w:r>
              <w:rPr>
                <w:rFonts w:hint="eastAsia"/>
                <w:szCs w:val="21"/>
              </w:rPr>
              <w:t>，</w:t>
            </w:r>
            <w:r>
              <w:rPr>
                <w:szCs w:val="21"/>
              </w:rPr>
              <w:t>得1</w:t>
            </w:r>
            <w:r>
              <w:rPr>
                <w:rFonts w:hint="eastAsia"/>
                <w:szCs w:val="21"/>
              </w:rPr>
              <w:t>分，或未提供不得分；</w:t>
            </w:r>
          </w:p>
          <w:p>
            <w:pPr>
              <w:pStyle w:val="16"/>
              <w:spacing w:after="0" w:line="360" w:lineRule="auto"/>
              <w:ind w:firstLine="0" w:firstLineChars="0"/>
              <w:rPr>
                <w:b/>
                <w:szCs w:val="21"/>
              </w:rPr>
            </w:pPr>
            <w:r>
              <w:rPr>
                <w:rFonts w:hint="eastAsia"/>
                <w:b/>
                <w:szCs w:val="21"/>
              </w:rPr>
              <w:t>3）拆除封堵（拆除气囊封堵、潜水拆砖封）（5分）：</w:t>
            </w:r>
            <w:r>
              <w:rPr>
                <w:b/>
                <w:szCs w:val="21"/>
              </w:rPr>
              <w:t xml:space="preserve"> </w:t>
            </w:r>
          </w:p>
          <w:p>
            <w:pPr>
              <w:pStyle w:val="16"/>
              <w:spacing w:after="0" w:line="360" w:lineRule="auto"/>
              <w:ind w:firstLine="0" w:firstLineChars="0"/>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szCs w:val="21"/>
              </w:rPr>
              <w:t>施工工艺前卫有序，</w:t>
            </w:r>
            <w:r>
              <w:rPr>
                <w:rFonts w:hint="eastAsia"/>
                <w:szCs w:val="21"/>
              </w:rPr>
              <w:t>拆除封堵措施平面</w:t>
            </w:r>
            <w:r>
              <w:rPr>
                <w:szCs w:val="21"/>
              </w:rPr>
              <w:t>示意图清晰规范，拆除方法可靠、全面等</w:t>
            </w:r>
            <w:r>
              <w:rPr>
                <w:rFonts w:hint="eastAsia"/>
                <w:szCs w:val="21"/>
              </w:rPr>
              <w:t>，</w:t>
            </w:r>
            <w:r>
              <w:rPr>
                <w:szCs w:val="21"/>
              </w:rPr>
              <w:t>得</w:t>
            </w:r>
            <w:r>
              <w:rPr>
                <w:rFonts w:hint="eastAsia"/>
                <w:szCs w:val="21"/>
              </w:rPr>
              <w:t>5分；</w:t>
            </w:r>
          </w:p>
          <w:p>
            <w:pPr>
              <w:pStyle w:val="16"/>
              <w:spacing w:after="0" w:line="360" w:lineRule="auto"/>
              <w:ind w:firstLine="0" w:firstLineChars="0"/>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szCs w:val="21"/>
              </w:rPr>
              <w:t>施工工艺工序、</w:t>
            </w:r>
            <w:r>
              <w:rPr>
                <w:rFonts w:hint="eastAsia"/>
                <w:szCs w:val="21"/>
              </w:rPr>
              <w:t>拆除封堵措施平面</w:t>
            </w:r>
            <w:r>
              <w:rPr>
                <w:szCs w:val="21"/>
              </w:rPr>
              <w:t>示意图、拆除方法等陈述简陋</w:t>
            </w:r>
            <w:r>
              <w:rPr>
                <w:rFonts w:hint="eastAsia"/>
                <w:szCs w:val="21"/>
              </w:rPr>
              <w:t>，</w:t>
            </w:r>
            <w:r>
              <w:rPr>
                <w:szCs w:val="21"/>
              </w:rPr>
              <w:t>得3</w:t>
            </w:r>
            <w:r>
              <w:rPr>
                <w:rFonts w:hint="eastAsia"/>
                <w:szCs w:val="21"/>
              </w:rPr>
              <w:t>分；</w:t>
            </w:r>
          </w:p>
          <w:p>
            <w:pPr>
              <w:pStyle w:val="16"/>
              <w:spacing w:after="0" w:line="360" w:lineRule="auto"/>
              <w:ind w:firstLine="0" w:firstLineChars="0"/>
              <w:rPr>
                <w:szCs w:val="21"/>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szCs w:val="21"/>
              </w:rPr>
              <w:t>施工工艺工序、</w:t>
            </w:r>
            <w:r>
              <w:rPr>
                <w:rFonts w:hint="eastAsia"/>
                <w:szCs w:val="21"/>
              </w:rPr>
              <w:t>拆除封堵措施平面</w:t>
            </w:r>
            <w:r>
              <w:rPr>
                <w:szCs w:val="21"/>
              </w:rPr>
              <w:t>示意图、拆除方法落后等有阐述但不符合采购文件要求</w:t>
            </w:r>
            <w:r>
              <w:rPr>
                <w:rFonts w:hint="eastAsia"/>
                <w:szCs w:val="21"/>
              </w:rPr>
              <w:t>，</w:t>
            </w:r>
            <w:r>
              <w:rPr>
                <w:szCs w:val="21"/>
              </w:rPr>
              <w:t>得1</w:t>
            </w:r>
            <w:r>
              <w:rPr>
                <w:rFonts w:hint="eastAsia"/>
                <w:szCs w:val="21"/>
              </w:rPr>
              <w:t>分，或未提供不得分；</w:t>
            </w:r>
          </w:p>
          <w:p>
            <w:pPr>
              <w:pStyle w:val="16"/>
              <w:spacing w:after="0" w:line="360" w:lineRule="auto"/>
              <w:ind w:firstLine="0" w:firstLineChars="0"/>
              <w:rPr>
                <w:b/>
                <w:szCs w:val="21"/>
              </w:rPr>
            </w:pPr>
            <w:r>
              <w:rPr>
                <w:rFonts w:hint="eastAsia"/>
                <w:b/>
                <w:szCs w:val="21"/>
              </w:rPr>
              <w:t>4）临时排水（5分）：</w:t>
            </w:r>
          </w:p>
          <w:p>
            <w:pPr>
              <w:pStyle w:val="16"/>
              <w:spacing w:after="0" w:line="360" w:lineRule="auto"/>
              <w:ind w:firstLine="0" w:firstLineChars="0"/>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szCs w:val="21"/>
              </w:rPr>
              <w:t>依据、设计、许可充分合理符合实际要求，施工有序，施工注意点到位等</w:t>
            </w:r>
            <w:r>
              <w:rPr>
                <w:rFonts w:hint="eastAsia"/>
                <w:szCs w:val="21"/>
              </w:rPr>
              <w:t>，</w:t>
            </w:r>
            <w:r>
              <w:rPr>
                <w:szCs w:val="21"/>
              </w:rPr>
              <w:t>得</w:t>
            </w:r>
            <w:r>
              <w:rPr>
                <w:rFonts w:hint="eastAsia"/>
                <w:szCs w:val="21"/>
              </w:rPr>
              <w:t>5分</w:t>
            </w:r>
          </w:p>
          <w:p>
            <w:pPr>
              <w:pStyle w:val="16"/>
              <w:spacing w:after="0" w:line="360" w:lineRule="auto"/>
              <w:ind w:firstLine="0" w:firstLineChars="0"/>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szCs w:val="21"/>
              </w:rPr>
              <w:t>依据、设计、许可、施工工序、施工注意点等提供不全</w:t>
            </w:r>
            <w:r>
              <w:rPr>
                <w:rFonts w:hint="eastAsia"/>
                <w:szCs w:val="21"/>
              </w:rPr>
              <w:t>，</w:t>
            </w:r>
            <w:r>
              <w:rPr>
                <w:szCs w:val="21"/>
              </w:rPr>
              <w:t>得</w:t>
            </w:r>
            <w:r>
              <w:rPr>
                <w:rFonts w:hint="eastAsia"/>
                <w:szCs w:val="21"/>
              </w:rPr>
              <w:t>3分</w:t>
            </w:r>
          </w:p>
          <w:p>
            <w:pPr>
              <w:pStyle w:val="16"/>
              <w:spacing w:after="0" w:line="360" w:lineRule="auto"/>
              <w:ind w:firstLine="0" w:firstLineChars="0"/>
              <w:rPr>
                <w:szCs w:val="21"/>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szCs w:val="21"/>
              </w:rPr>
              <w:t>依据、设计落后、无许可、施工工序杂乱、施工注意点等有阐述但不符合采购文件要求</w:t>
            </w:r>
            <w:r>
              <w:rPr>
                <w:rFonts w:hint="eastAsia"/>
                <w:szCs w:val="21"/>
              </w:rPr>
              <w:t>，</w:t>
            </w:r>
            <w:r>
              <w:rPr>
                <w:szCs w:val="21"/>
              </w:rPr>
              <w:t>得1</w:t>
            </w:r>
            <w:r>
              <w:rPr>
                <w:rFonts w:hint="eastAsia"/>
                <w:szCs w:val="21"/>
              </w:rPr>
              <w:t>分，或未提供不得分；</w:t>
            </w:r>
          </w:p>
          <w:p>
            <w:pPr>
              <w:pStyle w:val="16"/>
              <w:spacing w:after="0" w:line="360" w:lineRule="auto"/>
              <w:ind w:firstLine="0" w:firstLineChars="0"/>
              <w:rPr>
                <w:b/>
                <w:szCs w:val="21"/>
              </w:rPr>
            </w:pPr>
            <w:r>
              <w:rPr>
                <w:rFonts w:hint="eastAsia"/>
                <w:b/>
                <w:szCs w:val="21"/>
              </w:rPr>
              <w:t>5）非开挖短管置换修复（5分）：</w:t>
            </w:r>
            <w:r>
              <w:rPr>
                <w:b/>
                <w:szCs w:val="21"/>
              </w:rPr>
              <w:t xml:space="preserve"> </w:t>
            </w:r>
          </w:p>
          <w:p>
            <w:pPr>
              <w:pStyle w:val="16"/>
              <w:spacing w:after="0" w:line="360" w:lineRule="auto"/>
              <w:ind w:firstLine="0" w:firstLineChars="0"/>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流程</w:t>
            </w:r>
            <w:r>
              <w:rPr>
                <w:szCs w:val="21"/>
              </w:rPr>
              <w:t>图结构体系详尽图文表达清晰规范可见，</w:t>
            </w:r>
            <w:r>
              <w:rPr>
                <w:rFonts w:hint="eastAsia"/>
                <w:szCs w:val="21"/>
              </w:rPr>
              <w:t>总体</w:t>
            </w:r>
            <w:r>
              <w:rPr>
                <w:szCs w:val="21"/>
              </w:rPr>
              <w:t>思路前卫符合实际，</w:t>
            </w:r>
            <w:r>
              <w:rPr>
                <w:rFonts w:hint="eastAsia"/>
                <w:szCs w:val="21"/>
              </w:rPr>
              <w:t>修复工程量设计达标，工法规范，工艺精湛，</w:t>
            </w:r>
            <w:r>
              <w:rPr>
                <w:szCs w:val="21"/>
              </w:rPr>
              <w:t>技术措施</w:t>
            </w:r>
            <w:r>
              <w:rPr>
                <w:rFonts w:hint="eastAsia"/>
                <w:szCs w:val="21"/>
              </w:rPr>
              <w:t>先进并采用新型施工技术等，</w:t>
            </w:r>
            <w:r>
              <w:rPr>
                <w:szCs w:val="21"/>
              </w:rPr>
              <w:t>得</w:t>
            </w:r>
            <w:r>
              <w:rPr>
                <w:rFonts w:hint="eastAsia"/>
                <w:szCs w:val="21"/>
              </w:rPr>
              <w:t>5分；</w:t>
            </w:r>
          </w:p>
          <w:p>
            <w:pPr>
              <w:pStyle w:val="16"/>
              <w:spacing w:after="0" w:line="360" w:lineRule="auto"/>
              <w:ind w:firstLine="0" w:firstLineChars="0"/>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流程</w:t>
            </w:r>
            <w:r>
              <w:rPr>
                <w:szCs w:val="21"/>
              </w:rPr>
              <w:t>图结构体系、</w:t>
            </w:r>
            <w:r>
              <w:rPr>
                <w:rFonts w:hint="eastAsia"/>
                <w:szCs w:val="21"/>
              </w:rPr>
              <w:t>总体</w:t>
            </w:r>
            <w:r>
              <w:rPr>
                <w:szCs w:val="21"/>
              </w:rPr>
              <w:t>思路、</w:t>
            </w:r>
            <w:r>
              <w:rPr>
                <w:rFonts w:hint="eastAsia"/>
                <w:szCs w:val="21"/>
              </w:rPr>
              <w:t>修复工程量设计、工法、工艺、</w:t>
            </w:r>
            <w:r>
              <w:rPr>
                <w:szCs w:val="21"/>
              </w:rPr>
              <w:t>技术措施等提供不全</w:t>
            </w:r>
            <w:r>
              <w:rPr>
                <w:rFonts w:hint="eastAsia"/>
                <w:szCs w:val="21"/>
              </w:rPr>
              <w:t>，</w:t>
            </w:r>
            <w:r>
              <w:rPr>
                <w:szCs w:val="21"/>
              </w:rPr>
              <w:t>得3</w:t>
            </w:r>
            <w:r>
              <w:rPr>
                <w:rFonts w:hint="eastAsia"/>
                <w:szCs w:val="21"/>
              </w:rPr>
              <w:t>分；</w:t>
            </w:r>
          </w:p>
          <w:p>
            <w:pPr>
              <w:pStyle w:val="16"/>
              <w:spacing w:after="0" w:line="360" w:lineRule="auto"/>
              <w:ind w:firstLine="0" w:firstLineChars="0"/>
              <w:rPr>
                <w:szCs w:val="21"/>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rFonts w:hint="eastAsia"/>
                <w:szCs w:val="21"/>
              </w:rPr>
              <w:t>流程</w:t>
            </w:r>
            <w:r>
              <w:rPr>
                <w:szCs w:val="21"/>
              </w:rPr>
              <w:t>图结构体系、</w:t>
            </w:r>
            <w:r>
              <w:rPr>
                <w:rFonts w:hint="eastAsia"/>
                <w:szCs w:val="21"/>
              </w:rPr>
              <w:t>总体</w:t>
            </w:r>
            <w:r>
              <w:rPr>
                <w:szCs w:val="21"/>
              </w:rPr>
              <w:t>思路、</w:t>
            </w:r>
            <w:r>
              <w:rPr>
                <w:rFonts w:hint="eastAsia"/>
                <w:szCs w:val="21"/>
              </w:rPr>
              <w:t>修复工程量设计、工法、工艺、</w:t>
            </w:r>
            <w:r>
              <w:rPr>
                <w:szCs w:val="21"/>
              </w:rPr>
              <w:t>技术措施等有阐述但不符合采购文件要求</w:t>
            </w:r>
            <w:r>
              <w:rPr>
                <w:rFonts w:hint="eastAsia"/>
                <w:szCs w:val="21"/>
              </w:rPr>
              <w:t>，</w:t>
            </w:r>
            <w:r>
              <w:rPr>
                <w:szCs w:val="21"/>
              </w:rPr>
              <w:t>得1</w:t>
            </w:r>
            <w:r>
              <w:rPr>
                <w:rFonts w:hint="eastAsia"/>
                <w:szCs w:val="21"/>
              </w:rPr>
              <w:t>分，或未提供不得分。</w:t>
            </w:r>
          </w:p>
          <w:p>
            <w:pPr>
              <w:pStyle w:val="16"/>
              <w:spacing w:after="0" w:line="360" w:lineRule="auto"/>
              <w:ind w:firstLine="0" w:firstLineChars="0"/>
              <w:rPr>
                <w:b/>
                <w:szCs w:val="21"/>
              </w:rPr>
            </w:pPr>
            <w:r>
              <w:rPr>
                <w:rFonts w:hint="eastAsia"/>
                <w:b/>
                <w:szCs w:val="21"/>
              </w:rPr>
              <w:t>注：</w:t>
            </w:r>
          </w:p>
          <w:p>
            <w:pPr>
              <w:pStyle w:val="16"/>
              <w:spacing w:after="0" w:line="360" w:lineRule="auto"/>
              <w:ind w:firstLine="0" w:firstLineChars="0"/>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以上要点要素投标</w:t>
            </w:r>
            <w:r>
              <w:rPr>
                <w:szCs w:val="21"/>
              </w:rPr>
              <w:t>人须根据</w:t>
            </w:r>
            <w:r>
              <w:rPr>
                <w:rFonts w:hint="eastAsia"/>
                <w:szCs w:val="21"/>
              </w:rPr>
              <w:t>投</w:t>
            </w:r>
            <w:r>
              <w:rPr>
                <w:szCs w:val="21"/>
              </w:rPr>
              <w:t>标项</w:t>
            </w:r>
            <w:r>
              <w:rPr>
                <w:rFonts w:hint="eastAsia"/>
                <w:szCs w:val="21"/>
              </w:rPr>
              <w:t>针对</w:t>
            </w:r>
            <w:r>
              <w:rPr>
                <w:szCs w:val="21"/>
              </w:rPr>
              <w:t>用户需求理解进行编制；</w:t>
            </w:r>
          </w:p>
          <w:p>
            <w:pPr>
              <w:pStyle w:val="16"/>
              <w:spacing w:after="0" w:line="360" w:lineRule="auto"/>
              <w:ind w:firstLine="0" w:firstLineChars="0"/>
              <w:rPr>
                <w:sz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szCs w:val="21"/>
              </w:rPr>
              <w:t>以上</w:t>
            </w:r>
            <w:r>
              <w:rPr>
                <w:rFonts w:hint="eastAsia"/>
                <w:szCs w:val="21"/>
              </w:rPr>
              <w:t>1）2）3）4）5）须提供</w:t>
            </w:r>
            <w:r>
              <w:rPr>
                <w:szCs w:val="21"/>
              </w:rPr>
              <w:t>相关</w:t>
            </w:r>
            <w:r>
              <w:rPr>
                <w:rFonts w:hint="eastAsia"/>
                <w:szCs w:val="21"/>
              </w:rPr>
              <w:t>支撑</w:t>
            </w:r>
            <w:r>
              <w:rPr>
                <w:szCs w:val="21"/>
              </w:rPr>
              <w:t>资料</w:t>
            </w:r>
            <w:r>
              <w:rPr>
                <w:rFonts w:hint="eastAsia"/>
                <w:szCs w:val="21"/>
              </w:rPr>
              <w:t>：近三年内（或历年）类似项目中图文资料可以作为佐证来进一步说明各要点要素，图片资料应清晰可见、同时具有项目实施地、时间等要素，文字资料应足够详细足够规范，且符合国家相关标准或地方相关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709" w:type="dxa"/>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4</w:t>
            </w:r>
          </w:p>
        </w:tc>
        <w:tc>
          <w:tcPr>
            <w:tcW w:w="1559" w:type="dxa"/>
            <w:vAlign w:val="center"/>
          </w:tcPr>
          <w:p>
            <w:pPr>
              <w:pStyle w:val="16"/>
              <w:spacing w:after="0" w:line="360" w:lineRule="auto"/>
              <w:ind w:firstLine="0" w:firstLineChars="0"/>
              <w:rPr>
                <w:rFonts w:ascii="宋体" w:hAnsi="宋体"/>
                <w:bCs/>
              </w:rPr>
            </w:pPr>
            <w:r>
              <w:rPr>
                <w:rFonts w:hint="eastAsia" w:ascii="宋体" w:hAnsi="宋体"/>
                <w:bCs/>
              </w:rPr>
              <w:t>文明施工、安全措施和垃圾外运处置方式（</w:t>
            </w:r>
            <w:r>
              <w:rPr>
                <w:rFonts w:ascii="宋体" w:hAnsi="宋体"/>
                <w:bCs/>
              </w:rPr>
              <w:t>7</w:t>
            </w:r>
            <w:r>
              <w:rPr>
                <w:rFonts w:hint="eastAsia" w:ascii="宋体" w:hAnsi="宋体"/>
                <w:bCs/>
              </w:rPr>
              <w:t>分）</w:t>
            </w:r>
          </w:p>
        </w:tc>
        <w:tc>
          <w:tcPr>
            <w:tcW w:w="6946" w:type="dxa"/>
            <w:vAlign w:val="center"/>
          </w:tcPr>
          <w:p>
            <w:pPr>
              <w:pStyle w:val="16"/>
              <w:spacing w:after="0" w:line="360" w:lineRule="auto"/>
              <w:ind w:firstLine="0" w:firstLineChars="0"/>
              <w:jc w:val="left"/>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安全、文明施工保证措施和垃圾外运处置方式齐全，有效可行得</w:t>
            </w:r>
            <w:r>
              <w:rPr>
                <w:szCs w:val="21"/>
              </w:rPr>
              <w:t>7</w:t>
            </w:r>
            <w:r>
              <w:rPr>
                <w:rFonts w:hint="eastAsia"/>
                <w:szCs w:val="21"/>
              </w:rPr>
              <w:t>分；</w:t>
            </w:r>
          </w:p>
          <w:p>
            <w:pPr>
              <w:pStyle w:val="16"/>
              <w:spacing w:after="0" w:line="360" w:lineRule="auto"/>
              <w:ind w:firstLine="0" w:firstLineChars="0"/>
              <w:jc w:val="left"/>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安全、文明施工保证措施和垃圾外运处置方式不够齐全、可行得</w:t>
            </w:r>
            <w:r>
              <w:rPr>
                <w:szCs w:val="21"/>
              </w:rPr>
              <w:t>4</w:t>
            </w:r>
            <w:r>
              <w:rPr>
                <w:rFonts w:hint="eastAsia"/>
                <w:szCs w:val="21"/>
              </w:rPr>
              <w:t>分；</w:t>
            </w:r>
          </w:p>
          <w:p>
            <w:pPr>
              <w:pStyle w:val="16"/>
              <w:spacing w:after="0" w:line="360" w:lineRule="auto"/>
              <w:ind w:firstLine="0" w:firstLineChars="0"/>
              <w:jc w:val="left"/>
              <w:rPr>
                <w:szCs w:val="21"/>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rFonts w:hint="eastAsia"/>
                <w:szCs w:val="21"/>
              </w:rPr>
              <w:t>安全、文明施工保证措施和垃圾外运处置方式不齐全，不可行得</w:t>
            </w:r>
            <w:r>
              <w:rPr>
                <w:szCs w:val="21"/>
              </w:rPr>
              <w:t>1</w:t>
            </w:r>
            <w:r>
              <w:rPr>
                <w:rFonts w:hint="eastAsia"/>
                <w:szCs w:val="21"/>
              </w:rPr>
              <w:t>分。</w:t>
            </w:r>
          </w:p>
          <w:p>
            <w:pPr>
              <w:pStyle w:val="16"/>
              <w:spacing w:after="0" w:line="360" w:lineRule="auto"/>
              <w:ind w:firstLine="0" w:firstLineChars="0"/>
              <w:jc w:val="left"/>
              <w:rPr>
                <w:szCs w:val="21"/>
                <w:lang w:val="en-US"/>
              </w:rPr>
            </w:pP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hint="eastAsia"/>
                <w:szCs w:val="21"/>
              </w:rPr>
              <w:t>④</w:t>
            </w:r>
            <w:r>
              <w:rPr>
                <w:szCs w:val="21"/>
              </w:rPr>
              <w:fldChar w:fldCharType="end"/>
            </w:r>
            <w:r>
              <w:rPr>
                <w:szCs w:val="21"/>
              </w:rPr>
              <w:t>未提供不得分。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709" w:type="dxa"/>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5</w:t>
            </w:r>
          </w:p>
        </w:tc>
        <w:tc>
          <w:tcPr>
            <w:tcW w:w="1559" w:type="dxa"/>
            <w:vAlign w:val="center"/>
          </w:tcPr>
          <w:p>
            <w:pPr>
              <w:pStyle w:val="16"/>
              <w:spacing w:after="0" w:line="360" w:lineRule="auto"/>
              <w:ind w:firstLine="0" w:firstLineChars="0"/>
              <w:rPr>
                <w:rFonts w:ascii="宋体" w:hAnsi="宋体"/>
                <w:bCs/>
              </w:rPr>
            </w:pPr>
            <w:r>
              <w:rPr>
                <w:rFonts w:hint="eastAsia" w:ascii="宋体" w:hAnsi="宋体" w:cs="Arial"/>
              </w:rPr>
              <w:t>质量标准及保证措施及承诺（5分）</w:t>
            </w:r>
          </w:p>
        </w:tc>
        <w:tc>
          <w:tcPr>
            <w:tcW w:w="6946" w:type="dxa"/>
            <w:vAlign w:val="center"/>
          </w:tcPr>
          <w:p>
            <w:pPr>
              <w:pStyle w:val="16"/>
              <w:spacing w:after="0" w:line="360" w:lineRule="auto"/>
              <w:ind w:firstLine="0" w:firstLineChars="0"/>
              <w:jc w:val="left"/>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投标标项质量目标有承诺，工程质量保证计划全面细致、结合实际、措施具体且合理有效可行，责任到人，有违约承诺得</w:t>
            </w:r>
            <w:r>
              <w:rPr>
                <w:szCs w:val="21"/>
              </w:rPr>
              <w:t>5</w:t>
            </w:r>
            <w:r>
              <w:rPr>
                <w:rFonts w:hint="eastAsia"/>
                <w:szCs w:val="21"/>
              </w:rPr>
              <w:t>分；</w:t>
            </w:r>
          </w:p>
          <w:p>
            <w:pPr>
              <w:pStyle w:val="16"/>
              <w:spacing w:after="0" w:line="360" w:lineRule="auto"/>
              <w:ind w:firstLine="0" w:firstLineChars="0"/>
              <w:jc w:val="left"/>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投标标项质量目标有承诺，工程质量保证计划不够全面、措施不够合理得</w:t>
            </w:r>
            <w:r>
              <w:rPr>
                <w:szCs w:val="21"/>
              </w:rPr>
              <w:t>3</w:t>
            </w:r>
            <w:r>
              <w:rPr>
                <w:rFonts w:hint="eastAsia"/>
                <w:szCs w:val="21"/>
              </w:rPr>
              <w:t>分；</w:t>
            </w:r>
          </w:p>
          <w:p>
            <w:pPr>
              <w:pStyle w:val="16"/>
              <w:spacing w:after="0" w:line="360" w:lineRule="auto"/>
              <w:ind w:firstLine="0" w:firstLineChars="0"/>
              <w:jc w:val="left"/>
              <w:rPr>
                <w:szCs w:val="21"/>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rFonts w:hint="eastAsia"/>
                <w:szCs w:val="21"/>
              </w:rPr>
              <w:t>保证措施不合理，无保障措施，无违约承诺得</w:t>
            </w:r>
            <w:r>
              <w:rPr>
                <w:szCs w:val="21"/>
              </w:rPr>
              <w:t>1</w:t>
            </w:r>
            <w:r>
              <w:rPr>
                <w:rFonts w:hint="eastAsia"/>
                <w:szCs w:val="21"/>
              </w:rPr>
              <w:t>分；</w:t>
            </w:r>
          </w:p>
          <w:p>
            <w:pPr>
              <w:pStyle w:val="16"/>
              <w:spacing w:after="0" w:line="360" w:lineRule="auto"/>
              <w:ind w:firstLine="0" w:firstLineChars="0"/>
              <w:jc w:val="left"/>
              <w:rPr>
                <w:szCs w:val="21"/>
                <w:lang w:val="en-US"/>
              </w:rPr>
            </w:pP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hint="eastAsia"/>
                <w:szCs w:val="21"/>
              </w:rPr>
              <w:t>④</w:t>
            </w:r>
            <w:r>
              <w:rPr>
                <w:szCs w:val="21"/>
              </w:rPr>
              <w:fldChar w:fldCharType="end"/>
            </w:r>
            <w:r>
              <w:rPr>
                <w:szCs w:val="21"/>
              </w:rPr>
              <w:t>未提供不得分。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709" w:type="dxa"/>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6</w:t>
            </w:r>
          </w:p>
        </w:tc>
        <w:tc>
          <w:tcPr>
            <w:tcW w:w="1559" w:type="dxa"/>
            <w:vAlign w:val="center"/>
          </w:tcPr>
          <w:p>
            <w:pPr>
              <w:pStyle w:val="16"/>
              <w:spacing w:after="0" w:line="360" w:lineRule="auto"/>
              <w:ind w:firstLine="0" w:firstLineChars="0"/>
              <w:rPr>
                <w:rFonts w:ascii="宋体" w:hAnsi="宋体" w:cs="Arial"/>
              </w:rPr>
            </w:pPr>
            <w:r>
              <w:rPr>
                <w:rFonts w:hint="eastAsia" w:ascii="宋体" w:hAnsi="宋体" w:cs="Arial"/>
              </w:rPr>
              <w:t>工期及保证措施（5分）</w:t>
            </w:r>
          </w:p>
        </w:tc>
        <w:tc>
          <w:tcPr>
            <w:tcW w:w="6946" w:type="dxa"/>
            <w:vAlign w:val="center"/>
          </w:tcPr>
          <w:p>
            <w:pPr>
              <w:pStyle w:val="16"/>
              <w:spacing w:after="0" w:line="360" w:lineRule="auto"/>
              <w:ind w:firstLine="0" w:firstLineChars="0"/>
              <w:jc w:val="left"/>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工期合理响应采购文件，提前完工，有保证措施且保证措施有效可行，有违约经济处罚措施，且有效可行得</w:t>
            </w:r>
            <w:r>
              <w:rPr>
                <w:szCs w:val="21"/>
              </w:rPr>
              <w:t>5</w:t>
            </w:r>
            <w:r>
              <w:rPr>
                <w:rFonts w:hint="eastAsia"/>
                <w:szCs w:val="21"/>
              </w:rPr>
              <w:t>分；</w:t>
            </w:r>
          </w:p>
          <w:p>
            <w:pPr>
              <w:pStyle w:val="16"/>
              <w:spacing w:after="0" w:line="360" w:lineRule="auto"/>
              <w:ind w:firstLine="0" w:firstLineChars="0"/>
              <w:jc w:val="left"/>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工期响应采购文件但</w:t>
            </w:r>
            <w:r>
              <w:rPr>
                <w:szCs w:val="21"/>
              </w:rPr>
              <w:t>不够合理</w:t>
            </w:r>
            <w:r>
              <w:rPr>
                <w:rFonts w:hint="eastAsia"/>
                <w:szCs w:val="21"/>
              </w:rPr>
              <w:t>，保证措施可行，有违约经济处罚措施，且可行得</w:t>
            </w:r>
            <w:r>
              <w:rPr>
                <w:szCs w:val="21"/>
              </w:rPr>
              <w:t>3</w:t>
            </w:r>
            <w:r>
              <w:rPr>
                <w:rFonts w:hint="eastAsia"/>
                <w:szCs w:val="21"/>
              </w:rPr>
              <w:t>分；</w:t>
            </w:r>
          </w:p>
          <w:p>
            <w:pPr>
              <w:pStyle w:val="16"/>
              <w:spacing w:after="0" w:line="360" w:lineRule="auto"/>
              <w:ind w:firstLine="0" w:firstLineChars="0"/>
              <w:jc w:val="left"/>
              <w:rPr>
                <w:szCs w:val="21"/>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rFonts w:hint="eastAsia"/>
                <w:szCs w:val="21"/>
              </w:rPr>
              <w:t>工期不响应采购文件，保证措施不可行得1分；</w:t>
            </w:r>
          </w:p>
          <w:p>
            <w:pPr>
              <w:pStyle w:val="16"/>
              <w:spacing w:after="0" w:line="360" w:lineRule="auto"/>
              <w:ind w:firstLine="0" w:firstLineChars="0"/>
              <w:jc w:val="left"/>
              <w:rPr>
                <w:rFonts w:ascii="宋体" w:hAnsi="宋体" w:cs="Arial"/>
              </w:rPr>
            </w:pP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hint="eastAsia"/>
                <w:szCs w:val="21"/>
              </w:rPr>
              <w:t>④</w:t>
            </w:r>
            <w:r>
              <w:rPr>
                <w:szCs w:val="21"/>
              </w:rPr>
              <w:fldChar w:fldCharType="end"/>
            </w:r>
            <w:r>
              <w:rPr>
                <w:szCs w:val="21"/>
              </w:rPr>
              <w:t>无限期工期，未提供保证措施不得分。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trPr>
        <w:tc>
          <w:tcPr>
            <w:tcW w:w="709" w:type="dxa"/>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7</w:t>
            </w:r>
          </w:p>
        </w:tc>
        <w:tc>
          <w:tcPr>
            <w:tcW w:w="1559" w:type="dxa"/>
            <w:vAlign w:val="center"/>
          </w:tcPr>
          <w:p>
            <w:pPr>
              <w:pStyle w:val="16"/>
              <w:spacing w:after="0" w:line="360" w:lineRule="auto"/>
              <w:ind w:firstLine="0" w:firstLineChars="0"/>
              <w:rPr>
                <w:rFonts w:ascii="宋体" w:hAnsi="宋体" w:cs="Arial"/>
              </w:rPr>
            </w:pPr>
            <w:r>
              <w:rPr>
                <w:rFonts w:hint="eastAsia" w:ascii="宋体" w:hAnsi="宋体" w:cs="Arial"/>
              </w:rPr>
              <w:t>材料供应和检验(</w:t>
            </w:r>
            <w:r>
              <w:rPr>
                <w:rFonts w:ascii="宋体" w:hAnsi="宋体" w:cs="Arial"/>
              </w:rPr>
              <w:t>5</w:t>
            </w:r>
            <w:r>
              <w:rPr>
                <w:rFonts w:hint="eastAsia" w:ascii="宋体" w:hAnsi="宋体" w:cs="Arial"/>
              </w:rPr>
              <w:t>分)</w:t>
            </w:r>
          </w:p>
        </w:tc>
        <w:tc>
          <w:tcPr>
            <w:tcW w:w="6946" w:type="dxa"/>
            <w:vAlign w:val="center"/>
          </w:tcPr>
          <w:p>
            <w:pPr>
              <w:pStyle w:val="16"/>
              <w:spacing w:after="0" w:line="360" w:lineRule="auto"/>
              <w:ind w:firstLine="0" w:firstLineChars="0"/>
              <w:jc w:val="left"/>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材料供应计划科学有序合理，材料供应及时，检验及时，有效料源完全满足施工进度要求，有材料保障承诺得</w:t>
            </w:r>
            <w:r>
              <w:rPr>
                <w:szCs w:val="21"/>
              </w:rPr>
              <w:t>5</w:t>
            </w:r>
            <w:r>
              <w:rPr>
                <w:rFonts w:hint="eastAsia"/>
                <w:szCs w:val="21"/>
              </w:rPr>
              <w:t>分；</w:t>
            </w:r>
          </w:p>
          <w:p>
            <w:pPr>
              <w:pStyle w:val="16"/>
              <w:spacing w:after="0" w:line="360" w:lineRule="auto"/>
              <w:ind w:firstLine="0" w:firstLineChars="0"/>
              <w:jc w:val="left"/>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材料供应计划不够合理，材料供应、</w:t>
            </w:r>
            <w:r>
              <w:rPr>
                <w:szCs w:val="21"/>
              </w:rPr>
              <w:t>检验</w:t>
            </w:r>
            <w:r>
              <w:rPr>
                <w:rFonts w:hint="eastAsia"/>
                <w:szCs w:val="21"/>
              </w:rPr>
              <w:t>不</w:t>
            </w:r>
            <w:r>
              <w:rPr>
                <w:szCs w:val="21"/>
              </w:rPr>
              <w:t>够</w:t>
            </w:r>
            <w:r>
              <w:rPr>
                <w:rFonts w:hint="eastAsia"/>
                <w:szCs w:val="21"/>
              </w:rPr>
              <w:t>及时，有效料源满足施工进度要求，有材料保障承诺得</w:t>
            </w:r>
            <w:r>
              <w:rPr>
                <w:szCs w:val="21"/>
              </w:rPr>
              <w:t>3</w:t>
            </w:r>
            <w:r>
              <w:rPr>
                <w:rFonts w:hint="eastAsia"/>
                <w:szCs w:val="21"/>
              </w:rPr>
              <w:t>分；</w:t>
            </w:r>
          </w:p>
          <w:p>
            <w:pPr>
              <w:pStyle w:val="16"/>
              <w:spacing w:after="0" w:line="360" w:lineRule="auto"/>
              <w:ind w:firstLine="0" w:firstLineChars="0"/>
              <w:jc w:val="left"/>
              <w:rPr>
                <w:szCs w:val="21"/>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rFonts w:hint="eastAsia"/>
                <w:szCs w:val="21"/>
              </w:rPr>
              <w:t>材料供应计划不合理，检验不及时，有效料源不满足施工要求，无保障措施得</w:t>
            </w:r>
            <w:r>
              <w:rPr>
                <w:szCs w:val="21"/>
              </w:rPr>
              <w:t>1</w:t>
            </w:r>
            <w:r>
              <w:rPr>
                <w:rFonts w:hint="eastAsia"/>
                <w:szCs w:val="21"/>
              </w:rPr>
              <w:t>分；</w:t>
            </w:r>
          </w:p>
          <w:p>
            <w:pPr>
              <w:pStyle w:val="16"/>
              <w:spacing w:after="0" w:line="360" w:lineRule="auto"/>
              <w:ind w:firstLine="0" w:firstLineChars="0"/>
              <w:jc w:val="left"/>
              <w:rPr>
                <w:rFonts w:ascii="宋体" w:hAnsi="宋体" w:cs="Arial"/>
                <w:b/>
              </w:rPr>
            </w:pP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hint="eastAsia"/>
                <w:szCs w:val="21"/>
              </w:rPr>
              <w:t>④</w:t>
            </w:r>
            <w:r>
              <w:rPr>
                <w:szCs w:val="21"/>
              </w:rPr>
              <w:fldChar w:fldCharType="end"/>
            </w:r>
            <w:r>
              <w:rPr>
                <w:szCs w:val="21"/>
              </w:rPr>
              <w:t>未提供不得分。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8</w:t>
            </w:r>
          </w:p>
        </w:tc>
        <w:tc>
          <w:tcPr>
            <w:tcW w:w="1559" w:type="dxa"/>
            <w:vAlign w:val="center"/>
          </w:tcPr>
          <w:p>
            <w:pPr>
              <w:pStyle w:val="16"/>
              <w:spacing w:after="0" w:line="360" w:lineRule="auto"/>
              <w:ind w:firstLine="0" w:firstLineChars="0"/>
              <w:rPr>
                <w:color w:val="auto"/>
                <w:szCs w:val="21"/>
              </w:rPr>
            </w:pPr>
            <w:r>
              <w:rPr>
                <w:rFonts w:hint="eastAsia"/>
                <w:color w:val="auto"/>
                <w:szCs w:val="21"/>
              </w:rPr>
              <w:t>应急处置</w:t>
            </w:r>
          </w:p>
          <w:p>
            <w:pPr>
              <w:pStyle w:val="16"/>
              <w:spacing w:after="0" w:line="360" w:lineRule="auto"/>
              <w:ind w:firstLine="0" w:firstLineChars="0"/>
              <w:rPr>
                <w:color w:val="auto"/>
                <w:szCs w:val="21"/>
              </w:rPr>
            </w:pPr>
            <w:r>
              <w:rPr>
                <w:rFonts w:hint="eastAsia"/>
                <w:color w:val="auto"/>
                <w:szCs w:val="21"/>
              </w:rPr>
              <w:t>（</w:t>
            </w:r>
            <w:r>
              <w:rPr>
                <w:color w:val="auto"/>
                <w:szCs w:val="21"/>
              </w:rPr>
              <w:t>4</w:t>
            </w:r>
            <w:r>
              <w:rPr>
                <w:rFonts w:hint="eastAsia"/>
                <w:color w:val="auto"/>
                <w:szCs w:val="21"/>
              </w:rPr>
              <w:t>分）</w:t>
            </w:r>
          </w:p>
        </w:tc>
        <w:tc>
          <w:tcPr>
            <w:tcW w:w="6946" w:type="dxa"/>
            <w:vAlign w:val="center"/>
          </w:tcPr>
          <w:p>
            <w:pPr>
              <w:pStyle w:val="16"/>
              <w:spacing w:after="0" w:line="360" w:lineRule="auto"/>
              <w:ind w:firstLine="0" w:firstLineChars="0"/>
              <w:jc w:val="left"/>
              <w:rPr>
                <w:rFonts w:hint="eastAsia"/>
                <w:color w:val="auto"/>
                <w:szCs w:val="21"/>
              </w:rPr>
            </w:pPr>
            <w:r>
              <w:rPr>
                <w:rFonts w:hint="eastAsia"/>
                <w:color w:val="auto"/>
                <w:szCs w:val="21"/>
              </w:rPr>
              <w:t>根据投标人提供应急处置（包括运输途中、防汛防台、突发事件应急处理及重大活动等内容）</w:t>
            </w:r>
            <w:r>
              <w:rPr>
                <w:color w:val="auto"/>
                <w:szCs w:val="21"/>
              </w:rPr>
              <w:fldChar w:fldCharType="begin"/>
            </w:r>
            <w:r>
              <w:rPr>
                <w:color w:val="auto"/>
                <w:szCs w:val="21"/>
              </w:rPr>
              <w:instrText xml:space="preserve"> </w:instrText>
            </w:r>
            <w:r>
              <w:rPr>
                <w:rFonts w:hint="eastAsia"/>
                <w:color w:val="auto"/>
                <w:szCs w:val="21"/>
              </w:rPr>
              <w:instrText xml:space="preserve">= 1 \* GB3</w:instrText>
            </w:r>
            <w:r>
              <w:rPr>
                <w:color w:val="auto"/>
                <w:szCs w:val="21"/>
              </w:rPr>
              <w:instrText xml:space="preserve"> </w:instrText>
            </w:r>
            <w:r>
              <w:rPr>
                <w:color w:val="auto"/>
                <w:szCs w:val="21"/>
              </w:rPr>
              <w:fldChar w:fldCharType="separate"/>
            </w:r>
            <w:r>
              <w:rPr>
                <w:rFonts w:hint="eastAsia"/>
                <w:color w:val="auto"/>
                <w:szCs w:val="21"/>
              </w:rPr>
              <w:t>①</w:t>
            </w:r>
            <w:r>
              <w:rPr>
                <w:color w:val="auto"/>
                <w:szCs w:val="21"/>
              </w:rPr>
              <w:fldChar w:fldCharType="end"/>
            </w:r>
            <w:r>
              <w:rPr>
                <w:rFonts w:hint="eastAsia"/>
                <w:color w:val="auto"/>
                <w:szCs w:val="21"/>
              </w:rPr>
              <w:t>是否完整全面，1分</w:t>
            </w:r>
            <w:r>
              <w:rPr>
                <w:color w:val="auto"/>
                <w:szCs w:val="21"/>
              </w:rPr>
              <w:t>；</w:t>
            </w:r>
          </w:p>
          <w:p>
            <w:pPr>
              <w:pStyle w:val="16"/>
              <w:spacing w:after="0" w:line="360" w:lineRule="auto"/>
              <w:ind w:firstLine="0" w:firstLineChars="0"/>
              <w:jc w:val="left"/>
              <w:rPr>
                <w:rFonts w:hint="eastAsia"/>
                <w:color w:val="auto"/>
                <w:szCs w:val="21"/>
              </w:rPr>
            </w:pPr>
            <w:r>
              <w:rPr>
                <w:color w:val="auto"/>
                <w:szCs w:val="21"/>
              </w:rPr>
              <w:fldChar w:fldCharType="begin"/>
            </w:r>
            <w:r>
              <w:rPr>
                <w:color w:val="auto"/>
                <w:szCs w:val="21"/>
              </w:rPr>
              <w:instrText xml:space="preserve"> </w:instrText>
            </w:r>
            <w:r>
              <w:rPr>
                <w:rFonts w:hint="eastAsia"/>
                <w:color w:val="auto"/>
                <w:szCs w:val="21"/>
              </w:rPr>
              <w:instrText xml:space="preserve">= 2 \* GB3</w:instrText>
            </w:r>
            <w:r>
              <w:rPr>
                <w:color w:val="auto"/>
                <w:szCs w:val="21"/>
              </w:rPr>
              <w:instrText xml:space="preserve"> </w:instrText>
            </w:r>
            <w:r>
              <w:rPr>
                <w:color w:val="auto"/>
                <w:szCs w:val="21"/>
              </w:rPr>
              <w:fldChar w:fldCharType="separate"/>
            </w:r>
            <w:r>
              <w:rPr>
                <w:rFonts w:hint="eastAsia"/>
                <w:color w:val="auto"/>
                <w:szCs w:val="21"/>
              </w:rPr>
              <w:t>②</w:t>
            </w:r>
            <w:r>
              <w:rPr>
                <w:color w:val="auto"/>
                <w:szCs w:val="21"/>
              </w:rPr>
              <w:fldChar w:fldCharType="end"/>
            </w:r>
            <w:r>
              <w:rPr>
                <w:rFonts w:hint="eastAsia"/>
                <w:color w:val="auto"/>
                <w:szCs w:val="21"/>
              </w:rPr>
              <w:t>是否具有操作性，1分</w:t>
            </w:r>
            <w:r>
              <w:rPr>
                <w:color w:val="auto"/>
                <w:szCs w:val="21"/>
              </w:rPr>
              <w:t>；</w:t>
            </w:r>
          </w:p>
          <w:p>
            <w:pPr>
              <w:pStyle w:val="16"/>
              <w:spacing w:after="0" w:line="360" w:lineRule="auto"/>
              <w:ind w:firstLine="0" w:firstLineChars="0"/>
              <w:jc w:val="left"/>
              <w:rPr>
                <w:color w:val="auto"/>
                <w:szCs w:val="21"/>
              </w:rPr>
            </w:pPr>
            <w:r>
              <w:rPr>
                <w:color w:val="auto"/>
                <w:szCs w:val="21"/>
              </w:rPr>
              <w:fldChar w:fldCharType="begin"/>
            </w:r>
            <w:r>
              <w:rPr>
                <w:color w:val="auto"/>
                <w:szCs w:val="21"/>
              </w:rPr>
              <w:instrText xml:space="preserve"> </w:instrText>
            </w:r>
            <w:r>
              <w:rPr>
                <w:rFonts w:hint="eastAsia"/>
                <w:color w:val="auto"/>
                <w:szCs w:val="21"/>
              </w:rPr>
              <w:instrText xml:space="preserve">= 3 \* GB3</w:instrText>
            </w:r>
            <w:r>
              <w:rPr>
                <w:color w:val="auto"/>
                <w:szCs w:val="21"/>
              </w:rPr>
              <w:instrText xml:space="preserve"> </w:instrText>
            </w:r>
            <w:r>
              <w:rPr>
                <w:color w:val="auto"/>
                <w:szCs w:val="21"/>
              </w:rPr>
              <w:fldChar w:fldCharType="separate"/>
            </w:r>
            <w:r>
              <w:rPr>
                <w:rFonts w:hint="eastAsia"/>
                <w:color w:val="auto"/>
                <w:szCs w:val="21"/>
              </w:rPr>
              <w:t>③</w:t>
            </w:r>
            <w:r>
              <w:rPr>
                <w:color w:val="auto"/>
                <w:szCs w:val="21"/>
              </w:rPr>
              <w:fldChar w:fldCharType="end"/>
            </w:r>
            <w:r>
              <w:rPr>
                <w:rFonts w:hint="eastAsia"/>
                <w:color w:val="auto"/>
                <w:szCs w:val="21"/>
              </w:rPr>
              <w:t>对运输及装卸过程中应急突发事情的响应及处理是否得力、可行，1分</w:t>
            </w:r>
            <w:r>
              <w:rPr>
                <w:color w:val="auto"/>
                <w:szCs w:val="21"/>
              </w:rPr>
              <w:t>；</w:t>
            </w:r>
          </w:p>
          <w:p>
            <w:pPr>
              <w:pStyle w:val="16"/>
              <w:spacing w:after="0" w:line="360" w:lineRule="auto"/>
              <w:ind w:firstLine="0" w:firstLineChars="0"/>
              <w:jc w:val="left"/>
              <w:rPr>
                <w:rFonts w:hint="eastAsia"/>
                <w:color w:val="auto"/>
              </w:rPr>
            </w:pPr>
            <w:r>
              <w:rPr>
                <w:color w:val="auto"/>
                <w:szCs w:val="21"/>
              </w:rPr>
              <w:fldChar w:fldCharType="begin"/>
            </w:r>
            <w:r>
              <w:rPr>
                <w:color w:val="auto"/>
                <w:szCs w:val="21"/>
              </w:rPr>
              <w:instrText xml:space="preserve"> </w:instrText>
            </w:r>
            <w:r>
              <w:rPr>
                <w:rFonts w:hint="eastAsia"/>
                <w:color w:val="auto"/>
                <w:szCs w:val="21"/>
              </w:rPr>
              <w:instrText xml:space="preserve">= 4 \* GB3</w:instrText>
            </w:r>
            <w:r>
              <w:rPr>
                <w:color w:val="auto"/>
                <w:szCs w:val="21"/>
              </w:rPr>
              <w:instrText xml:space="preserve"> </w:instrText>
            </w:r>
            <w:r>
              <w:rPr>
                <w:color w:val="auto"/>
                <w:szCs w:val="21"/>
              </w:rPr>
              <w:fldChar w:fldCharType="separate"/>
            </w:r>
            <w:r>
              <w:rPr>
                <w:rFonts w:hint="eastAsia"/>
                <w:color w:val="auto"/>
                <w:szCs w:val="21"/>
              </w:rPr>
              <w:t>④</w:t>
            </w:r>
            <w:r>
              <w:rPr>
                <w:color w:val="auto"/>
                <w:szCs w:val="21"/>
              </w:rPr>
              <w:fldChar w:fldCharType="end"/>
            </w:r>
            <w:r>
              <w:rPr>
                <w:rFonts w:hint="eastAsia"/>
                <w:color w:val="auto"/>
                <w:szCs w:val="21"/>
              </w:rPr>
              <w:t>处置是否贴合实际且有针对性</w:t>
            </w:r>
            <w:r>
              <w:rPr>
                <w:rFonts w:hint="eastAsia"/>
                <w:color w:val="auto"/>
              </w:rPr>
              <w:t>，1分</w:t>
            </w:r>
            <w:r>
              <w:rPr>
                <w:color w:val="auto"/>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9</w:t>
            </w:r>
          </w:p>
        </w:tc>
        <w:tc>
          <w:tcPr>
            <w:tcW w:w="1559" w:type="dxa"/>
            <w:vAlign w:val="center"/>
          </w:tcPr>
          <w:p>
            <w:pPr>
              <w:pStyle w:val="16"/>
              <w:spacing w:after="0" w:line="360" w:lineRule="auto"/>
              <w:ind w:firstLine="0" w:firstLineChars="0"/>
              <w:rPr>
                <w:color w:val="auto"/>
                <w:szCs w:val="21"/>
              </w:rPr>
            </w:pPr>
            <w:r>
              <w:rPr>
                <w:rFonts w:hint="eastAsia"/>
                <w:color w:val="auto"/>
                <w:szCs w:val="21"/>
              </w:rPr>
              <w:t>售后服务保证措施（</w:t>
            </w:r>
            <w:r>
              <w:rPr>
                <w:color w:val="auto"/>
                <w:szCs w:val="21"/>
              </w:rPr>
              <w:t>5分</w:t>
            </w:r>
            <w:r>
              <w:rPr>
                <w:rFonts w:hint="eastAsia"/>
                <w:color w:val="auto"/>
                <w:szCs w:val="21"/>
              </w:rPr>
              <w:t>）</w:t>
            </w:r>
          </w:p>
        </w:tc>
        <w:tc>
          <w:tcPr>
            <w:tcW w:w="6946" w:type="dxa"/>
            <w:vAlign w:val="center"/>
          </w:tcPr>
          <w:p>
            <w:pPr>
              <w:pStyle w:val="16"/>
              <w:spacing w:after="0" w:line="360" w:lineRule="auto"/>
              <w:ind w:firstLine="0" w:firstLineChars="0"/>
              <w:jc w:val="left"/>
              <w:rPr>
                <w:rFonts w:hint="eastAsia"/>
                <w:color w:val="auto"/>
                <w:szCs w:val="21"/>
              </w:rPr>
            </w:pPr>
            <w:r>
              <w:rPr>
                <w:rFonts w:hint="eastAsia"/>
                <w:color w:val="auto"/>
                <w:szCs w:val="21"/>
              </w:rPr>
              <w:t>1）投标人提供售后服务承诺的，得</w:t>
            </w:r>
            <w:r>
              <w:rPr>
                <w:color w:val="auto"/>
                <w:szCs w:val="21"/>
              </w:rPr>
              <w:t>2</w:t>
            </w:r>
            <w:r>
              <w:rPr>
                <w:rFonts w:hint="eastAsia"/>
                <w:color w:val="auto"/>
                <w:szCs w:val="21"/>
              </w:rPr>
              <w:t>分</w:t>
            </w:r>
            <w:r>
              <w:rPr>
                <w:color w:val="auto"/>
                <w:szCs w:val="21"/>
              </w:rPr>
              <w:t>；</w:t>
            </w:r>
          </w:p>
          <w:p>
            <w:pPr>
              <w:pStyle w:val="16"/>
              <w:spacing w:after="0" w:line="360" w:lineRule="auto"/>
              <w:ind w:firstLine="0" w:firstLineChars="0"/>
              <w:jc w:val="left"/>
              <w:rPr>
                <w:color w:val="auto"/>
                <w:szCs w:val="21"/>
              </w:rPr>
            </w:pPr>
            <w:r>
              <w:rPr>
                <w:rFonts w:hint="eastAsia"/>
                <w:color w:val="auto"/>
                <w:szCs w:val="21"/>
              </w:rPr>
              <w:t>2）根据投标人提供的售后服务措施有针对性的，得1分</w:t>
            </w:r>
            <w:r>
              <w:rPr>
                <w:color w:val="auto"/>
                <w:szCs w:val="21"/>
              </w:rPr>
              <w:t>；</w:t>
            </w:r>
          </w:p>
          <w:p>
            <w:pPr>
              <w:pStyle w:val="16"/>
              <w:spacing w:after="0" w:line="360" w:lineRule="auto"/>
              <w:ind w:firstLine="0" w:firstLineChars="0"/>
              <w:jc w:val="left"/>
              <w:rPr>
                <w:color w:val="auto"/>
                <w:szCs w:val="21"/>
              </w:rPr>
            </w:pPr>
            <w:r>
              <w:rPr>
                <w:color w:val="auto"/>
                <w:szCs w:val="21"/>
              </w:rPr>
              <w:t>3</w:t>
            </w:r>
            <w:r>
              <w:rPr>
                <w:rFonts w:hint="eastAsia"/>
                <w:color w:val="auto"/>
                <w:szCs w:val="21"/>
              </w:rPr>
              <w:t>）根据投标人提供的售后服务措施是</w:t>
            </w:r>
            <w:r>
              <w:rPr>
                <w:color w:val="auto"/>
                <w:szCs w:val="21"/>
              </w:rPr>
              <w:t>否切合实际，</w:t>
            </w:r>
            <w:r>
              <w:rPr>
                <w:rFonts w:hint="eastAsia"/>
                <w:color w:val="auto"/>
                <w:szCs w:val="21"/>
              </w:rPr>
              <w:t>能给业主提供迅速、便捷的技术服务、及时有效的配合业主，1分</w:t>
            </w:r>
            <w:r>
              <w:rPr>
                <w:color w:val="auto"/>
                <w:szCs w:val="21"/>
              </w:rPr>
              <w:t>；</w:t>
            </w:r>
          </w:p>
          <w:p>
            <w:pPr>
              <w:pStyle w:val="16"/>
              <w:spacing w:after="0" w:line="360" w:lineRule="auto"/>
              <w:ind w:firstLine="0" w:firstLineChars="0"/>
              <w:jc w:val="left"/>
              <w:rPr>
                <w:rFonts w:ascii="宋体" w:hAnsi="宋体" w:cs="宋体"/>
                <w:color w:val="auto"/>
                <w:sz w:val="22"/>
                <w:szCs w:val="22"/>
              </w:rPr>
            </w:pPr>
            <w:r>
              <w:rPr>
                <w:rFonts w:hint="eastAsia"/>
                <w:color w:val="auto"/>
                <w:szCs w:val="21"/>
              </w:rPr>
              <w:t>4）根据投标人提供的售后服务范围明确</w:t>
            </w:r>
            <w:r>
              <w:rPr>
                <w:color w:val="auto"/>
                <w:szCs w:val="21"/>
              </w:rPr>
              <w:t>，无争议的</w:t>
            </w:r>
            <w:r>
              <w:rPr>
                <w:rFonts w:hint="eastAsia"/>
                <w:color w:val="auto"/>
                <w:szCs w:val="21"/>
              </w:rPr>
              <w:t>，得1分。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10</w:t>
            </w:r>
          </w:p>
        </w:tc>
        <w:tc>
          <w:tcPr>
            <w:tcW w:w="1559" w:type="dxa"/>
            <w:vAlign w:val="center"/>
          </w:tcPr>
          <w:p>
            <w:pPr>
              <w:pStyle w:val="16"/>
              <w:spacing w:after="0" w:line="360" w:lineRule="auto"/>
              <w:ind w:firstLine="0" w:firstLineChars="0"/>
              <w:rPr>
                <w:szCs w:val="21"/>
              </w:rPr>
            </w:pPr>
            <w:r>
              <w:rPr>
                <w:rFonts w:hint="eastAsia" w:ascii="宋体" w:hAnsi="宋体" w:cs="宋体"/>
                <w:szCs w:val="21"/>
              </w:rPr>
              <w:t>人员投入（</w:t>
            </w:r>
            <w:r>
              <w:rPr>
                <w:rFonts w:ascii="宋体" w:hAnsi="宋体" w:cs="宋体"/>
                <w:szCs w:val="21"/>
                <w:lang w:val="en-US"/>
              </w:rPr>
              <w:t>9</w:t>
            </w:r>
            <w:r>
              <w:rPr>
                <w:rFonts w:hint="eastAsia" w:ascii="宋体" w:hAnsi="宋体" w:cs="宋体"/>
                <w:szCs w:val="21"/>
              </w:rPr>
              <w:t>分）</w:t>
            </w:r>
          </w:p>
        </w:tc>
        <w:tc>
          <w:tcPr>
            <w:tcW w:w="6946" w:type="dxa"/>
            <w:vAlign w:val="center"/>
          </w:tcPr>
          <w:p>
            <w:pPr>
              <w:pStyle w:val="16"/>
              <w:spacing w:after="0" w:line="360" w:lineRule="auto"/>
              <w:ind w:firstLine="0" w:firstLineChars="0"/>
              <w:jc w:val="left"/>
              <w:rPr>
                <w:szCs w:val="21"/>
              </w:rPr>
            </w:pPr>
            <w:r>
              <w:rPr>
                <w:rFonts w:hint="eastAsia"/>
                <w:szCs w:val="21"/>
              </w:rPr>
              <w:t>对投标人针对本项目拟配备实施人员的配置、资质</w:t>
            </w:r>
            <w:r>
              <w:rPr>
                <w:rFonts w:hint="eastAsia"/>
                <w:szCs w:val="21"/>
                <w:lang w:eastAsia="zh-CN"/>
              </w:rPr>
              <w:t>进行打分</w:t>
            </w:r>
            <w:r>
              <w:rPr>
                <w:rFonts w:hint="eastAsia"/>
                <w:szCs w:val="21"/>
              </w:rPr>
              <w:t>：包括项目负责人、安全员、技术负责人、高级下水道养护工、市政潜水员及各类有限空间作业人员等人员，并承诺在项目实施过程中不擅自更换项目组人员（未承诺的不得分）。</w:t>
            </w:r>
          </w:p>
          <w:p>
            <w:pPr>
              <w:pStyle w:val="16"/>
              <w:spacing w:after="0" w:line="360" w:lineRule="auto"/>
              <w:ind w:firstLine="0" w:firstLineChars="0"/>
              <w:jc w:val="left"/>
              <w:rPr>
                <w:szCs w:val="21"/>
              </w:rPr>
            </w:pPr>
            <w:r>
              <w:rPr>
                <w:rFonts w:hint="eastAsia"/>
                <w:szCs w:val="21"/>
              </w:rPr>
              <w:t>注：</w:t>
            </w:r>
            <w:r>
              <w:rPr>
                <w:szCs w:val="21"/>
              </w:rPr>
              <w:t xml:space="preserve"> </w:t>
            </w:r>
          </w:p>
          <w:p>
            <w:pPr>
              <w:pStyle w:val="16"/>
              <w:spacing w:after="0" w:line="360" w:lineRule="auto"/>
              <w:ind w:firstLine="0" w:firstLineChars="0"/>
              <w:jc w:val="left"/>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以上人员必须是投标企业员工、一人一岗、重复不得分，并出具距投标截止时间近三个月的社保证明及相关证书复印件加盖公章作为评审依据，社保证明必须为浙江政务网带有二维码的社保清单或社保部门出具的社保清单，社保缴纳单位必须为投标企业；</w:t>
            </w:r>
          </w:p>
          <w:p>
            <w:pPr>
              <w:pStyle w:val="16"/>
              <w:spacing w:after="0" w:line="360" w:lineRule="auto"/>
              <w:ind w:firstLine="0" w:firstLineChars="0"/>
              <w:jc w:val="left"/>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投标人按标项顺序获得一个标项的中标候选人资格后，拟投入的相同人员证书不再作为后续标项的评审材料（扣除相应得分）。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11</w:t>
            </w:r>
          </w:p>
        </w:tc>
        <w:tc>
          <w:tcPr>
            <w:tcW w:w="1559" w:type="dxa"/>
            <w:vAlign w:val="center"/>
          </w:tcPr>
          <w:p>
            <w:pPr>
              <w:pStyle w:val="16"/>
              <w:spacing w:after="0" w:line="360" w:lineRule="auto"/>
              <w:ind w:firstLine="0" w:firstLineChars="0"/>
              <w:rPr>
                <w:szCs w:val="21"/>
              </w:rPr>
            </w:pPr>
            <w:r>
              <w:rPr>
                <w:rFonts w:hint="eastAsia"/>
                <w:szCs w:val="21"/>
              </w:rPr>
              <w:t>设备配备</w:t>
            </w:r>
          </w:p>
          <w:p>
            <w:pPr>
              <w:pStyle w:val="16"/>
              <w:spacing w:after="0" w:line="360" w:lineRule="auto"/>
              <w:ind w:firstLine="0" w:firstLineChars="0"/>
              <w:rPr>
                <w:rFonts w:ascii="宋体" w:hAnsi="宋体" w:cs="宋体"/>
                <w:sz w:val="22"/>
                <w:szCs w:val="22"/>
              </w:rPr>
            </w:pPr>
            <w:r>
              <w:rPr>
                <w:rFonts w:hint="eastAsia"/>
                <w:szCs w:val="21"/>
              </w:rPr>
              <w:t>（9分）</w:t>
            </w:r>
          </w:p>
        </w:tc>
        <w:tc>
          <w:tcPr>
            <w:tcW w:w="6946" w:type="dxa"/>
            <w:vAlign w:val="center"/>
          </w:tcPr>
          <w:p>
            <w:pPr>
              <w:pStyle w:val="16"/>
              <w:spacing w:after="0" w:line="360" w:lineRule="auto"/>
              <w:ind w:firstLine="0" w:firstLineChars="0"/>
              <w:jc w:val="left"/>
              <w:rPr>
                <w:szCs w:val="21"/>
              </w:rPr>
            </w:pPr>
            <w:r>
              <w:rPr>
                <w:rFonts w:hint="eastAsia"/>
                <w:szCs w:val="21"/>
              </w:rPr>
              <w:t>1）配备有CCTV检测设备，每套得0.5分，满分1分；</w:t>
            </w:r>
          </w:p>
          <w:p>
            <w:pPr>
              <w:pStyle w:val="16"/>
              <w:spacing w:after="0" w:line="360" w:lineRule="auto"/>
              <w:ind w:firstLine="0" w:firstLineChars="0"/>
              <w:jc w:val="left"/>
              <w:rPr>
                <w:szCs w:val="21"/>
              </w:rPr>
            </w:pPr>
            <w:r>
              <w:rPr>
                <w:rFonts w:hint="eastAsia"/>
                <w:szCs w:val="21"/>
              </w:rPr>
              <w:t>2) 配备有管道非开挖修复器（修复气囊），每套得0.5分，满分0.5分；</w:t>
            </w:r>
          </w:p>
          <w:p>
            <w:pPr>
              <w:pStyle w:val="16"/>
              <w:spacing w:after="0" w:line="360" w:lineRule="auto"/>
              <w:ind w:firstLine="0" w:firstLineChars="0"/>
              <w:jc w:val="left"/>
              <w:rPr>
                <w:szCs w:val="21"/>
              </w:rPr>
            </w:pPr>
            <w:r>
              <w:rPr>
                <w:rFonts w:hint="eastAsia"/>
                <w:szCs w:val="21"/>
              </w:rPr>
              <w:t>3）配备有毒气检测仪，每套得1分，满分2分；</w:t>
            </w:r>
          </w:p>
          <w:p>
            <w:pPr>
              <w:pStyle w:val="16"/>
              <w:spacing w:after="0" w:line="360" w:lineRule="auto"/>
              <w:ind w:firstLine="0" w:firstLineChars="0"/>
              <w:jc w:val="left"/>
              <w:rPr>
                <w:szCs w:val="21"/>
              </w:rPr>
            </w:pPr>
            <w:r>
              <w:rPr>
                <w:rFonts w:hint="eastAsia"/>
                <w:szCs w:val="21"/>
              </w:rPr>
              <w:t>4）配备有整体修复设备，每套得1分，满分2分；</w:t>
            </w:r>
          </w:p>
          <w:p>
            <w:pPr>
              <w:pStyle w:val="16"/>
              <w:spacing w:after="0" w:line="360" w:lineRule="auto"/>
              <w:ind w:firstLine="0" w:firstLineChars="0"/>
              <w:jc w:val="left"/>
              <w:rPr>
                <w:szCs w:val="21"/>
              </w:rPr>
            </w:pPr>
            <w:r>
              <w:rPr>
                <w:rFonts w:hint="eastAsia"/>
                <w:szCs w:val="21"/>
              </w:rPr>
              <w:t>5）配有潜水装具设备，每套得0.5分，满分0.5分；</w:t>
            </w:r>
          </w:p>
          <w:p>
            <w:pPr>
              <w:pStyle w:val="16"/>
              <w:spacing w:after="0" w:line="360" w:lineRule="auto"/>
              <w:ind w:firstLine="0" w:firstLineChars="0"/>
              <w:jc w:val="left"/>
              <w:rPr>
                <w:szCs w:val="21"/>
              </w:rPr>
            </w:pPr>
            <w:r>
              <w:rPr>
                <w:rFonts w:hint="eastAsia"/>
                <w:szCs w:val="21"/>
              </w:rPr>
              <w:t>6）配备有疏通车，自有车辆的每辆得1分，满分2分；</w:t>
            </w:r>
          </w:p>
          <w:p>
            <w:pPr>
              <w:pStyle w:val="16"/>
              <w:spacing w:after="0" w:line="360" w:lineRule="auto"/>
              <w:ind w:firstLine="0" w:firstLineChars="0"/>
              <w:jc w:val="left"/>
              <w:rPr>
                <w:szCs w:val="21"/>
              </w:rPr>
            </w:pPr>
            <w:r>
              <w:rPr>
                <w:rFonts w:hint="eastAsia"/>
                <w:szCs w:val="21"/>
              </w:rPr>
              <w:t>7) 配备有吸污车，自有车辆的每辆得1分，满分1分；</w:t>
            </w:r>
          </w:p>
          <w:p>
            <w:pPr>
              <w:pStyle w:val="16"/>
              <w:spacing w:after="0" w:line="360" w:lineRule="auto"/>
              <w:ind w:firstLine="0" w:firstLineChars="0"/>
              <w:jc w:val="left"/>
              <w:rPr>
                <w:szCs w:val="21"/>
              </w:rPr>
            </w:pPr>
            <w:r>
              <w:rPr>
                <w:rFonts w:hint="eastAsia"/>
                <w:szCs w:val="21"/>
              </w:rPr>
              <w:t>注：</w:t>
            </w:r>
          </w:p>
          <w:p>
            <w:pPr>
              <w:pStyle w:val="16"/>
              <w:spacing w:after="0" w:line="360" w:lineRule="auto"/>
              <w:ind w:firstLine="0" w:firstLineChars="0"/>
              <w:jc w:val="left"/>
              <w:rPr>
                <w:szCs w:val="21"/>
              </w:rPr>
            </w:pPr>
            <w:r>
              <w:rPr>
                <w:rFonts w:hint="eastAsia"/>
                <w:szCs w:val="21"/>
              </w:rPr>
              <w:fldChar w:fldCharType="begin"/>
            </w:r>
            <w:r>
              <w:rPr>
                <w:rFonts w:hint="eastAsia"/>
                <w:szCs w:val="21"/>
              </w:rPr>
              <w:instrText xml:space="preserve"> = 1 \* GB3 \* MERGEFORMAT </w:instrText>
            </w:r>
            <w:r>
              <w:rPr>
                <w:rFonts w:hint="eastAsia"/>
                <w:szCs w:val="21"/>
              </w:rPr>
              <w:fldChar w:fldCharType="separate"/>
            </w:r>
            <w:r>
              <w:rPr>
                <w:rFonts w:hint="eastAsia"/>
                <w:szCs w:val="21"/>
              </w:rPr>
              <w:t>①</w:t>
            </w:r>
            <w:r>
              <w:rPr>
                <w:rFonts w:hint="eastAsia"/>
                <w:szCs w:val="21"/>
              </w:rPr>
              <w:fldChar w:fldCharType="end"/>
            </w:r>
            <w:r>
              <w:rPr>
                <w:rFonts w:hint="eastAsia"/>
                <w:szCs w:val="21"/>
              </w:rPr>
              <w:t>以上各组设备须为自有，租赁的每套得分减半，该组满分减半。提供设备购置发票复印件（或者提供租赁证明及设备所有人的设备发票），设备为车辆时还须提供车辆行驶证（年检有效），以上证明资料复印件编入资信技术文件中。</w:t>
            </w:r>
          </w:p>
          <w:p>
            <w:pPr>
              <w:pStyle w:val="16"/>
              <w:spacing w:after="0" w:line="360" w:lineRule="auto"/>
              <w:ind w:firstLine="0" w:firstLineChars="0"/>
              <w:jc w:val="left"/>
              <w:rPr>
                <w:rFonts w:ascii="宋体" w:hAnsi="宋体" w:cs="宋体"/>
                <w:sz w:val="22"/>
                <w:szCs w:val="22"/>
              </w:rPr>
            </w:pPr>
            <w:r>
              <w:rPr>
                <w:rFonts w:hint="eastAsia"/>
                <w:szCs w:val="21"/>
              </w:rPr>
              <w:fldChar w:fldCharType="begin"/>
            </w:r>
            <w:r>
              <w:rPr>
                <w:rFonts w:hint="eastAsia"/>
                <w:szCs w:val="21"/>
              </w:rPr>
              <w:instrText xml:space="preserve"> = 2 \* GB3 \* MERGEFORMAT </w:instrText>
            </w:r>
            <w:r>
              <w:rPr>
                <w:rFonts w:hint="eastAsia"/>
                <w:szCs w:val="21"/>
              </w:rPr>
              <w:fldChar w:fldCharType="separate"/>
            </w:r>
            <w:r>
              <w:rPr>
                <w:rFonts w:hint="eastAsia"/>
                <w:szCs w:val="21"/>
              </w:rPr>
              <w:t>②</w:t>
            </w:r>
            <w:r>
              <w:rPr>
                <w:rFonts w:hint="eastAsia"/>
                <w:szCs w:val="21"/>
              </w:rPr>
              <w:fldChar w:fldCharType="end"/>
            </w:r>
            <w:r>
              <w:rPr>
                <w:rFonts w:hint="eastAsia"/>
                <w:szCs w:val="21"/>
              </w:rPr>
              <w:t>投标人按标项顺序获得一个标项的中标候选人资格后，拟投入的相同设备不再作为后续标项的评审材料（扣除相应得分）。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12</w:t>
            </w:r>
          </w:p>
        </w:tc>
        <w:tc>
          <w:tcPr>
            <w:tcW w:w="1559" w:type="dxa"/>
            <w:vAlign w:val="center"/>
          </w:tcPr>
          <w:p>
            <w:pPr>
              <w:pStyle w:val="16"/>
              <w:spacing w:after="0" w:line="360" w:lineRule="auto"/>
              <w:ind w:firstLine="0" w:firstLineChars="0"/>
              <w:rPr>
                <w:szCs w:val="21"/>
              </w:rPr>
            </w:pPr>
            <w:r>
              <w:rPr>
                <w:rFonts w:hint="eastAsia"/>
                <w:szCs w:val="21"/>
              </w:rPr>
              <w:t>认证证书</w:t>
            </w:r>
          </w:p>
          <w:p>
            <w:pPr>
              <w:pStyle w:val="16"/>
              <w:spacing w:after="0" w:line="360" w:lineRule="auto"/>
              <w:ind w:firstLine="0" w:firstLineChars="0"/>
              <w:rPr>
                <w:szCs w:val="21"/>
              </w:rPr>
            </w:pPr>
            <w:r>
              <w:rPr>
                <w:rFonts w:hint="eastAsia"/>
                <w:szCs w:val="21"/>
              </w:rPr>
              <w:t>（1分）</w:t>
            </w:r>
          </w:p>
        </w:tc>
        <w:tc>
          <w:tcPr>
            <w:tcW w:w="6946" w:type="dxa"/>
            <w:vAlign w:val="center"/>
          </w:tcPr>
          <w:p>
            <w:pPr>
              <w:pStyle w:val="16"/>
              <w:spacing w:after="0" w:line="360" w:lineRule="auto"/>
              <w:ind w:firstLine="0" w:firstLineChars="0"/>
              <w:jc w:val="left"/>
              <w:rPr>
                <w:rFonts w:ascii="宋体" w:hAnsi="宋体" w:cs="宋体"/>
                <w:sz w:val="22"/>
                <w:szCs w:val="22"/>
              </w:rPr>
            </w:pPr>
            <w:r>
              <w:rPr>
                <w:rFonts w:hint="eastAsia"/>
                <w:szCs w:val="21"/>
              </w:rPr>
              <w:t>投标人具有质量管理体系认证、环境管理体系认证、职业健康安全管理体系，体系认证证书的认证范围须包含管道检测或管道疏通或非开挖修复等相关类似内容且在有效期内，同时具有</w:t>
            </w:r>
            <w:r>
              <w:rPr>
                <w:rFonts w:hint="eastAsia"/>
                <w:szCs w:val="21"/>
                <w:lang w:eastAsia="zh-CN"/>
              </w:rPr>
              <w:t>三</w:t>
            </w:r>
            <w:r>
              <w:rPr>
                <w:rFonts w:hint="eastAsia"/>
                <w:szCs w:val="21"/>
              </w:rPr>
              <w:t>个认证证书的得1分，缺一不得分。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13</w:t>
            </w:r>
          </w:p>
        </w:tc>
        <w:tc>
          <w:tcPr>
            <w:tcW w:w="1559" w:type="dxa"/>
            <w:vAlign w:val="center"/>
          </w:tcPr>
          <w:p>
            <w:pPr>
              <w:pStyle w:val="16"/>
              <w:spacing w:after="0" w:line="360" w:lineRule="auto"/>
              <w:ind w:firstLine="0" w:firstLineChars="0"/>
              <w:rPr>
                <w:color w:val="auto"/>
                <w:szCs w:val="21"/>
              </w:rPr>
            </w:pPr>
            <w:r>
              <w:rPr>
                <w:rFonts w:hint="eastAsia"/>
                <w:color w:val="auto"/>
                <w:szCs w:val="21"/>
              </w:rPr>
              <w:t>业绩（</w:t>
            </w:r>
            <w:r>
              <w:rPr>
                <w:color w:val="auto"/>
                <w:szCs w:val="21"/>
              </w:rPr>
              <w:t>1</w:t>
            </w:r>
            <w:r>
              <w:rPr>
                <w:rFonts w:hint="eastAsia"/>
                <w:color w:val="auto"/>
                <w:szCs w:val="21"/>
              </w:rPr>
              <w:t>分）</w:t>
            </w:r>
          </w:p>
        </w:tc>
        <w:tc>
          <w:tcPr>
            <w:tcW w:w="6946" w:type="dxa"/>
            <w:vAlign w:val="center"/>
          </w:tcPr>
          <w:p>
            <w:pPr>
              <w:pStyle w:val="16"/>
              <w:spacing w:after="0" w:line="360" w:lineRule="auto"/>
              <w:ind w:firstLine="0" w:firstLineChars="0"/>
              <w:jc w:val="left"/>
              <w:rPr>
                <w:color w:val="auto"/>
                <w:szCs w:val="21"/>
              </w:rPr>
            </w:pPr>
            <w:r>
              <w:rPr>
                <w:rFonts w:hint="eastAsia"/>
                <w:color w:val="auto"/>
                <w:szCs w:val="21"/>
              </w:rPr>
              <w:t>自2019年1月1日以来（以合同签订时间为准），投标人具有类似业绩的，每提供一个业绩得0.5分，最多得</w:t>
            </w:r>
            <w:r>
              <w:rPr>
                <w:color w:val="auto"/>
                <w:szCs w:val="21"/>
              </w:rPr>
              <w:t>1</w:t>
            </w:r>
            <w:r>
              <w:rPr>
                <w:rFonts w:hint="eastAsia"/>
                <w:color w:val="auto"/>
                <w:szCs w:val="21"/>
              </w:rPr>
              <w:t>分。</w:t>
            </w:r>
          </w:p>
          <w:p>
            <w:pPr>
              <w:pStyle w:val="16"/>
              <w:spacing w:after="0" w:line="360" w:lineRule="auto"/>
              <w:ind w:firstLine="0" w:firstLineChars="0"/>
              <w:jc w:val="left"/>
              <w:rPr>
                <w:color w:val="auto"/>
                <w:szCs w:val="21"/>
              </w:rPr>
            </w:pPr>
            <w:r>
              <w:rPr>
                <w:rFonts w:hint="eastAsia"/>
                <w:color w:val="auto"/>
                <w:szCs w:val="21"/>
              </w:rPr>
              <w:t>（投标文件中</w:t>
            </w:r>
            <w:r>
              <w:rPr>
                <w:color w:val="auto"/>
                <w:szCs w:val="21"/>
              </w:rPr>
              <w:t>须包含但不限于中标公示截图、中标通知书复印件、采购合同复印件</w:t>
            </w:r>
            <w:r>
              <w:rPr>
                <w:rFonts w:hint="eastAsia"/>
                <w:color w:val="auto"/>
                <w:szCs w:val="21"/>
              </w:rPr>
              <w:t>并加盖公章</w:t>
            </w:r>
            <w:r>
              <w:rPr>
                <w:color w:val="auto"/>
                <w:szCs w:val="21"/>
              </w:rPr>
              <w:t>，未提供或提供不全不得分。</w:t>
            </w:r>
            <w:r>
              <w:rPr>
                <w:rFonts w:hint="eastAsia"/>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709" w:type="dxa"/>
            <w:vAlign w:val="center"/>
          </w:tcPr>
          <w:p>
            <w:pPr>
              <w:widowControl/>
              <w:jc w:val="left"/>
              <w:textAlignment w:val="center"/>
              <w:rPr>
                <w:rFonts w:ascii="宋体" w:hAnsi="宋体" w:cs="宋体"/>
                <w:kern w:val="0"/>
                <w:sz w:val="20"/>
                <w:szCs w:val="20"/>
                <w:lang w:bidi="ar"/>
              </w:rPr>
            </w:pPr>
            <w:r>
              <w:rPr>
                <w:rFonts w:ascii="宋体" w:hAnsi="宋体" w:cs="宋体"/>
                <w:kern w:val="0"/>
                <w:sz w:val="20"/>
                <w:szCs w:val="20"/>
                <w:lang w:bidi="ar"/>
              </w:rPr>
              <w:t>14</w:t>
            </w:r>
          </w:p>
        </w:tc>
        <w:tc>
          <w:tcPr>
            <w:tcW w:w="1559" w:type="dxa"/>
            <w:vAlign w:val="center"/>
          </w:tcPr>
          <w:p>
            <w:pPr>
              <w:pStyle w:val="16"/>
              <w:spacing w:after="0" w:line="360" w:lineRule="auto"/>
              <w:ind w:firstLine="0" w:firstLineChars="0"/>
              <w:rPr>
                <w:szCs w:val="21"/>
              </w:rPr>
            </w:pPr>
            <w:r>
              <w:rPr>
                <w:rFonts w:hint="eastAsia"/>
                <w:szCs w:val="21"/>
              </w:rPr>
              <w:t>政策加分</w:t>
            </w:r>
          </w:p>
          <w:p>
            <w:pPr>
              <w:pStyle w:val="16"/>
              <w:spacing w:after="0" w:line="360" w:lineRule="auto"/>
              <w:ind w:firstLine="0" w:firstLineChars="0"/>
              <w:rPr>
                <w:szCs w:val="21"/>
              </w:rPr>
            </w:pPr>
            <w:r>
              <w:rPr>
                <w:rFonts w:hint="eastAsia"/>
                <w:szCs w:val="21"/>
              </w:rPr>
              <w:t>（1分）</w:t>
            </w:r>
          </w:p>
        </w:tc>
        <w:tc>
          <w:tcPr>
            <w:tcW w:w="6946" w:type="dxa"/>
            <w:vAlign w:val="center"/>
          </w:tcPr>
          <w:p>
            <w:pPr>
              <w:spacing w:line="360" w:lineRule="auto"/>
              <w:jc w:val="left"/>
              <w:rPr>
                <w:rFonts w:ascii="宋体" w:hAnsi="宋体" w:cs="宋体"/>
                <w:sz w:val="22"/>
                <w:szCs w:val="22"/>
              </w:rPr>
            </w:pPr>
            <w:r>
              <w:rPr>
                <w:rFonts w:hint="eastAsia" w:ascii="宋体" w:hAnsi="宋体" w:cs="宋体"/>
                <w:sz w:val="22"/>
                <w:szCs w:val="22"/>
              </w:rPr>
              <w:t>投标人是国家认定的不发达地区或少数民族地区企业的加1分。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3" w:hRule="atLeast"/>
        </w:trPr>
        <w:tc>
          <w:tcPr>
            <w:tcW w:w="2268" w:type="dxa"/>
            <w:gridSpan w:val="2"/>
            <w:vAlign w:val="center"/>
          </w:tcPr>
          <w:p>
            <w:pPr>
              <w:autoSpaceDE w:val="0"/>
              <w:autoSpaceDN w:val="0"/>
              <w:snapToGrid w:val="0"/>
              <w:spacing w:line="360" w:lineRule="auto"/>
              <w:contextualSpacing/>
              <w:rPr>
                <w:rFonts w:ascii="宋体" w:hAnsi="宋体" w:cs="宋体"/>
                <w:sz w:val="22"/>
                <w:szCs w:val="22"/>
              </w:rPr>
            </w:pPr>
            <w:r>
              <w:rPr>
                <w:rFonts w:hint="eastAsia" w:ascii="宋体" w:hAnsi="宋体" w:cs="宋体"/>
                <w:kern w:val="0"/>
                <w:sz w:val="22"/>
                <w:szCs w:val="22"/>
              </w:rPr>
              <w:t>报价10分</w:t>
            </w:r>
          </w:p>
        </w:tc>
        <w:tc>
          <w:tcPr>
            <w:tcW w:w="6946" w:type="dxa"/>
            <w:vAlign w:val="center"/>
          </w:tcPr>
          <w:p>
            <w:pPr>
              <w:spacing w:line="360" w:lineRule="auto"/>
            </w:pPr>
            <w:r>
              <w:rPr>
                <w:rFonts w:hint="eastAsia"/>
              </w:rPr>
              <w:t>满足采购文件要求且参与评审价格最低为评标基准价，其价格分为满分，其余投标人的价格分以下列公式计算：</w:t>
            </w:r>
          </w:p>
          <w:p>
            <w:pPr>
              <w:spacing w:line="360" w:lineRule="auto"/>
            </w:pPr>
            <w:r>
              <w:rPr>
                <w:rFonts w:hint="eastAsia"/>
              </w:rPr>
              <w:t>投标报价得分=（评标基准价/参与评审的价格×价格权值×100</w:t>
            </w:r>
          </w:p>
          <w:p>
            <w:pPr>
              <w:spacing w:line="360" w:lineRule="auto"/>
            </w:pPr>
            <w:r>
              <w:rPr>
                <w:rFonts w:hint="eastAsia"/>
              </w:rPr>
              <w:t>参与评审价格=投标价格（投标费率）</w:t>
            </w:r>
          </w:p>
        </w:tc>
      </w:tr>
      <w:bookmarkEnd w:id="56"/>
    </w:tbl>
    <w:p>
      <w:pPr>
        <w:snapToGrid w:val="0"/>
        <w:spacing w:line="360" w:lineRule="auto"/>
        <w:rPr>
          <w:rFonts w:ascii="宋体" w:hAnsi="宋体" w:cs="宋体"/>
          <w:b/>
          <w:sz w:val="24"/>
        </w:rPr>
      </w:pPr>
      <w:bookmarkStart w:id="455" w:name="第五部分"/>
      <w:bookmarkStart w:id="456" w:name="_Toc86217003"/>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kern w:val="0"/>
          <w:sz w:val="24"/>
          <w:lang w:val="zh-CN"/>
        </w:rPr>
        <w:t>供应商</w:t>
      </w:r>
      <w:r>
        <w:rPr>
          <w:rFonts w:hint="eastAsia" w:ascii="宋体" w:hAnsi="宋体" w:cs="宋体"/>
          <w:sz w:val="24"/>
        </w:rPr>
        <w:t>编制投标文件（商务技术文件部分）时，建议按此目录（序号和内容）提供评标标准相应的商务技术资料。 </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一、评标方法</w:t>
      </w:r>
    </w:p>
    <w:p>
      <w:pPr>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w:t>
      </w:r>
      <w:r>
        <w:rPr>
          <w:rFonts w:hint="eastAsia" w:ascii="宋体" w:hAnsi="宋体" w:cs="宋体"/>
          <w:kern w:val="0"/>
          <w:sz w:val="24"/>
          <w:lang w:val="zh-CN"/>
        </w:rPr>
        <w:t>供应商</w:t>
      </w:r>
      <w:r>
        <w:rPr>
          <w:rFonts w:hint="eastAsia" w:ascii="宋体" w:hAnsi="宋体" w:cs="宋体"/>
          <w:kern w:val="0"/>
          <w:sz w:val="24"/>
        </w:rPr>
        <w:t>为中标候选人的评标方法。</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三、评标程序</w:t>
      </w:r>
    </w:p>
    <w:p>
      <w:pPr>
        <w:spacing w:line="360" w:lineRule="auto"/>
        <w:ind w:firstLine="482" w:firstLineChars="200"/>
        <w:rPr>
          <w:rFonts w:ascii="宋体" w:hAnsi="宋体" w:cs="宋体"/>
          <w:kern w:val="0"/>
          <w:sz w:val="24"/>
        </w:rPr>
      </w:pPr>
      <w:r>
        <w:rPr>
          <w:rFonts w:hint="eastAsia" w:ascii="宋体" w:hAnsi="宋体" w:cs="宋体"/>
          <w:b/>
          <w:kern w:val="0"/>
          <w:sz w:val="24"/>
        </w:rPr>
        <w:t>3.1 符合性审查。</w:t>
      </w:r>
      <w:r>
        <w:rPr>
          <w:rFonts w:hint="eastAsia" w:ascii="宋体" w:hAnsi="宋体" w:cs="宋体"/>
          <w:kern w:val="0"/>
          <w:sz w:val="24"/>
        </w:rPr>
        <w:t>评标委员会应当对符合资格的</w:t>
      </w:r>
      <w:r>
        <w:rPr>
          <w:rFonts w:hint="eastAsia" w:ascii="宋体" w:hAnsi="宋体" w:cs="宋体"/>
          <w:kern w:val="0"/>
          <w:sz w:val="24"/>
          <w:lang w:val="zh-CN"/>
        </w:rPr>
        <w:t>供应商</w:t>
      </w:r>
      <w:r>
        <w:rPr>
          <w:rFonts w:hint="eastAsia" w:ascii="宋体" w:hAnsi="宋体" w:cs="宋体"/>
          <w:kern w:val="0"/>
          <w:sz w:val="24"/>
        </w:rPr>
        <w:t>的投标文件进行符合性审查，以确定其是否满足招标文件的实质性要求。不满足招标文件的实质性要求的，投标无效。</w:t>
      </w:r>
    </w:p>
    <w:p>
      <w:pPr>
        <w:spacing w:line="360" w:lineRule="auto"/>
        <w:ind w:firstLine="482" w:firstLineChars="200"/>
        <w:rPr>
          <w:rFonts w:ascii="宋体" w:hAnsi="宋体" w:cs="宋体"/>
          <w:kern w:val="0"/>
          <w:sz w:val="24"/>
        </w:rPr>
      </w:pPr>
      <w:r>
        <w:rPr>
          <w:rFonts w:hint="eastAsia" w:ascii="宋体" w:hAnsi="宋体" w:cs="宋体"/>
          <w:b/>
          <w:kern w:val="0"/>
          <w:sz w:val="24"/>
        </w:rPr>
        <w:t>3.2 商务技术评审。</w:t>
      </w:r>
      <w:r>
        <w:rPr>
          <w:rFonts w:hint="eastAsia" w:ascii="宋体" w:hAnsi="宋体" w:cs="宋体"/>
          <w:kern w:val="0"/>
          <w:sz w:val="24"/>
        </w:rPr>
        <w:t>评标委员会应当按照招标文件中规定的评标方法和标准，对符合性审查合格的投标文件进行商务和技术评估。</w:t>
      </w:r>
    </w:p>
    <w:p>
      <w:pPr>
        <w:spacing w:line="360" w:lineRule="auto"/>
        <w:ind w:firstLine="482" w:firstLineChars="200"/>
        <w:rPr>
          <w:rFonts w:ascii="宋体" w:hAnsi="宋体" w:cs="宋体"/>
          <w:kern w:val="0"/>
          <w:sz w:val="24"/>
        </w:rPr>
      </w:pPr>
      <w:r>
        <w:rPr>
          <w:rFonts w:hint="eastAsia" w:ascii="宋体" w:hAnsi="宋体" w:cs="宋体"/>
          <w:b/>
          <w:kern w:val="0"/>
          <w:sz w:val="24"/>
        </w:rPr>
        <w:t>3.3 汇总商务技术得分。</w:t>
      </w:r>
      <w:r>
        <w:rPr>
          <w:rFonts w:hint="eastAsia" w:ascii="宋体" w:hAnsi="宋体" w:cs="宋体"/>
          <w:kern w:val="0"/>
          <w:sz w:val="24"/>
        </w:rPr>
        <w:t>评标委员会各成员应当独立对每个</w:t>
      </w:r>
      <w:r>
        <w:rPr>
          <w:rFonts w:hint="eastAsia" w:ascii="宋体" w:hAnsi="宋体" w:cs="宋体"/>
          <w:kern w:val="0"/>
          <w:sz w:val="24"/>
          <w:lang w:val="zh-CN"/>
        </w:rPr>
        <w:t>供应商</w:t>
      </w:r>
      <w:r>
        <w:rPr>
          <w:rFonts w:hint="eastAsia" w:ascii="宋体" w:hAnsi="宋体" w:cs="宋体"/>
          <w:kern w:val="0"/>
          <w:sz w:val="24"/>
        </w:rPr>
        <w:t>的商务和技术文件进行评价，并汇总商务技术得分情况。</w:t>
      </w:r>
    </w:p>
    <w:p>
      <w:pPr>
        <w:spacing w:line="360" w:lineRule="auto"/>
        <w:ind w:firstLine="482" w:firstLineChars="200"/>
        <w:rPr>
          <w:rFonts w:ascii="宋体" w:hAnsi="宋体" w:cs="宋体"/>
          <w:b/>
          <w:kern w:val="0"/>
          <w:sz w:val="24"/>
        </w:rPr>
      </w:pPr>
      <w:r>
        <w:rPr>
          <w:rFonts w:hint="eastAsia" w:ascii="宋体" w:hAnsi="宋体" w:cs="宋体"/>
          <w:b/>
          <w:kern w:val="0"/>
          <w:sz w:val="24"/>
        </w:rPr>
        <w:t>3.4 报价评审。</w:t>
      </w:r>
    </w:p>
    <w:p>
      <w:pPr>
        <w:pStyle w:val="39"/>
        <w:spacing w:before="0"/>
        <w:ind w:firstLine="480"/>
        <w:rPr>
          <w:rFonts w:ascii="宋体" w:hAnsi="宋体" w:cs="宋体"/>
          <w:kern w:val="0"/>
        </w:rPr>
      </w:pPr>
      <w:r>
        <w:rPr>
          <w:rFonts w:hint="eastAsia" w:ascii="宋体" w:hAnsi="宋体" w:cs="宋体"/>
          <w:kern w:val="0"/>
        </w:rPr>
        <w:t>3.4.1投标文件报价出现前后不一致的，按照下列规定修正：</w:t>
      </w:r>
    </w:p>
    <w:p>
      <w:pPr>
        <w:pStyle w:val="39"/>
        <w:spacing w:before="0"/>
        <w:ind w:firstLine="480"/>
        <w:rPr>
          <w:rFonts w:ascii="宋体" w:hAnsi="宋体" w:cs="宋体"/>
          <w:kern w:val="0"/>
        </w:rPr>
      </w:pPr>
      <w:r>
        <w:rPr>
          <w:rFonts w:hint="eastAsia" w:ascii="宋体" w:hAnsi="宋体" w:cs="宋体"/>
          <w:kern w:val="0"/>
        </w:rPr>
        <w:t>3.4.1.1电子交易平台生成的开标记录表(报价表)内容与投标文件中开标一览表(报价表)不一致的，以投标文件中开标一览表(报价表)为准；</w:t>
      </w:r>
    </w:p>
    <w:p>
      <w:pPr>
        <w:pStyle w:val="39"/>
        <w:spacing w:before="0"/>
        <w:ind w:firstLine="480"/>
        <w:rPr>
          <w:rFonts w:ascii="宋体" w:hAnsi="宋体" w:cs="宋体"/>
          <w:kern w:val="0"/>
          <w:szCs w:val="24"/>
        </w:rPr>
      </w:pPr>
      <w:r>
        <w:rPr>
          <w:rFonts w:hint="eastAsia" w:ascii="宋体" w:hAnsi="宋体" w:cs="宋体"/>
          <w:kern w:val="0"/>
          <w:szCs w:val="24"/>
        </w:rPr>
        <w:t>3.4.1.2</w:t>
      </w:r>
      <w:r>
        <w:rPr>
          <w:rFonts w:hint="eastAsia" w:ascii="宋体" w:hAnsi="宋体" w:cs="宋体"/>
          <w:kern w:val="0"/>
        </w:rPr>
        <w:t>投标文件中开标一览表(报价表)内容与投标文件中相应内容不一致的，以开标一览表(报价表)为准；</w:t>
      </w:r>
    </w:p>
    <w:p>
      <w:pPr>
        <w:pStyle w:val="39"/>
        <w:spacing w:before="0"/>
        <w:ind w:firstLine="480"/>
        <w:rPr>
          <w:rFonts w:ascii="宋体" w:hAnsi="宋体" w:cs="宋体"/>
          <w:kern w:val="0"/>
          <w:szCs w:val="24"/>
        </w:rPr>
      </w:pPr>
      <w:r>
        <w:rPr>
          <w:rFonts w:hint="eastAsia" w:ascii="宋体" w:hAnsi="宋体" w:cs="宋体"/>
          <w:kern w:val="0"/>
          <w:szCs w:val="24"/>
        </w:rPr>
        <w:t>3.4.1.3 大写金额和小写金额不一致的，以大写金额为准;</w:t>
      </w:r>
    </w:p>
    <w:p>
      <w:pPr>
        <w:pStyle w:val="39"/>
        <w:spacing w:before="0"/>
        <w:ind w:firstLine="480"/>
        <w:rPr>
          <w:rFonts w:ascii="宋体" w:hAnsi="宋体" w:cs="宋体"/>
          <w:kern w:val="0"/>
          <w:szCs w:val="24"/>
        </w:rPr>
      </w:pPr>
      <w:r>
        <w:rPr>
          <w:rFonts w:hint="eastAsia" w:ascii="宋体" w:hAnsi="宋体" w:cs="宋体"/>
          <w:kern w:val="0"/>
          <w:szCs w:val="24"/>
        </w:rPr>
        <w:t>3.4.1.4 单价金额小数点或者百分比有明显错位的，以开标一览表的总价为准，并修改单价;</w:t>
      </w:r>
    </w:p>
    <w:p>
      <w:pPr>
        <w:pStyle w:val="39"/>
        <w:spacing w:before="0"/>
        <w:ind w:firstLine="480"/>
        <w:rPr>
          <w:rFonts w:ascii="宋体" w:hAnsi="宋体" w:cs="宋体"/>
          <w:kern w:val="0"/>
          <w:szCs w:val="24"/>
        </w:rPr>
      </w:pPr>
      <w:r>
        <w:rPr>
          <w:rFonts w:hint="eastAsia" w:ascii="宋体" w:hAnsi="宋体" w:cs="宋体"/>
          <w:kern w:val="0"/>
          <w:szCs w:val="24"/>
        </w:rPr>
        <w:t>3.4.1.5 总价金额与按单价汇总金额不一致的，以单价金额计算结果为准；</w:t>
      </w:r>
    </w:p>
    <w:p>
      <w:pPr>
        <w:pStyle w:val="39"/>
        <w:spacing w:before="0"/>
        <w:ind w:firstLine="480"/>
        <w:rPr>
          <w:rFonts w:ascii="宋体" w:hAnsi="宋体" w:cs="宋体"/>
          <w:kern w:val="0"/>
          <w:szCs w:val="24"/>
        </w:rPr>
      </w:pPr>
      <w:r>
        <w:rPr>
          <w:rFonts w:hint="eastAsia" w:ascii="宋体" w:hAnsi="宋体" w:cs="宋体"/>
          <w:kern w:val="0"/>
          <w:szCs w:val="24"/>
        </w:rPr>
        <w:t>3.4.1.6同时出现两种以上不一致的，按照3.4.1规定的顺序修正。修正后的报价按照财政部第87号令 《政府采购货物和服务招标投标管理办法》第五十一条第二款的规定经</w:t>
      </w:r>
      <w:r>
        <w:rPr>
          <w:rFonts w:hint="eastAsia" w:ascii="宋体" w:hAnsi="宋体" w:cs="宋体"/>
          <w:kern w:val="0"/>
          <w:lang w:val="zh-CN"/>
        </w:rPr>
        <w:t>供应商</w:t>
      </w:r>
      <w:r>
        <w:rPr>
          <w:rFonts w:hint="eastAsia" w:ascii="宋体" w:hAnsi="宋体" w:cs="宋体"/>
          <w:kern w:val="0"/>
          <w:szCs w:val="24"/>
        </w:rPr>
        <w:t>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39"/>
        <w:spacing w:before="0"/>
        <w:ind w:firstLine="480"/>
        <w:rPr>
          <w:rFonts w:ascii="宋体" w:hAnsi="宋体" w:cs="宋体"/>
          <w:kern w:val="0"/>
          <w:szCs w:val="24"/>
        </w:rPr>
      </w:pPr>
      <w:r>
        <w:rPr>
          <w:rFonts w:hint="eastAsia" w:ascii="宋体" w:hAnsi="宋体" w:cs="宋体"/>
          <w:kern w:val="0"/>
          <w:szCs w:val="24"/>
        </w:rPr>
        <w:t>3.4.4评标委员会认为</w:t>
      </w:r>
      <w:r>
        <w:rPr>
          <w:rFonts w:hint="eastAsia" w:ascii="宋体" w:hAnsi="宋体" w:cs="宋体"/>
          <w:kern w:val="0"/>
          <w:lang w:val="zh-CN"/>
        </w:rPr>
        <w:t>供应商</w:t>
      </w:r>
      <w:r>
        <w:rPr>
          <w:rFonts w:hint="eastAsia" w:ascii="宋体" w:hAnsi="宋体" w:cs="宋体"/>
          <w:kern w:val="0"/>
          <w:szCs w:val="24"/>
        </w:rPr>
        <w:t>的报价明显低于其他通过符合性审查</w:t>
      </w:r>
      <w:r>
        <w:rPr>
          <w:rFonts w:hint="eastAsia" w:ascii="宋体" w:hAnsi="宋体" w:cs="宋体"/>
          <w:kern w:val="0"/>
          <w:lang w:val="zh-CN"/>
        </w:rPr>
        <w:t>供应商</w:t>
      </w:r>
      <w:r>
        <w:rPr>
          <w:rFonts w:hint="eastAsia" w:ascii="宋体" w:hAnsi="宋体" w:cs="宋体"/>
          <w:kern w:val="0"/>
          <w:szCs w:val="24"/>
        </w:rPr>
        <w:t>的报价，有可能影响产品质量或者不能诚信履约的，应当要求其在30分钟内提供书面说明，必要时提交相关证明材料;</w:t>
      </w:r>
      <w:r>
        <w:rPr>
          <w:rFonts w:hint="eastAsia" w:ascii="宋体" w:hAnsi="宋体" w:cs="宋体"/>
          <w:kern w:val="0"/>
          <w:lang w:val="zh-CN"/>
        </w:rPr>
        <w:t>供应商</w:t>
      </w:r>
      <w:r>
        <w:rPr>
          <w:rFonts w:hint="eastAsia" w:ascii="宋体" w:hAnsi="宋体" w:cs="宋体"/>
          <w:kern w:val="0"/>
          <w:szCs w:val="24"/>
        </w:rPr>
        <w:t>不能证明其报价合理性的，评标委员会应当将其作为无效投标处理。</w:t>
      </w:r>
    </w:p>
    <w:p>
      <w:pPr>
        <w:spacing w:line="360" w:lineRule="auto"/>
        <w:ind w:firstLine="482" w:firstLineChars="200"/>
        <w:rPr>
          <w:rFonts w:ascii="宋体" w:hAnsi="宋体" w:cs="宋体"/>
          <w:kern w:val="0"/>
          <w:sz w:val="24"/>
        </w:rPr>
      </w:pPr>
      <w:r>
        <w:rPr>
          <w:rFonts w:hint="eastAsia" w:ascii="宋体" w:hAnsi="宋体" w:cs="宋体"/>
          <w:b/>
          <w:kern w:val="0"/>
          <w:sz w:val="24"/>
        </w:rPr>
        <w:t>3.5编写评标报告。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四、评标中的其他事项</w:t>
      </w:r>
    </w:p>
    <w:p>
      <w:pPr>
        <w:pStyle w:val="39"/>
        <w:spacing w:before="0"/>
        <w:ind w:firstLine="482"/>
        <w:rPr>
          <w:rFonts w:ascii="宋体" w:hAnsi="宋体" w:cs="宋体"/>
          <w:kern w:val="0"/>
          <w:szCs w:val="24"/>
        </w:rPr>
      </w:pPr>
      <w:r>
        <w:rPr>
          <w:rFonts w:hint="eastAsia" w:ascii="宋体" w:hAnsi="宋体" w:cs="宋体"/>
          <w:b/>
          <w:kern w:val="0"/>
          <w:szCs w:val="24"/>
        </w:rPr>
        <w:t>4.1投标澄清、说明或者补正。</w:t>
      </w:r>
      <w:r>
        <w:rPr>
          <w:rFonts w:hint="eastAsia" w:ascii="宋体" w:hAnsi="宋体" w:cs="宋体"/>
          <w:kern w:val="0"/>
          <w:szCs w:val="24"/>
        </w:rPr>
        <w:t>对于投标文件中含义不明确、同类问题表述不一致或者有明显文字和计算错误的内容需要</w:t>
      </w:r>
      <w:r>
        <w:rPr>
          <w:rFonts w:hint="eastAsia" w:ascii="宋体" w:hAnsi="宋体" w:cs="宋体"/>
          <w:kern w:val="0"/>
          <w:lang w:val="zh-CN"/>
        </w:rPr>
        <w:t>供应商</w:t>
      </w:r>
      <w:r>
        <w:rPr>
          <w:rFonts w:hint="eastAsia" w:ascii="宋体" w:hAnsi="宋体" w:cs="宋体"/>
          <w:kern w:val="0"/>
          <w:szCs w:val="24"/>
        </w:rPr>
        <w:t>作出必要的澄清、说明或者补正的，评标委员会和</w:t>
      </w:r>
      <w:r>
        <w:rPr>
          <w:rFonts w:hint="eastAsia" w:ascii="宋体" w:hAnsi="宋体" w:cs="宋体"/>
          <w:kern w:val="0"/>
          <w:lang w:val="zh-CN"/>
        </w:rPr>
        <w:t>供应商</w:t>
      </w:r>
      <w:r>
        <w:rPr>
          <w:rFonts w:hint="eastAsia" w:ascii="宋体" w:hAnsi="宋体" w:cs="宋体"/>
          <w:kern w:val="0"/>
          <w:szCs w:val="24"/>
        </w:rPr>
        <w:t>通过电子交易平台交换数据电文，</w:t>
      </w:r>
      <w:r>
        <w:rPr>
          <w:rFonts w:hint="eastAsia" w:ascii="宋体" w:hAnsi="宋体" w:cs="宋体"/>
          <w:kern w:val="0"/>
          <w:lang w:val="zh-CN"/>
        </w:rPr>
        <w:t>供应商</w:t>
      </w:r>
      <w:r>
        <w:rPr>
          <w:rFonts w:hint="eastAsia" w:ascii="宋体" w:hAnsi="宋体" w:cs="宋体"/>
          <w:kern w:val="0"/>
          <w:szCs w:val="24"/>
        </w:rPr>
        <w:t>提交使用电子签名的相关数据电文或通过平台上传加盖公章的扫描件。给予</w:t>
      </w:r>
      <w:r>
        <w:rPr>
          <w:rFonts w:hint="eastAsia" w:ascii="宋体" w:hAnsi="宋体" w:cs="宋体"/>
          <w:kern w:val="0"/>
          <w:lang w:val="zh-CN"/>
        </w:rPr>
        <w:t>供应商</w:t>
      </w:r>
      <w:r>
        <w:rPr>
          <w:rFonts w:hint="eastAsia" w:ascii="宋体" w:hAnsi="宋体" w:cs="宋体"/>
          <w:kern w:val="0"/>
          <w:szCs w:val="24"/>
        </w:rPr>
        <w:t>提交澄清、说明或补正的时间不得少于半小时，</w:t>
      </w:r>
      <w:r>
        <w:rPr>
          <w:rFonts w:hint="eastAsia" w:ascii="宋体" w:hAnsi="宋体" w:cs="宋体"/>
          <w:kern w:val="0"/>
          <w:lang w:val="zh-CN"/>
        </w:rPr>
        <w:t>供应商</w:t>
      </w:r>
      <w:r>
        <w:rPr>
          <w:rFonts w:hint="eastAsia" w:ascii="宋体" w:hAnsi="宋体" w:cs="宋体"/>
          <w:kern w:val="0"/>
          <w:szCs w:val="24"/>
        </w:rPr>
        <w:t>已经明确表示澄清说明或补正完毕的除外。</w:t>
      </w:r>
      <w:r>
        <w:rPr>
          <w:rFonts w:hint="eastAsia" w:ascii="宋体" w:hAnsi="宋体" w:cs="宋体"/>
          <w:kern w:val="0"/>
          <w:lang w:val="zh-CN"/>
        </w:rPr>
        <w:t>供应商</w:t>
      </w:r>
      <w:r>
        <w:rPr>
          <w:rFonts w:hint="eastAsia" w:ascii="宋体" w:hAnsi="宋体" w:cs="宋体"/>
          <w:kern w:val="0"/>
          <w:szCs w:val="24"/>
        </w:rPr>
        <w:t>的澄清、说明或者补正不得超出投标文件的范围或者改变投标文件的实质性内容。</w:t>
      </w:r>
    </w:p>
    <w:p>
      <w:pPr>
        <w:pStyle w:val="8"/>
        <w:spacing w:line="360" w:lineRule="auto"/>
        <w:ind w:firstLine="482"/>
        <w:rPr>
          <w:rFonts w:cs="宋体"/>
          <w:szCs w:val="21"/>
        </w:rPr>
      </w:pPr>
      <w:r>
        <w:rPr>
          <w:rFonts w:hint="eastAsia" w:cs="宋体"/>
          <w:b/>
          <w:kern w:val="0"/>
        </w:rPr>
        <w:t>4.2投标无效的情形。</w:t>
      </w:r>
    </w:p>
    <w:p>
      <w:pPr>
        <w:spacing w:line="360" w:lineRule="auto"/>
        <w:ind w:firstLine="480" w:firstLineChars="200"/>
        <w:rPr>
          <w:rFonts w:ascii="宋体" w:hAnsi="宋体" w:cs="宋体"/>
          <w:kern w:val="0"/>
          <w:sz w:val="24"/>
        </w:rPr>
      </w:pPr>
      <w:r>
        <w:rPr>
          <w:rFonts w:hint="eastAsia" w:ascii="宋体" w:hAnsi="宋体" w:cs="宋体"/>
          <w:kern w:val="0"/>
          <w:sz w:val="24"/>
        </w:rPr>
        <w:t>4.2.1 没有响应招标文件实质性要求的投标将被视为无效投标。</w:t>
      </w:r>
      <w:r>
        <w:rPr>
          <w:rFonts w:hint="eastAsia" w:ascii="宋体" w:hAnsi="宋体" w:cs="宋体"/>
          <w:kern w:val="0"/>
          <w:sz w:val="24"/>
          <w:lang w:val="zh-CN"/>
        </w:rPr>
        <w:t>供应商</w:t>
      </w:r>
      <w:r>
        <w:rPr>
          <w:rFonts w:hint="eastAsia" w:ascii="宋体" w:hAnsi="宋体" w:cs="宋体"/>
          <w:kern w:val="0"/>
          <w:sz w:val="24"/>
        </w:rPr>
        <w:t>不得通过修正或撤销不合要求的偏离或保留从而使其投标成为实质上响应的投标，但经评标委员会认定属于</w:t>
      </w:r>
      <w:r>
        <w:rPr>
          <w:rFonts w:hint="eastAsia" w:ascii="宋体" w:hAnsi="宋体" w:cs="宋体"/>
          <w:kern w:val="0"/>
          <w:sz w:val="24"/>
          <w:lang w:val="zh-CN"/>
        </w:rPr>
        <w:t>供应商</w:t>
      </w:r>
      <w:r>
        <w:rPr>
          <w:rFonts w:hint="eastAsia" w:ascii="宋体" w:hAnsi="宋体" w:cs="宋体"/>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ascii="宋体" w:hAnsi="宋体" w:cs="宋体"/>
          <w:kern w:val="0"/>
          <w:sz w:val="24"/>
          <w:lang w:val="zh-CN"/>
        </w:rPr>
        <w:t>供应商</w:t>
      </w:r>
      <w:r>
        <w:rPr>
          <w:rFonts w:hint="eastAsia" w:ascii="宋体" w:hAnsi="宋体" w:cs="宋体"/>
          <w:kern w:val="0"/>
          <w:sz w:val="24"/>
        </w:rPr>
        <w:t>修改、补正投标文件后，不影响评标委员会对其投标文件所作的评价和评分结果。</w:t>
      </w:r>
    </w:p>
    <w:p>
      <w:pPr>
        <w:spacing w:line="360" w:lineRule="auto"/>
        <w:ind w:firstLine="480" w:firstLineChars="200"/>
        <w:rPr>
          <w:rFonts w:ascii="宋体" w:hAnsi="宋体" w:cs="宋体"/>
          <w:kern w:val="0"/>
          <w:sz w:val="24"/>
        </w:rPr>
      </w:pPr>
      <w:r>
        <w:rPr>
          <w:rFonts w:hint="eastAsia" w:ascii="宋体" w:hAnsi="宋体" w:cs="宋体"/>
          <w:kern w:val="0"/>
          <w:sz w:val="24"/>
        </w:rPr>
        <w:t>4.2.2 在电子开评标时，如发现下列情形之一的，将被视为无效投标文件：</w:t>
      </w:r>
    </w:p>
    <w:p>
      <w:pPr>
        <w:spacing w:line="360" w:lineRule="auto"/>
        <w:ind w:firstLine="480" w:firstLineChars="200"/>
        <w:rPr>
          <w:rFonts w:ascii="宋体" w:hAnsi="宋体" w:cs="宋体"/>
          <w:kern w:val="0"/>
          <w:sz w:val="24"/>
        </w:rPr>
      </w:pPr>
      <w:r>
        <w:rPr>
          <w:rFonts w:hint="eastAsia" w:ascii="宋体" w:hAnsi="宋体" w:cs="宋体"/>
          <w:kern w:val="0"/>
          <w:sz w:val="24"/>
        </w:rPr>
        <w:t>4.2.2.1电子投标文件解密失败的；</w:t>
      </w:r>
    </w:p>
    <w:p>
      <w:pPr>
        <w:spacing w:line="360" w:lineRule="auto"/>
        <w:ind w:firstLine="480" w:firstLineChars="200"/>
        <w:rPr>
          <w:rFonts w:ascii="宋体" w:hAnsi="宋体" w:cs="宋体"/>
          <w:kern w:val="0"/>
          <w:sz w:val="24"/>
        </w:rPr>
      </w:pPr>
      <w:r>
        <w:rPr>
          <w:rFonts w:hint="eastAsia" w:ascii="宋体" w:hAnsi="宋体" w:cs="宋体"/>
          <w:kern w:val="0"/>
          <w:sz w:val="24"/>
        </w:rPr>
        <w:t>4.2.2.2投标文件未按招标文件要求加密、签字、盖章的；</w:t>
      </w:r>
    </w:p>
    <w:p>
      <w:pPr>
        <w:spacing w:line="360" w:lineRule="auto"/>
        <w:ind w:firstLine="480" w:firstLineChars="200"/>
        <w:rPr>
          <w:rFonts w:ascii="宋体" w:hAnsi="宋体" w:cs="宋体"/>
          <w:kern w:val="0"/>
          <w:sz w:val="24"/>
        </w:rPr>
      </w:pPr>
      <w:r>
        <w:rPr>
          <w:rFonts w:hint="eastAsia" w:ascii="宋体" w:hAnsi="宋体" w:cs="宋体"/>
          <w:kern w:val="0"/>
          <w:sz w:val="24"/>
        </w:rPr>
        <w:t>4.2.3 在资格审查、符合性审查和商务评审时，如发现下列情形之一的，将被视为无效投标文件：</w:t>
      </w:r>
    </w:p>
    <w:p>
      <w:pPr>
        <w:spacing w:line="360" w:lineRule="auto"/>
        <w:ind w:firstLine="480" w:firstLineChars="200"/>
        <w:rPr>
          <w:rFonts w:ascii="宋体" w:hAnsi="宋体" w:cs="宋体"/>
          <w:kern w:val="0"/>
          <w:sz w:val="24"/>
        </w:rPr>
      </w:pPr>
      <w:r>
        <w:rPr>
          <w:rFonts w:hint="eastAsia" w:ascii="宋体" w:hAnsi="宋体" w:cs="宋体"/>
          <w:kern w:val="0"/>
          <w:sz w:val="24"/>
        </w:rPr>
        <w:t>4.2.3.1 资格证明文件不全的或者不符合招标文件标明的资格要求的；</w:t>
      </w:r>
    </w:p>
    <w:p>
      <w:pPr>
        <w:spacing w:line="360" w:lineRule="auto"/>
        <w:ind w:firstLine="480" w:firstLineChars="200"/>
        <w:rPr>
          <w:rFonts w:ascii="宋体" w:hAnsi="宋体" w:cs="宋体"/>
          <w:kern w:val="0"/>
          <w:sz w:val="24"/>
        </w:rPr>
      </w:pPr>
      <w:r>
        <w:rPr>
          <w:rFonts w:hint="eastAsia" w:ascii="宋体" w:hAnsi="宋体" w:cs="宋体"/>
          <w:kern w:val="0"/>
          <w:sz w:val="24"/>
        </w:rPr>
        <w:t>4.2.3.2 投标文件未按招标文件要求签署、盖章的；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4.2.3.3 投标代表人未能出具身份证明或身份证明与法定代表授权委托书不符的。</w:t>
      </w:r>
    </w:p>
    <w:p>
      <w:pPr>
        <w:spacing w:line="360" w:lineRule="auto"/>
        <w:ind w:firstLine="480" w:firstLineChars="200"/>
        <w:rPr>
          <w:rFonts w:ascii="宋体" w:hAnsi="宋体" w:cs="宋体"/>
          <w:kern w:val="0"/>
          <w:sz w:val="24"/>
        </w:rPr>
      </w:pPr>
      <w:r>
        <w:rPr>
          <w:rFonts w:hint="eastAsia" w:ascii="宋体" w:hAnsi="宋体" w:cs="宋体"/>
          <w:kern w:val="0"/>
          <w:sz w:val="24"/>
        </w:rPr>
        <w:t>4.2.3.4 投标文件格式不规范、项目不齐全或者内容虚假的；</w:t>
      </w:r>
    </w:p>
    <w:p>
      <w:pPr>
        <w:spacing w:line="360" w:lineRule="auto"/>
        <w:ind w:firstLine="480" w:firstLineChars="200"/>
        <w:rPr>
          <w:rFonts w:ascii="宋体" w:hAnsi="宋体" w:cs="宋体"/>
          <w:kern w:val="0"/>
          <w:sz w:val="24"/>
        </w:rPr>
      </w:pPr>
      <w:r>
        <w:rPr>
          <w:rFonts w:hint="eastAsia" w:ascii="宋体" w:hAnsi="宋体" w:cs="宋体"/>
          <w:kern w:val="0"/>
          <w:sz w:val="24"/>
        </w:rPr>
        <w:t>4.2.3.5 投标文件的实质性内容未使用中文表述、意思表述不明确、前后矛盾或者使用计量单位不符合招标文件要求的（经评标委员会认定并允许其当场更正的笔误除外）；</w:t>
      </w:r>
    </w:p>
    <w:p>
      <w:pPr>
        <w:spacing w:line="360" w:lineRule="auto"/>
        <w:ind w:firstLine="480" w:firstLineChars="200"/>
        <w:rPr>
          <w:rFonts w:ascii="宋体" w:hAnsi="宋体" w:cs="宋体"/>
          <w:kern w:val="0"/>
          <w:sz w:val="24"/>
        </w:rPr>
      </w:pPr>
      <w:r>
        <w:rPr>
          <w:rFonts w:hint="eastAsia" w:ascii="宋体" w:hAnsi="宋体" w:cs="宋体"/>
          <w:kern w:val="0"/>
          <w:sz w:val="24"/>
        </w:rPr>
        <w:t>4.2.3.6 投标有效期、交货时间、质保期等商务条款不能满足招标文件要求的；</w:t>
      </w:r>
    </w:p>
    <w:p>
      <w:pPr>
        <w:spacing w:line="360" w:lineRule="auto"/>
        <w:ind w:firstLine="480" w:firstLineChars="200"/>
        <w:rPr>
          <w:rFonts w:ascii="宋体" w:hAnsi="宋体" w:cs="宋体"/>
          <w:kern w:val="0"/>
          <w:sz w:val="24"/>
        </w:rPr>
      </w:pPr>
      <w:r>
        <w:rPr>
          <w:rFonts w:hint="eastAsia" w:ascii="宋体" w:hAnsi="宋体" w:cs="宋体"/>
          <w:kern w:val="0"/>
          <w:sz w:val="24"/>
        </w:rPr>
        <w:t>4.2.3.7 带“▲”的条款不能满足招标文件要求、未实质性响应招标文件要求或者投标文件有采购人不能接受的附加条件的；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4.2.3.8 单位负责人为同一人或者存在直接控股、管理关系的不同供应商参加同一合同项下的政府采购活动的；</w:t>
      </w:r>
    </w:p>
    <w:p>
      <w:pPr>
        <w:spacing w:line="360" w:lineRule="auto"/>
        <w:ind w:firstLine="480" w:firstLineChars="200"/>
        <w:rPr>
          <w:rFonts w:ascii="宋体" w:hAnsi="宋体" w:cs="宋体"/>
          <w:kern w:val="0"/>
          <w:sz w:val="24"/>
        </w:rPr>
      </w:pPr>
      <w:r>
        <w:rPr>
          <w:rFonts w:hint="eastAsia" w:ascii="宋体" w:hAnsi="宋体" w:cs="宋体"/>
          <w:kern w:val="0"/>
          <w:sz w:val="24"/>
        </w:rPr>
        <w:t>4.2.3.9 为采购项目提供整体设计、规范编制或者项目管理、监理、检测等服务的供应商参加该采购项目的其他采购活动的；</w:t>
      </w:r>
    </w:p>
    <w:p>
      <w:pPr>
        <w:spacing w:line="360" w:lineRule="auto"/>
        <w:ind w:firstLine="480" w:firstLineChars="200"/>
        <w:rPr>
          <w:rFonts w:ascii="宋体" w:hAnsi="宋体" w:cs="宋体"/>
          <w:kern w:val="0"/>
          <w:sz w:val="24"/>
        </w:rPr>
      </w:pPr>
      <w:r>
        <w:rPr>
          <w:rFonts w:hint="eastAsia" w:ascii="宋体" w:hAnsi="宋体" w:cs="宋体"/>
          <w:kern w:val="0"/>
          <w:sz w:val="24"/>
        </w:rPr>
        <w:t>4.2.3.10 商务技术文件中出现本项目投标报价或单价的。</w:t>
      </w:r>
    </w:p>
    <w:p>
      <w:pPr>
        <w:spacing w:line="360" w:lineRule="auto"/>
        <w:ind w:firstLine="480" w:firstLineChars="200"/>
        <w:rPr>
          <w:rFonts w:ascii="宋体" w:hAnsi="宋体" w:cs="宋体"/>
          <w:kern w:val="0"/>
          <w:sz w:val="24"/>
        </w:rPr>
      </w:pPr>
      <w:r>
        <w:rPr>
          <w:rFonts w:hint="eastAsia" w:ascii="宋体" w:hAnsi="宋体" w:cs="宋体"/>
          <w:kern w:val="0"/>
          <w:sz w:val="24"/>
        </w:rPr>
        <w:t>4.3.在技术评审时，如发现下列情形之一的，将被视为无效投标文件：</w:t>
      </w:r>
    </w:p>
    <w:p>
      <w:pPr>
        <w:spacing w:line="360" w:lineRule="auto"/>
        <w:ind w:firstLine="480" w:firstLineChars="200"/>
        <w:rPr>
          <w:rFonts w:ascii="宋体" w:hAnsi="宋体" w:cs="宋体"/>
          <w:kern w:val="0"/>
          <w:sz w:val="24"/>
        </w:rPr>
      </w:pPr>
      <w:r>
        <w:rPr>
          <w:rFonts w:hint="eastAsia" w:ascii="宋体" w:hAnsi="宋体" w:cs="宋体"/>
          <w:kern w:val="0"/>
          <w:sz w:val="24"/>
        </w:rPr>
        <w:t>4.3.1未提供或未如实提供投标货物的技术参数，或者投标文件标明的响应或偏离与事实不符或虚假投标的；</w:t>
      </w:r>
    </w:p>
    <w:p>
      <w:pPr>
        <w:spacing w:line="360" w:lineRule="auto"/>
        <w:ind w:firstLine="480" w:firstLineChars="200"/>
        <w:rPr>
          <w:rFonts w:ascii="宋体" w:hAnsi="宋体" w:cs="宋体"/>
          <w:kern w:val="0"/>
          <w:sz w:val="24"/>
        </w:rPr>
      </w:pPr>
      <w:r>
        <w:rPr>
          <w:rFonts w:hint="eastAsia" w:ascii="宋体" w:hAnsi="宋体" w:cs="宋体"/>
          <w:kern w:val="0"/>
          <w:sz w:val="24"/>
        </w:rPr>
        <w:t>4.3.2 明显不符合招标文件要求的规格型号、质量标准，或者与招标文件中标“▲”的技术指标、主要功能项目发生实质性偏离的；</w:t>
      </w:r>
    </w:p>
    <w:p>
      <w:pPr>
        <w:spacing w:line="360" w:lineRule="auto"/>
        <w:ind w:firstLine="480" w:firstLineChars="200"/>
        <w:rPr>
          <w:rFonts w:ascii="宋体" w:hAnsi="宋体" w:cs="宋体"/>
          <w:kern w:val="0"/>
          <w:sz w:val="24"/>
        </w:rPr>
      </w:pPr>
      <w:r>
        <w:rPr>
          <w:rFonts w:hint="eastAsia" w:ascii="宋体" w:hAnsi="宋体" w:cs="宋体"/>
          <w:kern w:val="0"/>
          <w:sz w:val="24"/>
        </w:rPr>
        <w:t>4.3.3 允许偏离的技术、性能指标或辅助功能项目发生负偏离达10项（含）以上的；</w:t>
      </w:r>
    </w:p>
    <w:p>
      <w:pPr>
        <w:spacing w:line="360" w:lineRule="auto"/>
        <w:ind w:firstLine="480" w:firstLineChars="200"/>
        <w:rPr>
          <w:rFonts w:ascii="宋体" w:hAnsi="宋体" w:cs="宋体"/>
          <w:kern w:val="0"/>
          <w:sz w:val="24"/>
        </w:rPr>
      </w:pPr>
      <w:r>
        <w:rPr>
          <w:rFonts w:hint="eastAsia" w:ascii="宋体" w:hAnsi="宋体" w:cs="宋体"/>
          <w:kern w:val="0"/>
          <w:sz w:val="24"/>
        </w:rPr>
        <w:t>4.3.4 投标技术方案不明确，存在一个或一个以上备选（替代）投标方案的；</w:t>
      </w:r>
    </w:p>
    <w:p>
      <w:pPr>
        <w:spacing w:line="360" w:lineRule="auto"/>
        <w:ind w:firstLine="480" w:firstLineChars="200"/>
        <w:rPr>
          <w:rFonts w:ascii="宋体" w:hAnsi="宋体" w:cs="宋体"/>
          <w:kern w:val="0"/>
          <w:sz w:val="24"/>
        </w:rPr>
      </w:pPr>
      <w:r>
        <w:rPr>
          <w:rFonts w:hint="eastAsia" w:ascii="宋体" w:hAnsi="宋体" w:cs="宋体"/>
          <w:kern w:val="0"/>
          <w:sz w:val="24"/>
        </w:rPr>
        <w:t>4.3.5 与其他参加本次投标</w:t>
      </w:r>
      <w:r>
        <w:rPr>
          <w:rFonts w:hint="eastAsia" w:ascii="宋体" w:hAnsi="宋体" w:cs="宋体"/>
          <w:kern w:val="0"/>
          <w:sz w:val="24"/>
          <w:lang w:val="zh-CN"/>
        </w:rPr>
        <w:t>供应商</w:t>
      </w:r>
      <w:r>
        <w:rPr>
          <w:rFonts w:hint="eastAsia" w:ascii="宋体" w:hAnsi="宋体" w:cs="宋体"/>
          <w:kern w:val="0"/>
          <w:sz w:val="24"/>
        </w:rPr>
        <w:t>的投标文件（技术文件）的文字表述内容差错相同2处以上的；</w:t>
      </w:r>
    </w:p>
    <w:p>
      <w:pPr>
        <w:spacing w:line="360" w:lineRule="auto"/>
        <w:ind w:firstLine="480" w:firstLineChars="200"/>
        <w:rPr>
          <w:rFonts w:ascii="宋体" w:hAnsi="宋体" w:cs="宋体"/>
          <w:kern w:val="0"/>
          <w:sz w:val="24"/>
        </w:rPr>
      </w:pPr>
      <w:r>
        <w:rPr>
          <w:rFonts w:hint="eastAsia" w:ascii="宋体" w:hAnsi="宋体" w:cs="宋体"/>
          <w:kern w:val="0"/>
          <w:sz w:val="24"/>
        </w:rPr>
        <w:t>4.3.6 采购人拟采购的产品属于政府强制采购的节能产品品目清单范围的，</w:t>
      </w:r>
      <w:r>
        <w:rPr>
          <w:rFonts w:hint="eastAsia" w:ascii="宋体" w:hAnsi="宋体" w:cs="宋体"/>
          <w:kern w:val="0"/>
          <w:sz w:val="24"/>
          <w:lang w:val="zh-CN"/>
        </w:rPr>
        <w:t>供应商</w:t>
      </w:r>
      <w:r>
        <w:rPr>
          <w:rFonts w:hint="eastAsia" w:ascii="宋体" w:hAnsi="宋体" w:cs="宋体"/>
          <w:kern w:val="0"/>
          <w:sz w:val="24"/>
        </w:rPr>
        <w:t>未按招标文件要求提供国家确定的认证机构出具的、处于有效期之内的节能产品认证证书的。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4.4 在报价评审时，如发现下列情形之一的，投标文件将被视为无效：</w:t>
      </w:r>
    </w:p>
    <w:p>
      <w:pPr>
        <w:spacing w:line="360" w:lineRule="auto"/>
        <w:ind w:firstLine="480" w:firstLineChars="200"/>
        <w:rPr>
          <w:rFonts w:ascii="宋体" w:hAnsi="宋体" w:cs="宋体"/>
          <w:kern w:val="0"/>
          <w:sz w:val="24"/>
        </w:rPr>
      </w:pPr>
      <w:r>
        <w:rPr>
          <w:rFonts w:hint="eastAsia" w:ascii="宋体" w:hAnsi="宋体" w:cs="宋体"/>
          <w:kern w:val="0"/>
          <w:sz w:val="24"/>
        </w:rPr>
        <w:t>4.4.1 未采用人民币报价或者未按照招标文件标明的币种报价的；</w:t>
      </w:r>
    </w:p>
    <w:p>
      <w:pPr>
        <w:spacing w:line="360" w:lineRule="auto"/>
        <w:ind w:firstLine="480" w:firstLineChars="200"/>
        <w:rPr>
          <w:rFonts w:ascii="宋体" w:hAnsi="宋体" w:cs="宋体"/>
          <w:kern w:val="0"/>
          <w:sz w:val="24"/>
        </w:rPr>
      </w:pPr>
      <w:r>
        <w:rPr>
          <w:rFonts w:hint="eastAsia" w:ascii="宋体" w:hAnsi="宋体" w:cs="宋体"/>
          <w:kern w:val="0"/>
          <w:sz w:val="24"/>
        </w:rPr>
        <w:t>4.4.2 报价超出最高限价，或者超出采购预算金额的；</w:t>
      </w:r>
    </w:p>
    <w:p>
      <w:pPr>
        <w:spacing w:line="360" w:lineRule="auto"/>
        <w:ind w:firstLine="480" w:firstLineChars="200"/>
        <w:rPr>
          <w:rFonts w:ascii="宋体" w:hAnsi="宋体" w:cs="宋体"/>
          <w:kern w:val="0"/>
          <w:sz w:val="24"/>
        </w:rPr>
      </w:pPr>
      <w:r>
        <w:rPr>
          <w:rFonts w:hint="eastAsia" w:ascii="宋体" w:hAnsi="宋体" w:cs="宋体"/>
          <w:kern w:val="0"/>
          <w:sz w:val="24"/>
        </w:rPr>
        <w:t>4.4.3 投标报价具有选择性的；</w:t>
      </w:r>
    </w:p>
    <w:p>
      <w:pPr>
        <w:spacing w:line="360" w:lineRule="auto"/>
        <w:ind w:firstLine="480" w:firstLineChars="200"/>
        <w:rPr>
          <w:rFonts w:ascii="宋体" w:hAnsi="宋体" w:cs="宋体"/>
          <w:kern w:val="0"/>
          <w:sz w:val="24"/>
        </w:rPr>
      </w:pPr>
      <w:r>
        <w:rPr>
          <w:rFonts w:hint="eastAsia" w:ascii="宋体" w:hAnsi="宋体" w:cs="宋体"/>
          <w:kern w:val="0"/>
          <w:sz w:val="24"/>
        </w:rPr>
        <w:t>4.4.4 投标报价中出现缺项、漏项或被评标委员会认定为有可能影响产品质量或者不能诚信履约的且不能在合理的时间内证明其报价合理性的；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4.4.5供应商对根据修正原则修正后的报价不确认的。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4.5其他无效情形：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4.5.1 不同</w:t>
      </w:r>
      <w:r>
        <w:rPr>
          <w:rFonts w:hint="eastAsia" w:ascii="宋体" w:hAnsi="宋体" w:cs="宋体"/>
          <w:kern w:val="0"/>
          <w:sz w:val="24"/>
          <w:lang w:val="zh-CN"/>
        </w:rPr>
        <w:t>供应商</w:t>
      </w:r>
      <w:r>
        <w:rPr>
          <w:rFonts w:hint="eastAsia" w:ascii="宋体" w:hAnsi="宋体" w:cs="宋体"/>
          <w:kern w:val="0"/>
          <w:sz w:val="24"/>
        </w:rPr>
        <w:t>的投标文件出自同一终端设备或在相同Internet主机分配地址（相同IP地址）进行网上报名、投标的；</w:t>
      </w:r>
    </w:p>
    <w:p>
      <w:pPr>
        <w:spacing w:line="360" w:lineRule="auto"/>
        <w:ind w:firstLine="480" w:firstLineChars="200"/>
        <w:rPr>
          <w:rFonts w:ascii="宋体" w:hAnsi="宋体" w:cs="宋体"/>
          <w:kern w:val="0"/>
          <w:sz w:val="24"/>
        </w:rPr>
      </w:pPr>
      <w:r>
        <w:rPr>
          <w:rFonts w:hint="eastAsia" w:ascii="宋体" w:hAnsi="宋体" w:cs="宋体"/>
          <w:kern w:val="0"/>
          <w:sz w:val="24"/>
        </w:rPr>
        <w:t>4.5.2 法律、法规、规章（适用本市的）及省级以上规范性文件（适用本市的）规定的其他无效情形。</w:t>
      </w:r>
    </w:p>
    <w:p>
      <w:pPr>
        <w:pStyle w:val="8"/>
        <w:snapToGrid w:val="0"/>
        <w:spacing w:line="360" w:lineRule="auto"/>
        <w:ind w:firstLine="482"/>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8"/>
        <w:snapToGrid w:val="0"/>
        <w:spacing w:line="360" w:lineRule="auto"/>
        <w:rPr>
          <w:rFonts w:cs="宋体"/>
        </w:rPr>
      </w:pPr>
      <w:r>
        <w:rPr>
          <w:rFonts w:hint="eastAsia" w:cs="宋体"/>
        </w:rPr>
        <w:t>5.1符合专业条件的供应商或者对招标文件作实质响应的供应商不足3家的；</w:t>
      </w:r>
    </w:p>
    <w:p>
      <w:pPr>
        <w:pStyle w:val="8"/>
        <w:snapToGrid w:val="0"/>
        <w:spacing w:line="360" w:lineRule="auto"/>
        <w:rPr>
          <w:rFonts w:cs="宋体"/>
        </w:rPr>
      </w:pPr>
      <w:r>
        <w:rPr>
          <w:rFonts w:hint="eastAsia" w:cs="宋体"/>
        </w:rPr>
        <w:t>5.2出现影响采购公正的违法、违规行为的；</w:t>
      </w:r>
    </w:p>
    <w:p>
      <w:pPr>
        <w:pStyle w:val="8"/>
        <w:snapToGrid w:val="0"/>
        <w:spacing w:line="360" w:lineRule="auto"/>
        <w:rPr>
          <w:rFonts w:cs="宋体"/>
        </w:rPr>
      </w:pPr>
      <w:r>
        <w:rPr>
          <w:rFonts w:hint="eastAsia" w:cs="宋体"/>
        </w:rPr>
        <w:t>5.3</w:t>
      </w:r>
      <w:r>
        <w:rPr>
          <w:rFonts w:hint="eastAsia" w:cs="宋体"/>
          <w:kern w:val="0"/>
          <w:lang w:val="zh-CN"/>
        </w:rPr>
        <w:t>供应商</w:t>
      </w:r>
      <w:r>
        <w:rPr>
          <w:rFonts w:hint="eastAsia" w:cs="宋体"/>
        </w:rPr>
        <w:t>的报价均超过了采购预算，采购人不能支付的；</w:t>
      </w:r>
    </w:p>
    <w:p>
      <w:pPr>
        <w:pStyle w:val="8"/>
        <w:snapToGrid w:val="0"/>
        <w:spacing w:line="360" w:lineRule="auto"/>
        <w:rPr>
          <w:rFonts w:cs="宋体"/>
        </w:rPr>
      </w:pPr>
      <w:r>
        <w:rPr>
          <w:rFonts w:hint="eastAsia" w:cs="宋体"/>
        </w:rPr>
        <w:t>5.4因重大变故，采购任务取消的。</w:t>
      </w:r>
    </w:p>
    <w:p>
      <w:pPr>
        <w:pStyle w:val="8"/>
        <w:snapToGrid w:val="0"/>
        <w:spacing w:line="360" w:lineRule="auto"/>
        <w:rPr>
          <w:rFonts w:cs="宋体"/>
        </w:rPr>
      </w:pPr>
      <w:r>
        <w:rPr>
          <w:rFonts w:hint="eastAsia" w:cs="宋体"/>
        </w:rPr>
        <w:t>废标后，采购代理机构应当将废标理由通知所有</w:t>
      </w:r>
      <w:r>
        <w:rPr>
          <w:rFonts w:hint="eastAsia" w:cs="宋体"/>
          <w:kern w:val="0"/>
          <w:lang w:val="zh-CN"/>
        </w:rPr>
        <w:t>供应商</w:t>
      </w:r>
      <w:r>
        <w:rPr>
          <w:rFonts w:hint="eastAsia" w:cs="宋体"/>
        </w:rPr>
        <w:t>。</w:t>
      </w:r>
    </w:p>
    <w:p>
      <w:pPr>
        <w:pStyle w:val="8"/>
        <w:snapToGrid w:val="0"/>
        <w:spacing w:line="360" w:lineRule="auto"/>
        <w:ind w:firstLine="482"/>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8"/>
        <w:adjustRightInd w:val="0"/>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pPr>
        <w:pStyle w:val="8"/>
        <w:adjustRightInd w:val="0"/>
        <w:snapToGrid w:val="0"/>
        <w:spacing w:line="360" w:lineRule="auto"/>
        <w:rPr>
          <w:rFonts w:cs="宋体"/>
        </w:rPr>
      </w:pPr>
      <w:r>
        <w:rPr>
          <w:rFonts w:hint="eastAsia" w:cs="宋体"/>
        </w:rPr>
        <w:t>7.1未确定中标或者中标人的，终止本次政府采购活动，重新开展政府采购活动。</w:t>
      </w:r>
    </w:p>
    <w:p>
      <w:pPr>
        <w:pStyle w:val="8"/>
        <w:adjustRightInd w:val="0"/>
        <w:snapToGrid w:val="0"/>
        <w:spacing w:line="360" w:lineRule="auto"/>
        <w:rPr>
          <w:rFonts w:cs="宋体"/>
        </w:rPr>
      </w:pPr>
      <w:r>
        <w:rPr>
          <w:rFonts w:hint="eastAsia" w:cs="宋体"/>
        </w:rPr>
        <w:t>7.2已确定中标或者中标人但尚未签订政府采购合同的，中标或者成交结果无效，重新开展政府采购活动。</w:t>
      </w:r>
    </w:p>
    <w:p>
      <w:pPr>
        <w:pStyle w:val="8"/>
        <w:adjustRightInd w:val="0"/>
        <w:snapToGrid w:val="0"/>
        <w:spacing w:line="360" w:lineRule="auto"/>
        <w:rPr>
          <w:rFonts w:cs="宋体"/>
        </w:rPr>
      </w:pPr>
      <w:r>
        <w:rPr>
          <w:rFonts w:hint="eastAsia" w:cs="宋体"/>
        </w:rPr>
        <w:t>7.3政府采购合同已签订但尚未履行的，撤销合同，重新开展政府采购活动。</w:t>
      </w:r>
    </w:p>
    <w:p>
      <w:pPr>
        <w:pStyle w:val="8"/>
        <w:adjustRightInd w:val="0"/>
        <w:snapToGrid w:val="0"/>
        <w:spacing w:line="360" w:lineRule="auto"/>
        <w:rPr>
          <w:rFonts w:cs="宋体"/>
        </w:rPr>
      </w:pPr>
      <w:r>
        <w:rPr>
          <w:rFonts w:hint="eastAsia" w:cs="宋体"/>
        </w:rPr>
        <w:t>7.4政府采购合同已经履行，给采购人、供应商造成损失的，由责任人承担赔偿责任。</w:t>
      </w:r>
    </w:p>
    <w:p>
      <w:pPr>
        <w:pStyle w:val="8"/>
        <w:adjustRightInd w:val="0"/>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p>
      <w:pPr>
        <w:pStyle w:val="8"/>
        <w:numPr>
          <w:ilvl w:val="0"/>
          <w:numId w:val="12"/>
        </w:numPr>
        <w:adjustRightInd w:val="0"/>
        <w:snapToGrid w:val="0"/>
        <w:spacing w:line="360" w:lineRule="auto"/>
        <w:ind w:firstLine="0" w:firstLineChars="0"/>
        <w:jc w:val="center"/>
        <w:rPr>
          <w:rFonts w:cs="宋体"/>
          <w:b/>
          <w:sz w:val="36"/>
          <w:szCs w:val="36"/>
        </w:rPr>
      </w:pPr>
      <w:r>
        <w:rPr>
          <w:rFonts w:hint="eastAsia" w:cs="宋体"/>
          <w:b/>
          <w:sz w:val="36"/>
          <w:szCs w:val="36"/>
        </w:rPr>
        <w:t>政府采购合同（参考）</w:t>
      </w:r>
    </w:p>
    <w:p>
      <w:pPr>
        <w:pStyle w:val="8"/>
        <w:adjustRightInd w:val="0"/>
        <w:snapToGrid w:val="0"/>
        <w:spacing w:line="360" w:lineRule="auto"/>
        <w:ind w:firstLine="0" w:firstLineChars="0"/>
        <w:rPr>
          <w:rFonts w:cs="宋体"/>
        </w:rPr>
      </w:pPr>
      <w:r>
        <w:rPr>
          <w:rFonts w:hint="eastAsia" w:cs="宋体"/>
        </w:rPr>
        <w:t>（此合同文本仅供参考，具体以采购人与中标人签订的合同条款为准，最终签订合同的主要条款不能与招标文件冲突）</w:t>
      </w:r>
    </w:p>
    <w:p>
      <w:pPr>
        <w:spacing w:line="360" w:lineRule="auto"/>
        <w:rPr>
          <w:rFonts w:ascii="宋体" w:hAnsi="宋体" w:cs="宋体"/>
          <w:sz w:val="24"/>
          <w:u w:val="single"/>
        </w:rPr>
      </w:pPr>
      <w:bookmarkStart w:id="457" w:name="_Toc331685783"/>
      <w:r>
        <w:rPr>
          <w:rFonts w:hint="eastAsia" w:ascii="宋体" w:hAnsi="宋体" w:cs="宋体"/>
          <w:sz w:val="24"/>
        </w:rPr>
        <w:t>合同编号：</w:t>
      </w:r>
      <w:r>
        <w:rPr>
          <w:rFonts w:hint="eastAsia" w:ascii="宋体" w:hAnsi="宋体" w:cs="宋体"/>
          <w:sz w:val="24"/>
          <w:u w:val="single"/>
        </w:rPr>
        <w:t xml:space="preserve">           </w:t>
      </w:r>
    </w:p>
    <w:p>
      <w:pPr>
        <w:spacing w:line="360" w:lineRule="auto"/>
        <w:jc w:val="center"/>
        <w:rPr>
          <w:rFonts w:ascii="宋体" w:hAnsi="宋体" w:cs="宋体"/>
          <w:b/>
          <w:sz w:val="28"/>
          <w:szCs w:val="28"/>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36"/>
          <w:szCs w:val="36"/>
        </w:rPr>
      </w:pPr>
      <w:r>
        <w:rPr>
          <w:rFonts w:hint="eastAsia" w:ascii="宋体" w:hAnsi="宋体" w:cs="宋体"/>
          <w:b/>
          <w:sz w:val="36"/>
          <w:szCs w:val="36"/>
        </w:rPr>
        <w:t>政府采购合同</w:t>
      </w:r>
    </w:p>
    <w:p>
      <w:pPr>
        <w:spacing w:line="360" w:lineRule="auto"/>
        <w:jc w:val="center"/>
        <w:rPr>
          <w:rFonts w:ascii="宋体" w:hAnsi="宋体" w:cs="宋体"/>
          <w:b/>
          <w:sz w:val="36"/>
          <w:szCs w:val="36"/>
        </w:rPr>
      </w:pPr>
      <w:r>
        <w:rPr>
          <w:rFonts w:hint="eastAsia" w:ascii="宋体" w:hAnsi="宋体" w:cs="宋体"/>
          <w:b/>
          <w:sz w:val="36"/>
          <w:szCs w:val="36"/>
        </w:rPr>
        <w:t>（服务类）</w:t>
      </w:r>
    </w:p>
    <w:p>
      <w:pPr>
        <w:pStyle w:val="40"/>
        <w:ind w:left="0" w:leftChars="0" w:firstLine="0" w:firstLineChars="0"/>
        <w:rPr>
          <w:rFonts w:ascii="宋体" w:hAnsi="宋体" w:cs="宋体"/>
          <w:szCs w:val="24"/>
        </w:rPr>
      </w:pPr>
    </w:p>
    <w:p>
      <w:pPr>
        <w:pStyle w:val="40"/>
        <w:rPr>
          <w:rFonts w:ascii="宋体" w:hAnsi="宋体" w:cs="宋体"/>
          <w:szCs w:val="24"/>
        </w:rPr>
      </w:pPr>
    </w:p>
    <w:p>
      <w:pPr>
        <w:pStyle w:val="40"/>
        <w:ind w:left="0" w:leftChars="0" w:firstLine="0" w:firstLineChars="0"/>
        <w:rPr>
          <w:rFonts w:ascii="宋体" w:hAnsi="宋体" w:cs="宋体"/>
          <w:szCs w:val="24"/>
        </w:rPr>
      </w:pPr>
    </w:p>
    <w:p>
      <w:pPr>
        <w:spacing w:before="120" w:line="360" w:lineRule="auto"/>
        <w:rPr>
          <w:rFonts w:ascii="宋体" w:hAnsi="宋体" w:cs="宋体"/>
          <w:sz w:val="24"/>
        </w:rPr>
      </w:pPr>
    </w:p>
    <w:p>
      <w:pPr>
        <w:spacing w:before="120" w:line="360" w:lineRule="auto"/>
        <w:ind w:left="960" w:firstLine="720" w:firstLineChars="300"/>
        <w:rPr>
          <w:rFonts w:ascii="宋体" w:hAnsi="宋体" w:cs="宋体"/>
          <w:sz w:val="24"/>
        </w:rPr>
      </w:pPr>
      <w:r>
        <w:rPr>
          <w:rFonts w:hint="eastAsia" w:ascii="宋体" w:hAnsi="宋体" w:cs="宋体"/>
          <w:sz w:val="24"/>
        </w:rPr>
        <w:t>项目名称：</w:t>
      </w:r>
      <w:r>
        <w:rPr>
          <w:rFonts w:hint="eastAsia" w:hAnsi="宋体" w:cs="宋体"/>
          <w:spacing w:val="-6"/>
          <w:sz w:val="24"/>
          <w:u w:val="single"/>
        </w:rPr>
        <w:t>奉化区市政排水管网修复（检测）项目</w:t>
      </w:r>
    </w:p>
    <w:p>
      <w:pPr>
        <w:pStyle w:val="36"/>
        <w:spacing w:before="120"/>
        <w:rPr>
          <w:rFonts w:ascii="宋体" w:hAnsi="宋体" w:eastAsia="宋体" w:cs="宋体"/>
          <w:szCs w:val="24"/>
        </w:rPr>
      </w:pPr>
    </w:p>
    <w:p>
      <w:pPr>
        <w:pStyle w:val="36"/>
        <w:spacing w:before="120"/>
        <w:rPr>
          <w:rFonts w:ascii="宋体" w:hAnsi="宋体" w:eastAsia="宋体" w:cs="宋体"/>
          <w:szCs w:val="24"/>
        </w:rPr>
      </w:pPr>
    </w:p>
    <w:p>
      <w:pPr>
        <w:spacing w:line="360" w:lineRule="auto"/>
        <w:rPr>
          <w:rFonts w:ascii="宋体" w:hAnsi="宋体" w:cs="宋体"/>
          <w:sz w:val="24"/>
        </w:rPr>
      </w:pPr>
    </w:p>
    <w:p>
      <w:pPr>
        <w:spacing w:before="120" w:line="600" w:lineRule="auto"/>
        <w:ind w:left="960" w:firstLine="720" w:firstLineChars="300"/>
        <w:rPr>
          <w:rFonts w:ascii="宋体" w:hAnsi="宋体" w:cs="宋体"/>
          <w:sz w:val="24"/>
        </w:rPr>
      </w:pPr>
      <w:r>
        <w:rPr>
          <w:rFonts w:hint="eastAsia" w:ascii="宋体" w:hAnsi="宋体" w:cs="宋体"/>
          <w:sz w:val="24"/>
        </w:rPr>
        <w:t>甲方：</w:t>
      </w:r>
      <w:r>
        <w:rPr>
          <w:rFonts w:hint="eastAsia" w:ascii="宋体" w:hAnsi="宋体" w:cs="宋体"/>
          <w:sz w:val="24"/>
          <w:u w:val="single"/>
        </w:rPr>
        <w:t xml:space="preserve"> </w:t>
      </w:r>
      <w:r>
        <w:rPr>
          <w:rFonts w:hint="eastAsia" w:hAnsi="宋体" w:cs="宋体"/>
          <w:spacing w:val="-6"/>
          <w:sz w:val="24"/>
          <w:u w:val="single"/>
        </w:rPr>
        <w:t>宁波市奉化区综合行政执法局</w:t>
      </w:r>
      <w:r>
        <w:rPr>
          <w:rFonts w:hint="eastAsia" w:ascii="宋体" w:hAnsi="宋体" w:cs="宋体"/>
          <w:sz w:val="32"/>
          <w:szCs w:val="32"/>
          <w:u w:val="single"/>
        </w:rPr>
        <w:t xml:space="preserve">  </w:t>
      </w:r>
      <w:r>
        <w:rPr>
          <w:rFonts w:hint="eastAsia" w:ascii="宋体" w:hAnsi="宋体" w:cs="宋体"/>
          <w:sz w:val="24"/>
          <w:u w:val="single"/>
        </w:rPr>
        <w:t xml:space="preserve">                 </w:t>
      </w:r>
    </w:p>
    <w:p>
      <w:pPr>
        <w:spacing w:before="120" w:line="600" w:lineRule="auto"/>
        <w:ind w:left="960" w:firstLine="720" w:firstLineChars="300"/>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p>
    <w:p>
      <w:pPr>
        <w:spacing w:before="120" w:line="600" w:lineRule="auto"/>
        <w:ind w:firstLine="1680" w:firstLineChars="700"/>
        <w:rPr>
          <w:rFonts w:ascii="宋体" w:hAnsi="宋体" w:cs="宋体"/>
          <w:sz w:val="24"/>
        </w:rPr>
      </w:pPr>
      <w:r>
        <w:rPr>
          <w:rFonts w:hint="eastAsia" w:ascii="宋体" w:hAnsi="宋体" w:cs="宋体"/>
          <w:sz w:val="24"/>
        </w:rPr>
        <w:t>签订地：</w:t>
      </w:r>
      <w:r>
        <w:rPr>
          <w:rFonts w:hint="eastAsia" w:ascii="宋体" w:hAnsi="宋体" w:cs="宋体"/>
          <w:sz w:val="24"/>
          <w:u w:val="single"/>
        </w:rPr>
        <w:t xml:space="preserve">                                     </w:t>
      </w:r>
    </w:p>
    <w:p>
      <w:pPr>
        <w:spacing w:before="120" w:line="600" w:lineRule="auto"/>
        <w:ind w:firstLine="1680" w:firstLineChars="700"/>
        <w:rPr>
          <w:rFonts w:ascii="宋体" w:hAnsi="宋体" w:cs="宋体"/>
          <w:sz w:val="24"/>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rPr>
          <w:rFonts w:ascii="宋体" w:hAnsi="宋体" w:cs="宋体"/>
          <w:sz w:val="24"/>
          <w:lang w:val="zh-CN"/>
        </w:rPr>
      </w:pPr>
      <w:r>
        <w:rPr>
          <w:rFonts w:hint="eastAsia" w:ascii="宋体" w:hAnsi="宋体" w:cs="宋体"/>
          <w:sz w:val="24"/>
          <w:u w:val="single"/>
          <w:lang w:val="zh-CN"/>
        </w:rPr>
        <w:br w:type="page"/>
      </w: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u w:val="single"/>
          <w:lang w:val="zh-CN"/>
        </w:rPr>
        <w:t xml:space="preserve">   （采购人）   </w:t>
      </w:r>
      <w:r>
        <w:rPr>
          <w:rFonts w:hint="eastAsia" w:ascii="宋体" w:hAnsi="宋体" w:cs="宋体"/>
          <w:sz w:val="24"/>
          <w:lang w:val="zh-CN"/>
        </w:rPr>
        <w:t>以</w:t>
      </w:r>
      <w:r>
        <w:rPr>
          <w:rFonts w:hint="eastAsia" w:ascii="宋体" w:hAnsi="宋体" w:cs="宋体"/>
          <w:sz w:val="24"/>
          <w:u w:val="single"/>
          <w:lang w:val="zh-CN"/>
        </w:rPr>
        <w:t xml:space="preserve">   （政府采购方式）  </w:t>
      </w:r>
      <w:r>
        <w:rPr>
          <w:rFonts w:hint="eastAsia" w:ascii="宋体" w:hAnsi="宋体" w:cs="宋体"/>
          <w:sz w:val="24"/>
          <w:lang w:val="zh-CN"/>
        </w:rPr>
        <w:t>对</w:t>
      </w:r>
      <w:r>
        <w:rPr>
          <w:rFonts w:hint="eastAsia" w:ascii="宋体" w:hAnsi="宋体" w:cs="宋体"/>
          <w:sz w:val="24"/>
          <w:u w:val="single"/>
          <w:lang w:val="zh-CN"/>
        </w:rPr>
        <w:t xml:space="preserve">   （同前页项目名称）   </w:t>
      </w:r>
      <w:r>
        <w:rPr>
          <w:rFonts w:hint="eastAsia" w:ascii="宋体" w:hAnsi="宋体" w:cs="宋体"/>
          <w:sz w:val="24"/>
          <w:lang w:val="zh-CN"/>
        </w:rPr>
        <w:t>项目进行了采购。经</w:t>
      </w:r>
      <w:r>
        <w:rPr>
          <w:rFonts w:hint="eastAsia" w:ascii="宋体" w:hAnsi="宋体" w:cs="宋体"/>
          <w:sz w:val="24"/>
          <w:u w:val="single"/>
          <w:lang w:val="zh-CN"/>
        </w:rPr>
        <w:t xml:space="preserve">   （相关评定主体名称）   </w:t>
      </w:r>
      <w:r>
        <w:rPr>
          <w:rFonts w:hint="eastAsia" w:ascii="宋体" w:hAnsi="宋体" w:cs="宋体"/>
          <w:sz w:val="24"/>
          <w:lang w:val="zh-CN"/>
        </w:rPr>
        <w:t>评定，</w:t>
      </w:r>
      <w:r>
        <w:rPr>
          <w:rFonts w:hint="eastAsia" w:ascii="宋体" w:hAnsi="宋体" w:cs="宋体"/>
          <w:sz w:val="24"/>
          <w:u w:val="single"/>
          <w:lang w:val="zh-CN"/>
        </w:rPr>
        <w:t xml:space="preserve">   （中标供应商名称）</w:t>
      </w:r>
      <w:r>
        <w:rPr>
          <w:rFonts w:hint="eastAsia" w:ascii="宋体" w:hAnsi="宋体" w:cs="宋体"/>
          <w:sz w:val="24"/>
          <w:lang w:val="zh-CN"/>
        </w:rPr>
        <w:t>为该项目中标供应商。现于中标通知书发出之日起三十日内，按照采购文件确定的事项签订本合同。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adjustRightInd w:val="0"/>
        <w:spacing w:line="360" w:lineRule="auto"/>
        <w:ind w:firstLine="482" w:firstLineChars="200"/>
        <w:outlineLvl w:val="0"/>
        <w:rPr>
          <w:rFonts w:ascii="宋体" w:hAnsi="宋体" w:cs="宋体"/>
          <w:b/>
          <w:sz w:val="24"/>
        </w:rPr>
      </w:pPr>
      <w:r>
        <w:rPr>
          <w:rFonts w:hint="eastAsia" w:ascii="宋体" w:hAnsi="宋体" w:cs="宋体"/>
          <w:b/>
          <w:sz w:val="24"/>
        </w:rPr>
        <w:t>1 定义</w:t>
      </w:r>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1.1 “合同”系指采购人和中标供应商签订的载明双方当事人所达成的协议，并包括所有的附件、附录和构成合同的其他文件。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1.2 “合同价”系指根据合同约定，中标供应商在完全履行合同义务后，采购人应支付给中标供应商的价格。</w:t>
      </w:r>
    </w:p>
    <w:p>
      <w:pPr>
        <w:spacing w:line="360" w:lineRule="auto"/>
        <w:ind w:firstLine="480" w:firstLineChars="200"/>
        <w:rPr>
          <w:rFonts w:ascii="宋体" w:hAnsi="宋体" w:cs="宋体"/>
          <w:sz w:val="24"/>
        </w:rPr>
      </w:pPr>
      <w:r>
        <w:rPr>
          <w:rFonts w:hint="eastAsia" w:ascii="宋体" w:hAnsi="宋体" w:cs="宋体"/>
          <w:sz w:val="24"/>
        </w:rPr>
        <w:t>1.3 “服务”系指中标供应商根据合同约定应为采购人提供的一切服务。</w:t>
      </w:r>
    </w:p>
    <w:p>
      <w:pPr>
        <w:spacing w:line="360" w:lineRule="auto"/>
        <w:ind w:firstLine="480" w:firstLineChars="200"/>
        <w:rPr>
          <w:rFonts w:ascii="宋体" w:hAnsi="宋体" w:cs="宋体"/>
          <w:sz w:val="24"/>
        </w:rPr>
      </w:pPr>
      <w:r>
        <w:rPr>
          <w:rFonts w:hint="eastAsia" w:ascii="宋体" w:hAnsi="宋体" w:cs="宋体"/>
          <w:sz w:val="24"/>
        </w:rPr>
        <w:t>1.4 “甲方”系指与中标供应商签署合同的采购人；采购人委托采购代理机构代表其与乙方签订合同的，采购人的授权委托书作为合同附件。</w:t>
      </w:r>
    </w:p>
    <w:p>
      <w:pPr>
        <w:spacing w:line="360" w:lineRule="auto"/>
        <w:ind w:firstLine="480" w:firstLineChars="200"/>
        <w:rPr>
          <w:rFonts w:ascii="宋体" w:hAnsi="宋体" w:cs="宋体"/>
          <w:sz w:val="24"/>
        </w:rPr>
      </w:pPr>
      <w:r>
        <w:rPr>
          <w:rFonts w:hint="eastAsia" w:ascii="宋体" w:hAnsi="宋体" w:cs="宋体"/>
          <w:sz w:val="24"/>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b/>
          <w:sz w:val="24"/>
        </w:rPr>
      </w:pPr>
      <w:r>
        <w:rPr>
          <w:rFonts w:hint="eastAsia" w:ascii="宋体" w:hAnsi="宋体" w:cs="宋体"/>
          <w:sz w:val="24"/>
        </w:rPr>
        <w:t>1.6 “现场”系指合同约定中标供应商为采购人提供服务的地点。</w:t>
      </w:r>
    </w:p>
    <w:p>
      <w:pPr>
        <w:adjustRightInd w:val="0"/>
        <w:spacing w:line="360" w:lineRule="auto"/>
        <w:ind w:firstLine="482" w:firstLineChars="200"/>
        <w:outlineLvl w:val="0"/>
        <w:rPr>
          <w:rFonts w:ascii="宋体" w:hAnsi="宋体" w:cs="宋体"/>
          <w:b/>
          <w:sz w:val="24"/>
        </w:rPr>
      </w:pPr>
      <w:r>
        <w:rPr>
          <w:rFonts w:hint="eastAsia" w:ascii="宋体" w:hAnsi="宋体" w:cs="宋体"/>
          <w:b/>
          <w:sz w:val="24"/>
        </w:rPr>
        <w:t>2 合同组成部分</w:t>
      </w:r>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s="宋体"/>
          <w:sz w:val="24"/>
        </w:rPr>
      </w:pPr>
      <w:r>
        <w:rPr>
          <w:rFonts w:hint="eastAsia" w:ascii="宋体" w:hAnsi="宋体" w:cs="宋体"/>
          <w:sz w:val="24"/>
        </w:rPr>
        <w:t>2.1 本合同及其附件、补充合同、变更协议；</w:t>
      </w:r>
    </w:p>
    <w:p>
      <w:pPr>
        <w:spacing w:line="360" w:lineRule="auto"/>
        <w:ind w:firstLine="480" w:firstLineChars="200"/>
        <w:rPr>
          <w:rFonts w:ascii="宋体" w:hAnsi="宋体" w:cs="宋体"/>
          <w:sz w:val="24"/>
        </w:rPr>
      </w:pPr>
      <w:r>
        <w:rPr>
          <w:rFonts w:hint="eastAsia" w:ascii="宋体" w:hAnsi="宋体" w:cs="宋体"/>
          <w:sz w:val="24"/>
        </w:rPr>
        <w:t>2.2 中标通知书；</w:t>
      </w:r>
    </w:p>
    <w:p>
      <w:pPr>
        <w:spacing w:line="360" w:lineRule="auto"/>
        <w:ind w:firstLine="480" w:firstLineChars="200"/>
        <w:rPr>
          <w:rFonts w:ascii="宋体" w:hAnsi="宋体" w:cs="宋体"/>
          <w:sz w:val="24"/>
        </w:rPr>
      </w:pPr>
      <w:r>
        <w:rPr>
          <w:rFonts w:hint="eastAsia" w:ascii="宋体" w:hAnsi="宋体" w:cs="宋体"/>
          <w:sz w:val="24"/>
        </w:rPr>
        <w:t>2.3 投标文件（含澄清或者说明文件）；</w:t>
      </w:r>
    </w:p>
    <w:p>
      <w:pPr>
        <w:spacing w:line="360" w:lineRule="auto"/>
        <w:ind w:firstLine="480" w:firstLineChars="200"/>
        <w:rPr>
          <w:rFonts w:ascii="宋体" w:hAnsi="宋体" w:cs="宋体"/>
          <w:sz w:val="24"/>
        </w:rPr>
      </w:pPr>
      <w:r>
        <w:rPr>
          <w:rFonts w:hint="eastAsia" w:ascii="宋体" w:hAnsi="宋体" w:cs="宋体"/>
          <w:sz w:val="24"/>
        </w:rPr>
        <w:t>2.4 招标文件（含澄清或者修改文件）；</w:t>
      </w:r>
    </w:p>
    <w:p>
      <w:pPr>
        <w:spacing w:line="360" w:lineRule="auto"/>
        <w:ind w:firstLine="480" w:firstLineChars="200"/>
        <w:rPr>
          <w:rFonts w:ascii="宋体" w:hAnsi="宋体" w:cs="宋体"/>
          <w:sz w:val="24"/>
        </w:rPr>
      </w:pPr>
      <w:r>
        <w:rPr>
          <w:rFonts w:hint="eastAsia" w:ascii="宋体" w:hAnsi="宋体" w:cs="宋体"/>
          <w:sz w:val="24"/>
        </w:rPr>
        <w:t>2.5 其他相关采购文件。</w:t>
      </w:r>
    </w:p>
    <w:p>
      <w:pPr>
        <w:adjustRightInd w:val="0"/>
        <w:spacing w:line="360" w:lineRule="auto"/>
        <w:ind w:firstLine="482" w:firstLineChars="200"/>
        <w:outlineLvl w:val="0"/>
        <w:rPr>
          <w:rFonts w:ascii="宋体" w:hAnsi="宋体" w:cs="宋体"/>
          <w:b/>
          <w:sz w:val="24"/>
        </w:rPr>
      </w:pPr>
      <w:r>
        <w:rPr>
          <w:rFonts w:hint="eastAsia" w:ascii="宋体" w:hAnsi="宋体" w:cs="宋体"/>
          <w:b/>
          <w:sz w:val="24"/>
        </w:rPr>
        <w:t>3 服务内容</w:t>
      </w:r>
    </w:p>
    <w:p>
      <w:pPr>
        <w:pStyle w:val="35"/>
        <w:spacing w:line="360" w:lineRule="auto"/>
        <w:rPr>
          <w:color w:val="auto"/>
        </w:rPr>
      </w:pPr>
    </w:p>
    <w:p>
      <w:pPr>
        <w:spacing w:line="360" w:lineRule="auto"/>
        <w:rPr>
          <w:rFonts w:ascii="宋体" w:hAnsi="宋体"/>
          <w:smallCaps/>
          <w:sz w:val="24"/>
          <w:lang w:bidi="en-US"/>
        </w:rPr>
      </w:pPr>
      <w:r>
        <w:rPr>
          <w:rFonts w:hint="eastAsia" w:ascii="宋体" w:hAnsi="宋体"/>
          <w:smallCaps/>
          <w:sz w:val="24"/>
          <w:lang w:bidi="en-US"/>
        </w:rPr>
        <w:t>四、权利和义务</w:t>
      </w:r>
    </w:p>
    <w:p>
      <w:pPr>
        <w:spacing w:line="360" w:lineRule="auto"/>
        <w:ind w:firstLine="405"/>
        <w:rPr>
          <w:rFonts w:ascii="宋体" w:hAnsi="宋体"/>
          <w:sz w:val="24"/>
        </w:rPr>
      </w:pPr>
      <w:r>
        <w:rPr>
          <w:rFonts w:hint="eastAsia" w:ascii="宋体" w:hAnsi="宋体"/>
          <w:sz w:val="24"/>
        </w:rPr>
        <w:t>（一）甲方的权利和义务：按合同约定支付合同款项</w:t>
      </w:r>
    </w:p>
    <w:p>
      <w:pPr>
        <w:spacing w:line="360" w:lineRule="auto"/>
        <w:ind w:left="405"/>
        <w:rPr>
          <w:rFonts w:ascii="宋体" w:hAnsi="宋体"/>
          <w:sz w:val="24"/>
        </w:rPr>
      </w:pPr>
      <w:r>
        <w:rPr>
          <w:rFonts w:hint="eastAsia" w:ascii="宋体" w:hAnsi="宋体"/>
          <w:sz w:val="24"/>
        </w:rPr>
        <w:t>（二）乙方的权利和义务：</w:t>
      </w:r>
      <w:r>
        <w:rPr>
          <w:rFonts w:hint="eastAsia" w:ascii="宋体" w:hAnsi="宋体" w:cs="宋体"/>
          <w:kern w:val="1"/>
          <w:sz w:val="24"/>
        </w:rPr>
        <w:t>按合同约定完成本项目全部服务内容。</w:t>
      </w:r>
    </w:p>
    <w:p>
      <w:pPr>
        <w:adjustRightInd w:val="0"/>
        <w:spacing w:line="360" w:lineRule="auto"/>
        <w:ind w:firstLine="482" w:firstLineChars="200"/>
        <w:outlineLvl w:val="0"/>
        <w:rPr>
          <w:rFonts w:ascii="宋体" w:hAnsi="宋体" w:cs="宋体"/>
          <w:b/>
          <w:sz w:val="24"/>
        </w:rPr>
      </w:pPr>
      <w:r>
        <w:rPr>
          <w:rFonts w:hint="eastAsia" w:ascii="宋体" w:hAnsi="宋体" w:cs="宋体"/>
          <w:b/>
          <w:sz w:val="24"/>
        </w:rPr>
        <w:t>4 价款</w:t>
      </w:r>
    </w:p>
    <w:p>
      <w:pPr>
        <w:spacing w:line="360" w:lineRule="auto"/>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360" w:lineRule="auto"/>
        <w:ind w:firstLine="480" w:firstLineChars="200"/>
        <w:rPr>
          <w:rFonts w:ascii="宋体" w:hAnsi="宋体" w:cs="宋体"/>
          <w:sz w:val="24"/>
          <w:u w:val="single"/>
        </w:rPr>
      </w:pPr>
      <w:r>
        <w:rPr>
          <w:rFonts w:hint="eastAsia" w:ascii="宋体" w:hAnsi="宋体" w:cs="宋体"/>
          <w:sz w:val="24"/>
        </w:rPr>
        <w:t>分项价格：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7"/>
              <w:spacing w:line="360" w:lineRule="auto"/>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7"/>
              <w:spacing w:line="360" w:lineRule="auto"/>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7"/>
              <w:spacing w:line="360" w:lineRule="auto"/>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7"/>
              <w:spacing w:line="360" w:lineRule="auto"/>
              <w:ind w:firstLine="200"/>
              <w:jc w:val="center"/>
              <w:rPr>
                <w:rFonts w:hAnsi="宋体" w:cs="宋体"/>
                <w:sz w:val="24"/>
                <w:szCs w:val="24"/>
              </w:rPr>
            </w:pPr>
          </w:p>
        </w:tc>
      </w:tr>
    </w:tbl>
    <w:p>
      <w:pPr>
        <w:adjustRightInd w:val="0"/>
        <w:spacing w:line="360" w:lineRule="auto"/>
        <w:ind w:firstLine="482" w:firstLineChars="200"/>
        <w:outlineLvl w:val="0"/>
        <w:rPr>
          <w:rFonts w:ascii="宋体" w:hAnsi="宋体" w:cs="宋体"/>
          <w:b/>
          <w:sz w:val="24"/>
        </w:rPr>
      </w:pPr>
      <w:r>
        <w:rPr>
          <w:rFonts w:hint="eastAsia" w:ascii="宋体" w:hAnsi="宋体" w:cs="宋体"/>
          <w:b/>
          <w:sz w:val="24"/>
        </w:rPr>
        <w:t>5 付款方式、时间和条件</w:t>
      </w:r>
    </w:p>
    <w:p>
      <w:pPr>
        <w:pStyle w:val="38"/>
        <w:spacing w:before="0" w:beforeAutospacing="0" w:after="0" w:afterAutospacing="0" w:line="360" w:lineRule="auto"/>
        <w:ind w:firstLine="480"/>
        <w:rPr>
          <w:b/>
          <w:bCs/>
          <w:i/>
          <w:iCs/>
          <w:kern w:val="2"/>
          <w:u w:val="single"/>
        </w:rPr>
      </w:pPr>
      <w:r>
        <w:rPr>
          <w:rFonts w:hint="eastAsia"/>
          <w:kern w:val="2"/>
        </w:rPr>
        <w:t>5.1 资金支付的方式、时间和条件：</w:t>
      </w:r>
      <w:r>
        <w:rPr>
          <w:rFonts w:hint="eastAsia"/>
          <w:b/>
          <w:bCs/>
          <w:i/>
          <w:iCs/>
          <w:kern w:val="2"/>
          <w:u w:val="single"/>
        </w:rPr>
        <w:t xml:space="preserve">                       </w:t>
      </w:r>
    </w:p>
    <w:p>
      <w:pPr>
        <w:pStyle w:val="38"/>
        <w:spacing w:before="0" w:beforeAutospacing="0" w:after="0" w:afterAutospacing="0" w:line="360" w:lineRule="auto"/>
        <w:ind w:firstLine="480"/>
        <w:rPr>
          <w:kern w:val="2"/>
        </w:rPr>
      </w:pPr>
      <w:r>
        <w:rPr>
          <w:rFonts w:hint="eastAsia"/>
          <w:kern w:val="2"/>
        </w:rPr>
        <w:t>5.2 乙方收款账户：</w:t>
      </w:r>
    </w:p>
    <w:p>
      <w:pPr>
        <w:autoSpaceDE w:val="0"/>
        <w:autoSpaceDN w:val="0"/>
        <w:spacing w:line="360" w:lineRule="auto"/>
        <w:ind w:left="1470" w:leftChars="700"/>
        <w:rPr>
          <w:rFonts w:ascii="宋体" w:hAnsi="宋体" w:cs="宋体"/>
          <w:sz w:val="24"/>
        </w:rPr>
      </w:pPr>
      <w:r>
        <w:rPr>
          <w:rFonts w:hint="eastAsia" w:ascii="宋体" w:hAnsi="宋体" w:cs="宋体"/>
          <w:sz w:val="24"/>
        </w:rPr>
        <w:t>开户银行：</w:t>
      </w:r>
      <w:r>
        <w:rPr>
          <w:rFonts w:hint="eastAsia" w:ascii="宋体" w:hAnsi="宋体" w:cs="宋体"/>
          <w:b/>
          <w:bCs/>
          <w:i/>
          <w:iCs/>
          <w:sz w:val="24"/>
          <w:u w:val="single"/>
        </w:rPr>
        <w:t xml:space="preserve">                          </w:t>
      </w:r>
      <w:r>
        <w:rPr>
          <w:rFonts w:hint="eastAsia" w:ascii="宋体" w:hAnsi="宋体" w:cs="宋体"/>
          <w:sz w:val="24"/>
        </w:rPr>
        <w:t xml:space="preserve">                          </w:t>
      </w:r>
    </w:p>
    <w:p>
      <w:pPr>
        <w:autoSpaceDE w:val="0"/>
        <w:autoSpaceDN w:val="0"/>
        <w:spacing w:line="360" w:lineRule="auto"/>
        <w:ind w:left="1470" w:leftChars="700"/>
        <w:rPr>
          <w:rFonts w:ascii="宋体" w:hAnsi="宋体" w:cs="宋体"/>
          <w:sz w:val="24"/>
        </w:rPr>
      </w:pPr>
      <w:r>
        <w:rPr>
          <w:rFonts w:hint="eastAsia" w:ascii="宋体" w:hAnsi="宋体" w:cs="宋体"/>
          <w:sz w:val="24"/>
        </w:rPr>
        <w:t>开户名称：</w:t>
      </w:r>
      <w:r>
        <w:rPr>
          <w:rFonts w:hint="eastAsia" w:ascii="宋体" w:hAnsi="宋体" w:cs="宋体"/>
          <w:b/>
          <w:bCs/>
          <w:i/>
          <w:iCs/>
          <w:sz w:val="24"/>
          <w:u w:val="single"/>
        </w:rPr>
        <w:t xml:space="preserve">                          </w:t>
      </w:r>
      <w:r>
        <w:rPr>
          <w:rFonts w:hint="eastAsia" w:ascii="宋体" w:hAnsi="宋体" w:cs="宋体"/>
          <w:sz w:val="24"/>
        </w:rPr>
        <w:t xml:space="preserve">                             </w:t>
      </w:r>
    </w:p>
    <w:p>
      <w:pPr>
        <w:autoSpaceDE w:val="0"/>
        <w:autoSpaceDN w:val="0"/>
        <w:spacing w:line="360" w:lineRule="auto"/>
        <w:ind w:left="1470" w:leftChars="700"/>
        <w:rPr>
          <w:rFonts w:ascii="宋体" w:hAnsi="宋体" w:cs="宋体"/>
          <w:sz w:val="24"/>
        </w:rPr>
      </w:pPr>
      <w:r>
        <w:rPr>
          <w:rFonts w:hint="eastAsia" w:ascii="宋体" w:hAnsi="宋体" w:cs="宋体"/>
          <w:sz w:val="24"/>
        </w:rPr>
        <w:t>开户账号：</w:t>
      </w:r>
      <w:r>
        <w:rPr>
          <w:rFonts w:hint="eastAsia" w:ascii="宋体" w:hAnsi="宋体" w:cs="宋体"/>
          <w:b/>
          <w:bCs/>
          <w:i/>
          <w:iCs/>
          <w:sz w:val="24"/>
          <w:u w:val="single"/>
        </w:rPr>
        <w:t xml:space="preserve">                          </w:t>
      </w:r>
      <w:r>
        <w:rPr>
          <w:rFonts w:hint="eastAsia" w:ascii="宋体" w:hAnsi="宋体" w:cs="宋体"/>
          <w:sz w:val="24"/>
          <w:lang w:val="zh-CN"/>
        </w:rPr>
        <w:t xml:space="preserve">                             </w:t>
      </w:r>
    </w:p>
    <w:p>
      <w:pPr>
        <w:adjustRightInd w:val="0"/>
        <w:spacing w:line="360" w:lineRule="auto"/>
        <w:ind w:firstLine="482" w:firstLineChars="200"/>
        <w:outlineLvl w:val="0"/>
        <w:rPr>
          <w:rFonts w:ascii="宋体" w:hAnsi="宋体" w:cs="宋体"/>
          <w:b/>
          <w:sz w:val="24"/>
        </w:rPr>
      </w:pPr>
      <w:r>
        <w:rPr>
          <w:rFonts w:hint="eastAsia" w:ascii="宋体" w:hAnsi="宋体" w:cs="宋体"/>
          <w:b/>
          <w:sz w:val="24"/>
        </w:rPr>
        <w:t>6 服务期限、地点和服务人员要求</w:t>
      </w:r>
    </w:p>
    <w:p>
      <w:pPr>
        <w:adjustRightInd w:val="0"/>
        <w:spacing w:line="360" w:lineRule="auto"/>
        <w:ind w:firstLine="480" w:firstLineChars="200"/>
        <w:rPr>
          <w:rFonts w:ascii="宋体" w:hAnsi="宋体" w:cs="宋体"/>
          <w:sz w:val="32"/>
          <w:szCs w:val="32"/>
          <w:u w:val="single"/>
        </w:rPr>
      </w:pPr>
      <w:r>
        <w:rPr>
          <w:rFonts w:hint="eastAsia" w:ascii="宋体" w:hAnsi="宋体" w:cs="宋体"/>
          <w:sz w:val="24"/>
        </w:rPr>
        <w:t>6.1 服务期限：</w:t>
      </w:r>
      <w:r>
        <w:rPr>
          <w:rFonts w:hint="eastAsia" w:ascii="宋体" w:hAnsi="宋体" w:cs="宋体"/>
          <w:sz w:val="24"/>
          <w:u w:val="single"/>
        </w:rPr>
        <w:t xml:space="preserve">             </w:t>
      </w:r>
      <w:r>
        <w:rPr>
          <w:rFonts w:hint="eastAsia" w:ascii="宋体" w:hAnsi="宋体" w:cs="宋体"/>
          <w:b/>
          <w:i/>
          <w:sz w:val="24"/>
          <w:szCs w:val="32"/>
          <w:u w:val="single"/>
        </w:rPr>
        <w:t xml:space="preserve"> </w:t>
      </w:r>
    </w:p>
    <w:p>
      <w:pPr>
        <w:adjustRightInd w:val="0"/>
        <w:spacing w:line="360" w:lineRule="auto"/>
        <w:ind w:firstLine="480" w:firstLineChars="200"/>
        <w:rPr>
          <w:rFonts w:ascii="宋体" w:hAnsi="宋体" w:cs="宋体"/>
          <w:sz w:val="24"/>
        </w:rPr>
      </w:pPr>
      <w:r>
        <w:rPr>
          <w:rFonts w:hint="eastAsia" w:ascii="宋体" w:hAnsi="宋体" w:cs="宋体"/>
          <w:sz w:val="24"/>
        </w:rPr>
        <w:t>6.2 服务地点：</w:t>
      </w:r>
      <w:r>
        <w:rPr>
          <w:rFonts w:hint="eastAsia" w:ascii="宋体" w:hAnsi="宋体" w:cs="宋体"/>
          <w:b/>
          <w:i/>
          <w:u w:val="single"/>
        </w:rPr>
        <w:t xml:space="preserve">                   </w:t>
      </w:r>
    </w:p>
    <w:p>
      <w:pPr>
        <w:adjustRightInd w:val="0"/>
        <w:spacing w:line="360" w:lineRule="auto"/>
        <w:ind w:firstLine="480" w:firstLineChars="200"/>
        <w:rPr>
          <w:rFonts w:ascii="宋体" w:hAnsi="宋体" w:cs="宋体"/>
        </w:rPr>
      </w:pPr>
      <w:r>
        <w:rPr>
          <w:rFonts w:hint="eastAsia" w:ascii="宋体" w:hAnsi="宋体" w:cs="宋体"/>
          <w:sz w:val="24"/>
        </w:rPr>
        <w:t>6.3 服务人员：</w:t>
      </w:r>
      <w:r>
        <w:rPr>
          <w:rFonts w:hint="eastAsia" w:ascii="宋体" w:hAnsi="宋体" w:cs="宋体"/>
          <w:b/>
          <w:i/>
          <w:u w:val="single"/>
        </w:rPr>
        <w:t xml:space="preserve">                   </w:t>
      </w:r>
    </w:p>
    <w:p>
      <w:pPr>
        <w:adjustRightInd w:val="0"/>
        <w:spacing w:line="360" w:lineRule="auto"/>
        <w:ind w:firstLine="482" w:firstLineChars="200"/>
        <w:outlineLvl w:val="0"/>
        <w:rPr>
          <w:rFonts w:ascii="宋体" w:hAnsi="宋体" w:cs="宋体"/>
          <w:b/>
          <w:sz w:val="24"/>
        </w:rPr>
      </w:pPr>
      <w:r>
        <w:rPr>
          <w:rFonts w:hint="eastAsia" w:ascii="宋体" w:hAnsi="宋体" w:cs="宋体"/>
          <w:b/>
          <w:sz w:val="24"/>
        </w:rPr>
        <w:t>7 技术规范</w:t>
      </w:r>
    </w:p>
    <w:p>
      <w:pPr>
        <w:spacing w:line="360" w:lineRule="auto"/>
        <w:ind w:firstLine="480" w:firstLineChars="200"/>
        <w:rPr>
          <w:rFonts w:ascii="宋体" w:hAnsi="宋体" w:cs="宋体"/>
          <w:sz w:val="24"/>
        </w:rPr>
      </w:pPr>
      <w:r>
        <w:rPr>
          <w:rFonts w:hint="eastAsia" w:ascii="宋体" w:hAnsi="宋体" w:cs="宋体"/>
          <w:sz w:val="24"/>
        </w:rPr>
        <w:t>服务所应遵守的技术规范应与招标文件规定的技术规范和技术规范附件及其技术规范偏差表相一致；如果招标文件中没有技术规范的相应说明，那么应以国家有关部门最新颁布的相应标准和规范为准。</w:t>
      </w:r>
    </w:p>
    <w:p>
      <w:pPr>
        <w:adjustRightInd w:val="0"/>
        <w:spacing w:line="360" w:lineRule="auto"/>
        <w:ind w:firstLine="482" w:firstLineChars="200"/>
        <w:outlineLvl w:val="0"/>
        <w:rPr>
          <w:rFonts w:ascii="宋体" w:hAnsi="宋体" w:cs="宋体"/>
          <w:b/>
          <w:sz w:val="24"/>
        </w:rPr>
      </w:pPr>
      <w:r>
        <w:rPr>
          <w:rFonts w:hint="eastAsia" w:ascii="宋体" w:hAnsi="宋体" w:cs="宋体"/>
          <w:b/>
          <w:sz w:val="24"/>
        </w:rPr>
        <w:t>8 知识产权</w:t>
      </w:r>
    </w:p>
    <w:p>
      <w:pPr>
        <w:spacing w:line="360" w:lineRule="auto"/>
        <w:ind w:firstLine="480" w:firstLineChars="200"/>
        <w:rPr>
          <w:rFonts w:ascii="宋体" w:hAnsi="宋体" w:cs="宋体"/>
          <w:sz w:val="24"/>
        </w:rPr>
      </w:pPr>
      <w:r>
        <w:rPr>
          <w:rFonts w:hint="eastAsia" w:ascii="宋体" w:hAnsi="宋体" w:cs="宋体"/>
          <w:sz w:val="24"/>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pPr>
        <w:adjustRightInd w:val="0"/>
        <w:spacing w:line="360" w:lineRule="auto"/>
        <w:ind w:firstLine="482" w:firstLineChars="200"/>
        <w:outlineLvl w:val="0"/>
        <w:rPr>
          <w:rFonts w:ascii="宋体" w:hAnsi="宋体" w:cs="宋体"/>
          <w:b/>
          <w:sz w:val="24"/>
        </w:rPr>
      </w:pPr>
      <w:r>
        <w:rPr>
          <w:rFonts w:hint="eastAsia" w:ascii="宋体" w:hAnsi="宋体" w:cs="宋体"/>
          <w:b/>
          <w:sz w:val="24"/>
        </w:rPr>
        <w:t>9 包装和装运</w:t>
      </w:r>
    </w:p>
    <w:p>
      <w:pPr>
        <w:spacing w:line="360" w:lineRule="auto"/>
        <w:ind w:firstLine="480" w:firstLineChars="200"/>
        <w:outlineLvl w:val="0"/>
        <w:rPr>
          <w:rFonts w:ascii="宋体" w:hAnsi="宋体" w:cs="宋体"/>
          <w:sz w:val="24"/>
        </w:rPr>
      </w:pPr>
      <w:r>
        <w:rPr>
          <w:rFonts w:hint="eastAsia" w:ascii="宋体" w:hAnsi="宋体" w:cs="宋体"/>
          <w:sz w:val="24"/>
        </w:rPr>
        <w:t>根据业主需求拟定相应细则（如有）。</w:t>
      </w:r>
    </w:p>
    <w:p>
      <w:pPr>
        <w:adjustRightInd w:val="0"/>
        <w:spacing w:line="360" w:lineRule="auto"/>
        <w:ind w:firstLine="482" w:firstLineChars="200"/>
        <w:outlineLvl w:val="0"/>
        <w:rPr>
          <w:rFonts w:ascii="宋体" w:hAnsi="宋体" w:cs="宋体"/>
          <w:b/>
          <w:sz w:val="24"/>
        </w:rPr>
      </w:pPr>
      <w:r>
        <w:rPr>
          <w:rFonts w:hint="eastAsia" w:ascii="宋体" w:hAnsi="宋体" w:cs="宋体"/>
          <w:b/>
          <w:sz w:val="24"/>
        </w:rPr>
        <w:t>10 履约保证金</w:t>
      </w:r>
    </w:p>
    <w:p>
      <w:pPr>
        <w:spacing w:line="360" w:lineRule="auto"/>
        <w:ind w:firstLine="480" w:firstLineChars="200"/>
        <w:rPr>
          <w:rFonts w:ascii="宋体" w:hAnsi="宋体" w:cs="宋体"/>
          <w:sz w:val="24"/>
        </w:rPr>
      </w:pPr>
      <w:r>
        <w:rPr>
          <w:rFonts w:hint="eastAsia" w:ascii="宋体" w:hAnsi="宋体" w:cs="宋体"/>
          <w:sz w:val="24"/>
        </w:rPr>
        <w:t>10.1 招标文件要求乙方提交履约保证金的，乙方应按</w:t>
      </w:r>
      <w:r>
        <w:rPr>
          <w:rFonts w:hint="eastAsia" w:ascii="宋体" w:hAnsi="宋体" w:cs="宋体"/>
          <w:sz w:val="24"/>
          <w:u w:val="single"/>
        </w:rPr>
        <w:t xml:space="preserve">         </w:t>
      </w:r>
      <w:r>
        <w:rPr>
          <w:rFonts w:hint="eastAsia" w:ascii="宋体" w:hAnsi="宋体" w:cs="宋体"/>
          <w:sz w:val="24"/>
        </w:rPr>
        <w:t>方式（可以支票、汇票、本票或者银行保函等非现金形式），在合同签订并生效后</w:t>
      </w:r>
      <w:r>
        <w:rPr>
          <w:rFonts w:hint="eastAsia" w:ascii="宋体" w:hAnsi="宋体" w:cs="宋体"/>
          <w:sz w:val="24"/>
          <w:u w:val="single"/>
        </w:rPr>
        <w:t xml:space="preserve"> 10 </w:t>
      </w:r>
      <w:r>
        <w:rPr>
          <w:rFonts w:hint="eastAsia" w:ascii="宋体" w:hAnsi="宋体" w:cs="宋体"/>
          <w:sz w:val="24"/>
        </w:rPr>
        <w:t>日内提交合同金额1%的履约保证金。</w:t>
      </w:r>
    </w:p>
    <w:p>
      <w:pPr>
        <w:spacing w:line="360" w:lineRule="auto"/>
        <w:ind w:firstLine="480" w:firstLineChars="200"/>
        <w:rPr>
          <w:rFonts w:ascii="宋体" w:hAnsi="宋体" w:cs="宋体"/>
          <w:sz w:val="24"/>
        </w:rPr>
      </w:pPr>
      <w:r>
        <w:rPr>
          <w:rFonts w:hint="eastAsia" w:ascii="宋体" w:hAnsi="宋体" w:cs="宋体"/>
          <w:sz w:val="24"/>
        </w:rPr>
        <w:t>10.2  履约保证金在</w:t>
      </w:r>
      <w:r>
        <w:rPr>
          <w:rFonts w:hint="eastAsia" w:ascii="宋体" w:hAnsi="宋体" w:cs="宋体"/>
          <w:b/>
          <w:i/>
          <w:u w:val="single"/>
        </w:rPr>
        <w:t xml:space="preserve">              </w:t>
      </w:r>
      <w:r>
        <w:rPr>
          <w:rFonts w:hint="eastAsia" w:ascii="宋体" w:hAnsi="宋体" w:cs="宋体"/>
          <w:sz w:val="24"/>
        </w:rPr>
        <w:t>（合同规定的履约时间）内不予退还。乙方在前述约定期间届满前能履行完合同约定义务事项的，甲方在前述约定期间届满之日起</w:t>
      </w:r>
      <w:r>
        <w:rPr>
          <w:rFonts w:hint="eastAsia" w:ascii="宋体" w:hAnsi="宋体" w:cs="宋体"/>
          <w:sz w:val="24"/>
          <w:u w:val="single"/>
        </w:rPr>
        <w:t xml:space="preserve"> 5 </w:t>
      </w:r>
      <w:r>
        <w:rPr>
          <w:rFonts w:hint="eastAsia" w:ascii="宋体" w:hAnsi="宋体" w:cs="宋体"/>
          <w:sz w:val="24"/>
        </w:rPr>
        <w:t>个工作日内，将履约保证金无息退还乙方。</w:t>
      </w:r>
    </w:p>
    <w:p>
      <w:pPr>
        <w:spacing w:line="360" w:lineRule="auto"/>
        <w:ind w:firstLine="480" w:firstLineChars="200"/>
        <w:rPr>
          <w:rFonts w:ascii="宋体" w:hAnsi="宋体" w:cs="宋体"/>
          <w:sz w:val="24"/>
        </w:rPr>
      </w:pPr>
      <w:r>
        <w:rPr>
          <w:rFonts w:hint="eastAsia" w:ascii="宋体" w:hAnsi="宋体" w:cs="宋体"/>
          <w:sz w:val="24"/>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adjustRightInd w:val="0"/>
        <w:spacing w:line="360" w:lineRule="auto"/>
        <w:ind w:firstLine="482" w:firstLineChars="200"/>
        <w:outlineLvl w:val="0"/>
        <w:rPr>
          <w:rFonts w:ascii="宋体" w:hAnsi="宋体" w:cs="宋体"/>
          <w:b/>
          <w:sz w:val="24"/>
        </w:rPr>
      </w:pPr>
      <w:r>
        <w:rPr>
          <w:rFonts w:hint="eastAsia" w:ascii="宋体" w:hAnsi="宋体" w:cs="宋体"/>
          <w:b/>
          <w:sz w:val="24"/>
        </w:rPr>
        <w:t>11 定期考核和问题反馈</w:t>
      </w:r>
    </w:p>
    <w:p>
      <w:pPr>
        <w:spacing w:line="360" w:lineRule="auto"/>
        <w:ind w:firstLine="480" w:firstLineChars="200"/>
        <w:outlineLvl w:val="0"/>
        <w:rPr>
          <w:rFonts w:ascii="宋体" w:hAnsi="宋体" w:cs="宋体"/>
          <w:sz w:val="24"/>
        </w:rPr>
      </w:pPr>
      <w:r>
        <w:rPr>
          <w:rFonts w:hint="eastAsia" w:ascii="宋体" w:hAnsi="宋体" w:cs="宋体"/>
          <w:sz w:val="24"/>
        </w:rPr>
        <w:t>根据业主需求拟定相应细则（如有）。</w:t>
      </w:r>
    </w:p>
    <w:p>
      <w:pPr>
        <w:spacing w:line="360" w:lineRule="auto"/>
        <w:ind w:firstLine="482" w:firstLineChars="200"/>
        <w:outlineLvl w:val="0"/>
        <w:rPr>
          <w:rFonts w:ascii="宋体" w:hAnsi="宋体" w:cs="宋体"/>
          <w:b/>
          <w:sz w:val="24"/>
        </w:rPr>
      </w:pPr>
      <w:r>
        <w:rPr>
          <w:rFonts w:hint="eastAsia" w:ascii="宋体" w:hAnsi="宋体" w:cs="宋体"/>
          <w:b/>
          <w:sz w:val="24"/>
        </w:rPr>
        <w:t>12 项目验收</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12.1合同期满或者履行完毕后，甲方应当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2" w:firstLineChars="200"/>
        <w:outlineLvl w:val="0"/>
        <w:rPr>
          <w:rFonts w:ascii="宋体" w:hAnsi="宋体" w:cs="宋体"/>
          <w:b/>
          <w:sz w:val="24"/>
        </w:rPr>
      </w:pPr>
      <w:r>
        <w:rPr>
          <w:rFonts w:hint="eastAsia" w:ascii="宋体" w:hAnsi="宋体" w:cs="宋体"/>
          <w:b/>
          <w:sz w:val="24"/>
        </w:rPr>
        <w:t>13 技术资料和保密义务</w:t>
      </w:r>
    </w:p>
    <w:p>
      <w:pPr>
        <w:spacing w:line="360" w:lineRule="auto"/>
        <w:ind w:firstLine="480" w:firstLineChars="200"/>
        <w:rPr>
          <w:rFonts w:ascii="宋体" w:hAnsi="宋体" w:cs="宋体"/>
          <w:sz w:val="24"/>
        </w:rPr>
      </w:pPr>
      <w:r>
        <w:rPr>
          <w:rFonts w:hint="eastAsia" w:ascii="宋体" w:hAnsi="宋体" w:cs="宋体"/>
          <w:sz w:val="24"/>
        </w:rPr>
        <w:t>13.1 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13.2 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r>
        <w:rPr>
          <w:rFonts w:hint="eastAsia" w:ascii="宋体" w:hAnsi="宋体" w:cs="宋体"/>
          <w:b/>
          <w:sz w:val="24"/>
        </w:rPr>
        <w:t>14 质量保证及后续服务</w:t>
      </w:r>
    </w:p>
    <w:p>
      <w:pPr>
        <w:spacing w:line="360" w:lineRule="auto"/>
        <w:ind w:firstLine="480" w:firstLineChars="200"/>
        <w:rPr>
          <w:rFonts w:ascii="宋体" w:hAnsi="宋体" w:cs="宋体"/>
          <w:sz w:val="24"/>
        </w:rPr>
      </w:pPr>
      <w:r>
        <w:rPr>
          <w:rFonts w:hint="eastAsia" w:ascii="宋体" w:hAnsi="宋体" w:cs="宋体"/>
          <w:sz w:val="24"/>
        </w:rPr>
        <w:t xml:space="preserve"> 1.乙方应按招标文件规定向甲方提供服务，乙方安排专人负责项目成果审核、校对工作，确保成果质量通过验收。 </w:t>
      </w:r>
    </w:p>
    <w:p>
      <w:pPr>
        <w:spacing w:line="360" w:lineRule="auto"/>
        <w:ind w:firstLine="480" w:firstLineChars="200"/>
        <w:rPr>
          <w:rFonts w:ascii="宋体" w:hAnsi="宋体" w:cs="宋体"/>
          <w:sz w:val="24"/>
        </w:rPr>
      </w:pPr>
      <w:r>
        <w:rPr>
          <w:rFonts w:hint="eastAsia" w:ascii="宋体" w:hAnsi="宋体" w:cs="宋体"/>
          <w:sz w:val="24"/>
        </w:rPr>
        <w:t xml:space="preserve"> 2.乙方提供的服务成果发生故障，乙方应负责免费提供后续服务。对达不到要求者，根据实际情况，经双方协商，可按以下办法处理：</w:t>
      </w:r>
    </w:p>
    <w:p>
      <w:pPr>
        <w:spacing w:line="360" w:lineRule="auto"/>
        <w:ind w:firstLine="480" w:firstLineChars="200"/>
        <w:rPr>
          <w:rFonts w:ascii="宋体" w:hAnsi="宋体" w:cs="宋体"/>
          <w:sz w:val="24"/>
        </w:rPr>
      </w:pPr>
      <w:r>
        <w:rPr>
          <w:rFonts w:hint="eastAsia" w:ascii="宋体" w:hAnsi="宋体" w:cs="宋体"/>
          <w:sz w:val="24"/>
        </w:rPr>
        <w:t>⑴重做：由乙方承担所发生的全部费用。</w:t>
      </w:r>
    </w:p>
    <w:p>
      <w:pPr>
        <w:spacing w:line="360" w:lineRule="auto"/>
        <w:ind w:firstLine="480" w:firstLineChars="200"/>
        <w:rPr>
          <w:rFonts w:ascii="宋体" w:hAnsi="宋体" w:cs="宋体"/>
          <w:sz w:val="24"/>
        </w:rPr>
      </w:pPr>
      <w:r>
        <w:rPr>
          <w:rFonts w:hint="eastAsia" w:ascii="宋体" w:hAnsi="宋体" w:cs="宋体"/>
          <w:sz w:val="24"/>
        </w:rPr>
        <w:t>⑵贬值处理：由甲乙双方合议定价。</w:t>
      </w:r>
    </w:p>
    <w:p>
      <w:pPr>
        <w:spacing w:line="360" w:lineRule="auto"/>
        <w:ind w:firstLine="480" w:firstLineChars="200"/>
        <w:rPr>
          <w:rFonts w:ascii="宋体" w:hAnsi="宋体" w:cs="宋体"/>
          <w:sz w:val="24"/>
        </w:rPr>
      </w:pPr>
      <w:r>
        <w:rPr>
          <w:rFonts w:hint="eastAsia" w:ascii="宋体" w:hAnsi="宋体" w:cs="宋体"/>
          <w:sz w:val="24"/>
        </w:rPr>
        <w:t>⑶解除合同。</w:t>
      </w:r>
    </w:p>
    <w:p>
      <w:pPr>
        <w:spacing w:line="360" w:lineRule="auto"/>
        <w:ind w:firstLine="480" w:firstLineChars="200"/>
        <w:rPr>
          <w:rFonts w:ascii="宋体" w:hAnsi="宋体" w:cs="宋体"/>
          <w:sz w:val="24"/>
        </w:rPr>
      </w:pPr>
      <w:r>
        <w:rPr>
          <w:rFonts w:hint="eastAsia" w:ascii="宋体" w:hAnsi="宋体" w:cs="宋体"/>
          <w:sz w:val="24"/>
        </w:rPr>
        <w:t>3．如在使用过程中发生问题，乙方在接到甲方通知后 48 小时内到达甲方现场。</w:t>
      </w:r>
    </w:p>
    <w:p>
      <w:pPr>
        <w:spacing w:line="360" w:lineRule="auto"/>
        <w:ind w:firstLine="480" w:firstLineChars="200"/>
        <w:rPr>
          <w:rFonts w:ascii="宋体" w:hAnsi="宋体" w:cs="宋体"/>
          <w:sz w:val="24"/>
        </w:rPr>
      </w:pPr>
      <w:r>
        <w:rPr>
          <w:rFonts w:hint="eastAsia" w:ascii="宋体" w:hAnsi="宋体" w:cs="宋体"/>
          <w:sz w:val="24"/>
        </w:rPr>
        <w:t>4.在作业过程中，乙方应加强安全管理，杜绝安全事故的发生，服务期间所引起的工伤等事故，一切责任和后果均由乙方承担解决。</w:t>
      </w:r>
    </w:p>
    <w:p>
      <w:pPr>
        <w:spacing w:line="360" w:lineRule="auto"/>
        <w:ind w:firstLine="480" w:firstLineChars="200"/>
        <w:rPr>
          <w:rFonts w:ascii="宋体" w:hAnsi="宋体" w:cs="宋体"/>
          <w:sz w:val="24"/>
        </w:rPr>
      </w:pPr>
      <w:r>
        <w:rPr>
          <w:rFonts w:hint="eastAsia" w:ascii="宋体" w:hAnsi="宋体" w:cs="宋体"/>
          <w:sz w:val="24"/>
        </w:rPr>
        <w:t>5.若以后宁波市奉化区综合行政执法局办公用房管理系统升级，需确保本次测绘数据成果与新系统具有适配性，协助宁波市奉化区综合行政执法局进行数据保存与迁移；如后期办公用房格局有变化，由乙方免费为采购人数据维护。</w:t>
      </w:r>
    </w:p>
    <w:p>
      <w:pPr>
        <w:spacing w:line="360" w:lineRule="auto"/>
        <w:ind w:firstLine="482" w:firstLineChars="200"/>
        <w:outlineLvl w:val="0"/>
        <w:rPr>
          <w:rFonts w:ascii="宋体" w:hAnsi="宋体" w:cs="宋体"/>
          <w:b/>
          <w:sz w:val="24"/>
        </w:rPr>
      </w:pPr>
      <w:r>
        <w:rPr>
          <w:rFonts w:hint="eastAsia" w:ascii="宋体" w:hAnsi="宋体" w:cs="宋体"/>
          <w:b/>
          <w:sz w:val="24"/>
        </w:rPr>
        <w:t>15 履约的风险负担</w:t>
      </w:r>
    </w:p>
    <w:p>
      <w:pPr>
        <w:spacing w:line="360" w:lineRule="auto"/>
        <w:ind w:firstLine="480" w:firstLineChars="200"/>
        <w:rPr>
          <w:rFonts w:ascii="宋体" w:hAnsi="宋体" w:cs="宋体"/>
          <w:b/>
          <w:sz w:val="24"/>
        </w:rPr>
      </w:pPr>
      <w:r>
        <w:rPr>
          <w:rFonts w:hint="eastAsia" w:ascii="宋体" w:hAnsi="宋体" w:cs="宋体"/>
          <w:sz w:val="24"/>
        </w:rPr>
        <w:t>在履行合同时，乙方服务人员及设备的相关风险均由乙方自行承担。</w:t>
      </w:r>
    </w:p>
    <w:p>
      <w:pPr>
        <w:spacing w:line="360" w:lineRule="auto"/>
        <w:ind w:firstLine="482" w:firstLineChars="200"/>
        <w:outlineLvl w:val="0"/>
        <w:rPr>
          <w:rFonts w:ascii="宋体" w:hAnsi="宋体" w:cs="宋体"/>
          <w:b/>
          <w:sz w:val="24"/>
        </w:rPr>
      </w:pPr>
      <w:r>
        <w:rPr>
          <w:rFonts w:hint="eastAsia" w:ascii="宋体" w:hAnsi="宋体" w:cs="宋体"/>
          <w:b/>
          <w:sz w:val="24"/>
        </w:rPr>
        <w:t>16 延迟交货</w:t>
      </w:r>
    </w:p>
    <w:p>
      <w:pPr>
        <w:spacing w:line="360" w:lineRule="auto"/>
        <w:ind w:firstLine="480" w:firstLineChars="200"/>
        <w:rPr>
          <w:rFonts w:ascii="宋体" w:hAnsi="宋体" w:cs="宋体"/>
          <w:sz w:val="24"/>
        </w:rPr>
      </w:pPr>
      <w:r>
        <w:rPr>
          <w:rFonts w:hint="eastAsia" w:ascii="宋体" w:hAnsi="宋体" w:cs="宋体"/>
          <w:sz w:val="24"/>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宋体" w:hAnsi="宋体" w:cs="宋体"/>
          <w:b/>
          <w:sz w:val="24"/>
        </w:rPr>
      </w:pPr>
      <w:r>
        <w:rPr>
          <w:rFonts w:hint="eastAsia" w:ascii="宋体" w:hAnsi="宋体" w:cs="宋体"/>
          <w:b/>
          <w:sz w:val="24"/>
        </w:rPr>
        <w:t>17 合同变更</w:t>
      </w:r>
    </w:p>
    <w:p>
      <w:pPr>
        <w:spacing w:line="360" w:lineRule="auto"/>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宋体" w:hAnsi="宋体" w:cs="宋体"/>
          <w:b/>
          <w:sz w:val="24"/>
        </w:rPr>
      </w:pPr>
      <w:r>
        <w:rPr>
          <w:rFonts w:hint="eastAsia" w:ascii="宋体" w:hAnsi="宋体" w:cs="宋体"/>
          <w:b/>
          <w:sz w:val="24"/>
        </w:rPr>
        <w:t>18 合同转让和分包</w:t>
      </w:r>
    </w:p>
    <w:p>
      <w:pPr>
        <w:spacing w:line="360" w:lineRule="auto"/>
        <w:ind w:firstLine="480" w:firstLineChars="200"/>
        <w:rPr>
          <w:rFonts w:ascii="宋体" w:hAnsi="宋体" w:cs="宋体"/>
          <w:sz w:val="24"/>
        </w:rPr>
      </w:pPr>
      <w:r>
        <w:rPr>
          <w:rFonts w:hint="eastAsia" w:ascii="宋体" w:hAnsi="宋体" w:cs="宋体"/>
          <w:sz w:val="24"/>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18.2乙方采取分包方式履行合同的，由乙方向分包供应商支付款项，但不得因分包影响履行合同义务。</w:t>
      </w:r>
    </w:p>
    <w:p>
      <w:pPr>
        <w:spacing w:line="360" w:lineRule="auto"/>
        <w:ind w:firstLine="482" w:firstLineChars="200"/>
        <w:outlineLvl w:val="0"/>
        <w:rPr>
          <w:rFonts w:ascii="宋体" w:hAnsi="宋体" w:cs="宋体"/>
          <w:b/>
          <w:sz w:val="24"/>
        </w:rPr>
      </w:pPr>
      <w:r>
        <w:rPr>
          <w:rFonts w:hint="eastAsia" w:ascii="宋体" w:hAnsi="宋体" w:cs="宋体"/>
          <w:b/>
          <w:sz w:val="24"/>
        </w:rPr>
        <w:t>19 违约责任</w:t>
      </w:r>
    </w:p>
    <w:p>
      <w:pPr>
        <w:spacing w:line="360" w:lineRule="auto"/>
        <w:ind w:firstLine="480" w:firstLineChars="200"/>
        <w:rPr>
          <w:rFonts w:ascii="宋体" w:hAnsi="宋体" w:cs="宋体"/>
          <w:sz w:val="24"/>
        </w:rPr>
      </w:pPr>
      <w:r>
        <w:rPr>
          <w:rFonts w:hint="eastAsia" w:ascii="宋体" w:hAnsi="宋体" w:cs="宋体"/>
          <w:sz w:val="24"/>
        </w:rPr>
        <w:t>19.1 除不可抗力外，如果乙方拒绝履行合同，或没有按照本合同约定的期限、标准和成果展现方式完成服务，那么甲方可要求乙方支付违约金，违约金按每日计合同总价的</w:t>
      </w:r>
      <w:r>
        <w:rPr>
          <w:rFonts w:hint="eastAsia" w:ascii="宋体" w:hAnsi="宋体" w:cs="宋体"/>
          <w:sz w:val="24"/>
          <w:u w:val="single"/>
        </w:rPr>
        <w:t xml:space="preserve">  0.05  </w:t>
      </w:r>
      <w:r>
        <w:rPr>
          <w:rFonts w:hint="eastAsia" w:ascii="宋体" w:hAnsi="宋体" w:cs="宋体"/>
          <w:sz w:val="24"/>
        </w:rPr>
        <w:t>%，最高限额为本合同总价的</w:t>
      </w:r>
      <w:r>
        <w:rPr>
          <w:rFonts w:hint="eastAsia" w:ascii="宋体" w:hAnsi="宋体" w:cs="宋体"/>
          <w:sz w:val="24"/>
          <w:u w:val="single"/>
        </w:rPr>
        <w:t xml:space="preserve"> 10  </w:t>
      </w:r>
      <w:r>
        <w:rPr>
          <w:rFonts w:hint="eastAsia" w:ascii="宋体" w:hAnsi="宋体" w:cs="宋体"/>
          <w:sz w:val="24"/>
        </w:rPr>
        <w:t>%；迟延完成服务的违约金计算数额达到前述最高限额之日起，甲方有权在要求乙方支付违约金的同时，书面通知乙方解除本合同；</w:t>
      </w:r>
    </w:p>
    <w:p>
      <w:pPr>
        <w:spacing w:line="360" w:lineRule="auto"/>
        <w:ind w:firstLine="480" w:firstLineChars="200"/>
        <w:rPr>
          <w:rFonts w:ascii="宋体" w:hAnsi="宋体" w:cs="宋体"/>
          <w:sz w:val="24"/>
        </w:rPr>
      </w:pPr>
      <w:r>
        <w:rPr>
          <w:rFonts w:hint="eastAsia" w:ascii="宋体" w:hAnsi="宋体" w:cs="宋体"/>
          <w:sz w:val="24"/>
        </w:rPr>
        <w:t>19.2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10   </w:t>
      </w:r>
      <w:r>
        <w:rPr>
          <w:rFonts w:hint="eastAsia" w:ascii="宋体" w:hAnsi="宋体" w:cs="宋体"/>
          <w:sz w:val="24"/>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cs="宋体"/>
          <w:sz w:val="24"/>
        </w:rPr>
      </w:pPr>
      <w:r>
        <w:rPr>
          <w:rFonts w:hint="eastAsia" w:ascii="宋体" w:hAnsi="宋体" w:cs="宋体"/>
          <w:sz w:val="24"/>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19.6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outlineLvl w:val="0"/>
        <w:rPr>
          <w:rFonts w:ascii="宋体" w:hAnsi="宋体" w:cs="宋体"/>
          <w:b/>
          <w:sz w:val="24"/>
        </w:rPr>
      </w:pPr>
      <w:r>
        <w:rPr>
          <w:rFonts w:hint="eastAsia" w:ascii="宋体" w:hAnsi="宋体" w:cs="宋体"/>
          <w:b/>
          <w:sz w:val="24"/>
        </w:rPr>
        <w:t>20 不可抗力</w:t>
      </w:r>
    </w:p>
    <w:p>
      <w:pPr>
        <w:spacing w:line="360" w:lineRule="auto"/>
        <w:ind w:firstLine="480" w:firstLineChars="200"/>
        <w:rPr>
          <w:rFonts w:ascii="宋体" w:hAnsi="宋体" w:cs="宋体"/>
          <w:sz w:val="24"/>
        </w:rPr>
      </w:pPr>
      <w:r>
        <w:rPr>
          <w:rFonts w:hint="eastAsia" w:ascii="宋体" w:hAnsi="宋体" w:cs="宋体"/>
          <w:sz w:val="24"/>
        </w:rPr>
        <w:t>20.1如果任何一方遭遇法律规定的不可抗力，致使合同履行受阻时，履行合同的期限应予延长，延长的期限应相当于不可抗力所影响的时间；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s="宋体"/>
          <w:sz w:val="24"/>
        </w:rPr>
      </w:pPr>
      <w:r>
        <w:rPr>
          <w:rFonts w:hint="eastAsia" w:ascii="宋体" w:hAnsi="宋体" w:cs="宋体"/>
          <w:sz w:val="24"/>
        </w:rPr>
        <w:t>20.2 因不可抗力致使不能实现合同目的的，当事人可以解除合同；</w:t>
      </w:r>
    </w:p>
    <w:p>
      <w:pPr>
        <w:spacing w:line="360" w:lineRule="auto"/>
        <w:ind w:firstLine="480" w:firstLineChars="200"/>
        <w:rPr>
          <w:rFonts w:ascii="宋体" w:hAnsi="宋体" w:cs="宋体"/>
          <w:sz w:val="24"/>
        </w:rPr>
      </w:pPr>
      <w:r>
        <w:rPr>
          <w:rFonts w:hint="eastAsia" w:ascii="宋体" w:hAnsi="宋体" w:cs="宋体"/>
          <w:sz w:val="24"/>
        </w:rPr>
        <w:t>20.3 因不可抗力致使合同有变更必要的，双方当事人应在不可抗力发生后</w:t>
      </w:r>
      <w:r>
        <w:rPr>
          <w:rFonts w:hint="eastAsia" w:ascii="宋体" w:hAnsi="宋体" w:cs="宋体"/>
          <w:sz w:val="24"/>
          <w:u w:val="single"/>
        </w:rPr>
        <w:t xml:space="preserve"> 10 </w:t>
      </w:r>
      <w:r>
        <w:rPr>
          <w:rFonts w:hint="eastAsia" w:ascii="宋体" w:hAnsi="宋体" w:cs="宋体"/>
          <w:sz w:val="24"/>
        </w:rPr>
        <w:t>日内以书面形式变更合同；</w:t>
      </w:r>
    </w:p>
    <w:p>
      <w:pPr>
        <w:spacing w:line="360" w:lineRule="auto"/>
        <w:ind w:firstLine="480" w:firstLineChars="200"/>
        <w:rPr>
          <w:rFonts w:ascii="宋体" w:hAnsi="宋体" w:cs="宋体"/>
          <w:sz w:val="24"/>
        </w:rPr>
      </w:pPr>
      <w:r>
        <w:rPr>
          <w:rFonts w:hint="eastAsia" w:ascii="宋体" w:hAnsi="宋体" w:cs="宋体"/>
          <w:sz w:val="24"/>
        </w:rPr>
        <w:t>20.4受不可抗力影响的一方在不可抗力发生后，应在</w:t>
      </w:r>
      <w:r>
        <w:rPr>
          <w:rFonts w:hint="eastAsia" w:ascii="宋体" w:hAnsi="宋体" w:cs="宋体"/>
          <w:sz w:val="24"/>
          <w:u w:val="single"/>
        </w:rPr>
        <w:t xml:space="preserve">  5  </w:t>
      </w:r>
      <w:r>
        <w:rPr>
          <w:rFonts w:hint="eastAsia" w:ascii="宋体" w:hAnsi="宋体" w:cs="宋体"/>
          <w:sz w:val="24"/>
        </w:rPr>
        <w:t>日内以书面形式通知对方当事人，并在</w:t>
      </w:r>
      <w:r>
        <w:rPr>
          <w:rFonts w:hint="eastAsia" w:ascii="宋体" w:hAnsi="宋体" w:cs="宋体"/>
          <w:sz w:val="24"/>
          <w:u w:val="single"/>
        </w:rPr>
        <w:t xml:space="preserve">  15  </w:t>
      </w:r>
      <w:r>
        <w:rPr>
          <w:rFonts w:hint="eastAsia" w:ascii="宋体" w:hAnsi="宋体" w:cs="宋体"/>
          <w:sz w:val="24"/>
        </w:rPr>
        <w:t>日内，将有关部门出具的证明文件送达对方当事人。</w:t>
      </w:r>
    </w:p>
    <w:p>
      <w:pPr>
        <w:spacing w:line="360" w:lineRule="auto"/>
        <w:ind w:firstLine="482" w:firstLineChars="200"/>
        <w:outlineLvl w:val="0"/>
        <w:rPr>
          <w:rFonts w:ascii="宋体" w:hAnsi="宋体" w:cs="宋体"/>
          <w:b/>
          <w:sz w:val="24"/>
        </w:rPr>
      </w:pPr>
      <w:r>
        <w:rPr>
          <w:rFonts w:hint="eastAsia" w:ascii="宋体" w:hAnsi="宋体" w:cs="宋体"/>
          <w:b/>
          <w:sz w:val="24"/>
        </w:rPr>
        <w:t>21 税费</w:t>
      </w:r>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r>
        <w:rPr>
          <w:rFonts w:hint="eastAsia" w:ascii="宋体" w:hAnsi="宋体" w:cs="宋体"/>
          <w:b/>
          <w:sz w:val="24"/>
        </w:rPr>
        <w:t>22 乙方破产</w:t>
      </w:r>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r>
        <w:rPr>
          <w:rFonts w:hint="eastAsia" w:ascii="宋体" w:hAnsi="宋体" w:cs="宋体"/>
          <w:b/>
          <w:sz w:val="24"/>
        </w:rPr>
        <w:t>23 合同争议的解决</w:t>
      </w:r>
    </w:p>
    <w:p>
      <w:pPr>
        <w:adjustRightInd w:val="0"/>
        <w:spacing w:line="360" w:lineRule="auto"/>
        <w:ind w:firstLine="480" w:firstLineChars="200"/>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本合同履行过程中发生的任何争议，双方当事人均可通过和解或者调解解决；不愿和解、调解或者和解、调解不成的，可以向宁波市奉化区人民法院提起诉讼。</w:t>
      </w:r>
    </w:p>
    <w:p>
      <w:pPr>
        <w:spacing w:line="360" w:lineRule="auto"/>
        <w:ind w:firstLine="482" w:firstLineChars="200"/>
        <w:outlineLvl w:val="0"/>
        <w:rPr>
          <w:rFonts w:ascii="宋体" w:hAnsi="宋体" w:cs="宋体"/>
          <w:b/>
          <w:sz w:val="24"/>
        </w:rPr>
      </w:pPr>
      <w:r>
        <w:rPr>
          <w:rFonts w:hint="eastAsia" w:ascii="宋体" w:hAnsi="宋体" w:cs="宋体"/>
          <w:b/>
          <w:sz w:val="24"/>
        </w:rPr>
        <w:t>24 合同中止、终止</w:t>
      </w:r>
    </w:p>
    <w:p>
      <w:pPr>
        <w:spacing w:line="360" w:lineRule="auto"/>
        <w:ind w:firstLine="480" w:firstLineChars="200"/>
        <w:rPr>
          <w:rFonts w:ascii="宋体" w:hAnsi="宋体" w:cs="宋体"/>
          <w:sz w:val="24"/>
        </w:rPr>
      </w:pPr>
      <w:r>
        <w:rPr>
          <w:rFonts w:hint="eastAsia" w:ascii="宋体" w:hAnsi="宋体" w:cs="宋体"/>
          <w:sz w:val="24"/>
        </w:rPr>
        <w:t>24.1 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宋体" w:hAnsi="宋体" w:cs="宋体"/>
          <w:b/>
          <w:sz w:val="24"/>
        </w:rPr>
      </w:pPr>
      <w:r>
        <w:rPr>
          <w:rFonts w:hint="eastAsia" w:ascii="宋体" w:hAnsi="宋体" w:cs="宋体"/>
          <w:b/>
          <w:sz w:val="24"/>
        </w:rPr>
        <w:t>25 通知和送达</w:t>
      </w:r>
    </w:p>
    <w:p>
      <w:pPr>
        <w:spacing w:line="360" w:lineRule="auto"/>
        <w:ind w:firstLine="480" w:firstLineChars="200"/>
        <w:rPr>
          <w:rFonts w:ascii="宋体" w:hAnsi="宋体" w:cs="宋体"/>
          <w:sz w:val="24"/>
        </w:rPr>
      </w:pPr>
      <w:r>
        <w:rPr>
          <w:rFonts w:hint="eastAsia" w:ascii="宋体" w:hAnsi="宋体" w:cs="宋体"/>
          <w:sz w:val="24"/>
        </w:rPr>
        <w:t xml:space="preserve">25.1任何一方因履行合同而以合同第一部分尾部所列明的传真或电子邮件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cs="宋体"/>
          <w:sz w:val="24"/>
        </w:rPr>
      </w:pPr>
      <w:r>
        <w:rPr>
          <w:rFonts w:hint="eastAsia" w:ascii="宋体" w:hAnsi="宋体" w:cs="宋体"/>
          <w:sz w:val="24"/>
        </w:rPr>
        <w:t>25.2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firstLine="482" w:firstLineChars="200"/>
        <w:outlineLvl w:val="0"/>
        <w:rPr>
          <w:rFonts w:ascii="宋体" w:hAnsi="宋体" w:cs="宋体"/>
          <w:b/>
          <w:sz w:val="24"/>
        </w:rPr>
      </w:pPr>
      <w:r>
        <w:rPr>
          <w:rFonts w:hint="eastAsia" w:ascii="宋体" w:hAnsi="宋体" w:cs="宋体"/>
          <w:b/>
          <w:sz w:val="24"/>
        </w:rPr>
        <w:t>26 计量单位</w:t>
      </w:r>
    </w:p>
    <w:p>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360" w:lineRule="auto"/>
        <w:ind w:firstLine="482" w:firstLineChars="200"/>
        <w:outlineLvl w:val="0"/>
        <w:rPr>
          <w:rFonts w:ascii="宋体" w:hAnsi="宋体" w:cs="宋体"/>
          <w:b/>
          <w:sz w:val="24"/>
        </w:rPr>
      </w:pPr>
      <w:r>
        <w:rPr>
          <w:rFonts w:hint="eastAsia" w:ascii="宋体" w:hAnsi="宋体" w:cs="宋体"/>
          <w:b/>
          <w:sz w:val="24"/>
        </w:rPr>
        <w:t>27合同使用的文字和适用的法律</w:t>
      </w:r>
    </w:p>
    <w:p>
      <w:pPr>
        <w:spacing w:line="360" w:lineRule="auto"/>
        <w:ind w:firstLine="480" w:firstLineChars="200"/>
        <w:rPr>
          <w:rFonts w:ascii="宋体" w:hAnsi="宋体" w:cs="宋体"/>
          <w:sz w:val="24"/>
        </w:rPr>
      </w:pPr>
      <w:r>
        <w:rPr>
          <w:rFonts w:hint="eastAsia" w:ascii="宋体" w:hAnsi="宋体" w:cs="宋体"/>
          <w:sz w:val="24"/>
        </w:rPr>
        <w:t>27.1 合同使用汉语书就、变更和解释；</w:t>
      </w:r>
    </w:p>
    <w:p>
      <w:pPr>
        <w:spacing w:line="360" w:lineRule="auto"/>
        <w:ind w:firstLine="480" w:firstLineChars="200"/>
        <w:rPr>
          <w:rFonts w:ascii="宋体" w:hAnsi="宋体" w:cs="宋体"/>
          <w:sz w:val="24"/>
        </w:rPr>
      </w:pPr>
      <w:r>
        <w:rPr>
          <w:rFonts w:hint="eastAsia" w:ascii="宋体" w:hAnsi="宋体" w:cs="宋体"/>
          <w:sz w:val="24"/>
        </w:rPr>
        <w:t>27.2 合同适用中华人民共和国法律。</w:t>
      </w:r>
    </w:p>
    <w:p>
      <w:pPr>
        <w:spacing w:line="360" w:lineRule="auto"/>
        <w:ind w:firstLine="482" w:firstLineChars="200"/>
        <w:outlineLvl w:val="0"/>
        <w:rPr>
          <w:rFonts w:ascii="宋体" w:hAnsi="宋体" w:cs="宋体"/>
          <w:b/>
          <w:sz w:val="24"/>
        </w:rPr>
      </w:pPr>
      <w:r>
        <w:rPr>
          <w:rFonts w:hint="eastAsia" w:ascii="宋体" w:hAnsi="宋体" w:cs="宋体"/>
          <w:b/>
          <w:sz w:val="24"/>
        </w:rPr>
        <w:t>28合同效力</w:t>
      </w:r>
    </w:p>
    <w:p>
      <w:pPr>
        <w:spacing w:line="360" w:lineRule="auto"/>
        <w:ind w:firstLine="480" w:firstLineChars="200"/>
        <w:rPr>
          <w:rFonts w:ascii="宋体" w:hAnsi="宋体" w:cs="宋体"/>
          <w:sz w:val="24"/>
        </w:rPr>
      </w:pPr>
      <w:r>
        <w:rPr>
          <w:rFonts w:hint="eastAsia" w:ascii="宋体" w:hAnsi="宋体" w:cs="宋体"/>
          <w:sz w:val="24"/>
        </w:rPr>
        <w:t>本合同一式四份，甲乙双方各两份，每份均具有同等法律效力。本合同自双方当事人盖章或者签字时生效。</w:t>
      </w:r>
    </w:p>
    <w:p>
      <w:pPr>
        <w:autoSpaceDE w:val="0"/>
        <w:autoSpaceDN w:val="0"/>
        <w:spacing w:line="360" w:lineRule="auto"/>
        <w:rPr>
          <w:rFonts w:ascii="宋体" w:hAnsi="宋体" w:cs="宋体"/>
          <w:b/>
          <w:sz w:val="24"/>
          <w:lang w:val="zh-CN"/>
        </w:rPr>
      </w:pPr>
    </w:p>
    <w:p>
      <w:pPr>
        <w:autoSpaceDE w:val="0"/>
        <w:autoSpaceDN w:val="0"/>
        <w:spacing w:line="360" w:lineRule="auto"/>
        <w:rPr>
          <w:rFonts w:ascii="宋体" w:hAnsi="宋体" w:cs="宋体"/>
          <w:b/>
          <w:sz w:val="24"/>
          <w:lang w:val="zh-CN"/>
        </w:rPr>
      </w:pPr>
    </w:p>
    <w:p>
      <w:pPr>
        <w:autoSpaceDE w:val="0"/>
        <w:autoSpaceDN w:val="0"/>
        <w:spacing w:line="360" w:lineRule="auto"/>
        <w:rPr>
          <w:rFonts w:ascii="宋体" w:hAnsi="宋体" w:cs="宋体"/>
          <w:b/>
          <w:sz w:val="24"/>
          <w:lang w:val="zh-CN"/>
        </w:rPr>
      </w:pPr>
    </w:p>
    <w:p>
      <w:pPr>
        <w:autoSpaceDE w:val="0"/>
        <w:autoSpaceDN w:val="0"/>
        <w:spacing w:line="360" w:lineRule="auto"/>
        <w:rPr>
          <w:rFonts w:ascii="宋体" w:hAnsi="宋体" w:cs="宋体"/>
          <w:sz w:val="24"/>
          <w:lang w:val="zh-CN"/>
        </w:rPr>
      </w:pPr>
      <w:r>
        <w:rPr>
          <w:rFonts w:hint="eastAsia" w:ascii="宋体" w:hAnsi="宋体" w:cs="宋体"/>
          <w:b/>
          <w:sz w:val="24"/>
          <w:lang w:val="zh-CN"/>
        </w:rPr>
        <w:t>甲方名称（公章）</w:t>
      </w:r>
      <w:r>
        <w:rPr>
          <w:rFonts w:hint="eastAsia" w:ascii="宋体" w:hAnsi="宋体" w:cs="宋体"/>
          <w:sz w:val="24"/>
          <w:lang w:val="zh-CN"/>
        </w:rPr>
        <w:t xml:space="preserve">：                       </w:t>
      </w:r>
      <w:r>
        <w:rPr>
          <w:rFonts w:hint="eastAsia" w:ascii="宋体" w:hAnsi="宋体" w:cs="宋体"/>
          <w:b/>
          <w:sz w:val="24"/>
          <w:lang w:val="zh-CN"/>
        </w:rPr>
        <w:t>乙方名称（公章）</w:t>
      </w:r>
      <w:r>
        <w:rPr>
          <w:rFonts w:hint="eastAsia" w:ascii="宋体" w:hAnsi="宋体" w:cs="宋体"/>
          <w:sz w:val="24"/>
          <w:lang w:val="zh-CN"/>
        </w:rPr>
        <w:t>：</w:t>
      </w:r>
    </w:p>
    <w:p>
      <w:pPr>
        <w:autoSpaceDE w:val="0"/>
        <w:autoSpaceDN w:val="0"/>
        <w:spacing w:line="360" w:lineRule="auto"/>
        <w:rPr>
          <w:rFonts w:ascii="宋体" w:hAnsi="宋体" w:cs="宋体"/>
          <w:sz w:val="24"/>
          <w:lang w:val="zh-CN"/>
        </w:rPr>
      </w:pPr>
    </w:p>
    <w:p>
      <w:pPr>
        <w:autoSpaceDE w:val="0"/>
        <w:autoSpaceDN w:val="0"/>
        <w:spacing w:line="360" w:lineRule="auto"/>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360" w:lineRule="auto"/>
        <w:rPr>
          <w:rFonts w:ascii="宋体" w:hAnsi="宋体" w:cs="宋体"/>
          <w:sz w:val="24"/>
          <w:lang w:val="zh-CN"/>
        </w:rPr>
      </w:pPr>
      <w:r>
        <w:rPr>
          <w:rFonts w:hint="eastAsia" w:ascii="宋体" w:hAnsi="宋体" w:cs="宋体"/>
          <w:sz w:val="24"/>
          <w:lang w:val="zh-CN"/>
        </w:rPr>
        <w:t>住所：                                   住所：</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法定代表人或授权代表（签字）：       </w:t>
      </w:r>
      <w:r>
        <w:rPr>
          <w:rFonts w:hint="eastAsia" w:ascii="宋体" w:hAnsi="宋体" w:cs="宋体"/>
          <w:sz w:val="24"/>
        </w:rPr>
        <w:t xml:space="preserve">   </w:t>
      </w:r>
      <w:r>
        <w:rPr>
          <w:rFonts w:hint="eastAsia" w:ascii="宋体" w:hAnsi="宋体" w:cs="宋体"/>
          <w:sz w:val="24"/>
          <w:lang w:val="zh-CN"/>
        </w:rPr>
        <w:t xml:space="preserve"> 法定代表人或授权代表（签字）: </w:t>
      </w:r>
    </w:p>
    <w:p>
      <w:pPr>
        <w:autoSpaceDE w:val="0"/>
        <w:autoSpaceDN w:val="0"/>
        <w:spacing w:line="360" w:lineRule="auto"/>
        <w:rPr>
          <w:rFonts w:ascii="宋体" w:hAnsi="宋体" w:cs="宋体"/>
          <w:sz w:val="24"/>
          <w:lang w:val="zh-CN"/>
        </w:rPr>
      </w:pPr>
      <w:r>
        <w:rPr>
          <w:rFonts w:hint="eastAsia" w:ascii="宋体" w:hAnsi="宋体" w:cs="宋体"/>
          <w:sz w:val="24"/>
          <w:lang w:val="zh-CN"/>
        </w:rPr>
        <w:t>联系人：                                 联系人：</w:t>
      </w:r>
    </w:p>
    <w:p>
      <w:pPr>
        <w:autoSpaceDE w:val="0"/>
        <w:autoSpaceDN w:val="0"/>
        <w:spacing w:line="360" w:lineRule="auto"/>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360" w:lineRule="auto"/>
        <w:rPr>
          <w:rFonts w:ascii="宋体" w:hAnsi="宋体" w:cs="宋体"/>
          <w:sz w:val="24"/>
          <w:lang w:val="zh-CN"/>
        </w:rPr>
      </w:pPr>
      <w:r>
        <w:rPr>
          <w:rFonts w:hint="eastAsia" w:ascii="宋体" w:hAnsi="宋体" w:cs="宋体"/>
          <w:sz w:val="24"/>
          <w:lang w:val="zh-CN"/>
        </w:rPr>
        <w:t>邮政编码：                               邮政编码：</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360" w:lineRule="auto"/>
        <w:rPr>
          <w:rFonts w:ascii="宋体" w:hAnsi="宋体" w:cs="宋体"/>
          <w:sz w:val="24"/>
        </w:rPr>
      </w:pPr>
      <w:r>
        <w:rPr>
          <w:rFonts w:hint="eastAsia" w:ascii="宋体" w:hAnsi="宋体" w:cs="宋体"/>
          <w:sz w:val="24"/>
          <w:lang w:val="zh-CN"/>
        </w:rPr>
        <w:t>传真:                                    传真:</w:t>
      </w:r>
    </w:p>
    <w:p>
      <w:pPr>
        <w:pStyle w:val="2"/>
        <w:spacing w:line="360" w:lineRule="auto"/>
        <w:ind w:firstLine="480"/>
        <w:rPr>
          <w:rFonts w:ascii="宋体" w:hAnsi="宋体" w:eastAsia="宋体" w:cs="宋体"/>
          <w:sz w:val="24"/>
        </w:rPr>
      </w:pPr>
    </w:p>
    <w:p>
      <w:pPr>
        <w:pStyle w:val="2"/>
        <w:spacing w:line="360" w:lineRule="auto"/>
        <w:ind w:firstLine="0" w:firstLineChars="0"/>
        <w:rPr>
          <w:rFonts w:ascii="宋体" w:hAnsi="宋体" w:eastAsia="宋体" w:cs="宋体"/>
          <w:b/>
          <w:bCs/>
          <w:sz w:val="24"/>
          <w:lang w:val="zh-CN"/>
        </w:rPr>
      </w:pPr>
      <w:r>
        <w:rPr>
          <w:rFonts w:hint="eastAsia" w:ascii="宋体" w:hAnsi="宋体" w:eastAsia="宋体" w:cs="宋体"/>
          <w:b/>
          <w:bCs/>
          <w:sz w:val="24"/>
        </w:rPr>
        <w:t>见证人：宁波于丹项目管理咨询有限公司</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地址：宁波市奉化区岳林街道新丰路66号                             </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法定代表人或授权代表（签字）：       </w:t>
      </w:r>
      <w:r>
        <w:rPr>
          <w:rFonts w:hint="eastAsia" w:ascii="宋体" w:hAnsi="宋体" w:cs="宋体"/>
          <w:sz w:val="24"/>
        </w:rPr>
        <w:t xml:space="preserve"> </w:t>
      </w:r>
    </w:p>
    <w:p>
      <w:pPr>
        <w:autoSpaceDE w:val="0"/>
        <w:autoSpaceDN w:val="0"/>
        <w:spacing w:line="360" w:lineRule="auto"/>
        <w:rPr>
          <w:rFonts w:ascii="宋体" w:hAnsi="宋体" w:cs="宋体"/>
          <w:sz w:val="24"/>
          <w:lang w:val="zh-CN"/>
        </w:rPr>
      </w:pPr>
      <w:r>
        <w:rPr>
          <w:rFonts w:hint="eastAsia" w:ascii="宋体" w:hAnsi="宋体" w:cs="宋体"/>
          <w:sz w:val="24"/>
          <w:lang w:val="zh-CN"/>
        </w:rPr>
        <w:t xml:space="preserve">联系人：                                                                    </w:t>
      </w:r>
    </w:p>
    <w:p>
      <w:pPr>
        <w:widowControl/>
        <w:spacing w:line="360" w:lineRule="auto"/>
        <w:jc w:val="left"/>
        <w:rPr>
          <w:rFonts w:ascii="宋体" w:hAnsi="宋体" w:cs="宋体"/>
          <w:b/>
          <w:sz w:val="24"/>
        </w:rPr>
      </w:pPr>
      <w:r>
        <w:rPr>
          <w:rFonts w:hint="eastAsia" w:ascii="宋体" w:hAnsi="宋体" w:cs="宋体"/>
          <w:sz w:val="24"/>
          <w:lang w:val="zh-CN"/>
        </w:rPr>
        <w:t>电话:</w:t>
      </w:r>
    </w:p>
    <w:bookmarkEnd w:id="457"/>
    <w:p>
      <w:pPr>
        <w:spacing w:line="360" w:lineRule="auto"/>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 xml:space="preserve">           第六部分</w:t>
      </w:r>
      <w:bookmarkEnd w:id="455"/>
      <w:r>
        <w:rPr>
          <w:rFonts w:hint="eastAsia" w:ascii="宋体" w:hAnsi="宋体" w:cs="宋体"/>
          <w:b/>
          <w:sz w:val="36"/>
          <w:szCs w:val="20"/>
        </w:rPr>
        <w:t xml:space="preserve"> </w:t>
      </w:r>
      <w:bookmarkEnd w:id="456"/>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adjustRightInd w:val="0"/>
        <w:snapToGrid w:val="0"/>
        <w:spacing w:line="360" w:lineRule="auto"/>
        <w:ind w:left="420" w:leftChars="200" w:firstLine="560" w:firstLineChars="200"/>
        <w:rPr>
          <w:rFonts w:ascii="宋体" w:hAnsi="宋体" w:cs="宋体"/>
          <w:sz w:val="28"/>
          <w:szCs w:val="28"/>
        </w:rPr>
      </w:pPr>
      <w:r>
        <w:rPr>
          <w:rFonts w:hint="eastAsia" w:ascii="宋体" w:hAnsi="宋体" w:cs="宋体"/>
          <w:sz w:val="28"/>
          <w:szCs w:val="28"/>
        </w:rPr>
        <w:t>1 有效的企业法人营业执照（或事业法人登记证）、其他组织（个体工商户）的营业执照或者民办非企业单位登记证书；</w:t>
      </w:r>
    </w:p>
    <w:p>
      <w:pPr>
        <w:adjustRightInd w:val="0"/>
        <w:snapToGrid w:val="0"/>
        <w:spacing w:line="360" w:lineRule="auto"/>
        <w:ind w:left="420" w:leftChars="200" w:firstLine="560" w:firstLineChars="200"/>
        <w:rPr>
          <w:rFonts w:ascii="宋体" w:hAnsi="宋体" w:cs="宋体"/>
          <w:sz w:val="28"/>
          <w:szCs w:val="28"/>
        </w:rPr>
      </w:pPr>
      <w:r>
        <w:rPr>
          <w:rFonts w:hint="eastAsia" w:ascii="宋体" w:hAnsi="宋体" w:cs="宋体"/>
          <w:sz w:val="28"/>
          <w:szCs w:val="28"/>
        </w:rPr>
        <w:t>2 符合参加政府采购活动应当具备的一般条件的承诺函；</w:t>
      </w:r>
    </w:p>
    <w:p>
      <w:pPr>
        <w:adjustRightInd w:val="0"/>
        <w:snapToGrid w:val="0"/>
        <w:spacing w:line="360" w:lineRule="auto"/>
        <w:ind w:left="420" w:leftChars="200" w:firstLine="560" w:firstLineChars="200"/>
        <w:rPr>
          <w:rFonts w:ascii="宋体" w:hAnsi="宋体" w:cs="宋体"/>
          <w:sz w:val="28"/>
          <w:szCs w:val="28"/>
        </w:rPr>
      </w:pPr>
      <w:r>
        <w:rPr>
          <w:rFonts w:hint="eastAsia" w:ascii="宋体" w:hAnsi="宋体" w:cs="宋体"/>
          <w:sz w:val="28"/>
          <w:szCs w:val="28"/>
        </w:rPr>
        <w:t>3 落实政府采购政策需满足的资格要求；</w:t>
      </w:r>
    </w:p>
    <w:p>
      <w:pPr>
        <w:adjustRightInd w:val="0"/>
        <w:snapToGrid w:val="0"/>
        <w:spacing w:line="360" w:lineRule="auto"/>
        <w:ind w:left="420" w:leftChars="200" w:firstLine="560" w:firstLineChars="200"/>
        <w:rPr>
          <w:rFonts w:ascii="宋体" w:hAnsi="宋体" w:cs="宋体"/>
          <w:sz w:val="28"/>
          <w:szCs w:val="28"/>
        </w:rPr>
      </w:pPr>
      <w:r>
        <w:rPr>
          <w:rFonts w:hint="eastAsia" w:ascii="宋体" w:hAnsi="宋体" w:cs="宋体"/>
          <w:sz w:val="28"/>
          <w:szCs w:val="28"/>
        </w:rPr>
        <w:t>4 联合协议（如有）；</w:t>
      </w:r>
    </w:p>
    <w:p>
      <w:pPr>
        <w:adjustRightInd w:val="0"/>
        <w:snapToGrid w:val="0"/>
        <w:spacing w:line="360" w:lineRule="auto"/>
        <w:ind w:left="420" w:leftChars="200" w:firstLine="560" w:firstLineChars="200"/>
        <w:rPr>
          <w:rFonts w:ascii="宋体" w:hAnsi="宋体" w:cs="宋体"/>
          <w:sz w:val="28"/>
          <w:szCs w:val="28"/>
        </w:rPr>
      </w:pPr>
      <w:r>
        <w:rPr>
          <w:rFonts w:hint="eastAsia" w:ascii="宋体" w:hAnsi="宋体" w:cs="宋体"/>
          <w:sz w:val="28"/>
          <w:szCs w:val="28"/>
        </w:rPr>
        <w:t>5 分包意向协议（如有）；</w:t>
      </w:r>
    </w:p>
    <w:p>
      <w:pPr>
        <w:adjustRightInd w:val="0"/>
        <w:snapToGrid w:val="0"/>
        <w:spacing w:line="360" w:lineRule="auto"/>
        <w:ind w:left="420" w:leftChars="200" w:firstLine="560" w:firstLineChars="200"/>
        <w:rPr>
          <w:rFonts w:ascii="宋体" w:hAnsi="宋体" w:cs="宋体"/>
          <w:sz w:val="28"/>
          <w:szCs w:val="28"/>
        </w:rPr>
      </w:pPr>
      <w:r>
        <w:rPr>
          <w:rFonts w:hint="eastAsia" w:ascii="宋体" w:hAnsi="宋体" w:cs="宋体"/>
          <w:sz w:val="28"/>
          <w:szCs w:val="28"/>
        </w:rPr>
        <w:t>6 本项目的特定资格要求（如有）。</w:t>
      </w:r>
    </w:p>
    <w:p>
      <w:pPr>
        <w:pStyle w:val="2"/>
        <w:spacing w:line="360" w:lineRule="auto"/>
        <w:ind w:firstLine="480"/>
        <w:rPr>
          <w:rFonts w:ascii="宋体" w:hAnsi="宋体" w:eastAsia="宋体" w:cs="宋体"/>
          <w:sz w:val="24"/>
        </w:rPr>
      </w:pPr>
    </w:p>
    <w:p>
      <w:pPr>
        <w:spacing w:line="360" w:lineRule="auto"/>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lang w:val="zh-CN"/>
        </w:rPr>
      </w:pPr>
    </w:p>
    <w:p>
      <w:pPr>
        <w:snapToGrid w:val="0"/>
        <w:spacing w:line="360" w:lineRule="auto"/>
        <w:ind w:firstLine="5520" w:firstLineChars="2300"/>
        <w:rPr>
          <w:rFonts w:ascii="宋体" w:hAnsi="宋体" w:cs="宋体"/>
          <w:kern w:val="0"/>
          <w:sz w:val="24"/>
          <w:lang w:val="zh-CN"/>
        </w:rPr>
      </w:pPr>
    </w:p>
    <w:p>
      <w:pPr>
        <w:snapToGrid w:val="0"/>
        <w:spacing w:line="360" w:lineRule="auto"/>
        <w:ind w:left="4200" w:leftChars="2000"/>
        <w:rPr>
          <w:rFonts w:ascii="宋体" w:hAnsi="宋体" w:cs="宋体"/>
          <w:kern w:val="0"/>
          <w:sz w:val="24"/>
        </w:rPr>
      </w:pPr>
      <w:r>
        <w:rPr>
          <w:rFonts w:hint="eastAsia" w:ascii="宋体" w:hAnsi="宋体" w:cs="宋体"/>
          <w:kern w:val="0"/>
          <w:sz w:val="24"/>
          <w:lang w:val="zh-CN"/>
        </w:rPr>
        <w:t>投标人名称(电子签章)：</w:t>
      </w:r>
    </w:p>
    <w:p>
      <w:pPr>
        <w:snapToGrid w:val="0"/>
        <w:spacing w:line="360" w:lineRule="auto"/>
        <w:ind w:left="4200" w:leftChars="2000"/>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pacing w:line="360" w:lineRule="auto"/>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二、落实政府采购政策需满足的资格要求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jc w:val="center"/>
        <w:rPr>
          <w:rFonts w:ascii="宋体" w:hAnsi="宋体" w:cs="宋体"/>
          <w:b/>
          <w:kern w:val="0"/>
          <w:sz w:val="32"/>
          <w:szCs w:val="32"/>
          <w:lang w:val="zh-CN"/>
        </w:rPr>
      </w:pPr>
      <w:r>
        <w:rPr>
          <w:rFonts w:hint="eastAsia" w:ascii="宋体" w:hAnsi="宋体" w:cs="宋体"/>
          <w:b/>
          <w:kern w:val="0"/>
          <w:sz w:val="32"/>
          <w:szCs w:val="32"/>
          <w:lang w:val="zh-CN"/>
        </w:rPr>
        <w:br w:type="page"/>
      </w:r>
      <w:r>
        <w:rPr>
          <w:rFonts w:hint="eastAsia" w:ascii="宋体" w:hAnsi="宋体" w:cs="宋体"/>
          <w:b/>
          <w:kern w:val="0"/>
          <w:sz w:val="32"/>
          <w:szCs w:val="32"/>
          <w:lang w:val="zh-CN"/>
        </w:rPr>
        <w:t>联合协议</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r>
        <w:rPr>
          <w:rFonts w:hint="eastAsia" w:ascii="宋体" w:hAnsi="宋体" w:cs="宋体"/>
          <w:kern w:val="0"/>
          <w:sz w:val="24"/>
          <w:u w:val="single"/>
        </w:rPr>
        <w:t>（联合体其中一方成员名称）</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kern w:val="0"/>
          <w:sz w:val="24"/>
          <w:u w:val="single"/>
        </w:rPr>
        <w:t>（某分包供应商名称）</w:t>
      </w:r>
      <w:r>
        <w:rPr>
          <w:rFonts w:hint="eastAsia" w:ascii="宋体" w:hAnsi="宋体" w:cs="宋体"/>
          <w:kern w:val="0"/>
          <w:sz w:val="24"/>
          <w:lang w:val="zh-CN"/>
        </w:rPr>
        <w:t>，</w:t>
      </w:r>
      <w:r>
        <w:rPr>
          <w:rFonts w:hint="eastAsia" w:ascii="宋体" w:hAnsi="宋体" w:cs="宋体"/>
          <w:kern w:val="0"/>
          <w:sz w:val="24"/>
          <w:u w:val="single"/>
        </w:rPr>
        <w:t>（某分包供应商名称），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五、违约责任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w:t>
      </w:r>
    </w:p>
    <w:p>
      <w:pPr>
        <w:snapToGrid w:val="0"/>
        <w:spacing w:line="360" w:lineRule="auto"/>
        <w:rPr>
          <w:rFonts w:ascii="宋体" w:hAnsi="宋体" w:cs="宋体"/>
          <w:kern w:val="0"/>
          <w:sz w:val="24"/>
          <w:lang w:val="zh-CN"/>
        </w:rPr>
      </w:pPr>
    </w:p>
    <w:p>
      <w:pPr>
        <w:snapToGrid w:val="0"/>
        <w:spacing w:line="360" w:lineRule="auto"/>
        <w:ind w:left="5880" w:leftChars="2800"/>
        <w:rPr>
          <w:rFonts w:ascii="宋体" w:hAnsi="宋体" w:cs="宋体"/>
          <w:kern w:val="0"/>
          <w:sz w:val="24"/>
          <w:lang w:val="zh-CN"/>
        </w:rPr>
      </w:pPr>
      <w:r>
        <w:rPr>
          <w:rFonts w:hint="eastAsia" w:ascii="宋体" w:hAnsi="宋体" w:cs="宋体"/>
          <w:kern w:val="0"/>
          <w:sz w:val="24"/>
          <w:lang w:val="zh-CN"/>
        </w:rPr>
        <w:t>投标人名称(电子签章)：</w:t>
      </w:r>
    </w:p>
    <w:p>
      <w:pPr>
        <w:snapToGrid w:val="0"/>
        <w:spacing w:line="360" w:lineRule="auto"/>
        <w:ind w:left="5880" w:leftChars="280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left="5880" w:leftChars="2800"/>
        <w:rPr>
          <w:rFonts w:ascii="宋体" w:hAnsi="宋体" w:cs="宋体"/>
        </w:rPr>
      </w:pPr>
      <w:r>
        <w:rPr>
          <w:rFonts w:hint="eastAsia" w:ascii="宋体" w:hAnsi="宋体" w:cs="宋体"/>
          <w:kern w:val="0"/>
          <w:sz w:val="24"/>
          <w:lang w:val="zh-CN"/>
        </w:rPr>
        <w:t>……</w:t>
      </w:r>
    </w:p>
    <w:p>
      <w:pPr>
        <w:spacing w:line="360" w:lineRule="auto"/>
        <w:ind w:left="5880" w:leftChars="2800"/>
        <w:rPr>
          <w:rFonts w:ascii="宋体" w:hAnsi="宋体" w:cs="宋体"/>
          <w:b/>
          <w:kern w:val="0"/>
          <w:sz w:val="32"/>
          <w:szCs w:val="32"/>
        </w:rPr>
      </w:pPr>
      <w:r>
        <w:rPr>
          <w:rFonts w:hint="eastAsia" w:ascii="宋体" w:hAnsi="宋体" w:cs="宋体"/>
          <w:kern w:val="0"/>
          <w:sz w:val="24"/>
          <w:lang w:val="zh-CN"/>
        </w:rPr>
        <w:t>日期：  年  月   日</w:t>
      </w: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三、本项目的特定资格要求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spacing w:line="360" w:lineRule="auto"/>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pacing w:line="360" w:lineRule="auto"/>
        <w:rPr>
          <w:rFonts w:ascii="宋体" w:hAnsi="宋体" w:cs="宋体"/>
          <w:b/>
          <w:kern w:val="0"/>
          <w:sz w:val="36"/>
          <w:szCs w:val="36"/>
        </w:rPr>
      </w:pPr>
      <w:r>
        <w:rPr>
          <w:rFonts w:hint="eastAsia" w:ascii="宋体" w:hAnsi="宋体" w:cs="宋体"/>
          <w:b/>
          <w:kern w:val="0"/>
          <w:sz w:val="36"/>
          <w:szCs w:val="36"/>
        </w:rPr>
        <w:br w:type="page"/>
      </w: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ind w:left="3990" w:leftChars="1900"/>
        <w:outlineLvl w:val="0"/>
        <w:rPr>
          <w:rFonts w:ascii="宋体" w:hAnsi="宋体" w:cs="宋体"/>
          <w:b/>
          <w:kern w:val="0"/>
          <w:sz w:val="28"/>
          <w:szCs w:val="28"/>
        </w:rPr>
      </w:pPr>
      <w:r>
        <w:rPr>
          <w:rFonts w:hint="eastAsia" w:ascii="宋体" w:hAnsi="宋体" w:cs="宋体"/>
          <w:b/>
          <w:kern w:val="0"/>
          <w:sz w:val="28"/>
          <w:szCs w:val="28"/>
        </w:rPr>
        <w:t>目 录</w:t>
      </w:r>
    </w:p>
    <w:p>
      <w:pPr>
        <w:snapToGrid w:val="0"/>
        <w:spacing w:line="360" w:lineRule="auto"/>
        <w:ind w:firstLine="960" w:firstLineChars="400"/>
        <w:rPr>
          <w:rFonts w:ascii="宋体" w:hAnsi="宋体" w:cs="宋体"/>
          <w:sz w:val="24"/>
        </w:rPr>
      </w:pPr>
    </w:p>
    <w:p>
      <w:pPr>
        <w:adjustRightInd w:val="0"/>
        <w:snapToGrid w:val="0"/>
        <w:spacing w:line="360" w:lineRule="auto"/>
        <w:ind w:firstLine="840" w:firstLineChars="300"/>
        <w:rPr>
          <w:rFonts w:ascii="宋体" w:hAnsi="宋体" w:cs="宋体"/>
          <w:sz w:val="28"/>
          <w:szCs w:val="28"/>
        </w:rPr>
      </w:pPr>
      <w:r>
        <w:rPr>
          <w:rFonts w:hint="eastAsia" w:ascii="宋体" w:hAnsi="宋体" w:cs="宋体"/>
          <w:sz w:val="28"/>
          <w:szCs w:val="28"/>
        </w:rPr>
        <w:t>1 符合性自查表；</w:t>
      </w:r>
    </w:p>
    <w:p>
      <w:pPr>
        <w:adjustRightInd w:val="0"/>
        <w:snapToGrid w:val="0"/>
        <w:spacing w:line="360" w:lineRule="auto"/>
        <w:ind w:firstLine="840" w:firstLineChars="300"/>
        <w:rPr>
          <w:rFonts w:ascii="宋体" w:hAnsi="宋体" w:cs="宋体"/>
          <w:sz w:val="28"/>
          <w:szCs w:val="28"/>
        </w:rPr>
      </w:pPr>
      <w:r>
        <w:rPr>
          <w:rFonts w:hint="eastAsia" w:ascii="宋体" w:hAnsi="宋体" w:cs="宋体"/>
          <w:sz w:val="28"/>
          <w:szCs w:val="28"/>
        </w:rPr>
        <w:t>2 投标函；</w:t>
      </w:r>
      <w:r>
        <w:rPr>
          <w:rFonts w:hint="eastAsia" w:ascii="宋体" w:hAnsi="宋体" w:cs="宋体"/>
          <w:sz w:val="28"/>
          <w:szCs w:val="28"/>
          <w:lang w:val="zh-CN"/>
        </w:rPr>
        <w:t xml:space="preserve"> </w:t>
      </w:r>
    </w:p>
    <w:p>
      <w:pPr>
        <w:adjustRightInd w:val="0"/>
        <w:snapToGrid w:val="0"/>
        <w:spacing w:line="360" w:lineRule="auto"/>
        <w:ind w:firstLine="840" w:firstLineChars="300"/>
        <w:rPr>
          <w:rFonts w:ascii="宋体" w:hAnsi="宋体" w:cs="宋体"/>
          <w:sz w:val="28"/>
          <w:szCs w:val="28"/>
        </w:rPr>
      </w:pPr>
      <w:r>
        <w:rPr>
          <w:rFonts w:hint="eastAsia" w:ascii="宋体" w:hAnsi="宋体" w:cs="宋体"/>
          <w:sz w:val="28"/>
          <w:szCs w:val="28"/>
        </w:rPr>
        <w:t>3 授权委托书或法定代表人（单位负责人、自然人本人）身份证明；</w:t>
      </w:r>
    </w:p>
    <w:p>
      <w:pPr>
        <w:adjustRightInd w:val="0"/>
        <w:snapToGrid w:val="0"/>
        <w:spacing w:line="360" w:lineRule="auto"/>
        <w:ind w:firstLine="840" w:firstLineChars="300"/>
        <w:rPr>
          <w:rFonts w:ascii="宋体" w:hAnsi="宋体" w:cs="宋体"/>
          <w:sz w:val="28"/>
          <w:szCs w:val="28"/>
        </w:rPr>
      </w:pPr>
      <w:r>
        <w:rPr>
          <w:rFonts w:hint="eastAsia" w:ascii="宋体" w:hAnsi="宋体" w:cs="宋体"/>
          <w:sz w:val="28"/>
          <w:szCs w:val="28"/>
        </w:rPr>
        <w:t>4 供应商情况表；</w:t>
      </w:r>
    </w:p>
    <w:p>
      <w:pPr>
        <w:adjustRightInd w:val="0"/>
        <w:snapToGrid w:val="0"/>
        <w:spacing w:line="360" w:lineRule="auto"/>
        <w:ind w:firstLine="840" w:firstLineChars="300"/>
        <w:rPr>
          <w:rFonts w:ascii="宋体" w:hAnsi="宋体" w:cs="宋体"/>
          <w:sz w:val="28"/>
          <w:szCs w:val="28"/>
        </w:rPr>
      </w:pPr>
      <w:r>
        <w:rPr>
          <w:rFonts w:hint="eastAsia" w:ascii="宋体" w:hAnsi="宋体" w:cs="宋体"/>
          <w:sz w:val="28"/>
          <w:szCs w:val="28"/>
        </w:rPr>
        <w:t>5 距采购人最近或者能为本项目提供最优服务的网点情况表；</w:t>
      </w:r>
    </w:p>
    <w:p>
      <w:pPr>
        <w:adjustRightInd w:val="0"/>
        <w:snapToGrid w:val="0"/>
        <w:spacing w:line="360" w:lineRule="auto"/>
        <w:ind w:firstLine="840" w:firstLineChars="300"/>
        <w:rPr>
          <w:rFonts w:ascii="宋体" w:hAnsi="宋体" w:cs="宋体"/>
          <w:sz w:val="28"/>
          <w:szCs w:val="28"/>
        </w:rPr>
      </w:pPr>
      <w:r>
        <w:rPr>
          <w:rFonts w:hint="eastAsia" w:ascii="宋体" w:hAnsi="宋体" w:cs="宋体"/>
          <w:sz w:val="28"/>
          <w:szCs w:val="28"/>
        </w:rPr>
        <w:t>6 评标标准相应的商务技术资料；</w:t>
      </w:r>
    </w:p>
    <w:p>
      <w:pPr>
        <w:adjustRightInd w:val="0"/>
        <w:snapToGrid w:val="0"/>
        <w:spacing w:line="360" w:lineRule="auto"/>
        <w:ind w:firstLine="840" w:firstLineChars="300"/>
        <w:rPr>
          <w:rFonts w:ascii="宋体" w:hAnsi="宋体" w:cs="宋体"/>
          <w:sz w:val="28"/>
          <w:szCs w:val="28"/>
        </w:rPr>
      </w:pPr>
      <w:r>
        <w:rPr>
          <w:rFonts w:hint="eastAsia" w:ascii="宋体" w:hAnsi="宋体" w:cs="宋体"/>
          <w:sz w:val="28"/>
          <w:szCs w:val="28"/>
        </w:rPr>
        <w:t>7 商务响应表；</w:t>
      </w:r>
    </w:p>
    <w:p>
      <w:pPr>
        <w:adjustRightInd w:val="0"/>
        <w:snapToGrid w:val="0"/>
        <w:spacing w:line="360" w:lineRule="auto"/>
        <w:ind w:firstLine="840" w:firstLineChars="300"/>
        <w:rPr>
          <w:rFonts w:ascii="宋体" w:hAnsi="宋体" w:cs="宋体"/>
          <w:sz w:val="28"/>
          <w:szCs w:val="28"/>
        </w:rPr>
      </w:pPr>
      <w:r>
        <w:rPr>
          <w:rFonts w:hint="eastAsia" w:ascii="宋体" w:hAnsi="宋体" w:cs="宋体"/>
          <w:sz w:val="28"/>
          <w:szCs w:val="28"/>
        </w:rPr>
        <w:t>8 技术响应表；</w:t>
      </w:r>
    </w:p>
    <w:p>
      <w:pPr>
        <w:adjustRightInd w:val="0"/>
        <w:snapToGrid w:val="0"/>
        <w:spacing w:line="360" w:lineRule="auto"/>
        <w:ind w:firstLine="840" w:firstLineChars="300"/>
        <w:rPr>
          <w:rFonts w:ascii="宋体" w:hAnsi="宋体" w:cs="宋体"/>
          <w:sz w:val="28"/>
          <w:szCs w:val="28"/>
        </w:rPr>
      </w:pPr>
      <w:r>
        <w:rPr>
          <w:rFonts w:hint="eastAsia" w:ascii="宋体" w:hAnsi="宋体" w:cs="宋体"/>
          <w:sz w:val="28"/>
          <w:szCs w:val="28"/>
        </w:rPr>
        <w:t>9 同类业绩情况一览表；</w:t>
      </w:r>
    </w:p>
    <w:p>
      <w:pPr>
        <w:adjustRightInd w:val="0"/>
        <w:snapToGrid w:val="0"/>
        <w:spacing w:line="360" w:lineRule="auto"/>
        <w:ind w:firstLine="840" w:firstLineChars="300"/>
        <w:rPr>
          <w:rFonts w:ascii="宋体" w:hAnsi="宋体" w:cs="宋体"/>
          <w:sz w:val="28"/>
          <w:szCs w:val="28"/>
          <w:lang w:val="zh-CN"/>
        </w:rPr>
      </w:pPr>
      <w:r>
        <w:rPr>
          <w:rFonts w:hint="eastAsia" w:ascii="宋体" w:hAnsi="宋体" w:cs="宋体"/>
          <w:sz w:val="28"/>
          <w:szCs w:val="28"/>
        </w:rPr>
        <w:t xml:space="preserve">10 </w:t>
      </w:r>
      <w:r>
        <w:rPr>
          <w:rFonts w:hint="eastAsia" w:ascii="宋体" w:hAnsi="宋体" w:cs="宋体"/>
          <w:sz w:val="28"/>
          <w:szCs w:val="28"/>
          <w:lang w:val="zh-CN"/>
        </w:rPr>
        <w:t>政府采购供应商廉洁自律承诺书；</w:t>
      </w:r>
    </w:p>
    <w:p>
      <w:pPr>
        <w:adjustRightInd w:val="0"/>
        <w:snapToGrid w:val="0"/>
        <w:spacing w:line="360" w:lineRule="auto"/>
        <w:ind w:firstLine="840" w:firstLineChars="300"/>
        <w:rPr>
          <w:rFonts w:ascii="宋体" w:hAnsi="宋体" w:cs="宋体"/>
          <w:sz w:val="28"/>
          <w:szCs w:val="28"/>
        </w:rPr>
      </w:pPr>
      <w:r>
        <w:rPr>
          <w:rFonts w:hint="eastAsia" w:ascii="宋体" w:hAnsi="宋体" w:cs="宋体"/>
          <w:sz w:val="28"/>
          <w:szCs w:val="28"/>
        </w:rPr>
        <w:t>11 其他资料。</w:t>
      </w:r>
    </w:p>
    <w:p>
      <w:pPr>
        <w:snapToGrid w:val="0"/>
        <w:spacing w:line="360" w:lineRule="auto"/>
        <w:outlineLvl w:val="0"/>
        <w:rPr>
          <w:rFonts w:ascii="宋体" w:hAnsi="宋体" w:cs="宋体"/>
          <w:b/>
          <w:kern w:val="0"/>
          <w:sz w:val="32"/>
          <w:szCs w:val="32"/>
        </w:rPr>
      </w:pPr>
    </w:p>
    <w:p>
      <w:pPr>
        <w:numPr>
          <w:ilvl w:val="0"/>
          <w:numId w:val="13"/>
        </w:num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符合性自查表</w:t>
      </w:r>
    </w:p>
    <w:tbl>
      <w:tblPr>
        <w:tblStyle w:val="18"/>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254"/>
        <w:gridCol w:w="1886"/>
        <w:gridCol w:w="123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4254" w:type="dxa"/>
            <w:vAlign w:val="center"/>
          </w:tcPr>
          <w:p>
            <w:pPr>
              <w:snapToGrid w:val="0"/>
              <w:spacing w:line="360" w:lineRule="auto"/>
              <w:jc w:val="center"/>
              <w:rPr>
                <w:rFonts w:ascii="宋体" w:hAnsi="宋体" w:cs="宋体"/>
                <w:b/>
                <w:sz w:val="24"/>
              </w:rPr>
            </w:pPr>
            <w:r>
              <w:rPr>
                <w:rFonts w:hint="eastAsia" w:ascii="宋体" w:hAnsi="宋体" w:cs="宋体"/>
                <w:b/>
                <w:sz w:val="24"/>
              </w:rPr>
              <w:t>实质性要求</w:t>
            </w:r>
          </w:p>
        </w:tc>
        <w:tc>
          <w:tcPr>
            <w:tcW w:w="1886" w:type="dxa"/>
            <w:vAlign w:val="center"/>
          </w:tcPr>
          <w:p>
            <w:pPr>
              <w:snapToGrid w:val="0"/>
              <w:spacing w:line="360" w:lineRule="auto"/>
              <w:jc w:val="center"/>
              <w:rPr>
                <w:rFonts w:ascii="宋体" w:hAnsi="宋体" w:cs="宋体"/>
                <w:b/>
                <w:sz w:val="24"/>
              </w:rPr>
            </w:pPr>
            <w:r>
              <w:rPr>
                <w:rFonts w:hint="eastAsia" w:ascii="宋体" w:hAnsi="宋体" w:cs="宋体"/>
                <w:b/>
                <w:sz w:val="24"/>
              </w:rPr>
              <w:t>需要提供的符合性审查资料</w:t>
            </w:r>
          </w:p>
        </w:tc>
        <w:tc>
          <w:tcPr>
            <w:tcW w:w="1234" w:type="dxa"/>
            <w:vAlign w:val="center"/>
          </w:tcPr>
          <w:p>
            <w:pPr>
              <w:spacing w:line="360" w:lineRule="auto"/>
              <w:rPr>
                <w:rFonts w:ascii="宋体" w:hAnsi="宋体" w:cs="宋体"/>
                <w:sz w:val="24"/>
              </w:rPr>
            </w:pPr>
            <w:r>
              <w:rPr>
                <w:rFonts w:hint="eastAsia" w:ascii="宋体" w:hAnsi="宋体" w:cs="宋体"/>
                <w:b/>
                <w:sz w:val="24"/>
              </w:rPr>
              <w:t>自查结论</w:t>
            </w:r>
          </w:p>
        </w:tc>
        <w:tc>
          <w:tcPr>
            <w:tcW w:w="1700" w:type="dxa"/>
            <w:vAlign w:val="center"/>
          </w:tcPr>
          <w:p>
            <w:pPr>
              <w:snapToGrid w:val="0"/>
              <w:spacing w:line="360" w:lineRule="auto"/>
              <w:jc w:val="center"/>
              <w:rPr>
                <w:rFonts w:ascii="宋体" w:hAnsi="宋体" w:cs="宋体"/>
                <w:b/>
                <w:sz w:val="24"/>
              </w:rPr>
            </w:pPr>
            <w:r>
              <w:rPr>
                <w:rFonts w:hint="eastAsia" w:ascii="宋体" w:hAnsi="宋体" w:cs="宋体"/>
                <w:b/>
                <w:sz w:val="24"/>
              </w:rPr>
              <w:t>投标文件中的</w:t>
            </w:r>
          </w:p>
          <w:p>
            <w:pPr>
              <w:snapToGrid w:val="0"/>
              <w:spacing w:line="360" w:lineRule="auto"/>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jc w:val="center"/>
              <w:rPr>
                <w:rFonts w:ascii="宋体" w:hAnsi="宋体" w:cs="宋体"/>
                <w:sz w:val="24"/>
              </w:rPr>
            </w:pPr>
            <w:r>
              <w:rPr>
                <w:rFonts w:hint="eastAsia" w:ascii="宋体" w:hAnsi="宋体" w:cs="宋体"/>
                <w:sz w:val="24"/>
              </w:rPr>
              <w:t>1</w:t>
            </w:r>
          </w:p>
        </w:tc>
        <w:tc>
          <w:tcPr>
            <w:tcW w:w="4254" w:type="dxa"/>
            <w:vAlign w:val="center"/>
          </w:tcPr>
          <w:p>
            <w:pPr>
              <w:spacing w:line="360" w:lineRule="auto"/>
              <w:rPr>
                <w:rFonts w:ascii="宋体" w:hAnsi="宋体" w:cs="宋体"/>
                <w:sz w:val="24"/>
              </w:rPr>
            </w:pPr>
            <w:r>
              <w:rPr>
                <w:rFonts w:hint="eastAsia" w:ascii="宋体" w:hAnsi="宋体" w:cs="宋体"/>
                <w:sz w:val="24"/>
              </w:rPr>
              <w:t>投标文件按照招标文件要求签署、盖章。</w:t>
            </w:r>
          </w:p>
        </w:tc>
        <w:tc>
          <w:tcPr>
            <w:tcW w:w="1886" w:type="dxa"/>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c>
          <w:tcPr>
            <w:tcW w:w="1234" w:type="dxa"/>
            <w:vAlign w:val="center"/>
          </w:tcPr>
          <w:p>
            <w:pPr>
              <w:spacing w:line="360" w:lineRule="auto"/>
              <w:rPr>
                <w:rFonts w:ascii="宋体" w:hAnsi="宋体" w:cs="宋体"/>
                <w:sz w:val="24"/>
              </w:rPr>
            </w:pPr>
            <w:r>
              <w:rPr>
                <w:rFonts w:hint="eastAsia" w:ascii="宋体" w:hAnsi="宋体" w:cs="宋体"/>
                <w:sz w:val="24"/>
              </w:rPr>
              <w:t xml:space="preserve">□通过 </w:t>
            </w:r>
          </w:p>
          <w:p>
            <w:pPr>
              <w:spacing w:line="360" w:lineRule="auto"/>
              <w:rPr>
                <w:rFonts w:ascii="宋体" w:hAnsi="宋体" w:cs="宋体"/>
                <w:sz w:val="24"/>
              </w:rPr>
            </w:pPr>
            <w:r>
              <w:rPr>
                <w:rFonts w:hint="eastAsia" w:ascii="宋体" w:hAnsi="宋体" w:cs="宋体"/>
                <w:sz w:val="24"/>
              </w:rPr>
              <w:t>□不通过</w:t>
            </w:r>
          </w:p>
        </w:tc>
        <w:tc>
          <w:tcPr>
            <w:tcW w:w="1700" w:type="dxa"/>
            <w:vAlign w:val="center"/>
          </w:tcPr>
          <w:p>
            <w:pPr>
              <w:spacing w:line="360" w:lineRule="auto"/>
              <w:rPr>
                <w:rFonts w:ascii="宋体" w:hAnsi="宋体" w:cs="宋体"/>
                <w:sz w:val="24"/>
              </w:rPr>
            </w:pPr>
            <w:r>
              <w:rPr>
                <w:rFonts w:hint="eastAsia" w:ascii="宋体" w:hAnsi="宋体" w:cs="宋体"/>
                <w:sz w:val="24"/>
              </w:rPr>
              <w:t>见投标文件</w:t>
            </w:r>
          </w:p>
          <w:p>
            <w:pPr>
              <w:spacing w:line="360" w:lineRule="auto"/>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jc w:val="center"/>
              <w:rPr>
                <w:rFonts w:ascii="宋体" w:hAnsi="宋体" w:cs="宋体"/>
                <w:sz w:val="24"/>
              </w:rPr>
            </w:pPr>
            <w:r>
              <w:rPr>
                <w:rFonts w:hint="eastAsia" w:ascii="宋体" w:hAnsi="宋体" w:cs="宋体"/>
                <w:sz w:val="24"/>
              </w:rPr>
              <w:t>2</w:t>
            </w:r>
          </w:p>
        </w:tc>
        <w:tc>
          <w:tcPr>
            <w:tcW w:w="4254" w:type="dxa"/>
            <w:vAlign w:val="center"/>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1886" w:type="dxa"/>
            <w:vAlign w:val="center"/>
          </w:tcPr>
          <w:p>
            <w:pPr>
              <w:spacing w:line="360" w:lineRule="auto"/>
              <w:rPr>
                <w:rFonts w:ascii="宋体" w:hAnsi="宋体" w:cs="宋体"/>
                <w:sz w:val="24"/>
              </w:rPr>
            </w:pPr>
            <w:r>
              <w:rPr>
                <w:rFonts w:hint="eastAsia" w:ascii="宋体" w:hAnsi="宋体" w:cs="宋体"/>
                <w:sz w:val="24"/>
              </w:rPr>
              <w:t>投标函</w:t>
            </w:r>
          </w:p>
        </w:tc>
        <w:tc>
          <w:tcPr>
            <w:tcW w:w="1234" w:type="dxa"/>
            <w:vAlign w:val="center"/>
          </w:tcPr>
          <w:p>
            <w:pPr>
              <w:spacing w:line="360" w:lineRule="auto"/>
              <w:rPr>
                <w:rFonts w:ascii="宋体" w:hAnsi="宋体" w:cs="宋体"/>
                <w:sz w:val="24"/>
              </w:rPr>
            </w:pPr>
            <w:r>
              <w:rPr>
                <w:rFonts w:hint="eastAsia" w:ascii="宋体" w:hAnsi="宋体" w:cs="宋体"/>
                <w:sz w:val="24"/>
              </w:rPr>
              <w:t xml:space="preserve">□通过 </w:t>
            </w:r>
          </w:p>
          <w:p>
            <w:pPr>
              <w:spacing w:line="360" w:lineRule="auto"/>
              <w:rPr>
                <w:rFonts w:ascii="宋体" w:hAnsi="宋体" w:cs="宋体"/>
                <w:sz w:val="24"/>
              </w:rPr>
            </w:pPr>
            <w:r>
              <w:rPr>
                <w:rFonts w:hint="eastAsia" w:ascii="宋体" w:hAnsi="宋体" w:cs="宋体"/>
                <w:sz w:val="24"/>
              </w:rPr>
              <w:t>□不通过</w:t>
            </w:r>
          </w:p>
        </w:tc>
        <w:tc>
          <w:tcPr>
            <w:tcW w:w="1700" w:type="dxa"/>
            <w:vAlign w:val="center"/>
          </w:tcPr>
          <w:p>
            <w:pPr>
              <w:spacing w:line="360" w:lineRule="auto"/>
              <w:rPr>
                <w:rFonts w:ascii="宋体" w:hAnsi="宋体" w:cs="宋体"/>
                <w:sz w:val="24"/>
              </w:rPr>
            </w:pPr>
            <w:r>
              <w:rPr>
                <w:rFonts w:hint="eastAsia" w:ascii="宋体" w:hAnsi="宋体" w:cs="宋体"/>
                <w:sz w:val="24"/>
              </w:rPr>
              <w:t>见投标文件</w:t>
            </w:r>
          </w:p>
          <w:p>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8" w:type="dxa"/>
            <w:vAlign w:val="center"/>
          </w:tcPr>
          <w:p>
            <w:pPr>
              <w:spacing w:line="360" w:lineRule="auto"/>
              <w:jc w:val="center"/>
              <w:rPr>
                <w:rFonts w:ascii="宋体" w:hAnsi="宋体" w:cs="宋体"/>
                <w:sz w:val="24"/>
              </w:rPr>
            </w:pPr>
            <w:r>
              <w:rPr>
                <w:rFonts w:hint="eastAsia" w:ascii="宋体" w:hAnsi="宋体" w:cs="宋体"/>
                <w:sz w:val="24"/>
              </w:rPr>
              <w:t>3</w:t>
            </w:r>
          </w:p>
        </w:tc>
        <w:tc>
          <w:tcPr>
            <w:tcW w:w="4254" w:type="dxa"/>
            <w:vAlign w:val="center"/>
          </w:tcPr>
          <w:p>
            <w:pPr>
              <w:snapToGrid w:val="0"/>
              <w:spacing w:line="360" w:lineRule="auto"/>
              <w:jc w:val="left"/>
              <w:rPr>
                <w:rFonts w:ascii="宋体" w:hAnsi="宋体" w:cs="宋体"/>
                <w:sz w:val="24"/>
              </w:rPr>
            </w:pPr>
            <w:r>
              <w:rPr>
                <w:rFonts w:hint="eastAsia" w:ascii="宋体" w:hAnsi="宋体" w:cs="宋体"/>
                <w:bCs/>
                <w:sz w:val="24"/>
              </w:rPr>
              <w:t>按有关法律、法规、规章不属于投标无效的。</w:t>
            </w:r>
          </w:p>
        </w:tc>
        <w:tc>
          <w:tcPr>
            <w:tcW w:w="1886" w:type="dxa"/>
            <w:vAlign w:val="center"/>
          </w:tcPr>
          <w:p>
            <w:pPr>
              <w:spacing w:line="360" w:lineRule="auto"/>
              <w:rPr>
                <w:rFonts w:ascii="宋体" w:hAnsi="宋体" w:cs="宋体"/>
                <w:sz w:val="24"/>
              </w:rPr>
            </w:pPr>
          </w:p>
        </w:tc>
        <w:tc>
          <w:tcPr>
            <w:tcW w:w="1234" w:type="dxa"/>
            <w:vAlign w:val="center"/>
          </w:tcPr>
          <w:p>
            <w:pPr>
              <w:spacing w:line="360" w:lineRule="auto"/>
              <w:rPr>
                <w:rFonts w:ascii="宋体" w:hAnsi="宋体" w:cs="宋体"/>
                <w:sz w:val="24"/>
              </w:rPr>
            </w:pPr>
            <w:r>
              <w:rPr>
                <w:rFonts w:hint="eastAsia" w:ascii="宋体" w:hAnsi="宋体" w:cs="宋体"/>
                <w:sz w:val="24"/>
              </w:rPr>
              <w:t xml:space="preserve">□通过 </w:t>
            </w:r>
          </w:p>
          <w:p>
            <w:pPr>
              <w:spacing w:line="360" w:lineRule="auto"/>
              <w:rPr>
                <w:rFonts w:ascii="宋体" w:hAnsi="宋体" w:cs="宋体"/>
                <w:sz w:val="24"/>
              </w:rPr>
            </w:pPr>
            <w:r>
              <w:rPr>
                <w:rFonts w:hint="eastAsia" w:ascii="宋体" w:hAnsi="宋体" w:cs="宋体"/>
                <w:sz w:val="24"/>
              </w:rPr>
              <w:t>□不通过</w:t>
            </w:r>
          </w:p>
        </w:tc>
        <w:tc>
          <w:tcPr>
            <w:tcW w:w="1700" w:type="dxa"/>
            <w:vAlign w:val="center"/>
          </w:tcPr>
          <w:p>
            <w:pPr>
              <w:spacing w:line="360" w:lineRule="auto"/>
              <w:rPr>
                <w:rFonts w:ascii="宋体" w:hAnsi="宋体" w:cs="宋体"/>
                <w:sz w:val="24"/>
              </w:rPr>
            </w:pPr>
            <w:r>
              <w:rPr>
                <w:rFonts w:hint="eastAsia" w:ascii="宋体" w:hAnsi="宋体" w:cs="宋体"/>
                <w:sz w:val="24"/>
              </w:rPr>
              <w:t>见投标文件</w:t>
            </w:r>
          </w:p>
          <w:p>
            <w:pPr>
              <w:spacing w:line="360" w:lineRule="auto"/>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bl>
    <w:p>
      <w:pPr>
        <w:snapToGrid w:val="0"/>
        <w:spacing w:line="360" w:lineRule="auto"/>
        <w:jc w:val="left"/>
        <w:rPr>
          <w:rFonts w:ascii="宋体" w:hAnsi="宋体" w:cs="宋体"/>
          <w:b/>
          <w:sz w:val="32"/>
          <w:szCs w:val="32"/>
        </w:rPr>
      </w:pPr>
      <w:r>
        <w:rPr>
          <w:rFonts w:hint="eastAsia" w:ascii="宋体" w:hAnsi="宋体" w:cs="宋体"/>
          <w:b/>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pPr>
        <w:numPr>
          <w:ilvl w:val="0"/>
          <w:numId w:val="13"/>
        </w:num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br w:type="page"/>
      </w:r>
      <w:r>
        <w:rPr>
          <w:rFonts w:hint="eastAsia" w:ascii="宋体" w:hAnsi="宋体" w:cs="宋体"/>
          <w:b/>
          <w:kern w:val="0"/>
          <w:sz w:val="32"/>
          <w:szCs w:val="32"/>
        </w:rPr>
        <w:t>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（采购人）、（采购代理机构）：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2.1.1有效的企业法人营业执照（或事业法人登记证）、其他组织（个体工商户）的营业执照或者民办非企业单位登记证书；</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2.1.2符合参加政府采购活动应当具备的一般条件的承诺函落实政府采购政策需满足的资格要求（如果有）；</w:t>
      </w:r>
    </w:p>
    <w:p>
      <w:pPr>
        <w:snapToGrid w:val="0"/>
        <w:spacing w:line="360" w:lineRule="auto"/>
        <w:ind w:firstLine="960" w:firstLineChars="400"/>
        <w:rPr>
          <w:rFonts w:ascii="宋体" w:hAnsi="宋体" w:cs="宋体"/>
          <w:sz w:val="24"/>
        </w:rPr>
      </w:pPr>
      <w:r>
        <w:rPr>
          <w:rFonts w:hint="eastAsia" w:ascii="宋体" w:hAnsi="宋体" w:cs="宋体"/>
          <w:sz w:val="24"/>
        </w:rPr>
        <w:t>2.1.3落实政府采购政策需满足的资格要求；</w:t>
      </w:r>
    </w:p>
    <w:p>
      <w:pPr>
        <w:snapToGrid w:val="0"/>
        <w:spacing w:line="360" w:lineRule="auto"/>
        <w:ind w:firstLine="960" w:firstLineChars="400"/>
        <w:rPr>
          <w:rFonts w:ascii="宋体" w:hAnsi="宋体" w:cs="宋体"/>
          <w:sz w:val="24"/>
        </w:rPr>
      </w:pPr>
      <w:r>
        <w:rPr>
          <w:rFonts w:hint="eastAsia" w:ascii="宋体" w:hAnsi="宋体" w:cs="宋体"/>
          <w:sz w:val="24"/>
        </w:rPr>
        <w:t>2.1.4联合协议（如果有）；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2.1.5分包意向协议（如果有）；</w:t>
      </w:r>
    </w:p>
    <w:p>
      <w:pPr>
        <w:snapToGrid w:val="0"/>
        <w:spacing w:line="360" w:lineRule="auto"/>
        <w:ind w:firstLine="960" w:firstLineChars="400"/>
        <w:rPr>
          <w:rFonts w:ascii="宋体" w:hAnsi="宋体" w:cs="宋体"/>
        </w:rPr>
      </w:pPr>
      <w:r>
        <w:rPr>
          <w:rFonts w:hint="eastAsia" w:ascii="宋体" w:hAnsi="宋体" w:cs="宋体"/>
          <w:sz w:val="24"/>
        </w:rPr>
        <w:t>2.1.6本项目的特定资格要求。</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 符合性自查表；</w:t>
      </w:r>
    </w:p>
    <w:p>
      <w:pPr>
        <w:snapToGrid w:val="0"/>
        <w:spacing w:line="360" w:lineRule="auto"/>
        <w:ind w:left="420" w:leftChars="200" w:firstLine="480" w:firstLineChars="200"/>
        <w:rPr>
          <w:rFonts w:ascii="宋体" w:hAnsi="宋体" w:cs="宋体"/>
          <w:lang w:val="zh-CN"/>
        </w:rPr>
      </w:pPr>
      <w:r>
        <w:rPr>
          <w:rFonts w:hint="eastAsia" w:ascii="宋体" w:hAnsi="宋体" w:cs="宋体"/>
          <w:sz w:val="24"/>
        </w:rPr>
        <w:t>2.2.2 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2.2.3 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2.2.4 供应商情况表；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2.2.5 距采购人最近或者能为本项目提供最优服务的网点情况表；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 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 商务响应表；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 技术响应表；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9 同类业绩情况一览表；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 xml:space="preserve">2.2.10 </w:t>
      </w:r>
      <w:r>
        <w:rPr>
          <w:rFonts w:hint="eastAsia" w:ascii="宋体" w:hAnsi="宋体" w:cs="宋体"/>
          <w:sz w:val="24"/>
          <w:lang w:val="zh-CN"/>
        </w:rPr>
        <w:t>政府采购供应商廉洁自律承诺书；</w:t>
      </w:r>
    </w:p>
    <w:p>
      <w:pPr>
        <w:snapToGrid w:val="0"/>
        <w:spacing w:line="360" w:lineRule="auto"/>
        <w:ind w:left="420" w:leftChars="200" w:firstLine="480" w:firstLineChars="200"/>
        <w:rPr>
          <w:rFonts w:ascii="宋体" w:hAnsi="宋体" w:cs="宋体"/>
        </w:rPr>
      </w:pPr>
      <w:r>
        <w:rPr>
          <w:rFonts w:hint="eastAsia" w:ascii="宋体" w:hAnsi="宋体" w:cs="宋体"/>
          <w:sz w:val="24"/>
        </w:rPr>
        <w:t>2.2.11 其他资料。</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firstLine="960" w:firstLineChars="400"/>
        <w:rPr>
          <w:rFonts w:ascii="宋体" w:hAnsi="宋体" w:cs="宋体"/>
          <w:sz w:val="24"/>
        </w:rPr>
      </w:pPr>
      <w:r>
        <w:rPr>
          <w:rFonts w:hint="eastAsia" w:ascii="宋体" w:hAnsi="宋体" w:cs="宋体"/>
          <w:sz w:val="24"/>
        </w:rPr>
        <w:t>2.3.1 开标一览表；</w:t>
      </w:r>
    </w:p>
    <w:p>
      <w:pPr>
        <w:snapToGrid w:val="0"/>
        <w:spacing w:line="360" w:lineRule="auto"/>
        <w:ind w:firstLine="960" w:firstLineChars="400"/>
        <w:rPr>
          <w:rFonts w:ascii="宋体" w:hAnsi="宋体" w:cs="宋体"/>
          <w:sz w:val="24"/>
        </w:rPr>
      </w:pPr>
      <w:r>
        <w:rPr>
          <w:rFonts w:hint="eastAsia" w:ascii="宋体" w:hAnsi="宋体" w:cs="宋体"/>
          <w:sz w:val="24"/>
        </w:rPr>
        <w:t>2.3.2投标报价明细表；</w:t>
      </w:r>
    </w:p>
    <w:p>
      <w:pPr>
        <w:snapToGrid w:val="0"/>
        <w:spacing w:line="360" w:lineRule="auto"/>
        <w:ind w:firstLine="960" w:firstLineChars="400"/>
        <w:rPr>
          <w:rFonts w:ascii="宋体" w:hAnsi="宋体" w:cs="宋体"/>
          <w:sz w:val="24"/>
        </w:rPr>
      </w:pPr>
      <w:r>
        <w:rPr>
          <w:rFonts w:hint="eastAsia" w:ascii="宋体" w:hAnsi="宋体" w:cs="宋体"/>
          <w:sz w:val="24"/>
        </w:rPr>
        <w:t>2.3.3 中小企业声明函（如有）；</w:t>
      </w:r>
    </w:p>
    <w:p>
      <w:pPr>
        <w:snapToGrid w:val="0"/>
        <w:spacing w:line="360" w:lineRule="auto"/>
        <w:ind w:firstLine="960" w:firstLineChars="400"/>
        <w:rPr>
          <w:rFonts w:ascii="宋体" w:hAnsi="宋体" w:cs="宋体"/>
          <w:sz w:val="24"/>
        </w:rPr>
      </w:pPr>
      <w:r>
        <w:rPr>
          <w:rFonts w:hint="eastAsia" w:ascii="宋体" w:hAnsi="宋体" w:cs="宋体"/>
          <w:sz w:val="24"/>
        </w:rPr>
        <w:t>2.3.4 残疾人福利性单位声明函（如有）；</w:t>
      </w:r>
    </w:p>
    <w:p>
      <w:pPr>
        <w:snapToGrid w:val="0"/>
        <w:spacing w:line="360" w:lineRule="auto"/>
        <w:ind w:firstLine="960" w:firstLineChars="400"/>
        <w:rPr>
          <w:rFonts w:ascii="宋体" w:hAnsi="宋体" w:cs="宋体"/>
          <w:sz w:val="24"/>
        </w:rPr>
      </w:pPr>
      <w:r>
        <w:rPr>
          <w:rFonts w:hint="eastAsia" w:ascii="宋体" w:hAnsi="宋体" w:cs="宋体"/>
          <w:sz w:val="24"/>
        </w:rPr>
        <w:t>2.3.5 监狱企业的证明文件（如有）；</w:t>
      </w:r>
    </w:p>
    <w:p>
      <w:pPr>
        <w:snapToGrid w:val="0"/>
        <w:spacing w:line="360" w:lineRule="auto"/>
        <w:ind w:firstLine="960" w:firstLineChars="400"/>
        <w:rPr>
          <w:rFonts w:ascii="宋体" w:hAnsi="宋体" w:cs="宋体"/>
          <w:sz w:val="24"/>
        </w:rPr>
      </w:pPr>
      <w:r>
        <w:rPr>
          <w:rFonts w:hint="eastAsia" w:ascii="宋体" w:hAnsi="宋体" w:cs="宋体"/>
          <w:sz w:val="24"/>
        </w:rPr>
        <w:t>2.3.6 政府采购统计基础信息表。</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firstLine="480" w:firstLineChars="200"/>
        <w:rPr>
          <w:rFonts w:ascii="宋体" w:hAnsi="宋体" w:cs="宋体"/>
          <w:sz w:val="24"/>
        </w:rPr>
      </w:pPr>
      <w:r>
        <w:rPr>
          <w:rFonts w:hint="eastAsia" w:ascii="宋体" w:hAnsi="宋体" w:cs="宋体"/>
          <w:sz w:val="24"/>
        </w:rPr>
        <w:t xml:space="preserve">5、其他补充说明: </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3600" w:firstLineChars="1500"/>
        <w:rPr>
          <w:rFonts w:ascii="宋体" w:hAnsi="宋体" w:cs="宋体"/>
          <w:sz w:val="24"/>
        </w:rPr>
      </w:pPr>
    </w:p>
    <w:p>
      <w:pPr>
        <w:pStyle w:val="2"/>
        <w:ind w:firstLine="480"/>
        <w:rPr>
          <w:rFonts w:ascii="宋体" w:hAnsi="宋体" w:eastAsia="宋体" w:cs="宋体"/>
          <w:sz w:val="24"/>
        </w:rPr>
      </w:pPr>
    </w:p>
    <w:p>
      <w:pPr>
        <w:pStyle w:val="2"/>
        <w:ind w:firstLine="480"/>
        <w:rPr>
          <w:rFonts w:ascii="宋体" w:hAnsi="宋体" w:eastAsia="宋体" w:cs="宋体"/>
          <w:sz w:val="24"/>
        </w:rPr>
      </w:pPr>
    </w:p>
    <w:p>
      <w:pPr>
        <w:adjustRightInd w:val="0"/>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法定代表人或其授权委托人（签名或印章）：</w:t>
      </w:r>
    </w:p>
    <w:p>
      <w:pPr>
        <w:adjustRightInd w:val="0"/>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投标人（盖章）：</w:t>
      </w:r>
    </w:p>
    <w:p>
      <w:pPr>
        <w:adjustRightInd w:val="0"/>
        <w:snapToGrid w:val="0"/>
        <w:spacing w:line="360" w:lineRule="auto"/>
        <w:rPr>
          <w:rFonts w:ascii="宋体" w:hAnsi="宋体" w:cs="宋体"/>
          <w:b/>
          <w:kern w:val="0"/>
          <w:sz w:val="32"/>
          <w:szCs w:val="32"/>
          <w:lang w:val="zh-CN"/>
        </w:rPr>
      </w:pPr>
      <w:r>
        <w:rPr>
          <w:rFonts w:hint="eastAsia" w:ascii="宋体" w:hAnsi="宋体" w:cs="宋体"/>
          <w:kern w:val="0"/>
          <w:sz w:val="24"/>
          <w:lang w:val="zh-CN"/>
        </w:rPr>
        <w:t xml:space="preserve">                                  日期：</w:t>
      </w:r>
    </w:p>
    <w:p>
      <w:pPr>
        <w:spacing w:line="360" w:lineRule="auto"/>
        <w:jc w:val="center"/>
        <w:rPr>
          <w:rFonts w:ascii="宋体" w:hAnsi="宋体" w:cs="宋体"/>
          <w:b/>
          <w:kern w:val="0"/>
          <w:sz w:val="32"/>
          <w:szCs w:val="32"/>
          <w:lang w:val="zh-CN"/>
        </w:rPr>
      </w:pPr>
    </w:p>
    <w:p>
      <w:pPr>
        <w:spacing w:line="360" w:lineRule="auto"/>
        <w:rPr>
          <w:rFonts w:ascii="宋体" w:hAnsi="宋体" w:cs="宋体"/>
          <w:b/>
          <w:sz w:val="32"/>
          <w:szCs w:val="32"/>
        </w:rPr>
      </w:pPr>
      <w:bookmarkStart w:id="458" w:name="_Toc14746861"/>
      <w:bookmarkStart w:id="459" w:name="_Toc225223761"/>
      <w:bookmarkStart w:id="460" w:name="_Toc483379796"/>
      <w:bookmarkStart w:id="461" w:name="_Toc488936100"/>
      <w:bookmarkStart w:id="462" w:name="_Toc479927873"/>
      <w:bookmarkStart w:id="463" w:name="_Toc110393361"/>
    </w:p>
    <w:p>
      <w:pPr>
        <w:numPr>
          <w:ilvl w:val="0"/>
          <w:numId w:val="13"/>
        </w:numPr>
        <w:snapToGrid w:val="0"/>
        <w:spacing w:line="360" w:lineRule="auto"/>
        <w:jc w:val="center"/>
        <w:outlineLvl w:val="0"/>
        <w:rPr>
          <w:rFonts w:ascii="宋体" w:hAnsi="宋体" w:cs="宋体"/>
          <w:b/>
          <w:kern w:val="0"/>
          <w:sz w:val="32"/>
          <w:szCs w:val="32"/>
          <w:lang w:val="zh-CN"/>
        </w:rPr>
      </w:pPr>
      <w:r>
        <w:rPr>
          <w:rFonts w:hint="eastAsia" w:ascii="宋体" w:hAnsi="宋体" w:cs="宋体"/>
          <w:b/>
          <w:kern w:val="0"/>
          <w:sz w:val="32"/>
          <w:szCs w:val="32"/>
          <w:lang w:val="zh-CN"/>
        </w:rPr>
        <w:br w:type="page"/>
      </w:r>
      <w:r>
        <w:rPr>
          <w:rFonts w:hint="eastAsia" w:ascii="宋体" w:hAnsi="宋体" w:cs="宋体"/>
          <w:b/>
          <w:kern w:val="0"/>
          <w:sz w:val="32"/>
          <w:szCs w:val="32"/>
          <w:lang w:val="zh-CN"/>
        </w:rPr>
        <w:t>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日起至</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pPr>
        <w:adjustRightInd w:val="0"/>
        <w:snapToGrid w:val="0"/>
        <w:spacing w:line="360" w:lineRule="auto"/>
        <w:ind w:left="3990" w:leftChars="1900"/>
        <w:rPr>
          <w:rFonts w:ascii="宋体" w:hAnsi="宋体" w:cs="宋体"/>
          <w:kern w:val="0"/>
          <w:sz w:val="24"/>
          <w:lang w:val="zh-CN"/>
        </w:rPr>
      </w:pPr>
      <w:r>
        <w:rPr>
          <w:rFonts w:hint="eastAsia" w:ascii="宋体" w:hAnsi="宋体" w:cs="宋体"/>
          <w:kern w:val="0"/>
          <w:sz w:val="24"/>
          <w:lang w:val="zh-CN"/>
        </w:rPr>
        <w:t>法定代表人（签名或印章）：</w:t>
      </w:r>
    </w:p>
    <w:p>
      <w:pPr>
        <w:adjustRightInd w:val="0"/>
        <w:snapToGrid w:val="0"/>
        <w:spacing w:line="360" w:lineRule="auto"/>
        <w:ind w:left="3990" w:leftChars="1900"/>
        <w:rPr>
          <w:rFonts w:ascii="宋体" w:hAnsi="宋体" w:cs="宋体"/>
          <w:kern w:val="0"/>
          <w:sz w:val="24"/>
          <w:lang w:val="zh-CN"/>
        </w:rPr>
      </w:pPr>
      <w:r>
        <w:rPr>
          <w:rFonts w:hint="eastAsia" w:ascii="宋体" w:hAnsi="宋体" w:cs="宋体"/>
          <w:kern w:val="0"/>
          <w:sz w:val="24"/>
          <w:lang w:val="zh-CN"/>
        </w:rPr>
        <w:t>被授权委托人（签名或印章）：</w:t>
      </w:r>
    </w:p>
    <w:p>
      <w:pPr>
        <w:adjustRightInd w:val="0"/>
        <w:snapToGrid w:val="0"/>
        <w:spacing w:line="360" w:lineRule="auto"/>
        <w:ind w:left="3990" w:leftChars="1900"/>
        <w:rPr>
          <w:rFonts w:ascii="宋体" w:hAnsi="宋体" w:cs="宋体"/>
          <w:kern w:val="0"/>
          <w:sz w:val="24"/>
          <w:lang w:val="zh-CN"/>
        </w:rPr>
      </w:pPr>
      <w:r>
        <w:rPr>
          <w:rFonts w:hint="eastAsia" w:ascii="宋体" w:hAnsi="宋体" w:cs="宋体"/>
          <w:kern w:val="0"/>
          <w:sz w:val="24"/>
          <w:lang w:val="zh-CN"/>
        </w:rPr>
        <w:t>投标人（盖章）：</w:t>
      </w:r>
    </w:p>
    <w:p>
      <w:pPr>
        <w:adjustRightInd w:val="0"/>
        <w:snapToGrid w:val="0"/>
        <w:spacing w:line="360" w:lineRule="auto"/>
        <w:rPr>
          <w:rFonts w:ascii="宋体" w:hAnsi="宋体" w:cs="宋体"/>
          <w:sz w:val="24"/>
        </w:rPr>
      </w:pPr>
      <w:r>
        <w:rPr>
          <w:rFonts w:hint="eastAsia" w:ascii="宋体" w:hAnsi="宋体" w:cs="宋体"/>
          <w:kern w:val="0"/>
          <w:sz w:val="24"/>
          <w:lang w:val="zh-CN"/>
        </w:rPr>
        <w:t xml:space="preserve">                                 日期</w:t>
      </w:r>
      <w:r>
        <w:rPr>
          <w:rFonts w:hint="eastAsia" w:ascii="宋体" w:hAnsi="宋体" w:cs="宋体"/>
          <w:kern w:val="0"/>
          <w:sz w:val="24"/>
        </w:rPr>
        <w:t>:</w:t>
      </w:r>
    </w:p>
    <w:p>
      <w:pPr>
        <w:snapToGrid w:val="0"/>
        <w:spacing w:line="360" w:lineRule="auto"/>
        <w:rPr>
          <w:rFonts w:ascii="宋体" w:hAnsi="宋体" w:cs="宋体"/>
          <w:sz w:val="24"/>
        </w:rPr>
      </w:pPr>
    </w:p>
    <w:p>
      <w:pPr>
        <w:spacing w:line="360" w:lineRule="auto"/>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日起至</w:t>
      </w:r>
      <w:r>
        <w:rPr>
          <w:rFonts w:hint="eastAsia"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日止。</w:t>
      </w:r>
    </w:p>
    <w:p>
      <w:pPr>
        <w:snapToGrid w:val="0"/>
        <w:spacing w:line="360" w:lineRule="auto"/>
        <w:rPr>
          <w:rFonts w:ascii="宋体" w:hAnsi="宋体" w:cs="宋体"/>
          <w:b/>
          <w:kern w:val="0"/>
          <w:sz w:val="32"/>
          <w:szCs w:val="32"/>
        </w:rPr>
      </w:pPr>
      <w:r>
        <w:rPr>
          <w:rFonts w:hint="eastAsia" w:ascii="宋体" w:hAnsi="宋体" w:cs="宋体"/>
          <w:kern w:val="0"/>
          <w:sz w:val="24"/>
        </w:rPr>
        <w:t xml:space="preserve">    </w:t>
      </w:r>
      <w:r>
        <w:rPr>
          <w:rFonts w:hint="eastAsia" w:ascii="宋体" w:hAnsi="宋体" w:cs="宋体"/>
          <w:kern w:val="0"/>
          <w:sz w:val="24"/>
          <w:lang w:val="zh-CN"/>
        </w:rPr>
        <w:t>特此告知。</w:t>
      </w:r>
    </w:p>
    <w:p>
      <w:pPr>
        <w:spacing w:line="360" w:lineRule="auto"/>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年</w:t>
      </w:r>
      <w:r>
        <w:rPr>
          <w:rFonts w:hint="eastAsia" w:ascii="宋体" w:hAnsi="宋体" w:cs="宋体"/>
          <w:kern w:val="0"/>
          <w:sz w:val="24"/>
          <w:u w:val="single"/>
          <w:lang w:val="zh-CN"/>
        </w:rPr>
        <w:t xml:space="preserve">   </w:t>
      </w:r>
      <w:r>
        <w:rPr>
          <w:rFonts w:hint="eastAsia" w:ascii="宋体" w:hAnsi="宋体" w:cs="宋体"/>
          <w:kern w:val="0"/>
          <w:sz w:val="24"/>
          <w:lang w:val="zh-CN"/>
        </w:rPr>
        <w:t>月</w:t>
      </w:r>
      <w:r>
        <w:rPr>
          <w:rFonts w:hint="eastAsia" w:ascii="宋体" w:hAnsi="宋体" w:cs="宋体"/>
          <w:kern w:val="0"/>
          <w:sz w:val="24"/>
          <w:u w:val="single"/>
          <w:lang w:val="zh-CN"/>
        </w:rPr>
        <w:t xml:space="preserve">   </w:t>
      </w:r>
      <w:r>
        <w:rPr>
          <w:rFonts w:hint="eastAsia" w:ascii="宋体" w:hAnsi="宋体" w:cs="宋体"/>
          <w:kern w:val="0"/>
          <w:sz w:val="24"/>
          <w:lang w:val="zh-CN"/>
        </w:rPr>
        <w:t>日</w:t>
      </w:r>
    </w:p>
    <w:p>
      <w:pPr>
        <w:spacing w:line="360" w:lineRule="auto"/>
        <w:jc w:val="center"/>
        <w:rPr>
          <w:rFonts w:ascii="宋体" w:hAnsi="宋体" w:cs="宋体"/>
          <w:b/>
          <w:sz w:val="24"/>
        </w:rPr>
      </w:pPr>
      <w:r>
        <w:rPr>
          <w:rFonts w:hint="eastAsia" w:ascii="宋体" w:hAnsi="宋体" w:cs="宋体"/>
          <w:b/>
          <w:kern w:val="0"/>
          <w:sz w:val="32"/>
          <w:szCs w:val="32"/>
          <w:lang w:val="zh-CN"/>
        </w:rPr>
        <w:br w:type="page"/>
      </w:r>
      <w:r>
        <w:rPr>
          <w:rFonts w:hint="eastAsia" w:ascii="宋体" w:hAnsi="宋体" w:cs="宋体"/>
          <w:b/>
          <w:kern w:val="0"/>
          <w:sz w:val="32"/>
          <w:szCs w:val="32"/>
          <w:lang w:val="zh-CN"/>
        </w:rPr>
        <w:t>法定代表人（单位负责人）及授权代表</w:t>
      </w:r>
      <w:r>
        <w:rPr>
          <w:rFonts w:hint="eastAsia" w:ascii="宋体" w:hAnsi="宋体" w:cs="宋体"/>
          <w:b/>
          <w:sz w:val="30"/>
          <w:szCs w:val="30"/>
        </w:rPr>
        <w:t>身份证明</w:t>
      </w:r>
    </w:p>
    <w:p>
      <w:pPr>
        <w:pStyle w:val="34"/>
        <w:spacing w:line="360" w:lineRule="auto"/>
        <w:rPr>
          <w:rFonts w:hAnsi="宋体" w:cs="宋体"/>
          <w:bCs/>
          <w:sz w:val="24"/>
        </w:rPr>
      </w:pPr>
      <w:r>
        <w:rPr>
          <w:rFonts w:hint="eastAsia" w:hAnsi="宋体" w:cs="宋体"/>
          <w:bCs/>
          <w:sz w:val="24"/>
        </w:rPr>
        <w:t>法定代表人身份证件扫描件：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4"/>
              <w:adjustRightInd w:val="0"/>
              <w:spacing w:line="360" w:lineRule="auto"/>
              <w:rPr>
                <w:rFonts w:hAnsi="宋体" w:cs="宋体"/>
                <w:bCs/>
                <w:sz w:val="24"/>
              </w:rPr>
            </w:pPr>
            <w:r>
              <w:rPr>
                <w:rFonts w:hint="eastAsia" w:hAnsi="宋体" w:cs="宋体"/>
                <w:bCs/>
                <w:sz w:val="24"/>
              </w:rPr>
              <w:t>正面：                                 反面：</w:t>
            </w:r>
          </w:p>
          <w:p>
            <w:pPr>
              <w:pStyle w:val="34"/>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pStyle w:val="34"/>
        <w:spacing w:line="360" w:lineRule="auto"/>
        <w:rPr>
          <w:rFonts w:hAnsi="宋体" w:cs="宋体"/>
          <w:bCs/>
          <w:sz w:val="24"/>
        </w:rPr>
      </w:pPr>
      <w:r>
        <w:rPr>
          <w:rFonts w:hint="eastAsia" w:hAnsi="宋体" w:cs="宋体"/>
          <w:bCs/>
          <w:sz w:val="24"/>
        </w:rPr>
        <w:t>被授权人身份证件扫描件：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4"/>
              <w:adjustRightInd w:val="0"/>
              <w:spacing w:line="360" w:lineRule="auto"/>
              <w:rPr>
                <w:rFonts w:hAnsi="宋体" w:cs="宋体"/>
                <w:bCs/>
                <w:sz w:val="24"/>
              </w:rPr>
            </w:pPr>
            <w:r>
              <w:rPr>
                <w:rFonts w:hint="eastAsia" w:hAnsi="宋体" w:cs="宋体"/>
                <w:bCs/>
                <w:sz w:val="24"/>
              </w:rPr>
              <w:t>正面：                                 反面：</w:t>
            </w:r>
          </w:p>
          <w:p>
            <w:pPr>
              <w:pStyle w:val="34"/>
              <w:adjustRightInd w:val="0"/>
              <w:spacing w:line="360" w:lineRule="auto"/>
              <w:rPr>
                <w:rFonts w:hAnsi="宋体" w:cs="宋体"/>
                <w:bCs/>
                <w:sz w:val="24"/>
              </w:rPr>
            </w:pPr>
          </w:p>
        </w:tc>
      </w:tr>
    </w:tbl>
    <w:p>
      <w:pPr>
        <w:adjustRightInd w:val="0"/>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法定代表人或其授权委托人（签名或印章）：</w:t>
      </w:r>
    </w:p>
    <w:p>
      <w:pPr>
        <w:adjustRightInd w:val="0"/>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投标人（盖章）：</w:t>
      </w:r>
    </w:p>
    <w:p>
      <w:pPr>
        <w:adjustRightInd w:val="0"/>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日期：</w:t>
      </w:r>
    </w:p>
    <w:p>
      <w:pPr>
        <w:adjustRightInd w:val="0"/>
        <w:snapToGrid w:val="0"/>
        <w:spacing w:line="360" w:lineRule="auto"/>
        <w:jc w:val="center"/>
        <w:rPr>
          <w:rFonts w:ascii="宋体" w:hAnsi="宋体" w:cs="宋体"/>
          <w:b/>
          <w:kern w:val="0"/>
          <w:sz w:val="32"/>
          <w:szCs w:val="32"/>
          <w:lang w:val="zh-CN"/>
        </w:rPr>
      </w:pPr>
      <w:r>
        <w:rPr>
          <w:rFonts w:hint="eastAsia" w:ascii="宋体" w:hAnsi="宋体" w:cs="宋体"/>
          <w:b/>
          <w:kern w:val="0"/>
          <w:sz w:val="32"/>
          <w:szCs w:val="32"/>
          <w:lang w:val="zh-CN"/>
        </w:rPr>
        <w:br w:type="page"/>
      </w:r>
      <w:r>
        <w:rPr>
          <w:rFonts w:hint="eastAsia" w:ascii="宋体" w:hAnsi="宋体" w:cs="宋体"/>
          <w:b/>
          <w:kern w:val="0"/>
          <w:sz w:val="32"/>
          <w:szCs w:val="32"/>
          <w:lang w:val="zh-CN"/>
        </w:rPr>
        <w:t>投标人基本情况</w:t>
      </w:r>
      <w:bookmarkEnd w:id="458"/>
      <w:bookmarkEnd w:id="459"/>
      <w:bookmarkEnd w:id="460"/>
      <w:bookmarkEnd w:id="461"/>
      <w:bookmarkEnd w:id="462"/>
      <w:bookmarkEnd w:id="463"/>
      <w:r>
        <w:rPr>
          <w:rFonts w:hint="eastAsia" w:ascii="宋体" w:hAnsi="宋体" w:cs="宋体"/>
          <w:b/>
          <w:kern w:val="0"/>
          <w:sz w:val="32"/>
          <w:szCs w:val="32"/>
          <w:lang w:val="zh-CN"/>
        </w:rPr>
        <w:t>表</w:t>
      </w:r>
    </w:p>
    <w:tbl>
      <w:tblPr>
        <w:tblStyle w:val="18"/>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投标人名称</w:t>
            </w:r>
          </w:p>
        </w:tc>
        <w:tc>
          <w:tcPr>
            <w:tcW w:w="7647" w:type="dxa"/>
            <w:gridSpan w:val="5"/>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注册地址</w:t>
            </w:r>
          </w:p>
        </w:tc>
        <w:tc>
          <w:tcPr>
            <w:tcW w:w="2809" w:type="dxa"/>
            <w:gridSpan w:val="2"/>
            <w:vAlign w:val="center"/>
          </w:tcPr>
          <w:p>
            <w:pPr>
              <w:adjustRightInd w:val="0"/>
              <w:snapToGrid w:val="0"/>
              <w:spacing w:line="360" w:lineRule="auto"/>
              <w:rPr>
                <w:rFonts w:ascii="宋体" w:hAnsi="宋体" w:cs="宋体"/>
                <w:kern w:val="0"/>
                <w:sz w:val="24"/>
                <w:lang w:val="zh-CN"/>
              </w:rPr>
            </w:pPr>
          </w:p>
        </w:tc>
        <w:tc>
          <w:tcPr>
            <w:tcW w:w="1786"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成立时间</w:t>
            </w:r>
          </w:p>
        </w:tc>
        <w:tc>
          <w:tcPr>
            <w:tcW w:w="3052" w:type="dxa"/>
            <w:gridSpan w:val="2"/>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统一信用代码</w:t>
            </w:r>
          </w:p>
        </w:tc>
        <w:tc>
          <w:tcPr>
            <w:tcW w:w="2809" w:type="dxa"/>
            <w:gridSpan w:val="2"/>
            <w:vAlign w:val="center"/>
          </w:tcPr>
          <w:p>
            <w:pPr>
              <w:adjustRightInd w:val="0"/>
              <w:snapToGrid w:val="0"/>
              <w:spacing w:line="360" w:lineRule="auto"/>
              <w:rPr>
                <w:rFonts w:ascii="宋体" w:hAnsi="宋体" w:cs="宋体"/>
                <w:kern w:val="0"/>
                <w:sz w:val="24"/>
                <w:lang w:val="zh-CN"/>
              </w:rPr>
            </w:pPr>
          </w:p>
        </w:tc>
        <w:tc>
          <w:tcPr>
            <w:tcW w:w="1786"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注册资金</w:t>
            </w:r>
          </w:p>
        </w:tc>
        <w:tc>
          <w:tcPr>
            <w:tcW w:w="3052" w:type="dxa"/>
            <w:gridSpan w:val="2"/>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投标联系人姓名</w:t>
            </w:r>
          </w:p>
        </w:tc>
        <w:tc>
          <w:tcPr>
            <w:tcW w:w="1936" w:type="dxa"/>
            <w:vAlign w:val="center"/>
          </w:tcPr>
          <w:p>
            <w:pPr>
              <w:adjustRightInd w:val="0"/>
              <w:snapToGrid w:val="0"/>
              <w:spacing w:line="360" w:lineRule="auto"/>
              <w:rPr>
                <w:rFonts w:ascii="宋体" w:hAnsi="宋体" w:cs="宋体"/>
                <w:kern w:val="0"/>
                <w:sz w:val="24"/>
                <w:lang w:val="zh-CN"/>
              </w:rPr>
            </w:pPr>
          </w:p>
        </w:tc>
        <w:tc>
          <w:tcPr>
            <w:tcW w:w="873"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电话</w:t>
            </w:r>
          </w:p>
        </w:tc>
        <w:tc>
          <w:tcPr>
            <w:tcW w:w="1786" w:type="dxa"/>
            <w:vAlign w:val="center"/>
          </w:tcPr>
          <w:p>
            <w:pPr>
              <w:adjustRightInd w:val="0"/>
              <w:snapToGrid w:val="0"/>
              <w:spacing w:line="360" w:lineRule="auto"/>
              <w:rPr>
                <w:rFonts w:ascii="宋体" w:hAnsi="宋体" w:cs="宋体"/>
                <w:kern w:val="0"/>
                <w:sz w:val="24"/>
                <w:lang w:val="zh-CN"/>
              </w:rPr>
            </w:pPr>
          </w:p>
        </w:tc>
        <w:tc>
          <w:tcPr>
            <w:tcW w:w="1200"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手机</w:t>
            </w:r>
          </w:p>
        </w:tc>
        <w:tc>
          <w:tcPr>
            <w:tcW w:w="1852" w:type="dxa"/>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法定代表人姓名</w:t>
            </w:r>
          </w:p>
        </w:tc>
        <w:tc>
          <w:tcPr>
            <w:tcW w:w="1936" w:type="dxa"/>
            <w:vAlign w:val="center"/>
          </w:tcPr>
          <w:p>
            <w:pPr>
              <w:adjustRightInd w:val="0"/>
              <w:snapToGrid w:val="0"/>
              <w:spacing w:line="360" w:lineRule="auto"/>
              <w:rPr>
                <w:rFonts w:ascii="宋体" w:hAnsi="宋体" w:cs="宋体"/>
                <w:kern w:val="0"/>
                <w:sz w:val="24"/>
                <w:lang w:val="zh-CN"/>
              </w:rPr>
            </w:pPr>
          </w:p>
        </w:tc>
        <w:tc>
          <w:tcPr>
            <w:tcW w:w="873"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电话</w:t>
            </w:r>
          </w:p>
        </w:tc>
        <w:tc>
          <w:tcPr>
            <w:tcW w:w="1786" w:type="dxa"/>
            <w:vAlign w:val="center"/>
          </w:tcPr>
          <w:p>
            <w:pPr>
              <w:adjustRightInd w:val="0"/>
              <w:snapToGrid w:val="0"/>
              <w:spacing w:line="360" w:lineRule="auto"/>
              <w:rPr>
                <w:rFonts w:ascii="宋体" w:hAnsi="宋体" w:cs="宋体"/>
                <w:kern w:val="0"/>
                <w:sz w:val="24"/>
                <w:lang w:val="zh-CN"/>
              </w:rPr>
            </w:pPr>
          </w:p>
        </w:tc>
        <w:tc>
          <w:tcPr>
            <w:tcW w:w="1200"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手机</w:t>
            </w:r>
          </w:p>
        </w:tc>
        <w:tc>
          <w:tcPr>
            <w:tcW w:w="1852" w:type="dxa"/>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项目负责人姓名</w:t>
            </w:r>
          </w:p>
        </w:tc>
        <w:tc>
          <w:tcPr>
            <w:tcW w:w="1936" w:type="dxa"/>
            <w:vAlign w:val="center"/>
          </w:tcPr>
          <w:p>
            <w:pPr>
              <w:adjustRightInd w:val="0"/>
              <w:snapToGrid w:val="0"/>
              <w:spacing w:line="360" w:lineRule="auto"/>
              <w:rPr>
                <w:rFonts w:ascii="宋体" w:hAnsi="宋体" w:cs="宋体"/>
                <w:kern w:val="0"/>
                <w:sz w:val="24"/>
                <w:lang w:val="zh-CN"/>
              </w:rPr>
            </w:pPr>
          </w:p>
        </w:tc>
        <w:tc>
          <w:tcPr>
            <w:tcW w:w="873"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电话</w:t>
            </w:r>
          </w:p>
        </w:tc>
        <w:tc>
          <w:tcPr>
            <w:tcW w:w="1786" w:type="dxa"/>
            <w:vAlign w:val="center"/>
          </w:tcPr>
          <w:p>
            <w:pPr>
              <w:adjustRightInd w:val="0"/>
              <w:snapToGrid w:val="0"/>
              <w:spacing w:line="360" w:lineRule="auto"/>
              <w:rPr>
                <w:rFonts w:ascii="宋体" w:hAnsi="宋体" w:cs="宋体"/>
                <w:kern w:val="0"/>
                <w:sz w:val="24"/>
                <w:lang w:val="zh-CN"/>
              </w:rPr>
            </w:pPr>
          </w:p>
        </w:tc>
        <w:tc>
          <w:tcPr>
            <w:tcW w:w="1200"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技术职称</w:t>
            </w:r>
          </w:p>
        </w:tc>
        <w:tc>
          <w:tcPr>
            <w:tcW w:w="1852" w:type="dxa"/>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员工总人数：</w:t>
            </w:r>
          </w:p>
        </w:tc>
        <w:tc>
          <w:tcPr>
            <w:tcW w:w="1936" w:type="dxa"/>
            <w:vMerge w:val="restart"/>
            <w:vAlign w:val="center"/>
          </w:tcPr>
          <w:p>
            <w:pPr>
              <w:adjustRightInd w:val="0"/>
              <w:snapToGrid w:val="0"/>
              <w:spacing w:line="360" w:lineRule="auto"/>
              <w:rPr>
                <w:rFonts w:ascii="宋体" w:hAnsi="宋体" w:cs="宋体"/>
                <w:kern w:val="0"/>
                <w:sz w:val="24"/>
                <w:lang w:val="zh-CN"/>
              </w:rPr>
            </w:pPr>
          </w:p>
        </w:tc>
        <w:tc>
          <w:tcPr>
            <w:tcW w:w="873" w:type="dxa"/>
            <w:vMerge w:val="restart"/>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其中</w:t>
            </w:r>
          </w:p>
        </w:tc>
        <w:tc>
          <w:tcPr>
            <w:tcW w:w="1786"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高级职称</w:t>
            </w:r>
          </w:p>
        </w:tc>
        <w:tc>
          <w:tcPr>
            <w:tcW w:w="3052" w:type="dxa"/>
            <w:gridSpan w:val="2"/>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adjustRightInd w:val="0"/>
              <w:snapToGrid w:val="0"/>
              <w:spacing w:line="360" w:lineRule="auto"/>
              <w:rPr>
                <w:rFonts w:ascii="宋体" w:hAnsi="宋体" w:cs="宋体"/>
                <w:kern w:val="0"/>
                <w:sz w:val="24"/>
                <w:lang w:val="zh-CN"/>
              </w:rPr>
            </w:pPr>
          </w:p>
        </w:tc>
        <w:tc>
          <w:tcPr>
            <w:tcW w:w="1936" w:type="dxa"/>
            <w:vMerge w:val="continue"/>
            <w:vAlign w:val="center"/>
          </w:tcPr>
          <w:p>
            <w:pPr>
              <w:adjustRightInd w:val="0"/>
              <w:snapToGrid w:val="0"/>
              <w:spacing w:line="360" w:lineRule="auto"/>
              <w:rPr>
                <w:rFonts w:ascii="宋体" w:hAnsi="宋体" w:cs="宋体"/>
                <w:kern w:val="0"/>
                <w:sz w:val="24"/>
                <w:lang w:val="zh-CN"/>
              </w:rPr>
            </w:pPr>
          </w:p>
        </w:tc>
        <w:tc>
          <w:tcPr>
            <w:tcW w:w="873" w:type="dxa"/>
            <w:vMerge w:val="continue"/>
            <w:vAlign w:val="center"/>
          </w:tcPr>
          <w:p>
            <w:pPr>
              <w:adjustRightInd w:val="0"/>
              <w:snapToGrid w:val="0"/>
              <w:spacing w:line="360" w:lineRule="auto"/>
              <w:rPr>
                <w:rFonts w:ascii="宋体" w:hAnsi="宋体" w:cs="宋体"/>
                <w:kern w:val="0"/>
                <w:sz w:val="24"/>
                <w:lang w:val="zh-CN"/>
              </w:rPr>
            </w:pPr>
          </w:p>
        </w:tc>
        <w:tc>
          <w:tcPr>
            <w:tcW w:w="1786"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中级职称</w:t>
            </w:r>
          </w:p>
        </w:tc>
        <w:tc>
          <w:tcPr>
            <w:tcW w:w="3052" w:type="dxa"/>
            <w:gridSpan w:val="2"/>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adjustRightInd w:val="0"/>
              <w:snapToGrid w:val="0"/>
              <w:spacing w:line="360" w:lineRule="auto"/>
              <w:rPr>
                <w:rFonts w:ascii="宋体" w:hAnsi="宋体" w:cs="宋体"/>
                <w:kern w:val="0"/>
                <w:sz w:val="24"/>
                <w:lang w:val="zh-CN"/>
              </w:rPr>
            </w:pPr>
          </w:p>
        </w:tc>
        <w:tc>
          <w:tcPr>
            <w:tcW w:w="1936" w:type="dxa"/>
            <w:vMerge w:val="continue"/>
            <w:vAlign w:val="center"/>
          </w:tcPr>
          <w:p>
            <w:pPr>
              <w:adjustRightInd w:val="0"/>
              <w:snapToGrid w:val="0"/>
              <w:spacing w:line="360" w:lineRule="auto"/>
              <w:rPr>
                <w:rFonts w:ascii="宋体" w:hAnsi="宋体" w:cs="宋体"/>
                <w:kern w:val="0"/>
                <w:sz w:val="24"/>
                <w:lang w:val="zh-CN"/>
              </w:rPr>
            </w:pPr>
          </w:p>
        </w:tc>
        <w:tc>
          <w:tcPr>
            <w:tcW w:w="873" w:type="dxa"/>
            <w:vMerge w:val="continue"/>
            <w:vAlign w:val="center"/>
          </w:tcPr>
          <w:p>
            <w:pPr>
              <w:adjustRightInd w:val="0"/>
              <w:snapToGrid w:val="0"/>
              <w:spacing w:line="360" w:lineRule="auto"/>
              <w:rPr>
                <w:rFonts w:ascii="宋体" w:hAnsi="宋体" w:cs="宋体"/>
                <w:kern w:val="0"/>
                <w:sz w:val="24"/>
                <w:lang w:val="zh-CN"/>
              </w:rPr>
            </w:pPr>
          </w:p>
        </w:tc>
        <w:tc>
          <w:tcPr>
            <w:tcW w:w="1786"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各类注册人员</w:t>
            </w:r>
          </w:p>
        </w:tc>
        <w:tc>
          <w:tcPr>
            <w:tcW w:w="3052" w:type="dxa"/>
            <w:gridSpan w:val="2"/>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基本账户开户银行</w:t>
            </w:r>
          </w:p>
        </w:tc>
        <w:tc>
          <w:tcPr>
            <w:tcW w:w="7647" w:type="dxa"/>
            <w:gridSpan w:val="5"/>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基本账户账号</w:t>
            </w:r>
          </w:p>
        </w:tc>
        <w:tc>
          <w:tcPr>
            <w:tcW w:w="7647" w:type="dxa"/>
            <w:gridSpan w:val="5"/>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经营范围</w:t>
            </w:r>
          </w:p>
        </w:tc>
        <w:tc>
          <w:tcPr>
            <w:tcW w:w="7647" w:type="dxa"/>
            <w:gridSpan w:val="5"/>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备注</w:t>
            </w:r>
          </w:p>
        </w:tc>
        <w:tc>
          <w:tcPr>
            <w:tcW w:w="7647" w:type="dxa"/>
            <w:gridSpan w:val="5"/>
            <w:vAlign w:val="center"/>
          </w:tcPr>
          <w:p>
            <w:pPr>
              <w:adjustRightInd w:val="0"/>
              <w:snapToGrid w:val="0"/>
              <w:spacing w:line="360" w:lineRule="auto"/>
              <w:rPr>
                <w:rFonts w:ascii="宋体" w:hAnsi="宋体" w:cs="宋体"/>
                <w:kern w:val="0"/>
                <w:sz w:val="24"/>
                <w:lang w:val="zh-CN"/>
              </w:rPr>
            </w:pPr>
          </w:p>
        </w:tc>
      </w:tr>
    </w:tbl>
    <w:p>
      <w:pPr>
        <w:adjustRightInd w:val="0"/>
        <w:snapToGrid w:val="0"/>
        <w:spacing w:line="360" w:lineRule="auto"/>
        <w:ind w:firstLine="482" w:firstLineChars="200"/>
        <w:rPr>
          <w:rFonts w:ascii="宋体" w:hAnsi="宋体" w:cs="宋体"/>
          <w:b/>
          <w:bCs/>
          <w:kern w:val="0"/>
          <w:sz w:val="24"/>
          <w:lang w:val="zh-CN"/>
        </w:rPr>
      </w:pPr>
      <w:r>
        <w:rPr>
          <w:rFonts w:hint="eastAsia" w:ascii="宋体" w:hAnsi="宋体" w:cs="宋体"/>
          <w:b/>
          <w:bCs/>
          <w:kern w:val="0"/>
          <w:sz w:val="24"/>
          <w:lang w:val="zh-CN"/>
        </w:rPr>
        <w:t>兹证明上述声明是真实、正确的，并提供了全部能提供的资料和数据，我们同意遵照贵方要求出示有关证明文件。</w:t>
      </w:r>
    </w:p>
    <w:p>
      <w:pPr>
        <w:adjustRightInd w:val="0"/>
        <w:snapToGrid w:val="0"/>
        <w:spacing w:line="360" w:lineRule="auto"/>
        <w:rPr>
          <w:rFonts w:ascii="宋体" w:hAnsi="宋体" w:cs="宋体"/>
          <w:kern w:val="0"/>
          <w:sz w:val="24"/>
          <w:lang w:val="zh-CN"/>
        </w:rPr>
      </w:pPr>
    </w:p>
    <w:p>
      <w:pPr>
        <w:pStyle w:val="2"/>
        <w:spacing w:line="360" w:lineRule="auto"/>
        <w:ind w:firstLine="560"/>
        <w:rPr>
          <w:rFonts w:ascii="宋体" w:hAnsi="宋体" w:eastAsia="宋体" w:cs="宋体"/>
          <w:lang w:val="zh-CN"/>
        </w:rPr>
      </w:pPr>
    </w:p>
    <w:p>
      <w:pPr>
        <w:adjustRightInd w:val="0"/>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法定代表人或其授权委托人（签名或印章）：</w:t>
      </w:r>
    </w:p>
    <w:p>
      <w:pPr>
        <w:adjustRightInd w:val="0"/>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投标人（盖章）：</w:t>
      </w:r>
    </w:p>
    <w:p>
      <w:pPr>
        <w:adjustRightInd w:val="0"/>
        <w:snapToGrid w:val="0"/>
        <w:spacing w:line="360" w:lineRule="auto"/>
        <w:rPr>
          <w:rFonts w:ascii="宋体" w:hAnsi="宋体" w:cs="宋体"/>
          <w:b/>
          <w:kern w:val="0"/>
          <w:sz w:val="32"/>
          <w:szCs w:val="32"/>
          <w:lang w:val="zh-CN"/>
        </w:rPr>
      </w:pPr>
      <w:r>
        <w:rPr>
          <w:rFonts w:hint="eastAsia" w:ascii="宋体" w:hAnsi="宋体" w:cs="宋体"/>
          <w:kern w:val="0"/>
          <w:sz w:val="24"/>
          <w:lang w:val="zh-CN"/>
        </w:rPr>
        <w:t xml:space="preserve">                                  日期：</w:t>
      </w:r>
    </w:p>
    <w:p>
      <w:pPr>
        <w:numPr>
          <w:ilvl w:val="0"/>
          <w:numId w:val="13"/>
        </w:numPr>
        <w:snapToGrid w:val="0"/>
        <w:spacing w:line="360" w:lineRule="auto"/>
        <w:jc w:val="center"/>
        <w:outlineLvl w:val="0"/>
        <w:rPr>
          <w:rFonts w:ascii="宋体" w:hAnsi="宋体" w:cs="宋体"/>
          <w:b/>
          <w:kern w:val="0"/>
          <w:sz w:val="32"/>
          <w:szCs w:val="32"/>
          <w:lang w:val="zh-CN"/>
        </w:rPr>
      </w:pPr>
      <w:r>
        <w:rPr>
          <w:rFonts w:hint="eastAsia" w:ascii="宋体" w:hAnsi="宋体" w:cs="宋体"/>
          <w:b/>
          <w:kern w:val="0"/>
          <w:sz w:val="32"/>
          <w:szCs w:val="32"/>
          <w:lang w:val="zh-CN"/>
        </w:rPr>
        <w:br w:type="page"/>
      </w:r>
      <w:r>
        <w:rPr>
          <w:rFonts w:hint="eastAsia" w:ascii="宋体" w:hAnsi="宋体" w:cs="宋体"/>
          <w:b/>
          <w:kern w:val="0"/>
          <w:sz w:val="32"/>
          <w:szCs w:val="32"/>
          <w:lang w:val="zh-CN"/>
        </w:rPr>
        <w:t>距采购人最近或者能为本项目提供最优服务的网点情况表</w:t>
      </w:r>
    </w:p>
    <w:p>
      <w:pPr>
        <w:spacing w:line="360" w:lineRule="auto"/>
        <w:rPr>
          <w:rFonts w:ascii="宋体" w:hAnsi="宋体" w:cs="宋体"/>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auto"/>
              <w:rPr>
                <w:rFonts w:ascii="宋体" w:hAnsi="宋体" w:cs="宋体"/>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auto"/>
              <w:rPr>
                <w:rFonts w:ascii="宋体" w:hAnsi="宋体" w:cs="宋体"/>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ascii="宋体" w:hAnsi="宋体" w:cs="宋体"/>
                <w:kern w:val="0"/>
                <w:sz w:val="24"/>
                <w:lang w:val="zh-CN"/>
              </w:rPr>
            </w:pPr>
            <w:r>
              <w:rPr>
                <w:rFonts w:hint="eastAsia" w:ascii="宋体" w:hAnsi="宋体" w:cs="宋体"/>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spacing w:line="360" w:lineRule="auto"/>
              <w:rPr>
                <w:rFonts w:ascii="宋体" w:hAnsi="宋体" w:cs="宋体"/>
                <w:kern w:val="0"/>
                <w:sz w:val="24"/>
                <w:lang w:val="zh-CN"/>
              </w:rPr>
            </w:pPr>
          </w:p>
        </w:tc>
      </w:tr>
    </w:tbl>
    <w:p>
      <w:pPr>
        <w:spacing w:line="360" w:lineRule="auto"/>
        <w:rPr>
          <w:rFonts w:ascii="宋体" w:hAnsi="宋体" w:cs="宋体"/>
        </w:rPr>
      </w:pPr>
    </w:p>
    <w:p>
      <w:pPr>
        <w:spacing w:line="360" w:lineRule="auto"/>
        <w:rPr>
          <w:rFonts w:ascii="宋体" w:hAnsi="宋体" w:cs="宋体"/>
        </w:rPr>
      </w:pPr>
    </w:p>
    <w:p>
      <w:pPr>
        <w:adjustRightInd w:val="0"/>
        <w:snapToGrid w:val="0"/>
        <w:spacing w:line="360" w:lineRule="auto"/>
        <w:rPr>
          <w:rFonts w:ascii="宋体" w:hAnsi="宋体" w:cs="宋体"/>
          <w:kern w:val="0"/>
          <w:sz w:val="24"/>
          <w:lang w:val="zh-CN"/>
        </w:rPr>
      </w:pPr>
      <w:r>
        <w:rPr>
          <w:rFonts w:hint="eastAsia" w:ascii="宋体" w:hAnsi="宋体" w:cs="宋体"/>
        </w:rPr>
        <w:t xml:space="preserve">       </w:t>
      </w:r>
    </w:p>
    <w:p>
      <w:pPr>
        <w:adjustRightInd w:val="0"/>
        <w:snapToGrid w:val="0"/>
        <w:spacing w:line="360" w:lineRule="auto"/>
        <w:ind w:left="3990" w:leftChars="1900"/>
        <w:rPr>
          <w:rFonts w:ascii="宋体" w:hAnsi="宋体" w:cs="宋体"/>
          <w:kern w:val="0"/>
          <w:sz w:val="24"/>
          <w:lang w:val="zh-CN"/>
        </w:rPr>
      </w:pPr>
      <w:r>
        <w:rPr>
          <w:rFonts w:hint="eastAsia" w:ascii="宋体" w:hAnsi="宋体" w:cs="宋体"/>
          <w:kern w:val="0"/>
          <w:sz w:val="24"/>
          <w:lang w:val="zh-CN"/>
        </w:rPr>
        <w:t>法定代表人或其授权委托人（签名或印章）：</w:t>
      </w:r>
    </w:p>
    <w:p>
      <w:pPr>
        <w:adjustRightInd w:val="0"/>
        <w:snapToGrid w:val="0"/>
        <w:spacing w:line="360" w:lineRule="auto"/>
        <w:ind w:left="3990" w:leftChars="1900"/>
        <w:rPr>
          <w:rFonts w:ascii="宋体" w:hAnsi="宋体" w:cs="宋体"/>
          <w:kern w:val="0"/>
          <w:sz w:val="24"/>
          <w:lang w:val="zh-CN"/>
        </w:rPr>
      </w:pPr>
      <w:r>
        <w:rPr>
          <w:rFonts w:hint="eastAsia" w:ascii="宋体" w:hAnsi="宋体" w:cs="宋体"/>
          <w:kern w:val="0"/>
          <w:sz w:val="24"/>
          <w:lang w:val="zh-CN"/>
        </w:rPr>
        <w:t>投标人（盖章）：</w:t>
      </w:r>
    </w:p>
    <w:p>
      <w:pPr>
        <w:adjustRightInd w:val="0"/>
        <w:snapToGrid w:val="0"/>
        <w:spacing w:line="360" w:lineRule="auto"/>
        <w:rPr>
          <w:rFonts w:ascii="宋体" w:hAnsi="宋体" w:cs="宋体"/>
          <w:b/>
          <w:kern w:val="0"/>
          <w:sz w:val="32"/>
          <w:szCs w:val="32"/>
          <w:lang w:val="zh-CN"/>
        </w:rPr>
      </w:pPr>
      <w:r>
        <w:rPr>
          <w:rFonts w:hint="eastAsia" w:ascii="宋体" w:hAnsi="宋体" w:cs="宋体"/>
          <w:kern w:val="0"/>
          <w:sz w:val="24"/>
          <w:lang w:val="zh-CN"/>
        </w:rPr>
        <w:t xml:space="preserve">                                 日期</w:t>
      </w:r>
      <w:r>
        <w:rPr>
          <w:rFonts w:hint="eastAsia" w:ascii="宋体" w:hAnsi="宋体" w:cs="宋体"/>
          <w:kern w:val="0"/>
          <w:sz w:val="24"/>
        </w:rPr>
        <w:t>:</w:t>
      </w:r>
    </w:p>
    <w:p>
      <w:pPr>
        <w:numPr>
          <w:ilvl w:val="0"/>
          <w:numId w:val="13"/>
        </w:numPr>
        <w:snapToGrid w:val="0"/>
        <w:spacing w:line="360" w:lineRule="auto"/>
        <w:jc w:val="center"/>
        <w:outlineLvl w:val="0"/>
        <w:rPr>
          <w:rFonts w:ascii="宋体" w:hAnsi="宋体" w:cs="宋体"/>
          <w:b/>
          <w:kern w:val="0"/>
          <w:sz w:val="32"/>
          <w:szCs w:val="32"/>
          <w:lang w:val="zh-CN"/>
        </w:rPr>
      </w:pPr>
      <w:r>
        <w:rPr>
          <w:rFonts w:hint="eastAsia" w:ascii="宋体" w:hAnsi="宋体" w:cs="宋体"/>
          <w:b/>
          <w:kern w:val="0"/>
          <w:sz w:val="32"/>
          <w:szCs w:val="32"/>
          <w:lang w:val="zh-CN"/>
        </w:rPr>
        <w:br w:type="page"/>
      </w:r>
      <w:r>
        <w:rPr>
          <w:rFonts w:hint="eastAsia" w:ascii="宋体" w:hAnsi="宋体" w:cs="宋体"/>
          <w:b/>
          <w:kern w:val="0"/>
          <w:sz w:val="32"/>
          <w:szCs w:val="32"/>
          <w:lang w:val="zh-CN"/>
        </w:rPr>
        <w:t>评标标准相应的商务技术资料</w:t>
      </w:r>
    </w:p>
    <w:p>
      <w:pPr>
        <w:snapToGrid w:val="0"/>
        <w:spacing w:line="360" w:lineRule="auto"/>
        <w:jc w:val="left"/>
        <w:rPr>
          <w:rFonts w:ascii="宋体" w:hAnsi="宋体" w:cs="宋体"/>
          <w:lang w:val="zh-CN"/>
        </w:rPr>
      </w:pPr>
      <w:r>
        <w:rPr>
          <w:rFonts w:hint="eastAsia" w:ascii="宋体" w:hAnsi="宋体" w:cs="宋体"/>
          <w:b/>
          <w:sz w:val="24"/>
        </w:rPr>
        <w:t>（按招标文件第四部分评标办法前附表中“投标文件中评标标准相应的商务技术资料目录”提供资料）</w:t>
      </w:r>
    </w:p>
    <w:p>
      <w:pPr>
        <w:numPr>
          <w:ilvl w:val="0"/>
          <w:numId w:val="13"/>
        </w:numPr>
        <w:snapToGrid w:val="0"/>
        <w:spacing w:line="360" w:lineRule="auto"/>
        <w:jc w:val="center"/>
        <w:outlineLvl w:val="0"/>
        <w:rPr>
          <w:rFonts w:ascii="宋体" w:hAnsi="宋体" w:cs="宋体"/>
          <w:b/>
          <w:kern w:val="0"/>
          <w:sz w:val="32"/>
          <w:szCs w:val="32"/>
          <w:lang w:val="zh-CN"/>
        </w:rPr>
      </w:pPr>
      <w:r>
        <w:rPr>
          <w:rFonts w:hint="eastAsia" w:ascii="宋体" w:hAnsi="宋体" w:cs="宋体"/>
          <w:b/>
          <w:kern w:val="0"/>
          <w:sz w:val="32"/>
          <w:szCs w:val="32"/>
          <w:lang w:val="zh-CN"/>
        </w:rPr>
        <w:t>商务响应表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bCs/>
                <w:sz w:val="24"/>
              </w:rPr>
            </w:pPr>
            <w:r>
              <w:rPr>
                <w:rFonts w:hint="eastAsia" w:ascii="宋体" w:hAnsi="宋体" w:cs="宋体"/>
                <w:b/>
                <w:bCs/>
                <w:sz w:val="24"/>
              </w:rPr>
              <w:t>序号</w:t>
            </w:r>
          </w:p>
        </w:tc>
        <w:tc>
          <w:tcPr>
            <w:tcW w:w="3272" w:type="dxa"/>
          </w:tcPr>
          <w:p>
            <w:pPr>
              <w:spacing w:line="360" w:lineRule="auto"/>
              <w:jc w:val="center"/>
              <w:rPr>
                <w:rFonts w:ascii="宋体" w:hAnsi="宋体" w:cs="宋体"/>
                <w:b/>
                <w:bCs/>
                <w:sz w:val="24"/>
              </w:rPr>
            </w:pPr>
            <w:r>
              <w:rPr>
                <w:rFonts w:hint="eastAsia" w:ascii="宋体" w:hAnsi="宋体" w:cs="宋体"/>
                <w:b/>
                <w:bCs/>
                <w:sz w:val="24"/>
              </w:rPr>
              <w:t>招标文件章节及具体内容</w:t>
            </w:r>
          </w:p>
        </w:tc>
        <w:tc>
          <w:tcPr>
            <w:tcW w:w="3285" w:type="dxa"/>
          </w:tcPr>
          <w:p>
            <w:pPr>
              <w:spacing w:line="360" w:lineRule="auto"/>
              <w:jc w:val="center"/>
              <w:rPr>
                <w:rFonts w:ascii="宋体" w:hAnsi="宋体" w:cs="宋体"/>
                <w:b/>
                <w:bCs/>
                <w:sz w:val="24"/>
              </w:rPr>
            </w:pPr>
            <w:r>
              <w:rPr>
                <w:rFonts w:hint="eastAsia" w:ascii="宋体" w:hAnsi="宋体" w:cs="宋体"/>
                <w:b/>
                <w:bCs/>
                <w:sz w:val="24"/>
              </w:rPr>
              <w:t>投标文件章节及具体内容</w:t>
            </w:r>
          </w:p>
        </w:tc>
        <w:tc>
          <w:tcPr>
            <w:tcW w:w="1948" w:type="dxa"/>
          </w:tcPr>
          <w:p>
            <w:pPr>
              <w:spacing w:line="360" w:lineRule="auto"/>
              <w:jc w:val="center"/>
              <w:rPr>
                <w:rFonts w:ascii="宋体" w:hAnsi="宋体" w:cs="宋体"/>
                <w:b/>
                <w:bCs/>
                <w:sz w:val="24"/>
              </w:rPr>
            </w:pPr>
            <w:r>
              <w:rPr>
                <w:rFonts w:hint="eastAsia" w:ascii="宋体" w:hAnsi="宋体" w:cs="宋体"/>
                <w:b/>
                <w:bCs/>
                <w:sz w:val="24"/>
              </w:rPr>
              <w:t>响应或偏离说明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kern w:val="0"/>
                <w:sz w:val="24"/>
              </w:rPr>
            </w:pPr>
            <w:r>
              <w:rPr>
                <w:rFonts w:hint="eastAsia" w:ascii="宋体" w:hAnsi="宋体" w:cs="宋体"/>
                <w:kern w:val="0"/>
                <w:sz w:val="24"/>
              </w:rPr>
              <w:t>1</w:t>
            </w:r>
          </w:p>
        </w:tc>
        <w:tc>
          <w:tcPr>
            <w:tcW w:w="3272" w:type="dxa"/>
          </w:tcPr>
          <w:p>
            <w:pPr>
              <w:spacing w:line="360" w:lineRule="auto"/>
              <w:jc w:val="center"/>
              <w:rPr>
                <w:rFonts w:ascii="宋体" w:hAnsi="宋体" w:cs="宋体"/>
                <w:b/>
                <w:kern w:val="0"/>
                <w:sz w:val="32"/>
                <w:szCs w:val="32"/>
              </w:rPr>
            </w:pPr>
          </w:p>
        </w:tc>
        <w:tc>
          <w:tcPr>
            <w:tcW w:w="3285" w:type="dxa"/>
          </w:tcPr>
          <w:p>
            <w:pPr>
              <w:spacing w:line="360" w:lineRule="auto"/>
              <w:jc w:val="center"/>
              <w:rPr>
                <w:rFonts w:ascii="宋体" w:hAnsi="宋体" w:cs="宋体"/>
                <w:b/>
                <w:kern w:val="0"/>
                <w:sz w:val="32"/>
                <w:szCs w:val="32"/>
              </w:rPr>
            </w:pPr>
          </w:p>
        </w:tc>
        <w:tc>
          <w:tcPr>
            <w:tcW w:w="1948" w:type="dxa"/>
          </w:tcPr>
          <w:p>
            <w:pPr>
              <w:spacing w:line="360" w:lineRule="auto"/>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kern w:val="0"/>
                <w:sz w:val="24"/>
              </w:rPr>
            </w:pPr>
            <w:r>
              <w:rPr>
                <w:rFonts w:hint="eastAsia" w:ascii="宋体" w:hAnsi="宋体" w:cs="宋体"/>
                <w:kern w:val="0"/>
                <w:sz w:val="24"/>
              </w:rPr>
              <w:t>2</w:t>
            </w:r>
          </w:p>
        </w:tc>
        <w:tc>
          <w:tcPr>
            <w:tcW w:w="3272" w:type="dxa"/>
          </w:tcPr>
          <w:p>
            <w:pPr>
              <w:spacing w:line="360" w:lineRule="auto"/>
              <w:jc w:val="center"/>
              <w:rPr>
                <w:rFonts w:ascii="宋体" w:hAnsi="宋体" w:cs="宋体"/>
                <w:b/>
                <w:kern w:val="0"/>
                <w:sz w:val="32"/>
                <w:szCs w:val="32"/>
              </w:rPr>
            </w:pPr>
          </w:p>
        </w:tc>
        <w:tc>
          <w:tcPr>
            <w:tcW w:w="3285" w:type="dxa"/>
          </w:tcPr>
          <w:p>
            <w:pPr>
              <w:spacing w:line="360" w:lineRule="auto"/>
              <w:jc w:val="center"/>
              <w:rPr>
                <w:rFonts w:ascii="宋体" w:hAnsi="宋体" w:cs="宋体"/>
                <w:b/>
                <w:kern w:val="0"/>
                <w:sz w:val="32"/>
                <w:szCs w:val="32"/>
              </w:rPr>
            </w:pPr>
          </w:p>
        </w:tc>
        <w:tc>
          <w:tcPr>
            <w:tcW w:w="1948" w:type="dxa"/>
          </w:tcPr>
          <w:p>
            <w:pPr>
              <w:spacing w:line="360" w:lineRule="auto"/>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kern w:val="0"/>
                <w:sz w:val="24"/>
              </w:rPr>
            </w:pPr>
            <w:r>
              <w:rPr>
                <w:rFonts w:hint="eastAsia" w:ascii="宋体" w:hAnsi="宋体" w:cs="宋体"/>
                <w:kern w:val="0"/>
                <w:sz w:val="24"/>
              </w:rPr>
              <w:t>……</w:t>
            </w:r>
          </w:p>
        </w:tc>
        <w:tc>
          <w:tcPr>
            <w:tcW w:w="3272" w:type="dxa"/>
          </w:tcPr>
          <w:p>
            <w:pPr>
              <w:spacing w:line="360" w:lineRule="auto"/>
              <w:jc w:val="center"/>
              <w:rPr>
                <w:rFonts w:ascii="宋体" w:hAnsi="宋体" w:cs="宋体"/>
                <w:b/>
                <w:kern w:val="0"/>
                <w:sz w:val="32"/>
                <w:szCs w:val="32"/>
              </w:rPr>
            </w:pPr>
          </w:p>
        </w:tc>
        <w:tc>
          <w:tcPr>
            <w:tcW w:w="3285" w:type="dxa"/>
          </w:tcPr>
          <w:p>
            <w:pPr>
              <w:spacing w:line="360" w:lineRule="auto"/>
              <w:jc w:val="center"/>
              <w:rPr>
                <w:rFonts w:ascii="宋体" w:hAnsi="宋体" w:cs="宋体"/>
                <w:b/>
                <w:kern w:val="0"/>
                <w:sz w:val="32"/>
                <w:szCs w:val="32"/>
              </w:rPr>
            </w:pPr>
          </w:p>
        </w:tc>
        <w:tc>
          <w:tcPr>
            <w:tcW w:w="1948" w:type="dxa"/>
          </w:tcPr>
          <w:p>
            <w:pPr>
              <w:spacing w:line="360" w:lineRule="auto"/>
              <w:jc w:val="center"/>
              <w:rPr>
                <w:rFonts w:ascii="宋体" w:hAnsi="宋体" w:cs="宋体"/>
                <w:b/>
                <w:kern w:val="0"/>
                <w:sz w:val="32"/>
                <w:szCs w:val="32"/>
              </w:rPr>
            </w:pPr>
          </w:p>
        </w:tc>
      </w:tr>
    </w:tbl>
    <w:p>
      <w:pPr>
        <w:spacing w:line="360" w:lineRule="auto"/>
        <w:jc w:val="left"/>
        <w:rPr>
          <w:rFonts w:ascii="宋体" w:hAnsi="宋体" w:cs="宋体"/>
          <w:kern w:val="0"/>
          <w:sz w:val="24"/>
        </w:rPr>
      </w:pPr>
      <w:r>
        <w:rPr>
          <w:rFonts w:hint="eastAsia" w:ascii="宋体" w:hAnsi="宋体" w:cs="宋体"/>
          <w:kern w:val="0"/>
          <w:sz w:val="24"/>
        </w:rPr>
        <w:t>投标人保证：除商务响应表列出的偏离外，投标人响应招标文件的全部商务要求。</w:t>
      </w:r>
    </w:p>
    <w:p>
      <w:pPr>
        <w:pStyle w:val="2"/>
        <w:ind w:firstLine="480"/>
        <w:rPr>
          <w:rFonts w:ascii="宋体" w:hAnsi="宋体" w:eastAsia="宋体" w:cs="宋体"/>
          <w:kern w:val="0"/>
          <w:sz w:val="24"/>
        </w:rPr>
      </w:pPr>
    </w:p>
    <w:p>
      <w:pPr>
        <w:pStyle w:val="2"/>
        <w:ind w:firstLine="480"/>
        <w:rPr>
          <w:rFonts w:ascii="宋体" w:hAnsi="宋体" w:eastAsia="宋体" w:cs="宋体"/>
          <w:kern w:val="0"/>
          <w:sz w:val="24"/>
        </w:rPr>
      </w:pPr>
    </w:p>
    <w:p>
      <w:pPr>
        <w:adjustRightInd w:val="0"/>
        <w:snapToGrid w:val="0"/>
        <w:spacing w:line="360" w:lineRule="auto"/>
        <w:ind w:left="3990" w:leftChars="1900"/>
        <w:rPr>
          <w:rFonts w:ascii="宋体" w:hAnsi="宋体" w:cs="宋体"/>
          <w:kern w:val="0"/>
          <w:sz w:val="24"/>
          <w:lang w:val="zh-CN"/>
        </w:rPr>
      </w:pPr>
      <w:r>
        <w:rPr>
          <w:rFonts w:hint="eastAsia" w:ascii="宋体" w:hAnsi="宋体" w:cs="宋体"/>
          <w:kern w:val="0"/>
          <w:sz w:val="24"/>
          <w:lang w:val="zh-CN"/>
        </w:rPr>
        <w:t>法定代表人或其授权委托人（签名或印章）：</w:t>
      </w:r>
    </w:p>
    <w:p>
      <w:pPr>
        <w:adjustRightInd w:val="0"/>
        <w:snapToGrid w:val="0"/>
        <w:spacing w:line="360" w:lineRule="auto"/>
        <w:ind w:left="3990" w:leftChars="1900"/>
        <w:rPr>
          <w:rFonts w:ascii="宋体" w:hAnsi="宋体" w:cs="宋体"/>
          <w:kern w:val="0"/>
          <w:sz w:val="24"/>
          <w:lang w:val="zh-CN"/>
        </w:rPr>
      </w:pPr>
      <w:r>
        <w:rPr>
          <w:rFonts w:hint="eastAsia" w:ascii="宋体" w:hAnsi="宋体" w:cs="宋体"/>
          <w:kern w:val="0"/>
          <w:sz w:val="24"/>
          <w:lang w:val="zh-CN"/>
        </w:rPr>
        <w:t>投标人（盖章）：</w:t>
      </w:r>
    </w:p>
    <w:p>
      <w:pPr>
        <w:adjustRightInd w:val="0"/>
        <w:snapToGrid w:val="0"/>
        <w:spacing w:line="360" w:lineRule="auto"/>
        <w:rPr>
          <w:rFonts w:ascii="宋体" w:hAnsi="宋体" w:cs="宋体"/>
          <w:b/>
          <w:kern w:val="0"/>
          <w:sz w:val="32"/>
          <w:szCs w:val="32"/>
          <w:lang w:val="zh-CN"/>
        </w:rPr>
      </w:pPr>
      <w:r>
        <w:rPr>
          <w:rFonts w:hint="eastAsia" w:ascii="宋体" w:hAnsi="宋体" w:cs="宋体"/>
          <w:kern w:val="0"/>
          <w:sz w:val="24"/>
          <w:lang w:val="zh-CN"/>
        </w:rPr>
        <w:t xml:space="preserve">                                 日期</w:t>
      </w:r>
      <w:r>
        <w:rPr>
          <w:rFonts w:hint="eastAsia" w:ascii="宋体" w:hAnsi="宋体" w:cs="宋体"/>
          <w:kern w:val="0"/>
          <w:sz w:val="24"/>
        </w:rPr>
        <w:t>:</w:t>
      </w:r>
    </w:p>
    <w:p>
      <w:pPr>
        <w:pStyle w:val="2"/>
        <w:ind w:firstLine="480"/>
        <w:rPr>
          <w:rFonts w:ascii="宋体" w:hAnsi="宋体" w:eastAsia="宋体" w:cs="宋体"/>
          <w:kern w:val="0"/>
          <w:sz w:val="24"/>
        </w:rPr>
      </w:pPr>
    </w:p>
    <w:p>
      <w:pPr>
        <w:pStyle w:val="2"/>
        <w:ind w:firstLine="560"/>
        <w:rPr>
          <w:rFonts w:ascii="宋体" w:hAnsi="宋体" w:eastAsia="宋体" w:cs="宋体"/>
          <w:lang w:val="zh-CN"/>
        </w:rPr>
      </w:pPr>
    </w:p>
    <w:p>
      <w:pPr>
        <w:numPr>
          <w:ilvl w:val="0"/>
          <w:numId w:val="13"/>
        </w:numPr>
        <w:snapToGrid w:val="0"/>
        <w:spacing w:line="360" w:lineRule="auto"/>
        <w:jc w:val="center"/>
        <w:outlineLvl w:val="0"/>
        <w:rPr>
          <w:rFonts w:ascii="宋体" w:hAnsi="宋体" w:cs="宋体"/>
          <w:b/>
          <w:kern w:val="0"/>
          <w:sz w:val="32"/>
          <w:szCs w:val="32"/>
          <w:lang w:val="zh-CN"/>
        </w:rPr>
      </w:pPr>
      <w:r>
        <w:rPr>
          <w:rFonts w:hint="eastAsia" w:ascii="宋体" w:hAnsi="宋体" w:cs="宋体"/>
          <w:b/>
          <w:kern w:val="0"/>
          <w:sz w:val="32"/>
          <w:szCs w:val="32"/>
          <w:lang w:val="zh-CN"/>
        </w:rPr>
        <w:t>技术或服务响应表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27"/>
        <w:gridCol w:w="3270"/>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b/>
                <w:bCs/>
                <w:sz w:val="24"/>
              </w:rPr>
            </w:pPr>
            <w:r>
              <w:rPr>
                <w:rFonts w:hint="eastAsia" w:ascii="宋体" w:hAnsi="宋体" w:cs="宋体"/>
                <w:b/>
                <w:bCs/>
                <w:sz w:val="24"/>
              </w:rPr>
              <w:t>序号</w:t>
            </w:r>
          </w:p>
        </w:tc>
        <w:tc>
          <w:tcPr>
            <w:tcW w:w="3227" w:type="dxa"/>
          </w:tcPr>
          <w:p>
            <w:pPr>
              <w:spacing w:line="360" w:lineRule="auto"/>
              <w:jc w:val="center"/>
              <w:rPr>
                <w:rFonts w:ascii="宋体" w:hAnsi="宋体" w:cs="宋体"/>
                <w:b/>
                <w:bCs/>
                <w:sz w:val="24"/>
              </w:rPr>
            </w:pPr>
            <w:r>
              <w:rPr>
                <w:rFonts w:hint="eastAsia" w:ascii="宋体" w:hAnsi="宋体" w:cs="宋体"/>
                <w:b/>
                <w:bCs/>
                <w:sz w:val="24"/>
              </w:rPr>
              <w:t>招标文件章节及具体内容</w:t>
            </w:r>
          </w:p>
        </w:tc>
        <w:tc>
          <w:tcPr>
            <w:tcW w:w="3270" w:type="dxa"/>
          </w:tcPr>
          <w:p>
            <w:pPr>
              <w:spacing w:line="360" w:lineRule="auto"/>
              <w:jc w:val="center"/>
              <w:rPr>
                <w:rFonts w:ascii="宋体" w:hAnsi="宋体" w:cs="宋体"/>
                <w:b/>
                <w:bCs/>
                <w:sz w:val="24"/>
              </w:rPr>
            </w:pPr>
            <w:r>
              <w:rPr>
                <w:rFonts w:hint="eastAsia" w:ascii="宋体" w:hAnsi="宋体" w:cs="宋体"/>
                <w:b/>
                <w:bCs/>
                <w:sz w:val="24"/>
              </w:rPr>
              <w:t>投标文件章节及具体内容</w:t>
            </w:r>
          </w:p>
        </w:tc>
        <w:tc>
          <w:tcPr>
            <w:tcW w:w="2008" w:type="dxa"/>
          </w:tcPr>
          <w:p>
            <w:pPr>
              <w:spacing w:line="360" w:lineRule="auto"/>
              <w:jc w:val="center"/>
              <w:rPr>
                <w:rFonts w:ascii="宋体" w:hAnsi="宋体" w:cs="宋体"/>
                <w:b/>
                <w:bCs/>
                <w:sz w:val="24"/>
              </w:rPr>
            </w:pPr>
            <w:r>
              <w:rPr>
                <w:rFonts w:hint="eastAsia" w:ascii="宋体" w:hAnsi="宋体" w:cs="宋体"/>
                <w:b/>
                <w:bCs/>
                <w:sz w:val="24"/>
              </w:rPr>
              <w:t>响应或偏离说明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kern w:val="0"/>
                <w:sz w:val="24"/>
              </w:rPr>
            </w:pPr>
            <w:r>
              <w:rPr>
                <w:rFonts w:hint="eastAsia" w:ascii="宋体" w:hAnsi="宋体" w:cs="宋体"/>
                <w:kern w:val="0"/>
                <w:sz w:val="24"/>
              </w:rPr>
              <w:t>1</w:t>
            </w:r>
          </w:p>
        </w:tc>
        <w:tc>
          <w:tcPr>
            <w:tcW w:w="3227" w:type="dxa"/>
          </w:tcPr>
          <w:p>
            <w:pPr>
              <w:spacing w:line="360" w:lineRule="auto"/>
              <w:jc w:val="center"/>
              <w:rPr>
                <w:rFonts w:ascii="宋体" w:hAnsi="宋体" w:cs="宋体"/>
                <w:b/>
                <w:kern w:val="0"/>
                <w:sz w:val="32"/>
                <w:szCs w:val="32"/>
              </w:rPr>
            </w:pPr>
          </w:p>
        </w:tc>
        <w:tc>
          <w:tcPr>
            <w:tcW w:w="3270" w:type="dxa"/>
          </w:tcPr>
          <w:p>
            <w:pPr>
              <w:spacing w:line="360" w:lineRule="auto"/>
              <w:jc w:val="center"/>
              <w:rPr>
                <w:rFonts w:ascii="宋体" w:hAnsi="宋体" w:cs="宋体"/>
                <w:b/>
                <w:kern w:val="0"/>
                <w:sz w:val="32"/>
                <w:szCs w:val="32"/>
              </w:rPr>
            </w:pPr>
          </w:p>
        </w:tc>
        <w:tc>
          <w:tcPr>
            <w:tcW w:w="2008" w:type="dxa"/>
          </w:tcPr>
          <w:p>
            <w:pPr>
              <w:spacing w:line="360" w:lineRule="auto"/>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kern w:val="0"/>
                <w:sz w:val="24"/>
              </w:rPr>
            </w:pPr>
            <w:r>
              <w:rPr>
                <w:rFonts w:hint="eastAsia" w:ascii="宋体" w:hAnsi="宋体" w:cs="宋体"/>
                <w:kern w:val="0"/>
                <w:sz w:val="24"/>
              </w:rPr>
              <w:t>2</w:t>
            </w:r>
          </w:p>
        </w:tc>
        <w:tc>
          <w:tcPr>
            <w:tcW w:w="3227" w:type="dxa"/>
          </w:tcPr>
          <w:p>
            <w:pPr>
              <w:spacing w:line="360" w:lineRule="auto"/>
              <w:jc w:val="center"/>
              <w:rPr>
                <w:rFonts w:ascii="宋体" w:hAnsi="宋体" w:cs="宋体"/>
                <w:b/>
                <w:kern w:val="0"/>
                <w:sz w:val="32"/>
                <w:szCs w:val="32"/>
              </w:rPr>
            </w:pPr>
          </w:p>
        </w:tc>
        <w:tc>
          <w:tcPr>
            <w:tcW w:w="3270" w:type="dxa"/>
          </w:tcPr>
          <w:p>
            <w:pPr>
              <w:spacing w:line="360" w:lineRule="auto"/>
              <w:jc w:val="center"/>
              <w:rPr>
                <w:rFonts w:ascii="宋体" w:hAnsi="宋体" w:cs="宋体"/>
                <w:b/>
                <w:kern w:val="0"/>
                <w:sz w:val="32"/>
                <w:szCs w:val="32"/>
              </w:rPr>
            </w:pPr>
          </w:p>
        </w:tc>
        <w:tc>
          <w:tcPr>
            <w:tcW w:w="2008" w:type="dxa"/>
          </w:tcPr>
          <w:p>
            <w:pPr>
              <w:spacing w:line="360" w:lineRule="auto"/>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ascii="宋体" w:hAnsi="宋体" w:cs="宋体"/>
                <w:kern w:val="0"/>
                <w:sz w:val="24"/>
              </w:rPr>
            </w:pPr>
            <w:r>
              <w:rPr>
                <w:rFonts w:hint="eastAsia" w:ascii="宋体" w:hAnsi="宋体" w:cs="宋体"/>
                <w:kern w:val="0"/>
                <w:sz w:val="24"/>
              </w:rPr>
              <w:t>……</w:t>
            </w:r>
          </w:p>
        </w:tc>
        <w:tc>
          <w:tcPr>
            <w:tcW w:w="3227" w:type="dxa"/>
          </w:tcPr>
          <w:p>
            <w:pPr>
              <w:spacing w:line="360" w:lineRule="auto"/>
              <w:jc w:val="center"/>
              <w:rPr>
                <w:rFonts w:ascii="宋体" w:hAnsi="宋体" w:cs="宋体"/>
                <w:b/>
                <w:kern w:val="0"/>
                <w:sz w:val="32"/>
                <w:szCs w:val="32"/>
              </w:rPr>
            </w:pPr>
          </w:p>
        </w:tc>
        <w:tc>
          <w:tcPr>
            <w:tcW w:w="3270" w:type="dxa"/>
          </w:tcPr>
          <w:p>
            <w:pPr>
              <w:spacing w:line="360" w:lineRule="auto"/>
              <w:jc w:val="center"/>
              <w:rPr>
                <w:rFonts w:ascii="宋体" w:hAnsi="宋体" w:cs="宋体"/>
                <w:b/>
                <w:kern w:val="0"/>
                <w:sz w:val="32"/>
                <w:szCs w:val="32"/>
              </w:rPr>
            </w:pPr>
          </w:p>
        </w:tc>
        <w:tc>
          <w:tcPr>
            <w:tcW w:w="2008" w:type="dxa"/>
          </w:tcPr>
          <w:p>
            <w:pPr>
              <w:spacing w:line="360" w:lineRule="auto"/>
              <w:jc w:val="center"/>
              <w:rPr>
                <w:rFonts w:ascii="宋体" w:hAnsi="宋体" w:cs="宋体"/>
                <w:b/>
                <w:kern w:val="0"/>
                <w:sz w:val="32"/>
                <w:szCs w:val="32"/>
              </w:rPr>
            </w:pPr>
          </w:p>
        </w:tc>
      </w:tr>
    </w:tbl>
    <w:p>
      <w:pPr>
        <w:spacing w:line="360" w:lineRule="auto"/>
        <w:jc w:val="left"/>
        <w:rPr>
          <w:rFonts w:ascii="宋体" w:hAnsi="宋体" w:cs="宋体"/>
          <w:kern w:val="0"/>
          <w:sz w:val="24"/>
        </w:rPr>
      </w:pPr>
      <w:r>
        <w:rPr>
          <w:rFonts w:hint="eastAsia" w:ascii="宋体" w:hAnsi="宋体" w:cs="宋体"/>
          <w:kern w:val="0"/>
          <w:sz w:val="24"/>
        </w:rPr>
        <w:t>投标人保证：除技术响应表列出的偏离外，投标人响应招标文件的全部技术要求。</w:t>
      </w:r>
    </w:p>
    <w:p>
      <w:pPr>
        <w:spacing w:line="360" w:lineRule="auto"/>
        <w:rPr>
          <w:rFonts w:ascii="宋体" w:hAnsi="宋体" w:cs="宋体"/>
          <w:b/>
          <w:kern w:val="0"/>
          <w:sz w:val="32"/>
          <w:szCs w:val="32"/>
          <w:lang w:val="zh-CN"/>
        </w:rPr>
      </w:pPr>
    </w:p>
    <w:p>
      <w:pPr>
        <w:adjustRightInd w:val="0"/>
        <w:snapToGrid w:val="0"/>
        <w:spacing w:line="360" w:lineRule="auto"/>
        <w:ind w:left="3990" w:leftChars="1900"/>
        <w:rPr>
          <w:rFonts w:ascii="宋体" w:hAnsi="宋体" w:cs="宋体"/>
          <w:kern w:val="0"/>
          <w:sz w:val="24"/>
          <w:lang w:val="zh-CN"/>
        </w:rPr>
      </w:pPr>
      <w:r>
        <w:rPr>
          <w:rFonts w:hint="eastAsia" w:ascii="宋体" w:hAnsi="宋体" w:cs="宋体"/>
          <w:kern w:val="0"/>
          <w:sz w:val="24"/>
          <w:lang w:val="zh-CN"/>
        </w:rPr>
        <w:t>法定代表人或其授权委托人（签名或印章）：</w:t>
      </w:r>
    </w:p>
    <w:p>
      <w:pPr>
        <w:adjustRightInd w:val="0"/>
        <w:snapToGrid w:val="0"/>
        <w:spacing w:line="360" w:lineRule="auto"/>
        <w:ind w:left="3990" w:leftChars="1900"/>
        <w:rPr>
          <w:rFonts w:ascii="宋体" w:hAnsi="宋体" w:cs="宋体"/>
          <w:kern w:val="0"/>
          <w:sz w:val="24"/>
          <w:lang w:val="zh-CN"/>
        </w:rPr>
      </w:pPr>
      <w:r>
        <w:rPr>
          <w:rFonts w:hint="eastAsia" w:ascii="宋体" w:hAnsi="宋体" w:cs="宋体"/>
          <w:kern w:val="0"/>
          <w:sz w:val="24"/>
          <w:lang w:val="zh-CN"/>
        </w:rPr>
        <w:t>投标人（盖章）：</w:t>
      </w:r>
    </w:p>
    <w:p>
      <w:pPr>
        <w:adjustRightInd w:val="0"/>
        <w:snapToGrid w:val="0"/>
        <w:spacing w:line="360" w:lineRule="auto"/>
        <w:rPr>
          <w:rFonts w:ascii="宋体" w:hAnsi="宋体" w:cs="宋体"/>
          <w:kern w:val="0"/>
          <w:sz w:val="24"/>
        </w:rPr>
      </w:pPr>
      <w:r>
        <w:rPr>
          <w:rFonts w:hint="eastAsia" w:ascii="宋体" w:hAnsi="宋体" w:cs="宋体"/>
          <w:kern w:val="0"/>
          <w:sz w:val="24"/>
          <w:lang w:val="zh-CN"/>
        </w:rPr>
        <w:t xml:space="preserve">                                 日期</w:t>
      </w:r>
      <w:r>
        <w:rPr>
          <w:rFonts w:hint="eastAsia" w:ascii="宋体" w:hAnsi="宋体" w:cs="宋体"/>
          <w:kern w:val="0"/>
          <w:sz w:val="24"/>
        </w:rPr>
        <w:t>:</w:t>
      </w:r>
    </w:p>
    <w:p>
      <w:pPr>
        <w:numPr>
          <w:ilvl w:val="0"/>
          <w:numId w:val="13"/>
        </w:numPr>
        <w:snapToGrid w:val="0"/>
        <w:spacing w:line="360" w:lineRule="auto"/>
        <w:jc w:val="center"/>
        <w:outlineLvl w:val="0"/>
        <w:rPr>
          <w:rFonts w:ascii="宋体" w:hAnsi="宋体" w:cs="宋体"/>
          <w:b/>
          <w:kern w:val="0"/>
          <w:sz w:val="32"/>
          <w:szCs w:val="32"/>
          <w:lang w:val="zh-CN"/>
        </w:rPr>
      </w:pPr>
      <w:r>
        <w:rPr>
          <w:rFonts w:hint="eastAsia" w:ascii="宋体" w:hAnsi="宋体" w:cs="宋体"/>
          <w:b/>
          <w:kern w:val="0"/>
          <w:sz w:val="32"/>
          <w:szCs w:val="32"/>
        </w:rPr>
        <w:br w:type="page"/>
      </w:r>
      <w:r>
        <w:rPr>
          <w:rFonts w:hint="eastAsia" w:ascii="宋体" w:hAnsi="宋体" w:cs="宋体"/>
          <w:b/>
          <w:kern w:val="0"/>
          <w:sz w:val="32"/>
          <w:szCs w:val="32"/>
        </w:rPr>
        <w:t>同类业绩情况一览表</w:t>
      </w:r>
    </w:p>
    <w:p>
      <w:pPr>
        <w:spacing w:line="360" w:lineRule="auto"/>
        <w:jc w:val="center"/>
        <w:rPr>
          <w:rFonts w:ascii="宋体" w:hAnsi="宋体" w:cs="宋体"/>
        </w:rPr>
      </w:pPr>
    </w:p>
    <w:tbl>
      <w:tblPr>
        <w:tblStyle w:val="18"/>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kern w:val="0"/>
                <w:sz w:val="24"/>
              </w:rPr>
              <w:t>采购单位名称</w:t>
            </w:r>
          </w:p>
        </w:tc>
        <w:tc>
          <w:tcPr>
            <w:tcW w:w="1732" w:type="dxa"/>
            <w:tcBorders>
              <w:top w:val="single" w:color="auto" w:sz="4" w:space="0"/>
              <w:left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kern w:val="0"/>
                <w:sz w:val="24"/>
              </w:rPr>
              <w:t>合同金额</w:t>
            </w:r>
          </w:p>
          <w:p>
            <w:pPr>
              <w:spacing w:line="360" w:lineRule="auto"/>
              <w:jc w:val="left"/>
              <w:rPr>
                <w:rFonts w:ascii="宋体" w:hAnsi="宋体" w:cs="宋体"/>
                <w:kern w:val="0"/>
                <w:sz w:val="24"/>
              </w:rPr>
            </w:pPr>
            <w:r>
              <w:rPr>
                <w:rFonts w:hint="eastAsia" w:ascii="宋体" w:hAnsi="宋体" w:cs="宋体"/>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r>
              <w:rPr>
                <w:rFonts w:hint="eastAsia" w:ascii="宋体" w:hAnsi="宋体" w:cs="宋体"/>
                <w:kern w:val="0"/>
                <w:sz w:val="24"/>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kern w:val="0"/>
                <w:sz w:val="24"/>
              </w:rPr>
            </w:pPr>
          </w:p>
        </w:tc>
      </w:tr>
    </w:tbl>
    <w:p>
      <w:pPr>
        <w:spacing w:line="360" w:lineRule="auto"/>
        <w:jc w:val="left"/>
        <w:rPr>
          <w:rFonts w:ascii="宋体" w:hAnsi="宋体" w:cs="宋体"/>
          <w:kern w:val="0"/>
          <w:sz w:val="24"/>
        </w:rPr>
      </w:pPr>
    </w:p>
    <w:p>
      <w:pPr>
        <w:spacing w:line="360" w:lineRule="auto"/>
        <w:jc w:val="left"/>
        <w:rPr>
          <w:rFonts w:ascii="宋体" w:hAnsi="宋体" w:cs="宋体"/>
          <w:kern w:val="0"/>
          <w:sz w:val="24"/>
        </w:rPr>
      </w:pPr>
    </w:p>
    <w:p>
      <w:pPr>
        <w:spacing w:line="360" w:lineRule="auto"/>
        <w:jc w:val="left"/>
        <w:rPr>
          <w:rFonts w:ascii="宋体" w:hAnsi="宋体" w:cs="宋体"/>
          <w:kern w:val="0"/>
          <w:sz w:val="24"/>
        </w:rPr>
      </w:pPr>
    </w:p>
    <w:p>
      <w:pPr>
        <w:adjustRightInd w:val="0"/>
        <w:snapToGrid w:val="0"/>
        <w:spacing w:line="360" w:lineRule="auto"/>
        <w:ind w:left="3990" w:leftChars="1900"/>
        <w:rPr>
          <w:rFonts w:ascii="宋体" w:hAnsi="宋体" w:cs="宋体"/>
          <w:kern w:val="0"/>
          <w:sz w:val="24"/>
          <w:lang w:val="zh-CN"/>
        </w:rPr>
      </w:pPr>
      <w:r>
        <w:rPr>
          <w:rFonts w:hint="eastAsia" w:ascii="宋体" w:hAnsi="宋体" w:cs="宋体"/>
          <w:kern w:val="0"/>
          <w:sz w:val="24"/>
          <w:lang w:val="zh-CN"/>
        </w:rPr>
        <w:t>法定代表人或其授权委托人（签名或印章）：</w:t>
      </w:r>
    </w:p>
    <w:p>
      <w:pPr>
        <w:adjustRightInd w:val="0"/>
        <w:snapToGrid w:val="0"/>
        <w:spacing w:line="360" w:lineRule="auto"/>
        <w:ind w:left="3990" w:leftChars="1900"/>
        <w:rPr>
          <w:rFonts w:ascii="宋体" w:hAnsi="宋体" w:cs="宋体"/>
          <w:kern w:val="0"/>
          <w:sz w:val="24"/>
          <w:lang w:val="zh-CN"/>
        </w:rPr>
      </w:pPr>
      <w:r>
        <w:rPr>
          <w:rFonts w:hint="eastAsia" w:ascii="宋体" w:hAnsi="宋体" w:cs="宋体"/>
          <w:kern w:val="0"/>
          <w:sz w:val="24"/>
          <w:lang w:val="zh-CN"/>
        </w:rPr>
        <w:t>投标人（盖章）：</w:t>
      </w:r>
    </w:p>
    <w:p>
      <w:pPr>
        <w:adjustRightInd w:val="0"/>
        <w:snapToGrid w:val="0"/>
        <w:spacing w:line="360" w:lineRule="auto"/>
        <w:rPr>
          <w:rFonts w:ascii="宋体" w:hAnsi="宋体" w:cs="宋体"/>
          <w:b/>
          <w:kern w:val="0"/>
          <w:sz w:val="32"/>
          <w:szCs w:val="32"/>
          <w:lang w:val="zh-CN"/>
        </w:rPr>
      </w:pPr>
      <w:r>
        <w:rPr>
          <w:rFonts w:hint="eastAsia" w:ascii="宋体" w:hAnsi="宋体" w:cs="宋体"/>
          <w:kern w:val="0"/>
          <w:sz w:val="24"/>
          <w:lang w:val="zh-CN"/>
        </w:rPr>
        <w:t xml:space="preserve">                                 日期</w:t>
      </w:r>
      <w:r>
        <w:rPr>
          <w:rFonts w:hint="eastAsia" w:ascii="宋体" w:hAnsi="宋体" w:cs="宋体"/>
          <w:kern w:val="0"/>
          <w:sz w:val="24"/>
        </w:rPr>
        <w:t>:</w:t>
      </w:r>
    </w:p>
    <w:p>
      <w:pPr>
        <w:numPr>
          <w:ilvl w:val="0"/>
          <w:numId w:val="13"/>
        </w:numPr>
        <w:snapToGrid w:val="0"/>
        <w:spacing w:line="360" w:lineRule="auto"/>
        <w:jc w:val="center"/>
        <w:outlineLvl w:val="0"/>
        <w:rPr>
          <w:rFonts w:ascii="宋体" w:hAnsi="宋体" w:cs="宋体"/>
          <w:b/>
          <w:kern w:val="0"/>
          <w:sz w:val="32"/>
          <w:szCs w:val="32"/>
          <w:lang w:val="zh-CN"/>
        </w:rPr>
      </w:pPr>
      <w:r>
        <w:rPr>
          <w:rFonts w:hint="eastAsia" w:ascii="宋体" w:hAnsi="宋体" w:cs="宋体"/>
          <w:b/>
          <w:kern w:val="0"/>
          <w:sz w:val="32"/>
          <w:szCs w:val="32"/>
          <w:lang w:val="zh-CN"/>
        </w:rPr>
        <w:br w:type="page"/>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djustRightInd w:val="0"/>
        <w:snapToGrid w:val="0"/>
        <w:spacing w:line="360" w:lineRule="auto"/>
        <w:ind w:left="3360" w:leftChars="1600"/>
        <w:rPr>
          <w:rFonts w:ascii="宋体" w:hAnsi="宋体" w:cs="宋体"/>
          <w:kern w:val="0"/>
          <w:sz w:val="24"/>
          <w:lang w:val="zh-CN"/>
        </w:rPr>
      </w:pPr>
      <w:r>
        <w:rPr>
          <w:rFonts w:hint="eastAsia" w:ascii="宋体" w:hAnsi="宋体" w:cs="宋体"/>
          <w:kern w:val="0"/>
          <w:sz w:val="24"/>
          <w:lang w:val="zh-CN"/>
        </w:rPr>
        <w:t>法定代表人或其授权委托人（签名或印章）：</w:t>
      </w:r>
    </w:p>
    <w:p>
      <w:pPr>
        <w:adjustRightInd w:val="0"/>
        <w:snapToGrid w:val="0"/>
        <w:spacing w:line="360" w:lineRule="auto"/>
        <w:ind w:left="3360" w:leftChars="1600"/>
        <w:rPr>
          <w:rFonts w:ascii="宋体" w:hAnsi="宋体" w:cs="宋体"/>
          <w:kern w:val="0"/>
          <w:sz w:val="24"/>
          <w:lang w:val="zh-CN"/>
        </w:rPr>
      </w:pPr>
      <w:r>
        <w:rPr>
          <w:rFonts w:hint="eastAsia" w:ascii="宋体" w:hAnsi="宋体" w:cs="宋体"/>
          <w:kern w:val="0"/>
          <w:sz w:val="24"/>
          <w:lang w:val="zh-CN"/>
        </w:rPr>
        <w:t>投标人（盖章）：</w:t>
      </w:r>
    </w:p>
    <w:p>
      <w:pPr>
        <w:adjustRightInd w:val="0"/>
        <w:snapToGrid w:val="0"/>
        <w:spacing w:line="360" w:lineRule="auto"/>
        <w:rPr>
          <w:rFonts w:ascii="宋体" w:hAnsi="宋体" w:cs="宋体"/>
          <w:b/>
          <w:kern w:val="0"/>
          <w:sz w:val="32"/>
          <w:szCs w:val="32"/>
          <w:lang w:val="zh-CN"/>
        </w:rPr>
      </w:pPr>
      <w:r>
        <w:rPr>
          <w:rFonts w:hint="eastAsia" w:ascii="宋体" w:hAnsi="宋体" w:cs="宋体"/>
          <w:kern w:val="0"/>
          <w:sz w:val="24"/>
          <w:lang w:val="zh-CN"/>
        </w:rPr>
        <w:t xml:space="preserve">                            日期</w:t>
      </w:r>
      <w:r>
        <w:rPr>
          <w:rFonts w:hint="eastAsia" w:ascii="宋体" w:hAnsi="宋体" w:cs="宋体"/>
          <w:kern w:val="0"/>
          <w:sz w:val="24"/>
        </w:rPr>
        <w:t>:</w:t>
      </w:r>
    </w:p>
    <w:p>
      <w:pPr>
        <w:spacing w:line="360" w:lineRule="auto"/>
        <w:jc w:val="center"/>
        <w:rPr>
          <w:rFonts w:ascii="宋体" w:hAnsi="宋体" w:cs="宋体"/>
          <w:b/>
          <w:bCs/>
          <w:sz w:val="24"/>
        </w:rPr>
      </w:pPr>
    </w:p>
    <w:p>
      <w:pPr>
        <w:spacing w:line="360" w:lineRule="auto"/>
        <w:jc w:val="center"/>
        <w:rPr>
          <w:rFonts w:ascii="宋体" w:hAnsi="宋体" w:cs="宋体"/>
          <w:b/>
          <w:bCs/>
          <w:sz w:val="24"/>
        </w:rPr>
        <w:sectPr>
          <w:pgSz w:w="11906" w:h="16838"/>
          <w:pgMar w:top="1276" w:right="1418" w:bottom="1247" w:left="1418" w:header="851" w:footer="992" w:gutter="0"/>
          <w:cols w:space="720" w:num="1"/>
          <w:docGrid w:linePitch="312" w:charSpace="0"/>
        </w:sectPr>
      </w:pP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napToGrid w:val="0"/>
        <w:spacing w:line="360" w:lineRule="auto"/>
        <w:ind w:firstLine="480" w:firstLineChars="200"/>
        <w:rPr>
          <w:rFonts w:ascii="宋体" w:hAnsi="宋体" w:cs="宋体"/>
          <w:sz w:val="24"/>
          <w:u w:val="single"/>
          <w:lang w:val="zh-CN"/>
        </w:rPr>
      </w:pPr>
      <w:r>
        <w:rPr>
          <w:rFonts w:hint="eastAsia" w:ascii="宋体" w:hAnsi="宋体" w:cs="宋体"/>
          <w:sz w:val="24"/>
        </w:rPr>
        <w:t xml:space="preserve"> </w:t>
      </w:r>
    </w:p>
    <w:p>
      <w:pPr>
        <w:snapToGrid w:val="0"/>
        <w:spacing w:line="360" w:lineRule="auto"/>
        <w:ind w:firstLine="1120" w:firstLineChars="400"/>
        <w:rPr>
          <w:rFonts w:ascii="宋体" w:hAnsi="宋体" w:cs="宋体"/>
          <w:sz w:val="28"/>
          <w:szCs w:val="28"/>
        </w:rPr>
      </w:pPr>
      <w:r>
        <w:rPr>
          <w:rFonts w:hint="eastAsia" w:ascii="宋体" w:hAnsi="宋体" w:cs="宋体"/>
          <w:sz w:val="28"/>
          <w:szCs w:val="28"/>
        </w:rPr>
        <w:t>1 开标一览表；</w:t>
      </w:r>
    </w:p>
    <w:p>
      <w:pPr>
        <w:snapToGrid w:val="0"/>
        <w:spacing w:line="360" w:lineRule="auto"/>
        <w:ind w:firstLine="1120" w:firstLineChars="400"/>
        <w:rPr>
          <w:rFonts w:ascii="宋体" w:hAnsi="宋体" w:cs="宋体"/>
          <w:sz w:val="28"/>
          <w:szCs w:val="28"/>
        </w:rPr>
      </w:pPr>
      <w:r>
        <w:rPr>
          <w:rFonts w:hint="eastAsia" w:ascii="宋体" w:hAnsi="宋体" w:cs="宋体"/>
          <w:sz w:val="28"/>
          <w:szCs w:val="28"/>
        </w:rPr>
        <w:t>2 投标报价明细表；</w:t>
      </w:r>
    </w:p>
    <w:p>
      <w:pPr>
        <w:snapToGrid w:val="0"/>
        <w:spacing w:line="360" w:lineRule="auto"/>
        <w:ind w:firstLine="1120" w:firstLineChars="400"/>
        <w:rPr>
          <w:rFonts w:ascii="宋体" w:hAnsi="宋体" w:cs="宋体"/>
          <w:sz w:val="28"/>
          <w:szCs w:val="28"/>
        </w:rPr>
      </w:pPr>
      <w:r>
        <w:rPr>
          <w:rFonts w:hint="eastAsia" w:ascii="宋体" w:hAnsi="宋体" w:cs="宋体"/>
          <w:sz w:val="28"/>
          <w:szCs w:val="28"/>
        </w:rPr>
        <w:t>3 中小企业声明函（如有）；</w:t>
      </w:r>
    </w:p>
    <w:p>
      <w:pPr>
        <w:snapToGrid w:val="0"/>
        <w:spacing w:line="360" w:lineRule="auto"/>
        <w:ind w:firstLine="1120" w:firstLineChars="400"/>
        <w:rPr>
          <w:rFonts w:ascii="宋体" w:hAnsi="宋体" w:cs="宋体"/>
          <w:sz w:val="28"/>
          <w:szCs w:val="28"/>
        </w:rPr>
      </w:pPr>
      <w:r>
        <w:rPr>
          <w:rFonts w:hint="eastAsia" w:ascii="宋体" w:hAnsi="宋体" w:cs="宋体"/>
          <w:sz w:val="28"/>
          <w:szCs w:val="28"/>
        </w:rPr>
        <w:t>4 残疾人福利性单位声明函（如有）；</w:t>
      </w:r>
    </w:p>
    <w:p>
      <w:pPr>
        <w:snapToGrid w:val="0"/>
        <w:spacing w:line="360" w:lineRule="auto"/>
        <w:ind w:firstLine="1120" w:firstLineChars="400"/>
        <w:rPr>
          <w:rFonts w:ascii="宋体" w:hAnsi="宋体" w:cs="宋体"/>
          <w:sz w:val="28"/>
          <w:szCs w:val="28"/>
        </w:rPr>
      </w:pPr>
      <w:r>
        <w:rPr>
          <w:rFonts w:hint="eastAsia" w:ascii="宋体" w:hAnsi="宋体" w:cs="宋体"/>
          <w:sz w:val="28"/>
          <w:szCs w:val="28"/>
        </w:rPr>
        <w:t>5 监狱企业的证明文件（如有）；</w:t>
      </w:r>
    </w:p>
    <w:p>
      <w:pPr>
        <w:snapToGrid w:val="0"/>
        <w:spacing w:line="360" w:lineRule="auto"/>
        <w:ind w:firstLine="1120" w:firstLineChars="400"/>
        <w:rPr>
          <w:rFonts w:ascii="宋体" w:hAnsi="宋体" w:cs="宋体"/>
          <w:sz w:val="28"/>
          <w:szCs w:val="28"/>
        </w:rPr>
      </w:pPr>
      <w:r>
        <w:rPr>
          <w:rFonts w:hint="eastAsia" w:ascii="宋体" w:hAnsi="宋体" w:cs="宋体"/>
          <w:sz w:val="28"/>
          <w:szCs w:val="28"/>
        </w:rPr>
        <w:t>6 政府采购统计基础信息表；</w:t>
      </w:r>
    </w:p>
    <w:p>
      <w:pPr>
        <w:snapToGrid w:val="0"/>
        <w:spacing w:line="360" w:lineRule="auto"/>
        <w:ind w:firstLine="1120" w:firstLineChars="400"/>
        <w:rPr>
          <w:rFonts w:ascii="宋体" w:hAnsi="宋体" w:cs="宋体"/>
          <w:sz w:val="28"/>
          <w:szCs w:val="28"/>
        </w:rPr>
      </w:pPr>
      <w:r>
        <w:rPr>
          <w:rFonts w:hint="eastAsia" w:ascii="宋体" w:hAnsi="宋体" w:cs="宋体"/>
          <w:sz w:val="28"/>
          <w:szCs w:val="28"/>
        </w:rPr>
        <w:t>7 其他资料（如有）。</w:t>
      </w:r>
    </w:p>
    <w:p>
      <w:pPr>
        <w:snapToGrid w:val="0"/>
        <w:spacing w:line="360" w:lineRule="auto"/>
        <w:ind w:right="480"/>
        <w:rPr>
          <w:rFonts w:ascii="宋体" w:hAnsi="宋体" w:cs="宋体"/>
          <w:b/>
          <w:kern w:val="0"/>
          <w:sz w:val="32"/>
          <w:szCs w:val="32"/>
        </w:rPr>
      </w:pPr>
    </w:p>
    <w:p>
      <w:pPr>
        <w:pStyle w:val="3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adjustRightInd w:val="0"/>
        <w:snapToGrid w:val="0"/>
        <w:spacing w:line="440" w:lineRule="exact"/>
        <w:jc w:val="center"/>
        <w:rPr>
          <w:rFonts w:ascii="宋体" w:hAnsi="宋体" w:cs="宋体"/>
          <w:b/>
          <w:sz w:val="32"/>
          <w:szCs w:val="32"/>
        </w:rPr>
      </w:pPr>
      <w:r>
        <w:rPr>
          <w:rFonts w:hint="eastAsia"/>
          <w:b/>
          <w:sz w:val="32"/>
          <w:szCs w:val="32"/>
        </w:rPr>
        <w:t>开标一览表</w:t>
      </w:r>
      <w:r>
        <w:rPr>
          <w:rFonts w:hint="eastAsia" w:ascii="宋体" w:hAnsi="宋体" w:cs="宋体"/>
          <w:b/>
          <w:sz w:val="32"/>
          <w:szCs w:val="32"/>
        </w:rPr>
        <w:t>（适用于标项一、二、三、四）</w:t>
      </w:r>
    </w:p>
    <w:p>
      <w:pPr>
        <w:jc w:val="center"/>
        <w:rPr>
          <w:b/>
          <w:sz w:val="32"/>
          <w:szCs w:val="32"/>
        </w:rPr>
      </w:pPr>
    </w:p>
    <w:p>
      <w:r>
        <w:rPr>
          <w:rFonts w:hint="eastAsia"/>
        </w:rPr>
        <w:t xml:space="preserve">            </w:t>
      </w:r>
    </w:p>
    <w:p>
      <w:pPr>
        <w:snapToGrid w:val="0"/>
        <w:spacing w:line="360" w:lineRule="auto"/>
        <w:rPr>
          <w:rFonts w:ascii="宋体" w:hAnsi="宋体" w:cs="宋体"/>
          <w:kern w:val="0"/>
          <w:sz w:val="24"/>
          <w:u w:val="single"/>
        </w:rPr>
      </w:pPr>
      <w:r>
        <w:rPr>
          <w:rFonts w:hint="eastAsia" w:ascii="宋体" w:hAnsi="宋体" w:cs="宋体"/>
          <w:sz w:val="24"/>
        </w:rPr>
        <w:t>（采购人）、（采购代理机构）</w:t>
      </w:r>
      <w:r>
        <w:rPr>
          <w:rFonts w:hint="eastAsia" w:ascii="宋体" w:hAnsi="宋体" w:cs="宋体"/>
          <w:kern w:val="0"/>
          <w:sz w:val="24"/>
          <w:lang w:val="zh-CN"/>
        </w:rPr>
        <w:t>：</w:t>
      </w:r>
      <w:r>
        <w:rPr>
          <w:rFonts w:hint="eastAsia" w:ascii="宋体" w:hAnsi="宋体" w:cs="宋体"/>
          <w:kern w:val="0"/>
          <w:sz w:val="24"/>
          <w:u w:val="single"/>
        </w:rPr>
        <w:t xml:space="preserve">                                     </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w:t>
      </w:r>
      <w:r>
        <w:rPr>
          <w:rFonts w:hint="eastAsia" w:ascii="宋体" w:hAnsi="宋体" w:cs="宋体"/>
          <w:sz w:val="24"/>
          <w:u w:val="single"/>
        </w:rPr>
        <w:t>项目名称</w:t>
      </w:r>
      <w:r>
        <w:rPr>
          <w:rFonts w:hint="eastAsia" w:ascii="宋体" w:hAnsi="宋体" w:cs="宋体"/>
          <w:sz w:val="24"/>
        </w:rPr>
        <w:t>）</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pPr>
        <w:pStyle w:val="2"/>
        <w:ind w:firstLine="560"/>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638"/>
        <w:gridCol w:w="1599"/>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65" w:type="dxa"/>
            <w:vAlign w:val="center"/>
          </w:tcPr>
          <w:p>
            <w:pPr>
              <w:jc w:val="center"/>
              <w:rPr>
                <w:b/>
                <w:bCs/>
              </w:rPr>
            </w:pPr>
            <w:r>
              <w:rPr>
                <w:rFonts w:hint="eastAsia"/>
                <w:b/>
                <w:bCs/>
              </w:rPr>
              <w:t>序号</w:t>
            </w:r>
          </w:p>
        </w:tc>
        <w:tc>
          <w:tcPr>
            <w:tcW w:w="3638" w:type="dxa"/>
            <w:vAlign w:val="center"/>
          </w:tcPr>
          <w:p>
            <w:pPr>
              <w:jc w:val="center"/>
              <w:rPr>
                <w:b/>
                <w:bCs/>
              </w:rPr>
            </w:pPr>
            <w:r>
              <w:rPr>
                <w:rFonts w:hint="eastAsia"/>
                <w:b/>
                <w:bCs/>
              </w:rPr>
              <w:t>名  称</w:t>
            </w:r>
          </w:p>
        </w:tc>
        <w:tc>
          <w:tcPr>
            <w:tcW w:w="1599" w:type="dxa"/>
            <w:vAlign w:val="center"/>
          </w:tcPr>
          <w:p>
            <w:pPr>
              <w:jc w:val="center"/>
              <w:rPr>
                <w:b/>
                <w:bCs/>
              </w:rPr>
            </w:pPr>
            <w:r>
              <w:rPr>
                <w:rFonts w:hint="eastAsia" w:ascii="宋体" w:hAnsi="宋体" w:cs="宋体"/>
                <w:szCs w:val="21"/>
              </w:rPr>
              <w:t>服务期限</w:t>
            </w:r>
          </w:p>
        </w:tc>
        <w:tc>
          <w:tcPr>
            <w:tcW w:w="3504" w:type="dxa"/>
            <w:vAlign w:val="center"/>
          </w:tcPr>
          <w:p>
            <w:pPr>
              <w:jc w:val="center"/>
              <w:rPr>
                <w:b/>
                <w:bCs/>
              </w:rPr>
            </w:pPr>
            <w:r>
              <w:rPr>
                <w:rFonts w:hint="eastAsia"/>
                <w:b/>
                <w:bCs/>
              </w:rPr>
              <w:t>投标费率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65" w:type="dxa"/>
            <w:vAlign w:val="center"/>
          </w:tcPr>
          <w:p>
            <w:pPr>
              <w:jc w:val="center"/>
              <w:rPr>
                <w:b/>
              </w:rPr>
            </w:pPr>
            <w:r>
              <w:rPr>
                <w:rFonts w:hint="eastAsia"/>
                <w:b/>
              </w:rPr>
              <w:t>1</w:t>
            </w:r>
          </w:p>
        </w:tc>
        <w:tc>
          <w:tcPr>
            <w:tcW w:w="3638" w:type="dxa"/>
            <w:vAlign w:val="center"/>
          </w:tcPr>
          <w:p>
            <w:pPr>
              <w:jc w:val="center"/>
            </w:pPr>
          </w:p>
        </w:tc>
        <w:tc>
          <w:tcPr>
            <w:tcW w:w="1599" w:type="dxa"/>
            <w:vAlign w:val="center"/>
          </w:tcPr>
          <w:p/>
        </w:tc>
        <w:tc>
          <w:tcPr>
            <w:tcW w:w="3504" w:type="dxa"/>
            <w:vAlign w:val="center"/>
          </w:tcPr>
          <w:p>
            <w:pPr>
              <w:ind w:firstLine="1200" w:firstLineChars="500"/>
              <w:jc w:val="left"/>
            </w:pPr>
            <w:r>
              <w:rPr>
                <w:rFonts w:hint="eastAsia" w:ascii="宋体" w:hAnsi="宋体" w:cs="宋体"/>
                <w:sz w:val="24"/>
                <w:u w:val="thick"/>
              </w:rPr>
              <w:t xml:space="preserve">    </w:t>
            </w:r>
            <w:r>
              <w:rPr>
                <w:rFonts w:hint="eastAsia"/>
                <w:u w:val="thick"/>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503" w:type="dxa"/>
            <w:gridSpan w:val="2"/>
            <w:vAlign w:val="center"/>
          </w:tcPr>
          <w:p>
            <w:pPr>
              <w:jc w:val="center"/>
            </w:pPr>
            <w:r>
              <w:rPr>
                <w:rFonts w:hint="eastAsia"/>
              </w:rPr>
              <w:t>投标费率大写</w:t>
            </w:r>
          </w:p>
        </w:tc>
        <w:tc>
          <w:tcPr>
            <w:tcW w:w="5103"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606" w:type="dxa"/>
            <w:gridSpan w:val="4"/>
          </w:tcPr>
          <w:p>
            <w:r>
              <w:rPr>
                <w:rFonts w:hint="eastAsia"/>
              </w:rPr>
              <w:t>声明（如有）：</w:t>
            </w:r>
          </w:p>
        </w:tc>
      </w:tr>
    </w:tbl>
    <w:p>
      <w:pPr>
        <w:spacing w:line="360" w:lineRule="auto"/>
        <w:rPr>
          <w:b/>
          <w:bCs/>
        </w:rPr>
      </w:pPr>
      <w:r>
        <w:rPr>
          <w:rFonts w:hint="eastAsia"/>
          <w:b/>
          <w:bCs/>
        </w:rPr>
        <w:t>注: 1、报价一经涂改，应在涂改处加盖单位公章或者由法定代表人或授权委托人签名或盖章，否则其投标作无效标处理。</w:t>
      </w:r>
    </w:p>
    <w:p>
      <w:pPr>
        <w:spacing w:line="360" w:lineRule="auto"/>
        <w:rPr>
          <w:b/>
          <w:bCs/>
        </w:rPr>
      </w:pPr>
      <w:r>
        <w:rPr>
          <w:rFonts w:hint="eastAsia"/>
          <w:b/>
          <w:bCs/>
        </w:rPr>
        <w:t>2、投标费用包含购买服务需交纳的所有税费及其他一切相关费用。</w:t>
      </w:r>
    </w:p>
    <w:p>
      <w:pPr>
        <w:spacing w:line="360" w:lineRule="auto"/>
        <w:rPr>
          <w:b/>
          <w:bCs/>
        </w:rPr>
      </w:pPr>
      <w:r>
        <w:rPr>
          <w:rFonts w:hint="eastAsia"/>
          <w:b/>
          <w:bCs/>
        </w:rPr>
        <w:t>4、以上报价应与“投标报价明细表”中的“投标费率”相一致。</w:t>
      </w:r>
    </w:p>
    <w:p>
      <w:pPr>
        <w:spacing w:line="360" w:lineRule="auto"/>
      </w:pPr>
    </w:p>
    <w:p>
      <w:pPr>
        <w:spacing w:line="360" w:lineRule="auto"/>
        <w:ind w:firstLine="4095" w:firstLineChars="1950"/>
      </w:pPr>
      <w:r>
        <w:rPr>
          <w:rFonts w:hint="eastAsia"/>
        </w:rPr>
        <w:t xml:space="preserve">法定代表人或授权代表签名：        </w:t>
      </w:r>
    </w:p>
    <w:p>
      <w:pPr>
        <w:spacing w:line="360" w:lineRule="auto"/>
        <w:ind w:firstLine="5460" w:firstLineChars="2600"/>
      </w:pPr>
      <w:r>
        <w:rPr>
          <w:rFonts w:hint="eastAsia"/>
        </w:rPr>
        <w:t xml:space="preserve">投标人盖章：         </w:t>
      </w:r>
    </w:p>
    <w:p>
      <w:pPr>
        <w:ind w:firstLine="5460" w:firstLineChars="2600"/>
      </w:pPr>
      <w:r>
        <w:rPr>
          <w:rFonts w:hint="eastAsia"/>
        </w:rPr>
        <w:t xml:space="preserve">日  期：       </w:t>
      </w:r>
    </w:p>
    <w:p>
      <w:pPr>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投标报价明细表（适用于标项一、二、三</w:t>
      </w:r>
      <w:r>
        <w:rPr>
          <w:rFonts w:hint="eastAsia" w:ascii="宋体" w:hAnsi="宋体" w:cs="宋体"/>
          <w:b/>
          <w:sz w:val="32"/>
          <w:szCs w:val="32"/>
          <w:lang w:eastAsia="zh-CN"/>
        </w:rPr>
        <w:t>、四</w:t>
      </w:r>
      <w:r>
        <w:rPr>
          <w:rFonts w:hint="eastAsia" w:ascii="宋体" w:hAnsi="宋体" w:cs="宋体"/>
          <w:b/>
          <w:sz w:val="32"/>
          <w:szCs w:val="32"/>
        </w:rPr>
        <w:t>）</w:t>
      </w:r>
    </w:p>
    <w:p>
      <w:pPr>
        <w:adjustRightInd w:val="0"/>
        <w:snapToGrid w:val="0"/>
        <w:spacing w:line="440" w:lineRule="exact"/>
        <w:ind w:firstLine="2310" w:firstLineChars="1100"/>
        <w:rPr>
          <w:rFonts w:ascii="宋体" w:hAnsi="宋体" w:cs="宋体"/>
        </w:rPr>
      </w:pPr>
      <w:r>
        <w:rPr>
          <w:rFonts w:hint="eastAsia" w:ascii="宋体" w:hAnsi="宋体" w:cs="宋体"/>
        </w:rPr>
        <w:t xml:space="preserve">                            金额单位：人民币（元）</w:t>
      </w:r>
    </w:p>
    <w:tbl>
      <w:tblPr>
        <w:tblStyle w:val="18"/>
        <w:tblpPr w:leftFromText="180" w:rightFromText="180" w:vertAnchor="text" w:horzAnchor="page" w:tblpX="1155" w:tblpY="430"/>
        <w:tblOverlap w:val="never"/>
        <w:tblW w:w="9194" w:type="dxa"/>
        <w:tblInd w:w="0" w:type="dxa"/>
        <w:tblLayout w:type="autofit"/>
        <w:tblCellMar>
          <w:top w:w="0" w:type="dxa"/>
          <w:left w:w="108" w:type="dxa"/>
          <w:bottom w:w="0" w:type="dxa"/>
          <w:right w:w="108" w:type="dxa"/>
        </w:tblCellMar>
      </w:tblPr>
      <w:tblGrid>
        <w:gridCol w:w="930"/>
        <w:gridCol w:w="2129"/>
        <w:gridCol w:w="2655"/>
        <w:gridCol w:w="645"/>
        <w:gridCol w:w="1605"/>
        <w:gridCol w:w="1230"/>
      </w:tblGrid>
      <w:tr>
        <w:tblPrEx>
          <w:tblCellMar>
            <w:top w:w="0" w:type="dxa"/>
            <w:left w:w="108" w:type="dxa"/>
            <w:bottom w:w="0" w:type="dxa"/>
            <w:right w:w="108" w:type="dxa"/>
          </w:tblCellMar>
        </w:tblPrEx>
        <w:trPr>
          <w:trHeight w:val="1208" w:hRule="atLeast"/>
        </w:trPr>
        <w:tc>
          <w:tcPr>
            <w:tcW w:w="93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序号</w:t>
            </w:r>
          </w:p>
        </w:tc>
        <w:tc>
          <w:tcPr>
            <w:tcW w:w="212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项目名称</w:t>
            </w:r>
          </w:p>
        </w:tc>
        <w:tc>
          <w:tcPr>
            <w:tcW w:w="265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项目特征</w:t>
            </w:r>
          </w:p>
        </w:tc>
        <w:tc>
          <w:tcPr>
            <w:tcW w:w="64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计量单位</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br w:type="textWrapping"/>
            </w:r>
            <w:r>
              <w:rPr>
                <w:rFonts w:hint="eastAsia" w:ascii="宋体" w:hAnsi="宋体" w:cs="宋体"/>
                <w:kern w:val="0"/>
                <w:sz w:val="20"/>
                <w:szCs w:val="20"/>
                <w:lang w:bidi="ar"/>
              </w:rPr>
              <w:t>综合单价最高限价</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20"/>
                <w:szCs w:val="20"/>
                <w:lang w:bidi="ar"/>
              </w:rPr>
            </w:pPr>
            <w:r>
              <w:rPr>
                <w:rFonts w:hint="eastAsia" w:ascii="宋体" w:hAnsi="宋体" w:cs="宋体"/>
                <w:kern w:val="0"/>
                <w:sz w:val="20"/>
                <w:szCs w:val="20"/>
                <w:lang w:bidi="ar"/>
              </w:rPr>
              <w:t>投标单价</w:t>
            </w: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φ300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5123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φ400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5153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φ500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6706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φ600~φ700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6746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φ800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11043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φ1000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11147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7</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管道局部非开挖修复</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管道非开挖修复 局部树脂固化 φ1200~φ1500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环</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14018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气囊封堵 φ500以内</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884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9</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气囊封堵 φ600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1239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潜水砖封 φ≤800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10323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11</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潜水砖封 φ≤1200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14930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12</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气囊封堵</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封堵管口 潜水砖封 φ≤1600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19931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13</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拆除气囊封堵 φ500以内</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273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14</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拆除气囊封堵 φ≥600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314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15</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潜水拆砖封 φ≤800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5029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16</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潜水拆砖封 φ≤1200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8685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17</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拆除封堵 潜水拆砖封 φ≤1600</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只</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11493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18</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临时排水</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临时排水</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台班</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314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19</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DN300非开挖短管置换修复</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2511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DN400非开挖短管置换修复</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3348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21</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DN500非开挖短管置换修复</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4290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93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22</w:t>
            </w:r>
          </w:p>
        </w:tc>
        <w:tc>
          <w:tcPr>
            <w:tcW w:w="212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非开挖短管置换修复</w:t>
            </w:r>
          </w:p>
        </w:tc>
        <w:tc>
          <w:tcPr>
            <w:tcW w:w="2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DN600非开挖短管置换修复</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m</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 xml:space="preserve">4918 </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p>
        </w:tc>
      </w:tr>
      <w:tr>
        <w:tblPrEx>
          <w:tblCellMar>
            <w:top w:w="0" w:type="dxa"/>
            <w:left w:w="108" w:type="dxa"/>
            <w:bottom w:w="0" w:type="dxa"/>
            <w:right w:w="108" w:type="dxa"/>
          </w:tblCellMar>
        </w:tblPrEx>
        <w:trPr>
          <w:trHeight w:val="570" w:hRule="atLeast"/>
        </w:trPr>
        <w:tc>
          <w:tcPr>
            <w:tcW w:w="6359"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szCs w:val="21"/>
              </w:rPr>
            </w:pPr>
            <w:r>
              <w:rPr>
                <w:rFonts w:hint="eastAsia" w:ascii="宋体" w:hAnsi="宋体"/>
                <w:szCs w:val="21"/>
              </w:rPr>
              <w:t>投标费率</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20"/>
                <w:szCs w:val="20"/>
                <w:lang w:bidi="ar"/>
              </w:rPr>
            </w:pPr>
            <w:r>
              <w:rPr>
                <w:rFonts w:hint="eastAsia" w:ascii="宋体" w:hAnsi="宋体" w:cs="宋体"/>
                <w:kern w:val="0"/>
                <w:sz w:val="20"/>
                <w:szCs w:val="20"/>
                <w:u w:val="single"/>
                <w:lang w:bidi="ar"/>
              </w:rPr>
              <w:t xml:space="preserve">       </w:t>
            </w:r>
            <w:r>
              <w:rPr>
                <w:rFonts w:hint="eastAsia" w:ascii="宋体" w:hAnsi="宋体" w:cs="宋体"/>
                <w:kern w:val="0"/>
                <w:sz w:val="20"/>
                <w:szCs w:val="20"/>
                <w:lang w:bidi="ar"/>
              </w:rPr>
              <w:t>%</w:t>
            </w:r>
          </w:p>
        </w:tc>
      </w:tr>
    </w:tbl>
    <w:p>
      <w:pPr>
        <w:pStyle w:val="8"/>
        <w:adjustRightInd w:val="0"/>
        <w:snapToGrid w:val="0"/>
        <w:spacing w:line="360" w:lineRule="auto"/>
        <w:ind w:left="-178" w:leftChars="-85" w:firstLine="482"/>
        <w:rPr>
          <w:rFonts w:cs="宋体"/>
          <w:b/>
          <w:bCs/>
        </w:rPr>
      </w:pPr>
    </w:p>
    <w:p>
      <w:pPr>
        <w:pStyle w:val="8"/>
        <w:adjustRightInd w:val="0"/>
        <w:snapToGrid w:val="0"/>
        <w:spacing w:line="360" w:lineRule="auto"/>
        <w:ind w:firstLine="0" w:firstLineChars="0"/>
        <w:rPr>
          <w:rFonts w:cs="宋体"/>
          <w:b/>
          <w:bCs/>
        </w:rPr>
      </w:pPr>
      <w:r>
        <w:rPr>
          <w:rFonts w:hint="eastAsia" w:cs="宋体"/>
          <w:b/>
          <w:bCs/>
        </w:rPr>
        <w:t>1、本表格仅供参考，投标人可根据项目实际情况扩展表格。</w:t>
      </w:r>
    </w:p>
    <w:p>
      <w:pPr>
        <w:pStyle w:val="8"/>
        <w:adjustRightInd w:val="0"/>
        <w:snapToGrid w:val="0"/>
        <w:spacing w:line="360" w:lineRule="auto"/>
        <w:ind w:firstLine="0" w:firstLineChars="0"/>
        <w:rPr>
          <w:rFonts w:cs="宋体"/>
          <w:b/>
          <w:bCs/>
        </w:rPr>
      </w:pPr>
      <w:r>
        <w:rPr>
          <w:rFonts w:hint="eastAsia" w:cs="宋体"/>
          <w:b/>
          <w:bCs/>
        </w:rPr>
        <w:t>2、投标费率应与开标一览表的投标报价一致，保留整数。</w:t>
      </w:r>
    </w:p>
    <w:p>
      <w:pPr>
        <w:spacing w:line="360" w:lineRule="auto"/>
        <w:rPr>
          <w:rFonts w:ascii="宋体" w:hAnsi="宋体" w:cs="宋体"/>
          <w:b/>
          <w:bCs/>
          <w:sz w:val="24"/>
        </w:rPr>
      </w:pPr>
      <w:r>
        <w:rPr>
          <w:rFonts w:hint="eastAsia" w:ascii="宋体" w:hAnsi="宋体" w:cs="宋体"/>
          <w:b/>
          <w:bCs/>
          <w:sz w:val="24"/>
        </w:rPr>
        <w:t>3、限报一个投标费率，否则作无效标处理。</w:t>
      </w:r>
    </w:p>
    <w:p>
      <w:pPr>
        <w:pStyle w:val="17"/>
        <w:ind w:firstLine="0" w:firstLineChars="0"/>
        <w:rPr>
          <w:b/>
          <w:bCs/>
        </w:rPr>
      </w:pPr>
      <w:r>
        <w:rPr>
          <w:rFonts w:hint="eastAsia" w:cs="宋体"/>
          <w:b/>
          <w:bCs/>
        </w:rPr>
        <w:t>4、投标单价保留2位小数，投标单价=</w:t>
      </w:r>
      <w:r>
        <w:rPr>
          <w:rFonts w:hint="eastAsia"/>
          <w:b/>
          <w:bCs/>
        </w:rPr>
        <w:t>单价限价*投标费率，投标单价与单价限价和投标费率所乘积不一致时，以单价限价和投标费率所乘积为准，修改投标单价。</w:t>
      </w:r>
    </w:p>
    <w:p>
      <w:pPr>
        <w:rPr>
          <w:sz w:val="24"/>
        </w:rPr>
      </w:pPr>
    </w:p>
    <w:p>
      <w:pPr>
        <w:adjustRightInd w:val="0"/>
        <w:snapToGrid w:val="0"/>
        <w:spacing w:line="440" w:lineRule="exact"/>
        <w:rPr>
          <w:sz w:val="24"/>
        </w:rPr>
      </w:pPr>
      <w:r>
        <w:rPr>
          <w:rFonts w:hint="eastAsia" w:ascii="宋体" w:hAnsi="宋体" w:cs="宋体"/>
          <w:sz w:val="24"/>
        </w:rPr>
        <w:t xml:space="preserve">                                     </w:t>
      </w:r>
      <w:r>
        <w:rPr>
          <w:rFonts w:hint="eastAsia" w:ascii="Verdana" w:hAnsi="Verdana" w:cs="宋体"/>
          <w:sz w:val="24"/>
        </w:rPr>
        <w:t xml:space="preserve">   </w:t>
      </w:r>
      <w:r>
        <w:rPr>
          <w:rFonts w:hint="eastAsia"/>
          <w:sz w:val="24"/>
        </w:rPr>
        <w:t>投标人（盖章）：</w:t>
      </w:r>
    </w:p>
    <w:p>
      <w:pPr>
        <w:spacing w:line="360" w:lineRule="auto"/>
        <w:rPr>
          <w:sz w:val="24"/>
        </w:rPr>
      </w:pPr>
      <w:r>
        <w:rPr>
          <w:rFonts w:hint="eastAsia"/>
          <w:sz w:val="24"/>
        </w:rPr>
        <w:t xml:space="preserve">                    法定代表人（负责人）或其授权委托人（签名或印章）：</w:t>
      </w:r>
    </w:p>
    <w:p>
      <w:pPr>
        <w:spacing w:line="360" w:lineRule="auto"/>
        <w:rPr>
          <w:sz w:val="24"/>
        </w:rPr>
      </w:pPr>
      <w:r>
        <w:rPr>
          <w:rFonts w:hint="eastAsia"/>
          <w:sz w:val="24"/>
        </w:rPr>
        <w:t xml:space="preserve">                                           日    期：</w:t>
      </w:r>
    </w:p>
    <w:p>
      <w:pPr>
        <w:pStyle w:val="33"/>
        <w:keepNext w:val="0"/>
        <w:pageBreakBefore w:val="0"/>
        <w:tabs>
          <w:tab w:val="clear" w:pos="720"/>
        </w:tabs>
        <w:snapToGrid w:val="0"/>
        <w:spacing w:before="120" w:after="120"/>
        <w:outlineLvl w:val="9"/>
        <w:rPr>
          <w:rFonts w:ascii="宋体" w:hAnsi="宋体" w:eastAsia="宋体" w:cs="宋体"/>
          <w:sz w:val="32"/>
          <w:szCs w:val="32"/>
        </w:rPr>
      </w:pPr>
      <w:r>
        <w:rPr>
          <w:rFonts w:hint="eastAsia" w:ascii="宋体" w:hAnsi="宋体" w:eastAsia="宋体" w:cs="宋体"/>
          <w:b w:val="0"/>
          <w:kern w:val="2"/>
          <w:sz w:val="24"/>
          <w:szCs w:val="24"/>
        </w:rPr>
        <w:br w:type="page"/>
      </w:r>
      <w:r>
        <w:rPr>
          <w:rFonts w:hint="eastAsia" w:ascii="宋体" w:hAnsi="宋体" w:eastAsia="宋体" w:cs="宋体"/>
          <w:kern w:val="2"/>
          <w:sz w:val="32"/>
          <w:szCs w:val="32"/>
        </w:rPr>
        <w:t>三、</w:t>
      </w:r>
      <w:r>
        <w:rPr>
          <w:rFonts w:hint="eastAsia" w:ascii="宋体" w:hAnsi="宋体" w:eastAsia="宋体" w:cs="宋体"/>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b/>
          <w:bCs/>
          <w:sz w:val="24"/>
          <w:u w:val="single"/>
        </w:rPr>
        <w:t xml:space="preserve">    </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 xml:space="preserve">1. </w:t>
      </w:r>
      <w:r>
        <w:rPr>
          <w:rFonts w:hint="eastAsia" w:ascii="宋体" w:hAnsi="宋体" w:cs="宋体"/>
          <w:b/>
          <w:bCs/>
          <w:sz w:val="24"/>
          <w:u w:val="single"/>
        </w:rPr>
        <w:t xml:space="preserve">   </w:t>
      </w:r>
      <w:r>
        <w:rPr>
          <w:rFonts w:hint="eastAsia" w:ascii="宋体" w:hAnsi="宋体" w:cs="宋体"/>
          <w:kern w:val="0"/>
          <w:sz w:val="24"/>
        </w:rPr>
        <w:t>，属于</w:t>
      </w:r>
      <w:r>
        <w:rPr>
          <w:rFonts w:hint="eastAsia" w:ascii="宋体" w:hAnsi="宋体" w:cs="宋体"/>
          <w:kern w:val="0"/>
          <w:sz w:val="24"/>
          <w:u w:val="single"/>
        </w:rPr>
        <w:t xml:space="preserve">   </w:t>
      </w:r>
      <w:r>
        <w:rPr>
          <w:rFonts w:hint="eastAsia" w:ascii="宋体" w:hAnsi="宋体" w:cs="宋体"/>
          <w:kern w:val="0"/>
          <w:sz w:val="24"/>
        </w:rPr>
        <w:t>行业</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p>
    <w:p>
      <w:pPr>
        <w:adjustRightInd w:val="0"/>
        <w:snapToGrid w:val="0"/>
        <w:spacing w:line="360" w:lineRule="auto"/>
        <w:ind w:left="3570" w:leftChars="1700"/>
        <w:rPr>
          <w:rFonts w:ascii="宋体" w:hAnsi="宋体" w:cs="宋体"/>
          <w:kern w:val="0"/>
          <w:sz w:val="24"/>
          <w:lang w:val="zh-CN"/>
        </w:rPr>
      </w:pPr>
      <w:r>
        <w:rPr>
          <w:rFonts w:hint="eastAsia" w:ascii="宋体" w:hAnsi="宋体" w:cs="宋体"/>
          <w:kern w:val="0"/>
          <w:sz w:val="24"/>
          <w:lang w:val="zh-CN"/>
        </w:rPr>
        <w:t>法定代表人或其授权委托人（签名或印章）：</w:t>
      </w:r>
    </w:p>
    <w:p>
      <w:pPr>
        <w:adjustRightInd w:val="0"/>
        <w:snapToGrid w:val="0"/>
        <w:spacing w:line="360" w:lineRule="auto"/>
        <w:ind w:left="3570" w:leftChars="1700"/>
        <w:rPr>
          <w:rFonts w:ascii="宋体" w:hAnsi="宋体" w:cs="宋体"/>
          <w:kern w:val="0"/>
          <w:sz w:val="24"/>
          <w:lang w:val="zh-CN"/>
        </w:rPr>
      </w:pPr>
      <w:r>
        <w:rPr>
          <w:rFonts w:hint="eastAsia" w:ascii="宋体" w:hAnsi="宋体" w:cs="宋体"/>
          <w:kern w:val="0"/>
          <w:sz w:val="24"/>
          <w:lang w:val="zh-CN"/>
        </w:rPr>
        <w:t>投标人（盖章）：</w:t>
      </w:r>
    </w:p>
    <w:p>
      <w:pPr>
        <w:adjustRightInd w:val="0"/>
        <w:snapToGrid w:val="0"/>
        <w:spacing w:line="360" w:lineRule="auto"/>
        <w:rPr>
          <w:rFonts w:ascii="宋体" w:hAnsi="宋体" w:cs="宋体"/>
          <w:b/>
          <w:kern w:val="0"/>
          <w:sz w:val="32"/>
          <w:szCs w:val="32"/>
          <w:lang w:val="zh-CN"/>
        </w:rPr>
      </w:pPr>
      <w:r>
        <w:rPr>
          <w:rFonts w:hint="eastAsia" w:ascii="宋体" w:hAnsi="宋体" w:cs="宋体"/>
          <w:kern w:val="0"/>
          <w:sz w:val="24"/>
          <w:lang w:val="zh-CN"/>
        </w:rPr>
        <w:t xml:space="preserve">                              日期</w:t>
      </w:r>
      <w:r>
        <w:rPr>
          <w:rFonts w:hint="eastAsia" w:ascii="宋体" w:hAnsi="宋体" w:cs="宋体"/>
          <w:kern w:val="0"/>
          <w:sz w:val="24"/>
        </w:rPr>
        <w:t>:</w:t>
      </w:r>
    </w:p>
    <w:p>
      <w:pPr>
        <w:spacing w:line="360" w:lineRule="auto"/>
        <w:ind w:firstLine="310" w:firstLineChars="147"/>
        <w:jc w:val="left"/>
        <w:rPr>
          <w:rFonts w:ascii="宋体" w:hAnsi="宋体" w:cs="宋体"/>
          <w:sz w:val="24"/>
        </w:rPr>
      </w:pPr>
      <w:r>
        <w:rPr>
          <w:rFonts w:hint="eastAsia" w:ascii="宋体" w:hAnsi="宋体" w:cs="宋体"/>
          <w:b/>
          <w:szCs w:val="21"/>
        </w:rPr>
        <w:t>从业人员、营业收入、资产总额填报上一年度数据，无上一年度数据的新成立企业可不填报。</w:t>
      </w:r>
    </w:p>
    <w:p>
      <w:pPr>
        <w:spacing w:line="360" w:lineRule="auto"/>
        <w:ind w:right="-283"/>
        <w:rPr>
          <w:rFonts w:ascii="宋体" w:hAnsi="宋体" w:cs="宋体"/>
          <w:sz w:val="24"/>
        </w:rPr>
      </w:pPr>
      <w:r>
        <w:rPr>
          <w:rFonts w:hint="eastAsia" w:ascii="宋体" w:hAnsi="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sz w:val="32"/>
          <w:szCs w:val="32"/>
        </w:rPr>
      </w:pPr>
      <w:r>
        <w:rPr>
          <w:rFonts w:hint="eastAsia" w:ascii="宋体" w:hAnsi="宋体" w:cs="宋体"/>
          <w:b/>
          <w:sz w:val="32"/>
          <w:szCs w:val="32"/>
        </w:rPr>
        <w:br w:type="page"/>
      </w:r>
      <w:r>
        <w:rPr>
          <w:rFonts w:hint="eastAsia" w:ascii="宋体" w:hAnsi="宋体" w:cs="宋体"/>
          <w:b/>
          <w:bCs/>
          <w:sz w:val="32"/>
          <w:szCs w:val="32"/>
        </w:rPr>
        <w:t>四、残疾人福利性单位声明函</w:t>
      </w:r>
    </w:p>
    <w:p>
      <w:pPr>
        <w:spacing w:line="360" w:lineRule="auto"/>
        <w:rPr>
          <w:rFonts w:ascii="宋体" w:hAnsi="宋体" w:cs="宋体"/>
          <w:b/>
          <w:spacing w:val="6"/>
          <w:sz w:val="30"/>
          <w:szCs w:val="30"/>
        </w:rPr>
      </w:pPr>
    </w:p>
    <w:p>
      <w:pPr>
        <w:spacing w:line="360" w:lineRule="auto"/>
        <w:ind w:firstLine="480" w:firstLineChars="200"/>
        <w:jc w:val="left"/>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adjustRightInd w:val="0"/>
        <w:snapToGrid w:val="0"/>
        <w:spacing w:line="360" w:lineRule="auto"/>
        <w:ind w:left="3360" w:leftChars="1600"/>
        <w:rPr>
          <w:rFonts w:ascii="宋体" w:hAnsi="宋体" w:cs="宋体"/>
          <w:sz w:val="24"/>
        </w:rPr>
      </w:pPr>
      <w:r>
        <w:rPr>
          <w:rFonts w:hint="eastAsia" w:ascii="宋体" w:hAnsi="宋体" w:cs="宋体"/>
          <w:sz w:val="24"/>
        </w:rPr>
        <w:t xml:space="preserve">                                </w:t>
      </w:r>
    </w:p>
    <w:p>
      <w:pPr>
        <w:adjustRightInd w:val="0"/>
        <w:snapToGrid w:val="0"/>
        <w:spacing w:line="360" w:lineRule="auto"/>
        <w:ind w:left="3360" w:leftChars="1600"/>
        <w:rPr>
          <w:rFonts w:ascii="宋体" w:hAnsi="宋体" w:cs="宋体"/>
          <w:kern w:val="0"/>
          <w:sz w:val="24"/>
          <w:lang w:val="zh-CN"/>
        </w:rPr>
      </w:pPr>
      <w:r>
        <w:rPr>
          <w:rFonts w:hint="eastAsia" w:ascii="宋体" w:hAnsi="宋体" w:cs="宋体"/>
          <w:kern w:val="0"/>
          <w:sz w:val="24"/>
          <w:lang w:val="zh-CN"/>
        </w:rPr>
        <w:t>法定代表人或其授权委托人（签名或印章）：</w:t>
      </w:r>
    </w:p>
    <w:p>
      <w:pPr>
        <w:adjustRightInd w:val="0"/>
        <w:snapToGrid w:val="0"/>
        <w:spacing w:line="360" w:lineRule="auto"/>
        <w:ind w:left="3360" w:leftChars="1600"/>
        <w:rPr>
          <w:rFonts w:ascii="宋体" w:hAnsi="宋体" w:cs="宋体"/>
          <w:kern w:val="0"/>
          <w:sz w:val="24"/>
          <w:lang w:val="zh-CN"/>
        </w:rPr>
      </w:pPr>
      <w:r>
        <w:rPr>
          <w:rFonts w:hint="eastAsia" w:ascii="宋体" w:hAnsi="宋体" w:cs="宋体"/>
          <w:kern w:val="0"/>
          <w:sz w:val="24"/>
          <w:lang w:val="zh-CN"/>
        </w:rPr>
        <w:t>投标人（盖章）：</w:t>
      </w:r>
    </w:p>
    <w:p>
      <w:pPr>
        <w:adjustRightInd w:val="0"/>
        <w:snapToGrid w:val="0"/>
        <w:spacing w:line="360" w:lineRule="auto"/>
        <w:rPr>
          <w:rFonts w:ascii="宋体" w:hAnsi="宋体" w:cs="宋体"/>
          <w:b/>
          <w:kern w:val="0"/>
          <w:sz w:val="32"/>
          <w:szCs w:val="32"/>
          <w:lang w:val="zh-CN"/>
        </w:rPr>
      </w:pPr>
      <w:r>
        <w:rPr>
          <w:rFonts w:hint="eastAsia" w:ascii="宋体" w:hAnsi="宋体" w:cs="宋体"/>
          <w:kern w:val="0"/>
          <w:sz w:val="24"/>
          <w:lang w:val="zh-CN"/>
        </w:rPr>
        <w:t xml:space="preserve">                            日期</w:t>
      </w:r>
      <w:r>
        <w:rPr>
          <w:rFonts w:hint="eastAsia" w:ascii="宋体" w:hAnsi="宋体" w:cs="宋体"/>
          <w:kern w:val="0"/>
          <w:sz w:val="24"/>
        </w:rPr>
        <w:t>:</w:t>
      </w:r>
    </w:p>
    <w:p>
      <w:pPr>
        <w:spacing w:line="360" w:lineRule="auto"/>
        <w:ind w:firstLine="480" w:firstLineChars="200"/>
        <w:jc w:val="left"/>
        <w:rPr>
          <w:rFonts w:ascii="宋体" w:hAnsi="宋体" w:cs="宋体"/>
          <w:sz w:val="24"/>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numPr>
          <w:ilvl w:val="0"/>
          <w:numId w:val="14"/>
        </w:numPr>
        <w:spacing w:line="360" w:lineRule="auto"/>
        <w:jc w:val="center"/>
        <w:rPr>
          <w:rFonts w:ascii="宋体" w:hAnsi="宋体" w:cs="宋体"/>
          <w:b/>
          <w:spacing w:val="6"/>
          <w:sz w:val="32"/>
          <w:szCs w:val="32"/>
        </w:rPr>
      </w:pPr>
      <w:r>
        <w:rPr>
          <w:rFonts w:hint="eastAsia" w:ascii="宋体" w:hAnsi="宋体" w:cs="宋体"/>
          <w:b/>
          <w:spacing w:val="6"/>
          <w:sz w:val="32"/>
          <w:szCs w:val="32"/>
        </w:rPr>
        <w:br w:type="page"/>
      </w:r>
      <w:r>
        <w:rPr>
          <w:rFonts w:hint="eastAsia" w:ascii="宋体" w:hAnsi="宋体" w:cs="宋体"/>
          <w:b/>
          <w:spacing w:val="6"/>
          <w:sz w:val="32"/>
          <w:szCs w:val="32"/>
        </w:rPr>
        <w:t>政府采购统计基础信息表</w:t>
      </w:r>
    </w:p>
    <w:p>
      <w:pPr>
        <w:pStyle w:val="2"/>
        <w:spacing w:line="360" w:lineRule="auto"/>
        <w:ind w:firstLine="0" w:firstLineChars="0"/>
        <w:rPr>
          <w:rFonts w:ascii="宋体" w:hAnsi="宋体" w:eastAsia="宋体" w:cs="宋体"/>
        </w:rPr>
      </w:pPr>
    </w:p>
    <w:tbl>
      <w:tblPr>
        <w:tblStyle w:val="18"/>
        <w:tblW w:w="8537" w:type="dxa"/>
        <w:jc w:val="center"/>
        <w:tblLayout w:type="fixed"/>
        <w:tblCellMar>
          <w:top w:w="0" w:type="dxa"/>
          <w:left w:w="108" w:type="dxa"/>
          <w:bottom w:w="0" w:type="dxa"/>
          <w:right w:w="108" w:type="dxa"/>
        </w:tblCellMar>
      </w:tblPr>
      <w:tblGrid>
        <w:gridCol w:w="4998"/>
        <w:gridCol w:w="3539"/>
      </w:tblGrid>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sz w:val="24"/>
              </w:rPr>
            </w:pPr>
            <w:r>
              <w:rPr>
                <w:rFonts w:hint="eastAsia" w:ascii="宋体" w:hAnsi="宋体" w:cs="宋体"/>
                <w:sz w:val="24"/>
              </w:rPr>
              <w:t>采购人及采购项目名称</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sz w:val="24"/>
              </w:rPr>
            </w:pPr>
            <w:r>
              <w:rPr>
                <w:rFonts w:hint="eastAsia" w:ascii="宋体" w:hAnsi="宋体" w:cs="宋体"/>
                <w:sz w:val="24"/>
              </w:rPr>
              <w:t>投标单位名称</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sz w:val="24"/>
              </w:rPr>
            </w:pPr>
            <w:r>
              <w:rPr>
                <w:rFonts w:hint="eastAsia" w:ascii="宋体" w:hAnsi="宋体" w:cs="宋体"/>
                <w:sz w:val="24"/>
              </w:rPr>
              <w:t>投标单位是否为外商投资企业</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sz w:val="24"/>
              </w:rPr>
            </w:pPr>
            <w:r>
              <w:rPr>
                <w:rFonts w:hint="eastAsia" w:ascii="宋体" w:hAnsi="宋体" w:cs="宋体"/>
                <w:sz w:val="24"/>
              </w:rPr>
              <w:t>投标单位是否为宁波企业</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sz w:val="24"/>
              </w:rPr>
            </w:pPr>
            <w:r>
              <w:rPr>
                <w:rFonts w:hint="eastAsia" w:ascii="宋体" w:hAnsi="宋体" w:cs="宋体"/>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sz w:val="24"/>
              </w:rPr>
            </w:pPr>
            <w:r>
              <w:rPr>
                <w:rFonts w:hint="eastAsia" w:ascii="宋体" w:hAnsi="宋体" w:cs="宋体"/>
                <w:sz w:val="24"/>
              </w:rPr>
              <w:t>提供的货物是否本企业制造</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sz w:val="24"/>
              </w:rPr>
            </w:pPr>
            <w:r>
              <w:rPr>
                <w:rFonts w:hint="eastAsia" w:ascii="宋体" w:hAnsi="宋体" w:cs="宋体"/>
                <w:sz w:val="24"/>
              </w:rPr>
              <w:t>货物原产地国别</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sz w:val="24"/>
              </w:rPr>
            </w:pPr>
            <w:r>
              <w:rPr>
                <w:rFonts w:hint="eastAsia" w:ascii="宋体" w:hAnsi="宋体" w:cs="宋体"/>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sz w:val="24"/>
              </w:rPr>
            </w:pPr>
            <w:r>
              <w:rPr>
                <w:rFonts w:hint="eastAsia" w:ascii="宋体" w:hAnsi="宋体" w:cs="宋体"/>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ascii="宋体" w:hAnsi="宋体" w:cs="宋体"/>
                <w:sz w:val="24"/>
              </w:rPr>
            </w:pPr>
            <w:r>
              <w:rPr>
                <w:rFonts w:hint="eastAsia" w:ascii="宋体" w:hAnsi="宋体" w:cs="宋体"/>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pPr>
              <w:spacing w:line="360" w:lineRule="auto"/>
              <w:rPr>
                <w:rFonts w:ascii="宋体" w:hAnsi="宋体" w:cs="宋体"/>
              </w:rPr>
            </w:pPr>
          </w:p>
        </w:tc>
      </w:tr>
    </w:tbl>
    <w:p>
      <w:pPr>
        <w:adjustRightInd w:val="0"/>
        <w:spacing w:line="360" w:lineRule="auto"/>
        <w:jc w:val="left"/>
        <w:rPr>
          <w:rFonts w:ascii="宋体" w:hAnsi="宋体" w:cs="宋体"/>
          <w:sz w:val="24"/>
        </w:rPr>
      </w:pPr>
    </w:p>
    <w:p>
      <w:pPr>
        <w:adjustRightInd w:val="0"/>
        <w:spacing w:line="360" w:lineRule="auto"/>
        <w:jc w:val="left"/>
        <w:rPr>
          <w:rFonts w:ascii="宋体" w:hAnsi="宋体" w:cs="宋体"/>
          <w:sz w:val="24"/>
        </w:rPr>
      </w:pPr>
      <w:r>
        <w:rPr>
          <w:rFonts w:hint="eastAsia" w:ascii="宋体" w:hAnsi="宋体" w:cs="宋体"/>
          <w:sz w:val="24"/>
        </w:rPr>
        <w:t>备注：请各投标人务必填写此表作为投标文件的组成部分。</w:t>
      </w:r>
    </w:p>
    <w:p>
      <w:pPr>
        <w:adjustRightInd w:val="0"/>
        <w:spacing w:line="360" w:lineRule="auto"/>
        <w:jc w:val="left"/>
        <w:rPr>
          <w:rFonts w:ascii="宋体" w:hAnsi="宋体" w:cs="宋体"/>
          <w:sz w:val="24"/>
        </w:rPr>
      </w:pPr>
    </w:p>
    <w:p>
      <w:pPr>
        <w:adjustRightInd w:val="0"/>
        <w:spacing w:line="360" w:lineRule="auto"/>
        <w:jc w:val="left"/>
        <w:rPr>
          <w:rFonts w:ascii="宋体" w:hAnsi="宋体" w:cs="宋体"/>
          <w:sz w:val="24"/>
        </w:rPr>
      </w:pPr>
    </w:p>
    <w:p>
      <w:pPr>
        <w:adjustRightInd w:val="0"/>
        <w:spacing w:line="360" w:lineRule="auto"/>
        <w:ind w:left="630" w:leftChars="300" w:firstLine="2400" w:firstLineChars="1000"/>
        <w:jc w:val="left"/>
        <w:rPr>
          <w:rFonts w:ascii="宋体" w:hAnsi="宋体" w:cs="宋体"/>
          <w:sz w:val="24"/>
        </w:rPr>
      </w:pPr>
      <w:r>
        <w:rPr>
          <w:rFonts w:hint="eastAsia" w:ascii="宋体" w:hAnsi="宋体" w:cs="宋体"/>
          <w:sz w:val="24"/>
        </w:rPr>
        <w:t>法定代表人或其授权委托人（签名或印章）：</w:t>
      </w:r>
    </w:p>
    <w:p>
      <w:pPr>
        <w:adjustRightInd w:val="0"/>
        <w:spacing w:line="360" w:lineRule="auto"/>
        <w:ind w:left="630" w:leftChars="300" w:firstLine="2400" w:firstLineChars="1000"/>
        <w:jc w:val="left"/>
        <w:rPr>
          <w:rFonts w:ascii="宋体" w:hAnsi="宋体" w:cs="宋体"/>
          <w:sz w:val="24"/>
        </w:rPr>
      </w:pPr>
      <w:r>
        <w:rPr>
          <w:rFonts w:hint="eastAsia" w:ascii="宋体" w:hAnsi="宋体" w:cs="宋体"/>
          <w:sz w:val="24"/>
        </w:rPr>
        <w:t>投标人（盖章）：</w:t>
      </w:r>
    </w:p>
    <w:p>
      <w:pPr>
        <w:adjustRightInd w:val="0"/>
        <w:spacing w:line="360" w:lineRule="auto"/>
        <w:ind w:left="630" w:leftChars="300"/>
        <w:jc w:val="left"/>
        <w:rPr>
          <w:rFonts w:ascii="宋体" w:hAnsi="宋体" w:cs="宋体"/>
        </w:rPr>
      </w:pPr>
      <w:r>
        <w:rPr>
          <w:rFonts w:hint="eastAsia" w:ascii="宋体" w:hAnsi="宋体" w:cs="宋体"/>
          <w:sz w:val="24"/>
        </w:rPr>
        <w:t xml:space="preserve">                    日期：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宋体_x0003_...销.">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9</w:t>
    </w:r>
    <w:r>
      <w:fldChar w:fldCharType="end"/>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1gy6M2wEAALgDAAAOAAAAAAAAAAEA&#10;IAAAAB4BAABkcnMvZTJvRG9jLnhtbFBLBQYAAAAABgAGAFkBAABrBQAAAAA=&#10;">
              <v:fill on="f" focussize="0,0"/>
              <v:stroke on="f"/>
              <v:imagedata o:title=""/>
              <o:lock v:ext="edit" aspectratio="f"/>
              <v:textbox inset="0mm,0mm,0mm,0mm" style="mso-fit-shape-to-text:t;">
                <w:txbxContent>
                  <w:p>
                    <w:pPr>
                      <w:pStyle w:val="1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27</w:t>
    </w:r>
    <w:r>
      <w:fldChar w:fldCharType="end"/>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79</w:t>
    </w:r>
    <w:r>
      <w:fldChar w:fldCharType="end"/>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73</w:t>
    </w:r>
    <w:r>
      <w:fldChar w:fldCharType="end"/>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ECA191"/>
    <w:multiLevelType w:val="singleLevel"/>
    <w:tmpl w:val="91ECA191"/>
    <w:lvl w:ilvl="0" w:tentative="0">
      <w:start w:val="1"/>
      <w:numFmt w:val="decimal"/>
      <w:lvlText w:val="%1."/>
      <w:lvlJc w:val="left"/>
      <w:pPr>
        <w:ind w:left="425" w:hanging="425"/>
      </w:pPr>
      <w:rPr>
        <w:rFonts w:hint="default"/>
        <w:b/>
      </w:rPr>
    </w:lvl>
  </w:abstractNum>
  <w:abstractNum w:abstractNumId="1">
    <w:nsid w:val="9D225D33"/>
    <w:multiLevelType w:val="singleLevel"/>
    <w:tmpl w:val="9D225D33"/>
    <w:lvl w:ilvl="0" w:tentative="0">
      <w:start w:val="5"/>
      <w:numFmt w:val="chineseCounting"/>
      <w:suff w:val="nothing"/>
      <w:lvlText w:val="%1、"/>
      <w:lvlJc w:val="left"/>
      <w:rPr>
        <w:rFonts w:hint="eastAsia"/>
      </w:rPr>
    </w:lvl>
  </w:abstractNum>
  <w:abstractNum w:abstractNumId="2">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3">
    <w:nsid w:val="AB0454BC"/>
    <w:multiLevelType w:val="singleLevel"/>
    <w:tmpl w:val="AB0454BC"/>
    <w:lvl w:ilvl="0" w:tentative="0">
      <w:start w:val="1"/>
      <w:numFmt w:val="decimal"/>
      <w:suff w:val="nothing"/>
      <w:lvlText w:val="7.%1 "/>
      <w:lvlJc w:val="left"/>
      <w:pPr>
        <w:tabs>
          <w:tab w:val="left" w:pos="0"/>
        </w:tabs>
        <w:ind w:left="20" w:firstLine="400"/>
      </w:pPr>
      <w:rPr>
        <w:rFonts w:hint="default" w:ascii="宋体" w:hAnsi="宋体" w:eastAsia="宋体" w:cs="宋体"/>
      </w:rPr>
    </w:lvl>
  </w:abstractNum>
  <w:abstractNum w:abstractNumId="4">
    <w:nsid w:val="D7672744"/>
    <w:multiLevelType w:val="singleLevel"/>
    <w:tmpl w:val="D7672744"/>
    <w:lvl w:ilvl="0" w:tentative="0">
      <w:start w:val="1"/>
      <w:numFmt w:val="decimal"/>
      <w:lvlText w:val="%1."/>
      <w:lvlJc w:val="left"/>
      <w:pPr>
        <w:ind w:left="425" w:hanging="425"/>
      </w:pPr>
      <w:rPr>
        <w:rFonts w:hint="default"/>
        <w:b/>
      </w:rPr>
    </w:lvl>
  </w:abstractNum>
  <w:abstractNum w:abstractNumId="5">
    <w:nsid w:val="00000028"/>
    <w:multiLevelType w:val="singleLevel"/>
    <w:tmpl w:val="00000028"/>
    <w:lvl w:ilvl="0" w:tentative="0">
      <w:start w:val="1"/>
      <w:numFmt w:val="decimal"/>
      <w:suff w:val="nothing"/>
      <w:lvlText w:val="%1）"/>
      <w:lvlJc w:val="left"/>
      <w:pPr>
        <w:ind w:left="0" w:firstLine="400"/>
      </w:pPr>
      <w:rPr>
        <w:rFonts w:hint="default"/>
      </w:rPr>
    </w:lvl>
  </w:abstractNum>
  <w:abstractNum w:abstractNumId="6">
    <w:nsid w:val="0000004F"/>
    <w:multiLevelType w:val="singleLevel"/>
    <w:tmpl w:val="0000004F"/>
    <w:lvl w:ilvl="0" w:tentative="0">
      <w:start w:val="1"/>
      <w:numFmt w:val="decimal"/>
      <w:suff w:val="nothing"/>
      <w:lvlText w:val="（%1）"/>
      <w:lvlJc w:val="left"/>
      <w:pPr>
        <w:ind w:left="0" w:firstLine="400"/>
      </w:pPr>
      <w:rPr>
        <w:rFonts w:hint="default"/>
      </w:rPr>
    </w:lvl>
  </w:abstractNum>
  <w:abstractNum w:abstractNumId="7">
    <w:nsid w:val="00000072"/>
    <w:multiLevelType w:val="singleLevel"/>
    <w:tmpl w:val="00000072"/>
    <w:lvl w:ilvl="0" w:tentative="0">
      <w:start w:val="1"/>
      <w:numFmt w:val="decimal"/>
      <w:suff w:val="nothing"/>
      <w:lvlText w:val="%1）"/>
      <w:lvlJc w:val="left"/>
      <w:pPr>
        <w:ind w:left="0" w:firstLine="400"/>
      </w:pPr>
      <w:rPr>
        <w:rFonts w:hint="default"/>
      </w:rPr>
    </w:lvl>
  </w:abstractNum>
  <w:abstractNum w:abstractNumId="8">
    <w:nsid w:val="00000077"/>
    <w:multiLevelType w:val="singleLevel"/>
    <w:tmpl w:val="00000077"/>
    <w:lvl w:ilvl="0" w:tentative="0">
      <w:start w:val="1"/>
      <w:numFmt w:val="decimal"/>
      <w:suff w:val="nothing"/>
      <w:lvlText w:val="（%1）"/>
      <w:lvlJc w:val="left"/>
      <w:pPr>
        <w:ind w:left="0" w:firstLine="400"/>
      </w:pPr>
      <w:rPr>
        <w:rFonts w:hint="default"/>
      </w:rPr>
    </w:lvl>
  </w:abstractNum>
  <w:abstractNum w:abstractNumId="9">
    <w:nsid w:val="00000090"/>
    <w:multiLevelType w:val="singleLevel"/>
    <w:tmpl w:val="00000090"/>
    <w:lvl w:ilvl="0" w:tentative="0">
      <w:start w:val="1"/>
      <w:numFmt w:val="decimal"/>
      <w:suff w:val="nothing"/>
      <w:lvlText w:val="（%1）"/>
      <w:lvlJc w:val="left"/>
      <w:pPr>
        <w:ind w:left="0" w:firstLine="400"/>
      </w:pPr>
      <w:rPr>
        <w:rFonts w:hint="default"/>
      </w:rPr>
    </w:lvl>
  </w:abstractNum>
  <w:abstractNum w:abstractNumId="10">
    <w:nsid w:val="1635B629"/>
    <w:multiLevelType w:val="singleLevel"/>
    <w:tmpl w:val="1635B629"/>
    <w:lvl w:ilvl="0" w:tentative="0">
      <w:start w:val="1"/>
      <w:numFmt w:val="decimal"/>
      <w:lvlText w:val="%1."/>
      <w:lvlJc w:val="left"/>
      <w:pPr>
        <w:ind w:left="425" w:hanging="425"/>
      </w:pPr>
      <w:rPr>
        <w:rFonts w:hint="eastAsia"/>
        <w:b/>
        <w:i w:val="0"/>
      </w:rPr>
    </w:lvl>
  </w:abstractNum>
  <w:abstractNum w:abstractNumId="11">
    <w:nsid w:val="2DC53F9C"/>
    <w:multiLevelType w:val="singleLevel"/>
    <w:tmpl w:val="2DC53F9C"/>
    <w:lvl w:ilvl="0" w:tentative="0">
      <w:start w:val="5"/>
      <w:numFmt w:val="chineseCounting"/>
      <w:suff w:val="space"/>
      <w:lvlText w:val="第%1部分"/>
      <w:lvlJc w:val="left"/>
      <w:rPr>
        <w:rFonts w:hint="eastAsia"/>
      </w:rPr>
    </w:lvl>
  </w:abstractNum>
  <w:abstractNum w:abstractNumId="12">
    <w:nsid w:val="495C2BCE"/>
    <w:multiLevelType w:val="singleLevel"/>
    <w:tmpl w:val="495C2BCE"/>
    <w:lvl w:ilvl="0" w:tentative="0">
      <w:start w:val="1"/>
      <w:numFmt w:val="chineseCounting"/>
      <w:suff w:val="nothing"/>
      <w:lvlText w:val="%1、"/>
      <w:lvlJc w:val="left"/>
      <w:rPr>
        <w:rFonts w:hint="eastAsia"/>
      </w:rPr>
    </w:lvl>
  </w:abstractNum>
  <w:abstractNum w:abstractNumId="13">
    <w:nsid w:val="4B357AF7"/>
    <w:multiLevelType w:val="singleLevel"/>
    <w:tmpl w:val="4B357AF7"/>
    <w:lvl w:ilvl="0" w:tentative="0">
      <w:start w:val="2"/>
      <w:numFmt w:val="decimal"/>
      <w:suff w:val="nothing"/>
      <w:lvlText w:val="（%1）"/>
      <w:lvlJc w:val="left"/>
    </w:lvl>
  </w:abstractNum>
  <w:num w:numId="1">
    <w:abstractNumId w:val="10"/>
  </w:num>
  <w:num w:numId="2">
    <w:abstractNumId w:val="4"/>
  </w:num>
  <w:num w:numId="3">
    <w:abstractNumId w:val="0"/>
  </w:num>
  <w:num w:numId="4">
    <w:abstractNumId w:val="2"/>
  </w:num>
  <w:num w:numId="5">
    <w:abstractNumId w:val="8"/>
  </w:num>
  <w:num w:numId="6">
    <w:abstractNumId w:val="6"/>
  </w:num>
  <w:num w:numId="7">
    <w:abstractNumId w:val="7"/>
  </w:num>
  <w:num w:numId="8">
    <w:abstractNumId w:val="5"/>
  </w:num>
  <w:num w:numId="9">
    <w:abstractNumId w:val="13"/>
  </w:num>
  <w:num w:numId="10">
    <w:abstractNumId w:val="3"/>
  </w:num>
  <w:num w:numId="11">
    <w:abstractNumId w:val="9"/>
  </w:num>
  <w:num w:numId="12">
    <w:abstractNumId w:val="11"/>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4NWVlYWU4MDM2ZjNjNDU4MjdlNTY4YzFhMTE3NmEifQ=="/>
  </w:docVars>
  <w:rsids>
    <w:rsidRoot w:val="00D23927"/>
    <w:rsid w:val="000127F2"/>
    <w:rsid w:val="00014D2F"/>
    <w:rsid w:val="00023976"/>
    <w:rsid w:val="00093941"/>
    <w:rsid w:val="000A403F"/>
    <w:rsid w:val="000C36C6"/>
    <w:rsid w:val="00153E0A"/>
    <w:rsid w:val="0017136F"/>
    <w:rsid w:val="00172EEB"/>
    <w:rsid w:val="00195E34"/>
    <w:rsid w:val="001C0C87"/>
    <w:rsid w:val="001C38B6"/>
    <w:rsid w:val="001D072A"/>
    <w:rsid w:val="001E4BD3"/>
    <w:rsid w:val="00216C60"/>
    <w:rsid w:val="00225D15"/>
    <w:rsid w:val="0026514F"/>
    <w:rsid w:val="002D302F"/>
    <w:rsid w:val="002E226C"/>
    <w:rsid w:val="003200E4"/>
    <w:rsid w:val="003256F7"/>
    <w:rsid w:val="00383021"/>
    <w:rsid w:val="00406AC2"/>
    <w:rsid w:val="00496CC6"/>
    <w:rsid w:val="004C613B"/>
    <w:rsid w:val="004F0DA0"/>
    <w:rsid w:val="004F17F2"/>
    <w:rsid w:val="00566FF0"/>
    <w:rsid w:val="005925D9"/>
    <w:rsid w:val="005B61E7"/>
    <w:rsid w:val="006513A5"/>
    <w:rsid w:val="00692446"/>
    <w:rsid w:val="006A75B8"/>
    <w:rsid w:val="006E2667"/>
    <w:rsid w:val="00705D5B"/>
    <w:rsid w:val="00706411"/>
    <w:rsid w:val="00747A78"/>
    <w:rsid w:val="007921FF"/>
    <w:rsid w:val="007A573A"/>
    <w:rsid w:val="007E2381"/>
    <w:rsid w:val="0084529F"/>
    <w:rsid w:val="00856213"/>
    <w:rsid w:val="00866FA9"/>
    <w:rsid w:val="00882102"/>
    <w:rsid w:val="008861D5"/>
    <w:rsid w:val="008A131E"/>
    <w:rsid w:val="008D1DDB"/>
    <w:rsid w:val="00935212"/>
    <w:rsid w:val="00936E37"/>
    <w:rsid w:val="0094043A"/>
    <w:rsid w:val="009636C9"/>
    <w:rsid w:val="00982D59"/>
    <w:rsid w:val="00991E73"/>
    <w:rsid w:val="00A25870"/>
    <w:rsid w:val="00A41985"/>
    <w:rsid w:val="00A851FC"/>
    <w:rsid w:val="00AB2456"/>
    <w:rsid w:val="00AB713A"/>
    <w:rsid w:val="00AD2BD9"/>
    <w:rsid w:val="00AF41EA"/>
    <w:rsid w:val="00B32A51"/>
    <w:rsid w:val="00B407F2"/>
    <w:rsid w:val="00BA446B"/>
    <w:rsid w:val="00C82B32"/>
    <w:rsid w:val="00C91A18"/>
    <w:rsid w:val="00CC7BB2"/>
    <w:rsid w:val="00D02B27"/>
    <w:rsid w:val="00D1691B"/>
    <w:rsid w:val="00D23927"/>
    <w:rsid w:val="00D824AA"/>
    <w:rsid w:val="00E320F3"/>
    <w:rsid w:val="00E34AFC"/>
    <w:rsid w:val="00E36D26"/>
    <w:rsid w:val="00E43D31"/>
    <w:rsid w:val="00E4793A"/>
    <w:rsid w:val="00E940EA"/>
    <w:rsid w:val="00ED3A1F"/>
    <w:rsid w:val="00EE63E7"/>
    <w:rsid w:val="00F26263"/>
    <w:rsid w:val="00F46119"/>
    <w:rsid w:val="00F50606"/>
    <w:rsid w:val="00F80160"/>
    <w:rsid w:val="00F95AE0"/>
    <w:rsid w:val="00FB4912"/>
    <w:rsid w:val="00FC38C2"/>
    <w:rsid w:val="00FC50E2"/>
    <w:rsid w:val="01484BD6"/>
    <w:rsid w:val="030F0DF0"/>
    <w:rsid w:val="043730E2"/>
    <w:rsid w:val="0548681D"/>
    <w:rsid w:val="056F2514"/>
    <w:rsid w:val="066B6ABC"/>
    <w:rsid w:val="06800351"/>
    <w:rsid w:val="07591AEB"/>
    <w:rsid w:val="07616BC3"/>
    <w:rsid w:val="09347783"/>
    <w:rsid w:val="09FC367D"/>
    <w:rsid w:val="0A2D0789"/>
    <w:rsid w:val="0A764BB2"/>
    <w:rsid w:val="0A8D1ED6"/>
    <w:rsid w:val="0B214E3A"/>
    <w:rsid w:val="0B52339E"/>
    <w:rsid w:val="0C0A3BBA"/>
    <w:rsid w:val="0E406939"/>
    <w:rsid w:val="0EC656D4"/>
    <w:rsid w:val="0FCA7472"/>
    <w:rsid w:val="10F91B48"/>
    <w:rsid w:val="114E2A15"/>
    <w:rsid w:val="123E176E"/>
    <w:rsid w:val="126B0AD4"/>
    <w:rsid w:val="12DA46A3"/>
    <w:rsid w:val="134B3E4A"/>
    <w:rsid w:val="142D2222"/>
    <w:rsid w:val="14476C28"/>
    <w:rsid w:val="150303B9"/>
    <w:rsid w:val="15570BDD"/>
    <w:rsid w:val="15E15E1A"/>
    <w:rsid w:val="160B28B5"/>
    <w:rsid w:val="163C6297"/>
    <w:rsid w:val="165D60FF"/>
    <w:rsid w:val="17C76B91"/>
    <w:rsid w:val="17C94409"/>
    <w:rsid w:val="17F16729"/>
    <w:rsid w:val="188803F5"/>
    <w:rsid w:val="1894719F"/>
    <w:rsid w:val="18950457"/>
    <w:rsid w:val="18C07085"/>
    <w:rsid w:val="1B5A745E"/>
    <w:rsid w:val="1B6E08D2"/>
    <w:rsid w:val="1EAB3A66"/>
    <w:rsid w:val="1F185A86"/>
    <w:rsid w:val="1F970278"/>
    <w:rsid w:val="1FDA7F57"/>
    <w:rsid w:val="20693B31"/>
    <w:rsid w:val="21650F6C"/>
    <w:rsid w:val="217B1C68"/>
    <w:rsid w:val="21937289"/>
    <w:rsid w:val="22671CE5"/>
    <w:rsid w:val="228F3875"/>
    <w:rsid w:val="22BC4F18"/>
    <w:rsid w:val="241B1920"/>
    <w:rsid w:val="24A732F3"/>
    <w:rsid w:val="25AE7425"/>
    <w:rsid w:val="25B70759"/>
    <w:rsid w:val="25D12A4A"/>
    <w:rsid w:val="267D1E25"/>
    <w:rsid w:val="26DC33C9"/>
    <w:rsid w:val="27840C09"/>
    <w:rsid w:val="282E57AD"/>
    <w:rsid w:val="28324543"/>
    <w:rsid w:val="2871688D"/>
    <w:rsid w:val="288D6951"/>
    <w:rsid w:val="289A4136"/>
    <w:rsid w:val="29306885"/>
    <w:rsid w:val="29630B4C"/>
    <w:rsid w:val="2AAF1DC0"/>
    <w:rsid w:val="2AE145DC"/>
    <w:rsid w:val="2B6767A4"/>
    <w:rsid w:val="2C9209D9"/>
    <w:rsid w:val="2CAE2AA5"/>
    <w:rsid w:val="2F106BC2"/>
    <w:rsid w:val="30442943"/>
    <w:rsid w:val="306C11DC"/>
    <w:rsid w:val="30C1608E"/>
    <w:rsid w:val="315524F0"/>
    <w:rsid w:val="31A052C4"/>
    <w:rsid w:val="320E2ACF"/>
    <w:rsid w:val="325156AE"/>
    <w:rsid w:val="334E484F"/>
    <w:rsid w:val="341C35FC"/>
    <w:rsid w:val="34391929"/>
    <w:rsid w:val="353C1A4F"/>
    <w:rsid w:val="35A65119"/>
    <w:rsid w:val="36B55298"/>
    <w:rsid w:val="37370181"/>
    <w:rsid w:val="375B0FAC"/>
    <w:rsid w:val="38813902"/>
    <w:rsid w:val="38C54881"/>
    <w:rsid w:val="38EC0BEA"/>
    <w:rsid w:val="398B4548"/>
    <w:rsid w:val="39F941F1"/>
    <w:rsid w:val="39FE23AD"/>
    <w:rsid w:val="3A65140D"/>
    <w:rsid w:val="3B4A780A"/>
    <w:rsid w:val="3BCB5154"/>
    <w:rsid w:val="3BE13F53"/>
    <w:rsid w:val="3C153CE1"/>
    <w:rsid w:val="3C2F111F"/>
    <w:rsid w:val="3CC41BA5"/>
    <w:rsid w:val="3D094A03"/>
    <w:rsid w:val="3E627606"/>
    <w:rsid w:val="3F263565"/>
    <w:rsid w:val="3F275237"/>
    <w:rsid w:val="3FC96B2F"/>
    <w:rsid w:val="411F5F46"/>
    <w:rsid w:val="41496971"/>
    <w:rsid w:val="417D38C5"/>
    <w:rsid w:val="42077160"/>
    <w:rsid w:val="42E4624A"/>
    <w:rsid w:val="4356507F"/>
    <w:rsid w:val="439A1BE4"/>
    <w:rsid w:val="44C51E91"/>
    <w:rsid w:val="44F13427"/>
    <w:rsid w:val="456A30E6"/>
    <w:rsid w:val="461221D5"/>
    <w:rsid w:val="47AD761B"/>
    <w:rsid w:val="48C9667B"/>
    <w:rsid w:val="494C3F94"/>
    <w:rsid w:val="49837305"/>
    <w:rsid w:val="4A7A33BE"/>
    <w:rsid w:val="4B4664CE"/>
    <w:rsid w:val="4BE923F4"/>
    <w:rsid w:val="4CB448AC"/>
    <w:rsid w:val="4D4C0E14"/>
    <w:rsid w:val="4D5F120F"/>
    <w:rsid w:val="4DE936B0"/>
    <w:rsid w:val="4E073945"/>
    <w:rsid w:val="4E4C437E"/>
    <w:rsid w:val="4F5C7625"/>
    <w:rsid w:val="4FA2342A"/>
    <w:rsid w:val="50D7665D"/>
    <w:rsid w:val="52403435"/>
    <w:rsid w:val="538135D2"/>
    <w:rsid w:val="538610D1"/>
    <w:rsid w:val="545A255C"/>
    <w:rsid w:val="54C67B3F"/>
    <w:rsid w:val="54E168DA"/>
    <w:rsid w:val="563617FC"/>
    <w:rsid w:val="563C40E7"/>
    <w:rsid w:val="57212E09"/>
    <w:rsid w:val="57F91C7D"/>
    <w:rsid w:val="5A715810"/>
    <w:rsid w:val="5AB3546B"/>
    <w:rsid w:val="5AE61C71"/>
    <w:rsid w:val="5BF04763"/>
    <w:rsid w:val="5C4676EC"/>
    <w:rsid w:val="5D1155AB"/>
    <w:rsid w:val="5D2A561A"/>
    <w:rsid w:val="5DFA3633"/>
    <w:rsid w:val="5E001A03"/>
    <w:rsid w:val="5E247F76"/>
    <w:rsid w:val="5E2809E6"/>
    <w:rsid w:val="5EC150E1"/>
    <w:rsid w:val="5F59678B"/>
    <w:rsid w:val="5FB74A2D"/>
    <w:rsid w:val="5FF96C91"/>
    <w:rsid w:val="5FFB722C"/>
    <w:rsid w:val="606B23C2"/>
    <w:rsid w:val="610137E1"/>
    <w:rsid w:val="620C7712"/>
    <w:rsid w:val="629A088E"/>
    <w:rsid w:val="639932C3"/>
    <w:rsid w:val="63E371E3"/>
    <w:rsid w:val="64204CB1"/>
    <w:rsid w:val="64582EC3"/>
    <w:rsid w:val="65A40DFC"/>
    <w:rsid w:val="65B0178B"/>
    <w:rsid w:val="669A0526"/>
    <w:rsid w:val="66C17C3B"/>
    <w:rsid w:val="6702212A"/>
    <w:rsid w:val="67623DCA"/>
    <w:rsid w:val="689100EA"/>
    <w:rsid w:val="6895438F"/>
    <w:rsid w:val="689C3C64"/>
    <w:rsid w:val="69266882"/>
    <w:rsid w:val="6A006723"/>
    <w:rsid w:val="6A2473CB"/>
    <w:rsid w:val="6A5717AA"/>
    <w:rsid w:val="6ADD6371"/>
    <w:rsid w:val="6B395CD4"/>
    <w:rsid w:val="6B55157D"/>
    <w:rsid w:val="6BEA3616"/>
    <w:rsid w:val="6C1029BA"/>
    <w:rsid w:val="6C3304CF"/>
    <w:rsid w:val="6C754FBC"/>
    <w:rsid w:val="6D2D2EB8"/>
    <w:rsid w:val="6EF35019"/>
    <w:rsid w:val="6F283233"/>
    <w:rsid w:val="71401BDB"/>
    <w:rsid w:val="71B838AD"/>
    <w:rsid w:val="71D75792"/>
    <w:rsid w:val="72030793"/>
    <w:rsid w:val="720A351C"/>
    <w:rsid w:val="733F159C"/>
    <w:rsid w:val="733F2580"/>
    <w:rsid w:val="73457FE8"/>
    <w:rsid w:val="7351443D"/>
    <w:rsid w:val="736A735B"/>
    <w:rsid w:val="744D00C4"/>
    <w:rsid w:val="74C32166"/>
    <w:rsid w:val="74C804E3"/>
    <w:rsid w:val="75412865"/>
    <w:rsid w:val="75D206DA"/>
    <w:rsid w:val="75F1755B"/>
    <w:rsid w:val="771F00B6"/>
    <w:rsid w:val="77282344"/>
    <w:rsid w:val="773300A5"/>
    <w:rsid w:val="773E3A17"/>
    <w:rsid w:val="779C0E46"/>
    <w:rsid w:val="786E539D"/>
    <w:rsid w:val="79B12DF8"/>
    <w:rsid w:val="7A25159D"/>
    <w:rsid w:val="7B8A42DB"/>
    <w:rsid w:val="7C604753"/>
    <w:rsid w:val="7CC37BC7"/>
    <w:rsid w:val="7D0A3D17"/>
    <w:rsid w:val="7D9C5FA0"/>
    <w:rsid w:val="7DA85F78"/>
    <w:rsid w:val="7E3A49DE"/>
    <w:rsid w:val="7F8A468B"/>
    <w:rsid w:val="7FDA3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1"/>
    <w:pPr>
      <w:ind w:firstLine="420" w:firstLineChars="200"/>
    </w:pPr>
    <w:rPr>
      <w:rFonts w:eastAsia="仿宋_GB2312"/>
      <w:sz w:val="28"/>
    </w:rPr>
  </w:style>
  <w:style w:type="paragraph" w:styleId="5">
    <w:name w:val="Normal Indent"/>
    <w:basedOn w:val="1"/>
    <w:link w:val="25"/>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semiHidden/>
    <w:qFormat/>
    <w:uiPriority w:val="0"/>
    <w:pPr>
      <w:jc w:val="left"/>
    </w:pPr>
  </w:style>
  <w:style w:type="paragraph" w:styleId="7">
    <w:name w:val="Body Text"/>
    <w:basedOn w:val="1"/>
    <w:next w:val="1"/>
    <w:link w:val="26"/>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Date"/>
    <w:basedOn w:val="1"/>
    <w:next w:val="1"/>
    <w:qFormat/>
    <w:uiPriority w:val="0"/>
    <w:pPr>
      <w:ind w:left="100" w:leftChars="2500"/>
    </w:pPr>
    <w:rPr>
      <w:rFonts w:ascii="宋体"/>
      <w:sz w:val="24"/>
      <w:szCs w:val="21"/>
      <w:lang w:val="zh-CN"/>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7"/>
    <w:qFormat/>
    <w:uiPriority w:val="0"/>
    <w:pPr>
      <w:spacing w:before="240" w:after="60" w:line="312" w:lineRule="auto"/>
      <w:jc w:val="center"/>
      <w:outlineLvl w:val="1"/>
    </w:pPr>
    <w:rPr>
      <w:rFonts w:ascii="Cambria" w:hAnsi="Cambria"/>
      <w:b/>
      <w:bCs/>
      <w:kern w:val="28"/>
      <w:sz w:val="32"/>
      <w:szCs w:val="32"/>
    </w:rPr>
  </w:style>
  <w:style w:type="paragraph" w:styleId="14">
    <w:name w:val="Normal (Web)"/>
    <w:basedOn w:val="1"/>
    <w:qFormat/>
    <w:uiPriority w:val="0"/>
    <w:pPr>
      <w:widowControl/>
      <w:spacing w:before="100" w:beforeAutospacing="1" w:after="100" w:afterAutospacing="1"/>
      <w:jc w:val="left"/>
    </w:pPr>
    <w:rPr>
      <w:kern w:val="0"/>
      <w:sz w:val="24"/>
    </w:rPr>
  </w:style>
  <w:style w:type="paragraph" w:styleId="15">
    <w:name w:val="Title"/>
    <w:basedOn w:val="1"/>
    <w:link w:val="4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6">
    <w:name w:val="Body Text First Indent"/>
    <w:basedOn w:val="7"/>
    <w:link w:val="28"/>
    <w:qFormat/>
    <w:uiPriority w:val="0"/>
    <w:pPr>
      <w:autoSpaceDE/>
      <w:autoSpaceDN/>
      <w:spacing w:after="120" w:line="240" w:lineRule="auto"/>
      <w:ind w:firstLine="420" w:firstLineChars="100"/>
    </w:pPr>
    <w:rPr>
      <w:rFonts w:ascii="Calibri" w:hAnsi="Calibri" w:cs="Times New Roman"/>
      <w:snapToGrid/>
      <w:szCs w:val="24"/>
    </w:rPr>
  </w:style>
  <w:style w:type="paragraph" w:styleId="17">
    <w:name w:val="Body Text First Indent 2"/>
    <w:basedOn w:val="8"/>
    <w:next w:val="1"/>
    <w:link w:val="29"/>
    <w:qFormat/>
    <w:uiPriority w:val="0"/>
    <w:pPr>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character" w:customStyle="1" w:styleId="23">
    <w:name w:val="页脚 Char"/>
    <w:link w:val="11"/>
    <w:qFormat/>
    <w:uiPriority w:val="99"/>
    <w:rPr>
      <w:rFonts w:ascii="Calibri" w:hAnsi="Calibri"/>
      <w:kern w:val="2"/>
      <w:sz w:val="18"/>
      <w:szCs w:val="18"/>
    </w:rPr>
  </w:style>
  <w:style w:type="paragraph" w:customStyle="1" w:styleId="24">
    <w:name w:val="表格文字"/>
    <w:basedOn w:val="1"/>
    <w:next w:val="7"/>
    <w:qFormat/>
    <w:uiPriority w:val="0"/>
    <w:pPr>
      <w:adjustRightInd w:val="0"/>
      <w:spacing w:line="420" w:lineRule="atLeast"/>
      <w:jc w:val="left"/>
      <w:textAlignment w:val="baseline"/>
    </w:pPr>
    <w:rPr>
      <w:kern w:val="0"/>
    </w:rPr>
  </w:style>
  <w:style w:type="character" w:customStyle="1" w:styleId="25">
    <w:name w:val="正文缩进 Char"/>
    <w:link w:val="5"/>
    <w:qFormat/>
    <w:uiPriority w:val="0"/>
    <w:rPr>
      <w:rFonts w:ascii="宋体" w:hAnsi="Calibri"/>
      <w:snapToGrid/>
      <w:color w:val="000000"/>
      <w:kern w:val="28"/>
      <w:sz w:val="28"/>
    </w:rPr>
  </w:style>
  <w:style w:type="character" w:customStyle="1" w:styleId="26">
    <w:name w:val="正文文本 Char"/>
    <w:link w:val="7"/>
    <w:qFormat/>
    <w:uiPriority w:val="0"/>
    <w:rPr>
      <w:rFonts w:ascii="宋体" w:hAnsi="Arial" w:cs="Arial"/>
      <w:snapToGrid/>
      <w:kern w:val="2"/>
      <w:sz w:val="24"/>
      <w:szCs w:val="21"/>
      <w:lang w:val="zh-CN"/>
    </w:rPr>
  </w:style>
  <w:style w:type="character" w:customStyle="1" w:styleId="27">
    <w:name w:val="副标题 Char"/>
    <w:link w:val="13"/>
    <w:qFormat/>
    <w:uiPriority w:val="0"/>
    <w:rPr>
      <w:rFonts w:ascii="Cambria" w:hAnsi="Cambria"/>
      <w:b/>
      <w:bCs/>
      <w:kern w:val="28"/>
      <w:sz w:val="32"/>
      <w:szCs w:val="32"/>
    </w:rPr>
  </w:style>
  <w:style w:type="character" w:customStyle="1" w:styleId="28">
    <w:name w:val="正文首行缩进 Char"/>
    <w:link w:val="16"/>
    <w:qFormat/>
    <w:uiPriority w:val="0"/>
    <w:rPr>
      <w:rFonts w:ascii="Calibri" w:hAnsi="Calibri"/>
      <w:kern w:val="2"/>
      <w:sz w:val="24"/>
      <w:szCs w:val="24"/>
      <w:lang w:val="zh-CN"/>
    </w:rPr>
  </w:style>
  <w:style w:type="character" w:customStyle="1" w:styleId="29">
    <w:name w:val="正文首行缩进 2 Char"/>
    <w:link w:val="17"/>
    <w:qFormat/>
    <w:uiPriority w:val="0"/>
    <w:rPr>
      <w:rFonts w:ascii="宋体" w:hAnsi="宋体"/>
      <w:kern w:val="2"/>
      <w:sz w:val="24"/>
      <w:szCs w:val="24"/>
    </w:rPr>
  </w:style>
  <w:style w:type="paragraph" w:customStyle="1" w:styleId="30">
    <w:name w:val="正文1"/>
    <w:next w:val="1"/>
    <w:qFormat/>
    <w:uiPriority w:val="99"/>
    <w:pPr>
      <w:widowControl w:val="0"/>
      <w:jc w:val="both"/>
    </w:pPr>
    <w:rPr>
      <w:rFonts w:ascii="Calibri" w:hAnsi="Calibri" w:eastAsia="宋体" w:cs="Calibri"/>
      <w:kern w:val="2"/>
      <w:sz w:val="21"/>
      <w:szCs w:val="21"/>
      <w:lang w:val="en-US" w:eastAsia="zh-CN" w:bidi="ar-SA"/>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纯文本_0_0"/>
    <w:basedOn w:val="31"/>
    <w:qFormat/>
    <w:uiPriority w:val="0"/>
    <w:rPr>
      <w:rFonts w:ascii="宋体" w:hAnsi="Courier New"/>
      <w:szCs w:val="21"/>
    </w:rPr>
  </w:style>
  <w:style w:type="paragraph" w:customStyle="1" w:styleId="35">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36">
    <w:name w:val="索引 11"/>
    <w:basedOn w:val="1"/>
    <w:next w:val="1"/>
    <w:qFormat/>
    <w:uiPriority w:val="99"/>
    <w:pPr>
      <w:spacing w:line="360" w:lineRule="auto"/>
    </w:pPr>
    <w:rPr>
      <w:rFonts w:ascii="仿宋_GB2312" w:eastAsia="仿宋_GB2312"/>
      <w:sz w:val="24"/>
      <w:szCs w:val="20"/>
    </w:rPr>
  </w:style>
  <w:style w:type="paragraph" w:customStyle="1" w:styleId="37">
    <w:name w:val="纯文本1"/>
    <w:basedOn w:val="1"/>
    <w:qFormat/>
    <w:uiPriority w:val="0"/>
    <w:rPr>
      <w:rFonts w:ascii="宋体" w:hAnsi="Courier New"/>
      <w:kern w:val="0"/>
      <w:sz w:val="20"/>
      <w:szCs w:val="20"/>
    </w:rPr>
  </w:style>
  <w:style w:type="paragraph" w:customStyle="1" w:styleId="38">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9">
    <w:name w:val="正文2"/>
    <w:basedOn w:val="1"/>
    <w:qFormat/>
    <w:uiPriority w:val="0"/>
    <w:pPr>
      <w:spacing w:before="156" w:line="360" w:lineRule="auto"/>
      <w:ind w:firstLine="510" w:firstLineChars="200"/>
    </w:pPr>
    <w:rPr>
      <w:sz w:val="24"/>
      <w:szCs w:val="20"/>
    </w:rPr>
  </w:style>
  <w:style w:type="paragraph" w:customStyle="1" w:styleId="40">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1">
    <w:name w:val="列出段落2"/>
    <w:basedOn w:val="1"/>
    <w:qFormat/>
    <w:uiPriority w:val="99"/>
    <w:pPr>
      <w:ind w:firstLine="420"/>
    </w:pPr>
    <w:rPr>
      <w:rFonts w:ascii="Times New Roman" w:hAnsi="Times New Roman"/>
    </w:rPr>
  </w:style>
  <w:style w:type="paragraph" w:styleId="42">
    <w:name w:val="List Paragraph"/>
    <w:basedOn w:val="1"/>
    <w:qFormat/>
    <w:uiPriority w:val="34"/>
    <w:pPr>
      <w:ind w:firstLine="420" w:firstLineChars="200"/>
    </w:pPr>
    <w:rPr>
      <w:rFonts w:cs="宋体"/>
      <w:szCs w:val="22"/>
    </w:rPr>
  </w:style>
  <w:style w:type="character" w:customStyle="1" w:styleId="43">
    <w:name w:val="正文首行缩进 Char1"/>
    <w:qFormat/>
    <w:uiPriority w:val="0"/>
    <w:rPr>
      <w:rFonts w:ascii="Calibri" w:hAnsi="Calibri" w:cs="Arial"/>
      <w:snapToGrid w:val="0"/>
      <w:kern w:val="2"/>
      <w:sz w:val="21"/>
      <w:szCs w:val="24"/>
      <w:lang w:val="zh-CN"/>
    </w:rPr>
  </w:style>
  <w:style w:type="character" w:customStyle="1" w:styleId="44">
    <w:name w:val="标题 1 Char"/>
    <w:link w:val="3"/>
    <w:qFormat/>
    <w:uiPriority w:val="0"/>
    <w:rPr>
      <w:rFonts w:ascii="Calibri" w:hAnsi="Calibri"/>
      <w:b/>
      <w:bCs/>
      <w:kern w:val="44"/>
      <w:sz w:val="44"/>
      <w:szCs w:val="44"/>
    </w:rPr>
  </w:style>
  <w:style w:type="paragraph" w:customStyle="1" w:styleId="45">
    <w:name w:val="Normal_2"/>
    <w:qFormat/>
    <w:uiPriority w:val="0"/>
    <w:rPr>
      <w:rFonts w:ascii="Times New Roman" w:hAnsi="Times New Roman" w:eastAsia="宋体" w:cs="Times New Roman"/>
      <w:sz w:val="24"/>
      <w:szCs w:val="24"/>
      <w:lang w:val="en-US" w:eastAsia="zh-CN" w:bidi="ar-SA"/>
    </w:rPr>
  </w:style>
  <w:style w:type="character" w:customStyle="1" w:styleId="46">
    <w:name w:val="标题 Char"/>
    <w:link w:val="15"/>
    <w:qFormat/>
    <w:uiPriority w:val="0"/>
    <w:rPr>
      <w:rFonts w:ascii="Arial" w:hAnsi="Arial"/>
      <w:b/>
      <w:sz w:val="32"/>
    </w:rPr>
  </w:style>
  <w:style w:type="character" w:customStyle="1" w:styleId="47">
    <w:name w:val="标题 Char1"/>
    <w:basedOn w:val="20"/>
    <w:qFormat/>
    <w:uiPriority w:val="0"/>
    <w:rPr>
      <w:rFonts w:asciiTheme="majorHAnsi" w:hAnsiTheme="majorHAnsi" w:cstheme="majorBidi"/>
      <w:b/>
      <w:bCs/>
      <w:kern w:val="2"/>
      <w:sz w:val="32"/>
      <w:szCs w:val="32"/>
    </w:rPr>
  </w:style>
  <w:style w:type="character" w:customStyle="1" w:styleId="48">
    <w:name w:val="样式 标题 1合同标题卷标题H1h1Level 1 Topic HeadingH11H12H111H13H1... Char Char"/>
    <w:qFormat/>
    <w:uiPriority w:val="0"/>
    <w:rPr>
      <w:rFonts w:hint="eastAsia" w:ascii="宋体" w:hAnsi="宋体" w:eastAsia="宋体" w:cs="宋体"/>
      <w:b/>
      <w:kern w:val="44"/>
      <w:sz w:val="24"/>
      <w:szCs w:val="4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79</Pages>
  <Words>39172</Words>
  <Characters>42140</Characters>
  <Lines>345</Lines>
  <Paragraphs>97</Paragraphs>
  <TotalTime>4</TotalTime>
  <ScaleCrop>false</ScaleCrop>
  <LinksUpToDate>false</LinksUpToDate>
  <CharactersWithSpaces>45428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2022-12-24T05:54:00Z</dcterms:created>
  <dc:creator>user</dc:creator>
  <cp:lastModifiedBy>WPS_1528150486</cp:lastModifiedBy>
  <cp:lastPrinted>2022-12-29T07:27:00Z</cp:lastPrinted>
  <dcterms:modified xsi:type="dcterms:W3CDTF">2022-12-29T09:17:55Z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1CB56A9709334A9BA29C69CECA815219</vt:lpwstr>
  </property>
</Properties>
</file>