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ajorEastAsia" w:hAnsiTheme="majorEastAsia" w:eastAsiaTheme="majorEastAsia"/>
          <w:sz w:val="48"/>
          <w:szCs w:val="48"/>
        </w:rPr>
      </w:pPr>
    </w:p>
    <w:p>
      <w:pPr>
        <w:spacing w:line="360" w:lineRule="auto"/>
        <w:jc w:val="center"/>
        <w:rPr>
          <w:rFonts w:cs="仿宋_GB2312" w:asciiTheme="majorEastAsia" w:hAnsiTheme="majorEastAsia" w:eastAsiaTheme="majorEastAsia"/>
          <w:sz w:val="48"/>
          <w:szCs w:val="48"/>
        </w:rPr>
      </w:pPr>
      <w:r>
        <w:rPr>
          <w:rFonts w:hint="eastAsia" w:cs="仿宋_GB2312" w:asciiTheme="majorEastAsia" w:hAnsiTheme="majorEastAsia" w:eastAsiaTheme="majorEastAsia"/>
          <w:sz w:val="48"/>
          <w:szCs w:val="48"/>
        </w:rPr>
        <w:t xml:space="preserve">    弥勒圣坛配套项目电梯采购项目</w:t>
      </w:r>
    </w:p>
    <w:p>
      <w:pPr>
        <w:spacing w:line="360" w:lineRule="auto"/>
        <w:jc w:val="center"/>
        <w:rPr>
          <w:rFonts w:cs="仿宋_GB2312" w:asciiTheme="majorEastAsia" w:hAnsiTheme="majorEastAsia" w:eastAsiaTheme="majorEastAsia"/>
          <w:sz w:val="48"/>
          <w:szCs w:val="48"/>
        </w:rPr>
      </w:pPr>
      <w:r>
        <w:rPr>
          <w:rFonts w:hint="eastAsia" w:cs="仿宋_GB2312" w:asciiTheme="majorEastAsia" w:hAnsiTheme="majorEastAsia" w:eastAsiaTheme="majorEastAsia"/>
          <w:sz w:val="48"/>
          <w:szCs w:val="48"/>
        </w:rPr>
        <w:t>招标文件</w:t>
      </w:r>
    </w:p>
    <w:p>
      <w:pPr>
        <w:spacing w:line="360" w:lineRule="auto"/>
        <w:jc w:val="center"/>
        <w:rPr>
          <w:rFonts w:cs="仿宋_GB2312" w:asciiTheme="majorEastAsia" w:hAnsiTheme="majorEastAsia" w:eastAsiaTheme="majorEastAsia"/>
          <w:b/>
          <w:sz w:val="44"/>
          <w:szCs w:val="44"/>
        </w:rPr>
      </w:pPr>
      <w:r>
        <w:rPr>
          <w:rFonts w:cs="仿宋_GB2312" w:asciiTheme="majorEastAsia" w:hAnsiTheme="majorEastAsia" w:eastAsiaTheme="majorEastAsia"/>
          <w:b/>
          <w:sz w:val="44"/>
          <w:szCs w:val="44"/>
        </w:rPr>
        <w:t xml:space="preserve"> （电子招投标）</w:t>
      </w:r>
    </w:p>
    <w:p>
      <w:pPr>
        <w:snapToGrid w:val="0"/>
        <w:spacing w:line="360" w:lineRule="auto"/>
        <w:jc w:val="center"/>
        <w:rPr>
          <w:rFonts w:cs="仿宋_GB2312" w:asciiTheme="majorEastAsia" w:hAnsiTheme="majorEastAsia" w:eastAsiaTheme="majorEastAsia"/>
          <w:sz w:val="30"/>
          <w:szCs w:val="30"/>
        </w:rPr>
      </w:pPr>
      <w:r>
        <w:rPr>
          <w:rFonts w:hint="eastAsia" w:cs="仿宋_GB2312" w:asciiTheme="majorEastAsia" w:hAnsiTheme="majorEastAsia" w:eastAsiaTheme="majorEastAsia"/>
          <w:sz w:val="30"/>
          <w:szCs w:val="30"/>
        </w:rPr>
        <w:t>编号</w:t>
      </w:r>
      <w:r>
        <w:rPr>
          <w:rFonts w:cs="仿宋_GB2312" w:asciiTheme="majorEastAsia" w:hAnsiTheme="majorEastAsia" w:eastAsiaTheme="majorEastAsia"/>
          <w:sz w:val="30"/>
          <w:szCs w:val="30"/>
        </w:rPr>
        <w:t>:</w:t>
      </w:r>
      <w:r>
        <w:rPr>
          <w:rFonts w:asciiTheme="majorEastAsia" w:hAnsiTheme="majorEastAsia" w:eastAsiaTheme="majorEastAsia"/>
        </w:rPr>
        <w:t xml:space="preserve"> </w:t>
      </w:r>
      <w:r>
        <w:rPr>
          <w:rFonts w:hint="eastAsia" w:cs="仿宋_GB2312" w:asciiTheme="majorEastAsia" w:hAnsiTheme="majorEastAsia" w:eastAsiaTheme="majorEastAsia"/>
          <w:sz w:val="30"/>
          <w:szCs w:val="30"/>
        </w:rPr>
        <w:t>FHGQZB(2024)</w:t>
      </w:r>
      <w:r>
        <w:rPr>
          <w:rFonts w:hint="eastAsia" w:cs="仿宋_GB2312" w:asciiTheme="majorEastAsia" w:hAnsiTheme="majorEastAsia" w:eastAsiaTheme="majorEastAsia"/>
          <w:sz w:val="30"/>
          <w:szCs w:val="30"/>
          <w:lang w:val="en-US" w:eastAsia="zh-CN"/>
        </w:rPr>
        <w:t>114</w:t>
      </w:r>
      <w:r>
        <w:rPr>
          <w:rFonts w:cs="仿宋_GB2312" w:asciiTheme="majorEastAsia" w:hAnsiTheme="majorEastAsia" w:eastAsiaTheme="majorEastAsia"/>
          <w:sz w:val="30"/>
          <w:szCs w:val="30"/>
        </w:rPr>
        <w:t>D</w:t>
      </w:r>
    </w:p>
    <w:p>
      <w:pPr>
        <w:spacing w:line="360" w:lineRule="auto"/>
        <w:rPr>
          <w:rFonts w:cs="仿宋_GB2312" w:asciiTheme="majorEastAsia" w:hAnsiTheme="majorEastAsia" w:eastAsiaTheme="majorEastAsia"/>
          <w:sz w:val="28"/>
          <w:szCs w:val="20"/>
        </w:rPr>
      </w:pPr>
    </w:p>
    <w:p>
      <w:pPr>
        <w:pStyle w:val="2"/>
        <w:ind w:firstLine="480"/>
        <w:rPr>
          <w:rFonts w:cs="仿宋_GB2312" w:asciiTheme="majorEastAsia" w:hAnsiTheme="majorEastAsia" w:eastAsiaTheme="majorEastAsia"/>
          <w:sz w:val="24"/>
        </w:rPr>
      </w:pPr>
    </w:p>
    <w:p>
      <w:pPr>
        <w:pStyle w:val="2"/>
        <w:ind w:firstLine="480"/>
        <w:rPr>
          <w:rFonts w:cs="仿宋_GB2312" w:asciiTheme="majorEastAsia" w:hAnsiTheme="majorEastAsia" w:eastAsiaTheme="majorEastAsia"/>
          <w:sz w:val="24"/>
        </w:rPr>
      </w:pPr>
    </w:p>
    <w:p>
      <w:pPr>
        <w:pStyle w:val="2"/>
        <w:ind w:firstLine="480"/>
        <w:rPr>
          <w:rFonts w:cs="仿宋_GB2312" w:asciiTheme="majorEastAsia" w:hAnsiTheme="majorEastAsia" w:eastAsiaTheme="majorEastAsia"/>
          <w:sz w:val="24"/>
        </w:rPr>
      </w:pPr>
    </w:p>
    <w:p>
      <w:pPr>
        <w:pStyle w:val="2"/>
        <w:ind w:firstLine="480"/>
        <w:rPr>
          <w:rFonts w:cs="仿宋_GB2312" w:asciiTheme="majorEastAsia" w:hAnsiTheme="majorEastAsia" w:eastAsiaTheme="majorEastAsia"/>
          <w:sz w:val="24"/>
        </w:rPr>
      </w:pPr>
    </w:p>
    <w:p>
      <w:pPr>
        <w:pStyle w:val="2"/>
        <w:ind w:firstLine="480"/>
        <w:rPr>
          <w:rFonts w:cs="仿宋_GB2312" w:asciiTheme="majorEastAsia" w:hAnsiTheme="majorEastAsia" w:eastAsiaTheme="majorEastAsia"/>
          <w:sz w:val="24"/>
        </w:rPr>
      </w:pPr>
    </w:p>
    <w:p>
      <w:pPr>
        <w:spacing w:line="360" w:lineRule="auto"/>
        <w:rPr>
          <w:rFonts w:cs="仿宋_GB2312" w:asciiTheme="majorEastAsia" w:hAnsiTheme="majorEastAsia" w:eastAsiaTheme="majorEastAsia"/>
          <w:sz w:val="32"/>
          <w:szCs w:val="32"/>
        </w:rPr>
      </w:pPr>
    </w:p>
    <w:p>
      <w:pPr>
        <w:spacing w:line="360" w:lineRule="auto"/>
        <w:ind w:firstLine="960" w:firstLineChars="3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采购人：宁波市名山建设发展集团有限公司</w:t>
      </w:r>
    </w:p>
    <w:p>
      <w:pPr>
        <w:spacing w:line="360" w:lineRule="auto"/>
        <w:ind w:firstLine="960" w:firstLineChars="300"/>
        <w:rPr>
          <w:rFonts w:cs="仿宋_GB2312" w:asciiTheme="majorEastAsia" w:hAnsiTheme="majorEastAsia" w:eastAsiaTheme="majorEastAsia"/>
          <w:bCs/>
          <w:sz w:val="32"/>
          <w:szCs w:val="32"/>
        </w:rPr>
      </w:pPr>
      <w:r>
        <w:rPr>
          <w:rFonts w:hint="eastAsia" w:cs="仿宋_GB2312" w:asciiTheme="majorEastAsia" w:hAnsiTheme="majorEastAsia" w:eastAsiaTheme="majorEastAsia"/>
          <w:bCs/>
          <w:sz w:val="32"/>
          <w:szCs w:val="32"/>
        </w:rPr>
        <w:t>采购代理机构：宁波德立工程项目管理咨询有限公司</w:t>
      </w:r>
      <w:r>
        <w:rPr>
          <w:rFonts w:cs="仿宋_GB2312" w:asciiTheme="majorEastAsia" w:hAnsiTheme="majorEastAsia" w:eastAsiaTheme="majorEastAsia"/>
          <w:bCs/>
          <w:sz w:val="32"/>
          <w:szCs w:val="32"/>
        </w:rPr>
        <w:t xml:space="preserve"> </w:t>
      </w:r>
    </w:p>
    <w:p>
      <w:pPr>
        <w:snapToGrid w:val="0"/>
        <w:spacing w:line="360" w:lineRule="auto"/>
        <w:jc w:val="center"/>
        <w:rPr>
          <w:rFonts w:cs="仿宋_GB2312" w:asciiTheme="majorEastAsia" w:hAnsiTheme="majorEastAsia" w:eastAsiaTheme="majorEastAsia"/>
          <w:bCs/>
          <w:sz w:val="32"/>
          <w:szCs w:val="32"/>
        </w:rPr>
      </w:pPr>
    </w:p>
    <w:p>
      <w:pPr>
        <w:snapToGrid w:val="0"/>
        <w:spacing w:line="360" w:lineRule="auto"/>
        <w:jc w:val="center"/>
        <w:rPr>
          <w:rFonts w:cs="仿宋_GB2312" w:asciiTheme="majorEastAsia" w:hAnsiTheme="majorEastAsia" w:eastAsiaTheme="majorEastAsia"/>
          <w:bCs/>
          <w:sz w:val="32"/>
          <w:szCs w:val="32"/>
        </w:rPr>
      </w:pPr>
      <w:r>
        <w:rPr>
          <w:rFonts w:hint="eastAsia" w:cs="仿宋_GB2312" w:asciiTheme="majorEastAsia" w:hAnsiTheme="majorEastAsia" w:eastAsiaTheme="majorEastAsia"/>
          <w:bCs/>
          <w:sz w:val="32"/>
          <w:szCs w:val="32"/>
        </w:rPr>
        <w:t>二零二四年</w:t>
      </w:r>
    </w:p>
    <w:p>
      <w:pPr>
        <w:spacing w:line="360" w:lineRule="auto"/>
        <w:jc w:val="center"/>
        <w:rPr>
          <w:rFonts w:cs="仿宋_GB2312" w:asciiTheme="majorEastAsia" w:hAnsiTheme="majorEastAsia" w:eastAsiaTheme="majorEastAsia"/>
          <w:sz w:val="24"/>
        </w:rPr>
      </w:pPr>
      <w:r>
        <w:rPr>
          <w:rFonts w:cs="仿宋_GB2312" w:asciiTheme="majorEastAsia" w:hAnsiTheme="majorEastAsia" w:eastAsiaTheme="majorEastAsia"/>
          <w:sz w:val="24"/>
        </w:rPr>
        <w:br w:type="page"/>
      </w:r>
      <w:bookmarkStart w:id="0" w:name="_Hlt67893495"/>
      <w:bookmarkEnd w:id="0"/>
    </w:p>
    <w:p>
      <w:pPr>
        <w:spacing w:line="360" w:lineRule="auto"/>
        <w:jc w:val="center"/>
        <w:rPr>
          <w:rFonts w:cs="仿宋_GB2312" w:asciiTheme="majorEastAsia" w:hAnsiTheme="majorEastAsia" w:eastAsiaTheme="majorEastAsia"/>
          <w:sz w:val="24"/>
        </w:rPr>
      </w:pPr>
    </w:p>
    <w:p>
      <w:pPr>
        <w:spacing w:line="360" w:lineRule="auto"/>
        <w:jc w:val="center"/>
        <w:rPr>
          <w:rFonts w:cs="仿宋_GB2312" w:asciiTheme="majorEastAsia" w:hAnsiTheme="majorEastAsia" w:eastAsiaTheme="majorEastAsia"/>
          <w:b/>
          <w:sz w:val="48"/>
          <w:szCs w:val="48"/>
        </w:rPr>
      </w:pPr>
      <w:r>
        <w:rPr>
          <w:rFonts w:hint="eastAsia" w:cs="仿宋_GB2312" w:asciiTheme="majorEastAsia" w:hAnsiTheme="majorEastAsia" w:eastAsiaTheme="majorEastAsia"/>
          <w:b/>
          <w:sz w:val="48"/>
          <w:szCs w:val="48"/>
        </w:rPr>
        <w:t>目</w:t>
      </w:r>
      <w:r>
        <w:rPr>
          <w:rFonts w:cs="仿宋_GB2312" w:asciiTheme="majorEastAsia" w:hAnsiTheme="majorEastAsia" w:eastAsiaTheme="majorEastAsia"/>
          <w:b/>
          <w:sz w:val="48"/>
          <w:szCs w:val="48"/>
        </w:rPr>
        <w:t xml:space="preserve">  </w:t>
      </w:r>
      <w:r>
        <w:rPr>
          <w:rFonts w:hint="eastAsia" w:cs="仿宋_GB2312" w:asciiTheme="majorEastAsia" w:hAnsiTheme="majorEastAsia" w:eastAsiaTheme="majorEastAsia"/>
          <w:b/>
          <w:sz w:val="48"/>
          <w:szCs w:val="48"/>
        </w:rPr>
        <w:t>录</w:t>
      </w:r>
    </w:p>
    <w:p>
      <w:pPr>
        <w:spacing w:line="360" w:lineRule="auto"/>
        <w:rPr>
          <w:rFonts w:cs="仿宋_GB2312" w:asciiTheme="majorEastAsia" w:hAnsiTheme="majorEastAsia" w:eastAsiaTheme="majorEastAsia"/>
          <w:sz w:val="32"/>
          <w:szCs w:val="32"/>
        </w:rPr>
      </w:pPr>
    </w:p>
    <w:p>
      <w:pPr>
        <w:spacing w:line="360" w:lineRule="auto"/>
        <w:rPr>
          <w:rFonts w:cs="仿宋_GB2312" w:asciiTheme="majorEastAsia" w:hAnsiTheme="majorEastAsia" w:eastAsiaTheme="majorEastAsia"/>
          <w:sz w:val="32"/>
          <w:szCs w:val="32"/>
        </w:rPr>
      </w:pP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第一部分      招标公告</w:t>
      </w: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第二部分      投标须知</w:t>
      </w: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第三部分      采购需求</w:t>
      </w: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第四部分      评标办法</w:t>
      </w: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第五部分      拟签订的合同文本</w:t>
      </w: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第六部分      应提交的有关格式范例</w:t>
      </w:r>
    </w:p>
    <w:p>
      <w:pPr>
        <w:spacing w:line="360" w:lineRule="auto"/>
        <w:ind w:firstLine="549" w:firstLineChars="229"/>
        <w:rPr>
          <w:rFonts w:cs="仿宋" w:asciiTheme="majorEastAsia" w:hAnsiTheme="majorEastAsia" w:eastAsiaTheme="majorEastAsia"/>
          <w:sz w:val="24"/>
        </w:rPr>
      </w:pPr>
      <w:bookmarkStart w:id="1" w:name="_Hlt91233176"/>
      <w:bookmarkEnd w:id="1"/>
      <w:bookmarkStart w:id="2" w:name="_Toc91899869"/>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rPr>
          <w:rFonts w:cs="仿宋" w:asciiTheme="majorEastAsia" w:hAnsiTheme="majorEastAsia" w:eastAsiaTheme="majorEastAsia"/>
          <w:sz w:val="24"/>
        </w:rPr>
      </w:pPr>
    </w:p>
    <w:p>
      <w:pPr>
        <w:spacing w:line="360" w:lineRule="auto"/>
        <w:jc w:val="center"/>
        <w:outlineLvl w:val="0"/>
        <w:rPr>
          <w:rFonts w:cs="仿宋" w:asciiTheme="majorEastAsia" w:hAnsiTheme="majorEastAsia" w:eastAsiaTheme="majorEastAsia"/>
          <w:b/>
          <w:sz w:val="36"/>
          <w:szCs w:val="20"/>
        </w:rPr>
      </w:pPr>
      <w:bookmarkStart w:id="3" w:name="第一部分"/>
      <w:r>
        <w:rPr>
          <w:rFonts w:hint="eastAsia" w:cs="仿宋" w:asciiTheme="majorEastAsia" w:hAnsiTheme="majorEastAsia" w:eastAsiaTheme="majorEastAsia"/>
          <w:b/>
          <w:sz w:val="36"/>
          <w:szCs w:val="36"/>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cs="仿宋" w:asciiTheme="majorEastAsia" w:hAnsiTheme="majorEastAsia" w:eastAsiaTheme="majorEastAsia"/>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弥勒圣坛配套项目电梯采购项目</w:t>
      </w:r>
      <w:r>
        <w:rPr>
          <w:rFonts w:hint="eastAsia" w:ascii="仿宋" w:hAnsi="仿宋" w:eastAsia="仿宋" w:cs="仿宋"/>
          <w:sz w:val="24"/>
        </w:rPr>
        <w:t xml:space="preserve">的潜在供应商应在政采云平台（ </w:t>
      </w:r>
      <w:r>
        <w:fldChar w:fldCharType="begin"/>
      </w:r>
      <w:r>
        <w:instrText xml:space="preserve"> HYPERLINK "https://www.zcygov.cn/）获取（下载）招标文件，并于2022年00月00日14点30分00秒" </w:instrText>
      </w:r>
      <w:r>
        <w:fldChar w:fldCharType="separate"/>
      </w:r>
      <w:r>
        <w:rPr>
          <w:rStyle w:val="29"/>
          <w:rFonts w:hint="eastAsia" w:ascii="仿宋" w:hAnsi="仿宋" w:eastAsia="仿宋" w:cs="仿宋"/>
          <w:sz w:val="24"/>
          <w:szCs w:val="24"/>
        </w:rPr>
        <w:t>https://www.zcygov.cn/）获取（下载）招标文件，并于</w:t>
      </w:r>
      <w:r>
        <w:rPr>
          <w:rStyle w:val="29"/>
          <w:rFonts w:hint="eastAsia" w:ascii="仿宋" w:hAnsi="仿宋" w:eastAsia="仿宋" w:cs="仿宋"/>
          <w:snapToGrid/>
          <w:kern w:val="2"/>
          <w:sz w:val="24"/>
          <w:szCs w:val="24"/>
        </w:rPr>
        <w:t>2024年</w:t>
      </w:r>
      <w:r>
        <w:rPr>
          <w:rStyle w:val="29"/>
          <w:rFonts w:hint="eastAsia" w:ascii="仿宋" w:hAnsi="仿宋" w:eastAsia="仿宋" w:cs="仿宋"/>
          <w:snapToGrid/>
          <w:kern w:val="2"/>
          <w:sz w:val="24"/>
          <w:szCs w:val="24"/>
          <w:lang w:val="en-US" w:eastAsia="zh-CN"/>
        </w:rPr>
        <w:t>5</w:t>
      </w:r>
      <w:r>
        <w:rPr>
          <w:rStyle w:val="29"/>
          <w:rFonts w:hint="eastAsia" w:ascii="仿宋" w:hAnsi="仿宋" w:eastAsia="仿宋" w:cs="仿宋"/>
          <w:snapToGrid/>
          <w:kern w:val="2"/>
          <w:sz w:val="24"/>
          <w:szCs w:val="24"/>
        </w:rPr>
        <w:t>月</w:t>
      </w:r>
      <w:r>
        <w:rPr>
          <w:rStyle w:val="29"/>
          <w:rFonts w:hint="eastAsia" w:ascii="仿宋" w:hAnsi="仿宋" w:eastAsia="仿宋" w:cs="仿宋"/>
          <w:snapToGrid/>
          <w:kern w:val="2"/>
          <w:sz w:val="24"/>
          <w:szCs w:val="24"/>
          <w:lang w:val="en-US" w:eastAsia="zh-CN"/>
        </w:rPr>
        <w:t>9</w:t>
      </w:r>
      <w:r>
        <w:rPr>
          <w:rStyle w:val="29"/>
          <w:rFonts w:hint="eastAsia" w:ascii="仿宋" w:hAnsi="仿宋" w:eastAsia="仿宋" w:cs="仿宋"/>
          <w:snapToGrid/>
          <w:kern w:val="2"/>
          <w:sz w:val="24"/>
          <w:szCs w:val="24"/>
        </w:rPr>
        <w:t>日14点00分</w:t>
      </w:r>
      <w:r>
        <w:rPr>
          <w:rStyle w:val="29"/>
          <w:rFonts w:hint="eastAsia" w:ascii="仿宋" w:hAnsi="仿宋" w:eastAsia="仿宋" w:cs="仿宋"/>
          <w:bCs/>
          <w:snapToGrid/>
          <w:kern w:val="2"/>
          <w:sz w:val="24"/>
          <w:szCs w:val="24"/>
        </w:rPr>
        <w:t>00秒</w:t>
      </w:r>
      <w:r>
        <w:rPr>
          <w:rStyle w:val="29"/>
          <w:rFonts w:hint="eastAsia" w:ascii="仿宋" w:hAnsi="仿宋" w:eastAsia="仿宋" w:cs="仿宋"/>
          <w:bCs/>
          <w:snapToGrid/>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sz w:val="24"/>
        </w:rPr>
        <w:t>FHGQZB(2024)</w:t>
      </w:r>
      <w:r>
        <w:rPr>
          <w:rFonts w:hint="eastAsia" w:ascii="仿宋" w:hAnsi="仿宋" w:eastAsia="仿宋" w:cs="仿宋"/>
          <w:sz w:val="24"/>
          <w:lang w:val="en-US" w:eastAsia="zh-CN"/>
        </w:rPr>
        <w:t>114</w:t>
      </w:r>
      <w:r>
        <w:rPr>
          <w:rFonts w:hint="eastAsia" w:ascii="仿宋" w:hAnsi="仿宋" w:eastAsia="仿宋" w:cs="仿宋"/>
          <w:sz w:val="24"/>
        </w:rPr>
        <w:t>D</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sz w:val="24"/>
        </w:rPr>
        <w:t xml:space="preserve">弥勒圣坛配套项目电梯采购项目  </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sz w:val="24"/>
        </w:rPr>
        <w:t>18</w:t>
      </w:r>
      <w:r>
        <w:rPr>
          <w:rFonts w:hint="eastAsia" w:ascii="仿宋" w:hAnsi="仿宋" w:eastAsia="仿宋" w:cs="仿宋"/>
          <w:sz w:val="24"/>
          <w:lang w:val="en-US" w:eastAsia="zh-CN"/>
        </w:rPr>
        <w:t>900</w:t>
      </w:r>
      <w:r>
        <w:rPr>
          <w:rFonts w:hint="eastAsia" w:ascii="仿宋" w:hAnsi="仿宋" w:eastAsia="仿宋" w:cs="仿宋"/>
          <w:sz w:val="24"/>
        </w:rPr>
        <w:t>00</w:t>
      </w:r>
    </w:p>
    <w:p>
      <w:pPr>
        <w:spacing w:line="360" w:lineRule="auto"/>
        <w:ind w:firstLine="480"/>
        <w:rPr>
          <w:rFonts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sz w:val="24"/>
        </w:rPr>
        <w:t>1885200</w:t>
      </w:r>
    </w:p>
    <w:p>
      <w:pPr>
        <w:pStyle w:val="7"/>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szCs w:val="24"/>
        </w:rPr>
        <w:t>采购需求：</w:t>
      </w:r>
      <w:r>
        <w:rPr>
          <w:rFonts w:hint="eastAsia" w:ascii="仿宋" w:hAnsi="仿宋" w:eastAsia="仿宋" w:cs="仿宋"/>
          <w:bCs/>
          <w:snapToGrid/>
          <w:color w:val="auto"/>
          <w:kern w:val="2"/>
          <w:sz w:val="24"/>
          <w:szCs w:val="24"/>
        </w:rPr>
        <w:t>弥勒圣坛配套项目电梯采购项目。</w:t>
      </w:r>
    </w:p>
    <w:p>
      <w:pPr>
        <w:pStyle w:val="7"/>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Cs/>
          <w:snapToGrid/>
          <w:color w:val="auto"/>
          <w:kern w:val="2"/>
          <w:sz w:val="24"/>
          <w:szCs w:val="24"/>
        </w:rPr>
        <w:t>详见招标文件第三部分采购需求。</w:t>
      </w:r>
    </w:p>
    <w:p>
      <w:pPr>
        <w:pStyle w:val="45"/>
        <w:ind w:firstLine="482"/>
        <w:outlineLvl w:val="2"/>
        <w:rPr>
          <w:rFonts w:ascii="仿宋" w:hAnsi="仿宋" w:eastAsia="仿宋" w:cs="仿宋"/>
          <w:szCs w:val="24"/>
        </w:rPr>
      </w:pPr>
      <w:r>
        <w:rPr>
          <w:rFonts w:hint="eastAsia" w:ascii="仿宋" w:hAnsi="仿宋" w:eastAsia="仿宋" w:cs="仿宋"/>
          <w:b/>
          <w:szCs w:val="24"/>
        </w:rPr>
        <w:t>合同履约期限：详见采购文件</w:t>
      </w:r>
    </w:p>
    <w:p>
      <w:pPr>
        <w:pStyle w:val="7"/>
        <w:spacing w:line="360" w:lineRule="auto"/>
        <w:ind w:firstLine="480"/>
        <w:rPr>
          <w:rFonts w:ascii="仿宋" w:hAnsi="仿宋" w:eastAsia="仿宋" w:cs="仿宋"/>
          <w:b/>
          <w:color w:val="auto"/>
          <w:sz w:val="24"/>
          <w:szCs w:val="24"/>
        </w:rPr>
      </w:pPr>
      <w:r>
        <w:rPr>
          <w:rFonts w:hint="eastAsia" w:ascii="仿宋" w:hAnsi="仿宋" w:eastAsia="仿宋" w:cs="仿宋"/>
          <w:b/>
          <w:color w:val="auto"/>
          <w:sz w:val="24"/>
          <w:szCs w:val="24"/>
        </w:rPr>
        <w:t>本项目接受联合体投标：</w:t>
      </w:r>
      <w:r>
        <w:rPr>
          <w:rFonts w:hint="eastAsia" w:ascii="仿宋" w:hAnsi="仿宋" w:eastAsia="仿宋" w:cs="仿宋"/>
          <w:color w:val="auto"/>
          <w:kern w:val="0"/>
          <w:sz w:val="24"/>
          <w:szCs w:val="24"/>
        </w:rPr>
        <w:t>☐</w:t>
      </w:r>
      <w:r>
        <w:rPr>
          <w:rFonts w:hint="eastAsia" w:ascii="仿宋" w:hAnsi="仿宋" w:eastAsia="仿宋" w:cs="仿宋"/>
          <w:b/>
          <w:color w:val="auto"/>
          <w:sz w:val="24"/>
          <w:szCs w:val="24"/>
        </w:rPr>
        <w:t>是，</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rPr>
        <w:sym w:font="Wingdings" w:char="F0FE"/>
      </w:r>
      <w:r>
        <w:rPr>
          <w:rFonts w:hint="eastAsia" w:ascii="仿宋" w:hAnsi="仿宋" w:eastAsia="仿宋" w:cs="仿宋"/>
          <w:b/>
          <w:color w:val="auto"/>
          <w:sz w:val="24"/>
          <w:szCs w:val="24"/>
        </w:rPr>
        <w:t>否</w:t>
      </w:r>
      <w:r>
        <w:rPr>
          <w:rFonts w:hint="eastAsia" w:ascii="仿宋" w:hAnsi="仿宋" w:eastAsia="仿宋" w:cs="仿宋"/>
          <w:color w:val="auto"/>
          <w:kern w:val="0"/>
          <w:sz w:val="24"/>
          <w:szCs w:val="24"/>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rPr>
      </w:pPr>
      <w:r>
        <w:rPr>
          <w:rFonts w:hint="eastAsia" w:ascii="仿宋" w:hAnsi="仿宋" w:eastAsia="仿宋" w:cs="仿宋"/>
          <w:snapToGrid w:val="0"/>
          <w:kern w:val="28"/>
          <w:sz w:val="24"/>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 xml:space="preserve">    2.落实政府采购政策需满足的资格要求：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sz w:val="24"/>
        </w:rPr>
        <w:t>无；</w:t>
      </w:r>
    </w:p>
    <w:p>
      <w:pPr>
        <w:numPr>
          <w:ilvl w:val="0"/>
          <w:numId w:val="2"/>
        </w:num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本项目的特定资格要求：/。</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2024年4月</w:t>
      </w:r>
      <w:r>
        <w:rPr>
          <w:rFonts w:hint="eastAsia" w:ascii="仿宋" w:hAnsi="仿宋" w:eastAsia="仿宋" w:cs="仿宋"/>
          <w:sz w:val="24"/>
          <w:u w:val="single"/>
          <w:lang w:val="en-US" w:eastAsia="zh-CN"/>
        </w:rPr>
        <w:t>24</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政采云平台（https://www.zcygov.cn/）。</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供应商登录政采云平台https://www.zcygov.cn/在线申请获取招标文件（进入“项目采购”应用，在获取采购</w:t>
      </w:r>
      <w:bookmarkStart w:id="425" w:name="_GoBack"/>
      <w:r>
        <w:rPr>
          <w:rFonts w:hint="eastAsia" w:ascii="仿宋" w:hAnsi="仿宋" w:eastAsia="仿宋" w:cs="仿宋"/>
          <w:sz w:val="24"/>
        </w:rPr>
        <w:t xml:space="preserve">文件菜单中选择项目，申请获取招标文件）。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2024年</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9</w:t>
      </w:r>
      <w:r>
        <w:rPr>
          <w:rFonts w:hint="eastAsia" w:ascii="仿宋" w:hAnsi="仿宋" w:eastAsia="仿宋" w:cs="仿宋"/>
          <w:sz w:val="24"/>
          <w:u w:val="single"/>
        </w:rPr>
        <w:t>日14点00分</w:t>
      </w:r>
      <w:r>
        <w:rPr>
          <w:rFonts w:hint="eastAsia" w:ascii="仿宋" w:hAnsi="仿宋" w:eastAsia="仿宋" w:cs="仿宋"/>
          <w:bCs/>
          <w:sz w:val="24"/>
          <w:u w:val="single"/>
        </w:rPr>
        <w:t xml:space="preserve"> </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政采云平台（https://www.zcygov.cn/）。</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2024年</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9</w:t>
      </w:r>
      <w:r>
        <w:rPr>
          <w:rFonts w:hint="eastAsia" w:ascii="仿宋" w:hAnsi="仿宋" w:eastAsia="仿宋" w:cs="仿宋"/>
          <w:sz w:val="24"/>
          <w:u w:val="single"/>
        </w:rPr>
        <w:t>日14点00分</w:t>
      </w:r>
      <w:r>
        <w:rPr>
          <w:rFonts w:hint="eastAsia" w:ascii="仿宋" w:hAnsi="仿宋" w:eastAsia="仿宋" w:cs="仿宋"/>
          <w:bCs/>
          <w:sz w:val="24"/>
        </w:rPr>
        <w:t>。</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ind w:firstLine="482" w:firstLineChars="200"/>
        <w:rPr>
          <w:rFonts w:ascii="仿宋" w:hAnsi="仿宋" w:eastAsia="仿宋" w:cs="仿宋"/>
          <w:b/>
          <w:sz w:val="24"/>
        </w:rPr>
      </w:pPr>
      <w:r>
        <w:rPr>
          <w:rFonts w:hint="eastAsia" w:ascii="仿宋" w:hAnsi="仿宋" w:eastAsia="仿宋" w:cs="仿宋"/>
          <w:b/>
          <w:sz w:val="24"/>
        </w:rPr>
        <w:t>开标地点（线下）：</w:t>
      </w:r>
      <w:r>
        <w:rPr>
          <w:rFonts w:hint="eastAsia" w:ascii="仿宋" w:hAnsi="仿宋" w:eastAsia="仿宋" w:cs="仿宋"/>
          <w:bCs/>
          <w:sz w:val="24"/>
        </w:rPr>
        <w:t>宁波市奉化区公共资源交易中心开标厅一（宁波市奉化区大成东路277号4楼）</w:t>
      </w:r>
    </w:p>
    <w:p>
      <w:pPr>
        <w:spacing w:line="360" w:lineRule="auto"/>
        <w:rPr>
          <w:rFonts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bookmarkEnd w:id="425"/>
    <w:p>
      <w:pPr>
        <w:spacing w:line="360" w:lineRule="auto"/>
        <w:ind w:firstLine="480" w:firstLineChars="200"/>
        <w:rPr>
          <w:rFonts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w:t>
      </w:r>
      <w:r>
        <w:rPr>
          <w:rFonts w:hint="eastAsia" w:ascii="仿宋" w:hAnsi="仿宋" w:eastAsia="仿宋" w:cs="仿宋"/>
          <w:sz w:val="24"/>
          <w:lang w:val="en-US" w:eastAsia="zh-CN"/>
        </w:rPr>
        <w:t>15</w:t>
      </w:r>
      <w:r>
        <w:rPr>
          <w:rFonts w:hint="eastAsia" w:ascii="仿宋" w:hAnsi="仿宋" w:eastAsia="仿宋" w:cs="仿宋"/>
          <w:sz w:val="24"/>
        </w:rPr>
        <w:t>个工作日内向同级采购监督管理部门投诉。</w:t>
      </w:r>
    </w:p>
    <w:p>
      <w:pPr>
        <w:spacing w:line="360" w:lineRule="auto"/>
        <w:ind w:firstLine="480" w:firstLineChars="200"/>
        <w:rPr>
          <w:rFonts w:ascii="仿宋" w:hAnsi="仿宋" w:eastAsia="仿宋" w:cs="仿宋"/>
          <w:sz w:val="24"/>
        </w:rPr>
      </w:pPr>
      <w:r>
        <w:rPr>
          <w:rFonts w:hint="eastAsia" w:ascii="仿宋" w:hAnsi="仿宋" w:eastAsia="仿宋"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仿宋" w:hAnsi="仿宋" w:eastAsia="仿宋" w:cs="仿宋"/>
          <w:kern w:val="0"/>
          <w:sz w:val="24"/>
          <w:lang w:val="zh-CN"/>
        </w:rPr>
        <w:t>供应商</w:t>
      </w:r>
      <w:r>
        <w:rPr>
          <w:rFonts w:hint="eastAsia" w:ascii="仿宋" w:hAnsi="仿宋" w:eastAsia="仿宋" w:cs="仿宋"/>
          <w:sz w:val="24"/>
        </w:rPr>
        <w:t>在开标前应确保成为浙江省政府采购网正式注册入库供应商，并完成CA数字证书办理。完成CA数字证书办理在资料齐全的情况下预计7个工作日左右，请各</w:t>
      </w:r>
      <w:r>
        <w:rPr>
          <w:rFonts w:hint="eastAsia" w:ascii="仿宋" w:hAnsi="仿宋" w:eastAsia="仿宋" w:cs="仿宋"/>
          <w:kern w:val="0"/>
          <w:sz w:val="24"/>
          <w:lang w:val="zh-CN"/>
        </w:rPr>
        <w:t>供应商</w:t>
      </w:r>
      <w:r>
        <w:rPr>
          <w:rFonts w:hint="eastAsia" w:ascii="仿宋" w:hAnsi="仿宋" w:eastAsia="仿宋" w:cs="仿宋"/>
          <w:sz w:val="24"/>
        </w:rPr>
        <w:t>合理预估时间，及时办理。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⑥对未按上述方式获取招标文件的供应商对该文件提出的质疑，采购人或采购代理机构将不予处理；⑦不提供招标文件纸质版；⑧投标文件的解密：</w:t>
      </w:r>
      <w:r>
        <w:rPr>
          <w:rFonts w:hint="eastAsia" w:ascii="仿宋" w:hAnsi="仿宋" w:eastAsia="仿宋" w:cs="仿宋"/>
          <w:kern w:val="0"/>
          <w:sz w:val="24"/>
          <w:lang w:val="zh-CN"/>
        </w:rPr>
        <w:t>供应商</w:t>
      </w:r>
      <w:r>
        <w:rPr>
          <w:rFonts w:hint="eastAsia" w:ascii="仿宋" w:hAnsi="仿宋" w:eastAsia="仿宋" w:cs="仿宋"/>
          <w:sz w:val="24"/>
        </w:rPr>
        <w:t>按照平台提示和招标文件的规定在半小时内完成在线解密。⑨具体操作指南：详见政采云平台“服务中心-帮助文档-项目采购-操作流程-电子招投标-政府采购项目电子交易管理操作指南-供应商”。</w:t>
      </w:r>
    </w:p>
    <w:p>
      <w:pPr>
        <w:spacing w:line="36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名    称：宁波市名山建设发展集团有限公司  </w:t>
      </w:r>
    </w:p>
    <w:p>
      <w:pPr>
        <w:spacing w:line="360" w:lineRule="auto"/>
        <w:ind w:firstLine="480" w:firstLineChars="200"/>
        <w:rPr>
          <w:rFonts w:ascii="仿宋" w:hAnsi="仿宋" w:eastAsia="仿宋" w:cs="仿宋"/>
        </w:rPr>
      </w:pPr>
      <w:r>
        <w:rPr>
          <w:rFonts w:hint="eastAsia" w:ascii="仿宋" w:hAnsi="仿宋" w:eastAsia="仿宋" w:cs="仿宋"/>
          <w:sz w:val="24"/>
        </w:rPr>
        <w:t>地    址：宁波市奉化区溪口镇中兴路290-2号</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sz w:val="24"/>
        </w:rPr>
      </w:pPr>
      <w:r>
        <w:rPr>
          <w:rFonts w:hint="eastAsia" w:ascii="仿宋" w:hAnsi="仿宋" w:eastAsia="仿宋" w:cs="仿宋"/>
          <w:sz w:val="24"/>
        </w:rPr>
        <w:t xml:space="preserve">项目联系人：单先生 </w:t>
      </w:r>
    </w:p>
    <w:p>
      <w:pPr>
        <w:spacing w:line="360" w:lineRule="auto"/>
        <w:ind w:firstLine="480" w:firstLineChars="200"/>
        <w:rPr>
          <w:rFonts w:ascii="仿宋" w:hAnsi="仿宋" w:eastAsia="仿宋" w:cs="仿宋"/>
          <w:sz w:val="24"/>
        </w:rPr>
      </w:pPr>
      <w:r>
        <w:rPr>
          <w:rFonts w:hint="eastAsia" w:ascii="仿宋" w:hAnsi="仿宋" w:eastAsia="仿宋" w:cs="仿宋"/>
          <w:sz w:val="24"/>
        </w:rPr>
        <w:t>项目联系方式：0574-88854688</w:t>
      </w:r>
    </w:p>
    <w:p>
      <w:pPr>
        <w:spacing w:line="360" w:lineRule="auto"/>
        <w:rPr>
          <w:rFonts w:eastAsia="仿宋" w:cs="仿宋" w:asciiTheme="majorEastAsia" w:hAnsiTheme="majorEastAsia"/>
          <w:sz w:val="24"/>
        </w:rPr>
      </w:pPr>
      <w:r>
        <w:rPr>
          <w:rFonts w:hint="eastAsia" w:cs="仿宋" w:asciiTheme="majorEastAsia" w:hAnsiTheme="majorEastAsia" w:eastAsiaTheme="majorEastAsia"/>
          <w:sz w:val="24"/>
        </w:rPr>
        <w:t xml:space="preserve">    </w:t>
      </w:r>
      <w:r>
        <w:rPr>
          <w:rFonts w:hint="eastAsia" w:ascii="仿宋" w:hAnsi="仿宋" w:eastAsia="仿宋" w:cs="仿宋"/>
          <w:sz w:val="24"/>
        </w:rPr>
        <w:t>质疑联系人： 林先生</w:t>
      </w:r>
    </w:p>
    <w:p>
      <w:pPr>
        <w:spacing w:line="360" w:lineRule="auto"/>
        <w:ind w:firstLine="480" w:firstLineChars="200"/>
        <w:rPr>
          <w:rFonts w:ascii="仿宋" w:hAnsi="仿宋" w:eastAsia="仿宋" w:cs="仿宋"/>
          <w:sz w:val="24"/>
        </w:rPr>
      </w:pPr>
      <w:r>
        <w:rPr>
          <w:rFonts w:hint="eastAsia" w:ascii="仿宋" w:hAnsi="仿宋" w:eastAsia="仿宋" w:cs="仿宋"/>
          <w:sz w:val="24"/>
        </w:rPr>
        <w:t>质疑联系方式：0574-89284180</w:t>
      </w:r>
    </w:p>
    <w:p>
      <w:pPr>
        <w:spacing w:line="360" w:lineRule="auto"/>
        <w:rPr>
          <w:rFonts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ascii="仿宋" w:hAnsi="仿宋" w:eastAsia="仿宋" w:cs="仿宋"/>
          <w:sz w:val="24"/>
        </w:rPr>
      </w:pPr>
      <w:r>
        <w:rPr>
          <w:rFonts w:hint="eastAsia" w:ascii="仿宋" w:hAnsi="仿宋" w:eastAsia="仿宋" w:cs="仿宋"/>
          <w:sz w:val="24"/>
        </w:rPr>
        <w:t>名    称：宁波德立工程项目管理咨询有限公司</w:t>
      </w:r>
    </w:p>
    <w:p>
      <w:pPr>
        <w:spacing w:line="360" w:lineRule="auto"/>
        <w:ind w:firstLine="480"/>
        <w:rPr>
          <w:rFonts w:ascii="仿宋" w:hAnsi="仿宋" w:eastAsia="仿宋" w:cs="仿宋"/>
          <w:sz w:val="24"/>
        </w:rPr>
      </w:pPr>
      <w:r>
        <w:rPr>
          <w:rFonts w:hint="eastAsia" w:ascii="仿宋" w:hAnsi="仿宋" w:eastAsia="仿宋" w:cs="仿宋"/>
          <w:sz w:val="24"/>
        </w:rPr>
        <w:t>地    址： 宁波市奉化区南山路160号商贸大厦4楼</w:t>
      </w:r>
    </w:p>
    <w:p>
      <w:pPr>
        <w:spacing w:line="360" w:lineRule="auto"/>
        <w:rPr>
          <w:rFonts w:ascii="仿宋" w:hAnsi="仿宋" w:eastAsia="仿宋" w:cs="仿宋"/>
          <w:sz w:val="24"/>
        </w:rPr>
      </w:pPr>
      <w:r>
        <w:rPr>
          <w:rFonts w:hint="eastAsia" w:ascii="仿宋" w:hAnsi="仿宋" w:eastAsia="仿宋" w:cs="仿宋"/>
          <w:sz w:val="24"/>
        </w:rPr>
        <w:t xml:space="preserve">    传    真：  /          </w:t>
      </w:r>
    </w:p>
    <w:p>
      <w:pPr>
        <w:spacing w:line="360" w:lineRule="auto"/>
        <w:rPr>
          <w:rFonts w:ascii="仿宋" w:hAnsi="仿宋" w:eastAsia="仿宋" w:cs="仿宋"/>
          <w:sz w:val="24"/>
        </w:rPr>
      </w:pPr>
      <w:r>
        <w:rPr>
          <w:rFonts w:hint="eastAsia" w:ascii="仿宋" w:hAnsi="仿宋" w:eastAsia="仿宋" w:cs="仿宋"/>
          <w:sz w:val="24"/>
        </w:rPr>
        <w:t xml:space="preserve">    项目联系人（询问）：丁瑶瑾</w:t>
      </w:r>
    </w:p>
    <w:p>
      <w:pPr>
        <w:spacing w:line="360" w:lineRule="auto"/>
        <w:rPr>
          <w:rFonts w:ascii="仿宋" w:hAnsi="仿宋" w:eastAsia="仿宋" w:cs="仿宋"/>
          <w:sz w:val="24"/>
        </w:rPr>
      </w:pPr>
      <w:r>
        <w:rPr>
          <w:rFonts w:hint="eastAsia" w:ascii="仿宋" w:hAnsi="仿宋" w:eastAsia="仿宋" w:cs="仿宋"/>
          <w:sz w:val="24"/>
        </w:rPr>
        <w:t xml:space="preserve">    项目联系方式（询问）： 0574-88581100</w:t>
      </w:r>
    </w:p>
    <w:p>
      <w:pPr>
        <w:spacing w:line="360" w:lineRule="auto"/>
        <w:rPr>
          <w:rFonts w:ascii="仿宋" w:hAnsi="仿宋" w:eastAsia="仿宋" w:cs="仿宋"/>
          <w:sz w:val="24"/>
        </w:rPr>
      </w:pPr>
      <w:r>
        <w:rPr>
          <w:rFonts w:hint="eastAsia" w:ascii="仿宋" w:hAnsi="仿宋" w:eastAsia="仿宋" w:cs="仿宋"/>
          <w:sz w:val="24"/>
        </w:rPr>
        <w:t xml:space="preserve">    质疑联系人：林远远</w:t>
      </w:r>
    </w:p>
    <w:p>
      <w:pPr>
        <w:spacing w:line="360" w:lineRule="auto"/>
        <w:rPr>
          <w:rFonts w:ascii="仿宋" w:hAnsi="仿宋" w:eastAsia="仿宋" w:cs="仿宋"/>
          <w:sz w:val="24"/>
        </w:rPr>
      </w:pPr>
      <w:r>
        <w:rPr>
          <w:rFonts w:hint="eastAsia" w:ascii="仿宋" w:hAnsi="仿宋" w:eastAsia="仿宋" w:cs="仿宋"/>
          <w:sz w:val="24"/>
        </w:rPr>
        <w:t xml:space="preserve">    质疑联系方式： 0574-88581100</w:t>
      </w:r>
    </w:p>
    <w:p>
      <w:pPr>
        <w:spacing w:line="360" w:lineRule="auto"/>
        <w:rPr>
          <w:rFonts w:ascii="仿宋" w:hAnsi="仿宋" w:eastAsia="仿宋" w:cs="仿宋"/>
          <w:sz w:val="24"/>
        </w:rPr>
      </w:pPr>
      <w:r>
        <w:rPr>
          <w:rFonts w:hint="eastAsia" w:ascii="仿宋" w:hAnsi="仿宋" w:eastAsia="仿宋" w:cs="仿宋"/>
          <w:sz w:val="24"/>
        </w:rPr>
        <w:t xml:space="preserve">    3.监督管理部门            </w:t>
      </w:r>
    </w:p>
    <w:p>
      <w:pPr>
        <w:spacing w:line="360" w:lineRule="auto"/>
        <w:ind w:firstLine="480" w:firstLineChars="200"/>
        <w:rPr>
          <w:rFonts w:ascii="仿宋" w:hAnsi="仿宋" w:eastAsia="仿宋" w:cs="仿宋"/>
          <w:sz w:val="24"/>
        </w:rPr>
      </w:pPr>
      <w:r>
        <w:rPr>
          <w:rFonts w:hint="eastAsia" w:ascii="仿宋" w:hAnsi="仿宋" w:eastAsia="仿宋" w:cs="仿宋"/>
          <w:sz w:val="24"/>
        </w:rPr>
        <w:t>名 称：宁波市名山建设发展集团有限公司纪检监察（审计）室</w:t>
      </w:r>
    </w:p>
    <w:p>
      <w:pPr>
        <w:spacing w:line="360" w:lineRule="auto"/>
        <w:ind w:firstLine="480" w:firstLineChars="200"/>
        <w:rPr>
          <w:rFonts w:ascii="仿宋" w:hAnsi="仿宋" w:eastAsia="仿宋" w:cs="仿宋"/>
          <w:sz w:val="24"/>
        </w:rPr>
      </w:pPr>
      <w:r>
        <w:rPr>
          <w:rFonts w:hint="eastAsia" w:ascii="仿宋" w:hAnsi="仿宋" w:eastAsia="仿宋" w:cs="仿宋"/>
          <w:sz w:val="24"/>
        </w:rPr>
        <w:t>地 址：宁波市奉化区溪口镇中兴路290-2号</w:t>
      </w:r>
    </w:p>
    <w:p>
      <w:pPr>
        <w:spacing w:line="360" w:lineRule="auto"/>
        <w:ind w:firstLine="480" w:firstLineChars="200"/>
        <w:rPr>
          <w:rFonts w:ascii="仿宋" w:hAnsi="仿宋" w:eastAsia="仿宋" w:cs="仿宋"/>
          <w:sz w:val="24"/>
        </w:rPr>
      </w:pPr>
      <w:r>
        <w:rPr>
          <w:rFonts w:hint="eastAsia" w:ascii="仿宋" w:hAnsi="仿宋" w:eastAsia="仿宋" w:cs="仿宋"/>
          <w:sz w:val="24"/>
        </w:rPr>
        <w:t>联 系 人 ：李娜</w:t>
      </w:r>
    </w:p>
    <w:p>
      <w:pPr>
        <w:spacing w:line="360" w:lineRule="auto"/>
        <w:ind w:firstLine="480" w:firstLineChars="200"/>
        <w:rPr>
          <w:rFonts w:ascii="仿宋" w:hAnsi="仿宋" w:eastAsia="仿宋" w:cs="仿宋"/>
          <w:sz w:val="24"/>
        </w:rPr>
      </w:pPr>
      <w:r>
        <w:rPr>
          <w:rFonts w:hint="eastAsia" w:ascii="仿宋" w:hAnsi="仿宋" w:eastAsia="仿宋" w:cs="仿宋"/>
          <w:sz w:val="24"/>
        </w:rPr>
        <w:t>监督投诉电话：0574-89284167</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jc w:val="center"/>
        <w:outlineLvl w:val="0"/>
        <w:rPr>
          <w:rFonts w:cs="仿宋" w:asciiTheme="majorEastAsia" w:hAnsiTheme="majorEastAsia" w:eastAsiaTheme="majorEastAsia"/>
          <w:b/>
          <w:sz w:val="36"/>
          <w:szCs w:val="20"/>
        </w:rPr>
      </w:pPr>
      <w:r>
        <w:rPr>
          <w:rFonts w:hint="eastAsia" w:cs="仿宋" w:asciiTheme="majorEastAsia" w:hAnsiTheme="majorEastAsia" w:eastAsiaTheme="majorEastAsia"/>
          <w:b/>
          <w:sz w:val="36"/>
          <w:szCs w:val="20"/>
        </w:rPr>
        <w:br w:type="page"/>
      </w:r>
      <w:r>
        <w:rPr>
          <w:rFonts w:hint="eastAsia" w:cs="仿宋" w:asciiTheme="majorEastAsia" w:hAnsiTheme="majorEastAsia" w:eastAsiaTheme="majorEastAsia"/>
          <w:b/>
          <w:sz w:val="36"/>
          <w:szCs w:val="20"/>
        </w:rPr>
        <w:t>第二部分</w:t>
      </w:r>
      <w:bookmarkEnd w:id="8"/>
      <w:r>
        <w:rPr>
          <w:rFonts w:hint="eastAsia" w:cs="仿宋" w:asciiTheme="majorEastAsia" w:hAnsiTheme="majorEastAsia" w:eastAsiaTheme="majorEastAsia"/>
          <w:b/>
          <w:sz w:val="36"/>
          <w:szCs w:val="20"/>
        </w:rPr>
        <w:t xml:space="preserve"> 投标须知</w:t>
      </w:r>
      <w:bookmarkEnd w:id="9"/>
    </w:p>
    <w:p>
      <w:pPr>
        <w:snapToGrid w:val="0"/>
        <w:spacing w:line="360" w:lineRule="auto"/>
        <w:jc w:val="center"/>
        <w:rPr>
          <w:rFonts w:cs="仿宋" w:asciiTheme="majorEastAsia" w:hAnsiTheme="majorEastAsia" w:eastAsiaTheme="majorEastAsia"/>
          <w:b/>
          <w:sz w:val="32"/>
          <w:szCs w:val="20"/>
        </w:rPr>
      </w:pPr>
      <w:r>
        <w:rPr>
          <w:rFonts w:hint="eastAsia" w:cs="仿宋" w:asciiTheme="majorEastAsia" w:hAnsiTheme="majorEastAsia" w:eastAsiaTheme="majorEastAsia"/>
          <w:b/>
          <w:sz w:val="32"/>
          <w:szCs w:val="20"/>
        </w:rPr>
        <w:t>前附表</w:t>
      </w:r>
    </w:p>
    <w:tbl>
      <w:tblPr>
        <w:tblStyle w:val="24"/>
        <w:tblW w:w="913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6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72"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6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开标一览表是报价的唯一载体</w:t>
            </w:r>
            <w:r>
              <w:rPr>
                <w:rFonts w:hint="eastAsia" w:ascii="仿宋" w:hAnsi="仿宋" w:eastAsia="仿宋" w:cs="仿宋"/>
                <w:kern w:val="0"/>
                <w:sz w:val="24"/>
                <w:lang w:val="zh-CN"/>
              </w:rPr>
              <w:t>。投标文件中价格全部采用人民币报价。招标文件未列明，而供应商认为必需的费用也需列入报价。</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报价明显低于其他通过符合性审查供应商的报价，有可能影响产品质量或者不能诚信履约的，未能按要求提供书面说明或者提交相关证明材料证明其报价合理性的</w:t>
            </w:r>
            <w:r>
              <w:rPr>
                <w:rFonts w:hint="eastAsia" w:ascii="仿宋" w:hAnsi="仿宋" w:eastAsia="仿宋" w:cs="仿宋"/>
                <w:b/>
                <w:sz w:val="24"/>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供应商对根据修正原则修正后的报价不确认的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分包</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p>
          <w:p>
            <w:pPr>
              <w:spacing w:line="360" w:lineRule="auto"/>
              <w:jc w:val="left"/>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供应商应当提供的资格文件</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资格证明文件：见招标文件第二部分9.1。</w:t>
            </w:r>
          </w:p>
          <w:p>
            <w:pPr>
              <w:spacing w:line="360" w:lineRule="auto"/>
              <w:rPr>
                <w:rFonts w:ascii="仿宋" w:hAnsi="仿宋" w:eastAsia="仿宋" w:cs="仿宋"/>
                <w:kern w:val="0"/>
                <w:sz w:val="24"/>
              </w:rPr>
            </w:pPr>
            <w:r>
              <w:rPr>
                <w:rFonts w:hint="eastAsia" w:ascii="仿宋" w:hAnsi="仿宋" w:eastAsia="仿宋" w:cs="仿宋"/>
                <w:sz w:val="24"/>
              </w:rPr>
              <w:t>资格证明文件不全的或者不符合招标文件标明的资格要求的</w:t>
            </w:r>
            <w:r>
              <w:rPr>
                <w:rFonts w:hint="eastAsia" w:ascii="仿宋" w:hAnsi="仿宋" w:eastAsia="仿宋" w:cs="仿宋"/>
                <w:sz w:val="24"/>
                <w:lang w:val="zh-CN"/>
              </w:rPr>
              <w:t>，视为供应商不具备招标文件中规定的资格要求，投标无效。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现场考察</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ascii="仿宋" w:hAnsi="仿宋" w:eastAsia="仿宋" w:cs="仿宋"/>
                <w:b/>
                <w:sz w:val="24"/>
              </w:rPr>
            </w:pPr>
            <w:r>
              <w:rPr>
                <w:rFonts w:hint="eastAsia" w:ascii="仿宋" w:hAnsi="仿宋" w:eastAsia="仿宋" w:cs="仿宋"/>
                <w:kern w:val="0"/>
                <w:sz w:val="24"/>
              </w:rPr>
              <w:sym w:font="Wingdings" w:char="00A8"/>
            </w:r>
            <w:r>
              <w:rPr>
                <w:rFonts w:hint="eastAsia" w:ascii="仿宋" w:hAnsi="仿宋" w:eastAsia="仿宋" w:cs="仿宋"/>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6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sym w:font="Wingdings" w:char="00FE"/>
            </w:r>
            <w:r>
              <w:rPr>
                <w:rFonts w:hint="eastAsia" w:ascii="仿宋" w:hAnsi="仿宋" w:eastAsia="仿宋" w:cs="仿宋"/>
                <w:kern w:val="0"/>
                <w:sz w:val="24"/>
              </w:rPr>
              <w:t>A不组织。</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3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项目属性与核心产品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u w:val="single"/>
              </w:rPr>
            </w:pPr>
            <w:r>
              <w:rPr>
                <w:rFonts w:hint="eastAsia" w:ascii="仿宋" w:hAnsi="仿宋" w:eastAsia="仿宋" w:cs="仿宋"/>
                <w:kern w:val="0"/>
                <w:sz w:val="24"/>
              </w:rPr>
              <w:t></w:t>
            </w:r>
            <w:r>
              <w:rPr>
                <w:rFonts w:hint="eastAsia" w:ascii="仿宋" w:hAnsi="仿宋" w:eastAsia="仿宋" w:cs="仿宋"/>
                <w:kern w:val="0"/>
                <w:sz w:val="24"/>
              </w:rPr>
              <w:sym w:font="Wingdings" w:char="00FE"/>
            </w:r>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lang w:val="en-US" w:eastAsia="zh-CN"/>
              </w:rPr>
              <w:t>客梯</w:t>
            </w:r>
            <w:r>
              <w:rPr>
                <w:rFonts w:hint="eastAsia" w:ascii="仿宋" w:hAnsi="仿宋" w:eastAsia="仿宋" w:cs="仿宋"/>
                <w:sz w:val="24"/>
                <w:u w:val="single"/>
              </w:rPr>
              <w:t>。</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多家</w:t>
            </w:r>
            <w:r>
              <w:rPr>
                <w:rFonts w:hint="eastAsia" w:ascii="仿宋" w:hAnsi="仿宋" w:eastAsia="仿宋" w:cs="仿宋"/>
                <w:kern w:val="0"/>
                <w:sz w:val="24"/>
                <w:lang w:val="zh-CN"/>
              </w:rPr>
              <w:t>供应商</w:t>
            </w:r>
            <w:r>
              <w:rPr>
                <w:rFonts w:hint="eastAsia" w:ascii="仿宋" w:hAnsi="仿宋" w:eastAsia="仿宋" w:cs="仿宋"/>
                <w:kern w:val="0"/>
                <w:sz w:val="24"/>
              </w:rPr>
              <w:t>提供相同品牌产品（单一产品采购项目中的该产品或者非单一产品采购项目的核心产品）且通过资格审查、符合性审查的不同</w:t>
            </w:r>
            <w:r>
              <w:rPr>
                <w:rFonts w:hint="eastAsia" w:ascii="仿宋" w:hAnsi="仿宋" w:eastAsia="仿宋" w:cs="仿宋"/>
                <w:kern w:val="0"/>
                <w:sz w:val="24"/>
                <w:lang w:val="zh-CN"/>
              </w:rPr>
              <w:t>供应商</w:t>
            </w:r>
            <w:r>
              <w:rPr>
                <w:rFonts w:hint="eastAsia" w:ascii="仿宋" w:hAnsi="仿宋" w:eastAsia="仿宋" w:cs="仿宋"/>
                <w:kern w:val="0"/>
                <w:sz w:val="24"/>
              </w:rPr>
              <w:t>参加同一合同项下投标的，按一家</w:t>
            </w:r>
            <w:r>
              <w:rPr>
                <w:rFonts w:hint="eastAsia" w:ascii="仿宋" w:hAnsi="仿宋" w:eastAsia="仿宋" w:cs="仿宋"/>
                <w:kern w:val="0"/>
                <w:sz w:val="24"/>
                <w:lang w:val="zh-CN"/>
              </w:rPr>
              <w:t>供应商</w:t>
            </w:r>
            <w:r>
              <w:rPr>
                <w:rFonts w:hint="eastAsia" w:ascii="仿宋" w:hAnsi="仿宋" w:eastAsia="仿宋" w:cs="仿宋"/>
                <w:kern w:val="0"/>
                <w:sz w:val="24"/>
              </w:rPr>
              <w:t>计算，评审后得分最高的同品牌</w:t>
            </w:r>
            <w:r>
              <w:rPr>
                <w:rFonts w:hint="eastAsia" w:ascii="仿宋" w:hAnsi="仿宋" w:eastAsia="仿宋" w:cs="仿宋"/>
                <w:kern w:val="0"/>
                <w:sz w:val="24"/>
                <w:lang w:val="zh-CN"/>
              </w:rPr>
              <w:t>供应商</w:t>
            </w:r>
            <w:r>
              <w:rPr>
                <w:rFonts w:hint="eastAsia" w:ascii="仿宋" w:hAnsi="仿宋" w:eastAsia="仿宋" w:cs="仿宋"/>
                <w:kern w:val="0"/>
                <w:sz w:val="24"/>
              </w:rPr>
              <w:t>获得中标人推荐资格；评审得分相同的，报价评审得分最高的同品牌</w:t>
            </w:r>
            <w:r>
              <w:rPr>
                <w:rFonts w:hint="eastAsia" w:ascii="仿宋" w:hAnsi="仿宋" w:eastAsia="仿宋" w:cs="仿宋"/>
                <w:kern w:val="0"/>
                <w:sz w:val="24"/>
                <w:lang w:val="zh-CN"/>
              </w:rPr>
              <w:t>供应商</w:t>
            </w:r>
            <w:r>
              <w:rPr>
                <w:rFonts w:hint="eastAsia" w:ascii="仿宋" w:hAnsi="仿宋" w:eastAsia="仿宋" w:cs="仿宋"/>
                <w:kern w:val="0"/>
                <w:sz w:val="24"/>
              </w:rPr>
              <w:t>获得中标人推荐资格；评审得分和报价评审得分均相同的，由采购人或评标委员会采取随机抽取方式确定，其他同品牌</w:t>
            </w:r>
            <w:r>
              <w:rPr>
                <w:rFonts w:hint="eastAsia" w:ascii="仿宋" w:hAnsi="仿宋" w:eastAsia="仿宋" w:cs="仿宋"/>
                <w:kern w:val="0"/>
                <w:sz w:val="24"/>
                <w:lang w:val="zh-CN"/>
              </w:rPr>
              <w:t>供应商</w:t>
            </w:r>
            <w:r>
              <w:rPr>
                <w:rFonts w:hint="eastAsia" w:ascii="仿宋" w:hAnsi="仿宋" w:eastAsia="仿宋" w:cs="仿宋"/>
                <w:kern w:val="0"/>
                <w:sz w:val="24"/>
              </w:rPr>
              <w:t>不作为中标候选人。</w:t>
            </w:r>
          </w:p>
          <w:p>
            <w:pPr>
              <w:spacing w:line="360" w:lineRule="auto"/>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5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6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标的1：</w:t>
            </w:r>
            <w:r>
              <w:rPr>
                <w:rFonts w:hint="eastAsia" w:ascii="仿宋" w:hAnsi="仿宋" w:eastAsia="仿宋" w:cs="仿宋"/>
                <w:sz w:val="24"/>
                <w:u w:val="single"/>
              </w:rPr>
              <w:t>客梯</w:t>
            </w:r>
            <w:r>
              <w:rPr>
                <w:rFonts w:hint="eastAsia" w:ascii="仿宋" w:hAnsi="仿宋" w:eastAsia="仿宋" w:cs="仿宋"/>
                <w:sz w:val="24"/>
              </w:rPr>
              <w:t>，属于工业；</w:t>
            </w:r>
          </w:p>
          <w:p>
            <w:pPr>
              <w:snapToGrid w:val="0"/>
              <w:spacing w:line="360" w:lineRule="auto"/>
              <w:rPr>
                <w:rFonts w:ascii="仿宋" w:hAnsi="仿宋" w:eastAsia="仿宋" w:cs="仿宋"/>
                <w:sz w:val="24"/>
              </w:rPr>
            </w:pPr>
            <w:r>
              <w:rPr>
                <w:rFonts w:hint="eastAsia" w:ascii="仿宋" w:hAnsi="仿宋" w:eastAsia="仿宋" w:cs="仿宋"/>
                <w:sz w:val="24"/>
              </w:rPr>
              <w:t>标的2：</w:t>
            </w:r>
            <w:r>
              <w:rPr>
                <w:rFonts w:hint="eastAsia" w:ascii="仿宋" w:hAnsi="仿宋" w:eastAsia="仿宋" w:cs="仿宋"/>
                <w:sz w:val="24"/>
                <w:u w:val="single"/>
              </w:rPr>
              <w:t>固定剪叉式升降台</w:t>
            </w:r>
            <w:r>
              <w:rPr>
                <w:rFonts w:hint="eastAsia" w:ascii="仿宋" w:hAnsi="仿宋" w:eastAsia="仿宋" w:cs="仿宋"/>
                <w:sz w:val="24"/>
              </w:rPr>
              <w:t>，属于工业；</w:t>
            </w:r>
          </w:p>
          <w:p>
            <w:pPr>
              <w:snapToGrid w:val="0"/>
              <w:spacing w:line="360" w:lineRule="auto"/>
              <w:rPr>
                <w:rFonts w:ascii="仿宋" w:hAnsi="仿宋" w:eastAsia="仿宋" w:cs="仿宋"/>
                <w:sz w:val="24"/>
              </w:rPr>
            </w:pPr>
            <w:r>
              <w:rPr>
                <w:rFonts w:hint="eastAsia" w:ascii="仿宋" w:hAnsi="仿宋" w:eastAsia="仿宋" w:cs="仿宋"/>
                <w:sz w:val="24"/>
              </w:rPr>
              <w:t>标的3：</w:t>
            </w:r>
            <w:r>
              <w:rPr>
                <w:rFonts w:hint="eastAsia" w:ascii="仿宋" w:hAnsi="仿宋" w:eastAsia="仿宋" w:cs="仿宋"/>
                <w:sz w:val="24"/>
                <w:u w:val="single"/>
              </w:rPr>
              <w:t>轮椅垂直升降平台</w:t>
            </w:r>
            <w:r>
              <w:rPr>
                <w:rFonts w:hint="eastAsia" w:ascii="仿宋" w:hAnsi="仿宋" w:eastAsia="仿宋" w:cs="仿宋"/>
                <w:sz w:val="24"/>
              </w:rPr>
              <w:t>，属于工业；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中标服务费</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r>
              <w:rPr>
                <w:rFonts w:hint="eastAsia" w:ascii="MS Gothic" w:hAnsi="MS Gothic" w:eastAsia="仿宋" w:cs="仿宋"/>
                <w:snapToGrid w:val="0"/>
                <w:kern w:val="0"/>
                <w:sz w:val="24"/>
              </w:rPr>
              <w:t>☐</w:t>
            </w:r>
            <w:r>
              <w:rPr>
                <w:rFonts w:hint="eastAsia" w:ascii="仿宋" w:hAnsi="仿宋" w:eastAsia="仿宋" w:cs="仿宋"/>
                <w:kern w:val="0"/>
                <w:sz w:val="24"/>
              </w:rPr>
              <w:t>无。</w:t>
            </w:r>
          </w:p>
          <w:p>
            <w:pPr>
              <w:pStyle w:val="9"/>
            </w:pPr>
            <w:r>
              <w:rPr>
                <w:rFonts w:hint="eastAsia" w:ascii="Wingdings" w:hAnsi="Wingdings" w:eastAsia="仿宋" w:cs="仿宋"/>
                <w:kern w:val="0"/>
                <w:szCs w:val="24"/>
                <w:lang w:val="en-US"/>
              </w:rPr>
              <w:sym w:font="Wingdings" w:char="00FE"/>
            </w:r>
            <w:r>
              <w:rPr>
                <w:rFonts w:hint="eastAsia" w:ascii="仿宋" w:hAnsi="仿宋" w:eastAsia="仿宋" w:cs="仿宋"/>
                <w:kern w:val="28"/>
                <w:szCs w:val="24"/>
                <w:lang w:val="en-US"/>
              </w:rPr>
              <w:t>中标人向采购代理机构支付中标服务费</w:t>
            </w:r>
            <w:r>
              <w:rPr>
                <w:rFonts w:hint="eastAsia" w:ascii="仿宋" w:hAnsi="仿宋" w:eastAsia="仿宋" w:cs="仿宋"/>
                <w:kern w:val="28"/>
                <w:szCs w:val="24"/>
                <w:u w:val="single"/>
                <w:lang w:val="en-US" w:eastAsia="zh-CN"/>
              </w:rPr>
              <w:t>25000</w:t>
            </w:r>
            <w:r>
              <w:rPr>
                <w:rFonts w:hint="eastAsia" w:ascii="仿宋" w:hAnsi="仿宋" w:eastAsia="仿宋" w:cs="仿宋"/>
                <w:kern w:val="28"/>
                <w:szCs w:val="24"/>
                <w:lang w:val="en-US"/>
              </w:rPr>
              <w:t>元。</w:t>
            </w:r>
          </w:p>
          <w:p>
            <w:pPr>
              <w:spacing w:line="360" w:lineRule="auto"/>
              <w:rPr>
                <w:rFonts w:ascii="仿宋" w:hAnsi="仿宋" w:eastAsia="仿宋" w:cs="仿宋"/>
                <w:snapToGrid w:val="0"/>
                <w:kern w:val="28"/>
                <w:sz w:val="24"/>
              </w:rPr>
            </w:pPr>
            <w:r>
              <w:rPr>
                <w:rFonts w:hint="eastAsia" w:ascii="Wingdings" w:hAnsi="Wingdings" w:eastAsia="仿宋" w:cs="仿宋"/>
                <w:kern w:val="0"/>
                <w:sz w:val="24"/>
              </w:rPr>
              <w:sym w:font="Wingdings" w:char="00A8"/>
            </w:r>
            <w:r>
              <w:rPr>
                <w:rFonts w:hint="eastAsia" w:ascii="仿宋" w:hAnsi="仿宋" w:eastAsia="仿宋" w:cs="仿宋"/>
                <w:snapToGrid w:val="0"/>
                <w:kern w:val="28"/>
                <w:sz w:val="24"/>
              </w:rPr>
              <w:t>根据国家发改委发改办价格[2003]857号通知和原国家计委计价格[2002]1980号文件规定的服务招标费率标准收取中标服务费，按照中标通知书确定的中标价，向中标供应商收取中标服务费。中标通知书发出后5个工作日内，中标人向采购代理机构支付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napToGrid w:val="0"/>
                <w:kern w:val="28"/>
                <w:sz w:val="24"/>
              </w:rPr>
              <w:t>公益一类事业单位不属于政府购买服务的承接主体，不得参与承接政府购买服务。</w:t>
            </w:r>
          </w:p>
        </w:tc>
      </w:tr>
    </w:tbl>
    <w:p>
      <w:pPr>
        <w:snapToGrid w:val="0"/>
        <w:spacing w:line="360" w:lineRule="auto"/>
        <w:jc w:val="center"/>
        <w:rPr>
          <w:rFonts w:ascii="仿宋" w:hAnsi="仿宋" w:eastAsia="仿宋" w:cs="仿宋"/>
          <w:b/>
          <w:sz w:val="24"/>
        </w:rPr>
      </w:pPr>
    </w:p>
    <w:bookmarkEnd w:id="10"/>
    <w:p>
      <w:pPr>
        <w:jc w:val="center"/>
        <w:rPr>
          <w:rFonts w:cs="仿宋" w:asciiTheme="majorEastAsia" w:hAnsiTheme="majorEastAsia" w:eastAsiaTheme="majorEastAsia"/>
          <w:b/>
          <w:sz w:val="32"/>
          <w:szCs w:val="20"/>
        </w:rPr>
      </w:pPr>
      <w:bookmarkStart w:id="11" w:name="_Toc164416483"/>
      <w:bookmarkStart w:id="12" w:name="第三部分"/>
      <w:r>
        <w:rPr>
          <w:rFonts w:hint="eastAsia" w:cs="仿宋" w:asciiTheme="majorEastAsia" w:hAnsiTheme="majorEastAsia" w:eastAsiaTheme="majorEastAsia"/>
          <w:b/>
          <w:sz w:val="32"/>
          <w:szCs w:val="20"/>
        </w:rPr>
        <w:t>一、总则</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“采购代理机构”系指招标公告中载明的本项目的采购代理机构。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w:t>
      </w:r>
      <w:r>
        <w:rPr>
          <w:rFonts w:hint="eastAsia" w:ascii="仿宋" w:hAnsi="仿宋" w:eastAsia="仿宋" w:cs="仿宋"/>
          <w:kern w:val="0"/>
          <w:sz w:val="24"/>
          <w:lang w:val="zh-CN"/>
        </w:rPr>
        <w:t>供应商</w:t>
      </w:r>
      <w:r>
        <w:rPr>
          <w:rFonts w:hint="eastAsia" w:ascii="仿宋" w:hAnsi="仿宋" w:eastAsia="仿宋" w:cs="仿宋"/>
          <w:sz w:val="24"/>
        </w:rPr>
        <w:t>”系指是指响应招标、参加投标竞争的法人、其他组织或者自然人。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2.6“电子交易平台”是指本项目采购活动所依托的采购云平台（https://www.zcygov.cn/）。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w:t>
      </w:r>
      <w:r>
        <w:rPr>
          <w:rFonts w:hint="eastAsia" w:ascii="仿宋" w:hAnsi="仿宋" w:eastAsia="仿宋" w:cs="仿宋"/>
          <w:kern w:val="0"/>
          <w:sz w:val="24"/>
        </w:rPr>
        <w:t></w:t>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采购项目需要落实的政府采购政策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监管部门提出申请并获得监管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 w:hAnsi="仿宋" w:eastAsia="仿宋" w:cs="仿宋"/>
          <w:sz w:val="24"/>
        </w:rPr>
      </w:pPr>
      <w:r>
        <w:rPr>
          <w:rFonts w:hint="eastAsia" w:ascii="仿宋" w:hAnsi="仿宋" w:eastAsia="仿宋" w:cs="仿宋"/>
          <w:sz w:val="24"/>
        </w:rPr>
        <w:t>3.2 支持节能产品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highlight w:val="yellow"/>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w:t>
      </w:r>
      <w:r>
        <w:rPr>
          <w:rFonts w:hint="eastAsia" w:ascii="仿宋" w:hAnsi="仿宋" w:eastAsia="仿宋" w:cs="仿宋"/>
          <w:kern w:val="0"/>
          <w:sz w:val="24"/>
          <w:lang w:val="zh-CN"/>
        </w:rPr>
        <w:t>供应商</w:t>
      </w:r>
      <w:r>
        <w:rPr>
          <w:rFonts w:hint="eastAsia" w:ascii="仿宋" w:hAnsi="仿宋" w:eastAsia="仿宋" w:cs="仿宋"/>
          <w:kern w:val="0"/>
          <w:sz w:val="24"/>
        </w:rPr>
        <w:t>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w:t>
      </w:r>
      <w:r>
        <w:rPr>
          <w:rFonts w:hint="eastAsia" w:ascii="仿宋" w:hAnsi="仿宋" w:eastAsia="仿宋" w:cs="仿宋"/>
          <w:kern w:val="0"/>
          <w:sz w:val="24"/>
          <w:lang w:val="zh-CN"/>
        </w:rPr>
        <w:t>供应商</w:t>
      </w:r>
      <w:r>
        <w:rPr>
          <w:rFonts w:hint="eastAsia" w:ascii="仿宋" w:hAnsi="仿宋" w:eastAsia="仿宋" w:cs="仿宋"/>
          <w:kern w:val="0"/>
          <w:sz w:val="24"/>
        </w:rPr>
        <w:t>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w:t>
      </w:r>
      <w:r>
        <w:rPr>
          <w:rFonts w:hint="eastAsia" w:ascii="仿宋" w:hAnsi="仿宋" w:eastAsia="仿宋" w:cs="仿宋"/>
          <w:kern w:val="0"/>
          <w:sz w:val="24"/>
          <w:lang w:val="zh-CN"/>
        </w:rPr>
        <w:t>供应商</w:t>
      </w:r>
      <w:r>
        <w:rPr>
          <w:rFonts w:hint="eastAsia" w:ascii="仿宋" w:hAnsi="仿宋" w:eastAsia="仿宋" w:cs="仿宋"/>
          <w:sz w:val="24"/>
        </w:rPr>
        <w:t>应按照招标文件格式要求提供《中小企业声明函》，</w:t>
      </w:r>
      <w:r>
        <w:rPr>
          <w:rFonts w:hint="eastAsia" w:ascii="仿宋" w:hAnsi="仿宋" w:eastAsia="仿宋" w:cs="仿宋"/>
          <w:kern w:val="0"/>
          <w:sz w:val="24"/>
          <w:lang w:val="zh-CN"/>
        </w:rPr>
        <w:t>供应商</w:t>
      </w:r>
      <w:r>
        <w:rPr>
          <w:rFonts w:hint="eastAsia" w:ascii="仿宋" w:hAnsi="仿宋" w:eastAsia="仿宋" w:cs="仿宋"/>
          <w:sz w:val="24"/>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3.4支持创新发展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特别说明</w:t>
      </w:r>
    </w:p>
    <w:p>
      <w:pPr>
        <w:spacing w:line="360" w:lineRule="auto"/>
        <w:ind w:firstLine="480" w:firstLineChars="200"/>
        <w:rPr>
          <w:rFonts w:ascii="仿宋" w:hAnsi="仿宋" w:eastAsia="仿宋" w:cs="仿宋"/>
          <w:sz w:val="24"/>
        </w:rPr>
      </w:pPr>
      <w:r>
        <w:rPr>
          <w:rFonts w:hint="eastAsia" w:ascii="仿宋" w:hAnsi="仿宋" w:eastAsia="仿宋" w:cs="仿宋"/>
          <w:sz w:val="24"/>
        </w:rPr>
        <w:t>4.1关于分公司投标</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除银行、保险、石油石化、电力、电信等特殊行业外。法人的分支机构由于不能独立承担民事责任，不能以分支机构的身份参加政府采购，只能以法人身份参加。 </w:t>
      </w:r>
    </w:p>
    <w:p>
      <w:pPr>
        <w:spacing w:line="360" w:lineRule="auto"/>
        <w:ind w:firstLine="480" w:firstLineChars="200"/>
        <w:rPr>
          <w:rFonts w:ascii="仿宋" w:hAnsi="仿宋" w:eastAsia="仿宋" w:cs="仿宋"/>
          <w:sz w:val="24"/>
        </w:rPr>
      </w:pPr>
      <w:r>
        <w:rPr>
          <w:rFonts w:hint="eastAsia" w:ascii="仿宋" w:hAnsi="仿宋" w:eastAsia="仿宋" w:cs="仿宋"/>
          <w:sz w:val="24"/>
        </w:rPr>
        <w:t>4.2关于知识产权</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4.2.1 </w:t>
      </w:r>
      <w:r>
        <w:rPr>
          <w:rFonts w:hint="eastAsia" w:ascii="仿宋" w:hAnsi="仿宋" w:eastAsia="仿宋" w:cs="仿宋"/>
          <w:kern w:val="0"/>
          <w:sz w:val="24"/>
          <w:lang w:val="zh-CN"/>
        </w:rPr>
        <w:t>供应商</w:t>
      </w:r>
      <w:r>
        <w:rPr>
          <w:rFonts w:hint="eastAsia" w:ascii="仿宋" w:hAnsi="仿宋" w:eastAsia="仿宋" w:cs="仿宋"/>
          <w:sz w:val="24"/>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ascii="仿宋" w:hAnsi="仿宋" w:eastAsia="仿宋" w:cs="仿宋"/>
          <w:kern w:val="0"/>
          <w:sz w:val="24"/>
          <w:lang w:val="zh-CN"/>
        </w:rPr>
        <w:t>供应商</w:t>
      </w:r>
      <w:r>
        <w:rPr>
          <w:rFonts w:hint="eastAsia" w:ascii="仿宋" w:hAnsi="仿宋" w:eastAsia="仿宋" w:cs="仿宋"/>
          <w:sz w:val="24"/>
        </w:rPr>
        <w:t>承担。</w:t>
      </w:r>
    </w:p>
    <w:p>
      <w:pPr>
        <w:spacing w:line="360" w:lineRule="auto"/>
        <w:ind w:firstLine="480" w:firstLineChars="200"/>
        <w:rPr>
          <w:rFonts w:ascii="仿宋" w:hAnsi="仿宋" w:eastAsia="仿宋" w:cs="仿宋"/>
          <w:sz w:val="24"/>
        </w:rPr>
      </w:pPr>
      <w:r>
        <w:rPr>
          <w:rFonts w:hint="eastAsia" w:ascii="仿宋" w:hAnsi="仿宋" w:eastAsia="仿宋" w:cs="仿宋"/>
          <w:sz w:val="24"/>
        </w:rPr>
        <w:t>4.2.2 投标报价应包含所有应向所有权人支付的专利权、商标权或其它知识产权的一切相关费用。</w:t>
      </w:r>
    </w:p>
    <w:p>
      <w:pPr>
        <w:spacing w:line="360" w:lineRule="auto"/>
        <w:ind w:firstLine="480" w:firstLineChars="200"/>
        <w:rPr>
          <w:rFonts w:ascii="仿宋" w:hAnsi="仿宋" w:eastAsia="仿宋" w:cs="仿宋"/>
          <w:sz w:val="24"/>
        </w:rPr>
      </w:pPr>
      <w:r>
        <w:rPr>
          <w:rFonts w:hint="eastAsia" w:ascii="仿宋" w:hAnsi="仿宋" w:eastAsia="仿宋" w:cs="仿宋"/>
          <w:sz w:val="24"/>
        </w:rPr>
        <w:t>4.2.3 系统软件、通用软件必须是具有在中国境内的合法使用权或版权的正版软件，涉及到第三方提出侵权或知识产权的起诉及支付版税等费用由</w:t>
      </w:r>
      <w:r>
        <w:rPr>
          <w:rFonts w:hint="eastAsia" w:ascii="仿宋" w:hAnsi="仿宋" w:eastAsia="仿宋" w:cs="仿宋"/>
          <w:kern w:val="0"/>
          <w:sz w:val="24"/>
          <w:lang w:val="zh-CN"/>
        </w:rPr>
        <w:t>供应商</w:t>
      </w:r>
      <w:r>
        <w:rPr>
          <w:rFonts w:hint="eastAsia" w:ascii="仿宋" w:hAnsi="仿宋" w:eastAsia="仿宋" w:cs="仿宋"/>
          <w:sz w:val="24"/>
        </w:rPr>
        <w:t>承担所有责任及费用。</w:t>
      </w:r>
    </w:p>
    <w:p>
      <w:pPr>
        <w:spacing w:line="360" w:lineRule="auto"/>
        <w:ind w:firstLine="480" w:firstLineChars="200"/>
        <w:rPr>
          <w:rFonts w:ascii="仿宋" w:hAnsi="仿宋" w:eastAsia="仿宋" w:cs="仿宋"/>
          <w:sz w:val="24"/>
        </w:rPr>
      </w:pPr>
      <w:r>
        <w:rPr>
          <w:rFonts w:hint="eastAsia" w:ascii="仿宋" w:hAnsi="仿宋" w:eastAsia="仿宋" w:cs="仿宋"/>
          <w:sz w:val="24"/>
        </w:rPr>
        <w:t>4.3</w:t>
      </w:r>
      <w:r>
        <w:rPr>
          <w:rFonts w:hint="eastAsia" w:ascii="仿宋" w:hAnsi="仿宋" w:eastAsia="仿宋" w:cs="仿宋"/>
          <w:kern w:val="0"/>
          <w:sz w:val="24"/>
          <w:lang w:val="zh-CN"/>
        </w:rPr>
        <w:t>供应商</w:t>
      </w:r>
      <w:r>
        <w:rPr>
          <w:rFonts w:hint="eastAsia" w:ascii="仿宋" w:hAnsi="仿宋" w:eastAsia="仿宋" w:cs="仿宋"/>
          <w:sz w:val="24"/>
        </w:rPr>
        <w:t>的风险</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4.3.1 </w:t>
      </w:r>
      <w:r>
        <w:rPr>
          <w:rFonts w:hint="eastAsia" w:ascii="仿宋" w:hAnsi="仿宋" w:eastAsia="仿宋" w:cs="仿宋"/>
          <w:kern w:val="0"/>
          <w:sz w:val="24"/>
          <w:lang w:val="zh-CN"/>
        </w:rPr>
        <w:t>供应商</w:t>
      </w:r>
      <w:r>
        <w:rPr>
          <w:rFonts w:hint="eastAsia" w:ascii="仿宋" w:hAnsi="仿宋" w:eastAsia="仿宋" w:cs="仿宋"/>
          <w:sz w:val="24"/>
        </w:rPr>
        <w:t>应详细阅读招标文件中的全部内容和要求，按照招标文件的要求提交投标文件，没有按照招标文件要求提供投标文件和资料导致的风险由</w:t>
      </w:r>
      <w:r>
        <w:rPr>
          <w:rFonts w:hint="eastAsia" w:ascii="仿宋" w:hAnsi="仿宋" w:eastAsia="仿宋" w:cs="仿宋"/>
          <w:kern w:val="0"/>
          <w:sz w:val="24"/>
          <w:lang w:val="zh-CN"/>
        </w:rPr>
        <w:t>供应商</w:t>
      </w:r>
      <w:r>
        <w:rPr>
          <w:rFonts w:hint="eastAsia" w:ascii="仿宋" w:hAnsi="仿宋" w:eastAsia="仿宋" w:cs="仿宋"/>
          <w:sz w:val="24"/>
        </w:rPr>
        <w:t>承担,并对所提供的全部资料的真实性承担法律责任。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4.3.2 无论因何种原因导致本次采购活动终止致</w:t>
      </w:r>
      <w:r>
        <w:rPr>
          <w:rFonts w:hint="eastAsia" w:ascii="仿宋" w:hAnsi="仿宋" w:eastAsia="仿宋" w:cs="仿宋"/>
          <w:kern w:val="0"/>
          <w:sz w:val="24"/>
          <w:lang w:val="zh-CN"/>
        </w:rPr>
        <w:t>供应商</w:t>
      </w:r>
      <w:r>
        <w:rPr>
          <w:rFonts w:hint="eastAsia" w:ascii="仿宋" w:hAnsi="仿宋" w:eastAsia="仿宋" w:cs="仿宋"/>
          <w:sz w:val="24"/>
        </w:rPr>
        <w:t>损失的，相关责任人均不承担任何责任。</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询问、质疑、投诉</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5</w:t>
      </w:r>
      <w:r>
        <w:rPr>
          <w:rFonts w:hint="eastAsia" w:ascii="仿宋" w:hAnsi="仿宋" w:eastAsia="仿宋" w:cs="仿宋"/>
          <w:sz w:val="24"/>
          <w:lang w:val="zh-CN"/>
        </w:rPr>
        <w:t>.1供应商询问</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5</w:t>
      </w:r>
      <w:r>
        <w:rPr>
          <w:rFonts w:hint="eastAsia" w:ascii="仿宋" w:hAnsi="仿宋" w:eastAsia="仿宋" w:cs="仿宋"/>
          <w:sz w:val="24"/>
          <w:lang w:val="zh-CN"/>
        </w:rPr>
        <w:t>.2供应商质疑</w:t>
      </w:r>
    </w:p>
    <w:p>
      <w:pPr>
        <w:spacing w:line="360" w:lineRule="auto"/>
        <w:ind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zh-CN"/>
        </w:rPr>
        <w:t>.2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spacing w:line="360" w:lineRule="auto"/>
        <w:ind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zh-CN"/>
        </w:rPr>
        <w:t>.2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line="360" w:lineRule="auto"/>
        <w:ind w:firstLine="480" w:firstLineChars="200"/>
        <w:rPr>
          <w:rFonts w:ascii="仿宋" w:hAnsi="仿宋" w:eastAsia="仿宋" w:cs="仿宋"/>
          <w:sz w:val="24"/>
        </w:rPr>
      </w:pPr>
      <w:r>
        <w:rPr>
          <w:rFonts w:hint="eastAsia" w:ascii="仿宋" w:hAnsi="仿宋" w:eastAsia="仿宋" w:cs="仿宋"/>
          <w:sz w:val="24"/>
        </w:rPr>
        <w:t>5.2.2.1对招标文件提出质疑的，质疑期限为供应商获得招标文件之日或者招标文件公告期限届满之日起计算。</w:t>
      </w:r>
    </w:p>
    <w:p>
      <w:pPr>
        <w:spacing w:line="360" w:lineRule="auto"/>
        <w:ind w:firstLine="480" w:firstLineChars="200"/>
        <w:rPr>
          <w:rFonts w:ascii="仿宋" w:hAnsi="仿宋" w:eastAsia="仿宋" w:cs="仿宋"/>
          <w:sz w:val="24"/>
        </w:rPr>
      </w:pPr>
      <w:r>
        <w:rPr>
          <w:rFonts w:hint="eastAsia" w:ascii="仿宋" w:hAnsi="仿宋" w:eastAsia="仿宋" w:cs="仿宋"/>
          <w:sz w:val="24"/>
        </w:rPr>
        <w:t>5.2.2.2对采购过程提出质疑的，质疑期限为各采购程序环节结束之日起计算。</w:t>
      </w:r>
    </w:p>
    <w:p>
      <w:pPr>
        <w:spacing w:line="360" w:lineRule="auto"/>
        <w:ind w:firstLine="480" w:firstLineChars="200"/>
        <w:rPr>
          <w:rFonts w:ascii="仿宋" w:hAnsi="仿宋" w:eastAsia="仿宋" w:cs="仿宋"/>
          <w:sz w:val="24"/>
        </w:rPr>
      </w:pPr>
      <w:r>
        <w:rPr>
          <w:rFonts w:hint="eastAsia" w:ascii="仿宋" w:hAnsi="仿宋" w:eastAsia="仿宋" w:cs="仿宋"/>
          <w:sz w:val="24"/>
        </w:rPr>
        <w:t>5.2.2.3对采购结果提出质疑的，质疑期限自采购结果公告期限届满之日起计算。</w:t>
      </w:r>
    </w:p>
    <w:p>
      <w:pPr>
        <w:spacing w:line="360" w:lineRule="auto"/>
        <w:ind w:firstLine="480" w:firstLineChars="200"/>
        <w:rPr>
          <w:rFonts w:ascii="仿宋" w:hAnsi="仿宋" w:eastAsia="仿宋" w:cs="仿宋"/>
          <w:sz w:val="24"/>
        </w:rPr>
      </w:pPr>
      <w:r>
        <w:rPr>
          <w:rFonts w:hint="eastAsia" w:ascii="仿宋" w:hAnsi="仿宋" w:eastAsia="仿宋" w:cs="仿宋"/>
          <w:sz w:val="24"/>
        </w:rPr>
        <w:t>5.2.2.4对同一采购程序环节的质疑，供应商须一次性提出。</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5</w:t>
      </w:r>
      <w:r>
        <w:rPr>
          <w:rFonts w:hint="eastAsia" w:ascii="仿宋" w:hAnsi="仿宋" w:eastAsia="仿宋" w:cs="仿宋"/>
          <w:sz w:val="24"/>
          <w:lang w:val="zh-CN"/>
        </w:rPr>
        <w:t>.2.3</w:t>
      </w:r>
      <w:r>
        <w:rPr>
          <w:rFonts w:hint="eastAsia" w:ascii="仿宋" w:hAnsi="仿宋" w:eastAsia="仿宋" w:cs="仿宋"/>
          <w:sz w:val="24"/>
        </w:rPr>
        <w:t>供应商提出质疑应当提交质疑函和必要的证明材料。质疑函应当包括下列内容：</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5</w:t>
      </w:r>
      <w:r>
        <w:rPr>
          <w:rFonts w:hint="eastAsia" w:ascii="仿宋" w:hAnsi="仿宋" w:eastAsia="仿宋" w:cs="仿宋"/>
          <w:sz w:val="24"/>
          <w:lang w:val="zh-CN"/>
        </w:rPr>
        <w:t>.2.3.1供应商的姓名或者名称、地址、邮编、联系人及联系电话；</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5</w:t>
      </w:r>
      <w:r>
        <w:rPr>
          <w:rFonts w:hint="eastAsia" w:ascii="仿宋" w:hAnsi="仿宋" w:eastAsia="仿宋" w:cs="仿宋"/>
          <w:sz w:val="24"/>
          <w:lang w:val="zh-CN"/>
        </w:rPr>
        <w:t>.2.3.2质疑项目的名称、编号；</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5</w:t>
      </w:r>
      <w:r>
        <w:rPr>
          <w:rFonts w:hint="eastAsia" w:ascii="仿宋" w:hAnsi="仿宋" w:eastAsia="仿宋" w:cs="仿宋"/>
          <w:sz w:val="24"/>
          <w:lang w:val="zh-CN"/>
        </w:rPr>
        <w:t>.2.3.3具体、明确的质疑事项和与质疑事项相关的请求；</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5</w:t>
      </w:r>
      <w:r>
        <w:rPr>
          <w:rFonts w:hint="eastAsia" w:ascii="仿宋" w:hAnsi="仿宋" w:eastAsia="仿宋" w:cs="仿宋"/>
          <w:sz w:val="24"/>
          <w:lang w:val="zh-CN"/>
        </w:rPr>
        <w:t>.2.3.4事实依据；</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5</w:t>
      </w:r>
      <w:r>
        <w:rPr>
          <w:rFonts w:hint="eastAsia" w:ascii="仿宋" w:hAnsi="仿宋" w:eastAsia="仿宋" w:cs="仿宋"/>
          <w:sz w:val="24"/>
          <w:lang w:val="zh-CN"/>
        </w:rPr>
        <w:t>.2.3.5必要的法律依据；</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5</w:t>
      </w:r>
      <w:r>
        <w:rPr>
          <w:rFonts w:hint="eastAsia" w:ascii="仿宋" w:hAnsi="仿宋" w:eastAsia="仿宋" w:cs="仿宋"/>
          <w:sz w:val="24"/>
          <w:lang w:val="zh-CN"/>
        </w:rPr>
        <w:t>.2.3.6提出质疑的日期。</w:t>
      </w:r>
    </w:p>
    <w:p>
      <w:pPr>
        <w:spacing w:line="360" w:lineRule="auto"/>
        <w:ind w:firstLine="480" w:firstLineChars="200"/>
        <w:rPr>
          <w:rFonts w:ascii="仿宋" w:hAnsi="仿宋" w:eastAsia="仿宋" w:cs="仿宋"/>
          <w:sz w:val="24"/>
        </w:rPr>
      </w:pPr>
      <w:r>
        <w:rPr>
          <w:rFonts w:hint="eastAsia" w:ascii="仿宋" w:hAnsi="仿宋" w:eastAsia="仿宋" w:cs="仿宋"/>
          <w:sz w:val="24"/>
        </w:rPr>
        <w:t>5.2.3.7对招标文件提出质疑的需要提供在政采云平台获取招标文件的截图。</w:t>
      </w:r>
    </w:p>
    <w:p>
      <w:pPr>
        <w:spacing w:line="360" w:lineRule="auto"/>
        <w:ind w:firstLine="480" w:firstLineChars="200"/>
        <w:rPr>
          <w:rFonts w:ascii="仿宋" w:hAnsi="仿宋" w:eastAsia="仿宋" w:cs="仿宋"/>
          <w:sz w:val="24"/>
        </w:rPr>
      </w:pPr>
      <w:r>
        <w:rPr>
          <w:rFonts w:hint="eastAsia" w:ascii="仿宋" w:hAnsi="仿宋" w:eastAsia="仿宋" w:cs="仿宋"/>
          <w:sz w:val="24"/>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仿宋" w:hAnsi="仿宋" w:eastAsia="仿宋" w:cs="仿宋"/>
          <w:sz w:val="24"/>
        </w:rPr>
      </w:pPr>
      <w:r>
        <w:rPr>
          <w:rFonts w:hint="eastAsia" w:ascii="仿宋" w:hAnsi="仿宋" w:eastAsia="仿宋" w:cs="仿宋"/>
          <w:sz w:val="24"/>
        </w:rPr>
        <w:t>质疑函范本请到浙江政府采购网下载专区下载。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zh-CN"/>
        </w:rPr>
        <w:t>.2</w:t>
      </w:r>
      <w:r>
        <w:rPr>
          <w:rFonts w:hint="eastAsia" w:ascii="仿宋" w:hAnsi="仿宋" w:eastAsia="仿宋" w:cs="仿宋"/>
          <w:sz w:val="24"/>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spacing w:line="360" w:lineRule="auto"/>
        <w:ind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zh-CN"/>
        </w:rPr>
        <w:t>.2</w:t>
      </w:r>
      <w:r>
        <w:rPr>
          <w:rFonts w:hint="eastAsia" w:ascii="仿宋" w:hAnsi="仿宋" w:eastAsia="仿宋" w:cs="仿宋"/>
          <w:sz w:val="24"/>
        </w:rPr>
        <w:t>.5询问或者质疑事项可能影响采购结果的，采购人应当暂停签订合同，已经签订合同的，应当中止履行合同。</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5</w:t>
      </w:r>
      <w:r>
        <w:rPr>
          <w:rFonts w:hint="eastAsia" w:ascii="仿宋" w:hAnsi="仿宋" w:eastAsia="仿宋" w:cs="仿宋"/>
          <w:sz w:val="24"/>
          <w:lang w:val="zh-CN"/>
        </w:rPr>
        <w:t>.3供应商投诉</w:t>
      </w:r>
    </w:p>
    <w:p>
      <w:pPr>
        <w:spacing w:line="360" w:lineRule="auto"/>
        <w:ind w:firstLine="480" w:firstLineChars="200"/>
        <w:rPr>
          <w:rFonts w:ascii="仿宋" w:hAnsi="仿宋" w:eastAsia="仿宋" w:cs="仿宋"/>
          <w:sz w:val="24"/>
        </w:rPr>
      </w:pPr>
      <w:r>
        <w:rPr>
          <w:rFonts w:hint="eastAsia" w:ascii="仿宋" w:hAnsi="仿宋" w:eastAsia="仿宋" w:cs="仿宋"/>
          <w:sz w:val="24"/>
        </w:rPr>
        <w:t>5.3.1质疑供应商对采购人、采购代理机构的答复不满意或者采购人、采购代理机构未在规定的时间内作出答复的，可以在答复期满后十五个工作日内向监督管理部门提出投诉。监督管理部门应当在收到投诉后三十个工作日内，对投诉事项作出处理决定，并以书面形式通知投诉人和与投诉事项有关的当事人。</w:t>
      </w:r>
    </w:p>
    <w:p>
      <w:pPr>
        <w:spacing w:line="360" w:lineRule="auto"/>
        <w:ind w:firstLine="480" w:firstLineChars="200"/>
        <w:rPr>
          <w:rFonts w:ascii="仿宋" w:hAnsi="仿宋" w:eastAsia="仿宋" w:cs="仿宋"/>
          <w:sz w:val="24"/>
        </w:rPr>
      </w:pPr>
      <w:r>
        <w:rPr>
          <w:rFonts w:hint="eastAsia" w:ascii="仿宋" w:hAnsi="仿宋" w:eastAsia="仿宋" w:cs="仿宋"/>
          <w:sz w:val="24"/>
        </w:rPr>
        <w:t>5.3.</w:t>
      </w:r>
      <w:r>
        <w:rPr>
          <w:rFonts w:hint="eastAsia" w:ascii="仿宋" w:hAnsi="仿宋" w:eastAsia="仿宋" w:cs="仿宋"/>
          <w:sz w:val="24"/>
          <w:lang w:val="zh-CN"/>
        </w:rPr>
        <w:t>2</w:t>
      </w:r>
      <w:r>
        <w:rPr>
          <w:rFonts w:hint="eastAsia" w:ascii="仿宋" w:hAnsi="仿宋" w:eastAsia="仿宋" w:cs="仿宋"/>
          <w:sz w:val="24"/>
        </w:rPr>
        <w:t>供应商投诉的事项不得超出已质疑事项的范围，基于质疑答复内容提出的投诉事项除外。</w:t>
      </w:r>
    </w:p>
    <w:p>
      <w:pPr>
        <w:spacing w:line="360" w:lineRule="auto"/>
        <w:ind w:firstLine="480" w:firstLineChars="200"/>
        <w:rPr>
          <w:rFonts w:ascii="仿宋" w:hAnsi="仿宋" w:eastAsia="仿宋" w:cs="仿宋"/>
          <w:sz w:val="24"/>
        </w:rPr>
      </w:pPr>
      <w:r>
        <w:rPr>
          <w:rFonts w:hint="eastAsia" w:ascii="仿宋" w:hAnsi="仿宋" w:eastAsia="仿宋" w:cs="仿宋"/>
          <w:sz w:val="24"/>
        </w:rPr>
        <w:t>5.3.3供应商投诉应当有明确的请求和必要的证明材料。</w:t>
      </w:r>
    </w:p>
    <w:p>
      <w:pPr>
        <w:spacing w:line="360" w:lineRule="auto"/>
        <w:ind w:firstLine="480" w:firstLineChars="200"/>
        <w:rPr>
          <w:rFonts w:ascii="仿宋" w:hAnsi="仿宋" w:eastAsia="仿宋" w:cs="仿宋"/>
          <w:sz w:val="24"/>
        </w:rPr>
      </w:pPr>
      <w:r>
        <w:rPr>
          <w:rFonts w:hint="eastAsia" w:ascii="仿宋" w:hAnsi="仿宋" w:eastAsia="仿宋" w:cs="仿宋"/>
          <w:sz w:val="24"/>
        </w:rPr>
        <w:t>5.3.4 以联合体形式参加政府采购活动的，其投诉应当由组成联合体的所有供应商共同提出。</w:t>
      </w:r>
    </w:p>
    <w:p>
      <w:pPr>
        <w:spacing w:line="360" w:lineRule="auto"/>
        <w:ind w:firstLine="480" w:firstLineChars="200"/>
        <w:rPr>
          <w:rFonts w:ascii="仿宋" w:hAnsi="仿宋" w:eastAsia="仿宋" w:cs="仿宋"/>
          <w:sz w:val="24"/>
        </w:rPr>
      </w:pPr>
      <w:r>
        <w:rPr>
          <w:rFonts w:hint="eastAsia" w:ascii="仿宋" w:hAnsi="仿宋" w:eastAsia="仿宋" w:cs="仿宋"/>
          <w:sz w:val="24"/>
        </w:rPr>
        <w:t>5.3.5投诉人对监督管理部门的投诉处理决定不服或监督管理部门逾期未作处理的，可以向区国资管理中心反映。供应商或相关利害关系人在采购过程中发现涉及违法违纪行为或造成国有资产损失的，可以向纪检监察部门和区国资管理中心反映。举报违法行为，应提供有效线索和证明材料。</w:t>
      </w:r>
    </w:p>
    <w:p>
      <w:pPr>
        <w:spacing w:line="360" w:lineRule="auto"/>
        <w:ind w:firstLine="480" w:firstLineChars="200"/>
        <w:rPr>
          <w:rFonts w:ascii="仿宋" w:hAnsi="仿宋" w:eastAsia="仿宋" w:cs="仿宋"/>
          <w:b/>
          <w:sz w:val="24"/>
        </w:rPr>
      </w:pPr>
      <w:r>
        <w:rPr>
          <w:rFonts w:hint="eastAsia" w:ascii="仿宋" w:hAnsi="仿宋" w:eastAsia="仿宋" w:cs="仿宋"/>
          <w:sz w:val="24"/>
        </w:rPr>
        <w:t>投诉书范本请到浙江政府采购网下载专区下载。</w:t>
      </w:r>
      <w:r>
        <w:rPr>
          <w:rFonts w:hint="eastAsia" w:ascii="仿宋" w:hAnsi="仿宋" w:eastAsia="仿宋" w:cs="仿宋"/>
          <w:b/>
          <w:sz w:val="24"/>
        </w:rPr>
        <w:t xml:space="preserve">    </w:t>
      </w:r>
    </w:p>
    <w:p>
      <w:pPr>
        <w:rPr>
          <w:rFonts w:ascii="仿宋" w:hAnsi="仿宋" w:eastAsia="仿宋" w:cs="仿宋"/>
          <w:b/>
          <w:sz w:val="24"/>
        </w:rPr>
      </w:pPr>
      <w:r>
        <w:rPr>
          <w:rFonts w:hint="eastAsia" w:ascii="仿宋" w:hAnsi="仿宋" w:eastAsia="仿宋" w:cs="仿宋"/>
          <w:b/>
          <w:sz w:val="24"/>
        </w:rPr>
        <w:br w:type="page"/>
      </w:r>
    </w:p>
    <w:p>
      <w:pPr>
        <w:spacing w:line="360" w:lineRule="auto"/>
        <w:jc w:val="center"/>
        <w:outlineLvl w:val="0"/>
        <w:rPr>
          <w:rFonts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sz w:val="32"/>
          <w:szCs w:val="32"/>
        </w:rPr>
        <w:t xml:space="preserve"> 二、招标文件的构成、澄清、修改</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招标文件的构成</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6.1 招标文件包括下列文件及附件：</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6.1.1 招标公告；</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6.1.2 </w:t>
      </w:r>
      <w:r>
        <w:rPr>
          <w:rFonts w:hint="eastAsia" w:ascii="仿宋" w:hAnsi="仿宋" w:eastAsia="仿宋" w:cs="仿宋"/>
          <w:sz w:val="24"/>
          <w:szCs w:val="24"/>
          <w:lang w:val="zh-CN"/>
        </w:rPr>
        <w:t>投标</w:t>
      </w:r>
      <w:r>
        <w:rPr>
          <w:rFonts w:hint="eastAsia" w:ascii="仿宋" w:hAnsi="仿宋" w:eastAsia="仿宋" w:cs="仿宋"/>
          <w:sz w:val="24"/>
          <w:szCs w:val="24"/>
        </w:rPr>
        <w:t>须知；</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6.1.3 采购需求；</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6.1.4 评标办法；</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6.1.5 拟签订的合同文本；</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6.1.6 应提交的有关格式范例； </w:t>
      </w:r>
    </w:p>
    <w:p>
      <w:pPr>
        <w:pStyle w:val="1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6.1.7附件（如有）。</w:t>
      </w:r>
    </w:p>
    <w:p>
      <w:pPr>
        <w:spacing w:line="360" w:lineRule="auto"/>
        <w:ind w:firstLine="480" w:firstLineChars="200"/>
        <w:rPr>
          <w:rFonts w:ascii="仿宋" w:hAnsi="仿宋" w:eastAsia="仿宋" w:cs="仿宋"/>
          <w:sz w:val="24"/>
        </w:rPr>
      </w:pPr>
      <w:r>
        <w:rPr>
          <w:rFonts w:hint="eastAsia" w:ascii="仿宋" w:hAnsi="仿宋" w:eastAsia="仿宋" w:cs="仿宋"/>
          <w:sz w:val="24"/>
        </w:rPr>
        <w:t>6.2与本项目有关的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招标文件的澄清、修改</w:t>
      </w:r>
    </w:p>
    <w:p>
      <w:pPr>
        <w:spacing w:line="360" w:lineRule="auto"/>
        <w:ind w:firstLine="480" w:firstLineChars="200"/>
        <w:rPr>
          <w:rFonts w:ascii="仿宋" w:hAnsi="仿宋" w:eastAsia="仿宋" w:cs="仿宋"/>
          <w:sz w:val="24"/>
        </w:rPr>
      </w:pPr>
      <w:r>
        <w:rPr>
          <w:rFonts w:hint="eastAsia" w:ascii="仿宋" w:hAnsi="仿宋" w:eastAsia="仿宋" w:cs="仿宋"/>
          <w:sz w:val="24"/>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pPr>
        <w:spacing w:line="360" w:lineRule="auto"/>
        <w:ind w:firstLine="480" w:firstLineChars="200"/>
        <w:rPr>
          <w:rFonts w:ascii="仿宋" w:hAnsi="仿宋" w:eastAsia="仿宋" w:cs="仿宋"/>
          <w:sz w:val="24"/>
        </w:rPr>
      </w:pPr>
      <w:r>
        <w:rPr>
          <w:rFonts w:hint="eastAsia" w:ascii="仿宋" w:hAnsi="仿宋" w:eastAsia="仿宋" w:cs="仿宋"/>
          <w:sz w:val="24"/>
        </w:rPr>
        <w:t>7.2 更正公告为招标文件的组成部分，一经在网站发布，视同已通知所有招标文件的收受人，不再采用其它方式传达相关信息, 若因未能及时了解到上述网站上发布的相关信息而导致的一切后果自行承担。</w:t>
      </w:r>
    </w:p>
    <w:p>
      <w:pPr>
        <w:spacing w:line="360" w:lineRule="auto"/>
        <w:ind w:firstLine="480" w:firstLineChars="200"/>
        <w:rPr>
          <w:rFonts w:ascii="仿宋" w:hAnsi="仿宋" w:eastAsia="仿宋" w:cs="仿宋"/>
          <w:sz w:val="24"/>
        </w:rPr>
      </w:pPr>
      <w:r>
        <w:rPr>
          <w:rFonts w:hint="eastAsia" w:ascii="仿宋" w:hAnsi="仿宋" w:eastAsia="仿宋" w:cs="仿宋"/>
          <w:sz w:val="24"/>
        </w:rPr>
        <w:t>7.3 如更正公告有重新发布电子招标文件的，</w:t>
      </w:r>
      <w:r>
        <w:rPr>
          <w:rFonts w:hint="eastAsia" w:ascii="仿宋" w:hAnsi="仿宋" w:eastAsia="仿宋" w:cs="仿宋"/>
          <w:kern w:val="0"/>
          <w:sz w:val="24"/>
          <w:lang w:val="zh-CN"/>
        </w:rPr>
        <w:t>供应商</w:t>
      </w:r>
      <w:r>
        <w:rPr>
          <w:rFonts w:hint="eastAsia" w:ascii="仿宋" w:hAnsi="仿宋" w:eastAsia="仿宋" w:cs="仿宋"/>
          <w:sz w:val="24"/>
        </w:rPr>
        <w:t>应下载最新发布的电子招标文件制作投标文件。</w:t>
      </w:r>
    </w:p>
    <w:p>
      <w:pPr>
        <w:spacing w:line="360" w:lineRule="auto"/>
        <w:ind w:firstLine="480" w:firstLineChars="200"/>
        <w:rPr>
          <w:rFonts w:ascii="仿宋" w:hAnsi="仿宋" w:eastAsia="仿宋" w:cs="仿宋"/>
          <w:b/>
          <w:sz w:val="24"/>
        </w:rPr>
      </w:pPr>
      <w:r>
        <w:rPr>
          <w:rFonts w:hint="eastAsia" w:ascii="仿宋" w:hAnsi="仿宋" w:eastAsia="仿宋" w:cs="仿宋"/>
          <w:sz w:val="24"/>
        </w:rPr>
        <w:t>7.4 已获取招标文件的潜在</w:t>
      </w:r>
      <w:r>
        <w:rPr>
          <w:rFonts w:hint="eastAsia" w:ascii="仿宋" w:hAnsi="仿宋" w:eastAsia="仿宋" w:cs="仿宋"/>
          <w:kern w:val="0"/>
          <w:sz w:val="24"/>
          <w:lang w:val="zh-CN"/>
        </w:rPr>
        <w:t>供应商</w:t>
      </w:r>
      <w:r>
        <w:rPr>
          <w:rFonts w:hint="eastAsia" w:ascii="仿宋" w:hAnsi="仿宋" w:eastAsia="仿宋" w:cs="仿宋"/>
          <w:sz w:val="24"/>
        </w:rPr>
        <w:t>，若有问题需要澄清，应于投标截止时间前，以书面形式向采购代理机构提出。</w:t>
      </w:r>
      <w:r>
        <w:rPr>
          <w:rFonts w:hint="eastAsia" w:ascii="仿宋" w:hAnsi="仿宋" w:eastAsia="仿宋" w:cs="仿宋"/>
          <w:kern w:val="0"/>
          <w:sz w:val="24"/>
          <w:lang w:val="zh-CN"/>
        </w:rPr>
        <w:t>供应商</w:t>
      </w:r>
      <w:r>
        <w:rPr>
          <w:rFonts w:hint="eastAsia" w:ascii="仿宋" w:hAnsi="仿宋" w:eastAsia="仿宋" w:cs="仿宋"/>
          <w:sz w:val="24"/>
        </w:rPr>
        <w:t>在规定的时间内未对招标文件提出疑问、质疑或要求澄清的，将视其为无异议。对招标文件中描述有歧义或前后不一致的地方，评标委员会有权进行评判，但对同一条款的评判应适用于每个</w:t>
      </w:r>
      <w:r>
        <w:rPr>
          <w:rFonts w:hint="eastAsia" w:ascii="仿宋" w:hAnsi="仿宋" w:eastAsia="仿宋" w:cs="仿宋"/>
          <w:kern w:val="0"/>
          <w:sz w:val="24"/>
          <w:lang w:val="zh-CN"/>
        </w:rPr>
        <w:t>供应商</w:t>
      </w:r>
      <w:r>
        <w:rPr>
          <w:rFonts w:hint="eastAsia" w:ascii="仿宋" w:hAnsi="仿宋" w:eastAsia="仿宋" w:cs="仿宋"/>
          <w:sz w:val="24"/>
        </w:rPr>
        <w:t>。</w:t>
      </w:r>
    </w:p>
    <w:p>
      <w:pPr>
        <w:spacing w:line="360" w:lineRule="auto"/>
        <w:jc w:val="center"/>
        <w:outlineLvl w:val="0"/>
        <w:rPr>
          <w:rFonts w:ascii="仿宋" w:hAnsi="仿宋" w:eastAsia="仿宋" w:cs="仿宋"/>
          <w:b/>
          <w:sz w:val="24"/>
        </w:rPr>
      </w:pPr>
      <w:r>
        <w:rPr>
          <w:rFonts w:hint="eastAsia" w:ascii="仿宋" w:hAnsi="仿宋" w:eastAsia="仿宋" w:cs="仿宋"/>
          <w:b/>
          <w:sz w:val="24"/>
        </w:rPr>
        <w:br w:type="page"/>
      </w:r>
      <w:r>
        <w:rPr>
          <w:rFonts w:hint="eastAsia" w:ascii="仿宋" w:hAnsi="仿宋" w:eastAsia="仿宋" w:cs="仿宋"/>
          <w:b/>
          <w:sz w:val="32"/>
          <w:szCs w:val="32"/>
        </w:rPr>
        <w:t>三、投标</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w:t>
      </w:r>
      <w:r>
        <w:rPr>
          <w:rFonts w:hint="eastAsia" w:ascii="仿宋" w:hAnsi="仿宋" w:eastAsia="仿宋" w:cs="仿宋"/>
          <w:kern w:val="0"/>
          <w:sz w:val="24"/>
          <w:lang w:val="zh-CN"/>
        </w:rPr>
        <w:t>供应商</w:t>
      </w:r>
      <w:r>
        <w:rPr>
          <w:rFonts w:hint="eastAsia" w:ascii="仿宋" w:hAnsi="仿宋" w:eastAsia="仿宋" w:cs="仿宋"/>
          <w:sz w:val="24"/>
        </w:rPr>
        <w:t>与采购有关的来往通知、函件和文件均应使用中文。</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9.1 </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9.1.1有效的企业法人营业执照（或事业法人登记证）、其他组织（个体工商户）的营业执照或者民办非企业单位登记证书；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9.1.2符合参加政府采购活动应当具备的一般条件的承诺函(格式见第六部分)；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9.1.3落实政府采购政策需满足的资格要求（如适用）；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9.1.4本项目的特定资格要求。</w:t>
      </w:r>
    </w:p>
    <w:p>
      <w:pPr>
        <w:snapToGrid w:val="0"/>
        <w:spacing w:line="360" w:lineRule="auto"/>
        <w:ind w:firstLine="480" w:firstLineChars="200"/>
        <w:rPr>
          <w:rFonts w:ascii="仿宋" w:hAnsi="仿宋" w:eastAsia="仿宋" w:cs="仿宋"/>
          <w:b/>
          <w:bCs/>
          <w:sz w:val="24"/>
          <w:lang w:val="zh-CN"/>
        </w:rPr>
      </w:pPr>
      <w:r>
        <w:rPr>
          <w:rFonts w:hint="eastAsia" w:ascii="仿宋" w:hAnsi="仿宋" w:eastAsia="仿宋" w:cs="仿宋"/>
          <w:sz w:val="24"/>
        </w:rPr>
        <w:t>9</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9.2.1 符合性自查表；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9.2.2 投标函；</w:t>
      </w:r>
      <w:r>
        <w:rPr>
          <w:rFonts w:hint="eastAsia" w:ascii="仿宋" w:hAnsi="仿宋" w:eastAsia="仿宋" w:cs="仿宋"/>
          <w:sz w:val="24"/>
          <w:lang w:val="zh-CN"/>
        </w:rPr>
        <w:t xml:space="preserve">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9.2.3 授权委托书或法定代表人（单位负责人、自然人本人）身份证明；</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9.2.4 供应商情况表；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9.2.5 距采购人最近或者能为本项目提供最优服务的网点情况表；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6 评标标准相应的商务技术资料；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9.2.7 商务偏离表；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9.2.8 技术偏离表；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9.2.9 同类业绩情况一览表；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9.2.10</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9.2.11其他资料（如有）。</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rPr>
        <w:t>9</w:t>
      </w:r>
      <w:r>
        <w:rPr>
          <w:rFonts w:hint="eastAsia" w:ascii="仿宋" w:hAnsi="仿宋" w:eastAsia="仿宋" w:cs="仿宋"/>
          <w:kern w:val="0"/>
          <w:sz w:val="24"/>
          <w:lang w:val="zh-CN"/>
        </w:rPr>
        <w:t>.</w:t>
      </w:r>
      <w:r>
        <w:rPr>
          <w:rFonts w:hint="eastAsia" w:ascii="仿宋" w:hAnsi="仿宋" w:eastAsia="仿宋" w:cs="仿宋"/>
          <w:kern w:val="0"/>
          <w:sz w:val="24"/>
        </w:rPr>
        <w:t xml:space="preserve">3 </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9.3.1 开标一览表；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9.3.2 投标报价明细表；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9.3.3 中小企业声明函（如有）；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9.3.4 残疾人福利性单位声明函（如有）；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9.3.5 监狱企业的证明文件（如有）；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9.3.6 政府采购统计基础信息表；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9.3.7其他资料（如有）。</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w:t>
      </w:r>
      <w:r>
        <w:rPr>
          <w:rFonts w:hint="eastAsia" w:ascii="仿宋" w:hAnsi="仿宋" w:eastAsia="仿宋" w:cs="仿宋"/>
          <w:kern w:val="0"/>
          <w:sz w:val="24"/>
        </w:rPr>
        <w:t>0</w:t>
      </w:r>
      <w:r>
        <w:rPr>
          <w:rFonts w:hint="eastAsia" w:ascii="仿宋" w:hAnsi="仿宋" w:eastAsia="仿宋" w:cs="仿宋"/>
          <w:kern w:val="0"/>
          <w:sz w:val="24"/>
          <w:lang w:val="zh-CN"/>
        </w:rPr>
        <w:t>.1投标文件分为资格文件、商务技术文件、报价文件三部分。各供应商在编制投标文件时请按照招标文件第六部分规定的格式进行。</w:t>
      </w:r>
      <w:r>
        <w:rPr>
          <w:rFonts w:hint="eastAsia" w:ascii="仿宋" w:hAnsi="仿宋" w:eastAsia="仿宋" w:cs="仿宋"/>
          <w:kern w:val="0"/>
          <w:sz w:val="24"/>
        </w:rPr>
        <w:t>未有规定格式的资料，</w:t>
      </w:r>
      <w:r>
        <w:rPr>
          <w:rFonts w:hint="eastAsia" w:ascii="仿宋" w:hAnsi="仿宋" w:eastAsia="仿宋" w:cs="仿宋"/>
          <w:kern w:val="0"/>
          <w:sz w:val="24"/>
          <w:lang w:val="zh-CN"/>
        </w:rPr>
        <w:t>供应商</w:t>
      </w:r>
      <w:r>
        <w:rPr>
          <w:rFonts w:hint="eastAsia" w:ascii="仿宋" w:hAnsi="仿宋" w:eastAsia="仿宋" w:cs="仿宋"/>
          <w:kern w:val="0"/>
          <w:sz w:val="24"/>
        </w:rPr>
        <w:t>应自行编制，但至少须包含9.投标文件组成中的内容。</w:t>
      </w:r>
      <w:r>
        <w:rPr>
          <w:rFonts w:hint="eastAsia" w:ascii="仿宋" w:hAnsi="仿宋" w:eastAsia="仿宋" w:cs="仿宋"/>
          <w:kern w:val="0"/>
          <w:sz w:val="24"/>
          <w:lang w:val="zh-CN"/>
        </w:rPr>
        <w:t>混乱的编排导致投标文件被误读或评标委员会查找不到有效文件是供应商的风险。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rPr>
        <w:t>0</w:t>
      </w:r>
      <w:r>
        <w:rPr>
          <w:rFonts w:hint="eastAsia" w:ascii="仿宋" w:hAnsi="仿宋" w:eastAsia="仿宋" w:cs="仿宋"/>
          <w:kern w:val="0"/>
          <w:sz w:val="24"/>
          <w:lang w:val="zh-CN"/>
        </w:rPr>
        <w:t>.2供应商进行电子投标应安装客户端软件—“政采云电子交易客户端”，并按照招标文件和电子交易平台的要求编制并加密投标文件。供应商未按规定加密的投标文件，电子交易平台将拒收并提示。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rPr>
        <w:t>0</w:t>
      </w:r>
      <w:r>
        <w:rPr>
          <w:rFonts w:hint="eastAsia" w:ascii="仿宋" w:hAnsi="仿宋" w:eastAsia="仿宋" w:cs="仿宋"/>
          <w:kern w:val="0"/>
          <w:sz w:val="24"/>
          <w:lang w:val="zh-CN"/>
        </w:rPr>
        <w:t>.3使用“政采云电子交易客户端”需要提前申领CA数字证书，申领流程请自行前往“浙江政府采购网-下载专区-电子交易客户端-CA驱动和申领流程”进行查阅。</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投标文件的签署、盖章</w:t>
      </w:r>
    </w:p>
    <w:p>
      <w:pPr>
        <w:pStyle w:val="45"/>
        <w:snapToGrid w:val="0"/>
        <w:spacing w:before="0"/>
        <w:ind w:firstLine="480"/>
        <w:rPr>
          <w:rFonts w:ascii="仿宋" w:hAnsi="仿宋" w:eastAsia="仿宋" w:cs="仿宋"/>
          <w:b/>
          <w:szCs w:val="24"/>
        </w:rPr>
      </w:pPr>
      <w:r>
        <w:rPr>
          <w:rFonts w:hint="eastAsia" w:ascii="仿宋" w:hAnsi="仿宋" w:eastAsia="仿宋" w:cs="仿宋"/>
          <w:szCs w:val="24"/>
        </w:rPr>
        <w:t>11.1投标文件按照招标文件第六部分格式要求进行签署、盖章。</w:t>
      </w:r>
      <w:r>
        <w:rPr>
          <w:rFonts w:hint="eastAsia" w:ascii="仿宋" w:hAnsi="仿宋" w:eastAsia="仿宋" w:cs="仿宋"/>
          <w:b/>
          <w:szCs w:val="24"/>
        </w:rPr>
        <w:t>▲供应商的投标文件未按照招标文件要求签署、盖章的，其投标无效</w:t>
      </w:r>
      <w:r>
        <w:rPr>
          <w:rFonts w:hint="eastAsia" w:ascii="仿宋" w:hAnsi="仿宋" w:eastAsia="仿宋" w:cs="仿宋"/>
          <w:szCs w:val="24"/>
        </w:rPr>
        <w:t>。</w:t>
      </w:r>
    </w:p>
    <w:p>
      <w:pPr>
        <w:pStyle w:val="45"/>
        <w:snapToGrid w:val="0"/>
        <w:spacing w:before="0"/>
        <w:ind w:firstLine="480"/>
        <w:rPr>
          <w:rFonts w:ascii="仿宋" w:hAnsi="仿宋" w:eastAsia="仿宋" w:cs="仿宋"/>
          <w:szCs w:val="24"/>
        </w:rPr>
      </w:pPr>
      <w:r>
        <w:rPr>
          <w:rFonts w:hint="eastAsia" w:ascii="仿宋" w:hAnsi="仿宋" w:eastAsia="仿宋" w:cs="仿宋"/>
          <w:szCs w:val="24"/>
        </w:rPr>
        <w:t>11.2为确保网上操作合法、有效和安全，</w:t>
      </w:r>
      <w:r>
        <w:rPr>
          <w:rFonts w:hint="eastAsia" w:ascii="仿宋" w:hAnsi="仿宋" w:eastAsia="仿宋" w:cs="仿宋"/>
          <w:kern w:val="0"/>
          <w:szCs w:val="24"/>
          <w:lang w:val="zh-CN"/>
        </w:rPr>
        <w:t>供应商</w:t>
      </w:r>
      <w:r>
        <w:rPr>
          <w:rFonts w:hint="eastAsia" w:ascii="仿宋" w:hAnsi="仿宋" w:eastAsia="仿宋" w:cs="仿宋"/>
          <w:szCs w:val="24"/>
        </w:rPr>
        <w:t>应当在投标截止时间前完成在“政府采购云平台”的身份认证，确保在电子投标过程中能够对相关数据电文进行加密和使用电子签名。</w:t>
      </w:r>
    </w:p>
    <w:p>
      <w:pPr>
        <w:pStyle w:val="45"/>
        <w:snapToGrid w:val="0"/>
        <w:spacing w:before="0"/>
        <w:ind w:firstLine="480"/>
        <w:rPr>
          <w:rFonts w:ascii="仿宋" w:hAnsi="仿宋" w:eastAsia="仿宋" w:cs="仿宋"/>
          <w:szCs w:val="24"/>
        </w:rPr>
      </w:pPr>
      <w:r>
        <w:rPr>
          <w:rFonts w:hint="eastAsia" w:ascii="仿宋" w:hAnsi="仿宋" w:eastAsia="仿宋" w:cs="仿宋"/>
          <w:szCs w:val="24"/>
        </w:rPr>
        <w:t>11.3招标文件对投标文件签署、盖章的要求适用于电子签名。</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投标文件的提交、补充、修改、撤回</w:t>
      </w:r>
    </w:p>
    <w:p>
      <w:pPr>
        <w:pStyle w:val="45"/>
        <w:ind w:firstLine="480"/>
        <w:rPr>
          <w:rFonts w:ascii="仿宋" w:hAnsi="仿宋" w:eastAsia="仿宋" w:cs="仿宋"/>
          <w:szCs w:val="24"/>
        </w:rPr>
      </w:pPr>
      <w:r>
        <w:rPr>
          <w:rFonts w:hint="eastAsia" w:ascii="仿宋" w:hAnsi="仿宋" w:eastAsia="仿宋" w:cs="仿宋"/>
          <w:szCs w:val="24"/>
        </w:rPr>
        <w:t>12.1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45"/>
        <w:spacing w:before="0"/>
        <w:ind w:firstLine="480"/>
        <w:rPr>
          <w:rFonts w:ascii="仿宋" w:hAnsi="仿宋" w:eastAsia="仿宋" w:cs="仿宋"/>
          <w:szCs w:val="24"/>
        </w:rPr>
      </w:pPr>
      <w:r>
        <w:rPr>
          <w:rFonts w:hint="eastAsia" w:ascii="仿宋" w:hAnsi="仿宋" w:eastAsia="仿宋" w:cs="仿宋"/>
          <w:szCs w:val="24"/>
        </w:rPr>
        <w:t>12.2电子交易平台收到投标文件，将妥善保存并即时向供应商发出确认回执通知。在投标截止时间前，除供应商补充、修改或者撤回投标文件外，任何单位和个人不得解密或提取投标文件。</w:t>
      </w:r>
    </w:p>
    <w:p>
      <w:pPr>
        <w:pStyle w:val="45"/>
        <w:spacing w:before="0"/>
        <w:ind w:firstLine="480"/>
        <w:rPr>
          <w:rFonts w:ascii="仿宋" w:hAnsi="仿宋" w:eastAsia="仿宋" w:cs="仿宋"/>
          <w:szCs w:val="24"/>
        </w:rPr>
      </w:pPr>
      <w:r>
        <w:rPr>
          <w:rFonts w:hint="eastAsia" w:ascii="仿宋" w:hAnsi="仿宋" w:eastAsia="仿宋" w:cs="仿宋"/>
          <w:szCs w:val="24"/>
        </w:rPr>
        <w:t>12.3采购人、采购代理机构可以视情况延长投标文件提交的截止时间。在上述情况下，采购代理机构与</w:t>
      </w:r>
      <w:r>
        <w:rPr>
          <w:rFonts w:hint="eastAsia" w:ascii="仿宋" w:hAnsi="仿宋" w:eastAsia="仿宋" w:cs="仿宋"/>
          <w:kern w:val="0"/>
          <w:szCs w:val="24"/>
          <w:lang w:val="zh-CN"/>
        </w:rPr>
        <w:t>供应商</w:t>
      </w:r>
      <w:r>
        <w:rPr>
          <w:rFonts w:hint="eastAsia" w:ascii="仿宋" w:hAnsi="仿宋" w:eastAsia="仿宋" w:cs="仿宋"/>
          <w:szCs w:val="24"/>
        </w:rPr>
        <w:t>以前在投标截止期方面的全部权利、责任和义务，将适用于延长至新的投标截止期。</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投标有效期</w:t>
      </w:r>
    </w:p>
    <w:p>
      <w:pPr>
        <w:spacing w:line="360" w:lineRule="auto"/>
        <w:ind w:firstLine="480" w:firstLineChars="200"/>
        <w:rPr>
          <w:rFonts w:ascii="仿宋" w:hAnsi="仿宋" w:eastAsia="仿宋" w:cs="仿宋"/>
          <w:b/>
          <w:sz w:val="24"/>
        </w:rPr>
      </w:pPr>
      <w:r>
        <w:rPr>
          <w:rFonts w:hint="eastAsia" w:ascii="仿宋" w:hAnsi="仿宋" w:eastAsia="仿宋" w:cs="仿宋"/>
          <w:sz w:val="24"/>
        </w:rPr>
        <w:t>投标有效期为从提交投标文件的截止之日起90天。▲</w:t>
      </w:r>
      <w:r>
        <w:rPr>
          <w:rFonts w:hint="eastAsia" w:ascii="仿宋" w:hAnsi="仿宋" w:eastAsia="仿宋" w:cs="仿宋"/>
          <w:b/>
          <w:sz w:val="24"/>
        </w:rPr>
        <w:t>供应商的投标文件中承诺的投标有效期少于招标文件中载明的投标有效期的，投标无效。</w:t>
      </w:r>
    </w:p>
    <w:p>
      <w:pPr>
        <w:pStyle w:val="45"/>
        <w:spacing w:before="0"/>
        <w:ind w:firstLine="482"/>
        <w:rPr>
          <w:rFonts w:ascii="仿宋" w:hAnsi="仿宋" w:eastAsia="仿宋" w:cs="仿宋"/>
          <w:b/>
          <w:szCs w:val="24"/>
        </w:rPr>
      </w:pPr>
    </w:p>
    <w:p>
      <w:pPr>
        <w:pStyle w:val="45"/>
        <w:spacing w:before="0"/>
        <w:ind w:firstLine="1807" w:firstLineChars="600"/>
        <w:rPr>
          <w:rFonts w:ascii="仿宋" w:hAnsi="仿宋" w:eastAsia="仿宋" w:cs="仿宋"/>
          <w:b/>
          <w:sz w:val="30"/>
          <w:szCs w:val="30"/>
        </w:rPr>
      </w:pPr>
      <w:r>
        <w:rPr>
          <w:rFonts w:hint="eastAsia" w:ascii="仿宋" w:hAnsi="仿宋" w:eastAsia="仿宋" w:cs="仿宋"/>
          <w:b/>
          <w:sz w:val="30"/>
          <w:szCs w:val="30"/>
        </w:rPr>
        <w:t>四、开标、资格审查与信用信息查询</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 xml:space="preserve">开标 </w:t>
      </w:r>
    </w:p>
    <w:p>
      <w:pPr>
        <w:pStyle w:val="40"/>
        <w:spacing w:before="0" w:line="360" w:lineRule="auto"/>
        <w:ind w:left="0" w:firstLine="480" w:firstLineChars="200"/>
        <w:contextualSpacing/>
        <w:rPr>
          <w:rFonts w:ascii="仿宋" w:hAnsi="仿宋" w:eastAsia="仿宋" w:cs="仿宋"/>
          <w:sz w:val="24"/>
          <w:szCs w:val="24"/>
        </w:rPr>
      </w:pPr>
      <w:r>
        <w:rPr>
          <w:rFonts w:hint="eastAsia" w:ascii="仿宋" w:hAnsi="仿宋" w:eastAsia="仿宋" w:cs="仿宋"/>
          <w:sz w:val="24"/>
          <w:szCs w:val="24"/>
        </w:rPr>
        <w:t>14.1采购代理机构按照招标文件规定的时间通过电子交易平台组织开标，所有</w:t>
      </w:r>
      <w:r>
        <w:rPr>
          <w:rFonts w:hint="eastAsia" w:ascii="仿宋" w:hAnsi="仿宋" w:eastAsia="仿宋" w:cs="仿宋"/>
          <w:sz w:val="24"/>
          <w:szCs w:val="24"/>
          <w:lang w:val="zh-CN"/>
        </w:rPr>
        <w:t>供应商</w:t>
      </w:r>
      <w:r>
        <w:rPr>
          <w:rFonts w:hint="eastAsia" w:ascii="仿宋" w:hAnsi="仿宋" w:eastAsia="仿宋" w:cs="仿宋"/>
          <w:sz w:val="24"/>
          <w:szCs w:val="24"/>
        </w:rPr>
        <w:t>均应当准时在线参加。</w:t>
      </w:r>
      <w:r>
        <w:rPr>
          <w:rFonts w:hint="eastAsia" w:ascii="仿宋" w:hAnsi="仿宋" w:eastAsia="仿宋" w:cs="仿宋"/>
          <w:sz w:val="24"/>
          <w:szCs w:val="24"/>
          <w:lang w:val="zh-CN"/>
        </w:rPr>
        <w:t>供应商</w:t>
      </w:r>
      <w:r>
        <w:rPr>
          <w:rFonts w:hint="eastAsia" w:ascii="仿宋" w:hAnsi="仿宋" w:eastAsia="仿宋" w:cs="仿宋"/>
          <w:sz w:val="24"/>
          <w:szCs w:val="24"/>
        </w:rPr>
        <w:t>不足3家的，不得开标。</w:t>
      </w:r>
    </w:p>
    <w:p>
      <w:pPr>
        <w:pStyle w:val="40"/>
        <w:spacing w:before="0" w:line="360" w:lineRule="auto"/>
        <w:ind w:left="0" w:firstLine="240" w:firstLineChars="100"/>
        <w:contextualSpacing/>
        <w:rPr>
          <w:rFonts w:ascii="仿宋" w:hAnsi="仿宋" w:eastAsia="仿宋" w:cs="仿宋"/>
          <w:sz w:val="24"/>
          <w:szCs w:val="24"/>
        </w:rPr>
      </w:pPr>
      <w:r>
        <w:rPr>
          <w:rFonts w:hint="eastAsia" w:ascii="仿宋" w:hAnsi="仿宋" w:eastAsia="仿宋" w:cs="仿宋"/>
          <w:sz w:val="24"/>
          <w:szCs w:val="24"/>
        </w:rPr>
        <w:t>　14.2开标时，电子交易平台按开标时间自动提取所有投标文件。采购代理机构依托电子交易平台发起开始解密指令，</w:t>
      </w:r>
      <w:r>
        <w:rPr>
          <w:rFonts w:hint="eastAsia" w:ascii="仿宋" w:hAnsi="仿宋" w:eastAsia="仿宋" w:cs="仿宋"/>
          <w:sz w:val="24"/>
          <w:szCs w:val="24"/>
          <w:lang w:val="zh-CN"/>
        </w:rPr>
        <w:t>供应商</w:t>
      </w:r>
      <w:r>
        <w:rPr>
          <w:rFonts w:hint="eastAsia" w:ascii="仿宋" w:hAnsi="仿宋" w:eastAsia="仿宋" w:cs="仿宋"/>
          <w:sz w:val="24"/>
          <w:szCs w:val="24"/>
        </w:rPr>
        <w:t>按照平台提示和招标文件的规定在半小时内完成在线解密。</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资格审查</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15.1开标后，采购人或采购代理机构依据法律法规和招标文件的规定，对供应商的资格条件进行审查。</w:t>
      </w:r>
    </w:p>
    <w:p>
      <w:pPr>
        <w:pStyle w:val="45"/>
        <w:spacing w:before="0"/>
        <w:ind w:firstLine="480"/>
        <w:rPr>
          <w:rFonts w:ascii="仿宋" w:hAnsi="仿宋" w:eastAsia="仿宋" w:cs="仿宋"/>
          <w:szCs w:val="24"/>
        </w:rPr>
      </w:pPr>
      <w:r>
        <w:rPr>
          <w:rFonts w:hint="eastAsia" w:ascii="仿宋" w:hAnsi="仿宋" w:eastAsia="仿宋" w:cs="仿宋"/>
          <w:kern w:val="0"/>
          <w:szCs w:val="24"/>
        </w:rPr>
        <w:t>15.</w:t>
      </w:r>
      <w:r>
        <w:rPr>
          <w:rFonts w:hint="eastAsia" w:ascii="仿宋" w:hAnsi="仿宋" w:eastAsia="仿宋" w:cs="仿宋"/>
          <w:szCs w:val="24"/>
        </w:rPr>
        <w:t>2对未通过资格审查的供应商，采购人或采购代理机构告知其未通过的原因。</w:t>
      </w:r>
    </w:p>
    <w:p>
      <w:pPr>
        <w:pStyle w:val="45"/>
        <w:spacing w:before="0"/>
        <w:ind w:firstLine="480"/>
        <w:rPr>
          <w:rFonts w:ascii="仿宋" w:hAnsi="仿宋" w:eastAsia="仿宋" w:cs="仿宋"/>
          <w:szCs w:val="24"/>
        </w:rPr>
      </w:pPr>
      <w:r>
        <w:rPr>
          <w:rFonts w:hint="eastAsia" w:ascii="仿宋" w:hAnsi="仿宋" w:eastAsia="仿宋" w:cs="仿宋"/>
          <w:kern w:val="0"/>
          <w:szCs w:val="24"/>
        </w:rPr>
        <w:t>15.</w:t>
      </w:r>
      <w:r>
        <w:rPr>
          <w:rFonts w:hint="eastAsia" w:ascii="仿宋" w:hAnsi="仿宋" w:eastAsia="仿宋" w:cs="仿宋"/>
          <w:szCs w:val="24"/>
        </w:rPr>
        <w:t>3合格供应商不足3家的，不再评标。</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信用信息查询</w:t>
      </w:r>
    </w:p>
    <w:p>
      <w:pPr>
        <w:pStyle w:val="45"/>
        <w:spacing w:before="0"/>
        <w:ind w:firstLine="495" w:firstLineChars="0"/>
        <w:rPr>
          <w:rFonts w:ascii="仿宋" w:hAnsi="仿宋" w:eastAsia="仿宋" w:cs="仿宋"/>
          <w:kern w:val="0"/>
          <w:szCs w:val="24"/>
        </w:rPr>
      </w:pPr>
      <w:r>
        <w:rPr>
          <w:rFonts w:hint="eastAsia" w:ascii="仿宋" w:hAnsi="仿宋" w:eastAsia="仿宋" w:cs="仿宋"/>
          <w:kern w:val="0"/>
          <w:szCs w:val="24"/>
        </w:rPr>
        <w:t>16.1信用信息查询渠道及截止时间：采购代理机构将通过“信用中国”网站(www.creditchina.gov.cn)、中国政府采购网(www.ccgp.gov.cn)渠道查询供应商投标截止时间当天的信用记录。</w:t>
      </w:r>
    </w:p>
    <w:p>
      <w:pPr>
        <w:pStyle w:val="45"/>
        <w:spacing w:before="0"/>
        <w:ind w:firstLine="495" w:firstLineChars="0"/>
        <w:rPr>
          <w:rFonts w:ascii="仿宋" w:hAnsi="仿宋" w:eastAsia="仿宋" w:cs="仿宋"/>
          <w:kern w:val="0"/>
          <w:szCs w:val="24"/>
        </w:rPr>
      </w:pPr>
      <w:r>
        <w:rPr>
          <w:rFonts w:hint="eastAsia" w:ascii="仿宋" w:hAnsi="仿宋" w:eastAsia="仿宋" w:cs="仿宋"/>
          <w:kern w:val="0"/>
          <w:szCs w:val="24"/>
        </w:rPr>
        <w:t>16.2信用信息的使用规则：经查询列入失信被执行人名单、重大税收违法失信主体、政府采购严重违法失信行为记录名单的</w:t>
      </w:r>
      <w:r>
        <w:rPr>
          <w:rFonts w:hint="eastAsia" w:ascii="仿宋" w:hAnsi="仿宋" w:eastAsia="仿宋" w:cs="仿宋"/>
          <w:kern w:val="0"/>
          <w:szCs w:val="24"/>
          <w:lang w:val="zh-CN"/>
        </w:rPr>
        <w:t>供应商</w:t>
      </w:r>
      <w:r>
        <w:rPr>
          <w:rFonts w:hint="eastAsia" w:ascii="仿宋" w:hAnsi="仿宋" w:eastAsia="仿宋" w:cs="仿宋"/>
          <w:kern w:val="0"/>
          <w:szCs w:val="24"/>
        </w:rPr>
        <w:t>将被拒绝参与政府采购活动。</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16.3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szCs w:val="24"/>
        </w:rPr>
        <w:t>。</w:t>
      </w:r>
    </w:p>
    <w:p>
      <w:pPr>
        <w:snapToGrid w:val="0"/>
        <w:spacing w:line="360" w:lineRule="auto"/>
        <w:jc w:val="center"/>
        <w:rPr>
          <w:rFonts w:ascii="仿宋" w:hAnsi="仿宋" w:eastAsia="仿宋" w:cs="仿宋"/>
          <w:b/>
          <w:sz w:val="24"/>
        </w:rPr>
      </w:pPr>
    </w:p>
    <w:p>
      <w:pPr>
        <w:snapToGrid w:val="0"/>
        <w:spacing w:line="360" w:lineRule="auto"/>
        <w:jc w:val="center"/>
        <w:rPr>
          <w:rFonts w:ascii="仿宋" w:hAnsi="仿宋" w:eastAsia="仿宋" w:cs="仿宋"/>
          <w:b/>
          <w:sz w:val="32"/>
          <w:szCs w:val="32"/>
        </w:rPr>
      </w:pP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sz w:val="32"/>
          <w:szCs w:val="32"/>
        </w:rPr>
        <w:t>五、评标</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bookmarkStart w:id="13" w:name="_Toc91899903"/>
      <w:r>
        <w:rPr>
          <w:rFonts w:hint="eastAsia" w:ascii="仿宋" w:hAnsi="仿宋" w:eastAsia="仿宋" w:cs="仿宋"/>
          <w:b/>
          <w:sz w:val="24"/>
        </w:rPr>
        <w:t>评标委员会</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17.1 本次招标依法组建评标委员会。评标委员会由采购人代表和评审专家组成，评审专家从专家库随机抽取。</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17.2 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17.3 评审专家有下列情形之一的，受到邀请应主动提出回避，采购当事人也可以要求该评审专家回避：</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17.3.1 参加采购活动前三年内，与供应商存在劳动关系，或者担任过供应商的董事、监事，或者是供应商的控股股东或实际控制人；</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17.3.2 与供应商的法定代表人或者负责人有夫妻、直系血亲、三代以内旁系血亲或者近姻亲关系；</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17.3.3 任职单位与参加该采购项目供应商存在行政隶属关系；</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17.3.4 曾经参加过该采购项目的进口产品或招标文件、采购需求、采购方式的论证和咨询服务工作；</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17.3.5 是参加该采购项目供应商的上级主管部门、控股或参股单位的工作人员，或与该供应商存在其他经济利益关系；</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17.3.6 评标委员会成员之间具有配偶、近亲属关系等；</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17.3.7 法律、法规、规章规定应当回避以及其他可能影响政府采购活动公平、公正进行的关系。</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17.4 评标委员会判断投标文件的有效性、合格性和响应情况，仅依据投标人所递交一切文件的真实表述，不受与本项目无直接关联的外部信息、传言而影响自身的专业判断。</w:t>
      </w:r>
    </w:p>
    <w:p>
      <w:pPr>
        <w:pStyle w:val="45"/>
        <w:spacing w:before="0"/>
        <w:ind w:firstLine="480"/>
        <w:rPr>
          <w:rFonts w:ascii="仿宋" w:hAnsi="仿宋" w:eastAsia="仿宋" w:cs="仿宋"/>
          <w:szCs w:val="24"/>
        </w:rPr>
      </w:pPr>
      <w:r>
        <w:rPr>
          <w:rFonts w:hint="eastAsia" w:ascii="仿宋" w:hAnsi="仿宋" w:eastAsia="仿宋" w:cs="仿宋"/>
          <w:kern w:val="0"/>
          <w:szCs w:val="24"/>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评标</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评标委员会将根据招标文件和有关规定，履行评标工作职责，并按照评标方法及评分标准，全面衡量各</w:t>
      </w:r>
      <w:r>
        <w:rPr>
          <w:rFonts w:hint="eastAsia" w:ascii="仿宋" w:hAnsi="仿宋" w:eastAsia="仿宋" w:cs="仿宋"/>
          <w:kern w:val="0"/>
          <w:szCs w:val="24"/>
          <w:lang w:val="zh-CN"/>
        </w:rPr>
        <w:t>供应商</w:t>
      </w:r>
      <w:r>
        <w:rPr>
          <w:rFonts w:hint="eastAsia" w:ascii="仿宋" w:hAnsi="仿宋" w:eastAsia="仿宋" w:cs="仿宋"/>
          <w:kern w:val="0"/>
          <w:szCs w:val="24"/>
        </w:rPr>
        <w:t>对招标文件的响应情况。对实质上响应招标文件的</w:t>
      </w:r>
      <w:r>
        <w:rPr>
          <w:rFonts w:hint="eastAsia" w:ascii="仿宋" w:hAnsi="仿宋" w:eastAsia="仿宋" w:cs="仿宋"/>
          <w:kern w:val="0"/>
          <w:szCs w:val="24"/>
          <w:lang w:val="zh-CN"/>
        </w:rPr>
        <w:t>供应商</w:t>
      </w:r>
      <w:r>
        <w:rPr>
          <w:rFonts w:hint="eastAsia" w:ascii="仿宋" w:hAnsi="仿宋" w:eastAsia="仿宋" w:cs="仿宋"/>
          <w:kern w:val="0"/>
          <w:szCs w:val="24"/>
        </w:rPr>
        <w:t>，按照评审因素的量化指标推荐综合得分排名第一的为中标候选人。</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得分相同的，按投标报价由低到高顺序排列。得分且投标报价相同的，投标文件满足招标文件全部实质性要求，且按照评审因素的量化指标评审得分最高的</w:t>
      </w:r>
      <w:r>
        <w:rPr>
          <w:rFonts w:hint="eastAsia" w:ascii="仿宋" w:hAnsi="仿宋" w:eastAsia="仿宋" w:cs="仿宋"/>
          <w:kern w:val="0"/>
          <w:szCs w:val="24"/>
          <w:lang w:val="zh-CN"/>
        </w:rPr>
        <w:t>供应商</w:t>
      </w:r>
      <w:r>
        <w:rPr>
          <w:rFonts w:hint="eastAsia" w:ascii="仿宋" w:hAnsi="仿宋" w:eastAsia="仿宋" w:cs="仿宋"/>
          <w:kern w:val="0"/>
          <w:szCs w:val="24"/>
        </w:rPr>
        <w:t>为排名第一的中标候选人。</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24"/>
        </w:rPr>
      </w:pPr>
      <w:r>
        <w:rPr>
          <w:rFonts w:hint="eastAsia" w:ascii="仿宋" w:hAnsi="仿宋" w:eastAsia="仿宋" w:cs="仿宋"/>
          <w:b/>
          <w:sz w:val="32"/>
          <w:szCs w:val="32"/>
        </w:rPr>
        <w:t>六、定 标</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确定中标供应商</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本项目由评标委员会推荐一个中标候选人，采购人不得在评标委员会推荐的中标候选人以外确定中标候选人。</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中标通知与中标结果公告</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20.1自中标人确定之日起2个工作日内，采购代理机构通过电子交易平台向中标人发出中标通知书，同时编制发布采购结果公告。采购代理机构也可以以纸质形式进行中标通知。</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20.2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20.3公告期限为1个工作日。</w:t>
      </w:r>
    </w:p>
    <w:p>
      <w:pPr>
        <w:snapToGrid w:val="0"/>
        <w:spacing w:line="360" w:lineRule="auto"/>
        <w:ind w:left="120" w:leftChars="57" w:firstLine="361" w:firstLineChars="150"/>
        <w:jc w:val="center"/>
        <w:rPr>
          <w:rFonts w:ascii="仿宋" w:hAnsi="仿宋" w:eastAsia="仿宋" w:cs="仿宋"/>
          <w:b/>
          <w:sz w:val="24"/>
        </w:rPr>
      </w:pPr>
    </w:p>
    <w:p>
      <w:pPr>
        <w:snapToGrid w:val="0"/>
        <w:spacing w:line="360" w:lineRule="auto"/>
        <w:ind w:left="120" w:leftChars="57" w:firstLine="482" w:firstLineChars="150"/>
        <w:jc w:val="center"/>
        <w:rPr>
          <w:rFonts w:ascii="仿宋" w:hAnsi="仿宋" w:eastAsia="仿宋" w:cs="仿宋"/>
          <w:b/>
          <w:sz w:val="32"/>
          <w:szCs w:val="32"/>
        </w:rPr>
      </w:pPr>
      <w:r>
        <w:rPr>
          <w:rFonts w:hint="eastAsia" w:ascii="仿宋" w:hAnsi="仿宋" w:eastAsia="仿宋" w:cs="仿宋"/>
          <w:b/>
          <w:sz w:val="32"/>
          <w:szCs w:val="32"/>
        </w:rPr>
        <w:t>七、合同授予</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合同授予</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合同主要条款详见第五部分拟签订的合同文本。</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合同的签订</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22.1 采购人与中标供应商应当通过电子交易平台在中标通知书发出之日起</w:t>
      </w:r>
      <w:r>
        <w:rPr>
          <w:rFonts w:hint="eastAsia" w:ascii="仿宋" w:hAnsi="仿宋" w:eastAsia="仿宋" w:cs="仿宋"/>
          <w:kern w:val="0"/>
          <w:szCs w:val="24"/>
          <w:lang w:val="en-US" w:eastAsia="zh-CN"/>
        </w:rPr>
        <w:t>30</w:t>
      </w:r>
      <w:r>
        <w:rPr>
          <w:rFonts w:hint="eastAsia" w:ascii="仿宋" w:hAnsi="仿宋" w:eastAsia="仿宋" w:cs="仿宋"/>
          <w:kern w:val="0"/>
          <w:szCs w:val="24"/>
        </w:rPr>
        <w:t>日内，按照招标文件及中标供应商的投标文件确定的事项签订政府采购合同，并在合同签订之日起2个工作日内依法发布合同公告。</w:t>
      </w:r>
    </w:p>
    <w:p>
      <w:pPr>
        <w:pStyle w:val="45"/>
        <w:spacing w:before="0"/>
        <w:ind w:firstLine="480"/>
        <w:rPr>
          <w:rFonts w:ascii="仿宋" w:hAnsi="仿宋" w:eastAsia="仿宋" w:cs="仿宋"/>
          <w:kern w:val="0"/>
          <w:szCs w:val="24"/>
        </w:rPr>
      </w:pPr>
      <w:r>
        <w:rPr>
          <w:rFonts w:hint="eastAsia" w:ascii="仿宋" w:hAnsi="仿宋" w:eastAsia="仿宋" w:cs="仿宋"/>
          <w:kern w:val="0"/>
          <w:szCs w:val="24"/>
          <w:lang w:val="zh-CN"/>
        </w:rPr>
        <w:t>2</w:t>
      </w:r>
      <w:r>
        <w:rPr>
          <w:rFonts w:hint="eastAsia" w:ascii="仿宋" w:hAnsi="仿宋" w:eastAsia="仿宋" w:cs="仿宋"/>
          <w:kern w:val="0"/>
          <w:szCs w:val="24"/>
        </w:rPr>
        <w:t>2</w:t>
      </w:r>
      <w:r>
        <w:rPr>
          <w:rFonts w:hint="eastAsia" w:ascii="仿宋" w:hAnsi="仿宋" w:eastAsia="仿宋" w:cs="仿宋"/>
          <w:kern w:val="0"/>
          <w:szCs w:val="24"/>
          <w:lang w:val="zh-CN"/>
        </w:rPr>
        <w:t>.2中标供应商按规定的日期、时间、地点，由法定代表人或其授权代表与采购人代表签订合同。如中标人为联合体的，由联合体成员各方法定代表人或其授权代表与采购人代表签订合同。</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22.3如签订合同并生效后，供应商无故拒绝或延期，除按照合同条款处理外，列入不良行为记录名单，并给予通报。</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22.4中标供应商拒绝与采购人签订合同的，列入不良行为记录名单，采购人、采购代理机构重新开展政府采购活动。</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22.5采购合同由采购人与中标供应商根据招标文件、投标文件等内容通过政府采购电子交易平台在线签订，自动备案。</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履约保证金</w:t>
      </w:r>
    </w:p>
    <w:p>
      <w:pPr>
        <w:tabs>
          <w:tab w:val="left" w:pos="0"/>
        </w:tabs>
        <w:spacing w:line="360" w:lineRule="auto"/>
        <w:ind w:firstLine="482"/>
        <w:rPr>
          <w:rFonts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。履约保证金的数额不得超过政府采购合同金额的2.5%。鼓励和支持供应商以银行、保险公司出具的保函形式提供履约保证金。</w:t>
      </w:r>
      <w:r>
        <w:rPr>
          <w:rFonts w:hint="eastAsia" w:ascii="仿宋" w:hAnsi="仿宋" w:eastAsia="仿宋" w:cs="仿宋"/>
          <w:b/>
          <w:sz w:val="24"/>
        </w:rPr>
        <w:t>采购人不得拒收履约保函。</w:t>
      </w:r>
    </w:p>
    <w:p>
      <w:pPr>
        <w:pStyle w:val="9"/>
        <w:rPr>
          <w:rFonts w:ascii="仿宋" w:hAnsi="仿宋" w:eastAsia="仿宋" w:cs="仿宋"/>
          <w:szCs w:val="24"/>
        </w:rPr>
      </w:pPr>
    </w:p>
    <w:p>
      <w:pPr>
        <w:snapToGrid w:val="0"/>
        <w:spacing w:line="360" w:lineRule="auto"/>
        <w:ind w:firstLine="3357" w:firstLineChars="1045"/>
        <w:rPr>
          <w:rFonts w:ascii="仿宋" w:hAnsi="仿宋" w:eastAsia="仿宋" w:cs="仿宋"/>
          <w:b/>
          <w:sz w:val="32"/>
          <w:szCs w:val="32"/>
        </w:rPr>
      </w:pPr>
      <w:r>
        <w:rPr>
          <w:rFonts w:hint="eastAsia" w:ascii="仿宋" w:hAnsi="仿宋" w:eastAsia="仿宋" w:cs="仿宋"/>
          <w:b/>
          <w:sz w:val="32"/>
          <w:szCs w:val="32"/>
        </w:rPr>
        <w:t>八、电子交易活动的中止</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电子交易活动的中止</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采购过程中出现以下情形，导致电子交易平台无法正常运行，或者无法保证电子交易的公平、公正和安全时，采购代理机构可中止电子交易活动：</w:t>
      </w:r>
    </w:p>
    <w:p>
      <w:pPr>
        <w:pStyle w:val="45"/>
        <w:snapToGrid w:val="0"/>
        <w:spacing w:before="0"/>
        <w:ind w:firstLine="480"/>
        <w:rPr>
          <w:rFonts w:ascii="仿宋" w:hAnsi="仿宋" w:eastAsia="仿宋" w:cs="仿宋"/>
          <w:szCs w:val="24"/>
        </w:rPr>
      </w:pPr>
      <w:r>
        <w:rPr>
          <w:rFonts w:hint="eastAsia" w:ascii="仿宋" w:hAnsi="仿宋" w:eastAsia="仿宋" w:cs="仿宋"/>
          <w:szCs w:val="24"/>
        </w:rPr>
        <w:t xml:space="preserve">24.1电子交易平台发生故障而无法登录访问的； </w:t>
      </w:r>
    </w:p>
    <w:p>
      <w:pPr>
        <w:pStyle w:val="45"/>
        <w:snapToGrid w:val="0"/>
        <w:spacing w:before="0"/>
        <w:ind w:firstLine="480"/>
        <w:rPr>
          <w:rFonts w:ascii="仿宋" w:hAnsi="仿宋" w:eastAsia="仿宋" w:cs="仿宋"/>
          <w:szCs w:val="24"/>
        </w:rPr>
      </w:pPr>
      <w:r>
        <w:rPr>
          <w:rFonts w:hint="eastAsia" w:ascii="仿宋" w:hAnsi="仿宋" w:eastAsia="仿宋" w:cs="仿宋"/>
          <w:szCs w:val="24"/>
        </w:rPr>
        <w:t>24.2电子交易平台应用或数据库出现错误，不能进行正常操作的；</w:t>
      </w:r>
    </w:p>
    <w:p>
      <w:pPr>
        <w:pStyle w:val="45"/>
        <w:snapToGrid w:val="0"/>
        <w:spacing w:before="0"/>
        <w:ind w:firstLine="480"/>
        <w:rPr>
          <w:rFonts w:ascii="仿宋" w:hAnsi="仿宋" w:eastAsia="仿宋" w:cs="仿宋"/>
          <w:szCs w:val="24"/>
        </w:rPr>
      </w:pPr>
      <w:r>
        <w:rPr>
          <w:rFonts w:hint="eastAsia" w:ascii="仿宋" w:hAnsi="仿宋" w:eastAsia="仿宋" w:cs="仿宋"/>
          <w:szCs w:val="24"/>
        </w:rPr>
        <w:t>24.3电子交易平台发现严重安全漏洞，有潜在泄密危险的；</w:t>
      </w:r>
    </w:p>
    <w:p>
      <w:pPr>
        <w:pStyle w:val="45"/>
        <w:snapToGrid w:val="0"/>
        <w:spacing w:before="0"/>
        <w:ind w:firstLine="480"/>
        <w:rPr>
          <w:rFonts w:ascii="仿宋" w:hAnsi="仿宋" w:eastAsia="仿宋" w:cs="仿宋"/>
          <w:szCs w:val="24"/>
        </w:rPr>
      </w:pPr>
      <w:r>
        <w:rPr>
          <w:rFonts w:hint="eastAsia" w:ascii="仿宋" w:hAnsi="仿宋" w:eastAsia="仿宋" w:cs="仿宋"/>
          <w:szCs w:val="24"/>
        </w:rPr>
        <w:t xml:space="preserve">24.4病毒发作导致不能进行正常操作的； </w:t>
      </w:r>
    </w:p>
    <w:p>
      <w:pPr>
        <w:pStyle w:val="45"/>
        <w:snapToGrid w:val="0"/>
        <w:spacing w:before="0"/>
        <w:ind w:firstLine="480"/>
        <w:rPr>
          <w:rFonts w:ascii="仿宋" w:hAnsi="仿宋" w:eastAsia="仿宋" w:cs="仿宋"/>
          <w:szCs w:val="24"/>
        </w:rPr>
      </w:pPr>
      <w:r>
        <w:rPr>
          <w:rFonts w:hint="eastAsia" w:ascii="仿宋" w:hAnsi="仿宋" w:eastAsia="仿宋" w:cs="仿宋"/>
          <w:szCs w:val="24"/>
        </w:rPr>
        <w:t>24.5其他无法保证电子交易的公平、公正和安全的情况。</w:t>
      </w:r>
    </w:p>
    <w:p>
      <w:pPr>
        <w:tabs>
          <w:tab w:val="left" w:pos="0"/>
        </w:tabs>
        <w:spacing w:line="360" w:lineRule="auto"/>
        <w:ind w:firstLine="480"/>
        <w:rPr>
          <w:rFonts w:ascii="仿宋" w:hAnsi="仿宋" w:eastAsia="仿宋" w:cs="仿宋"/>
          <w:sz w:val="24"/>
        </w:rPr>
      </w:pPr>
    </w:p>
    <w:p>
      <w:pPr>
        <w:snapToGrid w:val="0"/>
        <w:spacing w:line="360" w:lineRule="auto"/>
        <w:ind w:left="120" w:leftChars="57" w:firstLine="482" w:firstLineChars="150"/>
        <w:jc w:val="center"/>
        <w:rPr>
          <w:rFonts w:ascii="仿宋" w:hAnsi="仿宋" w:eastAsia="仿宋" w:cs="仿宋"/>
          <w:b/>
          <w:sz w:val="32"/>
          <w:szCs w:val="32"/>
        </w:rPr>
      </w:pPr>
    </w:p>
    <w:p>
      <w:pPr>
        <w:snapToGrid w:val="0"/>
        <w:spacing w:line="360" w:lineRule="auto"/>
        <w:ind w:left="120" w:leftChars="57" w:firstLine="482" w:firstLineChars="150"/>
        <w:jc w:val="center"/>
        <w:rPr>
          <w:rFonts w:ascii="仿宋" w:hAnsi="仿宋" w:eastAsia="仿宋" w:cs="仿宋"/>
          <w:b/>
          <w:sz w:val="32"/>
          <w:szCs w:val="32"/>
        </w:rPr>
      </w:pPr>
    </w:p>
    <w:p>
      <w:pPr>
        <w:snapToGrid w:val="0"/>
        <w:spacing w:line="360" w:lineRule="auto"/>
        <w:ind w:left="120" w:leftChars="57" w:firstLine="482" w:firstLineChars="150"/>
        <w:jc w:val="center"/>
        <w:rPr>
          <w:rFonts w:ascii="仿宋" w:hAnsi="仿宋" w:eastAsia="仿宋" w:cs="仿宋"/>
          <w:b/>
          <w:sz w:val="32"/>
          <w:szCs w:val="32"/>
        </w:rPr>
      </w:pPr>
    </w:p>
    <w:p>
      <w:pPr>
        <w:snapToGrid w:val="0"/>
        <w:spacing w:line="360" w:lineRule="auto"/>
        <w:ind w:left="120" w:leftChars="57" w:firstLine="482" w:firstLineChars="150"/>
        <w:jc w:val="center"/>
        <w:rPr>
          <w:rFonts w:ascii="仿宋" w:hAnsi="仿宋" w:eastAsia="仿宋" w:cs="仿宋"/>
          <w:b/>
          <w:sz w:val="24"/>
        </w:rPr>
      </w:pPr>
      <w:r>
        <w:rPr>
          <w:rFonts w:hint="eastAsia" w:ascii="仿宋" w:hAnsi="仿宋" w:eastAsia="仿宋" w:cs="仿宋"/>
          <w:b/>
          <w:sz w:val="32"/>
          <w:szCs w:val="32"/>
        </w:rPr>
        <w:t>九、验收</w:t>
      </w:r>
    </w:p>
    <w:p>
      <w:pPr>
        <w:numPr>
          <w:ilvl w:val="0"/>
          <w:numId w:val="3"/>
        </w:numPr>
        <w:adjustRightInd w:val="0"/>
        <w:snapToGrid w:val="0"/>
        <w:spacing w:before="120" w:beforeLines="50"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25.2严格按照采购合同开展履约验收。采购人成立验收小组（为社会公众提供的公共服务项目验收时，验收小组成员必须包含部分服务对象），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25.3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监管部门。</w:t>
      </w:r>
      <w:bookmarkEnd w:id="11"/>
      <w:bookmarkEnd w:id="12"/>
      <w:bookmarkEnd w:id="13"/>
      <w:bookmarkStart w:id="14" w:name="_Hlt74730295"/>
      <w:bookmarkEnd w:id="14"/>
      <w:bookmarkStart w:id="15" w:name="_Hlt75236011"/>
      <w:bookmarkEnd w:id="15"/>
      <w:bookmarkStart w:id="16" w:name="_Hlt75236290"/>
      <w:bookmarkEnd w:id="16"/>
      <w:bookmarkStart w:id="17" w:name="_Hlt74729768"/>
      <w:bookmarkEnd w:id="17"/>
      <w:bookmarkStart w:id="18" w:name="_Hlt75236101"/>
      <w:bookmarkEnd w:id="18"/>
      <w:bookmarkStart w:id="19" w:name="_Hlt68057669"/>
      <w:bookmarkEnd w:id="19"/>
      <w:bookmarkStart w:id="20" w:name="_Hlt68072990"/>
      <w:bookmarkEnd w:id="20"/>
      <w:bookmarkStart w:id="21" w:name="_Hlt68073093"/>
      <w:bookmarkEnd w:id="21"/>
      <w:bookmarkStart w:id="22" w:name="_Hlt68403820"/>
      <w:bookmarkEnd w:id="22"/>
      <w:bookmarkStart w:id="23" w:name="_Hlt74714665"/>
      <w:bookmarkEnd w:id="23"/>
      <w:bookmarkStart w:id="24" w:name="_Hlt74707468"/>
      <w:bookmarkEnd w:id="24"/>
      <w:bookmarkStart w:id="25" w:name="_Hlt68072998"/>
      <w:bookmarkEnd w:id="25"/>
      <w:bookmarkStart w:id="26" w:name="第四部分"/>
    </w:p>
    <w:p>
      <w:pPr>
        <w:spacing w:line="360" w:lineRule="auto"/>
        <w:rPr>
          <w:rFonts w:ascii="仿宋" w:hAnsi="仿宋" w:eastAsia="仿宋" w:cs="仿宋"/>
          <w:kern w:val="0"/>
          <w:sz w:val="24"/>
        </w:rPr>
      </w:pPr>
      <w:r>
        <w:rPr>
          <w:rFonts w:hint="eastAsia" w:ascii="仿宋" w:hAnsi="仿宋" w:eastAsia="仿宋" w:cs="仿宋"/>
          <w:kern w:val="0"/>
          <w:sz w:val="24"/>
        </w:rPr>
        <w:br w:type="page"/>
      </w:r>
    </w:p>
    <w:bookmarkEnd w:id="26"/>
    <w:p>
      <w:pPr>
        <w:adjustRightInd w:val="0"/>
        <w:spacing w:line="360" w:lineRule="auto"/>
        <w:ind w:firstLine="643" w:firstLineChars="200"/>
        <w:jc w:val="center"/>
        <w:outlineLvl w:val="0"/>
        <w:rPr>
          <w:rFonts w:ascii="仿宋" w:hAnsi="仿宋" w:eastAsia="仿宋" w:cs="仿宋"/>
          <w:b/>
          <w:sz w:val="32"/>
          <w:szCs w:val="32"/>
        </w:rPr>
      </w:pPr>
      <w:bookmarkStart w:id="27" w:name="_Toc3029"/>
      <w:bookmarkStart w:id="28" w:name="_Toc2232"/>
      <w:bookmarkStart w:id="29" w:name="_Toc24059"/>
      <w:bookmarkStart w:id="30" w:name="第五部分"/>
      <w:bookmarkStart w:id="31" w:name="_Toc86217003"/>
      <w:r>
        <w:rPr>
          <w:rFonts w:hint="eastAsia" w:ascii="仿宋" w:hAnsi="仿宋" w:eastAsia="仿宋" w:cs="仿宋"/>
          <w:b/>
          <w:sz w:val="32"/>
          <w:szCs w:val="32"/>
        </w:rPr>
        <w:t>十、定义</w:t>
      </w:r>
    </w:p>
    <w:p>
      <w:pPr>
        <w:spacing w:line="360" w:lineRule="auto"/>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360" w:lineRule="auto"/>
        <w:ind w:firstLine="480" w:firstLineChars="200"/>
        <w:rPr>
          <w:rFonts w:ascii="仿宋" w:hAnsi="仿宋" w:eastAsia="仿宋" w:cs="仿宋"/>
          <w:sz w:val="24"/>
        </w:rPr>
      </w:pPr>
      <w:r>
        <w:rPr>
          <w:rFonts w:hint="eastAsia" w:ascii="仿宋" w:hAnsi="仿宋" w:eastAsia="仿宋" w:cs="仿宋"/>
          <w:sz w:val="24"/>
        </w:rPr>
        <w:t>25.4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cs="仿宋"/>
          <w:sz w:val="24"/>
        </w:rPr>
      </w:pPr>
      <w:r>
        <w:rPr>
          <w:rFonts w:hint="eastAsia" w:ascii="仿宋" w:hAnsi="仿宋" w:eastAsia="仿宋" w:cs="仿宋"/>
          <w:sz w:val="24"/>
        </w:rPr>
        <w:t>25.5 “合同价”系指根据合同约定，中标供应商在完全履行合同义务后，采购人应支付给中标供应商的价格。</w:t>
      </w:r>
    </w:p>
    <w:p>
      <w:pPr>
        <w:spacing w:line="360" w:lineRule="auto"/>
        <w:ind w:firstLine="480" w:firstLineChars="200"/>
        <w:rPr>
          <w:rFonts w:ascii="仿宋" w:hAnsi="仿宋" w:eastAsia="仿宋" w:cs="仿宋"/>
          <w:sz w:val="24"/>
        </w:rPr>
      </w:pPr>
      <w:r>
        <w:rPr>
          <w:rFonts w:hint="eastAsia" w:ascii="仿宋" w:hAnsi="仿宋" w:eastAsia="仿宋" w:cs="仿宋"/>
          <w:sz w:val="24"/>
        </w:rPr>
        <w:t>25.6 “货物”系指中标供应商根据合同约定应向采购人交付的一切各种形态和种类的物品，包括原材料、燃料、设备、机械、仪表、备件、计算机软件、产品等，并包括工具、手册等其他相关资料。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仿宋" w:hAnsi="仿宋" w:eastAsia="仿宋" w:cs="仿宋"/>
          <w:sz w:val="24"/>
        </w:rPr>
      </w:pPr>
      <w:r>
        <w:rPr>
          <w:rFonts w:hint="eastAsia" w:ascii="仿宋" w:hAnsi="仿宋" w:eastAsia="仿宋" w:cs="仿宋"/>
          <w:sz w:val="24"/>
        </w:rPr>
        <w:t>25.7 “甲方”系指与中标供应商签署合同的采购人；采购人委托采购代理机构代表其与乙方签订合同的，采购人的授权委托书作为合同附件。</w:t>
      </w:r>
    </w:p>
    <w:p>
      <w:pPr>
        <w:spacing w:line="360" w:lineRule="auto"/>
        <w:ind w:firstLine="480" w:firstLineChars="200"/>
        <w:rPr>
          <w:rFonts w:ascii="仿宋" w:hAnsi="仿宋" w:eastAsia="仿宋" w:cs="仿宋"/>
          <w:sz w:val="24"/>
        </w:rPr>
      </w:pPr>
      <w:r>
        <w:rPr>
          <w:rFonts w:hint="eastAsia" w:ascii="仿宋" w:hAnsi="仿宋" w:eastAsia="仿宋" w:cs="仿宋"/>
          <w:sz w:val="24"/>
        </w:rPr>
        <w:t>25.8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cs="仿宋"/>
          <w:b/>
          <w:sz w:val="24"/>
        </w:rPr>
      </w:pPr>
      <w:r>
        <w:rPr>
          <w:rFonts w:hint="eastAsia" w:ascii="仿宋" w:hAnsi="仿宋" w:eastAsia="仿宋" w:cs="仿宋"/>
          <w:sz w:val="24"/>
        </w:rPr>
        <w:t>25.9 “现场”系指合同约定货物将要运至或者安装的地点。</w:t>
      </w:r>
    </w:p>
    <w:bookmarkEnd w:id="27"/>
    <w:bookmarkEnd w:id="28"/>
    <w:bookmarkEnd w:id="29"/>
    <w:p>
      <w:pP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br w:type="page"/>
      </w:r>
    </w:p>
    <w:p>
      <w:pPr>
        <w:tabs>
          <w:tab w:val="left" w:pos="0"/>
        </w:tabs>
        <w:spacing w:line="360" w:lineRule="auto"/>
        <w:jc w:val="center"/>
        <w:outlineLvl w:val="0"/>
        <w:rPr>
          <w:rFonts w:cs="仿宋" w:asciiTheme="majorEastAsia" w:hAnsiTheme="majorEastAsia" w:eastAsiaTheme="majorEastAsia"/>
          <w:b/>
          <w:sz w:val="36"/>
          <w:szCs w:val="36"/>
        </w:rPr>
        <w:sectPr>
          <w:footerReference r:id="rId5" w:type="first"/>
          <w:headerReference r:id="rId3" w:type="default"/>
          <w:footerReference r:id="rId4" w:type="default"/>
          <w:pgSz w:w="11906" w:h="16838"/>
          <w:pgMar w:top="1276" w:right="1418" w:bottom="1247" w:left="1418" w:header="851" w:footer="992" w:gutter="0"/>
          <w:cols w:space="720" w:num="1"/>
          <w:titlePg/>
          <w:docGrid w:linePitch="312" w:charSpace="0"/>
        </w:sectPr>
      </w:pPr>
    </w:p>
    <w:p>
      <w:pPr>
        <w:tabs>
          <w:tab w:val="left" w:pos="0"/>
        </w:tabs>
        <w:spacing w:line="360" w:lineRule="auto"/>
        <w:jc w:val="center"/>
        <w:outlineLvl w:val="0"/>
        <w:rPr>
          <w:rFonts w:ascii="宋体" w:hAnsi="宋体" w:cs="宋体"/>
          <w:b/>
          <w:bCs/>
          <w:sz w:val="24"/>
        </w:rPr>
      </w:pPr>
      <w:r>
        <w:rPr>
          <w:rFonts w:hint="eastAsia" w:cs="仿宋" w:asciiTheme="majorEastAsia" w:hAnsiTheme="majorEastAsia" w:eastAsiaTheme="majorEastAsia"/>
          <w:b/>
          <w:sz w:val="36"/>
          <w:szCs w:val="36"/>
        </w:rPr>
        <w:t>第三部分   采购内容和技术（服务）要求</w:t>
      </w:r>
    </w:p>
    <w:p>
      <w:pPr>
        <w:snapToGrid w:val="0"/>
        <w:rPr>
          <w:rFonts w:ascii="宋体" w:hAnsi="宋体" w:cs="宋体"/>
          <w:b/>
          <w:bCs/>
          <w:sz w:val="24"/>
        </w:rPr>
      </w:pPr>
      <w:r>
        <w:rPr>
          <w:rFonts w:hint="eastAsia" w:ascii="宋体" w:hAnsi="宋体" w:cs="宋体"/>
          <w:b/>
          <w:bCs/>
          <w:sz w:val="24"/>
        </w:rPr>
        <w:t xml:space="preserve"> 一、设备参数表</w:t>
      </w:r>
    </w:p>
    <w:tbl>
      <w:tblPr>
        <w:tblStyle w:val="24"/>
        <w:tblpPr w:leftFromText="180" w:rightFromText="180" w:vertAnchor="text" w:horzAnchor="page" w:tblpX="825" w:tblpY="436"/>
        <w:tblOverlap w:val="never"/>
        <w:tblW w:w="14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648"/>
        <w:gridCol w:w="636"/>
        <w:gridCol w:w="951"/>
        <w:gridCol w:w="1001"/>
        <w:gridCol w:w="709"/>
        <w:gridCol w:w="708"/>
        <w:gridCol w:w="911"/>
        <w:gridCol w:w="1187"/>
        <w:gridCol w:w="1187"/>
        <w:gridCol w:w="859"/>
        <w:gridCol w:w="879"/>
        <w:gridCol w:w="872"/>
        <w:gridCol w:w="1200"/>
        <w:gridCol w:w="1194"/>
        <w:gridCol w:w="446"/>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445" w:type="dxa"/>
            <w:vAlign w:val="center"/>
          </w:tcPr>
          <w:p>
            <w:pPr>
              <w:snapToGrid w:val="0"/>
              <w:rPr>
                <w:rFonts w:ascii="宋体" w:hAnsi="宋体" w:cs="宋体"/>
                <w:szCs w:val="21"/>
              </w:rPr>
            </w:pPr>
            <w:r>
              <w:rPr>
                <w:rFonts w:hint="eastAsia" w:ascii="宋体" w:hAnsi="宋体" w:cs="宋体"/>
                <w:szCs w:val="21"/>
              </w:rPr>
              <w:t>楼号</w:t>
            </w:r>
          </w:p>
        </w:tc>
        <w:tc>
          <w:tcPr>
            <w:tcW w:w="648" w:type="dxa"/>
            <w:vAlign w:val="center"/>
          </w:tcPr>
          <w:p>
            <w:pPr>
              <w:snapToGrid w:val="0"/>
              <w:rPr>
                <w:rFonts w:ascii="宋体" w:hAnsi="宋体" w:cs="宋体"/>
                <w:szCs w:val="21"/>
              </w:rPr>
            </w:pPr>
            <w:r>
              <w:rPr>
                <w:rFonts w:hint="eastAsia" w:ascii="宋体" w:hAnsi="宋体" w:cs="宋体"/>
                <w:szCs w:val="21"/>
              </w:rPr>
              <w:t>电梯编号</w:t>
            </w:r>
          </w:p>
        </w:tc>
        <w:tc>
          <w:tcPr>
            <w:tcW w:w="636" w:type="dxa"/>
            <w:vAlign w:val="center"/>
          </w:tcPr>
          <w:p>
            <w:pPr>
              <w:snapToGrid w:val="0"/>
              <w:rPr>
                <w:rFonts w:ascii="宋体" w:hAnsi="宋体" w:cs="宋体"/>
                <w:szCs w:val="21"/>
              </w:rPr>
            </w:pPr>
            <w:r>
              <w:rPr>
                <w:rFonts w:hint="eastAsia" w:ascii="宋体" w:hAnsi="宋体" w:cs="宋体"/>
                <w:szCs w:val="21"/>
              </w:rPr>
              <w:t>数量</w:t>
            </w:r>
          </w:p>
          <w:p>
            <w:pPr>
              <w:snapToGrid w:val="0"/>
              <w:rPr>
                <w:rFonts w:ascii="宋体" w:hAnsi="宋体" w:cs="宋体"/>
                <w:szCs w:val="21"/>
              </w:rPr>
            </w:pPr>
            <w:r>
              <w:rPr>
                <w:rFonts w:hint="eastAsia" w:ascii="宋体" w:hAnsi="宋体" w:cs="宋体"/>
                <w:szCs w:val="21"/>
              </w:rPr>
              <w:t>(台)</w:t>
            </w:r>
          </w:p>
        </w:tc>
        <w:tc>
          <w:tcPr>
            <w:tcW w:w="951" w:type="dxa"/>
            <w:vAlign w:val="center"/>
          </w:tcPr>
          <w:p>
            <w:pPr>
              <w:snapToGrid w:val="0"/>
              <w:rPr>
                <w:rFonts w:ascii="宋体" w:hAnsi="宋体" w:cs="宋体"/>
                <w:szCs w:val="21"/>
              </w:rPr>
            </w:pPr>
            <w:r>
              <w:rPr>
                <w:rFonts w:hint="eastAsia" w:ascii="宋体" w:hAnsi="宋体" w:cs="宋体"/>
                <w:szCs w:val="21"/>
              </w:rPr>
              <w:t>速度（m/s）</w:t>
            </w:r>
          </w:p>
        </w:tc>
        <w:tc>
          <w:tcPr>
            <w:tcW w:w="1001" w:type="dxa"/>
            <w:vAlign w:val="center"/>
          </w:tcPr>
          <w:p>
            <w:pPr>
              <w:snapToGrid w:val="0"/>
              <w:rPr>
                <w:rFonts w:ascii="宋体" w:hAnsi="宋体" w:cs="宋体"/>
                <w:szCs w:val="21"/>
              </w:rPr>
            </w:pPr>
            <w:r>
              <w:rPr>
                <w:rFonts w:hint="eastAsia" w:ascii="宋体" w:hAnsi="宋体" w:cs="宋体"/>
                <w:szCs w:val="21"/>
              </w:rPr>
              <w:t>层/站/门</w:t>
            </w:r>
          </w:p>
        </w:tc>
        <w:tc>
          <w:tcPr>
            <w:tcW w:w="709" w:type="dxa"/>
            <w:vAlign w:val="center"/>
          </w:tcPr>
          <w:p>
            <w:pPr>
              <w:snapToGrid w:val="0"/>
              <w:rPr>
                <w:rFonts w:ascii="宋体" w:hAnsi="宋体" w:cs="宋体"/>
                <w:szCs w:val="21"/>
              </w:rPr>
            </w:pPr>
            <w:r>
              <w:rPr>
                <w:rFonts w:hint="eastAsia" w:ascii="宋体" w:hAnsi="宋体" w:cs="宋体"/>
                <w:szCs w:val="21"/>
              </w:rPr>
              <w:t>提升高度</w:t>
            </w:r>
          </w:p>
          <w:p>
            <w:pPr>
              <w:snapToGrid w:val="0"/>
              <w:rPr>
                <w:rFonts w:ascii="宋体" w:hAnsi="宋体" w:cs="宋体"/>
                <w:szCs w:val="21"/>
              </w:rPr>
            </w:pPr>
            <w:r>
              <w:rPr>
                <w:rFonts w:hint="eastAsia" w:ascii="宋体" w:hAnsi="宋体" w:cs="宋体"/>
                <w:szCs w:val="21"/>
              </w:rPr>
              <w:t>（m）</w:t>
            </w:r>
          </w:p>
        </w:tc>
        <w:tc>
          <w:tcPr>
            <w:tcW w:w="708" w:type="dxa"/>
            <w:vAlign w:val="center"/>
          </w:tcPr>
          <w:p>
            <w:pPr>
              <w:snapToGrid w:val="0"/>
              <w:rPr>
                <w:rFonts w:ascii="宋体" w:hAnsi="宋体" w:cs="宋体"/>
                <w:szCs w:val="21"/>
              </w:rPr>
            </w:pPr>
            <w:r>
              <w:rPr>
                <w:rFonts w:hint="eastAsia" w:ascii="宋体" w:hAnsi="宋体" w:cs="宋体"/>
                <w:szCs w:val="21"/>
              </w:rPr>
              <w:t>控制</w:t>
            </w:r>
          </w:p>
          <w:p>
            <w:pPr>
              <w:snapToGrid w:val="0"/>
              <w:rPr>
                <w:rFonts w:ascii="宋体" w:hAnsi="宋体" w:cs="宋体"/>
                <w:szCs w:val="21"/>
              </w:rPr>
            </w:pPr>
            <w:r>
              <w:rPr>
                <w:rFonts w:hint="eastAsia" w:ascii="宋体" w:hAnsi="宋体" w:cs="宋体"/>
                <w:szCs w:val="21"/>
              </w:rPr>
              <w:t>方式</w:t>
            </w:r>
          </w:p>
        </w:tc>
        <w:tc>
          <w:tcPr>
            <w:tcW w:w="911" w:type="dxa"/>
            <w:vAlign w:val="center"/>
          </w:tcPr>
          <w:p>
            <w:pPr>
              <w:snapToGrid w:val="0"/>
              <w:rPr>
                <w:rFonts w:ascii="宋体" w:hAnsi="宋体" w:cs="宋体"/>
                <w:szCs w:val="21"/>
              </w:rPr>
            </w:pPr>
            <w:r>
              <w:rPr>
                <w:rFonts w:hint="eastAsia" w:ascii="宋体" w:hAnsi="宋体" w:cs="宋体"/>
                <w:szCs w:val="21"/>
              </w:rPr>
              <w:t>载量</w:t>
            </w:r>
          </w:p>
          <w:p>
            <w:pPr>
              <w:snapToGrid w:val="0"/>
              <w:rPr>
                <w:rFonts w:ascii="宋体" w:hAnsi="宋体" w:cs="宋体"/>
                <w:szCs w:val="21"/>
              </w:rPr>
            </w:pPr>
            <w:r>
              <w:rPr>
                <w:rFonts w:hint="eastAsia" w:ascii="宋体" w:hAnsi="宋体" w:cs="宋体"/>
                <w:szCs w:val="21"/>
              </w:rPr>
              <w:t>（KG）</w:t>
            </w:r>
          </w:p>
        </w:tc>
        <w:tc>
          <w:tcPr>
            <w:tcW w:w="1187" w:type="dxa"/>
            <w:vAlign w:val="center"/>
          </w:tcPr>
          <w:p>
            <w:pPr>
              <w:snapToGrid w:val="0"/>
              <w:rPr>
                <w:rFonts w:ascii="宋体" w:hAnsi="宋体" w:cs="宋体"/>
                <w:szCs w:val="21"/>
              </w:rPr>
            </w:pPr>
            <w:r>
              <w:rPr>
                <w:rFonts w:hint="eastAsia" w:ascii="宋体" w:hAnsi="宋体" w:cs="宋体"/>
                <w:szCs w:val="21"/>
              </w:rPr>
              <w:t>井道尺寸（mm*mm）</w:t>
            </w:r>
          </w:p>
        </w:tc>
        <w:tc>
          <w:tcPr>
            <w:tcW w:w="1187" w:type="dxa"/>
            <w:vAlign w:val="center"/>
          </w:tcPr>
          <w:p>
            <w:pPr>
              <w:snapToGrid w:val="0"/>
              <w:rPr>
                <w:rFonts w:ascii="宋体" w:hAnsi="宋体" w:cs="宋体"/>
                <w:szCs w:val="21"/>
              </w:rPr>
            </w:pPr>
            <w:r>
              <w:rPr>
                <w:rFonts w:hint="eastAsia" w:ascii="宋体" w:hAnsi="宋体" w:cs="宋体"/>
                <w:szCs w:val="21"/>
              </w:rPr>
              <w:t>轿厢尺寸（mm*mm）</w:t>
            </w:r>
          </w:p>
        </w:tc>
        <w:tc>
          <w:tcPr>
            <w:tcW w:w="859" w:type="dxa"/>
            <w:vAlign w:val="center"/>
          </w:tcPr>
          <w:p>
            <w:pPr>
              <w:snapToGrid w:val="0"/>
              <w:rPr>
                <w:rFonts w:ascii="宋体" w:hAnsi="宋体" w:cs="宋体"/>
                <w:szCs w:val="21"/>
              </w:rPr>
            </w:pPr>
            <w:r>
              <w:rPr>
                <w:rFonts w:hint="eastAsia" w:ascii="宋体" w:hAnsi="宋体" w:cs="宋体"/>
                <w:szCs w:val="21"/>
              </w:rPr>
              <w:t>机坑</w:t>
            </w:r>
          </w:p>
          <w:p>
            <w:pPr>
              <w:snapToGrid w:val="0"/>
              <w:rPr>
                <w:rFonts w:ascii="宋体" w:hAnsi="宋体" w:cs="宋体"/>
                <w:szCs w:val="21"/>
              </w:rPr>
            </w:pPr>
            <w:r>
              <w:rPr>
                <w:rFonts w:hint="eastAsia" w:ascii="宋体" w:hAnsi="宋体" w:cs="宋体"/>
                <w:szCs w:val="21"/>
              </w:rPr>
              <w:t>深度（mm）</w:t>
            </w:r>
          </w:p>
        </w:tc>
        <w:tc>
          <w:tcPr>
            <w:tcW w:w="879" w:type="dxa"/>
            <w:vAlign w:val="center"/>
          </w:tcPr>
          <w:p>
            <w:pPr>
              <w:snapToGrid w:val="0"/>
              <w:rPr>
                <w:rFonts w:ascii="宋体" w:hAnsi="宋体" w:cs="宋体"/>
                <w:szCs w:val="21"/>
              </w:rPr>
            </w:pPr>
            <w:r>
              <w:rPr>
                <w:rFonts w:hint="eastAsia" w:ascii="宋体" w:hAnsi="宋体" w:cs="宋体"/>
                <w:szCs w:val="21"/>
              </w:rPr>
              <w:t>顶层净高度（mm）</w:t>
            </w:r>
          </w:p>
        </w:tc>
        <w:tc>
          <w:tcPr>
            <w:tcW w:w="872" w:type="dxa"/>
            <w:vAlign w:val="center"/>
          </w:tcPr>
          <w:p>
            <w:pPr>
              <w:snapToGrid w:val="0"/>
              <w:rPr>
                <w:rFonts w:ascii="宋体" w:hAnsi="宋体" w:cs="宋体"/>
                <w:szCs w:val="21"/>
              </w:rPr>
            </w:pPr>
            <w:r>
              <w:rPr>
                <w:rFonts w:hint="eastAsia" w:ascii="宋体" w:hAnsi="宋体" w:cs="宋体"/>
                <w:szCs w:val="21"/>
              </w:rPr>
              <w:t>机房层高（mm）</w:t>
            </w:r>
          </w:p>
        </w:tc>
        <w:tc>
          <w:tcPr>
            <w:tcW w:w="1200" w:type="dxa"/>
            <w:vAlign w:val="center"/>
          </w:tcPr>
          <w:p>
            <w:pPr>
              <w:snapToGrid w:val="0"/>
              <w:rPr>
                <w:rFonts w:ascii="宋体" w:hAnsi="宋体" w:cs="宋体"/>
                <w:szCs w:val="21"/>
              </w:rPr>
            </w:pPr>
            <w:r>
              <w:rPr>
                <w:rFonts w:hint="eastAsia" w:ascii="宋体" w:hAnsi="宋体" w:cs="宋体"/>
                <w:szCs w:val="21"/>
              </w:rPr>
              <w:t>层门洞口尺寸（mm*mm）</w:t>
            </w:r>
          </w:p>
        </w:tc>
        <w:tc>
          <w:tcPr>
            <w:tcW w:w="1194" w:type="dxa"/>
            <w:vAlign w:val="center"/>
          </w:tcPr>
          <w:p>
            <w:pPr>
              <w:snapToGrid w:val="0"/>
              <w:rPr>
                <w:rFonts w:ascii="宋体" w:hAnsi="宋体" w:cs="宋体"/>
                <w:szCs w:val="21"/>
              </w:rPr>
            </w:pPr>
            <w:r>
              <w:rPr>
                <w:rFonts w:hint="eastAsia" w:ascii="宋体" w:hAnsi="宋体" w:cs="宋体"/>
                <w:szCs w:val="21"/>
              </w:rPr>
              <w:t>层门净尺寸（mm*mm）</w:t>
            </w:r>
          </w:p>
        </w:tc>
        <w:tc>
          <w:tcPr>
            <w:tcW w:w="446" w:type="dxa"/>
            <w:vAlign w:val="center"/>
          </w:tcPr>
          <w:p>
            <w:pPr>
              <w:snapToGrid w:val="0"/>
              <w:rPr>
                <w:rFonts w:ascii="宋体" w:hAnsi="宋体" w:cs="宋体"/>
                <w:szCs w:val="21"/>
              </w:rPr>
            </w:pPr>
            <w:r>
              <w:rPr>
                <w:rFonts w:hint="eastAsia" w:ascii="宋体" w:hAnsi="宋体" w:cs="宋体"/>
                <w:szCs w:val="21"/>
              </w:rPr>
              <w:t>开门方式</w:t>
            </w:r>
          </w:p>
        </w:tc>
        <w:tc>
          <w:tcPr>
            <w:tcW w:w="1046" w:type="dxa"/>
            <w:vAlign w:val="center"/>
          </w:tcPr>
          <w:p>
            <w:pPr>
              <w:snapToGrid w:val="0"/>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45" w:type="dxa"/>
            <w:vMerge w:val="restart"/>
            <w:vAlign w:val="center"/>
          </w:tcPr>
          <w:p>
            <w:pPr>
              <w:snapToGrid w:val="0"/>
              <w:rPr>
                <w:rFonts w:ascii="宋体" w:hAnsi="宋体" w:cs="宋体"/>
                <w:szCs w:val="21"/>
              </w:rPr>
            </w:pPr>
            <w:r>
              <w:rPr>
                <w:rFonts w:hint="eastAsia" w:ascii="宋体" w:hAnsi="宋体" w:cs="宋体"/>
                <w:szCs w:val="21"/>
              </w:rPr>
              <w:t>益寿坊</w:t>
            </w:r>
          </w:p>
        </w:tc>
        <w:tc>
          <w:tcPr>
            <w:tcW w:w="648"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DT01</w:t>
            </w:r>
          </w:p>
        </w:tc>
        <w:tc>
          <w:tcPr>
            <w:tcW w:w="63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51" w:type="dxa"/>
            <w:vAlign w:val="center"/>
          </w:tcPr>
          <w:p>
            <w:pPr>
              <w:snapToGrid w:val="0"/>
              <w:rPr>
                <w:rFonts w:ascii="宋体" w:hAnsi="宋体" w:cs="宋体"/>
                <w:color w:val="auto"/>
                <w:szCs w:val="21"/>
              </w:rPr>
            </w:pPr>
            <w:r>
              <w:rPr>
                <w:rFonts w:hint="eastAsia" w:ascii="宋体" w:hAnsi="宋体" w:cs="宋体"/>
                <w:color w:val="auto"/>
                <w:szCs w:val="21"/>
              </w:rPr>
              <w:t>≥1.0</w:t>
            </w:r>
          </w:p>
        </w:tc>
        <w:tc>
          <w:tcPr>
            <w:tcW w:w="1001" w:type="dxa"/>
            <w:vAlign w:val="center"/>
          </w:tcPr>
          <w:p>
            <w:pPr>
              <w:snapToGrid w:val="0"/>
              <w:rPr>
                <w:rFonts w:ascii="宋体" w:hAnsi="宋体" w:cs="宋体"/>
                <w:color w:val="auto"/>
                <w:szCs w:val="21"/>
              </w:rPr>
            </w:pPr>
            <w:r>
              <w:rPr>
                <w:rFonts w:hint="eastAsia" w:ascii="宋体" w:hAnsi="宋体" w:cs="宋体"/>
                <w:color w:val="auto"/>
                <w:szCs w:val="21"/>
              </w:rPr>
              <w:t>2/2/2</w:t>
            </w:r>
          </w:p>
        </w:tc>
        <w:tc>
          <w:tcPr>
            <w:tcW w:w="709" w:type="dxa"/>
          </w:tcPr>
          <w:p>
            <w:pPr>
              <w:snapToGrid w:val="0"/>
              <w:rPr>
                <w:rFonts w:ascii="宋体" w:hAnsi="宋体" w:cs="宋体"/>
                <w:color w:val="auto"/>
                <w:szCs w:val="21"/>
              </w:rPr>
            </w:pPr>
            <w:r>
              <w:rPr>
                <w:rFonts w:hint="eastAsia" w:ascii="宋体" w:hAnsi="宋体" w:cs="宋体"/>
                <w:color w:val="auto"/>
                <w:szCs w:val="21"/>
              </w:rPr>
              <w:t>6</w:t>
            </w:r>
          </w:p>
        </w:tc>
        <w:tc>
          <w:tcPr>
            <w:tcW w:w="708" w:type="dxa"/>
            <w:vMerge w:val="restart"/>
            <w:vAlign w:val="center"/>
          </w:tcPr>
          <w:p>
            <w:pPr>
              <w:snapToGrid w:val="0"/>
              <w:rPr>
                <w:rFonts w:ascii="宋体" w:hAnsi="宋体" w:cs="宋体"/>
                <w:color w:val="auto"/>
                <w:szCs w:val="21"/>
              </w:rPr>
            </w:pPr>
            <w:r>
              <w:rPr>
                <w:rFonts w:hint="eastAsia" w:ascii="宋体" w:hAnsi="宋体" w:cs="宋体"/>
                <w:color w:val="auto"/>
                <w:szCs w:val="21"/>
              </w:rPr>
              <w:t>并联</w:t>
            </w:r>
          </w:p>
        </w:tc>
        <w:tc>
          <w:tcPr>
            <w:tcW w:w="911" w:type="dxa"/>
            <w:vAlign w:val="center"/>
          </w:tcPr>
          <w:p>
            <w:pPr>
              <w:snapToGrid w:val="0"/>
              <w:rPr>
                <w:rFonts w:ascii="宋体" w:hAnsi="宋体" w:cs="宋体"/>
                <w:color w:val="auto"/>
                <w:szCs w:val="21"/>
              </w:rPr>
            </w:pPr>
            <w:r>
              <w:rPr>
                <w:rFonts w:hint="eastAsia" w:ascii="宋体" w:hAnsi="宋体" w:cs="宋体"/>
                <w:color w:val="auto"/>
                <w:szCs w:val="21"/>
              </w:rPr>
              <w:t>≥1000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2200*2400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1600*1400</w:t>
            </w:r>
          </w:p>
        </w:tc>
        <w:tc>
          <w:tcPr>
            <w:tcW w:w="85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1600</w:t>
            </w:r>
          </w:p>
        </w:tc>
        <w:tc>
          <w:tcPr>
            <w:tcW w:w="87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4880</w:t>
            </w:r>
          </w:p>
        </w:tc>
        <w:tc>
          <w:tcPr>
            <w:tcW w:w="872"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无机房</w:t>
            </w:r>
          </w:p>
        </w:tc>
        <w:tc>
          <w:tcPr>
            <w:tcW w:w="1200"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1100*2400</w:t>
            </w:r>
          </w:p>
        </w:tc>
        <w:tc>
          <w:tcPr>
            <w:tcW w:w="1194"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900*2300</w:t>
            </w:r>
          </w:p>
        </w:tc>
        <w:tc>
          <w:tcPr>
            <w:tcW w:w="44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中分</w:t>
            </w:r>
          </w:p>
        </w:tc>
        <w:tc>
          <w:tcPr>
            <w:tcW w:w="1046"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45" w:type="dxa"/>
            <w:vMerge w:val="continue"/>
            <w:vAlign w:val="center"/>
          </w:tcPr>
          <w:p>
            <w:pPr>
              <w:snapToGrid w:val="0"/>
              <w:rPr>
                <w:rFonts w:ascii="宋体" w:hAnsi="宋体" w:cs="宋体"/>
                <w:szCs w:val="21"/>
              </w:rPr>
            </w:pPr>
          </w:p>
        </w:tc>
        <w:tc>
          <w:tcPr>
            <w:tcW w:w="648"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DT02</w:t>
            </w:r>
          </w:p>
        </w:tc>
        <w:tc>
          <w:tcPr>
            <w:tcW w:w="63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51" w:type="dxa"/>
            <w:vAlign w:val="center"/>
          </w:tcPr>
          <w:p>
            <w:pPr>
              <w:snapToGrid w:val="0"/>
              <w:rPr>
                <w:rFonts w:ascii="宋体" w:hAnsi="宋体" w:cs="宋体"/>
                <w:color w:val="auto"/>
                <w:szCs w:val="21"/>
              </w:rPr>
            </w:pPr>
            <w:r>
              <w:rPr>
                <w:rFonts w:hint="eastAsia" w:ascii="宋体" w:hAnsi="宋体" w:cs="宋体"/>
                <w:color w:val="auto"/>
                <w:szCs w:val="21"/>
              </w:rPr>
              <w:t>≥1.0</w:t>
            </w:r>
          </w:p>
        </w:tc>
        <w:tc>
          <w:tcPr>
            <w:tcW w:w="1001" w:type="dxa"/>
            <w:vAlign w:val="center"/>
          </w:tcPr>
          <w:p>
            <w:pPr>
              <w:snapToGrid w:val="0"/>
              <w:rPr>
                <w:rFonts w:ascii="宋体" w:hAnsi="宋体" w:cs="宋体"/>
                <w:color w:val="auto"/>
                <w:szCs w:val="21"/>
              </w:rPr>
            </w:pPr>
            <w:r>
              <w:rPr>
                <w:rFonts w:hint="eastAsia" w:ascii="宋体" w:hAnsi="宋体" w:cs="宋体"/>
                <w:color w:val="auto"/>
                <w:szCs w:val="21"/>
              </w:rPr>
              <w:t>2/2/2</w:t>
            </w:r>
          </w:p>
        </w:tc>
        <w:tc>
          <w:tcPr>
            <w:tcW w:w="709" w:type="dxa"/>
          </w:tcPr>
          <w:p>
            <w:pPr>
              <w:snapToGrid w:val="0"/>
              <w:rPr>
                <w:rFonts w:ascii="宋体" w:hAnsi="宋体" w:cs="宋体"/>
                <w:color w:val="auto"/>
                <w:szCs w:val="21"/>
              </w:rPr>
            </w:pPr>
            <w:r>
              <w:rPr>
                <w:rFonts w:hint="eastAsia" w:ascii="宋体" w:hAnsi="宋体" w:cs="宋体"/>
                <w:color w:val="auto"/>
                <w:szCs w:val="21"/>
              </w:rPr>
              <w:t>6</w:t>
            </w:r>
          </w:p>
        </w:tc>
        <w:tc>
          <w:tcPr>
            <w:tcW w:w="708" w:type="dxa"/>
            <w:vMerge w:val="continue"/>
            <w:vAlign w:val="center"/>
          </w:tcPr>
          <w:p>
            <w:pPr>
              <w:snapToGrid w:val="0"/>
              <w:rPr>
                <w:rFonts w:ascii="宋体" w:hAnsi="宋体" w:cs="宋体"/>
                <w:color w:val="auto"/>
                <w:szCs w:val="21"/>
              </w:rPr>
            </w:pPr>
          </w:p>
        </w:tc>
        <w:tc>
          <w:tcPr>
            <w:tcW w:w="911" w:type="dxa"/>
            <w:vAlign w:val="center"/>
          </w:tcPr>
          <w:p>
            <w:pPr>
              <w:snapToGrid w:val="0"/>
              <w:rPr>
                <w:rFonts w:ascii="宋体" w:hAnsi="宋体" w:cs="宋体"/>
                <w:color w:val="auto"/>
                <w:szCs w:val="21"/>
              </w:rPr>
            </w:pPr>
            <w:r>
              <w:rPr>
                <w:rFonts w:hint="eastAsia" w:ascii="宋体" w:hAnsi="宋体" w:cs="宋体"/>
                <w:color w:val="auto"/>
                <w:szCs w:val="21"/>
              </w:rPr>
              <w:t>≥1000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2200*2400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1600*1400</w:t>
            </w:r>
          </w:p>
        </w:tc>
        <w:tc>
          <w:tcPr>
            <w:tcW w:w="85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1600</w:t>
            </w:r>
          </w:p>
        </w:tc>
        <w:tc>
          <w:tcPr>
            <w:tcW w:w="87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4880</w:t>
            </w:r>
          </w:p>
        </w:tc>
        <w:tc>
          <w:tcPr>
            <w:tcW w:w="872"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无机房</w:t>
            </w:r>
          </w:p>
        </w:tc>
        <w:tc>
          <w:tcPr>
            <w:tcW w:w="1200"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1100*2400</w:t>
            </w:r>
          </w:p>
        </w:tc>
        <w:tc>
          <w:tcPr>
            <w:tcW w:w="1194"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900*2300</w:t>
            </w:r>
          </w:p>
        </w:tc>
        <w:tc>
          <w:tcPr>
            <w:tcW w:w="44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中分</w:t>
            </w:r>
          </w:p>
        </w:tc>
        <w:tc>
          <w:tcPr>
            <w:tcW w:w="1046"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45" w:type="dxa"/>
            <w:vMerge w:val="continue"/>
            <w:vAlign w:val="center"/>
          </w:tcPr>
          <w:p>
            <w:pPr>
              <w:snapToGrid w:val="0"/>
              <w:rPr>
                <w:rFonts w:ascii="宋体" w:hAnsi="宋体" w:cs="宋体"/>
                <w:szCs w:val="21"/>
              </w:rPr>
            </w:pPr>
          </w:p>
        </w:tc>
        <w:tc>
          <w:tcPr>
            <w:tcW w:w="648"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DT03</w:t>
            </w:r>
          </w:p>
        </w:tc>
        <w:tc>
          <w:tcPr>
            <w:tcW w:w="63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51" w:type="dxa"/>
            <w:vAlign w:val="center"/>
          </w:tcPr>
          <w:p>
            <w:pPr>
              <w:snapToGrid w:val="0"/>
              <w:rPr>
                <w:rFonts w:ascii="宋体" w:hAnsi="宋体" w:cs="宋体"/>
                <w:color w:val="auto"/>
                <w:szCs w:val="21"/>
              </w:rPr>
            </w:pPr>
            <w:r>
              <w:rPr>
                <w:rFonts w:hint="eastAsia" w:ascii="宋体" w:hAnsi="宋体" w:cs="宋体"/>
                <w:color w:val="auto"/>
                <w:szCs w:val="21"/>
              </w:rPr>
              <w:t>≥1.0</w:t>
            </w:r>
          </w:p>
        </w:tc>
        <w:tc>
          <w:tcPr>
            <w:tcW w:w="1001" w:type="dxa"/>
            <w:vAlign w:val="center"/>
          </w:tcPr>
          <w:p>
            <w:pPr>
              <w:snapToGrid w:val="0"/>
              <w:rPr>
                <w:rFonts w:ascii="宋体" w:hAnsi="宋体" w:cs="宋体"/>
                <w:color w:val="auto"/>
                <w:szCs w:val="21"/>
              </w:rPr>
            </w:pPr>
            <w:r>
              <w:rPr>
                <w:rFonts w:hint="eastAsia" w:ascii="宋体" w:hAnsi="宋体" w:cs="宋体"/>
                <w:color w:val="auto"/>
                <w:szCs w:val="21"/>
              </w:rPr>
              <w:t>2/2/4</w:t>
            </w:r>
          </w:p>
        </w:tc>
        <w:tc>
          <w:tcPr>
            <w:tcW w:w="709" w:type="dxa"/>
          </w:tcPr>
          <w:p>
            <w:pPr>
              <w:snapToGrid w:val="0"/>
              <w:rPr>
                <w:rFonts w:ascii="宋体" w:hAnsi="宋体" w:cs="宋体"/>
                <w:color w:val="auto"/>
                <w:szCs w:val="21"/>
              </w:rPr>
            </w:pPr>
            <w:r>
              <w:rPr>
                <w:rFonts w:hint="eastAsia" w:ascii="宋体" w:hAnsi="宋体" w:cs="宋体"/>
                <w:color w:val="auto"/>
                <w:szCs w:val="21"/>
              </w:rPr>
              <w:t>6</w:t>
            </w:r>
          </w:p>
        </w:tc>
        <w:tc>
          <w:tcPr>
            <w:tcW w:w="708" w:type="dxa"/>
            <w:vAlign w:val="center"/>
          </w:tcPr>
          <w:p>
            <w:pPr>
              <w:snapToGrid w:val="0"/>
              <w:rPr>
                <w:rFonts w:ascii="宋体" w:hAnsi="宋体" w:cs="宋体"/>
                <w:color w:val="auto"/>
                <w:szCs w:val="21"/>
              </w:rPr>
            </w:pPr>
            <w:r>
              <w:rPr>
                <w:rFonts w:hint="eastAsia" w:ascii="宋体" w:hAnsi="宋体" w:cs="宋体"/>
                <w:color w:val="auto"/>
                <w:szCs w:val="21"/>
              </w:rPr>
              <w:t>单控</w:t>
            </w:r>
          </w:p>
        </w:tc>
        <w:tc>
          <w:tcPr>
            <w:tcW w:w="911" w:type="dxa"/>
            <w:vAlign w:val="center"/>
          </w:tcPr>
          <w:p>
            <w:pPr>
              <w:snapToGrid w:val="0"/>
              <w:rPr>
                <w:rFonts w:ascii="宋体" w:hAnsi="宋体" w:cs="宋体"/>
                <w:color w:val="auto"/>
                <w:szCs w:val="21"/>
              </w:rPr>
            </w:pPr>
            <w:r>
              <w:rPr>
                <w:rFonts w:hint="eastAsia" w:ascii="宋体" w:hAnsi="宋体" w:cs="宋体"/>
                <w:color w:val="auto"/>
                <w:szCs w:val="21"/>
              </w:rPr>
              <w:t>≥1000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2200*2800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1100*2100</w:t>
            </w:r>
          </w:p>
        </w:tc>
        <w:tc>
          <w:tcPr>
            <w:tcW w:w="85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1600</w:t>
            </w:r>
          </w:p>
        </w:tc>
        <w:tc>
          <w:tcPr>
            <w:tcW w:w="87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4880</w:t>
            </w:r>
          </w:p>
        </w:tc>
        <w:tc>
          <w:tcPr>
            <w:tcW w:w="872"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无机房</w:t>
            </w:r>
          </w:p>
        </w:tc>
        <w:tc>
          <w:tcPr>
            <w:tcW w:w="1200"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1100*2400</w:t>
            </w:r>
          </w:p>
        </w:tc>
        <w:tc>
          <w:tcPr>
            <w:tcW w:w="1194"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900*2300</w:t>
            </w:r>
          </w:p>
        </w:tc>
        <w:tc>
          <w:tcPr>
            <w:tcW w:w="44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中分</w:t>
            </w:r>
          </w:p>
        </w:tc>
        <w:tc>
          <w:tcPr>
            <w:tcW w:w="1046"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客梯贯通门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45" w:type="dxa"/>
            <w:vMerge w:val="continue"/>
            <w:vAlign w:val="center"/>
          </w:tcPr>
          <w:p>
            <w:pPr>
              <w:snapToGrid w:val="0"/>
              <w:rPr>
                <w:rFonts w:ascii="宋体" w:hAnsi="宋体" w:cs="宋体"/>
                <w:szCs w:val="21"/>
              </w:rPr>
            </w:pPr>
          </w:p>
        </w:tc>
        <w:tc>
          <w:tcPr>
            <w:tcW w:w="648"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DT04</w:t>
            </w:r>
          </w:p>
        </w:tc>
        <w:tc>
          <w:tcPr>
            <w:tcW w:w="63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51" w:type="dxa"/>
            <w:vAlign w:val="center"/>
          </w:tcPr>
          <w:p>
            <w:pPr>
              <w:snapToGrid w:val="0"/>
              <w:rPr>
                <w:rFonts w:ascii="宋体" w:hAnsi="宋体" w:cs="宋体"/>
                <w:color w:val="auto"/>
                <w:szCs w:val="21"/>
              </w:rPr>
            </w:pPr>
            <w:r>
              <w:rPr>
                <w:rFonts w:hint="eastAsia" w:ascii="宋体" w:hAnsi="宋体" w:cs="宋体"/>
                <w:color w:val="auto"/>
                <w:szCs w:val="21"/>
              </w:rPr>
              <w:t>≥1.0</w:t>
            </w:r>
          </w:p>
        </w:tc>
        <w:tc>
          <w:tcPr>
            <w:tcW w:w="1001" w:type="dxa"/>
            <w:vAlign w:val="center"/>
          </w:tcPr>
          <w:p>
            <w:pPr>
              <w:snapToGrid w:val="0"/>
              <w:rPr>
                <w:rFonts w:ascii="宋体" w:hAnsi="宋体" w:cs="宋体"/>
                <w:color w:val="auto"/>
                <w:szCs w:val="21"/>
              </w:rPr>
            </w:pPr>
            <w:r>
              <w:rPr>
                <w:rFonts w:hint="eastAsia" w:ascii="宋体" w:hAnsi="宋体" w:cs="宋体"/>
                <w:color w:val="auto"/>
                <w:szCs w:val="21"/>
              </w:rPr>
              <w:t>2/2/</w:t>
            </w:r>
            <w:r>
              <w:rPr>
                <w:rFonts w:ascii="宋体" w:hAnsi="宋体" w:cs="宋体"/>
                <w:color w:val="auto"/>
                <w:szCs w:val="21"/>
              </w:rPr>
              <w:t>2</w:t>
            </w:r>
          </w:p>
        </w:tc>
        <w:tc>
          <w:tcPr>
            <w:tcW w:w="709" w:type="dxa"/>
          </w:tcPr>
          <w:p>
            <w:pPr>
              <w:snapToGrid w:val="0"/>
              <w:rPr>
                <w:rFonts w:ascii="宋体" w:hAnsi="宋体" w:cs="宋体"/>
                <w:color w:val="auto"/>
                <w:szCs w:val="21"/>
              </w:rPr>
            </w:pPr>
            <w:r>
              <w:rPr>
                <w:rFonts w:hint="eastAsia" w:ascii="宋体" w:hAnsi="宋体" w:cs="宋体"/>
                <w:color w:val="auto"/>
                <w:szCs w:val="21"/>
              </w:rPr>
              <w:t>6</w:t>
            </w:r>
          </w:p>
        </w:tc>
        <w:tc>
          <w:tcPr>
            <w:tcW w:w="708" w:type="dxa"/>
            <w:vAlign w:val="center"/>
          </w:tcPr>
          <w:p>
            <w:pPr>
              <w:snapToGrid w:val="0"/>
              <w:rPr>
                <w:rFonts w:ascii="宋体" w:hAnsi="宋体" w:cs="宋体"/>
                <w:color w:val="auto"/>
                <w:szCs w:val="21"/>
              </w:rPr>
            </w:pPr>
            <w:r>
              <w:rPr>
                <w:rFonts w:hint="eastAsia" w:ascii="宋体" w:hAnsi="宋体" w:cs="宋体"/>
                <w:color w:val="auto"/>
                <w:szCs w:val="21"/>
              </w:rPr>
              <w:t>单控</w:t>
            </w:r>
          </w:p>
        </w:tc>
        <w:tc>
          <w:tcPr>
            <w:tcW w:w="911" w:type="dxa"/>
            <w:vAlign w:val="center"/>
          </w:tcPr>
          <w:p>
            <w:pPr>
              <w:snapToGrid w:val="0"/>
              <w:rPr>
                <w:rFonts w:ascii="宋体" w:hAnsi="宋体" w:cs="宋体"/>
                <w:color w:val="auto"/>
                <w:szCs w:val="21"/>
              </w:rPr>
            </w:pPr>
            <w:r>
              <w:rPr>
                <w:rFonts w:hint="eastAsia" w:ascii="宋体" w:hAnsi="宋体" w:cs="宋体"/>
                <w:color w:val="auto"/>
                <w:szCs w:val="21"/>
              </w:rPr>
              <w:t>≥1000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2200*2800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00*</w:t>
            </w:r>
            <w:r>
              <w:rPr>
                <w:rFonts w:ascii="宋体" w:hAnsi="宋体" w:cs="宋体"/>
                <w:color w:val="000000" w:themeColor="text1"/>
                <w:szCs w:val="21"/>
                <w14:textFill>
                  <w14:solidFill>
                    <w14:schemeClr w14:val="tx1"/>
                  </w14:solidFill>
                </w14:textFill>
              </w:rPr>
              <w:t>16</w:t>
            </w:r>
            <w:r>
              <w:rPr>
                <w:rFonts w:hint="eastAsia" w:ascii="宋体" w:hAnsi="宋体" w:cs="宋体"/>
                <w:color w:val="000000" w:themeColor="text1"/>
                <w:szCs w:val="21"/>
                <w14:textFill>
                  <w14:solidFill>
                    <w14:schemeClr w14:val="tx1"/>
                  </w14:solidFill>
                </w14:textFill>
              </w:rPr>
              <w:t>00</w:t>
            </w:r>
          </w:p>
        </w:tc>
        <w:tc>
          <w:tcPr>
            <w:tcW w:w="85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1600</w:t>
            </w:r>
          </w:p>
        </w:tc>
        <w:tc>
          <w:tcPr>
            <w:tcW w:w="87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4880</w:t>
            </w:r>
          </w:p>
        </w:tc>
        <w:tc>
          <w:tcPr>
            <w:tcW w:w="872"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无机房</w:t>
            </w:r>
          </w:p>
        </w:tc>
        <w:tc>
          <w:tcPr>
            <w:tcW w:w="1200"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1100*2400</w:t>
            </w:r>
          </w:p>
        </w:tc>
        <w:tc>
          <w:tcPr>
            <w:tcW w:w="1194"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900*2300</w:t>
            </w:r>
          </w:p>
        </w:tc>
        <w:tc>
          <w:tcPr>
            <w:tcW w:w="44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中分</w:t>
            </w:r>
          </w:p>
        </w:tc>
        <w:tc>
          <w:tcPr>
            <w:tcW w:w="1046"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 w:type="dxa"/>
            <w:vMerge w:val="continue"/>
            <w:vAlign w:val="center"/>
          </w:tcPr>
          <w:p>
            <w:pPr>
              <w:snapToGrid w:val="0"/>
              <w:rPr>
                <w:rFonts w:ascii="宋体" w:hAnsi="宋体" w:cs="宋体"/>
                <w:szCs w:val="21"/>
              </w:rPr>
            </w:pPr>
          </w:p>
        </w:tc>
        <w:tc>
          <w:tcPr>
            <w:tcW w:w="648"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DT06</w:t>
            </w:r>
          </w:p>
        </w:tc>
        <w:tc>
          <w:tcPr>
            <w:tcW w:w="63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51" w:type="dxa"/>
            <w:vAlign w:val="center"/>
          </w:tcPr>
          <w:p>
            <w:pPr>
              <w:snapToGrid w:val="0"/>
              <w:rPr>
                <w:rFonts w:ascii="宋体" w:hAnsi="宋体" w:cs="宋体"/>
                <w:color w:val="auto"/>
                <w:szCs w:val="21"/>
              </w:rPr>
            </w:pPr>
            <w:r>
              <w:rPr>
                <w:rFonts w:hint="eastAsia" w:ascii="宋体" w:hAnsi="宋体" w:cs="宋体"/>
                <w:color w:val="auto"/>
                <w:szCs w:val="21"/>
              </w:rPr>
              <w:t>≥1.0</w:t>
            </w:r>
          </w:p>
        </w:tc>
        <w:tc>
          <w:tcPr>
            <w:tcW w:w="1001" w:type="dxa"/>
            <w:vAlign w:val="center"/>
          </w:tcPr>
          <w:p>
            <w:pPr>
              <w:snapToGrid w:val="0"/>
              <w:rPr>
                <w:rFonts w:ascii="宋体" w:hAnsi="宋体" w:cs="宋体"/>
                <w:color w:val="auto"/>
                <w:szCs w:val="21"/>
              </w:rPr>
            </w:pPr>
            <w:r>
              <w:rPr>
                <w:rFonts w:hint="eastAsia" w:ascii="宋体" w:hAnsi="宋体" w:cs="宋体"/>
                <w:color w:val="auto"/>
                <w:szCs w:val="21"/>
              </w:rPr>
              <w:t>2/2/2</w:t>
            </w:r>
          </w:p>
        </w:tc>
        <w:tc>
          <w:tcPr>
            <w:tcW w:w="709" w:type="dxa"/>
          </w:tcPr>
          <w:p>
            <w:pPr>
              <w:snapToGrid w:val="0"/>
              <w:rPr>
                <w:rFonts w:ascii="宋体" w:hAnsi="宋体" w:cs="宋体"/>
                <w:color w:val="auto"/>
                <w:szCs w:val="21"/>
              </w:rPr>
            </w:pPr>
            <w:r>
              <w:rPr>
                <w:rFonts w:hint="eastAsia" w:ascii="宋体" w:hAnsi="宋体" w:cs="宋体"/>
                <w:color w:val="auto"/>
                <w:szCs w:val="21"/>
              </w:rPr>
              <w:t>6</w:t>
            </w:r>
          </w:p>
        </w:tc>
        <w:tc>
          <w:tcPr>
            <w:tcW w:w="708" w:type="dxa"/>
            <w:vAlign w:val="center"/>
          </w:tcPr>
          <w:p>
            <w:pPr>
              <w:snapToGrid w:val="0"/>
              <w:rPr>
                <w:rFonts w:ascii="宋体" w:hAnsi="宋体" w:cs="宋体"/>
                <w:color w:val="auto"/>
                <w:szCs w:val="21"/>
              </w:rPr>
            </w:pPr>
            <w:r>
              <w:rPr>
                <w:rFonts w:hint="eastAsia" w:ascii="宋体" w:hAnsi="宋体" w:cs="宋体"/>
                <w:color w:val="auto"/>
                <w:szCs w:val="21"/>
              </w:rPr>
              <w:t>单控</w:t>
            </w:r>
          </w:p>
        </w:tc>
        <w:tc>
          <w:tcPr>
            <w:tcW w:w="911" w:type="dxa"/>
            <w:vAlign w:val="center"/>
          </w:tcPr>
          <w:p>
            <w:pPr>
              <w:snapToGrid w:val="0"/>
              <w:rPr>
                <w:rFonts w:ascii="宋体" w:hAnsi="宋体" w:cs="宋体"/>
                <w:color w:val="auto"/>
                <w:szCs w:val="21"/>
              </w:rPr>
            </w:pPr>
            <w:r>
              <w:rPr>
                <w:rFonts w:hint="eastAsia" w:ascii="宋体" w:hAnsi="宋体" w:cs="宋体"/>
                <w:color w:val="auto"/>
                <w:szCs w:val="21"/>
              </w:rPr>
              <w:t>≥1000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2000*2400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1300*1800</w:t>
            </w:r>
          </w:p>
        </w:tc>
        <w:tc>
          <w:tcPr>
            <w:tcW w:w="85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1600</w:t>
            </w:r>
          </w:p>
        </w:tc>
        <w:tc>
          <w:tcPr>
            <w:tcW w:w="87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4880</w:t>
            </w:r>
          </w:p>
        </w:tc>
        <w:tc>
          <w:tcPr>
            <w:tcW w:w="872"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无机房</w:t>
            </w:r>
          </w:p>
        </w:tc>
        <w:tc>
          <w:tcPr>
            <w:tcW w:w="1200"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1000*2400</w:t>
            </w:r>
          </w:p>
        </w:tc>
        <w:tc>
          <w:tcPr>
            <w:tcW w:w="1194"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800*2300</w:t>
            </w:r>
          </w:p>
        </w:tc>
        <w:tc>
          <w:tcPr>
            <w:tcW w:w="44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中分</w:t>
            </w:r>
          </w:p>
        </w:tc>
        <w:tc>
          <w:tcPr>
            <w:tcW w:w="1046"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客梯兼无障碍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45" w:type="dxa"/>
            <w:vMerge w:val="continue"/>
            <w:vAlign w:val="center"/>
          </w:tcPr>
          <w:p>
            <w:pPr>
              <w:snapToGrid w:val="0"/>
              <w:rPr>
                <w:rFonts w:ascii="宋体" w:hAnsi="宋体" w:cs="宋体"/>
                <w:szCs w:val="21"/>
              </w:rPr>
            </w:pPr>
          </w:p>
        </w:tc>
        <w:tc>
          <w:tcPr>
            <w:tcW w:w="648"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DT05</w:t>
            </w:r>
          </w:p>
        </w:tc>
        <w:tc>
          <w:tcPr>
            <w:tcW w:w="63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51" w:type="dxa"/>
            <w:vAlign w:val="center"/>
          </w:tcPr>
          <w:p>
            <w:pPr>
              <w:snapToGrid w:val="0"/>
              <w:rPr>
                <w:rFonts w:ascii="宋体" w:hAnsi="宋体" w:cs="宋体"/>
                <w:color w:val="auto"/>
                <w:szCs w:val="21"/>
              </w:rPr>
            </w:pPr>
            <w:r>
              <w:rPr>
                <w:rFonts w:hint="eastAsia" w:ascii="宋体" w:hAnsi="宋体" w:cs="宋体"/>
                <w:color w:val="auto"/>
                <w:szCs w:val="21"/>
              </w:rPr>
              <w:t>/</w:t>
            </w:r>
          </w:p>
        </w:tc>
        <w:tc>
          <w:tcPr>
            <w:tcW w:w="1001" w:type="dxa"/>
            <w:vAlign w:val="center"/>
          </w:tcPr>
          <w:p>
            <w:pPr>
              <w:snapToGrid w:val="0"/>
              <w:rPr>
                <w:rFonts w:ascii="宋体" w:hAnsi="宋体" w:cs="宋体"/>
                <w:color w:val="auto"/>
                <w:szCs w:val="21"/>
              </w:rPr>
            </w:pPr>
            <w:r>
              <w:rPr>
                <w:rFonts w:hint="eastAsia" w:ascii="宋体" w:hAnsi="宋体" w:cs="宋体"/>
                <w:color w:val="auto"/>
                <w:szCs w:val="21"/>
              </w:rPr>
              <w:t>2/2/2</w:t>
            </w:r>
          </w:p>
        </w:tc>
        <w:tc>
          <w:tcPr>
            <w:tcW w:w="709" w:type="dxa"/>
          </w:tcPr>
          <w:p>
            <w:pPr>
              <w:snapToGrid w:val="0"/>
              <w:rPr>
                <w:rFonts w:ascii="宋体" w:hAnsi="宋体" w:cs="宋体"/>
                <w:color w:val="auto"/>
                <w:szCs w:val="21"/>
              </w:rPr>
            </w:pPr>
            <w:r>
              <w:rPr>
                <w:rFonts w:hint="eastAsia" w:ascii="宋体" w:hAnsi="宋体" w:cs="宋体"/>
                <w:color w:val="auto"/>
                <w:szCs w:val="21"/>
              </w:rPr>
              <w:t>3.2</w:t>
            </w:r>
          </w:p>
        </w:tc>
        <w:tc>
          <w:tcPr>
            <w:tcW w:w="708" w:type="dxa"/>
            <w:vAlign w:val="center"/>
          </w:tcPr>
          <w:p>
            <w:pPr>
              <w:snapToGrid w:val="0"/>
              <w:rPr>
                <w:rFonts w:ascii="宋体" w:hAnsi="宋体" w:cs="宋体"/>
                <w:color w:val="auto"/>
                <w:szCs w:val="21"/>
              </w:rPr>
            </w:pPr>
            <w:r>
              <w:rPr>
                <w:rFonts w:hint="eastAsia" w:ascii="宋体" w:hAnsi="宋体" w:cs="宋体"/>
                <w:color w:val="auto"/>
                <w:szCs w:val="21"/>
              </w:rPr>
              <w:t>/</w:t>
            </w:r>
          </w:p>
        </w:tc>
        <w:tc>
          <w:tcPr>
            <w:tcW w:w="911" w:type="dxa"/>
            <w:vAlign w:val="center"/>
          </w:tcPr>
          <w:p>
            <w:pPr>
              <w:snapToGrid w:val="0"/>
              <w:rPr>
                <w:rFonts w:ascii="宋体" w:hAnsi="宋体" w:cs="宋体"/>
                <w:color w:val="auto"/>
                <w:szCs w:val="21"/>
              </w:rPr>
            </w:pPr>
            <w:r>
              <w:rPr>
                <w:rFonts w:hint="eastAsia" w:ascii="宋体" w:hAnsi="宋体" w:cs="宋体"/>
                <w:color w:val="auto"/>
                <w:szCs w:val="21"/>
              </w:rPr>
              <w:t>/</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2800*2750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85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1600</w:t>
            </w:r>
          </w:p>
        </w:tc>
        <w:tc>
          <w:tcPr>
            <w:tcW w:w="87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872"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200"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94"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44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4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固定剪叉式升降台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45" w:type="dxa"/>
            <w:vMerge w:val="restart"/>
            <w:vAlign w:val="center"/>
          </w:tcPr>
          <w:p>
            <w:pPr>
              <w:snapToGrid w:val="0"/>
              <w:rPr>
                <w:rFonts w:ascii="宋体" w:hAnsi="宋体" w:cs="宋体"/>
                <w:szCs w:val="21"/>
              </w:rPr>
            </w:pPr>
            <w:r>
              <w:rPr>
                <w:rFonts w:hint="eastAsia" w:ascii="宋体" w:hAnsi="宋体" w:cs="宋体"/>
                <w:szCs w:val="21"/>
              </w:rPr>
              <w:t>新闻中心</w:t>
            </w:r>
          </w:p>
        </w:tc>
        <w:tc>
          <w:tcPr>
            <w:tcW w:w="648"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DT1</w:t>
            </w:r>
          </w:p>
        </w:tc>
        <w:tc>
          <w:tcPr>
            <w:tcW w:w="63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51" w:type="dxa"/>
            <w:vAlign w:val="center"/>
          </w:tcPr>
          <w:p>
            <w:pPr>
              <w:snapToGrid w:val="0"/>
              <w:rPr>
                <w:rFonts w:ascii="宋体" w:hAnsi="宋体" w:cs="宋体"/>
                <w:color w:val="auto"/>
                <w:szCs w:val="21"/>
              </w:rPr>
            </w:pPr>
            <w:r>
              <w:rPr>
                <w:rFonts w:hint="eastAsia" w:ascii="宋体" w:hAnsi="宋体" w:cs="宋体"/>
                <w:color w:val="auto"/>
                <w:szCs w:val="21"/>
              </w:rPr>
              <w:t>≥1.0</w:t>
            </w:r>
          </w:p>
        </w:tc>
        <w:tc>
          <w:tcPr>
            <w:tcW w:w="1001" w:type="dxa"/>
            <w:vAlign w:val="center"/>
          </w:tcPr>
          <w:p>
            <w:pPr>
              <w:snapToGrid w:val="0"/>
              <w:rPr>
                <w:rFonts w:ascii="宋体" w:hAnsi="宋体" w:cs="宋体"/>
                <w:color w:val="auto"/>
                <w:szCs w:val="21"/>
              </w:rPr>
            </w:pPr>
            <w:r>
              <w:rPr>
                <w:rFonts w:hint="eastAsia" w:ascii="宋体" w:hAnsi="宋体" w:cs="宋体"/>
                <w:color w:val="auto"/>
                <w:szCs w:val="21"/>
              </w:rPr>
              <w:t>2/2/2</w:t>
            </w:r>
          </w:p>
        </w:tc>
        <w:tc>
          <w:tcPr>
            <w:tcW w:w="709" w:type="dxa"/>
          </w:tcPr>
          <w:p>
            <w:pPr>
              <w:snapToGrid w:val="0"/>
              <w:rPr>
                <w:rFonts w:ascii="宋体" w:hAnsi="宋体" w:cs="宋体"/>
                <w:color w:val="auto"/>
                <w:szCs w:val="21"/>
              </w:rPr>
            </w:pPr>
            <w:r>
              <w:rPr>
                <w:rFonts w:hint="eastAsia" w:ascii="宋体" w:hAnsi="宋体" w:cs="宋体"/>
                <w:color w:val="auto"/>
                <w:szCs w:val="21"/>
              </w:rPr>
              <w:t>6</w:t>
            </w:r>
          </w:p>
        </w:tc>
        <w:tc>
          <w:tcPr>
            <w:tcW w:w="708" w:type="dxa"/>
            <w:vAlign w:val="center"/>
          </w:tcPr>
          <w:p>
            <w:pPr>
              <w:snapToGrid w:val="0"/>
              <w:rPr>
                <w:rFonts w:ascii="宋体" w:hAnsi="宋体" w:cs="宋体"/>
                <w:color w:val="auto"/>
                <w:szCs w:val="21"/>
              </w:rPr>
            </w:pPr>
            <w:r>
              <w:rPr>
                <w:rFonts w:hint="eastAsia" w:ascii="宋体" w:hAnsi="宋体" w:cs="宋体"/>
                <w:color w:val="auto"/>
                <w:szCs w:val="21"/>
              </w:rPr>
              <w:t>单控</w:t>
            </w:r>
          </w:p>
        </w:tc>
        <w:tc>
          <w:tcPr>
            <w:tcW w:w="911" w:type="dxa"/>
            <w:vAlign w:val="center"/>
          </w:tcPr>
          <w:p>
            <w:pPr>
              <w:snapToGrid w:val="0"/>
              <w:rPr>
                <w:rFonts w:ascii="宋体" w:hAnsi="宋体" w:cs="宋体"/>
                <w:color w:val="auto"/>
                <w:szCs w:val="21"/>
              </w:rPr>
            </w:pPr>
            <w:r>
              <w:rPr>
                <w:rFonts w:hint="eastAsia" w:ascii="宋体" w:hAnsi="宋体" w:cs="宋体"/>
                <w:color w:val="auto"/>
                <w:szCs w:val="21"/>
              </w:rPr>
              <w:t>≥1000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2200*2050</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00*1</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00</w:t>
            </w:r>
          </w:p>
        </w:tc>
        <w:tc>
          <w:tcPr>
            <w:tcW w:w="85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1600</w:t>
            </w:r>
          </w:p>
        </w:tc>
        <w:tc>
          <w:tcPr>
            <w:tcW w:w="87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4800</w:t>
            </w:r>
          </w:p>
        </w:tc>
        <w:tc>
          <w:tcPr>
            <w:tcW w:w="872"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无机房</w:t>
            </w:r>
          </w:p>
        </w:tc>
        <w:tc>
          <w:tcPr>
            <w:tcW w:w="1200"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1100*2400</w:t>
            </w:r>
          </w:p>
        </w:tc>
        <w:tc>
          <w:tcPr>
            <w:tcW w:w="1194"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900*2300</w:t>
            </w:r>
          </w:p>
        </w:tc>
        <w:tc>
          <w:tcPr>
            <w:tcW w:w="44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中分</w:t>
            </w:r>
          </w:p>
        </w:tc>
        <w:tc>
          <w:tcPr>
            <w:tcW w:w="1046" w:type="dxa"/>
            <w:vAlign w:val="center"/>
          </w:tcPr>
          <w:p>
            <w:pPr>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客梯兼无障碍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45" w:type="dxa"/>
            <w:vMerge w:val="continue"/>
            <w:vAlign w:val="center"/>
          </w:tcPr>
          <w:p>
            <w:pPr>
              <w:snapToGrid w:val="0"/>
              <w:rPr>
                <w:rFonts w:ascii="宋体" w:hAnsi="宋体" w:cs="宋体"/>
                <w:szCs w:val="21"/>
              </w:rPr>
            </w:pPr>
          </w:p>
        </w:tc>
        <w:tc>
          <w:tcPr>
            <w:tcW w:w="648"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DT2</w:t>
            </w:r>
          </w:p>
        </w:tc>
        <w:tc>
          <w:tcPr>
            <w:tcW w:w="63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51"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01"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2/2/2</w:t>
            </w:r>
          </w:p>
        </w:tc>
        <w:tc>
          <w:tcPr>
            <w:tcW w:w="709" w:type="dxa"/>
          </w:tcPr>
          <w:p>
            <w:pPr>
              <w:snapToGrid w:val="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1.5</w:t>
            </w:r>
          </w:p>
        </w:tc>
        <w:tc>
          <w:tcPr>
            <w:tcW w:w="708"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911"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87"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85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879"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872"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200"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94"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446" w:type="dxa"/>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4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轮椅垂直升降平台</w:t>
            </w:r>
          </w:p>
        </w:tc>
      </w:tr>
    </w:tbl>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备注：具体尺寸详见图纸，本项目图纸请与招标代理联系索取。</w:t>
      </w:r>
    </w:p>
    <w:p>
      <w:pPr>
        <w:rPr>
          <w:b/>
          <w:w w:val="80"/>
          <w:sz w:val="28"/>
        </w:rPr>
      </w:pPr>
      <w:r>
        <w:rPr>
          <w:rFonts w:hint="eastAsia"/>
          <w:b/>
          <w:w w:val="80"/>
          <w:sz w:val="28"/>
        </w:rPr>
        <w:br w:type="page"/>
      </w:r>
    </w:p>
    <w:p>
      <w:pPr>
        <w:snapToGrid w:val="0"/>
        <w:rPr>
          <w:rFonts w:ascii="宋体" w:hAnsi="宋体" w:cs="宋体"/>
          <w:b/>
          <w:bCs/>
          <w:sz w:val="24"/>
        </w:rPr>
        <w:sectPr>
          <w:pgSz w:w="16838" w:h="11906" w:orient="landscape"/>
          <w:pgMar w:top="1418" w:right="1276" w:bottom="1418" w:left="1247" w:header="851" w:footer="992" w:gutter="0"/>
          <w:cols w:space="720" w:num="1"/>
          <w:titlePg/>
          <w:docGrid w:linePitch="312" w:charSpace="0"/>
        </w:sectPr>
      </w:pPr>
    </w:p>
    <w:p>
      <w:pPr>
        <w:snapToGrid w:val="0"/>
        <w:rPr>
          <w:rFonts w:ascii="宋体" w:hAnsi="宋体" w:cs="宋体"/>
          <w:b/>
          <w:bCs/>
          <w:sz w:val="24"/>
        </w:rPr>
      </w:pPr>
      <w:r>
        <w:rPr>
          <w:rFonts w:hint="eastAsia" w:ascii="宋体" w:hAnsi="宋体" w:cs="宋体"/>
          <w:b/>
          <w:bCs/>
          <w:sz w:val="24"/>
        </w:rPr>
        <w:t>二、参考品牌：蒂升、日立、奥的斯、通力同档次及以上。</w:t>
      </w:r>
    </w:p>
    <w:p>
      <w:pPr>
        <w:snapToGrid w:val="0"/>
        <w:ind w:firstLine="420" w:firstLineChars="200"/>
        <w:rPr>
          <w:rFonts w:ascii="宋体" w:hAnsi="宋体" w:cs="宋体"/>
          <w:szCs w:val="21"/>
        </w:rPr>
      </w:pPr>
      <w:r>
        <w:rPr>
          <w:rFonts w:hint="eastAsia" w:ascii="宋体" w:hAnsi="宋体" w:cs="宋体"/>
          <w:szCs w:val="21"/>
        </w:rPr>
        <w:t>注：以上参考品牌仅供投标参考，不具限制性，投标产品非参考品牌的，必须在产品质量和性能上与参考品牌同档次或优于参考品牌。欢迎其他能满足本项目技术需求或性能与参考品牌相当的产品参与。</w:t>
      </w:r>
      <w:bookmarkStart w:id="32" w:name="_Toc14895"/>
      <w:bookmarkStart w:id="33" w:name="_Toc20909"/>
    </w:p>
    <w:p>
      <w:pPr>
        <w:snapToGrid w:val="0"/>
        <w:rPr>
          <w:rFonts w:ascii="宋体" w:hAnsi="宋体" w:cs="宋体"/>
          <w:szCs w:val="21"/>
        </w:rPr>
      </w:pPr>
    </w:p>
    <w:p>
      <w:pPr>
        <w:snapToGrid w:val="0"/>
        <w:rPr>
          <w:rFonts w:ascii="宋体" w:hAnsi="宋体" w:cs="宋体"/>
          <w:b/>
          <w:bCs/>
          <w:sz w:val="24"/>
        </w:rPr>
      </w:pPr>
      <w:r>
        <w:rPr>
          <w:rFonts w:hint="eastAsia" w:ascii="宋体" w:hAnsi="宋体" w:cs="宋体"/>
          <w:b/>
          <w:bCs/>
          <w:sz w:val="24"/>
        </w:rPr>
        <w:t>三、</w:t>
      </w:r>
      <w:bookmarkEnd w:id="32"/>
      <w:bookmarkEnd w:id="33"/>
      <w:r>
        <w:rPr>
          <w:rFonts w:hint="eastAsia" w:ascii="宋体" w:hAnsi="宋体" w:cs="宋体"/>
          <w:b/>
          <w:bCs/>
          <w:sz w:val="24"/>
        </w:rPr>
        <w:t>技术性能指标</w:t>
      </w:r>
    </w:p>
    <w:p>
      <w:pPr>
        <w:snapToGrid w:val="0"/>
        <w:jc w:val="center"/>
        <w:rPr>
          <w:rFonts w:ascii="宋体" w:hAnsi="宋体" w:cs="宋体"/>
          <w:b/>
          <w:bCs/>
          <w:sz w:val="24"/>
        </w:rPr>
      </w:pPr>
      <w:r>
        <w:rPr>
          <w:rFonts w:hint="eastAsia" w:ascii="宋体" w:hAnsi="宋体" w:cs="宋体"/>
          <w:b/>
          <w:bCs/>
          <w:sz w:val="24"/>
        </w:rPr>
        <w:t>垂直电梯技术需求表</w:t>
      </w:r>
    </w:p>
    <w:p>
      <w:pPr>
        <w:jc w:val="left"/>
        <w:rPr>
          <w:rFonts w:asciiTheme="minorEastAsia" w:hAnsiTheme="minorEastAsia" w:eastAsiaTheme="minorEastAsia" w:cstheme="minorEastAsia"/>
          <w:w w:val="80"/>
          <w:sz w:val="24"/>
        </w:rPr>
      </w:pPr>
      <w:r>
        <w:rPr>
          <w:rFonts w:ascii="宋体" w:hAnsi="宋体"/>
          <w:w w:val="80"/>
          <w:sz w:val="24"/>
        </w:rPr>
        <w:t>[</w:t>
      </w:r>
      <w:r>
        <w:rPr>
          <w:rFonts w:hint="eastAsia" w:asciiTheme="minorEastAsia" w:hAnsiTheme="minorEastAsia" w:eastAsiaTheme="minorEastAsia" w:cstheme="minorEastAsia"/>
          <w:w w:val="80"/>
          <w:sz w:val="24"/>
        </w:rPr>
        <w:t>一] [技术参数]</w:t>
      </w:r>
    </w:p>
    <w:tbl>
      <w:tblPr>
        <w:tblStyle w:val="24"/>
        <w:tblW w:w="10206"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0" w:type="dxa"/>
          <w:bottom w:w="0" w:type="dxa"/>
          <w:right w:w="0" w:type="dxa"/>
        </w:tblCellMar>
      </w:tblPr>
      <w:tblGrid>
        <w:gridCol w:w="860"/>
        <w:gridCol w:w="7619"/>
        <w:gridCol w:w="172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blHeader/>
        </w:trPr>
        <w:tc>
          <w:tcPr>
            <w:tcW w:w="860" w:type="dxa"/>
            <w:tcBorders>
              <w:top w:val="single" w:color="auto" w:sz="4" w:space="0"/>
              <w:left w:val="single" w:color="auto" w:sz="4" w:space="0"/>
              <w:bottom w:val="single" w:color="auto" w:sz="4"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条款号</w:t>
            </w:r>
          </w:p>
        </w:tc>
        <w:tc>
          <w:tcPr>
            <w:tcW w:w="7619" w:type="dxa"/>
            <w:tcBorders>
              <w:top w:val="single" w:color="auto" w:sz="4" w:space="0"/>
              <w:left w:val="single" w:color="auto" w:sz="2" w:space="0"/>
              <w:bottom w:val="single" w:color="auto" w:sz="4" w:space="0"/>
              <w:right w:val="single" w:color="auto" w:sz="2" w:space="0"/>
            </w:tcBorders>
            <w:vAlign w:val="center"/>
          </w:tcPr>
          <w:p>
            <w:pPr>
              <w:snapToGrid w:val="0"/>
              <w:rPr>
                <w:rFonts w:ascii="宋体" w:hAnsi="宋体" w:cs="宋体"/>
                <w:szCs w:val="21"/>
              </w:rPr>
            </w:pPr>
            <w:r>
              <w:rPr>
                <w:rFonts w:hint="eastAsia" w:ascii="宋体" w:hAnsi="宋体" w:cs="宋体"/>
                <w:szCs w:val="21"/>
              </w:rPr>
              <w:t>电梯部分招标规格</w:t>
            </w:r>
          </w:p>
        </w:tc>
        <w:tc>
          <w:tcPr>
            <w:tcW w:w="1727" w:type="dxa"/>
            <w:tcBorders>
              <w:top w:val="single" w:color="auto" w:sz="4" w:space="0"/>
              <w:left w:val="single" w:color="auto" w:sz="2"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投标人对照规格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52" w:hRule="exact"/>
        </w:trPr>
        <w:tc>
          <w:tcPr>
            <w:tcW w:w="860" w:type="dxa"/>
            <w:tcBorders>
              <w:top w:val="single" w:color="auto" w:sz="4"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一</w:t>
            </w:r>
          </w:p>
        </w:tc>
        <w:tc>
          <w:tcPr>
            <w:tcW w:w="7619" w:type="dxa"/>
            <w:tcBorders>
              <w:top w:val="single" w:color="auto" w:sz="4"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工作环境及电梯数据[以下技术参数要求如与图纸尺寸有出入的，以图纸及现场实际为准]</w:t>
            </w:r>
          </w:p>
        </w:tc>
        <w:tc>
          <w:tcPr>
            <w:tcW w:w="1727" w:type="dxa"/>
            <w:tcBorders>
              <w:top w:val="single" w:color="auto" w:sz="4"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11"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1.1</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建筑物类型：商业楼</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47"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1.2</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电梯数量：共6台  （固定剪叉式升降台及轮椅垂直升降平台除外）</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20"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1.3</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行程：详见土建设计参数及设备参数表表，具体以图纸为准</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66"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1.4</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轿厢净尺寸：详见设备参数表（具体以现场实际为准)</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r>
              <w:rPr>
                <w:rFonts w:hint="eastAsia" w:ascii="宋体" w:hAnsi="宋体" w:cs="宋体"/>
                <w:szCs w:val="21"/>
              </w:rPr>
              <w:t>填写具体数值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66"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1.5</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井道净尺寸：详见设备参数表（具体以现场实际为准)</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94"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1.6</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底坑深度：详见设备参数表（具体以现场实际为准)</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57"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1.7</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顶层高度：详见设备参数表（具体以现场实际为准)</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288"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1.8</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门开口宽度、高度：详见设备参数表（具体以现场实际为准)</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265" w:hRule="exact"/>
        </w:trPr>
        <w:tc>
          <w:tcPr>
            <w:tcW w:w="860" w:type="dxa"/>
            <w:tcBorders>
              <w:top w:val="single" w:color="auto" w:sz="4"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二</w:t>
            </w:r>
          </w:p>
        </w:tc>
        <w:tc>
          <w:tcPr>
            <w:tcW w:w="7619" w:type="dxa"/>
            <w:tcBorders>
              <w:top w:val="single" w:color="auto" w:sz="4"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电梯要求[以下技术参数要求如与图纸尺寸有出入的，以图纸及现场实际为准]</w:t>
            </w:r>
          </w:p>
        </w:tc>
        <w:tc>
          <w:tcPr>
            <w:tcW w:w="1727" w:type="dxa"/>
            <w:tcBorders>
              <w:top w:val="single" w:color="auto" w:sz="4"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567"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▲2.1</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额定载重量：详见设备参数表</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27"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▲2.2</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速度：详见设备参数表</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12"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2.3</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停靠层：详见土建设计参数及设备参数表，具体以图纸及现场施工为准。</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85"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2.4</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主导轨规格：≥T89，副导轨为实心导轨</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02"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2.5</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客梯轿厢装潢</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2353"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color w:val="auto"/>
                <w:szCs w:val="21"/>
              </w:rPr>
            </w:pPr>
            <w:r>
              <w:rPr>
                <w:rFonts w:hint="eastAsia" w:ascii="宋体" w:hAnsi="宋体" w:cs="宋体"/>
                <w:color w:val="auto"/>
                <w:szCs w:val="21"/>
              </w:rPr>
              <w:t>▲2.5.1</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D</w:t>
            </w:r>
            <w:r>
              <w:rPr>
                <w:rFonts w:ascii="宋体" w:hAnsi="宋体" w:cs="宋体"/>
                <w:color w:val="auto"/>
                <w:szCs w:val="21"/>
              </w:rPr>
              <w:t>T01</w:t>
            </w:r>
            <w:r>
              <w:rPr>
                <w:rFonts w:hint="eastAsia" w:ascii="宋体" w:hAnsi="宋体" w:cs="宋体"/>
                <w:color w:val="auto"/>
                <w:szCs w:val="21"/>
              </w:rPr>
              <w:t>、D</w:t>
            </w:r>
            <w:r>
              <w:rPr>
                <w:rFonts w:ascii="宋体" w:hAnsi="宋体" w:cs="宋体"/>
                <w:color w:val="auto"/>
                <w:szCs w:val="21"/>
              </w:rPr>
              <w:t>T02</w:t>
            </w:r>
            <w:r>
              <w:rPr>
                <w:rFonts w:hint="eastAsia" w:ascii="宋体" w:hAnsi="宋体" w:cs="宋体"/>
                <w:color w:val="auto"/>
                <w:szCs w:val="21"/>
              </w:rPr>
              <w:t>、D</w:t>
            </w:r>
            <w:r>
              <w:rPr>
                <w:rFonts w:ascii="宋体" w:hAnsi="宋体" w:cs="宋体"/>
                <w:color w:val="auto"/>
                <w:szCs w:val="21"/>
              </w:rPr>
              <w:t>T06</w:t>
            </w:r>
            <w:r>
              <w:rPr>
                <w:rFonts w:hint="eastAsia" w:ascii="宋体" w:hAnsi="宋体" w:cs="宋体"/>
                <w:color w:val="auto"/>
                <w:szCs w:val="21"/>
              </w:rPr>
              <w:t>、D</w:t>
            </w:r>
            <w:r>
              <w:rPr>
                <w:rFonts w:ascii="宋体" w:hAnsi="宋体" w:cs="宋体"/>
                <w:color w:val="auto"/>
                <w:szCs w:val="21"/>
              </w:rPr>
              <w:t>T1:</w:t>
            </w:r>
          </w:p>
          <w:p>
            <w:pPr>
              <w:snapToGrid w:val="0"/>
              <w:rPr>
                <w:color w:val="auto"/>
              </w:rPr>
            </w:pPr>
            <w:r>
              <w:rPr>
                <w:rFonts w:hint="eastAsia" w:ascii="宋体" w:hAnsi="宋体" w:cs="宋体"/>
                <w:color w:val="auto"/>
                <w:szCs w:val="21"/>
              </w:rPr>
              <w:t>轿顶：上层顶木格栅造型、亚克</w:t>
            </w:r>
            <w:r>
              <w:rPr>
                <w:rFonts w:hint="eastAsia"/>
                <w:color w:val="auto"/>
              </w:rPr>
              <w:t>力灯片丝印、</w:t>
            </w:r>
          </w:p>
          <w:p>
            <w:pPr>
              <w:snapToGrid w:val="0"/>
              <w:rPr>
                <w:color w:val="auto"/>
              </w:rPr>
            </w:pPr>
            <w:r>
              <w:rPr>
                <w:rFonts w:hint="eastAsia"/>
                <w:color w:val="auto"/>
              </w:rPr>
              <w:t>下层顶土豪金发纹不锈钢、射灯照明</w:t>
            </w:r>
          </w:p>
          <w:p>
            <w:pPr>
              <w:snapToGrid w:val="0"/>
              <w:rPr>
                <w:color w:val="auto"/>
              </w:rPr>
            </w:pPr>
            <w:r>
              <w:rPr>
                <w:rFonts w:hint="eastAsia"/>
                <w:color w:val="auto"/>
              </w:rPr>
              <w:t>后壁：中间土豪金发纹蚀刻不锈钢、两侧土豪金镜面不锈钢</w:t>
            </w:r>
          </w:p>
          <w:p>
            <w:pPr>
              <w:snapToGrid w:val="0"/>
              <w:rPr>
                <w:color w:val="auto"/>
              </w:rPr>
            </w:pPr>
            <w:r>
              <w:rPr>
                <w:rFonts w:hint="eastAsia"/>
                <w:color w:val="auto"/>
              </w:rPr>
              <w:t>侧壁：木饰面、土豪金镜面不锈钢饰条</w:t>
            </w:r>
          </w:p>
          <w:p>
            <w:pPr>
              <w:snapToGrid w:val="0"/>
              <w:rPr>
                <w:rFonts w:ascii="宋体" w:hAnsi="宋体" w:cs="宋体"/>
                <w:color w:val="auto"/>
                <w:szCs w:val="21"/>
              </w:rPr>
            </w:pPr>
            <w:r>
              <w:rPr>
                <w:rFonts w:hint="eastAsia" w:ascii="宋体" w:hAnsi="宋体" w:cs="宋体"/>
                <w:color w:val="auto"/>
                <w:szCs w:val="21"/>
              </w:rPr>
              <w:t>轿厢门：土豪金发纹不锈钢</w:t>
            </w:r>
          </w:p>
          <w:p>
            <w:pPr>
              <w:snapToGrid w:val="0"/>
              <w:rPr>
                <w:rFonts w:ascii="宋体" w:hAnsi="宋体" w:cs="宋体"/>
                <w:color w:val="auto"/>
                <w:szCs w:val="21"/>
              </w:rPr>
            </w:pPr>
            <w:r>
              <w:rPr>
                <w:rFonts w:hint="eastAsia" w:ascii="宋体" w:hAnsi="宋体" w:cs="宋体"/>
                <w:color w:val="auto"/>
                <w:szCs w:val="21"/>
              </w:rPr>
              <w:t>D</w:t>
            </w:r>
            <w:r>
              <w:rPr>
                <w:rFonts w:ascii="宋体" w:hAnsi="宋体" w:cs="宋体"/>
                <w:color w:val="auto"/>
                <w:szCs w:val="21"/>
              </w:rPr>
              <w:t>T03</w:t>
            </w:r>
            <w:r>
              <w:rPr>
                <w:rFonts w:hint="eastAsia" w:ascii="宋体" w:hAnsi="宋体" w:cs="宋体"/>
                <w:color w:val="auto"/>
                <w:szCs w:val="21"/>
              </w:rPr>
              <w:t>、D</w:t>
            </w:r>
            <w:r>
              <w:rPr>
                <w:rFonts w:ascii="宋体" w:hAnsi="宋体" w:cs="宋体"/>
                <w:color w:val="auto"/>
                <w:szCs w:val="21"/>
              </w:rPr>
              <w:t>T04</w:t>
            </w:r>
            <w:r>
              <w:rPr>
                <w:rFonts w:hint="eastAsia" w:ascii="宋体" w:hAnsi="宋体" w:cs="宋体"/>
                <w:color w:val="auto"/>
                <w:szCs w:val="21"/>
              </w:rPr>
              <w:t>电梯轿厢壁、轿厢门材质：304发纹不锈钢，不锈钢采用一次性成型，不允许外包（304材质厚度≥1.2mm）</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997" w:hRule="exac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color w:val="auto"/>
                <w:szCs w:val="21"/>
              </w:rPr>
            </w:pPr>
            <w:r>
              <w:rPr>
                <w:rFonts w:hint="eastAsia" w:ascii="宋体" w:hAnsi="宋体" w:cs="宋体"/>
                <w:color w:val="auto"/>
                <w:szCs w:val="21"/>
              </w:rPr>
              <w:t>▲2.5.2</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D</w:t>
            </w:r>
            <w:r>
              <w:rPr>
                <w:rFonts w:ascii="宋体" w:hAnsi="宋体" w:cs="宋体"/>
                <w:color w:val="auto"/>
                <w:szCs w:val="21"/>
              </w:rPr>
              <w:t>T01</w:t>
            </w:r>
            <w:r>
              <w:rPr>
                <w:rFonts w:hint="eastAsia" w:ascii="宋体" w:hAnsi="宋体" w:cs="宋体"/>
                <w:color w:val="auto"/>
                <w:szCs w:val="21"/>
              </w:rPr>
              <w:t>、D</w:t>
            </w:r>
            <w:r>
              <w:rPr>
                <w:rFonts w:ascii="宋体" w:hAnsi="宋体" w:cs="宋体"/>
                <w:color w:val="auto"/>
                <w:szCs w:val="21"/>
              </w:rPr>
              <w:t>T02</w:t>
            </w:r>
            <w:r>
              <w:rPr>
                <w:rFonts w:hint="eastAsia" w:ascii="宋体" w:hAnsi="宋体" w:cs="宋体"/>
                <w:color w:val="auto"/>
                <w:szCs w:val="21"/>
              </w:rPr>
              <w:t>、D</w:t>
            </w:r>
            <w:r>
              <w:rPr>
                <w:rFonts w:ascii="宋体" w:hAnsi="宋体" w:cs="宋体"/>
                <w:color w:val="auto"/>
                <w:szCs w:val="21"/>
              </w:rPr>
              <w:t>T06</w:t>
            </w:r>
            <w:r>
              <w:rPr>
                <w:rFonts w:hint="eastAsia" w:ascii="宋体" w:hAnsi="宋体" w:cs="宋体"/>
                <w:color w:val="auto"/>
                <w:szCs w:val="21"/>
              </w:rPr>
              <w:t>、D</w:t>
            </w:r>
            <w:r>
              <w:rPr>
                <w:rFonts w:ascii="宋体" w:hAnsi="宋体" w:cs="宋体"/>
                <w:color w:val="auto"/>
                <w:szCs w:val="21"/>
              </w:rPr>
              <w:t>T1:</w:t>
            </w:r>
            <w:r>
              <w:rPr>
                <w:rFonts w:hint="eastAsia" w:ascii="宋体" w:hAnsi="宋体" w:cs="宋体"/>
                <w:color w:val="auto"/>
                <w:szCs w:val="21"/>
              </w:rPr>
              <w:t xml:space="preserve"> 厅门/大门套：层层土豪金发纹不锈钢</w:t>
            </w:r>
          </w:p>
          <w:p>
            <w:pPr>
              <w:snapToGrid w:val="0"/>
              <w:rPr>
                <w:rFonts w:ascii="宋体" w:hAnsi="宋体" w:cs="宋体"/>
                <w:color w:val="auto"/>
                <w:szCs w:val="21"/>
              </w:rPr>
            </w:pPr>
            <w:r>
              <w:rPr>
                <w:rFonts w:hint="eastAsia" w:ascii="宋体" w:hAnsi="宋体" w:cs="宋体"/>
                <w:color w:val="auto"/>
                <w:szCs w:val="21"/>
              </w:rPr>
              <w:t>D</w:t>
            </w:r>
            <w:r>
              <w:rPr>
                <w:rFonts w:ascii="宋体" w:hAnsi="宋体" w:cs="宋体"/>
                <w:color w:val="auto"/>
                <w:szCs w:val="21"/>
              </w:rPr>
              <w:t>T03</w:t>
            </w:r>
            <w:r>
              <w:rPr>
                <w:rFonts w:hint="eastAsia" w:ascii="宋体" w:hAnsi="宋体" w:cs="宋体"/>
                <w:color w:val="auto"/>
                <w:szCs w:val="21"/>
              </w:rPr>
              <w:t>、D</w:t>
            </w:r>
            <w:r>
              <w:rPr>
                <w:rFonts w:ascii="宋体" w:hAnsi="宋体" w:cs="宋体"/>
                <w:color w:val="auto"/>
                <w:szCs w:val="21"/>
              </w:rPr>
              <w:t>T04</w:t>
            </w:r>
            <w:r>
              <w:rPr>
                <w:rFonts w:hint="eastAsia" w:ascii="宋体" w:hAnsi="宋体" w:cs="宋体"/>
                <w:color w:val="auto"/>
                <w:szCs w:val="21"/>
              </w:rPr>
              <w:t>厅门/小门套：层层采用304发纹不锈钢，不锈钢采用一次性成型，不允许外包（304材质厚度≥1.2mm。</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2.5.3</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客梯轿厢天花：顶部标准型吊顶天花板装饰含灯光和通风扇（手动及自动控制），灯具采用LED节能灯，轿厢顶需留有摄像机孔（提供3个及以上彩色图样吊顶样册，供业主免费选择）。</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297"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2.5.4</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客梯：硬质铝合金地坎。</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2.5.5</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轿厢内铭牌：标明电梯品牌、额定载重量/人数等。</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2.5.6</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轿厢照明：节能照明。</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58"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2.5.7</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客梯轿厢内操作装置：采用一体化操纵箱，单色液晶显示屏，应能显示电梯所在楼层，运行方向及其他相关信息等。</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292"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2.5.8</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门厅按钮及显示：微接触激活发亮型按钮装于梯门之间。要求提供效果图或样本。</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279"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2.5.9</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轿厢高度≥2</w:t>
            </w:r>
            <w:r>
              <w:rPr>
                <w:rFonts w:ascii="宋体" w:hAnsi="宋体" w:cs="宋体"/>
                <w:color w:val="auto"/>
                <w:szCs w:val="21"/>
              </w:rPr>
              <w:t>5</w:t>
            </w:r>
            <w:r>
              <w:rPr>
                <w:rFonts w:hint="eastAsia" w:ascii="宋体" w:hAnsi="宋体" w:cs="宋体"/>
                <w:color w:val="auto"/>
                <w:szCs w:val="21"/>
              </w:rPr>
              <w:t>00mm。</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r>
              <w:rPr>
                <w:rFonts w:hint="eastAsia" w:ascii="宋体" w:hAnsi="宋体" w:cs="宋体"/>
                <w:szCs w:val="21"/>
              </w:rPr>
              <w:t>填写具体数值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279"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2.5.10</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轿厢地板：D</w:t>
            </w:r>
            <w:r>
              <w:rPr>
                <w:rFonts w:ascii="宋体" w:hAnsi="宋体" w:cs="宋体"/>
                <w:color w:val="auto"/>
                <w:szCs w:val="21"/>
              </w:rPr>
              <w:t>T03</w:t>
            </w:r>
            <w:r>
              <w:rPr>
                <w:rFonts w:hint="eastAsia" w:ascii="宋体" w:hAnsi="宋体" w:cs="宋体"/>
                <w:color w:val="auto"/>
                <w:szCs w:val="21"/>
              </w:rPr>
              <w:t>、D</w:t>
            </w:r>
            <w:r>
              <w:rPr>
                <w:rFonts w:ascii="宋体" w:hAnsi="宋体" w:cs="宋体"/>
                <w:color w:val="auto"/>
                <w:szCs w:val="21"/>
              </w:rPr>
              <w:t>T04</w:t>
            </w:r>
            <w:r>
              <w:rPr>
                <w:rFonts w:hint="eastAsia" w:ascii="宋体" w:hAnsi="宋体" w:cs="宋体"/>
                <w:color w:val="auto"/>
                <w:szCs w:val="21"/>
              </w:rPr>
              <w:t>采用PVC地板，D</w:t>
            </w:r>
            <w:r>
              <w:rPr>
                <w:rFonts w:ascii="宋体" w:hAnsi="宋体" w:cs="宋体"/>
                <w:color w:val="auto"/>
                <w:szCs w:val="21"/>
              </w:rPr>
              <w:t>T01</w:t>
            </w:r>
            <w:r>
              <w:rPr>
                <w:rFonts w:hint="eastAsia" w:ascii="宋体" w:hAnsi="宋体" w:cs="宋体"/>
                <w:color w:val="auto"/>
                <w:szCs w:val="21"/>
              </w:rPr>
              <w:t>、D</w:t>
            </w:r>
            <w:r>
              <w:rPr>
                <w:rFonts w:ascii="宋体" w:hAnsi="宋体" w:cs="宋体"/>
                <w:color w:val="auto"/>
                <w:szCs w:val="21"/>
              </w:rPr>
              <w:t>T02</w:t>
            </w:r>
            <w:r>
              <w:rPr>
                <w:rFonts w:hint="eastAsia" w:ascii="宋体" w:hAnsi="宋体" w:cs="宋体"/>
                <w:color w:val="auto"/>
                <w:szCs w:val="21"/>
              </w:rPr>
              <w:t>、D</w:t>
            </w:r>
            <w:r>
              <w:rPr>
                <w:rFonts w:ascii="宋体" w:hAnsi="宋体" w:cs="宋体"/>
                <w:color w:val="auto"/>
                <w:szCs w:val="21"/>
              </w:rPr>
              <w:t>T06</w:t>
            </w:r>
            <w:r>
              <w:rPr>
                <w:rFonts w:hint="eastAsia" w:ascii="宋体" w:hAnsi="宋体" w:cs="宋体"/>
                <w:color w:val="auto"/>
                <w:szCs w:val="21"/>
              </w:rPr>
              <w:t>、D</w:t>
            </w:r>
            <w:r>
              <w:rPr>
                <w:rFonts w:ascii="宋体" w:hAnsi="宋体" w:cs="宋体"/>
                <w:color w:val="auto"/>
                <w:szCs w:val="21"/>
              </w:rPr>
              <w:t>T1</w:t>
            </w:r>
            <w:r>
              <w:rPr>
                <w:rFonts w:hint="eastAsia" w:ascii="宋体" w:hAnsi="宋体" w:cs="宋体"/>
                <w:color w:val="auto"/>
                <w:szCs w:val="21"/>
              </w:rPr>
              <w:t>采用</w:t>
            </w:r>
            <w:r>
              <w:rPr>
                <w:rFonts w:hint="eastAsia"/>
                <w:color w:val="auto"/>
              </w:rPr>
              <w:t>大理石地面。</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279"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2.5.11</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电梯轿厢通风采用隐藏式设计（轿厢前壁无明显影响美观的通风孔）。</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279"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2</w:t>
            </w:r>
            <w:r>
              <w:rPr>
                <w:rFonts w:ascii="宋体" w:hAnsi="宋体" w:cs="宋体"/>
                <w:szCs w:val="21"/>
              </w:rPr>
              <w:t>.5.12</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D</w:t>
            </w:r>
            <w:r>
              <w:rPr>
                <w:rFonts w:ascii="宋体" w:hAnsi="宋体" w:cs="宋体"/>
                <w:color w:val="auto"/>
                <w:szCs w:val="21"/>
              </w:rPr>
              <w:t>T01</w:t>
            </w:r>
            <w:r>
              <w:rPr>
                <w:rFonts w:hint="eastAsia" w:ascii="宋体" w:hAnsi="宋体" w:cs="宋体"/>
                <w:color w:val="auto"/>
                <w:szCs w:val="21"/>
              </w:rPr>
              <w:t>、D</w:t>
            </w:r>
            <w:r>
              <w:rPr>
                <w:rFonts w:ascii="宋体" w:hAnsi="宋体" w:cs="宋体"/>
                <w:color w:val="auto"/>
                <w:szCs w:val="21"/>
              </w:rPr>
              <w:t>T02</w:t>
            </w:r>
            <w:r>
              <w:rPr>
                <w:rFonts w:hint="eastAsia" w:ascii="宋体" w:hAnsi="宋体" w:cs="宋体"/>
                <w:color w:val="auto"/>
                <w:szCs w:val="21"/>
              </w:rPr>
              <w:t>、D</w:t>
            </w:r>
            <w:r>
              <w:rPr>
                <w:rFonts w:ascii="宋体" w:hAnsi="宋体" w:cs="宋体"/>
                <w:color w:val="auto"/>
                <w:szCs w:val="21"/>
              </w:rPr>
              <w:t>T06</w:t>
            </w:r>
            <w:r>
              <w:rPr>
                <w:rFonts w:hint="eastAsia" w:ascii="宋体" w:hAnsi="宋体" w:cs="宋体"/>
                <w:color w:val="auto"/>
                <w:szCs w:val="21"/>
              </w:rPr>
              <w:t>、D</w:t>
            </w:r>
            <w:r>
              <w:rPr>
                <w:rFonts w:ascii="宋体" w:hAnsi="宋体" w:cs="宋体"/>
                <w:color w:val="auto"/>
                <w:szCs w:val="21"/>
              </w:rPr>
              <w:t>T1</w:t>
            </w:r>
            <w:r>
              <w:rPr>
                <w:rFonts w:hint="eastAsia" w:ascii="宋体" w:hAnsi="宋体" w:cs="宋体"/>
                <w:color w:val="auto"/>
                <w:szCs w:val="21"/>
              </w:rPr>
              <w:t>配置1匹轿厢单冷空调。</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98" w:hRule="atLeast"/>
        </w:trPr>
        <w:tc>
          <w:tcPr>
            <w:tcW w:w="860" w:type="dxa"/>
            <w:tcBorders>
              <w:top w:val="single" w:color="auto" w:sz="4"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三</w:t>
            </w:r>
          </w:p>
        </w:tc>
        <w:tc>
          <w:tcPr>
            <w:tcW w:w="7619" w:type="dxa"/>
            <w:tcBorders>
              <w:top w:val="single" w:color="auto" w:sz="4" w:space="0"/>
              <w:left w:val="single" w:color="auto" w:sz="2" w:space="0"/>
              <w:bottom w:val="single" w:color="auto" w:sz="2"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客梯系统要求：</w:t>
            </w:r>
          </w:p>
        </w:tc>
        <w:tc>
          <w:tcPr>
            <w:tcW w:w="1727" w:type="dxa"/>
            <w:tcBorders>
              <w:top w:val="single" w:color="auto" w:sz="4"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tcMar>
              <w:top w:w="0" w:type="dxa"/>
              <w:left w:w="0" w:type="dxa"/>
              <w:bottom w:w="0" w:type="dxa"/>
              <w:right w:w="170" w:type="dxa"/>
            </w:tcMar>
            <w:vAlign w:val="center"/>
          </w:tcPr>
          <w:p>
            <w:pPr>
              <w:snapToGrid w:val="0"/>
              <w:jc w:val="center"/>
              <w:rPr>
                <w:rFonts w:ascii="宋体" w:hAnsi="宋体" w:cs="宋体"/>
                <w:szCs w:val="21"/>
              </w:rPr>
            </w:pPr>
            <w:r>
              <w:rPr>
                <w:rFonts w:hint="eastAsia" w:ascii="宋体" w:hAnsi="宋体" w:cs="宋体"/>
                <w:szCs w:val="21"/>
              </w:rPr>
              <w:t>3.1</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开门机系统：采用VVVF永磁同步门机，与电梯同品牌。</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4" w:space="0"/>
              <w:right w:val="single" w:color="auto" w:sz="2" w:space="0"/>
            </w:tcBorders>
            <w:tcMar>
              <w:top w:w="0" w:type="dxa"/>
              <w:left w:w="0" w:type="dxa"/>
              <w:bottom w:w="0" w:type="dxa"/>
              <w:right w:w="170" w:type="dxa"/>
            </w:tcMar>
            <w:vAlign w:val="center"/>
          </w:tcPr>
          <w:p>
            <w:pPr>
              <w:snapToGrid w:val="0"/>
              <w:jc w:val="center"/>
              <w:rPr>
                <w:rFonts w:ascii="宋体" w:hAnsi="宋体" w:cs="宋体"/>
                <w:szCs w:val="21"/>
              </w:rPr>
            </w:pPr>
            <w:r>
              <w:rPr>
                <w:rFonts w:hint="eastAsia" w:ascii="宋体" w:hAnsi="宋体" w:cs="宋体"/>
                <w:szCs w:val="21"/>
              </w:rPr>
              <w:t>3.2</w:t>
            </w:r>
          </w:p>
        </w:tc>
        <w:tc>
          <w:tcPr>
            <w:tcW w:w="7619" w:type="dxa"/>
            <w:tcBorders>
              <w:top w:val="single" w:color="auto" w:sz="2" w:space="0"/>
              <w:left w:val="single" w:color="auto" w:sz="2" w:space="0"/>
              <w:bottom w:val="single" w:color="auto" w:sz="4" w:space="0"/>
              <w:right w:val="single" w:color="auto" w:sz="2" w:space="0"/>
            </w:tcBorders>
            <w:vAlign w:val="center"/>
          </w:tcPr>
          <w:p>
            <w:pPr>
              <w:snapToGrid w:val="0"/>
              <w:rPr>
                <w:rFonts w:ascii="宋体" w:hAnsi="宋体" w:cs="宋体"/>
                <w:color w:val="auto"/>
                <w:szCs w:val="21"/>
              </w:rPr>
            </w:pPr>
            <w:r>
              <w:rPr>
                <w:rFonts w:hint="eastAsia" w:ascii="宋体" w:hAnsi="宋体" w:cs="宋体"/>
                <w:color w:val="auto"/>
                <w:szCs w:val="21"/>
              </w:rPr>
              <w:t>驱动系统：永磁同步无齿轮曳引机，与电梯同品牌。</w:t>
            </w:r>
          </w:p>
        </w:tc>
        <w:tc>
          <w:tcPr>
            <w:tcW w:w="1727" w:type="dxa"/>
            <w:tcBorders>
              <w:top w:val="single" w:color="auto" w:sz="2" w:space="0"/>
              <w:left w:val="single" w:color="auto" w:sz="2" w:space="0"/>
              <w:bottom w:val="single" w:color="auto" w:sz="4"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519" w:hRule="atLeast"/>
        </w:trPr>
        <w:tc>
          <w:tcPr>
            <w:tcW w:w="860" w:type="dxa"/>
            <w:tcBorders>
              <w:top w:val="single" w:color="auto" w:sz="2" w:space="0"/>
              <w:left w:val="single" w:color="auto" w:sz="4" w:space="0"/>
              <w:bottom w:val="single" w:color="auto" w:sz="4" w:space="0"/>
              <w:right w:val="single" w:color="auto" w:sz="2" w:space="0"/>
            </w:tcBorders>
            <w:tcMar>
              <w:top w:w="0" w:type="dxa"/>
              <w:left w:w="0" w:type="dxa"/>
              <w:bottom w:w="0" w:type="dxa"/>
              <w:right w:w="170" w:type="dxa"/>
            </w:tcMar>
            <w:vAlign w:val="center"/>
          </w:tcPr>
          <w:p>
            <w:pPr>
              <w:snapToGrid w:val="0"/>
              <w:jc w:val="center"/>
              <w:rPr>
                <w:rFonts w:ascii="宋体" w:hAnsi="宋体" w:cs="宋体"/>
                <w:szCs w:val="21"/>
              </w:rPr>
            </w:pPr>
            <w:r>
              <w:rPr>
                <w:rFonts w:hint="eastAsia" w:ascii="宋体" w:hAnsi="宋体" w:cs="宋体"/>
                <w:szCs w:val="21"/>
              </w:rPr>
              <w:t>3.3</w:t>
            </w:r>
          </w:p>
        </w:tc>
        <w:tc>
          <w:tcPr>
            <w:tcW w:w="7619" w:type="dxa"/>
            <w:tcBorders>
              <w:top w:val="single" w:color="auto" w:sz="2" w:space="0"/>
              <w:left w:val="single" w:color="auto" w:sz="2" w:space="0"/>
              <w:bottom w:val="single" w:color="auto" w:sz="4" w:space="0"/>
              <w:right w:val="single" w:color="auto" w:sz="2" w:space="0"/>
            </w:tcBorders>
            <w:vAlign w:val="center"/>
          </w:tcPr>
          <w:p>
            <w:pPr>
              <w:snapToGrid w:val="0"/>
              <w:rPr>
                <w:rFonts w:ascii="宋体" w:hAnsi="宋体" w:cs="宋体"/>
                <w:szCs w:val="21"/>
              </w:rPr>
            </w:pPr>
            <w:r>
              <w:rPr>
                <w:rFonts w:hint="eastAsia" w:ascii="宋体" w:hAnsi="宋体" w:cs="宋体"/>
                <w:szCs w:val="21"/>
              </w:rPr>
              <w:t>控制系统：32位微机控制，交流电可变电压可变频率控制（VVVF），与电梯同品牌。</w:t>
            </w:r>
          </w:p>
        </w:tc>
        <w:tc>
          <w:tcPr>
            <w:tcW w:w="1727" w:type="dxa"/>
            <w:tcBorders>
              <w:top w:val="single" w:color="auto" w:sz="2" w:space="0"/>
              <w:left w:val="single" w:color="auto" w:sz="2" w:space="0"/>
              <w:bottom w:val="single" w:color="auto" w:sz="4"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4"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四</w:t>
            </w:r>
          </w:p>
        </w:tc>
        <w:tc>
          <w:tcPr>
            <w:tcW w:w="7619" w:type="dxa"/>
            <w:tcBorders>
              <w:top w:val="single" w:color="auto" w:sz="4"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客梯基本功能：</w:t>
            </w:r>
          </w:p>
          <w:p>
            <w:pPr>
              <w:snapToGrid w:val="0"/>
              <w:rPr>
                <w:rFonts w:ascii="宋体" w:hAnsi="宋体" w:cs="宋体"/>
                <w:szCs w:val="21"/>
              </w:rPr>
            </w:pPr>
            <w:r>
              <w:rPr>
                <w:rFonts w:hint="eastAsia" w:ascii="宋体" w:hAnsi="宋体" w:cs="宋体"/>
                <w:szCs w:val="21"/>
              </w:rPr>
              <w:t>在满足中国各项法定规范的前提下，请各厂商在电梯运行操作功能中按最高标准的基本规格，同时应包括或增加下列功能：</w:t>
            </w:r>
          </w:p>
        </w:tc>
        <w:tc>
          <w:tcPr>
            <w:tcW w:w="1727" w:type="dxa"/>
            <w:tcBorders>
              <w:top w:val="single" w:color="auto" w:sz="4"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562"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火灾应急返回：开关或大楼火灾传感器被激活时，立即取消所有层站召唤和轿内指令，电梯立即返回预定层站并开门，让乘客安全疏散。</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4.2</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轿内误指令人工消除：误按轿内按钮后，通过连按两次该按钮，可以取消指令。</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4.3</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满员自动通过：轿厢满载时不响应梯厅呼唤，保证最大效率运行。</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39"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4.4</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轿厢应急照明：当照明电源断电时，立即提供满足最低要求的轿厢照明（可选干电池或涓流充电电池）。</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4.5</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轿内反向指令消除：当电梯沿途响应完最后一个轿内指令或层站召唤后，系统自动检查并消除余下的轿内指令。</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4.6</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轿厢风扇及照明自动关闭：电梯无方向待机一定时间后，轿内通风装置及照明自动关闭以节能。</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585"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4.7</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防捣乱功能：如果轿厢内登记的指令数与乘客数不符，为避免不必要的停层取消所有指令。</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4.8</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层站运行控制开关：当电梯维护或考虑节能时，通过操作指定层站上的钥匙开关，临时取消该电梯的服务。</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4.9</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超载报警：轿厢超载时，电梯保持开门并且轿内蜂鸣器鸣响或者声音提示电梯超载。只有当乘客人数符合电梯的额定载重量时方可正常运行。</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4.10</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五方通话系统：轿厢内乘客与大楼工作人员进行多方通话的系统，且通话随行线缆由投标人提供。</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02"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4.11</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安全停靠：电梯因故停在门区外时，控制器进行安全检测，若符合启动要求，则电梯就近停层开门。</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4.12</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主层站待机：当电梯无层站召唤和轿内指令时，返回主层站闭门待机。</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4.13</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门负载检测：如果门由于过载导致不能完全打开或关闭，电梯门将会反方向动作。</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4.14</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轿厢内摄像：轿厢内预留摄像头安装孔，可以从监控室等外部对轿内情况进行监视。</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4.15</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门光幕保护装置≥180束。</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4.16</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强制关门—蜂鸣器：如果电梯开门保持时间超过预定值，电梯发出蜂鸣声提醒乘客，并尝试关门。可以使用滴滴声及语音提示来取代蜂鸣器。</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4.17</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重复关门：若关门受阻，电梯就会重复关门动作，直到杂物被清除。</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4.18</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本层再开门：关门过程中，按同方向层站召唤按钮，电梯重新开门。</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▲4.19</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电梯层门耐火要求：电梯层门采用具有防火功能的层门，耐火极限不小于2小时。</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792"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▲4.20</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无障碍电梯须具备无障碍功能【设残疾人操纵盘，语音报站，后壁扶手，轿厢后中壁为镜面不锈钢，盲文按钮】。同时满足《无障碍设计规范》GB50763-2012规定的无障碍设计要求。</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4.21</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火灾返回基站及反馈功能：此项功能设定需通过当地消防检测验收。消防电梯需满足相关验收标准。</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4"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4.22</w:t>
            </w:r>
          </w:p>
        </w:tc>
        <w:tc>
          <w:tcPr>
            <w:tcW w:w="7619" w:type="dxa"/>
            <w:tcBorders>
              <w:top w:val="single" w:color="auto" w:sz="4"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客梯轿厢采用细木工板的保护，计入总价。</w:t>
            </w:r>
          </w:p>
        </w:tc>
        <w:tc>
          <w:tcPr>
            <w:tcW w:w="1727" w:type="dxa"/>
            <w:tcBorders>
              <w:top w:val="single" w:color="auto" w:sz="4"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4"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4.23</w:t>
            </w:r>
          </w:p>
        </w:tc>
        <w:tc>
          <w:tcPr>
            <w:tcW w:w="7619" w:type="dxa"/>
            <w:tcBorders>
              <w:top w:val="single" w:color="auto" w:sz="4"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外召及厅门按钮中标后提供不少于三套款式供招标人选择，招标人不另行支付费用。</w:t>
            </w:r>
          </w:p>
        </w:tc>
        <w:tc>
          <w:tcPr>
            <w:tcW w:w="1727" w:type="dxa"/>
            <w:tcBorders>
              <w:top w:val="single" w:color="auto" w:sz="4"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23"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五</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客梯其他</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5.1</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客梯在供电电压波动≤±7％及供电频率波动≤±3％时仍能正常工作。</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5.2</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客梯在额定载荷时允许起、制动循环次数≥180次/小时。</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5.3</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噪声：轿厢内≤55dB，开关门≤62dB。</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6"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5.4</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平层精度：≤±3mm。</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5.5</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客梯的平均故障率应不大于3/60000次。</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5.6</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请投标人写出电梯的设计使用年限。</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5.7</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主机制动器总成运行1600万次过程未出现任何故障。提供国家认可的检测报告。</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shd w:val="clear" w:color="auto" w:fill="auto"/>
            <w:vAlign w:val="center"/>
          </w:tcPr>
          <w:p>
            <w:pPr>
              <w:snapToGrid w:val="0"/>
              <w:jc w:val="center"/>
              <w:rPr>
                <w:rFonts w:ascii="宋体" w:hAnsi="宋体" w:cs="宋体"/>
                <w:szCs w:val="21"/>
              </w:rPr>
            </w:pPr>
            <w:r>
              <w:rPr>
                <w:rFonts w:hint="eastAsia" w:ascii="宋体" w:hAnsi="宋体" w:cs="宋体"/>
                <w:szCs w:val="21"/>
              </w:rPr>
              <w:t>5.8</w:t>
            </w:r>
          </w:p>
        </w:tc>
        <w:tc>
          <w:tcPr>
            <w:tcW w:w="7619"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rPr>
                <w:rFonts w:ascii="宋体" w:hAnsi="宋体" w:cs="宋体"/>
                <w:szCs w:val="21"/>
              </w:rPr>
            </w:pPr>
            <w:r>
              <w:rPr>
                <w:rFonts w:hint="eastAsia" w:ascii="宋体" w:hAnsi="宋体" w:cs="宋体"/>
                <w:szCs w:val="21"/>
              </w:rPr>
              <w:t>客梯门锁装置进行550万次完全循环操作未出现影响安全的磨损，变形或断裂。提供国家认可的检测报告。</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5.9</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请投标人在投标文件中阐明在质保期内和质保期满后，对电梯进行定期维护和维修的措施，并提供相应的维修细则和维修费用以及如何保证客梯所需零配件的供应。</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5.10</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客梯门系统运行1350万次完全循环操作仍能正常工作。 提供国家认可的检测报告。</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4"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▲5.11</w:t>
            </w:r>
          </w:p>
        </w:tc>
        <w:tc>
          <w:tcPr>
            <w:tcW w:w="7619" w:type="dxa"/>
            <w:tcBorders>
              <w:top w:val="single" w:color="auto" w:sz="2" w:space="0"/>
              <w:left w:val="single" w:color="auto" w:sz="2" w:space="0"/>
              <w:bottom w:val="single" w:color="auto" w:sz="4" w:space="0"/>
              <w:right w:val="single" w:color="auto" w:sz="2" w:space="0"/>
            </w:tcBorders>
            <w:vAlign w:val="center"/>
          </w:tcPr>
          <w:p>
            <w:pPr>
              <w:snapToGrid w:val="0"/>
              <w:rPr>
                <w:rFonts w:ascii="宋体" w:hAnsi="宋体" w:cs="宋体"/>
                <w:szCs w:val="21"/>
              </w:rPr>
            </w:pPr>
            <w:r>
              <w:rPr>
                <w:rFonts w:hint="eastAsia" w:ascii="宋体" w:hAnsi="宋体" w:cs="宋体"/>
                <w:szCs w:val="21"/>
              </w:rPr>
              <w:t>其它性能参数应符合《电梯技术条件》：</w:t>
            </w:r>
          </w:p>
          <w:p>
            <w:pPr>
              <w:snapToGrid w:val="0"/>
              <w:rPr>
                <w:rFonts w:ascii="宋体" w:hAnsi="宋体" w:cs="宋体"/>
                <w:szCs w:val="21"/>
              </w:rPr>
            </w:pPr>
            <w:r>
              <w:rPr>
                <w:rFonts w:hint="eastAsia" w:ascii="宋体" w:hAnsi="宋体" w:cs="宋体"/>
                <w:szCs w:val="21"/>
              </w:rPr>
              <w:t>其他性能参数应符合GB/T10058-2009《电梯技术条件》和GB7588－2003《电梯制造与安装规范》。</w:t>
            </w:r>
          </w:p>
        </w:tc>
        <w:tc>
          <w:tcPr>
            <w:tcW w:w="1727" w:type="dxa"/>
            <w:tcBorders>
              <w:top w:val="single" w:color="auto" w:sz="2" w:space="0"/>
              <w:left w:val="single" w:color="auto" w:sz="2" w:space="0"/>
              <w:bottom w:val="single" w:color="auto" w:sz="4"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542" w:hRule="atLeast"/>
        </w:trPr>
        <w:tc>
          <w:tcPr>
            <w:tcW w:w="860" w:type="dxa"/>
            <w:tcBorders>
              <w:top w:val="single" w:color="auto" w:sz="4"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六</w:t>
            </w:r>
          </w:p>
        </w:tc>
        <w:tc>
          <w:tcPr>
            <w:tcW w:w="7619" w:type="dxa"/>
            <w:tcBorders>
              <w:top w:val="single" w:color="auto" w:sz="4"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客梯安全设备：</w:t>
            </w:r>
          </w:p>
          <w:p>
            <w:pPr>
              <w:snapToGrid w:val="0"/>
              <w:rPr>
                <w:rFonts w:ascii="宋体" w:hAnsi="宋体" w:cs="宋体"/>
                <w:szCs w:val="21"/>
              </w:rPr>
            </w:pPr>
            <w:r>
              <w:rPr>
                <w:rFonts w:hint="eastAsia" w:ascii="宋体" w:hAnsi="宋体" w:cs="宋体"/>
                <w:szCs w:val="21"/>
              </w:rPr>
              <w:t>供货方提供的电梯应包括（但不仅限于）下列设备。其应符合有关标准中的规定。</w:t>
            </w:r>
          </w:p>
        </w:tc>
        <w:tc>
          <w:tcPr>
            <w:tcW w:w="1727" w:type="dxa"/>
            <w:tcBorders>
              <w:top w:val="single" w:color="auto" w:sz="4"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6.1</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断相和错相保护</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6.2</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上、下终点开关和上、下极限开关</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6.3</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缓冲器</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6.4</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限速器</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6.5</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安全钳</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6.6</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紧急停止按钮</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6.7</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层门安全设施</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273"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6.8</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轿门安全设施</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▲6.9</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电梯物联网符合宁波市人民政府第224 号令《宁波市电梯安全管理办法》和宁波市质量技术监督局甬质特发【2016】21 号《市质监局关于推进电梯远程监测系统建设的指导意见》要求，网络信号由招标人提供。</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6.10</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钢带或钢丝绳</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vMerge w:val="restart"/>
            <w:tcBorders>
              <w:top w:val="single" w:color="auto" w:sz="2" w:space="0"/>
              <w:left w:val="single" w:color="auto" w:sz="4" w:space="0"/>
              <w:right w:val="single" w:color="auto" w:sz="2" w:space="0"/>
            </w:tcBorders>
            <w:vAlign w:val="center"/>
          </w:tcPr>
          <w:p>
            <w:pPr>
              <w:snapToGrid w:val="0"/>
              <w:jc w:val="center"/>
              <w:rPr>
                <w:rFonts w:ascii="宋体" w:hAnsi="宋体" w:cs="宋体"/>
                <w:szCs w:val="21"/>
              </w:rPr>
            </w:pPr>
            <w:r>
              <w:rPr>
                <w:rFonts w:hint="eastAsia" w:ascii="宋体" w:hAnsi="宋体"/>
                <w:w w:val="80"/>
                <w:sz w:val="24"/>
              </w:rPr>
              <w:t>▲</w:t>
            </w:r>
            <w:r>
              <w:rPr>
                <w:rFonts w:hint="eastAsia" w:ascii="宋体" w:hAnsi="宋体" w:cs="宋体"/>
                <w:szCs w:val="21"/>
              </w:rPr>
              <w:t>6.11</w:t>
            </w:r>
          </w:p>
        </w:tc>
        <w:tc>
          <w:tcPr>
            <w:tcW w:w="7619" w:type="dxa"/>
            <w:vMerge w:val="restart"/>
            <w:tcBorders>
              <w:top w:val="single" w:color="auto" w:sz="2" w:space="0"/>
              <w:left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所投客梯制造商应具有《中华人民共和国特种设备生产许可证》且许可项目：电梯制造（含安装、修理、改造）。或有效期内的《中华人民共和国特种设备制造许可证》和《中华人民共和国特种设备安装改造维修许可证》。（投标文件中提供证明材料复印件）</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539" w:hRule="atLeast"/>
        </w:trPr>
        <w:tc>
          <w:tcPr>
            <w:tcW w:w="860" w:type="dxa"/>
            <w:vMerge w:val="continue"/>
            <w:tcBorders>
              <w:left w:val="single" w:color="auto" w:sz="4" w:space="0"/>
              <w:bottom w:val="single" w:color="auto" w:sz="2" w:space="0"/>
              <w:right w:val="single" w:color="auto" w:sz="2" w:space="0"/>
            </w:tcBorders>
            <w:vAlign w:val="center"/>
          </w:tcPr>
          <w:p>
            <w:pPr>
              <w:snapToGrid w:val="0"/>
              <w:jc w:val="center"/>
              <w:rPr>
                <w:rFonts w:ascii="宋体" w:hAnsi="宋体" w:cs="宋体"/>
                <w:color w:val="FF0000"/>
                <w:szCs w:val="21"/>
              </w:rPr>
            </w:pPr>
          </w:p>
        </w:tc>
        <w:tc>
          <w:tcPr>
            <w:tcW w:w="7619" w:type="dxa"/>
            <w:vMerge w:val="continue"/>
            <w:tcBorders>
              <w:left w:val="single" w:color="auto" w:sz="2" w:space="0"/>
              <w:bottom w:val="single" w:color="auto" w:sz="2" w:space="0"/>
              <w:right w:val="single" w:color="auto" w:sz="2" w:space="0"/>
            </w:tcBorders>
            <w:vAlign w:val="center"/>
          </w:tcPr>
          <w:p>
            <w:pPr>
              <w:snapToGrid w:val="0"/>
              <w:rPr>
                <w:rFonts w:ascii="宋体" w:hAnsi="宋体" w:cs="宋体"/>
                <w:color w:val="FF0000"/>
                <w:szCs w:val="21"/>
              </w:rPr>
            </w:pP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七</w:t>
            </w:r>
          </w:p>
        </w:tc>
        <w:tc>
          <w:tcPr>
            <w:tcW w:w="7619" w:type="dxa"/>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固定剪叉式升降台及轮椅垂直升降平台要求</w:t>
            </w:r>
          </w:p>
        </w:tc>
        <w:tc>
          <w:tcPr>
            <w:tcW w:w="1727" w:type="dxa"/>
            <w:tcBorders>
              <w:top w:val="single" w:color="auto" w:sz="2" w:space="0"/>
              <w:left w:val="single" w:color="auto" w:sz="2" w:space="0"/>
              <w:bottom w:val="single" w:color="auto" w:sz="2" w:space="0"/>
              <w:right w:val="single" w:color="auto" w:sz="4"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60" w:type="dxa"/>
            <w:tcBorders>
              <w:top w:val="single" w:color="auto" w:sz="2" w:space="0"/>
              <w:left w:val="single" w:color="auto" w:sz="4" w:space="0"/>
              <w:bottom w:val="single" w:color="auto" w:sz="4"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7.1</w:t>
            </w:r>
          </w:p>
        </w:tc>
        <w:tc>
          <w:tcPr>
            <w:tcW w:w="7619" w:type="dxa"/>
            <w:tcBorders>
              <w:top w:val="single" w:color="auto" w:sz="2" w:space="0"/>
              <w:left w:val="single" w:color="auto" w:sz="2" w:space="0"/>
              <w:bottom w:val="single" w:color="auto" w:sz="4" w:space="0"/>
              <w:right w:val="single" w:color="auto" w:sz="2" w:space="0"/>
            </w:tcBorders>
            <w:vAlign w:val="center"/>
          </w:tcPr>
          <w:p>
            <w:pPr>
              <w:snapToGrid w:val="0"/>
              <w:rPr>
                <w:rFonts w:ascii="宋体" w:hAnsi="宋体" w:cs="宋体"/>
                <w:szCs w:val="21"/>
              </w:rPr>
            </w:pPr>
            <w:r>
              <w:rPr>
                <w:rFonts w:hint="eastAsia" w:ascii="宋体" w:hAnsi="宋体" w:cs="宋体"/>
                <w:szCs w:val="21"/>
              </w:rPr>
              <w:t>固定剪叉式升降台及轮椅垂直升降平台在满足设计图纸的要求基础上，按照厂家标配提供。（可外购，不需要提供检验报告及功能参数等资料）。</w:t>
            </w:r>
          </w:p>
        </w:tc>
        <w:tc>
          <w:tcPr>
            <w:tcW w:w="1727" w:type="dxa"/>
            <w:tcBorders>
              <w:top w:val="single" w:color="auto" w:sz="2" w:space="0"/>
              <w:left w:val="single" w:color="auto" w:sz="2" w:space="0"/>
              <w:bottom w:val="single" w:color="auto" w:sz="4" w:space="0"/>
              <w:right w:val="single" w:color="auto" w:sz="4" w:space="0"/>
            </w:tcBorders>
            <w:vAlign w:val="center"/>
          </w:tcPr>
          <w:p>
            <w:pPr>
              <w:snapToGrid w:val="0"/>
              <w:rPr>
                <w:rFonts w:ascii="宋体" w:hAnsi="宋体" w:cs="宋体"/>
                <w:szCs w:val="21"/>
              </w:rPr>
            </w:pPr>
          </w:p>
        </w:tc>
      </w:tr>
    </w:tbl>
    <w:p>
      <w:pPr>
        <w:snapToGrid w:val="0"/>
        <w:rPr>
          <w:rFonts w:ascii="宋体" w:hAnsi="宋体" w:cs="宋体"/>
          <w:szCs w:val="21"/>
        </w:rPr>
      </w:pPr>
      <w:bookmarkStart w:id="34" w:name="_Toc262051726"/>
      <w:bookmarkStart w:id="35" w:name="_Toc262221440"/>
      <w:r>
        <w:rPr>
          <w:rFonts w:hint="eastAsia" w:ascii="宋体" w:hAnsi="宋体" w:cs="宋体"/>
          <w:szCs w:val="21"/>
        </w:rPr>
        <w:t>[二] [电梯其他要求]</w:t>
      </w:r>
      <w:bookmarkEnd w:id="34"/>
      <w:bookmarkEnd w:id="35"/>
    </w:p>
    <w:tbl>
      <w:tblPr>
        <w:tblStyle w:val="24"/>
        <w:tblW w:w="10439" w:type="dxa"/>
        <w:tblInd w:w="-12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084"/>
        <w:gridCol w:w="7635"/>
        <w:gridCol w:w="172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9" w:hRule="atLeast"/>
        </w:trPr>
        <w:tc>
          <w:tcPr>
            <w:tcW w:w="1084" w:type="dxa"/>
            <w:tcBorders>
              <w:top w:val="single" w:color="auto" w:sz="4" w:space="0"/>
              <w:left w:val="single" w:color="auto" w:sz="4" w:space="0"/>
              <w:bottom w:val="single" w:color="auto" w:sz="2" w:space="0"/>
              <w:right w:val="single" w:color="auto" w:sz="2" w:space="0"/>
            </w:tcBorders>
            <w:vAlign w:val="center"/>
          </w:tcPr>
          <w:p>
            <w:pPr>
              <w:snapToGrid w:val="0"/>
              <w:jc w:val="center"/>
              <w:rPr>
                <w:rFonts w:ascii="宋体" w:hAnsi="宋体" w:cs="宋体"/>
                <w:szCs w:val="21"/>
              </w:rPr>
            </w:pPr>
            <w:r>
              <w:rPr>
                <w:rFonts w:hint="eastAsia" w:ascii="宋体" w:hAnsi="宋体" w:cs="宋体"/>
                <w:szCs w:val="21"/>
              </w:rPr>
              <w:t>条款号</w:t>
            </w:r>
          </w:p>
        </w:tc>
        <w:tc>
          <w:tcPr>
            <w:tcW w:w="7635" w:type="dxa"/>
            <w:tcBorders>
              <w:top w:val="single" w:color="auto" w:sz="4" w:space="0"/>
              <w:left w:val="single" w:color="auto" w:sz="2" w:space="0"/>
              <w:bottom w:val="single" w:color="auto" w:sz="2" w:space="0"/>
              <w:right w:val="single" w:color="auto" w:sz="2" w:space="0"/>
            </w:tcBorders>
            <w:vAlign w:val="center"/>
          </w:tcPr>
          <w:p>
            <w:pPr>
              <w:snapToGrid w:val="0"/>
              <w:rPr>
                <w:rFonts w:ascii="宋体" w:hAnsi="宋体" w:cs="宋体"/>
                <w:szCs w:val="21"/>
              </w:rPr>
            </w:pPr>
            <w:r>
              <w:rPr>
                <w:rFonts w:hint="eastAsia" w:ascii="宋体" w:hAnsi="宋体" w:cs="宋体"/>
                <w:szCs w:val="21"/>
              </w:rPr>
              <w:t>招标规格</w:t>
            </w:r>
          </w:p>
        </w:tc>
        <w:tc>
          <w:tcPr>
            <w:tcW w:w="1720" w:type="dxa"/>
            <w:tcBorders>
              <w:top w:val="single" w:color="auto" w:sz="4" w:space="0"/>
              <w:left w:val="single" w:color="auto" w:sz="2" w:space="0"/>
              <w:bottom w:val="single" w:color="auto" w:sz="2" w:space="0"/>
              <w:right w:val="single" w:color="auto" w:sz="4" w:space="0"/>
            </w:tcBorders>
            <w:vAlign w:val="center"/>
          </w:tcPr>
          <w:p>
            <w:pPr>
              <w:snapToGrid w:val="0"/>
              <w:rPr>
                <w:rFonts w:ascii="宋体" w:hAnsi="宋体" w:cs="宋体"/>
                <w:szCs w:val="21"/>
              </w:rPr>
            </w:pPr>
            <w:r>
              <w:rPr>
                <w:rFonts w:hint="eastAsia" w:ascii="宋体" w:hAnsi="宋体" w:cs="宋体"/>
                <w:szCs w:val="21"/>
              </w:rPr>
              <w:t>投标人对照规格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55" w:hRule="atLeast"/>
        </w:trPr>
        <w:tc>
          <w:tcPr>
            <w:tcW w:w="1084" w:type="dxa"/>
            <w:vAlign w:val="center"/>
          </w:tcPr>
          <w:p>
            <w:pPr>
              <w:snapToGrid w:val="0"/>
              <w:jc w:val="center"/>
              <w:rPr>
                <w:rFonts w:ascii="宋体" w:hAnsi="宋体" w:cs="宋体"/>
                <w:szCs w:val="21"/>
              </w:rPr>
            </w:pPr>
            <w:r>
              <w:rPr>
                <w:rFonts w:hint="eastAsia" w:ascii="宋体" w:hAnsi="宋体" w:cs="宋体"/>
                <w:szCs w:val="21"/>
              </w:rPr>
              <w:t>一</w:t>
            </w:r>
          </w:p>
        </w:tc>
        <w:tc>
          <w:tcPr>
            <w:tcW w:w="7635" w:type="dxa"/>
            <w:vAlign w:val="center"/>
          </w:tcPr>
          <w:p>
            <w:pPr>
              <w:snapToGrid w:val="0"/>
              <w:rPr>
                <w:rFonts w:ascii="宋体" w:hAnsi="宋体" w:cs="宋体"/>
                <w:szCs w:val="21"/>
              </w:rPr>
            </w:pPr>
            <w:r>
              <w:rPr>
                <w:rFonts w:hint="eastAsia" w:ascii="宋体" w:hAnsi="宋体" w:cs="宋体"/>
                <w:szCs w:val="21"/>
              </w:rPr>
              <w:t>试验、安装与验收</w:t>
            </w:r>
          </w:p>
        </w:tc>
        <w:tc>
          <w:tcPr>
            <w:tcW w:w="1720" w:type="dxa"/>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vAlign w:val="center"/>
          </w:tcPr>
          <w:p>
            <w:pPr>
              <w:snapToGrid w:val="0"/>
              <w:jc w:val="center"/>
              <w:rPr>
                <w:rFonts w:ascii="宋体" w:hAnsi="宋体" w:cs="宋体"/>
                <w:szCs w:val="21"/>
              </w:rPr>
            </w:pPr>
            <w:r>
              <w:rPr>
                <w:rFonts w:hint="eastAsia" w:ascii="宋体" w:hAnsi="宋体" w:cs="宋体"/>
                <w:szCs w:val="21"/>
              </w:rPr>
              <w:t>1.1</w:t>
            </w:r>
          </w:p>
        </w:tc>
        <w:tc>
          <w:tcPr>
            <w:tcW w:w="7635" w:type="dxa"/>
            <w:vAlign w:val="center"/>
          </w:tcPr>
          <w:p>
            <w:pPr>
              <w:snapToGrid w:val="0"/>
              <w:rPr>
                <w:rFonts w:ascii="宋体" w:hAnsi="宋体" w:cs="宋体"/>
                <w:szCs w:val="21"/>
              </w:rPr>
            </w:pPr>
            <w:r>
              <w:rPr>
                <w:rFonts w:hint="eastAsia" w:ascii="宋体" w:hAnsi="宋体" w:cs="宋体"/>
                <w:szCs w:val="21"/>
              </w:rPr>
              <w:t>生产厂的部件试验：</w:t>
            </w:r>
          </w:p>
          <w:p>
            <w:pPr>
              <w:snapToGrid w:val="0"/>
              <w:rPr>
                <w:rFonts w:ascii="宋体" w:hAnsi="宋体" w:cs="宋体"/>
                <w:szCs w:val="21"/>
              </w:rPr>
            </w:pPr>
            <w:r>
              <w:rPr>
                <w:rFonts w:hint="eastAsia" w:ascii="宋体" w:hAnsi="宋体" w:cs="宋体"/>
                <w:szCs w:val="21"/>
              </w:rPr>
              <w:t>（1）试验部件：曳引机、限速器、安全钳、缓冲器、门锁、绳头结合、选层器、钢丝绳或钢带、安全保护开关、底坑缓冲器。</w:t>
            </w:r>
          </w:p>
          <w:p>
            <w:pPr>
              <w:snapToGrid w:val="0"/>
              <w:rPr>
                <w:rFonts w:ascii="宋体" w:hAnsi="宋体" w:cs="宋体"/>
                <w:szCs w:val="21"/>
              </w:rPr>
            </w:pPr>
            <w:r>
              <w:rPr>
                <w:rFonts w:hint="eastAsia" w:ascii="宋体" w:hAnsi="宋体" w:cs="宋体"/>
                <w:szCs w:val="21"/>
              </w:rPr>
              <w:t>（2）试验内容：方法、设备、时间、次数和结果等均应符合我国的现行法律、法规、规章和安全技术规范，并向业主提供检查报告。</w:t>
            </w:r>
          </w:p>
        </w:tc>
        <w:tc>
          <w:tcPr>
            <w:tcW w:w="1720" w:type="dxa"/>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tcMar>
              <w:right w:w="170" w:type="dxa"/>
            </w:tcMar>
            <w:vAlign w:val="center"/>
          </w:tcPr>
          <w:p>
            <w:pPr>
              <w:snapToGrid w:val="0"/>
              <w:jc w:val="center"/>
              <w:rPr>
                <w:rFonts w:ascii="宋体" w:hAnsi="宋体" w:cs="宋体"/>
                <w:szCs w:val="21"/>
              </w:rPr>
            </w:pPr>
            <w:r>
              <w:rPr>
                <w:rFonts w:hint="eastAsia" w:ascii="宋体" w:hAnsi="宋体" w:cs="宋体"/>
                <w:szCs w:val="21"/>
              </w:rPr>
              <w:t>▲1.2</w:t>
            </w:r>
          </w:p>
        </w:tc>
        <w:tc>
          <w:tcPr>
            <w:tcW w:w="7635" w:type="dxa"/>
            <w:vAlign w:val="center"/>
          </w:tcPr>
          <w:p>
            <w:pPr>
              <w:snapToGrid w:val="0"/>
              <w:rPr>
                <w:rFonts w:ascii="宋体" w:hAnsi="宋体" w:cs="宋体"/>
                <w:szCs w:val="21"/>
              </w:rPr>
            </w:pPr>
            <w:r>
              <w:rPr>
                <w:rFonts w:hint="eastAsia" w:ascii="宋体" w:hAnsi="宋体" w:cs="宋体"/>
                <w:szCs w:val="21"/>
              </w:rPr>
              <w:t>安装现场性能试验：</w:t>
            </w:r>
          </w:p>
          <w:p>
            <w:pPr>
              <w:snapToGrid w:val="0"/>
              <w:rPr>
                <w:rFonts w:ascii="宋体" w:hAnsi="宋体" w:cs="宋体"/>
                <w:szCs w:val="21"/>
              </w:rPr>
            </w:pPr>
            <w:r>
              <w:rPr>
                <w:rFonts w:hint="eastAsia" w:ascii="宋体" w:hAnsi="宋体" w:cs="宋体"/>
                <w:szCs w:val="21"/>
              </w:rPr>
              <w:t>（1）按照最新GB进行安装检验</w:t>
            </w:r>
          </w:p>
          <w:p>
            <w:pPr>
              <w:snapToGrid w:val="0"/>
              <w:rPr>
                <w:rFonts w:ascii="宋体" w:hAnsi="宋体" w:cs="宋体"/>
                <w:szCs w:val="21"/>
              </w:rPr>
            </w:pPr>
            <w:r>
              <w:rPr>
                <w:rFonts w:hint="eastAsia" w:ascii="宋体" w:hAnsi="宋体" w:cs="宋体"/>
                <w:szCs w:val="21"/>
              </w:rPr>
              <w:t>（2）按照最新GB进行振动加速度、机房（如有）、轿厢噪声试验及相应规定的测试项目。</w:t>
            </w:r>
          </w:p>
          <w:p>
            <w:pPr>
              <w:snapToGrid w:val="0"/>
              <w:rPr>
                <w:rFonts w:ascii="宋体" w:hAnsi="宋体" w:cs="宋体"/>
                <w:szCs w:val="21"/>
              </w:rPr>
            </w:pPr>
            <w:r>
              <w:rPr>
                <w:rFonts w:hint="eastAsia" w:ascii="宋体" w:hAnsi="宋体" w:cs="宋体"/>
                <w:szCs w:val="21"/>
              </w:rPr>
              <w:t>（3）按技术条件要求进行使用功能试验，并向业主提供检测报告。</w:t>
            </w:r>
          </w:p>
        </w:tc>
        <w:tc>
          <w:tcPr>
            <w:tcW w:w="1720" w:type="dxa"/>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tcBorders>
              <w:bottom w:val="single" w:color="auto" w:sz="2" w:space="0"/>
            </w:tcBorders>
            <w:tcMar>
              <w:right w:w="170" w:type="dxa"/>
            </w:tcMar>
            <w:vAlign w:val="center"/>
          </w:tcPr>
          <w:p>
            <w:pPr>
              <w:snapToGrid w:val="0"/>
              <w:jc w:val="center"/>
              <w:rPr>
                <w:rFonts w:ascii="宋体" w:hAnsi="宋体" w:cs="宋体"/>
                <w:szCs w:val="21"/>
              </w:rPr>
            </w:pPr>
            <w:r>
              <w:rPr>
                <w:rFonts w:hint="eastAsia" w:ascii="宋体" w:hAnsi="宋体" w:cs="宋体"/>
                <w:szCs w:val="21"/>
              </w:rPr>
              <w:t>1.3</w:t>
            </w:r>
          </w:p>
        </w:tc>
        <w:tc>
          <w:tcPr>
            <w:tcW w:w="7635" w:type="dxa"/>
            <w:tcBorders>
              <w:bottom w:val="single" w:color="auto" w:sz="2" w:space="0"/>
            </w:tcBorders>
            <w:vAlign w:val="center"/>
          </w:tcPr>
          <w:p>
            <w:pPr>
              <w:snapToGrid w:val="0"/>
              <w:rPr>
                <w:rFonts w:ascii="宋体" w:hAnsi="宋体" w:cs="宋体"/>
                <w:szCs w:val="21"/>
              </w:rPr>
            </w:pPr>
            <w:r>
              <w:rPr>
                <w:rFonts w:hint="eastAsia" w:ascii="宋体" w:hAnsi="宋体" w:cs="宋体"/>
                <w:szCs w:val="21"/>
              </w:rPr>
              <w:t>（1）中标人在合同签订后一个月内应向招标人提供如下资料及文件：</w:t>
            </w:r>
          </w:p>
          <w:p>
            <w:pPr>
              <w:snapToGrid w:val="0"/>
              <w:rPr>
                <w:rFonts w:ascii="宋体" w:hAnsi="宋体" w:cs="宋体"/>
                <w:szCs w:val="21"/>
              </w:rPr>
            </w:pPr>
            <w:r>
              <w:rPr>
                <w:rFonts w:hint="eastAsia" w:ascii="宋体" w:hAnsi="宋体" w:cs="宋体"/>
                <w:szCs w:val="21"/>
              </w:rPr>
              <w:t>机房（如有）及井道图纸</w:t>
            </w:r>
          </w:p>
          <w:p>
            <w:pPr>
              <w:snapToGrid w:val="0"/>
              <w:rPr>
                <w:rFonts w:ascii="宋体" w:hAnsi="宋体" w:cs="宋体"/>
                <w:szCs w:val="21"/>
              </w:rPr>
            </w:pPr>
            <w:r>
              <w:rPr>
                <w:rFonts w:hint="eastAsia" w:ascii="宋体" w:hAnsi="宋体" w:cs="宋体"/>
                <w:szCs w:val="21"/>
              </w:rPr>
              <w:t>电梯安装图纸</w:t>
            </w:r>
          </w:p>
          <w:p>
            <w:pPr>
              <w:snapToGrid w:val="0"/>
              <w:rPr>
                <w:rFonts w:ascii="宋体" w:hAnsi="宋体" w:cs="宋体"/>
                <w:szCs w:val="21"/>
              </w:rPr>
            </w:pPr>
            <w:r>
              <w:rPr>
                <w:rFonts w:hint="eastAsia" w:ascii="宋体" w:hAnsi="宋体" w:cs="宋体"/>
                <w:szCs w:val="21"/>
              </w:rPr>
              <w:t>电气原理图及符号说明</w:t>
            </w:r>
          </w:p>
          <w:p>
            <w:pPr>
              <w:snapToGrid w:val="0"/>
              <w:rPr>
                <w:rFonts w:ascii="宋体" w:hAnsi="宋体" w:cs="宋体"/>
                <w:szCs w:val="21"/>
              </w:rPr>
            </w:pPr>
            <w:r>
              <w:rPr>
                <w:rFonts w:hint="eastAsia" w:ascii="宋体" w:hAnsi="宋体" w:cs="宋体"/>
                <w:szCs w:val="21"/>
              </w:rPr>
              <w:t>其中与土建相配套的图纸及资料应在一周内提供。</w:t>
            </w:r>
          </w:p>
          <w:p>
            <w:pPr>
              <w:snapToGrid w:val="0"/>
              <w:rPr>
                <w:rFonts w:ascii="宋体" w:hAnsi="宋体" w:cs="宋体"/>
                <w:szCs w:val="21"/>
              </w:rPr>
            </w:pPr>
            <w:r>
              <w:rPr>
                <w:rFonts w:hint="eastAsia" w:ascii="宋体" w:hAnsi="宋体" w:cs="宋体"/>
                <w:szCs w:val="21"/>
              </w:rPr>
              <w:t xml:space="preserve">（2）中标人在验收时应向招标人提供的资料及文件： </w:t>
            </w:r>
          </w:p>
          <w:p>
            <w:pPr>
              <w:snapToGrid w:val="0"/>
              <w:rPr>
                <w:rFonts w:ascii="宋体" w:hAnsi="宋体" w:cs="宋体"/>
                <w:szCs w:val="21"/>
              </w:rPr>
            </w:pPr>
            <w:r>
              <w:rPr>
                <w:rFonts w:hint="eastAsia" w:ascii="宋体" w:hAnsi="宋体" w:cs="宋体"/>
                <w:szCs w:val="21"/>
              </w:rPr>
              <w:t>装箱单</w:t>
            </w:r>
          </w:p>
          <w:p>
            <w:pPr>
              <w:snapToGrid w:val="0"/>
              <w:rPr>
                <w:rFonts w:ascii="宋体" w:hAnsi="宋体" w:cs="宋体"/>
                <w:szCs w:val="21"/>
              </w:rPr>
            </w:pPr>
            <w:r>
              <w:rPr>
                <w:rFonts w:hint="eastAsia" w:ascii="宋体" w:hAnsi="宋体" w:cs="宋体"/>
                <w:szCs w:val="21"/>
              </w:rPr>
              <w:t>产品质量证明文件</w:t>
            </w:r>
          </w:p>
          <w:p>
            <w:pPr>
              <w:snapToGrid w:val="0"/>
              <w:rPr>
                <w:rFonts w:ascii="宋体" w:hAnsi="宋体" w:cs="宋体"/>
                <w:szCs w:val="21"/>
              </w:rPr>
            </w:pPr>
            <w:r>
              <w:rPr>
                <w:rFonts w:hint="eastAsia" w:ascii="宋体" w:hAnsi="宋体" w:cs="宋体"/>
                <w:szCs w:val="21"/>
              </w:rPr>
              <w:t>电梯维护使用说明书</w:t>
            </w:r>
          </w:p>
          <w:p>
            <w:pPr>
              <w:snapToGrid w:val="0"/>
              <w:rPr>
                <w:rFonts w:ascii="宋体" w:hAnsi="宋体" w:cs="宋体"/>
                <w:szCs w:val="21"/>
              </w:rPr>
            </w:pPr>
            <w:r>
              <w:rPr>
                <w:rFonts w:hint="eastAsia" w:ascii="宋体" w:hAnsi="宋体" w:cs="宋体"/>
                <w:szCs w:val="21"/>
              </w:rPr>
              <w:t>电梯部件安装图纸</w:t>
            </w:r>
          </w:p>
          <w:p>
            <w:pPr>
              <w:snapToGrid w:val="0"/>
              <w:rPr>
                <w:rFonts w:ascii="宋体" w:hAnsi="宋体" w:cs="宋体"/>
                <w:szCs w:val="21"/>
              </w:rPr>
            </w:pPr>
            <w:r>
              <w:rPr>
                <w:rFonts w:hint="eastAsia" w:ascii="宋体" w:hAnsi="宋体" w:cs="宋体"/>
                <w:szCs w:val="21"/>
              </w:rPr>
              <w:t>安装调试文件及说明书</w:t>
            </w:r>
          </w:p>
          <w:p>
            <w:pPr>
              <w:snapToGrid w:val="0"/>
              <w:rPr>
                <w:rFonts w:ascii="宋体" w:hAnsi="宋体" w:cs="宋体"/>
                <w:szCs w:val="21"/>
              </w:rPr>
            </w:pPr>
            <w:r>
              <w:rPr>
                <w:rFonts w:hint="eastAsia" w:ascii="宋体" w:hAnsi="宋体" w:cs="宋体"/>
                <w:szCs w:val="21"/>
              </w:rPr>
              <w:t>易损件及常用备品清单</w:t>
            </w:r>
          </w:p>
          <w:p>
            <w:pPr>
              <w:snapToGrid w:val="0"/>
              <w:rPr>
                <w:rFonts w:ascii="宋体" w:hAnsi="宋体" w:cs="宋体"/>
                <w:szCs w:val="21"/>
              </w:rPr>
            </w:pPr>
            <w:r>
              <w:rPr>
                <w:rFonts w:hint="eastAsia" w:ascii="宋体" w:hAnsi="宋体" w:cs="宋体"/>
                <w:szCs w:val="21"/>
              </w:rPr>
              <w:t>（3）中标人应在验收时向招标人提供电梯安装证明及当地主管部门颁发的使用许可证等。</w:t>
            </w:r>
          </w:p>
          <w:p>
            <w:pPr>
              <w:snapToGrid w:val="0"/>
              <w:rPr>
                <w:rFonts w:ascii="宋体" w:hAnsi="宋体" w:cs="宋体"/>
                <w:szCs w:val="21"/>
              </w:rPr>
            </w:pPr>
            <w:r>
              <w:rPr>
                <w:rFonts w:hint="eastAsia" w:ascii="宋体" w:hAnsi="宋体" w:cs="宋体"/>
                <w:szCs w:val="21"/>
              </w:rPr>
              <w:t>（4）所有试验内容均满足生产厂家及技术监督局检验合格，方可正式办理验收和移交手续。</w:t>
            </w:r>
          </w:p>
        </w:tc>
        <w:tc>
          <w:tcPr>
            <w:tcW w:w="1720" w:type="dxa"/>
            <w:tcBorders>
              <w:bottom w:val="single" w:color="auto" w:sz="2"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084" w:type="dxa"/>
            <w:tcBorders>
              <w:top w:val="single" w:color="auto" w:sz="2" w:space="0"/>
              <w:bottom w:val="single" w:color="auto" w:sz="2" w:space="0"/>
            </w:tcBorders>
            <w:tcMar>
              <w:right w:w="170" w:type="dxa"/>
            </w:tcMar>
            <w:vAlign w:val="center"/>
          </w:tcPr>
          <w:p>
            <w:pPr>
              <w:snapToGrid w:val="0"/>
              <w:jc w:val="center"/>
              <w:rPr>
                <w:rFonts w:ascii="宋体" w:hAnsi="宋体" w:cs="宋体"/>
                <w:szCs w:val="21"/>
              </w:rPr>
            </w:pPr>
            <w:r>
              <w:rPr>
                <w:rFonts w:hint="eastAsia" w:ascii="宋体" w:hAnsi="宋体" w:cs="宋体"/>
                <w:szCs w:val="21"/>
              </w:rPr>
              <w:t>1.4</w:t>
            </w:r>
          </w:p>
        </w:tc>
        <w:tc>
          <w:tcPr>
            <w:tcW w:w="7635" w:type="dxa"/>
            <w:tcBorders>
              <w:top w:val="single" w:color="auto" w:sz="2" w:space="0"/>
              <w:bottom w:val="single" w:color="auto" w:sz="2" w:space="0"/>
            </w:tcBorders>
            <w:vAlign w:val="center"/>
          </w:tcPr>
          <w:p>
            <w:pPr>
              <w:snapToGrid w:val="0"/>
              <w:rPr>
                <w:rFonts w:ascii="宋体" w:hAnsi="宋体" w:cs="宋体"/>
                <w:szCs w:val="21"/>
              </w:rPr>
            </w:pPr>
            <w:r>
              <w:rPr>
                <w:rFonts w:hint="eastAsia" w:ascii="宋体" w:hAnsi="宋体" w:cs="宋体"/>
                <w:szCs w:val="21"/>
              </w:rPr>
              <w:t>请投标人提供电梯施工队伍的资质和项目经理的资质材料。</w:t>
            </w:r>
          </w:p>
        </w:tc>
        <w:tc>
          <w:tcPr>
            <w:tcW w:w="1720" w:type="dxa"/>
            <w:tcBorders>
              <w:top w:val="single" w:color="auto" w:sz="2" w:space="0"/>
              <w:bottom w:val="single" w:color="auto" w:sz="2" w:space="0"/>
            </w:tcBorders>
            <w:vAlign w:val="center"/>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tcBorders>
              <w:top w:val="single" w:color="auto" w:sz="2" w:space="0"/>
              <w:bottom w:val="single" w:color="auto" w:sz="4" w:space="0"/>
            </w:tcBorders>
            <w:tcMar>
              <w:right w:w="170" w:type="dxa"/>
            </w:tcMar>
            <w:vAlign w:val="center"/>
          </w:tcPr>
          <w:p>
            <w:pPr>
              <w:snapToGrid w:val="0"/>
              <w:jc w:val="center"/>
              <w:rPr>
                <w:rFonts w:ascii="宋体" w:hAnsi="宋体" w:cs="宋体"/>
                <w:szCs w:val="21"/>
              </w:rPr>
            </w:pPr>
            <w:r>
              <w:rPr>
                <w:rFonts w:hint="eastAsia" w:ascii="宋体" w:hAnsi="宋体" w:cs="宋体"/>
                <w:szCs w:val="21"/>
              </w:rPr>
              <w:t>▲1.5</w:t>
            </w:r>
          </w:p>
        </w:tc>
        <w:tc>
          <w:tcPr>
            <w:tcW w:w="7635" w:type="dxa"/>
            <w:tcBorders>
              <w:top w:val="single" w:color="auto" w:sz="2" w:space="0"/>
              <w:bottom w:val="single" w:color="auto" w:sz="4" w:space="0"/>
            </w:tcBorders>
            <w:vAlign w:val="center"/>
          </w:tcPr>
          <w:p>
            <w:pPr>
              <w:snapToGrid w:val="0"/>
              <w:rPr>
                <w:rFonts w:ascii="宋体" w:hAnsi="宋体" w:cs="宋体"/>
                <w:szCs w:val="21"/>
              </w:rPr>
            </w:pPr>
            <w:r>
              <w:rPr>
                <w:rFonts w:hint="eastAsia" w:ascii="宋体" w:hAnsi="宋体" w:cs="宋体"/>
                <w:szCs w:val="21"/>
              </w:rPr>
              <w:t>国家颁布的所有标准和规范都有可能被修订，投标人应达到标准和规范最新版本的要求。因此，标准与规范不限于下列列出的标准与规范。</w:t>
            </w:r>
          </w:p>
          <w:p>
            <w:pPr>
              <w:snapToGrid w:val="0"/>
              <w:rPr>
                <w:rFonts w:ascii="宋体" w:hAnsi="宋体" w:cs="宋体"/>
                <w:szCs w:val="21"/>
              </w:rPr>
            </w:pPr>
            <w:r>
              <w:rPr>
                <w:rFonts w:hint="eastAsia" w:ascii="宋体" w:hAnsi="宋体" w:cs="宋体"/>
                <w:szCs w:val="21"/>
              </w:rPr>
              <w:t>中华人民共和国国家标准：电梯制造和安装安全规范（GB7588-2003）</w:t>
            </w:r>
          </w:p>
          <w:p>
            <w:pPr>
              <w:snapToGrid w:val="0"/>
              <w:rPr>
                <w:rFonts w:ascii="宋体" w:hAnsi="宋体" w:cs="宋体"/>
                <w:szCs w:val="21"/>
              </w:rPr>
            </w:pPr>
            <w:r>
              <w:rPr>
                <w:rFonts w:hint="eastAsia" w:ascii="宋体" w:hAnsi="宋体" w:cs="宋体"/>
                <w:szCs w:val="21"/>
              </w:rPr>
              <w:t>中华人民共和国国家标准：电梯安装验收规范（GB10060-93）</w:t>
            </w:r>
          </w:p>
          <w:p>
            <w:pPr>
              <w:snapToGrid w:val="0"/>
              <w:rPr>
                <w:rFonts w:ascii="宋体" w:hAnsi="宋体" w:cs="宋体"/>
                <w:szCs w:val="21"/>
              </w:rPr>
            </w:pPr>
            <w:r>
              <w:rPr>
                <w:rFonts w:hint="eastAsia" w:ascii="宋体" w:hAnsi="宋体" w:cs="宋体"/>
                <w:szCs w:val="21"/>
              </w:rPr>
              <w:t>中华人民共和国国家标准：电梯技术条件（GB/T10058-2009）</w:t>
            </w:r>
          </w:p>
          <w:p>
            <w:pPr>
              <w:snapToGrid w:val="0"/>
              <w:rPr>
                <w:rFonts w:ascii="宋体" w:hAnsi="宋体" w:cs="宋体"/>
                <w:szCs w:val="21"/>
              </w:rPr>
            </w:pPr>
            <w:r>
              <w:rPr>
                <w:rFonts w:hint="eastAsia" w:ascii="宋体" w:hAnsi="宋体" w:cs="宋体"/>
                <w:szCs w:val="21"/>
              </w:rPr>
              <w:t>中华人民共和国国家标准：电梯试验方法（GB/T10059-2009）</w:t>
            </w:r>
          </w:p>
          <w:p>
            <w:pPr>
              <w:snapToGrid w:val="0"/>
              <w:rPr>
                <w:rFonts w:ascii="宋体" w:hAnsi="宋体" w:cs="宋体"/>
                <w:szCs w:val="21"/>
              </w:rPr>
            </w:pPr>
            <w:r>
              <w:rPr>
                <w:rFonts w:hint="eastAsia" w:ascii="宋体" w:hAnsi="宋体" w:cs="宋体"/>
                <w:szCs w:val="21"/>
              </w:rPr>
              <w:t>中华人民共和国国家标准：电梯电气设备安装验收规范(GB50182-93)</w:t>
            </w:r>
          </w:p>
          <w:p>
            <w:pPr>
              <w:snapToGrid w:val="0"/>
              <w:rPr>
                <w:rFonts w:ascii="宋体" w:hAnsi="宋体" w:cs="宋体"/>
                <w:szCs w:val="21"/>
              </w:rPr>
            </w:pPr>
            <w:r>
              <w:rPr>
                <w:rFonts w:hint="eastAsia" w:ascii="宋体" w:hAnsi="宋体" w:cs="宋体"/>
                <w:szCs w:val="21"/>
              </w:rPr>
              <w:t>中华人民共和国国家建设部“电梯手册”(JJ49-87)</w:t>
            </w:r>
          </w:p>
          <w:p>
            <w:pPr>
              <w:snapToGrid w:val="0"/>
              <w:rPr>
                <w:rFonts w:ascii="宋体" w:hAnsi="宋体" w:cs="宋体"/>
                <w:szCs w:val="21"/>
              </w:rPr>
            </w:pPr>
            <w:r>
              <w:rPr>
                <w:rFonts w:hint="eastAsia" w:ascii="宋体" w:hAnsi="宋体" w:cs="宋体"/>
                <w:szCs w:val="21"/>
              </w:rPr>
              <w:t>中华人民共和国国家标准：电梯安装工程质量检验评估标准（试行版）</w:t>
            </w:r>
          </w:p>
          <w:p>
            <w:pPr>
              <w:snapToGrid w:val="0"/>
              <w:rPr>
                <w:rFonts w:ascii="宋体" w:hAnsi="宋体" w:cs="宋体"/>
                <w:szCs w:val="21"/>
              </w:rPr>
            </w:pPr>
            <w:r>
              <w:rPr>
                <w:rFonts w:hint="eastAsia" w:ascii="宋体" w:hAnsi="宋体" w:cs="宋体"/>
                <w:szCs w:val="21"/>
              </w:rPr>
              <w:t>中华人民共和国国家标准：电气装置安装工程电梯电气装置施工及验收规范(GB50182-93)</w:t>
            </w:r>
          </w:p>
          <w:p>
            <w:pPr>
              <w:snapToGrid w:val="0"/>
              <w:rPr>
                <w:rFonts w:ascii="宋体" w:hAnsi="宋体" w:cs="宋体"/>
                <w:szCs w:val="21"/>
              </w:rPr>
            </w:pPr>
            <w:r>
              <w:rPr>
                <w:rFonts w:hint="eastAsia" w:ascii="宋体" w:hAnsi="宋体" w:cs="宋体"/>
                <w:szCs w:val="21"/>
              </w:rPr>
              <w:t>浙江省消防部门的条例及相关的中国国家防火规则</w:t>
            </w:r>
          </w:p>
          <w:p>
            <w:pPr>
              <w:snapToGrid w:val="0"/>
              <w:rPr>
                <w:rFonts w:ascii="宋体" w:hAnsi="宋体" w:cs="宋体"/>
                <w:szCs w:val="21"/>
              </w:rPr>
            </w:pPr>
            <w:r>
              <w:rPr>
                <w:rFonts w:hint="eastAsia" w:ascii="宋体" w:hAnsi="宋体" w:cs="宋体"/>
                <w:szCs w:val="21"/>
              </w:rPr>
              <w:t>电力供应部门的供电规章条例</w:t>
            </w:r>
          </w:p>
          <w:p>
            <w:pPr>
              <w:snapToGrid w:val="0"/>
              <w:rPr>
                <w:rFonts w:ascii="宋体" w:hAnsi="宋体" w:cs="宋体"/>
                <w:szCs w:val="21"/>
              </w:rPr>
            </w:pPr>
            <w:r>
              <w:rPr>
                <w:rFonts w:hint="eastAsia" w:ascii="宋体" w:hAnsi="宋体" w:cs="宋体"/>
                <w:szCs w:val="21"/>
              </w:rPr>
              <w:t>其他有关的中国规定</w:t>
            </w:r>
          </w:p>
        </w:tc>
        <w:tc>
          <w:tcPr>
            <w:tcW w:w="1720" w:type="dxa"/>
            <w:tcBorders>
              <w:top w:val="single" w:color="auto" w:sz="2" w:space="0"/>
              <w:bottom w:val="single" w:color="auto" w:sz="4" w:space="0"/>
            </w:tcBorders>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63" w:hRule="atLeast"/>
        </w:trPr>
        <w:tc>
          <w:tcPr>
            <w:tcW w:w="1084" w:type="dxa"/>
            <w:tcBorders>
              <w:top w:val="single" w:color="auto" w:sz="4" w:space="0"/>
              <w:bottom w:val="single" w:color="auto" w:sz="2" w:space="0"/>
            </w:tcBorders>
            <w:vAlign w:val="center"/>
          </w:tcPr>
          <w:p>
            <w:pPr>
              <w:snapToGrid w:val="0"/>
              <w:jc w:val="center"/>
              <w:rPr>
                <w:rFonts w:ascii="宋体" w:hAnsi="宋体" w:cs="宋体"/>
                <w:szCs w:val="21"/>
              </w:rPr>
            </w:pPr>
            <w:r>
              <w:rPr>
                <w:rFonts w:hint="eastAsia" w:ascii="宋体" w:hAnsi="宋体" w:cs="宋体"/>
                <w:szCs w:val="21"/>
              </w:rPr>
              <w:t>二</w:t>
            </w:r>
          </w:p>
        </w:tc>
        <w:tc>
          <w:tcPr>
            <w:tcW w:w="7635" w:type="dxa"/>
            <w:tcBorders>
              <w:top w:val="single" w:color="auto" w:sz="4" w:space="0"/>
              <w:bottom w:val="single" w:color="auto" w:sz="2" w:space="0"/>
            </w:tcBorders>
            <w:vAlign w:val="center"/>
          </w:tcPr>
          <w:p>
            <w:pPr>
              <w:snapToGrid w:val="0"/>
              <w:rPr>
                <w:rFonts w:ascii="宋体" w:hAnsi="宋体" w:cs="宋体"/>
                <w:szCs w:val="21"/>
              </w:rPr>
            </w:pPr>
            <w:r>
              <w:rPr>
                <w:rFonts w:hint="eastAsia" w:ascii="宋体" w:hAnsi="宋体" w:cs="宋体"/>
                <w:szCs w:val="21"/>
              </w:rPr>
              <w:t>技术服务：</w:t>
            </w:r>
          </w:p>
        </w:tc>
        <w:tc>
          <w:tcPr>
            <w:tcW w:w="1720" w:type="dxa"/>
            <w:tcBorders>
              <w:top w:val="single" w:color="auto" w:sz="4" w:space="0"/>
              <w:bottom w:val="single" w:color="auto" w:sz="2" w:space="0"/>
            </w:tcBorders>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tcBorders>
              <w:top w:val="single" w:color="auto" w:sz="2" w:space="0"/>
            </w:tcBorders>
            <w:vAlign w:val="center"/>
          </w:tcPr>
          <w:p>
            <w:pPr>
              <w:snapToGrid w:val="0"/>
              <w:jc w:val="center"/>
              <w:rPr>
                <w:rFonts w:ascii="宋体" w:hAnsi="宋体" w:cs="宋体"/>
                <w:szCs w:val="21"/>
              </w:rPr>
            </w:pPr>
            <w:r>
              <w:rPr>
                <w:rFonts w:hint="eastAsia" w:ascii="宋体" w:hAnsi="宋体" w:cs="宋体"/>
                <w:szCs w:val="21"/>
              </w:rPr>
              <w:t>2.1</w:t>
            </w:r>
          </w:p>
        </w:tc>
        <w:tc>
          <w:tcPr>
            <w:tcW w:w="7635" w:type="dxa"/>
            <w:tcBorders>
              <w:top w:val="single" w:color="auto" w:sz="2" w:space="0"/>
            </w:tcBorders>
            <w:vAlign w:val="center"/>
          </w:tcPr>
          <w:p>
            <w:pPr>
              <w:snapToGrid w:val="0"/>
              <w:rPr>
                <w:rFonts w:ascii="宋体" w:hAnsi="宋体" w:cs="宋体"/>
                <w:szCs w:val="21"/>
              </w:rPr>
            </w:pPr>
            <w:r>
              <w:rPr>
                <w:rFonts w:hint="eastAsia" w:ascii="宋体" w:hAnsi="宋体" w:cs="宋体"/>
                <w:szCs w:val="21"/>
              </w:rPr>
              <w:t>电梯安装以全包交钥匙工程方式，包括安装，调试，检测和通过相关部门验收。</w:t>
            </w:r>
          </w:p>
        </w:tc>
        <w:tc>
          <w:tcPr>
            <w:tcW w:w="1720" w:type="dxa"/>
            <w:tcBorders>
              <w:top w:val="single" w:color="auto" w:sz="2" w:space="0"/>
            </w:tcBorders>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vAlign w:val="center"/>
          </w:tcPr>
          <w:p>
            <w:pPr>
              <w:snapToGrid w:val="0"/>
              <w:jc w:val="center"/>
              <w:rPr>
                <w:rFonts w:ascii="宋体" w:hAnsi="宋体" w:cs="宋体"/>
                <w:szCs w:val="21"/>
              </w:rPr>
            </w:pPr>
            <w:r>
              <w:rPr>
                <w:rFonts w:hint="eastAsia" w:ascii="宋体" w:hAnsi="宋体" w:cs="宋体"/>
                <w:szCs w:val="21"/>
              </w:rPr>
              <w:t>2.2</w:t>
            </w:r>
          </w:p>
        </w:tc>
        <w:tc>
          <w:tcPr>
            <w:tcW w:w="7635" w:type="dxa"/>
            <w:vAlign w:val="center"/>
          </w:tcPr>
          <w:p>
            <w:pPr>
              <w:snapToGrid w:val="0"/>
              <w:rPr>
                <w:rFonts w:ascii="宋体" w:hAnsi="宋体" w:cs="宋体"/>
                <w:szCs w:val="21"/>
              </w:rPr>
            </w:pPr>
            <w:r>
              <w:rPr>
                <w:rFonts w:hint="eastAsia" w:ascii="宋体" w:hAnsi="宋体" w:cs="宋体"/>
                <w:szCs w:val="21"/>
              </w:rPr>
              <w:t>中标方应提供以下服务项目（不限于此）：</w:t>
            </w:r>
          </w:p>
          <w:p>
            <w:pPr>
              <w:snapToGrid w:val="0"/>
              <w:rPr>
                <w:rFonts w:ascii="宋体" w:hAnsi="宋体" w:cs="宋体"/>
                <w:szCs w:val="21"/>
              </w:rPr>
            </w:pPr>
            <w:r>
              <w:rPr>
                <w:rFonts w:hint="eastAsia" w:ascii="宋体" w:hAnsi="宋体" w:cs="宋体"/>
                <w:szCs w:val="21"/>
              </w:rPr>
              <w:t>（1）执行和监督所提供设备的现场安装和调试；</w:t>
            </w:r>
          </w:p>
          <w:p>
            <w:pPr>
              <w:snapToGrid w:val="0"/>
              <w:rPr>
                <w:rFonts w:ascii="宋体" w:hAnsi="宋体" w:cs="宋体"/>
                <w:szCs w:val="21"/>
              </w:rPr>
            </w:pPr>
            <w:r>
              <w:rPr>
                <w:rFonts w:hint="eastAsia" w:ascii="宋体" w:hAnsi="宋体" w:cs="宋体"/>
                <w:szCs w:val="21"/>
              </w:rPr>
              <w:t>（2）提供安装和维修工具；</w:t>
            </w:r>
          </w:p>
          <w:p>
            <w:pPr>
              <w:snapToGrid w:val="0"/>
              <w:rPr>
                <w:rFonts w:ascii="宋体" w:hAnsi="宋体" w:cs="宋体"/>
                <w:szCs w:val="21"/>
              </w:rPr>
            </w:pPr>
            <w:r>
              <w:rPr>
                <w:rFonts w:hint="eastAsia" w:ascii="宋体" w:hAnsi="宋体" w:cs="宋体"/>
                <w:szCs w:val="21"/>
              </w:rPr>
              <w:t>（3）提供设备主要部件的详细操作手册和维修手册；</w:t>
            </w:r>
          </w:p>
          <w:p>
            <w:pPr>
              <w:snapToGrid w:val="0"/>
              <w:rPr>
                <w:rFonts w:ascii="宋体" w:hAnsi="宋体" w:cs="宋体"/>
                <w:szCs w:val="21"/>
              </w:rPr>
            </w:pPr>
            <w:r>
              <w:rPr>
                <w:rFonts w:hint="eastAsia" w:ascii="宋体" w:hAnsi="宋体" w:cs="宋体"/>
                <w:szCs w:val="21"/>
              </w:rPr>
              <w:t>（4）投标方应为业主提供设备正常运行三年的易损件和常用备件；</w:t>
            </w:r>
          </w:p>
        </w:tc>
        <w:tc>
          <w:tcPr>
            <w:tcW w:w="1720" w:type="dxa"/>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tcMar>
              <w:right w:w="170" w:type="dxa"/>
            </w:tcMar>
            <w:vAlign w:val="center"/>
          </w:tcPr>
          <w:p>
            <w:pPr>
              <w:snapToGrid w:val="0"/>
              <w:jc w:val="center"/>
              <w:rPr>
                <w:rFonts w:ascii="宋体" w:hAnsi="宋体" w:cs="宋体"/>
                <w:szCs w:val="21"/>
              </w:rPr>
            </w:pPr>
            <w:r>
              <w:rPr>
                <w:rFonts w:hint="eastAsia" w:ascii="宋体" w:hAnsi="宋体" w:cs="宋体"/>
                <w:szCs w:val="21"/>
              </w:rPr>
              <w:t>2.3</w:t>
            </w:r>
          </w:p>
        </w:tc>
        <w:tc>
          <w:tcPr>
            <w:tcW w:w="7635" w:type="dxa"/>
            <w:vAlign w:val="center"/>
          </w:tcPr>
          <w:p>
            <w:pPr>
              <w:snapToGrid w:val="0"/>
              <w:rPr>
                <w:rFonts w:ascii="宋体" w:hAnsi="宋体" w:cs="宋体"/>
                <w:szCs w:val="21"/>
              </w:rPr>
            </w:pPr>
            <w:r>
              <w:rPr>
                <w:rFonts w:hint="eastAsia" w:ascii="宋体" w:hAnsi="宋体" w:cs="宋体"/>
                <w:szCs w:val="21"/>
              </w:rPr>
              <w:t>业主向中标方选购零件时，中标方不能解脱合同所规定的任何担保义务，在设备投入使用后，中标人必须保证备件的提供，期限不能少于15年。</w:t>
            </w:r>
          </w:p>
        </w:tc>
        <w:tc>
          <w:tcPr>
            <w:tcW w:w="1720" w:type="dxa"/>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tcMar>
              <w:right w:w="170" w:type="dxa"/>
            </w:tcMar>
            <w:vAlign w:val="center"/>
          </w:tcPr>
          <w:p>
            <w:pPr>
              <w:snapToGrid w:val="0"/>
              <w:jc w:val="center"/>
              <w:rPr>
                <w:rFonts w:ascii="宋体" w:hAnsi="宋体" w:cs="宋体"/>
                <w:szCs w:val="21"/>
              </w:rPr>
            </w:pPr>
            <w:r>
              <w:rPr>
                <w:rFonts w:hint="eastAsia" w:ascii="宋体" w:hAnsi="宋体" w:cs="宋体"/>
                <w:szCs w:val="21"/>
              </w:rPr>
              <w:t>2.4</w:t>
            </w:r>
          </w:p>
        </w:tc>
        <w:tc>
          <w:tcPr>
            <w:tcW w:w="7635" w:type="dxa"/>
            <w:vAlign w:val="center"/>
          </w:tcPr>
          <w:p>
            <w:pPr>
              <w:snapToGrid w:val="0"/>
              <w:rPr>
                <w:rFonts w:ascii="宋体" w:hAnsi="宋体" w:cs="宋体"/>
                <w:szCs w:val="21"/>
              </w:rPr>
            </w:pPr>
            <w:r>
              <w:rPr>
                <w:rFonts w:hint="eastAsia" w:ascii="宋体" w:hAnsi="宋体" w:cs="宋体"/>
                <w:szCs w:val="21"/>
              </w:rPr>
              <w:t>中标方生产厂在零部件停产前，应于停产前3个月通知业主，以便业主有足够时间购买所需的零部件。</w:t>
            </w:r>
          </w:p>
        </w:tc>
        <w:tc>
          <w:tcPr>
            <w:tcW w:w="1720" w:type="dxa"/>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tcMar>
              <w:right w:w="170" w:type="dxa"/>
            </w:tcMar>
            <w:vAlign w:val="center"/>
          </w:tcPr>
          <w:p>
            <w:pPr>
              <w:snapToGrid w:val="0"/>
              <w:jc w:val="center"/>
              <w:rPr>
                <w:rFonts w:ascii="宋体" w:hAnsi="宋体" w:cs="宋体"/>
                <w:szCs w:val="21"/>
              </w:rPr>
            </w:pPr>
            <w:r>
              <w:rPr>
                <w:rFonts w:hint="eastAsia" w:ascii="宋体" w:hAnsi="宋体" w:cs="宋体"/>
                <w:szCs w:val="21"/>
              </w:rPr>
              <w:t>2.5</w:t>
            </w:r>
          </w:p>
        </w:tc>
        <w:tc>
          <w:tcPr>
            <w:tcW w:w="7635" w:type="dxa"/>
            <w:vAlign w:val="center"/>
          </w:tcPr>
          <w:p>
            <w:pPr>
              <w:snapToGrid w:val="0"/>
              <w:rPr>
                <w:rFonts w:ascii="宋体" w:hAnsi="宋体" w:cs="宋体"/>
                <w:szCs w:val="21"/>
              </w:rPr>
            </w:pPr>
            <w:r>
              <w:rPr>
                <w:rFonts w:hint="eastAsia" w:ascii="宋体" w:hAnsi="宋体" w:cs="宋体"/>
                <w:szCs w:val="21"/>
              </w:rPr>
              <w:t>在零部件停产后，如果业主还需要的话，中标方应无偿向业主提供零部件的图纸和技术规范。</w:t>
            </w:r>
          </w:p>
        </w:tc>
        <w:tc>
          <w:tcPr>
            <w:tcW w:w="1720" w:type="dxa"/>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tcBorders>
              <w:top w:val="single" w:color="auto" w:sz="4" w:space="0"/>
              <w:bottom w:val="single" w:color="auto" w:sz="2" w:space="0"/>
            </w:tcBorders>
            <w:vAlign w:val="center"/>
          </w:tcPr>
          <w:p>
            <w:pPr>
              <w:snapToGrid w:val="0"/>
              <w:jc w:val="center"/>
              <w:rPr>
                <w:rFonts w:ascii="宋体" w:hAnsi="宋体" w:cs="宋体"/>
                <w:szCs w:val="21"/>
              </w:rPr>
            </w:pPr>
            <w:r>
              <w:rPr>
                <w:rFonts w:hint="eastAsia" w:ascii="宋体" w:hAnsi="宋体" w:cs="宋体"/>
                <w:szCs w:val="21"/>
              </w:rPr>
              <w:t>三</w:t>
            </w:r>
          </w:p>
        </w:tc>
        <w:tc>
          <w:tcPr>
            <w:tcW w:w="7635" w:type="dxa"/>
            <w:tcBorders>
              <w:top w:val="single" w:color="auto" w:sz="4" w:space="0"/>
              <w:bottom w:val="single" w:color="auto" w:sz="2" w:space="0"/>
            </w:tcBorders>
            <w:vAlign w:val="center"/>
          </w:tcPr>
          <w:p>
            <w:pPr>
              <w:snapToGrid w:val="0"/>
              <w:rPr>
                <w:rFonts w:ascii="宋体" w:hAnsi="宋体" w:cs="宋体"/>
                <w:szCs w:val="21"/>
              </w:rPr>
            </w:pPr>
            <w:r>
              <w:rPr>
                <w:rFonts w:hint="eastAsia" w:ascii="宋体" w:hAnsi="宋体" w:cs="宋体"/>
                <w:szCs w:val="21"/>
              </w:rPr>
              <w:t>电梯其他要求：</w:t>
            </w:r>
          </w:p>
        </w:tc>
        <w:tc>
          <w:tcPr>
            <w:tcW w:w="1720" w:type="dxa"/>
            <w:tcBorders>
              <w:top w:val="single" w:color="auto" w:sz="4" w:space="0"/>
              <w:bottom w:val="single" w:color="auto" w:sz="2" w:space="0"/>
            </w:tcBorders>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397" w:hRule="atLeast"/>
        </w:trPr>
        <w:tc>
          <w:tcPr>
            <w:tcW w:w="1084" w:type="dxa"/>
            <w:tcBorders>
              <w:top w:val="single" w:color="auto" w:sz="2" w:space="0"/>
            </w:tcBorders>
            <w:vAlign w:val="center"/>
          </w:tcPr>
          <w:p>
            <w:pPr>
              <w:snapToGrid w:val="0"/>
              <w:jc w:val="center"/>
              <w:rPr>
                <w:rFonts w:ascii="宋体" w:hAnsi="宋体" w:cs="宋体"/>
                <w:szCs w:val="21"/>
              </w:rPr>
            </w:pPr>
            <w:r>
              <w:rPr>
                <w:rFonts w:hint="eastAsia" w:ascii="宋体" w:hAnsi="宋体" w:cs="宋体"/>
                <w:szCs w:val="21"/>
              </w:rPr>
              <w:t>3.1</w:t>
            </w:r>
          </w:p>
        </w:tc>
        <w:tc>
          <w:tcPr>
            <w:tcW w:w="7635" w:type="dxa"/>
            <w:tcBorders>
              <w:top w:val="single" w:color="auto" w:sz="2" w:space="0"/>
            </w:tcBorders>
            <w:vAlign w:val="center"/>
          </w:tcPr>
          <w:p>
            <w:pPr>
              <w:snapToGrid w:val="0"/>
              <w:rPr>
                <w:rFonts w:ascii="宋体" w:hAnsi="宋体" w:cs="宋体"/>
                <w:szCs w:val="21"/>
              </w:rPr>
            </w:pPr>
            <w:r>
              <w:rPr>
                <w:rFonts w:hint="eastAsia" w:ascii="宋体" w:hAnsi="宋体" w:cs="宋体"/>
                <w:szCs w:val="21"/>
              </w:rPr>
              <w:t>投标人提供以下数据：</w:t>
            </w:r>
          </w:p>
          <w:p>
            <w:pPr>
              <w:snapToGrid w:val="0"/>
              <w:rPr>
                <w:rFonts w:ascii="宋体" w:hAnsi="宋体" w:cs="宋体"/>
                <w:szCs w:val="21"/>
              </w:rPr>
            </w:pPr>
            <w:r>
              <w:rPr>
                <w:rFonts w:hint="eastAsia" w:ascii="宋体" w:hAnsi="宋体" w:cs="宋体"/>
                <w:szCs w:val="21"/>
              </w:rPr>
              <w:t>（1）轿厢自重（2）主副导轨规格型号</w:t>
            </w:r>
          </w:p>
          <w:p>
            <w:pPr>
              <w:snapToGrid w:val="0"/>
              <w:rPr>
                <w:rFonts w:ascii="宋体" w:hAnsi="宋体" w:cs="宋体"/>
                <w:szCs w:val="21"/>
              </w:rPr>
            </w:pPr>
            <w:r>
              <w:rPr>
                <w:rFonts w:hint="eastAsia" w:ascii="宋体" w:hAnsi="宋体" w:cs="宋体"/>
                <w:szCs w:val="21"/>
              </w:rPr>
              <w:t>（3）光幕(注明产地)（4）门机(注明产地)</w:t>
            </w:r>
          </w:p>
        </w:tc>
        <w:tc>
          <w:tcPr>
            <w:tcW w:w="1720" w:type="dxa"/>
            <w:tcBorders>
              <w:top w:val="single" w:color="auto" w:sz="2" w:space="0"/>
            </w:tcBorders>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22" w:hRule="atLeast"/>
        </w:trPr>
        <w:tc>
          <w:tcPr>
            <w:tcW w:w="1084" w:type="dxa"/>
            <w:vAlign w:val="center"/>
          </w:tcPr>
          <w:p>
            <w:pPr>
              <w:snapToGrid w:val="0"/>
              <w:jc w:val="center"/>
              <w:rPr>
                <w:rFonts w:ascii="宋体" w:hAnsi="宋体" w:cs="宋体"/>
                <w:szCs w:val="21"/>
              </w:rPr>
            </w:pPr>
            <w:r>
              <w:rPr>
                <w:rFonts w:hint="eastAsia" w:ascii="宋体" w:hAnsi="宋体" w:cs="宋体"/>
                <w:szCs w:val="21"/>
              </w:rPr>
              <w:t>3.2</w:t>
            </w:r>
          </w:p>
        </w:tc>
        <w:tc>
          <w:tcPr>
            <w:tcW w:w="7635" w:type="dxa"/>
            <w:vAlign w:val="center"/>
          </w:tcPr>
          <w:p>
            <w:pPr>
              <w:snapToGrid w:val="0"/>
              <w:rPr>
                <w:rFonts w:ascii="宋体" w:hAnsi="宋体" w:cs="宋体"/>
                <w:szCs w:val="21"/>
              </w:rPr>
            </w:pPr>
            <w:r>
              <w:rPr>
                <w:rFonts w:hint="eastAsia" w:ascii="宋体" w:hAnsi="宋体" w:cs="宋体"/>
                <w:szCs w:val="21"/>
              </w:rPr>
              <w:t>井道内照明线路，电线管，插座，灯具及安装的所有费用应由中标方承担。</w:t>
            </w:r>
          </w:p>
        </w:tc>
        <w:tc>
          <w:tcPr>
            <w:tcW w:w="1720" w:type="dxa"/>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vAlign w:val="center"/>
          </w:tcPr>
          <w:p>
            <w:pPr>
              <w:snapToGrid w:val="0"/>
              <w:jc w:val="center"/>
              <w:rPr>
                <w:rFonts w:ascii="宋体" w:hAnsi="宋体" w:cs="宋体"/>
                <w:szCs w:val="21"/>
              </w:rPr>
            </w:pPr>
            <w:r>
              <w:rPr>
                <w:rFonts w:hint="eastAsia" w:ascii="宋体" w:hAnsi="宋体" w:cs="宋体"/>
                <w:szCs w:val="21"/>
              </w:rPr>
              <w:t>3.3</w:t>
            </w:r>
          </w:p>
        </w:tc>
        <w:tc>
          <w:tcPr>
            <w:tcW w:w="7635" w:type="dxa"/>
            <w:vAlign w:val="center"/>
          </w:tcPr>
          <w:p>
            <w:pPr>
              <w:snapToGrid w:val="0"/>
              <w:rPr>
                <w:rFonts w:ascii="宋体" w:hAnsi="宋体" w:cs="宋体"/>
                <w:szCs w:val="21"/>
              </w:rPr>
            </w:pPr>
            <w:r>
              <w:rPr>
                <w:rFonts w:hint="eastAsia" w:ascii="宋体" w:hAnsi="宋体" w:cs="宋体"/>
                <w:szCs w:val="21"/>
              </w:rPr>
              <w:t>底坑爬梯的所有费用由中标方承担。</w:t>
            </w:r>
          </w:p>
        </w:tc>
        <w:tc>
          <w:tcPr>
            <w:tcW w:w="1720" w:type="dxa"/>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2" w:hRule="atLeast"/>
        </w:trPr>
        <w:tc>
          <w:tcPr>
            <w:tcW w:w="1084" w:type="dxa"/>
            <w:vAlign w:val="center"/>
          </w:tcPr>
          <w:p>
            <w:pPr>
              <w:snapToGrid w:val="0"/>
              <w:jc w:val="center"/>
              <w:rPr>
                <w:rFonts w:ascii="宋体" w:hAnsi="宋体" w:cs="宋体"/>
                <w:szCs w:val="21"/>
              </w:rPr>
            </w:pPr>
            <w:r>
              <w:rPr>
                <w:rFonts w:hint="eastAsia" w:ascii="宋体" w:hAnsi="宋体" w:cs="宋体"/>
                <w:szCs w:val="21"/>
              </w:rPr>
              <w:t>3.4</w:t>
            </w:r>
          </w:p>
        </w:tc>
        <w:tc>
          <w:tcPr>
            <w:tcW w:w="7635" w:type="dxa"/>
            <w:vAlign w:val="center"/>
          </w:tcPr>
          <w:p>
            <w:pPr>
              <w:snapToGrid w:val="0"/>
              <w:rPr>
                <w:rFonts w:ascii="宋体" w:hAnsi="宋体" w:cs="宋体"/>
                <w:szCs w:val="21"/>
              </w:rPr>
            </w:pPr>
            <w:r>
              <w:rPr>
                <w:rFonts w:hint="eastAsia" w:ascii="宋体" w:hAnsi="宋体" w:cs="宋体"/>
                <w:szCs w:val="21"/>
              </w:rPr>
              <w:t>电梯安装（调试及验收前所有用电）临时电源线缆由中标方自理，脚手架钢管自理。</w:t>
            </w:r>
          </w:p>
        </w:tc>
        <w:tc>
          <w:tcPr>
            <w:tcW w:w="1720" w:type="dxa"/>
            <w:vAlign w:val="center"/>
          </w:tcPr>
          <w:p>
            <w:pPr>
              <w:widowControl/>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084" w:type="dxa"/>
            <w:vAlign w:val="center"/>
          </w:tcPr>
          <w:p>
            <w:pPr>
              <w:snapToGrid w:val="0"/>
              <w:jc w:val="center"/>
              <w:rPr>
                <w:rFonts w:ascii="宋体" w:hAnsi="宋体" w:cs="宋体"/>
                <w:szCs w:val="21"/>
              </w:rPr>
            </w:pPr>
            <w:r>
              <w:rPr>
                <w:rFonts w:hint="eastAsia" w:ascii="宋体" w:hAnsi="宋体" w:cs="宋体"/>
                <w:szCs w:val="21"/>
              </w:rPr>
              <w:t>3.5</w:t>
            </w:r>
          </w:p>
        </w:tc>
        <w:tc>
          <w:tcPr>
            <w:tcW w:w="7635" w:type="dxa"/>
            <w:vAlign w:val="center"/>
          </w:tcPr>
          <w:p>
            <w:pPr>
              <w:snapToGrid w:val="0"/>
              <w:rPr>
                <w:rFonts w:ascii="宋体" w:hAnsi="宋体" w:cs="宋体"/>
                <w:szCs w:val="21"/>
              </w:rPr>
            </w:pPr>
            <w:r>
              <w:rPr>
                <w:rFonts w:hint="eastAsia" w:ascii="宋体" w:hAnsi="宋体" w:cs="宋体"/>
                <w:szCs w:val="21"/>
              </w:rPr>
              <w:t>质保期：自电梯经当地特检院验收合格之日起30个月。</w:t>
            </w:r>
          </w:p>
        </w:tc>
        <w:tc>
          <w:tcPr>
            <w:tcW w:w="1720" w:type="dxa"/>
            <w:vAlign w:val="center"/>
          </w:tcPr>
          <w:p>
            <w:pPr>
              <w:widowControl/>
              <w:spacing w:line="360" w:lineRule="auto"/>
              <w:jc w:val="left"/>
              <w:rPr>
                <w:rFonts w:asciiTheme="minorEastAsia" w:hAnsiTheme="minorEastAsia" w:eastAsiaTheme="minorEastAsia"/>
                <w:szCs w:val="21"/>
              </w:rPr>
            </w:pPr>
          </w:p>
        </w:tc>
      </w:tr>
    </w:tbl>
    <w:p>
      <w:pPr>
        <w:rPr>
          <w:rFonts w:ascii="宋体" w:hAnsi="宋体"/>
          <w:szCs w:val="21"/>
        </w:rPr>
      </w:pPr>
      <w:r>
        <w:rPr>
          <w:rFonts w:hint="eastAsia" w:asciiTheme="minorEastAsia" w:hAnsiTheme="minorEastAsia" w:eastAsiaTheme="minorEastAsia" w:cstheme="minorEastAsia"/>
          <w:szCs w:val="21"/>
        </w:rPr>
        <w:t>本表内标有“▲”的指标为主要技术指标，对这些指标的任何偏离都将导致废标</w:t>
      </w:r>
      <w:r>
        <w:rPr>
          <w:rFonts w:ascii="宋体" w:hAnsi="宋体"/>
          <w:szCs w:val="21"/>
        </w:rPr>
        <w:t>。</w:t>
      </w:r>
    </w:p>
    <w:p>
      <w:pPr>
        <w:pStyle w:val="19"/>
        <w:spacing w:before="0" w:after="120" w:afterLines="50" w:line="360" w:lineRule="auto"/>
        <w:jc w:val="both"/>
        <w:outlineLvl w:val="9"/>
        <w:rPr>
          <w:rFonts w:ascii="仿宋" w:hAnsi="仿宋" w:eastAsia="仿宋" w:cs="仿宋"/>
          <w:sz w:val="24"/>
          <w:szCs w:val="24"/>
        </w:rPr>
      </w:pPr>
    </w:p>
    <w:p>
      <w:pP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br w:type="page"/>
      </w:r>
    </w:p>
    <w:p>
      <w:pPr>
        <w:snapToGrid w:val="0"/>
        <w:rPr>
          <w:rFonts w:ascii="宋体" w:hAnsi="宋体" w:cs="宋体"/>
          <w:b/>
          <w:bCs/>
          <w:sz w:val="24"/>
        </w:rPr>
      </w:pPr>
      <w:r>
        <w:rPr>
          <w:rFonts w:hint="eastAsia" w:ascii="宋体" w:hAnsi="宋体" w:cs="宋体"/>
          <w:b/>
          <w:bCs/>
          <w:sz w:val="24"/>
        </w:rPr>
        <w:t>四、商务要求</w:t>
      </w:r>
    </w:p>
    <w:tbl>
      <w:tblPr>
        <w:tblStyle w:val="24"/>
        <w:tblW w:w="9755"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939"/>
        <w:gridCol w:w="78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1" w:hRule="atLeast"/>
          <w:jc w:val="center"/>
        </w:trPr>
        <w:tc>
          <w:tcPr>
            <w:tcW w:w="1939" w:type="dxa"/>
            <w:tcBorders>
              <w:top w:val="single" w:color="auto" w:sz="4" w:space="0"/>
              <w:bottom w:val="single" w:color="auto" w:sz="4" w:space="0"/>
            </w:tcBorders>
            <w:vAlign w:val="center"/>
          </w:tcPr>
          <w:p>
            <w:pPr>
              <w:widowControl/>
              <w:spacing w:line="0" w:lineRule="atLeast"/>
              <w:jc w:val="center"/>
              <w:rPr>
                <w:rFonts w:ascii="宋体" w:hAnsi="宋体" w:cs="宋体"/>
                <w:szCs w:val="21"/>
              </w:rPr>
            </w:pPr>
            <w:r>
              <w:rPr>
                <w:rFonts w:ascii="宋体" w:hAnsi="宋体" w:cs="宋体"/>
                <w:szCs w:val="21"/>
              </w:rPr>
              <w:t>商务要求项目</w:t>
            </w:r>
          </w:p>
        </w:tc>
        <w:tc>
          <w:tcPr>
            <w:tcW w:w="7816" w:type="dxa"/>
            <w:tcBorders>
              <w:top w:val="single" w:color="auto" w:sz="4" w:space="0"/>
              <w:bottom w:val="single" w:color="auto" w:sz="4" w:space="0"/>
            </w:tcBorders>
            <w:vAlign w:val="center"/>
          </w:tcPr>
          <w:p>
            <w:pPr>
              <w:widowControl/>
              <w:spacing w:line="0" w:lineRule="atLeast"/>
              <w:jc w:val="center"/>
              <w:rPr>
                <w:rFonts w:ascii="宋体" w:hAnsi="宋体" w:cs="宋体"/>
                <w:szCs w:val="21"/>
              </w:rPr>
            </w:pPr>
            <w:r>
              <w:rPr>
                <w:rFonts w:ascii="宋体" w:hAnsi="宋体" w:cs="宋体"/>
                <w:szCs w:val="21"/>
              </w:rPr>
              <w:t>采购文件要求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1939" w:type="dxa"/>
            <w:tcBorders>
              <w:top w:val="single" w:color="auto" w:sz="4" w:space="0"/>
            </w:tcBorders>
            <w:vAlign w:val="center"/>
          </w:tcPr>
          <w:p>
            <w:pPr>
              <w:widowControl/>
              <w:spacing w:line="0" w:lineRule="atLeast"/>
              <w:jc w:val="center"/>
              <w:rPr>
                <w:rFonts w:ascii="宋体" w:hAnsi="宋体" w:cs="宋体"/>
                <w:szCs w:val="21"/>
              </w:rPr>
            </w:pPr>
            <w:r>
              <w:rPr>
                <w:rFonts w:ascii="宋体" w:hAnsi="宋体" w:cs="宋体"/>
                <w:szCs w:val="21"/>
              </w:rPr>
              <w:t>质保期</w:t>
            </w:r>
          </w:p>
        </w:tc>
        <w:tc>
          <w:tcPr>
            <w:tcW w:w="7816" w:type="dxa"/>
            <w:tcBorders>
              <w:top w:val="single" w:color="auto" w:sz="4" w:space="0"/>
            </w:tcBorders>
            <w:vAlign w:val="center"/>
          </w:tcPr>
          <w:p>
            <w:pPr>
              <w:snapToGrid w:val="0"/>
              <w:ind w:right="-108"/>
              <w:rPr>
                <w:rFonts w:ascii="宋体" w:hAnsi="宋体" w:cs="宋体"/>
                <w:szCs w:val="21"/>
              </w:rPr>
            </w:pPr>
            <w:r>
              <w:rPr>
                <w:rFonts w:hint="eastAsia" w:ascii="宋体" w:hAnsi="宋体" w:cs="宋体"/>
                <w:szCs w:val="21"/>
              </w:rPr>
              <w:t>电梯通过验收并完成移交之日起24</w:t>
            </w:r>
            <w:r>
              <w:rPr>
                <w:rFonts w:ascii="宋体" w:hAnsi="宋体" w:cs="宋体"/>
                <w:szCs w:val="21"/>
              </w:rPr>
              <w:t>个月</w:t>
            </w:r>
            <w:r>
              <w:rPr>
                <w:rFonts w:hint="eastAsia" w:ascii="宋体" w:hAnsi="宋体" w:cs="宋体"/>
                <w:szCs w:val="21"/>
              </w:rPr>
              <w:t>。</w:t>
            </w:r>
          </w:p>
          <w:p>
            <w:pPr>
              <w:snapToGrid w:val="0"/>
              <w:ind w:right="-108"/>
              <w:rPr>
                <w:rFonts w:ascii="宋体" w:hAnsi="宋体" w:cs="宋体"/>
                <w:szCs w:val="21"/>
              </w:rPr>
            </w:pPr>
            <w:r>
              <w:rPr>
                <w:rFonts w:ascii="宋体" w:hAnsi="宋体" w:cs="宋体"/>
                <w:szCs w:val="21"/>
              </w:rPr>
              <w:t>质保期内被免费更换的零部件质量保证：自更换之日起计</w:t>
            </w:r>
            <w:r>
              <w:rPr>
                <w:rFonts w:hint="eastAsia" w:ascii="宋体" w:hAnsi="宋体" w:cs="宋体"/>
                <w:szCs w:val="21"/>
              </w:rPr>
              <w:t>24</w:t>
            </w:r>
            <w:r>
              <w:rPr>
                <w:rFonts w:ascii="宋体" w:hAnsi="宋体" w:cs="宋体"/>
                <w:szCs w:val="21"/>
              </w:rPr>
              <w:t>个月</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1939" w:type="dxa"/>
            <w:tcBorders>
              <w:top w:val="single" w:color="auto" w:sz="4" w:space="0"/>
            </w:tcBorders>
            <w:vAlign w:val="center"/>
          </w:tcPr>
          <w:p>
            <w:pPr>
              <w:widowControl/>
              <w:spacing w:line="0" w:lineRule="atLeast"/>
              <w:jc w:val="center"/>
              <w:rPr>
                <w:rFonts w:ascii="宋体" w:hAnsi="宋体" w:cs="宋体"/>
                <w:szCs w:val="21"/>
              </w:rPr>
            </w:pPr>
            <w:r>
              <w:rPr>
                <w:rFonts w:ascii="宋体" w:hAnsi="宋体" w:cs="宋体"/>
                <w:szCs w:val="21"/>
              </w:rPr>
              <w:t>售后技术</w:t>
            </w:r>
          </w:p>
          <w:p>
            <w:pPr>
              <w:widowControl/>
              <w:spacing w:line="0" w:lineRule="atLeast"/>
              <w:jc w:val="center"/>
              <w:rPr>
                <w:rFonts w:ascii="宋体" w:hAnsi="宋体" w:cs="宋体"/>
                <w:szCs w:val="21"/>
              </w:rPr>
            </w:pPr>
            <w:r>
              <w:rPr>
                <w:rFonts w:ascii="宋体" w:hAnsi="宋体" w:cs="宋体"/>
                <w:szCs w:val="21"/>
              </w:rPr>
              <w:t>服务要求</w:t>
            </w:r>
          </w:p>
        </w:tc>
        <w:tc>
          <w:tcPr>
            <w:tcW w:w="7816" w:type="dxa"/>
            <w:tcBorders>
              <w:top w:val="single" w:color="auto" w:sz="4" w:space="0"/>
            </w:tcBorders>
            <w:vAlign w:val="center"/>
          </w:tcPr>
          <w:p>
            <w:pPr>
              <w:snapToGrid w:val="0"/>
              <w:rPr>
                <w:rFonts w:ascii="宋体" w:hAnsi="宋体" w:cs="宋体"/>
                <w:szCs w:val="21"/>
              </w:rPr>
            </w:pPr>
            <w:r>
              <w:rPr>
                <w:rFonts w:ascii="宋体" w:hAnsi="宋体" w:cs="宋体"/>
                <w:szCs w:val="21"/>
              </w:rPr>
              <w:t>接到要求提供服务的电话（或传真）后立即做出响应。</w:t>
            </w:r>
            <w:r>
              <w:rPr>
                <w:rFonts w:hint="eastAsia" w:ascii="宋体" w:hAnsi="宋体" w:cs="宋体"/>
                <w:szCs w:val="21"/>
              </w:rPr>
              <w:t>3</w:t>
            </w:r>
            <w:r>
              <w:rPr>
                <w:rFonts w:ascii="宋体" w:hAnsi="宋体" w:cs="宋体"/>
                <w:szCs w:val="21"/>
              </w:rPr>
              <w:t>0分钟内派出合格的服务人员到达业主设备使用现场。</w:t>
            </w:r>
            <w:r>
              <w:rPr>
                <w:rFonts w:hint="eastAsia" w:ascii="宋体" w:hAnsi="宋体" w:cs="宋体"/>
                <w:szCs w:val="21"/>
              </w:rPr>
              <w:t>一般故障4小时内修复，重大故障12小时内修复。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92" w:hRule="atLeast"/>
          <w:jc w:val="center"/>
        </w:trPr>
        <w:tc>
          <w:tcPr>
            <w:tcW w:w="1939" w:type="dxa"/>
            <w:vAlign w:val="center"/>
          </w:tcPr>
          <w:p>
            <w:pPr>
              <w:widowControl/>
              <w:spacing w:line="0" w:lineRule="atLeast"/>
              <w:ind w:left="-108" w:right="-120"/>
              <w:jc w:val="center"/>
              <w:rPr>
                <w:rFonts w:ascii="宋体" w:hAnsi="宋体" w:cs="宋体"/>
                <w:szCs w:val="21"/>
              </w:rPr>
            </w:pPr>
            <w:r>
              <w:rPr>
                <w:rFonts w:hint="eastAsia" w:ascii="宋体" w:hAnsi="宋体" w:cs="宋体"/>
                <w:szCs w:val="21"/>
              </w:rPr>
              <w:t>工期</w:t>
            </w:r>
            <w:r>
              <w:rPr>
                <w:rFonts w:ascii="宋体" w:hAnsi="宋体" w:cs="宋体"/>
                <w:szCs w:val="21"/>
              </w:rPr>
              <w:t>及地点</w:t>
            </w:r>
          </w:p>
        </w:tc>
        <w:tc>
          <w:tcPr>
            <w:tcW w:w="7816" w:type="dxa"/>
            <w:vAlign w:val="center"/>
          </w:tcPr>
          <w:p>
            <w:pPr>
              <w:widowControl/>
              <w:spacing w:line="0" w:lineRule="atLeast"/>
              <w:ind w:left="-108" w:right="-120"/>
              <w:jc w:val="left"/>
              <w:rPr>
                <w:rFonts w:ascii="宋体" w:hAnsi="宋体" w:cs="宋体"/>
                <w:szCs w:val="21"/>
              </w:rPr>
            </w:pPr>
            <w:r>
              <w:rPr>
                <w:rFonts w:hint="eastAsia" w:ascii="宋体" w:hAnsi="宋体" w:cs="宋体"/>
                <w:szCs w:val="21"/>
              </w:rPr>
              <w:t>（1）设备交货期：90日历天内交货（招标人需提前通知中标人，中标人根据招标人发出的书面通知为准）；</w:t>
            </w:r>
          </w:p>
          <w:p>
            <w:pPr>
              <w:widowControl/>
              <w:spacing w:line="0" w:lineRule="atLeast"/>
              <w:ind w:left="-108" w:right="-120"/>
              <w:jc w:val="left"/>
              <w:rPr>
                <w:rFonts w:ascii="宋体" w:hAnsi="宋体" w:cs="宋体"/>
                <w:szCs w:val="21"/>
              </w:rPr>
            </w:pPr>
            <w:r>
              <w:rPr>
                <w:rFonts w:hint="eastAsia" w:ascii="宋体" w:hAnsi="宋体" w:cs="宋体"/>
                <w:szCs w:val="21"/>
              </w:rPr>
              <w:t>（2）安装施工期：必须满足与招标人总体工程进度同步。设备进场安装的开始时间以招标人具体书面通知为准。</w:t>
            </w:r>
          </w:p>
          <w:p>
            <w:pPr>
              <w:widowControl/>
              <w:spacing w:line="0" w:lineRule="atLeast"/>
              <w:ind w:left="-108" w:right="-120"/>
              <w:jc w:val="left"/>
              <w:rPr>
                <w:rFonts w:ascii="宋体" w:hAnsi="宋体" w:cs="宋体"/>
                <w:szCs w:val="21"/>
              </w:rPr>
            </w:pPr>
            <w:r>
              <w:rPr>
                <w:rFonts w:hint="eastAsia" w:ascii="宋体" w:hAnsi="宋体" w:cs="宋体"/>
                <w:szCs w:val="21"/>
              </w:rPr>
              <w:t>（3）安装调试完毕后30日历天内通过宁波市特种设备检验研究院验收并取得相关证书。</w:t>
            </w:r>
          </w:p>
          <w:p>
            <w:pPr>
              <w:widowControl/>
              <w:spacing w:line="0" w:lineRule="atLeast"/>
              <w:ind w:left="-108" w:right="-120"/>
              <w:jc w:val="left"/>
              <w:rPr>
                <w:rFonts w:ascii="宋体" w:hAnsi="宋体" w:cs="宋体"/>
                <w:szCs w:val="21"/>
              </w:rPr>
            </w:pPr>
            <w:r>
              <w:rPr>
                <w:rFonts w:ascii="宋体" w:hAnsi="宋体" w:cs="宋体"/>
                <w:szCs w:val="21"/>
              </w:rPr>
              <w:t>地点：</w:t>
            </w:r>
            <w:r>
              <w:rPr>
                <w:rFonts w:hint="eastAsia" w:ascii="宋体" w:hAnsi="宋体" w:cs="宋体"/>
                <w:szCs w:val="21"/>
              </w:rPr>
              <w:t>业主指定地点。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65" w:hRule="atLeast"/>
          <w:jc w:val="center"/>
        </w:trPr>
        <w:tc>
          <w:tcPr>
            <w:tcW w:w="1939" w:type="dxa"/>
            <w:vAlign w:val="center"/>
          </w:tcPr>
          <w:p>
            <w:pPr>
              <w:widowControl/>
              <w:spacing w:line="0" w:lineRule="atLeast"/>
              <w:ind w:left="-108" w:right="-120"/>
              <w:jc w:val="center"/>
              <w:rPr>
                <w:rFonts w:ascii="宋体" w:hAnsi="宋体" w:cs="宋体"/>
                <w:szCs w:val="21"/>
              </w:rPr>
            </w:pPr>
            <w:r>
              <w:rPr>
                <w:rFonts w:hint="eastAsia" w:ascii="宋体" w:hAnsi="宋体" w:cs="宋体"/>
                <w:szCs w:val="21"/>
              </w:rPr>
              <w:t>履约担保</w:t>
            </w:r>
          </w:p>
        </w:tc>
        <w:tc>
          <w:tcPr>
            <w:tcW w:w="7816" w:type="dxa"/>
            <w:vAlign w:val="center"/>
          </w:tcPr>
          <w:p>
            <w:pPr>
              <w:widowControl/>
              <w:spacing w:line="0" w:lineRule="atLeast"/>
              <w:ind w:left="-108" w:right="-120"/>
              <w:jc w:val="left"/>
              <w:rPr>
                <w:rFonts w:ascii="宋体" w:hAnsi="宋体" w:cs="宋体"/>
                <w:szCs w:val="21"/>
              </w:rPr>
            </w:pPr>
            <w:r>
              <w:rPr>
                <w:rFonts w:hint="eastAsia" w:ascii="宋体" w:hAnsi="宋体" w:cs="宋体"/>
                <w:szCs w:val="21"/>
              </w:rPr>
              <w:t>履约担保</w:t>
            </w:r>
            <w:r>
              <w:rPr>
                <w:rFonts w:ascii="宋体" w:hAnsi="宋体" w:cs="宋体"/>
                <w:szCs w:val="21"/>
              </w:rPr>
              <w:t>形式：</w:t>
            </w:r>
            <w:r>
              <w:rPr>
                <w:rFonts w:hint="eastAsia" w:ascii="宋体" w:hAnsi="宋体" w:cs="宋体"/>
                <w:szCs w:val="21"/>
              </w:rPr>
              <w:t>电汇、银行保函、保险公司保函。</w:t>
            </w:r>
          </w:p>
          <w:p>
            <w:pPr>
              <w:widowControl/>
              <w:spacing w:line="0" w:lineRule="atLeast"/>
              <w:ind w:left="-108" w:right="-120"/>
              <w:jc w:val="left"/>
              <w:rPr>
                <w:rFonts w:ascii="宋体" w:hAnsi="宋体" w:cs="宋体"/>
                <w:szCs w:val="21"/>
              </w:rPr>
            </w:pPr>
            <w:r>
              <w:rPr>
                <w:rFonts w:hint="eastAsia" w:ascii="宋体" w:hAnsi="宋体" w:cs="宋体"/>
                <w:szCs w:val="21"/>
              </w:rPr>
              <w:t>履约担保</w:t>
            </w:r>
            <w:r>
              <w:rPr>
                <w:rFonts w:ascii="宋体" w:hAnsi="宋体" w:cs="宋体"/>
                <w:szCs w:val="21"/>
              </w:rPr>
              <w:t>的收取及退还：</w:t>
            </w:r>
            <w:r>
              <w:rPr>
                <w:rFonts w:hint="eastAsia" w:ascii="宋体" w:hAnsi="宋体" w:cs="宋体"/>
                <w:szCs w:val="21"/>
              </w:rPr>
              <w:t>按合同总金额的2.5%计收</w:t>
            </w:r>
            <w:r>
              <w:rPr>
                <w:rFonts w:ascii="宋体" w:hAnsi="宋体" w:cs="宋体"/>
                <w:szCs w:val="21"/>
              </w:rPr>
              <w:t>，合同履行完毕（验收合格并交付使用）后5日内无息退还。</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4" w:hRule="atLeast"/>
          <w:jc w:val="center"/>
        </w:trPr>
        <w:tc>
          <w:tcPr>
            <w:tcW w:w="1939" w:type="dxa"/>
            <w:vAlign w:val="center"/>
          </w:tcPr>
          <w:p>
            <w:pPr>
              <w:widowControl/>
              <w:spacing w:line="0" w:lineRule="atLeast"/>
              <w:jc w:val="center"/>
              <w:rPr>
                <w:rFonts w:ascii="宋体" w:hAnsi="宋体" w:cs="宋体"/>
                <w:szCs w:val="21"/>
              </w:rPr>
            </w:pPr>
            <w:r>
              <w:rPr>
                <w:rFonts w:ascii="宋体" w:hAnsi="宋体" w:cs="宋体"/>
                <w:szCs w:val="21"/>
              </w:rPr>
              <w:t>付款条件</w:t>
            </w:r>
          </w:p>
        </w:tc>
        <w:tc>
          <w:tcPr>
            <w:tcW w:w="7816" w:type="dxa"/>
            <w:vAlign w:val="center"/>
          </w:tcPr>
          <w:p>
            <w:pPr>
              <w:widowControl/>
              <w:spacing w:line="0" w:lineRule="atLeast"/>
              <w:ind w:left="-108" w:right="-120"/>
              <w:jc w:val="left"/>
              <w:rPr>
                <w:rFonts w:ascii="宋体" w:hAnsi="宋体" w:cs="宋体"/>
                <w:szCs w:val="21"/>
              </w:rPr>
            </w:pPr>
            <w:r>
              <w:rPr>
                <w:rFonts w:hint="eastAsia" w:ascii="宋体" w:hAnsi="宋体" w:cs="宋体"/>
                <w:szCs w:val="21"/>
              </w:rPr>
              <w:t>（1）合同签订后10日内甲方向乙方支付合同价的20%，乙方货物到场后10日内支付该批次货款的40%（甲方有权参观乙方商品制造的进度）；全部安装完毕验收合格后10日内支付至合同价的80%；审计完成后10日内支付至审定价的95%，余款在质保期满后付清。</w:t>
            </w:r>
          </w:p>
          <w:p>
            <w:pPr>
              <w:widowControl/>
              <w:spacing w:line="0" w:lineRule="atLeast"/>
              <w:ind w:left="-108" w:right="-120"/>
              <w:jc w:val="left"/>
              <w:rPr>
                <w:rFonts w:hint="eastAsia" w:ascii="宋体" w:hAnsi="宋体" w:cs="宋体"/>
                <w:szCs w:val="21"/>
              </w:rPr>
            </w:pPr>
            <w:r>
              <w:rPr>
                <w:rFonts w:hint="eastAsia" w:ascii="宋体" w:hAnsi="宋体" w:cs="宋体"/>
                <w:szCs w:val="21"/>
              </w:rPr>
              <w:t>（2）中标人应向采购人提供真实、合法、有效的增值税专用发票，若中标人未提供，则采购人可以延迟支付相关款项，且不存在违约责任，若由此引起的经济纠纷由中标人负责。</w:t>
            </w:r>
          </w:p>
          <w:p>
            <w:pPr>
              <w:widowControl/>
              <w:spacing w:line="0" w:lineRule="atLeast"/>
              <w:ind w:left="-108" w:right="-120"/>
              <w:jc w:val="left"/>
              <w:rPr>
                <w:rFonts w:hint="default" w:ascii="宋体" w:hAnsi="宋体" w:eastAsia="宋体" w:cs="宋体"/>
                <w:szCs w:val="21"/>
                <w:lang w:val="en-US" w:eastAsia="zh-CN"/>
              </w:rPr>
            </w:pPr>
            <w:r>
              <w:rPr>
                <w:rFonts w:hint="eastAsia" w:ascii="宋体" w:hAnsi="宋体" w:cs="宋体"/>
                <w:szCs w:val="21"/>
                <w:lang w:val="en-US" w:eastAsia="zh-CN"/>
              </w:rPr>
              <w:t>注：合同价款由</w:t>
            </w:r>
            <w:r>
              <w:rPr>
                <w:rFonts w:hint="eastAsia" w:ascii="宋体" w:hAnsi="宋体" w:cs="宋体"/>
                <w:szCs w:val="21"/>
              </w:rPr>
              <w:t>宁波林丰建设有限公司</w:t>
            </w:r>
            <w:r>
              <w:rPr>
                <w:rFonts w:hint="eastAsia" w:ascii="宋体" w:hAnsi="宋体" w:cs="宋体"/>
                <w:szCs w:val="21"/>
                <w:lang w:val="en-US" w:eastAsia="zh-CN"/>
              </w:rPr>
              <w:t>进行支付。</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46" w:hRule="atLeast"/>
          <w:jc w:val="center"/>
        </w:trPr>
        <w:tc>
          <w:tcPr>
            <w:tcW w:w="1939" w:type="dxa"/>
            <w:vAlign w:val="center"/>
          </w:tcPr>
          <w:p>
            <w:pPr>
              <w:widowControl/>
              <w:spacing w:line="0" w:lineRule="atLeast"/>
              <w:jc w:val="center"/>
              <w:rPr>
                <w:rFonts w:ascii="宋体" w:hAnsi="宋体" w:cs="宋体"/>
                <w:szCs w:val="21"/>
              </w:rPr>
            </w:pPr>
            <w:r>
              <w:rPr>
                <w:rFonts w:ascii="宋体" w:hAnsi="宋体" w:cs="宋体"/>
                <w:szCs w:val="21"/>
              </w:rPr>
              <w:t>报价组成</w:t>
            </w:r>
          </w:p>
        </w:tc>
        <w:tc>
          <w:tcPr>
            <w:tcW w:w="7816" w:type="dxa"/>
            <w:vAlign w:val="center"/>
          </w:tcPr>
          <w:p>
            <w:pPr>
              <w:snapToGrid w:val="0"/>
              <w:rPr>
                <w:rFonts w:ascii="宋体" w:hAnsi="宋体" w:cs="宋体"/>
                <w:szCs w:val="21"/>
              </w:rPr>
            </w:pPr>
            <w:r>
              <w:rPr>
                <w:rFonts w:hint="eastAsia" w:ascii="宋体" w:hAnsi="宋体" w:cs="宋体"/>
                <w:szCs w:val="21"/>
              </w:rPr>
              <w:t>（1）应包括经宁波市特种设备检验研究院验收合格投入运行并交付业主使用前所发生的一切费用[如设备费、设备安装费、装修使用阶段轿厢内的保护费、电梯安装及调试验收阶段的自备电缆费、电梯配备具有运行参数采集和网络远程传输功能的监测装置并实现利用物联网等技术手段对电梯进行故障监测分析和应急救援功能的费用（并且接入宁波市市场监督管理局相关大平台）、设备到场运输费、保险费、到货后领取、清点、储存、保管、起吊、定位、脚手架搭建、井道照明、底坑钢爬梯、安全保护、现场清理、总包配合费（中标价的1.5％）、招标服务费、税金、工地现场发生的其他费用、终验收、培训及包括质保期内的维保、年检等所发生的一切费用]。（总包配合内容包括水电费、垂直运输、配合城建档案归档、必要的土建配合（如填塞浇筑）、场地内机械设备、货物堆放场地等。具体事宜中标单位需与总包单位协商确定。）</w:t>
            </w:r>
          </w:p>
          <w:p>
            <w:pPr>
              <w:snapToGrid w:val="0"/>
              <w:rPr>
                <w:rFonts w:ascii="宋体" w:hAnsi="宋体" w:cs="宋体"/>
                <w:szCs w:val="21"/>
              </w:rPr>
            </w:pPr>
            <w:r>
              <w:rPr>
                <w:rFonts w:hint="eastAsia" w:ascii="宋体" w:hAnsi="宋体" w:cs="宋体"/>
                <w:szCs w:val="21"/>
              </w:rPr>
              <w:t>（2）投标人须提供保证货物在验收合格后保修期内正常使用所必需的辅助材料、人员服务费用和检查、维护、保养费用等，其价格含在总价中。</w:t>
            </w:r>
          </w:p>
          <w:p>
            <w:pPr>
              <w:snapToGrid w:val="0"/>
              <w:rPr>
                <w:rFonts w:ascii="宋体" w:hAnsi="宋体" w:cs="宋体"/>
                <w:szCs w:val="21"/>
              </w:rPr>
            </w:pPr>
            <w:r>
              <w:rPr>
                <w:rFonts w:hint="eastAsia" w:ascii="宋体" w:hAnsi="宋体" w:cs="宋体"/>
                <w:szCs w:val="21"/>
              </w:rPr>
              <w:t>（3）中标人应考虑交货期间内材料等价格上涨因素，中标后的价格将不予调整。</w:t>
            </w:r>
          </w:p>
        </w:tc>
      </w:tr>
    </w:tbl>
    <w:p>
      <w:pP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br w:type="page"/>
      </w:r>
    </w:p>
    <w:p>
      <w:pPr>
        <w:snapToGrid w:val="0"/>
        <w:spacing w:line="360" w:lineRule="auto"/>
        <w:jc w:val="center"/>
        <w:rPr>
          <w:rFonts w:cs="仿宋" w:asciiTheme="majorEastAsia" w:hAnsiTheme="majorEastAsia" w:eastAsiaTheme="majorEastAsia"/>
          <w:b/>
          <w:sz w:val="32"/>
          <w:szCs w:val="20"/>
        </w:rPr>
      </w:pPr>
      <w:r>
        <w:rPr>
          <w:rFonts w:hint="eastAsia" w:cs="仿宋" w:asciiTheme="majorEastAsia" w:hAnsiTheme="majorEastAsia" w:eastAsiaTheme="majorEastAsia"/>
          <w:b/>
          <w:sz w:val="36"/>
          <w:szCs w:val="36"/>
        </w:rPr>
        <w:t xml:space="preserve">第四部分   </w:t>
      </w:r>
      <w:bookmarkStart w:id="36" w:name="_Toc184313289"/>
      <w:bookmarkEnd w:id="36"/>
      <w:bookmarkStart w:id="37" w:name="_Toc184312121"/>
      <w:bookmarkEnd w:id="37"/>
      <w:bookmarkStart w:id="38" w:name="_Toc184310273"/>
      <w:bookmarkEnd w:id="38"/>
      <w:bookmarkStart w:id="39" w:name="_Toc184310306"/>
      <w:bookmarkEnd w:id="39"/>
      <w:bookmarkStart w:id="40" w:name="_Toc184310343"/>
      <w:bookmarkEnd w:id="40"/>
      <w:bookmarkStart w:id="41" w:name="_Toc184308044"/>
      <w:bookmarkEnd w:id="41"/>
      <w:bookmarkStart w:id="42" w:name="_Toc184308057"/>
      <w:bookmarkEnd w:id="42"/>
      <w:bookmarkStart w:id="43" w:name="_Toc184310322"/>
      <w:bookmarkEnd w:id="43"/>
      <w:bookmarkStart w:id="44" w:name="_Toc184310272"/>
      <w:bookmarkEnd w:id="44"/>
      <w:bookmarkStart w:id="45" w:name="_Toc184312089"/>
      <w:bookmarkEnd w:id="45"/>
      <w:bookmarkStart w:id="46" w:name="_Toc184308105"/>
      <w:bookmarkEnd w:id="46"/>
      <w:bookmarkStart w:id="47" w:name="_Toc184308060"/>
      <w:bookmarkEnd w:id="47"/>
      <w:bookmarkStart w:id="48" w:name="_Toc184310275"/>
      <w:bookmarkEnd w:id="48"/>
      <w:bookmarkStart w:id="49" w:name="_Toc184308099"/>
      <w:bookmarkEnd w:id="49"/>
      <w:bookmarkStart w:id="50" w:name="_Toc184310293"/>
      <w:bookmarkEnd w:id="50"/>
      <w:bookmarkStart w:id="51" w:name="_Toc184308051"/>
      <w:bookmarkEnd w:id="51"/>
      <w:bookmarkStart w:id="52" w:name="_Toc184310329"/>
      <w:bookmarkEnd w:id="52"/>
      <w:bookmarkStart w:id="53" w:name="_Toc184313298"/>
      <w:bookmarkEnd w:id="53"/>
      <w:bookmarkStart w:id="54" w:name="_Toc184308064"/>
      <w:bookmarkEnd w:id="54"/>
      <w:bookmarkStart w:id="55" w:name="_Toc184313245"/>
      <w:bookmarkEnd w:id="55"/>
      <w:bookmarkStart w:id="56" w:name="_Toc184313293"/>
      <w:bookmarkEnd w:id="56"/>
      <w:bookmarkStart w:id="57" w:name="_Toc184312135"/>
      <w:bookmarkEnd w:id="57"/>
      <w:bookmarkStart w:id="58" w:name="_Toc184314417"/>
      <w:bookmarkEnd w:id="58"/>
      <w:bookmarkStart w:id="59" w:name="_Toc184308065"/>
      <w:bookmarkEnd w:id="59"/>
      <w:bookmarkStart w:id="60" w:name="_Toc184314447"/>
      <w:bookmarkEnd w:id="60"/>
      <w:bookmarkStart w:id="61" w:name="_Toc184308050"/>
      <w:bookmarkEnd w:id="61"/>
      <w:bookmarkStart w:id="62" w:name="_Toc184314434"/>
      <w:bookmarkEnd w:id="62"/>
      <w:bookmarkStart w:id="63" w:name="_Toc184312136"/>
      <w:bookmarkEnd w:id="63"/>
      <w:bookmarkStart w:id="64" w:name="_Toc184314450"/>
      <w:bookmarkEnd w:id="64"/>
      <w:bookmarkStart w:id="65" w:name="_Toc184313278"/>
      <w:bookmarkEnd w:id="65"/>
      <w:bookmarkStart w:id="66" w:name="_Toc184310286"/>
      <w:bookmarkEnd w:id="66"/>
      <w:bookmarkStart w:id="67" w:name="_Toc184314435"/>
      <w:bookmarkEnd w:id="67"/>
      <w:bookmarkStart w:id="68" w:name="_Toc184310336"/>
      <w:bookmarkEnd w:id="68"/>
      <w:bookmarkStart w:id="69" w:name="_Toc184313277"/>
      <w:bookmarkEnd w:id="69"/>
      <w:bookmarkStart w:id="70" w:name="_Toc184313252"/>
      <w:bookmarkEnd w:id="70"/>
      <w:bookmarkStart w:id="71" w:name="_Toc184312079"/>
      <w:bookmarkEnd w:id="71"/>
      <w:bookmarkStart w:id="72" w:name="_Toc184313244"/>
      <w:bookmarkEnd w:id="72"/>
      <w:bookmarkStart w:id="73" w:name="_Toc184314423"/>
      <w:bookmarkEnd w:id="73"/>
      <w:bookmarkStart w:id="74" w:name="_Toc184312127"/>
      <w:bookmarkEnd w:id="74"/>
      <w:bookmarkStart w:id="75" w:name="_Toc184308074"/>
      <w:bookmarkEnd w:id="75"/>
      <w:bookmarkStart w:id="76" w:name="_Toc184312111"/>
      <w:bookmarkEnd w:id="76"/>
      <w:bookmarkStart w:id="77" w:name="_Toc184312130"/>
      <w:bookmarkEnd w:id="77"/>
      <w:bookmarkStart w:id="78" w:name="_Toc184310283"/>
      <w:bookmarkEnd w:id="78"/>
      <w:bookmarkStart w:id="79" w:name="_Toc184310301"/>
      <w:bookmarkEnd w:id="79"/>
      <w:bookmarkStart w:id="80" w:name="_Toc184312072"/>
      <w:bookmarkEnd w:id="80"/>
      <w:bookmarkStart w:id="81" w:name="_Toc184312122"/>
      <w:bookmarkEnd w:id="81"/>
      <w:bookmarkStart w:id="82" w:name="_Toc184308098"/>
      <w:bookmarkEnd w:id="82"/>
      <w:bookmarkStart w:id="83" w:name="_Toc184313261"/>
      <w:bookmarkEnd w:id="83"/>
      <w:bookmarkStart w:id="84" w:name="_Toc184310292"/>
      <w:bookmarkEnd w:id="84"/>
      <w:bookmarkStart w:id="85" w:name="_Toc184308107"/>
      <w:bookmarkEnd w:id="85"/>
      <w:bookmarkStart w:id="86" w:name="_Toc184314457"/>
      <w:bookmarkEnd w:id="86"/>
      <w:bookmarkStart w:id="87" w:name="_Toc184310340"/>
      <w:bookmarkEnd w:id="87"/>
      <w:bookmarkStart w:id="88" w:name="_Toc184308085"/>
      <w:bookmarkEnd w:id="88"/>
      <w:bookmarkStart w:id="89" w:name="_Toc184313248"/>
      <w:bookmarkEnd w:id="89"/>
      <w:bookmarkStart w:id="90" w:name="_Toc184308088"/>
      <w:bookmarkEnd w:id="90"/>
      <w:bookmarkStart w:id="91" w:name="_Toc184314437"/>
      <w:bookmarkEnd w:id="91"/>
      <w:bookmarkStart w:id="92" w:name="_Toc184313306"/>
      <w:bookmarkEnd w:id="92"/>
      <w:bookmarkStart w:id="93" w:name="_Toc184314482"/>
      <w:bookmarkEnd w:id="93"/>
      <w:bookmarkStart w:id="94" w:name="_Toc184308046"/>
      <w:bookmarkEnd w:id="94"/>
      <w:bookmarkStart w:id="95" w:name="_Toc184314478"/>
      <w:bookmarkEnd w:id="95"/>
      <w:bookmarkStart w:id="96" w:name="_Toc184312097"/>
      <w:bookmarkEnd w:id="96"/>
      <w:bookmarkStart w:id="97" w:name="_Toc184310319"/>
      <w:bookmarkEnd w:id="97"/>
      <w:bookmarkStart w:id="98" w:name="_Toc184310318"/>
      <w:bookmarkEnd w:id="98"/>
      <w:bookmarkStart w:id="99" w:name="_Toc184314412"/>
      <w:bookmarkEnd w:id="99"/>
      <w:bookmarkStart w:id="100" w:name="_Toc184308049"/>
      <w:bookmarkEnd w:id="100"/>
      <w:bookmarkStart w:id="101" w:name="_Toc184310298"/>
      <w:bookmarkEnd w:id="101"/>
      <w:bookmarkStart w:id="102" w:name="_Toc184310304"/>
      <w:bookmarkEnd w:id="102"/>
      <w:bookmarkStart w:id="103" w:name="_Toc184312068"/>
      <w:bookmarkEnd w:id="103"/>
      <w:bookmarkStart w:id="104" w:name="_Toc184313281"/>
      <w:bookmarkEnd w:id="104"/>
      <w:bookmarkStart w:id="105" w:name="_Toc184314444"/>
      <w:bookmarkEnd w:id="105"/>
      <w:bookmarkStart w:id="106" w:name="_Toc184312096"/>
      <w:bookmarkEnd w:id="106"/>
      <w:bookmarkStart w:id="107" w:name="_Toc184314418"/>
      <w:bookmarkEnd w:id="107"/>
      <w:bookmarkStart w:id="108" w:name="_Toc184312090"/>
      <w:bookmarkEnd w:id="108"/>
      <w:bookmarkStart w:id="109" w:name="_Toc184313262"/>
      <w:bookmarkEnd w:id="109"/>
      <w:bookmarkStart w:id="110" w:name="_Toc184313239"/>
      <w:bookmarkEnd w:id="110"/>
      <w:bookmarkStart w:id="111" w:name="_Toc184312115"/>
      <w:bookmarkEnd w:id="111"/>
      <w:bookmarkStart w:id="112" w:name="_Toc184313272"/>
      <w:bookmarkEnd w:id="112"/>
      <w:bookmarkStart w:id="113" w:name="_Toc184308100"/>
      <w:bookmarkEnd w:id="113"/>
      <w:bookmarkStart w:id="114" w:name="_Toc184310289"/>
      <w:bookmarkEnd w:id="114"/>
      <w:bookmarkStart w:id="115" w:name="_Toc184313264"/>
      <w:bookmarkEnd w:id="115"/>
      <w:bookmarkStart w:id="116" w:name="_Toc184313282"/>
      <w:bookmarkEnd w:id="116"/>
      <w:bookmarkStart w:id="117" w:name="_Toc184314425"/>
      <w:bookmarkEnd w:id="117"/>
      <w:bookmarkStart w:id="118" w:name="_Toc184314427"/>
      <w:bookmarkEnd w:id="118"/>
      <w:bookmarkStart w:id="119" w:name="_Toc184308078"/>
      <w:bookmarkEnd w:id="119"/>
      <w:bookmarkStart w:id="120" w:name="_Toc184312082"/>
      <w:bookmarkEnd w:id="120"/>
      <w:bookmarkStart w:id="121" w:name="_Toc184308069"/>
      <w:bookmarkEnd w:id="121"/>
      <w:bookmarkStart w:id="122" w:name="_Toc184314446"/>
      <w:bookmarkEnd w:id="122"/>
      <w:bookmarkStart w:id="123" w:name="_Toc184314460"/>
      <w:bookmarkEnd w:id="123"/>
      <w:bookmarkStart w:id="124" w:name="_Toc184312129"/>
      <w:bookmarkEnd w:id="124"/>
      <w:bookmarkStart w:id="125" w:name="_Toc184313291"/>
      <w:bookmarkEnd w:id="125"/>
      <w:bookmarkStart w:id="126" w:name="_Toc184314464"/>
      <w:bookmarkEnd w:id="126"/>
      <w:bookmarkStart w:id="127" w:name="_Toc184308058"/>
      <w:bookmarkEnd w:id="127"/>
      <w:bookmarkStart w:id="128" w:name="_Toc184312075"/>
      <w:bookmarkEnd w:id="128"/>
      <w:bookmarkStart w:id="129" w:name="_Toc184313285"/>
      <w:bookmarkEnd w:id="129"/>
      <w:bookmarkStart w:id="130" w:name="_Toc184314416"/>
      <w:bookmarkEnd w:id="130"/>
      <w:bookmarkStart w:id="131" w:name="_Toc184314472"/>
      <w:bookmarkEnd w:id="131"/>
      <w:bookmarkStart w:id="132" w:name="_Toc184308073"/>
      <w:bookmarkEnd w:id="132"/>
      <w:bookmarkStart w:id="133" w:name="_Toc184313240"/>
      <w:bookmarkEnd w:id="133"/>
      <w:bookmarkStart w:id="134" w:name="_Toc184308067"/>
      <w:bookmarkEnd w:id="134"/>
      <w:bookmarkStart w:id="135" w:name="_Toc184310294"/>
      <w:bookmarkEnd w:id="135"/>
      <w:bookmarkStart w:id="136" w:name="_Toc184312110"/>
      <w:bookmarkEnd w:id="136"/>
      <w:bookmarkStart w:id="137" w:name="_Toc184314438"/>
      <w:bookmarkEnd w:id="137"/>
      <w:bookmarkStart w:id="138" w:name="_Toc184312138"/>
      <w:bookmarkEnd w:id="138"/>
      <w:bookmarkStart w:id="139" w:name="_Toc184314465"/>
      <w:bookmarkEnd w:id="139"/>
      <w:bookmarkStart w:id="140" w:name="_Toc184313292"/>
      <w:bookmarkEnd w:id="140"/>
      <w:bookmarkStart w:id="141" w:name="_Toc184310331"/>
      <w:bookmarkEnd w:id="141"/>
      <w:bookmarkStart w:id="142" w:name="_Toc184312128"/>
      <w:bookmarkEnd w:id="142"/>
      <w:bookmarkStart w:id="143" w:name="_Toc184312073"/>
      <w:bookmarkEnd w:id="143"/>
      <w:bookmarkStart w:id="144" w:name="_Toc184312106"/>
      <w:bookmarkEnd w:id="144"/>
      <w:bookmarkStart w:id="145" w:name="_Toc184308087"/>
      <w:bookmarkEnd w:id="145"/>
      <w:bookmarkStart w:id="146" w:name="_Toc184312134"/>
      <w:bookmarkEnd w:id="146"/>
      <w:bookmarkStart w:id="147" w:name="_Toc184310317"/>
      <w:bookmarkEnd w:id="147"/>
      <w:bookmarkStart w:id="148" w:name="_Toc184312116"/>
      <w:bookmarkEnd w:id="148"/>
      <w:bookmarkStart w:id="149" w:name="_Toc184310296"/>
      <w:bookmarkEnd w:id="149"/>
      <w:bookmarkStart w:id="150" w:name="_Toc184313302"/>
      <w:bookmarkEnd w:id="150"/>
      <w:bookmarkStart w:id="151" w:name="_Toc184314411"/>
      <w:bookmarkEnd w:id="151"/>
      <w:bookmarkStart w:id="152" w:name="_Toc184308108"/>
      <w:bookmarkEnd w:id="152"/>
      <w:bookmarkStart w:id="153" w:name="_Toc184308052"/>
      <w:bookmarkEnd w:id="153"/>
      <w:bookmarkStart w:id="154" w:name="_Toc184310282"/>
      <w:bookmarkEnd w:id="154"/>
      <w:bookmarkStart w:id="155" w:name="_Toc184314467"/>
      <w:bookmarkEnd w:id="155"/>
      <w:bookmarkStart w:id="156" w:name="_Toc184312099"/>
      <w:bookmarkEnd w:id="156"/>
      <w:bookmarkStart w:id="157" w:name="_Toc184312137"/>
      <w:bookmarkEnd w:id="157"/>
      <w:bookmarkStart w:id="158" w:name="_Toc184308062"/>
      <w:bookmarkEnd w:id="158"/>
      <w:bookmarkStart w:id="159" w:name="_Toc184312088"/>
      <w:bookmarkEnd w:id="159"/>
      <w:bookmarkStart w:id="160" w:name="_Toc184313308"/>
      <w:bookmarkEnd w:id="160"/>
      <w:bookmarkStart w:id="161" w:name="_Toc184308086"/>
      <w:bookmarkEnd w:id="161"/>
      <w:bookmarkStart w:id="162" w:name="_Toc184312086"/>
      <w:bookmarkEnd w:id="162"/>
      <w:bookmarkStart w:id="163" w:name="_Toc184313280"/>
      <w:bookmarkEnd w:id="163"/>
      <w:bookmarkStart w:id="164" w:name="_Toc184313249"/>
      <w:bookmarkEnd w:id="164"/>
      <w:bookmarkStart w:id="165" w:name="_Toc184308059"/>
      <w:bookmarkEnd w:id="165"/>
      <w:bookmarkStart w:id="166" w:name="_Toc184312070"/>
      <w:bookmarkEnd w:id="166"/>
      <w:bookmarkStart w:id="167" w:name="_Toc184310314"/>
      <w:bookmarkEnd w:id="167"/>
      <w:bookmarkStart w:id="168" w:name="_Toc184308082"/>
      <w:bookmarkEnd w:id="168"/>
      <w:bookmarkStart w:id="169" w:name="_Toc184314424"/>
      <w:bookmarkEnd w:id="169"/>
      <w:bookmarkStart w:id="170" w:name="_Toc184312104"/>
      <w:bookmarkEnd w:id="170"/>
      <w:bookmarkStart w:id="171" w:name="_Toc184314439"/>
      <w:bookmarkEnd w:id="171"/>
      <w:bookmarkStart w:id="172" w:name="_Toc184310287"/>
      <w:bookmarkEnd w:id="172"/>
      <w:bookmarkStart w:id="173" w:name="_Toc184314436"/>
      <w:bookmarkEnd w:id="173"/>
      <w:bookmarkStart w:id="174" w:name="_Toc184310324"/>
      <w:bookmarkEnd w:id="174"/>
      <w:bookmarkStart w:id="175" w:name="_Toc184310320"/>
      <w:bookmarkEnd w:id="175"/>
      <w:bookmarkStart w:id="176" w:name="_Toc184308040"/>
      <w:bookmarkEnd w:id="176"/>
      <w:bookmarkStart w:id="177" w:name="_Toc184313247"/>
      <w:bookmarkEnd w:id="177"/>
      <w:bookmarkStart w:id="178" w:name="_Toc184314466"/>
      <w:bookmarkEnd w:id="178"/>
      <w:bookmarkStart w:id="179" w:name="_Toc184313257"/>
      <w:bookmarkEnd w:id="179"/>
      <w:bookmarkStart w:id="180" w:name="_Toc184312125"/>
      <w:bookmarkEnd w:id="180"/>
      <w:bookmarkStart w:id="181" w:name="_Toc184312091"/>
      <w:bookmarkEnd w:id="181"/>
      <w:bookmarkStart w:id="182" w:name="_Toc184308101"/>
      <w:bookmarkEnd w:id="182"/>
      <w:bookmarkStart w:id="183" w:name="_Toc184313276"/>
      <w:bookmarkEnd w:id="183"/>
      <w:bookmarkStart w:id="184" w:name="_Toc184314432"/>
      <w:bookmarkEnd w:id="184"/>
      <w:bookmarkStart w:id="185" w:name="_Toc184308053"/>
      <w:bookmarkEnd w:id="185"/>
      <w:bookmarkStart w:id="186" w:name="_Toc184310309"/>
      <w:bookmarkEnd w:id="186"/>
      <w:bookmarkStart w:id="187" w:name="_Toc184314480"/>
      <w:bookmarkEnd w:id="187"/>
      <w:bookmarkStart w:id="188" w:name="_Toc184314481"/>
      <w:bookmarkEnd w:id="188"/>
      <w:bookmarkStart w:id="189" w:name="_Toc184310300"/>
      <w:bookmarkEnd w:id="189"/>
      <w:bookmarkStart w:id="190" w:name="_Toc184312084"/>
      <w:bookmarkEnd w:id="190"/>
      <w:bookmarkStart w:id="191" w:name="_Toc184313288"/>
      <w:bookmarkEnd w:id="191"/>
      <w:bookmarkStart w:id="192" w:name="_Toc184313307"/>
      <w:bookmarkEnd w:id="192"/>
      <w:bookmarkStart w:id="193" w:name="_Toc184310308"/>
      <w:bookmarkEnd w:id="193"/>
      <w:bookmarkStart w:id="194" w:name="_Toc184312095"/>
      <w:bookmarkEnd w:id="194"/>
      <w:bookmarkStart w:id="195" w:name="_Toc184314473"/>
      <w:bookmarkEnd w:id="195"/>
      <w:bookmarkStart w:id="196" w:name="_Toc184310279"/>
      <w:bookmarkEnd w:id="196"/>
      <w:bookmarkStart w:id="197" w:name="_Toc184313295"/>
      <w:bookmarkEnd w:id="197"/>
      <w:bookmarkStart w:id="198" w:name="_Toc184310330"/>
      <w:bookmarkEnd w:id="198"/>
      <w:bookmarkStart w:id="199" w:name="_Toc184314441"/>
      <w:bookmarkEnd w:id="199"/>
      <w:bookmarkStart w:id="200" w:name="_Toc184312087"/>
      <w:bookmarkEnd w:id="200"/>
      <w:bookmarkStart w:id="201" w:name="_Toc184310274"/>
      <w:bookmarkEnd w:id="201"/>
      <w:bookmarkStart w:id="202" w:name="_Toc184308084"/>
      <w:bookmarkEnd w:id="202"/>
      <w:bookmarkStart w:id="203" w:name="_Toc184310284"/>
      <w:bookmarkEnd w:id="203"/>
      <w:bookmarkStart w:id="204" w:name="_Toc184312133"/>
      <w:bookmarkEnd w:id="204"/>
      <w:bookmarkStart w:id="205" w:name="_Toc184313243"/>
      <w:bookmarkEnd w:id="205"/>
      <w:bookmarkStart w:id="206" w:name="_Toc184313265"/>
      <w:bookmarkEnd w:id="206"/>
      <w:bookmarkStart w:id="207" w:name="_Toc184308103"/>
      <w:bookmarkEnd w:id="207"/>
      <w:bookmarkStart w:id="208" w:name="_Toc184308093"/>
      <w:bookmarkEnd w:id="208"/>
      <w:bookmarkStart w:id="209" w:name="_Toc184308037"/>
      <w:bookmarkEnd w:id="209"/>
      <w:bookmarkStart w:id="210" w:name="_Toc184314442"/>
      <w:bookmarkEnd w:id="210"/>
      <w:bookmarkStart w:id="211" w:name="_Toc184313304"/>
      <w:bookmarkEnd w:id="211"/>
      <w:bookmarkStart w:id="212" w:name="_Toc184312119"/>
      <w:bookmarkEnd w:id="212"/>
      <w:bookmarkStart w:id="213" w:name="_Toc184313246"/>
      <w:bookmarkEnd w:id="213"/>
      <w:bookmarkStart w:id="214" w:name="_Toc184308063"/>
      <w:bookmarkEnd w:id="214"/>
      <w:bookmarkStart w:id="215" w:name="_Toc184313263"/>
      <w:bookmarkEnd w:id="215"/>
      <w:bookmarkStart w:id="216" w:name="_Toc184312113"/>
      <w:bookmarkEnd w:id="216"/>
      <w:bookmarkStart w:id="217" w:name="_Toc184314428"/>
      <w:bookmarkEnd w:id="217"/>
      <w:bookmarkStart w:id="218" w:name="_Toc184312112"/>
      <w:bookmarkEnd w:id="218"/>
      <w:bookmarkStart w:id="219" w:name="_Toc184308068"/>
      <w:bookmarkEnd w:id="219"/>
      <w:bookmarkStart w:id="220" w:name="_Toc184313283"/>
      <w:bookmarkEnd w:id="220"/>
      <w:bookmarkStart w:id="221" w:name="_Toc184314421"/>
      <w:bookmarkEnd w:id="221"/>
      <w:bookmarkStart w:id="222" w:name="_Toc184310312"/>
      <w:bookmarkEnd w:id="222"/>
      <w:bookmarkStart w:id="223" w:name="_Toc184314430"/>
      <w:bookmarkEnd w:id="223"/>
      <w:bookmarkStart w:id="224" w:name="_Toc184314445"/>
      <w:bookmarkEnd w:id="224"/>
      <w:bookmarkStart w:id="225" w:name="_Toc184313310"/>
      <w:bookmarkEnd w:id="225"/>
      <w:bookmarkStart w:id="226" w:name="_Toc184310302"/>
      <w:bookmarkEnd w:id="226"/>
      <w:bookmarkStart w:id="227" w:name="_Toc184312117"/>
      <w:bookmarkEnd w:id="227"/>
      <w:bookmarkStart w:id="228" w:name="_Toc184308066"/>
      <w:bookmarkEnd w:id="228"/>
      <w:bookmarkStart w:id="229" w:name="_Toc184310290"/>
      <w:bookmarkEnd w:id="229"/>
      <w:bookmarkStart w:id="230" w:name="_Toc184314413"/>
      <w:bookmarkEnd w:id="230"/>
      <w:bookmarkStart w:id="231" w:name="_Toc184314454"/>
      <w:bookmarkEnd w:id="231"/>
      <w:bookmarkStart w:id="232" w:name="_Toc184308079"/>
      <w:bookmarkEnd w:id="232"/>
      <w:bookmarkStart w:id="233" w:name="_Toc184314415"/>
      <w:bookmarkEnd w:id="233"/>
      <w:bookmarkStart w:id="234" w:name="_Toc184314443"/>
      <w:bookmarkEnd w:id="234"/>
      <w:bookmarkStart w:id="235" w:name="_Toc184312080"/>
      <w:bookmarkEnd w:id="235"/>
      <w:bookmarkStart w:id="236" w:name="_Toc184312098"/>
      <w:bookmarkEnd w:id="236"/>
      <w:bookmarkStart w:id="237" w:name="_Toc184314452"/>
      <w:bookmarkEnd w:id="237"/>
      <w:bookmarkStart w:id="238" w:name="_Toc184312103"/>
      <w:bookmarkEnd w:id="238"/>
      <w:bookmarkStart w:id="239" w:name="_Toc184312107"/>
      <w:bookmarkEnd w:id="239"/>
      <w:bookmarkStart w:id="240" w:name="_Toc184308036"/>
      <w:bookmarkEnd w:id="240"/>
      <w:bookmarkStart w:id="241" w:name="_Toc184313309"/>
      <w:bookmarkEnd w:id="241"/>
      <w:bookmarkStart w:id="242" w:name="_Toc184314433"/>
      <w:bookmarkEnd w:id="242"/>
      <w:bookmarkStart w:id="243" w:name="_Toc184308070"/>
      <w:bookmarkEnd w:id="243"/>
      <w:bookmarkStart w:id="244" w:name="_Toc184313269"/>
      <w:bookmarkEnd w:id="244"/>
      <w:bookmarkStart w:id="245" w:name="_Toc184310328"/>
      <w:bookmarkEnd w:id="245"/>
      <w:bookmarkStart w:id="246" w:name="_Toc184314431"/>
      <w:bookmarkEnd w:id="246"/>
      <w:bookmarkStart w:id="247" w:name="_Toc184310344"/>
      <w:bookmarkEnd w:id="247"/>
      <w:bookmarkStart w:id="248" w:name="_Toc184310311"/>
      <w:bookmarkEnd w:id="248"/>
      <w:bookmarkStart w:id="249" w:name="_Toc184314419"/>
      <w:bookmarkEnd w:id="249"/>
      <w:bookmarkStart w:id="250" w:name="_Toc184308096"/>
      <w:bookmarkEnd w:id="250"/>
      <w:bookmarkStart w:id="251" w:name="_Toc184313256"/>
      <w:bookmarkEnd w:id="251"/>
      <w:bookmarkStart w:id="252" w:name="_Toc184314456"/>
      <w:bookmarkEnd w:id="252"/>
      <w:bookmarkStart w:id="253" w:name="_Toc184308048"/>
      <w:bookmarkEnd w:id="253"/>
      <w:bookmarkStart w:id="254" w:name="_Toc184313254"/>
      <w:bookmarkEnd w:id="254"/>
      <w:bookmarkStart w:id="255" w:name="_Toc184310337"/>
      <w:bookmarkEnd w:id="255"/>
      <w:bookmarkStart w:id="256" w:name="_Toc184313274"/>
      <w:bookmarkEnd w:id="256"/>
      <w:bookmarkStart w:id="257" w:name="_Toc184308092"/>
      <w:bookmarkEnd w:id="257"/>
      <w:bookmarkStart w:id="258" w:name="_Toc184310321"/>
      <w:bookmarkEnd w:id="258"/>
      <w:bookmarkStart w:id="259" w:name="_Toc184308090"/>
      <w:bookmarkEnd w:id="259"/>
      <w:bookmarkStart w:id="260" w:name="_Toc184312071"/>
      <w:bookmarkEnd w:id="260"/>
      <w:bookmarkStart w:id="261" w:name="_Toc184314471"/>
      <w:bookmarkEnd w:id="261"/>
      <w:bookmarkStart w:id="262" w:name="_Toc184314448"/>
      <w:bookmarkEnd w:id="262"/>
      <w:bookmarkStart w:id="263" w:name="_Toc184313250"/>
      <w:bookmarkEnd w:id="263"/>
      <w:bookmarkStart w:id="264" w:name="_Toc184313296"/>
      <w:bookmarkEnd w:id="264"/>
      <w:bookmarkStart w:id="265" w:name="_Toc184312100"/>
      <w:bookmarkEnd w:id="265"/>
      <w:bookmarkStart w:id="266" w:name="_Toc184310316"/>
      <w:bookmarkEnd w:id="266"/>
      <w:bookmarkStart w:id="267" w:name="_Toc184312109"/>
      <w:bookmarkEnd w:id="267"/>
      <w:bookmarkStart w:id="268" w:name="_Toc184312123"/>
      <w:bookmarkEnd w:id="268"/>
      <w:bookmarkStart w:id="269" w:name="_Toc184314451"/>
      <w:bookmarkEnd w:id="269"/>
      <w:bookmarkStart w:id="270" w:name="_Toc184314458"/>
      <w:bookmarkEnd w:id="270"/>
      <w:bookmarkStart w:id="271" w:name="_Toc184310326"/>
      <w:bookmarkEnd w:id="271"/>
      <w:bookmarkStart w:id="272" w:name="_Toc184308041"/>
      <w:bookmarkEnd w:id="272"/>
      <w:bookmarkStart w:id="273" w:name="_Toc184314414"/>
      <w:bookmarkEnd w:id="273"/>
      <w:bookmarkStart w:id="274" w:name="_Toc184312069"/>
      <w:bookmarkEnd w:id="274"/>
      <w:bookmarkStart w:id="275" w:name="_Toc184313238"/>
      <w:bookmarkEnd w:id="275"/>
      <w:bookmarkStart w:id="276" w:name="_Toc184312094"/>
      <w:bookmarkEnd w:id="276"/>
      <w:bookmarkStart w:id="277" w:name="_Toc184308072"/>
      <w:bookmarkEnd w:id="277"/>
      <w:bookmarkStart w:id="278" w:name="_Toc184308071"/>
      <w:bookmarkEnd w:id="278"/>
      <w:bookmarkStart w:id="279" w:name="_Toc184313301"/>
      <w:bookmarkEnd w:id="279"/>
      <w:bookmarkStart w:id="280" w:name="_Toc184314461"/>
      <w:bookmarkEnd w:id="280"/>
      <w:bookmarkStart w:id="281" w:name="_Toc184312105"/>
      <w:bookmarkEnd w:id="281"/>
      <w:bookmarkStart w:id="282" w:name="_Toc184310335"/>
      <w:bookmarkEnd w:id="282"/>
      <w:bookmarkStart w:id="283" w:name="_Toc184313270"/>
      <w:bookmarkEnd w:id="283"/>
      <w:bookmarkStart w:id="284" w:name="_Toc184314462"/>
      <w:bookmarkEnd w:id="284"/>
      <w:bookmarkStart w:id="285" w:name="_Toc184314420"/>
      <w:bookmarkEnd w:id="285"/>
      <w:bookmarkStart w:id="286" w:name="_Toc184312093"/>
      <w:bookmarkEnd w:id="286"/>
      <w:bookmarkStart w:id="287" w:name="_Toc184312078"/>
      <w:bookmarkEnd w:id="287"/>
      <w:bookmarkStart w:id="288" w:name="_Toc184310334"/>
      <w:bookmarkEnd w:id="288"/>
      <w:bookmarkStart w:id="289" w:name="_Toc184313300"/>
      <w:bookmarkEnd w:id="289"/>
      <w:bookmarkStart w:id="290" w:name="_Toc184308102"/>
      <w:bookmarkEnd w:id="290"/>
      <w:bookmarkStart w:id="291" w:name="_Toc184314422"/>
      <w:bookmarkEnd w:id="291"/>
      <w:bookmarkStart w:id="292" w:name="_Toc184310339"/>
      <w:bookmarkEnd w:id="292"/>
      <w:bookmarkStart w:id="293" w:name="_Toc184308055"/>
      <w:bookmarkEnd w:id="293"/>
      <w:bookmarkStart w:id="294" w:name="_Toc184308091"/>
      <w:bookmarkEnd w:id="294"/>
      <w:bookmarkStart w:id="295" w:name="_Toc184313242"/>
      <w:bookmarkEnd w:id="295"/>
      <w:bookmarkStart w:id="296" w:name="_Toc184308077"/>
      <w:bookmarkEnd w:id="296"/>
      <w:bookmarkStart w:id="297" w:name="_Toc184314477"/>
      <w:bookmarkEnd w:id="297"/>
      <w:bookmarkStart w:id="298" w:name="_Toc184313286"/>
      <w:bookmarkEnd w:id="298"/>
      <w:bookmarkStart w:id="299" w:name="_Toc184314479"/>
      <w:bookmarkEnd w:id="299"/>
      <w:bookmarkStart w:id="300" w:name="_Toc184313267"/>
      <w:bookmarkEnd w:id="300"/>
      <w:bookmarkStart w:id="301" w:name="_Toc184313259"/>
      <w:bookmarkEnd w:id="301"/>
      <w:bookmarkStart w:id="302" w:name="_Toc184313305"/>
      <w:bookmarkEnd w:id="302"/>
      <w:bookmarkStart w:id="303" w:name="_Toc184314476"/>
      <w:bookmarkEnd w:id="303"/>
      <w:bookmarkStart w:id="304" w:name="_Toc184314410"/>
      <w:bookmarkEnd w:id="304"/>
      <w:bookmarkStart w:id="305" w:name="_Toc184313251"/>
      <w:bookmarkEnd w:id="305"/>
      <w:bookmarkStart w:id="306" w:name="_Toc184310305"/>
      <w:bookmarkEnd w:id="306"/>
      <w:bookmarkStart w:id="307" w:name="_Toc184313253"/>
      <w:bookmarkEnd w:id="307"/>
      <w:bookmarkStart w:id="308" w:name="_Toc184310297"/>
      <w:bookmarkEnd w:id="308"/>
      <w:bookmarkStart w:id="309" w:name="_Toc184313284"/>
      <w:bookmarkEnd w:id="309"/>
      <w:bookmarkStart w:id="310" w:name="_Toc184308056"/>
      <w:bookmarkEnd w:id="310"/>
      <w:bookmarkStart w:id="311" w:name="_Toc184314426"/>
      <w:bookmarkEnd w:id="311"/>
      <w:bookmarkStart w:id="312" w:name="_Toc184313297"/>
      <w:bookmarkEnd w:id="312"/>
      <w:bookmarkStart w:id="313" w:name="_Toc184310295"/>
      <w:bookmarkEnd w:id="313"/>
      <w:bookmarkStart w:id="314" w:name="_Toc184312124"/>
      <w:bookmarkEnd w:id="314"/>
      <w:bookmarkStart w:id="315" w:name="_Toc184308047"/>
      <w:bookmarkEnd w:id="315"/>
      <w:bookmarkStart w:id="316" w:name="_Toc184312132"/>
      <w:bookmarkEnd w:id="316"/>
      <w:bookmarkStart w:id="317" w:name="_Toc184310278"/>
      <w:bookmarkEnd w:id="317"/>
      <w:bookmarkStart w:id="318" w:name="_Toc184314468"/>
      <w:bookmarkEnd w:id="318"/>
      <w:bookmarkStart w:id="319" w:name="_Toc184308038"/>
      <w:bookmarkEnd w:id="319"/>
      <w:bookmarkStart w:id="320" w:name="_Toc184308106"/>
      <w:bookmarkEnd w:id="320"/>
      <w:bookmarkStart w:id="321" w:name="_Toc184313299"/>
      <w:bookmarkEnd w:id="321"/>
      <w:bookmarkStart w:id="322" w:name="_Toc184310303"/>
      <w:bookmarkEnd w:id="322"/>
      <w:bookmarkStart w:id="323" w:name="_Toc184310332"/>
      <w:bookmarkEnd w:id="323"/>
      <w:bookmarkStart w:id="324" w:name="_Toc184308095"/>
      <w:bookmarkEnd w:id="324"/>
      <w:bookmarkStart w:id="325" w:name="_Toc184314474"/>
      <w:bookmarkEnd w:id="325"/>
      <w:bookmarkStart w:id="326" w:name="_Toc184313287"/>
      <w:bookmarkEnd w:id="326"/>
      <w:bookmarkStart w:id="327" w:name="_Toc184312139"/>
      <w:bookmarkEnd w:id="327"/>
      <w:bookmarkStart w:id="328" w:name="_Toc184308097"/>
      <w:bookmarkEnd w:id="328"/>
      <w:bookmarkStart w:id="329" w:name="_Toc184310299"/>
      <w:bookmarkEnd w:id="329"/>
      <w:bookmarkStart w:id="330" w:name="_Toc184310276"/>
      <w:bookmarkEnd w:id="330"/>
      <w:bookmarkStart w:id="331" w:name="_Toc184314463"/>
      <w:bookmarkEnd w:id="331"/>
      <w:bookmarkStart w:id="332" w:name="_Toc184310341"/>
      <w:bookmarkEnd w:id="332"/>
      <w:bookmarkStart w:id="333" w:name="_Toc184312114"/>
      <w:bookmarkEnd w:id="333"/>
      <w:bookmarkStart w:id="334" w:name="_Toc184310327"/>
      <w:bookmarkEnd w:id="334"/>
      <w:bookmarkStart w:id="335" w:name="_Toc184310281"/>
      <w:bookmarkEnd w:id="335"/>
      <w:bookmarkStart w:id="336" w:name="_Toc184314449"/>
      <w:bookmarkEnd w:id="336"/>
      <w:bookmarkStart w:id="337" w:name="_Toc184312085"/>
      <w:bookmarkEnd w:id="337"/>
      <w:bookmarkStart w:id="338" w:name="_Toc184314475"/>
      <w:bookmarkEnd w:id="338"/>
      <w:bookmarkStart w:id="339" w:name="_Toc184310288"/>
      <w:bookmarkEnd w:id="339"/>
      <w:bookmarkStart w:id="340" w:name="_Toc184310280"/>
      <w:bookmarkEnd w:id="340"/>
      <w:bookmarkStart w:id="341" w:name="_Toc184308080"/>
      <w:bookmarkEnd w:id="341"/>
      <w:bookmarkStart w:id="342" w:name="_Toc184312077"/>
      <w:bookmarkEnd w:id="342"/>
      <w:bookmarkStart w:id="343" w:name="_Toc184313294"/>
      <w:bookmarkEnd w:id="343"/>
      <w:bookmarkStart w:id="344" w:name="_Toc184313255"/>
      <w:bookmarkEnd w:id="344"/>
      <w:bookmarkStart w:id="345" w:name="_Toc184312083"/>
      <w:bookmarkEnd w:id="345"/>
      <w:bookmarkStart w:id="346" w:name="_Toc184310325"/>
      <w:bookmarkEnd w:id="346"/>
      <w:bookmarkStart w:id="347" w:name="_Toc184312118"/>
      <w:bookmarkEnd w:id="347"/>
      <w:bookmarkStart w:id="348" w:name="_Toc184313290"/>
      <w:bookmarkEnd w:id="348"/>
      <w:bookmarkStart w:id="349" w:name="_Toc184314469"/>
      <w:bookmarkEnd w:id="349"/>
      <w:bookmarkStart w:id="350" w:name="_Toc184310310"/>
      <w:bookmarkEnd w:id="350"/>
      <w:bookmarkStart w:id="351" w:name="_Toc184313268"/>
      <w:bookmarkEnd w:id="351"/>
      <w:bookmarkStart w:id="352" w:name="_Toc184313303"/>
      <w:bookmarkEnd w:id="352"/>
      <w:bookmarkStart w:id="353" w:name="_Toc184308089"/>
      <w:bookmarkEnd w:id="353"/>
      <w:bookmarkStart w:id="354" w:name="_Toc184312076"/>
      <w:bookmarkEnd w:id="354"/>
      <w:bookmarkStart w:id="355" w:name="_Toc184312074"/>
      <w:bookmarkEnd w:id="355"/>
      <w:bookmarkStart w:id="356" w:name="_Toc184314470"/>
      <w:bookmarkEnd w:id="356"/>
      <w:bookmarkStart w:id="357" w:name="_Toc184312081"/>
      <w:bookmarkEnd w:id="357"/>
      <w:bookmarkStart w:id="358" w:name="_Toc184308075"/>
      <w:bookmarkEnd w:id="358"/>
      <w:bookmarkStart w:id="359" w:name="_Toc184308094"/>
      <w:bookmarkEnd w:id="359"/>
      <w:bookmarkStart w:id="360" w:name="_Toc184313279"/>
      <w:bookmarkEnd w:id="360"/>
      <w:bookmarkStart w:id="361" w:name="_Toc184312126"/>
      <w:bookmarkEnd w:id="361"/>
      <w:bookmarkStart w:id="362" w:name="_Toc184308042"/>
      <w:bookmarkEnd w:id="362"/>
      <w:bookmarkStart w:id="363" w:name="_Toc184313275"/>
      <w:bookmarkEnd w:id="363"/>
      <w:bookmarkStart w:id="364" w:name="_Toc184308054"/>
      <w:bookmarkEnd w:id="364"/>
      <w:bookmarkStart w:id="365" w:name="_Toc184310315"/>
      <w:bookmarkEnd w:id="365"/>
      <w:bookmarkStart w:id="366" w:name="_Toc184312092"/>
      <w:bookmarkEnd w:id="366"/>
      <w:bookmarkStart w:id="367" w:name="_Toc184314455"/>
      <w:bookmarkEnd w:id="367"/>
      <w:bookmarkStart w:id="368" w:name="_Toc184308081"/>
      <w:bookmarkEnd w:id="368"/>
      <w:bookmarkStart w:id="369" w:name="_Toc184308045"/>
      <w:bookmarkEnd w:id="369"/>
      <w:bookmarkStart w:id="370" w:name="_Toc184312108"/>
      <w:bookmarkEnd w:id="370"/>
      <w:bookmarkStart w:id="371" w:name="_Toc184308076"/>
      <w:bookmarkEnd w:id="371"/>
      <w:bookmarkStart w:id="372" w:name="_Toc184313258"/>
      <w:bookmarkEnd w:id="372"/>
      <w:bookmarkStart w:id="373" w:name="_Toc184314459"/>
      <w:bookmarkEnd w:id="373"/>
      <w:bookmarkStart w:id="374" w:name="_Toc184312131"/>
      <w:bookmarkEnd w:id="374"/>
      <w:bookmarkStart w:id="375" w:name="_Toc184308104"/>
      <w:bookmarkEnd w:id="375"/>
      <w:bookmarkStart w:id="376" w:name="_Toc184310333"/>
      <w:bookmarkEnd w:id="376"/>
      <w:bookmarkStart w:id="377" w:name="_Toc184310285"/>
      <w:bookmarkEnd w:id="377"/>
      <w:bookmarkStart w:id="378" w:name="_Toc184310307"/>
      <w:bookmarkEnd w:id="378"/>
      <w:bookmarkStart w:id="379" w:name="_Toc184308083"/>
      <w:bookmarkEnd w:id="379"/>
      <w:bookmarkStart w:id="380" w:name="_Toc184310338"/>
      <w:bookmarkEnd w:id="380"/>
      <w:bookmarkStart w:id="381" w:name="_Toc184313266"/>
      <w:bookmarkEnd w:id="381"/>
      <w:bookmarkStart w:id="382" w:name="_Toc184310277"/>
      <w:bookmarkEnd w:id="382"/>
      <w:bookmarkStart w:id="383" w:name="_Toc184314429"/>
      <w:bookmarkEnd w:id="383"/>
      <w:bookmarkStart w:id="384" w:name="_Toc184310291"/>
      <w:bookmarkEnd w:id="384"/>
      <w:bookmarkStart w:id="385" w:name="_Toc184310342"/>
      <w:bookmarkEnd w:id="385"/>
      <w:bookmarkStart w:id="386" w:name="_Toc184312067"/>
      <w:bookmarkEnd w:id="386"/>
      <w:bookmarkStart w:id="387" w:name="_Toc184310313"/>
      <w:bookmarkEnd w:id="387"/>
      <w:bookmarkStart w:id="388" w:name="_Toc184314440"/>
      <w:bookmarkEnd w:id="388"/>
      <w:bookmarkStart w:id="389" w:name="_Toc184310323"/>
      <w:bookmarkEnd w:id="389"/>
      <w:bookmarkStart w:id="390" w:name="_Toc184308061"/>
      <w:bookmarkEnd w:id="390"/>
      <w:bookmarkStart w:id="391" w:name="_Toc184313273"/>
      <w:bookmarkEnd w:id="391"/>
      <w:bookmarkStart w:id="392" w:name="_Toc184313241"/>
      <w:bookmarkEnd w:id="392"/>
      <w:bookmarkStart w:id="393" w:name="_Toc184312101"/>
      <w:bookmarkEnd w:id="393"/>
      <w:bookmarkStart w:id="394" w:name="_Toc184312102"/>
      <w:bookmarkEnd w:id="394"/>
      <w:bookmarkStart w:id="395" w:name="_Toc184308043"/>
      <w:bookmarkEnd w:id="395"/>
      <w:bookmarkStart w:id="396" w:name="_Toc184312120"/>
      <w:bookmarkEnd w:id="396"/>
      <w:bookmarkStart w:id="397" w:name="_Toc184313260"/>
      <w:bookmarkEnd w:id="397"/>
      <w:bookmarkStart w:id="398" w:name="_Toc184314453"/>
      <w:bookmarkEnd w:id="398"/>
      <w:bookmarkStart w:id="399" w:name="_Toc184313271"/>
      <w:bookmarkEnd w:id="399"/>
      <w:bookmarkStart w:id="400" w:name="_Toc184308039"/>
      <w:bookmarkEnd w:id="400"/>
      <w:r>
        <w:rPr>
          <w:rFonts w:hint="eastAsia" w:cs="仿宋" w:asciiTheme="majorEastAsia" w:hAnsiTheme="majorEastAsia" w:eastAsiaTheme="majorEastAsia"/>
          <w:b/>
          <w:sz w:val="36"/>
          <w:szCs w:val="36"/>
        </w:rPr>
        <w:t>评标办法</w:t>
      </w:r>
    </w:p>
    <w:p>
      <w:pPr>
        <w:snapToGrid w:val="0"/>
        <w:spacing w:line="360" w:lineRule="auto"/>
        <w:jc w:val="center"/>
      </w:pPr>
      <w:r>
        <w:rPr>
          <w:rFonts w:hint="eastAsia" w:cs="仿宋" w:asciiTheme="majorEastAsia" w:hAnsiTheme="majorEastAsia" w:eastAsiaTheme="majorEastAsia"/>
          <w:b/>
          <w:sz w:val="32"/>
          <w:szCs w:val="20"/>
        </w:rPr>
        <w:t>评标办法前附表</w:t>
      </w:r>
    </w:p>
    <w:tbl>
      <w:tblPr>
        <w:tblStyle w:val="24"/>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10314" w:type="dxa"/>
            <w:gridSpan w:val="2"/>
            <w:tcBorders>
              <w:top w:val="single" w:color="auto" w:sz="4" w:space="0"/>
              <w:left w:val="single" w:color="auto" w:sz="4" w:space="0"/>
              <w:bottom w:val="single" w:color="auto" w:sz="4" w:space="0"/>
              <w:right w:val="single" w:color="auto" w:sz="2" w:space="0"/>
              <w:tl2br w:val="single" w:color="auto" w:sz="2" w:space="0"/>
            </w:tcBorders>
          </w:tcPr>
          <w:p>
            <w:pPr>
              <w:tabs>
                <w:tab w:val="left" w:pos="4492"/>
              </w:tabs>
              <w:spacing w:line="300" w:lineRule="exact"/>
              <w:rPr>
                <w:rFonts w:ascii="宋体" w:hAnsi="宋体" w:cs="宋体"/>
                <w:szCs w:val="21"/>
              </w:rPr>
            </w:pPr>
            <w:r>
              <w:rPr>
                <w:rFonts w:hint="eastAsia" w:ascii="宋体" w:hAnsi="宋体" w:cs="宋体"/>
                <w:szCs w:val="21"/>
              </w:rPr>
              <w:t>投标单位</w:t>
            </w:r>
          </w:p>
          <w:p>
            <w:pPr>
              <w:tabs>
                <w:tab w:val="left" w:pos="4492"/>
              </w:tabs>
              <w:spacing w:line="300" w:lineRule="exact"/>
              <w:rPr>
                <w:rFonts w:ascii="宋体" w:hAnsi="宋体" w:cs="宋体"/>
                <w:szCs w:val="21"/>
              </w:rPr>
            </w:pPr>
            <w:r>
              <w:rPr>
                <w:rFonts w:hint="eastAsia" w:ascii="宋体" w:hAnsi="宋体" w:cs="宋体"/>
                <w:szCs w:val="21"/>
              </w:rPr>
              <w:t>评分项及分值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6" w:type="dxa"/>
            <w:vMerge w:val="restart"/>
            <w:tcBorders>
              <w:top w:val="single" w:color="auto" w:sz="4" w:space="0"/>
              <w:left w:val="single" w:color="auto" w:sz="4" w:space="0"/>
              <w:right w:val="single" w:color="auto" w:sz="2" w:space="0"/>
            </w:tcBorders>
            <w:vAlign w:val="center"/>
          </w:tcPr>
          <w:p>
            <w:pPr>
              <w:spacing w:line="300" w:lineRule="exact"/>
              <w:jc w:val="center"/>
              <w:rPr>
                <w:rFonts w:ascii="宋体" w:hAnsi="宋体" w:cs="宋体"/>
                <w:szCs w:val="21"/>
              </w:rPr>
            </w:pPr>
            <w:r>
              <w:rPr>
                <w:rFonts w:hint="eastAsia" w:ascii="宋体" w:hAnsi="宋体" w:cs="宋体"/>
                <w:szCs w:val="21"/>
              </w:rPr>
              <w:t>资信技术</w:t>
            </w:r>
            <w:r>
              <w:rPr>
                <w:rFonts w:ascii="宋体" w:hAnsi="宋体" w:cs="宋体"/>
                <w:szCs w:val="21"/>
              </w:rPr>
              <w:t>分</w:t>
            </w:r>
            <w:r>
              <w:rPr>
                <w:rFonts w:hint="eastAsia" w:ascii="宋体" w:hAnsi="宋体" w:cs="宋体"/>
                <w:szCs w:val="21"/>
              </w:rPr>
              <w:t>6</w:t>
            </w:r>
            <w:r>
              <w:rPr>
                <w:rFonts w:hint="eastAsia" w:ascii="宋体" w:hAnsi="宋体" w:cs="宋体"/>
                <w:szCs w:val="21"/>
                <w:lang w:val="en-US" w:eastAsia="zh-CN"/>
              </w:rPr>
              <w:t>5</w:t>
            </w:r>
            <w:r>
              <w:rPr>
                <w:rFonts w:ascii="宋体" w:hAnsi="宋体" w:cs="宋体"/>
                <w:szCs w:val="21"/>
              </w:rPr>
              <w:t>分</w:t>
            </w:r>
          </w:p>
          <w:p>
            <w:pPr>
              <w:tabs>
                <w:tab w:val="left" w:pos="4492"/>
              </w:tabs>
              <w:spacing w:line="300" w:lineRule="exact"/>
              <w:rPr>
                <w:rFonts w:ascii="宋体" w:hAnsi="宋体" w:cs="宋体"/>
                <w:szCs w:val="21"/>
              </w:rPr>
            </w:pPr>
            <w:r>
              <w:rPr>
                <w:rFonts w:hint="eastAsia" w:ascii="宋体" w:hAnsi="宋体" w:cs="宋体"/>
                <w:szCs w:val="21"/>
              </w:rPr>
              <w:t xml:space="preserve">                              </w:t>
            </w:r>
          </w:p>
        </w:tc>
        <w:tc>
          <w:tcPr>
            <w:tcW w:w="9888" w:type="dxa"/>
            <w:tcBorders>
              <w:top w:val="single" w:color="auto" w:sz="4" w:space="0"/>
              <w:left w:val="single" w:color="auto" w:sz="2" w:space="0"/>
              <w:right w:val="single" w:color="auto" w:sz="2" w:space="0"/>
            </w:tcBorders>
            <w:vAlign w:val="center"/>
          </w:tcPr>
          <w:p>
            <w:pPr>
              <w:spacing w:line="276" w:lineRule="auto"/>
              <w:rPr>
                <w:rFonts w:ascii="宋体" w:hAnsi="宋体" w:cs="宋体"/>
                <w:szCs w:val="21"/>
              </w:rPr>
            </w:pPr>
            <w:r>
              <w:rPr>
                <w:rFonts w:hint="eastAsia" w:ascii="宋体" w:hAnsi="宋体" w:cs="宋体"/>
                <w:szCs w:val="21"/>
              </w:rPr>
              <w:t>一、招标文件技术及功能配置要求（</w:t>
            </w:r>
            <w:r>
              <w:rPr>
                <w:rFonts w:hint="eastAsia" w:ascii="宋体" w:hAnsi="宋体" w:cs="宋体"/>
                <w:szCs w:val="21"/>
                <w:lang w:val="en-US" w:eastAsia="zh-CN"/>
              </w:rPr>
              <w:t>25</w:t>
            </w:r>
            <w:r>
              <w:rPr>
                <w:rFonts w:hint="eastAsia" w:ascii="宋体" w:hAnsi="宋体" w:cs="宋体"/>
                <w:szCs w:val="21"/>
              </w:rPr>
              <w:t>分）</w:t>
            </w:r>
          </w:p>
          <w:p>
            <w:pPr>
              <w:spacing w:line="276" w:lineRule="auto"/>
              <w:rPr>
                <w:rFonts w:ascii="宋体" w:hAnsi="宋体" w:cs="宋体"/>
                <w:szCs w:val="21"/>
              </w:rPr>
            </w:pPr>
            <w:r>
              <w:rPr>
                <w:rFonts w:hint="eastAsia" w:ascii="宋体" w:hAnsi="宋体" w:cs="宋体"/>
                <w:szCs w:val="21"/>
              </w:rPr>
              <w:t>对投标人提供的投标产品的技术参数响应情况进行评议，完全符合招标要求的得2</w:t>
            </w:r>
            <w:r>
              <w:rPr>
                <w:rFonts w:hint="eastAsia" w:ascii="宋体" w:hAnsi="宋体" w:cs="宋体"/>
                <w:szCs w:val="21"/>
                <w:lang w:val="en-US" w:eastAsia="zh-CN"/>
              </w:rPr>
              <w:t>5</w:t>
            </w:r>
            <w:r>
              <w:rPr>
                <w:rFonts w:hint="eastAsia" w:ascii="宋体" w:hAnsi="宋体" w:cs="宋体"/>
                <w:szCs w:val="21"/>
              </w:rPr>
              <w:t>分；允许偏离的指标，每负偏离一项，扣2分，扣完为止。负偏离任何一项（带“▲”）技术参数的作无效标处理。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26" w:type="dxa"/>
            <w:vMerge w:val="continue"/>
            <w:tcBorders>
              <w:left w:val="single" w:color="auto" w:sz="4" w:space="0"/>
              <w:right w:val="single" w:color="auto" w:sz="2" w:space="0"/>
            </w:tcBorders>
            <w:textDirection w:val="tbRlV"/>
            <w:vAlign w:val="center"/>
          </w:tcPr>
          <w:p>
            <w:pPr>
              <w:tabs>
                <w:tab w:val="left" w:pos="4492"/>
              </w:tabs>
              <w:spacing w:line="300" w:lineRule="exact"/>
              <w:rPr>
                <w:rFonts w:ascii="宋体" w:hAnsi="宋体" w:cs="宋体"/>
                <w:szCs w:val="21"/>
              </w:rPr>
            </w:pPr>
          </w:p>
        </w:tc>
        <w:tc>
          <w:tcPr>
            <w:tcW w:w="9888" w:type="dxa"/>
            <w:tcBorders>
              <w:top w:val="single" w:color="auto" w:sz="2" w:space="0"/>
              <w:left w:val="single" w:color="auto" w:sz="2" w:space="0"/>
              <w:bottom w:val="single" w:color="auto" w:sz="2" w:space="0"/>
              <w:right w:val="single" w:color="auto" w:sz="2" w:space="0"/>
            </w:tcBorders>
            <w:vAlign w:val="center"/>
          </w:tcPr>
          <w:p>
            <w:pPr>
              <w:spacing w:line="276" w:lineRule="auto"/>
              <w:rPr>
                <w:rFonts w:ascii="宋体" w:hAnsi="宋体" w:cs="宋体"/>
                <w:szCs w:val="21"/>
              </w:rPr>
            </w:pPr>
            <w:r>
              <w:rPr>
                <w:rFonts w:hint="eastAsia" w:ascii="宋体" w:hAnsi="宋体" w:cs="宋体"/>
                <w:szCs w:val="21"/>
              </w:rPr>
              <w:t>二、客梯曳引机配置评价（4分）</w:t>
            </w:r>
          </w:p>
          <w:p>
            <w:pPr>
              <w:spacing w:line="276" w:lineRule="auto"/>
              <w:rPr>
                <w:rFonts w:ascii="宋体" w:hAnsi="宋体" w:cs="宋体"/>
                <w:szCs w:val="21"/>
              </w:rPr>
            </w:pPr>
            <w:r>
              <w:rPr>
                <w:rFonts w:hint="eastAsia" w:ascii="宋体" w:hAnsi="宋体" w:cs="宋体"/>
                <w:szCs w:val="21"/>
              </w:rPr>
              <w:t>所投客梯曳引机性能好、运行平稳的得4分；</w:t>
            </w:r>
            <w:r>
              <w:rPr>
                <w:rFonts w:hint="eastAsia" w:ascii="宋体" w:hAnsi="宋体" w:cs="宋体"/>
                <w:szCs w:val="21"/>
                <w:lang w:val="en-US" w:eastAsia="zh-CN"/>
              </w:rPr>
              <w:t>每满足一项得2分，离满足有差距的得1分，不满足的0分。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426" w:type="dxa"/>
            <w:vMerge w:val="continue"/>
            <w:tcBorders>
              <w:left w:val="single" w:color="auto" w:sz="4" w:space="0"/>
              <w:right w:val="single" w:color="auto" w:sz="2" w:space="0"/>
            </w:tcBorders>
            <w:textDirection w:val="tbRlV"/>
            <w:vAlign w:val="center"/>
          </w:tcPr>
          <w:p>
            <w:pPr>
              <w:tabs>
                <w:tab w:val="left" w:pos="4492"/>
              </w:tabs>
              <w:spacing w:line="300" w:lineRule="exact"/>
              <w:rPr>
                <w:rFonts w:ascii="宋体" w:hAnsi="宋体" w:cs="宋体"/>
                <w:szCs w:val="21"/>
              </w:rPr>
            </w:pPr>
          </w:p>
        </w:tc>
        <w:tc>
          <w:tcPr>
            <w:tcW w:w="9888" w:type="dxa"/>
            <w:tcBorders>
              <w:top w:val="single" w:color="auto" w:sz="2" w:space="0"/>
              <w:left w:val="single" w:color="auto" w:sz="2" w:space="0"/>
              <w:bottom w:val="single" w:color="auto" w:sz="2" w:space="0"/>
              <w:right w:val="single" w:color="auto" w:sz="2" w:space="0"/>
            </w:tcBorders>
            <w:vAlign w:val="center"/>
          </w:tcPr>
          <w:p>
            <w:pPr>
              <w:spacing w:line="276" w:lineRule="auto"/>
              <w:rPr>
                <w:rFonts w:ascii="宋体" w:hAnsi="宋体" w:cs="宋体"/>
                <w:szCs w:val="21"/>
              </w:rPr>
            </w:pPr>
            <w:r>
              <w:rPr>
                <w:rFonts w:hint="eastAsia" w:ascii="宋体" w:hAnsi="宋体" w:cs="宋体"/>
                <w:szCs w:val="21"/>
              </w:rPr>
              <w:t>三、客</w:t>
            </w:r>
            <w:r>
              <w:rPr>
                <w:rFonts w:ascii="宋体" w:hAnsi="宋体" w:cs="宋体"/>
                <w:szCs w:val="21"/>
              </w:rPr>
              <w:t>梯门机配置评价</w:t>
            </w:r>
            <w:r>
              <w:rPr>
                <w:rFonts w:hint="eastAsia" w:ascii="宋体" w:hAnsi="宋体" w:cs="宋体"/>
                <w:szCs w:val="21"/>
              </w:rPr>
              <w:t>（4分）</w:t>
            </w:r>
          </w:p>
          <w:p>
            <w:pPr>
              <w:spacing w:line="276" w:lineRule="auto"/>
              <w:rPr>
                <w:rFonts w:ascii="宋体" w:hAnsi="宋体" w:cs="宋体"/>
                <w:szCs w:val="21"/>
              </w:rPr>
            </w:pPr>
            <w:r>
              <w:rPr>
                <w:rFonts w:hint="eastAsia" w:ascii="宋体" w:hAnsi="宋体" w:cs="宋体"/>
                <w:szCs w:val="21"/>
              </w:rPr>
              <w:t>所投客</w:t>
            </w:r>
            <w:r>
              <w:rPr>
                <w:rFonts w:ascii="宋体" w:hAnsi="宋体" w:cs="宋体"/>
                <w:szCs w:val="21"/>
              </w:rPr>
              <w:t>梯门机</w:t>
            </w:r>
            <w:r>
              <w:rPr>
                <w:rFonts w:hint="eastAsia" w:ascii="宋体" w:hAnsi="宋体" w:cs="宋体"/>
                <w:szCs w:val="21"/>
              </w:rPr>
              <w:t>性能好、控制精准的得4分；</w:t>
            </w:r>
            <w:r>
              <w:rPr>
                <w:rFonts w:hint="eastAsia" w:ascii="宋体" w:hAnsi="宋体" w:cs="宋体"/>
                <w:szCs w:val="21"/>
                <w:lang w:val="en-US" w:eastAsia="zh-CN"/>
              </w:rPr>
              <w:t>每满足一项得2分，离满足有差距的得1分，不满足的0分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6" w:type="dxa"/>
            <w:vMerge w:val="continue"/>
            <w:tcBorders>
              <w:left w:val="single" w:color="auto" w:sz="4" w:space="0"/>
              <w:right w:val="single" w:color="auto" w:sz="2" w:space="0"/>
            </w:tcBorders>
            <w:textDirection w:val="tbRlV"/>
            <w:vAlign w:val="center"/>
          </w:tcPr>
          <w:p>
            <w:pPr>
              <w:tabs>
                <w:tab w:val="left" w:pos="4492"/>
              </w:tabs>
              <w:spacing w:line="300" w:lineRule="exact"/>
              <w:rPr>
                <w:rFonts w:ascii="宋体" w:hAnsi="宋体" w:cs="宋体"/>
                <w:szCs w:val="21"/>
              </w:rPr>
            </w:pPr>
          </w:p>
        </w:tc>
        <w:tc>
          <w:tcPr>
            <w:tcW w:w="9888" w:type="dxa"/>
            <w:tcBorders>
              <w:top w:val="single" w:color="auto" w:sz="2" w:space="0"/>
              <w:left w:val="single" w:color="auto" w:sz="2" w:space="0"/>
              <w:right w:val="single" w:color="auto" w:sz="2" w:space="0"/>
            </w:tcBorders>
            <w:vAlign w:val="center"/>
          </w:tcPr>
          <w:p>
            <w:pPr>
              <w:spacing w:line="276" w:lineRule="auto"/>
              <w:rPr>
                <w:rFonts w:ascii="宋体" w:hAnsi="宋体" w:cs="宋体"/>
                <w:szCs w:val="21"/>
              </w:rPr>
            </w:pPr>
            <w:r>
              <w:rPr>
                <w:rFonts w:hint="eastAsia" w:ascii="宋体" w:hAnsi="宋体" w:cs="宋体"/>
                <w:szCs w:val="21"/>
              </w:rPr>
              <w:t>四、客</w:t>
            </w:r>
            <w:r>
              <w:rPr>
                <w:rFonts w:ascii="宋体" w:hAnsi="宋体" w:cs="宋体"/>
                <w:szCs w:val="21"/>
              </w:rPr>
              <w:t>梯控制柜配置评价</w:t>
            </w:r>
            <w:r>
              <w:rPr>
                <w:rFonts w:hint="eastAsia" w:ascii="宋体" w:hAnsi="宋体" w:cs="宋体"/>
                <w:szCs w:val="21"/>
              </w:rPr>
              <w:t>（4分）</w:t>
            </w:r>
          </w:p>
          <w:p>
            <w:pPr>
              <w:spacing w:line="276" w:lineRule="auto"/>
              <w:rPr>
                <w:rFonts w:ascii="宋体" w:hAnsi="宋体" w:cs="宋体"/>
                <w:szCs w:val="21"/>
              </w:rPr>
            </w:pPr>
            <w:r>
              <w:rPr>
                <w:rFonts w:hint="eastAsia" w:ascii="宋体" w:hAnsi="宋体" w:cs="宋体"/>
                <w:szCs w:val="21"/>
              </w:rPr>
              <w:t>所投客梯控制柜性能好、稳定可靠的得4分；</w:t>
            </w:r>
            <w:r>
              <w:rPr>
                <w:rFonts w:hint="eastAsia" w:ascii="宋体" w:hAnsi="宋体" w:cs="宋体"/>
                <w:szCs w:val="21"/>
                <w:lang w:val="en-US" w:eastAsia="zh-CN"/>
              </w:rPr>
              <w:t>每满足一项得2分，离满足有差距的得1分，不满足的0分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426" w:type="dxa"/>
            <w:vMerge w:val="continue"/>
            <w:tcBorders>
              <w:left w:val="single" w:color="auto" w:sz="4" w:space="0"/>
              <w:right w:val="single" w:color="auto" w:sz="2" w:space="0"/>
            </w:tcBorders>
            <w:vAlign w:val="center"/>
          </w:tcPr>
          <w:p>
            <w:pPr>
              <w:tabs>
                <w:tab w:val="left" w:pos="4492"/>
              </w:tabs>
              <w:spacing w:line="300" w:lineRule="exact"/>
              <w:rPr>
                <w:rFonts w:ascii="宋体" w:hAnsi="宋体" w:cs="宋体"/>
                <w:szCs w:val="21"/>
              </w:rPr>
            </w:pPr>
          </w:p>
        </w:tc>
        <w:tc>
          <w:tcPr>
            <w:tcW w:w="9888" w:type="dxa"/>
            <w:tcBorders>
              <w:top w:val="single" w:color="auto" w:sz="4" w:space="0"/>
              <w:left w:val="single" w:color="auto" w:sz="2" w:space="0"/>
              <w:right w:val="single" w:color="auto" w:sz="2" w:space="0"/>
            </w:tcBorders>
            <w:vAlign w:val="center"/>
          </w:tcPr>
          <w:p>
            <w:pPr>
              <w:spacing w:line="276" w:lineRule="auto"/>
              <w:rPr>
                <w:rFonts w:ascii="宋体" w:hAnsi="宋体" w:cs="宋体"/>
                <w:szCs w:val="21"/>
              </w:rPr>
            </w:pPr>
            <w:r>
              <w:rPr>
                <w:rFonts w:hint="eastAsia" w:ascii="宋体" w:hAnsi="宋体" w:cs="宋体"/>
                <w:szCs w:val="21"/>
              </w:rPr>
              <w:t>五、客梯</w:t>
            </w:r>
            <w:r>
              <w:rPr>
                <w:rFonts w:hint="eastAsia" w:asciiTheme="minorEastAsia" w:hAnsiTheme="minorEastAsia" w:eastAsiaTheme="minorEastAsia" w:cstheme="minorEastAsia"/>
                <w:szCs w:val="21"/>
              </w:rPr>
              <w:t>其它主要</w:t>
            </w:r>
            <w:r>
              <w:rPr>
                <w:rFonts w:hint="eastAsia" w:ascii="宋体" w:hAnsi="宋体" w:cs="宋体"/>
                <w:szCs w:val="21"/>
              </w:rPr>
              <w:t>安全部件配置评价（</w:t>
            </w:r>
            <w:r>
              <w:rPr>
                <w:rFonts w:ascii="宋体" w:hAnsi="宋体" w:cs="宋体"/>
                <w:szCs w:val="21"/>
              </w:rPr>
              <w:t>5</w:t>
            </w:r>
            <w:r>
              <w:rPr>
                <w:rFonts w:hint="eastAsia" w:ascii="宋体" w:hAnsi="宋体" w:cs="宋体"/>
                <w:szCs w:val="21"/>
              </w:rPr>
              <w:t>分）</w:t>
            </w:r>
          </w:p>
          <w:p>
            <w:pPr>
              <w:spacing w:line="276" w:lineRule="auto"/>
              <w:rPr>
                <w:rFonts w:ascii="宋体" w:hAnsi="宋体" w:cs="宋体"/>
                <w:szCs w:val="21"/>
              </w:rPr>
            </w:pPr>
            <w:r>
              <w:rPr>
                <w:rFonts w:hint="eastAsia" w:ascii="宋体" w:hAnsi="宋体" w:cs="宋体"/>
                <w:szCs w:val="21"/>
              </w:rPr>
              <w:t>所投客梯安全部件（</w:t>
            </w:r>
            <w:r>
              <w:rPr>
                <w:rFonts w:hint="eastAsia" w:asciiTheme="minorEastAsia" w:hAnsiTheme="minorEastAsia" w:eastAsiaTheme="minorEastAsia" w:cstheme="minorEastAsia"/>
                <w:szCs w:val="21"/>
              </w:rPr>
              <w:t>光幕、安全钳、限速器、门锁、缓冲器等</w:t>
            </w:r>
            <w:r>
              <w:rPr>
                <w:rFonts w:hint="eastAsia" w:ascii="宋体" w:hAnsi="宋体" w:cs="宋体"/>
                <w:szCs w:val="21"/>
              </w:rPr>
              <w:t>）性能好、安全可靠进行评议，每项满足的得</w:t>
            </w:r>
            <w:r>
              <w:rPr>
                <w:rFonts w:ascii="宋体" w:hAnsi="宋体" w:cs="宋体"/>
                <w:szCs w:val="21"/>
              </w:rPr>
              <w:t>1</w:t>
            </w:r>
            <w:r>
              <w:rPr>
                <w:rFonts w:hint="eastAsia" w:ascii="宋体" w:hAnsi="宋体" w:cs="宋体"/>
                <w:szCs w:val="21"/>
              </w:rPr>
              <w:t>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6" w:type="dxa"/>
            <w:vMerge w:val="continue"/>
            <w:tcBorders>
              <w:left w:val="single" w:color="auto" w:sz="4" w:space="0"/>
              <w:right w:val="single" w:color="auto" w:sz="2" w:space="0"/>
            </w:tcBorders>
            <w:vAlign w:val="center"/>
          </w:tcPr>
          <w:p>
            <w:pPr>
              <w:tabs>
                <w:tab w:val="left" w:pos="4492"/>
              </w:tabs>
              <w:spacing w:line="300" w:lineRule="exact"/>
              <w:rPr>
                <w:rFonts w:ascii="宋体" w:hAnsi="宋体" w:cs="宋体"/>
                <w:szCs w:val="21"/>
              </w:rPr>
            </w:pPr>
          </w:p>
        </w:tc>
        <w:tc>
          <w:tcPr>
            <w:tcW w:w="9888" w:type="dxa"/>
            <w:tcBorders>
              <w:top w:val="single" w:color="auto" w:sz="4" w:space="0"/>
              <w:left w:val="single" w:color="auto" w:sz="2" w:space="0"/>
              <w:right w:val="single" w:color="auto" w:sz="2" w:space="0"/>
            </w:tcBorders>
            <w:vAlign w:val="center"/>
          </w:tcPr>
          <w:p>
            <w:pPr>
              <w:tabs>
                <w:tab w:val="left" w:pos="4492"/>
              </w:tabs>
              <w:spacing w:line="300" w:lineRule="exact"/>
              <w:rPr>
                <w:rFonts w:ascii="宋体" w:hAnsi="宋体" w:cs="宋体"/>
                <w:szCs w:val="21"/>
              </w:rPr>
            </w:pPr>
            <w:r>
              <w:rPr>
                <w:rFonts w:hint="eastAsia" w:ascii="宋体" w:hAnsi="宋体" w:cs="宋体"/>
                <w:szCs w:val="21"/>
              </w:rPr>
              <w:t>六、</w:t>
            </w:r>
            <w:r>
              <w:rPr>
                <w:rFonts w:hint="eastAsia" w:asciiTheme="minorEastAsia" w:hAnsiTheme="minorEastAsia" w:eastAsiaTheme="minorEastAsia" w:cstheme="minorEastAsia"/>
                <w:szCs w:val="21"/>
              </w:rPr>
              <w:t>所投垂直电梯的运行可靠性、曳引机防护等级进行评议</w:t>
            </w:r>
            <w:r>
              <w:rPr>
                <w:rFonts w:hint="eastAsia" w:ascii="宋体" w:hAnsi="宋体" w:cs="宋体"/>
                <w:szCs w:val="21"/>
              </w:rPr>
              <w:t>（</w:t>
            </w:r>
            <w:r>
              <w:rPr>
                <w:rFonts w:ascii="宋体" w:hAnsi="宋体" w:cs="宋体"/>
                <w:szCs w:val="21"/>
              </w:rPr>
              <w:t>3</w:t>
            </w:r>
            <w:r>
              <w:rPr>
                <w:rFonts w:hint="eastAsia" w:ascii="宋体" w:hAnsi="宋体" w:cs="宋体"/>
                <w:szCs w:val="21"/>
              </w:rPr>
              <w:t>分）</w:t>
            </w:r>
          </w:p>
          <w:p>
            <w:pPr>
              <w:tabs>
                <w:tab w:val="left" w:pos="4492"/>
              </w:tabs>
              <w:spacing w:line="3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对电梯能保证正常工作的情况下供电电压的最大波动范围、雷击浪涌抗扰度波动范围、曳引机防护等级情况进行评议，</w:t>
            </w:r>
            <w:r>
              <w:rPr>
                <w:rFonts w:hint="eastAsia" w:ascii="宋体" w:hAnsi="宋体" w:cs="宋体"/>
                <w:szCs w:val="21"/>
              </w:rPr>
              <w:t>其中一项满足的得</w:t>
            </w:r>
            <w:r>
              <w:rPr>
                <w:rFonts w:ascii="宋体" w:hAnsi="宋体" w:cs="宋体"/>
                <w:szCs w:val="21"/>
              </w:rPr>
              <w:t>1</w:t>
            </w:r>
            <w:r>
              <w:rPr>
                <w:rFonts w:hint="eastAsia" w:ascii="宋体" w:hAnsi="宋体" w:cs="宋体"/>
                <w:szCs w:val="21"/>
              </w:rPr>
              <w:t>分，共</w:t>
            </w:r>
            <w:r>
              <w:rPr>
                <w:rFonts w:ascii="宋体" w:hAnsi="宋体" w:cs="宋体"/>
                <w:szCs w:val="21"/>
              </w:rPr>
              <w:t>3</w:t>
            </w:r>
            <w:r>
              <w:rPr>
                <w:rFonts w:hint="eastAsia" w:ascii="宋体" w:hAnsi="宋体" w:cs="宋体"/>
                <w:szCs w:val="21"/>
              </w:rPr>
              <w:t>分</w:t>
            </w:r>
            <w:r>
              <w:rPr>
                <w:rFonts w:hint="eastAsia" w:asciiTheme="minorEastAsia" w:hAnsiTheme="minorEastAsia" w:eastAsiaTheme="minorEastAsia" w:cstheme="minorEastAsia"/>
                <w:szCs w:val="21"/>
              </w:rPr>
              <w:t>。（投标文件中提供型式试验报告或委托检测报告复印件加盖公章，否则证明材料不予认可。）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426" w:type="dxa"/>
            <w:vMerge w:val="continue"/>
            <w:tcBorders>
              <w:left w:val="single" w:color="auto" w:sz="4" w:space="0"/>
              <w:right w:val="single" w:color="auto" w:sz="2" w:space="0"/>
            </w:tcBorders>
            <w:vAlign w:val="center"/>
          </w:tcPr>
          <w:p>
            <w:pPr>
              <w:tabs>
                <w:tab w:val="left" w:pos="4492"/>
              </w:tabs>
              <w:spacing w:line="300" w:lineRule="exact"/>
              <w:rPr>
                <w:rFonts w:ascii="宋体" w:hAnsi="宋体" w:cs="宋体"/>
                <w:szCs w:val="21"/>
              </w:rPr>
            </w:pPr>
          </w:p>
        </w:tc>
        <w:tc>
          <w:tcPr>
            <w:tcW w:w="9888" w:type="dxa"/>
            <w:tcBorders>
              <w:top w:val="single" w:color="auto" w:sz="4" w:space="0"/>
              <w:left w:val="single" w:color="auto" w:sz="2" w:space="0"/>
              <w:right w:val="single" w:color="auto" w:sz="2" w:space="0"/>
            </w:tcBorders>
            <w:vAlign w:val="center"/>
          </w:tcPr>
          <w:p>
            <w:pPr>
              <w:spacing w:line="276" w:lineRule="auto"/>
              <w:rPr>
                <w:rFonts w:ascii="宋体" w:hAnsi="宋体" w:cs="宋体"/>
                <w:szCs w:val="21"/>
              </w:rPr>
            </w:pPr>
            <w:r>
              <w:rPr>
                <w:rFonts w:hint="eastAsia" w:ascii="宋体" w:hAnsi="宋体" w:cs="宋体"/>
                <w:szCs w:val="21"/>
              </w:rPr>
              <w:t>七、所投电梯制造商研发能力（</w:t>
            </w:r>
            <w:r>
              <w:rPr>
                <w:rFonts w:ascii="宋体" w:hAnsi="宋体" w:cs="宋体"/>
                <w:szCs w:val="21"/>
              </w:rPr>
              <w:t>3</w:t>
            </w:r>
            <w:r>
              <w:rPr>
                <w:rFonts w:hint="eastAsia" w:ascii="宋体" w:hAnsi="宋体" w:cs="宋体"/>
                <w:szCs w:val="21"/>
              </w:rPr>
              <w:t>分）</w:t>
            </w:r>
          </w:p>
          <w:p>
            <w:pPr>
              <w:spacing w:line="276" w:lineRule="auto"/>
              <w:rPr>
                <w:rFonts w:ascii="宋体" w:hAnsi="宋体" w:cs="宋体"/>
                <w:szCs w:val="21"/>
              </w:rPr>
            </w:pPr>
            <w:r>
              <w:rPr>
                <w:rFonts w:hint="eastAsia" w:ascii="宋体" w:hAnsi="宋体" w:cs="宋体"/>
                <w:szCs w:val="21"/>
              </w:rPr>
              <w:t>1、所投品牌客梯制造商设有实验室并通过中国合格评定国家认可委员会评审且根据实验室的成熟度进行评议（</w:t>
            </w:r>
            <w:r>
              <w:rPr>
                <w:rFonts w:ascii="宋体" w:hAnsi="宋体" w:cs="宋体"/>
                <w:szCs w:val="21"/>
              </w:rPr>
              <w:t>1</w:t>
            </w:r>
            <w:r>
              <w:rPr>
                <w:rFonts w:hint="eastAsia" w:ascii="宋体" w:hAnsi="宋体" w:cs="宋体"/>
                <w:szCs w:val="21"/>
              </w:rPr>
              <w:t>分）；（提供中国合格评定国家认可委员会评审实验室认可证书的得</w:t>
            </w:r>
            <w:r>
              <w:rPr>
                <w:rFonts w:ascii="宋体" w:hAnsi="宋体" w:cs="宋体"/>
                <w:szCs w:val="21"/>
              </w:rPr>
              <w:t>1</w:t>
            </w:r>
            <w:r>
              <w:rPr>
                <w:rFonts w:hint="eastAsia" w:ascii="宋体" w:hAnsi="宋体" w:cs="宋体"/>
                <w:szCs w:val="21"/>
              </w:rPr>
              <w:t>分，其余不得分。）</w:t>
            </w:r>
          </w:p>
          <w:p>
            <w:pPr>
              <w:spacing w:line="276" w:lineRule="auto"/>
              <w:rPr>
                <w:rFonts w:ascii="宋体" w:hAnsi="宋体" w:cs="宋体"/>
                <w:szCs w:val="21"/>
              </w:rPr>
            </w:pPr>
            <w:r>
              <w:rPr>
                <w:rFonts w:hint="eastAsia" w:ascii="宋体" w:hAnsi="宋体" w:cs="宋体"/>
                <w:szCs w:val="21"/>
              </w:rPr>
              <w:t>2、对所投品牌电梯制造商试运行及调试电梯稳定性和安全性的测试平台进行评议（</w:t>
            </w:r>
            <w:r>
              <w:rPr>
                <w:rFonts w:ascii="宋体" w:hAnsi="宋体" w:cs="宋体"/>
                <w:szCs w:val="21"/>
              </w:rPr>
              <w:t>2</w:t>
            </w:r>
            <w:r>
              <w:rPr>
                <w:rFonts w:hint="eastAsia" w:ascii="宋体" w:hAnsi="宋体" w:cs="宋体"/>
                <w:szCs w:val="21"/>
              </w:rPr>
              <w:t>分）。（投标文件中提供自建试验塔高度的建设工程规划条件核实测量的相关证明材料复印件得2分，其余不得分。）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426" w:type="dxa"/>
            <w:vMerge w:val="continue"/>
            <w:tcBorders>
              <w:left w:val="single" w:color="auto" w:sz="4" w:space="0"/>
              <w:right w:val="single" w:color="auto" w:sz="2" w:space="0"/>
            </w:tcBorders>
            <w:textDirection w:val="tbRlV"/>
            <w:vAlign w:val="center"/>
          </w:tcPr>
          <w:p>
            <w:pPr>
              <w:tabs>
                <w:tab w:val="left" w:pos="4492"/>
              </w:tabs>
              <w:spacing w:line="300" w:lineRule="exact"/>
              <w:rPr>
                <w:rFonts w:ascii="宋体" w:hAnsi="宋体" w:cs="宋体"/>
                <w:szCs w:val="21"/>
              </w:rPr>
            </w:pPr>
          </w:p>
        </w:tc>
        <w:tc>
          <w:tcPr>
            <w:tcW w:w="9888" w:type="dxa"/>
            <w:tcBorders>
              <w:top w:val="single" w:color="auto" w:sz="4" w:space="0"/>
              <w:left w:val="single" w:color="auto" w:sz="2" w:space="0"/>
              <w:right w:val="single" w:color="auto" w:sz="2" w:space="0"/>
            </w:tcBorders>
            <w:vAlign w:val="center"/>
          </w:tcPr>
          <w:p>
            <w:pPr>
              <w:tabs>
                <w:tab w:val="left" w:pos="4492"/>
              </w:tabs>
              <w:spacing w:line="300" w:lineRule="exact"/>
              <w:rPr>
                <w:rFonts w:ascii="宋体" w:hAnsi="宋体" w:cs="宋体"/>
                <w:szCs w:val="21"/>
              </w:rPr>
            </w:pPr>
            <w:r>
              <w:rPr>
                <w:rFonts w:hint="eastAsia" w:ascii="宋体" w:hAnsi="宋体" w:cs="宋体"/>
                <w:szCs w:val="21"/>
              </w:rPr>
              <w:t>八、履约能力评议（</w:t>
            </w:r>
            <w:r>
              <w:rPr>
                <w:rFonts w:ascii="宋体" w:hAnsi="宋体" w:cs="宋体"/>
                <w:szCs w:val="21"/>
              </w:rPr>
              <w:t>2</w:t>
            </w:r>
            <w:r>
              <w:rPr>
                <w:rFonts w:hint="eastAsia" w:ascii="宋体" w:hAnsi="宋体" w:cs="宋体"/>
                <w:szCs w:val="21"/>
              </w:rPr>
              <w:t>分）</w:t>
            </w:r>
          </w:p>
          <w:p>
            <w:pPr>
              <w:spacing w:line="276" w:lineRule="auto"/>
              <w:rPr>
                <w:rFonts w:ascii="宋体" w:hAnsi="宋体" w:cs="宋体"/>
                <w:szCs w:val="21"/>
              </w:rPr>
            </w:pPr>
            <w:r>
              <w:rPr>
                <w:rFonts w:hint="eastAsia" w:ascii="宋体" w:hAnsi="宋体" w:cs="宋体"/>
                <w:szCs w:val="21"/>
              </w:rPr>
              <w:t>投标人2018年1月1日以来承担过类似项目业绩的每个得</w:t>
            </w:r>
            <w:r>
              <w:rPr>
                <w:rFonts w:ascii="宋体" w:hAnsi="宋体" w:cs="宋体"/>
                <w:szCs w:val="21"/>
              </w:rPr>
              <w:t>1</w:t>
            </w:r>
            <w:r>
              <w:rPr>
                <w:rFonts w:hint="eastAsia" w:ascii="宋体" w:hAnsi="宋体" w:cs="宋体"/>
                <w:szCs w:val="21"/>
              </w:rPr>
              <w:t>分，共</w:t>
            </w:r>
            <w:r>
              <w:rPr>
                <w:rFonts w:ascii="宋体" w:hAnsi="宋体" w:cs="宋体"/>
                <w:szCs w:val="21"/>
              </w:rPr>
              <w:t>2</w:t>
            </w:r>
            <w:r>
              <w:rPr>
                <w:rFonts w:hint="eastAsia" w:ascii="宋体" w:hAnsi="宋体" w:cs="宋体"/>
                <w:szCs w:val="21"/>
              </w:rPr>
              <w:t>分。（投标文件中提供合同，时间以合同签订时间为准。）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426" w:type="dxa"/>
            <w:vMerge w:val="continue"/>
            <w:tcBorders>
              <w:left w:val="single" w:color="auto" w:sz="4" w:space="0"/>
              <w:right w:val="single" w:color="auto" w:sz="2" w:space="0"/>
            </w:tcBorders>
            <w:textDirection w:val="tbRlV"/>
            <w:vAlign w:val="center"/>
          </w:tcPr>
          <w:p>
            <w:pPr>
              <w:tabs>
                <w:tab w:val="left" w:pos="4492"/>
              </w:tabs>
              <w:spacing w:line="300" w:lineRule="exact"/>
              <w:rPr>
                <w:rFonts w:ascii="宋体" w:hAnsi="宋体" w:cs="宋体"/>
                <w:szCs w:val="21"/>
              </w:rPr>
            </w:pPr>
          </w:p>
        </w:tc>
        <w:tc>
          <w:tcPr>
            <w:tcW w:w="9888" w:type="dxa"/>
            <w:tcBorders>
              <w:top w:val="single" w:color="auto" w:sz="4" w:space="0"/>
              <w:left w:val="single" w:color="auto" w:sz="2" w:space="0"/>
              <w:right w:val="single" w:color="auto" w:sz="2" w:space="0"/>
            </w:tcBorders>
            <w:vAlign w:val="center"/>
          </w:tcPr>
          <w:p>
            <w:pPr>
              <w:spacing w:line="276" w:lineRule="auto"/>
              <w:rPr>
                <w:rFonts w:ascii="宋体" w:hAnsi="宋体" w:cs="宋体"/>
                <w:szCs w:val="21"/>
              </w:rPr>
            </w:pPr>
            <w:r>
              <w:rPr>
                <w:rFonts w:hint="eastAsia" w:ascii="宋体" w:hAnsi="宋体" w:cs="宋体"/>
                <w:szCs w:val="21"/>
              </w:rPr>
              <w:t>九、所投电梯节能环保情况评估（2分）</w:t>
            </w:r>
          </w:p>
          <w:p>
            <w:pPr>
              <w:spacing w:line="276" w:lineRule="auto"/>
              <w:rPr>
                <w:rFonts w:ascii="宋体" w:hAnsi="宋体" w:cs="宋体"/>
                <w:color w:val="FF0000"/>
                <w:szCs w:val="21"/>
              </w:rPr>
            </w:pPr>
            <w:r>
              <w:rPr>
                <w:rFonts w:hint="eastAsia" w:ascii="宋体" w:hAnsi="宋体" w:cs="宋体"/>
                <w:szCs w:val="21"/>
              </w:rPr>
              <w:t>投标机型能提供VDI4707、ISO25745出具的节能证书，根据能耗分级等级打分，每提供一份A级的得1分，B级的得0.5分，其余不得分。（提供证书复印件加盖公章。）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426" w:type="dxa"/>
            <w:vMerge w:val="continue"/>
            <w:tcBorders>
              <w:left w:val="single" w:color="auto" w:sz="4" w:space="0"/>
              <w:right w:val="single" w:color="auto" w:sz="2" w:space="0"/>
            </w:tcBorders>
            <w:textDirection w:val="tbRlV"/>
            <w:vAlign w:val="center"/>
          </w:tcPr>
          <w:p>
            <w:pPr>
              <w:tabs>
                <w:tab w:val="left" w:pos="4492"/>
              </w:tabs>
              <w:spacing w:line="300" w:lineRule="exact"/>
              <w:rPr>
                <w:rFonts w:ascii="宋体" w:hAnsi="宋体" w:cs="宋体"/>
                <w:szCs w:val="21"/>
              </w:rPr>
            </w:pPr>
          </w:p>
        </w:tc>
        <w:tc>
          <w:tcPr>
            <w:tcW w:w="9888" w:type="dxa"/>
            <w:tcBorders>
              <w:top w:val="single" w:color="auto" w:sz="4" w:space="0"/>
              <w:left w:val="single" w:color="auto" w:sz="2" w:space="0"/>
              <w:right w:val="single" w:color="auto" w:sz="2" w:space="0"/>
            </w:tcBorders>
            <w:vAlign w:val="center"/>
          </w:tcPr>
          <w:p>
            <w:pPr>
              <w:spacing w:line="276" w:lineRule="auto"/>
              <w:rPr>
                <w:rFonts w:ascii="宋体" w:hAnsi="宋体" w:cs="宋体"/>
                <w:szCs w:val="21"/>
              </w:rPr>
            </w:pPr>
            <w:r>
              <w:rPr>
                <w:rFonts w:hint="eastAsia" w:ascii="宋体" w:hAnsi="宋体" w:cs="宋体"/>
                <w:szCs w:val="21"/>
              </w:rPr>
              <w:t>十、安装能力评议（4分）</w:t>
            </w:r>
          </w:p>
          <w:p>
            <w:pPr>
              <w:numPr>
                <w:ilvl w:val="0"/>
                <w:numId w:val="4"/>
              </w:numPr>
              <w:tabs>
                <w:tab w:val="left" w:pos="4492"/>
              </w:tabs>
              <w:spacing w:line="300" w:lineRule="exact"/>
              <w:rPr>
                <w:rFonts w:ascii="宋体" w:hAnsi="宋体" w:cs="宋体"/>
                <w:szCs w:val="21"/>
              </w:rPr>
            </w:pPr>
            <w:r>
              <w:rPr>
                <w:rFonts w:hint="eastAsia" w:ascii="宋体" w:hAnsi="宋体" w:cs="宋体"/>
                <w:szCs w:val="21"/>
              </w:rPr>
              <w:t>所投品牌电梯制造商或其分支机构承诺为本项目提供安装的得2分；（投标文件中提供承诺书及安装资质证明文件并加盖制造商公章，否则证明材料不予认可。）</w:t>
            </w:r>
          </w:p>
          <w:p>
            <w:pPr>
              <w:numPr>
                <w:ilvl w:val="0"/>
                <w:numId w:val="4"/>
              </w:numPr>
              <w:tabs>
                <w:tab w:val="left" w:pos="4492"/>
              </w:tabs>
              <w:spacing w:line="300" w:lineRule="exact"/>
              <w:rPr>
                <w:rFonts w:ascii="宋体" w:hAnsi="宋体" w:cs="宋体"/>
                <w:szCs w:val="21"/>
              </w:rPr>
            </w:pPr>
            <w:r>
              <w:rPr>
                <w:rFonts w:hint="eastAsia" w:ascii="宋体" w:hAnsi="宋体" w:cs="宋体"/>
                <w:szCs w:val="21"/>
              </w:rPr>
              <w:t>为本项目提供安装的单位自2017年1月1日以来年获得过行政主管部门</w:t>
            </w:r>
            <w:r>
              <w:rPr>
                <w:rFonts w:hint="eastAsia"/>
                <w:szCs w:val="21"/>
              </w:rPr>
              <w:t>或行业的表彰或荣誉的每年度得1分，最多得2分。</w:t>
            </w:r>
            <w:r>
              <w:rPr>
                <w:rFonts w:hint="eastAsia" w:ascii="宋体" w:hAnsi="宋体" w:cs="宋体"/>
                <w:szCs w:val="21"/>
              </w:rPr>
              <w:t>（投标文件中提供宁波市特种设备行业安装优胜评定文件。）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26" w:type="dxa"/>
            <w:vMerge w:val="continue"/>
            <w:tcBorders>
              <w:left w:val="single" w:color="auto" w:sz="4" w:space="0"/>
              <w:right w:val="single" w:color="auto" w:sz="2" w:space="0"/>
            </w:tcBorders>
            <w:textDirection w:val="tbRlV"/>
            <w:vAlign w:val="center"/>
          </w:tcPr>
          <w:p>
            <w:pPr>
              <w:tabs>
                <w:tab w:val="left" w:pos="4492"/>
              </w:tabs>
              <w:spacing w:line="300" w:lineRule="exact"/>
              <w:rPr>
                <w:rFonts w:ascii="宋体" w:hAnsi="宋体" w:cs="宋体"/>
                <w:szCs w:val="21"/>
              </w:rPr>
            </w:pPr>
          </w:p>
        </w:tc>
        <w:tc>
          <w:tcPr>
            <w:tcW w:w="9888" w:type="dxa"/>
            <w:tcBorders>
              <w:top w:val="single" w:color="auto" w:sz="4" w:space="0"/>
              <w:left w:val="single" w:color="auto" w:sz="2" w:space="0"/>
              <w:bottom w:val="single" w:color="auto" w:sz="2" w:space="0"/>
              <w:right w:val="single" w:color="auto" w:sz="2" w:space="0"/>
            </w:tcBorders>
            <w:vAlign w:val="center"/>
          </w:tcPr>
          <w:p>
            <w:pPr>
              <w:tabs>
                <w:tab w:val="left" w:pos="4492"/>
              </w:tabs>
              <w:spacing w:line="300" w:lineRule="exact"/>
              <w:rPr>
                <w:rFonts w:ascii="宋体" w:hAnsi="宋体" w:cs="宋体"/>
                <w:szCs w:val="21"/>
              </w:rPr>
            </w:pPr>
            <w:r>
              <w:rPr>
                <w:rFonts w:hint="eastAsia" w:ascii="宋体" w:hAnsi="宋体" w:cs="宋体"/>
                <w:szCs w:val="21"/>
              </w:rPr>
              <w:t>十一、维保能力评议（7分）</w:t>
            </w:r>
          </w:p>
          <w:p>
            <w:pPr>
              <w:tabs>
                <w:tab w:val="left" w:pos="4492"/>
              </w:tabs>
              <w:spacing w:line="300" w:lineRule="exact"/>
              <w:rPr>
                <w:rFonts w:ascii="宋体" w:hAnsi="宋体" w:cs="宋体"/>
                <w:szCs w:val="21"/>
              </w:rPr>
            </w:pPr>
            <w:r>
              <w:rPr>
                <w:rFonts w:hint="eastAsia" w:ascii="宋体" w:hAnsi="宋体" w:cs="宋体"/>
                <w:szCs w:val="21"/>
              </w:rPr>
              <w:t>1、维保单位（2分）</w:t>
            </w:r>
          </w:p>
          <w:p>
            <w:pPr>
              <w:tabs>
                <w:tab w:val="left" w:pos="4492"/>
              </w:tabs>
              <w:spacing w:line="300" w:lineRule="exact"/>
              <w:rPr>
                <w:rFonts w:ascii="宋体" w:hAnsi="宋体" w:cs="宋体"/>
                <w:szCs w:val="21"/>
              </w:rPr>
            </w:pPr>
            <w:r>
              <w:rPr>
                <w:rFonts w:hint="eastAsia" w:ascii="宋体" w:hAnsi="宋体" w:cs="宋体"/>
                <w:szCs w:val="21"/>
              </w:rPr>
              <w:t>所投品牌制造商或其分支机构承诺为本项目进行维保的得2分；（投标文件中提供承诺书、维保资质证明文件并加盖制造商公章，外地维保单位还需提供维保备案证明，否则证明材料不予认可。）</w:t>
            </w:r>
          </w:p>
          <w:p>
            <w:pPr>
              <w:tabs>
                <w:tab w:val="left" w:pos="4492"/>
              </w:tabs>
              <w:spacing w:line="300" w:lineRule="exact"/>
              <w:rPr>
                <w:rFonts w:ascii="宋体" w:hAnsi="宋体" w:cs="宋体"/>
                <w:szCs w:val="21"/>
              </w:rPr>
            </w:pPr>
            <w:r>
              <w:rPr>
                <w:rFonts w:hint="eastAsia" w:ascii="宋体" w:hAnsi="宋体" w:cs="宋体"/>
                <w:szCs w:val="21"/>
              </w:rPr>
              <w:t>2、维保质量（5分）</w:t>
            </w:r>
          </w:p>
          <w:p>
            <w:pPr>
              <w:tabs>
                <w:tab w:val="left" w:pos="4492"/>
              </w:tabs>
              <w:spacing w:line="300" w:lineRule="exact"/>
              <w:rPr>
                <w:szCs w:val="21"/>
              </w:rPr>
            </w:pPr>
            <w:r>
              <w:rPr>
                <w:rFonts w:hint="eastAsia" w:ascii="宋体" w:hAnsi="宋体" w:cs="宋体"/>
                <w:szCs w:val="21"/>
              </w:rPr>
              <w:t>为本项目提供维保的单位在宁波市市场监督管理局关于201</w:t>
            </w:r>
            <w:r>
              <w:rPr>
                <w:rFonts w:ascii="宋体" w:hAnsi="宋体" w:cs="宋体"/>
                <w:szCs w:val="21"/>
              </w:rPr>
              <w:t>9</w:t>
            </w:r>
            <w:r>
              <w:rPr>
                <w:rFonts w:hint="eastAsia" w:ascii="宋体" w:hAnsi="宋体" w:cs="宋体"/>
                <w:szCs w:val="21"/>
              </w:rPr>
              <w:t>-202</w:t>
            </w:r>
            <w:r>
              <w:rPr>
                <w:rFonts w:ascii="宋体" w:hAnsi="宋体" w:cs="宋体"/>
                <w:szCs w:val="21"/>
              </w:rPr>
              <w:t>3</w:t>
            </w:r>
            <w:r>
              <w:rPr>
                <w:rFonts w:hint="eastAsia" w:ascii="宋体" w:hAnsi="宋体" w:cs="宋体"/>
                <w:szCs w:val="21"/>
              </w:rPr>
              <w:t xml:space="preserve">年度全市电梯维保单位综合量化分类评定结果：按A、B、C、D四挡累计打分，年度评定为A的得1分；年度评定为B的扣1分；年度评定为C的扣2分；年度评定为D的扣3分。按五年考核累加。满分5分，扣完为止。（提供宁波市市场监督管理局相关证明材料复印件，当年度未提供的按D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426" w:type="dxa"/>
            <w:vMerge w:val="continue"/>
            <w:tcBorders>
              <w:left w:val="single" w:color="auto" w:sz="4" w:space="0"/>
              <w:right w:val="single" w:color="auto" w:sz="2" w:space="0"/>
            </w:tcBorders>
            <w:vAlign w:val="center"/>
          </w:tcPr>
          <w:p>
            <w:pPr>
              <w:spacing w:line="360" w:lineRule="exact"/>
              <w:jc w:val="left"/>
              <w:rPr>
                <w:rFonts w:ascii="宋体" w:hAnsi="宋体" w:cs="宋体"/>
                <w:szCs w:val="21"/>
              </w:rPr>
            </w:pPr>
          </w:p>
        </w:tc>
        <w:tc>
          <w:tcPr>
            <w:tcW w:w="9888" w:type="dxa"/>
            <w:tcBorders>
              <w:top w:val="single" w:color="auto" w:sz="4" w:space="0"/>
              <w:left w:val="single" w:color="auto" w:sz="2" w:space="0"/>
              <w:bottom w:val="single" w:color="auto" w:sz="2" w:space="0"/>
              <w:right w:val="single" w:color="auto" w:sz="2" w:space="0"/>
            </w:tcBorders>
            <w:vAlign w:val="center"/>
          </w:tcPr>
          <w:p>
            <w:pPr>
              <w:spacing w:line="360" w:lineRule="exact"/>
              <w:jc w:val="left"/>
              <w:rPr>
                <w:rFonts w:ascii="宋体" w:hAnsi="宋体" w:cs="宋体"/>
                <w:szCs w:val="21"/>
              </w:rPr>
            </w:pPr>
            <w:r>
              <w:rPr>
                <w:rFonts w:hint="eastAsia" w:ascii="宋体" w:hAnsi="宋体" w:cs="宋体"/>
                <w:szCs w:val="21"/>
              </w:rPr>
              <w:t>十二、政策加分（2分）</w:t>
            </w:r>
          </w:p>
          <w:p>
            <w:pPr>
              <w:tabs>
                <w:tab w:val="left" w:pos="4492"/>
              </w:tabs>
              <w:spacing w:line="300" w:lineRule="exact"/>
              <w:rPr>
                <w:rFonts w:ascii="宋体" w:hAnsi="宋体" w:cs="宋体"/>
                <w:szCs w:val="21"/>
              </w:rPr>
            </w:pPr>
            <w:r>
              <w:rPr>
                <w:rFonts w:hint="eastAsia" w:ascii="宋体" w:hAnsi="宋体" w:cs="宋体"/>
                <w:szCs w:val="21"/>
              </w:rPr>
              <w:t>（1）投标人是国家认定的少数民族地区企业的加1分。（提供证明文件）</w:t>
            </w:r>
          </w:p>
          <w:p>
            <w:pPr>
              <w:tabs>
                <w:tab w:val="left" w:pos="4492"/>
              </w:tabs>
              <w:spacing w:line="300" w:lineRule="exact"/>
              <w:rPr>
                <w:rFonts w:ascii="宋体" w:hAnsi="宋体" w:cs="宋体"/>
                <w:szCs w:val="21"/>
              </w:rPr>
            </w:pPr>
            <w:r>
              <w:rPr>
                <w:rFonts w:hint="eastAsia" w:ascii="宋体" w:hAnsi="宋体" w:cs="宋体"/>
                <w:szCs w:val="21"/>
              </w:rPr>
              <w:t>（2）节能产品、环境标志产品政策性因素得分（各0.5分）。投标产品如属于节能产品的得0.5分，投标产品如属于环境标志产品的得0.5分，投标人须提供由国家确定的认证机构出具的、处于有效期之内的节能产品、环境标志产品认证证书，未按要求提供认证证书或认证证书与中国政府采购网(www.ccgp.gov.cn) 节能产品、环境标志产品查询结果不相符的评标委员会将不予认可。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6" w:type="dxa"/>
            <w:tcBorders>
              <w:top w:val="single" w:color="auto" w:sz="4" w:space="0"/>
              <w:left w:val="single" w:color="auto" w:sz="4" w:space="0"/>
              <w:bottom w:val="single" w:color="auto" w:sz="4" w:space="0"/>
              <w:right w:val="single" w:color="auto" w:sz="2" w:space="0"/>
            </w:tcBorders>
            <w:tcMar>
              <w:left w:w="0" w:type="dxa"/>
              <w:right w:w="0" w:type="dxa"/>
            </w:tcMar>
            <w:vAlign w:val="center"/>
          </w:tcPr>
          <w:p>
            <w:pPr>
              <w:tabs>
                <w:tab w:val="left" w:pos="4492"/>
              </w:tabs>
              <w:spacing w:line="300" w:lineRule="exact"/>
              <w:rPr>
                <w:rFonts w:ascii="宋体" w:hAnsi="宋体" w:cs="宋体"/>
                <w:szCs w:val="21"/>
              </w:rPr>
            </w:pPr>
            <w:r>
              <w:rPr>
                <w:rFonts w:hint="eastAsia" w:ascii="宋体" w:hAnsi="宋体" w:cs="宋体"/>
                <w:szCs w:val="21"/>
              </w:rPr>
              <w:t>价格分</w:t>
            </w:r>
          </w:p>
          <w:p>
            <w:pPr>
              <w:tabs>
                <w:tab w:val="left" w:pos="4492"/>
              </w:tabs>
              <w:spacing w:line="300" w:lineRule="exact"/>
              <w:rPr>
                <w:rFonts w:ascii="宋体" w:hAnsi="宋体" w:cs="宋体"/>
                <w:szCs w:val="21"/>
              </w:rPr>
            </w:pPr>
            <w:r>
              <w:rPr>
                <w:rFonts w:hint="eastAsia" w:ascii="宋体" w:hAnsi="宋体" w:cs="宋体"/>
                <w:szCs w:val="21"/>
                <w:lang w:val="en-US" w:eastAsia="zh-CN"/>
              </w:rPr>
              <w:t>35</w:t>
            </w:r>
            <w:r>
              <w:rPr>
                <w:rFonts w:hint="eastAsia" w:ascii="宋体" w:hAnsi="宋体" w:cs="宋体"/>
                <w:szCs w:val="21"/>
              </w:rPr>
              <w:t>分</w:t>
            </w:r>
          </w:p>
        </w:tc>
        <w:tc>
          <w:tcPr>
            <w:tcW w:w="9888" w:type="dxa"/>
            <w:tcBorders>
              <w:top w:val="single" w:color="auto" w:sz="4" w:space="0"/>
              <w:left w:val="single" w:color="auto" w:sz="2" w:space="0"/>
              <w:bottom w:val="single" w:color="auto" w:sz="4" w:space="0"/>
              <w:right w:val="single" w:color="auto" w:sz="2" w:space="0"/>
            </w:tcBorders>
            <w:vAlign w:val="center"/>
          </w:tcPr>
          <w:p>
            <w:pPr>
              <w:tabs>
                <w:tab w:val="left" w:pos="4492"/>
              </w:tabs>
              <w:spacing w:line="276" w:lineRule="auto"/>
              <w:rPr>
                <w:rFonts w:ascii="宋体" w:hAnsi="宋体" w:cs="宋体"/>
                <w:szCs w:val="21"/>
              </w:rPr>
            </w:pPr>
            <w:r>
              <w:rPr>
                <w:rFonts w:hint="eastAsia" w:ascii="宋体" w:hAnsi="宋体" w:cs="宋体"/>
                <w:szCs w:val="21"/>
              </w:rPr>
              <w:t>满足采购文件要求且参与评审价格最低为评标基准价，其价格分为满分，其余投标人的价格分以下列公式计算：</w:t>
            </w:r>
          </w:p>
          <w:p>
            <w:pPr>
              <w:tabs>
                <w:tab w:val="left" w:pos="4492"/>
              </w:tabs>
              <w:spacing w:line="276" w:lineRule="auto"/>
              <w:rPr>
                <w:rFonts w:ascii="宋体" w:hAnsi="宋体" w:cs="宋体"/>
                <w:szCs w:val="21"/>
              </w:rPr>
            </w:pPr>
            <w:r>
              <w:rPr>
                <w:rFonts w:hint="eastAsia" w:ascii="宋体" w:hAnsi="宋体" w:cs="宋体"/>
                <w:szCs w:val="21"/>
              </w:rPr>
              <w:t>投标报价得分=（评标基准价/参与评审的价格）×价格权值×100。</w:t>
            </w:r>
          </w:p>
          <w:p>
            <w:pPr>
              <w:tabs>
                <w:tab w:val="left" w:pos="4492"/>
              </w:tabs>
              <w:spacing w:line="276" w:lineRule="auto"/>
              <w:rPr>
                <w:rFonts w:ascii="宋体" w:hAnsi="宋体" w:cs="宋体"/>
                <w:szCs w:val="21"/>
              </w:rPr>
            </w:pPr>
            <w:r>
              <w:rPr>
                <w:rFonts w:hint="eastAsia" w:ascii="宋体" w:hAnsi="宋体" w:cs="宋体"/>
                <w:szCs w:val="21"/>
              </w:rPr>
              <w:t>参与评审价格=投标价格×（1-小微企业价格扣除优惠值10%）</w:t>
            </w:r>
          </w:p>
        </w:tc>
      </w:tr>
    </w:tbl>
    <w:p>
      <w:pPr>
        <w:snapToGrid w:val="0"/>
        <w:spacing w:line="360" w:lineRule="auto"/>
        <w:rPr>
          <w:rFonts w:ascii="仿宋" w:hAnsi="仿宋" w:eastAsia="仿宋" w:cs="仿宋"/>
          <w:b/>
          <w:sz w:val="24"/>
        </w:rPr>
      </w:pPr>
      <w:r>
        <w:rPr>
          <w:rFonts w:hint="eastAsia" w:ascii="仿宋" w:hAnsi="仿宋" w:eastAsia="仿宋" w:cs="仿宋"/>
          <w:b/>
          <w:sz w:val="24"/>
        </w:rPr>
        <w:t>备注：</w:t>
      </w:r>
      <w:r>
        <w:rPr>
          <w:rFonts w:hint="eastAsia" w:ascii="仿宋" w:hAnsi="仿宋" w:eastAsia="仿宋" w:cs="仿宋"/>
          <w:kern w:val="0"/>
          <w:sz w:val="24"/>
          <w:lang w:val="zh-CN"/>
        </w:rPr>
        <w:t>供应商</w:t>
      </w:r>
      <w:r>
        <w:rPr>
          <w:rFonts w:hint="eastAsia" w:ascii="仿宋" w:hAnsi="仿宋" w:eastAsia="仿宋" w:cs="仿宋"/>
          <w:sz w:val="24"/>
        </w:rPr>
        <w:t>编制投标文件（商务技术文件部分）时，建议按此目录（序号和内容）提供评标标准相应的商务技术资料。 </w:t>
      </w:r>
    </w:p>
    <w:p>
      <w:pPr>
        <w:ind w:firstLine="2891" w:firstLineChars="900"/>
        <w:rPr>
          <w:rFonts w:ascii="仿宋" w:hAnsi="仿宋" w:eastAsia="仿宋" w:cs="仿宋"/>
          <w:b/>
          <w:sz w:val="32"/>
          <w:szCs w:val="32"/>
        </w:rPr>
      </w:pPr>
      <w:r>
        <w:rPr>
          <w:rFonts w:hint="eastAsia" w:ascii="仿宋" w:hAnsi="仿宋" w:eastAsia="仿宋" w:cs="仿宋"/>
          <w:b/>
          <w:sz w:val="32"/>
          <w:szCs w:val="32"/>
        </w:rPr>
        <w:t>一、评标方法</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w:t>
      </w:r>
      <w:r>
        <w:rPr>
          <w:rFonts w:hint="eastAsia" w:ascii="仿宋" w:hAnsi="仿宋" w:eastAsia="仿宋" w:cs="仿宋"/>
          <w:kern w:val="0"/>
          <w:sz w:val="24"/>
          <w:lang w:val="zh-CN"/>
        </w:rPr>
        <w:t>供应商</w:t>
      </w:r>
      <w:r>
        <w:rPr>
          <w:rFonts w:hint="eastAsia" w:ascii="仿宋" w:hAnsi="仿宋" w:eastAsia="仿宋" w:cs="仿宋"/>
          <w:kern w:val="0"/>
          <w:sz w:val="24"/>
        </w:rPr>
        <w:t>为中标候选人的评标方法。</w:t>
      </w:r>
    </w:p>
    <w:p>
      <w:pPr>
        <w:snapToGrid w:val="0"/>
        <w:spacing w:line="360" w:lineRule="auto"/>
        <w:ind w:left="120" w:leftChars="57" w:firstLine="482" w:firstLineChars="150"/>
        <w:jc w:val="center"/>
        <w:rPr>
          <w:rFonts w:ascii="仿宋" w:hAnsi="仿宋" w:eastAsia="仿宋" w:cs="仿宋"/>
          <w:b/>
          <w:sz w:val="32"/>
          <w:szCs w:val="32"/>
        </w:rPr>
      </w:pPr>
      <w:r>
        <w:rPr>
          <w:rFonts w:hint="eastAsia" w:ascii="仿宋" w:hAnsi="仿宋" w:eastAsia="仿宋" w:cs="仿宋"/>
          <w:b/>
          <w:sz w:val="32"/>
          <w:szCs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sz w:val="24"/>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napToGrid w:val="0"/>
        <w:spacing w:line="360" w:lineRule="auto"/>
        <w:ind w:left="120" w:leftChars="57" w:firstLine="482" w:firstLineChars="150"/>
        <w:jc w:val="center"/>
        <w:rPr>
          <w:rFonts w:ascii="仿宋" w:hAnsi="仿宋" w:eastAsia="仿宋" w:cs="仿宋"/>
          <w:b/>
          <w:sz w:val="24"/>
        </w:rPr>
      </w:pPr>
      <w:r>
        <w:rPr>
          <w:rFonts w:hint="eastAsia" w:ascii="仿宋" w:hAnsi="仿宋" w:eastAsia="仿宋" w:cs="仿宋"/>
          <w:b/>
          <w:sz w:val="32"/>
          <w:szCs w:val="32"/>
        </w:rPr>
        <w:t>三、评标程序</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3.1 符合性审查。</w:t>
      </w:r>
      <w:r>
        <w:rPr>
          <w:rFonts w:hint="eastAsia" w:ascii="仿宋" w:hAnsi="仿宋" w:eastAsia="仿宋" w:cs="仿宋"/>
          <w:kern w:val="0"/>
          <w:sz w:val="24"/>
        </w:rPr>
        <w:t>评标委员会应当对符合资格的</w:t>
      </w:r>
      <w:r>
        <w:rPr>
          <w:rFonts w:hint="eastAsia" w:ascii="仿宋" w:hAnsi="仿宋" w:eastAsia="仿宋" w:cs="仿宋"/>
          <w:kern w:val="0"/>
          <w:sz w:val="24"/>
          <w:lang w:val="zh-CN"/>
        </w:rPr>
        <w:t>供应商</w:t>
      </w:r>
      <w:r>
        <w:rPr>
          <w:rFonts w:hint="eastAsia" w:ascii="仿宋" w:hAnsi="仿宋" w:eastAsia="仿宋" w:cs="仿宋"/>
          <w:kern w:val="0"/>
          <w:sz w:val="24"/>
        </w:rPr>
        <w:t>的投标文件进行符合性审查，以确定其是否满足招标文件的实质性要求。不满足招标文件的实质性要求的，投标无效。</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3.2 商务技术评审。</w:t>
      </w:r>
      <w:r>
        <w:rPr>
          <w:rFonts w:hint="eastAsia" w:ascii="仿宋" w:hAnsi="仿宋" w:eastAsia="仿宋" w:cs="仿宋"/>
          <w:kern w:val="0"/>
          <w:sz w:val="24"/>
        </w:rPr>
        <w:t>评标委员会应当按照招标文件中规定的评标方法和标准，对符合性审查合格的投标文件进行商务和技术评估。</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3.3 汇总商务技术得分。</w:t>
      </w:r>
      <w:r>
        <w:rPr>
          <w:rFonts w:hint="eastAsia" w:ascii="仿宋" w:hAnsi="仿宋" w:eastAsia="仿宋" w:cs="仿宋"/>
          <w:kern w:val="0"/>
          <w:sz w:val="24"/>
        </w:rPr>
        <w:t>评标委员会各成员应当独立对每个</w:t>
      </w:r>
      <w:r>
        <w:rPr>
          <w:rFonts w:hint="eastAsia" w:ascii="仿宋" w:hAnsi="仿宋" w:eastAsia="仿宋" w:cs="仿宋"/>
          <w:kern w:val="0"/>
          <w:sz w:val="24"/>
          <w:lang w:val="zh-CN"/>
        </w:rPr>
        <w:t>供应商</w:t>
      </w:r>
      <w:r>
        <w:rPr>
          <w:rFonts w:hint="eastAsia" w:ascii="仿宋" w:hAnsi="仿宋" w:eastAsia="仿宋" w:cs="仿宋"/>
          <w:kern w:val="0"/>
          <w:sz w:val="24"/>
        </w:rPr>
        <w:t>的商务和技术文件进行评价，并汇总商务技术得分情况。</w:t>
      </w:r>
    </w:p>
    <w:p>
      <w:pPr>
        <w:spacing w:line="360" w:lineRule="auto"/>
        <w:ind w:firstLine="482" w:firstLineChars="200"/>
        <w:rPr>
          <w:rFonts w:ascii="仿宋" w:hAnsi="仿宋" w:eastAsia="仿宋" w:cs="仿宋"/>
          <w:b/>
          <w:kern w:val="0"/>
          <w:sz w:val="24"/>
        </w:rPr>
      </w:pPr>
      <w:r>
        <w:rPr>
          <w:rFonts w:hint="eastAsia" w:ascii="仿宋" w:hAnsi="仿宋" w:eastAsia="仿宋" w:cs="仿宋"/>
          <w:b/>
          <w:kern w:val="0"/>
          <w:sz w:val="24"/>
        </w:rPr>
        <w:t>3.4 报价评审。</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3.4.1投标文件报价出现前后不一致的，按照下列规定修正：</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3.4.1.1电子交易平台生成的开标记录表(报价表)内容与投标文件中开标一览表(报价表)不一致的，以投标文件中开标一览表(报价表)为准；</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3.4.1.2投标文件中开标一览表(报价表)内容与投标文件中相应内容不一致的，以开标一览表(报价表)为准；</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3.4.1.3 大写金额和小写金额不一致的，以大写金额为准;</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3.4.1.4 单价金额小数点或者百分比有明显错位的，以开标一览表的总价为准，并修改单价;</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3.4.1.5 总价金额与按单价汇总金额不一致的，以单价金额计算结果为准；</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3.4.1.6同时出现两种以上不一致的，按照3.4.1规定的顺序修正。修正后的报价按照财政部第87号令 《政府采购货物和服务招标投标管理办法》第五十一条第二款的规定经</w:t>
      </w:r>
      <w:r>
        <w:rPr>
          <w:rFonts w:hint="eastAsia" w:ascii="仿宋" w:hAnsi="仿宋" w:eastAsia="仿宋" w:cs="仿宋"/>
          <w:kern w:val="0"/>
          <w:szCs w:val="24"/>
          <w:lang w:val="zh-CN"/>
        </w:rPr>
        <w:t>供应商</w:t>
      </w:r>
      <w:r>
        <w:rPr>
          <w:rFonts w:hint="eastAsia" w:ascii="仿宋" w:hAnsi="仿宋" w:eastAsia="仿宋" w:cs="仿宋"/>
          <w:kern w:val="0"/>
          <w:szCs w:val="24"/>
        </w:rPr>
        <w:t>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45"/>
        <w:spacing w:before="0"/>
        <w:ind w:firstLine="480"/>
        <w:rPr>
          <w:rFonts w:ascii="仿宋" w:hAnsi="仿宋" w:eastAsia="仿宋" w:cs="仿宋"/>
          <w:kern w:val="0"/>
          <w:szCs w:val="24"/>
        </w:rPr>
      </w:pPr>
      <w:r>
        <w:rPr>
          <w:rFonts w:hint="eastAsia" w:ascii="仿宋" w:hAnsi="仿宋" w:eastAsia="仿宋" w:cs="仿宋"/>
          <w:kern w:val="0"/>
          <w:szCs w:val="24"/>
        </w:rPr>
        <w:t>3.4.4评标委员会认为</w:t>
      </w:r>
      <w:r>
        <w:rPr>
          <w:rFonts w:hint="eastAsia" w:ascii="仿宋" w:hAnsi="仿宋" w:eastAsia="仿宋" w:cs="仿宋"/>
          <w:kern w:val="0"/>
          <w:szCs w:val="24"/>
          <w:lang w:val="zh-CN"/>
        </w:rPr>
        <w:t>供应商</w:t>
      </w:r>
      <w:r>
        <w:rPr>
          <w:rFonts w:hint="eastAsia" w:ascii="仿宋" w:hAnsi="仿宋" w:eastAsia="仿宋" w:cs="仿宋"/>
          <w:kern w:val="0"/>
          <w:szCs w:val="24"/>
        </w:rPr>
        <w:t>的报价明显低于其他通过符合性审查</w:t>
      </w:r>
      <w:r>
        <w:rPr>
          <w:rFonts w:hint="eastAsia" w:ascii="仿宋" w:hAnsi="仿宋" w:eastAsia="仿宋" w:cs="仿宋"/>
          <w:kern w:val="0"/>
          <w:szCs w:val="24"/>
          <w:lang w:val="zh-CN"/>
        </w:rPr>
        <w:t>供应商</w:t>
      </w:r>
      <w:r>
        <w:rPr>
          <w:rFonts w:hint="eastAsia" w:ascii="仿宋" w:hAnsi="仿宋" w:eastAsia="仿宋" w:cs="仿宋"/>
          <w:kern w:val="0"/>
          <w:szCs w:val="24"/>
        </w:rPr>
        <w:t>的报价，有可能影响产品质量或者不能诚信履约的，应当要求其在30分钟内提供书面说明，必要时提交相关证明材料;</w:t>
      </w:r>
      <w:r>
        <w:rPr>
          <w:rFonts w:hint="eastAsia" w:ascii="仿宋" w:hAnsi="仿宋" w:eastAsia="仿宋" w:cs="仿宋"/>
          <w:kern w:val="0"/>
          <w:szCs w:val="24"/>
          <w:lang w:val="zh-CN"/>
        </w:rPr>
        <w:t>供应商</w:t>
      </w:r>
      <w:r>
        <w:rPr>
          <w:rFonts w:hint="eastAsia" w:ascii="仿宋" w:hAnsi="仿宋" w:eastAsia="仿宋" w:cs="仿宋"/>
          <w:kern w:val="0"/>
          <w:szCs w:val="24"/>
        </w:rPr>
        <w:t>不能证明其报价合理性的，评标委员会应当将其作为无效投标处理。</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ind w:left="120" w:leftChars="57" w:firstLine="482" w:firstLineChars="150"/>
        <w:jc w:val="center"/>
        <w:rPr>
          <w:rFonts w:ascii="仿宋" w:hAnsi="仿宋" w:eastAsia="仿宋" w:cs="仿宋"/>
          <w:b/>
          <w:sz w:val="24"/>
        </w:rPr>
      </w:pPr>
      <w:r>
        <w:rPr>
          <w:rFonts w:hint="eastAsia" w:ascii="仿宋" w:hAnsi="仿宋" w:eastAsia="仿宋" w:cs="仿宋"/>
          <w:b/>
          <w:sz w:val="32"/>
          <w:szCs w:val="32"/>
        </w:rPr>
        <w:t>四、评标中的其他事项</w:t>
      </w:r>
    </w:p>
    <w:p>
      <w:pPr>
        <w:pStyle w:val="45"/>
        <w:spacing w:before="0"/>
        <w:ind w:firstLine="482"/>
        <w:rPr>
          <w:rFonts w:ascii="仿宋" w:hAnsi="仿宋" w:eastAsia="仿宋" w:cs="仿宋"/>
          <w:kern w:val="0"/>
          <w:szCs w:val="24"/>
        </w:rPr>
      </w:pPr>
      <w:r>
        <w:rPr>
          <w:rFonts w:hint="eastAsia" w:ascii="仿宋" w:hAnsi="仿宋" w:eastAsia="仿宋" w:cs="仿宋"/>
          <w:b/>
          <w:kern w:val="0"/>
          <w:szCs w:val="24"/>
        </w:rPr>
        <w:t>4.1投标澄清、说明或者补正。</w:t>
      </w:r>
      <w:r>
        <w:rPr>
          <w:rFonts w:hint="eastAsia" w:ascii="仿宋" w:hAnsi="仿宋" w:eastAsia="仿宋" w:cs="仿宋"/>
          <w:kern w:val="0"/>
          <w:szCs w:val="24"/>
        </w:rPr>
        <w:t>对于投标文件中含义不明确、同类问题表述不一致或者有明显文字和计算错误的内容需要</w:t>
      </w:r>
      <w:r>
        <w:rPr>
          <w:rFonts w:hint="eastAsia" w:ascii="仿宋" w:hAnsi="仿宋" w:eastAsia="仿宋" w:cs="仿宋"/>
          <w:kern w:val="0"/>
          <w:szCs w:val="24"/>
          <w:lang w:val="zh-CN"/>
        </w:rPr>
        <w:t>供应商</w:t>
      </w:r>
      <w:r>
        <w:rPr>
          <w:rFonts w:hint="eastAsia" w:ascii="仿宋" w:hAnsi="仿宋" w:eastAsia="仿宋" w:cs="仿宋"/>
          <w:kern w:val="0"/>
          <w:szCs w:val="24"/>
        </w:rPr>
        <w:t>作出必要的澄清、说明或者补正的，评标委员会和</w:t>
      </w:r>
      <w:r>
        <w:rPr>
          <w:rFonts w:hint="eastAsia" w:ascii="仿宋" w:hAnsi="仿宋" w:eastAsia="仿宋" w:cs="仿宋"/>
          <w:kern w:val="0"/>
          <w:szCs w:val="24"/>
          <w:lang w:val="zh-CN"/>
        </w:rPr>
        <w:t>供应商</w:t>
      </w:r>
      <w:r>
        <w:rPr>
          <w:rFonts w:hint="eastAsia" w:ascii="仿宋" w:hAnsi="仿宋" w:eastAsia="仿宋" w:cs="仿宋"/>
          <w:kern w:val="0"/>
          <w:szCs w:val="24"/>
        </w:rPr>
        <w:t>通过电子交易平台交换数据电文，</w:t>
      </w:r>
      <w:r>
        <w:rPr>
          <w:rFonts w:hint="eastAsia" w:ascii="仿宋" w:hAnsi="仿宋" w:eastAsia="仿宋" w:cs="仿宋"/>
          <w:kern w:val="0"/>
          <w:szCs w:val="24"/>
          <w:lang w:val="zh-CN"/>
        </w:rPr>
        <w:t>供应商</w:t>
      </w:r>
      <w:r>
        <w:rPr>
          <w:rFonts w:hint="eastAsia" w:ascii="仿宋" w:hAnsi="仿宋" w:eastAsia="仿宋" w:cs="仿宋"/>
          <w:kern w:val="0"/>
          <w:szCs w:val="24"/>
        </w:rPr>
        <w:t>提交使用电子签名的相关数据电文或通过平台上传加盖公章的扫描件。给予</w:t>
      </w:r>
      <w:r>
        <w:rPr>
          <w:rFonts w:hint="eastAsia" w:ascii="仿宋" w:hAnsi="仿宋" w:eastAsia="仿宋" w:cs="仿宋"/>
          <w:kern w:val="0"/>
          <w:szCs w:val="24"/>
          <w:lang w:val="zh-CN"/>
        </w:rPr>
        <w:t>供应商</w:t>
      </w:r>
      <w:r>
        <w:rPr>
          <w:rFonts w:hint="eastAsia" w:ascii="仿宋" w:hAnsi="仿宋" w:eastAsia="仿宋" w:cs="仿宋"/>
          <w:kern w:val="0"/>
          <w:szCs w:val="24"/>
        </w:rPr>
        <w:t>提交澄清、说明或补正的时间不得少于半小时，</w:t>
      </w:r>
      <w:r>
        <w:rPr>
          <w:rFonts w:hint="eastAsia" w:ascii="仿宋" w:hAnsi="仿宋" w:eastAsia="仿宋" w:cs="仿宋"/>
          <w:kern w:val="0"/>
          <w:szCs w:val="24"/>
          <w:lang w:val="zh-CN"/>
        </w:rPr>
        <w:t>供应商</w:t>
      </w:r>
      <w:r>
        <w:rPr>
          <w:rFonts w:hint="eastAsia" w:ascii="仿宋" w:hAnsi="仿宋" w:eastAsia="仿宋" w:cs="仿宋"/>
          <w:kern w:val="0"/>
          <w:szCs w:val="24"/>
        </w:rPr>
        <w:t>已经明确表示澄清说明或补正完毕的除外。</w:t>
      </w:r>
      <w:r>
        <w:rPr>
          <w:rFonts w:hint="eastAsia" w:ascii="仿宋" w:hAnsi="仿宋" w:eastAsia="仿宋" w:cs="仿宋"/>
          <w:kern w:val="0"/>
          <w:szCs w:val="24"/>
          <w:lang w:val="zh-CN"/>
        </w:rPr>
        <w:t>供应商</w:t>
      </w:r>
      <w:r>
        <w:rPr>
          <w:rFonts w:hint="eastAsia" w:ascii="仿宋" w:hAnsi="仿宋" w:eastAsia="仿宋" w:cs="仿宋"/>
          <w:kern w:val="0"/>
          <w:szCs w:val="24"/>
        </w:rPr>
        <w:t>的澄清、说明或者补正不得超出投标文件的范围或者改变投标文件的实质性内容。</w:t>
      </w:r>
    </w:p>
    <w:p>
      <w:pPr>
        <w:pStyle w:val="11"/>
        <w:spacing w:line="360" w:lineRule="auto"/>
        <w:ind w:firstLine="482"/>
        <w:rPr>
          <w:rFonts w:ascii="仿宋" w:hAnsi="仿宋" w:eastAsia="仿宋" w:cs="仿宋"/>
        </w:rPr>
      </w:pPr>
      <w:r>
        <w:rPr>
          <w:rFonts w:hint="eastAsia" w:ascii="仿宋" w:hAnsi="仿宋" w:eastAsia="仿宋" w:cs="仿宋"/>
          <w:b/>
          <w:kern w:val="0"/>
        </w:rPr>
        <w:t>4.2投标无效的情形。</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 没有响应招标文件实质性要求的投标将被视为无效投标。</w:t>
      </w:r>
      <w:r>
        <w:rPr>
          <w:rFonts w:hint="eastAsia" w:ascii="仿宋" w:hAnsi="仿宋" w:eastAsia="仿宋" w:cs="仿宋"/>
          <w:kern w:val="0"/>
          <w:sz w:val="24"/>
          <w:lang w:val="zh-CN"/>
        </w:rPr>
        <w:t>供应商</w:t>
      </w:r>
      <w:r>
        <w:rPr>
          <w:rFonts w:hint="eastAsia" w:ascii="仿宋" w:hAnsi="仿宋" w:eastAsia="仿宋" w:cs="仿宋"/>
          <w:kern w:val="0"/>
          <w:sz w:val="24"/>
        </w:rPr>
        <w:t>不得通过修正或撤消不合要求的偏离或保留从而使其投标成为实质上响应的投标，但经评标委员会认定属于</w:t>
      </w:r>
      <w:r>
        <w:rPr>
          <w:rFonts w:hint="eastAsia" w:ascii="仿宋" w:hAnsi="仿宋" w:eastAsia="仿宋" w:cs="仿宋"/>
          <w:kern w:val="0"/>
          <w:sz w:val="24"/>
          <w:lang w:val="zh-CN"/>
        </w:rPr>
        <w:t>供应商</w:t>
      </w:r>
      <w:r>
        <w:rPr>
          <w:rFonts w:hint="eastAsia" w:ascii="仿宋" w:hAnsi="仿宋" w:eastAsia="仿宋" w:cs="仿宋"/>
          <w:kern w:val="0"/>
          <w:sz w:val="24"/>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hint="eastAsia" w:ascii="仿宋" w:hAnsi="仿宋" w:eastAsia="仿宋" w:cs="仿宋"/>
          <w:kern w:val="0"/>
          <w:sz w:val="24"/>
          <w:lang w:val="zh-CN"/>
        </w:rPr>
        <w:t>供应商</w:t>
      </w:r>
      <w:r>
        <w:rPr>
          <w:rFonts w:hint="eastAsia" w:ascii="仿宋" w:hAnsi="仿宋" w:eastAsia="仿宋" w:cs="仿宋"/>
          <w:kern w:val="0"/>
          <w:sz w:val="24"/>
        </w:rPr>
        <w:t>修改、补正投标文件后，不影响评标委员会对其投标文件所作的评价和评分结果。</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 在电子开评标时，如发现下列情形之一的，将被视为无效投标文件：</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4.2.2.1电子投标文件解密失败的；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4.2.2.2投标文件未按招标文件要求加密、签字、盖章的；（投标文件中加盖</w:t>
      </w:r>
      <w:r>
        <w:rPr>
          <w:rFonts w:hint="eastAsia" w:ascii="仿宋" w:hAnsi="仿宋" w:eastAsia="仿宋" w:cs="仿宋"/>
          <w:kern w:val="0"/>
          <w:sz w:val="24"/>
          <w:lang w:val="zh-CN"/>
        </w:rPr>
        <w:t>供应商</w:t>
      </w:r>
      <w:r>
        <w:rPr>
          <w:rFonts w:hint="eastAsia" w:ascii="仿宋" w:hAnsi="仿宋" w:eastAsia="仿宋" w:cs="仿宋"/>
          <w:kern w:val="0"/>
          <w:sz w:val="24"/>
        </w:rPr>
        <w:t>公章部分均须CA签章。）</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 在资格审查、符合性审查和商务评审时，如发现下列情形之一的，将被视为无效投标文件：</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4.2.3.1 资格证明文件不全的或者不符合招标文件标明的资格要求的；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4.2.3.2 投标文件未按招标文件要求签署、盖章的；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4.2.3.3 投标文件格式不规范、项目不齐全或者内容虚假的；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4.2.3.4 投标文件的实质性内容未使用中文表述、意思表述不明确、前后矛盾或者使用计量单位不符合招标文件要求的（经评标委员会认定并允许其当场更正的笔误除外）；</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4.2.3.5 投标有效期、交货时间、质保期等商务条款不能满足招标文件要求的；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4.2.3.6 带“▲”的条款不能满足招标文件要求、未实质性响应招标文件要求或者投标文件有采购人不能接受的附加条件的；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4.2.3.7 单位负责人为同一人或者存在直接控股、管理关系的不同供应商参加同一合同项下的政府采购活动的；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4.2.3.8 为采购项目提供整体设计、规范编制或者项目管理、监理、检测等服务的供应商参加该采购项目的其他采购活动的；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4.2.3.9 商务技术文件中出现本项目投标报价或单价的。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4.3.在技术评审时，如发现下列情形之一的，将被视为无效投标文件：</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4.3.1未提供或未如实提供投标货物的技术参数，或者投标文件标明的响应或偏离与事实不符或虚假投标的；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4.3.2 明显不符合招标文件要求的规格型号、质量标准，或者与招标文件中标“▲”的技术指标、主要功能项目发生实质性偏离的；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4.3.3 允许偏离的技术、性能指标或辅助功能项目发生负偏离达</w:t>
      </w:r>
      <w:r>
        <w:rPr>
          <w:rFonts w:hint="eastAsia" w:ascii="仿宋" w:hAnsi="仿宋" w:eastAsia="仿宋" w:cs="仿宋"/>
          <w:kern w:val="0"/>
          <w:sz w:val="24"/>
          <w:lang w:val="en-US" w:eastAsia="zh-CN"/>
        </w:rPr>
        <w:t>20</w:t>
      </w:r>
      <w:r>
        <w:rPr>
          <w:rFonts w:hint="eastAsia" w:ascii="仿宋" w:hAnsi="仿宋" w:eastAsia="仿宋" w:cs="仿宋"/>
          <w:kern w:val="0"/>
          <w:sz w:val="24"/>
        </w:rPr>
        <w:t>项（含）以上的；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4.3.4 投标技术方案不明确，存在一个或一个以上备选（替代）投标方案的；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4.3.5 与其他参加本次投标</w:t>
      </w:r>
      <w:r>
        <w:rPr>
          <w:rFonts w:hint="eastAsia" w:ascii="仿宋" w:hAnsi="仿宋" w:eastAsia="仿宋" w:cs="仿宋"/>
          <w:kern w:val="0"/>
          <w:sz w:val="24"/>
          <w:lang w:val="zh-CN"/>
        </w:rPr>
        <w:t>供应商</w:t>
      </w:r>
      <w:r>
        <w:rPr>
          <w:rFonts w:hint="eastAsia" w:ascii="仿宋" w:hAnsi="仿宋" w:eastAsia="仿宋" w:cs="仿宋"/>
          <w:kern w:val="0"/>
          <w:sz w:val="24"/>
        </w:rPr>
        <w:t>的投标文件（技术文件）的文字表述内容差错相同2处以上的；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4.4 在报价评审时，如发现下列情形之一的，投标文件将被视为无效：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4.4.1 未采用人民币报价或者未按照招标文件标明的币种报价的；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4.4.2 报价超出最高限价，或者超出采购预算金额的；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4.4.3 投标报价具有选择性的；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4.4.4 投标报价中出现缺项、漏项或被评标委员会认定为有可能影响产品质量或者不能诚信履约的且不能在合理的时间内证明其报价合理性的；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4.4.5供应商对根据修正原则修正后的报价不确认的。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4.5其他无效情形：</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4.5.1 不同</w:t>
      </w:r>
      <w:r>
        <w:rPr>
          <w:rFonts w:hint="eastAsia" w:ascii="仿宋" w:hAnsi="仿宋" w:eastAsia="仿宋" w:cs="仿宋"/>
          <w:kern w:val="0"/>
          <w:sz w:val="24"/>
          <w:lang w:val="zh-CN"/>
        </w:rPr>
        <w:t>供应商</w:t>
      </w:r>
      <w:r>
        <w:rPr>
          <w:rFonts w:hint="eastAsia" w:ascii="仿宋" w:hAnsi="仿宋" w:eastAsia="仿宋" w:cs="仿宋"/>
          <w:kern w:val="0"/>
          <w:sz w:val="24"/>
        </w:rPr>
        <w:t>的投标文件出自同一终端设备或在相同Internet主机分配地址（相同IP地址）进行网上报名、投标的；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4.5.2 法律、法规、规章（适用本市的）及省级以上规范性文件（适用本市的）规定的其他无效情形。</w:t>
      </w:r>
    </w:p>
    <w:p>
      <w:pPr>
        <w:pStyle w:val="11"/>
        <w:snapToGrid w:val="0"/>
        <w:spacing w:line="360" w:lineRule="auto"/>
        <w:ind w:firstLine="482"/>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11"/>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11"/>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11"/>
        <w:snapToGrid w:val="0"/>
        <w:spacing w:line="360" w:lineRule="auto"/>
        <w:rPr>
          <w:rFonts w:ascii="仿宋" w:hAnsi="仿宋" w:eastAsia="仿宋" w:cs="仿宋"/>
        </w:rPr>
      </w:pPr>
      <w:r>
        <w:rPr>
          <w:rFonts w:hint="eastAsia" w:ascii="仿宋" w:hAnsi="仿宋" w:eastAsia="仿宋" w:cs="仿宋"/>
        </w:rPr>
        <w:t>5.3</w:t>
      </w:r>
      <w:r>
        <w:rPr>
          <w:rFonts w:hint="eastAsia" w:ascii="仿宋" w:hAnsi="仿宋" w:eastAsia="仿宋" w:cs="仿宋"/>
          <w:kern w:val="0"/>
          <w:lang w:val="zh-CN"/>
        </w:rPr>
        <w:t>供应商</w:t>
      </w:r>
      <w:r>
        <w:rPr>
          <w:rFonts w:hint="eastAsia" w:ascii="仿宋" w:hAnsi="仿宋" w:eastAsia="仿宋" w:cs="仿宋"/>
        </w:rPr>
        <w:t>的报价均超过了采购预算，采购人不能支付的；</w:t>
      </w:r>
    </w:p>
    <w:p>
      <w:pPr>
        <w:pStyle w:val="11"/>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11"/>
        <w:snapToGrid w:val="0"/>
        <w:spacing w:line="360" w:lineRule="auto"/>
        <w:rPr>
          <w:rFonts w:ascii="仿宋" w:hAnsi="仿宋" w:eastAsia="仿宋" w:cs="仿宋"/>
        </w:rPr>
      </w:pPr>
      <w:r>
        <w:rPr>
          <w:rFonts w:hint="eastAsia" w:ascii="仿宋" w:hAnsi="仿宋" w:eastAsia="仿宋" w:cs="仿宋"/>
        </w:rPr>
        <w:t>废标后，采购代理机构应当将废标理由通知所有</w:t>
      </w:r>
      <w:r>
        <w:rPr>
          <w:rFonts w:hint="eastAsia" w:ascii="仿宋" w:hAnsi="仿宋" w:eastAsia="仿宋" w:cs="仿宋"/>
          <w:kern w:val="0"/>
          <w:lang w:val="zh-CN"/>
        </w:rPr>
        <w:t>供应商</w:t>
      </w:r>
      <w:r>
        <w:rPr>
          <w:rFonts w:hint="eastAsia" w:ascii="仿宋" w:hAnsi="仿宋" w:eastAsia="仿宋" w:cs="仿宋"/>
        </w:rPr>
        <w:t>。</w:t>
      </w:r>
    </w:p>
    <w:p>
      <w:pPr>
        <w:pStyle w:val="11"/>
        <w:snapToGrid w:val="0"/>
        <w:spacing w:line="360" w:lineRule="auto"/>
        <w:ind w:firstLine="482"/>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1"/>
        <w:adjustRightInd w:val="0"/>
        <w:snapToGrid w:val="0"/>
        <w:spacing w:line="360" w:lineRule="auto"/>
        <w:ind w:firstLine="482"/>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11"/>
        <w:adjustRightInd w:val="0"/>
        <w:snapToGrid w:val="0"/>
        <w:spacing w:line="360" w:lineRule="auto"/>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11"/>
        <w:adjustRightInd w:val="0"/>
        <w:snapToGrid w:val="0"/>
        <w:spacing w:line="360" w:lineRule="auto"/>
        <w:rPr>
          <w:rFonts w:ascii="仿宋" w:hAnsi="仿宋" w:eastAsia="仿宋" w:cs="仿宋"/>
        </w:rPr>
      </w:pPr>
      <w:r>
        <w:rPr>
          <w:rFonts w:hint="eastAsia" w:ascii="仿宋" w:hAnsi="仿宋" w:eastAsia="仿宋" w:cs="仿宋"/>
        </w:rPr>
        <w:t>7.2已确定中标或者中标人但尚未签订政府采购合同的，中标或者成交结果无效，重新开展政府采购活动。</w:t>
      </w:r>
    </w:p>
    <w:p>
      <w:pPr>
        <w:pStyle w:val="11"/>
        <w:adjustRightInd w:val="0"/>
        <w:snapToGrid w:val="0"/>
        <w:spacing w:line="360" w:lineRule="auto"/>
        <w:rPr>
          <w:rFonts w:ascii="仿宋" w:hAnsi="仿宋" w:eastAsia="仿宋" w:cs="仿宋"/>
        </w:rPr>
      </w:pPr>
      <w:r>
        <w:rPr>
          <w:rFonts w:hint="eastAsia" w:ascii="仿宋" w:hAnsi="仿宋" w:eastAsia="仿宋" w:cs="仿宋"/>
        </w:rPr>
        <w:t>7.3政府采购合同已签订但尚未履行的，撤销合同，重新开展政府采购活动。</w:t>
      </w:r>
    </w:p>
    <w:p>
      <w:pPr>
        <w:pStyle w:val="11"/>
        <w:adjustRightInd w:val="0"/>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11"/>
        <w:adjustRightInd w:val="0"/>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spacing w:line="360" w:lineRule="auto"/>
        <w:rPr>
          <w:rFonts w:ascii="仿宋" w:hAnsi="仿宋" w:eastAsia="仿宋" w:cs="仿宋"/>
          <w:b/>
          <w:sz w:val="24"/>
        </w:rPr>
      </w:pPr>
    </w:p>
    <w:p>
      <w:pPr>
        <w:pStyle w:val="11"/>
        <w:adjustRightInd w:val="0"/>
        <w:snapToGrid w:val="0"/>
        <w:spacing w:line="360" w:lineRule="auto"/>
        <w:ind w:firstLine="0" w:firstLineChars="0"/>
        <w:jc w:val="center"/>
        <w:rPr>
          <w:rFonts w:ascii="仿宋" w:hAnsi="仿宋" w:eastAsia="仿宋" w:cs="仿宋"/>
          <w:b/>
        </w:rPr>
      </w:pPr>
      <w:r>
        <w:rPr>
          <w:rFonts w:hint="eastAsia" w:ascii="仿宋" w:hAnsi="仿宋" w:eastAsia="仿宋" w:cs="仿宋"/>
          <w:b/>
        </w:rPr>
        <w:br w:type="page"/>
      </w:r>
      <w:r>
        <w:rPr>
          <w:rFonts w:hint="eastAsia" w:ascii="仿宋" w:hAnsi="仿宋" w:eastAsia="仿宋" w:cs="仿宋"/>
          <w:b/>
          <w:sz w:val="32"/>
          <w:szCs w:val="32"/>
        </w:rPr>
        <w:t>第五部分拟签订的合同文本</w:t>
      </w:r>
    </w:p>
    <w:p>
      <w:pPr>
        <w:spacing w:line="360" w:lineRule="auto"/>
        <w:rPr>
          <w:rFonts w:ascii="宋体" w:hAnsi="宋体" w:cs="宋体"/>
          <w:b/>
          <w:sz w:val="24"/>
        </w:rPr>
      </w:pPr>
      <w:r>
        <w:rPr>
          <w:rFonts w:hint="eastAsia" w:ascii="宋体" w:hAnsi="宋体" w:cs="宋体"/>
          <w:sz w:val="24"/>
        </w:rPr>
        <w:t>（此合同仅供参考。以最终采购人与中标人签定的合同条款为准进行公示，最终签定合同的主要条款不能与招标文件冲突）</w:t>
      </w:r>
    </w:p>
    <w:p>
      <w:pPr>
        <w:spacing w:line="360" w:lineRule="auto"/>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政府采购合同参考范本</w:t>
      </w:r>
    </w:p>
    <w:p>
      <w:pPr>
        <w:spacing w:line="360" w:lineRule="auto"/>
        <w:jc w:val="center"/>
        <w:rPr>
          <w:rFonts w:ascii="宋体" w:hAnsi="宋体" w:cs="宋体"/>
          <w:b/>
          <w:sz w:val="24"/>
        </w:rPr>
      </w:pPr>
      <w:r>
        <w:rPr>
          <w:rFonts w:hint="eastAsia" w:ascii="宋体" w:hAnsi="宋体" w:cs="宋体"/>
          <w:b/>
          <w:sz w:val="24"/>
        </w:rPr>
        <w:t>（货物类）</w:t>
      </w:r>
    </w:p>
    <w:p>
      <w:pPr>
        <w:pStyle w:val="46"/>
        <w:ind w:left="0" w:leftChars="0" w:firstLine="0" w:firstLineChars="0"/>
        <w:rPr>
          <w:rFonts w:ascii="宋体" w:hAnsi="宋体" w:cs="宋体"/>
          <w:szCs w:val="24"/>
        </w:rPr>
      </w:pPr>
    </w:p>
    <w:p>
      <w:pPr>
        <w:spacing w:before="120" w:line="360" w:lineRule="auto"/>
        <w:rPr>
          <w:rFonts w:ascii="宋体" w:hAnsi="宋体" w:cs="宋体"/>
          <w:sz w:val="24"/>
        </w:rPr>
      </w:pPr>
    </w:p>
    <w:p>
      <w:pPr>
        <w:spacing w:before="120" w:line="360" w:lineRule="auto"/>
        <w:ind w:left="960" w:firstLine="720" w:firstLineChars="300"/>
        <w:rPr>
          <w:rFonts w:ascii="宋体" w:hAnsi="宋体" w:cs="宋体"/>
          <w:sz w:val="24"/>
          <w:u w:val="single"/>
        </w:rPr>
      </w:pPr>
      <w:r>
        <w:rPr>
          <w:rFonts w:hint="eastAsia" w:ascii="宋体" w:hAnsi="宋体" w:cs="宋体"/>
          <w:sz w:val="24"/>
        </w:rPr>
        <w:t>项目名称：</w:t>
      </w:r>
      <w:r>
        <w:rPr>
          <w:rFonts w:hint="eastAsia" w:ascii="宋体" w:hAnsi="宋体" w:cs="宋体"/>
          <w:sz w:val="24"/>
          <w:u w:val="single"/>
        </w:rPr>
        <w:t xml:space="preserve"> 弥勒圣坛配套项目电梯采购项目  </w:t>
      </w:r>
    </w:p>
    <w:p>
      <w:pPr>
        <w:pStyle w:val="38"/>
        <w:spacing w:before="120"/>
        <w:rPr>
          <w:rFonts w:ascii="宋体" w:hAnsi="宋体" w:eastAsia="宋体" w:cs="宋体"/>
          <w:szCs w:val="24"/>
        </w:rPr>
      </w:pPr>
    </w:p>
    <w:p>
      <w:pPr>
        <w:spacing w:line="360" w:lineRule="auto"/>
        <w:rPr>
          <w:rFonts w:ascii="宋体" w:hAnsi="宋体" w:cs="宋体"/>
          <w:sz w:val="24"/>
        </w:rPr>
      </w:pPr>
    </w:p>
    <w:p>
      <w:pPr>
        <w:spacing w:line="360" w:lineRule="auto"/>
        <w:ind w:firstLine="1680" w:firstLineChars="70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宁波市名山建设发展集团有限公司</w:t>
      </w:r>
    </w:p>
    <w:p>
      <w:pPr>
        <w:spacing w:before="120" w:line="480" w:lineRule="auto"/>
        <w:ind w:left="960" w:firstLine="720" w:firstLineChars="300"/>
        <w:rPr>
          <w:rFonts w:ascii="宋体" w:hAnsi="宋体" w:cs="宋体"/>
          <w:sz w:val="24"/>
        </w:rPr>
      </w:pPr>
      <w:r>
        <w:rPr>
          <w:rFonts w:hint="eastAsia" w:ascii="宋体" w:hAnsi="宋体" w:cs="宋体"/>
          <w:sz w:val="24"/>
        </w:rPr>
        <w:t>乙方：</w:t>
      </w:r>
      <w:r>
        <w:rPr>
          <w:rFonts w:hint="eastAsia" w:ascii="宋体" w:hAnsi="宋体" w:cs="宋体"/>
          <w:sz w:val="24"/>
          <w:u w:val="single"/>
        </w:rPr>
        <w:t xml:space="preserve">                                       </w:t>
      </w:r>
    </w:p>
    <w:p>
      <w:pPr>
        <w:spacing w:before="120" w:line="480" w:lineRule="auto"/>
        <w:ind w:firstLine="1680" w:firstLineChars="700"/>
        <w:rPr>
          <w:rFonts w:ascii="宋体" w:hAnsi="宋体" w:cs="宋体"/>
          <w:sz w:val="24"/>
        </w:rPr>
      </w:pPr>
      <w:r>
        <w:rPr>
          <w:rFonts w:hint="eastAsia" w:ascii="宋体" w:hAnsi="宋体" w:cs="宋体"/>
          <w:sz w:val="24"/>
        </w:rPr>
        <w:t>签订地：</w:t>
      </w:r>
      <w:r>
        <w:rPr>
          <w:rFonts w:hint="eastAsia" w:ascii="宋体" w:hAnsi="宋体" w:cs="宋体"/>
          <w:sz w:val="24"/>
          <w:u w:val="single"/>
        </w:rPr>
        <w:t xml:space="preserve">                                     </w:t>
      </w:r>
    </w:p>
    <w:p>
      <w:pPr>
        <w:spacing w:before="120" w:line="480" w:lineRule="auto"/>
        <w:ind w:firstLine="1680" w:firstLineChars="700"/>
        <w:rPr>
          <w:rFonts w:ascii="宋体" w:hAnsi="宋体" w:cs="宋体"/>
          <w:sz w:val="24"/>
          <w:lang w:val="zh-CN"/>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lang w:val="zh-CN"/>
        </w:rPr>
        <w:br w:type="page"/>
      </w: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u w:val="single"/>
          <w:lang w:val="zh-CN"/>
        </w:rPr>
        <w:t xml:space="preserve">   （采购人）   </w:t>
      </w:r>
      <w:r>
        <w:rPr>
          <w:rFonts w:hint="eastAsia" w:ascii="宋体" w:hAnsi="宋体" w:cs="宋体"/>
          <w:sz w:val="24"/>
          <w:lang w:val="zh-CN"/>
        </w:rPr>
        <w:t>以</w:t>
      </w:r>
      <w:r>
        <w:rPr>
          <w:rFonts w:hint="eastAsia" w:ascii="宋体" w:hAnsi="宋体" w:cs="宋体"/>
          <w:sz w:val="24"/>
          <w:u w:val="single"/>
          <w:lang w:val="zh-CN"/>
        </w:rPr>
        <w:t xml:space="preserve">   （政府采购方式）  </w:t>
      </w:r>
      <w:r>
        <w:rPr>
          <w:rFonts w:hint="eastAsia" w:ascii="宋体" w:hAnsi="宋体" w:cs="宋体"/>
          <w:sz w:val="24"/>
          <w:lang w:val="zh-CN"/>
        </w:rPr>
        <w:t>对</w:t>
      </w:r>
      <w:r>
        <w:rPr>
          <w:rFonts w:hint="eastAsia" w:ascii="宋体" w:hAnsi="宋体" w:cs="宋体"/>
          <w:sz w:val="24"/>
          <w:u w:val="single"/>
          <w:lang w:val="zh-CN"/>
        </w:rPr>
        <w:t xml:space="preserve">   （同前页项目名称）   </w:t>
      </w:r>
      <w:r>
        <w:rPr>
          <w:rFonts w:hint="eastAsia" w:ascii="宋体" w:hAnsi="宋体" w:cs="宋体"/>
          <w:sz w:val="24"/>
          <w:lang w:val="zh-CN"/>
        </w:rPr>
        <w:t>项目进行了采购。经</w:t>
      </w:r>
      <w:r>
        <w:rPr>
          <w:rFonts w:hint="eastAsia" w:ascii="宋体" w:hAnsi="宋体" w:cs="宋体"/>
          <w:sz w:val="24"/>
          <w:u w:val="single"/>
          <w:lang w:val="zh-CN"/>
        </w:rPr>
        <w:t xml:space="preserve">   （相关评定主体名称）   </w:t>
      </w:r>
      <w:r>
        <w:rPr>
          <w:rFonts w:hint="eastAsia" w:ascii="宋体" w:hAnsi="宋体" w:cs="宋体"/>
          <w:sz w:val="24"/>
          <w:lang w:val="zh-CN"/>
        </w:rPr>
        <w:t>评定，</w:t>
      </w:r>
      <w:r>
        <w:rPr>
          <w:rFonts w:hint="eastAsia" w:ascii="宋体" w:hAnsi="宋体" w:cs="宋体"/>
          <w:sz w:val="24"/>
          <w:u w:val="single"/>
          <w:lang w:val="zh-CN"/>
        </w:rPr>
        <w:t xml:space="preserve">   （中标供应商名称）</w:t>
      </w:r>
      <w:r>
        <w:rPr>
          <w:rFonts w:hint="eastAsia" w:ascii="宋体" w:hAnsi="宋体" w:cs="宋体"/>
          <w:sz w:val="24"/>
          <w:lang w:val="zh-CN"/>
        </w:rPr>
        <w:t>为该项目中标供应商。现于中标通知书发出之日起三十日内，按照采购文件确定的事项签订本合同。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1 定义</w:t>
      </w:r>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1.1 “合同”系指采购人和中标供应商签订的载明双方当事人所达成的协议，并包括所有的附件、附录和构成合同的其他文件。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1.2 “合同价”系指根据合同约定，中标供应商在完全履行合同义务后，采购人应支付给中标供应商的价格。</w:t>
      </w:r>
    </w:p>
    <w:p>
      <w:pPr>
        <w:spacing w:line="360" w:lineRule="auto"/>
        <w:ind w:firstLine="480" w:firstLineChars="200"/>
        <w:rPr>
          <w:rFonts w:ascii="宋体" w:hAnsi="宋体" w:cs="宋体"/>
          <w:sz w:val="24"/>
        </w:rPr>
      </w:pPr>
      <w:r>
        <w:rPr>
          <w:rFonts w:hint="eastAsia" w:ascii="宋体" w:hAnsi="宋体" w:cs="宋体"/>
          <w:sz w:val="24"/>
        </w:rPr>
        <w:t>1.3 “货物”系指中标供应商根据合同约定应向采购人交付的一切各种形态和种类的物品，包括原材料、燃料、设备、机械、仪表、备件、计算机软件、产品等，并包括工具、手册等其他相关资料。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r>
        <w:rPr>
          <w:rFonts w:hint="eastAsia" w:ascii="宋体" w:hAnsi="宋体" w:cs="宋体"/>
          <w:sz w:val="24"/>
        </w:rPr>
        <w:t>1.4 “甲方”系指与中标供应商签署合同的采购人；采购人委托采购代理机构代表其与乙方签订合同的，采购人的授权委托书作为合同附件。</w:t>
      </w:r>
    </w:p>
    <w:p>
      <w:pPr>
        <w:spacing w:line="360" w:lineRule="auto"/>
        <w:ind w:firstLine="480" w:firstLineChars="200"/>
        <w:rPr>
          <w:rFonts w:ascii="宋体" w:hAnsi="宋体" w:cs="宋体"/>
          <w:sz w:val="24"/>
        </w:rPr>
      </w:pPr>
      <w:r>
        <w:rPr>
          <w:rFonts w:hint="eastAsia" w:ascii="宋体" w:hAnsi="宋体" w:cs="宋体"/>
          <w:sz w:val="24"/>
        </w:rPr>
        <w:t>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b/>
          <w:sz w:val="24"/>
        </w:rPr>
      </w:pPr>
      <w:r>
        <w:rPr>
          <w:rFonts w:hint="eastAsia" w:ascii="宋体" w:hAnsi="宋体" w:cs="宋体"/>
          <w:sz w:val="24"/>
        </w:rPr>
        <w:t>1.6 “现场”系指合同约定货物将要运至或者安装的地点。</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2 合同组成部分</w:t>
      </w:r>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2.1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2.2 中标通知书；</w:t>
      </w:r>
    </w:p>
    <w:p>
      <w:pPr>
        <w:spacing w:line="360" w:lineRule="auto"/>
        <w:ind w:firstLine="480" w:firstLineChars="200"/>
        <w:rPr>
          <w:rFonts w:ascii="宋体" w:hAnsi="宋体" w:cs="宋体"/>
          <w:sz w:val="24"/>
        </w:rPr>
      </w:pPr>
      <w:r>
        <w:rPr>
          <w:rFonts w:hint="eastAsia" w:ascii="宋体" w:hAnsi="宋体" w:cs="宋体"/>
          <w:sz w:val="24"/>
        </w:rPr>
        <w:t>2.3 投标文件（含澄清或者说明文件）；</w:t>
      </w:r>
    </w:p>
    <w:p>
      <w:pPr>
        <w:spacing w:line="360" w:lineRule="auto"/>
        <w:ind w:firstLine="480" w:firstLineChars="200"/>
        <w:rPr>
          <w:rFonts w:ascii="宋体" w:hAnsi="宋体" w:cs="宋体"/>
          <w:sz w:val="24"/>
        </w:rPr>
      </w:pPr>
      <w:r>
        <w:rPr>
          <w:rFonts w:hint="eastAsia" w:ascii="宋体" w:hAnsi="宋体" w:cs="宋体"/>
          <w:sz w:val="24"/>
        </w:rPr>
        <w:t>2.4 招标文件（含澄清或者修改文件）；</w:t>
      </w:r>
    </w:p>
    <w:p>
      <w:pPr>
        <w:spacing w:line="360" w:lineRule="auto"/>
        <w:ind w:firstLine="480" w:firstLineChars="200"/>
        <w:rPr>
          <w:rFonts w:ascii="宋体" w:hAnsi="宋体" w:cs="宋体"/>
          <w:sz w:val="24"/>
        </w:rPr>
      </w:pPr>
      <w:r>
        <w:rPr>
          <w:rFonts w:hint="eastAsia" w:ascii="宋体" w:hAnsi="宋体" w:cs="宋体"/>
          <w:sz w:val="24"/>
        </w:rPr>
        <w:t>2.5 其他相关采购文件。</w:t>
      </w:r>
    </w:p>
    <w:p>
      <w:pPr>
        <w:adjustRightInd w:val="0"/>
        <w:spacing w:line="360" w:lineRule="auto"/>
        <w:ind w:firstLine="482" w:firstLineChars="200"/>
        <w:outlineLvl w:val="0"/>
        <w:rPr>
          <w:rFonts w:ascii="宋体" w:hAnsi="宋体" w:cs="宋体"/>
          <w:b/>
          <w:sz w:val="24"/>
        </w:rPr>
      </w:pPr>
      <w:bookmarkStart w:id="401" w:name="_Toc21295"/>
      <w:bookmarkStart w:id="402" w:name="_Toc24300"/>
      <w:bookmarkStart w:id="403" w:name="_Toc27126"/>
      <w:r>
        <w:rPr>
          <w:rFonts w:hint="eastAsia" w:ascii="宋体" w:hAnsi="宋体" w:cs="宋体"/>
          <w:b/>
          <w:sz w:val="24"/>
        </w:rPr>
        <w:t>3 货物</w:t>
      </w:r>
      <w:bookmarkEnd w:id="401"/>
      <w:bookmarkEnd w:id="402"/>
      <w:bookmarkEnd w:id="403"/>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620"/>
        <w:gridCol w:w="925"/>
        <w:gridCol w:w="1245"/>
        <w:gridCol w:w="3461"/>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jc w:val="center"/>
              <w:rPr>
                <w:rFonts w:hAnsi="宋体" w:cs="宋体"/>
                <w:sz w:val="24"/>
                <w:szCs w:val="24"/>
              </w:rPr>
            </w:pPr>
            <w:r>
              <w:rPr>
                <w:rFonts w:hint="eastAsia" w:hAnsi="宋体" w:cs="宋体"/>
                <w:sz w:val="24"/>
                <w:szCs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pStyle w:val="42"/>
              <w:spacing w:line="360" w:lineRule="auto"/>
              <w:jc w:val="center"/>
              <w:rPr>
                <w:rFonts w:hAnsi="宋体" w:cs="宋体"/>
                <w:sz w:val="24"/>
                <w:szCs w:val="24"/>
              </w:rPr>
            </w:pPr>
            <w:r>
              <w:rPr>
                <w:rFonts w:hint="eastAsia" w:hAnsi="宋体" w:cs="宋体"/>
                <w:sz w:val="24"/>
                <w:szCs w:val="24"/>
              </w:rPr>
              <w:t>货物名称</w:t>
            </w:r>
          </w:p>
        </w:tc>
        <w:tc>
          <w:tcPr>
            <w:tcW w:w="925" w:type="dxa"/>
            <w:tcBorders>
              <w:top w:val="single" w:color="auto" w:sz="4" w:space="0"/>
              <w:left w:val="single" w:color="auto" w:sz="4" w:space="0"/>
              <w:bottom w:val="single" w:color="auto" w:sz="4" w:space="0"/>
              <w:right w:val="single" w:color="auto" w:sz="4" w:space="0"/>
            </w:tcBorders>
            <w:vAlign w:val="center"/>
          </w:tcPr>
          <w:p>
            <w:pPr>
              <w:pStyle w:val="42"/>
              <w:spacing w:line="360" w:lineRule="auto"/>
              <w:jc w:val="center"/>
              <w:rPr>
                <w:rFonts w:hAnsi="宋体" w:cs="宋体"/>
                <w:sz w:val="24"/>
                <w:szCs w:val="24"/>
              </w:rPr>
            </w:pPr>
            <w:r>
              <w:rPr>
                <w:rFonts w:hint="eastAsia" w:hAnsi="宋体" w:cs="宋体"/>
                <w:sz w:val="24"/>
                <w:szCs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pStyle w:val="42"/>
              <w:spacing w:line="360" w:lineRule="auto"/>
              <w:jc w:val="center"/>
              <w:rPr>
                <w:rFonts w:hAnsi="宋体" w:cs="宋体"/>
                <w:sz w:val="24"/>
                <w:szCs w:val="24"/>
              </w:rPr>
            </w:pPr>
            <w:r>
              <w:rPr>
                <w:rFonts w:hint="eastAsia" w:hAnsi="宋体" w:cs="宋体"/>
                <w:sz w:val="24"/>
                <w:szCs w:val="24"/>
              </w:rPr>
              <w:t>品牌名称</w:t>
            </w:r>
          </w:p>
        </w:tc>
        <w:tc>
          <w:tcPr>
            <w:tcW w:w="3461" w:type="dxa"/>
            <w:tcBorders>
              <w:top w:val="single" w:color="auto" w:sz="4" w:space="0"/>
              <w:left w:val="single" w:color="auto" w:sz="4" w:space="0"/>
              <w:bottom w:val="single" w:color="auto" w:sz="4" w:space="0"/>
              <w:right w:val="single" w:color="auto" w:sz="4" w:space="0"/>
            </w:tcBorders>
            <w:vAlign w:val="center"/>
          </w:tcPr>
          <w:p>
            <w:pPr>
              <w:pStyle w:val="42"/>
              <w:spacing w:line="360" w:lineRule="auto"/>
              <w:rPr>
                <w:rFonts w:hAnsi="宋体" w:cs="宋体"/>
                <w:sz w:val="24"/>
                <w:szCs w:val="24"/>
              </w:rPr>
            </w:pPr>
            <w:r>
              <w:rPr>
                <w:rFonts w:hint="eastAsia" w:hAnsi="宋体" w:cs="宋体"/>
                <w:sz w:val="24"/>
                <w:szCs w:val="24"/>
              </w:rPr>
              <w:t>规格型号/技术要求/质量要求</w:t>
            </w:r>
          </w:p>
        </w:tc>
        <w:tc>
          <w:tcPr>
            <w:tcW w:w="1186" w:type="dxa"/>
            <w:tcBorders>
              <w:top w:val="single" w:color="auto" w:sz="4" w:space="0"/>
              <w:left w:val="single" w:color="auto" w:sz="4" w:space="0"/>
              <w:bottom w:val="single" w:color="auto" w:sz="4" w:space="0"/>
              <w:right w:val="single" w:color="auto" w:sz="4" w:space="0"/>
            </w:tcBorders>
            <w:vAlign w:val="center"/>
          </w:tcPr>
          <w:p>
            <w:pPr>
              <w:pStyle w:val="42"/>
              <w:spacing w:line="360" w:lineRule="auto"/>
              <w:jc w:val="center"/>
              <w:rPr>
                <w:rFonts w:hAnsi="宋体" w:cs="宋体"/>
                <w:sz w:val="24"/>
                <w:szCs w:val="24"/>
              </w:rPr>
            </w:pPr>
            <w:r>
              <w:rPr>
                <w:rFonts w:hint="eastAsia" w:hAnsi="宋体" w:cs="宋体"/>
                <w:sz w:val="24"/>
                <w:szCs w:val="24"/>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r>
    </w:tbl>
    <w:p>
      <w:pPr>
        <w:pStyle w:val="2"/>
        <w:ind w:firstLine="480"/>
        <w:rPr>
          <w:rFonts w:ascii="宋体" w:hAnsi="宋体" w:eastAsia="宋体" w:cs="宋体"/>
          <w:sz w:val="24"/>
        </w:rPr>
      </w:pPr>
    </w:p>
    <w:p>
      <w:pPr>
        <w:adjustRightInd w:val="0"/>
        <w:spacing w:line="360" w:lineRule="auto"/>
        <w:ind w:firstLine="482" w:firstLineChars="200"/>
        <w:outlineLvl w:val="0"/>
        <w:rPr>
          <w:rFonts w:ascii="宋体" w:hAnsi="宋体" w:cs="宋体"/>
          <w:b/>
          <w:sz w:val="24"/>
        </w:rPr>
      </w:pPr>
      <w:bookmarkStart w:id="404" w:name="_Toc21631"/>
      <w:bookmarkStart w:id="405" w:name="_Toc21551"/>
      <w:bookmarkStart w:id="406" w:name="_Toc23292"/>
      <w:r>
        <w:rPr>
          <w:rFonts w:hint="eastAsia" w:ascii="宋体" w:hAnsi="宋体" w:cs="宋体"/>
          <w:b/>
          <w:sz w:val="24"/>
        </w:rPr>
        <w:t>4 价款</w:t>
      </w:r>
      <w:bookmarkEnd w:id="404"/>
      <w:bookmarkEnd w:id="405"/>
      <w:bookmarkEnd w:id="406"/>
    </w:p>
    <w:p>
      <w:pPr>
        <w:spacing w:line="360" w:lineRule="auto"/>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360" w:lineRule="auto"/>
        <w:ind w:firstLine="480" w:firstLineChars="200"/>
        <w:rPr>
          <w:rFonts w:ascii="宋体" w:hAnsi="宋体" w:cs="宋体"/>
          <w:sz w:val="24"/>
          <w:u w:val="single"/>
        </w:rPr>
      </w:pPr>
      <w:r>
        <w:rPr>
          <w:rFonts w:hint="eastAsia" w:ascii="宋体" w:hAnsi="宋体" w:cs="宋体"/>
          <w:sz w:val="24"/>
        </w:rPr>
        <w:t>分项价格：</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2"/>
              <w:spacing w:line="360" w:lineRule="auto"/>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360" w:lineRule="auto"/>
              <w:ind w:firstLine="200"/>
              <w:jc w:val="center"/>
              <w:rPr>
                <w:rFonts w:hAnsi="宋体" w:cs="宋体"/>
                <w:sz w:val="24"/>
                <w:szCs w:val="24"/>
              </w:rPr>
            </w:pPr>
          </w:p>
        </w:tc>
      </w:tr>
    </w:tbl>
    <w:p>
      <w:pPr>
        <w:adjustRightInd w:val="0"/>
        <w:spacing w:line="360" w:lineRule="auto"/>
        <w:ind w:firstLine="482" w:firstLineChars="200"/>
        <w:outlineLvl w:val="0"/>
        <w:rPr>
          <w:rFonts w:ascii="宋体" w:hAnsi="宋体" w:cs="宋体"/>
          <w:b/>
          <w:sz w:val="24"/>
        </w:rPr>
      </w:pPr>
      <w:bookmarkStart w:id="407" w:name="_Toc10340"/>
      <w:bookmarkStart w:id="408" w:name="_Toc1814"/>
      <w:bookmarkStart w:id="409" w:name="_Toc22618"/>
      <w:r>
        <w:rPr>
          <w:rFonts w:hint="eastAsia" w:ascii="宋体" w:hAnsi="宋体" w:cs="宋体"/>
          <w:b/>
          <w:sz w:val="24"/>
        </w:rPr>
        <w:t>5 付款</w:t>
      </w:r>
      <w:bookmarkEnd w:id="407"/>
      <w:bookmarkEnd w:id="408"/>
      <w:bookmarkEnd w:id="409"/>
      <w:r>
        <w:rPr>
          <w:rFonts w:hint="eastAsia" w:ascii="宋体" w:hAnsi="宋体" w:cs="宋体"/>
          <w:b/>
          <w:sz w:val="24"/>
        </w:rPr>
        <w:t>方式、时间和条件</w:t>
      </w:r>
    </w:p>
    <w:p>
      <w:pPr>
        <w:pStyle w:val="41"/>
        <w:spacing w:before="0" w:beforeAutospacing="0" w:after="0" w:afterAutospacing="0" w:line="360" w:lineRule="auto"/>
        <w:ind w:firstLine="480"/>
        <w:rPr>
          <w:b/>
          <w:bCs/>
          <w:i/>
          <w:iCs/>
          <w:kern w:val="2"/>
          <w:u w:val="single"/>
        </w:rPr>
      </w:pPr>
      <w:bookmarkStart w:id="410" w:name="_Toc32071"/>
      <w:bookmarkStart w:id="411" w:name="_Toc2846"/>
      <w:bookmarkStart w:id="412" w:name="_Toc19304"/>
      <w:r>
        <w:rPr>
          <w:rFonts w:hint="eastAsia"/>
          <w:kern w:val="2"/>
        </w:rPr>
        <w:t>5.1 资金支付的方式、时间和条件：</w:t>
      </w:r>
      <w:r>
        <w:rPr>
          <w:rFonts w:hint="eastAsia"/>
          <w:b/>
          <w:bCs/>
          <w:i/>
          <w:iCs/>
          <w:kern w:val="2"/>
          <w:u w:val="single"/>
        </w:rPr>
        <w:t xml:space="preserve">                       </w:t>
      </w:r>
    </w:p>
    <w:p>
      <w:pPr>
        <w:pStyle w:val="41"/>
        <w:spacing w:before="0" w:beforeAutospacing="0" w:after="0" w:afterAutospacing="0" w:line="360" w:lineRule="auto"/>
        <w:ind w:firstLine="480"/>
        <w:rPr>
          <w:kern w:val="2"/>
        </w:rPr>
      </w:pPr>
      <w:r>
        <w:rPr>
          <w:rFonts w:hint="eastAsia"/>
          <w:kern w:val="2"/>
        </w:rPr>
        <w:t>5.2 乙方收款账户：</w:t>
      </w:r>
    </w:p>
    <w:p>
      <w:pPr>
        <w:autoSpaceDE w:val="0"/>
        <w:autoSpaceDN w:val="0"/>
        <w:spacing w:line="360" w:lineRule="auto"/>
        <w:ind w:left="1470" w:leftChars="700"/>
        <w:rPr>
          <w:rFonts w:ascii="宋体" w:hAnsi="宋体" w:cs="宋体"/>
          <w:sz w:val="24"/>
        </w:rPr>
      </w:pPr>
      <w:r>
        <w:rPr>
          <w:rFonts w:hint="eastAsia" w:ascii="宋体" w:hAnsi="宋体" w:cs="宋体"/>
          <w:sz w:val="24"/>
        </w:rPr>
        <w:t>开户银行：</w:t>
      </w:r>
      <w:r>
        <w:rPr>
          <w:rFonts w:hint="eastAsia" w:ascii="宋体" w:hAnsi="宋体" w:cs="宋体"/>
          <w:b/>
          <w:bCs/>
          <w:i/>
          <w:iCs/>
          <w:sz w:val="24"/>
          <w:u w:val="single"/>
        </w:rPr>
        <w:t xml:space="preserve">                          </w:t>
      </w:r>
      <w:r>
        <w:rPr>
          <w:rFonts w:hint="eastAsia" w:ascii="宋体" w:hAnsi="宋体" w:cs="宋体"/>
          <w:sz w:val="24"/>
        </w:rPr>
        <w:t xml:space="preserve">                          </w:t>
      </w:r>
    </w:p>
    <w:p>
      <w:pPr>
        <w:autoSpaceDE w:val="0"/>
        <w:autoSpaceDN w:val="0"/>
        <w:spacing w:line="360" w:lineRule="auto"/>
        <w:ind w:left="1470" w:leftChars="700"/>
        <w:rPr>
          <w:rFonts w:ascii="宋体" w:hAnsi="宋体" w:cs="宋体"/>
          <w:sz w:val="24"/>
        </w:rPr>
      </w:pPr>
      <w:r>
        <w:rPr>
          <w:rFonts w:hint="eastAsia" w:ascii="宋体" w:hAnsi="宋体" w:cs="宋体"/>
          <w:sz w:val="24"/>
        </w:rPr>
        <w:t>开户名称：</w:t>
      </w:r>
      <w:r>
        <w:rPr>
          <w:rFonts w:hint="eastAsia" w:ascii="宋体" w:hAnsi="宋体" w:cs="宋体"/>
          <w:b/>
          <w:bCs/>
          <w:i/>
          <w:iCs/>
          <w:sz w:val="24"/>
          <w:u w:val="single"/>
        </w:rPr>
        <w:t xml:space="preserve">                          </w:t>
      </w:r>
      <w:r>
        <w:rPr>
          <w:rFonts w:hint="eastAsia" w:ascii="宋体" w:hAnsi="宋体" w:cs="宋体"/>
          <w:sz w:val="24"/>
        </w:rPr>
        <w:t xml:space="preserve">                             </w:t>
      </w:r>
    </w:p>
    <w:p>
      <w:pPr>
        <w:autoSpaceDE w:val="0"/>
        <w:autoSpaceDN w:val="0"/>
        <w:spacing w:line="360" w:lineRule="auto"/>
        <w:ind w:left="1470" w:leftChars="700"/>
        <w:rPr>
          <w:rFonts w:ascii="宋体" w:hAnsi="宋体" w:cs="宋体"/>
          <w:sz w:val="24"/>
          <w:lang w:val="zh-CN"/>
        </w:rPr>
      </w:pPr>
      <w:r>
        <w:rPr>
          <w:rFonts w:hint="eastAsia" w:ascii="宋体" w:hAnsi="宋体" w:cs="宋体"/>
          <w:sz w:val="24"/>
        </w:rPr>
        <w:t>开户账号：</w:t>
      </w:r>
      <w:r>
        <w:rPr>
          <w:rFonts w:hint="eastAsia" w:ascii="宋体" w:hAnsi="宋体" w:cs="宋体"/>
          <w:b/>
          <w:bCs/>
          <w:i/>
          <w:iCs/>
          <w:sz w:val="24"/>
          <w:u w:val="single"/>
        </w:rPr>
        <w:t xml:space="preserve">                          </w:t>
      </w:r>
      <w:r>
        <w:rPr>
          <w:rFonts w:hint="eastAsia" w:ascii="宋体" w:hAnsi="宋体" w:cs="宋体"/>
          <w:sz w:val="24"/>
          <w:lang w:val="zh-CN"/>
        </w:rPr>
        <w:t xml:space="preserve">      </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6 货物交付期限、地点和方式</w:t>
      </w:r>
      <w:bookmarkEnd w:id="410"/>
      <w:bookmarkEnd w:id="411"/>
      <w:bookmarkEnd w:id="412"/>
    </w:p>
    <w:p>
      <w:pPr>
        <w:adjustRightInd w:val="0"/>
        <w:spacing w:line="360" w:lineRule="auto"/>
        <w:ind w:firstLine="480" w:firstLineChars="200"/>
        <w:rPr>
          <w:rFonts w:ascii="宋体" w:hAnsi="宋体" w:cs="宋体"/>
          <w:sz w:val="24"/>
          <w:u w:val="single"/>
        </w:rPr>
      </w:pPr>
      <w:r>
        <w:rPr>
          <w:rFonts w:hint="eastAsia" w:ascii="宋体" w:hAnsi="宋体" w:cs="宋体"/>
          <w:sz w:val="24"/>
        </w:rPr>
        <w:t>6.1 交付期限：</w:t>
      </w:r>
      <w:r>
        <w:rPr>
          <w:rFonts w:hint="eastAsia" w:ascii="宋体" w:hAnsi="宋体" w:cs="宋体"/>
          <w:b/>
          <w:i/>
          <w:sz w:val="24"/>
          <w:u w:val="single"/>
        </w:rPr>
        <w:t xml:space="preserve">                   </w:t>
      </w:r>
    </w:p>
    <w:p>
      <w:pPr>
        <w:adjustRightInd w:val="0"/>
        <w:spacing w:line="360" w:lineRule="auto"/>
        <w:ind w:firstLine="480" w:firstLineChars="200"/>
        <w:rPr>
          <w:rFonts w:ascii="宋体" w:hAnsi="宋体" w:cs="宋体"/>
          <w:sz w:val="24"/>
        </w:rPr>
      </w:pPr>
      <w:r>
        <w:rPr>
          <w:rFonts w:hint="eastAsia" w:ascii="宋体" w:hAnsi="宋体" w:cs="宋体"/>
          <w:sz w:val="24"/>
        </w:rPr>
        <w:t>6.2 交付地点：</w:t>
      </w:r>
      <w:r>
        <w:rPr>
          <w:rFonts w:hint="eastAsia" w:ascii="宋体" w:hAnsi="宋体" w:cs="宋体"/>
          <w:b/>
          <w:i/>
          <w:sz w:val="24"/>
          <w:u w:val="single"/>
        </w:rPr>
        <w:t xml:space="preserve">                   </w:t>
      </w:r>
    </w:p>
    <w:p>
      <w:pPr>
        <w:adjustRightInd w:val="0"/>
        <w:spacing w:line="360" w:lineRule="auto"/>
        <w:ind w:firstLine="480" w:firstLineChars="200"/>
        <w:rPr>
          <w:rFonts w:ascii="宋体" w:hAnsi="宋体" w:cs="宋体"/>
          <w:sz w:val="24"/>
        </w:rPr>
      </w:pPr>
      <w:r>
        <w:rPr>
          <w:rFonts w:hint="eastAsia" w:ascii="宋体" w:hAnsi="宋体" w:cs="宋体"/>
          <w:sz w:val="24"/>
        </w:rPr>
        <w:t>6.3 交付方式：</w:t>
      </w:r>
      <w:r>
        <w:rPr>
          <w:rFonts w:hint="eastAsia" w:ascii="宋体" w:hAnsi="宋体" w:cs="宋体"/>
          <w:b/>
          <w:i/>
          <w:sz w:val="24"/>
          <w:u w:val="single"/>
        </w:rPr>
        <w:t xml:space="preserve">                   </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7 技术规范</w:t>
      </w:r>
    </w:p>
    <w:p>
      <w:pPr>
        <w:spacing w:line="360" w:lineRule="auto"/>
        <w:ind w:firstLine="480" w:firstLineChars="200"/>
        <w:rPr>
          <w:rFonts w:ascii="宋体" w:hAnsi="宋体" w:cs="宋体"/>
          <w:sz w:val="24"/>
        </w:rPr>
      </w:pPr>
      <w:r>
        <w:rPr>
          <w:rFonts w:hint="eastAsia" w:ascii="宋体" w:hAnsi="宋体" w:cs="宋体"/>
          <w:sz w:val="24"/>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8 知识产权</w:t>
      </w:r>
    </w:p>
    <w:p>
      <w:pPr>
        <w:spacing w:line="360" w:lineRule="auto"/>
        <w:ind w:firstLine="480" w:firstLineChars="200"/>
        <w:rPr>
          <w:rFonts w:ascii="宋体" w:hAnsi="宋体" w:cs="宋体"/>
          <w:sz w:val="24"/>
        </w:rPr>
      </w:pPr>
      <w:r>
        <w:rPr>
          <w:rFonts w:hint="eastAsia" w:ascii="宋体" w:hAnsi="宋体" w:cs="宋体"/>
          <w:sz w:val="24"/>
        </w:rPr>
        <w:t>8.1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宋体" w:hAnsi="宋体" w:cs="宋体"/>
          <w:sz w:val="24"/>
        </w:rPr>
      </w:pPr>
      <w:r>
        <w:rPr>
          <w:rFonts w:hint="eastAsia" w:ascii="宋体" w:hAnsi="宋体" w:cs="宋体"/>
          <w:sz w:val="24"/>
        </w:rPr>
        <w:t>8.2具有知识产权的计算机软件等货物的知识产权归属，除合同另有规定外，归甲方所有。</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9 包装和装运</w:t>
      </w:r>
    </w:p>
    <w:p>
      <w:pPr>
        <w:spacing w:line="360" w:lineRule="auto"/>
        <w:ind w:firstLine="480" w:firstLineChars="200"/>
        <w:rPr>
          <w:rFonts w:ascii="宋体" w:hAnsi="宋体" w:cs="宋体"/>
          <w:sz w:val="24"/>
        </w:rPr>
      </w:pPr>
      <w:r>
        <w:rPr>
          <w:rFonts w:hint="eastAsia" w:ascii="宋体" w:hAnsi="宋体" w:cs="宋体"/>
          <w:sz w:val="24"/>
        </w:rPr>
        <w:t>9.1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0" w:firstLineChars="200"/>
        <w:rPr>
          <w:rFonts w:ascii="宋体" w:hAnsi="宋体" w:cs="宋体"/>
          <w:sz w:val="24"/>
        </w:rPr>
      </w:pPr>
      <w:r>
        <w:rPr>
          <w:rFonts w:hint="eastAsia" w:ascii="宋体" w:hAnsi="宋体" w:cs="宋体"/>
          <w:sz w:val="24"/>
        </w:rPr>
        <w:t xml:space="preserve">9.2乙方提供产品及相关快递服务的具体包装要求应符合《商品包装政府采购需求标准（试行）》《快递包装政府采购需求标准（试行）》，并作为履约验收的内容，必要时甲方可以要求乙方在履约验收环节出具检测报告。 </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10 履约保证金</w:t>
      </w:r>
    </w:p>
    <w:p>
      <w:pPr>
        <w:spacing w:line="360" w:lineRule="auto"/>
        <w:ind w:firstLine="480" w:firstLineChars="200"/>
        <w:rPr>
          <w:rFonts w:ascii="宋体" w:hAnsi="宋体" w:cs="宋体"/>
          <w:sz w:val="24"/>
        </w:rPr>
      </w:pPr>
      <w:r>
        <w:rPr>
          <w:rFonts w:hint="eastAsia" w:ascii="宋体" w:hAnsi="宋体" w:cs="宋体"/>
          <w:sz w:val="24"/>
        </w:rPr>
        <w:t>10.1 招标文件要求乙方提交履约保证金的，乙方应按</w:t>
      </w:r>
      <w:r>
        <w:rPr>
          <w:rFonts w:hint="eastAsia" w:ascii="宋体" w:hAnsi="宋体" w:cs="宋体"/>
          <w:sz w:val="24"/>
          <w:u w:val="single"/>
        </w:rPr>
        <w:t xml:space="preserve">         </w:t>
      </w:r>
      <w:r>
        <w:rPr>
          <w:rFonts w:hint="eastAsia" w:ascii="宋体" w:hAnsi="宋体" w:cs="宋体"/>
          <w:sz w:val="24"/>
        </w:rPr>
        <w:t>方式（可以支票、汇票、本票或者银行保函等非现金形式），在合同签订并生效后</w:t>
      </w:r>
      <w:r>
        <w:rPr>
          <w:rFonts w:hint="eastAsia" w:ascii="宋体" w:hAnsi="宋体" w:cs="宋体"/>
          <w:sz w:val="24"/>
          <w:u w:val="single"/>
        </w:rPr>
        <w:t xml:space="preserve">         </w:t>
      </w:r>
      <w:r>
        <w:rPr>
          <w:rFonts w:hint="eastAsia" w:ascii="宋体" w:hAnsi="宋体" w:cs="宋体"/>
          <w:sz w:val="24"/>
        </w:rPr>
        <w:t>日内提交不超过合同金额2.5%的履约保证金。</w:t>
      </w:r>
    </w:p>
    <w:p>
      <w:pPr>
        <w:spacing w:line="360" w:lineRule="auto"/>
        <w:ind w:firstLine="480" w:firstLineChars="200"/>
        <w:rPr>
          <w:rFonts w:ascii="宋体" w:hAnsi="宋体" w:cs="宋体"/>
          <w:sz w:val="24"/>
        </w:rPr>
      </w:pPr>
      <w:r>
        <w:rPr>
          <w:rFonts w:hint="eastAsia" w:ascii="宋体" w:hAnsi="宋体" w:cs="宋体"/>
          <w:sz w:val="24"/>
        </w:rPr>
        <w:t>10.2  履约保证金在</w:t>
      </w:r>
      <w:r>
        <w:rPr>
          <w:rFonts w:hint="eastAsia" w:ascii="宋体" w:hAnsi="宋体" w:cs="宋体"/>
          <w:b/>
          <w:i/>
          <w:sz w:val="24"/>
          <w:u w:val="single"/>
        </w:rPr>
        <w:t xml:space="preserve">              </w:t>
      </w:r>
      <w:r>
        <w:rPr>
          <w:rFonts w:hint="eastAsia" w:ascii="宋体" w:hAnsi="宋体" w:cs="宋体"/>
          <w:sz w:val="24"/>
        </w:rPr>
        <w:t>（合同规定的履约时间）内不予退还。乙方在前述约定期间届满前能履行完合同约定义务事项的，甲方在前述约定期间届满之日起</w:t>
      </w:r>
      <w:r>
        <w:rPr>
          <w:rFonts w:hint="eastAsia" w:ascii="宋体" w:hAnsi="宋体" w:cs="宋体"/>
          <w:sz w:val="24"/>
          <w:u w:val="single"/>
        </w:rPr>
        <w:t xml:space="preserve"> 5 </w:t>
      </w:r>
      <w:r>
        <w:rPr>
          <w:rFonts w:hint="eastAsia" w:ascii="宋体" w:hAnsi="宋体" w:cs="宋体"/>
          <w:sz w:val="24"/>
        </w:rPr>
        <w:t>个工作日内，将履约保证金无息退还乙方。</w:t>
      </w:r>
    </w:p>
    <w:p>
      <w:pPr>
        <w:spacing w:line="360" w:lineRule="auto"/>
        <w:ind w:firstLine="480" w:firstLineChars="200"/>
        <w:rPr>
          <w:rFonts w:ascii="宋体" w:hAnsi="宋体" w:cs="宋体"/>
          <w:sz w:val="24"/>
        </w:rPr>
      </w:pPr>
      <w:r>
        <w:rPr>
          <w:rFonts w:hint="eastAsia" w:ascii="宋体" w:hAnsi="宋体" w:cs="宋体"/>
          <w:sz w:val="24"/>
        </w:rPr>
        <w:t>10.3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11 履约检查和问题反馈</w:t>
      </w:r>
    </w:p>
    <w:p>
      <w:pPr>
        <w:spacing w:line="360" w:lineRule="auto"/>
        <w:ind w:firstLine="480" w:firstLineChars="200"/>
        <w:rPr>
          <w:rFonts w:ascii="宋体" w:hAnsi="宋体" w:cs="宋体"/>
          <w:sz w:val="24"/>
        </w:rPr>
      </w:pPr>
      <w:r>
        <w:rPr>
          <w:rFonts w:hint="eastAsia" w:ascii="宋体" w:hAnsi="宋体" w:cs="宋体"/>
          <w:sz w:val="24"/>
        </w:rPr>
        <w:t>11.1甲方有权在其认为必要时，对乙方是否能够按照合同约定交付货物进行履约检查，以确保乙方所交付的货物能够依约满足甲方之项目需求，但不得因履约检查妨碍乙方的正常工作，乙方应予积极配合；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11.2 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cs="宋体"/>
          <w:b/>
          <w:sz w:val="24"/>
        </w:rPr>
      </w:pPr>
      <w:r>
        <w:rPr>
          <w:rFonts w:hint="eastAsia" w:ascii="宋体" w:hAnsi="宋体" w:cs="宋体"/>
          <w:b/>
          <w:sz w:val="24"/>
        </w:rPr>
        <w:t>12 检验和验收</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12.1货物交付前，乙方应对货物的质量、数量等方面进行详细、全面的检验，并向甲方出具证明货物符合合同约定的文件；货物交付时，乙方在交付后</w:t>
      </w:r>
      <w:r>
        <w:rPr>
          <w:rFonts w:hint="eastAsia" w:ascii="宋体" w:hAnsi="宋体" w:cs="宋体"/>
          <w:sz w:val="24"/>
          <w:u w:val="single"/>
        </w:rPr>
        <w:t xml:space="preserve">     </w:t>
      </w:r>
      <w:r>
        <w:rPr>
          <w:rFonts w:hint="eastAsia" w:ascii="宋体" w:hAnsi="宋体" w:cs="宋体"/>
          <w:sz w:val="24"/>
        </w:rPr>
        <w:t>个工作日内组织验收，并可依法邀请相关方参加，验收应出具验收书。</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12.2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2" w:firstLineChars="200"/>
        <w:outlineLvl w:val="0"/>
        <w:rPr>
          <w:rFonts w:ascii="宋体" w:hAnsi="宋体" w:cs="宋体"/>
          <w:b/>
          <w:sz w:val="24"/>
        </w:rPr>
      </w:pPr>
      <w:r>
        <w:rPr>
          <w:rFonts w:hint="eastAsia" w:ascii="宋体" w:hAnsi="宋体" w:cs="宋体"/>
          <w:b/>
          <w:sz w:val="24"/>
        </w:rPr>
        <w:t>13 技术资料和保密义务</w:t>
      </w:r>
    </w:p>
    <w:p>
      <w:pPr>
        <w:spacing w:line="360" w:lineRule="auto"/>
        <w:ind w:firstLine="480" w:firstLineChars="200"/>
        <w:rPr>
          <w:rFonts w:ascii="宋体" w:hAnsi="宋体" w:cs="宋体"/>
          <w:sz w:val="24"/>
        </w:rPr>
      </w:pPr>
      <w:r>
        <w:rPr>
          <w:rFonts w:hint="eastAsia" w:ascii="宋体" w:hAnsi="宋体" w:cs="宋体"/>
          <w:sz w:val="24"/>
        </w:rPr>
        <w:t>13.1 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13.2 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13.3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r>
        <w:rPr>
          <w:rFonts w:hint="eastAsia" w:ascii="宋体" w:hAnsi="宋体" w:cs="宋体"/>
          <w:b/>
          <w:sz w:val="24"/>
        </w:rPr>
        <w:t>14 质量保证</w:t>
      </w:r>
    </w:p>
    <w:p>
      <w:pPr>
        <w:spacing w:line="360" w:lineRule="auto"/>
        <w:ind w:firstLine="480" w:firstLineChars="200"/>
        <w:rPr>
          <w:rFonts w:ascii="宋体" w:hAnsi="宋体" w:cs="宋体"/>
          <w:sz w:val="24"/>
        </w:rPr>
      </w:pPr>
      <w:r>
        <w:rPr>
          <w:rFonts w:hint="eastAsia" w:ascii="宋体" w:hAnsi="宋体" w:cs="宋体"/>
          <w:sz w:val="24"/>
        </w:rPr>
        <w:t>14.1 乙方应建立和完善履行合同的内部质量保证体系，并提供相关内部规章制度给甲方，以便甲方进行监督检查；</w:t>
      </w:r>
    </w:p>
    <w:p>
      <w:pPr>
        <w:spacing w:line="360" w:lineRule="auto"/>
        <w:ind w:firstLine="480" w:firstLineChars="200"/>
        <w:rPr>
          <w:rFonts w:ascii="宋体" w:hAnsi="宋体" w:cs="宋体"/>
          <w:sz w:val="24"/>
        </w:rPr>
      </w:pPr>
      <w:r>
        <w:rPr>
          <w:rFonts w:hint="eastAsia" w:ascii="宋体" w:hAnsi="宋体" w:cs="宋体"/>
          <w:sz w:val="24"/>
        </w:rPr>
        <w:t>14.2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宋体" w:hAnsi="宋体" w:cs="宋体"/>
          <w:b/>
          <w:sz w:val="24"/>
        </w:rPr>
      </w:pPr>
      <w:r>
        <w:rPr>
          <w:rFonts w:hint="eastAsia" w:ascii="宋体" w:hAnsi="宋体" w:cs="宋体"/>
          <w:b/>
          <w:sz w:val="24"/>
        </w:rPr>
        <w:t>15 货物的风险负担</w:t>
      </w:r>
    </w:p>
    <w:p>
      <w:pPr>
        <w:spacing w:line="360" w:lineRule="auto"/>
        <w:ind w:firstLine="480" w:firstLineChars="200"/>
        <w:rPr>
          <w:rFonts w:ascii="宋体" w:hAnsi="宋体" w:cs="宋体"/>
          <w:b/>
          <w:sz w:val="24"/>
        </w:rPr>
      </w:pPr>
      <w:r>
        <w:rPr>
          <w:rFonts w:hint="eastAsia" w:ascii="宋体" w:hAnsi="宋体" w:cs="宋体"/>
          <w:sz w:val="24"/>
        </w:rPr>
        <w:t>货物在甲方未收货前出现的货物毁损、灭失的风险均由乙方承担。</w:t>
      </w:r>
    </w:p>
    <w:p>
      <w:pPr>
        <w:spacing w:line="360" w:lineRule="auto"/>
        <w:ind w:firstLine="482" w:firstLineChars="200"/>
        <w:outlineLvl w:val="0"/>
        <w:rPr>
          <w:rFonts w:ascii="宋体" w:hAnsi="宋体" w:cs="宋体"/>
          <w:b/>
          <w:sz w:val="24"/>
        </w:rPr>
      </w:pPr>
      <w:r>
        <w:rPr>
          <w:rFonts w:hint="eastAsia" w:ascii="宋体" w:hAnsi="宋体" w:cs="宋体"/>
          <w:b/>
          <w:sz w:val="24"/>
        </w:rPr>
        <w:t>16 延迟交货</w:t>
      </w:r>
    </w:p>
    <w:p>
      <w:pPr>
        <w:spacing w:line="360" w:lineRule="auto"/>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cs="宋体"/>
          <w:b/>
          <w:sz w:val="24"/>
        </w:rPr>
      </w:pPr>
      <w:r>
        <w:rPr>
          <w:rFonts w:hint="eastAsia" w:ascii="宋体" w:hAnsi="宋体" w:cs="宋体"/>
          <w:b/>
          <w:sz w:val="24"/>
        </w:rPr>
        <w:t>17 合同变更</w:t>
      </w:r>
    </w:p>
    <w:p>
      <w:pPr>
        <w:spacing w:line="360" w:lineRule="auto"/>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宋体" w:hAnsi="宋体" w:cs="宋体"/>
          <w:b/>
          <w:sz w:val="24"/>
        </w:rPr>
      </w:pPr>
      <w:r>
        <w:rPr>
          <w:rFonts w:hint="eastAsia" w:ascii="宋体" w:hAnsi="宋体" w:cs="宋体"/>
          <w:b/>
          <w:sz w:val="24"/>
        </w:rPr>
        <w:t>18 合同转让和分包</w:t>
      </w:r>
    </w:p>
    <w:p>
      <w:pPr>
        <w:spacing w:line="360" w:lineRule="auto"/>
        <w:ind w:firstLine="480" w:firstLineChars="200"/>
        <w:rPr>
          <w:rFonts w:ascii="宋体" w:hAnsi="宋体" w:cs="宋体"/>
          <w:sz w:val="24"/>
        </w:rPr>
      </w:pPr>
      <w:r>
        <w:rPr>
          <w:rFonts w:hint="eastAsia" w:ascii="宋体" w:hAnsi="宋体" w:cs="宋体"/>
          <w:sz w:val="24"/>
        </w:rPr>
        <w:t>18.1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18.2乙方采取分包方式履行合同的，甲方可直接向分包供应商支付款项。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13" w:name="_Toc19554"/>
      <w:bookmarkStart w:id="414" w:name="_Toc27250"/>
      <w:bookmarkStart w:id="415" w:name="_Toc21423"/>
      <w:r>
        <w:rPr>
          <w:rFonts w:hint="eastAsia" w:ascii="宋体" w:hAnsi="宋体" w:cs="宋体"/>
          <w:b/>
          <w:sz w:val="24"/>
        </w:rPr>
        <w:t>19 违约责任</w:t>
      </w:r>
      <w:bookmarkEnd w:id="413"/>
      <w:bookmarkEnd w:id="414"/>
      <w:bookmarkEnd w:id="415"/>
    </w:p>
    <w:p>
      <w:pPr>
        <w:spacing w:line="360" w:lineRule="auto"/>
        <w:ind w:firstLine="480" w:firstLineChars="200"/>
        <w:rPr>
          <w:rFonts w:ascii="宋体" w:hAnsi="宋体" w:cs="宋体"/>
          <w:sz w:val="24"/>
        </w:rPr>
      </w:pPr>
      <w:r>
        <w:rPr>
          <w:rFonts w:hint="eastAsia" w:ascii="宋体" w:hAnsi="宋体" w:cs="宋体"/>
          <w:sz w:val="24"/>
        </w:rPr>
        <w:t>19.1 除不可抗力外，如果乙方拒绝履行合同，或没有按照本合同约定的期限、地点和方式交付货物，那么甲方可要求乙方支付违约金，违约金按每日计合同总价的</w:t>
      </w:r>
      <w:r>
        <w:rPr>
          <w:rFonts w:hint="eastAsia" w:ascii="宋体" w:hAnsi="宋体" w:cs="宋体"/>
          <w:sz w:val="24"/>
          <w:u w:val="single"/>
        </w:rPr>
        <w:t xml:space="preserve">  0.05  </w:t>
      </w:r>
      <w:r>
        <w:rPr>
          <w:rFonts w:hint="eastAsia" w:ascii="宋体" w:hAnsi="宋体" w:cs="宋体"/>
          <w:sz w:val="24"/>
        </w:rPr>
        <w:t>%，最高限额为本合同总价的</w:t>
      </w:r>
      <w:r>
        <w:rPr>
          <w:rFonts w:hint="eastAsia" w:ascii="宋体" w:hAnsi="宋体" w:cs="宋体"/>
          <w:sz w:val="24"/>
          <w:u w:val="single"/>
        </w:rPr>
        <w:t xml:space="preserve"> 10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360" w:lineRule="auto"/>
        <w:ind w:firstLine="480" w:firstLineChars="200"/>
        <w:rPr>
          <w:rFonts w:ascii="宋体" w:hAnsi="宋体" w:cs="宋体"/>
          <w:sz w:val="24"/>
        </w:rPr>
      </w:pPr>
      <w:r>
        <w:rPr>
          <w:rFonts w:hint="eastAsia" w:ascii="宋体" w:hAnsi="宋体" w:cs="宋体"/>
          <w:sz w:val="24"/>
        </w:rPr>
        <w:t>19.2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10   </w:t>
      </w:r>
      <w:r>
        <w:rPr>
          <w:rFonts w:hint="eastAsia" w:ascii="宋体" w:hAnsi="宋体" w:cs="宋体"/>
          <w:sz w:val="24"/>
        </w:rPr>
        <w:t>%；迟延付款的违约金计算数额达到前述最高限额之日起，乙方有权在要求甲方支付违约金的同时，书面通知甲方解除本合同；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19.3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19.4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19.5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19.6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outlineLvl w:val="0"/>
        <w:rPr>
          <w:rFonts w:ascii="宋体" w:hAnsi="宋体" w:cs="宋体"/>
          <w:b/>
          <w:sz w:val="24"/>
        </w:rPr>
      </w:pPr>
      <w:r>
        <w:rPr>
          <w:rFonts w:hint="eastAsia" w:ascii="宋体" w:hAnsi="宋体" w:cs="宋体"/>
          <w:b/>
          <w:sz w:val="24"/>
        </w:rPr>
        <w:t>20 不可抗力</w:t>
      </w:r>
    </w:p>
    <w:p>
      <w:pPr>
        <w:spacing w:line="360" w:lineRule="auto"/>
        <w:ind w:firstLine="480" w:firstLineChars="200"/>
        <w:rPr>
          <w:rFonts w:ascii="宋体" w:hAnsi="宋体" w:cs="宋体"/>
          <w:sz w:val="24"/>
        </w:rPr>
      </w:pPr>
      <w:r>
        <w:rPr>
          <w:rFonts w:hint="eastAsia" w:ascii="宋体" w:hAnsi="宋体" w:cs="宋体"/>
          <w:sz w:val="24"/>
        </w:rPr>
        <w:t>20.1如果任何一方遭遇法律规定的不可抗力，致使合同履行受阻时，履行合同的期限应予延长，延长的期限应相当于不可抗力所影响的时间；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cs="宋体"/>
          <w:sz w:val="24"/>
        </w:rPr>
      </w:pPr>
      <w:r>
        <w:rPr>
          <w:rFonts w:hint="eastAsia" w:ascii="宋体" w:hAnsi="宋体" w:cs="宋体"/>
          <w:sz w:val="24"/>
        </w:rPr>
        <w:t>20.2 因不可抗力致使不能实现合同目的的，当事人可以解除合同；</w:t>
      </w:r>
    </w:p>
    <w:p>
      <w:pPr>
        <w:spacing w:line="360" w:lineRule="auto"/>
        <w:ind w:firstLine="480" w:firstLineChars="200"/>
        <w:rPr>
          <w:rFonts w:ascii="宋体" w:hAnsi="宋体" w:cs="宋体"/>
          <w:sz w:val="24"/>
        </w:rPr>
      </w:pPr>
      <w:r>
        <w:rPr>
          <w:rFonts w:hint="eastAsia" w:ascii="宋体" w:hAnsi="宋体" w:cs="宋体"/>
          <w:sz w:val="24"/>
        </w:rPr>
        <w:t>20.3 因不可抗力致使合同有变更必要的，双方当事人应在不可抗力发生后</w:t>
      </w:r>
      <w:r>
        <w:rPr>
          <w:rFonts w:hint="eastAsia" w:ascii="宋体" w:hAnsi="宋体" w:cs="宋体"/>
          <w:sz w:val="24"/>
          <w:u w:val="single"/>
        </w:rPr>
        <w:t xml:space="preserve"> 10 </w:t>
      </w:r>
      <w:r>
        <w:rPr>
          <w:rFonts w:hint="eastAsia" w:ascii="宋体" w:hAnsi="宋体" w:cs="宋体"/>
          <w:sz w:val="24"/>
        </w:rPr>
        <w:t>日内以书面形式变更合同；</w:t>
      </w:r>
    </w:p>
    <w:p>
      <w:pPr>
        <w:spacing w:line="360" w:lineRule="auto"/>
        <w:ind w:firstLine="480" w:firstLineChars="200"/>
        <w:rPr>
          <w:rFonts w:ascii="宋体" w:hAnsi="宋体" w:cs="宋体"/>
          <w:sz w:val="24"/>
        </w:rPr>
      </w:pPr>
      <w:r>
        <w:rPr>
          <w:rFonts w:hint="eastAsia" w:ascii="宋体" w:hAnsi="宋体" w:cs="宋体"/>
          <w:sz w:val="24"/>
        </w:rPr>
        <w:t>20.4受不可抗力影响的一方在不可抗力发生后，应在</w:t>
      </w:r>
      <w:r>
        <w:rPr>
          <w:rFonts w:hint="eastAsia" w:ascii="宋体" w:hAnsi="宋体" w:cs="宋体"/>
          <w:sz w:val="24"/>
          <w:u w:val="single"/>
        </w:rPr>
        <w:t xml:space="preserve">  5  </w:t>
      </w:r>
      <w:r>
        <w:rPr>
          <w:rFonts w:hint="eastAsia" w:ascii="宋体" w:hAnsi="宋体" w:cs="宋体"/>
          <w:sz w:val="24"/>
        </w:rPr>
        <w:t>日内以书面形式通知对方当事人，并在</w:t>
      </w:r>
      <w:r>
        <w:rPr>
          <w:rFonts w:hint="eastAsia" w:ascii="宋体" w:hAnsi="宋体" w:cs="宋体"/>
          <w:sz w:val="24"/>
          <w:u w:val="single"/>
        </w:rPr>
        <w:t xml:space="preserve">  15  </w:t>
      </w:r>
      <w:r>
        <w:rPr>
          <w:rFonts w:hint="eastAsia" w:ascii="宋体" w:hAnsi="宋体" w:cs="宋体"/>
          <w:sz w:val="24"/>
        </w:rPr>
        <w:t>日内，将有关部门出具的证明文件送达对方当事人。</w:t>
      </w:r>
    </w:p>
    <w:p>
      <w:pPr>
        <w:spacing w:line="360" w:lineRule="auto"/>
        <w:ind w:firstLine="482" w:firstLineChars="200"/>
        <w:outlineLvl w:val="0"/>
        <w:rPr>
          <w:rFonts w:ascii="宋体" w:hAnsi="宋体" w:cs="宋体"/>
          <w:b/>
          <w:sz w:val="24"/>
        </w:rPr>
      </w:pPr>
      <w:r>
        <w:rPr>
          <w:rFonts w:hint="eastAsia" w:ascii="宋体" w:hAnsi="宋体" w:cs="宋体"/>
          <w:b/>
          <w:sz w:val="24"/>
        </w:rPr>
        <w:t>21 税费</w:t>
      </w:r>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r>
        <w:rPr>
          <w:rFonts w:hint="eastAsia" w:ascii="宋体" w:hAnsi="宋体" w:cs="宋体"/>
          <w:b/>
          <w:sz w:val="24"/>
        </w:rPr>
        <w:t>22 乙方破产</w:t>
      </w:r>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16" w:name="_Toc15583"/>
      <w:bookmarkStart w:id="417" w:name="_Toc28375"/>
      <w:bookmarkStart w:id="418" w:name="_Toc16021"/>
      <w:r>
        <w:rPr>
          <w:rFonts w:hint="eastAsia" w:ascii="宋体" w:hAnsi="宋体" w:cs="宋体"/>
          <w:b/>
          <w:sz w:val="24"/>
        </w:rPr>
        <w:t>23 合同争议的解决</w:t>
      </w:r>
      <w:bookmarkEnd w:id="416"/>
      <w:bookmarkEnd w:id="417"/>
      <w:bookmarkEnd w:id="418"/>
    </w:p>
    <w:p>
      <w:pPr>
        <w:adjustRightInd w:val="0"/>
        <w:spacing w:line="360" w:lineRule="auto"/>
        <w:ind w:firstLine="480" w:firstLineChars="200"/>
        <w:rPr>
          <w:rFonts w:ascii="宋体" w:hAnsi="宋体" w:cs="宋体"/>
          <w:sz w:val="24"/>
        </w:rPr>
      </w:pPr>
      <w:r>
        <w:rPr>
          <w:rFonts w:hint="eastAsia" w:ascii="宋体" w:hAnsi="宋体" w:cs="宋体"/>
          <w:sz w:val="24"/>
        </w:rPr>
        <w:t>本合同履行过程中发生的任何争议，双方当事人均可通过和解或者调解解决；不愿和解、调解或者和解、调解不成的，可以向宁波市奉化区人民法院提起诉讼。</w:t>
      </w:r>
    </w:p>
    <w:p>
      <w:pPr>
        <w:spacing w:line="360" w:lineRule="auto"/>
        <w:ind w:firstLine="482" w:firstLineChars="200"/>
        <w:outlineLvl w:val="0"/>
        <w:rPr>
          <w:rFonts w:ascii="宋体" w:hAnsi="宋体" w:cs="宋体"/>
          <w:b/>
          <w:sz w:val="24"/>
        </w:rPr>
      </w:pPr>
      <w:r>
        <w:rPr>
          <w:rFonts w:hint="eastAsia" w:ascii="宋体" w:hAnsi="宋体" w:cs="宋体"/>
          <w:b/>
          <w:sz w:val="24"/>
        </w:rPr>
        <w:t>24 合同中止、终止</w:t>
      </w:r>
    </w:p>
    <w:p>
      <w:pPr>
        <w:spacing w:line="360" w:lineRule="auto"/>
        <w:ind w:firstLine="480" w:firstLineChars="200"/>
        <w:rPr>
          <w:rFonts w:ascii="宋体" w:hAnsi="宋体" w:cs="宋体"/>
          <w:sz w:val="24"/>
        </w:rPr>
      </w:pPr>
      <w:r>
        <w:rPr>
          <w:rFonts w:hint="eastAsia" w:ascii="宋体" w:hAnsi="宋体" w:cs="宋体"/>
          <w:sz w:val="24"/>
        </w:rPr>
        <w:t>24.1 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宋体" w:hAnsi="宋体" w:cs="宋体"/>
          <w:b/>
          <w:sz w:val="24"/>
        </w:rPr>
      </w:pPr>
      <w:r>
        <w:rPr>
          <w:rFonts w:hint="eastAsia" w:ascii="宋体" w:hAnsi="宋体" w:cs="宋体"/>
          <w:b/>
          <w:sz w:val="24"/>
        </w:rPr>
        <w:t>25 通知和送达</w:t>
      </w:r>
    </w:p>
    <w:p>
      <w:pPr>
        <w:spacing w:line="360" w:lineRule="auto"/>
        <w:ind w:firstLine="480" w:firstLineChars="200"/>
        <w:rPr>
          <w:rFonts w:ascii="宋体" w:hAnsi="宋体" w:cs="宋体"/>
          <w:sz w:val="24"/>
        </w:rPr>
      </w:pPr>
      <w:r>
        <w:rPr>
          <w:rFonts w:hint="eastAsia" w:ascii="宋体" w:hAnsi="宋体" w:cs="宋体"/>
          <w:sz w:val="24"/>
        </w:rPr>
        <w:t xml:space="preserve">25.1任何一方因履行合同而以合同第一部分尾部所列明的传真或电子邮件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s="宋体"/>
          <w:sz w:val="24"/>
        </w:rPr>
      </w:pPr>
      <w:r>
        <w:rPr>
          <w:rFonts w:hint="eastAsia" w:ascii="宋体" w:hAnsi="宋体" w:cs="宋体"/>
          <w:sz w:val="24"/>
        </w:rPr>
        <w:t>25.2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firstLine="482" w:firstLineChars="200"/>
        <w:outlineLvl w:val="0"/>
        <w:rPr>
          <w:rFonts w:ascii="宋体" w:hAnsi="宋体" w:cs="宋体"/>
          <w:b/>
          <w:sz w:val="24"/>
        </w:rPr>
      </w:pPr>
      <w:r>
        <w:rPr>
          <w:rFonts w:hint="eastAsia" w:ascii="宋体" w:hAnsi="宋体" w:cs="宋体"/>
          <w:b/>
          <w:sz w:val="24"/>
        </w:rPr>
        <w:t>26 计量单位</w:t>
      </w:r>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r>
        <w:rPr>
          <w:rFonts w:hint="eastAsia" w:ascii="宋体" w:hAnsi="宋体" w:cs="宋体"/>
          <w:b/>
          <w:sz w:val="24"/>
        </w:rPr>
        <w:t>27合同使用的文字和适用的法律</w:t>
      </w:r>
    </w:p>
    <w:p>
      <w:pPr>
        <w:spacing w:line="360" w:lineRule="auto"/>
        <w:ind w:firstLine="480" w:firstLineChars="200"/>
        <w:rPr>
          <w:rFonts w:ascii="宋体" w:hAnsi="宋体" w:cs="宋体"/>
          <w:sz w:val="24"/>
        </w:rPr>
      </w:pPr>
      <w:r>
        <w:rPr>
          <w:rFonts w:hint="eastAsia" w:ascii="宋体" w:hAnsi="宋体" w:cs="宋体"/>
          <w:sz w:val="24"/>
        </w:rPr>
        <w:t>27.1 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27.2 合同适用中华人民共和国法律。</w:t>
      </w:r>
    </w:p>
    <w:p>
      <w:pPr>
        <w:spacing w:line="360" w:lineRule="auto"/>
        <w:ind w:firstLine="482" w:firstLineChars="200"/>
        <w:outlineLvl w:val="0"/>
        <w:rPr>
          <w:rFonts w:ascii="宋体" w:hAnsi="宋体" w:cs="宋体"/>
          <w:b/>
          <w:sz w:val="24"/>
        </w:rPr>
      </w:pPr>
      <w:r>
        <w:rPr>
          <w:rFonts w:hint="eastAsia" w:ascii="宋体" w:hAnsi="宋体" w:cs="宋体"/>
          <w:b/>
          <w:sz w:val="24"/>
        </w:rPr>
        <w:t>28合同效力</w:t>
      </w:r>
    </w:p>
    <w:p>
      <w:pPr>
        <w:spacing w:line="360" w:lineRule="auto"/>
        <w:ind w:firstLine="480" w:firstLineChars="200"/>
        <w:rPr>
          <w:rFonts w:ascii="宋体" w:hAnsi="宋体" w:cs="宋体"/>
          <w:sz w:val="24"/>
        </w:rPr>
      </w:pPr>
      <w:r>
        <w:rPr>
          <w:rFonts w:hint="eastAsia" w:ascii="宋体" w:hAnsi="宋体" w:cs="宋体"/>
          <w:sz w:val="24"/>
        </w:rPr>
        <w:t>本合同一式四份，甲乙双方各两份，每份均具有同等法律效力。本合同自双方当事人盖章或者签字时生效。</w:t>
      </w:r>
    </w:p>
    <w:p>
      <w:pPr>
        <w:autoSpaceDE w:val="0"/>
        <w:autoSpaceDN w:val="0"/>
        <w:spacing w:line="360" w:lineRule="auto"/>
        <w:rPr>
          <w:rFonts w:ascii="宋体" w:hAnsi="宋体" w:cs="宋体"/>
          <w:sz w:val="24"/>
          <w:lang w:val="zh-CN"/>
        </w:rPr>
      </w:pPr>
    </w:p>
    <w:p>
      <w:pPr>
        <w:autoSpaceDE w:val="0"/>
        <w:autoSpaceDN w:val="0"/>
        <w:spacing w:line="360" w:lineRule="auto"/>
        <w:rPr>
          <w:rFonts w:ascii="宋体" w:hAnsi="宋体" w:cs="宋体"/>
          <w:sz w:val="24"/>
          <w:lang w:val="zh-CN"/>
        </w:rPr>
      </w:pPr>
      <w:r>
        <w:rPr>
          <w:rFonts w:hint="eastAsia" w:ascii="宋体" w:hAnsi="宋体" w:cs="宋体"/>
          <w:b/>
          <w:sz w:val="24"/>
          <w:lang w:val="zh-CN"/>
        </w:rPr>
        <w:t>甲方名称（公章）</w:t>
      </w:r>
      <w:r>
        <w:rPr>
          <w:rFonts w:hint="eastAsia" w:ascii="宋体" w:hAnsi="宋体" w:cs="宋体"/>
          <w:sz w:val="24"/>
          <w:lang w:val="zh-CN"/>
        </w:rPr>
        <w:t xml:space="preserve">：                       </w:t>
      </w:r>
      <w:r>
        <w:rPr>
          <w:rFonts w:hint="eastAsia" w:ascii="宋体" w:hAnsi="宋体" w:cs="宋体"/>
          <w:b/>
          <w:sz w:val="24"/>
          <w:lang w:val="zh-CN"/>
        </w:rPr>
        <w:t>乙方名称（公章）</w:t>
      </w:r>
      <w:r>
        <w:rPr>
          <w:rFonts w:hint="eastAsia" w:ascii="宋体" w:hAnsi="宋体" w:cs="宋体"/>
          <w:sz w:val="24"/>
          <w:lang w:val="zh-CN"/>
        </w:rPr>
        <w:t>：</w:t>
      </w:r>
    </w:p>
    <w:p>
      <w:pPr>
        <w:autoSpaceDE w:val="0"/>
        <w:autoSpaceDN w:val="0"/>
        <w:spacing w:line="360" w:lineRule="auto"/>
        <w:rPr>
          <w:rFonts w:ascii="宋体" w:hAnsi="宋体" w:cs="宋体"/>
          <w:sz w:val="24"/>
          <w:lang w:val="zh-CN"/>
        </w:rPr>
      </w:pPr>
    </w:p>
    <w:p>
      <w:pPr>
        <w:autoSpaceDE w:val="0"/>
        <w:autoSpaceDN w:val="0"/>
        <w:spacing w:line="360" w:lineRule="auto"/>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360" w:lineRule="auto"/>
        <w:rPr>
          <w:rFonts w:ascii="宋体" w:hAnsi="宋体" w:cs="宋体"/>
          <w:sz w:val="24"/>
          <w:lang w:val="zh-CN"/>
        </w:rPr>
      </w:pPr>
      <w:r>
        <w:rPr>
          <w:rFonts w:hint="eastAsia" w:ascii="宋体" w:hAnsi="宋体" w:cs="宋体"/>
          <w:sz w:val="24"/>
          <w:lang w:val="zh-CN"/>
        </w:rPr>
        <w:t>住所：                                   住所：</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法定代表人或授权代表（签字）：       </w:t>
      </w:r>
      <w:r>
        <w:rPr>
          <w:rFonts w:hint="eastAsia" w:ascii="宋体" w:hAnsi="宋体" w:cs="宋体"/>
          <w:sz w:val="24"/>
        </w:rPr>
        <w:t xml:space="preserve">    </w:t>
      </w:r>
      <w:r>
        <w:rPr>
          <w:rFonts w:hint="eastAsia" w:ascii="宋体" w:hAnsi="宋体" w:cs="宋体"/>
          <w:sz w:val="24"/>
          <w:lang w:val="zh-CN"/>
        </w:rPr>
        <w:t xml:space="preserve"> 法定代表人或授权代表（签字）: </w:t>
      </w:r>
    </w:p>
    <w:p>
      <w:pPr>
        <w:autoSpaceDE w:val="0"/>
        <w:autoSpaceDN w:val="0"/>
        <w:spacing w:line="360" w:lineRule="auto"/>
        <w:rPr>
          <w:rFonts w:ascii="宋体" w:hAnsi="宋体" w:cs="宋体"/>
          <w:sz w:val="24"/>
          <w:lang w:val="zh-CN"/>
        </w:rPr>
      </w:pPr>
      <w:r>
        <w:rPr>
          <w:rFonts w:hint="eastAsia" w:ascii="宋体" w:hAnsi="宋体" w:cs="宋体"/>
          <w:sz w:val="24"/>
          <w:lang w:val="zh-CN"/>
        </w:rPr>
        <w:t>联系人：                                 联系人：</w:t>
      </w:r>
    </w:p>
    <w:p>
      <w:pPr>
        <w:autoSpaceDE w:val="0"/>
        <w:autoSpaceDN w:val="0"/>
        <w:spacing w:line="360" w:lineRule="auto"/>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360" w:lineRule="auto"/>
        <w:rPr>
          <w:rFonts w:ascii="宋体" w:hAnsi="宋体" w:cs="宋体"/>
          <w:sz w:val="24"/>
          <w:lang w:val="zh-CN"/>
        </w:rPr>
      </w:pPr>
      <w:r>
        <w:rPr>
          <w:rFonts w:hint="eastAsia" w:ascii="宋体" w:hAnsi="宋体" w:cs="宋体"/>
          <w:sz w:val="24"/>
          <w:lang w:val="zh-CN"/>
        </w:rPr>
        <w:t>邮政编码：                               邮政编码：</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360" w:lineRule="auto"/>
        <w:rPr>
          <w:rFonts w:ascii="宋体" w:hAnsi="宋体" w:cs="宋体"/>
          <w:sz w:val="24"/>
          <w:lang w:val="zh-CN"/>
        </w:rPr>
      </w:pPr>
      <w:r>
        <w:rPr>
          <w:rFonts w:hint="eastAsia" w:ascii="宋体" w:hAnsi="宋体" w:cs="宋体"/>
          <w:sz w:val="24"/>
          <w:lang w:val="zh-CN"/>
        </w:rPr>
        <w:t>传真:                                    传真:</w:t>
      </w:r>
    </w:p>
    <w:p>
      <w:pPr>
        <w:pStyle w:val="2"/>
        <w:spacing w:line="360" w:lineRule="auto"/>
        <w:ind w:firstLine="0" w:firstLineChars="0"/>
        <w:rPr>
          <w:rFonts w:ascii="宋体" w:hAnsi="宋体" w:eastAsia="宋体" w:cs="宋体"/>
          <w:b/>
          <w:bCs/>
          <w:sz w:val="24"/>
        </w:rPr>
      </w:pPr>
      <w:r>
        <w:rPr>
          <w:rFonts w:hint="eastAsia" w:ascii="宋体" w:hAnsi="宋体" w:eastAsia="宋体" w:cs="宋体"/>
          <w:b/>
          <w:bCs/>
          <w:sz w:val="24"/>
        </w:rPr>
        <w:t>见证人：宁波德立工程项目管理咨询有限公司</w:t>
      </w:r>
    </w:p>
    <w:p>
      <w:pPr>
        <w:autoSpaceDE w:val="0"/>
        <w:autoSpaceDN w:val="0"/>
        <w:spacing w:line="360" w:lineRule="auto"/>
        <w:rPr>
          <w:rFonts w:ascii="宋体" w:hAnsi="宋体" w:cs="宋体"/>
          <w:sz w:val="24"/>
          <w:lang w:val="zh-CN"/>
        </w:rPr>
      </w:pPr>
      <w:r>
        <w:rPr>
          <w:rFonts w:hint="eastAsia" w:ascii="宋体" w:hAnsi="宋体" w:cs="宋体"/>
          <w:sz w:val="24"/>
          <w:lang w:val="zh-CN"/>
        </w:rPr>
        <w:t>住所：</w:t>
      </w:r>
      <w:r>
        <w:rPr>
          <w:rFonts w:hint="eastAsia" w:ascii="宋体" w:hAnsi="宋体" w:cs="宋体"/>
          <w:sz w:val="24"/>
        </w:rPr>
        <w:t>宁波市奉化区南山路160号商贸大厦4楼</w:t>
      </w:r>
      <w:r>
        <w:rPr>
          <w:rFonts w:hint="eastAsia" w:ascii="宋体" w:hAnsi="宋体" w:cs="宋体"/>
          <w:sz w:val="24"/>
          <w:lang w:val="zh-CN"/>
        </w:rPr>
        <w:t xml:space="preserve">                             </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法定代表人或授权代表（签字）：       </w:t>
      </w:r>
      <w:r>
        <w:rPr>
          <w:rFonts w:hint="eastAsia" w:ascii="宋体" w:hAnsi="宋体" w:cs="宋体"/>
          <w:sz w:val="24"/>
        </w:rPr>
        <w:t xml:space="preserve"> </w:t>
      </w:r>
    </w:p>
    <w:p>
      <w:pPr>
        <w:autoSpaceDE w:val="0"/>
        <w:autoSpaceDN w:val="0"/>
        <w:spacing w:line="360" w:lineRule="auto"/>
        <w:rPr>
          <w:rFonts w:ascii="宋体" w:hAnsi="宋体" w:cs="宋体"/>
          <w:sz w:val="24"/>
          <w:lang w:val="zh-CN"/>
        </w:rPr>
      </w:pPr>
      <w:r>
        <w:rPr>
          <w:rFonts w:hint="eastAsia" w:ascii="宋体" w:hAnsi="宋体" w:cs="宋体"/>
          <w:sz w:val="24"/>
          <w:lang w:val="zh-CN"/>
        </w:rPr>
        <w:t>联系人：</w:t>
      </w:r>
      <w:r>
        <w:rPr>
          <w:rFonts w:hint="eastAsia" w:ascii="宋体" w:hAnsi="宋体" w:cs="宋体"/>
          <w:sz w:val="24"/>
        </w:rPr>
        <w:t>林远远</w:t>
      </w:r>
      <w:r>
        <w:rPr>
          <w:rFonts w:hint="eastAsia" w:ascii="宋体" w:hAnsi="宋体" w:cs="宋体"/>
          <w:sz w:val="24"/>
          <w:lang w:val="zh-CN"/>
        </w:rPr>
        <w:t xml:space="preserve">                                                                    </w:t>
      </w:r>
    </w:p>
    <w:p>
      <w:pPr>
        <w:rPr>
          <w:rFonts w:ascii="仿宋" w:hAnsi="仿宋" w:eastAsia="仿宋" w:cs="仿宋"/>
          <w:b/>
          <w:sz w:val="24"/>
        </w:rPr>
      </w:pPr>
      <w:r>
        <w:rPr>
          <w:rFonts w:hint="eastAsia" w:ascii="宋体" w:hAnsi="宋体" w:cs="宋体"/>
          <w:sz w:val="24"/>
          <w:lang w:val="zh-CN"/>
        </w:rPr>
        <w:t>电话:</w:t>
      </w:r>
      <w:r>
        <w:rPr>
          <w:rFonts w:hint="eastAsia" w:ascii="宋体" w:hAnsi="宋体" w:cs="宋体"/>
          <w:sz w:val="24"/>
        </w:rPr>
        <w:t>0574-88581100</w:t>
      </w:r>
      <w:r>
        <w:rPr>
          <w:rFonts w:hint="eastAsia" w:ascii="宋体" w:hAnsi="宋体" w:cs="宋体"/>
          <w:b/>
          <w:sz w:val="24"/>
        </w:rPr>
        <w:br w:type="page"/>
      </w:r>
    </w:p>
    <w:p>
      <w:pPr>
        <w:spacing w:line="360" w:lineRule="auto"/>
        <w:ind w:left="720" w:firstLine="1285" w:firstLineChars="400"/>
        <w:outlineLvl w:val="0"/>
        <w:rPr>
          <w:rFonts w:ascii="仿宋" w:hAnsi="仿宋" w:eastAsia="仿宋" w:cs="仿宋"/>
          <w:b/>
          <w:sz w:val="32"/>
          <w:szCs w:val="32"/>
        </w:rPr>
      </w:pPr>
      <w:r>
        <w:rPr>
          <w:rFonts w:hint="eastAsia" w:ascii="仿宋" w:hAnsi="仿宋" w:eastAsia="仿宋" w:cs="仿宋"/>
          <w:b/>
          <w:sz w:val="32"/>
          <w:szCs w:val="32"/>
        </w:rPr>
        <w:t>第六部分</w:t>
      </w:r>
      <w:bookmarkEnd w:id="30"/>
      <w:r>
        <w:rPr>
          <w:rFonts w:hint="eastAsia" w:ascii="仿宋" w:hAnsi="仿宋" w:eastAsia="仿宋" w:cs="仿宋"/>
          <w:b/>
          <w:sz w:val="32"/>
          <w:szCs w:val="32"/>
        </w:rPr>
        <w:t xml:space="preserve"> </w:t>
      </w:r>
      <w:bookmarkEnd w:id="31"/>
      <w:r>
        <w:rPr>
          <w:rFonts w:hint="eastAsia" w:ascii="仿宋" w:hAnsi="仿宋" w:eastAsia="仿宋" w:cs="仿宋"/>
          <w:b/>
          <w:sz w:val="32"/>
          <w:szCs w:val="32"/>
        </w:rPr>
        <w:t>应提交的有关格式范例</w:t>
      </w:r>
    </w:p>
    <w:p>
      <w:pPr>
        <w:pStyle w:val="10"/>
        <w:ind w:firstLine="482"/>
        <w:rPr>
          <w:rFonts w:ascii="仿宋" w:hAnsi="仿宋" w:eastAsia="仿宋" w:cs="仿宋"/>
          <w:szCs w:val="24"/>
        </w:rPr>
      </w:pPr>
    </w:p>
    <w:p>
      <w:pPr>
        <w:pStyle w:val="10"/>
        <w:ind w:firstLine="482"/>
        <w:rPr>
          <w:rFonts w:ascii="仿宋" w:hAnsi="仿宋" w:eastAsia="仿宋" w:cs="仿宋"/>
          <w:szCs w:val="24"/>
        </w:rPr>
      </w:pPr>
    </w:p>
    <w:p>
      <w:pPr>
        <w:spacing w:line="360" w:lineRule="auto"/>
        <w:jc w:val="center"/>
        <w:outlineLvl w:val="0"/>
        <w:rPr>
          <w:rFonts w:ascii="仿宋" w:hAnsi="仿宋" w:eastAsia="仿宋" w:cs="仿宋"/>
          <w:b/>
          <w:kern w:val="0"/>
          <w:sz w:val="24"/>
        </w:rPr>
      </w:pPr>
      <w:r>
        <w:rPr>
          <w:rFonts w:hint="eastAsia" w:ascii="仿宋" w:hAnsi="仿宋" w:eastAsia="仿宋" w:cs="仿宋"/>
          <w:b/>
          <w:kern w:val="0"/>
          <w:sz w:val="24"/>
        </w:rPr>
        <w:t>资格文件部分</w:t>
      </w:r>
    </w:p>
    <w:p>
      <w:pPr>
        <w:spacing w:line="360" w:lineRule="auto"/>
        <w:jc w:val="center"/>
        <w:outlineLvl w:val="0"/>
        <w:rPr>
          <w:rFonts w:ascii="仿宋" w:hAnsi="仿宋" w:eastAsia="仿宋" w:cs="仿宋"/>
          <w:b/>
          <w:kern w:val="0"/>
          <w:sz w:val="24"/>
        </w:rPr>
      </w:pPr>
      <w:r>
        <w:rPr>
          <w:rFonts w:hint="eastAsia" w:ascii="仿宋" w:hAnsi="仿宋" w:eastAsia="仿宋" w:cs="仿宋"/>
          <w:b/>
          <w:kern w:val="0"/>
          <w:sz w:val="24"/>
        </w:rPr>
        <w:t>目录</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 有效的企业法人营业执照（或事业法人登记证）、其他组织（个体工商户）的营业执照或者民办非企业单位登记证书；</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 符合参加政府采购活动应当具备的一般条件的承诺函；</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3 落实政府采购政策需满足的资格要求；</w:t>
      </w:r>
    </w:p>
    <w:p>
      <w:pPr>
        <w:adjustRightInd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4 本项目的特定资格要求。</w:t>
      </w:r>
    </w:p>
    <w:p>
      <w:pPr>
        <w:pStyle w:val="2"/>
        <w:spacing w:line="360" w:lineRule="auto"/>
        <w:ind w:firstLine="480"/>
        <w:rPr>
          <w:rFonts w:ascii="仿宋" w:hAnsi="仿宋" w:eastAsia="仿宋" w:cs="仿宋"/>
          <w:sz w:val="24"/>
        </w:rPr>
      </w:pPr>
    </w:p>
    <w:p>
      <w:pPr>
        <w:spacing w:line="360" w:lineRule="auto"/>
        <w:rPr>
          <w:rFonts w:ascii="仿宋" w:hAnsi="仿宋" w:eastAsia="仿宋" w:cs="仿宋"/>
          <w:b/>
          <w:kern w:val="0"/>
          <w:sz w:val="24"/>
        </w:rPr>
      </w:pPr>
      <w:r>
        <w:rPr>
          <w:rFonts w:hint="eastAsia" w:ascii="仿宋" w:hAnsi="仿宋" w:eastAsia="仿宋" w:cs="仿宋"/>
          <w:b/>
          <w:kern w:val="0"/>
          <w:sz w:val="24"/>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lang w:val="zh-CN"/>
        </w:rPr>
      </w:pPr>
    </w:p>
    <w:p>
      <w:pPr>
        <w:snapToGrid w:val="0"/>
        <w:spacing w:line="360" w:lineRule="auto"/>
        <w:ind w:firstLine="5520" w:firstLineChars="2300"/>
        <w:rPr>
          <w:rFonts w:ascii="仿宋" w:hAnsi="仿宋" w:eastAsia="仿宋" w:cs="仿宋"/>
          <w:kern w:val="0"/>
          <w:sz w:val="24"/>
          <w:lang w:val="zh-CN"/>
        </w:rPr>
      </w:pPr>
    </w:p>
    <w:p>
      <w:pPr>
        <w:spacing w:line="360" w:lineRule="auto"/>
        <w:ind w:right="420" w:firstLine="6000" w:firstLineChars="2500"/>
        <w:rPr>
          <w:rFonts w:ascii="仿宋" w:hAnsi="仿宋" w:eastAsia="仿宋" w:cs="仿宋"/>
          <w:sz w:val="24"/>
        </w:rPr>
      </w:pPr>
      <w:r>
        <w:rPr>
          <w:rFonts w:hint="eastAsia" w:ascii="仿宋" w:hAnsi="仿宋" w:eastAsia="仿宋" w:cs="仿宋"/>
          <w:sz w:val="24"/>
        </w:rPr>
        <w:t xml:space="preserve">法定代表人（签名或印章）：     </w:t>
      </w:r>
    </w:p>
    <w:p>
      <w:pPr>
        <w:spacing w:line="360" w:lineRule="auto"/>
        <w:ind w:right="420" w:firstLine="6240" w:firstLineChars="2600"/>
        <w:rPr>
          <w:rFonts w:ascii="仿宋" w:hAnsi="仿宋" w:eastAsia="仿宋" w:cs="仿宋"/>
          <w:sz w:val="24"/>
        </w:rPr>
      </w:pPr>
      <w:r>
        <w:rPr>
          <w:rFonts w:hint="eastAsia" w:ascii="仿宋" w:hAnsi="仿宋" w:eastAsia="仿宋" w:cs="仿宋"/>
          <w:sz w:val="24"/>
        </w:rPr>
        <w:t xml:space="preserve">投标人（盖章）：   </w:t>
      </w:r>
    </w:p>
    <w:p>
      <w:pPr>
        <w:spacing w:line="360" w:lineRule="auto"/>
        <w:ind w:right="420" w:firstLine="6120" w:firstLineChars="2550"/>
        <w:rPr>
          <w:rFonts w:ascii="仿宋" w:hAnsi="仿宋" w:eastAsia="仿宋" w:cs="仿宋"/>
          <w:sz w:val="24"/>
        </w:rPr>
      </w:pPr>
      <w:r>
        <w:rPr>
          <w:rFonts w:hint="eastAsia" w:ascii="仿宋" w:hAnsi="仿宋" w:eastAsia="仿宋" w:cs="仿宋"/>
          <w:sz w:val="24"/>
        </w:rPr>
        <w:t xml:space="preserve"> 年    月    日</w:t>
      </w:r>
    </w:p>
    <w:p>
      <w:pPr>
        <w:snapToGrid w:val="0"/>
        <w:spacing w:line="360" w:lineRule="auto"/>
        <w:ind w:right="480"/>
        <w:jc w:val="center"/>
        <w:rPr>
          <w:rFonts w:ascii="仿宋" w:hAnsi="仿宋" w:eastAsia="仿宋" w:cs="仿宋"/>
          <w:b/>
          <w:kern w:val="0"/>
          <w:sz w:val="24"/>
        </w:rPr>
      </w:pPr>
    </w:p>
    <w:p>
      <w:pPr>
        <w:spacing w:line="360" w:lineRule="auto"/>
        <w:rPr>
          <w:rFonts w:ascii="仿宋" w:hAnsi="仿宋" w:eastAsia="仿宋" w:cs="仿宋"/>
          <w:b/>
          <w:kern w:val="0"/>
          <w:sz w:val="24"/>
        </w:rPr>
      </w:pPr>
      <w:r>
        <w:rPr>
          <w:rFonts w:hint="eastAsia" w:ascii="仿宋" w:hAnsi="仿宋" w:eastAsia="仿宋" w:cs="仿宋"/>
          <w:b/>
          <w:kern w:val="0"/>
          <w:sz w:val="24"/>
        </w:rPr>
        <w:br w:type="page"/>
      </w:r>
    </w:p>
    <w:p>
      <w:pPr>
        <w:snapToGrid w:val="0"/>
        <w:spacing w:line="360" w:lineRule="auto"/>
        <w:ind w:right="480"/>
        <w:jc w:val="center"/>
        <w:rPr>
          <w:rFonts w:ascii="仿宋" w:hAnsi="仿宋" w:eastAsia="仿宋" w:cs="仿宋"/>
          <w:b/>
          <w:kern w:val="0"/>
          <w:sz w:val="24"/>
        </w:rPr>
      </w:pPr>
      <w:r>
        <w:rPr>
          <w:rFonts w:hint="eastAsia" w:ascii="仿宋" w:hAnsi="仿宋" w:eastAsia="仿宋" w:cs="仿宋"/>
          <w:b/>
          <w:kern w:val="0"/>
          <w:sz w:val="32"/>
          <w:szCs w:val="32"/>
        </w:rPr>
        <w:t>二、落实政府采购政策需满足的资格要求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jc w:val="center"/>
        <w:rPr>
          <w:rFonts w:ascii="仿宋" w:hAnsi="仿宋" w:eastAsia="仿宋" w:cs="仿宋"/>
          <w:b/>
          <w:kern w:val="0"/>
          <w:sz w:val="24"/>
        </w:rPr>
      </w:pPr>
      <w:r>
        <w:rPr>
          <w:rFonts w:hint="eastAsia" w:ascii="仿宋" w:hAnsi="仿宋" w:eastAsia="仿宋" w:cs="仿宋"/>
          <w:b/>
          <w:kern w:val="0"/>
          <w:sz w:val="24"/>
          <w:lang w:val="zh-CN"/>
        </w:rPr>
        <w:br w:type="page"/>
      </w:r>
      <w:r>
        <w:rPr>
          <w:rFonts w:hint="eastAsia" w:ascii="仿宋" w:hAnsi="仿宋" w:eastAsia="仿宋" w:cs="仿宋"/>
          <w:b/>
          <w:kern w:val="0"/>
          <w:sz w:val="32"/>
          <w:szCs w:val="32"/>
        </w:rPr>
        <w:t>三、本项目的特定资格要求</w:t>
      </w:r>
    </w:p>
    <w:p>
      <w:pPr>
        <w:spacing w:line="360" w:lineRule="auto"/>
        <w:jc w:val="center"/>
        <w:rPr>
          <w:rFonts w:ascii="仿宋" w:hAnsi="仿宋" w:eastAsia="仿宋" w:cs="仿宋"/>
          <w:b/>
          <w:kern w:val="0"/>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b/>
          <w:kern w:val="0"/>
          <w:sz w:val="24"/>
        </w:rPr>
      </w:pPr>
      <w:r>
        <w:rPr>
          <w:rFonts w:hint="eastAsia" w:ascii="仿宋" w:hAnsi="仿宋" w:eastAsia="仿宋" w:cs="仿宋"/>
          <w:b/>
          <w:kern w:val="0"/>
          <w:sz w:val="24"/>
        </w:rPr>
        <w:br w:type="page"/>
      </w:r>
    </w:p>
    <w:p>
      <w:pPr>
        <w:spacing w:line="360" w:lineRule="auto"/>
        <w:jc w:val="center"/>
        <w:rPr>
          <w:rFonts w:ascii="仿宋" w:hAnsi="仿宋" w:eastAsia="仿宋" w:cs="仿宋"/>
          <w:b/>
          <w:kern w:val="0"/>
          <w:sz w:val="24"/>
        </w:rPr>
      </w:pPr>
      <w:r>
        <w:rPr>
          <w:rFonts w:hint="eastAsia" w:ascii="仿宋" w:hAnsi="仿宋" w:eastAsia="仿宋" w:cs="仿宋"/>
          <w:b/>
          <w:kern w:val="0"/>
          <w:sz w:val="32"/>
          <w:szCs w:val="32"/>
        </w:rPr>
        <w:t>商务技术文件部分</w:t>
      </w:r>
    </w:p>
    <w:p>
      <w:pPr>
        <w:spacing w:line="360" w:lineRule="auto"/>
        <w:ind w:left="3990" w:leftChars="1900"/>
        <w:outlineLvl w:val="0"/>
        <w:rPr>
          <w:rFonts w:ascii="仿宋" w:hAnsi="仿宋" w:eastAsia="仿宋" w:cs="仿宋"/>
          <w:b/>
          <w:kern w:val="0"/>
          <w:sz w:val="24"/>
        </w:rPr>
      </w:pPr>
      <w:r>
        <w:rPr>
          <w:rFonts w:hint="eastAsia" w:ascii="仿宋" w:hAnsi="仿宋" w:eastAsia="仿宋" w:cs="仿宋"/>
          <w:b/>
          <w:kern w:val="0"/>
          <w:sz w:val="24"/>
        </w:rPr>
        <w:t>目 录</w:t>
      </w:r>
    </w:p>
    <w:p>
      <w:pPr>
        <w:snapToGrid w:val="0"/>
        <w:spacing w:line="360" w:lineRule="auto"/>
        <w:ind w:firstLine="960" w:firstLineChars="400"/>
        <w:rPr>
          <w:rFonts w:ascii="仿宋" w:hAnsi="仿宋" w:eastAsia="仿宋" w:cs="仿宋"/>
          <w:sz w:val="24"/>
        </w:rPr>
      </w:pP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1 符合性自查表；</w:t>
      </w: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2 投标函；</w:t>
      </w:r>
      <w:r>
        <w:rPr>
          <w:rFonts w:hint="eastAsia" w:ascii="仿宋" w:hAnsi="仿宋" w:eastAsia="仿宋" w:cs="仿宋"/>
          <w:sz w:val="24"/>
          <w:lang w:val="zh-CN"/>
        </w:rPr>
        <w:t xml:space="preserve"> </w:t>
      </w: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3 授权委托书；</w:t>
      </w: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4 供应商情况表；</w:t>
      </w: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5 距采购人最近或者能为本项目提供最优服务的网点情况表；</w:t>
      </w: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6 评标标准相应的商务技术资料；</w:t>
      </w: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7 商务偏离表；</w:t>
      </w: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8 技术偏离表；</w:t>
      </w: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9 同类业绩情况一览表；</w:t>
      </w:r>
    </w:p>
    <w:p>
      <w:pPr>
        <w:adjustRightInd w:val="0"/>
        <w:snapToGrid w:val="0"/>
        <w:spacing w:line="360" w:lineRule="auto"/>
        <w:ind w:firstLine="720" w:firstLineChars="300"/>
        <w:rPr>
          <w:rFonts w:ascii="仿宋" w:hAnsi="仿宋" w:eastAsia="仿宋" w:cs="仿宋"/>
          <w:sz w:val="24"/>
          <w:lang w:val="zh-CN"/>
        </w:rPr>
      </w:pPr>
      <w:r>
        <w:rPr>
          <w:rFonts w:hint="eastAsia" w:ascii="仿宋" w:hAnsi="仿宋" w:eastAsia="仿宋" w:cs="仿宋"/>
          <w:sz w:val="24"/>
        </w:rPr>
        <w:t xml:space="preserve">10 </w:t>
      </w:r>
      <w:r>
        <w:rPr>
          <w:rFonts w:hint="eastAsia" w:ascii="仿宋" w:hAnsi="仿宋" w:eastAsia="仿宋" w:cs="仿宋"/>
          <w:sz w:val="24"/>
          <w:lang w:val="zh-CN"/>
        </w:rPr>
        <w:t>政府采购供应商廉洁自律承诺书；</w:t>
      </w:r>
    </w:p>
    <w:p>
      <w:pPr>
        <w:adjustRightInd w:val="0"/>
        <w:snapToGrid w:val="0"/>
        <w:spacing w:line="360" w:lineRule="auto"/>
        <w:ind w:firstLine="720" w:firstLineChars="300"/>
        <w:rPr>
          <w:rFonts w:ascii="仿宋" w:hAnsi="仿宋" w:eastAsia="仿宋" w:cs="仿宋"/>
          <w:sz w:val="24"/>
        </w:rPr>
      </w:pPr>
      <w:r>
        <w:rPr>
          <w:rFonts w:hint="eastAsia" w:ascii="仿宋" w:hAnsi="仿宋" w:eastAsia="仿宋" w:cs="仿宋"/>
          <w:sz w:val="24"/>
        </w:rPr>
        <w:t>11 其他资料。</w:t>
      </w:r>
    </w:p>
    <w:p>
      <w:pPr>
        <w:rPr>
          <w:rFonts w:ascii="仿宋" w:hAnsi="仿宋" w:eastAsia="仿宋" w:cs="仿宋"/>
          <w:sz w:val="24"/>
        </w:rPr>
      </w:pPr>
      <w:r>
        <w:rPr>
          <w:rFonts w:hint="eastAsia" w:ascii="仿宋" w:hAnsi="仿宋" w:eastAsia="仿宋" w:cs="仿宋"/>
          <w:sz w:val="24"/>
        </w:rPr>
        <w:br w:type="page"/>
      </w:r>
    </w:p>
    <w:p>
      <w:pPr>
        <w:pStyle w:val="10"/>
        <w:ind w:firstLine="482"/>
        <w:rPr>
          <w:rFonts w:ascii="仿宋" w:hAnsi="仿宋" w:eastAsia="仿宋" w:cs="仿宋"/>
          <w:szCs w:val="24"/>
        </w:rPr>
      </w:pPr>
    </w:p>
    <w:p>
      <w:pPr>
        <w:numPr>
          <w:ilvl w:val="0"/>
          <w:numId w:val="5"/>
        </w:numPr>
        <w:snapToGrid w:val="0"/>
        <w:spacing w:line="360" w:lineRule="auto"/>
        <w:jc w:val="center"/>
        <w:outlineLvl w:val="0"/>
        <w:rPr>
          <w:rFonts w:ascii="仿宋" w:hAnsi="仿宋" w:eastAsia="仿宋" w:cs="仿宋"/>
          <w:b/>
          <w:kern w:val="0"/>
          <w:sz w:val="24"/>
        </w:rPr>
      </w:pPr>
      <w:r>
        <w:rPr>
          <w:rFonts w:hint="eastAsia" w:ascii="仿宋" w:hAnsi="仿宋" w:eastAsia="仿宋" w:cs="仿宋"/>
          <w:b/>
          <w:kern w:val="0"/>
          <w:sz w:val="32"/>
          <w:szCs w:val="32"/>
        </w:rPr>
        <w:t>符合性自查表</w:t>
      </w:r>
    </w:p>
    <w:tbl>
      <w:tblPr>
        <w:tblStyle w:val="24"/>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103"/>
        <w:gridCol w:w="2518"/>
        <w:gridCol w:w="11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08"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4103"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实质性要求</w:t>
            </w:r>
          </w:p>
        </w:tc>
        <w:tc>
          <w:tcPr>
            <w:tcW w:w="2518"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需要提供的符合性审查资料</w:t>
            </w:r>
          </w:p>
        </w:tc>
        <w:tc>
          <w:tcPr>
            <w:tcW w:w="1185" w:type="dxa"/>
            <w:vAlign w:val="center"/>
          </w:tcPr>
          <w:p>
            <w:pPr>
              <w:spacing w:line="360" w:lineRule="auto"/>
              <w:rPr>
                <w:rFonts w:ascii="仿宋" w:hAnsi="仿宋" w:eastAsia="仿宋" w:cs="仿宋"/>
                <w:sz w:val="24"/>
              </w:rPr>
            </w:pPr>
            <w:r>
              <w:rPr>
                <w:rFonts w:hint="eastAsia" w:ascii="仿宋" w:hAnsi="仿宋" w:eastAsia="仿宋" w:cs="仿宋"/>
                <w:b/>
                <w:sz w:val="24"/>
              </w:rPr>
              <w:t>自查结论</w:t>
            </w:r>
          </w:p>
        </w:tc>
        <w:tc>
          <w:tcPr>
            <w:tcW w:w="1785"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投标文件中的</w:t>
            </w:r>
          </w:p>
          <w:p>
            <w:pPr>
              <w:snapToGrid w:val="0"/>
              <w:spacing w:line="360" w:lineRule="auto"/>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4103" w:type="dxa"/>
            <w:vAlign w:val="center"/>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18" w:type="dxa"/>
            <w:vAlign w:val="center"/>
          </w:tcPr>
          <w:p>
            <w:pPr>
              <w:spacing w:line="360" w:lineRule="auto"/>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185" w:type="dxa"/>
            <w:vAlign w:val="center"/>
          </w:tcPr>
          <w:p>
            <w:pPr>
              <w:spacing w:line="360" w:lineRule="auto"/>
              <w:rPr>
                <w:rFonts w:ascii="仿宋" w:hAnsi="仿宋" w:eastAsia="仿宋" w:cs="仿宋"/>
                <w:sz w:val="24"/>
              </w:rPr>
            </w:pPr>
            <w:r>
              <w:rPr>
                <w:rFonts w:hint="eastAsia" w:ascii="仿宋" w:hAnsi="仿宋" w:eastAsia="仿宋" w:cs="仿宋"/>
                <w:sz w:val="24"/>
              </w:rPr>
              <w:t xml:space="preserve">□通过 </w:t>
            </w:r>
          </w:p>
          <w:p>
            <w:pPr>
              <w:spacing w:line="360" w:lineRule="auto"/>
              <w:rPr>
                <w:rFonts w:ascii="仿宋" w:hAnsi="仿宋" w:eastAsia="仿宋" w:cs="仿宋"/>
                <w:sz w:val="24"/>
              </w:rPr>
            </w:pPr>
            <w:r>
              <w:rPr>
                <w:rFonts w:hint="eastAsia" w:ascii="仿宋" w:hAnsi="仿宋" w:eastAsia="仿宋" w:cs="仿宋"/>
                <w:sz w:val="24"/>
              </w:rPr>
              <w:t>□不通过</w:t>
            </w:r>
          </w:p>
        </w:tc>
        <w:tc>
          <w:tcPr>
            <w:tcW w:w="1785" w:type="dxa"/>
            <w:vAlign w:val="center"/>
          </w:tcPr>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见投标文件</w:t>
            </w:r>
          </w:p>
          <w:p>
            <w:pPr>
              <w:spacing w:line="360" w:lineRule="auto"/>
              <w:rPr>
                <w:rFonts w:ascii="仿宋" w:hAnsi="仿宋" w:eastAsia="仿宋" w:cs="仿宋"/>
                <w:sz w:val="24"/>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4103" w:type="dxa"/>
            <w:vAlign w:val="center"/>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18" w:type="dxa"/>
            <w:vAlign w:val="center"/>
          </w:tcPr>
          <w:p>
            <w:pPr>
              <w:spacing w:line="360" w:lineRule="auto"/>
              <w:rPr>
                <w:rFonts w:ascii="仿宋" w:hAnsi="仿宋" w:eastAsia="仿宋" w:cs="仿宋"/>
                <w:sz w:val="24"/>
              </w:rPr>
            </w:pPr>
            <w:r>
              <w:rPr>
                <w:rFonts w:hint="eastAsia" w:ascii="仿宋" w:hAnsi="仿宋" w:eastAsia="仿宋" w:cs="仿宋"/>
                <w:sz w:val="24"/>
              </w:rPr>
              <w:t>投标函</w:t>
            </w:r>
          </w:p>
        </w:tc>
        <w:tc>
          <w:tcPr>
            <w:tcW w:w="1185" w:type="dxa"/>
            <w:vAlign w:val="center"/>
          </w:tcPr>
          <w:p>
            <w:pPr>
              <w:spacing w:line="360" w:lineRule="auto"/>
              <w:rPr>
                <w:rFonts w:ascii="仿宋" w:hAnsi="仿宋" w:eastAsia="仿宋" w:cs="仿宋"/>
                <w:sz w:val="24"/>
              </w:rPr>
            </w:pPr>
            <w:r>
              <w:rPr>
                <w:rFonts w:hint="eastAsia" w:ascii="仿宋" w:hAnsi="仿宋" w:eastAsia="仿宋" w:cs="仿宋"/>
                <w:sz w:val="24"/>
              </w:rPr>
              <w:t xml:space="preserve">□通过 </w:t>
            </w:r>
          </w:p>
          <w:p>
            <w:pPr>
              <w:spacing w:line="360" w:lineRule="auto"/>
              <w:rPr>
                <w:rFonts w:ascii="仿宋" w:hAnsi="仿宋" w:eastAsia="仿宋" w:cs="仿宋"/>
                <w:sz w:val="24"/>
              </w:rPr>
            </w:pPr>
            <w:r>
              <w:rPr>
                <w:rFonts w:hint="eastAsia" w:ascii="仿宋" w:hAnsi="仿宋" w:eastAsia="仿宋" w:cs="仿宋"/>
                <w:sz w:val="24"/>
              </w:rPr>
              <w:t>□不通过</w:t>
            </w:r>
          </w:p>
        </w:tc>
        <w:tc>
          <w:tcPr>
            <w:tcW w:w="1785" w:type="dxa"/>
            <w:vAlign w:val="center"/>
          </w:tcPr>
          <w:p>
            <w:pPr>
              <w:spacing w:line="360" w:lineRule="auto"/>
              <w:rPr>
                <w:rFonts w:ascii="仿宋" w:hAnsi="仿宋" w:eastAsia="仿宋" w:cs="仿宋"/>
                <w:sz w:val="24"/>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08" w:type="dxa"/>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4103" w:type="dxa"/>
            <w:vAlign w:val="center"/>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18" w:type="dxa"/>
            <w:vAlign w:val="center"/>
          </w:tcPr>
          <w:p>
            <w:pPr>
              <w:spacing w:line="360" w:lineRule="auto"/>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185" w:type="dxa"/>
            <w:vAlign w:val="center"/>
          </w:tcPr>
          <w:p>
            <w:pPr>
              <w:spacing w:line="360" w:lineRule="auto"/>
              <w:rPr>
                <w:rFonts w:ascii="仿宋" w:hAnsi="仿宋" w:eastAsia="仿宋" w:cs="仿宋"/>
                <w:sz w:val="24"/>
              </w:rPr>
            </w:pPr>
            <w:r>
              <w:rPr>
                <w:rFonts w:hint="eastAsia" w:ascii="仿宋" w:hAnsi="仿宋" w:eastAsia="仿宋" w:cs="仿宋"/>
                <w:sz w:val="24"/>
              </w:rPr>
              <w:t xml:space="preserve">□通过 </w:t>
            </w:r>
          </w:p>
          <w:p>
            <w:pPr>
              <w:spacing w:line="360" w:lineRule="auto"/>
              <w:rPr>
                <w:rFonts w:ascii="仿宋" w:hAnsi="仿宋" w:eastAsia="仿宋" w:cs="仿宋"/>
                <w:sz w:val="24"/>
              </w:rPr>
            </w:pPr>
            <w:r>
              <w:rPr>
                <w:rFonts w:hint="eastAsia" w:ascii="仿宋" w:hAnsi="仿宋" w:eastAsia="仿宋" w:cs="仿宋"/>
                <w:sz w:val="24"/>
              </w:rPr>
              <w:t>□不通过</w:t>
            </w:r>
          </w:p>
        </w:tc>
        <w:tc>
          <w:tcPr>
            <w:tcW w:w="1785" w:type="dxa"/>
            <w:vAlign w:val="center"/>
          </w:tcPr>
          <w:p>
            <w:pPr>
              <w:spacing w:line="360" w:lineRule="auto"/>
              <w:rPr>
                <w:rFonts w:ascii="仿宋" w:hAnsi="仿宋" w:eastAsia="仿宋" w:cs="仿宋"/>
                <w:sz w:val="24"/>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4103" w:type="dxa"/>
            <w:vAlign w:val="center"/>
          </w:tcPr>
          <w:p>
            <w:pPr>
              <w:snapToGrid w:val="0"/>
              <w:spacing w:line="360" w:lineRule="auto"/>
              <w:jc w:val="left"/>
              <w:rPr>
                <w:rFonts w:ascii="仿宋" w:hAnsi="仿宋" w:eastAsia="仿宋" w:cs="仿宋"/>
                <w:bCs/>
                <w:sz w:val="24"/>
              </w:rPr>
            </w:pPr>
            <w:r>
              <w:rPr>
                <w:rFonts w:hint="eastAsia" w:ascii="仿宋" w:hAnsi="仿宋" w:eastAsia="仿宋" w:cs="仿宋"/>
                <w:bCs/>
                <w:sz w:val="24"/>
              </w:rPr>
              <w:t>投标文件没有招标文件中规定的其它无效投标条款的。</w:t>
            </w:r>
          </w:p>
        </w:tc>
        <w:tc>
          <w:tcPr>
            <w:tcW w:w="2518" w:type="dxa"/>
            <w:vAlign w:val="center"/>
          </w:tcPr>
          <w:p>
            <w:pPr>
              <w:spacing w:line="360" w:lineRule="auto"/>
              <w:rPr>
                <w:rFonts w:ascii="仿宋" w:hAnsi="仿宋" w:eastAsia="仿宋" w:cs="仿宋"/>
                <w:kern w:val="0"/>
                <w:sz w:val="24"/>
              </w:rPr>
            </w:pPr>
          </w:p>
        </w:tc>
        <w:tc>
          <w:tcPr>
            <w:tcW w:w="1185" w:type="dxa"/>
            <w:vAlign w:val="center"/>
          </w:tcPr>
          <w:p>
            <w:pPr>
              <w:spacing w:line="360" w:lineRule="auto"/>
              <w:rPr>
                <w:rFonts w:ascii="仿宋" w:hAnsi="仿宋" w:eastAsia="仿宋" w:cs="仿宋"/>
                <w:sz w:val="24"/>
              </w:rPr>
            </w:pPr>
            <w:r>
              <w:rPr>
                <w:rFonts w:hint="eastAsia" w:ascii="仿宋" w:hAnsi="仿宋" w:eastAsia="仿宋" w:cs="仿宋"/>
                <w:sz w:val="24"/>
              </w:rPr>
              <w:t xml:space="preserve">□通过 </w:t>
            </w:r>
          </w:p>
          <w:p>
            <w:pPr>
              <w:spacing w:line="360" w:lineRule="auto"/>
              <w:rPr>
                <w:rFonts w:ascii="仿宋" w:hAnsi="仿宋" w:eastAsia="仿宋" w:cs="仿宋"/>
                <w:sz w:val="24"/>
              </w:rPr>
            </w:pPr>
            <w:r>
              <w:rPr>
                <w:rFonts w:hint="eastAsia" w:ascii="仿宋" w:hAnsi="仿宋" w:eastAsia="仿宋" w:cs="仿宋"/>
                <w:sz w:val="24"/>
              </w:rPr>
              <w:t>□不通过</w:t>
            </w:r>
          </w:p>
        </w:tc>
        <w:tc>
          <w:tcPr>
            <w:tcW w:w="1785" w:type="dxa"/>
            <w:vAlign w:val="center"/>
          </w:tcPr>
          <w:p>
            <w:pPr>
              <w:spacing w:line="360" w:lineRule="auto"/>
              <w:rPr>
                <w:rFonts w:ascii="仿宋" w:hAnsi="仿宋" w:eastAsia="仿宋" w:cs="仿宋"/>
                <w:sz w:val="24"/>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4103" w:type="dxa"/>
            <w:vAlign w:val="center"/>
          </w:tcPr>
          <w:p>
            <w:pPr>
              <w:snapToGrid w:val="0"/>
              <w:spacing w:line="360" w:lineRule="auto"/>
              <w:jc w:val="left"/>
              <w:rPr>
                <w:rFonts w:ascii="仿宋" w:hAnsi="仿宋" w:eastAsia="仿宋" w:cs="仿宋"/>
                <w:bCs/>
                <w:sz w:val="24"/>
              </w:rPr>
            </w:pPr>
            <w:r>
              <w:rPr>
                <w:rFonts w:hint="eastAsia" w:ascii="仿宋" w:hAnsi="仿宋" w:eastAsia="仿宋" w:cs="仿宋"/>
                <w:bCs/>
                <w:sz w:val="24"/>
              </w:rPr>
              <w:t>按有关法律、法规、规章不属于投标无效的。</w:t>
            </w:r>
          </w:p>
        </w:tc>
        <w:tc>
          <w:tcPr>
            <w:tcW w:w="2518" w:type="dxa"/>
            <w:vAlign w:val="center"/>
          </w:tcPr>
          <w:p>
            <w:pPr>
              <w:spacing w:line="360" w:lineRule="auto"/>
              <w:rPr>
                <w:rFonts w:ascii="仿宋" w:hAnsi="仿宋" w:eastAsia="仿宋" w:cs="仿宋"/>
                <w:kern w:val="0"/>
                <w:sz w:val="24"/>
              </w:rPr>
            </w:pPr>
          </w:p>
        </w:tc>
        <w:tc>
          <w:tcPr>
            <w:tcW w:w="1185" w:type="dxa"/>
            <w:vAlign w:val="center"/>
          </w:tcPr>
          <w:p>
            <w:pPr>
              <w:spacing w:line="360" w:lineRule="auto"/>
              <w:rPr>
                <w:rFonts w:ascii="仿宋" w:hAnsi="仿宋" w:eastAsia="仿宋" w:cs="仿宋"/>
                <w:sz w:val="24"/>
              </w:rPr>
            </w:pPr>
            <w:r>
              <w:rPr>
                <w:rFonts w:hint="eastAsia" w:ascii="仿宋" w:hAnsi="仿宋" w:eastAsia="仿宋" w:cs="仿宋"/>
                <w:sz w:val="24"/>
              </w:rPr>
              <w:t xml:space="preserve">□通过 </w:t>
            </w:r>
          </w:p>
          <w:p>
            <w:pPr>
              <w:spacing w:line="360" w:lineRule="auto"/>
              <w:rPr>
                <w:rFonts w:ascii="仿宋" w:hAnsi="仿宋" w:eastAsia="仿宋" w:cs="仿宋"/>
                <w:sz w:val="24"/>
              </w:rPr>
            </w:pPr>
            <w:r>
              <w:rPr>
                <w:rFonts w:hint="eastAsia" w:ascii="仿宋" w:hAnsi="仿宋" w:eastAsia="仿宋" w:cs="仿宋"/>
                <w:sz w:val="24"/>
              </w:rPr>
              <w:t>□不通过</w:t>
            </w:r>
          </w:p>
        </w:tc>
        <w:tc>
          <w:tcPr>
            <w:tcW w:w="1785" w:type="dxa"/>
            <w:vAlign w:val="center"/>
          </w:tcPr>
          <w:p>
            <w:pPr>
              <w:spacing w:line="360" w:lineRule="auto"/>
              <w:rPr>
                <w:rFonts w:ascii="仿宋" w:hAnsi="仿宋" w:eastAsia="仿宋" w:cs="仿宋"/>
                <w:sz w:val="24"/>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8" w:type="dxa"/>
            <w:vAlign w:val="center"/>
          </w:tcPr>
          <w:p>
            <w:pPr>
              <w:spacing w:line="360" w:lineRule="auto"/>
              <w:jc w:val="center"/>
              <w:rPr>
                <w:rFonts w:ascii="仿宋" w:hAnsi="仿宋" w:eastAsia="仿宋" w:cs="仿宋"/>
                <w:sz w:val="24"/>
              </w:rPr>
            </w:pPr>
          </w:p>
        </w:tc>
        <w:tc>
          <w:tcPr>
            <w:tcW w:w="4103" w:type="dxa"/>
            <w:vAlign w:val="center"/>
          </w:tcPr>
          <w:p>
            <w:pPr>
              <w:spacing w:line="360" w:lineRule="auto"/>
              <w:rPr>
                <w:rFonts w:ascii="仿宋" w:hAnsi="仿宋" w:eastAsia="仿宋" w:cs="仿宋"/>
                <w:sz w:val="24"/>
              </w:rPr>
            </w:pPr>
            <w:r>
              <w:rPr>
                <w:rFonts w:hint="eastAsia" w:ascii="仿宋" w:hAnsi="仿宋" w:eastAsia="仿宋" w:cs="仿宋"/>
                <w:sz w:val="24"/>
              </w:rPr>
              <w:t>......</w:t>
            </w:r>
          </w:p>
        </w:tc>
        <w:tc>
          <w:tcPr>
            <w:tcW w:w="2518" w:type="dxa"/>
            <w:vAlign w:val="center"/>
          </w:tcPr>
          <w:p>
            <w:pPr>
              <w:spacing w:line="360" w:lineRule="auto"/>
              <w:rPr>
                <w:rFonts w:ascii="仿宋" w:hAnsi="仿宋" w:eastAsia="仿宋" w:cs="仿宋"/>
                <w:kern w:val="0"/>
                <w:sz w:val="24"/>
              </w:rPr>
            </w:pPr>
          </w:p>
        </w:tc>
        <w:tc>
          <w:tcPr>
            <w:tcW w:w="1185" w:type="dxa"/>
          </w:tcPr>
          <w:p>
            <w:pPr>
              <w:spacing w:line="360" w:lineRule="auto"/>
              <w:rPr>
                <w:rFonts w:ascii="仿宋" w:hAnsi="仿宋" w:eastAsia="仿宋" w:cs="仿宋"/>
                <w:sz w:val="24"/>
              </w:rPr>
            </w:pPr>
          </w:p>
        </w:tc>
        <w:tc>
          <w:tcPr>
            <w:tcW w:w="1785" w:type="dxa"/>
            <w:vAlign w:val="center"/>
          </w:tcPr>
          <w:p>
            <w:pPr>
              <w:spacing w:line="360" w:lineRule="auto"/>
              <w:rPr>
                <w:rFonts w:ascii="仿宋" w:hAnsi="仿宋" w:eastAsia="仿宋" w:cs="仿宋"/>
                <w:sz w:val="24"/>
              </w:rPr>
            </w:pPr>
          </w:p>
        </w:tc>
      </w:tr>
    </w:tbl>
    <w:p>
      <w:pPr>
        <w:snapToGrid w:val="0"/>
        <w:spacing w:line="360" w:lineRule="auto"/>
        <w:jc w:val="left"/>
        <w:rPr>
          <w:rFonts w:ascii="仿宋" w:hAnsi="仿宋" w:eastAsia="仿宋" w:cs="仿宋"/>
          <w:b/>
          <w:sz w:val="24"/>
        </w:rPr>
      </w:pPr>
      <w:r>
        <w:rPr>
          <w:rFonts w:hint="eastAsia" w:ascii="仿宋" w:hAnsi="仿宋" w:eastAsia="仿宋" w:cs="仿宋"/>
          <w:b/>
          <w:sz w:val="24"/>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numPr>
          <w:ilvl w:val="0"/>
          <w:numId w:val="5"/>
        </w:numPr>
        <w:snapToGrid w:val="0"/>
        <w:spacing w:line="360" w:lineRule="auto"/>
        <w:jc w:val="center"/>
        <w:outlineLvl w:val="0"/>
        <w:rPr>
          <w:rFonts w:ascii="仿宋" w:hAnsi="仿宋" w:eastAsia="仿宋" w:cs="仿宋"/>
          <w:b/>
          <w:sz w:val="24"/>
        </w:rPr>
      </w:pPr>
      <w:r>
        <w:rPr>
          <w:rFonts w:hint="eastAsia" w:ascii="仿宋" w:hAnsi="仿宋" w:eastAsia="仿宋" w:cs="仿宋"/>
          <w:b/>
          <w:kern w:val="0"/>
          <w:sz w:val="24"/>
        </w:rPr>
        <w:br w:type="page"/>
      </w:r>
      <w:r>
        <w:rPr>
          <w:rFonts w:hint="eastAsia" w:ascii="仿宋" w:hAnsi="仿宋" w:eastAsia="仿宋" w:cs="仿宋"/>
          <w:b/>
          <w:kern w:val="0"/>
          <w:sz w:val="32"/>
          <w:szCs w:val="32"/>
        </w:rPr>
        <w:t>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2.1.1有效的企业法人营业执照（或事业法人登记证）、其他组织（个体工商户）的营业执照或者民办非企业单位登记证书；</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2.1.2符合参加政府采购活动应当具备的一般条件的承诺函落实政府采购政策需满足的资格要求（如果有）；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2.1.3落实政府采购政策需满足的资格要求；</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2.1.4联合协议（如果有）；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2.1.5分包意向协议（如果有）；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2.1.6本项目的特定资格要求。</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 符合性自查表；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2.2.2 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 授权委托书；</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 供应商情况表；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 距采购人最近或者能为本项目提供最优服务的网点情况表；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 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7 商务偏离表；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 技术偏离表；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9 同类业绩情况一览表；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 xml:space="preserve">2.2.10 </w:t>
      </w:r>
      <w:r>
        <w:rPr>
          <w:rFonts w:hint="eastAsia" w:ascii="仿宋" w:hAnsi="仿宋" w:eastAsia="仿宋" w:cs="仿宋"/>
          <w:sz w:val="24"/>
          <w:lang w:val="zh-CN"/>
        </w:rPr>
        <w:t>政府采购供应商廉洁自律承诺书；</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2.2.11 其他资料。</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2.3.1 开标一览表；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2.3.2投标报价明细表；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2.3.3 中小企业声明函（如有）；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2.3.4 残疾人福利性单位声明函（如有）；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2.3.5 监狱企业的证明文件（如有）；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2.3.6 政府采购统计基础信息表。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5、其他补充说明: </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360" w:lineRule="auto"/>
        <w:ind w:firstLine="3600" w:firstLineChars="1500"/>
        <w:rPr>
          <w:rFonts w:ascii="仿宋" w:hAnsi="仿宋" w:eastAsia="仿宋" w:cs="仿宋"/>
          <w:sz w:val="24"/>
        </w:rPr>
      </w:pPr>
    </w:p>
    <w:p>
      <w:pPr>
        <w:spacing w:line="360" w:lineRule="auto"/>
        <w:ind w:firstLine="3600" w:firstLineChars="1500"/>
        <w:rPr>
          <w:rFonts w:ascii="仿宋" w:hAnsi="仿宋" w:eastAsia="仿宋" w:cs="仿宋"/>
          <w:sz w:val="24"/>
        </w:rPr>
      </w:pPr>
    </w:p>
    <w:p>
      <w:pPr>
        <w:spacing w:line="360" w:lineRule="auto"/>
        <w:ind w:right="420" w:firstLine="6000" w:firstLineChars="2500"/>
        <w:rPr>
          <w:rFonts w:ascii="仿宋" w:hAnsi="仿宋" w:eastAsia="仿宋" w:cs="仿宋"/>
          <w:sz w:val="24"/>
        </w:rPr>
      </w:pPr>
      <w:r>
        <w:rPr>
          <w:rFonts w:hint="eastAsia" w:ascii="仿宋" w:hAnsi="仿宋" w:eastAsia="仿宋" w:cs="仿宋"/>
          <w:sz w:val="24"/>
        </w:rPr>
        <w:t xml:space="preserve">法定代表人（签名或印章）：     </w:t>
      </w:r>
    </w:p>
    <w:p>
      <w:pPr>
        <w:spacing w:line="360" w:lineRule="auto"/>
        <w:ind w:right="420" w:firstLine="6240" w:firstLineChars="2600"/>
        <w:rPr>
          <w:rFonts w:ascii="仿宋" w:hAnsi="仿宋" w:eastAsia="仿宋" w:cs="仿宋"/>
          <w:sz w:val="24"/>
        </w:rPr>
      </w:pPr>
      <w:r>
        <w:rPr>
          <w:rFonts w:hint="eastAsia" w:ascii="仿宋" w:hAnsi="仿宋" w:eastAsia="仿宋" w:cs="仿宋"/>
          <w:sz w:val="24"/>
        </w:rPr>
        <w:t xml:space="preserve">投标人（盖章）：   </w:t>
      </w:r>
    </w:p>
    <w:p>
      <w:pPr>
        <w:spacing w:line="360" w:lineRule="auto"/>
        <w:ind w:right="420" w:firstLine="6120" w:firstLineChars="2550"/>
        <w:rPr>
          <w:rFonts w:ascii="仿宋" w:hAnsi="仿宋" w:eastAsia="仿宋" w:cs="仿宋"/>
          <w:sz w:val="24"/>
        </w:rPr>
      </w:pPr>
      <w:r>
        <w:rPr>
          <w:rFonts w:hint="eastAsia" w:ascii="仿宋" w:hAnsi="仿宋" w:eastAsia="仿宋" w:cs="仿宋"/>
          <w:sz w:val="24"/>
        </w:rPr>
        <w:t xml:space="preserve"> 年    月    日</w:t>
      </w:r>
    </w:p>
    <w:p>
      <w:pPr>
        <w:spacing w:line="360" w:lineRule="auto"/>
        <w:jc w:val="center"/>
        <w:rPr>
          <w:rFonts w:ascii="仿宋" w:hAnsi="仿宋" w:eastAsia="仿宋" w:cs="仿宋"/>
          <w:b/>
          <w:kern w:val="0"/>
          <w:sz w:val="24"/>
        </w:rPr>
      </w:pPr>
    </w:p>
    <w:p>
      <w:pPr>
        <w:spacing w:line="360" w:lineRule="auto"/>
        <w:jc w:val="center"/>
        <w:rPr>
          <w:rFonts w:ascii="仿宋" w:hAnsi="仿宋" w:eastAsia="仿宋" w:cs="仿宋"/>
          <w:b/>
          <w:kern w:val="0"/>
          <w:sz w:val="24"/>
          <w:lang w:val="zh-CN"/>
        </w:rPr>
      </w:pPr>
    </w:p>
    <w:p>
      <w:pPr>
        <w:spacing w:line="360" w:lineRule="auto"/>
        <w:rPr>
          <w:rFonts w:ascii="仿宋" w:hAnsi="仿宋" w:eastAsia="仿宋" w:cs="仿宋"/>
          <w:b/>
          <w:sz w:val="24"/>
        </w:rPr>
      </w:pPr>
      <w:bookmarkStart w:id="419" w:name="_Toc110393361"/>
      <w:bookmarkStart w:id="420" w:name="_Toc483379796"/>
      <w:bookmarkStart w:id="421" w:name="_Toc225223761"/>
      <w:bookmarkStart w:id="422" w:name="_Toc488936100"/>
      <w:bookmarkStart w:id="423" w:name="_Toc14746861"/>
      <w:bookmarkStart w:id="424" w:name="_Toc479927873"/>
    </w:p>
    <w:p>
      <w:pPr>
        <w:numPr>
          <w:ilvl w:val="0"/>
          <w:numId w:val="5"/>
        </w:numPr>
        <w:snapToGrid w:val="0"/>
        <w:spacing w:line="360" w:lineRule="auto"/>
        <w:jc w:val="center"/>
        <w:outlineLvl w:val="0"/>
        <w:rPr>
          <w:rFonts w:ascii="仿宋" w:hAnsi="仿宋" w:eastAsia="仿宋" w:cs="仿宋"/>
          <w:b/>
          <w:kern w:val="0"/>
          <w:sz w:val="24"/>
          <w:lang w:val="zh-CN"/>
        </w:rPr>
      </w:pPr>
      <w:r>
        <w:rPr>
          <w:rFonts w:hint="eastAsia" w:ascii="仿宋" w:hAnsi="仿宋" w:eastAsia="仿宋" w:cs="仿宋"/>
          <w:b/>
          <w:kern w:val="0"/>
          <w:sz w:val="24"/>
          <w:lang w:val="zh-CN"/>
        </w:rPr>
        <w:br w:type="page"/>
      </w:r>
      <w:r>
        <w:rPr>
          <w:rFonts w:hint="eastAsia" w:ascii="仿宋" w:hAnsi="仿宋" w:eastAsia="仿宋" w:cs="仿宋"/>
          <w:b/>
          <w:kern w:val="0"/>
          <w:sz w:val="32"/>
          <w:szCs w:val="32"/>
          <w:lang w:val="zh-CN"/>
        </w:rPr>
        <w:t>授权委托书</w:t>
      </w:r>
    </w:p>
    <w:p>
      <w:pPr>
        <w:jc w:val="left"/>
        <w:rPr>
          <w:rFonts w:ascii="仿宋" w:hAnsi="仿宋" w:eastAsia="仿宋" w:cs="仿宋"/>
          <w:b/>
          <w:sz w:val="24"/>
        </w:rPr>
      </w:pPr>
      <w:r>
        <w:rPr>
          <w:rFonts w:hint="eastAsia" w:ascii="仿宋" w:hAnsi="仿宋" w:eastAsia="仿宋" w:cs="仿宋"/>
          <w:sz w:val="24"/>
        </w:rPr>
        <w:t xml:space="preserve">                           </w:t>
      </w:r>
      <w:r>
        <w:rPr>
          <w:rFonts w:hint="eastAsia" w:ascii="仿宋" w:hAnsi="仿宋" w:eastAsia="仿宋" w:cs="仿宋"/>
          <w:b/>
          <w:sz w:val="24"/>
        </w:rPr>
        <w:t>法定代表人授权委托书</w:t>
      </w:r>
    </w:p>
    <w:p>
      <w:pPr>
        <w:jc w:val="center"/>
        <w:rPr>
          <w:rFonts w:ascii="仿宋" w:hAnsi="仿宋" w:eastAsia="仿宋" w:cs="仿宋"/>
          <w:b/>
          <w:sz w:val="24"/>
        </w:rPr>
      </w:pPr>
      <w:r>
        <w:rPr>
          <w:rFonts w:hint="eastAsia" w:ascii="仿宋" w:hAnsi="仿宋" w:eastAsia="仿宋" w:cs="仿宋"/>
          <w:bCs/>
          <w:sz w:val="24"/>
        </w:rPr>
        <w:t>（法定代表人来投标的，此表不用）</w:t>
      </w:r>
    </w:p>
    <w:p>
      <w:pPr>
        <w:snapToGrid w:val="0"/>
        <w:spacing w:line="360" w:lineRule="auto"/>
        <w:rPr>
          <w:rFonts w:ascii="仿宋" w:hAnsi="仿宋" w:eastAsia="仿宋" w:cs="仿宋"/>
          <w:bCs/>
          <w:sz w:val="24"/>
        </w:rPr>
      </w:pPr>
    </w:p>
    <w:p>
      <w:pPr>
        <w:snapToGrid w:val="0"/>
        <w:spacing w:line="360" w:lineRule="auto"/>
        <w:rPr>
          <w:rFonts w:ascii="仿宋" w:hAnsi="仿宋" w:eastAsia="仿宋" w:cs="仿宋"/>
          <w:sz w:val="24"/>
        </w:rPr>
      </w:pPr>
      <w:r>
        <w:rPr>
          <w:rFonts w:hint="eastAsia" w:ascii="仿宋" w:hAnsi="仿宋" w:eastAsia="仿宋" w:cs="仿宋"/>
          <w:bCs/>
          <w:sz w:val="24"/>
        </w:rPr>
        <w:t>致：</w:t>
      </w:r>
      <w:r>
        <w:rPr>
          <w:rFonts w:hint="eastAsia" w:ascii="仿宋" w:hAnsi="仿宋" w:eastAsia="仿宋" w:cs="仿宋"/>
          <w:sz w:val="24"/>
          <w:u w:val="single"/>
        </w:rPr>
        <w:t xml:space="preserve">              </w:t>
      </w:r>
      <w:r>
        <w:rPr>
          <w:rFonts w:hint="eastAsia" w:ascii="仿宋" w:hAnsi="仿宋" w:eastAsia="仿宋" w:cs="仿宋"/>
          <w:sz w:val="24"/>
        </w:rPr>
        <w:t>（采购单位名称）</w:t>
      </w:r>
      <w:r>
        <w:rPr>
          <w:rFonts w:hint="eastAsia" w:ascii="仿宋" w:hAnsi="仿宋" w:eastAsia="仿宋" w:cs="仿宋"/>
          <w:b/>
          <w:bCs/>
          <w:sz w:val="24"/>
        </w:rPr>
        <w:t xml:space="preserve">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我</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 xml:space="preserve">（投标人名称）的法定代表人，现授权委托本单位在职职工 </w:t>
      </w:r>
      <w:r>
        <w:rPr>
          <w:rFonts w:hint="eastAsia" w:ascii="仿宋" w:hAnsi="仿宋" w:eastAsia="仿宋" w:cs="仿宋"/>
          <w:sz w:val="24"/>
          <w:u w:val="single"/>
        </w:rPr>
        <w:t xml:space="preserve">           </w:t>
      </w:r>
      <w:r>
        <w:rPr>
          <w:rFonts w:hint="eastAsia" w:ascii="仿宋" w:hAnsi="仿宋" w:eastAsia="仿宋" w:cs="仿宋"/>
          <w:sz w:val="24"/>
        </w:rPr>
        <w:t>（姓名）以我方的名义参加</w:t>
      </w:r>
      <w:r>
        <w:rPr>
          <w:rFonts w:hint="eastAsia" w:ascii="仿宋" w:hAnsi="仿宋" w:eastAsia="仿宋" w:cs="仿宋"/>
          <w:sz w:val="24"/>
          <w:u w:val="single"/>
        </w:rPr>
        <w:t xml:space="preserve">                       政府采购 </w:t>
      </w:r>
      <w:r>
        <w:rPr>
          <w:rFonts w:hint="eastAsia" w:ascii="仿宋" w:hAnsi="仿宋" w:eastAsia="仿宋" w:cs="仿宋"/>
          <w:sz w:val="24"/>
        </w:rPr>
        <w:t>项目的投标活动，并代表我方全权办理针对上述项目的投标、开标、评标、签约等具体事务和签署相关文件。</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我方对被授权人的签名事项负全部责任。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在撤销授权的书面通知以前，本授权书一直有效。被授权人在授权书有效期内签署的所有文件不因授权的撤销而失效。</w:t>
      </w:r>
    </w:p>
    <w:p>
      <w:pPr>
        <w:snapToGrid w:val="0"/>
        <w:spacing w:line="360" w:lineRule="auto"/>
        <w:ind w:firstLine="480"/>
        <w:rPr>
          <w:rFonts w:ascii="仿宋" w:hAnsi="仿宋" w:eastAsia="仿宋" w:cs="仿宋"/>
          <w:sz w:val="24"/>
        </w:rPr>
      </w:pPr>
      <w:r>
        <w:rPr>
          <w:rFonts w:hint="eastAsia" w:ascii="仿宋" w:hAnsi="仿宋" w:eastAsia="仿宋" w:cs="仿宋"/>
          <w:sz w:val="24"/>
        </w:rPr>
        <w:t>被授权人无转委托权，特此委托。</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single"/>
        </w:rPr>
      </w:pPr>
      <w:r>
        <w:rPr>
          <w:rFonts w:hint="eastAsia" w:ascii="仿宋" w:hAnsi="仿宋" w:eastAsia="仿宋" w:cs="仿宋"/>
          <w:sz w:val="24"/>
        </w:rPr>
        <w:t>被授权人签名：</w:t>
      </w:r>
      <w:r>
        <w:rPr>
          <w:rFonts w:hint="eastAsia" w:ascii="仿宋" w:hAnsi="仿宋" w:eastAsia="仿宋" w:cs="仿宋"/>
          <w:sz w:val="24"/>
          <w:u w:val="single"/>
        </w:rPr>
        <w:t xml:space="preserve">          </w:t>
      </w:r>
      <w:r>
        <w:rPr>
          <w:rFonts w:hint="eastAsia" w:ascii="仿宋" w:hAnsi="仿宋" w:eastAsia="仿宋" w:cs="仿宋"/>
          <w:sz w:val="24"/>
        </w:rPr>
        <w:t xml:space="preserve">                 法定代表人签名：</w:t>
      </w:r>
      <w:r>
        <w:rPr>
          <w:rFonts w:hint="eastAsia" w:ascii="仿宋" w:hAnsi="仿宋" w:eastAsia="仿宋" w:cs="仿宋"/>
          <w:sz w:val="24"/>
          <w:u w:val="single"/>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职务：</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被授权人身份证号码：</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rPr>
          <w:rFonts w:ascii="仿宋" w:hAnsi="仿宋" w:eastAsia="仿宋" w:cs="仿宋"/>
          <w:sz w:val="24"/>
        </w:rPr>
      </w:pPr>
    </w:p>
    <w:p>
      <w:pPr>
        <w:spacing w:line="360" w:lineRule="auto"/>
        <w:ind w:firstLine="5520" w:firstLineChars="2300"/>
        <w:rPr>
          <w:rFonts w:ascii="仿宋" w:hAnsi="仿宋" w:eastAsia="仿宋" w:cs="仿宋"/>
          <w:sz w:val="24"/>
        </w:rPr>
      </w:pPr>
      <w:r>
        <w:rPr>
          <w:rFonts w:hint="eastAsia" w:ascii="仿宋" w:hAnsi="仿宋" w:eastAsia="仿宋" w:cs="仿宋"/>
          <w:sz w:val="24"/>
        </w:rPr>
        <w:t>投标人（盖章）：</w:t>
      </w:r>
    </w:p>
    <w:p>
      <w:pPr>
        <w:spacing w:line="360" w:lineRule="auto"/>
        <w:ind w:firstLine="1440" w:firstLineChars="600"/>
        <w:rPr>
          <w:rFonts w:ascii="仿宋" w:hAnsi="仿宋" w:eastAsia="仿宋" w:cs="仿宋"/>
          <w:sz w:val="24"/>
        </w:rPr>
      </w:pPr>
      <w:r>
        <w:rPr>
          <w:rFonts w:hint="eastAsia" w:ascii="仿宋" w:hAnsi="仿宋" w:eastAsia="仿宋" w:cs="仿宋"/>
          <w:sz w:val="24"/>
        </w:rPr>
        <w:t xml:space="preserve">                                  日期：</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附：法定代表人身份证复印件（正反面）、授权代表身份证复印件（正反面）：</w:t>
      </w:r>
    </w:p>
    <w:p>
      <w:pPr>
        <w:snapToGrid w:val="0"/>
        <w:spacing w:line="360" w:lineRule="auto"/>
        <w:rPr>
          <w:rFonts w:ascii="仿宋" w:hAnsi="仿宋" w:eastAsia="仿宋" w:cs="仿宋"/>
          <w:sz w:val="24"/>
        </w:rPr>
      </w:pPr>
    </w:p>
    <w:p>
      <w:pPr>
        <w:spacing w:line="360" w:lineRule="auto"/>
        <w:jc w:val="center"/>
        <w:rPr>
          <w:rFonts w:ascii="仿宋" w:hAnsi="仿宋" w:eastAsia="仿宋" w:cs="仿宋"/>
          <w:kern w:val="0"/>
          <w:sz w:val="24"/>
          <w:lang w:val="zh-CN"/>
        </w:rPr>
      </w:pPr>
      <w:r>
        <w:rPr>
          <w:rFonts w:hint="eastAsia" w:ascii="仿宋" w:hAnsi="仿宋" w:eastAsia="仿宋" w:cs="仿宋"/>
          <w:b/>
          <w:kern w:val="0"/>
          <w:sz w:val="24"/>
          <w:lang w:val="zh-CN"/>
        </w:rPr>
        <w:t xml:space="preserve">      </w:t>
      </w:r>
      <w:r>
        <w:rPr>
          <w:rFonts w:hint="eastAsia" w:ascii="仿宋" w:hAnsi="仿宋" w:eastAsia="仿宋" w:cs="仿宋"/>
          <w:b/>
          <w:kern w:val="0"/>
          <w:sz w:val="24"/>
        </w:rPr>
        <w:t xml:space="preserve"> </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br w:type="page"/>
      </w:r>
      <w:r>
        <w:rPr>
          <w:rFonts w:hint="eastAsia" w:ascii="仿宋" w:hAnsi="仿宋" w:eastAsia="仿宋" w:cs="仿宋"/>
          <w:b/>
          <w:kern w:val="0"/>
          <w:sz w:val="32"/>
          <w:szCs w:val="32"/>
          <w:lang w:val="zh-CN"/>
        </w:rPr>
        <w:t>四、投标人基本情况</w:t>
      </w:r>
      <w:bookmarkEnd w:id="419"/>
      <w:bookmarkEnd w:id="420"/>
      <w:bookmarkEnd w:id="421"/>
      <w:bookmarkEnd w:id="422"/>
      <w:bookmarkEnd w:id="423"/>
      <w:bookmarkEnd w:id="424"/>
      <w:r>
        <w:rPr>
          <w:rFonts w:hint="eastAsia" w:ascii="仿宋" w:hAnsi="仿宋" w:eastAsia="仿宋" w:cs="仿宋"/>
          <w:b/>
          <w:kern w:val="0"/>
          <w:sz w:val="32"/>
          <w:szCs w:val="32"/>
          <w:lang w:val="zh-CN"/>
        </w:rPr>
        <w:t>表</w:t>
      </w:r>
    </w:p>
    <w:tbl>
      <w:tblPr>
        <w:tblStyle w:val="24"/>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6"/>
        <w:gridCol w:w="873"/>
        <w:gridCol w:w="1786"/>
        <w:gridCol w:w="120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投标人名称</w:t>
            </w:r>
          </w:p>
        </w:tc>
        <w:tc>
          <w:tcPr>
            <w:tcW w:w="7647" w:type="dxa"/>
            <w:gridSpan w:val="5"/>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注册地址</w:t>
            </w:r>
          </w:p>
        </w:tc>
        <w:tc>
          <w:tcPr>
            <w:tcW w:w="2809" w:type="dxa"/>
            <w:gridSpan w:val="2"/>
            <w:vAlign w:val="center"/>
          </w:tcPr>
          <w:p>
            <w:pPr>
              <w:adjustRightInd w:val="0"/>
              <w:snapToGrid w:val="0"/>
              <w:spacing w:line="360" w:lineRule="auto"/>
              <w:rPr>
                <w:rFonts w:ascii="仿宋" w:hAnsi="仿宋" w:eastAsia="仿宋" w:cs="仿宋"/>
                <w:kern w:val="0"/>
                <w:sz w:val="24"/>
                <w:lang w:val="zh-CN"/>
              </w:rPr>
            </w:pPr>
          </w:p>
        </w:tc>
        <w:tc>
          <w:tcPr>
            <w:tcW w:w="1786"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成立时间</w:t>
            </w:r>
          </w:p>
        </w:tc>
        <w:tc>
          <w:tcPr>
            <w:tcW w:w="3052" w:type="dxa"/>
            <w:gridSpan w:val="2"/>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统一信用代码</w:t>
            </w:r>
          </w:p>
        </w:tc>
        <w:tc>
          <w:tcPr>
            <w:tcW w:w="2809" w:type="dxa"/>
            <w:gridSpan w:val="2"/>
            <w:vAlign w:val="center"/>
          </w:tcPr>
          <w:p>
            <w:pPr>
              <w:adjustRightInd w:val="0"/>
              <w:snapToGrid w:val="0"/>
              <w:spacing w:line="360" w:lineRule="auto"/>
              <w:rPr>
                <w:rFonts w:ascii="仿宋" w:hAnsi="仿宋" w:eastAsia="仿宋" w:cs="仿宋"/>
                <w:kern w:val="0"/>
                <w:sz w:val="24"/>
                <w:lang w:val="zh-CN"/>
              </w:rPr>
            </w:pPr>
          </w:p>
        </w:tc>
        <w:tc>
          <w:tcPr>
            <w:tcW w:w="1786"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注册资金</w:t>
            </w:r>
          </w:p>
        </w:tc>
        <w:tc>
          <w:tcPr>
            <w:tcW w:w="3052" w:type="dxa"/>
            <w:gridSpan w:val="2"/>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投标联系人姓名</w:t>
            </w:r>
          </w:p>
        </w:tc>
        <w:tc>
          <w:tcPr>
            <w:tcW w:w="1936" w:type="dxa"/>
            <w:vAlign w:val="center"/>
          </w:tcPr>
          <w:p>
            <w:pPr>
              <w:adjustRightInd w:val="0"/>
              <w:snapToGrid w:val="0"/>
              <w:spacing w:line="360" w:lineRule="auto"/>
              <w:rPr>
                <w:rFonts w:ascii="仿宋" w:hAnsi="仿宋" w:eastAsia="仿宋" w:cs="仿宋"/>
                <w:kern w:val="0"/>
                <w:sz w:val="24"/>
                <w:lang w:val="zh-CN"/>
              </w:rPr>
            </w:pPr>
          </w:p>
        </w:tc>
        <w:tc>
          <w:tcPr>
            <w:tcW w:w="873"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电话</w:t>
            </w:r>
          </w:p>
        </w:tc>
        <w:tc>
          <w:tcPr>
            <w:tcW w:w="1786" w:type="dxa"/>
            <w:vAlign w:val="center"/>
          </w:tcPr>
          <w:p>
            <w:pPr>
              <w:adjustRightInd w:val="0"/>
              <w:snapToGrid w:val="0"/>
              <w:spacing w:line="360" w:lineRule="auto"/>
              <w:rPr>
                <w:rFonts w:ascii="仿宋" w:hAnsi="仿宋" w:eastAsia="仿宋" w:cs="仿宋"/>
                <w:kern w:val="0"/>
                <w:sz w:val="24"/>
                <w:lang w:val="zh-CN"/>
              </w:rPr>
            </w:pPr>
          </w:p>
        </w:tc>
        <w:tc>
          <w:tcPr>
            <w:tcW w:w="120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手机</w:t>
            </w:r>
          </w:p>
        </w:tc>
        <w:tc>
          <w:tcPr>
            <w:tcW w:w="1852" w:type="dxa"/>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法定代表人姓名</w:t>
            </w:r>
          </w:p>
        </w:tc>
        <w:tc>
          <w:tcPr>
            <w:tcW w:w="1936" w:type="dxa"/>
            <w:vAlign w:val="center"/>
          </w:tcPr>
          <w:p>
            <w:pPr>
              <w:adjustRightInd w:val="0"/>
              <w:snapToGrid w:val="0"/>
              <w:spacing w:line="360" w:lineRule="auto"/>
              <w:rPr>
                <w:rFonts w:ascii="仿宋" w:hAnsi="仿宋" w:eastAsia="仿宋" w:cs="仿宋"/>
                <w:kern w:val="0"/>
                <w:sz w:val="24"/>
                <w:lang w:val="zh-CN"/>
              </w:rPr>
            </w:pPr>
          </w:p>
        </w:tc>
        <w:tc>
          <w:tcPr>
            <w:tcW w:w="873"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电话</w:t>
            </w:r>
          </w:p>
        </w:tc>
        <w:tc>
          <w:tcPr>
            <w:tcW w:w="1786" w:type="dxa"/>
            <w:vAlign w:val="center"/>
          </w:tcPr>
          <w:p>
            <w:pPr>
              <w:adjustRightInd w:val="0"/>
              <w:snapToGrid w:val="0"/>
              <w:spacing w:line="360" w:lineRule="auto"/>
              <w:rPr>
                <w:rFonts w:ascii="仿宋" w:hAnsi="仿宋" w:eastAsia="仿宋" w:cs="仿宋"/>
                <w:kern w:val="0"/>
                <w:sz w:val="24"/>
                <w:lang w:val="zh-CN"/>
              </w:rPr>
            </w:pPr>
          </w:p>
        </w:tc>
        <w:tc>
          <w:tcPr>
            <w:tcW w:w="120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手机</w:t>
            </w:r>
          </w:p>
        </w:tc>
        <w:tc>
          <w:tcPr>
            <w:tcW w:w="1852" w:type="dxa"/>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项目负责人姓名</w:t>
            </w:r>
          </w:p>
        </w:tc>
        <w:tc>
          <w:tcPr>
            <w:tcW w:w="1936" w:type="dxa"/>
            <w:vAlign w:val="center"/>
          </w:tcPr>
          <w:p>
            <w:pPr>
              <w:adjustRightInd w:val="0"/>
              <w:snapToGrid w:val="0"/>
              <w:spacing w:line="360" w:lineRule="auto"/>
              <w:rPr>
                <w:rFonts w:ascii="仿宋" w:hAnsi="仿宋" w:eastAsia="仿宋" w:cs="仿宋"/>
                <w:kern w:val="0"/>
                <w:sz w:val="24"/>
                <w:lang w:val="zh-CN"/>
              </w:rPr>
            </w:pPr>
          </w:p>
        </w:tc>
        <w:tc>
          <w:tcPr>
            <w:tcW w:w="873"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电话</w:t>
            </w:r>
          </w:p>
        </w:tc>
        <w:tc>
          <w:tcPr>
            <w:tcW w:w="1786" w:type="dxa"/>
            <w:vAlign w:val="center"/>
          </w:tcPr>
          <w:p>
            <w:pPr>
              <w:adjustRightInd w:val="0"/>
              <w:snapToGrid w:val="0"/>
              <w:spacing w:line="360" w:lineRule="auto"/>
              <w:rPr>
                <w:rFonts w:ascii="仿宋" w:hAnsi="仿宋" w:eastAsia="仿宋" w:cs="仿宋"/>
                <w:kern w:val="0"/>
                <w:sz w:val="24"/>
                <w:lang w:val="zh-CN"/>
              </w:rPr>
            </w:pPr>
          </w:p>
        </w:tc>
        <w:tc>
          <w:tcPr>
            <w:tcW w:w="120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技术职称</w:t>
            </w:r>
          </w:p>
        </w:tc>
        <w:tc>
          <w:tcPr>
            <w:tcW w:w="1852" w:type="dxa"/>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restart"/>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员工总人数：</w:t>
            </w:r>
          </w:p>
        </w:tc>
        <w:tc>
          <w:tcPr>
            <w:tcW w:w="1936" w:type="dxa"/>
            <w:vMerge w:val="restart"/>
            <w:vAlign w:val="center"/>
          </w:tcPr>
          <w:p>
            <w:pPr>
              <w:adjustRightInd w:val="0"/>
              <w:snapToGrid w:val="0"/>
              <w:spacing w:line="360" w:lineRule="auto"/>
              <w:rPr>
                <w:rFonts w:ascii="仿宋" w:hAnsi="仿宋" w:eastAsia="仿宋" w:cs="仿宋"/>
                <w:kern w:val="0"/>
                <w:sz w:val="24"/>
                <w:lang w:val="zh-CN"/>
              </w:rPr>
            </w:pPr>
          </w:p>
        </w:tc>
        <w:tc>
          <w:tcPr>
            <w:tcW w:w="873" w:type="dxa"/>
            <w:vMerge w:val="restart"/>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其中</w:t>
            </w:r>
          </w:p>
        </w:tc>
        <w:tc>
          <w:tcPr>
            <w:tcW w:w="1786"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高级职称</w:t>
            </w:r>
          </w:p>
        </w:tc>
        <w:tc>
          <w:tcPr>
            <w:tcW w:w="3052" w:type="dxa"/>
            <w:gridSpan w:val="2"/>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adjustRightInd w:val="0"/>
              <w:snapToGrid w:val="0"/>
              <w:spacing w:line="360" w:lineRule="auto"/>
              <w:rPr>
                <w:rFonts w:ascii="仿宋" w:hAnsi="仿宋" w:eastAsia="仿宋" w:cs="仿宋"/>
                <w:kern w:val="0"/>
                <w:sz w:val="24"/>
                <w:lang w:val="zh-CN"/>
              </w:rPr>
            </w:pPr>
          </w:p>
        </w:tc>
        <w:tc>
          <w:tcPr>
            <w:tcW w:w="1936" w:type="dxa"/>
            <w:vMerge w:val="continue"/>
            <w:vAlign w:val="center"/>
          </w:tcPr>
          <w:p>
            <w:pPr>
              <w:adjustRightInd w:val="0"/>
              <w:snapToGrid w:val="0"/>
              <w:spacing w:line="360" w:lineRule="auto"/>
              <w:rPr>
                <w:rFonts w:ascii="仿宋" w:hAnsi="仿宋" w:eastAsia="仿宋" w:cs="仿宋"/>
                <w:kern w:val="0"/>
                <w:sz w:val="24"/>
                <w:lang w:val="zh-CN"/>
              </w:rPr>
            </w:pPr>
          </w:p>
        </w:tc>
        <w:tc>
          <w:tcPr>
            <w:tcW w:w="873" w:type="dxa"/>
            <w:vMerge w:val="continue"/>
            <w:vAlign w:val="center"/>
          </w:tcPr>
          <w:p>
            <w:pPr>
              <w:adjustRightInd w:val="0"/>
              <w:snapToGrid w:val="0"/>
              <w:spacing w:line="360" w:lineRule="auto"/>
              <w:rPr>
                <w:rFonts w:ascii="仿宋" w:hAnsi="仿宋" w:eastAsia="仿宋" w:cs="仿宋"/>
                <w:kern w:val="0"/>
                <w:sz w:val="24"/>
                <w:lang w:val="zh-CN"/>
              </w:rPr>
            </w:pPr>
          </w:p>
        </w:tc>
        <w:tc>
          <w:tcPr>
            <w:tcW w:w="1786"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中级职称</w:t>
            </w:r>
          </w:p>
        </w:tc>
        <w:tc>
          <w:tcPr>
            <w:tcW w:w="3052" w:type="dxa"/>
            <w:gridSpan w:val="2"/>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adjustRightInd w:val="0"/>
              <w:snapToGrid w:val="0"/>
              <w:spacing w:line="360" w:lineRule="auto"/>
              <w:rPr>
                <w:rFonts w:ascii="仿宋" w:hAnsi="仿宋" w:eastAsia="仿宋" w:cs="仿宋"/>
                <w:kern w:val="0"/>
                <w:sz w:val="24"/>
                <w:lang w:val="zh-CN"/>
              </w:rPr>
            </w:pPr>
          </w:p>
        </w:tc>
        <w:tc>
          <w:tcPr>
            <w:tcW w:w="1936" w:type="dxa"/>
            <w:vMerge w:val="continue"/>
            <w:vAlign w:val="center"/>
          </w:tcPr>
          <w:p>
            <w:pPr>
              <w:adjustRightInd w:val="0"/>
              <w:snapToGrid w:val="0"/>
              <w:spacing w:line="360" w:lineRule="auto"/>
              <w:rPr>
                <w:rFonts w:ascii="仿宋" w:hAnsi="仿宋" w:eastAsia="仿宋" w:cs="仿宋"/>
                <w:kern w:val="0"/>
                <w:sz w:val="24"/>
                <w:lang w:val="zh-CN"/>
              </w:rPr>
            </w:pPr>
          </w:p>
        </w:tc>
        <w:tc>
          <w:tcPr>
            <w:tcW w:w="873" w:type="dxa"/>
            <w:vMerge w:val="continue"/>
            <w:vAlign w:val="center"/>
          </w:tcPr>
          <w:p>
            <w:pPr>
              <w:adjustRightInd w:val="0"/>
              <w:snapToGrid w:val="0"/>
              <w:spacing w:line="360" w:lineRule="auto"/>
              <w:rPr>
                <w:rFonts w:ascii="仿宋" w:hAnsi="仿宋" w:eastAsia="仿宋" w:cs="仿宋"/>
                <w:kern w:val="0"/>
                <w:sz w:val="24"/>
                <w:lang w:val="zh-CN"/>
              </w:rPr>
            </w:pPr>
          </w:p>
        </w:tc>
        <w:tc>
          <w:tcPr>
            <w:tcW w:w="1786"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各类注册人员</w:t>
            </w:r>
          </w:p>
        </w:tc>
        <w:tc>
          <w:tcPr>
            <w:tcW w:w="3052" w:type="dxa"/>
            <w:gridSpan w:val="2"/>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基本账户开户银行</w:t>
            </w:r>
          </w:p>
        </w:tc>
        <w:tc>
          <w:tcPr>
            <w:tcW w:w="7647" w:type="dxa"/>
            <w:gridSpan w:val="5"/>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基本账户账号</w:t>
            </w:r>
          </w:p>
        </w:tc>
        <w:tc>
          <w:tcPr>
            <w:tcW w:w="7647" w:type="dxa"/>
            <w:gridSpan w:val="5"/>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18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经营范围</w:t>
            </w:r>
          </w:p>
        </w:tc>
        <w:tc>
          <w:tcPr>
            <w:tcW w:w="7647" w:type="dxa"/>
            <w:gridSpan w:val="5"/>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180" w:type="dxa"/>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备注</w:t>
            </w:r>
          </w:p>
        </w:tc>
        <w:tc>
          <w:tcPr>
            <w:tcW w:w="7647" w:type="dxa"/>
            <w:gridSpan w:val="5"/>
            <w:vAlign w:val="center"/>
          </w:tcPr>
          <w:p>
            <w:pPr>
              <w:adjustRightInd w:val="0"/>
              <w:snapToGrid w:val="0"/>
              <w:spacing w:line="360" w:lineRule="auto"/>
              <w:rPr>
                <w:rFonts w:ascii="仿宋" w:hAnsi="仿宋" w:eastAsia="仿宋" w:cs="仿宋"/>
                <w:kern w:val="0"/>
                <w:sz w:val="24"/>
                <w:lang w:val="zh-CN"/>
              </w:rPr>
            </w:pPr>
          </w:p>
        </w:tc>
      </w:tr>
    </w:tbl>
    <w:p>
      <w:pPr>
        <w:adjustRightInd w:val="0"/>
        <w:snapToGrid w:val="0"/>
        <w:spacing w:line="360" w:lineRule="auto"/>
        <w:ind w:firstLine="482" w:firstLineChars="200"/>
        <w:rPr>
          <w:rFonts w:ascii="仿宋" w:hAnsi="仿宋" w:eastAsia="仿宋" w:cs="仿宋"/>
          <w:b/>
          <w:bCs/>
          <w:kern w:val="0"/>
          <w:sz w:val="24"/>
          <w:lang w:val="zh-CN"/>
        </w:rPr>
      </w:pPr>
      <w:r>
        <w:rPr>
          <w:rFonts w:hint="eastAsia" w:ascii="仿宋" w:hAnsi="仿宋" w:eastAsia="仿宋" w:cs="仿宋"/>
          <w:b/>
          <w:bCs/>
          <w:kern w:val="0"/>
          <w:sz w:val="24"/>
          <w:lang w:val="zh-CN"/>
        </w:rPr>
        <w:t>兹证明上述声明是真实、正确的，并提供了全部能提供的资料和数据，我们同意遵照贵方要求出示有关证明文件。</w:t>
      </w:r>
    </w:p>
    <w:p>
      <w:pPr>
        <w:adjustRightInd w:val="0"/>
        <w:snapToGrid w:val="0"/>
        <w:spacing w:line="360" w:lineRule="auto"/>
        <w:rPr>
          <w:rFonts w:ascii="仿宋" w:hAnsi="仿宋" w:eastAsia="仿宋" w:cs="仿宋"/>
          <w:kern w:val="0"/>
          <w:sz w:val="24"/>
          <w:lang w:val="zh-CN"/>
        </w:rPr>
      </w:pPr>
    </w:p>
    <w:p>
      <w:pPr>
        <w:pStyle w:val="2"/>
        <w:spacing w:line="360" w:lineRule="auto"/>
        <w:ind w:firstLine="480"/>
        <w:rPr>
          <w:rFonts w:ascii="仿宋" w:hAnsi="仿宋" w:eastAsia="仿宋" w:cs="仿宋"/>
          <w:sz w:val="24"/>
          <w:lang w:val="zh-CN"/>
        </w:rPr>
      </w:pPr>
    </w:p>
    <w:p>
      <w:pPr>
        <w:adjustRightInd w:val="0"/>
        <w:snapToGrid w:val="0"/>
        <w:spacing w:line="360" w:lineRule="auto"/>
        <w:ind w:firstLine="4080" w:firstLineChars="1700"/>
        <w:rPr>
          <w:rFonts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adjustRightInd w:val="0"/>
        <w:snapToGrid w:val="0"/>
        <w:spacing w:line="360" w:lineRule="auto"/>
        <w:ind w:firstLine="4080" w:firstLineChars="1700"/>
        <w:rPr>
          <w:rFonts w:ascii="仿宋" w:hAnsi="仿宋" w:eastAsia="仿宋" w:cs="仿宋"/>
          <w:kern w:val="0"/>
          <w:sz w:val="24"/>
          <w:lang w:val="zh-CN"/>
        </w:rPr>
      </w:pPr>
      <w:r>
        <w:rPr>
          <w:rFonts w:hint="eastAsia" w:ascii="仿宋" w:hAnsi="仿宋" w:eastAsia="仿宋" w:cs="仿宋"/>
          <w:kern w:val="0"/>
          <w:sz w:val="24"/>
          <w:lang w:val="zh-CN"/>
        </w:rPr>
        <w:t>投标人（盖章）：</w:t>
      </w:r>
    </w:p>
    <w:p>
      <w:pPr>
        <w:adjustRightInd w:val="0"/>
        <w:snapToGrid w:val="0"/>
        <w:spacing w:line="360" w:lineRule="auto"/>
        <w:rPr>
          <w:rFonts w:ascii="仿宋" w:hAnsi="仿宋" w:eastAsia="仿宋" w:cs="仿宋"/>
          <w:b/>
          <w:kern w:val="0"/>
          <w:sz w:val="24"/>
          <w:lang w:val="zh-CN"/>
        </w:rPr>
      </w:pPr>
      <w:r>
        <w:rPr>
          <w:rFonts w:hint="eastAsia" w:ascii="仿宋" w:hAnsi="仿宋" w:eastAsia="仿宋" w:cs="仿宋"/>
          <w:kern w:val="0"/>
          <w:sz w:val="24"/>
          <w:lang w:val="zh-CN"/>
        </w:rPr>
        <w:t xml:space="preserve">                                  日期：</w:t>
      </w:r>
    </w:p>
    <w:p>
      <w:pPr>
        <w:snapToGrid w:val="0"/>
        <w:spacing w:line="360" w:lineRule="auto"/>
        <w:jc w:val="center"/>
        <w:outlineLvl w:val="0"/>
        <w:rPr>
          <w:rFonts w:ascii="仿宋" w:hAnsi="仿宋" w:eastAsia="仿宋" w:cs="仿宋"/>
          <w:b/>
          <w:kern w:val="0"/>
          <w:sz w:val="24"/>
          <w:lang w:val="zh-CN"/>
        </w:rPr>
      </w:pPr>
      <w:r>
        <w:rPr>
          <w:rFonts w:hint="eastAsia" w:ascii="仿宋" w:hAnsi="仿宋" w:eastAsia="仿宋" w:cs="仿宋"/>
          <w:b/>
          <w:kern w:val="0"/>
          <w:sz w:val="24"/>
          <w:lang w:val="zh-CN"/>
        </w:rPr>
        <w:br w:type="page"/>
      </w:r>
      <w:r>
        <w:rPr>
          <w:rFonts w:hint="eastAsia" w:ascii="仿宋" w:hAnsi="仿宋" w:eastAsia="仿宋" w:cs="仿宋"/>
          <w:b/>
          <w:kern w:val="0"/>
          <w:sz w:val="32"/>
          <w:szCs w:val="32"/>
          <w:lang w:val="zh-CN"/>
        </w:rPr>
        <w:t>五、距采购人最近或者能为本项目提供最优服务的网点情况表</w:t>
      </w:r>
    </w:p>
    <w:p>
      <w:pPr>
        <w:spacing w:line="360" w:lineRule="auto"/>
        <w:rPr>
          <w:rFonts w:ascii="仿宋" w:hAnsi="仿宋" w:eastAsia="仿宋" w:cs="仿宋"/>
          <w:sz w:val="24"/>
        </w:rPr>
      </w:pP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2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服务网点名称</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地址</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注册资本金</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其中：投标人出资比例</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员工总人数</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其中：技术人员数</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经营期限</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售后服务协议</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售后服务内容</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工作业绩</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服务承诺</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业务咨询电话</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ascii="仿宋" w:hAnsi="仿宋" w:eastAsia="仿宋" w:cs="仿宋"/>
                <w:kern w:val="0"/>
                <w:sz w:val="24"/>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传 真</w:t>
            </w:r>
          </w:p>
        </w:tc>
        <w:tc>
          <w:tcPr>
            <w:tcW w:w="3489" w:type="dxa"/>
            <w:gridSpan w:val="2"/>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负责人</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ascii="仿宋" w:hAnsi="仿宋" w:eastAsia="仿宋" w:cs="仿宋"/>
                <w:kern w:val="0"/>
                <w:sz w:val="24"/>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联系电话</w:t>
            </w:r>
          </w:p>
        </w:tc>
        <w:tc>
          <w:tcPr>
            <w:tcW w:w="3489" w:type="dxa"/>
            <w:gridSpan w:val="2"/>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rPr>
                <w:rFonts w:ascii="仿宋" w:hAnsi="仿宋" w:eastAsia="仿宋" w:cs="仿宋"/>
                <w:kern w:val="0"/>
                <w:sz w:val="24"/>
                <w:lang w:val="zh-CN"/>
              </w:rPr>
            </w:pPr>
          </w:p>
        </w:tc>
      </w:tr>
    </w:tbl>
    <w:p>
      <w:pPr>
        <w:spacing w:line="360" w:lineRule="auto"/>
        <w:rPr>
          <w:rFonts w:ascii="仿宋" w:hAnsi="仿宋" w:eastAsia="仿宋" w:cs="仿宋"/>
          <w:sz w:val="24"/>
        </w:rPr>
      </w:pPr>
    </w:p>
    <w:p>
      <w:pPr>
        <w:spacing w:line="360" w:lineRule="auto"/>
        <w:rPr>
          <w:rFonts w:ascii="仿宋" w:hAnsi="仿宋" w:eastAsia="仿宋" w:cs="仿宋"/>
          <w:sz w:val="24"/>
        </w:rPr>
      </w:pPr>
    </w:p>
    <w:p>
      <w:pPr>
        <w:adjustRightInd w:val="0"/>
        <w:snapToGrid w:val="0"/>
        <w:spacing w:line="360" w:lineRule="auto"/>
        <w:rPr>
          <w:rFonts w:ascii="仿宋" w:hAnsi="仿宋" w:eastAsia="仿宋" w:cs="仿宋"/>
          <w:kern w:val="0"/>
          <w:sz w:val="24"/>
          <w:lang w:val="zh-CN"/>
        </w:rPr>
      </w:pPr>
      <w:r>
        <w:rPr>
          <w:rFonts w:hint="eastAsia" w:ascii="仿宋" w:hAnsi="仿宋" w:eastAsia="仿宋" w:cs="仿宋"/>
          <w:sz w:val="24"/>
        </w:rPr>
        <w:t xml:space="preserve">       </w:t>
      </w:r>
    </w:p>
    <w:p>
      <w:pPr>
        <w:adjustRightInd w:val="0"/>
        <w:snapToGrid w:val="0"/>
        <w:spacing w:line="360" w:lineRule="auto"/>
        <w:ind w:left="3990" w:leftChars="1900"/>
        <w:rPr>
          <w:rFonts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adjustRightInd w:val="0"/>
        <w:snapToGrid w:val="0"/>
        <w:spacing w:line="360" w:lineRule="auto"/>
        <w:ind w:left="3990" w:leftChars="1900"/>
        <w:rPr>
          <w:rFonts w:ascii="仿宋" w:hAnsi="仿宋" w:eastAsia="仿宋" w:cs="仿宋"/>
          <w:kern w:val="0"/>
          <w:sz w:val="24"/>
          <w:lang w:val="zh-CN"/>
        </w:rPr>
      </w:pPr>
      <w:r>
        <w:rPr>
          <w:rFonts w:hint="eastAsia" w:ascii="仿宋" w:hAnsi="仿宋" w:eastAsia="仿宋" w:cs="仿宋"/>
          <w:kern w:val="0"/>
          <w:sz w:val="24"/>
          <w:lang w:val="zh-CN"/>
        </w:rPr>
        <w:t>投标人（盖章）：</w:t>
      </w:r>
    </w:p>
    <w:p>
      <w:pPr>
        <w:adjustRightInd w:val="0"/>
        <w:snapToGrid w:val="0"/>
        <w:spacing w:line="360" w:lineRule="auto"/>
        <w:rPr>
          <w:rFonts w:ascii="仿宋" w:hAnsi="仿宋" w:eastAsia="仿宋" w:cs="仿宋"/>
          <w:b/>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w:t>
      </w:r>
    </w:p>
    <w:p>
      <w:pPr>
        <w:snapToGrid w:val="0"/>
        <w:spacing w:line="360" w:lineRule="auto"/>
        <w:ind w:left="210"/>
        <w:jc w:val="center"/>
        <w:outlineLvl w:val="0"/>
        <w:rPr>
          <w:rFonts w:ascii="仿宋" w:hAnsi="仿宋" w:eastAsia="仿宋" w:cs="仿宋"/>
          <w:b/>
          <w:kern w:val="0"/>
          <w:sz w:val="24"/>
          <w:lang w:val="zh-CN"/>
        </w:rPr>
      </w:pPr>
      <w:r>
        <w:rPr>
          <w:rFonts w:hint="eastAsia" w:ascii="仿宋" w:hAnsi="仿宋" w:eastAsia="仿宋" w:cs="仿宋"/>
          <w:b/>
          <w:kern w:val="0"/>
          <w:sz w:val="24"/>
          <w:lang w:val="zh-CN"/>
        </w:rPr>
        <w:br w:type="page"/>
      </w:r>
      <w:r>
        <w:rPr>
          <w:rFonts w:hint="eastAsia" w:ascii="仿宋" w:hAnsi="仿宋" w:eastAsia="仿宋" w:cs="仿宋"/>
          <w:b/>
          <w:kern w:val="0"/>
          <w:sz w:val="32"/>
          <w:szCs w:val="32"/>
          <w:lang w:val="zh-CN"/>
        </w:rPr>
        <w:t>六、评标标准相应的商务技术资料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pStyle w:val="2"/>
        <w:ind w:firstLine="480"/>
        <w:rPr>
          <w:rFonts w:ascii="仿宋" w:hAnsi="仿宋" w:eastAsia="仿宋" w:cs="仿宋"/>
          <w:sz w:val="24"/>
          <w:lang w:val="zh-CN"/>
        </w:rPr>
      </w:pPr>
    </w:p>
    <w:p>
      <w:pPr>
        <w:snapToGrid w:val="0"/>
        <w:spacing w:line="360" w:lineRule="auto"/>
        <w:ind w:left="210"/>
        <w:jc w:val="center"/>
        <w:outlineLvl w:val="0"/>
        <w:rPr>
          <w:rFonts w:ascii="仿宋" w:hAnsi="仿宋" w:eastAsia="仿宋" w:cs="仿宋"/>
          <w:b/>
          <w:kern w:val="0"/>
          <w:sz w:val="32"/>
          <w:szCs w:val="32"/>
          <w:lang w:val="zh-CN"/>
        </w:rPr>
      </w:pPr>
      <w:r>
        <w:rPr>
          <w:rFonts w:hint="eastAsia" w:ascii="仿宋" w:hAnsi="仿宋" w:eastAsia="仿宋" w:cs="仿宋"/>
          <w:b/>
          <w:kern w:val="0"/>
          <w:sz w:val="32"/>
          <w:szCs w:val="32"/>
          <w:lang w:val="zh-CN"/>
        </w:rPr>
        <w:t>七、商务偏离表</w:t>
      </w:r>
    </w:p>
    <w:tbl>
      <w:tblPr>
        <w:tblStyle w:val="2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72"/>
        <w:gridCol w:w="3285"/>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仿宋"/>
                <w:b/>
                <w:bCs/>
                <w:sz w:val="24"/>
              </w:rPr>
            </w:pPr>
            <w:r>
              <w:rPr>
                <w:rFonts w:hint="eastAsia" w:ascii="仿宋" w:hAnsi="仿宋" w:eastAsia="仿宋" w:cs="仿宋"/>
                <w:b/>
                <w:bCs/>
                <w:sz w:val="24"/>
              </w:rPr>
              <w:t>序号</w:t>
            </w:r>
          </w:p>
        </w:tc>
        <w:tc>
          <w:tcPr>
            <w:tcW w:w="3272" w:type="dxa"/>
          </w:tcPr>
          <w:p>
            <w:pPr>
              <w:spacing w:line="360" w:lineRule="auto"/>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285" w:type="dxa"/>
          </w:tcPr>
          <w:p>
            <w:pPr>
              <w:spacing w:line="360" w:lineRule="auto"/>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948" w:type="dxa"/>
          </w:tcPr>
          <w:p>
            <w:pPr>
              <w:spacing w:line="360" w:lineRule="auto"/>
              <w:jc w:val="center"/>
              <w:rPr>
                <w:rFonts w:ascii="仿宋" w:hAnsi="仿宋" w:eastAsia="仿宋" w:cs="仿宋"/>
                <w:b/>
                <w:bCs/>
                <w:sz w:val="24"/>
              </w:rPr>
            </w:pPr>
            <w:r>
              <w:rPr>
                <w:rFonts w:hint="eastAsia" w:ascii="仿宋" w:hAnsi="仿宋" w:eastAsia="仿宋" w:cs="仿宋"/>
                <w:b/>
                <w:bCs/>
                <w:sz w:val="24"/>
              </w:rPr>
              <w:t>响应或偏离说明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仿宋"/>
                <w:kern w:val="0"/>
                <w:sz w:val="24"/>
              </w:rPr>
            </w:pPr>
            <w:r>
              <w:rPr>
                <w:rFonts w:hint="eastAsia" w:ascii="仿宋" w:hAnsi="仿宋" w:eastAsia="仿宋" w:cs="仿宋"/>
                <w:kern w:val="0"/>
                <w:sz w:val="24"/>
              </w:rPr>
              <w:t>1</w:t>
            </w:r>
          </w:p>
        </w:tc>
        <w:tc>
          <w:tcPr>
            <w:tcW w:w="3272" w:type="dxa"/>
          </w:tcPr>
          <w:p>
            <w:pPr>
              <w:spacing w:line="360" w:lineRule="auto"/>
              <w:jc w:val="center"/>
              <w:rPr>
                <w:rFonts w:ascii="仿宋" w:hAnsi="仿宋" w:eastAsia="仿宋" w:cs="仿宋"/>
                <w:b/>
                <w:kern w:val="0"/>
                <w:sz w:val="24"/>
              </w:rPr>
            </w:pPr>
          </w:p>
        </w:tc>
        <w:tc>
          <w:tcPr>
            <w:tcW w:w="3285" w:type="dxa"/>
          </w:tcPr>
          <w:p>
            <w:pPr>
              <w:spacing w:line="360" w:lineRule="auto"/>
              <w:jc w:val="center"/>
              <w:rPr>
                <w:rFonts w:ascii="仿宋" w:hAnsi="仿宋" w:eastAsia="仿宋" w:cs="仿宋"/>
                <w:b/>
                <w:kern w:val="0"/>
                <w:sz w:val="24"/>
              </w:rPr>
            </w:pPr>
          </w:p>
        </w:tc>
        <w:tc>
          <w:tcPr>
            <w:tcW w:w="1948" w:type="dxa"/>
          </w:tcPr>
          <w:p>
            <w:pPr>
              <w:spacing w:line="360" w:lineRule="auto"/>
              <w:jc w:val="center"/>
              <w:rPr>
                <w:rFonts w:ascii="仿宋" w:hAnsi="仿宋" w:eastAsia="仿宋" w:cs="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3272" w:type="dxa"/>
          </w:tcPr>
          <w:p>
            <w:pPr>
              <w:spacing w:line="360" w:lineRule="auto"/>
              <w:jc w:val="center"/>
              <w:rPr>
                <w:rFonts w:ascii="仿宋" w:hAnsi="仿宋" w:eastAsia="仿宋" w:cs="仿宋"/>
                <w:b/>
                <w:kern w:val="0"/>
                <w:sz w:val="24"/>
              </w:rPr>
            </w:pPr>
          </w:p>
        </w:tc>
        <w:tc>
          <w:tcPr>
            <w:tcW w:w="3285" w:type="dxa"/>
          </w:tcPr>
          <w:p>
            <w:pPr>
              <w:spacing w:line="360" w:lineRule="auto"/>
              <w:jc w:val="center"/>
              <w:rPr>
                <w:rFonts w:ascii="仿宋" w:hAnsi="仿宋" w:eastAsia="仿宋" w:cs="仿宋"/>
                <w:b/>
                <w:kern w:val="0"/>
                <w:sz w:val="24"/>
              </w:rPr>
            </w:pPr>
          </w:p>
        </w:tc>
        <w:tc>
          <w:tcPr>
            <w:tcW w:w="1948" w:type="dxa"/>
          </w:tcPr>
          <w:p>
            <w:pPr>
              <w:spacing w:line="360" w:lineRule="auto"/>
              <w:jc w:val="center"/>
              <w:rPr>
                <w:rFonts w:ascii="仿宋" w:hAnsi="仿宋" w:eastAsia="仿宋" w:cs="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仿宋"/>
                <w:kern w:val="0"/>
                <w:sz w:val="24"/>
              </w:rPr>
            </w:pPr>
            <w:r>
              <w:rPr>
                <w:rFonts w:hint="eastAsia" w:ascii="仿宋" w:hAnsi="仿宋" w:eastAsia="仿宋" w:cs="仿宋"/>
                <w:kern w:val="0"/>
                <w:sz w:val="24"/>
              </w:rPr>
              <w:t>……</w:t>
            </w:r>
          </w:p>
        </w:tc>
        <w:tc>
          <w:tcPr>
            <w:tcW w:w="3272" w:type="dxa"/>
          </w:tcPr>
          <w:p>
            <w:pPr>
              <w:spacing w:line="360" w:lineRule="auto"/>
              <w:jc w:val="center"/>
              <w:rPr>
                <w:rFonts w:ascii="仿宋" w:hAnsi="仿宋" w:eastAsia="仿宋" w:cs="仿宋"/>
                <w:b/>
                <w:kern w:val="0"/>
                <w:sz w:val="24"/>
              </w:rPr>
            </w:pPr>
          </w:p>
        </w:tc>
        <w:tc>
          <w:tcPr>
            <w:tcW w:w="3285" w:type="dxa"/>
          </w:tcPr>
          <w:p>
            <w:pPr>
              <w:spacing w:line="360" w:lineRule="auto"/>
              <w:jc w:val="center"/>
              <w:rPr>
                <w:rFonts w:ascii="仿宋" w:hAnsi="仿宋" w:eastAsia="仿宋" w:cs="仿宋"/>
                <w:b/>
                <w:kern w:val="0"/>
                <w:sz w:val="24"/>
              </w:rPr>
            </w:pPr>
          </w:p>
        </w:tc>
        <w:tc>
          <w:tcPr>
            <w:tcW w:w="1948" w:type="dxa"/>
          </w:tcPr>
          <w:p>
            <w:pPr>
              <w:spacing w:line="360" w:lineRule="auto"/>
              <w:jc w:val="center"/>
              <w:rPr>
                <w:rFonts w:ascii="仿宋" w:hAnsi="仿宋" w:eastAsia="仿宋" w:cs="仿宋"/>
                <w:b/>
                <w:kern w:val="0"/>
                <w:sz w:val="24"/>
              </w:rPr>
            </w:pPr>
          </w:p>
        </w:tc>
      </w:tr>
    </w:tbl>
    <w:p>
      <w:pPr>
        <w:spacing w:line="360" w:lineRule="auto"/>
        <w:jc w:val="left"/>
        <w:rPr>
          <w:rFonts w:ascii="仿宋" w:hAnsi="仿宋" w:eastAsia="仿宋" w:cs="仿宋"/>
          <w:kern w:val="0"/>
          <w:sz w:val="24"/>
        </w:rPr>
      </w:pPr>
      <w:r>
        <w:rPr>
          <w:rFonts w:hint="eastAsia" w:ascii="仿宋" w:hAnsi="仿宋" w:eastAsia="仿宋" w:cs="仿宋"/>
          <w:kern w:val="0"/>
          <w:sz w:val="24"/>
        </w:rPr>
        <w:t>投标人保证：除商务偏离表列出的偏离外，投标人响应招标文件的全部商务要求。</w:t>
      </w:r>
    </w:p>
    <w:p>
      <w:pPr>
        <w:adjustRightInd w:val="0"/>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adjustRightInd w:val="0"/>
        <w:snapToGrid w:val="0"/>
        <w:spacing w:line="360" w:lineRule="auto"/>
        <w:ind w:left="3990" w:leftChars="1900"/>
        <w:jc w:val="center"/>
        <w:rPr>
          <w:rFonts w:ascii="仿宋" w:hAnsi="仿宋" w:eastAsia="仿宋" w:cs="仿宋"/>
          <w:kern w:val="0"/>
          <w:sz w:val="24"/>
          <w:lang w:val="zh-CN"/>
        </w:rPr>
      </w:pPr>
      <w:r>
        <w:rPr>
          <w:rFonts w:hint="eastAsia" w:ascii="仿宋" w:hAnsi="仿宋" w:eastAsia="仿宋" w:cs="仿宋"/>
          <w:kern w:val="0"/>
          <w:sz w:val="24"/>
          <w:lang w:val="zh-CN"/>
        </w:rPr>
        <w:t>投标人（盖章）：</w:t>
      </w:r>
    </w:p>
    <w:p>
      <w:pPr>
        <w:adjustRightInd w:val="0"/>
        <w:snapToGrid w:val="0"/>
        <w:spacing w:line="360" w:lineRule="auto"/>
        <w:ind w:right="1920"/>
        <w:jc w:val="center"/>
        <w:rPr>
          <w:rFonts w:ascii="仿宋" w:hAnsi="仿宋" w:eastAsia="仿宋" w:cs="仿宋"/>
          <w:b/>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w:t>
      </w:r>
    </w:p>
    <w:p>
      <w:pPr>
        <w:widowControl/>
        <w:jc w:val="left"/>
        <w:rPr>
          <w:rFonts w:ascii="仿宋" w:hAnsi="仿宋" w:eastAsia="仿宋" w:cs="仿宋"/>
          <w:sz w:val="32"/>
          <w:szCs w:val="32"/>
          <w:lang w:val="zh-CN"/>
        </w:rPr>
      </w:pPr>
    </w:p>
    <w:p>
      <w:pPr>
        <w:widowControl/>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八、技术偏离表</w:t>
      </w:r>
    </w:p>
    <w:tbl>
      <w:tblPr>
        <w:tblStyle w:val="2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27"/>
        <w:gridCol w:w="327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360" w:lineRule="auto"/>
              <w:jc w:val="center"/>
              <w:rPr>
                <w:rFonts w:ascii="仿宋" w:hAnsi="仿宋" w:eastAsia="仿宋" w:cs="仿宋"/>
                <w:b/>
                <w:bCs/>
                <w:sz w:val="24"/>
              </w:rPr>
            </w:pPr>
            <w:r>
              <w:rPr>
                <w:rFonts w:hint="eastAsia" w:ascii="仿宋" w:hAnsi="仿宋" w:eastAsia="仿宋" w:cs="仿宋"/>
                <w:b/>
                <w:bCs/>
                <w:sz w:val="24"/>
              </w:rPr>
              <w:t>序号</w:t>
            </w:r>
          </w:p>
        </w:tc>
        <w:tc>
          <w:tcPr>
            <w:tcW w:w="3227" w:type="dxa"/>
          </w:tcPr>
          <w:p>
            <w:pPr>
              <w:spacing w:line="360" w:lineRule="auto"/>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270" w:type="dxa"/>
          </w:tcPr>
          <w:p>
            <w:pPr>
              <w:spacing w:line="360" w:lineRule="auto"/>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2008" w:type="dxa"/>
          </w:tcPr>
          <w:p>
            <w:pPr>
              <w:spacing w:line="360" w:lineRule="auto"/>
              <w:jc w:val="center"/>
              <w:rPr>
                <w:rFonts w:ascii="仿宋" w:hAnsi="仿宋" w:eastAsia="仿宋" w:cs="仿宋"/>
                <w:b/>
                <w:bCs/>
                <w:sz w:val="24"/>
              </w:rPr>
            </w:pPr>
            <w:r>
              <w:rPr>
                <w:rFonts w:hint="eastAsia" w:ascii="仿宋" w:hAnsi="仿宋" w:eastAsia="仿宋" w:cs="仿宋"/>
                <w:b/>
                <w:bCs/>
                <w:sz w:val="24"/>
              </w:rPr>
              <w:t>响应或偏离说明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仿宋"/>
                <w:kern w:val="0"/>
                <w:sz w:val="24"/>
              </w:rPr>
            </w:pPr>
            <w:r>
              <w:rPr>
                <w:rFonts w:hint="eastAsia" w:ascii="仿宋" w:hAnsi="仿宋" w:eastAsia="仿宋" w:cs="仿宋"/>
                <w:kern w:val="0"/>
                <w:sz w:val="24"/>
              </w:rPr>
              <w:t>1</w:t>
            </w:r>
          </w:p>
        </w:tc>
        <w:tc>
          <w:tcPr>
            <w:tcW w:w="3227" w:type="dxa"/>
          </w:tcPr>
          <w:p>
            <w:pPr>
              <w:spacing w:line="360" w:lineRule="auto"/>
              <w:jc w:val="center"/>
              <w:rPr>
                <w:rFonts w:ascii="仿宋" w:hAnsi="仿宋" w:eastAsia="仿宋" w:cs="仿宋"/>
                <w:b/>
                <w:kern w:val="0"/>
                <w:sz w:val="24"/>
              </w:rPr>
            </w:pPr>
          </w:p>
        </w:tc>
        <w:tc>
          <w:tcPr>
            <w:tcW w:w="3270" w:type="dxa"/>
          </w:tcPr>
          <w:p>
            <w:pPr>
              <w:spacing w:line="360" w:lineRule="auto"/>
              <w:jc w:val="center"/>
              <w:rPr>
                <w:rFonts w:ascii="仿宋" w:hAnsi="仿宋" w:eastAsia="仿宋" w:cs="仿宋"/>
                <w:b/>
                <w:kern w:val="0"/>
                <w:sz w:val="24"/>
              </w:rPr>
            </w:pPr>
          </w:p>
        </w:tc>
        <w:tc>
          <w:tcPr>
            <w:tcW w:w="2008" w:type="dxa"/>
          </w:tcPr>
          <w:p>
            <w:pPr>
              <w:spacing w:line="360" w:lineRule="auto"/>
              <w:jc w:val="center"/>
              <w:rPr>
                <w:rFonts w:ascii="仿宋" w:hAnsi="仿宋" w:eastAsia="仿宋" w:cs="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3227" w:type="dxa"/>
          </w:tcPr>
          <w:p>
            <w:pPr>
              <w:spacing w:line="360" w:lineRule="auto"/>
              <w:jc w:val="center"/>
              <w:rPr>
                <w:rFonts w:ascii="仿宋" w:hAnsi="仿宋" w:eastAsia="仿宋" w:cs="仿宋"/>
                <w:b/>
                <w:kern w:val="0"/>
                <w:sz w:val="24"/>
              </w:rPr>
            </w:pPr>
          </w:p>
        </w:tc>
        <w:tc>
          <w:tcPr>
            <w:tcW w:w="3270" w:type="dxa"/>
          </w:tcPr>
          <w:p>
            <w:pPr>
              <w:spacing w:line="360" w:lineRule="auto"/>
              <w:jc w:val="center"/>
              <w:rPr>
                <w:rFonts w:ascii="仿宋" w:hAnsi="仿宋" w:eastAsia="仿宋" w:cs="仿宋"/>
                <w:b/>
                <w:kern w:val="0"/>
                <w:sz w:val="24"/>
              </w:rPr>
            </w:pPr>
          </w:p>
        </w:tc>
        <w:tc>
          <w:tcPr>
            <w:tcW w:w="2008" w:type="dxa"/>
          </w:tcPr>
          <w:p>
            <w:pPr>
              <w:spacing w:line="360" w:lineRule="auto"/>
              <w:jc w:val="center"/>
              <w:rPr>
                <w:rFonts w:ascii="仿宋" w:hAnsi="仿宋" w:eastAsia="仿宋" w:cs="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仿宋"/>
                <w:kern w:val="0"/>
                <w:sz w:val="24"/>
              </w:rPr>
            </w:pPr>
            <w:r>
              <w:rPr>
                <w:rFonts w:hint="eastAsia" w:ascii="仿宋" w:hAnsi="仿宋" w:eastAsia="仿宋" w:cs="仿宋"/>
                <w:kern w:val="0"/>
                <w:sz w:val="24"/>
              </w:rPr>
              <w:t>……</w:t>
            </w:r>
          </w:p>
        </w:tc>
        <w:tc>
          <w:tcPr>
            <w:tcW w:w="3227" w:type="dxa"/>
          </w:tcPr>
          <w:p>
            <w:pPr>
              <w:spacing w:line="360" w:lineRule="auto"/>
              <w:jc w:val="center"/>
              <w:rPr>
                <w:rFonts w:ascii="仿宋" w:hAnsi="仿宋" w:eastAsia="仿宋" w:cs="仿宋"/>
                <w:b/>
                <w:kern w:val="0"/>
                <w:sz w:val="24"/>
              </w:rPr>
            </w:pPr>
          </w:p>
        </w:tc>
        <w:tc>
          <w:tcPr>
            <w:tcW w:w="3270" w:type="dxa"/>
          </w:tcPr>
          <w:p>
            <w:pPr>
              <w:spacing w:line="360" w:lineRule="auto"/>
              <w:jc w:val="center"/>
              <w:rPr>
                <w:rFonts w:ascii="仿宋" w:hAnsi="仿宋" w:eastAsia="仿宋" w:cs="仿宋"/>
                <w:b/>
                <w:kern w:val="0"/>
                <w:sz w:val="24"/>
              </w:rPr>
            </w:pPr>
          </w:p>
        </w:tc>
        <w:tc>
          <w:tcPr>
            <w:tcW w:w="2008" w:type="dxa"/>
          </w:tcPr>
          <w:p>
            <w:pPr>
              <w:spacing w:line="360" w:lineRule="auto"/>
              <w:jc w:val="center"/>
              <w:rPr>
                <w:rFonts w:ascii="仿宋" w:hAnsi="仿宋" w:eastAsia="仿宋" w:cs="仿宋"/>
                <w:b/>
                <w:kern w:val="0"/>
                <w:sz w:val="24"/>
              </w:rPr>
            </w:pPr>
          </w:p>
        </w:tc>
      </w:tr>
    </w:tbl>
    <w:p>
      <w:pPr>
        <w:spacing w:line="360" w:lineRule="auto"/>
        <w:ind w:firstLine="3840" w:firstLineChars="1600"/>
        <w:rPr>
          <w:rFonts w:ascii="仿宋" w:hAnsi="仿宋" w:eastAsia="仿宋" w:cs="仿宋"/>
          <w:sz w:val="24"/>
        </w:rPr>
      </w:pPr>
      <w:r>
        <w:rPr>
          <w:rFonts w:hint="eastAsia" w:ascii="仿宋" w:hAnsi="仿宋" w:eastAsia="仿宋" w:cs="仿宋"/>
          <w:sz w:val="24"/>
        </w:rPr>
        <w:t>法定代表人或其授权委托人（签名或印章）：</w:t>
      </w:r>
    </w:p>
    <w:p>
      <w:pPr>
        <w:spacing w:line="360" w:lineRule="auto"/>
        <w:ind w:firstLine="5520" w:firstLineChars="2300"/>
        <w:rPr>
          <w:rFonts w:ascii="仿宋" w:hAnsi="仿宋" w:eastAsia="仿宋" w:cs="仿宋"/>
          <w:sz w:val="24"/>
        </w:rPr>
      </w:pPr>
      <w:r>
        <w:rPr>
          <w:rFonts w:hint="eastAsia" w:ascii="仿宋" w:hAnsi="仿宋" w:eastAsia="仿宋" w:cs="仿宋"/>
          <w:sz w:val="24"/>
        </w:rPr>
        <w:t>投标人（盖章）：</w:t>
      </w:r>
    </w:p>
    <w:p>
      <w:pPr>
        <w:spacing w:line="360" w:lineRule="auto"/>
        <w:rPr>
          <w:rFonts w:ascii="仿宋" w:hAnsi="仿宋" w:eastAsia="仿宋" w:cs="仿宋"/>
          <w:sz w:val="24"/>
        </w:rPr>
      </w:pPr>
      <w:r>
        <w:rPr>
          <w:rFonts w:hint="eastAsia" w:ascii="仿宋" w:hAnsi="仿宋" w:eastAsia="仿宋" w:cs="仿宋"/>
          <w:sz w:val="24"/>
        </w:rPr>
        <w:t xml:space="preserve">                                              日期：</w:t>
      </w:r>
    </w:p>
    <w:p>
      <w:pPr>
        <w:pStyle w:val="2"/>
        <w:ind w:firstLine="480"/>
        <w:rPr>
          <w:rFonts w:ascii="仿宋" w:hAnsi="仿宋" w:eastAsia="仿宋" w:cs="仿宋"/>
          <w:sz w:val="24"/>
        </w:rPr>
      </w:pPr>
    </w:p>
    <w:p>
      <w:pPr>
        <w:snapToGrid w:val="0"/>
        <w:spacing w:line="360" w:lineRule="auto"/>
        <w:ind w:left="210"/>
        <w:jc w:val="center"/>
        <w:outlineLvl w:val="0"/>
        <w:rPr>
          <w:rFonts w:ascii="仿宋" w:hAnsi="仿宋" w:eastAsia="仿宋" w:cs="仿宋"/>
          <w:b/>
          <w:kern w:val="0"/>
          <w:sz w:val="24"/>
          <w:lang w:val="zh-CN"/>
        </w:rPr>
      </w:pPr>
      <w:r>
        <w:rPr>
          <w:rFonts w:hint="eastAsia" w:ascii="仿宋" w:hAnsi="仿宋" w:eastAsia="仿宋" w:cs="仿宋"/>
          <w:b/>
          <w:kern w:val="0"/>
          <w:sz w:val="24"/>
        </w:rPr>
        <w:br w:type="page"/>
      </w:r>
      <w:r>
        <w:rPr>
          <w:rFonts w:hint="eastAsia" w:ascii="仿宋" w:hAnsi="仿宋" w:eastAsia="仿宋" w:cs="仿宋"/>
          <w:b/>
          <w:kern w:val="0"/>
          <w:sz w:val="32"/>
          <w:szCs w:val="32"/>
        </w:rPr>
        <w:t>九、同类业绩情况一览表</w:t>
      </w:r>
    </w:p>
    <w:p>
      <w:pPr>
        <w:spacing w:line="360" w:lineRule="auto"/>
        <w:jc w:val="center"/>
        <w:rPr>
          <w:rFonts w:ascii="仿宋" w:hAnsi="仿宋" w:eastAsia="仿宋" w:cs="仿宋"/>
          <w:sz w:val="24"/>
        </w:rPr>
      </w:pPr>
    </w:p>
    <w:tbl>
      <w:tblPr>
        <w:tblStyle w:val="24"/>
        <w:tblW w:w="97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555"/>
        <w:gridCol w:w="1732"/>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r>
              <w:rPr>
                <w:rFonts w:hint="eastAsia" w:ascii="仿宋" w:hAnsi="仿宋" w:eastAsia="仿宋" w:cs="仿宋"/>
                <w:kern w:val="0"/>
                <w:sz w:val="24"/>
              </w:rPr>
              <w:t>采购单位名称</w:t>
            </w:r>
          </w:p>
        </w:tc>
        <w:tc>
          <w:tcPr>
            <w:tcW w:w="1732" w:type="dxa"/>
            <w:tcBorders>
              <w:top w:val="single" w:color="auto" w:sz="4" w:space="0"/>
              <w:left w:val="single" w:color="auto" w:sz="4" w:space="0"/>
              <w:right w:val="single" w:color="auto" w:sz="4" w:space="0"/>
            </w:tcBorders>
            <w:vAlign w:val="center"/>
          </w:tcPr>
          <w:p>
            <w:pPr>
              <w:spacing w:line="360" w:lineRule="auto"/>
              <w:jc w:val="left"/>
              <w:rPr>
                <w:rFonts w:ascii="仿宋" w:hAnsi="仿宋" w:eastAsia="仿宋" w:cs="仿宋"/>
                <w:kern w:val="0"/>
                <w:sz w:val="24"/>
              </w:rPr>
            </w:pPr>
            <w:r>
              <w:rPr>
                <w:rFonts w:hint="eastAsia" w:ascii="仿宋" w:hAnsi="仿宋" w:eastAsia="仿宋" w:cs="仿宋"/>
                <w:kern w:val="0"/>
                <w:sz w:val="24"/>
              </w:rPr>
              <w:t>项目名称</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r>
              <w:rPr>
                <w:rFonts w:hint="eastAsia" w:ascii="仿宋" w:hAnsi="仿宋" w:eastAsia="仿宋" w:cs="仿宋"/>
                <w:kern w:val="0"/>
                <w:sz w:val="24"/>
              </w:rPr>
              <w:t>合同金额</w:t>
            </w:r>
          </w:p>
          <w:p>
            <w:pPr>
              <w:spacing w:line="360" w:lineRule="auto"/>
              <w:jc w:val="left"/>
              <w:rPr>
                <w:rFonts w:ascii="仿宋" w:hAnsi="仿宋" w:eastAsia="仿宋" w:cs="仿宋"/>
                <w:kern w:val="0"/>
                <w:sz w:val="24"/>
              </w:rPr>
            </w:pPr>
            <w:r>
              <w:rPr>
                <w:rFonts w:hint="eastAsia" w:ascii="仿宋" w:hAnsi="仿宋" w:eastAsia="仿宋" w:cs="仿宋"/>
                <w:kern w:val="0"/>
                <w:sz w:val="24"/>
              </w:rPr>
              <w:t>（万元）</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r>
              <w:rPr>
                <w:rFonts w:hint="eastAsia" w:ascii="仿宋" w:hAnsi="仿宋" w:eastAsia="仿宋" w:cs="仿宋"/>
                <w:kern w:val="0"/>
                <w:sz w:val="24"/>
              </w:rPr>
              <w:t>采购单位联系人及联系电话</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r>
              <w:rPr>
                <w:rFonts w:hint="eastAsia" w:ascii="仿宋" w:hAnsi="仿宋" w:eastAsia="仿宋" w:cs="仿宋"/>
                <w:kern w:val="0"/>
                <w:sz w:val="24"/>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1</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3</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4</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5</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kern w:val="0"/>
                <w:sz w:val="24"/>
              </w:rPr>
            </w:pPr>
          </w:p>
        </w:tc>
      </w:tr>
    </w:tbl>
    <w:p>
      <w:pPr>
        <w:spacing w:line="360" w:lineRule="auto"/>
        <w:jc w:val="left"/>
        <w:rPr>
          <w:rFonts w:ascii="仿宋" w:hAnsi="仿宋" w:eastAsia="仿宋" w:cs="仿宋"/>
          <w:kern w:val="0"/>
          <w:sz w:val="24"/>
        </w:rPr>
      </w:pPr>
    </w:p>
    <w:p>
      <w:pPr>
        <w:spacing w:line="360" w:lineRule="auto"/>
        <w:jc w:val="left"/>
        <w:rPr>
          <w:rFonts w:ascii="仿宋" w:hAnsi="仿宋" w:eastAsia="仿宋" w:cs="仿宋"/>
          <w:kern w:val="0"/>
          <w:sz w:val="24"/>
        </w:rPr>
      </w:pPr>
    </w:p>
    <w:p>
      <w:pPr>
        <w:spacing w:line="360" w:lineRule="auto"/>
        <w:jc w:val="left"/>
        <w:rPr>
          <w:rFonts w:ascii="仿宋" w:hAnsi="仿宋" w:eastAsia="仿宋" w:cs="仿宋"/>
          <w:kern w:val="0"/>
          <w:sz w:val="24"/>
        </w:rPr>
      </w:pPr>
    </w:p>
    <w:p>
      <w:pPr>
        <w:adjustRightInd w:val="0"/>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adjustRightInd w:val="0"/>
        <w:snapToGrid w:val="0"/>
        <w:spacing w:line="360" w:lineRule="auto"/>
        <w:ind w:left="3990" w:leftChars="1900"/>
        <w:jc w:val="center"/>
        <w:rPr>
          <w:rFonts w:ascii="仿宋" w:hAnsi="仿宋" w:eastAsia="仿宋" w:cs="仿宋"/>
          <w:kern w:val="0"/>
          <w:sz w:val="24"/>
          <w:lang w:val="zh-CN"/>
        </w:rPr>
      </w:pPr>
      <w:r>
        <w:rPr>
          <w:rFonts w:hint="eastAsia" w:ascii="仿宋" w:hAnsi="仿宋" w:eastAsia="仿宋" w:cs="仿宋"/>
          <w:kern w:val="0"/>
          <w:sz w:val="24"/>
          <w:lang w:val="zh-CN"/>
        </w:rPr>
        <w:t>投标人（盖章）：</w:t>
      </w:r>
    </w:p>
    <w:p>
      <w:pPr>
        <w:adjustRightInd w:val="0"/>
        <w:snapToGrid w:val="0"/>
        <w:spacing w:line="360" w:lineRule="auto"/>
        <w:ind w:right="1920"/>
        <w:jc w:val="center"/>
        <w:rPr>
          <w:rFonts w:ascii="仿宋" w:hAnsi="仿宋" w:eastAsia="仿宋" w:cs="仿宋"/>
          <w:b/>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w:t>
      </w:r>
    </w:p>
    <w:p>
      <w:pPr>
        <w:spacing w:line="360" w:lineRule="auto"/>
        <w:ind w:left="4620" w:leftChars="2200"/>
        <w:jc w:val="left"/>
        <w:rPr>
          <w:rFonts w:ascii="仿宋" w:hAnsi="仿宋" w:eastAsia="仿宋" w:cs="仿宋"/>
          <w:b/>
          <w:kern w:val="0"/>
          <w:sz w:val="24"/>
          <w:lang w:val="zh-CN"/>
        </w:rPr>
      </w:pPr>
    </w:p>
    <w:p>
      <w:pPr>
        <w:snapToGrid w:val="0"/>
        <w:spacing w:line="360" w:lineRule="auto"/>
        <w:ind w:left="210"/>
        <w:jc w:val="center"/>
        <w:outlineLvl w:val="0"/>
        <w:rPr>
          <w:rFonts w:ascii="仿宋" w:hAnsi="仿宋" w:eastAsia="仿宋" w:cs="仿宋"/>
          <w:b/>
          <w:kern w:val="0"/>
          <w:sz w:val="24"/>
          <w:lang w:val="zh-CN"/>
        </w:rPr>
      </w:pPr>
      <w:r>
        <w:rPr>
          <w:rFonts w:hint="eastAsia" w:ascii="仿宋" w:hAnsi="仿宋" w:eastAsia="仿宋" w:cs="仿宋"/>
          <w:b/>
          <w:kern w:val="0"/>
          <w:sz w:val="24"/>
          <w:lang w:val="zh-CN"/>
        </w:rPr>
        <w:br w:type="page"/>
      </w:r>
      <w:r>
        <w:rPr>
          <w:rFonts w:hint="eastAsia" w:ascii="仿宋" w:hAnsi="仿宋" w:eastAsia="仿宋" w:cs="仿宋"/>
          <w:b/>
          <w:kern w:val="0"/>
          <w:sz w:val="32"/>
          <w:szCs w:val="32"/>
          <w:lang w:val="zh-CN"/>
        </w:rPr>
        <w:t>十、政府采购供应商廉洁自律承诺书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djustRightInd w:val="0"/>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adjustRightInd w:val="0"/>
        <w:snapToGrid w:val="0"/>
        <w:spacing w:line="360" w:lineRule="auto"/>
        <w:ind w:left="3990" w:leftChars="1900"/>
        <w:jc w:val="center"/>
        <w:rPr>
          <w:rFonts w:ascii="仿宋" w:hAnsi="仿宋" w:eastAsia="仿宋" w:cs="仿宋"/>
          <w:kern w:val="0"/>
          <w:sz w:val="24"/>
          <w:lang w:val="zh-CN"/>
        </w:rPr>
      </w:pPr>
      <w:r>
        <w:rPr>
          <w:rFonts w:hint="eastAsia" w:ascii="仿宋" w:hAnsi="仿宋" w:eastAsia="仿宋" w:cs="仿宋"/>
          <w:kern w:val="0"/>
          <w:sz w:val="24"/>
          <w:lang w:val="zh-CN"/>
        </w:rPr>
        <w:t>投标人（盖章）：</w:t>
      </w:r>
    </w:p>
    <w:p>
      <w:pPr>
        <w:adjustRightInd w:val="0"/>
        <w:snapToGrid w:val="0"/>
        <w:spacing w:line="360" w:lineRule="auto"/>
        <w:ind w:right="1920"/>
        <w:jc w:val="center"/>
        <w:rPr>
          <w:rFonts w:ascii="仿宋" w:hAnsi="仿宋" w:eastAsia="仿宋" w:cs="仿宋"/>
          <w:b/>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w:t>
      </w:r>
    </w:p>
    <w:p>
      <w:pPr>
        <w:spacing w:line="360" w:lineRule="auto"/>
        <w:ind w:left="4620" w:leftChars="2200"/>
        <w:rPr>
          <w:rFonts w:ascii="仿宋" w:hAnsi="仿宋" w:eastAsia="仿宋" w:cs="仿宋"/>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32"/>
          <w:szCs w:val="32"/>
        </w:rPr>
      </w:pPr>
      <w:r>
        <w:rPr>
          <w:rFonts w:hint="eastAsia" w:ascii="仿宋" w:hAnsi="仿宋" w:eastAsia="仿宋" w:cs="仿宋"/>
          <w:b/>
          <w:kern w:val="0"/>
          <w:sz w:val="32"/>
          <w:szCs w:val="32"/>
        </w:rPr>
        <w:t>报价文件部分</w:t>
      </w:r>
    </w:p>
    <w:p>
      <w:pPr>
        <w:spacing w:line="360" w:lineRule="auto"/>
        <w:jc w:val="center"/>
        <w:outlineLvl w:val="0"/>
        <w:rPr>
          <w:rFonts w:ascii="仿宋" w:hAnsi="仿宋" w:eastAsia="仿宋" w:cs="仿宋"/>
          <w:b/>
          <w:kern w:val="0"/>
          <w:sz w:val="24"/>
        </w:rPr>
      </w:pPr>
      <w:r>
        <w:rPr>
          <w:rFonts w:hint="eastAsia" w:ascii="仿宋" w:hAnsi="仿宋" w:eastAsia="仿宋" w:cs="仿宋"/>
          <w:b/>
          <w:kern w:val="0"/>
          <w:sz w:val="32"/>
          <w:szCs w:val="32"/>
        </w:rPr>
        <w:t>目录</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sz w:val="24"/>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 开标一览表；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2 投标报价明细表；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3 中小企业声明函（如有）；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4 残疾人福利性单位声明函（如有）；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5 监狱企业的证明文件（如有）；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6 政府采购统计基础信息表；</w:t>
      </w:r>
    </w:p>
    <w:p>
      <w:pPr>
        <w:snapToGrid w:val="0"/>
        <w:spacing w:line="360" w:lineRule="auto"/>
        <w:ind w:firstLine="960" w:firstLineChars="400"/>
        <w:rPr>
          <w:rFonts w:ascii="仿宋" w:hAnsi="仿宋" w:eastAsia="仿宋" w:cs="仿宋"/>
          <w:sz w:val="24"/>
        </w:rPr>
        <w:sectPr>
          <w:headerReference r:id="rId7" w:type="first"/>
          <w:footerReference r:id="rId9" w:type="first"/>
          <w:headerReference r:id="rId6" w:type="default"/>
          <w:footerReference r:id="rId8" w:type="default"/>
          <w:pgSz w:w="11906" w:h="16838"/>
          <w:pgMar w:top="1276" w:right="1418" w:bottom="1247" w:left="1418" w:header="851" w:footer="992" w:gutter="0"/>
          <w:cols w:space="720" w:num="1"/>
          <w:titlePg/>
          <w:docGrid w:linePitch="312" w:charSpace="0"/>
        </w:sectPr>
      </w:pPr>
      <w:r>
        <w:rPr>
          <w:rFonts w:hint="eastAsia" w:ascii="仿宋" w:hAnsi="仿宋" w:eastAsia="仿宋" w:cs="仿宋"/>
          <w:sz w:val="24"/>
        </w:rPr>
        <w:t>7 其他资料（如有）。</w:t>
      </w:r>
    </w:p>
    <w:p>
      <w:pPr>
        <w:spacing w:line="360" w:lineRule="auto"/>
        <w:ind w:firstLine="4819" w:firstLineChars="2000"/>
        <w:rPr>
          <w:rFonts w:ascii="仿宋" w:hAnsi="仿宋" w:eastAsia="仿宋" w:cs="仿宋"/>
          <w:b/>
          <w:kern w:val="0"/>
          <w:sz w:val="24"/>
          <w:lang w:val="zh-CN"/>
        </w:rPr>
      </w:pPr>
      <w:r>
        <w:rPr>
          <w:rFonts w:hint="eastAsia" w:ascii="仿宋" w:hAnsi="仿宋" w:eastAsia="仿宋" w:cs="仿宋"/>
          <w:b/>
          <w:kern w:val="0"/>
          <w:sz w:val="24"/>
        </w:rPr>
        <w:t>二、</w:t>
      </w:r>
      <w:r>
        <w:rPr>
          <w:rFonts w:hint="eastAsia" w:ascii="仿宋" w:hAnsi="仿宋" w:eastAsia="仿宋" w:cs="仿宋"/>
          <w:b/>
          <w:kern w:val="0"/>
          <w:sz w:val="24"/>
          <w:lang w:val="zh-CN"/>
        </w:rPr>
        <w:t>开标一览表（报价表）(单位均为人民币元)</w:t>
      </w:r>
    </w:p>
    <w:tbl>
      <w:tblPr>
        <w:tblStyle w:val="24"/>
        <w:tblW w:w="14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427"/>
        <w:gridCol w:w="4999"/>
        <w:gridCol w:w="1000"/>
        <w:gridCol w:w="1571"/>
        <w:gridCol w:w="1999"/>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538"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42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4999" w:type="dxa"/>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项目内容</w:t>
            </w:r>
          </w:p>
        </w:tc>
        <w:tc>
          <w:tcPr>
            <w:tcW w:w="100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1571"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单价</w:t>
            </w:r>
          </w:p>
        </w:tc>
        <w:tc>
          <w:tcPr>
            <w:tcW w:w="1999"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总价</w:t>
            </w:r>
          </w:p>
        </w:tc>
        <w:tc>
          <w:tcPr>
            <w:tcW w:w="3143" w:type="dxa"/>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备注</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8"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427" w:type="dxa"/>
            <w:vAlign w:val="center"/>
          </w:tcPr>
          <w:p>
            <w:pPr>
              <w:snapToGrid w:val="0"/>
              <w:spacing w:line="360" w:lineRule="auto"/>
              <w:jc w:val="center"/>
              <w:rPr>
                <w:rFonts w:ascii="仿宋" w:hAnsi="仿宋" w:eastAsia="仿宋" w:cs="仿宋"/>
                <w:sz w:val="24"/>
              </w:rPr>
            </w:pPr>
          </w:p>
        </w:tc>
        <w:tc>
          <w:tcPr>
            <w:tcW w:w="4999" w:type="dxa"/>
            <w:vAlign w:val="center"/>
          </w:tcPr>
          <w:p>
            <w:pPr>
              <w:snapToGrid w:val="0"/>
              <w:spacing w:line="360" w:lineRule="auto"/>
              <w:jc w:val="center"/>
              <w:rPr>
                <w:rFonts w:ascii="仿宋" w:hAnsi="仿宋" w:eastAsia="仿宋" w:cs="仿宋"/>
                <w:sz w:val="24"/>
              </w:rPr>
            </w:pPr>
          </w:p>
        </w:tc>
        <w:tc>
          <w:tcPr>
            <w:tcW w:w="1000" w:type="dxa"/>
            <w:vAlign w:val="center"/>
          </w:tcPr>
          <w:p>
            <w:pPr>
              <w:snapToGrid w:val="0"/>
              <w:spacing w:line="360" w:lineRule="auto"/>
              <w:jc w:val="center"/>
              <w:rPr>
                <w:rFonts w:ascii="仿宋" w:hAnsi="仿宋" w:eastAsia="仿宋" w:cs="仿宋"/>
                <w:sz w:val="24"/>
              </w:rPr>
            </w:pPr>
          </w:p>
        </w:tc>
        <w:tc>
          <w:tcPr>
            <w:tcW w:w="1571" w:type="dxa"/>
            <w:vAlign w:val="center"/>
          </w:tcPr>
          <w:p>
            <w:pPr>
              <w:spacing w:line="360" w:lineRule="auto"/>
              <w:jc w:val="center"/>
              <w:rPr>
                <w:rFonts w:ascii="仿宋" w:hAnsi="仿宋" w:eastAsia="仿宋" w:cs="仿宋"/>
                <w:sz w:val="24"/>
              </w:rPr>
            </w:pPr>
          </w:p>
        </w:tc>
        <w:tc>
          <w:tcPr>
            <w:tcW w:w="1999" w:type="dxa"/>
            <w:vAlign w:val="center"/>
          </w:tcPr>
          <w:p>
            <w:pPr>
              <w:spacing w:line="360" w:lineRule="auto"/>
              <w:jc w:val="center"/>
              <w:rPr>
                <w:rFonts w:ascii="仿宋" w:hAnsi="仿宋" w:eastAsia="仿宋" w:cs="仿宋"/>
                <w:sz w:val="24"/>
              </w:rPr>
            </w:pPr>
          </w:p>
        </w:tc>
        <w:tc>
          <w:tcPr>
            <w:tcW w:w="3143" w:type="dxa"/>
            <w:vMerge w:val="restart"/>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8"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427" w:type="dxa"/>
            <w:vAlign w:val="center"/>
          </w:tcPr>
          <w:p>
            <w:pPr>
              <w:snapToGrid w:val="0"/>
              <w:spacing w:line="360" w:lineRule="auto"/>
              <w:jc w:val="center"/>
              <w:rPr>
                <w:rFonts w:ascii="仿宋" w:hAnsi="仿宋" w:eastAsia="仿宋" w:cs="仿宋"/>
                <w:sz w:val="24"/>
              </w:rPr>
            </w:pPr>
          </w:p>
        </w:tc>
        <w:tc>
          <w:tcPr>
            <w:tcW w:w="4999" w:type="dxa"/>
            <w:vAlign w:val="center"/>
          </w:tcPr>
          <w:p>
            <w:pPr>
              <w:snapToGrid w:val="0"/>
              <w:spacing w:line="360" w:lineRule="auto"/>
              <w:jc w:val="center"/>
              <w:rPr>
                <w:rFonts w:ascii="仿宋" w:hAnsi="仿宋" w:eastAsia="仿宋" w:cs="仿宋"/>
                <w:sz w:val="24"/>
              </w:rPr>
            </w:pPr>
          </w:p>
        </w:tc>
        <w:tc>
          <w:tcPr>
            <w:tcW w:w="1000" w:type="dxa"/>
            <w:vAlign w:val="center"/>
          </w:tcPr>
          <w:p>
            <w:pPr>
              <w:snapToGrid w:val="0"/>
              <w:spacing w:line="360" w:lineRule="auto"/>
              <w:jc w:val="center"/>
              <w:rPr>
                <w:rFonts w:ascii="仿宋" w:hAnsi="仿宋" w:eastAsia="仿宋" w:cs="仿宋"/>
                <w:sz w:val="24"/>
              </w:rPr>
            </w:pPr>
          </w:p>
        </w:tc>
        <w:tc>
          <w:tcPr>
            <w:tcW w:w="1571" w:type="dxa"/>
            <w:vAlign w:val="center"/>
          </w:tcPr>
          <w:p>
            <w:pPr>
              <w:spacing w:line="360" w:lineRule="auto"/>
              <w:jc w:val="center"/>
              <w:rPr>
                <w:rFonts w:ascii="仿宋" w:hAnsi="仿宋" w:eastAsia="仿宋" w:cs="仿宋"/>
                <w:sz w:val="24"/>
              </w:rPr>
            </w:pPr>
          </w:p>
        </w:tc>
        <w:tc>
          <w:tcPr>
            <w:tcW w:w="1999" w:type="dxa"/>
            <w:vAlign w:val="center"/>
          </w:tcPr>
          <w:p>
            <w:pPr>
              <w:spacing w:line="360" w:lineRule="auto"/>
              <w:jc w:val="center"/>
              <w:rPr>
                <w:rFonts w:ascii="仿宋" w:hAnsi="仿宋" w:eastAsia="仿宋" w:cs="仿宋"/>
                <w:sz w:val="24"/>
              </w:rPr>
            </w:pPr>
          </w:p>
        </w:tc>
        <w:tc>
          <w:tcPr>
            <w:tcW w:w="3143" w:type="dxa"/>
            <w:vMerge w:val="continue"/>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8" w:type="dxa"/>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427" w:type="dxa"/>
            <w:vAlign w:val="center"/>
          </w:tcPr>
          <w:p>
            <w:pPr>
              <w:snapToGrid w:val="0"/>
              <w:spacing w:line="360" w:lineRule="auto"/>
              <w:jc w:val="center"/>
              <w:rPr>
                <w:rFonts w:ascii="仿宋" w:hAnsi="仿宋" w:eastAsia="仿宋" w:cs="仿宋"/>
                <w:sz w:val="24"/>
              </w:rPr>
            </w:pPr>
          </w:p>
        </w:tc>
        <w:tc>
          <w:tcPr>
            <w:tcW w:w="4999" w:type="dxa"/>
            <w:vAlign w:val="center"/>
          </w:tcPr>
          <w:p>
            <w:pPr>
              <w:snapToGrid w:val="0"/>
              <w:spacing w:line="360" w:lineRule="auto"/>
              <w:jc w:val="center"/>
              <w:rPr>
                <w:rFonts w:ascii="仿宋" w:hAnsi="仿宋" w:eastAsia="仿宋" w:cs="仿宋"/>
                <w:sz w:val="24"/>
              </w:rPr>
            </w:pPr>
          </w:p>
        </w:tc>
        <w:tc>
          <w:tcPr>
            <w:tcW w:w="1000" w:type="dxa"/>
            <w:vAlign w:val="center"/>
          </w:tcPr>
          <w:p>
            <w:pPr>
              <w:snapToGrid w:val="0"/>
              <w:spacing w:line="360" w:lineRule="auto"/>
              <w:jc w:val="center"/>
              <w:rPr>
                <w:rFonts w:ascii="仿宋" w:hAnsi="仿宋" w:eastAsia="仿宋" w:cs="仿宋"/>
                <w:sz w:val="24"/>
              </w:rPr>
            </w:pPr>
          </w:p>
        </w:tc>
        <w:tc>
          <w:tcPr>
            <w:tcW w:w="1571" w:type="dxa"/>
            <w:vAlign w:val="center"/>
          </w:tcPr>
          <w:p>
            <w:pPr>
              <w:spacing w:line="360" w:lineRule="auto"/>
              <w:jc w:val="center"/>
              <w:rPr>
                <w:rFonts w:ascii="仿宋" w:hAnsi="仿宋" w:eastAsia="仿宋" w:cs="仿宋"/>
                <w:sz w:val="24"/>
              </w:rPr>
            </w:pPr>
          </w:p>
        </w:tc>
        <w:tc>
          <w:tcPr>
            <w:tcW w:w="1999" w:type="dxa"/>
            <w:vAlign w:val="center"/>
          </w:tcPr>
          <w:p>
            <w:pPr>
              <w:spacing w:line="360" w:lineRule="auto"/>
              <w:jc w:val="center"/>
              <w:rPr>
                <w:rFonts w:ascii="仿宋" w:hAnsi="仿宋" w:eastAsia="仿宋" w:cs="仿宋"/>
                <w:sz w:val="24"/>
              </w:rPr>
            </w:pPr>
          </w:p>
        </w:tc>
        <w:tc>
          <w:tcPr>
            <w:tcW w:w="3143" w:type="dxa"/>
            <w:vMerge w:val="continue"/>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8" w:type="dxa"/>
            <w:vAlign w:val="center"/>
          </w:tcPr>
          <w:p>
            <w:pPr>
              <w:spacing w:line="360" w:lineRule="auto"/>
              <w:jc w:val="center"/>
              <w:rPr>
                <w:rFonts w:ascii="仿宋" w:hAnsi="仿宋" w:eastAsia="仿宋" w:cs="仿宋"/>
                <w:sz w:val="24"/>
              </w:rPr>
            </w:pPr>
          </w:p>
        </w:tc>
        <w:tc>
          <w:tcPr>
            <w:tcW w:w="1427" w:type="dxa"/>
            <w:vAlign w:val="center"/>
          </w:tcPr>
          <w:p>
            <w:pPr>
              <w:snapToGrid w:val="0"/>
              <w:spacing w:line="360" w:lineRule="auto"/>
              <w:jc w:val="center"/>
              <w:rPr>
                <w:rFonts w:ascii="仿宋" w:hAnsi="仿宋" w:eastAsia="仿宋" w:cs="仿宋"/>
                <w:sz w:val="24"/>
              </w:rPr>
            </w:pPr>
          </w:p>
        </w:tc>
        <w:tc>
          <w:tcPr>
            <w:tcW w:w="4999" w:type="dxa"/>
            <w:vAlign w:val="center"/>
          </w:tcPr>
          <w:p>
            <w:pPr>
              <w:snapToGrid w:val="0"/>
              <w:spacing w:line="360" w:lineRule="auto"/>
              <w:jc w:val="center"/>
              <w:rPr>
                <w:rFonts w:ascii="仿宋" w:hAnsi="仿宋" w:eastAsia="仿宋" w:cs="仿宋"/>
                <w:sz w:val="24"/>
              </w:rPr>
            </w:pPr>
          </w:p>
        </w:tc>
        <w:tc>
          <w:tcPr>
            <w:tcW w:w="1000" w:type="dxa"/>
            <w:vAlign w:val="center"/>
          </w:tcPr>
          <w:p>
            <w:pPr>
              <w:snapToGrid w:val="0"/>
              <w:spacing w:line="360" w:lineRule="auto"/>
              <w:jc w:val="center"/>
              <w:rPr>
                <w:rFonts w:ascii="仿宋" w:hAnsi="仿宋" w:eastAsia="仿宋" w:cs="仿宋"/>
                <w:sz w:val="24"/>
              </w:rPr>
            </w:pPr>
          </w:p>
        </w:tc>
        <w:tc>
          <w:tcPr>
            <w:tcW w:w="1571" w:type="dxa"/>
            <w:vAlign w:val="center"/>
          </w:tcPr>
          <w:p>
            <w:pPr>
              <w:spacing w:line="360" w:lineRule="auto"/>
              <w:jc w:val="center"/>
              <w:rPr>
                <w:rFonts w:ascii="仿宋" w:hAnsi="仿宋" w:eastAsia="仿宋" w:cs="仿宋"/>
                <w:sz w:val="24"/>
              </w:rPr>
            </w:pPr>
          </w:p>
        </w:tc>
        <w:tc>
          <w:tcPr>
            <w:tcW w:w="1999" w:type="dxa"/>
            <w:vAlign w:val="center"/>
          </w:tcPr>
          <w:p>
            <w:pPr>
              <w:spacing w:line="360" w:lineRule="auto"/>
              <w:jc w:val="center"/>
              <w:rPr>
                <w:rFonts w:ascii="仿宋" w:hAnsi="仿宋" w:eastAsia="仿宋" w:cs="仿宋"/>
                <w:sz w:val="24"/>
              </w:rPr>
            </w:pPr>
          </w:p>
        </w:tc>
        <w:tc>
          <w:tcPr>
            <w:tcW w:w="3143" w:type="dxa"/>
            <w:vMerge w:val="continue"/>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8" w:type="dxa"/>
            <w:vAlign w:val="center"/>
          </w:tcPr>
          <w:p>
            <w:pPr>
              <w:spacing w:line="360" w:lineRule="auto"/>
              <w:jc w:val="center"/>
              <w:rPr>
                <w:rFonts w:ascii="仿宋" w:hAnsi="仿宋" w:eastAsia="仿宋" w:cs="仿宋"/>
                <w:sz w:val="24"/>
              </w:rPr>
            </w:pPr>
          </w:p>
        </w:tc>
        <w:tc>
          <w:tcPr>
            <w:tcW w:w="1427" w:type="dxa"/>
            <w:vAlign w:val="center"/>
          </w:tcPr>
          <w:p>
            <w:pPr>
              <w:snapToGrid w:val="0"/>
              <w:spacing w:line="360" w:lineRule="auto"/>
              <w:jc w:val="center"/>
              <w:rPr>
                <w:rFonts w:ascii="仿宋" w:hAnsi="仿宋" w:eastAsia="仿宋" w:cs="仿宋"/>
                <w:sz w:val="24"/>
              </w:rPr>
            </w:pPr>
          </w:p>
        </w:tc>
        <w:tc>
          <w:tcPr>
            <w:tcW w:w="4999" w:type="dxa"/>
            <w:vAlign w:val="center"/>
          </w:tcPr>
          <w:p>
            <w:pPr>
              <w:snapToGrid w:val="0"/>
              <w:spacing w:line="360" w:lineRule="auto"/>
              <w:jc w:val="center"/>
              <w:rPr>
                <w:rFonts w:ascii="仿宋" w:hAnsi="仿宋" w:eastAsia="仿宋" w:cs="仿宋"/>
                <w:sz w:val="24"/>
              </w:rPr>
            </w:pPr>
          </w:p>
        </w:tc>
        <w:tc>
          <w:tcPr>
            <w:tcW w:w="1000" w:type="dxa"/>
            <w:vAlign w:val="center"/>
          </w:tcPr>
          <w:p>
            <w:pPr>
              <w:snapToGrid w:val="0"/>
              <w:spacing w:line="360" w:lineRule="auto"/>
              <w:jc w:val="center"/>
              <w:rPr>
                <w:rFonts w:ascii="仿宋" w:hAnsi="仿宋" w:eastAsia="仿宋" w:cs="仿宋"/>
                <w:sz w:val="24"/>
              </w:rPr>
            </w:pPr>
          </w:p>
        </w:tc>
        <w:tc>
          <w:tcPr>
            <w:tcW w:w="1571" w:type="dxa"/>
            <w:vAlign w:val="center"/>
          </w:tcPr>
          <w:p>
            <w:pPr>
              <w:spacing w:line="360" w:lineRule="auto"/>
              <w:jc w:val="center"/>
              <w:rPr>
                <w:rFonts w:ascii="仿宋" w:hAnsi="仿宋" w:eastAsia="仿宋" w:cs="仿宋"/>
                <w:sz w:val="24"/>
              </w:rPr>
            </w:pPr>
          </w:p>
        </w:tc>
        <w:tc>
          <w:tcPr>
            <w:tcW w:w="1999" w:type="dxa"/>
            <w:vAlign w:val="center"/>
          </w:tcPr>
          <w:p>
            <w:pPr>
              <w:spacing w:line="360" w:lineRule="auto"/>
              <w:jc w:val="center"/>
              <w:rPr>
                <w:rFonts w:ascii="仿宋" w:hAnsi="仿宋" w:eastAsia="仿宋" w:cs="仿宋"/>
                <w:sz w:val="24"/>
              </w:rPr>
            </w:pPr>
          </w:p>
        </w:tc>
        <w:tc>
          <w:tcPr>
            <w:tcW w:w="3143" w:type="dxa"/>
            <w:vMerge w:val="continue"/>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964" w:type="dxa"/>
            <w:gridSpan w:val="3"/>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投标报价（小写）</w:t>
            </w:r>
          </w:p>
        </w:tc>
        <w:tc>
          <w:tcPr>
            <w:tcW w:w="7713" w:type="dxa"/>
            <w:gridSpan w:val="4"/>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964" w:type="dxa"/>
            <w:gridSpan w:val="3"/>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投标报价（大写）</w:t>
            </w:r>
          </w:p>
        </w:tc>
        <w:tc>
          <w:tcPr>
            <w:tcW w:w="7713" w:type="dxa"/>
            <w:gridSpan w:val="4"/>
            <w:vAlign w:val="center"/>
          </w:tcPr>
          <w:p>
            <w:pPr>
              <w:spacing w:line="360" w:lineRule="auto"/>
              <w:jc w:val="center"/>
              <w:rPr>
                <w:rFonts w:ascii="仿宋" w:hAnsi="仿宋" w:eastAsia="仿宋" w:cs="仿宋"/>
                <w:sz w:val="24"/>
              </w:rPr>
            </w:pPr>
          </w:p>
        </w:tc>
      </w:tr>
    </w:tbl>
    <w:p>
      <w:pPr>
        <w:rPr>
          <w:rFonts w:ascii="仿宋" w:hAnsi="仿宋" w:eastAsia="仿宋" w:cs="仿宋"/>
          <w:kern w:val="0"/>
          <w:sz w:val="24"/>
          <w:lang w:val="zh-CN"/>
        </w:rPr>
      </w:pPr>
      <w:r>
        <w:rPr>
          <w:rFonts w:hint="eastAsia" w:ascii="仿宋" w:hAnsi="仿宋" w:eastAsia="仿宋" w:cs="仿宋"/>
          <w:b/>
          <w:kern w:val="0"/>
          <w:sz w:val="24"/>
          <w:lang w:val="zh-CN"/>
        </w:rPr>
        <w:t>注：</w:t>
      </w:r>
      <w:r>
        <w:rPr>
          <w:rFonts w:hint="eastAsia" w:ascii="仿宋" w:hAnsi="仿宋" w:eastAsia="仿宋" w:cs="仿宋"/>
          <w:kern w:val="0"/>
          <w:sz w:val="24"/>
          <w:lang w:val="zh-CN"/>
        </w:rPr>
        <w:t>1、投标人需按本表格式填写，不得自行更改。</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spacing w:line="360" w:lineRule="auto"/>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pacing w:line="360" w:lineRule="auto"/>
        <w:jc w:val="right"/>
        <w:rPr>
          <w:rFonts w:ascii="仿宋" w:hAnsi="仿宋" w:eastAsia="仿宋" w:cs="仿宋"/>
          <w:sz w:val="24"/>
        </w:rPr>
      </w:pPr>
      <w:r>
        <w:rPr>
          <w:rFonts w:hint="eastAsia" w:ascii="仿宋" w:hAnsi="仿宋" w:eastAsia="仿宋" w:cs="仿宋"/>
          <w:sz w:val="24"/>
        </w:rPr>
        <w:t xml:space="preserve">法定代表人或其授权委托人（签名或印章）：        </w:t>
      </w:r>
    </w:p>
    <w:p>
      <w:pPr>
        <w:spacing w:line="360" w:lineRule="auto"/>
        <w:ind w:left="7560" w:leftChars="3600" w:firstLine="1920" w:firstLineChars="800"/>
        <w:rPr>
          <w:rFonts w:ascii="仿宋" w:hAnsi="仿宋" w:eastAsia="仿宋" w:cs="仿宋"/>
          <w:sz w:val="24"/>
        </w:rPr>
      </w:pPr>
      <w:r>
        <w:rPr>
          <w:rFonts w:hint="eastAsia" w:ascii="仿宋" w:hAnsi="仿宋" w:eastAsia="仿宋" w:cs="仿宋"/>
          <w:sz w:val="24"/>
        </w:rPr>
        <w:t xml:space="preserve">投标人（盖章）：         </w:t>
      </w:r>
    </w:p>
    <w:p>
      <w:pPr>
        <w:pStyle w:val="2"/>
        <w:ind w:firstLine="9600" w:firstLineChars="4000"/>
        <w:rPr>
          <w:rFonts w:ascii="仿宋" w:hAnsi="仿宋" w:eastAsia="仿宋" w:cs="仿宋"/>
          <w:sz w:val="24"/>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sz w:val="24"/>
        </w:rPr>
        <w:t xml:space="preserve">日  期： </w:t>
      </w:r>
    </w:p>
    <w:p>
      <w:pPr>
        <w:pStyle w:val="39"/>
        <w:keepNext w:val="0"/>
        <w:pageBreakBefore w:val="0"/>
        <w:tabs>
          <w:tab w:val="clear" w:pos="720"/>
        </w:tabs>
        <w:snapToGrid w:val="0"/>
        <w:spacing w:before="120" w:after="120"/>
        <w:ind w:firstLine="643"/>
        <w:outlineLvl w:val="9"/>
        <w:rPr>
          <w:rFonts w:ascii="仿宋" w:hAnsi="仿宋" w:eastAsia="仿宋" w:cs="仿宋"/>
          <w:kern w:val="2"/>
          <w:sz w:val="24"/>
          <w:szCs w:val="24"/>
        </w:rPr>
      </w:pPr>
      <w:r>
        <w:rPr>
          <w:rFonts w:hint="eastAsia" w:ascii="仿宋" w:hAnsi="仿宋" w:eastAsia="仿宋" w:cs="仿宋"/>
          <w:kern w:val="2"/>
          <w:sz w:val="32"/>
          <w:szCs w:val="32"/>
        </w:rPr>
        <w:t>三、投标报价明细表</w:t>
      </w:r>
    </w:p>
    <w:p>
      <w:pPr>
        <w:snapToGrid w:val="0"/>
        <w:spacing w:line="360" w:lineRule="auto"/>
        <w:rPr>
          <w:rFonts w:ascii="仿宋" w:hAnsi="仿宋" w:eastAsia="仿宋" w:cs="仿宋"/>
          <w:sz w:val="24"/>
        </w:rPr>
      </w:pPr>
      <w:r>
        <w:rPr>
          <w:rFonts w:hint="eastAsia" w:ascii="仿宋" w:hAnsi="仿宋" w:eastAsia="仿宋" w:cs="仿宋"/>
          <w:sz w:val="24"/>
        </w:rPr>
        <w:t>投标人名称：</w:t>
      </w:r>
      <w:r>
        <w:rPr>
          <w:rFonts w:hint="eastAsia" w:ascii="仿宋" w:hAnsi="仿宋" w:eastAsia="仿宋" w:cs="仿宋"/>
          <w:kern w:val="0"/>
          <w:sz w:val="24"/>
          <w:u w:val="single"/>
        </w:rPr>
        <w:t xml:space="preserve">                            </w:t>
      </w:r>
    </w:p>
    <w:p>
      <w:pPr>
        <w:snapToGrid w:val="0"/>
        <w:spacing w:line="360" w:lineRule="auto"/>
        <w:rPr>
          <w:rFonts w:ascii="仿宋" w:hAnsi="仿宋" w:eastAsia="仿宋" w:cs="仿宋"/>
          <w:sz w:val="24"/>
        </w:rPr>
      </w:pPr>
      <w:r>
        <w:rPr>
          <w:rFonts w:hint="eastAsia" w:ascii="仿宋" w:hAnsi="仿宋" w:eastAsia="仿宋" w:cs="仿宋"/>
          <w:sz w:val="24"/>
        </w:rPr>
        <w:t>标    项：</w:t>
      </w:r>
      <w:r>
        <w:rPr>
          <w:rFonts w:hint="eastAsia" w:ascii="仿宋" w:hAnsi="仿宋" w:eastAsia="仿宋" w:cs="仿宋"/>
          <w:kern w:val="0"/>
          <w:sz w:val="24"/>
          <w:u w:val="single"/>
        </w:rPr>
        <w:t xml:space="preserve">                              </w:t>
      </w:r>
    </w:p>
    <w:p>
      <w:pPr>
        <w:snapToGrid w:val="0"/>
        <w:spacing w:line="360" w:lineRule="auto"/>
        <w:jc w:val="left"/>
        <w:rPr>
          <w:rFonts w:ascii="仿宋" w:hAnsi="仿宋" w:eastAsia="仿宋" w:cs="仿宋"/>
          <w:sz w:val="24"/>
        </w:rPr>
      </w:pPr>
      <w:r>
        <w:rPr>
          <w:rFonts w:hint="eastAsia" w:ascii="仿宋" w:hAnsi="仿宋" w:eastAsia="仿宋" w:cs="仿宋"/>
          <w:sz w:val="24"/>
        </w:rPr>
        <w:t xml:space="preserve">项目编号： </w:t>
      </w:r>
      <w:r>
        <w:rPr>
          <w:rFonts w:hint="eastAsia" w:ascii="仿宋" w:hAnsi="仿宋" w:eastAsia="仿宋" w:cs="仿宋"/>
          <w:kern w:val="0"/>
          <w:sz w:val="24"/>
          <w:u w:val="single"/>
        </w:rPr>
        <w:t xml:space="preserve">                             </w:t>
      </w:r>
      <w:r>
        <w:rPr>
          <w:rFonts w:hint="eastAsia" w:ascii="仿宋" w:hAnsi="仿宋" w:eastAsia="仿宋" w:cs="仿宋"/>
          <w:sz w:val="24"/>
        </w:rPr>
        <w:t xml:space="preserve">           金额单位：人民币（元）</w:t>
      </w:r>
    </w:p>
    <w:tbl>
      <w:tblPr>
        <w:tblStyle w:val="24"/>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399"/>
        <w:gridCol w:w="1846"/>
        <w:gridCol w:w="2176"/>
        <w:gridCol w:w="1517"/>
        <w:gridCol w:w="1317"/>
        <w:gridCol w:w="10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序号</w:t>
            </w:r>
          </w:p>
        </w:tc>
        <w:tc>
          <w:tcPr>
            <w:tcW w:w="13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名称</w:t>
            </w:r>
          </w:p>
        </w:tc>
        <w:tc>
          <w:tcPr>
            <w:tcW w:w="184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品牌（如有）</w:t>
            </w:r>
          </w:p>
        </w:tc>
        <w:tc>
          <w:tcPr>
            <w:tcW w:w="21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规格型号（如有）</w:t>
            </w:r>
          </w:p>
        </w:tc>
        <w:tc>
          <w:tcPr>
            <w:tcW w:w="15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单位及数量</w:t>
            </w:r>
          </w:p>
        </w:tc>
        <w:tc>
          <w:tcPr>
            <w:tcW w:w="13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单价</w:t>
            </w:r>
          </w:p>
        </w:tc>
        <w:tc>
          <w:tcPr>
            <w:tcW w:w="10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w:t>
            </w: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217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5421" w:type="dxa"/>
            <w:gridSpan w:val="3"/>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总报价：</w:t>
            </w:r>
          </w:p>
        </w:tc>
        <w:tc>
          <w:tcPr>
            <w:tcW w:w="15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31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c>
          <w:tcPr>
            <w:tcW w:w="105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p>
        </w:tc>
      </w:tr>
    </w:tbl>
    <w:p>
      <w:pPr>
        <w:pStyle w:val="11"/>
        <w:spacing w:line="360" w:lineRule="auto"/>
        <w:ind w:left="-178" w:leftChars="-85"/>
        <w:rPr>
          <w:rFonts w:ascii="仿宋" w:hAnsi="仿宋" w:eastAsia="仿宋" w:cs="仿宋"/>
        </w:rPr>
      </w:pPr>
      <w:r>
        <w:rPr>
          <w:rFonts w:hint="eastAsia" w:ascii="仿宋" w:hAnsi="仿宋" w:eastAsia="仿宋" w:cs="仿宋"/>
        </w:rPr>
        <w:t>注：</w:t>
      </w:r>
    </w:p>
    <w:p>
      <w:pPr>
        <w:pStyle w:val="11"/>
        <w:spacing w:line="360" w:lineRule="auto"/>
        <w:ind w:left="-178" w:leftChars="-85"/>
        <w:rPr>
          <w:rFonts w:ascii="仿宋" w:hAnsi="仿宋" w:eastAsia="仿宋" w:cs="仿宋"/>
        </w:rPr>
      </w:pPr>
      <w:r>
        <w:rPr>
          <w:rFonts w:hint="eastAsia" w:ascii="仿宋" w:hAnsi="仿宋" w:eastAsia="仿宋" w:cs="仿宋"/>
        </w:rPr>
        <w:t>1.本表格仅供参考，投标人可根据项目实际情况扩展表格。</w:t>
      </w:r>
    </w:p>
    <w:p>
      <w:pPr>
        <w:pStyle w:val="11"/>
        <w:spacing w:line="360" w:lineRule="auto"/>
        <w:ind w:left="-178" w:leftChars="-85"/>
        <w:rPr>
          <w:rFonts w:ascii="仿宋" w:hAnsi="仿宋" w:eastAsia="仿宋" w:cs="仿宋"/>
        </w:rPr>
      </w:pPr>
      <w:r>
        <w:rPr>
          <w:rFonts w:hint="eastAsia" w:ascii="仿宋" w:hAnsi="仿宋" w:eastAsia="仿宋" w:cs="仿宋"/>
        </w:rPr>
        <w:t>2.投标总价应与开标一览表的投标报价一致。</w:t>
      </w:r>
    </w:p>
    <w:p>
      <w:pPr>
        <w:spacing w:line="360" w:lineRule="auto"/>
        <w:rPr>
          <w:rFonts w:ascii="仿宋" w:hAnsi="仿宋" w:eastAsia="仿宋" w:cs="仿宋"/>
          <w:sz w:val="24"/>
        </w:rPr>
      </w:pPr>
    </w:p>
    <w:p>
      <w:pPr>
        <w:spacing w:line="360" w:lineRule="auto"/>
        <w:ind w:left="3780" w:leftChars="1800"/>
        <w:rPr>
          <w:rFonts w:ascii="仿宋" w:hAnsi="仿宋" w:eastAsia="仿宋" w:cs="仿宋"/>
          <w:sz w:val="24"/>
        </w:rPr>
      </w:pPr>
      <w:r>
        <w:rPr>
          <w:rFonts w:hint="eastAsia" w:ascii="仿宋" w:hAnsi="仿宋" w:eastAsia="仿宋" w:cs="仿宋"/>
          <w:sz w:val="24"/>
        </w:rPr>
        <w:t xml:space="preserve">法定代表人或其授权委托人（签名或印章）：        </w:t>
      </w:r>
    </w:p>
    <w:p>
      <w:pPr>
        <w:spacing w:line="360" w:lineRule="auto"/>
        <w:ind w:left="3780" w:leftChars="1800"/>
        <w:rPr>
          <w:rFonts w:ascii="仿宋" w:hAnsi="仿宋" w:eastAsia="仿宋" w:cs="仿宋"/>
          <w:sz w:val="24"/>
        </w:rPr>
      </w:pPr>
      <w:r>
        <w:rPr>
          <w:rFonts w:hint="eastAsia" w:ascii="仿宋" w:hAnsi="仿宋" w:eastAsia="仿宋" w:cs="仿宋"/>
          <w:sz w:val="24"/>
        </w:rPr>
        <w:t xml:space="preserve">投标人（盖章）：         </w:t>
      </w:r>
    </w:p>
    <w:p>
      <w:pPr>
        <w:pStyle w:val="39"/>
        <w:keepNext w:val="0"/>
        <w:pageBreakBefore w:val="0"/>
        <w:tabs>
          <w:tab w:val="clear" w:pos="720"/>
        </w:tabs>
        <w:snapToGrid w:val="0"/>
        <w:spacing w:before="120" w:after="120"/>
        <w:ind w:left="3780" w:leftChars="1800"/>
        <w:jc w:val="both"/>
        <w:outlineLvl w:val="9"/>
        <w:rPr>
          <w:rFonts w:ascii="仿宋" w:hAnsi="仿宋" w:eastAsia="仿宋" w:cs="仿宋"/>
          <w:b w:val="0"/>
          <w:kern w:val="2"/>
          <w:sz w:val="24"/>
          <w:szCs w:val="24"/>
        </w:rPr>
      </w:pPr>
      <w:r>
        <w:rPr>
          <w:rFonts w:hint="eastAsia" w:ascii="仿宋" w:hAnsi="仿宋" w:eastAsia="仿宋" w:cs="仿宋"/>
          <w:b w:val="0"/>
          <w:kern w:val="2"/>
          <w:sz w:val="24"/>
          <w:szCs w:val="24"/>
        </w:rPr>
        <w:t xml:space="preserve">日  期：  </w:t>
      </w:r>
    </w:p>
    <w:p>
      <w:pPr>
        <w:pStyle w:val="39"/>
        <w:keepNext w:val="0"/>
        <w:pageBreakBefore w:val="0"/>
        <w:tabs>
          <w:tab w:val="clear" w:pos="720"/>
        </w:tabs>
        <w:snapToGrid w:val="0"/>
        <w:spacing w:before="120" w:after="120"/>
        <w:outlineLvl w:val="9"/>
        <w:rPr>
          <w:rFonts w:ascii="仿宋" w:hAnsi="仿宋" w:eastAsia="仿宋" w:cs="仿宋"/>
          <w:sz w:val="24"/>
          <w:szCs w:val="24"/>
        </w:rPr>
      </w:pPr>
      <w:r>
        <w:rPr>
          <w:rFonts w:hint="eastAsia" w:ascii="仿宋" w:hAnsi="仿宋" w:eastAsia="仿宋" w:cs="仿宋"/>
          <w:b w:val="0"/>
          <w:kern w:val="2"/>
          <w:sz w:val="24"/>
          <w:szCs w:val="24"/>
        </w:rPr>
        <w:br w:type="page"/>
      </w:r>
      <w:r>
        <w:rPr>
          <w:rFonts w:hint="eastAsia" w:ascii="仿宋" w:hAnsi="仿宋" w:eastAsia="仿宋" w:cs="仿宋"/>
          <w:kern w:val="2"/>
          <w:sz w:val="32"/>
          <w:szCs w:val="32"/>
        </w:rPr>
        <w:t>三、</w:t>
      </w:r>
      <w:r>
        <w:rPr>
          <w:rFonts w:hint="eastAsia" w:ascii="仿宋" w:hAnsi="仿宋" w:eastAsia="仿宋" w:cs="仿宋"/>
          <w:sz w:val="32"/>
          <w:szCs w:val="32"/>
        </w:rPr>
        <w:t>中小企业声明函</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pacing w:line="360" w:lineRule="auto"/>
        <w:jc w:val="center"/>
        <w:rPr>
          <w:rFonts w:ascii="仿宋" w:hAnsi="仿宋" w:eastAsia="仿宋" w:cs="仿宋"/>
          <w:b/>
          <w:sz w:val="24"/>
        </w:rPr>
      </w:pPr>
      <w:r>
        <w:rPr>
          <w:rFonts w:hint="eastAsia" w:ascii="仿宋" w:hAnsi="仿宋" w:eastAsia="仿宋" w:cs="仿宋"/>
          <w:b/>
          <w:sz w:val="24"/>
        </w:rPr>
        <w:t>中小企业声明函（</w:t>
      </w:r>
      <w:r>
        <w:rPr>
          <w:rFonts w:hint="eastAsia" w:ascii="仿宋" w:hAnsi="仿宋" w:eastAsia="仿宋" w:cs="仿宋"/>
          <w:b/>
          <w:sz w:val="24"/>
          <w:lang w:val="en-US" w:eastAsia="zh-CN"/>
        </w:rPr>
        <w:t>货物</w:t>
      </w:r>
      <w:r>
        <w:rPr>
          <w:rFonts w:hint="eastAsia" w:ascii="仿宋" w:hAnsi="仿宋" w:eastAsia="仿宋" w:cs="仿宋"/>
          <w:b/>
          <w:sz w:val="24"/>
        </w:rPr>
        <w:t>）</w:t>
      </w:r>
    </w:p>
    <w:p>
      <w:pPr>
        <w:spacing w:line="360" w:lineRule="auto"/>
        <w:rPr>
          <w:rFonts w:ascii="仿宋" w:hAnsi="仿宋" w:eastAsia="仿宋" w:cs="仿宋"/>
          <w:sz w:val="24"/>
        </w:rPr>
      </w:pPr>
    </w:p>
    <w:p>
      <w:pPr>
        <w:spacing w:line="360" w:lineRule="auto"/>
        <w:ind w:right="-420" w:rightChars="-200"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采购活动，服务全部由符合政策要求的中小企业承接。相关企业（含联合体中的中小企业、签订分包意向协议的中小企业）的具体情况如下：</w:t>
      </w:r>
    </w:p>
    <w:p>
      <w:pPr>
        <w:spacing w:line="360" w:lineRule="auto"/>
        <w:ind w:right="-420" w:rightChars="-200" w:firstLine="480" w:firstLineChars="200"/>
        <w:rPr>
          <w:rFonts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u w:val="single"/>
        </w:rPr>
        <w:t>客梯</w:t>
      </w:r>
      <w:r>
        <w:rPr>
          <w:rFonts w:hint="eastAsia" w:ascii="仿宋" w:hAnsi="仿宋" w:eastAsia="仿宋" w:cs="仿宋"/>
          <w:sz w:val="24"/>
        </w:rPr>
        <w:t xml:space="preserve">，属于 </w:t>
      </w:r>
      <w:r>
        <w:rPr>
          <w:rFonts w:hint="eastAsia" w:ascii="仿宋" w:hAnsi="仿宋" w:eastAsia="仿宋" w:cs="仿宋"/>
          <w:sz w:val="24"/>
          <w:u w:val="single"/>
        </w:rPr>
        <w:t>工业</w:t>
      </w:r>
      <w:r>
        <w:rPr>
          <w:rFonts w:hint="eastAsia" w:ascii="仿宋" w:hAnsi="仿宋" w:eastAsia="仿宋" w:cs="仿宋"/>
          <w:sz w:val="24"/>
        </w:rPr>
        <w:t xml:space="preserve"> ；承建（承接）企业为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right="-420" w:rightChars="-2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固定剪叉式升降台</w:t>
      </w:r>
      <w:r>
        <w:rPr>
          <w:rFonts w:hint="eastAsia" w:ascii="仿宋" w:hAnsi="仿宋" w:eastAsia="仿宋" w:cs="仿宋"/>
          <w:sz w:val="24"/>
        </w:rPr>
        <w:t xml:space="preserve">，属于 </w:t>
      </w:r>
      <w:r>
        <w:rPr>
          <w:rFonts w:hint="eastAsia" w:ascii="仿宋" w:hAnsi="仿宋" w:eastAsia="仿宋" w:cs="仿宋"/>
          <w:sz w:val="24"/>
          <w:u w:val="single"/>
        </w:rPr>
        <w:t>工业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 xml:space="preserve">万元属于 </w:t>
      </w:r>
      <w:r>
        <w:rPr>
          <w:rFonts w:hint="eastAsia" w:ascii="仿宋" w:hAnsi="仿宋" w:eastAsia="仿宋" w:cs="仿宋"/>
          <w:sz w:val="24"/>
          <w:u w:val="single"/>
        </w:rPr>
        <w:t>（中型企业、小型企业、微型企业）</w:t>
      </w:r>
      <w:r>
        <w:rPr>
          <w:rFonts w:hint="eastAsia" w:ascii="仿宋" w:hAnsi="仿宋" w:eastAsia="仿宋" w:cs="仿宋"/>
          <w:sz w:val="24"/>
        </w:rPr>
        <w:t xml:space="preserve"> ；</w:t>
      </w:r>
    </w:p>
    <w:p>
      <w:pPr>
        <w:spacing w:line="360" w:lineRule="auto"/>
        <w:ind w:right="-420" w:rightChars="-200"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u w:val="single"/>
        </w:rPr>
        <w:t>轮椅垂直升降平台</w:t>
      </w:r>
      <w:r>
        <w:rPr>
          <w:rFonts w:hint="eastAsia" w:ascii="仿宋" w:hAnsi="仿宋" w:eastAsia="仿宋" w:cs="仿宋"/>
          <w:sz w:val="24"/>
        </w:rPr>
        <w:t xml:space="preserve">，属于 </w:t>
      </w:r>
      <w:r>
        <w:rPr>
          <w:rFonts w:hint="eastAsia" w:ascii="仿宋" w:hAnsi="仿宋" w:eastAsia="仿宋" w:cs="仿宋"/>
          <w:sz w:val="24"/>
          <w:u w:val="single"/>
        </w:rPr>
        <w:t>工业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 xml:space="preserve">万元属于 </w:t>
      </w:r>
      <w:r>
        <w:rPr>
          <w:rFonts w:hint="eastAsia" w:ascii="仿宋" w:hAnsi="仿宋" w:eastAsia="仿宋" w:cs="仿宋"/>
          <w:sz w:val="24"/>
          <w:u w:val="single"/>
        </w:rPr>
        <w:t>（中型企业、小型企业、微型企业）</w:t>
      </w:r>
      <w:r>
        <w:rPr>
          <w:rFonts w:hint="eastAsia" w:ascii="仿宋" w:hAnsi="仿宋" w:eastAsia="仿宋" w:cs="仿宋"/>
          <w:sz w:val="24"/>
        </w:rPr>
        <w:t xml:space="preserve"> ；</w:t>
      </w:r>
    </w:p>
    <w:p>
      <w:pPr>
        <w:spacing w:line="360" w:lineRule="auto"/>
        <w:ind w:right="-420" w:rightChars="-200" w:firstLine="480" w:firstLineChars="200"/>
        <w:rPr>
          <w:rFonts w:ascii="仿宋" w:hAnsi="仿宋" w:eastAsia="仿宋" w:cs="仿宋"/>
          <w:sz w:val="24"/>
        </w:rPr>
      </w:pPr>
      <w:r>
        <w:rPr>
          <w:rFonts w:hint="eastAsia" w:ascii="仿宋" w:hAnsi="仿宋" w:eastAsia="仿宋" w:cs="仿宋"/>
          <w:sz w:val="24"/>
        </w:rPr>
        <w:t>……</w:t>
      </w:r>
    </w:p>
    <w:p>
      <w:pPr>
        <w:spacing w:line="360" w:lineRule="auto"/>
        <w:ind w:right="-420" w:rightChars="-200"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right="-420" w:rightChars="-200"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lang w:val="zh-CN"/>
        </w:rPr>
      </w:pPr>
    </w:p>
    <w:p>
      <w:pPr>
        <w:spacing w:line="360" w:lineRule="auto"/>
        <w:ind w:left="3780" w:leftChars="1800"/>
        <w:rPr>
          <w:rFonts w:ascii="仿宋" w:hAnsi="仿宋" w:eastAsia="仿宋" w:cs="仿宋"/>
          <w:sz w:val="24"/>
        </w:rPr>
      </w:pPr>
      <w:r>
        <w:rPr>
          <w:rFonts w:hint="eastAsia" w:ascii="仿宋" w:hAnsi="仿宋" w:eastAsia="仿宋" w:cs="仿宋"/>
          <w:sz w:val="24"/>
        </w:rPr>
        <w:t xml:space="preserve">法定代表人或其授权委托人（签名或印章）：        </w:t>
      </w:r>
    </w:p>
    <w:p>
      <w:pPr>
        <w:spacing w:line="360" w:lineRule="auto"/>
        <w:ind w:left="3780" w:leftChars="1800"/>
        <w:rPr>
          <w:rFonts w:ascii="仿宋" w:hAnsi="仿宋" w:eastAsia="仿宋" w:cs="仿宋"/>
          <w:sz w:val="24"/>
        </w:rPr>
      </w:pPr>
      <w:r>
        <w:rPr>
          <w:rFonts w:hint="eastAsia" w:ascii="仿宋" w:hAnsi="仿宋" w:eastAsia="仿宋" w:cs="仿宋"/>
          <w:sz w:val="24"/>
        </w:rPr>
        <w:t xml:space="preserve">投标人（盖章）：         </w:t>
      </w:r>
    </w:p>
    <w:p>
      <w:pPr>
        <w:spacing w:line="360" w:lineRule="auto"/>
        <w:ind w:left="3780" w:leftChars="1800"/>
        <w:rPr>
          <w:rFonts w:ascii="仿宋" w:hAnsi="仿宋" w:eastAsia="仿宋" w:cs="仿宋"/>
          <w:sz w:val="24"/>
        </w:rPr>
      </w:pPr>
      <w:r>
        <w:rPr>
          <w:rFonts w:hint="eastAsia" w:ascii="仿宋" w:hAnsi="仿宋" w:eastAsia="仿宋" w:cs="仿宋"/>
          <w:sz w:val="24"/>
        </w:rPr>
        <w:t>日  期：</w:t>
      </w:r>
    </w:p>
    <w:p>
      <w:pPr>
        <w:spacing w:line="360" w:lineRule="auto"/>
        <w:ind w:firstLine="354" w:firstLineChars="147"/>
        <w:jc w:val="left"/>
        <w:rPr>
          <w:rFonts w:ascii="仿宋" w:hAnsi="仿宋" w:eastAsia="仿宋" w:cs="仿宋"/>
          <w:b/>
          <w:sz w:val="24"/>
        </w:rPr>
      </w:pPr>
      <w:r>
        <w:rPr>
          <w:rFonts w:hint="eastAsia" w:ascii="仿宋" w:hAnsi="仿宋" w:eastAsia="仿宋" w:cs="仿宋"/>
          <w:b/>
          <w:sz w:val="24"/>
        </w:rPr>
        <w:t>从业人员、营业收入、资产总额填报上一年度数据，无上一年度数据的新成立企业可不填报。</w:t>
      </w:r>
    </w:p>
    <w:p>
      <w:pPr>
        <w:spacing w:line="360" w:lineRule="auto"/>
        <w:ind w:right="-420" w:rightChars="-200" w:firstLine="480" w:firstLineChars="200"/>
        <w:rPr>
          <w:rFonts w:ascii="仿宋" w:hAnsi="仿宋" w:eastAsia="仿宋" w:cs="仿宋"/>
          <w:b/>
          <w:sz w:val="24"/>
        </w:rPr>
      </w:pPr>
      <w:r>
        <w:rPr>
          <w:rFonts w:hint="eastAsia" w:ascii="仿宋" w:hAnsi="仿宋" w:eastAsia="仿宋" w:cs="仿宋"/>
          <w:sz w:val="24"/>
        </w:rPr>
        <w:t>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bCs/>
          <w:sz w:val="24"/>
        </w:rPr>
      </w:pPr>
      <w:r>
        <w:rPr>
          <w:rFonts w:hint="eastAsia" w:ascii="仿宋" w:hAnsi="仿宋" w:eastAsia="仿宋" w:cs="仿宋"/>
          <w:b/>
          <w:sz w:val="24"/>
        </w:rPr>
        <w:br w:type="page"/>
      </w:r>
    </w:p>
    <w:p>
      <w:pPr>
        <w:spacing w:line="360" w:lineRule="auto"/>
        <w:jc w:val="center"/>
        <w:rPr>
          <w:rFonts w:ascii="仿宋" w:hAnsi="仿宋" w:eastAsia="仿宋" w:cs="仿宋"/>
          <w:sz w:val="24"/>
        </w:rPr>
      </w:pPr>
      <w:r>
        <w:rPr>
          <w:rFonts w:hint="eastAsia" w:ascii="仿宋" w:hAnsi="仿宋" w:eastAsia="仿宋" w:cs="仿宋"/>
          <w:b/>
          <w:bCs/>
          <w:sz w:val="32"/>
          <w:szCs w:val="32"/>
        </w:rPr>
        <w:t>四、残疾人福利性单位声明函</w:t>
      </w:r>
    </w:p>
    <w:p>
      <w:pPr>
        <w:spacing w:line="360" w:lineRule="auto"/>
        <w:rPr>
          <w:rFonts w:ascii="仿宋" w:hAnsi="仿宋" w:eastAsia="仿宋" w:cs="仿宋"/>
          <w:b/>
          <w:spacing w:val="6"/>
          <w:sz w:val="24"/>
        </w:rPr>
      </w:pP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jc w:val="left"/>
        <w:rPr>
          <w:rFonts w:ascii="仿宋" w:hAnsi="仿宋" w:eastAsia="仿宋" w:cs="仿宋"/>
          <w:sz w:val="24"/>
        </w:rPr>
      </w:pPr>
    </w:p>
    <w:p>
      <w:pPr>
        <w:spacing w:line="360" w:lineRule="auto"/>
        <w:ind w:firstLine="480" w:firstLineChars="200"/>
        <w:jc w:val="left"/>
        <w:rPr>
          <w:rFonts w:ascii="仿宋" w:hAnsi="仿宋" w:eastAsia="仿宋" w:cs="仿宋"/>
          <w:sz w:val="24"/>
        </w:rPr>
      </w:pPr>
    </w:p>
    <w:p>
      <w:pPr>
        <w:adjustRightInd w:val="0"/>
        <w:spacing w:line="360" w:lineRule="auto"/>
        <w:ind w:firstLine="2400" w:firstLineChars="1000"/>
        <w:jc w:val="left"/>
        <w:rPr>
          <w:rFonts w:ascii="仿宋" w:hAnsi="仿宋" w:eastAsia="仿宋" w:cs="仿宋"/>
          <w:sz w:val="24"/>
        </w:rPr>
      </w:pPr>
      <w:r>
        <w:rPr>
          <w:rFonts w:hint="eastAsia" w:ascii="仿宋" w:hAnsi="仿宋" w:eastAsia="仿宋" w:cs="仿宋"/>
          <w:sz w:val="24"/>
        </w:rPr>
        <w:t xml:space="preserve">            法定代表人或其授权委托人（签名或印章）：</w:t>
      </w:r>
    </w:p>
    <w:p>
      <w:pPr>
        <w:adjustRightInd w:val="0"/>
        <w:spacing w:line="360" w:lineRule="auto"/>
        <w:ind w:firstLine="3840" w:firstLineChars="1600"/>
        <w:jc w:val="left"/>
        <w:rPr>
          <w:rFonts w:ascii="仿宋" w:hAnsi="仿宋" w:eastAsia="仿宋" w:cs="仿宋"/>
          <w:sz w:val="24"/>
        </w:rPr>
      </w:pPr>
      <w:r>
        <w:rPr>
          <w:rFonts w:hint="eastAsia" w:ascii="仿宋" w:hAnsi="仿宋" w:eastAsia="仿宋" w:cs="仿宋"/>
          <w:sz w:val="24"/>
        </w:rPr>
        <w:t>投标人（盖章）：</w:t>
      </w:r>
    </w:p>
    <w:p>
      <w:pPr>
        <w:rPr>
          <w:rFonts w:ascii="仿宋" w:hAnsi="仿宋" w:eastAsia="仿宋" w:cs="仿宋"/>
          <w:sz w:val="24"/>
        </w:rPr>
      </w:pPr>
      <w:r>
        <w:rPr>
          <w:rFonts w:hint="eastAsia" w:ascii="仿宋" w:hAnsi="仿宋" w:eastAsia="仿宋" w:cs="仿宋"/>
          <w:sz w:val="24"/>
        </w:rPr>
        <w:t xml:space="preserve">                                日期：</w:t>
      </w:r>
    </w:p>
    <w:p>
      <w:pPr>
        <w:spacing w:line="360" w:lineRule="auto"/>
        <w:ind w:firstLine="482" w:firstLineChars="200"/>
        <w:jc w:val="left"/>
        <w:rPr>
          <w:rFonts w:ascii="仿宋" w:hAnsi="仿宋" w:eastAsia="仿宋" w:cs="仿宋"/>
          <w:b/>
          <w:sz w:val="24"/>
        </w:rPr>
      </w:pPr>
    </w:p>
    <w:p>
      <w:pPr>
        <w:spacing w:line="360" w:lineRule="auto"/>
        <w:rPr>
          <w:rFonts w:ascii="仿宋" w:hAnsi="仿宋" w:eastAsia="仿宋" w:cs="仿宋"/>
          <w:b/>
          <w:sz w:val="24"/>
        </w:rPr>
      </w:pPr>
    </w:p>
    <w:p>
      <w:pPr>
        <w:numPr>
          <w:ilvl w:val="0"/>
          <w:numId w:val="6"/>
        </w:numPr>
        <w:spacing w:line="360" w:lineRule="auto"/>
        <w:jc w:val="center"/>
        <w:rPr>
          <w:rFonts w:ascii="仿宋" w:hAnsi="仿宋" w:eastAsia="仿宋" w:cs="仿宋"/>
          <w:b/>
          <w:spacing w:val="6"/>
          <w:sz w:val="32"/>
          <w:szCs w:val="32"/>
        </w:rPr>
      </w:pPr>
      <w:r>
        <w:rPr>
          <w:rFonts w:hint="eastAsia" w:ascii="仿宋" w:hAnsi="仿宋" w:eastAsia="仿宋" w:cs="仿宋"/>
          <w:b/>
          <w:spacing w:val="6"/>
          <w:sz w:val="24"/>
        </w:rPr>
        <w:br w:type="page"/>
      </w:r>
      <w:r>
        <w:rPr>
          <w:rFonts w:hint="eastAsia" w:ascii="仿宋" w:hAnsi="仿宋" w:eastAsia="仿宋" w:cs="仿宋"/>
          <w:b/>
          <w:spacing w:val="6"/>
          <w:sz w:val="32"/>
          <w:szCs w:val="32"/>
        </w:rPr>
        <w:t>政府采购统计基础信息表</w:t>
      </w:r>
    </w:p>
    <w:p>
      <w:pPr>
        <w:pStyle w:val="2"/>
        <w:spacing w:line="360" w:lineRule="auto"/>
        <w:ind w:firstLine="0" w:firstLineChars="0"/>
        <w:rPr>
          <w:rFonts w:ascii="仿宋" w:hAnsi="仿宋" w:eastAsia="仿宋" w:cs="仿宋"/>
          <w:sz w:val="24"/>
        </w:rPr>
      </w:pPr>
    </w:p>
    <w:tbl>
      <w:tblPr>
        <w:tblStyle w:val="24"/>
        <w:tblW w:w="8537" w:type="dxa"/>
        <w:jc w:val="center"/>
        <w:tblLayout w:type="fixed"/>
        <w:tblCellMar>
          <w:top w:w="0" w:type="dxa"/>
          <w:left w:w="108" w:type="dxa"/>
          <w:bottom w:w="0" w:type="dxa"/>
          <w:right w:w="108" w:type="dxa"/>
        </w:tblCellMar>
      </w:tblPr>
      <w:tblGrid>
        <w:gridCol w:w="4998"/>
        <w:gridCol w:w="3539"/>
      </w:tblGrid>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 w:hAnsi="仿宋" w:eastAsia="仿宋" w:cs="仿宋"/>
                <w:sz w:val="24"/>
              </w:rPr>
            </w:pPr>
            <w:r>
              <w:rPr>
                <w:rFonts w:hint="eastAsia" w:ascii="仿宋" w:hAnsi="仿宋" w:eastAsia="仿宋" w:cs="仿宋"/>
                <w:sz w:val="24"/>
              </w:rPr>
              <w:t>采购人及采购项目名称</w:t>
            </w:r>
          </w:p>
        </w:tc>
        <w:tc>
          <w:tcPr>
            <w:tcW w:w="3539" w:type="dxa"/>
            <w:tcBorders>
              <w:top w:val="single" w:color="000000" w:sz="4" w:space="0"/>
              <w:left w:val="nil"/>
              <w:bottom w:val="single" w:color="000000" w:sz="4" w:space="0"/>
              <w:right w:val="single" w:color="000000" w:sz="4" w:space="0"/>
            </w:tcBorders>
          </w:tcPr>
          <w:p>
            <w:pPr>
              <w:spacing w:line="360" w:lineRule="auto"/>
              <w:rPr>
                <w:rFonts w:ascii="仿宋" w:hAnsi="仿宋" w:eastAsia="仿宋" w:cs="仿宋"/>
                <w:sz w:val="24"/>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 w:hAnsi="仿宋" w:eastAsia="仿宋" w:cs="仿宋"/>
                <w:sz w:val="24"/>
              </w:rPr>
            </w:pPr>
            <w:r>
              <w:rPr>
                <w:rFonts w:hint="eastAsia" w:ascii="仿宋" w:hAnsi="仿宋" w:eastAsia="仿宋" w:cs="仿宋"/>
                <w:sz w:val="24"/>
              </w:rPr>
              <w:t>投标单位名称</w:t>
            </w:r>
          </w:p>
        </w:tc>
        <w:tc>
          <w:tcPr>
            <w:tcW w:w="3539" w:type="dxa"/>
            <w:tcBorders>
              <w:top w:val="single" w:color="000000" w:sz="4" w:space="0"/>
              <w:left w:val="nil"/>
              <w:bottom w:val="single" w:color="000000" w:sz="4" w:space="0"/>
              <w:right w:val="single" w:color="000000" w:sz="4" w:space="0"/>
            </w:tcBorders>
          </w:tcPr>
          <w:p>
            <w:pPr>
              <w:spacing w:line="360" w:lineRule="auto"/>
              <w:rPr>
                <w:rFonts w:ascii="仿宋" w:hAnsi="仿宋" w:eastAsia="仿宋" w:cs="仿宋"/>
                <w:sz w:val="24"/>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 w:hAnsi="仿宋" w:eastAsia="仿宋" w:cs="仿宋"/>
                <w:sz w:val="24"/>
              </w:rPr>
            </w:pPr>
            <w:r>
              <w:rPr>
                <w:rFonts w:hint="eastAsia" w:ascii="仿宋" w:hAnsi="仿宋" w:eastAsia="仿宋" w:cs="仿宋"/>
                <w:sz w:val="24"/>
              </w:rPr>
              <w:t>投标单位是否为外商投资企业</w:t>
            </w:r>
          </w:p>
        </w:tc>
        <w:tc>
          <w:tcPr>
            <w:tcW w:w="3539" w:type="dxa"/>
            <w:tcBorders>
              <w:top w:val="single" w:color="000000" w:sz="4" w:space="0"/>
              <w:left w:val="nil"/>
              <w:bottom w:val="single" w:color="000000" w:sz="4" w:space="0"/>
              <w:right w:val="single" w:color="000000" w:sz="4" w:space="0"/>
            </w:tcBorders>
          </w:tcPr>
          <w:p>
            <w:pPr>
              <w:spacing w:line="360" w:lineRule="auto"/>
              <w:rPr>
                <w:rFonts w:ascii="仿宋" w:hAnsi="仿宋" w:eastAsia="仿宋" w:cs="仿宋"/>
                <w:sz w:val="24"/>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 w:hAnsi="仿宋" w:eastAsia="仿宋" w:cs="仿宋"/>
                <w:sz w:val="24"/>
              </w:rPr>
            </w:pPr>
            <w:r>
              <w:rPr>
                <w:rFonts w:hint="eastAsia" w:ascii="仿宋" w:hAnsi="仿宋" w:eastAsia="仿宋" w:cs="仿宋"/>
                <w:sz w:val="24"/>
              </w:rPr>
              <w:t>投标单位是否为宁波企业</w:t>
            </w:r>
          </w:p>
        </w:tc>
        <w:tc>
          <w:tcPr>
            <w:tcW w:w="3539" w:type="dxa"/>
            <w:tcBorders>
              <w:top w:val="single" w:color="000000" w:sz="4" w:space="0"/>
              <w:left w:val="nil"/>
              <w:bottom w:val="single" w:color="000000" w:sz="4" w:space="0"/>
              <w:right w:val="single" w:color="000000" w:sz="4" w:space="0"/>
            </w:tcBorders>
          </w:tcPr>
          <w:p>
            <w:pPr>
              <w:spacing w:line="360" w:lineRule="auto"/>
              <w:rPr>
                <w:rFonts w:ascii="仿宋" w:hAnsi="仿宋" w:eastAsia="仿宋" w:cs="仿宋"/>
                <w:sz w:val="24"/>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 w:hAnsi="仿宋" w:eastAsia="仿宋" w:cs="仿宋"/>
                <w:sz w:val="24"/>
              </w:rPr>
            </w:pPr>
            <w:r>
              <w:rPr>
                <w:rFonts w:hint="eastAsia" w:ascii="仿宋" w:hAnsi="仿宋" w:eastAsia="仿宋" w:cs="仿宋"/>
                <w:sz w:val="24"/>
              </w:rPr>
              <w:t>企业划分标准类型（大型、中型、小型、微型）</w:t>
            </w:r>
          </w:p>
        </w:tc>
        <w:tc>
          <w:tcPr>
            <w:tcW w:w="3539" w:type="dxa"/>
            <w:tcBorders>
              <w:top w:val="single" w:color="000000" w:sz="4" w:space="0"/>
              <w:left w:val="nil"/>
              <w:bottom w:val="single" w:color="000000" w:sz="4" w:space="0"/>
              <w:right w:val="single" w:color="000000" w:sz="4" w:space="0"/>
            </w:tcBorders>
          </w:tcPr>
          <w:p>
            <w:pPr>
              <w:spacing w:line="360" w:lineRule="auto"/>
              <w:rPr>
                <w:rFonts w:ascii="仿宋" w:hAnsi="仿宋" w:eastAsia="仿宋" w:cs="仿宋"/>
                <w:sz w:val="24"/>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 w:hAnsi="仿宋" w:eastAsia="仿宋" w:cs="仿宋"/>
                <w:sz w:val="24"/>
              </w:rPr>
            </w:pPr>
            <w:r>
              <w:rPr>
                <w:rFonts w:hint="eastAsia" w:ascii="仿宋" w:hAnsi="仿宋" w:eastAsia="仿宋" w:cs="仿宋"/>
                <w:sz w:val="24"/>
              </w:rPr>
              <w:t>提供的货物是否本企业制造</w:t>
            </w:r>
          </w:p>
        </w:tc>
        <w:tc>
          <w:tcPr>
            <w:tcW w:w="3539" w:type="dxa"/>
            <w:tcBorders>
              <w:top w:val="single" w:color="000000" w:sz="4" w:space="0"/>
              <w:left w:val="nil"/>
              <w:bottom w:val="single" w:color="000000" w:sz="4" w:space="0"/>
              <w:right w:val="single" w:color="000000" w:sz="4" w:space="0"/>
            </w:tcBorders>
          </w:tcPr>
          <w:p>
            <w:pPr>
              <w:spacing w:line="360" w:lineRule="auto"/>
              <w:rPr>
                <w:rFonts w:ascii="仿宋" w:hAnsi="仿宋" w:eastAsia="仿宋" w:cs="仿宋"/>
                <w:sz w:val="24"/>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 w:hAnsi="仿宋" w:eastAsia="仿宋" w:cs="仿宋"/>
                <w:sz w:val="24"/>
              </w:rPr>
            </w:pPr>
            <w:r>
              <w:rPr>
                <w:rFonts w:hint="eastAsia" w:ascii="仿宋" w:hAnsi="仿宋" w:eastAsia="仿宋" w:cs="仿宋"/>
                <w:sz w:val="24"/>
              </w:rPr>
              <w:t>货物原产地国别</w:t>
            </w:r>
          </w:p>
        </w:tc>
        <w:tc>
          <w:tcPr>
            <w:tcW w:w="3539" w:type="dxa"/>
            <w:tcBorders>
              <w:top w:val="single" w:color="000000" w:sz="4" w:space="0"/>
              <w:left w:val="nil"/>
              <w:bottom w:val="single" w:color="000000" w:sz="4" w:space="0"/>
              <w:right w:val="single" w:color="000000" w:sz="4" w:space="0"/>
            </w:tcBorders>
          </w:tcPr>
          <w:p>
            <w:pPr>
              <w:spacing w:line="360" w:lineRule="auto"/>
              <w:rPr>
                <w:rFonts w:ascii="仿宋" w:hAnsi="仿宋" w:eastAsia="仿宋" w:cs="仿宋"/>
                <w:sz w:val="24"/>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 w:hAnsi="仿宋" w:eastAsia="仿宋" w:cs="仿宋"/>
                <w:sz w:val="24"/>
              </w:rPr>
            </w:pPr>
            <w:r>
              <w:rPr>
                <w:rFonts w:hint="eastAsia" w:ascii="仿宋" w:hAnsi="仿宋" w:eastAsia="仿宋" w:cs="仿宋"/>
                <w:sz w:val="24"/>
              </w:rPr>
              <w:t>提供的货物是否为节能清单产品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ascii="仿宋" w:hAnsi="仿宋" w:eastAsia="仿宋" w:cs="仿宋"/>
                <w:sz w:val="24"/>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 w:hAnsi="仿宋" w:eastAsia="仿宋" w:cs="仿宋"/>
                <w:sz w:val="24"/>
              </w:rPr>
            </w:pPr>
            <w:r>
              <w:rPr>
                <w:rFonts w:hint="eastAsia" w:ascii="仿宋" w:hAnsi="仿宋" w:eastAsia="仿宋" w:cs="仿宋"/>
                <w:sz w:val="24"/>
              </w:rPr>
              <w:t>提供的货物是否为环境标志清单产品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ascii="仿宋" w:hAnsi="仿宋" w:eastAsia="仿宋" w:cs="仿宋"/>
                <w:sz w:val="24"/>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 w:hAnsi="仿宋" w:eastAsia="仿宋" w:cs="仿宋"/>
                <w:sz w:val="24"/>
              </w:rPr>
            </w:pPr>
            <w:r>
              <w:rPr>
                <w:rFonts w:hint="eastAsia" w:ascii="仿宋" w:hAnsi="仿宋" w:eastAsia="仿宋" w:cs="仿宋"/>
                <w:sz w:val="24"/>
              </w:rPr>
              <w:t>承担的工程或服务是否本企业提供</w:t>
            </w:r>
          </w:p>
        </w:tc>
        <w:tc>
          <w:tcPr>
            <w:tcW w:w="3539" w:type="dxa"/>
            <w:tcBorders>
              <w:top w:val="single" w:color="000000" w:sz="4" w:space="0"/>
              <w:left w:val="nil"/>
              <w:bottom w:val="single" w:color="000000" w:sz="4" w:space="0"/>
              <w:right w:val="single" w:color="000000" w:sz="4" w:space="0"/>
            </w:tcBorders>
          </w:tcPr>
          <w:p>
            <w:pPr>
              <w:spacing w:line="360" w:lineRule="auto"/>
              <w:rPr>
                <w:rFonts w:ascii="仿宋" w:hAnsi="仿宋" w:eastAsia="仿宋" w:cs="仿宋"/>
                <w:sz w:val="24"/>
              </w:rPr>
            </w:pPr>
          </w:p>
        </w:tc>
      </w:tr>
    </w:tbl>
    <w:p>
      <w:pPr>
        <w:adjustRightInd w:val="0"/>
        <w:spacing w:line="360" w:lineRule="auto"/>
        <w:jc w:val="left"/>
        <w:rPr>
          <w:rFonts w:ascii="仿宋" w:hAnsi="仿宋" w:eastAsia="仿宋" w:cs="仿宋"/>
          <w:sz w:val="24"/>
        </w:rPr>
      </w:pPr>
    </w:p>
    <w:p>
      <w:pPr>
        <w:adjustRightInd w:val="0"/>
        <w:spacing w:line="360" w:lineRule="auto"/>
        <w:jc w:val="left"/>
        <w:rPr>
          <w:rFonts w:ascii="仿宋" w:hAnsi="仿宋" w:eastAsia="仿宋" w:cs="仿宋"/>
          <w:sz w:val="24"/>
        </w:rPr>
      </w:pPr>
      <w:r>
        <w:rPr>
          <w:rFonts w:hint="eastAsia" w:ascii="仿宋" w:hAnsi="仿宋" w:eastAsia="仿宋" w:cs="仿宋"/>
          <w:sz w:val="24"/>
        </w:rPr>
        <w:t>备注：请各投标人务必填写此表作为投标文件的组成部分。</w:t>
      </w:r>
    </w:p>
    <w:p>
      <w:pPr>
        <w:adjustRightInd w:val="0"/>
        <w:spacing w:line="360" w:lineRule="auto"/>
        <w:jc w:val="left"/>
        <w:rPr>
          <w:rFonts w:ascii="仿宋" w:hAnsi="仿宋" w:eastAsia="仿宋" w:cs="仿宋"/>
          <w:sz w:val="24"/>
        </w:rPr>
      </w:pPr>
    </w:p>
    <w:p>
      <w:pPr>
        <w:adjustRightInd w:val="0"/>
        <w:spacing w:line="360" w:lineRule="auto"/>
        <w:jc w:val="left"/>
        <w:rPr>
          <w:rFonts w:ascii="仿宋" w:hAnsi="仿宋" w:eastAsia="仿宋" w:cs="仿宋"/>
          <w:sz w:val="24"/>
        </w:rPr>
      </w:pPr>
    </w:p>
    <w:p>
      <w:pPr>
        <w:adjustRightInd w:val="0"/>
        <w:spacing w:line="360" w:lineRule="auto"/>
        <w:ind w:firstLine="2400" w:firstLineChars="1000"/>
        <w:jc w:val="left"/>
        <w:rPr>
          <w:rFonts w:ascii="仿宋" w:hAnsi="仿宋" w:eastAsia="仿宋" w:cs="仿宋"/>
          <w:sz w:val="24"/>
        </w:rPr>
      </w:pPr>
      <w:r>
        <w:rPr>
          <w:rFonts w:hint="eastAsia" w:ascii="仿宋" w:hAnsi="仿宋" w:eastAsia="仿宋" w:cs="仿宋"/>
          <w:sz w:val="24"/>
        </w:rPr>
        <w:t>法定代表人或其授权委托人（签名或印章）：</w:t>
      </w:r>
    </w:p>
    <w:p>
      <w:pPr>
        <w:adjustRightInd w:val="0"/>
        <w:spacing w:line="360" w:lineRule="auto"/>
        <w:ind w:firstLine="2400" w:firstLineChars="1000"/>
        <w:jc w:val="left"/>
        <w:rPr>
          <w:rFonts w:ascii="仿宋" w:hAnsi="仿宋" w:eastAsia="仿宋" w:cs="仿宋"/>
          <w:sz w:val="24"/>
        </w:rPr>
      </w:pPr>
      <w:r>
        <w:rPr>
          <w:rFonts w:hint="eastAsia" w:ascii="仿宋" w:hAnsi="仿宋" w:eastAsia="仿宋" w:cs="仿宋"/>
          <w:sz w:val="24"/>
        </w:rPr>
        <w:t>投标人（盖章）：</w:t>
      </w:r>
    </w:p>
    <w:p>
      <w:pPr>
        <w:rPr>
          <w:rFonts w:ascii="仿宋" w:hAnsi="仿宋" w:eastAsia="仿宋" w:cs="仿宋"/>
          <w:sz w:val="24"/>
        </w:rPr>
      </w:pPr>
      <w:r>
        <w:rPr>
          <w:rFonts w:hint="eastAsia" w:ascii="仿宋" w:hAnsi="仿宋" w:eastAsia="仿宋" w:cs="仿宋"/>
          <w:sz w:val="24"/>
        </w:rPr>
        <w:t xml:space="preserve">                    日期：</w:t>
      </w:r>
    </w:p>
    <w:sectPr>
      <w:pgSz w:w="11906" w:h="16838"/>
      <w:pgMar w:top="1276" w:right="1418" w:bottom="1247"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25D33"/>
    <w:multiLevelType w:val="singleLevel"/>
    <w:tmpl w:val="9D225D33"/>
    <w:lvl w:ilvl="0" w:tentative="0">
      <w:start w:val="5"/>
      <w:numFmt w:val="chineseCounting"/>
      <w:suff w:val="nothing"/>
      <w:lvlText w:val="%1、"/>
      <w:lvlJc w:val="left"/>
      <w:rPr>
        <w:rFonts w:hint="eastAsia"/>
      </w:rPr>
    </w:lvl>
  </w:abstractNum>
  <w:abstractNum w:abstractNumId="1">
    <w:nsid w:val="A95BA21C"/>
    <w:multiLevelType w:val="singleLevel"/>
    <w:tmpl w:val="A95BA21C"/>
    <w:lvl w:ilvl="0" w:tentative="0">
      <w:start w:val="1"/>
      <w:numFmt w:val="decimal"/>
      <w:suff w:val="nothing"/>
      <w:lvlText w:val="%1．"/>
      <w:lvlJc w:val="left"/>
      <w:pPr>
        <w:ind w:left="0" w:firstLine="400"/>
      </w:pPr>
      <w:rPr>
        <w:rFonts w:hint="default"/>
      </w:rPr>
    </w:lvl>
  </w:abstractNum>
  <w:abstractNum w:abstractNumId="2">
    <w:nsid w:val="02146711"/>
    <w:multiLevelType w:val="multilevel"/>
    <w:tmpl w:val="02146711"/>
    <w:lvl w:ilvl="0" w:tentative="0">
      <w:start w:val="1"/>
      <w:numFmt w:val="decimal"/>
      <w:pStyle w:val="3"/>
      <w:suff w:val="space"/>
      <w:lvlText w:val="%1  "/>
      <w:lvlJc w:val="left"/>
      <w:pPr>
        <w:ind w:left="0" w:firstLine="0"/>
      </w:pPr>
      <w:rPr>
        <w:rFonts w:hint="default" w:ascii="Times New Roman" w:hAnsi="Times New Roman" w:eastAsia="黑体"/>
        <w:b/>
        <w:i w:val="0"/>
        <w:vanish w:val="0"/>
        <w:sz w:val="32"/>
      </w:rPr>
    </w:lvl>
    <w:lvl w:ilvl="1" w:tentative="0">
      <w:start w:val="1"/>
      <w:numFmt w:val="decimal"/>
      <w:suff w:val="space"/>
      <w:lvlText w:val="%1.%2  "/>
      <w:lvlJc w:val="left"/>
      <w:pPr>
        <w:ind w:left="0" w:firstLine="0"/>
      </w:pPr>
      <w:rPr>
        <w:rFonts w:hint="default" w:ascii="Times New Roman" w:hAnsi="Times New Roman" w:eastAsia="宋体"/>
        <w:b/>
        <w:i w:val="0"/>
        <w:sz w:val="30"/>
      </w:rPr>
    </w:lvl>
    <w:lvl w:ilvl="2" w:tentative="0">
      <w:start w:val="1"/>
      <w:numFmt w:val="decimal"/>
      <w:suff w:val="space"/>
      <w:lvlText w:val="%1.%2.%3 "/>
      <w:lvlJc w:val="left"/>
      <w:pPr>
        <w:ind w:left="0" w:firstLine="0"/>
      </w:pPr>
      <w:rPr>
        <w:rFonts w:hint="default" w:ascii="Times New Roman" w:hAnsi="Times New Roman" w:eastAsia="宋体"/>
        <w:b/>
        <w:i w:val="0"/>
        <w:sz w:val="28"/>
      </w:rPr>
    </w:lvl>
    <w:lvl w:ilvl="3" w:tentative="0">
      <w:start w:val="1"/>
      <w:numFmt w:val="decimal"/>
      <w:suff w:val="space"/>
      <w:lvlText w:val="%1.%2.%3.%4 "/>
      <w:lvlJc w:val="left"/>
      <w:rPr>
        <w:rFonts w:hint="default" w:ascii="Times New Roman" w:hAnsi="Times New Roman" w:eastAsia="宋体" w:cs="Times New Roman"/>
        <w:b/>
        <w:bCs w:val="0"/>
        <w:i w:val="0"/>
        <w:iCs w:val="0"/>
        <w:caps w:val="0"/>
        <w:smallCaps w:val="0"/>
        <w:strike w:val="0"/>
        <w:dstrike w:val="0"/>
        <w:vanish w:val="0"/>
        <w:color w:val="000000"/>
        <w:spacing w:val="0"/>
        <w:position w:val="0"/>
        <w:sz w:val="28"/>
        <w:u w:val="none"/>
        <w:vertAlign w:val="baseline"/>
        <w:lang w:bidi="zh-CN"/>
        <w14:shadow w14:blurRad="0" w14:dist="0" w14:dir="0" w14:sx="0" w14:sy="0" w14:kx="0" w14:ky="0" w14:algn="none">
          <w14:srgbClr w14:val="000000"/>
        </w14:shadow>
        <w14:ligatures w14:val="none"/>
        <w14:numForm w14:val="default"/>
        <w14:numSpacing w14:val="default"/>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1C1F1499"/>
    <w:multiLevelType w:val="singleLevel"/>
    <w:tmpl w:val="1C1F1499"/>
    <w:lvl w:ilvl="0" w:tentative="0">
      <w:start w:val="3"/>
      <w:numFmt w:val="decimal"/>
      <w:lvlText w:val="%1."/>
      <w:lvlJc w:val="left"/>
      <w:pPr>
        <w:tabs>
          <w:tab w:val="left" w:pos="312"/>
        </w:tabs>
      </w:pPr>
    </w:lvl>
  </w:abstractNum>
  <w:abstractNum w:abstractNumId="4">
    <w:nsid w:val="495C2BCE"/>
    <w:multiLevelType w:val="singleLevel"/>
    <w:tmpl w:val="495C2BCE"/>
    <w:lvl w:ilvl="0" w:tentative="0">
      <w:start w:val="1"/>
      <w:numFmt w:val="chineseCounting"/>
      <w:suff w:val="nothing"/>
      <w:lvlText w:val="%1、"/>
      <w:lvlJc w:val="left"/>
      <w:pPr>
        <w:ind w:left="210"/>
      </w:pPr>
      <w:rPr>
        <w:rFonts w:hint="eastAsia"/>
      </w:rPr>
    </w:lvl>
  </w:abstractNum>
  <w:abstractNum w:abstractNumId="5">
    <w:nsid w:val="60E44384"/>
    <w:multiLevelType w:val="singleLevel"/>
    <w:tmpl w:val="60E44384"/>
    <w:lvl w:ilvl="0" w:tentative="0">
      <w:start w:val="1"/>
      <w:numFmt w:val="decimal"/>
      <w:suff w:val="nothing"/>
      <w:lvlText w:val="%1、"/>
      <w:lvlJc w:val="left"/>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0YTY5YmI0YzFjZTI2YmI4Y2RiYTQzYjMwOTVmM2MifQ=="/>
    <w:docVar w:name="KSO_WPS_MARK_KEY" w:val="f3dc9900-7ce5-4365-9e49-36b2883dee40"/>
  </w:docVars>
  <w:rsids>
    <w:rsidRoot w:val="00982EB4"/>
    <w:rsid w:val="00013712"/>
    <w:rsid w:val="00014DDF"/>
    <w:rsid w:val="00016734"/>
    <w:rsid w:val="00022B21"/>
    <w:rsid w:val="000331D4"/>
    <w:rsid w:val="00061CE1"/>
    <w:rsid w:val="00061F30"/>
    <w:rsid w:val="00095D46"/>
    <w:rsid w:val="000E448A"/>
    <w:rsid w:val="000E4837"/>
    <w:rsid w:val="000F198F"/>
    <w:rsid w:val="000F5215"/>
    <w:rsid w:val="0013694D"/>
    <w:rsid w:val="00150108"/>
    <w:rsid w:val="001553AB"/>
    <w:rsid w:val="001716B0"/>
    <w:rsid w:val="001B2FBB"/>
    <w:rsid w:val="001C1283"/>
    <w:rsid w:val="001F3EFC"/>
    <w:rsid w:val="00211F77"/>
    <w:rsid w:val="00215736"/>
    <w:rsid w:val="00223803"/>
    <w:rsid w:val="0024092E"/>
    <w:rsid w:val="00257FDF"/>
    <w:rsid w:val="0027141A"/>
    <w:rsid w:val="00280902"/>
    <w:rsid w:val="002936BF"/>
    <w:rsid w:val="002B3663"/>
    <w:rsid w:val="002F37D4"/>
    <w:rsid w:val="00312E67"/>
    <w:rsid w:val="003211FF"/>
    <w:rsid w:val="00334777"/>
    <w:rsid w:val="003549BF"/>
    <w:rsid w:val="00374B04"/>
    <w:rsid w:val="003773A8"/>
    <w:rsid w:val="003874A0"/>
    <w:rsid w:val="00395F00"/>
    <w:rsid w:val="003B4BAC"/>
    <w:rsid w:val="003E1D64"/>
    <w:rsid w:val="00412EC0"/>
    <w:rsid w:val="004449A8"/>
    <w:rsid w:val="00452381"/>
    <w:rsid w:val="00452882"/>
    <w:rsid w:val="00473DDC"/>
    <w:rsid w:val="004A3340"/>
    <w:rsid w:val="004C3E57"/>
    <w:rsid w:val="004C4306"/>
    <w:rsid w:val="004E23EB"/>
    <w:rsid w:val="004E36CD"/>
    <w:rsid w:val="00502B65"/>
    <w:rsid w:val="005047BD"/>
    <w:rsid w:val="00507B69"/>
    <w:rsid w:val="00545EB5"/>
    <w:rsid w:val="00550EE6"/>
    <w:rsid w:val="00551BB6"/>
    <w:rsid w:val="005537BE"/>
    <w:rsid w:val="00555D80"/>
    <w:rsid w:val="005574FC"/>
    <w:rsid w:val="005657F7"/>
    <w:rsid w:val="005B0674"/>
    <w:rsid w:val="005B09B1"/>
    <w:rsid w:val="005D37FA"/>
    <w:rsid w:val="006130EE"/>
    <w:rsid w:val="00627B91"/>
    <w:rsid w:val="0065305C"/>
    <w:rsid w:val="0065579D"/>
    <w:rsid w:val="0065773E"/>
    <w:rsid w:val="00673D9C"/>
    <w:rsid w:val="00686437"/>
    <w:rsid w:val="00693366"/>
    <w:rsid w:val="006A264B"/>
    <w:rsid w:val="006A5039"/>
    <w:rsid w:val="006B593D"/>
    <w:rsid w:val="006C3311"/>
    <w:rsid w:val="006D63C7"/>
    <w:rsid w:val="00706C27"/>
    <w:rsid w:val="007138E3"/>
    <w:rsid w:val="00764A69"/>
    <w:rsid w:val="00773362"/>
    <w:rsid w:val="00785C92"/>
    <w:rsid w:val="007D7677"/>
    <w:rsid w:val="007E5A2D"/>
    <w:rsid w:val="007F11D5"/>
    <w:rsid w:val="00821F07"/>
    <w:rsid w:val="008232A9"/>
    <w:rsid w:val="0083502E"/>
    <w:rsid w:val="00886BF0"/>
    <w:rsid w:val="008917B0"/>
    <w:rsid w:val="00893B67"/>
    <w:rsid w:val="008B0252"/>
    <w:rsid w:val="008C43CD"/>
    <w:rsid w:val="008C7259"/>
    <w:rsid w:val="008F739E"/>
    <w:rsid w:val="009024C2"/>
    <w:rsid w:val="0097307E"/>
    <w:rsid w:val="00982EB4"/>
    <w:rsid w:val="00995301"/>
    <w:rsid w:val="009A477E"/>
    <w:rsid w:val="009A6641"/>
    <w:rsid w:val="009D1ADF"/>
    <w:rsid w:val="009E5825"/>
    <w:rsid w:val="009F5B94"/>
    <w:rsid w:val="00A23DA0"/>
    <w:rsid w:val="00A30022"/>
    <w:rsid w:val="00A30E59"/>
    <w:rsid w:val="00A64B68"/>
    <w:rsid w:val="00A938A4"/>
    <w:rsid w:val="00A968C7"/>
    <w:rsid w:val="00AA1C3E"/>
    <w:rsid w:val="00AC40A8"/>
    <w:rsid w:val="00AF35F5"/>
    <w:rsid w:val="00AF5749"/>
    <w:rsid w:val="00B3449C"/>
    <w:rsid w:val="00B408F1"/>
    <w:rsid w:val="00B42329"/>
    <w:rsid w:val="00B50BD3"/>
    <w:rsid w:val="00B9025A"/>
    <w:rsid w:val="00BA7F9C"/>
    <w:rsid w:val="00BE334C"/>
    <w:rsid w:val="00BE5E52"/>
    <w:rsid w:val="00BE678C"/>
    <w:rsid w:val="00BF605B"/>
    <w:rsid w:val="00C479E3"/>
    <w:rsid w:val="00C56A2B"/>
    <w:rsid w:val="00C67857"/>
    <w:rsid w:val="00C73083"/>
    <w:rsid w:val="00C82E86"/>
    <w:rsid w:val="00C97C68"/>
    <w:rsid w:val="00CB17EC"/>
    <w:rsid w:val="00CB2613"/>
    <w:rsid w:val="00CB6CB8"/>
    <w:rsid w:val="00CF24DB"/>
    <w:rsid w:val="00D01B07"/>
    <w:rsid w:val="00D40DC8"/>
    <w:rsid w:val="00D62310"/>
    <w:rsid w:val="00D63154"/>
    <w:rsid w:val="00D75034"/>
    <w:rsid w:val="00D75BB4"/>
    <w:rsid w:val="00D91FC8"/>
    <w:rsid w:val="00DB074D"/>
    <w:rsid w:val="00DB3112"/>
    <w:rsid w:val="00DC1DB1"/>
    <w:rsid w:val="00DC37C0"/>
    <w:rsid w:val="00DC63DA"/>
    <w:rsid w:val="00DC64C7"/>
    <w:rsid w:val="00DF259A"/>
    <w:rsid w:val="00DF7E6B"/>
    <w:rsid w:val="00E23AD0"/>
    <w:rsid w:val="00E30781"/>
    <w:rsid w:val="00E80BD5"/>
    <w:rsid w:val="00EB0FFF"/>
    <w:rsid w:val="00EB2459"/>
    <w:rsid w:val="00EB25A8"/>
    <w:rsid w:val="00EC3260"/>
    <w:rsid w:val="00ED669C"/>
    <w:rsid w:val="00F0217B"/>
    <w:rsid w:val="00F030E5"/>
    <w:rsid w:val="00F05C4C"/>
    <w:rsid w:val="00F128C1"/>
    <w:rsid w:val="00F14CF7"/>
    <w:rsid w:val="00F36900"/>
    <w:rsid w:val="00F379E5"/>
    <w:rsid w:val="00F4077A"/>
    <w:rsid w:val="00F44A34"/>
    <w:rsid w:val="00F51917"/>
    <w:rsid w:val="00F60919"/>
    <w:rsid w:val="00F85EC7"/>
    <w:rsid w:val="00FC62EF"/>
    <w:rsid w:val="00FD3F44"/>
    <w:rsid w:val="00FF2980"/>
    <w:rsid w:val="00FF710F"/>
    <w:rsid w:val="00FF796A"/>
    <w:rsid w:val="010F7FF3"/>
    <w:rsid w:val="01183AF9"/>
    <w:rsid w:val="0159387C"/>
    <w:rsid w:val="019D1AF5"/>
    <w:rsid w:val="01E2506A"/>
    <w:rsid w:val="01F01BD2"/>
    <w:rsid w:val="02081BD4"/>
    <w:rsid w:val="02426474"/>
    <w:rsid w:val="024A1CD6"/>
    <w:rsid w:val="025F4662"/>
    <w:rsid w:val="029D2D66"/>
    <w:rsid w:val="02CE3596"/>
    <w:rsid w:val="02EB16F6"/>
    <w:rsid w:val="034F0B7A"/>
    <w:rsid w:val="035312A2"/>
    <w:rsid w:val="037253C8"/>
    <w:rsid w:val="03863E70"/>
    <w:rsid w:val="03CA534F"/>
    <w:rsid w:val="03E4344E"/>
    <w:rsid w:val="03E91B5F"/>
    <w:rsid w:val="03FE079C"/>
    <w:rsid w:val="03FE5C97"/>
    <w:rsid w:val="041422E0"/>
    <w:rsid w:val="04447089"/>
    <w:rsid w:val="045049A2"/>
    <w:rsid w:val="0452103A"/>
    <w:rsid w:val="046F0E1D"/>
    <w:rsid w:val="049251C3"/>
    <w:rsid w:val="04E80917"/>
    <w:rsid w:val="04F374C7"/>
    <w:rsid w:val="05020092"/>
    <w:rsid w:val="050B0C29"/>
    <w:rsid w:val="0560454A"/>
    <w:rsid w:val="05D23739"/>
    <w:rsid w:val="05EC0FC1"/>
    <w:rsid w:val="060A39A8"/>
    <w:rsid w:val="060E6C4F"/>
    <w:rsid w:val="06396656"/>
    <w:rsid w:val="06514B7E"/>
    <w:rsid w:val="066849C1"/>
    <w:rsid w:val="067D6961"/>
    <w:rsid w:val="069778EF"/>
    <w:rsid w:val="069C4406"/>
    <w:rsid w:val="069F2221"/>
    <w:rsid w:val="06A21E31"/>
    <w:rsid w:val="06D03D80"/>
    <w:rsid w:val="06DA69AD"/>
    <w:rsid w:val="06EF2DF4"/>
    <w:rsid w:val="07153256"/>
    <w:rsid w:val="07372051"/>
    <w:rsid w:val="073B65AB"/>
    <w:rsid w:val="075678BD"/>
    <w:rsid w:val="07966D78"/>
    <w:rsid w:val="07F320C8"/>
    <w:rsid w:val="080F2686"/>
    <w:rsid w:val="08101385"/>
    <w:rsid w:val="081E6D6D"/>
    <w:rsid w:val="0829402A"/>
    <w:rsid w:val="083F6D06"/>
    <w:rsid w:val="084F431F"/>
    <w:rsid w:val="086333E1"/>
    <w:rsid w:val="088D0AAE"/>
    <w:rsid w:val="089455E0"/>
    <w:rsid w:val="08A6754B"/>
    <w:rsid w:val="08DD4532"/>
    <w:rsid w:val="091D6232"/>
    <w:rsid w:val="09363BD1"/>
    <w:rsid w:val="093F1282"/>
    <w:rsid w:val="09595A6C"/>
    <w:rsid w:val="095B73E3"/>
    <w:rsid w:val="09850FEC"/>
    <w:rsid w:val="09885CB5"/>
    <w:rsid w:val="09BB263B"/>
    <w:rsid w:val="09C474A0"/>
    <w:rsid w:val="09E432F6"/>
    <w:rsid w:val="0A7947E6"/>
    <w:rsid w:val="0A7F4E69"/>
    <w:rsid w:val="0A8E2293"/>
    <w:rsid w:val="0AD317E1"/>
    <w:rsid w:val="0AE50E90"/>
    <w:rsid w:val="0AF54577"/>
    <w:rsid w:val="0B2C354F"/>
    <w:rsid w:val="0B301267"/>
    <w:rsid w:val="0B4368DB"/>
    <w:rsid w:val="0B4D5A23"/>
    <w:rsid w:val="0BA46EAF"/>
    <w:rsid w:val="0BD74BBF"/>
    <w:rsid w:val="0BF12D7C"/>
    <w:rsid w:val="0BF4406D"/>
    <w:rsid w:val="0BFD20C8"/>
    <w:rsid w:val="0C3B068C"/>
    <w:rsid w:val="0C6236CC"/>
    <w:rsid w:val="0C8C0B1C"/>
    <w:rsid w:val="0C9977D7"/>
    <w:rsid w:val="0CD56030"/>
    <w:rsid w:val="0CEA2996"/>
    <w:rsid w:val="0D4212BD"/>
    <w:rsid w:val="0D4F3194"/>
    <w:rsid w:val="0D5F19BA"/>
    <w:rsid w:val="0D8B244B"/>
    <w:rsid w:val="0D9A5957"/>
    <w:rsid w:val="0D9E1E9E"/>
    <w:rsid w:val="0E2E03FD"/>
    <w:rsid w:val="0E306025"/>
    <w:rsid w:val="0E4E5FF9"/>
    <w:rsid w:val="0E650557"/>
    <w:rsid w:val="0E7B78BC"/>
    <w:rsid w:val="0E8B1BCF"/>
    <w:rsid w:val="0E9E29B6"/>
    <w:rsid w:val="0EEA25AB"/>
    <w:rsid w:val="0F466AF7"/>
    <w:rsid w:val="0F726B08"/>
    <w:rsid w:val="0F863EB5"/>
    <w:rsid w:val="0FC57BB5"/>
    <w:rsid w:val="0FDF2C1E"/>
    <w:rsid w:val="0FE02F79"/>
    <w:rsid w:val="0FE64ECD"/>
    <w:rsid w:val="10093A91"/>
    <w:rsid w:val="10122C71"/>
    <w:rsid w:val="108D2CE2"/>
    <w:rsid w:val="10A15885"/>
    <w:rsid w:val="10BD0B5A"/>
    <w:rsid w:val="10DF3C80"/>
    <w:rsid w:val="111319F2"/>
    <w:rsid w:val="11333889"/>
    <w:rsid w:val="118F0F5F"/>
    <w:rsid w:val="119B0448"/>
    <w:rsid w:val="11B9651D"/>
    <w:rsid w:val="12394ECF"/>
    <w:rsid w:val="123D0CDA"/>
    <w:rsid w:val="124315DA"/>
    <w:rsid w:val="124C038C"/>
    <w:rsid w:val="126C3406"/>
    <w:rsid w:val="12955EAD"/>
    <w:rsid w:val="12BA33A7"/>
    <w:rsid w:val="12C02EFB"/>
    <w:rsid w:val="12D16818"/>
    <w:rsid w:val="12FF4278"/>
    <w:rsid w:val="137141F5"/>
    <w:rsid w:val="1378192B"/>
    <w:rsid w:val="13960100"/>
    <w:rsid w:val="13BC346B"/>
    <w:rsid w:val="13BD6604"/>
    <w:rsid w:val="13C3643C"/>
    <w:rsid w:val="13E2650F"/>
    <w:rsid w:val="13E97C98"/>
    <w:rsid w:val="14202B31"/>
    <w:rsid w:val="14487FC8"/>
    <w:rsid w:val="14561774"/>
    <w:rsid w:val="14B3283E"/>
    <w:rsid w:val="14CA5408"/>
    <w:rsid w:val="14DF4723"/>
    <w:rsid w:val="14F055ED"/>
    <w:rsid w:val="14FF0425"/>
    <w:rsid w:val="15034315"/>
    <w:rsid w:val="15065E78"/>
    <w:rsid w:val="152E64B4"/>
    <w:rsid w:val="1555400F"/>
    <w:rsid w:val="15664A2E"/>
    <w:rsid w:val="15961883"/>
    <w:rsid w:val="15DF26EA"/>
    <w:rsid w:val="15F12DDD"/>
    <w:rsid w:val="15F535FB"/>
    <w:rsid w:val="15FD10AF"/>
    <w:rsid w:val="163A57C5"/>
    <w:rsid w:val="166D59E0"/>
    <w:rsid w:val="16704724"/>
    <w:rsid w:val="16777450"/>
    <w:rsid w:val="169F1079"/>
    <w:rsid w:val="16A14DF1"/>
    <w:rsid w:val="16C56589"/>
    <w:rsid w:val="16D61499"/>
    <w:rsid w:val="16D93281"/>
    <w:rsid w:val="16E42F30"/>
    <w:rsid w:val="16E774B2"/>
    <w:rsid w:val="178276AC"/>
    <w:rsid w:val="17C74D2B"/>
    <w:rsid w:val="17E7717C"/>
    <w:rsid w:val="18095344"/>
    <w:rsid w:val="18101F4E"/>
    <w:rsid w:val="183B7A2B"/>
    <w:rsid w:val="18720B98"/>
    <w:rsid w:val="18AD0064"/>
    <w:rsid w:val="18E37A50"/>
    <w:rsid w:val="191D4C55"/>
    <w:rsid w:val="192C553A"/>
    <w:rsid w:val="192C753C"/>
    <w:rsid w:val="19314424"/>
    <w:rsid w:val="195D280D"/>
    <w:rsid w:val="196D0F5D"/>
    <w:rsid w:val="19E17A05"/>
    <w:rsid w:val="19EE4158"/>
    <w:rsid w:val="1A3F3E57"/>
    <w:rsid w:val="1A7A42D7"/>
    <w:rsid w:val="1AA74EE1"/>
    <w:rsid w:val="1AD05D4C"/>
    <w:rsid w:val="1B0F7752"/>
    <w:rsid w:val="1B1F47F5"/>
    <w:rsid w:val="1B200AB8"/>
    <w:rsid w:val="1B332C4C"/>
    <w:rsid w:val="1B357A4E"/>
    <w:rsid w:val="1B44789C"/>
    <w:rsid w:val="1B5538DF"/>
    <w:rsid w:val="1B7A641A"/>
    <w:rsid w:val="1B960EE0"/>
    <w:rsid w:val="1B9F32EA"/>
    <w:rsid w:val="1BA32B80"/>
    <w:rsid w:val="1C094D92"/>
    <w:rsid w:val="1C28631F"/>
    <w:rsid w:val="1C2C7853"/>
    <w:rsid w:val="1C510074"/>
    <w:rsid w:val="1C5D199B"/>
    <w:rsid w:val="1C78070F"/>
    <w:rsid w:val="1C931680"/>
    <w:rsid w:val="1D2B44EF"/>
    <w:rsid w:val="1D494CF7"/>
    <w:rsid w:val="1D5A1AE9"/>
    <w:rsid w:val="1D6B5FA6"/>
    <w:rsid w:val="1DA43327"/>
    <w:rsid w:val="1DF512A5"/>
    <w:rsid w:val="1E0A375B"/>
    <w:rsid w:val="1E3D7E01"/>
    <w:rsid w:val="1E557950"/>
    <w:rsid w:val="1E97655A"/>
    <w:rsid w:val="1EEA4ECB"/>
    <w:rsid w:val="1F171BBE"/>
    <w:rsid w:val="1F3C4BA3"/>
    <w:rsid w:val="1F3C7DAD"/>
    <w:rsid w:val="1F5642E7"/>
    <w:rsid w:val="1F6D440A"/>
    <w:rsid w:val="1F7A2683"/>
    <w:rsid w:val="1F884DA0"/>
    <w:rsid w:val="1F911C5D"/>
    <w:rsid w:val="1FA0179E"/>
    <w:rsid w:val="1FA5178F"/>
    <w:rsid w:val="1FD513B3"/>
    <w:rsid w:val="1FFC170E"/>
    <w:rsid w:val="201E1AF4"/>
    <w:rsid w:val="20430A9F"/>
    <w:rsid w:val="204748C7"/>
    <w:rsid w:val="206215A1"/>
    <w:rsid w:val="20B27D09"/>
    <w:rsid w:val="20B9514C"/>
    <w:rsid w:val="20CB0FBA"/>
    <w:rsid w:val="20DF30E6"/>
    <w:rsid w:val="20E119DF"/>
    <w:rsid w:val="214A755D"/>
    <w:rsid w:val="216A5C97"/>
    <w:rsid w:val="217D1886"/>
    <w:rsid w:val="218A5BCF"/>
    <w:rsid w:val="21A7340C"/>
    <w:rsid w:val="21E8243E"/>
    <w:rsid w:val="22042D93"/>
    <w:rsid w:val="22225AFD"/>
    <w:rsid w:val="223D797C"/>
    <w:rsid w:val="22492855"/>
    <w:rsid w:val="225E5C03"/>
    <w:rsid w:val="22631AF5"/>
    <w:rsid w:val="2271479E"/>
    <w:rsid w:val="229C3F2F"/>
    <w:rsid w:val="229E3767"/>
    <w:rsid w:val="22A10E8E"/>
    <w:rsid w:val="22F64004"/>
    <w:rsid w:val="23015F90"/>
    <w:rsid w:val="2305495A"/>
    <w:rsid w:val="23140558"/>
    <w:rsid w:val="231A15C5"/>
    <w:rsid w:val="237908A9"/>
    <w:rsid w:val="23981225"/>
    <w:rsid w:val="23B40A4B"/>
    <w:rsid w:val="23D10A5B"/>
    <w:rsid w:val="23E5745B"/>
    <w:rsid w:val="23E83AE0"/>
    <w:rsid w:val="241412F8"/>
    <w:rsid w:val="245C3057"/>
    <w:rsid w:val="249F1740"/>
    <w:rsid w:val="24C04193"/>
    <w:rsid w:val="24D1045F"/>
    <w:rsid w:val="25270F01"/>
    <w:rsid w:val="25445C0D"/>
    <w:rsid w:val="25A22934"/>
    <w:rsid w:val="25AD37B3"/>
    <w:rsid w:val="25B70D5E"/>
    <w:rsid w:val="25B83F05"/>
    <w:rsid w:val="25E1520A"/>
    <w:rsid w:val="263118CB"/>
    <w:rsid w:val="264E2D0B"/>
    <w:rsid w:val="26605159"/>
    <w:rsid w:val="26640EB0"/>
    <w:rsid w:val="268B4EB3"/>
    <w:rsid w:val="26A10E3D"/>
    <w:rsid w:val="26A14320"/>
    <w:rsid w:val="26A65413"/>
    <w:rsid w:val="26D23FB3"/>
    <w:rsid w:val="26E06790"/>
    <w:rsid w:val="270A409B"/>
    <w:rsid w:val="2724386B"/>
    <w:rsid w:val="272B7390"/>
    <w:rsid w:val="27383D1B"/>
    <w:rsid w:val="273B2E89"/>
    <w:rsid w:val="27651E6B"/>
    <w:rsid w:val="276E106B"/>
    <w:rsid w:val="27710519"/>
    <w:rsid w:val="277E15D0"/>
    <w:rsid w:val="277E6A73"/>
    <w:rsid w:val="27AC5B02"/>
    <w:rsid w:val="27E86D24"/>
    <w:rsid w:val="27F53BFF"/>
    <w:rsid w:val="280253D0"/>
    <w:rsid w:val="28032F29"/>
    <w:rsid w:val="282472DA"/>
    <w:rsid w:val="282D435D"/>
    <w:rsid w:val="283B6E16"/>
    <w:rsid w:val="285D2B42"/>
    <w:rsid w:val="286E5919"/>
    <w:rsid w:val="288017A3"/>
    <w:rsid w:val="28891840"/>
    <w:rsid w:val="28982FD6"/>
    <w:rsid w:val="28CF4308"/>
    <w:rsid w:val="28D32810"/>
    <w:rsid w:val="28D53BB4"/>
    <w:rsid w:val="2907073F"/>
    <w:rsid w:val="294C7780"/>
    <w:rsid w:val="297D524A"/>
    <w:rsid w:val="29835806"/>
    <w:rsid w:val="29857485"/>
    <w:rsid w:val="29961331"/>
    <w:rsid w:val="29D34B07"/>
    <w:rsid w:val="29F23E8A"/>
    <w:rsid w:val="29F666F3"/>
    <w:rsid w:val="2A002A01"/>
    <w:rsid w:val="2A3433A9"/>
    <w:rsid w:val="2A5F5F73"/>
    <w:rsid w:val="2A9819BA"/>
    <w:rsid w:val="2AA85E3B"/>
    <w:rsid w:val="2AB17075"/>
    <w:rsid w:val="2B0379D1"/>
    <w:rsid w:val="2B7870AA"/>
    <w:rsid w:val="2B9777BC"/>
    <w:rsid w:val="2BC9632B"/>
    <w:rsid w:val="2BEC4909"/>
    <w:rsid w:val="2BF73630"/>
    <w:rsid w:val="2C3676C5"/>
    <w:rsid w:val="2C455DC0"/>
    <w:rsid w:val="2C4C53A8"/>
    <w:rsid w:val="2C5B3DED"/>
    <w:rsid w:val="2C625DDA"/>
    <w:rsid w:val="2C882884"/>
    <w:rsid w:val="2C9D478B"/>
    <w:rsid w:val="2CFE0255"/>
    <w:rsid w:val="2D095047"/>
    <w:rsid w:val="2D127B5A"/>
    <w:rsid w:val="2D200D0E"/>
    <w:rsid w:val="2D4A09AE"/>
    <w:rsid w:val="2D8F3A06"/>
    <w:rsid w:val="2DA2555F"/>
    <w:rsid w:val="2DCD7B93"/>
    <w:rsid w:val="2DDE305F"/>
    <w:rsid w:val="2E1107C2"/>
    <w:rsid w:val="2E5A6F6D"/>
    <w:rsid w:val="2E611DE6"/>
    <w:rsid w:val="2E962EB3"/>
    <w:rsid w:val="2EA71B28"/>
    <w:rsid w:val="2EC1026E"/>
    <w:rsid w:val="2F0F5C2C"/>
    <w:rsid w:val="2F1A799B"/>
    <w:rsid w:val="2F451DF2"/>
    <w:rsid w:val="2F4B078A"/>
    <w:rsid w:val="2F6F37B2"/>
    <w:rsid w:val="2FB4417C"/>
    <w:rsid w:val="2FC5462E"/>
    <w:rsid w:val="2FD21E24"/>
    <w:rsid w:val="300771A9"/>
    <w:rsid w:val="301D68DE"/>
    <w:rsid w:val="30263941"/>
    <w:rsid w:val="30442D5D"/>
    <w:rsid w:val="30507CB5"/>
    <w:rsid w:val="305277BA"/>
    <w:rsid w:val="30AE38E8"/>
    <w:rsid w:val="30B80CAC"/>
    <w:rsid w:val="30C963A6"/>
    <w:rsid w:val="30CE781C"/>
    <w:rsid w:val="30D32CD4"/>
    <w:rsid w:val="30D34D22"/>
    <w:rsid w:val="313C74C4"/>
    <w:rsid w:val="319054C4"/>
    <w:rsid w:val="31A45908"/>
    <w:rsid w:val="31B23A2B"/>
    <w:rsid w:val="31DD7C52"/>
    <w:rsid w:val="321A4AE1"/>
    <w:rsid w:val="321F3334"/>
    <w:rsid w:val="32D35B94"/>
    <w:rsid w:val="32D83E39"/>
    <w:rsid w:val="32E43970"/>
    <w:rsid w:val="3324596F"/>
    <w:rsid w:val="332E3A59"/>
    <w:rsid w:val="3363357A"/>
    <w:rsid w:val="33767F05"/>
    <w:rsid w:val="337D1867"/>
    <w:rsid w:val="33B77970"/>
    <w:rsid w:val="34347DF1"/>
    <w:rsid w:val="34392973"/>
    <w:rsid w:val="346040E6"/>
    <w:rsid w:val="347344EA"/>
    <w:rsid w:val="348A0760"/>
    <w:rsid w:val="349B6ECC"/>
    <w:rsid w:val="34C359EA"/>
    <w:rsid w:val="34CC6607"/>
    <w:rsid w:val="34D432A2"/>
    <w:rsid w:val="34D50630"/>
    <w:rsid w:val="34D57F3B"/>
    <w:rsid w:val="34F17682"/>
    <w:rsid w:val="353217FC"/>
    <w:rsid w:val="35324F1A"/>
    <w:rsid w:val="353F1DD5"/>
    <w:rsid w:val="35910F6E"/>
    <w:rsid w:val="35930F68"/>
    <w:rsid w:val="35A65B28"/>
    <w:rsid w:val="35B450D6"/>
    <w:rsid w:val="35EF54F1"/>
    <w:rsid w:val="35EF5721"/>
    <w:rsid w:val="35F32297"/>
    <w:rsid w:val="360E3A7E"/>
    <w:rsid w:val="36103467"/>
    <w:rsid w:val="36200B78"/>
    <w:rsid w:val="362C39B2"/>
    <w:rsid w:val="36416427"/>
    <w:rsid w:val="365B6913"/>
    <w:rsid w:val="36994613"/>
    <w:rsid w:val="36AB3FD2"/>
    <w:rsid w:val="375D309C"/>
    <w:rsid w:val="376077EB"/>
    <w:rsid w:val="37743447"/>
    <w:rsid w:val="37BA3B0D"/>
    <w:rsid w:val="37C15077"/>
    <w:rsid w:val="37C8210A"/>
    <w:rsid w:val="37FE6DCE"/>
    <w:rsid w:val="380F0B72"/>
    <w:rsid w:val="381D59F7"/>
    <w:rsid w:val="384733C2"/>
    <w:rsid w:val="38621171"/>
    <w:rsid w:val="38846DF5"/>
    <w:rsid w:val="389268E7"/>
    <w:rsid w:val="38A345A1"/>
    <w:rsid w:val="38A85508"/>
    <w:rsid w:val="38D86941"/>
    <w:rsid w:val="391A5826"/>
    <w:rsid w:val="391D07F7"/>
    <w:rsid w:val="39445032"/>
    <w:rsid w:val="395B30CE"/>
    <w:rsid w:val="396106E4"/>
    <w:rsid w:val="39817C95"/>
    <w:rsid w:val="39825CF3"/>
    <w:rsid w:val="39B747A8"/>
    <w:rsid w:val="39CB5476"/>
    <w:rsid w:val="39DA0497"/>
    <w:rsid w:val="3A073FB5"/>
    <w:rsid w:val="3A1F70F4"/>
    <w:rsid w:val="3A2A0A88"/>
    <w:rsid w:val="3A2B484E"/>
    <w:rsid w:val="3A4A6415"/>
    <w:rsid w:val="3A664C64"/>
    <w:rsid w:val="3AAA2F1D"/>
    <w:rsid w:val="3AB900AC"/>
    <w:rsid w:val="3ABA4ABD"/>
    <w:rsid w:val="3B3C3026"/>
    <w:rsid w:val="3B4038F2"/>
    <w:rsid w:val="3B6B195B"/>
    <w:rsid w:val="3B8605A7"/>
    <w:rsid w:val="3B8B347E"/>
    <w:rsid w:val="3B974891"/>
    <w:rsid w:val="3BAE01F6"/>
    <w:rsid w:val="3BAE3797"/>
    <w:rsid w:val="3BD80869"/>
    <w:rsid w:val="3BE42E37"/>
    <w:rsid w:val="3BF16807"/>
    <w:rsid w:val="3C2E5791"/>
    <w:rsid w:val="3C771FCD"/>
    <w:rsid w:val="3C8A3F15"/>
    <w:rsid w:val="3CAF35C0"/>
    <w:rsid w:val="3D076731"/>
    <w:rsid w:val="3D214BC8"/>
    <w:rsid w:val="3D25588D"/>
    <w:rsid w:val="3DB12911"/>
    <w:rsid w:val="3DF03D65"/>
    <w:rsid w:val="3E111BBA"/>
    <w:rsid w:val="3E9167AC"/>
    <w:rsid w:val="3EBB26CC"/>
    <w:rsid w:val="3EC34A9C"/>
    <w:rsid w:val="3F0650A6"/>
    <w:rsid w:val="3F0968E3"/>
    <w:rsid w:val="3F0F17A6"/>
    <w:rsid w:val="3F1678E8"/>
    <w:rsid w:val="3F221A4C"/>
    <w:rsid w:val="3F4B21EC"/>
    <w:rsid w:val="3F4E1BAE"/>
    <w:rsid w:val="3F685497"/>
    <w:rsid w:val="3F927F5A"/>
    <w:rsid w:val="3F934A87"/>
    <w:rsid w:val="3FB801FD"/>
    <w:rsid w:val="3FD4750C"/>
    <w:rsid w:val="3FDD7C87"/>
    <w:rsid w:val="405C3814"/>
    <w:rsid w:val="40833333"/>
    <w:rsid w:val="40A16B62"/>
    <w:rsid w:val="40BB3913"/>
    <w:rsid w:val="40D20071"/>
    <w:rsid w:val="40FD2008"/>
    <w:rsid w:val="4114173C"/>
    <w:rsid w:val="416C72C8"/>
    <w:rsid w:val="417E72CF"/>
    <w:rsid w:val="41B077F8"/>
    <w:rsid w:val="41B31CF9"/>
    <w:rsid w:val="41C17BF0"/>
    <w:rsid w:val="41D66E38"/>
    <w:rsid w:val="41E27A8D"/>
    <w:rsid w:val="420870C2"/>
    <w:rsid w:val="42274FBB"/>
    <w:rsid w:val="422D3662"/>
    <w:rsid w:val="42AD7B2A"/>
    <w:rsid w:val="42B9270F"/>
    <w:rsid w:val="42DD6902"/>
    <w:rsid w:val="42F848B2"/>
    <w:rsid w:val="43031277"/>
    <w:rsid w:val="43402962"/>
    <w:rsid w:val="43510169"/>
    <w:rsid w:val="435117C9"/>
    <w:rsid w:val="438639D7"/>
    <w:rsid w:val="43897367"/>
    <w:rsid w:val="43A209B2"/>
    <w:rsid w:val="43CB621A"/>
    <w:rsid w:val="43DF200D"/>
    <w:rsid w:val="44113AFE"/>
    <w:rsid w:val="448824A8"/>
    <w:rsid w:val="44B32010"/>
    <w:rsid w:val="44BA514C"/>
    <w:rsid w:val="44D51F86"/>
    <w:rsid w:val="454C1455"/>
    <w:rsid w:val="45567A15"/>
    <w:rsid w:val="45800144"/>
    <w:rsid w:val="45810A82"/>
    <w:rsid w:val="459C2AA4"/>
    <w:rsid w:val="459E3CDB"/>
    <w:rsid w:val="45B53E74"/>
    <w:rsid w:val="45BF763D"/>
    <w:rsid w:val="45D9530F"/>
    <w:rsid w:val="46102337"/>
    <w:rsid w:val="468054CC"/>
    <w:rsid w:val="46C10A14"/>
    <w:rsid w:val="46E53B51"/>
    <w:rsid w:val="46F845F2"/>
    <w:rsid w:val="474E03E1"/>
    <w:rsid w:val="474F4272"/>
    <w:rsid w:val="4798403B"/>
    <w:rsid w:val="479C6D8B"/>
    <w:rsid w:val="479F062A"/>
    <w:rsid w:val="47E0311C"/>
    <w:rsid w:val="485B3645"/>
    <w:rsid w:val="485C27B2"/>
    <w:rsid w:val="48795CD4"/>
    <w:rsid w:val="48B01B62"/>
    <w:rsid w:val="48C8082C"/>
    <w:rsid w:val="49160359"/>
    <w:rsid w:val="49276B29"/>
    <w:rsid w:val="49624C39"/>
    <w:rsid w:val="49802118"/>
    <w:rsid w:val="49B83B12"/>
    <w:rsid w:val="49E4292C"/>
    <w:rsid w:val="4A2A0466"/>
    <w:rsid w:val="4A3F7829"/>
    <w:rsid w:val="4A524ECF"/>
    <w:rsid w:val="4A66705C"/>
    <w:rsid w:val="4AAE3992"/>
    <w:rsid w:val="4AB47520"/>
    <w:rsid w:val="4AE83716"/>
    <w:rsid w:val="4B044705"/>
    <w:rsid w:val="4B0B3D86"/>
    <w:rsid w:val="4B386288"/>
    <w:rsid w:val="4B3A58DC"/>
    <w:rsid w:val="4B44740D"/>
    <w:rsid w:val="4B5849D2"/>
    <w:rsid w:val="4B9D6558"/>
    <w:rsid w:val="4BBE3C16"/>
    <w:rsid w:val="4BDD1421"/>
    <w:rsid w:val="4C1402C2"/>
    <w:rsid w:val="4C22759A"/>
    <w:rsid w:val="4C4B687F"/>
    <w:rsid w:val="4C63431C"/>
    <w:rsid w:val="4C9D782D"/>
    <w:rsid w:val="4CEF2FE5"/>
    <w:rsid w:val="4D004C66"/>
    <w:rsid w:val="4D407DAF"/>
    <w:rsid w:val="4D52550E"/>
    <w:rsid w:val="4D6F4FCA"/>
    <w:rsid w:val="4D8D56B2"/>
    <w:rsid w:val="4DB37603"/>
    <w:rsid w:val="4DF440B2"/>
    <w:rsid w:val="4E13108B"/>
    <w:rsid w:val="4E29742E"/>
    <w:rsid w:val="4E2A3343"/>
    <w:rsid w:val="4E3C4E24"/>
    <w:rsid w:val="4E3F4255"/>
    <w:rsid w:val="4E79115D"/>
    <w:rsid w:val="4E901058"/>
    <w:rsid w:val="4F18319B"/>
    <w:rsid w:val="4F2D7EE3"/>
    <w:rsid w:val="4F683323"/>
    <w:rsid w:val="4F6A3904"/>
    <w:rsid w:val="4FA72ADE"/>
    <w:rsid w:val="4FF546A4"/>
    <w:rsid w:val="503A126F"/>
    <w:rsid w:val="504F7091"/>
    <w:rsid w:val="50530122"/>
    <w:rsid w:val="50636185"/>
    <w:rsid w:val="50890B98"/>
    <w:rsid w:val="50C53DC6"/>
    <w:rsid w:val="50CD31CE"/>
    <w:rsid w:val="5101031D"/>
    <w:rsid w:val="51024B10"/>
    <w:rsid w:val="51577584"/>
    <w:rsid w:val="517F4C08"/>
    <w:rsid w:val="51954BF8"/>
    <w:rsid w:val="51A62757"/>
    <w:rsid w:val="51B01E5B"/>
    <w:rsid w:val="51CA216E"/>
    <w:rsid w:val="51F756A2"/>
    <w:rsid w:val="52816A7D"/>
    <w:rsid w:val="528F6BDC"/>
    <w:rsid w:val="52962054"/>
    <w:rsid w:val="52AD665A"/>
    <w:rsid w:val="52D84DB4"/>
    <w:rsid w:val="52D9038A"/>
    <w:rsid w:val="52DB4C0C"/>
    <w:rsid w:val="52FA0D08"/>
    <w:rsid w:val="530B6521"/>
    <w:rsid w:val="53114555"/>
    <w:rsid w:val="53513E62"/>
    <w:rsid w:val="53670B95"/>
    <w:rsid w:val="539547EE"/>
    <w:rsid w:val="53C05F25"/>
    <w:rsid w:val="54023508"/>
    <w:rsid w:val="54027570"/>
    <w:rsid w:val="54031C21"/>
    <w:rsid w:val="5404273B"/>
    <w:rsid w:val="540E1011"/>
    <w:rsid w:val="543C55D0"/>
    <w:rsid w:val="548955D2"/>
    <w:rsid w:val="54AF6350"/>
    <w:rsid w:val="550258C8"/>
    <w:rsid w:val="555111B5"/>
    <w:rsid w:val="55517407"/>
    <w:rsid w:val="55560A06"/>
    <w:rsid w:val="5568529A"/>
    <w:rsid w:val="556E5844"/>
    <w:rsid w:val="558C048B"/>
    <w:rsid w:val="55A71D47"/>
    <w:rsid w:val="55DE2ED2"/>
    <w:rsid w:val="55DF2C65"/>
    <w:rsid w:val="55E77217"/>
    <w:rsid w:val="55F2568F"/>
    <w:rsid w:val="55F926AC"/>
    <w:rsid w:val="560761F8"/>
    <w:rsid w:val="560A662B"/>
    <w:rsid w:val="562B518F"/>
    <w:rsid w:val="562D5ADC"/>
    <w:rsid w:val="5640237D"/>
    <w:rsid w:val="564255D4"/>
    <w:rsid w:val="56A21C3C"/>
    <w:rsid w:val="56BC709F"/>
    <w:rsid w:val="56DC3CA8"/>
    <w:rsid w:val="56E36837"/>
    <w:rsid w:val="57396B47"/>
    <w:rsid w:val="574F778C"/>
    <w:rsid w:val="576B42C3"/>
    <w:rsid w:val="5798756F"/>
    <w:rsid w:val="57BB6079"/>
    <w:rsid w:val="57CF5D62"/>
    <w:rsid w:val="58041C55"/>
    <w:rsid w:val="5823141B"/>
    <w:rsid w:val="582B03E3"/>
    <w:rsid w:val="585C4D9F"/>
    <w:rsid w:val="585D40C1"/>
    <w:rsid w:val="587306DC"/>
    <w:rsid w:val="587C29D4"/>
    <w:rsid w:val="58B340A1"/>
    <w:rsid w:val="58BD2E7F"/>
    <w:rsid w:val="58D77C23"/>
    <w:rsid w:val="58FF40F1"/>
    <w:rsid w:val="593B28A8"/>
    <w:rsid w:val="59563B77"/>
    <w:rsid w:val="59852053"/>
    <w:rsid w:val="59995821"/>
    <w:rsid w:val="59CF16EA"/>
    <w:rsid w:val="59F367F2"/>
    <w:rsid w:val="5A0233C6"/>
    <w:rsid w:val="5A316DF7"/>
    <w:rsid w:val="5A7E32CD"/>
    <w:rsid w:val="5AE43E3C"/>
    <w:rsid w:val="5B0D4BD2"/>
    <w:rsid w:val="5B1622AE"/>
    <w:rsid w:val="5B1B1E1C"/>
    <w:rsid w:val="5B2E3D47"/>
    <w:rsid w:val="5B3A093D"/>
    <w:rsid w:val="5B413A7A"/>
    <w:rsid w:val="5B770094"/>
    <w:rsid w:val="5B8C3B8D"/>
    <w:rsid w:val="5BA83CAD"/>
    <w:rsid w:val="5BAB3636"/>
    <w:rsid w:val="5BF1249F"/>
    <w:rsid w:val="5C122898"/>
    <w:rsid w:val="5C4A2E02"/>
    <w:rsid w:val="5C9F314E"/>
    <w:rsid w:val="5CDD77D2"/>
    <w:rsid w:val="5CFA3B38"/>
    <w:rsid w:val="5D0D3119"/>
    <w:rsid w:val="5D0D6309"/>
    <w:rsid w:val="5D4E56CE"/>
    <w:rsid w:val="5D6677C8"/>
    <w:rsid w:val="5D7037ED"/>
    <w:rsid w:val="5D7A1F6F"/>
    <w:rsid w:val="5D7C797D"/>
    <w:rsid w:val="5DA369D2"/>
    <w:rsid w:val="5DB04553"/>
    <w:rsid w:val="5DBE1494"/>
    <w:rsid w:val="5E297E46"/>
    <w:rsid w:val="5E364377"/>
    <w:rsid w:val="5E453881"/>
    <w:rsid w:val="5E494A25"/>
    <w:rsid w:val="5E59754C"/>
    <w:rsid w:val="5E67417C"/>
    <w:rsid w:val="5E734892"/>
    <w:rsid w:val="5E745606"/>
    <w:rsid w:val="5E981191"/>
    <w:rsid w:val="5ECF3E31"/>
    <w:rsid w:val="5F1E2439"/>
    <w:rsid w:val="5F2E67B1"/>
    <w:rsid w:val="5F4E51D4"/>
    <w:rsid w:val="5F6917F1"/>
    <w:rsid w:val="5F6D12E1"/>
    <w:rsid w:val="5F9A19AB"/>
    <w:rsid w:val="5FA16FA6"/>
    <w:rsid w:val="5FB07420"/>
    <w:rsid w:val="5FC54019"/>
    <w:rsid w:val="5FCB6FFA"/>
    <w:rsid w:val="60154488"/>
    <w:rsid w:val="601D3708"/>
    <w:rsid w:val="603D527B"/>
    <w:rsid w:val="604103F6"/>
    <w:rsid w:val="60453587"/>
    <w:rsid w:val="605E58D0"/>
    <w:rsid w:val="60870DD7"/>
    <w:rsid w:val="60874F01"/>
    <w:rsid w:val="60A84F66"/>
    <w:rsid w:val="60BE63C8"/>
    <w:rsid w:val="60D95C38"/>
    <w:rsid w:val="60FF352C"/>
    <w:rsid w:val="61396EBD"/>
    <w:rsid w:val="614042B1"/>
    <w:rsid w:val="614E4411"/>
    <w:rsid w:val="61595580"/>
    <w:rsid w:val="61686204"/>
    <w:rsid w:val="61782D5B"/>
    <w:rsid w:val="61BC3B1A"/>
    <w:rsid w:val="61E51581"/>
    <w:rsid w:val="623B2E03"/>
    <w:rsid w:val="62830E1C"/>
    <w:rsid w:val="62860A01"/>
    <w:rsid w:val="62A82395"/>
    <w:rsid w:val="630662E3"/>
    <w:rsid w:val="630E4B89"/>
    <w:rsid w:val="638F4503"/>
    <w:rsid w:val="639C2195"/>
    <w:rsid w:val="63B6480A"/>
    <w:rsid w:val="63CE0F42"/>
    <w:rsid w:val="63D93C74"/>
    <w:rsid w:val="63ED29F1"/>
    <w:rsid w:val="640D3093"/>
    <w:rsid w:val="64A87BFB"/>
    <w:rsid w:val="64CF659A"/>
    <w:rsid w:val="64E831B8"/>
    <w:rsid w:val="651F46E8"/>
    <w:rsid w:val="65264E99"/>
    <w:rsid w:val="653760CD"/>
    <w:rsid w:val="65534AB3"/>
    <w:rsid w:val="65605444"/>
    <w:rsid w:val="65901886"/>
    <w:rsid w:val="65AB4E9E"/>
    <w:rsid w:val="65D74CE7"/>
    <w:rsid w:val="660F30F2"/>
    <w:rsid w:val="661348D5"/>
    <w:rsid w:val="661C699C"/>
    <w:rsid w:val="666D06BD"/>
    <w:rsid w:val="66886271"/>
    <w:rsid w:val="66E7709A"/>
    <w:rsid w:val="67246703"/>
    <w:rsid w:val="672E6466"/>
    <w:rsid w:val="676566CD"/>
    <w:rsid w:val="67A863CC"/>
    <w:rsid w:val="67B32FF1"/>
    <w:rsid w:val="67C843C5"/>
    <w:rsid w:val="67F0485E"/>
    <w:rsid w:val="67FB27C1"/>
    <w:rsid w:val="68107F5C"/>
    <w:rsid w:val="683010FE"/>
    <w:rsid w:val="68486ADD"/>
    <w:rsid w:val="684D1F2C"/>
    <w:rsid w:val="688B19A0"/>
    <w:rsid w:val="68B24209"/>
    <w:rsid w:val="68FC7232"/>
    <w:rsid w:val="690D16FE"/>
    <w:rsid w:val="69140CF0"/>
    <w:rsid w:val="69997CBB"/>
    <w:rsid w:val="6A15771E"/>
    <w:rsid w:val="6A197ABD"/>
    <w:rsid w:val="6A260A0B"/>
    <w:rsid w:val="6A2D62D3"/>
    <w:rsid w:val="6AA01518"/>
    <w:rsid w:val="6AD13942"/>
    <w:rsid w:val="6AE07B4D"/>
    <w:rsid w:val="6AF66E5F"/>
    <w:rsid w:val="6AFF0859"/>
    <w:rsid w:val="6B513849"/>
    <w:rsid w:val="6B63196B"/>
    <w:rsid w:val="6B6F7DE7"/>
    <w:rsid w:val="6B711D7A"/>
    <w:rsid w:val="6B785296"/>
    <w:rsid w:val="6BA44BE0"/>
    <w:rsid w:val="6BB3191A"/>
    <w:rsid w:val="6BB90635"/>
    <w:rsid w:val="6BBD3BC6"/>
    <w:rsid w:val="6BE05D81"/>
    <w:rsid w:val="6C2E6DC9"/>
    <w:rsid w:val="6C79269E"/>
    <w:rsid w:val="6C8477D1"/>
    <w:rsid w:val="6C974F09"/>
    <w:rsid w:val="6CD62F24"/>
    <w:rsid w:val="6CDE59F2"/>
    <w:rsid w:val="6CEB697F"/>
    <w:rsid w:val="6D465D94"/>
    <w:rsid w:val="6D671856"/>
    <w:rsid w:val="6DE369AC"/>
    <w:rsid w:val="6DF368F1"/>
    <w:rsid w:val="6DFD5140"/>
    <w:rsid w:val="6E064C9F"/>
    <w:rsid w:val="6E225007"/>
    <w:rsid w:val="6E2B5C54"/>
    <w:rsid w:val="6E3D1D31"/>
    <w:rsid w:val="6E4B43EA"/>
    <w:rsid w:val="6E874588"/>
    <w:rsid w:val="6E900EA2"/>
    <w:rsid w:val="6EB20B33"/>
    <w:rsid w:val="6EB32A89"/>
    <w:rsid w:val="6EB74CDF"/>
    <w:rsid w:val="6F106C9D"/>
    <w:rsid w:val="6F29122F"/>
    <w:rsid w:val="6F2A2565"/>
    <w:rsid w:val="6F2A7E89"/>
    <w:rsid w:val="6F39382C"/>
    <w:rsid w:val="6F4F2550"/>
    <w:rsid w:val="6F54412A"/>
    <w:rsid w:val="6FD470B5"/>
    <w:rsid w:val="6FE07AD8"/>
    <w:rsid w:val="6FED243F"/>
    <w:rsid w:val="70151E4C"/>
    <w:rsid w:val="701D6060"/>
    <w:rsid w:val="702E0844"/>
    <w:rsid w:val="70737B45"/>
    <w:rsid w:val="70852969"/>
    <w:rsid w:val="709D4B9C"/>
    <w:rsid w:val="70A72179"/>
    <w:rsid w:val="70AC6896"/>
    <w:rsid w:val="70B93633"/>
    <w:rsid w:val="70BC7D83"/>
    <w:rsid w:val="71242E61"/>
    <w:rsid w:val="713F4C4E"/>
    <w:rsid w:val="71635262"/>
    <w:rsid w:val="71761FD5"/>
    <w:rsid w:val="717C53B4"/>
    <w:rsid w:val="71877D67"/>
    <w:rsid w:val="719231CC"/>
    <w:rsid w:val="71A52D40"/>
    <w:rsid w:val="71AE0FE5"/>
    <w:rsid w:val="72006ED8"/>
    <w:rsid w:val="72270BDC"/>
    <w:rsid w:val="722872EA"/>
    <w:rsid w:val="722A6FFB"/>
    <w:rsid w:val="72311968"/>
    <w:rsid w:val="724B56B5"/>
    <w:rsid w:val="72A252EE"/>
    <w:rsid w:val="72CE0652"/>
    <w:rsid w:val="72E9626B"/>
    <w:rsid w:val="733406E6"/>
    <w:rsid w:val="73466DEB"/>
    <w:rsid w:val="73531426"/>
    <w:rsid w:val="736B4597"/>
    <w:rsid w:val="7385285C"/>
    <w:rsid w:val="742715F9"/>
    <w:rsid w:val="744C5512"/>
    <w:rsid w:val="745E6FF3"/>
    <w:rsid w:val="747607E0"/>
    <w:rsid w:val="74AF2FB5"/>
    <w:rsid w:val="74BA5BB7"/>
    <w:rsid w:val="74BF0599"/>
    <w:rsid w:val="74C341DC"/>
    <w:rsid w:val="74CA5D6F"/>
    <w:rsid w:val="7509356F"/>
    <w:rsid w:val="750E47A6"/>
    <w:rsid w:val="752A76A6"/>
    <w:rsid w:val="755C79D6"/>
    <w:rsid w:val="75662603"/>
    <w:rsid w:val="756845CD"/>
    <w:rsid w:val="756B7E7E"/>
    <w:rsid w:val="75B72E5F"/>
    <w:rsid w:val="75CE7D56"/>
    <w:rsid w:val="75ED0E71"/>
    <w:rsid w:val="762C1090"/>
    <w:rsid w:val="76903E09"/>
    <w:rsid w:val="76AC2E78"/>
    <w:rsid w:val="76C94CFC"/>
    <w:rsid w:val="76F10169"/>
    <w:rsid w:val="76FE167A"/>
    <w:rsid w:val="772C3569"/>
    <w:rsid w:val="772C578F"/>
    <w:rsid w:val="77693FA2"/>
    <w:rsid w:val="776973F8"/>
    <w:rsid w:val="777D6759"/>
    <w:rsid w:val="779D13B1"/>
    <w:rsid w:val="77C47AB5"/>
    <w:rsid w:val="77C720FB"/>
    <w:rsid w:val="77EE4F88"/>
    <w:rsid w:val="7819360A"/>
    <w:rsid w:val="789B7FE8"/>
    <w:rsid w:val="792C3B64"/>
    <w:rsid w:val="793F73F3"/>
    <w:rsid w:val="796F3871"/>
    <w:rsid w:val="798B2638"/>
    <w:rsid w:val="798D25D2"/>
    <w:rsid w:val="79D240A3"/>
    <w:rsid w:val="7A090428"/>
    <w:rsid w:val="7A334D1D"/>
    <w:rsid w:val="7A3E27F5"/>
    <w:rsid w:val="7A5113F9"/>
    <w:rsid w:val="7A751B03"/>
    <w:rsid w:val="7A8224EC"/>
    <w:rsid w:val="7AA45DEC"/>
    <w:rsid w:val="7AC51213"/>
    <w:rsid w:val="7B251239"/>
    <w:rsid w:val="7B362A78"/>
    <w:rsid w:val="7B784E3E"/>
    <w:rsid w:val="7B7B66DC"/>
    <w:rsid w:val="7B930ECA"/>
    <w:rsid w:val="7BB223DA"/>
    <w:rsid w:val="7BB3318F"/>
    <w:rsid w:val="7BB773AE"/>
    <w:rsid w:val="7BBE082A"/>
    <w:rsid w:val="7BD063E4"/>
    <w:rsid w:val="7BD73351"/>
    <w:rsid w:val="7BDD34DA"/>
    <w:rsid w:val="7C2D7507"/>
    <w:rsid w:val="7C3429CB"/>
    <w:rsid w:val="7C463994"/>
    <w:rsid w:val="7C510CBF"/>
    <w:rsid w:val="7C6C7CE4"/>
    <w:rsid w:val="7CAA0F1D"/>
    <w:rsid w:val="7CC0444D"/>
    <w:rsid w:val="7CFB3C80"/>
    <w:rsid w:val="7D01475A"/>
    <w:rsid w:val="7D022C21"/>
    <w:rsid w:val="7D154658"/>
    <w:rsid w:val="7D1666BD"/>
    <w:rsid w:val="7D352AAB"/>
    <w:rsid w:val="7D413E44"/>
    <w:rsid w:val="7D7013B5"/>
    <w:rsid w:val="7D7A3BB1"/>
    <w:rsid w:val="7D951CD7"/>
    <w:rsid w:val="7DB300FA"/>
    <w:rsid w:val="7DC13E72"/>
    <w:rsid w:val="7DD0308E"/>
    <w:rsid w:val="7DD70390"/>
    <w:rsid w:val="7DEE6429"/>
    <w:rsid w:val="7E024DC8"/>
    <w:rsid w:val="7E1D1303"/>
    <w:rsid w:val="7E39009D"/>
    <w:rsid w:val="7E5D7F31"/>
    <w:rsid w:val="7EC3036F"/>
    <w:rsid w:val="7EF9697A"/>
    <w:rsid w:val="7F10538E"/>
    <w:rsid w:val="7F182BC0"/>
    <w:rsid w:val="7F2B63C8"/>
    <w:rsid w:val="7F597276"/>
    <w:rsid w:val="7F9A1827"/>
    <w:rsid w:val="7FF8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9"/>
    <w:pPr>
      <w:keepNext/>
      <w:keepLines/>
      <w:numPr>
        <w:ilvl w:val="0"/>
        <w:numId w:val="1"/>
      </w:numPr>
      <w:spacing w:before="50" w:beforeLines="50" w:line="360" w:lineRule="auto"/>
      <w:jc w:val="left"/>
      <w:outlineLvl w:val="0"/>
    </w:pPr>
    <w:rPr>
      <w:b/>
      <w:bCs/>
      <w:kern w:val="44"/>
      <w:sz w:val="32"/>
      <w:szCs w:val="44"/>
    </w:rPr>
  </w:style>
  <w:style w:type="paragraph" w:styleId="4">
    <w:name w:val="heading 2"/>
    <w:basedOn w:val="1"/>
    <w:next w:val="1"/>
    <w:link w:val="33"/>
    <w:autoRedefine/>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link w:val="47"/>
    <w:autoRedefine/>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7"/>
    <w:link w:val="48"/>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6"/>
    <w:basedOn w:val="1"/>
    <w:next w:val="1"/>
    <w:autoRedefine/>
    <w:qFormat/>
    <w:uiPriority w:val="0"/>
    <w:pPr>
      <w:keepNext/>
      <w:keepLines/>
      <w:spacing w:before="240" w:after="64" w:line="317" w:lineRule="auto"/>
      <w:outlineLvl w:val="5"/>
    </w:pPr>
    <w:rPr>
      <w:rFonts w:ascii="Cambria" w:hAnsi="Cambria"/>
      <w:bCs/>
      <w:sz w:val="24"/>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3"/>
    <w:basedOn w:val="1"/>
    <w:autoRedefine/>
    <w:qFormat/>
    <w:uiPriority w:val="1"/>
    <w:pPr>
      <w:ind w:firstLine="420" w:firstLineChars="200"/>
    </w:pPr>
    <w:rPr>
      <w:rFonts w:eastAsia="仿宋_GB2312"/>
      <w:sz w:val="28"/>
    </w:rPr>
  </w:style>
  <w:style w:type="paragraph" w:styleId="7">
    <w:name w:val="Normal Indent"/>
    <w:basedOn w:val="1"/>
    <w:autoRedefine/>
    <w:qFormat/>
    <w:uiPriority w:val="0"/>
    <w:pPr>
      <w:widowControl/>
      <w:snapToGrid w:val="0"/>
      <w:spacing w:line="480" w:lineRule="exact"/>
      <w:ind w:firstLine="567"/>
    </w:pPr>
    <w:rPr>
      <w:rFonts w:ascii="宋体"/>
      <w:snapToGrid w:val="0"/>
      <w:color w:val="000000"/>
      <w:kern w:val="28"/>
      <w:sz w:val="28"/>
      <w:szCs w:val="20"/>
    </w:rPr>
  </w:style>
  <w:style w:type="paragraph" w:styleId="9">
    <w:name w:val="Body Text"/>
    <w:basedOn w:val="1"/>
    <w:next w:val="10"/>
    <w:link w:val="37"/>
    <w:autoRedefine/>
    <w:qFormat/>
    <w:uiPriority w:val="0"/>
    <w:pPr>
      <w:autoSpaceDE w:val="0"/>
      <w:autoSpaceDN w:val="0"/>
      <w:spacing w:line="360" w:lineRule="auto"/>
    </w:pPr>
    <w:rPr>
      <w:rFonts w:ascii="宋体" w:hAnsi="Arial" w:cs="Arial"/>
      <w:snapToGrid w:val="0"/>
      <w:sz w:val="24"/>
      <w:szCs w:val="21"/>
      <w:lang w:val="zh-CN"/>
    </w:rPr>
  </w:style>
  <w:style w:type="paragraph" w:styleId="10">
    <w:name w:val="Body Text First Indent"/>
    <w:basedOn w:val="9"/>
    <w:next w:val="1"/>
    <w:autoRedefine/>
    <w:qFormat/>
    <w:uiPriority w:val="99"/>
    <w:pPr>
      <w:ind w:firstLine="200" w:firstLineChars="200"/>
      <w:jc w:val="left"/>
    </w:pPr>
    <w:rPr>
      <w:rFonts w:ascii="Times New Roman" w:hAnsi="Times New Roman"/>
      <w:b/>
      <w:bCs/>
      <w:lang w:val="en-GB"/>
    </w:rPr>
  </w:style>
  <w:style w:type="paragraph" w:styleId="11">
    <w:name w:val="Body Text Indent"/>
    <w:basedOn w:val="1"/>
    <w:next w:val="12"/>
    <w:link w:val="34"/>
    <w:autoRedefine/>
    <w:qFormat/>
    <w:uiPriority w:val="0"/>
    <w:pPr>
      <w:spacing w:line="480" w:lineRule="exact"/>
      <w:ind w:firstLine="480" w:firstLineChars="200"/>
    </w:pPr>
    <w:rPr>
      <w:rFonts w:ascii="宋体" w:hAnsi="宋体"/>
      <w:sz w:val="24"/>
    </w:rPr>
  </w:style>
  <w:style w:type="paragraph" w:styleId="12">
    <w:name w:val="envelope return"/>
    <w:basedOn w:val="1"/>
    <w:autoRedefine/>
    <w:qFormat/>
    <w:uiPriority w:val="0"/>
    <w:pPr>
      <w:snapToGrid w:val="0"/>
    </w:pPr>
    <w:rPr>
      <w:rFonts w:ascii="Arial" w:hAnsi="Arial"/>
    </w:rPr>
  </w:style>
  <w:style w:type="paragraph" w:styleId="13">
    <w:name w:val="toc 3"/>
    <w:basedOn w:val="1"/>
    <w:next w:val="1"/>
    <w:autoRedefine/>
    <w:qFormat/>
    <w:uiPriority w:val="0"/>
    <w:pPr>
      <w:ind w:left="840" w:leftChars="400"/>
    </w:pPr>
    <w:rPr>
      <w:rFonts w:ascii="Times New Roman" w:hAnsi="Times New Roman"/>
    </w:rPr>
  </w:style>
  <w:style w:type="paragraph" w:styleId="14">
    <w:name w:val="Plain Text"/>
    <w:basedOn w:val="1"/>
    <w:link w:val="36"/>
    <w:autoRedefine/>
    <w:qFormat/>
    <w:uiPriority w:val="0"/>
    <w:rPr>
      <w:rFonts w:ascii="宋体" w:hAnsi="Courier New" w:cs="Arial"/>
      <w:snapToGrid w:val="0"/>
      <w:szCs w:val="21"/>
    </w:rPr>
  </w:style>
  <w:style w:type="paragraph" w:styleId="15">
    <w:name w:val="Date"/>
    <w:basedOn w:val="1"/>
    <w:next w:val="1"/>
    <w:link w:val="35"/>
    <w:autoRedefine/>
    <w:qFormat/>
    <w:uiPriority w:val="0"/>
    <w:pPr>
      <w:ind w:left="100" w:leftChars="2500"/>
    </w:pPr>
    <w:rPr>
      <w:rFonts w:ascii="宋体"/>
      <w:sz w:val="24"/>
      <w:szCs w:val="21"/>
      <w:lang w:val="zh-CN"/>
    </w:rPr>
  </w:style>
  <w:style w:type="paragraph" w:styleId="16">
    <w:name w:val="Balloon Text"/>
    <w:basedOn w:val="1"/>
    <w:link w:val="50"/>
    <w:autoRedefine/>
    <w:semiHidden/>
    <w:unhideWhenUsed/>
    <w:qFormat/>
    <w:uiPriority w:val="99"/>
    <w:rPr>
      <w:sz w:val="18"/>
      <w:szCs w:val="18"/>
    </w:rPr>
  </w:style>
  <w:style w:type="paragraph" w:styleId="17">
    <w:name w:val="footer"/>
    <w:basedOn w:val="1"/>
    <w:link w:val="32"/>
    <w:autoRedefine/>
    <w:unhideWhenUsed/>
    <w:qFormat/>
    <w:uiPriority w:val="99"/>
    <w:pPr>
      <w:tabs>
        <w:tab w:val="center" w:pos="4153"/>
        <w:tab w:val="right" w:pos="8306"/>
      </w:tabs>
      <w:snapToGrid w:val="0"/>
      <w:jc w:val="left"/>
    </w:pPr>
    <w:rPr>
      <w:sz w:val="18"/>
      <w:szCs w:val="18"/>
    </w:rPr>
  </w:style>
  <w:style w:type="paragraph" w:styleId="18">
    <w:name w:val="header"/>
    <w:basedOn w:val="1"/>
    <w:link w:val="3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Subtitle"/>
    <w:basedOn w:val="1"/>
    <w:next w:val="1"/>
    <w:autoRedefine/>
    <w:qFormat/>
    <w:uiPriority w:val="0"/>
    <w:pPr>
      <w:spacing w:before="240" w:after="60" w:line="312" w:lineRule="auto"/>
      <w:jc w:val="center"/>
      <w:outlineLvl w:val="1"/>
    </w:pPr>
    <w:rPr>
      <w:rFonts w:ascii="Cambria" w:hAnsi="Cambria"/>
      <w:b/>
      <w:bCs/>
      <w:kern w:val="28"/>
      <w:sz w:val="32"/>
      <w:szCs w:val="32"/>
    </w:rPr>
  </w:style>
  <w:style w:type="paragraph" w:styleId="20">
    <w:name w:val="toc 6"/>
    <w:basedOn w:val="1"/>
    <w:next w:val="1"/>
    <w:autoRedefine/>
    <w:qFormat/>
    <w:uiPriority w:val="0"/>
    <w:pPr>
      <w:ind w:left="1050"/>
      <w:jc w:val="left"/>
    </w:pPr>
    <w:rPr>
      <w:sz w:val="18"/>
      <w:szCs w:val="18"/>
    </w:rPr>
  </w:style>
  <w:style w:type="paragraph" w:styleId="21">
    <w:name w:val="Normal (Web)"/>
    <w:basedOn w:val="1"/>
    <w:autoRedefine/>
    <w:semiHidden/>
    <w:unhideWhenUsed/>
    <w:qFormat/>
    <w:uiPriority w:val="99"/>
    <w:pPr>
      <w:jc w:val="left"/>
    </w:pPr>
    <w:rPr>
      <w:kern w:val="0"/>
      <w:sz w:val="24"/>
    </w:rPr>
  </w:style>
  <w:style w:type="paragraph" w:styleId="22">
    <w:name w:val="Title"/>
    <w:basedOn w:val="1"/>
    <w:next w:val="1"/>
    <w:link w:val="62"/>
    <w:autoRedefine/>
    <w:qFormat/>
    <w:uiPriority w:val="0"/>
    <w:pPr>
      <w:spacing w:before="240" w:after="60"/>
      <w:jc w:val="center"/>
      <w:outlineLvl w:val="0"/>
    </w:pPr>
    <w:rPr>
      <w:rFonts w:ascii="Cambria" w:hAnsi="Cambria" w:eastAsiaTheme="minorEastAsia"/>
      <w:b/>
      <w:bCs/>
      <w:sz w:val="32"/>
      <w:szCs w:val="32"/>
    </w:rPr>
  </w:style>
  <w:style w:type="paragraph" w:styleId="23">
    <w:name w:val="Body Text First Indent 2"/>
    <w:basedOn w:val="11"/>
    <w:autoRedefine/>
    <w:unhideWhenUsed/>
    <w:qFormat/>
    <w:uiPriority w:val="99"/>
    <w:pPr>
      <w:ind w:firstLine="420"/>
    </w:pPr>
  </w:style>
  <w:style w:type="table" w:styleId="25">
    <w:name w:val="Table Grid"/>
    <w:basedOn w:val="2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autoRedefine/>
    <w:qFormat/>
    <w:uiPriority w:val="0"/>
    <w:rPr>
      <w:rFonts w:ascii="Arial" w:hAnsi="Arial" w:eastAsia="黑体" w:cs="Arial"/>
      <w:snapToGrid w:val="0"/>
      <w:kern w:val="0"/>
      <w:szCs w:val="21"/>
    </w:rPr>
  </w:style>
  <w:style w:type="character" w:styleId="28">
    <w:name w:val="FollowedHyperlink"/>
    <w:basedOn w:val="26"/>
    <w:autoRedefine/>
    <w:semiHidden/>
    <w:unhideWhenUsed/>
    <w:qFormat/>
    <w:uiPriority w:val="99"/>
    <w:rPr>
      <w:color w:val="333333"/>
      <w:u w:val="none"/>
    </w:rPr>
  </w:style>
  <w:style w:type="character" w:styleId="29">
    <w:name w:val="Hyperlink"/>
    <w:autoRedefine/>
    <w:qFormat/>
    <w:uiPriority w:val="99"/>
    <w:rPr>
      <w:rFonts w:ascii="Arial" w:hAnsi="Arial" w:eastAsia="黑体" w:cs="Arial"/>
      <w:snapToGrid w:val="0"/>
      <w:color w:val="000000"/>
      <w:kern w:val="0"/>
      <w:sz w:val="18"/>
      <w:szCs w:val="18"/>
      <w:u w:val="none"/>
    </w:rPr>
  </w:style>
  <w:style w:type="paragraph" w:styleId="30">
    <w:name w:val="List Paragraph"/>
    <w:basedOn w:val="1"/>
    <w:autoRedefine/>
    <w:qFormat/>
    <w:uiPriority w:val="0"/>
    <w:pPr>
      <w:spacing w:line="360" w:lineRule="auto"/>
      <w:ind w:firstLine="420" w:firstLineChars="200"/>
    </w:pPr>
    <w:rPr>
      <w:rFonts w:ascii="Times New Roman" w:hAnsi="Times New Roman"/>
      <w:sz w:val="24"/>
    </w:rPr>
  </w:style>
  <w:style w:type="character" w:customStyle="1" w:styleId="31">
    <w:name w:val="页眉 字符"/>
    <w:basedOn w:val="26"/>
    <w:link w:val="18"/>
    <w:autoRedefine/>
    <w:qFormat/>
    <w:uiPriority w:val="99"/>
    <w:rPr>
      <w:sz w:val="18"/>
      <w:szCs w:val="18"/>
    </w:rPr>
  </w:style>
  <w:style w:type="character" w:customStyle="1" w:styleId="32">
    <w:name w:val="页脚 字符"/>
    <w:basedOn w:val="26"/>
    <w:link w:val="17"/>
    <w:autoRedefine/>
    <w:qFormat/>
    <w:uiPriority w:val="99"/>
    <w:rPr>
      <w:sz w:val="18"/>
      <w:szCs w:val="18"/>
    </w:rPr>
  </w:style>
  <w:style w:type="character" w:customStyle="1" w:styleId="33">
    <w:name w:val="标题 2 字符"/>
    <w:basedOn w:val="26"/>
    <w:link w:val="4"/>
    <w:autoRedefine/>
    <w:qFormat/>
    <w:uiPriority w:val="0"/>
    <w:rPr>
      <w:rFonts w:ascii="仿宋_GB2312" w:hAnsi="仿宋" w:eastAsia="仿宋_GB2312" w:cs="Times New Roman"/>
      <w:b/>
      <w:bCs/>
      <w:sz w:val="32"/>
      <w:szCs w:val="32"/>
      <w:lang w:val="zh-CN"/>
    </w:rPr>
  </w:style>
  <w:style w:type="character" w:customStyle="1" w:styleId="34">
    <w:name w:val="正文文本缩进 字符"/>
    <w:basedOn w:val="26"/>
    <w:link w:val="11"/>
    <w:autoRedefine/>
    <w:qFormat/>
    <w:uiPriority w:val="0"/>
    <w:rPr>
      <w:rFonts w:ascii="宋体" w:hAnsi="宋体" w:eastAsia="宋体" w:cs="Times New Roman"/>
      <w:sz w:val="24"/>
      <w:szCs w:val="24"/>
    </w:rPr>
  </w:style>
  <w:style w:type="character" w:customStyle="1" w:styleId="35">
    <w:name w:val="日期 字符"/>
    <w:basedOn w:val="26"/>
    <w:link w:val="15"/>
    <w:autoRedefine/>
    <w:qFormat/>
    <w:uiPriority w:val="0"/>
    <w:rPr>
      <w:rFonts w:ascii="宋体" w:hAnsi="Calibri" w:eastAsia="宋体" w:cs="Times New Roman"/>
      <w:sz w:val="24"/>
      <w:szCs w:val="21"/>
      <w:lang w:val="zh-CN"/>
    </w:rPr>
  </w:style>
  <w:style w:type="character" w:customStyle="1" w:styleId="36">
    <w:name w:val="纯文本 字符"/>
    <w:basedOn w:val="26"/>
    <w:link w:val="14"/>
    <w:autoRedefine/>
    <w:qFormat/>
    <w:uiPriority w:val="0"/>
    <w:rPr>
      <w:rFonts w:ascii="宋体" w:hAnsi="Courier New" w:eastAsia="宋体" w:cs="Arial"/>
      <w:snapToGrid w:val="0"/>
      <w:szCs w:val="21"/>
    </w:rPr>
  </w:style>
  <w:style w:type="character" w:customStyle="1" w:styleId="37">
    <w:name w:val="正文文本 字符"/>
    <w:basedOn w:val="26"/>
    <w:link w:val="9"/>
    <w:autoRedefine/>
    <w:qFormat/>
    <w:uiPriority w:val="0"/>
    <w:rPr>
      <w:rFonts w:ascii="宋体" w:hAnsi="Arial" w:eastAsia="宋体" w:cs="Arial"/>
      <w:snapToGrid w:val="0"/>
      <w:sz w:val="24"/>
      <w:szCs w:val="21"/>
      <w:lang w:val="zh-CN"/>
    </w:rPr>
  </w:style>
  <w:style w:type="paragraph" w:customStyle="1" w:styleId="38">
    <w:name w:val="索引 11"/>
    <w:basedOn w:val="1"/>
    <w:next w:val="1"/>
    <w:autoRedefine/>
    <w:qFormat/>
    <w:uiPriority w:val="99"/>
    <w:pPr>
      <w:spacing w:line="360" w:lineRule="auto"/>
    </w:pPr>
    <w:rPr>
      <w:rFonts w:ascii="仿宋_GB2312" w:eastAsia="仿宋_GB2312"/>
      <w:sz w:val="24"/>
      <w:szCs w:val="20"/>
    </w:rPr>
  </w:style>
  <w:style w:type="paragraph" w:customStyle="1" w:styleId="3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42">
    <w:name w:val="纯文本1"/>
    <w:basedOn w:val="1"/>
    <w:autoRedefine/>
    <w:qFormat/>
    <w:uiPriority w:val="0"/>
    <w:rPr>
      <w:rFonts w:ascii="宋体" w:hAnsi="Courier New"/>
      <w:kern w:val="0"/>
      <w:sz w:val="20"/>
      <w:szCs w:val="20"/>
    </w:rPr>
  </w:style>
  <w:style w:type="paragraph" w:customStyle="1" w:styleId="4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纯文本_0_0"/>
    <w:basedOn w:val="43"/>
    <w:autoRedefine/>
    <w:qFormat/>
    <w:uiPriority w:val="0"/>
    <w:rPr>
      <w:rFonts w:ascii="宋体" w:hAnsi="Courier New"/>
      <w:szCs w:val="21"/>
    </w:rPr>
  </w:style>
  <w:style w:type="paragraph" w:customStyle="1" w:styleId="45">
    <w:name w:val="正文2"/>
    <w:basedOn w:val="1"/>
    <w:autoRedefine/>
    <w:qFormat/>
    <w:uiPriority w:val="0"/>
    <w:pPr>
      <w:spacing w:before="156" w:line="360" w:lineRule="auto"/>
      <w:ind w:firstLine="510" w:firstLineChars="200"/>
    </w:pPr>
    <w:rPr>
      <w:sz w:val="24"/>
      <w:szCs w:val="20"/>
    </w:rPr>
  </w:style>
  <w:style w:type="paragraph" w:customStyle="1" w:styleId="46">
    <w:name w:val="正文缩进1"/>
    <w:basedOn w:val="1"/>
    <w:next w:val="11"/>
    <w:autoRedefine/>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47">
    <w:name w:val="标题 3 字符"/>
    <w:basedOn w:val="26"/>
    <w:link w:val="5"/>
    <w:autoRedefine/>
    <w:semiHidden/>
    <w:qFormat/>
    <w:uiPriority w:val="9"/>
    <w:rPr>
      <w:rFonts w:ascii="Calibri" w:hAnsi="Calibri" w:eastAsia="宋体" w:cs="Times New Roman"/>
      <w:b/>
      <w:bCs/>
      <w:sz w:val="32"/>
      <w:szCs w:val="32"/>
    </w:rPr>
  </w:style>
  <w:style w:type="character" w:customStyle="1" w:styleId="48">
    <w:name w:val="标题 4 字符"/>
    <w:basedOn w:val="26"/>
    <w:link w:val="6"/>
    <w:autoRedefine/>
    <w:semiHidden/>
    <w:qFormat/>
    <w:uiPriority w:val="9"/>
    <w:rPr>
      <w:rFonts w:asciiTheme="majorHAnsi" w:hAnsiTheme="majorHAnsi" w:eastAsiaTheme="majorEastAsia" w:cstheme="majorBidi"/>
      <w:b/>
      <w:bCs/>
      <w:sz w:val="28"/>
      <w:szCs w:val="28"/>
    </w:rPr>
  </w:style>
  <w:style w:type="paragraph" w:customStyle="1" w:styleId="49">
    <w:name w:val="标题4"/>
    <w:basedOn w:val="1"/>
    <w:autoRedefine/>
    <w:qFormat/>
    <w:uiPriority w:val="0"/>
    <w:rPr>
      <w:rFonts w:ascii="Times New Roman" w:hAnsi="Times New Roman" w:eastAsia="仿宋_GB2312"/>
      <w:sz w:val="32"/>
      <w:szCs w:val="20"/>
    </w:rPr>
  </w:style>
  <w:style w:type="character" w:customStyle="1" w:styleId="50">
    <w:name w:val="批注框文本 字符"/>
    <w:basedOn w:val="26"/>
    <w:link w:val="16"/>
    <w:autoRedefine/>
    <w:semiHidden/>
    <w:qFormat/>
    <w:uiPriority w:val="99"/>
    <w:rPr>
      <w:rFonts w:ascii="Calibri" w:hAnsi="Calibri" w:eastAsia="宋体" w:cs="Times New Roman"/>
      <w:sz w:val="18"/>
      <w:szCs w:val="18"/>
    </w:rPr>
  </w:style>
  <w:style w:type="character" w:customStyle="1" w:styleId="51">
    <w:name w:val="List Paragraph Char"/>
    <w:link w:val="52"/>
    <w:autoRedefine/>
    <w:qFormat/>
    <w:locked/>
    <w:uiPriority w:val="0"/>
    <w:rPr>
      <w:rFonts w:ascii="Times New Roman" w:hAnsi="Times New Roman"/>
      <w:szCs w:val="24"/>
    </w:rPr>
  </w:style>
  <w:style w:type="paragraph" w:customStyle="1" w:styleId="52">
    <w:name w:val="列出段落1"/>
    <w:basedOn w:val="1"/>
    <w:link w:val="51"/>
    <w:autoRedefine/>
    <w:qFormat/>
    <w:uiPriority w:val="0"/>
    <w:pPr>
      <w:ind w:firstLine="420" w:firstLineChars="200"/>
    </w:pPr>
    <w:rPr>
      <w:rFonts w:ascii="Times New Roman" w:hAnsi="Times New Roman" w:eastAsiaTheme="minorEastAsia" w:cstheme="minorBidi"/>
    </w:rPr>
  </w:style>
  <w:style w:type="paragraph" w:customStyle="1" w:styleId="53">
    <w:name w:val="表名"/>
    <w:basedOn w:val="1"/>
    <w:autoRedefine/>
    <w:qFormat/>
    <w:uiPriority w:val="0"/>
    <w:pPr>
      <w:tabs>
        <w:tab w:val="left" w:pos="560"/>
        <w:tab w:val="center" w:pos="4423"/>
      </w:tabs>
      <w:spacing w:before="163" w:beforeLines="50"/>
      <w:textAlignment w:val="center"/>
    </w:pPr>
    <w:rPr>
      <w:rFonts w:eastAsia="黑体"/>
      <w:b/>
      <w:sz w:val="24"/>
    </w:rPr>
  </w:style>
  <w:style w:type="paragraph" w:customStyle="1" w:styleId="54">
    <w:name w:val="表格内容"/>
    <w:basedOn w:val="1"/>
    <w:autoRedefine/>
    <w:qFormat/>
    <w:uiPriority w:val="2"/>
    <w:pPr>
      <w:adjustRightInd w:val="0"/>
      <w:snapToGrid w:val="0"/>
      <w:jc w:val="center"/>
    </w:pPr>
  </w:style>
  <w:style w:type="character" w:customStyle="1" w:styleId="55">
    <w:name w:val="font61"/>
    <w:basedOn w:val="26"/>
    <w:autoRedefine/>
    <w:qFormat/>
    <w:uiPriority w:val="0"/>
    <w:rPr>
      <w:rFonts w:hint="eastAsia" w:ascii="宋体" w:hAnsi="宋体" w:eastAsia="宋体" w:cs="宋体"/>
      <w:color w:val="000000"/>
      <w:sz w:val="24"/>
      <w:szCs w:val="24"/>
      <w:u w:val="none"/>
    </w:rPr>
  </w:style>
  <w:style w:type="character" w:customStyle="1" w:styleId="56">
    <w:name w:val="font51"/>
    <w:basedOn w:val="26"/>
    <w:autoRedefine/>
    <w:qFormat/>
    <w:uiPriority w:val="0"/>
    <w:rPr>
      <w:rFonts w:hint="default" w:ascii="Times New Roman" w:hAnsi="Times New Roman" w:cs="Times New Roman"/>
      <w:color w:val="000000"/>
      <w:sz w:val="24"/>
      <w:szCs w:val="24"/>
      <w:u w:val="none"/>
    </w:rPr>
  </w:style>
  <w:style w:type="character" w:customStyle="1" w:styleId="57">
    <w:name w:val="font21"/>
    <w:basedOn w:val="26"/>
    <w:autoRedefine/>
    <w:qFormat/>
    <w:uiPriority w:val="0"/>
    <w:rPr>
      <w:rFonts w:hint="eastAsia" w:ascii="宋体" w:hAnsi="宋体" w:eastAsia="宋体" w:cs="宋体"/>
      <w:color w:val="FF0000"/>
      <w:sz w:val="24"/>
      <w:szCs w:val="24"/>
      <w:u w:val="none"/>
    </w:rPr>
  </w:style>
  <w:style w:type="character" w:customStyle="1" w:styleId="58">
    <w:name w:val="font71"/>
    <w:basedOn w:val="26"/>
    <w:autoRedefine/>
    <w:qFormat/>
    <w:uiPriority w:val="0"/>
    <w:rPr>
      <w:rFonts w:hint="default" w:ascii="Times New Roman" w:hAnsi="Times New Roman" w:cs="Times New Roman"/>
      <w:color w:val="FF0000"/>
      <w:sz w:val="24"/>
      <w:szCs w:val="24"/>
      <w:u w:val="none"/>
    </w:rPr>
  </w:style>
  <w:style w:type="paragraph" w:customStyle="1" w:styleId="59">
    <w:name w:val="正文1"/>
    <w:autoRedefine/>
    <w:qFormat/>
    <w:uiPriority w:val="0"/>
    <w:pPr>
      <w:jc w:val="both"/>
    </w:pPr>
    <w:rPr>
      <w:rFonts w:ascii="等线" w:hAnsi="等线" w:eastAsia="宋体" w:cs="宋体"/>
      <w:kern w:val="2"/>
      <w:sz w:val="21"/>
      <w:szCs w:val="21"/>
      <w:lang w:val="en-US" w:eastAsia="zh-CN" w:bidi="ar-SA"/>
    </w:rPr>
  </w:style>
  <w:style w:type="character" w:customStyle="1" w:styleId="60">
    <w:name w:val="标题 字符"/>
    <w:basedOn w:val="26"/>
    <w:autoRedefine/>
    <w:qFormat/>
    <w:uiPriority w:val="10"/>
    <w:rPr>
      <w:rFonts w:asciiTheme="majorHAnsi" w:hAnsiTheme="majorHAnsi" w:eastAsiaTheme="majorEastAsia" w:cstheme="majorBidi"/>
      <w:b/>
      <w:bCs/>
      <w:kern w:val="2"/>
      <w:sz w:val="32"/>
      <w:szCs w:val="32"/>
    </w:rPr>
  </w:style>
  <w:style w:type="character" w:customStyle="1" w:styleId="61">
    <w:name w:val="纯文本 字符1"/>
    <w:autoRedefine/>
    <w:qFormat/>
    <w:uiPriority w:val="0"/>
    <w:rPr>
      <w:rFonts w:ascii="宋体" w:hAnsi="Courier New" w:eastAsia="宋体"/>
      <w:sz w:val="24"/>
      <w:szCs w:val="24"/>
    </w:rPr>
  </w:style>
  <w:style w:type="character" w:customStyle="1" w:styleId="62">
    <w:name w:val="标题 字符1"/>
    <w:link w:val="22"/>
    <w:autoRedefine/>
    <w:qFormat/>
    <w:uiPriority w:val="0"/>
    <w:rPr>
      <w:rFonts w:ascii="Cambria" w:hAnsi="Cambria" w:eastAsiaTheme="minorEastAsia"/>
      <w:b/>
      <w:bCs/>
      <w:kern w:val="2"/>
      <w:sz w:val="32"/>
      <w:szCs w:val="32"/>
    </w:rPr>
  </w:style>
  <w:style w:type="character" w:customStyle="1" w:styleId="63">
    <w:name w:val="layui-laypage-curr"/>
    <w:basedOn w:val="26"/>
    <w:autoRedefine/>
    <w:qFormat/>
    <w:uiPriority w:val="0"/>
  </w:style>
  <w:style w:type="character" w:customStyle="1" w:styleId="64">
    <w:name w:val="font01"/>
    <w:basedOn w:val="26"/>
    <w:autoRedefine/>
    <w:qFormat/>
    <w:uiPriority w:val="0"/>
    <w:rPr>
      <w:rFonts w:hint="eastAsia" w:ascii="宋体" w:hAnsi="宋体" w:eastAsia="宋体" w:cs="宋体"/>
      <w:color w:val="000000"/>
      <w:sz w:val="22"/>
      <w:szCs w:val="22"/>
      <w:u w:val="none"/>
    </w:rPr>
  </w:style>
  <w:style w:type="character" w:customStyle="1" w:styleId="65">
    <w:name w:val="font11"/>
    <w:basedOn w:val="26"/>
    <w:autoRedefine/>
    <w:qFormat/>
    <w:uiPriority w:val="0"/>
    <w:rPr>
      <w:rFonts w:hint="eastAsia" w:ascii="宋体" w:hAnsi="宋体" w:eastAsia="宋体" w:cs="宋体"/>
      <w:color w:val="000000"/>
      <w:sz w:val="16"/>
      <w:szCs w:val="16"/>
      <w:u w:val="none"/>
    </w:rPr>
  </w:style>
  <w:style w:type="table" w:customStyle="1" w:styleId="66">
    <w:name w:val="Table Normal"/>
    <w:autoRedefine/>
    <w:semiHidden/>
    <w:unhideWhenUsed/>
    <w:qFormat/>
    <w:uiPriority w:val="0"/>
    <w:tblPr>
      <w:tblCellMar>
        <w:top w:w="0" w:type="dxa"/>
        <w:left w:w="0" w:type="dxa"/>
        <w:bottom w:w="0" w:type="dxa"/>
        <w:right w:w="0" w:type="dxa"/>
      </w:tblCellMar>
    </w:tblPr>
  </w:style>
  <w:style w:type="paragraph" w:customStyle="1" w:styleId="67">
    <w:name w:val="列出段落2"/>
    <w:basedOn w:val="1"/>
    <w:autoRedefine/>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64</Pages>
  <Words>31818</Words>
  <Characters>34327</Characters>
  <Lines>275</Lines>
  <Paragraphs>77</Paragraphs>
  <TotalTime>120</TotalTime>
  <ScaleCrop>false</ScaleCrop>
  <LinksUpToDate>false</LinksUpToDate>
  <CharactersWithSpaces>36718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2022-11-08T06:51:00Z</dcterms:created>
  <dc:creator>Microsoft</dc:creator>
  <cp:lastModifiedBy>end</cp:lastModifiedBy>
  <cp:lastPrinted>2023-01-16T01:46:00Z</cp:lastPrinted>
  <dcterms:modified xsi:type="dcterms:W3CDTF">2024-04-17T03:14:27Z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96292CA8889E40ADBE4652C3E47B57EB_13</vt:lpwstr>
  </property>
</Properties>
</file>