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cs="仿宋_GB2312" w:asciiTheme="majorEastAsia" w:hAnsiTheme="majorEastAsia" w:eastAsiaTheme="majorEastAsia"/>
          <w:color w:val="auto"/>
          <w:sz w:val="48"/>
          <w:szCs w:val="48"/>
          <w:highlight w:val="none"/>
        </w:rPr>
      </w:pPr>
      <w:bookmarkStart w:id="429" w:name="_GoBack"/>
    </w:p>
    <w:p>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 xml:space="preserve"> </w:t>
      </w:r>
      <w:r>
        <w:rPr>
          <w:rFonts w:hint="eastAsia" w:cs="仿宋_GB2312" w:asciiTheme="majorEastAsia" w:hAnsiTheme="majorEastAsia" w:eastAsiaTheme="majorEastAsia"/>
          <w:color w:val="auto"/>
          <w:sz w:val="48"/>
          <w:szCs w:val="48"/>
          <w:highlight w:val="none"/>
          <w:u w:val="single"/>
        </w:rPr>
        <w:t>锦屏南路南延（现状锦屏南路-甬临线）道路工程-路灯采购项目</w:t>
      </w:r>
    </w:p>
    <w:p>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公开招标采购文件</w:t>
      </w:r>
    </w:p>
    <w:p>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（电子招投标）</w:t>
      </w:r>
    </w:p>
    <w:p>
      <w:pPr>
        <w:shd w:val="clear"/>
        <w:snapToGrid w:val="0"/>
        <w:spacing w:line="360" w:lineRule="auto"/>
        <w:jc w:val="center"/>
        <w:rPr>
          <w:rFonts w:cs="仿宋_GB2312" w:asciiTheme="majorEastAsia" w:hAnsiTheme="majorEastAsia" w:eastAsiaTheme="majorEastAsia"/>
          <w:color w:val="auto"/>
          <w:sz w:val="30"/>
          <w:szCs w:val="30"/>
          <w:highlight w:val="none"/>
        </w:rPr>
      </w:pPr>
      <w:r>
        <w:rPr>
          <w:rFonts w:hint="eastAsia" w:cs="仿宋_GB2312" w:asciiTheme="majorEastAsia" w:hAnsiTheme="majorEastAsia" w:eastAsiaTheme="majorEastAsia"/>
          <w:color w:val="auto"/>
          <w:sz w:val="30"/>
          <w:szCs w:val="30"/>
          <w:highlight w:val="none"/>
        </w:rPr>
        <w:t>项目编号</w:t>
      </w:r>
      <w:r>
        <w:rPr>
          <w:rFonts w:cs="仿宋_GB2312" w:asciiTheme="majorEastAsia" w:hAnsiTheme="majorEastAsia" w:eastAsiaTheme="majorEastAsia"/>
          <w:color w:val="auto"/>
          <w:sz w:val="30"/>
          <w:szCs w:val="30"/>
          <w:highlight w:val="none"/>
        </w:rPr>
        <w:t>:</w:t>
      </w:r>
      <w:r>
        <w:rPr>
          <w:rFonts w:asciiTheme="majorEastAsia" w:hAnsiTheme="majorEastAsia" w:eastAsiaTheme="majorEastAsia"/>
          <w:color w:val="auto"/>
          <w:highlight w:val="none"/>
        </w:rPr>
        <w:t xml:space="preserve"> </w:t>
      </w:r>
      <w:r>
        <w:rPr>
          <w:rFonts w:cs="仿宋_GB2312" w:asciiTheme="majorEastAsia" w:hAnsiTheme="majorEastAsia" w:eastAsiaTheme="majorEastAsia"/>
          <w:color w:val="auto"/>
          <w:sz w:val="30"/>
          <w:szCs w:val="30"/>
          <w:highlight w:val="none"/>
        </w:rPr>
        <w:t>FHGQZB(2022)</w:t>
      </w:r>
      <w:r>
        <w:rPr>
          <w:rFonts w:hint="eastAsia" w:cs="仿宋_GB2312" w:asciiTheme="majorEastAsia" w:hAnsiTheme="majorEastAsia" w:eastAsiaTheme="majorEastAsia"/>
          <w:color w:val="auto"/>
          <w:sz w:val="30"/>
          <w:szCs w:val="30"/>
          <w:highlight w:val="none"/>
        </w:rPr>
        <w:t>194</w:t>
      </w:r>
      <w:r>
        <w:rPr>
          <w:rFonts w:cs="仿宋_GB2312" w:asciiTheme="majorEastAsia" w:hAnsiTheme="majorEastAsia" w:eastAsiaTheme="majorEastAsia"/>
          <w:color w:val="auto"/>
          <w:sz w:val="30"/>
          <w:szCs w:val="30"/>
          <w:highlight w:val="none"/>
        </w:rPr>
        <w:t>D</w:t>
      </w:r>
    </w:p>
    <w:p>
      <w:pPr>
        <w:shd w:val="clear"/>
        <w:spacing w:line="360" w:lineRule="auto"/>
        <w:rPr>
          <w:rFonts w:cs="仿宋_GB2312" w:asciiTheme="majorEastAsia" w:hAnsiTheme="majorEastAsia" w:eastAsiaTheme="majorEastAsia"/>
          <w:color w:val="auto"/>
          <w:sz w:val="28"/>
          <w:szCs w:val="20"/>
          <w:highlight w:val="none"/>
        </w:rPr>
      </w:pPr>
    </w:p>
    <w:p>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w:t>
      </w:r>
    </w:p>
    <w:p>
      <w:pPr>
        <w:shd w:val="clear"/>
        <w:spacing w:line="360" w:lineRule="auto"/>
        <w:jc w:val="center"/>
        <w:rPr>
          <w:rFonts w:cs="仿宋_GB2312" w:asciiTheme="majorEastAsia" w:hAnsiTheme="majorEastAsia" w:eastAsiaTheme="majorEastAsia"/>
          <w:b/>
          <w:color w:val="auto"/>
          <w:sz w:val="44"/>
          <w:szCs w:val="44"/>
          <w:highlight w:val="none"/>
        </w:rPr>
      </w:pPr>
    </w:p>
    <w:p>
      <w:pPr>
        <w:pStyle w:val="2"/>
        <w:shd w:val="clear"/>
        <w:ind w:firstLine="560"/>
        <w:rPr>
          <w:color w:val="auto"/>
          <w:highlight w:val="none"/>
        </w:rPr>
      </w:pPr>
    </w:p>
    <w:p>
      <w:pPr>
        <w:pStyle w:val="2"/>
        <w:shd w:val="clear"/>
        <w:ind w:firstLine="560"/>
        <w:rPr>
          <w:color w:val="auto"/>
          <w:highlight w:val="none"/>
        </w:rPr>
      </w:pPr>
    </w:p>
    <w:p>
      <w:pPr>
        <w:pStyle w:val="2"/>
        <w:shd w:val="clear"/>
        <w:ind w:firstLine="560"/>
        <w:rPr>
          <w:color w:val="auto"/>
          <w:highlight w:val="none"/>
        </w:rPr>
      </w:pPr>
    </w:p>
    <w:p>
      <w:pPr>
        <w:pStyle w:val="2"/>
        <w:shd w:val="clear"/>
        <w:ind w:firstLine="560"/>
        <w:rPr>
          <w:color w:val="auto"/>
          <w:highlight w:val="none"/>
        </w:rPr>
      </w:pPr>
    </w:p>
    <w:p>
      <w:pPr>
        <w:pStyle w:val="2"/>
        <w:shd w:val="clear"/>
        <w:ind w:firstLine="560"/>
        <w:rPr>
          <w:color w:val="auto"/>
          <w:highlight w:val="none"/>
        </w:rPr>
      </w:pPr>
    </w:p>
    <w:p>
      <w:pPr>
        <w:pStyle w:val="2"/>
        <w:shd w:val="clear"/>
        <w:ind w:firstLine="560"/>
        <w:rPr>
          <w:color w:val="auto"/>
          <w:highlight w:val="none"/>
        </w:rPr>
      </w:pPr>
    </w:p>
    <w:p>
      <w:pPr>
        <w:shd w:val="clear"/>
        <w:spacing w:line="360" w:lineRule="auto"/>
        <w:jc w:val="center"/>
        <w:rPr>
          <w:rFonts w:cs="仿宋_GB2312" w:asciiTheme="majorEastAsia" w:hAnsiTheme="majorEastAsia" w:eastAsiaTheme="majorEastAsia"/>
          <w:color w:val="auto"/>
          <w:sz w:val="24"/>
          <w:highlight w:val="none"/>
        </w:rPr>
      </w:pPr>
    </w:p>
    <w:p>
      <w:pPr>
        <w:shd w:val="clear"/>
        <w:spacing w:line="360" w:lineRule="auto"/>
        <w:jc w:val="center"/>
        <w:rPr>
          <w:rFonts w:cs="仿宋_GB2312" w:asciiTheme="majorEastAsia" w:hAnsiTheme="majorEastAsia" w:eastAsiaTheme="majorEastAsia"/>
          <w:color w:val="auto"/>
          <w:sz w:val="24"/>
          <w:highlight w:val="none"/>
        </w:rPr>
      </w:pPr>
    </w:p>
    <w:p>
      <w:pPr>
        <w:shd w:val="clear"/>
        <w:spacing w:line="360" w:lineRule="auto"/>
        <w:rPr>
          <w:rFonts w:cs="仿宋_GB2312" w:asciiTheme="majorEastAsia" w:hAnsiTheme="majorEastAsia" w:eastAsiaTheme="majorEastAsia"/>
          <w:color w:val="auto"/>
          <w:sz w:val="32"/>
          <w:szCs w:val="32"/>
          <w:highlight w:val="none"/>
        </w:rPr>
      </w:pPr>
    </w:p>
    <w:p>
      <w:pPr>
        <w:shd w:val="clear"/>
        <w:snapToGrid w:val="0"/>
        <w:spacing w:line="360" w:lineRule="auto"/>
        <w:ind w:firstLine="960" w:firstLineChars="300"/>
        <w:jc w:val="center"/>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采购人：宁波市奉化区惠江基础设施建设有限公司</w:t>
      </w:r>
    </w:p>
    <w:p>
      <w:pPr>
        <w:shd w:val="clear"/>
        <w:spacing w:line="360" w:lineRule="auto"/>
        <w:ind w:firstLine="960" w:firstLineChars="300"/>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采购代理机构：宁波敬信项目管理咨询有限公司</w:t>
      </w:r>
    </w:p>
    <w:p>
      <w:pPr>
        <w:shd w:val="clear"/>
        <w:snapToGrid w:val="0"/>
        <w:spacing w:line="360" w:lineRule="auto"/>
        <w:jc w:val="center"/>
        <w:rPr>
          <w:rFonts w:cs="仿宋_GB2312" w:asciiTheme="majorEastAsia" w:hAnsiTheme="majorEastAsia" w:eastAsiaTheme="majorEastAsia"/>
          <w:bCs/>
          <w:color w:val="auto"/>
          <w:sz w:val="32"/>
          <w:szCs w:val="32"/>
          <w:highlight w:val="none"/>
        </w:rPr>
      </w:pPr>
    </w:p>
    <w:p>
      <w:pPr>
        <w:shd w:val="clea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二零二二年</w:t>
      </w:r>
    </w:p>
    <w:p>
      <w:pPr>
        <w:shd w:val="clear"/>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br w:type="page"/>
      </w:r>
      <w:bookmarkStart w:id="0" w:name="_Hlt67893495"/>
      <w:bookmarkEnd w:id="0"/>
    </w:p>
    <w:p>
      <w:pPr>
        <w:shd w:val="clear"/>
        <w:spacing w:line="360" w:lineRule="auto"/>
        <w:jc w:val="center"/>
        <w:rPr>
          <w:rFonts w:cs="仿宋_GB2312" w:asciiTheme="majorEastAsia" w:hAnsiTheme="majorEastAsia" w:eastAsiaTheme="majorEastAsia"/>
          <w:color w:val="auto"/>
          <w:sz w:val="24"/>
          <w:highlight w:val="none"/>
        </w:rPr>
      </w:pPr>
    </w:p>
    <w:p>
      <w:pPr>
        <w:shd w:val="clea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cs="仿宋_GB2312" w:asciiTheme="majorEastAsia" w:hAnsiTheme="majorEastAsia" w:eastAsiaTheme="majorEastAsia"/>
          <w:b/>
          <w:color w:val="auto"/>
          <w:sz w:val="48"/>
          <w:szCs w:val="48"/>
          <w:highlight w:val="none"/>
        </w:rPr>
        <w:t xml:space="preserve">  </w:t>
      </w:r>
      <w:r>
        <w:rPr>
          <w:rFonts w:hint="eastAsia" w:cs="仿宋_GB2312" w:asciiTheme="majorEastAsia" w:hAnsiTheme="majorEastAsia" w:eastAsiaTheme="majorEastAsia"/>
          <w:b/>
          <w:color w:val="auto"/>
          <w:sz w:val="48"/>
          <w:szCs w:val="48"/>
          <w:highlight w:val="none"/>
        </w:rPr>
        <w:t>录</w:t>
      </w:r>
    </w:p>
    <w:p>
      <w:pPr>
        <w:shd w:val="clear"/>
        <w:spacing w:line="360" w:lineRule="auto"/>
        <w:rPr>
          <w:rFonts w:cs="仿宋_GB2312" w:asciiTheme="majorEastAsia" w:hAnsiTheme="majorEastAsia" w:eastAsiaTheme="majorEastAsia"/>
          <w:color w:val="auto"/>
          <w:sz w:val="32"/>
          <w:szCs w:val="32"/>
          <w:highlight w:val="none"/>
        </w:rPr>
      </w:pPr>
    </w:p>
    <w:p>
      <w:pPr>
        <w:shd w:val="clear"/>
        <w:spacing w:line="360" w:lineRule="auto"/>
        <w:rPr>
          <w:rFonts w:cs="仿宋_GB2312" w:asciiTheme="majorEastAsia" w:hAnsiTheme="majorEastAsia" w:eastAsiaTheme="majorEastAsia"/>
          <w:color w:val="auto"/>
          <w:sz w:val="32"/>
          <w:szCs w:val="32"/>
          <w:highlight w:val="none"/>
        </w:rPr>
      </w:pPr>
    </w:p>
    <w:p>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第一部分      招标公告</w:t>
      </w:r>
    </w:p>
    <w:p>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第二部分      投标须知</w:t>
      </w:r>
    </w:p>
    <w:p>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第三部分      采购需求</w:t>
      </w:r>
    </w:p>
    <w:p>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第四部分      评标办法</w:t>
      </w:r>
    </w:p>
    <w:p>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第五部分      拟签订的合同文本</w:t>
      </w:r>
    </w:p>
    <w:p>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第六部分      应提交的有关格式范例</w:t>
      </w:r>
    </w:p>
    <w:p>
      <w:pPr>
        <w:shd w:val="clear"/>
        <w:spacing w:line="360" w:lineRule="auto"/>
        <w:ind w:firstLine="549" w:firstLineChars="229"/>
        <w:rPr>
          <w:rFonts w:cs="仿宋" w:asciiTheme="majorEastAsia" w:hAnsiTheme="majorEastAsia" w:eastAsiaTheme="majorEastAsia"/>
          <w:color w:val="auto"/>
          <w:sz w:val="24"/>
          <w:highlight w:val="none"/>
        </w:rPr>
      </w:pPr>
      <w:bookmarkStart w:id="1" w:name="_Hlt91233176"/>
      <w:bookmarkEnd w:id="1"/>
      <w:bookmarkStart w:id="2" w:name="_Toc91899869"/>
    </w:p>
    <w:p>
      <w:pPr>
        <w:shd w:val="clear"/>
        <w:spacing w:line="360" w:lineRule="auto"/>
        <w:ind w:firstLine="549" w:firstLineChars="229"/>
        <w:rPr>
          <w:rFonts w:cs="仿宋" w:asciiTheme="majorEastAsia" w:hAnsiTheme="majorEastAsia" w:eastAsiaTheme="majorEastAsia"/>
          <w:color w:val="auto"/>
          <w:sz w:val="24"/>
          <w:highlight w:val="none"/>
        </w:rPr>
      </w:pPr>
    </w:p>
    <w:p>
      <w:pPr>
        <w:shd w:val="clear"/>
        <w:spacing w:line="360" w:lineRule="auto"/>
        <w:ind w:firstLine="549" w:firstLineChars="229"/>
        <w:rPr>
          <w:rFonts w:cs="仿宋" w:asciiTheme="majorEastAsia" w:hAnsiTheme="majorEastAsia" w:eastAsiaTheme="majorEastAsia"/>
          <w:color w:val="auto"/>
          <w:sz w:val="24"/>
          <w:highlight w:val="none"/>
        </w:rPr>
      </w:pPr>
    </w:p>
    <w:p>
      <w:pPr>
        <w:shd w:val="clear"/>
        <w:spacing w:line="360" w:lineRule="auto"/>
        <w:ind w:firstLine="549" w:firstLineChars="229"/>
        <w:rPr>
          <w:rFonts w:cs="仿宋" w:asciiTheme="majorEastAsia" w:hAnsiTheme="majorEastAsia" w:eastAsiaTheme="majorEastAsia"/>
          <w:color w:val="auto"/>
          <w:sz w:val="24"/>
          <w:highlight w:val="none"/>
        </w:rPr>
      </w:pPr>
    </w:p>
    <w:p>
      <w:pPr>
        <w:shd w:val="clear"/>
        <w:spacing w:line="360" w:lineRule="auto"/>
        <w:ind w:firstLine="549" w:firstLineChars="229"/>
        <w:rPr>
          <w:rFonts w:cs="仿宋" w:asciiTheme="majorEastAsia" w:hAnsiTheme="majorEastAsia" w:eastAsiaTheme="majorEastAsia"/>
          <w:color w:val="auto"/>
          <w:sz w:val="24"/>
          <w:highlight w:val="none"/>
        </w:rPr>
      </w:pPr>
    </w:p>
    <w:p>
      <w:pPr>
        <w:shd w:val="clear"/>
        <w:spacing w:line="360" w:lineRule="auto"/>
        <w:ind w:firstLine="549" w:firstLineChars="229"/>
        <w:rPr>
          <w:rFonts w:cs="仿宋" w:asciiTheme="majorEastAsia" w:hAnsiTheme="majorEastAsia" w:eastAsiaTheme="majorEastAsia"/>
          <w:color w:val="auto"/>
          <w:sz w:val="24"/>
          <w:highlight w:val="none"/>
        </w:rPr>
      </w:pPr>
    </w:p>
    <w:p>
      <w:pPr>
        <w:shd w:val="clear"/>
        <w:spacing w:line="360" w:lineRule="auto"/>
        <w:ind w:firstLine="549" w:firstLineChars="229"/>
        <w:rPr>
          <w:rFonts w:cs="仿宋" w:asciiTheme="majorEastAsia" w:hAnsiTheme="majorEastAsia" w:eastAsiaTheme="majorEastAsia"/>
          <w:color w:val="auto"/>
          <w:sz w:val="24"/>
          <w:highlight w:val="none"/>
        </w:rPr>
      </w:pPr>
    </w:p>
    <w:p>
      <w:pPr>
        <w:shd w:val="clear"/>
        <w:spacing w:line="360" w:lineRule="auto"/>
        <w:ind w:firstLine="549" w:firstLineChars="229"/>
        <w:rPr>
          <w:rFonts w:cs="仿宋" w:asciiTheme="majorEastAsia" w:hAnsiTheme="majorEastAsia" w:eastAsiaTheme="majorEastAsia"/>
          <w:color w:val="auto"/>
          <w:sz w:val="24"/>
          <w:highlight w:val="none"/>
        </w:rPr>
      </w:pPr>
    </w:p>
    <w:p>
      <w:pPr>
        <w:shd w:val="clear"/>
        <w:spacing w:line="360" w:lineRule="auto"/>
        <w:ind w:firstLine="549" w:firstLineChars="229"/>
        <w:rPr>
          <w:rFonts w:cs="仿宋" w:asciiTheme="majorEastAsia" w:hAnsiTheme="majorEastAsia" w:eastAsiaTheme="majorEastAsia"/>
          <w:color w:val="auto"/>
          <w:sz w:val="24"/>
          <w:highlight w:val="none"/>
        </w:rPr>
      </w:pPr>
    </w:p>
    <w:p>
      <w:pPr>
        <w:shd w:val="clear"/>
        <w:spacing w:line="360" w:lineRule="auto"/>
        <w:ind w:firstLine="549" w:firstLineChars="229"/>
        <w:rPr>
          <w:rFonts w:cs="仿宋" w:asciiTheme="majorEastAsia" w:hAnsiTheme="majorEastAsia" w:eastAsiaTheme="majorEastAsia"/>
          <w:color w:val="auto"/>
          <w:sz w:val="24"/>
          <w:highlight w:val="none"/>
        </w:rPr>
      </w:pPr>
    </w:p>
    <w:p>
      <w:pPr>
        <w:shd w:val="clear"/>
        <w:spacing w:line="360" w:lineRule="auto"/>
        <w:ind w:firstLine="549" w:firstLineChars="229"/>
        <w:rPr>
          <w:rFonts w:cs="仿宋" w:asciiTheme="majorEastAsia" w:hAnsiTheme="majorEastAsia" w:eastAsiaTheme="majorEastAsia"/>
          <w:color w:val="auto"/>
          <w:sz w:val="24"/>
          <w:highlight w:val="none"/>
        </w:rPr>
      </w:pPr>
    </w:p>
    <w:p>
      <w:pPr>
        <w:shd w:val="clear"/>
        <w:spacing w:line="360" w:lineRule="auto"/>
        <w:ind w:firstLine="549" w:firstLineChars="229"/>
        <w:rPr>
          <w:rFonts w:cs="仿宋" w:asciiTheme="majorEastAsia" w:hAnsiTheme="majorEastAsia" w:eastAsiaTheme="majorEastAsia"/>
          <w:color w:val="auto"/>
          <w:sz w:val="24"/>
          <w:highlight w:val="none"/>
        </w:rPr>
      </w:pPr>
    </w:p>
    <w:p>
      <w:pPr>
        <w:shd w:val="clear"/>
        <w:spacing w:line="360" w:lineRule="auto"/>
        <w:ind w:firstLine="549" w:firstLineChars="229"/>
        <w:rPr>
          <w:rFonts w:cs="仿宋" w:asciiTheme="majorEastAsia" w:hAnsiTheme="majorEastAsia" w:eastAsiaTheme="majorEastAsia"/>
          <w:color w:val="auto"/>
          <w:sz w:val="24"/>
          <w:highlight w:val="none"/>
        </w:rPr>
      </w:pPr>
    </w:p>
    <w:p>
      <w:pPr>
        <w:shd w:val="clear"/>
        <w:spacing w:line="360" w:lineRule="auto"/>
        <w:rPr>
          <w:rFonts w:cs="仿宋" w:asciiTheme="majorEastAsia" w:hAnsiTheme="majorEastAsia" w:eastAsiaTheme="majorEastAsia"/>
          <w:color w:val="auto"/>
          <w:sz w:val="24"/>
          <w:highlight w:val="none"/>
        </w:rPr>
      </w:pPr>
    </w:p>
    <w:p>
      <w:pPr>
        <w:shd w:val="clear"/>
        <w:spacing w:line="360" w:lineRule="auto"/>
        <w:jc w:val="center"/>
        <w:outlineLvl w:val="0"/>
        <w:rPr>
          <w:rFonts w:cs="仿宋" w:asciiTheme="majorEastAsia" w:hAnsiTheme="majorEastAsia" w:eastAsiaTheme="majorEastAsia"/>
          <w:b/>
          <w:color w:val="auto"/>
          <w:sz w:val="36"/>
          <w:szCs w:val="20"/>
          <w:highlight w:val="none"/>
        </w:rPr>
      </w:pPr>
      <w:bookmarkStart w:id="3" w:name="第一部分"/>
      <w:r>
        <w:rPr>
          <w:rFonts w:hint="eastAsia" w:cs="仿宋" w:asciiTheme="majorEastAsia" w:hAnsiTheme="majorEastAsia" w:eastAsiaTheme="majorEastAsia"/>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color w:val="auto"/>
          <w:sz w:val="24"/>
          <w:highlight w:val="none"/>
          <w:u w:val="single"/>
        </w:rPr>
        <w:t>锦屏南路南延（现状锦屏南路-甬临线）道路工程-路灯采购项目</w:t>
      </w:r>
      <w:r>
        <w:rPr>
          <w:rFonts w:hint="eastAsia" w:cs="仿宋" w:asciiTheme="majorEastAsia" w:hAnsiTheme="majorEastAsia" w:eastAsiaTheme="majorEastAsia"/>
          <w:color w:val="auto"/>
          <w:sz w:val="24"/>
          <w:highlight w:val="none"/>
        </w:rPr>
        <w:t xml:space="preserve">的潜在供应商应在政采云平台（ </w:t>
      </w:r>
      <w:r>
        <w:rPr>
          <w:color w:val="auto"/>
          <w:highlight w:val="none"/>
        </w:rPr>
        <w:fldChar w:fldCharType="begin"/>
      </w:r>
      <w:r>
        <w:rPr>
          <w:color w:val="auto"/>
          <w:highlight w:val="none"/>
        </w:rPr>
        <w:instrText xml:space="preserve"> HYPERLINK "https://www.zcygov.cn/）获取（下载）招标文件，并于2022年00月00日14点30分00秒" </w:instrText>
      </w:r>
      <w:r>
        <w:rPr>
          <w:color w:val="auto"/>
          <w:highlight w:val="none"/>
        </w:rPr>
        <w:fldChar w:fldCharType="separate"/>
      </w:r>
      <w:r>
        <w:rPr>
          <w:rStyle w:val="30"/>
          <w:rFonts w:hint="eastAsia" w:cs="仿宋" w:asciiTheme="majorEastAsia" w:hAnsiTheme="majorEastAsia" w:eastAsiaTheme="majorEastAsia"/>
          <w:color w:val="auto"/>
          <w:sz w:val="24"/>
          <w:szCs w:val="24"/>
          <w:highlight w:val="none"/>
        </w:rPr>
        <w:t>https://www.zcygov.cn/）获取（下载）招标文件，并于2022年09月15日09点00分</w:t>
      </w:r>
      <w:r>
        <w:rPr>
          <w:rStyle w:val="30"/>
          <w:rFonts w:hint="eastAsia" w:cs="仿宋" w:asciiTheme="majorEastAsia" w:hAnsiTheme="majorEastAsia" w:eastAsiaTheme="majorEastAsia"/>
          <w:bCs/>
          <w:snapToGrid/>
          <w:color w:val="auto"/>
          <w:kern w:val="2"/>
          <w:sz w:val="24"/>
          <w:szCs w:val="24"/>
          <w:highlight w:val="none"/>
        </w:rPr>
        <w:t>00秒</w:t>
      </w:r>
      <w:r>
        <w:rPr>
          <w:rStyle w:val="30"/>
          <w:rFonts w:hint="eastAsia" w:cs="仿宋" w:asciiTheme="majorEastAsia" w:hAnsiTheme="majorEastAsia" w:eastAsiaTheme="majorEastAsia"/>
          <w:bCs/>
          <w:snapToGrid/>
          <w:color w:val="auto"/>
          <w:kern w:val="2"/>
          <w:sz w:val="24"/>
          <w:szCs w:val="24"/>
          <w:highlight w:val="none"/>
        </w:rPr>
        <w:fldChar w:fldCharType="end"/>
      </w:r>
      <w:r>
        <w:rPr>
          <w:rFonts w:hint="eastAsia" w:cs="仿宋" w:asciiTheme="majorEastAsia" w:hAnsiTheme="majorEastAsia" w:eastAsiaTheme="majorEastAsia"/>
          <w:bCs/>
          <w:color w:val="auto"/>
          <w:sz w:val="24"/>
          <w:highlight w:val="none"/>
        </w:rPr>
        <w:t>（北京时间）前</w:t>
      </w:r>
      <w:r>
        <w:rPr>
          <w:rFonts w:hint="eastAsia" w:cs="仿宋" w:asciiTheme="majorEastAsia" w:hAnsiTheme="majorEastAsia" w:eastAsiaTheme="majorEastAsia"/>
          <w:color w:val="auto"/>
          <w:sz w:val="24"/>
          <w:highlight w:val="none"/>
        </w:rPr>
        <w:t>递交（上传）投标文件。</w:t>
      </w:r>
    </w:p>
    <w:p>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项目编号：</w:t>
      </w:r>
      <w:r>
        <w:rPr>
          <w:rFonts w:cs="仿宋" w:asciiTheme="majorEastAsia" w:hAnsiTheme="majorEastAsia" w:eastAsiaTheme="majorEastAsia"/>
          <w:color w:val="auto"/>
          <w:sz w:val="24"/>
          <w:highlight w:val="none"/>
        </w:rPr>
        <w:t>FHGQZB(2022)</w:t>
      </w:r>
      <w:r>
        <w:rPr>
          <w:rFonts w:hint="eastAsia" w:cs="仿宋" w:asciiTheme="majorEastAsia" w:hAnsiTheme="majorEastAsia" w:eastAsiaTheme="majorEastAsia"/>
          <w:color w:val="auto"/>
          <w:sz w:val="24"/>
          <w:highlight w:val="none"/>
        </w:rPr>
        <w:t>194</w:t>
      </w:r>
      <w:r>
        <w:rPr>
          <w:rFonts w:cs="仿宋" w:asciiTheme="majorEastAsia" w:hAnsiTheme="majorEastAsia" w:eastAsiaTheme="majorEastAsia"/>
          <w:color w:val="auto"/>
          <w:sz w:val="24"/>
          <w:highlight w:val="none"/>
        </w:rPr>
        <w:t>D</w:t>
      </w: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档案编号</w:t>
      </w:r>
      <w:r>
        <w:rPr>
          <w:rFonts w:hint="eastAsia" w:ascii="宋体" w:hAnsi="宋体" w:cs="宋体"/>
          <w:color w:val="auto"/>
          <w:sz w:val="24"/>
          <w:highlight w:val="none"/>
        </w:rPr>
        <w:t>:</w:t>
      </w:r>
      <w:r>
        <w:rPr>
          <w:rFonts w:cs="仿宋" w:asciiTheme="majorEastAsia" w:hAnsiTheme="majorEastAsia" w:eastAsiaTheme="majorEastAsia"/>
          <w:color w:val="auto"/>
          <w:sz w:val="24"/>
          <w:highlight w:val="none"/>
        </w:rPr>
        <w:t xml:space="preserve"> JX-22</w:t>
      </w:r>
      <w:r>
        <w:rPr>
          <w:rFonts w:hint="eastAsia" w:cs="仿宋" w:asciiTheme="majorEastAsia" w:hAnsiTheme="majorEastAsia" w:eastAsiaTheme="majorEastAsia"/>
          <w:color w:val="auto"/>
          <w:sz w:val="24"/>
          <w:highlight w:val="none"/>
        </w:rPr>
        <w:t>204</w:t>
      </w:r>
    </w:p>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项目名称：</w:t>
      </w:r>
      <w:r>
        <w:rPr>
          <w:rFonts w:hint="eastAsia" w:cs="仿宋" w:asciiTheme="majorEastAsia" w:hAnsiTheme="majorEastAsia" w:eastAsiaTheme="majorEastAsia"/>
          <w:color w:val="auto"/>
          <w:sz w:val="24"/>
          <w:highlight w:val="none"/>
        </w:rPr>
        <w:t xml:space="preserve"> 锦屏南路南延（现状锦屏南路-甬临线）道路工程-路灯采购项目</w:t>
      </w:r>
    </w:p>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预算金额（元）：</w:t>
      </w:r>
      <w:r>
        <w:rPr>
          <w:rFonts w:hint="eastAsia" w:cs="仿宋" w:asciiTheme="majorEastAsia" w:hAnsiTheme="majorEastAsia" w:eastAsiaTheme="majorEastAsia"/>
          <w:color w:val="auto"/>
          <w:sz w:val="24"/>
          <w:highlight w:val="none"/>
        </w:rPr>
        <w:t>380628</w:t>
      </w:r>
    </w:p>
    <w:p>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最高限价（元）：</w:t>
      </w:r>
      <w:r>
        <w:rPr>
          <w:rFonts w:hint="eastAsia" w:cs="仿宋" w:asciiTheme="majorEastAsia" w:hAnsiTheme="majorEastAsia" w:eastAsiaTheme="majorEastAsia"/>
          <w:color w:val="auto"/>
          <w:sz w:val="24"/>
          <w:highlight w:val="none"/>
        </w:rPr>
        <w:t>350177</w:t>
      </w:r>
    </w:p>
    <w:p>
      <w:pPr>
        <w:pStyle w:val="6"/>
        <w:shd w:val="clear"/>
        <w:spacing w:line="360" w:lineRule="auto"/>
        <w:ind w:firstLine="480"/>
        <w:rPr>
          <w:rFonts w:cs="仿宋" w:asciiTheme="majorEastAsia" w:hAnsiTheme="majorEastAsia" w:eastAsiaTheme="majorEastAsia"/>
          <w:bCs/>
          <w:snapToGrid/>
          <w:color w:val="auto"/>
          <w:kern w:val="2"/>
          <w:sz w:val="24"/>
          <w:szCs w:val="24"/>
          <w:highlight w:val="none"/>
        </w:rPr>
      </w:pPr>
      <w:r>
        <w:rPr>
          <w:rFonts w:hint="eastAsia" w:cs="仿宋" w:asciiTheme="majorEastAsia" w:hAnsiTheme="majorEastAsia" w:eastAsiaTheme="majorEastAsia"/>
          <w:b/>
          <w:color w:val="auto"/>
          <w:sz w:val="24"/>
          <w:highlight w:val="none"/>
        </w:rPr>
        <w:t>采购需求：</w:t>
      </w:r>
      <w:r>
        <w:rPr>
          <w:rFonts w:hint="eastAsia" w:cs="仿宋" w:asciiTheme="majorEastAsia" w:hAnsiTheme="majorEastAsia" w:eastAsiaTheme="majorEastAsia"/>
          <w:bCs/>
          <w:snapToGrid/>
          <w:color w:val="auto"/>
          <w:kern w:val="2"/>
          <w:sz w:val="24"/>
          <w:szCs w:val="24"/>
          <w:highlight w:val="none"/>
        </w:rPr>
        <w:t>主要内容：</w:t>
      </w:r>
      <w:r>
        <w:rPr>
          <w:rFonts w:hint="eastAsia" w:cs="仿宋" w:asciiTheme="majorEastAsia" w:hAnsiTheme="majorEastAsia" w:eastAsiaTheme="majorEastAsia"/>
          <w:color w:val="auto"/>
          <w:sz w:val="24"/>
          <w:highlight w:val="none"/>
          <w:u w:val="single"/>
        </w:rPr>
        <w:t>路灯</w:t>
      </w:r>
      <w:r>
        <w:rPr>
          <w:rFonts w:hint="eastAsia" w:cs="仿宋" w:asciiTheme="majorEastAsia" w:hAnsiTheme="majorEastAsia" w:eastAsiaTheme="majorEastAsia"/>
          <w:bCs/>
          <w:snapToGrid/>
          <w:color w:val="auto"/>
          <w:kern w:val="2"/>
          <w:sz w:val="24"/>
          <w:szCs w:val="24"/>
          <w:highlight w:val="none"/>
        </w:rPr>
        <w:t>。详见招标文件第三部分采购需求。</w:t>
      </w:r>
    </w:p>
    <w:p>
      <w:pPr>
        <w:pStyle w:val="6"/>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合同履约期限：</w:t>
      </w:r>
      <w:r>
        <w:rPr>
          <w:rFonts w:hint="eastAsia" w:cs="仿宋" w:asciiTheme="majorEastAsia" w:hAnsiTheme="majorEastAsia" w:eastAsiaTheme="majorEastAsia"/>
          <w:color w:val="auto"/>
          <w:sz w:val="24"/>
          <w:highlight w:val="none"/>
        </w:rPr>
        <w:t>合同签订之日起20日历天内完成供货。</w:t>
      </w:r>
      <w:r>
        <w:rPr>
          <w:rFonts w:cs="仿宋" w:asciiTheme="majorEastAsia" w:hAnsiTheme="majorEastAsia" w:eastAsiaTheme="majorEastAsia"/>
          <w:b/>
          <w:color w:val="auto"/>
          <w:sz w:val="24"/>
          <w:highlight w:val="none"/>
        </w:rPr>
        <w:t xml:space="preserve"> </w:t>
      </w:r>
    </w:p>
    <w:p>
      <w:pPr>
        <w:pStyle w:val="6"/>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本项目接受联合体投标：</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b/>
          <w:color w:val="auto"/>
          <w:sz w:val="24"/>
          <w:highlight w:val="none"/>
        </w:rPr>
        <w:t>是，</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b/>
          <w:color w:val="auto"/>
          <w:sz w:val="24"/>
          <w:highlight w:val="none"/>
        </w:rPr>
        <w:t>否</w:t>
      </w:r>
      <w:r>
        <w:rPr>
          <w:rFonts w:hint="eastAsia" w:cs="仿宋" w:asciiTheme="majorEastAsia" w:hAnsiTheme="majorEastAsia" w:eastAsiaTheme="majorEastAsia"/>
          <w:color w:val="auto"/>
          <w:kern w:val="0"/>
          <w:sz w:val="24"/>
          <w:highlight w:val="none"/>
        </w:rPr>
        <w:t>。</w:t>
      </w:r>
    </w:p>
    <w:p>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pPr>
        <w:shd w:val="clear"/>
        <w:spacing w:line="360" w:lineRule="auto"/>
        <w:ind w:firstLine="480"/>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snapToGrid w:val="0"/>
          <w:color w:val="auto"/>
          <w:kern w:val="28"/>
          <w:sz w:val="24"/>
          <w:szCs w:val="20"/>
          <w:highlight w:val="none"/>
        </w:rPr>
        <w:t xml:space="preserve">    2.落实政府采购政策需满足的资格要求：</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无；</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3.本项目的特定资格要求：</w:t>
      </w:r>
      <w:r>
        <w:rPr>
          <w:rFonts w:hint="eastAsia" w:ascii="宋体" w:hAnsi="宋体" w:cs="宋体"/>
          <w:color w:val="auto"/>
          <w:sz w:val="24"/>
          <w:highlight w:val="none"/>
        </w:rPr>
        <w:t>无；</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时间：</w:t>
      </w:r>
      <w:r>
        <w:rPr>
          <w:rFonts w:hint="eastAsia" w:cs="仿宋" w:asciiTheme="majorEastAsia" w:hAnsiTheme="majorEastAsia" w:eastAsiaTheme="majorEastAsia"/>
          <w:color w:val="auto"/>
          <w:sz w:val="24"/>
          <w:highlight w:val="none"/>
          <w:u w:val="single"/>
        </w:rPr>
        <w:t>2022年08月23日</w:t>
      </w:r>
      <w:r>
        <w:rPr>
          <w:rFonts w:hint="eastAsia" w:cs="仿宋" w:asciiTheme="majorEastAsia" w:hAnsiTheme="majorEastAsia" w:eastAsiaTheme="majorEastAsia"/>
          <w:color w:val="auto"/>
          <w:sz w:val="24"/>
          <w:highlight w:val="none"/>
        </w:rPr>
        <w:t>至</w:t>
      </w:r>
      <w:r>
        <w:rPr>
          <w:rFonts w:hint="eastAsia" w:cs="仿宋" w:asciiTheme="majorEastAsia" w:hAnsiTheme="majorEastAsia" w:eastAsiaTheme="majorEastAsia"/>
          <w:color w:val="auto"/>
          <w:sz w:val="24"/>
          <w:highlight w:val="none"/>
          <w:u w:val="single"/>
        </w:rPr>
        <w:t>2022年08月30日</w:t>
      </w:r>
      <w:r>
        <w:rPr>
          <w:rFonts w:hint="eastAsia" w:cs="仿宋" w:asciiTheme="majorEastAsia" w:hAnsiTheme="majorEastAsia" w:eastAsiaTheme="majorEastAsia"/>
          <w:color w:val="auto"/>
          <w:sz w:val="24"/>
          <w:highlight w:val="none"/>
        </w:rPr>
        <w:t>，每天上午00:00至12:00 ，下午12:00至23:59（北京时间）。</w:t>
      </w:r>
    </w:p>
    <w:p>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rPr>
        <w:t>政采云平台（https://www.zcygov.cn/）。</w:t>
      </w:r>
    </w:p>
    <w:p>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 xml:space="preserve">供应商登录政采云平台https://www.zcygov.cn/在线申请获取招标文件（进入“项目采购”应用，在获取采购文件菜单中选择项目，申请获取招标文件）。 </w:t>
      </w:r>
    </w:p>
    <w:p>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p>
    <w:p>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四、提交投标文件截止时间、开标时间和地点</w:t>
      </w:r>
    </w:p>
    <w:p>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rPr>
        <w:t xml:space="preserve"> 2022年09月15日09点00分</w:t>
      </w:r>
      <w:r>
        <w:rPr>
          <w:rFonts w:hint="eastAsia" w:cs="仿宋" w:asciiTheme="majorEastAsia" w:hAnsiTheme="majorEastAsia" w:eastAsiaTheme="majorEastAsia"/>
          <w:bCs/>
          <w:color w:val="auto"/>
          <w:sz w:val="24"/>
          <w:highlight w:val="none"/>
          <w:u w:val="single"/>
        </w:rPr>
        <w:t xml:space="preserve"> </w:t>
      </w:r>
      <w:r>
        <w:rPr>
          <w:rFonts w:hint="eastAsia" w:cs="仿宋" w:asciiTheme="majorEastAsia" w:hAnsiTheme="majorEastAsia" w:eastAsiaTheme="majorEastAsia"/>
          <w:color w:val="auto"/>
          <w:sz w:val="24"/>
          <w:highlight w:val="none"/>
        </w:rPr>
        <w:t>（北京时间）。</w:t>
      </w:r>
    </w:p>
    <w:p>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rPr>
        <w:t>政采云平台（https://www.zcygov.cn/）。</w:t>
      </w:r>
    </w:p>
    <w:p>
      <w:pPr>
        <w:shd w:val="clear"/>
        <w:spacing w:line="360" w:lineRule="auto"/>
        <w:ind w:firstLine="482" w:firstLineChars="200"/>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2022年09月15日09点00分</w:t>
      </w:r>
      <w:r>
        <w:rPr>
          <w:rFonts w:hint="eastAsia" w:cs="仿宋" w:asciiTheme="majorEastAsia" w:hAnsiTheme="majorEastAsia" w:eastAsiaTheme="majorEastAsia"/>
          <w:bCs/>
          <w:color w:val="auto"/>
          <w:sz w:val="24"/>
          <w:highlight w:val="none"/>
        </w:rPr>
        <w:t>。</w:t>
      </w:r>
    </w:p>
    <w:p>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rPr>
        <w:t>政采云平台（https://www.zcygov.cn/）。</w:t>
      </w:r>
    </w:p>
    <w:p>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宁波市奉化区公共资源交易中心开标厅二（宁波市奉化区大成东路277号4楼）</w:t>
      </w:r>
    </w:p>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按照平台提示和招标文件的规定在半小时内完成在线解密。⑨具体操作指南：详见政采云平台“服务中心-帮助文档-项目采购-操作流程-电子招投标-政府采购项目电子交易管理操作指南-供应商”。</w:t>
      </w:r>
    </w:p>
    <w:p>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p>
    <w:p>
      <w:pPr>
        <w:shd w:val="clear"/>
        <w:spacing w:line="360" w:lineRule="auto"/>
        <w:rPr>
          <w:rFonts w:ascii="宋体" w:hAnsi="宋体" w:cs="仿宋"/>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ascii="宋体" w:hAnsi="宋体" w:cs="仿宋"/>
          <w:color w:val="auto"/>
          <w:sz w:val="24"/>
          <w:highlight w:val="none"/>
        </w:rPr>
        <w:t xml:space="preserve">    1.采购人信息</w:t>
      </w:r>
    </w:p>
    <w:p>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名    称：</w:t>
      </w:r>
      <w:r>
        <w:rPr>
          <w:rFonts w:hint="eastAsia" w:ascii="宋体" w:hAnsi="宋体" w:cs="宋体"/>
          <w:color w:val="auto"/>
          <w:sz w:val="24"/>
          <w:highlight w:val="none"/>
        </w:rPr>
        <w:t>宁波市奉化区惠江基础设施建设有限公司</w:t>
      </w:r>
    </w:p>
    <w:p>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地    址：</w:t>
      </w:r>
      <w:r>
        <w:rPr>
          <w:rFonts w:hint="eastAsia" w:ascii="宋体" w:hAnsi="宋体" w:cs="宋体"/>
          <w:color w:val="auto"/>
          <w:sz w:val="24"/>
          <w:highlight w:val="none"/>
        </w:rPr>
        <w:t>宁波市奉化区金城大厦16楼</w:t>
      </w:r>
    </w:p>
    <w:p>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 xml:space="preserve">传    真：/ </w:t>
      </w:r>
    </w:p>
    <w:p>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项目联系人（询问）：</w:t>
      </w:r>
      <w:r>
        <w:rPr>
          <w:rFonts w:hint="eastAsia" w:ascii="宋体" w:hAnsi="宋体" w:cs="宋体"/>
          <w:color w:val="auto"/>
          <w:sz w:val="24"/>
          <w:highlight w:val="none"/>
        </w:rPr>
        <w:t>沈先生</w:t>
      </w:r>
    </w:p>
    <w:p>
      <w:pPr>
        <w:shd w:val="clear"/>
        <w:spacing w:line="300" w:lineRule="auto"/>
        <w:ind w:firstLine="420"/>
        <w:rPr>
          <w:rFonts w:ascii="宋体" w:hAnsi="宋体" w:cs="仿宋"/>
          <w:color w:val="auto"/>
          <w:sz w:val="24"/>
          <w:highlight w:val="none"/>
        </w:rPr>
      </w:pPr>
      <w:r>
        <w:rPr>
          <w:rFonts w:hint="eastAsia" w:ascii="宋体" w:hAnsi="宋体" w:cs="仿宋"/>
          <w:color w:val="auto"/>
          <w:sz w:val="24"/>
          <w:highlight w:val="none"/>
        </w:rPr>
        <w:t>项目联系方式（询问）：</w:t>
      </w:r>
      <w:r>
        <w:rPr>
          <w:rFonts w:hint="eastAsia" w:ascii="宋体" w:hAnsi="宋体" w:cs="宋体"/>
          <w:color w:val="auto"/>
          <w:sz w:val="24"/>
          <w:highlight w:val="none"/>
        </w:rPr>
        <w:t>13989369817</w:t>
      </w:r>
    </w:p>
    <w:p>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2.采购代理机构信息            </w:t>
      </w:r>
    </w:p>
    <w:p>
      <w:pPr>
        <w:shd w:val="clear"/>
        <w:spacing w:line="360" w:lineRule="auto"/>
        <w:ind w:firstLine="480"/>
        <w:rPr>
          <w:rFonts w:ascii="宋体" w:hAnsi="宋体"/>
          <w:color w:val="auto"/>
          <w:sz w:val="24"/>
          <w:highlight w:val="none"/>
        </w:rPr>
      </w:pPr>
      <w:r>
        <w:rPr>
          <w:rFonts w:hint="eastAsia" w:ascii="宋体" w:hAnsi="宋体" w:cs="仿宋"/>
          <w:color w:val="auto"/>
          <w:sz w:val="24"/>
          <w:highlight w:val="none"/>
        </w:rPr>
        <w:t>名    称：</w:t>
      </w:r>
      <w:r>
        <w:rPr>
          <w:rFonts w:hint="eastAsia" w:ascii="宋体" w:hAnsi="宋体"/>
          <w:color w:val="auto"/>
          <w:sz w:val="24"/>
          <w:highlight w:val="none"/>
        </w:rPr>
        <w:t>宁波敬信项目管理咨询有限公司</w:t>
      </w:r>
    </w:p>
    <w:p>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地    址：</w:t>
      </w:r>
      <w:r>
        <w:rPr>
          <w:rFonts w:hint="eastAsia"/>
          <w:color w:val="auto"/>
          <w:sz w:val="24"/>
          <w:highlight w:val="none"/>
        </w:rPr>
        <w:t>宁波市奉化区岳林东路商业二</w:t>
      </w:r>
      <w:r>
        <w:rPr>
          <w:color w:val="auto"/>
          <w:sz w:val="24"/>
          <w:highlight w:val="none"/>
        </w:rPr>
        <w:t>16</w:t>
      </w:r>
      <w:r>
        <w:rPr>
          <w:rFonts w:hint="eastAsia"/>
          <w:color w:val="auto"/>
          <w:sz w:val="24"/>
          <w:highlight w:val="none"/>
        </w:rPr>
        <w:t>幢</w:t>
      </w:r>
      <w:r>
        <w:rPr>
          <w:color w:val="auto"/>
          <w:sz w:val="24"/>
          <w:highlight w:val="none"/>
        </w:rPr>
        <w:t>502</w:t>
      </w:r>
      <w:r>
        <w:rPr>
          <w:rFonts w:hint="eastAsia"/>
          <w:color w:val="auto"/>
          <w:sz w:val="24"/>
          <w:highlight w:val="none"/>
        </w:rPr>
        <w:t>室（惠政丽都北门）</w:t>
      </w:r>
      <w:r>
        <w:rPr>
          <w:rFonts w:hint="eastAsia" w:ascii="宋体" w:hAnsi="宋体" w:cs="仿宋"/>
          <w:color w:val="auto"/>
          <w:sz w:val="24"/>
          <w:highlight w:val="none"/>
        </w:rPr>
        <w:t xml:space="preserve"> </w:t>
      </w:r>
    </w:p>
    <w:p>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传    真：</w:t>
      </w:r>
      <w:r>
        <w:rPr>
          <w:rFonts w:ascii="宋体" w:hAnsi="宋体"/>
          <w:color w:val="auto"/>
          <w:sz w:val="24"/>
          <w:highlight w:val="none"/>
        </w:rPr>
        <w:t>0574-88</w:t>
      </w:r>
      <w:r>
        <w:rPr>
          <w:rFonts w:hint="eastAsia" w:ascii="宋体" w:hAnsi="宋体"/>
          <w:color w:val="auto"/>
          <w:sz w:val="24"/>
          <w:highlight w:val="none"/>
        </w:rPr>
        <w:t>986381</w:t>
      </w:r>
      <w:r>
        <w:rPr>
          <w:rFonts w:hint="eastAsia" w:ascii="宋体" w:hAnsi="宋体" w:cs="仿宋"/>
          <w:color w:val="auto"/>
          <w:sz w:val="24"/>
          <w:highlight w:val="none"/>
        </w:rPr>
        <w:t xml:space="preserve">            </w:t>
      </w:r>
    </w:p>
    <w:p>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项目联系人（询问）：</w:t>
      </w:r>
      <w:r>
        <w:rPr>
          <w:rFonts w:hint="eastAsia" w:ascii="宋体" w:hAnsi="宋体"/>
          <w:color w:val="auto"/>
          <w:sz w:val="24"/>
          <w:highlight w:val="none"/>
        </w:rPr>
        <w:t>卓先生</w:t>
      </w:r>
      <w:r>
        <w:rPr>
          <w:rFonts w:hint="eastAsia" w:ascii="宋体" w:hAnsi="宋体" w:cs="仿宋"/>
          <w:color w:val="auto"/>
          <w:sz w:val="24"/>
          <w:highlight w:val="none"/>
        </w:rPr>
        <w:t xml:space="preserve">        </w:t>
      </w:r>
    </w:p>
    <w:p>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项目联系方式（询问）：</w:t>
      </w:r>
      <w:r>
        <w:rPr>
          <w:rFonts w:ascii="宋体" w:hAnsi="宋体"/>
          <w:color w:val="auto"/>
          <w:sz w:val="24"/>
          <w:highlight w:val="none"/>
        </w:rPr>
        <w:t>0574-</w:t>
      </w:r>
      <w:r>
        <w:rPr>
          <w:rFonts w:hint="eastAsia" w:ascii="宋体" w:hAnsi="宋体"/>
          <w:color w:val="auto"/>
          <w:sz w:val="24"/>
          <w:highlight w:val="none"/>
        </w:rPr>
        <w:t>88986375</w:t>
      </w:r>
    </w:p>
    <w:p>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质疑联系人：</w:t>
      </w:r>
      <w:r>
        <w:rPr>
          <w:rFonts w:hint="eastAsia" w:ascii="宋体" w:hAnsi="宋体"/>
          <w:color w:val="auto"/>
          <w:sz w:val="24"/>
          <w:szCs w:val="21"/>
          <w:highlight w:val="none"/>
        </w:rPr>
        <w:t>唐先生</w:t>
      </w:r>
      <w:r>
        <w:rPr>
          <w:rFonts w:hint="eastAsia" w:ascii="宋体" w:hAnsi="宋体" w:cs="仿宋"/>
          <w:color w:val="auto"/>
          <w:sz w:val="24"/>
          <w:highlight w:val="none"/>
        </w:rPr>
        <w:t xml:space="preserve">             </w:t>
      </w:r>
    </w:p>
    <w:p>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质疑联系方式：</w:t>
      </w:r>
      <w:r>
        <w:rPr>
          <w:rFonts w:hint="eastAsia" w:ascii="宋体" w:hAnsi="宋体"/>
          <w:color w:val="auto"/>
          <w:sz w:val="24"/>
          <w:szCs w:val="21"/>
          <w:highlight w:val="none"/>
        </w:rPr>
        <w:t>0574-88986379</w:t>
      </w:r>
    </w:p>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3.同级监督管理部门            </w:t>
      </w:r>
    </w:p>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名    称：</w:t>
      </w:r>
      <w:r>
        <w:rPr>
          <w:rFonts w:hint="eastAsia" w:ascii="宋体" w:hAnsi="宋体" w:cs="宋体"/>
          <w:bCs/>
          <w:color w:val="auto"/>
          <w:sz w:val="24"/>
          <w:highlight w:val="none"/>
        </w:rPr>
        <w:t>宁波市奉化区国有资产管理中心</w:t>
      </w:r>
    </w:p>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地    址：</w:t>
      </w:r>
      <w:r>
        <w:rPr>
          <w:rFonts w:hint="eastAsia" w:ascii="宋体" w:hAnsi="宋体" w:cs="宋体"/>
          <w:bCs/>
          <w:color w:val="auto"/>
          <w:sz w:val="24"/>
          <w:highlight w:val="none"/>
        </w:rPr>
        <w:t>宁波市奉化区大成东路275号</w:t>
      </w:r>
    </w:p>
    <w:p>
      <w:pPr>
        <w:shd w:val="clear"/>
        <w:spacing w:line="360" w:lineRule="auto"/>
        <w:ind w:firstLine="240"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传    真：  </w:t>
      </w:r>
      <w:r>
        <w:rPr>
          <w:rFonts w:hint="eastAsia" w:ascii="宋体" w:hAnsi="宋体" w:cs="宋体"/>
          <w:bCs/>
          <w:color w:val="auto"/>
          <w:sz w:val="24"/>
          <w:highlight w:val="none"/>
        </w:rPr>
        <w:t>0574-89285446</w:t>
      </w:r>
      <w:r>
        <w:rPr>
          <w:rFonts w:hint="eastAsia" w:cs="仿宋" w:asciiTheme="majorEastAsia" w:hAnsiTheme="majorEastAsia" w:eastAsiaTheme="majorEastAsia"/>
          <w:color w:val="auto"/>
          <w:sz w:val="24"/>
          <w:highlight w:val="none"/>
        </w:rPr>
        <w:t xml:space="preserve"> </w:t>
      </w:r>
    </w:p>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联 系 人 ：</w:t>
      </w:r>
      <w:r>
        <w:rPr>
          <w:rFonts w:hint="eastAsia" w:ascii="宋体" w:hAnsi="宋体" w:cs="宋体"/>
          <w:bCs/>
          <w:color w:val="auto"/>
          <w:sz w:val="24"/>
          <w:highlight w:val="none"/>
        </w:rPr>
        <w:t>竺女士</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监督投诉电话： </w:t>
      </w:r>
      <w:r>
        <w:rPr>
          <w:rFonts w:hint="eastAsia" w:ascii="宋体" w:hAnsi="宋体" w:cs="宋体"/>
          <w:bCs/>
          <w:color w:val="auto"/>
          <w:sz w:val="24"/>
          <w:highlight w:val="none"/>
        </w:rPr>
        <w:t>0574-89285446</w:t>
      </w:r>
      <w:r>
        <w:rPr>
          <w:rFonts w:hint="eastAsia" w:cs="仿宋" w:asciiTheme="majorEastAsia" w:hAnsiTheme="majorEastAsia" w:eastAsiaTheme="majorEastAsia"/>
          <w:color w:val="auto"/>
          <w:sz w:val="24"/>
          <w:highlight w:val="none"/>
        </w:rPr>
        <w:t xml:space="preserve">         </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pPr>
        <w:pStyle w:val="12"/>
        <w:shd w:val="clear"/>
        <w:spacing w:line="360" w:lineRule="auto"/>
        <w:ind w:firstLine="480" w:firstLineChars="20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color w:val="auto"/>
          <w:sz w:val="24"/>
          <w:highlight w:val="none"/>
        </w:rPr>
        <w:t xml:space="preserve">                         </w:t>
      </w:r>
    </w:p>
    <w:p>
      <w:pPr>
        <w:shd w:val="clear"/>
        <w:spacing w:line="360" w:lineRule="auto"/>
        <w:jc w:val="center"/>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第二部分</w:t>
      </w:r>
      <w:bookmarkEnd w:id="8"/>
      <w:r>
        <w:rPr>
          <w:rFonts w:hint="eastAsia" w:cs="仿宋" w:asciiTheme="majorEastAsia" w:hAnsiTheme="majorEastAsia" w:eastAsiaTheme="majorEastAsia"/>
          <w:b/>
          <w:color w:val="auto"/>
          <w:sz w:val="36"/>
          <w:szCs w:val="20"/>
          <w:highlight w:val="none"/>
        </w:rPr>
        <w:t xml:space="preserve"> 投标须知</w:t>
      </w:r>
      <w:bookmarkEnd w:id="9"/>
    </w:p>
    <w:p>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24"/>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cs="仿宋" w:asciiTheme="majorEastAsia" w:hAnsiTheme="majorEastAsia" w:eastAsiaTheme="majorEastAsia"/>
                <w:color w:val="auto"/>
                <w:sz w:val="24"/>
                <w:highlight w:val="none"/>
              </w:rPr>
            </w:pPr>
          </w:p>
          <w:p>
            <w:pPr>
              <w:shd w:val="clear"/>
              <w:snapToGrid w:val="0"/>
              <w:spacing w:line="360" w:lineRule="auto"/>
              <w:jc w:val="center"/>
              <w:rPr>
                <w:rFonts w:cs="仿宋" w:asciiTheme="majorEastAsia" w:hAnsiTheme="majorEastAsia" w:eastAsiaTheme="majorEastAsia"/>
                <w:color w:val="auto"/>
                <w:sz w:val="24"/>
                <w:highlight w:val="none"/>
              </w:rPr>
            </w:pPr>
          </w:p>
          <w:p>
            <w:pPr>
              <w:shd w:val="clear"/>
              <w:snapToGrid w:val="0"/>
              <w:spacing w:line="360" w:lineRule="auto"/>
              <w:jc w:val="center"/>
              <w:rPr>
                <w:rFonts w:cs="仿宋" w:asciiTheme="majorEastAsia" w:hAnsiTheme="majorEastAsia" w:eastAsiaTheme="majorEastAsia"/>
                <w:color w:val="auto"/>
                <w:sz w:val="24"/>
                <w:highlight w:val="none"/>
              </w:rPr>
            </w:pPr>
          </w:p>
          <w:p>
            <w:pPr>
              <w:shd w:val="clear"/>
              <w:snapToGrid w:val="0"/>
              <w:spacing w:line="360" w:lineRule="auto"/>
              <w:jc w:val="center"/>
              <w:rPr>
                <w:rFonts w:cs="仿宋" w:asciiTheme="majorEastAsia" w:hAnsiTheme="majorEastAsia" w:eastAsiaTheme="majorEastAsia"/>
                <w:color w:val="auto"/>
                <w:sz w:val="24"/>
                <w:highlight w:val="none"/>
              </w:rPr>
            </w:pPr>
          </w:p>
          <w:p>
            <w:pPr>
              <w:shd w:val="clear"/>
              <w:snapToGrid w:val="0"/>
              <w:spacing w:line="360" w:lineRule="auto"/>
              <w:jc w:val="center"/>
              <w:rPr>
                <w:rFonts w:cs="仿宋" w:asciiTheme="majorEastAsia" w:hAnsiTheme="majorEastAsia" w:eastAsiaTheme="majorEastAsia"/>
                <w:color w:val="auto"/>
                <w:sz w:val="24"/>
                <w:highlight w:val="none"/>
              </w:rPr>
            </w:pPr>
          </w:p>
          <w:p>
            <w:pPr>
              <w:shd w:val="clear"/>
              <w:snapToGrid w:val="0"/>
              <w:spacing w:line="360" w:lineRule="auto"/>
              <w:jc w:val="center"/>
              <w:rPr>
                <w:rFonts w:cs="仿宋" w:asciiTheme="majorEastAsia" w:hAnsiTheme="majorEastAsia" w:eastAsiaTheme="majorEastAsia"/>
                <w:color w:val="auto"/>
                <w:sz w:val="24"/>
                <w:highlight w:val="none"/>
              </w:rPr>
            </w:pPr>
          </w:p>
          <w:p>
            <w:pPr>
              <w:shd w:val="clear"/>
              <w:snapToGrid w:val="0"/>
              <w:spacing w:line="360" w:lineRule="auto"/>
              <w:jc w:val="center"/>
              <w:rPr>
                <w:rFonts w:cs="仿宋" w:asciiTheme="majorEastAsia" w:hAnsiTheme="majorEastAsia" w:eastAsiaTheme="majorEastAsia"/>
                <w:color w:val="auto"/>
                <w:sz w:val="24"/>
                <w:highlight w:val="none"/>
              </w:rPr>
            </w:pPr>
          </w:p>
          <w:p>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有关本项目实施所需的所有费用（含税费）均计入报价。</w:t>
            </w:r>
            <w:r>
              <w:rPr>
                <w:rFonts w:hint="eastAsia" w:cs="仿宋" w:asciiTheme="majorEastAsia" w:hAnsiTheme="majorEastAsia" w:eastAsiaTheme="majorEastAsia"/>
                <w:color w:val="auto"/>
                <w:sz w:val="24"/>
                <w:highlight w:val="none"/>
              </w:rPr>
              <w:t>开标一览表是报价的唯一载体</w:t>
            </w:r>
            <w:r>
              <w:rPr>
                <w:rFonts w:hint="eastAsia" w:cs="仿宋" w:asciiTheme="majorEastAsia" w:hAnsiTheme="majorEastAsia" w:eastAsiaTheme="majorEastAsia"/>
                <w:color w:val="auto"/>
                <w:kern w:val="0"/>
                <w:sz w:val="24"/>
                <w:highlight w:val="none"/>
                <w:lang w:val="zh-CN"/>
              </w:rPr>
              <w:t>。投标文件中价格全部采用人民币报价。招标文件未列明，而供应商认为必需的费用也需列入报价。</w:t>
            </w:r>
          </w:p>
          <w:p>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投标报价出现下列情形的，投标无效：</w:t>
            </w:r>
          </w:p>
          <w:p>
            <w:pPr>
              <w:shd w:val="clear"/>
              <w:snapToGrid w:val="0"/>
              <w:spacing w:line="360" w:lineRule="auto"/>
              <w:ind w:firstLine="241" w:firstLineChars="100"/>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投标文件出现不是唯一的、有选择性投标报价的；</w:t>
            </w:r>
          </w:p>
          <w:p>
            <w:pPr>
              <w:shd w:val="clear"/>
              <w:snapToGrid w:val="0"/>
              <w:spacing w:line="360" w:lineRule="auto"/>
              <w:ind w:firstLine="241" w:firstLineChars="1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投标报价超过招标文件中规定的预算金额或者最高限价的;</w:t>
            </w:r>
          </w:p>
          <w:p>
            <w:pPr>
              <w:shd w:val="clear"/>
              <w:spacing w:line="360" w:lineRule="auto"/>
              <w:ind w:firstLine="241" w:firstLineChars="1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highlight w:val="none"/>
              </w:rPr>
              <w:t>;</w:t>
            </w:r>
          </w:p>
          <w:p>
            <w:pPr>
              <w:shd w:val="clear"/>
              <w:spacing w:line="360" w:lineRule="auto"/>
              <w:ind w:firstLine="241"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kern w:val="0"/>
                <w:sz w:val="24"/>
                <w:highlight w:val="none"/>
              </w:rPr>
              <w:t>供应商对根据修正原则修正后的报价不确认的</w:t>
            </w:r>
            <w:r>
              <w:rPr>
                <w:rFonts w:hint="eastAsia" w:cs="仿宋" w:asciiTheme="majorEastAsia" w:hAnsiTheme="majorEastAsia" w:eastAsiaTheme="maj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pStyle w:val="12"/>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投标保证金：人民币伍仟元整。投标保证金须从投标人的基本账户转出以非现金方式交纳，形式：单位网银、转账支票、银行汇票或汇兑。</w:t>
            </w:r>
          </w:p>
          <w:p>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账户名：宁波市奉化区政务服务中心(区公共资源交易中心)</w:t>
            </w:r>
          </w:p>
          <w:p>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账号：231000003436009001610</w:t>
            </w:r>
          </w:p>
          <w:p>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开户行：宁波奉化农村商业银行股份有限公司锦屏支行</w:t>
            </w:r>
          </w:p>
          <w:p>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电话、传真：0574—88589092</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在2022年09月14日下午16时前须足额缴纳（以实际到账时间为准），并在汇款信息或转账支票中注明项目名称。</w:t>
            </w:r>
          </w:p>
          <w:p>
            <w:pPr>
              <w:pStyle w:val="6"/>
              <w:shd w:val="clear"/>
              <w:spacing w:line="360" w:lineRule="auto"/>
              <w:ind w:firstLine="0"/>
              <w:jc w:val="left"/>
              <w:rPr>
                <w:rFonts w:cs="仿宋" w:asciiTheme="majorEastAsia" w:hAnsiTheme="majorEastAsia" w:eastAsiaTheme="majorEastAsia"/>
                <w:b/>
                <w:color w:val="auto"/>
                <w:kern w:val="0"/>
                <w:sz w:val="24"/>
                <w:highlight w:val="none"/>
              </w:rPr>
            </w:pPr>
            <w:r>
              <w:rPr>
                <w:rFonts w:hint="eastAsia" w:hAnsi="宋体"/>
                <w:b/>
                <w:color w:val="auto"/>
                <w:sz w:val="24"/>
                <w:highlight w:val="none"/>
              </w:rPr>
              <w:t>注：</w:t>
            </w:r>
            <w:r>
              <w:rPr>
                <w:rFonts w:hint="eastAsia" w:hAnsi="宋体"/>
                <w:color w:val="auto"/>
                <w:sz w:val="24"/>
                <w:highlight w:val="none"/>
              </w:rPr>
              <w:t>▲</w:t>
            </w:r>
            <w:r>
              <w:rPr>
                <w:rFonts w:hint="eastAsia" w:hAnsi="宋体"/>
                <w:b/>
                <w:color w:val="auto"/>
                <w:sz w:val="24"/>
                <w:highlight w:val="none"/>
              </w:rPr>
              <w:t>投标保证金按规定时间到账，超时的作无效标处理。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ind w:firstLine="482" w:firstLineChars="20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jc w:val="left"/>
              <w:rPr>
                <w:rFonts w:cs="仿宋" w:asciiTheme="majorEastAsia" w:hAnsiTheme="majorEastAsia" w:eastAsiaTheme="majorEastAsia"/>
                <w:color w:val="auto"/>
                <w:sz w:val="24"/>
                <w:highlight w:val="none"/>
              </w:rPr>
            </w:pPr>
            <w:r>
              <w:rPr>
                <w:rFonts w:hint="eastAsia" w:cs="仿宋" w:asciiTheme="minorEastAsia" w:hAnsiTheme="minorEastAsia" w:eastAsiaTheme="minorEastAsia"/>
                <w:color w:val="auto"/>
                <w:kern w:val="0"/>
                <w:sz w:val="24"/>
                <w:highlight w:val="none"/>
              </w:rPr>
              <w:sym w:font="Wingdings" w:char="F0FE"/>
            </w:r>
            <w:r>
              <w:rPr>
                <w:rFonts w:hint="eastAsia" w:cs="仿宋" w:asciiTheme="minorEastAsia" w:hAnsiTheme="minorEastAsia" w:eastAsiaTheme="minorEastAsia"/>
                <w:color w:val="auto"/>
                <w:kern w:val="0"/>
                <w:sz w:val="24"/>
                <w:highlight w:val="none"/>
              </w:rPr>
              <w:t>B</w:t>
            </w:r>
            <w:r>
              <w:rPr>
                <w:rFonts w:hint="eastAsia" w:cs="仿宋" w:asciiTheme="minorEastAsia" w:hAnsiTheme="minorEastAsia" w:eastAsiaTheme="minorEastAsia"/>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资格证明文件：见招标文件第二部分9.1。</w:t>
            </w:r>
          </w:p>
          <w:p>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资格证明文件不全的或者不符合招标文件标明的资格要求的</w:t>
            </w:r>
            <w:r>
              <w:rPr>
                <w:rFonts w:hint="eastAsia" w:cs="仿宋" w:asciiTheme="majorEastAsia" w:hAnsiTheme="majorEastAsia" w:eastAsiaTheme="majorEastAsia"/>
                <w:color w:val="auto"/>
                <w:sz w:val="24"/>
                <w:highlight w:val="none"/>
                <w:lang w:val="zh-CN"/>
              </w:rPr>
              <w:t>，视为供应商不具备招标文件中规定的资格要求，投标无效。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cs="仿宋" w:asciiTheme="majorEastAsia" w:hAnsiTheme="majorEastAsia" w:eastAsiaTheme="majorEastAsia"/>
                <w:color w:val="auto"/>
                <w:sz w:val="24"/>
                <w:highlight w:val="none"/>
              </w:rPr>
            </w:pPr>
          </w:p>
          <w:p>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kern w:val="0"/>
                <w:sz w:val="24"/>
                <w:highlight w:val="none"/>
              </w:rPr>
              <w:sym w:font="Wingdings" w:char="F0FE"/>
            </w:r>
            <w:r>
              <w:rPr>
                <w:rFonts w:hint="eastAsia" w:cs="仿宋" w:asciiTheme="minorEastAsia" w:hAnsiTheme="minorEastAsia" w:eastAsiaTheme="minorEastAsia"/>
                <w:color w:val="auto"/>
                <w:kern w:val="0"/>
                <w:sz w:val="24"/>
                <w:highlight w:val="none"/>
              </w:rPr>
              <w:t>A</w:t>
            </w:r>
            <w:r>
              <w:rPr>
                <w:rFonts w:hint="eastAsia" w:cs="仿宋" w:asciiTheme="minorEastAsia" w:hAnsiTheme="minorEastAsia" w:eastAsiaTheme="minorEastAsia"/>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kern w:val="0"/>
                <w:sz w:val="24"/>
                <w:highlight w:val="none"/>
              </w:rPr>
              <w:sym w:font="Wingdings" w:char="00FE"/>
            </w:r>
            <w:r>
              <w:rPr>
                <w:rFonts w:hint="eastAsia" w:cs="仿宋" w:asciiTheme="minorEastAsia" w:hAnsiTheme="minorEastAsia" w:eastAsiaTheme="minorEastAsia"/>
                <w:color w:val="auto"/>
                <w:kern w:val="0"/>
                <w:sz w:val="24"/>
                <w:highlight w:val="none"/>
              </w:rPr>
              <w:t>A</w:t>
            </w:r>
            <w:r>
              <w:rPr>
                <w:rFonts w:hint="eastAsia" w:cs="仿宋" w:asciiTheme="minorEastAsia" w:hAnsiTheme="minorEastAsia" w:eastAsiaTheme="minorEastAsia"/>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产品功能演示</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sym w:font="Wingdings" w:char="F0FE"/>
            </w:r>
            <w:r>
              <w:rPr>
                <w:rFonts w:hint="eastAsia" w:cs="仿宋" w:asciiTheme="minorEastAsia" w:hAnsiTheme="minorEastAsia" w:eastAsiaTheme="minorEastAsia"/>
                <w:color w:val="auto"/>
                <w:kern w:val="0"/>
                <w:sz w:val="24"/>
                <w:highlight w:val="none"/>
              </w:rPr>
              <w:t>B组织。演示内容：详见“评分标准表”。</w:t>
            </w:r>
          </w:p>
          <w:p>
            <w:pPr>
              <w:shd w:val="clear"/>
              <w:spacing w:line="360" w:lineRule="auto"/>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演示内容以U盘形式邮寄，投标人可在投标截止时间前将视频文件装袋密封后邮寄至宁波敬信项目管理咨询有限公司，密封袋上需标注项目名称、项目编号、投标人名称并加盖公章（地址：宁波市奉化区岳林东路商业二16幢502室（惠政丽都北门），收件人：方女士，联系电话：15728016780，快递以签收时间为准）。</w:t>
            </w:r>
          </w:p>
          <w:p>
            <w:pPr>
              <w:shd w:val="clear"/>
              <w:spacing w:line="360" w:lineRule="auto"/>
              <w:rPr>
                <w:color w:val="auto"/>
                <w:highlight w:val="none"/>
              </w:rPr>
            </w:pPr>
            <w:r>
              <w:rPr>
                <w:rFonts w:hint="eastAsia" w:cs="仿宋" w:asciiTheme="majorEastAsia" w:hAnsiTheme="majorEastAsia" w:eastAsiaTheme="majorEastAsia"/>
                <w:color w:val="auto"/>
                <w:sz w:val="24"/>
                <w:highlight w:val="none"/>
                <w:lang w:val="zh-CN"/>
              </w:rPr>
              <w:t>邮寄公司推荐采用EMS或顺丰，快递费用由投标供应商承担，如投标供应商选择快递费到付，机构将拒签并退回，逾期送达或未密封的将被拒收。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color w:val="auto"/>
                <w:sz w:val="24"/>
                <w:highlight w:val="none"/>
              </w:rPr>
            </w:pPr>
            <w:r>
              <w:rPr>
                <w:rFonts w:cs="仿宋" w:asciiTheme="majorEastAsia" w:hAnsiTheme="majorEastAsia" w:eastAsiaTheme="majorEastAsia"/>
                <w:color w:val="auto"/>
                <w:kern w:val="0"/>
                <w:sz w:val="24"/>
                <w:highlight w:val="none"/>
              </w:rPr>
              <w:t></w:t>
            </w:r>
            <w:r>
              <w:rPr>
                <w:rFonts w:hint="eastAsia" w:cs="仿宋" w:asciiTheme="majorEastAsia" w:hAnsiTheme="majorEastAsia" w:eastAsiaTheme="majorEastAsia"/>
                <w:color w:val="auto"/>
                <w:sz w:val="24"/>
                <w:highlight w:val="none"/>
              </w:rPr>
              <w:t>货物类，单一产品或</w:t>
            </w:r>
            <w:r>
              <w:rPr>
                <w:rFonts w:hint="eastAsia" w:cs="仿宋" w:asciiTheme="majorEastAsia" w:hAnsiTheme="majorEastAsia" w:eastAsiaTheme="majorEastAsia"/>
                <w:color w:val="auto"/>
                <w:kern w:val="0"/>
                <w:sz w:val="24"/>
                <w:highlight w:val="none"/>
              </w:rPr>
              <w:t>核心产品为：</w:t>
            </w:r>
            <w:r>
              <w:rPr>
                <w:rFonts w:hint="eastAsia" w:cs="仿宋" w:asciiTheme="majorEastAsia" w:hAnsiTheme="majorEastAsia" w:eastAsiaTheme="majorEastAsia"/>
                <w:color w:val="auto"/>
                <w:kern w:val="0"/>
                <w:sz w:val="24"/>
                <w:highlight w:val="none"/>
                <w:u w:val="single"/>
              </w:rPr>
              <w:t>路灯</w:t>
            </w:r>
            <w:r>
              <w:rPr>
                <w:rFonts w:hint="eastAsia" w:cs="仿宋" w:asciiTheme="majorEastAsia" w:hAnsiTheme="majorEastAsia" w:eastAsiaTheme="majorEastAsia"/>
                <w:color w:val="auto"/>
                <w:sz w:val="24"/>
                <w:highlight w:val="none"/>
              </w:rPr>
              <w:t>。</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多家</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提供相同品牌产品（单一产品采购项目中的该产品或者非单一产品采购项目的核心产品）且通过资格审查、符合性审查的不同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参加同一合同项下投标的，按一家</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计算，评审后得分最高的同品牌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获得中标人推荐资格；评审得分相同的，报价评审得分最高的同品牌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获得中标人推荐资格；评审得分和报价评审得分均相同的，由采购人或评标委员会采取随机抽取方式确定，其他同品牌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标的：</w:t>
            </w:r>
            <w:r>
              <w:rPr>
                <w:rFonts w:hint="eastAsia" w:cs="仿宋" w:asciiTheme="majorEastAsia" w:hAnsiTheme="majorEastAsia" w:eastAsiaTheme="majorEastAsia"/>
                <w:color w:val="auto"/>
                <w:sz w:val="24"/>
                <w:highlight w:val="none"/>
                <w:u w:val="single"/>
              </w:rPr>
              <w:t>路灯</w:t>
            </w:r>
            <w:r>
              <w:rPr>
                <w:rFonts w:hint="eastAsia" w:cs="仿宋" w:asciiTheme="majorEastAsia" w:hAnsiTheme="majorEastAsia" w:eastAsiaTheme="majorEastAsia"/>
                <w:color w:val="auto"/>
                <w:kern w:val="0"/>
                <w:sz w:val="24"/>
                <w:highlight w:val="none"/>
              </w:rPr>
              <w:t>，属于</w:t>
            </w:r>
            <w:r>
              <w:rPr>
                <w:rFonts w:hint="eastAsia" w:cs="仿宋" w:asciiTheme="majorEastAsia" w:hAnsiTheme="majorEastAsia" w:eastAsiaTheme="majorEastAsia"/>
                <w:color w:val="auto"/>
                <w:kern w:val="0"/>
                <w:sz w:val="24"/>
                <w:highlight w:val="none"/>
                <w:u w:val="single"/>
              </w:rPr>
              <w:t>工业</w:t>
            </w:r>
            <w:r>
              <w:rPr>
                <w:rFonts w:hint="eastAsia" w:cs="仿宋" w:asciiTheme="majorEastAsia" w:hAnsiTheme="majorEastAsia" w:eastAsiaTheme="majorEastAsia"/>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snapToGrid w:val="0"/>
                <w:color w:val="auto"/>
                <w:kern w:val="28"/>
                <w:sz w:val="24"/>
                <w:highlight w:val="none"/>
              </w:rPr>
            </w:pPr>
            <w:r>
              <w:rPr>
                <w:rFonts w:hint="eastAsia" w:ascii="宋体" w:hAnsi="宋体" w:cs="宋体"/>
                <w:color w:val="auto"/>
                <w:sz w:val="24"/>
                <w:highlight w:val="none"/>
              </w:rPr>
              <w:t>本项目中标服务费</w:t>
            </w:r>
            <w:r>
              <w:rPr>
                <w:rFonts w:hint="eastAsia" w:ascii="宋体" w:hAnsi="宋体" w:cs="宋体"/>
                <w:color w:val="auto"/>
                <w:sz w:val="24"/>
                <w:highlight w:val="none"/>
                <w:u w:val="single"/>
              </w:rPr>
              <w:t xml:space="preserve"> 5200 </w:t>
            </w:r>
            <w:r>
              <w:rPr>
                <w:rFonts w:hint="eastAsia" w:ascii="宋体" w:hAnsi="宋体" w:cs="宋体"/>
                <w:color w:val="auto"/>
                <w:sz w:val="24"/>
                <w:highlight w:val="none"/>
              </w:rPr>
              <w:t>元，中标人应在本公司发出中标通知书5个工作日内向本招标公司支付招标服务费。招标服务费只收现金、银行票汇款、电汇款。</w:t>
            </w:r>
          </w:p>
        </w:tc>
      </w:tr>
    </w:tbl>
    <w:p>
      <w:pPr>
        <w:shd w:val="clear"/>
        <w:snapToGrid w:val="0"/>
        <w:spacing w:line="360" w:lineRule="auto"/>
        <w:jc w:val="center"/>
        <w:rPr>
          <w:rFonts w:cs="仿宋" w:asciiTheme="majorEastAsia" w:hAnsiTheme="majorEastAsia" w:eastAsiaTheme="majorEastAsia"/>
          <w:b/>
          <w:color w:val="auto"/>
          <w:sz w:val="32"/>
          <w:szCs w:val="20"/>
          <w:highlight w:val="none"/>
        </w:rPr>
      </w:pPr>
    </w:p>
    <w:bookmarkEnd w:id="10"/>
    <w:p>
      <w:pPr>
        <w:shd w:val="clear"/>
        <w:spacing w:line="360" w:lineRule="auto"/>
        <w:ind w:firstLine="3845" w:firstLineChars="1197"/>
        <w:outlineLvl w:val="0"/>
        <w:rPr>
          <w:rFonts w:cs="仿宋" w:asciiTheme="majorEastAsia" w:hAnsiTheme="majorEastAsia" w:eastAsiaTheme="majorEastAsia"/>
          <w:b/>
          <w:color w:val="auto"/>
          <w:sz w:val="32"/>
          <w:szCs w:val="20"/>
          <w:highlight w:val="none"/>
        </w:rPr>
      </w:pPr>
      <w:bookmarkStart w:id="11" w:name="_Toc164416483"/>
      <w:bookmarkStart w:id="12" w:name="第三部分"/>
      <w:r>
        <w:rPr>
          <w:rFonts w:hint="eastAsia" w:cs="仿宋" w:asciiTheme="majorEastAsia" w:hAnsiTheme="majorEastAsia" w:eastAsiaTheme="majorEastAsia"/>
          <w:b/>
          <w:color w:val="auto"/>
          <w:sz w:val="32"/>
          <w:szCs w:val="20"/>
          <w:highlight w:val="none"/>
        </w:rPr>
        <w:t>一、总则</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适用范围</w:t>
      </w:r>
    </w:p>
    <w:p>
      <w:pPr>
        <w:shd w:val="clear"/>
        <w:snapToGrid w:val="0"/>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定义</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 “采购人”系指招标公告中载明的本项目的采购人。</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 “采购代理机构”系指招标公告中载明的本项目的采购代理机构。</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”系指是指响应招标、参加投标竞争的法人、其他组织或者自然人。</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2.6“电子交易平台”是指本项目采购活动所依托的采购云平台（https://www.zcygov.cn/）。</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2.7 “▲” 系指实质性要求条款，“</w:t>
      </w:r>
      <w:r>
        <w:rPr>
          <w:rFonts w:ascii="Wingdings" w:hAnsi="Wingdings" w:eastAsia="仿宋" w:cs="仿宋"/>
          <w:color w:val="auto"/>
          <w:kern w:val="0"/>
          <w:sz w:val="24"/>
          <w:highlight w:val="none"/>
        </w:rPr>
        <w:t></w:t>
      </w:r>
      <w:r>
        <w:rPr>
          <w:rFonts w:hint="eastAsia" w:cs="仿宋" w:asciiTheme="majorEastAsia" w:hAnsiTheme="majorEastAsia" w:eastAsiaTheme="majorEastAsia"/>
          <w:color w:val="auto"/>
          <w:sz w:val="24"/>
          <w:highlight w:val="none"/>
        </w:rPr>
        <w:t>” 系指适用本项目的要求，“</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 系指不适用本项目的要求。</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采购项目需要落实的政府采购政策</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3.2 支持节能产品</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3.3支持中小企业发展</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符合中小企业划分标准的个体工商户，在政府采购活动中视同中小企业。</w:t>
      </w:r>
    </w:p>
    <w:p>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Cs/>
          <w:color w:val="auto"/>
          <w:sz w:val="24"/>
          <w:highlight w:val="none"/>
        </w:rPr>
        <w:t>3.3.2</w:t>
      </w:r>
      <w:r>
        <w:rPr>
          <w:rFonts w:hint="eastAsia" w:cs="仿宋" w:asciiTheme="majorEastAsia" w:hAnsiTheme="majorEastAsia" w:eastAsiaTheme="majorEastAsia"/>
          <w:color w:val="auto"/>
          <w:kern w:val="0"/>
          <w:sz w:val="24"/>
          <w:highlight w:val="none"/>
        </w:rPr>
        <w:t>在政府采购活动中，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提供的货物、工程或者服务符合下列情形的，享受中小企业扶持政策：</w:t>
      </w:r>
    </w:p>
    <w:p>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3.3.2.1在货物采购项目中，货物由中小企业制造，即货物由中小企业生产且使用该中小企业商号或者注册商标；</w:t>
      </w:r>
    </w:p>
    <w:p>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3.3.2.2在工程采购项目中，工程由中小企业承建，即工程施工单位为中小企业；</w:t>
      </w:r>
    </w:p>
    <w:p>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在货物采购项目中，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提供的货物既有中小企业制造货物，也有大型企业制造货物的，不享受中小企业扶持政策。</w:t>
      </w:r>
    </w:p>
    <w:p>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3.3.4符合《关于促进残疾人就业政府采购政策的通知》（财库〔2017〕141号）规定的条件并提供《残疾人福利性单位声明函》的残疾人福利性单位视同小型、微型企业；</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3.3.6可享受中小企业扶持政策的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应按照招标文件格式要求提供《中小企业声明函》，</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提供的《中小企业声明函》与实际情况不符的，不享受中小企业扶持政策。声明内容不实的，属于提供虚假材料谋取中标、成交的，依法承担法律责任。</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4.1关于分公司投标</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除银行、保险、石油石化、电力、电信等特殊行业外。法人的分支机构由于不能独立承担民事责任，不能以分支机构的身份参加政府采购，只能以法人身份参加。 </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4.2关于知识产权</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4.2.2 投标报价应包含所有应向所有权人支付的专利权、商标权或其它知识产权的一切相关费用。</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承担所有责任及费用。</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的风险</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承担,并对所提供的全部资料的真实性承担法律责任。</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4.3.2 无论因何种原因导致本次采购活动终止致</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损失的，相关责任人均不承担任何责任。</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询问、质疑、投诉</w:t>
      </w:r>
    </w:p>
    <w:p>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.1供应商询问</w:t>
      </w:r>
    </w:p>
    <w:p>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.2供应商质疑</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5.2.2.1对招标文件提出质疑的，质疑期限为供应商获得招标文件之日或者招标文件公告期限届满之日起计算。</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5.2.2.2对采购过程提出质疑的，质疑期限为各采购程序环节结束之日起计算。</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5.2.2.3对采购结果提出质疑的，质疑期限自采购结果公告期限届满之日起计算。</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5.2.2.4对同一采购程序环节的质疑，供应商须一次性提出。</w:t>
      </w:r>
    </w:p>
    <w:p>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w:t>
      </w:r>
      <w:r>
        <w:rPr>
          <w:rFonts w:hint="eastAsia" w:cs="仿宋" w:asciiTheme="majorEastAsia" w:hAnsiTheme="majorEastAsia" w:eastAsiaTheme="majorEastAsia"/>
          <w:color w:val="auto"/>
          <w:sz w:val="24"/>
          <w:highlight w:val="none"/>
        </w:rPr>
        <w:t>供应商提出质疑应当提交质疑函和必要的证明材料。质疑函应当包括下列内容：</w:t>
      </w:r>
    </w:p>
    <w:p>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.2.3.1供应商的姓名或者名称、地址、邮编、联系人及联系电话；</w:t>
      </w:r>
    </w:p>
    <w:p>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.2.3.2质疑项目的名称、编号；</w:t>
      </w:r>
    </w:p>
    <w:p>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.2.3.3具体、明确的质疑事项和与质疑事项相关的请求；</w:t>
      </w:r>
    </w:p>
    <w:p>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.2.3.4事实依据；</w:t>
      </w:r>
    </w:p>
    <w:p>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.2.3.5必要的法律依据；</w:t>
      </w:r>
    </w:p>
    <w:p>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.2.3.6提出质疑的日期。</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5.2.3.7对招标文件提出质疑的需要提供在政采云平台获取招标文件的截图。</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质疑函范本请到浙江政府采购网下载专区下载。</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.5询问或者质疑事项可能影响采购结果的，采购人应当暂停签订合同，已经签订合同的，应当中止履行合同。</w:t>
      </w:r>
    </w:p>
    <w:p>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.3供应商投诉</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5.3.1质疑供应商对采购人、采购代理机构的答复不满意或者采购人、采购代理机构未在规定的时间内作出答复的，可以在答复期满后十五个工作日内向同级政府采购监督管理部门提出投诉。</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供应商投诉的事项不得超出已质疑事项的范围，基于质疑答复内容提出的投诉事项除外。</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5.3.3供应商投诉应当有明确的请求和必要的证明材料。</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5.3.5 以联合体形式参加政府采购活动的，其投诉应当由组成联合体的所有供应商共同提出。</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投诉书范本请到浙江政府采购网下载专区下载。</w:t>
      </w:r>
    </w:p>
    <w:p>
      <w:pPr>
        <w:pStyle w:val="2"/>
        <w:shd w:val="clear"/>
        <w:ind w:firstLine="560"/>
        <w:rPr>
          <w:color w:val="auto"/>
          <w:highlight w:val="none"/>
        </w:rPr>
      </w:pPr>
    </w:p>
    <w:p>
      <w:pPr>
        <w:shd w:val="clea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 xml:space="preserve">      二、招标文件的构成、澄清、修改</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招标文件的构成</w:t>
      </w:r>
    </w:p>
    <w:p>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 招标文件包括下列文件及附件：</w:t>
      </w:r>
    </w:p>
    <w:p>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6.1.1 招标公告；</w:t>
      </w:r>
    </w:p>
    <w:p>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6.1.2 </w:t>
      </w:r>
      <w:r>
        <w:rPr>
          <w:rFonts w:hint="eastAsia" w:cs="仿宋" w:asciiTheme="majorEastAsia" w:hAnsiTheme="majorEastAsia" w:eastAsiaTheme="majorEastAsia"/>
          <w:color w:val="auto"/>
          <w:sz w:val="24"/>
          <w:szCs w:val="24"/>
          <w:highlight w:val="none"/>
          <w:lang w:val="zh-CN"/>
        </w:rPr>
        <w:t>投标</w:t>
      </w:r>
      <w:r>
        <w:rPr>
          <w:rFonts w:hint="eastAsia" w:cs="仿宋" w:asciiTheme="majorEastAsia" w:hAnsiTheme="majorEastAsia" w:eastAsiaTheme="majorEastAsia"/>
          <w:color w:val="auto"/>
          <w:sz w:val="24"/>
          <w:szCs w:val="24"/>
          <w:highlight w:val="none"/>
        </w:rPr>
        <w:t>须知；</w:t>
      </w:r>
    </w:p>
    <w:p>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6.1.3 采购需求；</w:t>
      </w:r>
    </w:p>
    <w:p>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6.1.4 评标办法；</w:t>
      </w:r>
    </w:p>
    <w:p>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6.1.5 拟签订的合同文本；</w:t>
      </w:r>
    </w:p>
    <w:p>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6.1.6 应提交的有关格式范例； </w:t>
      </w:r>
    </w:p>
    <w:p>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6.1.7附件（如有）。</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6.2与本项目有关的</w:t>
      </w:r>
      <w:r>
        <w:rPr>
          <w:rFonts w:hint="eastAsia" w:cs="仿宋" w:asciiTheme="majorEastAsia" w:hAnsiTheme="majorEastAsia" w:eastAsiaTheme="majorEastAsia"/>
          <w:bCs/>
          <w:color w:val="auto"/>
          <w:sz w:val="24"/>
          <w:highlight w:val="none"/>
        </w:rPr>
        <w:t>澄清或者修改的内容为招标文件的组成部分</w:t>
      </w:r>
      <w:r>
        <w:rPr>
          <w:rFonts w:hint="eastAsia" w:cs="仿宋" w:asciiTheme="majorEastAsia" w:hAnsiTheme="majorEastAsia" w:eastAsiaTheme="majorEastAsia"/>
          <w:color w:val="auto"/>
          <w:sz w:val="24"/>
          <w:highlight w:val="none"/>
        </w:rPr>
        <w:t>。</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招标文件的澄清、修改</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7.3 如更正公告有重新发布电子招标文件的，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应下载最新发布的电子招标文件制作投标文件。</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7.4 已获取招标文件的潜在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，若有问题需要澄清，应于投标截止时间前，以书面形式向采购代理机构提出。</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w:t>
      </w:r>
    </w:p>
    <w:p>
      <w:pPr>
        <w:pStyle w:val="2"/>
        <w:shd w:val="clear"/>
        <w:ind w:firstLine="560"/>
        <w:rPr>
          <w:color w:val="auto"/>
          <w:highlight w:val="none"/>
        </w:rPr>
      </w:pPr>
    </w:p>
    <w:p>
      <w:pPr>
        <w:shd w:val="clear"/>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三、投标</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投标文件的语言</w:t>
      </w:r>
    </w:p>
    <w:p>
      <w:pPr>
        <w:shd w:val="clear"/>
        <w:autoSpaceDE w:val="0"/>
        <w:autoSpaceDN w:val="0"/>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投标文件及</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与采购有关的来往通知、函件和文件均应使用中文。</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投标文件的组成</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9.1 </w:t>
      </w:r>
      <w:r>
        <w:rPr>
          <w:rFonts w:hint="eastAsia" w:cs="仿宋" w:asciiTheme="majorEastAsia" w:hAnsiTheme="majorEastAsia" w:eastAsiaTheme="majorEastAsia"/>
          <w:b/>
          <w:color w:val="auto"/>
          <w:sz w:val="24"/>
          <w:highlight w:val="none"/>
        </w:rPr>
        <w:t>资格文件</w:t>
      </w:r>
      <w:r>
        <w:rPr>
          <w:rFonts w:hint="eastAsia" w:cs="仿宋" w:asciiTheme="majorEastAsia" w:hAnsiTheme="majorEastAsia" w:eastAsiaTheme="majorEastAsia"/>
          <w:color w:val="auto"/>
          <w:sz w:val="24"/>
          <w:highlight w:val="none"/>
        </w:rPr>
        <w:t>：</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9.1.1有效的企业法人营业执照（或事业法人登记证）、其他组织（个体工商户）的营业执照或者民办非企业单位登记证书；</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9.1.2符合参加政府采购活动应当具备的一般条件的承诺函(格式见第六部分)；</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9.1.3落实政府采购政策需满足的资格要求（如适用）；</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9.1.4本项目的特定资格要求（如有）。</w:t>
      </w:r>
    </w:p>
    <w:p>
      <w:pPr>
        <w:shd w:val="clear"/>
        <w:snapToGrid w:val="0"/>
        <w:spacing w:line="360" w:lineRule="auto"/>
        <w:ind w:firstLine="480" w:firstLineChars="200"/>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b/>
          <w:bCs/>
          <w:color w:val="auto"/>
          <w:sz w:val="24"/>
          <w:highlight w:val="none"/>
        </w:rPr>
        <w:t>商务技术</w:t>
      </w:r>
      <w:r>
        <w:rPr>
          <w:rFonts w:hint="eastAsia" w:cs="仿宋" w:asciiTheme="majorEastAsia" w:hAnsiTheme="majorEastAsia" w:eastAsiaTheme="majorEastAsia"/>
          <w:b/>
          <w:bCs/>
          <w:color w:val="auto"/>
          <w:sz w:val="24"/>
          <w:highlight w:val="none"/>
          <w:lang w:val="zh-CN"/>
        </w:rPr>
        <w:t>文件：</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 评分索引表</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9.2.2 符合性自查表；</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9.2.3 投标函；</w:t>
      </w:r>
      <w:r>
        <w:rPr>
          <w:rFonts w:hint="eastAsia" w:cs="仿宋" w:asciiTheme="majorEastAsia" w:hAnsiTheme="majorEastAsia" w:eastAsiaTheme="majorEastAsia"/>
          <w:color w:val="auto"/>
          <w:sz w:val="24"/>
          <w:highlight w:val="none"/>
          <w:lang w:val="zh-CN"/>
        </w:rPr>
        <w:t xml:space="preserve"> </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9.2.4 授权委托书或法定代表人（单位负责人、自然人本人）身份证明；</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9.2.5 投标人基本情况表；</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9.2.6 距采购人最近或者能为本项目提供最优服务的网点情况表；</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7 评标标准相应的商务技术资料；</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9.2.8 商务响应表；</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9.2.9 技术响应表；</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9.2.10 同类业绩情况一览表；</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9.2.11</w:t>
      </w:r>
      <w:r>
        <w:rPr>
          <w:rFonts w:hint="eastAsia" w:cs="仿宋" w:asciiTheme="majorEastAsia" w:hAnsiTheme="majorEastAsia" w:eastAsiaTheme="majorEastAsia"/>
          <w:color w:val="auto"/>
          <w:sz w:val="24"/>
          <w:highlight w:val="none"/>
          <w:lang w:val="zh-CN"/>
        </w:rPr>
        <w:t>政府采购供应商廉洁自律承诺书；</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9.2.12其他资料（如有）。</w:t>
      </w:r>
    </w:p>
    <w:p>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kern w:val="0"/>
          <w:sz w:val="24"/>
          <w:highlight w:val="none"/>
        </w:rPr>
        <w:t>9</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rPr>
        <w:t xml:space="preserve">3 </w:t>
      </w:r>
      <w:r>
        <w:rPr>
          <w:rFonts w:hint="eastAsia" w:cs="仿宋" w:asciiTheme="majorEastAsia" w:hAnsiTheme="majorEastAsia" w:eastAsiaTheme="majorEastAsia"/>
          <w:b/>
          <w:color w:val="auto"/>
          <w:sz w:val="24"/>
          <w:highlight w:val="none"/>
        </w:rPr>
        <w:t>报价文件：</w:t>
      </w:r>
      <w:r>
        <w:rPr>
          <w:rFonts w:hint="eastAsia" w:cs="仿宋" w:asciiTheme="majorEastAsia" w:hAnsiTheme="majorEastAsia" w:eastAsiaTheme="majorEastAsia"/>
          <w:color w:val="auto"/>
          <w:sz w:val="24"/>
          <w:highlight w:val="none"/>
        </w:rPr>
        <w:t xml:space="preserve"> </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9.3.1 开标一览表；</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9.3.2 投标报价明细表；</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9.3.3 中小企业声明函（如有）；</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9.3.4 残疾人福利性单位声明函（如有）；</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9.3.5 监狱企业的证明文件（如有）；</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9.3.6 政府采购统计基础信息表；</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9.3.7其他资料（如有）。</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投标文件的编制</w:t>
      </w:r>
    </w:p>
    <w:p>
      <w:pPr>
        <w:shd w:val="clear"/>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highlight w:val="none"/>
        </w:rPr>
        <w:t>未有规定格式的资料，</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应自行编制，但至少须包含9.投标文件组成中的内容。</w:t>
      </w:r>
      <w:r>
        <w:rPr>
          <w:rFonts w:hint="eastAsia" w:cs="仿宋" w:asciiTheme="majorEastAsia" w:hAnsiTheme="majorEastAsia" w:eastAsiaTheme="majorEastAsia"/>
          <w:color w:val="auto"/>
          <w:kern w:val="0"/>
          <w:sz w:val="24"/>
          <w:highlight w:val="none"/>
          <w:lang w:val="zh-CN"/>
        </w:rPr>
        <w:t>混乱的编排导致投标文件被误读或评标委员会查找不到有效文件是供应商的风险。</w:t>
      </w:r>
    </w:p>
    <w:p>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.2供应商进行电子投标应安装客户端软件—“政采云电子交易客户端”，并按照招标文件和电子交易平台的要求编制并加密投标文件。供应商未按规定加密的投标文件，电子交易平台将拒收并提示。</w:t>
      </w:r>
    </w:p>
    <w:p>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投标文件的签署、盖章</w:t>
      </w:r>
    </w:p>
    <w:p>
      <w:pPr>
        <w:pStyle w:val="45"/>
        <w:shd w:val="clear"/>
        <w:snapToGrid w:val="0"/>
        <w:spacing w:before="0"/>
        <w:ind w:firstLine="480"/>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szCs w:val="24"/>
          <w:highlight w:val="none"/>
        </w:rPr>
        <w:t>11.1投标文件按照招标文件第六部分格式要</w:t>
      </w:r>
      <w:r>
        <w:rPr>
          <w:rFonts w:hint="eastAsia" w:cs="仿宋" w:asciiTheme="majorEastAsia" w:hAnsiTheme="majorEastAsia" w:eastAsiaTheme="majorEastAsia"/>
          <w:color w:val="auto"/>
          <w:highlight w:val="none"/>
        </w:rPr>
        <w:t>求进行签署、盖章。</w:t>
      </w:r>
      <w:r>
        <w:rPr>
          <w:rFonts w:hint="eastAsia" w:cs="仿宋" w:asciiTheme="majorEastAsia" w:hAnsiTheme="majorEastAsia" w:eastAsiaTheme="majorEastAsia"/>
          <w:b/>
          <w:color w:val="auto"/>
          <w:highlight w:val="none"/>
        </w:rPr>
        <w:t>▲供应商的投标文件未按照招标文件要求签署、盖章的，其投标无效</w:t>
      </w:r>
      <w:r>
        <w:rPr>
          <w:rFonts w:hint="eastAsia" w:cs="仿宋" w:asciiTheme="majorEastAsia" w:hAnsiTheme="majorEastAsia" w:eastAsiaTheme="majorEastAsia"/>
          <w:color w:val="auto"/>
          <w:szCs w:val="24"/>
          <w:highlight w:val="none"/>
        </w:rPr>
        <w:t>。</w:t>
      </w:r>
    </w:p>
    <w:p>
      <w:pPr>
        <w:pStyle w:val="45"/>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11.2为确保网上操作合法、有效和安全，</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应当在投标截止时间前完成在“政府采购云平台”的身份认证，确保在电子投标过程中能够对相关数据电文进行加密和使用电子签名。</w:t>
      </w:r>
    </w:p>
    <w:p>
      <w:pPr>
        <w:pStyle w:val="45"/>
        <w:shd w:val="clear"/>
        <w:snapToGrid w:val="0"/>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highlight w:val="none"/>
        </w:rPr>
        <w:t>11.3招标文件对投标文件签署、盖章的要求适用于电子签名。</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投标文件的提交、补充、修改、撤回</w:t>
      </w:r>
    </w:p>
    <w:p>
      <w:pPr>
        <w:pStyle w:val="45"/>
        <w:shd w:val="clear"/>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45"/>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pPr>
        <w:pStyle w:val="45"/>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szCs w:val="24"/>
          <w:highlight w:val="none"/>
        </w:rPr>
        <w:t>以前在投标截止期方面的全部权利、责任和义务，将适用于延长至新的投标截止期。</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投标有效期</w:t>
      </w:r>
    </w:p>
    <w:p>
      <w:pPr>
        <w:shd w:val="clear"/>
        <w:spacing w:line="360" w:lineRule="auto"/>
        <w:ind w:firstLine="480" w:firstLineChars="200"/>
        <w:rPr>
          <w:rFonts w:cs="仿宋" w:asciiTheme="majorEastAsia" w:hAnsiTheme="majorEastAsia" w:eastAsiaTheme="majorEastAsia"/>
          <w:b/>
          <w:color w:val="auto"/>
          <w:sz w:val="24"/>
          <w:szCs w:val="21"/>
          <w:highlight w:val="none"/>
        </w:rPr>
      </w:pPr>
      <w:r>
        <w:rPr>
          <w:rFonts w:hint="eastAsia" w:cs="仿宋" w:asciiTheme="majorEastAsia" w:hAnsiTheme="majorEastAsia" w:eastAsiaTheme="majorEastAsia"/>
          <w:color w:val="auto"/>
          <w:sz w:val="24"/>
          <w:szCs w:val="20"/>
          <w:highlight w:val="none"/>
        </w:rPr>
        <w:t>投标有效期为从提交投标文件的截止之日起90天。▲</w:t>
      </w:r>
      <w:r>
        <w:rPr>
          <w:rFonts w:hint="eastAsia" w:cs="仿宋" w:asciiTheme="majorEastAsia" w:hAnsiTheme="majorEastAsia" w:eastAsiaTheme="majorEastAsia"/>
          <w:b/>
          <w:color w:val="auto"/>
          <w:sz w:val="24"/>
          <w:szCs w:val="20"/>
          <w:highlight w:val="none"/>
        </w:rPr>
        <w:t>供应商的投标文件中承</w:t>
      </w:r>
      <w:r>
        <w:rPr>
          <w:rFonts w:hint="eastAsia" w:cs="仿宋" w:asciiTheme="majorEastAsia" w:hAnsiTheme="majorEastAsia" w:eastAsiaTheme="majorEastAsia"/>
          <w:b/>
          <w:color w:val="auto"/>
          <w:sz w:val="24"/>
          <w:szCs w:val="21"/>
          <w:highlight w:val="none"/>
        </w:rPr>
        <w:t>诺的投标有效期少于招标文件中载明的投标有效期的，投标无效。</w:t>
      </w:r>
    </w:p>
    <w:p>
      <w:pPr>
        <w:pStyle w:val="45"/>
        <w:shd w:val="clear"/>
        <w:spacing w:before="0"/>
        <w:ind w:firstLine="643"/>
        <w:rPr>
          <w:rFonts w:cs="仿宋" w:asciiTheme="majorEastAsia" w:hAnsiTheme="majorEastAsia" w:eastAsiaTheme="majorEastAsia"/>
          <w:b/>
          <w:color w:val="auto"/>
          <w:sz w:val="32"/>
          <w:highlight w:val="none"/>
        </w:rPr>
      </w:pPr>
    </w:p>
    <w:p>
      <w:pPr>
        <w:pStyle w:val="45"/>
        <w:shd w:val="clear"/>
        <w:spacing w:before="0"/>
        <w:ind w:firstLine="1928" w:firstLineChars="600"/>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四、开标、资格审查与信用信息查询</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开标 </w:t>
      </w:r>
    </w:p>
    <w:p>
      <w:pPr>
        <w:pStyle w:val="40"/>
        <w:shd w:val="clear"/>
        <w:spacing w:before="0" w:line="360" w:lineRule="auto"/>
        <w:ind w:left="0" w:firstLine="480" w:firstLineChars="2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14.1采购代理机构按照招标文件规定的时间通过电子交易平台组织开标，所有</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均应当准时在线参加。</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不足3家的，不得开标。</w:t>
      </w:r>
    </w:p>
    <w:p>
      <w:pPr>
        <w:pStyle w:val="40"/>
        <w:shd w:val="clear"/>
        <w:spacing w:before="0" w:line="360" w:lineRule="auto"/>
        <w:ind w:left="0" w:firstLine="240" w:firstLineChars="1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资格审查</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15.1开标后，采购人或采购代理机构依据法律法规和招标文件的规定，对供应商的资格条件进行审查。</w:t>
      </w:r>
    </w:p>
    <w:p>
      <w:pPr>
        <w:pStyle w:val="45"/>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2对未通过资格审查的供应商，采购人或采购代理机构告知其未通过的原因。</w:t>
      </w:r>
    </w:p>
    <w:p>
      <w:pPr>
        <w:pStyle w:val="45"/>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3合格供应商不足3家的，不再评标。</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信用信息查询</w:t>
      </w:r>
    </w:p>
    <w:p>
      <w:pPr>
        <w:pStyle w:val="45"/>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pPr>
        <w:pStyle w:val="45"/>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16.2信用信息的使用规则：经查询列入失信被执行人名单、重大税收违法案件当事人名单、政府采购严重违法失信行为记录名单的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将被拒绝参与政府采购活动。</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highlight w:val="none"/>
        </w:rPr>
        <w:t>。</w:t>
      </w:r>
    </w:p>
    <w:p>
      <w:pPr>
        <w:shd w:val="clear"/>
        <w:snapToGrid w:val="0"/>
        <w:spacing w:line="360" w:lineRule="auto"/>
        <w:jc w:val="center"/>
        <w:outlineLvl w:val="0"/>
        <w:rPr>
          <w:rFonts w:cs="仿宋" w:asciiTheme="majorEastAsia" w:hAnsiTheme="majorEastAsia" w:eastAsiaTheme="majorEastAsia"/>
          <w:b/>
          <w:color w:val="auto"/>
          <w:sz w:val="36"/>
          <w:szCs w:val="36"/>
          <w:highlight w:val="none"/>
        </w:rPr>
      </w:pPr>
    </w:p>
    <w:p>
      <w:p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五、评标</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bookmarkStart w:id="13" w:name="_Toc91899903"/>
      <w:r>
        <w:rPr>
          <w:rFonts w:hint="eastAsia" w:cs="仿宋" w:asciiTheme="majorEastAsia" w:hAnsiTheme="majorEastAsia" w:eastAsiaTheme="majorEastAsia"/>
          <w:b/>
          <w:color w:val="auto"/>
          <w:sz w:val="24"/>
          <w:highlight w:val="none"/>
        </w:rPr>
        <w:t>评标委员会</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17.1 本次招标依法组建评标委员会。评标委员会由采购人代表和评审专家组成，评审专家从专家库随机抽取。</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 评审专家有下列情形之一的，受到邀请应主动提出回避，采购当事人也可以要求该评审专家回避：</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17.3.1 参加采购活动前三年内，与供应商存在劳动关系，或者担任过供应商的董事、监事，或者是供应商的控股股东或实际控制人；</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17.3.2 与供应商的法定代表人或者负责人有夫妻、直系血亲、三代以内旁系血亲或者近姻亲关系；</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17.3.3 任职单位与参加该采购项目供应商存在行政隶属关系；</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17.3.4 曾经参加过该采购项目的进口产品或招标文件、采购需求、采购方式的论证和咨询服务工作；</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17.3.5 是参加该采购项目供应商的上级主管部门、控股或参股单位的工作人员，或与该供应商存在其他经济利益关系；</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17.3.6 评标委员会成员之间具有配偶、近亲属关系等；</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17.3.7 法律、法规、规章规定应当回避以及其他可能影响政府采购活动公平、公正进行的关系。</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pPr>
        <w:pStyle w:val="45"/>
        <w:shd w:val="clear"/>
        <w:spacing w:before="0"/>
        <w:ind w:firstLine="480"/>
        <w:rPr>
          <w:rFonts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评标</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对招标文件的响应情况。对实质上响应招标文件的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，按照评审因素的量化指标推荐综合得分排名第一的为中标候选人。</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为排名第一的中标候选人。</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详见招标文件第四部分评标办法。</w:t>
      </w:r>
    </w:p>
    <w:p>
      <w:pPr>
        <w:shd w:val="clear"/>
        <w:spacing w:line="360" w:lineRule="auto"/>
        <w:rPr>
          <w:rFonts w:cs="仿宋" w:asciiTheme="majorEastAsia" w:hAnsiTheme="majorEastAsia" w:eastAsiaTheme="majorEastAsia"/>
          <w:b/>
          <w:color w:val="auto"/>
          <w:sz w:val="24"/>
          <w:highlight w:val="none"/>
        </w:rPr>
      </w:pPr>
    </w:p>
    <w:p>
      <w:p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六、定 标</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确定中标供应商</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本项目由评标委员会推荐一个中标候选人，采购人不得在评标委员会推荐的中标候选人以外确定中标候选人。</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中标通知与中标结果公告</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20.3公告期限为1个工作日。</w:t>
      </w: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七、合同授予</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合同授予</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合同主要条款详见第五部分拟签订的合同文本。</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合同的签订</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lang w:val="zh-CN"/>
        </w:rPr>
        <w:t>2</w:t>
      </w:r>
      <w:r>
        <w:rPr>
          <w:rFonts w:hint="eastAsia" w:cs="仿宋" w:asciiTheme="majorEastAsia" w:hAnsiTheme="majorEastAsia" w:eastAsiaTheme="majorEastAsia"/>
          <w:color w:val="auto"/>
          <w:kern w:val="0"/>
          <w:szCs w:val="24"/>
          <w:highlight w:val="none"/>
        </w:rPr>
        <w:t>2</w:t>
      </w:r>
      <w:r>
        <w:rPr>
          <w:rFonts w:hint="eastAsia" w:cs="仿宋" w:asciiTheme="majorEastAsia" w:hAnsiTheme="majorEastAsia" w:eastAsiaTheme="majorEastAsia"/>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22.3如签订合同并生效后，供应商无故拒绝或延期，除按照合同条款处理外，列入不良行为记录名单，并给予通报。</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22.4中标供应商拒绝与采购人签订合同的，列入不良行为记录名单，采购人、采购代理机构重新开展政府采购活动。</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22.5采购合同由采购人与中标供应商根据招标文件、投标文件等内容通过政府采购电子交易平台在线签订，自动备案。</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投标保证金的交纳与退还</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23.1 ▲投标人须按规定提交投标保证金。否则作无效标处理。</w:t>
      </w:r>
    </w:p>
    <w:p>
      <w:pPr>
        <w:pStyle w:val="45"/>
        <w:shd w:val="clear"/>
        <w:spacing w:before="0"/>
        <w:ind w:left="483" w:leftChars="230" w:firstLine="0"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23.2保证金形式：单位网银、转账支票、汇票、汇兑。</w:t>
      </w:r>
      <w:r>
        <w:rPr>
          <w:rFonts w:hint="eastAsia" w:cs="仿宋" w:asciiTheme="majorEastAsia" w:hAnsiTheme="majorEastAsia" w:eastAsiaTheme="majorEastAsia"/>
          <w:color w:val="auto"/>
          <w:kern w:val="0"/>
          <w:szCs w:val="24"/>
          <w:highlight w:val="none"/>
        </w:rPr>
        <w:br w:type="textWrapping"/>
      </w:r>
      <w:r>
        <w:rPr>
          <w:rFonts w:hint="eastAsia" w:cs="仿宋" w:asciiTheme="majorEastAsia" w:hAnsiTheme="majorEastAsia" w:eastAsiaTheme="majorEastAsia"/>
          <w:color w:val="auto"/>
          <w:kern w:val="0"/>
          <w:szCs w:val="24"/>
          <w:highlight w:val="none"/>
        </w:rPr>
        <w:t>23.3未中标人的投标保证金在中标通知书发出后5个工作日内退还。</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23.4中标人应在中标通知书发出后按招标文件规定的时间内与招标人签订合同，并交纳招标文件规定的履约保证金，中标人的投标保证金在合同签订后5个工作日内退还。</w:t>
      </w:r>
      <w:r>
        <w:rPr>
          <w:rFonts w:hint="eastAsia" w:cs="仿宋" w:asciiTheme="majorEastAsia" w:hAnsiTheme="majorEastAsia" w:eastAsiaTheme="majorEastAsia"/>
          <w:color w:val="auto"/>
          <w:kern w:val="0"/>
          <w:szCs w:val="24"/>
          <w:highlight w:val="none"/>
        </w:rPr>
        <w:br w:type="textWrapping"/>
      </w:r>
      <w:r>
        <w:rPr>
          <w:rFonts w:hint="eastAsia" w:cs="仿宋" w:asciiTheme="majorEastAsia" w:hAnsiTheme="majorEastAsia" w:eastAsiaTheme="majorEastAsia"/>
          <w:color w:val="auto"/>
          <w:kern w:val="0"/>
          <w:szCs w:val="24"/>
          <w:highlight w:val="none"/>
        </w:rPr>
        <w:t xml:space="preserve">    23.5保证金不计息。</w:t>
      </w:r>
      <w:r>
        <w:rPr>
          <w:rFonts w:hint="eastAsia" w:cs="仿宋" w:asciiTheme="majorEastAsia" w:hAnsiTheme="majorEastAsia" w:eastAsiaTheme="majorEastAsia"/>
          <w:color w:val="auto"/>
          <w:kern w:val="0"/>
          <w:szCs w:val="24"/>
          <w:highlight w:val="none"/>
        </w:rPr>
        <w:br w:type="textWrapping"/>
      </w:r>
      <w:r>
        <w:rPr>
          <w:rFonts w:hint="eastAsia" w:cs="仿宋" w:asciiTheme="majorEastAsia" w:hAnsiTheme="majorEastAsia" w:eastAsiaTheme="majorEastAsia"/>
          <w:color w:val="auto"/>
          <w:kern w:val="0"/>
          <w:szCs w:val="24"/>
          <w:highlight w:val="none"/>
        </w:rPr>
        <w:t xml:space="preserve">    23.6投标人有下列情形之一的，投标保证金将不予退还：</w:t>
      </w:r>
      <w:r>
        <w:rPr>
          <w:rFonts w:hint="eastAsia" w:cs="仿宋" w:asciiTheme="majorEastAsia" w:hAnsiTheme="majorEastAsia" w:eastAsiaTheme="majorEastAsia"/>
          <w:color w:val="auto"/>
          <w:kern w:val="0"/>
          <w:szCs w:val="24"/>
          <w:highlight w:val="none"/>
        </w:rPr>
        <w:br w:type="textWrapping"/>
      </w:r>
      <w:r>
        <w:rPr>
          <w:rFonts w:hint="eastAsia" w:cs="仿宋" w:asciiTheme="majorEastAsia" w:hAnsiTheme="majorEastAsia" w:eastAsiaTheme="majorEastAsia"/>
          <w:color w:val="auto"/>
          <w:kern w:val="0"/>
          <w:szCs w:val="24"/>
          <w:highlight w:val="none"/>
        </w:rPr>
        <w:t xml:space="preserve">    23.6.1投标人在投标有效期内撤回投标文件的；</w:t>
      </w:r>
      <w:r>
        <w:rPr>
          <w:rFonts w:hint="eastAsia" w:cs="仿宋" w:asciiTheme="majorEastAsia" w:hAnsiTheme="majorEastAsia" w:eastAsiaTheme="majorEastAsia"/>
          <w:color w:val="auto"/>
          <w:kern w:val="0"/>
          <w:szCs w:val="24"/>
          <w:highlight w:val="none"/>
        </w:rPr>
        <w:br w:type="textWrapping"/>
      </w:r>
      <w:r>
        <w:rPr>
          <w:rFonts w:hint="eastAsia" w:cs="仿宋" w:asciiTheme="majorEastAsia" w:hAnsiTheme="majorEastAsia" w:eastAsiaTheme="majorEastAsia"/>
          <w:color w:val="auto"/>
          <w:kern w:val="0"/>
          <w:szCs w:val="24"/>
          <w:highlight w:val="none"/>
        </w:rPr>
        <w:t xml:space="preserve">    23.6.2未按规定提交履约保证金的；</w:t>
      </w:r>
      <w:r>
        <w:rPr>
          <w:rFonts w:hint="eastAsia" w:cs="仿宋" w:asciiTheme="majorEastAsia" w:hAnsiTheme="majorEastAsia" w:eastAsiaTheme="majorEastAsia"/>
          <w:color w:val="auto"/>
          <w:kern w:val="0"/>
          <w:szCs w:val="24"/>
          <w:highlight w:val="none"/>
        </w:rPr>
        <w:br w:type="textWrapping"/>
      </w:r>
      <w:r>
        <w:rPr>
          <w:rFonts w:hint="eastAsia" w:cs="仿宋" w:asciiTheme="majorEastAsia" w:hAnsiTheme="majorEastAsia" w:eastAsiaTheme="majorEastAsia"/>
          <w:color w:val="auto"/>
          <w:kern w:val="0"/>
          <w:szCs w:val="24"/>
          <w:highlight w:val="none"/>
        </w:rPr>
        <w:t xml:space="preserve">    23.6.3投标人在投标过程中弄虚作假，提供虚假材料的；</w:t>
      </w:r>
      <w:r>
        <w:rPr>
          <w:rFonts w:hint="eastAsia" w:cs="仿宋" w:asciiTheme="majorEastAsia" w:hAnsiTheme="majorEastAsia" w:eastAsiaTheme="majorEastAsia"/>
          <w:color w:val="auto"/>
          <w:kern w:val="0"/>
          <w:szCs w:val="24"/>
          <w:highlight w:val="none"/>
        </w:rPr>
        <w:br w:type="textWrapping"/>
      </w:r>
      <w:r>
        <w:rPr>
          <w:rFonts w:hint="eastAsia" w:cs="仿宋" w:asciiTheme="majorEastAsia" w:hAnsiTheme="majorEastAsia" w:eastAsiaTheme="majorEastAsia"/>
          <w:color w:val="auto"/>
          <w:kern w:val="0"/>
          <w:szCs w:val="24"/>
          <w:highlight w:val="none"/>
        </w:rPr>
        <w:t xml:space="preserve">    23.6.4中标人无正当理由不与招标人签订合同的；</w:t>
      </w:r>
      <w:r>
        <w:rPr>
          <w:rFonts w:hint="eastAsia" w:cs="仿宋" w:asciiTheme="majorEastAsia" w:hAnsiTheme="majorEastAsia" w:eastAsiaTheme="majorEastAsia"/>
          <w:color w:val="auto"/>
          <w:kern w:val="0"/>
          <w:szCs w:val="24"/>
          <w:highlight w:val="none"/>
        </w:rPr>
        <w:br w:type="textWrapping"/>
      </w:r>
      <w:r>
        <w:rPr>
          <w:rFonts w:hint="eastAsia" w:cs="仿宋" w:asciiTheme="majorEastAsia" w:hAnsiTheme="majorEastAsia" w:eastAsiaTheme="majorEastAsia"/>
          <w:color w:val="auto"/>
          <w:kern w:val="0"/>
          <w:szCs w:val="24"/>
          <w:highlight w:val="none"/>
        </w:rPr>
        <w:t xml:space="preserve">    23.6.5其他严重扰乱招投标程序的。</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履约保证金</w:t>
      </w:r>
    </w:p>
    <w:p>
      <w:pPr>
        <w:shd w:val="clear"/>
        <w:tabs>
          <w:tab w:val="left" w:pos="0"/>
        </w:tabs>
        <w:spacing w:line="360" w:lineRule="auto"/>
        <w:ind w:firstLine="482"/>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highlight w:val="none"/>
        </w:rPr>
        <w:t>。履约保证金的数额不得超过政府采购合同金额的2.5%。鼓励和支持供应商以银行、保险公司出具的保函形式提供履约保证金。</w:t>
      </w:r>
      <w:r>
        <w:rPr>
          <w:rFonts w:hint="eastAsia" w:cs="仿宋" w:asciiTheme="majorEastAsia" w:hAnsiTheme="majorEastAsia" w:eastAsiaTheme="majorEastAsia"/>
          <w:b/>
          <w:color w:val="auto"/>
          <w:sz w:val="24"/>
          <w:highlight w:val="none"/>
        </w:rPr>
        <w:t>采购人不得拒收履约保函。</w:t>
      </w:r>
    </w:p>
    <w:p>
      <w:pPr>
        <w:pStyle w:val="8"/>
        <w:shd w:val="clear"/>
        <w:rPr>
          <w:rFonts w:asciiTheme="majorEastAsia" w:hAnsiTheme="majorEastAsia" w:eastAsiaTheme="majorEastAsia"/>
          <w:color w:val="auto"/>
          <w:highlight w:val="none"/>
        </w:rPr>
      </w:pPr>
    </w:p>
    <w:p>
      <w:pPr>
        <w:shd w:val="clear"/>
        <w:snapToGrid w:val="0"/>
        <w:spacing w:line="360" w:lineRule="auto"/>
        <w:ind w:firstLine="3357" w:firstLineChars="1045"/>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32"/>
          <w:highlight w:val="none"/>
        </w:rPr>
        <w:t>八、电子交易活动的中止</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电子交易活动的中止</w:t>
      </w:r>
    </w:p>
    <w:p>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pPr>
        <w:pStyle w:val="45"/>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25.1电子交易平台发生故障而无法登录访问的； </w:t>
      </w:r>
    </w:p>
    <w:p>
      <w:pPr>
        <w:pStyle w:val="45"/>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25.2电子交易平台应用或数据库出现错误，不能进行正常操作的；</w:t>
      </w:r>
    </w:p>
    <w:p>
      <w:pPr>
        <w:pStyle w:val="45"/>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25.3电子交易平台发现严重安全漏洞，有潜在泄密危险的；</w:t>
      </w:r>
    </w:p>
    <w:p>
      <w:pPr>
        <w:pStyle w:val="45"/>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25.4病毒发作导致不能进行正常操作的； </w:t>
      </w:r>
    </w:p>
    <w:p>
      <w:pPr>
        <w:pStyle w:val="45"/>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25.5其他无法保证电子交易的公平、公正和安全的情况。</w:t>
      </w:r>
    </w:p>
    <w:p>
      <w:pPr>
        <w:shd w:val="clear"/>
        <w:tabs>
          <w:tab w:val="left" w:pos="0"/>
        </w:tabs>
        <w:spacing w:line="360" w:lineRule="auto"/>
        <w:ind w:firstLine="480"/>
        <w:rPr>
          <w:rFonts w:cs="仿宋" w:asciiTheme="majorEastAsia" w:hAnsiTheme="majorEastAsia" w:eastAsiaTheme="majorEastAsia"/>
          <w:color w:val="auto"/>
          <w:sz w:val="24"/>
          <w:highlight w:val="none"/>
        </w:rPr>
      </w:pP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九、验收</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验收</w:t>
      </w:r>
    </w:p>
    <w:p>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26.2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26.3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1"/>
      <w:bookmarkEnd w:id="12"/>
      <w:bookmarkEnd w:id="13"/>
      <w:bookmarkStart w:id="14" w:name="_Hlt75236101"/>
      <w:bookmarkEnd w:id="14"/>
      <w:bookmarkStart w:id="15" w:name="_Hlt74714665"/>
      <w:bookmarkEnd w:id="15"/>
      <w:bookmarkStart w:id="16" w:name="_Hlt75236011"/>
      <w:bookmarkEnd w:id="16"/>
      <w:bookmarkStart w:id="17" w:name="_Hlt74707468"/>
      <w:bookmarkEnd w:id="17"/>
      <w:bookmarkStart w:id="18" w:name="_Hlt74730295"/>
      <w:bookmarkEnd w:id="18"/>
      <w:bookmarkStart w:id="19" w:name="_Hlt75236290"/>
      <w:bookmarkEnd w:id="19"/>
      <w:bookmarkStart w:id="20" w:name="_Hlt68072998"/>
      <w:bookmarkEnd w:id="20"/>
      <w:bookmarkStart w:id="21" w:name="_Hlt68073093"/>
      <w:bookmarkEnd w:id="21"/>
      <w:bookmarkStart w:id="22" w:name="_Hlt68072990"/>
      <w:bookmarkEnd w:id="22"/>
      <w:bookmarkStart w:id="23" w:name="_Hlt68403820"/>
      <w:bookmarkEnd w:id="23"/>
      <w:bookmarkStart w:id="24" w:name="_Hlt74729768"/>
      <w:bookmarkEnd w:id="24"/>
      <w:bookmarkStart w:id="25" w:name="_Hlt68057669"/>
      <w:bookmarkEnd w:id="25"/>
      <w:bookmarkStart w:id="26" w:name="第四部分"/>
    </w:p>
    <w:p>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br w:type="page"/>
      </w:r>
    </w:p>
    <w:p>
      <w:pPr>
        <w:shd w:val="clear"/>
        <w:tabs>
          <w:tab w:val="left" w:pos="0"/>
        </w:tabs>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bookmarkStart w:id="27" w:name="_Toc238302725"/>
      <w:bookmarkStart w:id="28" w:name="_Toc500353170"/>
      <w:bookmarkStart w:id="29" w:name="_Toc238060530"/>
      <w:bookmarkStart w:id="30" w:name="_Toc337648124"/>
      <w:bookmarkStart w:id="31" w:name="_Toc238060864"/>
      <w:bookmarkStart w:id="32" w:name="_Toc3177"/>
      <w:bookmarkStart w:id="33" w:name="_Toc234496368"/>
      <w:bookmarkStart w:id="34" w:name="_Toc238282729"/>
    </w:p>
    <w:bookmarkEnd w:id="27"/>
    <w:bookmarkEnd w:id="28"/>
    <w:bookmarkEnd w:id="29"/>
    <w:bookmarkEnd w:id="30"/>
    <w:bookmarkEnd w:id="31"/>
    <w:bookmarkEnd w:id="32"/>
    <w:bookmarkEnd w:id="33"/>
    <w:bookmarkEnd w:id="34"/>
    <w:p>
      <w:pPr>
        <w:shd w:val="clear"/>
        <w:rPr>
          <w:rFonts w:ascii="宋体" w:hAnsi="宋体"/>
          <w:b/>
          <w:color w:val="auto"/>
          <w:sz w:val="24"/>
          <w:highlight w:val="none"/>
        </w:rPr>
      </w:pPr>
      <w:r>
        <w:rPr>
          <w:rFonts w:hint="eastAsia" w:ascii="宋体" w:hAnsi="宋体"/>
          <w:b/>
          <w:color w:val="auto"/>
          <w:sz w:val="24"/>
          <w:highlight w:val="none"/>
        </w:rPr>
        <w:t>一、采购清单</w:t>
      </w:r>
    </w:p>
    <w:tbl>
      <w:tblPr>
        <w:tblStyle w:val="24"/>
        <w:tblW w:w="8970" w:type="dxa"/>
        <w:jc w:val="center"/>
        <w:tblLayout w:type="autofit"/>
        <w:tblCellMar>
          <w:top w:w="0" w:type="dxa"/>
          <w:left w:w="108" w:type="dxa"/>
          <w:bottom w:w="0" w:type="dxa"/>
          <w:right w:w="108" w:type="dxa"/>
        </w:tblCellMar>
      </w:tblPr>
      <w:tblGrid>
        <w:gridCol w:w="659"/>
        <w:gridCol w:w="2581"/>
        <w:gridCol w:w="3940"/>
        <w:gridCol w:w="992"/>
        <w:gridCol w:w="798"/>
      </w:tblGrid>
      <w:tr>
        <w:tblPrEx>
          <w:tblCellMar>
            <w:top w:w="0" w:type="dxa"/>
            <w:left w:w="108" w:type="dxa"/>
            <w:bottom w:w="0" w:type="dxa"/>
            <w:right w:w="108" w:type="dxa"/>
          </w:tblCellMar>
        </w:tblPrEx>
        <w:trPr>
          <w:trHeight w:val="360" w:hRule="atLeast"/>
          <w:jc w:val="center"/>
        </w:trPr>
        <w:tc>
          <w:tcPr>
            <w:tcW w:w="659"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shd w:val="clear"/>
              <w:spacing w:line="360" w:lineRule="auto"/>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序号</w:t>
            </w:r>
          </w:p>
        </w:tc>
        <w:tc>
          <w:tcPr>
            <w:tcW w:w="258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项目名称</w:t>
            </w:r>
          </w:p>
        </w:tc>
        <w:tc>
          <w:tcPr>
            <w:tcW w:w="39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项目特征</w:t>
            </w:r>
          </w:p>
        </w:tc>
        <w:tc>
          <w:tcPr>
            <w:tcW w:w="99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计量单位</w:t>
            </w:r>
          </w:p>
        </w:tc>
        <w:tc>
          <w:tcPr>
            <w:tcW w:w="79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工程量</w:t>
            </w:r>
          </w:p>
        </w:tc>
      </w:tr>
      <w:tr>
        <w:tblPrEx>
          <w:tblCellMar>
            <w:top w:w="0" w:type="dxa"/>
            <w:left w:w="108" w:type="dxa"/>
            <w:bottom w:w="0" w:type="dxa"/>
            <w:right w:w="108" w:type="dxa"/>
          </w:tblCellMar>
        </w:tblPrEx>
        <w:trPr>
          <w:trHeight w:val="360" w:hRule="atLeast"/>
          <w:jc w:val="center"/>
        </w:trPr>
        <w:tc>
          <w:tcPr>
            <w:tcW w:w="659"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shd w:val="clear"/>
              <w:spacing w:line="360" w:lineRule="auto"/>
              <w:jc w:val="center"/>
              <w:rPr>
                <w:rFonts w:cs="宋体" w:asciiTheme="minorEastAsia" w:hAnsiTheme="minorEastAsia" w:eastAsiaTheme="minorEastAsia"/>
                <w:color w:val="auto"/>
                <w:sz w:val="18"/>
                <w:szCs w:val="18"/>
                <w:highlight w:val="none"/>
              </w:rPr>
            </w:pPr>
          </w:p>
        </w:tc>
        <w:tc>
          <w:tcPr>
            <w:tcW w:w="258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shd w:val="clear"/>
              <w:spacing w:line="360" w:lineRule="auto"/>
              <w:jc w:val="center"/>
              <w:rPr>
                <w:rFonts w:cs="宋体" w:asciiTheme="minorEastAsia" w:hAnsiTheme="minorEastAsia" w:eastAsiaTheme="minorEastAsia"/>
                <w:color w:val="auto"/>
                <w:sz w:val="18"/>
                <w:szCs w:val="18"/>
                <w:highlight w:val="none"/>
              </w:rPr>
            </w:pPr>
          </w:p>
        </w:tc>
        <w:tc>
          <w:tcPr>
            <w:tcW w:w="39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shd w:val="clear"/>
              <w:spacing w:line="360" w:lineRule="auto"/>
              <w:jc w:val="center"/>
              <w:rPr>
                <w:rFonts w:cs="宋体" w:asciiTheme="minorEastAsia" w:hAnsiTheme="minorEastAsia" w:eastAsiaTheme="minorEastAsia"/>
                <w:color w:val="auto"/>
                <w:sz w:val="18"/>
                <w:szCs w:val="18"/>
                <w:highlight w:val="none"/>
              </w:rPr>
            </w:pPr>
          </w:p>
        </w:tc>
        <w:tc>
          <w:tcPr>
            <w:tcW w:w="9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shd w:val="clear"/>
              <w:spacing w:line="360" w:lineRule="auto"/>
              <w:jc w:val="center"/>
              <w:rPr>
                <w:rFonts w:cs="宋体" w:asciiTheme="minorEastAsia" w:hAnsiTheme="minorEastAsia" w:eastAsiaTheme="minorEastAsia"/>
                <w:color w:val="auto"/>
                <w:sz w:val="18"/>
                <w:szCs w:val="18"/>
                <w:highlight w:val="none"/>
              </w:rPr>
            </w:pPr>
          </w:p>
        </w:tc>
        <w:tc>
          <w:tcPr>
            <w:tcW w:w="79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shd w:val="clear"/>
              <w:spacing w:line="360" w:lineRule="auto"/>
              <w:jc w:val="center"/>
              <w:rPr>
                <w:rFonts w:cs="宋体" w:asciiTheme="minorEastAsia" w:hAnsiTheme="minorEastAsia" w:eastAsiaTheme="minorEastAsia"/>
                <w:color w:val="auto"/>
                <w:sz w:val="18"/>
                <w:szCs w:val="18"/>
                <w:highlight w:val="none"/>
              </w:rPr>
            </w:pPr>
          </w:p>
        </w:tc>
      </w:tr>
      <w:tr>
        <w:tblPrEx>
          <w:tblCellMar>
            <w:top w:w="0" w:type="dxa"/>
            <w:left w:w="108" w:type="dxa"/>
            <w:bottom w:w="0" w:type="dxa"/>
            <w:right w:w="108" w:type="dxa"/>
          </w:tblCellMar>
        </w:tblPrEx>
        <w:trPr>
          <w:trHeight w:val="360" w:hRule="atLeast"/>
          <w:jc w:val="center"/>
        </w:trPr>
        <w:tc>
          <w:tcPr>
            <w:tcW w:w="659"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shd w:val="clear"/>
              <w:spacing w:line="360" w:lineRule="auto"/>
              <w:jc w:val="center"/>
              <w:rPr>
                <w:rFonts w:cs="宋体" w:asciiTheme="minorEastAsia" w:hAnsiTheme="minorEastAsia" w:eastAsiaTheme="minorEastAsia"/>
                <w:color w:val="auto"/>
                <w:sz w:val="18"/>
                <w:szCs w:val="18"/>
                <w:highlight w:val="none"/>
              </w:rPr>
            </w:pPr>
          </w:p>
        </w:tc>
        <w:tc>
          <w:tcPr>
            <w:tcW w:w="258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shd w:val="clear"/>
              <w:spacing w:line="360" w:lineRule="auto"/>
              <w:jc w:val="center"/>
              <w:rPr>
                <w:rFonts w:cs="宋体" w:asciiTheme="minorEastAsia" w:hAnsiTheme="minorEastAsia" w:eastAsiaTheme="minorEastAsia"/>
                <w:color w:val="auto"/>
                <w:sz w:val="18"/>
                <w:szCs w:val="18"/>
                <w:highlight w:val="none"/>
              </w:rPr>
            </w:pPr>
          </w:p>
        </w:tc>
        <w:tc>
          <w:tcPr>
            <w:tcW w:w="39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shd w:val="clear"/>
              <w:spacing w:line="360" w:lineRule="auto"/>
              <w:jc w:val="center"/>
              <w:rPr>
                <w:rFonts w:cs="宋体" w:asciiTheme="minorEastAsia" w:hAnsiTheme="minorEastAsia" w:eastAsiaTheme="minorEastAsia"/>
                <w:color w:val="auto"/>
                <w:sz w:val="18"/>
                <w:szCs w:val="18"/>
                <w:highlight w:val="none"/>
              </w:rPr>
            </w:pPr>
          </w:p>
        </w:tc>
        <w:tc>
          <w:tcPr>
            <w:tcW w:w="9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shd w:val="clear"/>
              <w:spacing w:line="360" w:lineRule="auto"/>
              <w:jc w:val="center"/>
              <w:rPr>
                <w:rFonts w:cs="宋体" w:asciiTheme="minorEastAsia" w:hAnsiTheme="minorEastAsia" w:eastAsiaTheme="minorEastAsia"/>
                <w:color w:val="auto"/>
                <w:sz w:val="18"/>
                <w:szCs w:val="18"/>
                <w:highlight w:val="none"/>
              </w:rPr>
            </w:pPr>
          </w:p>
        </w:tc>
        <w:tc>
          <w:tcPr>
            <w:tcW w:w="79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shd w:val="clear"/>
              <w:spacing w:line="360" w:lineRule="auto"/>
              <w:jc w:val="center"/>
              <w:rPr>
                <w:rFonts w:cs="宋体" w:asciiTheme="minorEastAsia" w:hAnsiTheme="minorEastAsia" w:eastAsiaTheme="minorEastAsia"/>
                <w:color w:val="auto"/>
                <w:sz w:val="18"/>
                <w:szCs w:val="18"/>
                <w:highlight w:val="none"/>
              </w:rPr>
            </w:pPr>
          </w:p>
        </w:tc>
      </w:tr>
      <w:tr>
        <w:tblPrEx>
          <w:tblCellMar>
            <w:top w:w="0" w:type="dxa"/>
            <w:left w:w="108" w:type="dxa"/>
            <w:bottom w:w="0" w:type="dxa"/>
            <w:right w:w="108" w:type="dxa"/>
          </w:tblCellMar>
        </w:tblPrEx>
        <w:trPr>
          <w:trHeight w:val="794" w:hRule="atLeast"/>
          <w:jc w:val="center"/>
        </w:trPr>
        <w:tc>
          <w:tcPr>
            <w:tcW w:w="6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hd w:val="clear"/>
              <w:spacing w:line="360" w:lineRule="auto"/>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w:t>
            </w:r>
          </w:p>
        </w:tc>
        <w:tc>
          <w:tcPr>
            <w:tcW w:w="2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10+/8m双挑路灯(120W+80W）</w:t>
            </w:r>
          </w:p>
        </w:tc>
        <w:tc>
          <w:tcPr>
            <w:tcW w:w="3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详见技术要求。</w:t>
            </w:r>
          </w:p>
          <w:p>
            <w:pPr>
              <w:widowControl/>
              <w:shd w:val="clear"/>
              <w:spacing w:line="360" w:lineRule="auto"/>
              <w:jc w:val="left"/>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杆内含BVV 2.5*3硬护套线和瓷插式保险盒。</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套</w:t>
            </w: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14</w:t>
            </w:r>
          </w:p>
        </w:tc>
      </w:tr>
      <w:tr>
        <w:tblPrEx>
          <w:tblCellMar>
            <w:top w:w="0" w:type="dxa"/>
            <w:left w:w="108" w:type="dxa"/>
            <w:bottom w:w="0" w:type="dxa"/>
            <w:right w:w="108" w:type="dxa"/>
          </w:tblCellMar>
        </w:tblPrEx>
        <w:trPr>
          <w:trHeight w:val="765" w:hRule="atLeast"/>
          <w:jc w:val="center"/>
        </w:trPr>
        <w:tc>
          <w:tcPr>
            <w:tcW w:w="6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hd w:val="clear"/>
              <w:spacing w:line="360" w:lineRule="auto"/>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w:t>
            </w:r>
          </w:p>
        </w:tc>
        <w:tc>
          <w:tcPr>
            <w:tcW w:w="2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10+8m双挑路灯（180W+80W）</w:t>
            </w:r>
          </w:p>
        </w:tc>
        <w:tc>
          <w:tcPr>
            <w:tcW w:w="3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详见技术要求。</w:t>
            </w:r>
          </w:p>
          <w:p>
            <w:pPr>
              <w:widowControl/>
              <w:shd w:val="clear"/>
              <w:spacing w:line="360" w:lineRule="auto"/>
              <w:jc w:val="left"/>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杆内含BVV 2.5*3硬护套线和瓷插式保险盒。</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套</w:t>
            </w: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22</w:t>
            </w:r>
          </w:p>
        </w:tc>
      </w:tr>
      <w:tr>
        <w:tblPrEx>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hd w:val="clear"/>
              <w:spacing w:line="360" w:lineRule="auto"/>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w:t>
            </w:r>
          </w:p>
        </w:tc>
        <w:tc>
          <w:tcPr>
            <w:tcW w:w="2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left"/>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10+8m双挑路灯（250W+80W）</w:t>
            </w:r>
          </w:p>
        </w:tc>
        <w:tc>
          <w:tcPr>
            <w:tcW w:w="3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详见技术要求。</w:t>
            </w:r>
          </w:p>
          <w:p>
            <w:pPr>
              <w:widowControl/>
              <w:shd w:val="clear"/>
              <w:spacing w:line="360" w:lineRule="auto"/>
              <w:jc w:val="left"/>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杆内含BVV 2.5*3硬护套线和瓷插式保险盒。</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套</w:t>
            </w: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12</w:t>
            </w:r>
          </w:p>
        </w:tc>
      </w:tr>
      <w:tr>
        <w:tblPrEx>
          <w:tblCellMar>
            <w:top w:w="0" w:type="dxa"/>
            <w:left w:w="108" w:type="dxa"/>
            <w:bottom w:w="0" w:type="dxa"/>
            <w:right w:w="108" w:type="dxa"/>
          </w:tblCellMar>
        </w:tblPrEx>
        <w:trPr>
          <w:trHeight w:val="830" w:hRule="atLeast"/>
          <w:jc w:val="center"/>
        </w:trPr>
        <w:tc>
          <w:tcPr>
            <w:tcW w:w="6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hd w:val="clear"/>
              <w:spacing w:line="360" w:lineRule="auto"/>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4</w:t>
            </w:r>
          </w:p>
        </w:tc>
        <w:tc>
          <w:tcPr>
            <w:tcW w:w="2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left"/>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15米高高杆灯</w:t>
            </w:r>
          </w:p>
        </w:tc>
        <w:tc>
          <w:tcPr>
            <w:tcW w:w="3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详见技术要求。</w:t>
            </w:r>
          </w:p>
          <w:p>
            <w:pPr>
              <w:widowControl/>
              <w:shd w:val="clear"/>
              <w:spacing w:line="360" w:lineRule="auto"/>
              <w:jc w:val="left"/>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杆内BVV 2.5*3硬护套线和瓷插式保险盒。</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套</w:t>
            </w: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hd w:val="clear"/>
              <w:spacing w:line="360" w:lineRule="auto"/>
              <w:jc w:val="center"/>
              <w:textAlignment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6</w:t>
            </w:r>
          </w:p>
        </w:tc>
      </w:tr>
    </w:tbl>
    <w:p>
      <w:pPr>
        <w:shd w:val="clear"/>
        <w:rPr>
          <w:color w:val="auto"/>
          <w:highlight w:val="none"/>
        </w:rPr>
      </w:pPr>
    </w:p>
    <w:p>
      <w:pPr>
        <w:shd w:val="clear"/>
        <w:rPr>
          <w:rFonts w:ascii="宋体" w:hAnsi="宋体"/>
          <w:b/>
          <w:color w:val="auto"/>
          <w:sz w:val="24"/>
          <w:highlight w:val="none"/>
        </w:rPr>
      </w:pPr>
      <w:r>
        <w:rPr>
          <w:rFonts w:hint="eastAsia" w:ascii="宋体" w:hAnsi="宋体"/>
          <w:b/>
          <w:color w:val="auto"/>
          <w:sz w:val="24"/>
          <w:highlight w:val="none"/>
        </w:rPr>
        <w:t>二、技术要求</w:t>
      </w:r>
    </w:p>
    <w:tbl>
      <w:tblPr>
        <w:tblStyle w:val="24"/>
        <w:tblW w:w="883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893"/>
        <w:gridCol w:w="6952"/>
        <w:gridCol w:w="980"/>
        <w:gridCol w:w="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条款号</w:t>
            </w:r>
          </w:p>
        </w:tc>
        <w:tc>
          <w:tcPr>
            <w:tcW w:w="6952"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基本要求</w:t>
            </w:r>
          </w:p>
        </w:tc>
        <w:tc>
          <w:tcPr>
            <w:tcW w:w="989" w:type="dxa"/>
            <w:gridSpan w:val="2"/>
            <w:vAlign w:val="center"/>
          </w:tcPr>
          <w:p>
            <w:pPr>
              <w:shd w:val="clear"/>
              <w:spacing w:line="360" w:lineRule="auto"/>
              <w:jc w:val="center"/>
              <w:rPr>
                <w:rFonts w:cs="宋体" w:asciiTheme="minorEastAsia" w:hAnsiTheme="minorEastAsia" w:eastAsiaTheme="minorEastAsia"/>
                <w:color w:val="auto"/>
                <w:kern w:val="1"/>
                <w:sz w:val="18"/>
                <w:szCs w:val="18"/>
                <w:highlight w:val="none"/>
              </w:rPr>
            </w:pPr>
            <w:r>
              <w:rPr>
                <w:rFonts w:hint="eastAsia" w:cs="宋体" w:asciiTheme="minorEastAsia" w:hAnsiTheme="minorEastAsia" w:eastAsiaTheme="minorEastAsia"/>
                <w:color w:val="auto"/>
                <w:kern w:val="1"/>
                <w:sz w:val="18"/>
                <w:szCs w:val="18"/>
                <w:highlight w:val="none"/>
              </w:rPr>
              <w:t>供应商响应情况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一</w:t>
            </w:r>
          </w:p>
        </w:tc>
        <w:tc>
          <w:tcPr>
            <w:tcW w:w="6952" w:type="dxa"/>
            <w:vAlign w:val="center"/>
          </w:tcPr>
          <w:p>
            <w:pPr>
              <w:widowControl/>
              <w:shd w:val="clear"/>
              <w:spacing w:line="360" w:lineRule="auto"/>
              <w:ind w:firstLine="181" w:firstLineChars="100"/>
              <w:jc w:val="left"/>
              <w:textAlignment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10+8m双挑LED路灯</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1</w:t>
            </w:r>
          </w:p>
        </w:tc>
        <w:tc>
          <w:tcPr>
            <w:tcW w:w="6952" w:type="dxa"/>
            <w:vAlign w:val="center"/>
          </w:tcPr>
          <w:p>
            <w:pPr>
              <w:widowControl/>
              <w:shd w:val="clear"/>
              <w:spacing w:line="360" w:lineRule="auto"/>
              <w:ind w:firstLine="181" w:firstLineChars="100"/>
              <w:jc w:val="left"/>
              <w:textAlignment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LED灯具技术要求</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3"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1.1</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投标方提供的灯具形式应能够与其安装结构匹配。</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3"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1.2</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灯具功率120W(主灯）+80W（副灯）/180W（主灯）+80W（副灯）/250W（主灯）+80W（副灯）。</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3"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1.3</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5050光源，单颗光源实际负载功率1-3W。</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3"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1.3</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色温3900K±100K，显色指数≥70，整灯光效≥140lm/W。</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3"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1.4</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铝铸件表面喷涂应采用静电喷塑，耐腐蚀抗氧化易散热处理。</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3"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1.5</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灯具壳体：灯具具有良好的散热设计，采用模块化结构设计，模组间通风孔设计。（提供实物照片图）</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3"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1.6</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灯具密封件采用耐高温抗老化硅胶。</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8"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1.7</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防护等级：≥IP66。</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3"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1.8</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其它性能符合《道路照明用LED性能要求》GB/T24907-2010。</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3"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1.9</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所有紧固件采用304不锈钢材质。</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3"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1.10</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光通量维持率：点燃6000h光通维持率不低于96%，10000h光通维持率不低于90%。</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3"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▲1.11</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灯具尺寸：详见图纸（允许偏差±5%以内）。</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3"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1.12</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灯具颜色为灰色（具体依据业主要求）。</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3"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1.13</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灯具绝缘等级为 Class I。</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3"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★1.14</w:t>
            </w:r>
          </w:p>
        </w:tc>
        <w:tc>
          <w:tcPr>
            <w:tcW w:w="6952" w:type="dxa"/>
            <w:vAlign w:val="center"/>
          </w:tcPr>
          <w:p>
            <w:pPr>
              <w:shd w:val="clear"/>
              <w:spacing w:line="360" w:lineRule="auto"/>
              <w:ind w:firstLine="180" w:firstLineChars="1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灯具通过CQC论证。</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3"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★1.15</w:t>
            </w:r>
          </w:p>
        </w:tc>
        <w:tc>
          <w:tcPr>
            <w:tcW w:w="6952" w:type="dxa"/>
            <w:vAlign w:val="center"/>
          </w:tcPr>
          <w:p>
            <w:pPr>
              <w:widowControl/>
              <w:shd w:val="clear"/>
              <w:spacing w:line="360" w:lineRule="auto"/>
              <w:ind w:firstLine="180" w:firstLineChars="100"/>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灯具通过1000小时盐雾测试。</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13"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★1.16</w:t>
            </w:r>
          </w:p>
        </w:tc>
        <w:tc>
          <w:tcPr>
            <w:tcW w:w="6952" w:type="dxa"/>
            <w:vAlign w:val="center"/>
          </w:tcPr>
          <w:p>
            <w:pPr>
              <w:widowControl/>
              <w:shd w:val="clear"/>
              <w:spacing w:line="360" w:lineRule="auto"/>
              <w:ind w:firstLine="180" w:firstLineChars="100"/>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灯具通过振动测试,灯具通过防风测试。</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44"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2</w:t>
            </w:r>
          </w:p>
        </w:tc>
        <w:tc>
          <w:tcPr>
            <w:tcW w:w="6952" w:type="dxa"/>
            <w:vAlign w:val="center"/>
          </w:tcPr>
          <w:p>
            <w:pPr>
              <w:widowControl/>
              <w:shd w:val="clear"/>
              <w:spacing w:line="360" w:lineRule="auto"/>
              <w:ind w:firstLine="181" w:firstLineChars="100"/>
              <w:jc w:val="left"/>
              <w:textAlignment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LED驱动器技术要求</w:t>
            </w:r>
          </w:p>
        </w:tc>
        <w:tc>
          <w:tcPr>
            <w:tcW w:w="989" w:type="dxa"/>
            <w:gridSpan w:val="2"/>
            <w:vAlign w:val="center"/>
          </w:tcPr>
          <w:p>
            <w:pPr>
              <w:shd w:val="clear"/>
              <w:spacing w:line="360" w:lineRule="auto"/>
              <w:rPr>
                <w:rFonts w:asciiTheme="minorEastAsia" w:hAnsiTheme="minorEastAsia" w:eastAsiaTheme="minorEastAsia"/>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2.1</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输入电压:AC100-305V。</w:t>
            </w:r>
          </w:p>
        </w:tc>
        <w:tc>
          <w:tcPr>
            <w:tcW w:w="989" w:type="dxa"/>
            <w:gridSpan w:val="2"/>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2.2</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效率≥90%。</w:t>
            </w:r>
          </w:p>
        </w:tc>
        <w:tc>
          <w:tcPr>
            <w:tcW w:w="989" w:type="dxa"/>
            <w:gridSpan w:val="2"/>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2.3</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功率因素≥0.95。</w:t>
            </w:r>
          </w:p>
        </w:tc>
        <w:tc>
          <w:tcPr>
            <w:tcW w:w="989" w:type="dxa"/>
            <w:gridSpan w:val="2"/>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70"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2.4</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防护等级≥IP65。</w:t>
            </w:r>
          </w:p>
        </w:tc>
        <w:tc>
          <w:tcPr>
            <w:tcW w:w="989" w:type="dxa"/>
            <w:gridSpan w:val="2"/>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2.5</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输出方式:恒流输出。</w:t>
            </w:r>
          </w:p>
        </w:tc>
        <w:tc>
          <w:tcPr>
            <w:tcW w:w="989" w:type="dxa"/>
            <w:gridSpan w:val="2"/>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2.6</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工作环境温度:-40℃～70℃。</w:t>
            </w:r>
          </w:p>
        </w:tc>
        <w:tc>
          <w:tcPr>
            <w:tcW w:w="989" w:type="dxa"/>
            <w:gridSpan w:val="2"/>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3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2.7</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具有调光功能，支持1-10V/PWM/电阻。</w:t>
            </w:r>
          </w:p>
        </w:tc>
        <w:tc>
          <w:tcPr>
            <w:tcW w:w="989" w:type="dxa"/>
            <w:gridSpan w:val="2"/>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7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3</w:t>
            </w:r>
          </w:p>
        </w:tc>
        <w:tc>
          <w:tcPr>
            <w:tcW w:w="6952" w:type="dxa"/>
            <w:vAlign w:val="center"/>
          </w:tcPr>
          <w:p>
            <w:pPr>
              <w:widowControl/>
              <w:shd w:val="clear"/>
              <w:spacing w:line="360" w:lineRule="auto"/>
              <w:ind w:firstLine="181" w:firstLineChars="100"/>
              <w:jc w:val="left"/>
              <w:textAlignment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灯杆技术要求</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632"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3.1</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LED灯杆采用优质Q235钢板，圆锥形，无横向焊缝，焊缝平整无漏焊及焊接缺陷。下口径φ215mm，灯杆高度10米，壁厚4.0mm。</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632"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3.2</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灯杆整体造型美观，表面光洁。</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632"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3.3</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灯杆基础法兰盘采用Q235优质钢板400mm*400mm*20mm，法兰与杆体之间焊接可靠、牢固，无焊接缺陷，通过螺栓安装在基础上。</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632"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3.4</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电气检修门与杆体下节护板浑然一体，门边缝隙小于2mm，具备良好的防水性能。灯杆电气检修门内有接地及安装断路装置。</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632"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3.5</w:t>
            </w:r>
          </w:p>
        </w:tc>
        <w:tc>
          <w:tcPr>
            <w:tcW w:w="6952"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灯杆及加工部件整体热镀锌，表面光洁无明显色差，镀锌厚度符合国家标准。</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632"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3.6</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灯杆表面静电喷塑处理，喷塑厚度符合国家标准。表面防紫外线，防腐抗酸碱，喷塑后表面色泽一致，无脱落现象。</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632"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3.7</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防风等级≥14级，防震等级6级。</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632"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3.8</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使用寿命≥50年。</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二</w:t>
            </w:r>
          </w:p>
        </w:tc>
        <w:tc>
          <w:tcPr>
            <w:tcW w:w="6952" w:type="dxa"/>
            <w:vAlign w:val="center"/>
          </w:tcPr>
          <w:p>
            <w:pPr>
              <w:widowControl/>
              <w:shd w:val="clear"/>
              <w:spacing w:line="360" w:lineRule="auto"/>
              <w:jc w:val="left"/>
              <w:textAlignment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 xml:space="preserve"> 15米高杆灯</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1</w:t>
            </w:r>
          </w:p>
        </w:tc>
        <w:tc>
          <w:tcPr>
            <w:tcW w:w="6952" w:type="dxa"/>
            <w:vAlign w:val="center"/>
          </w:tcPr>
          <w:p>
            <w:pPr>
              <w:widowControl/>
              <w:shd w:val="clear"/>
              <w:spacing w:line="360" w:lineRule="auto"/>
              <w:ind w:firstLine="181"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LED灯具技术要求</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shd w:val="clear"/>
              <w:spacing w:line="360" w:lineRule="auto"/>
              <w:jc w:val="center"/>
              <w:rPr>
                <w:rFonts w:cs="宋体" w:asciiTheme="minorEastAsia" w:hAnsiTheme="minorEastAsia" w:eastAsiaTheme="minorEastAsia"/>
                <w:color w:val="auto"/>
                <w:kern w:val="1"/>
                <w:sz w:val="18"/>
                <w:szCs w:val="18"/>
                <w:highlight w:val="none"/>
              </w:rPr>
            </w:pPr>
            <w:r>
              <w:rPr>
                <w:rFonts w:hint="eastAsia" w:cs="宋体" w:asciiTheme="minorEastAsia" w:hAnsiTheme="minorEastAsia" w:eastAsiaTheme="minorEastAsia"/>
                <w:color w:val="auto"/>
                <w:kern w:val="1"/>
                <w:sz w:val="18"/>
                <w:szCs w:val="18"/>
                <w:highlight w:val="none"/>
              </w:rPr>
              <w:t>1.1</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铝合金型材一体成型，表面喷砂加氧化处理，耐腐蚀抗氧化易散热。（提供实物照片图）</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shd w:val="clear"/>
              <w:spacing w:line="360" w:lineRule="auto"/>
              <w:jc w:val="center"/>
              <w:rPr>
                <w:rFonts w:cs="宋体" w:asciiTheme="minorEastAsia" w:hAnsiTheme="minorEastAsia" w:eastAsiaTheme="minorEastAsia"/>
                <w:color w:val="auto"/>
                <w:kern w:val="1"/>
                <w:sz w:val="18"/>
                <w:szCs w:val="18"/>
                <w:highlight w:val="none"/>
              </w:rPr>
            </w:pPr>
            <w:r>
              <w:rPr>
                <w:rFonts w:hint="eastAsia" w:cs="宋体" w:asciiTheme="minorEastAsia" w:hAnsiTheme="minorEastAsia" w:eastAsiaTheme="minorEastAsia"/>
                <w:color w:val="auto"/>
                <w:kern w:val="1"/>
                <w:sz w:val="18"/>
                <w:szCs w:val="18"/>
                <w:highlight w:val="none"/>
              </w:rPr>
              <w:t>1.2</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模组式结构，模组间通风孔设计。（提供实物照片图）</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shd w:val="clear"/>
              <w:spacing w:line="360" w:lineRule="auto"/>
              <w:jc w:val="center"/>
              <w:rPr>
                <w:rFonts w:cs="宋体" w:asciiTheme="minorEastAsia" w:hAnsiTheme="minorEastAsia" w:eastAsiaTheme="minorEastAsia"/>
                <w:color w:val="auto"/>
                <w:kern w:val="1"/>
                <w:sz w:val="18"/>
                <w:szCs w:val="18"/>
                <w:highlight w:val="none"/>
              </w:rPr>
            </w:pPr>
            <w:r>
              <w:rPr>
                <w:rFonts w:hint="eastAsia" w:cs="宋体" w:asciiTheme="minorEastAsia" w:hAnsiTheme="minorEastAsia" w:eastAsiaTheme="minorEastAsia"/>
                <w:color w:val="auto"/>
                <w:kern w:val="1"/>
                <w:sz w:val="18"/>
                <w:szCs w:val="18"/>
                <w:highlight w:val="none"/>
              </w:rPr>
              <w:t>1.3</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透镜采用光学级PC材料，一体成型，科学配光，耐老化。</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1"/>
                <w:sz w:val="18"/>
                <w:szCs w:val="18"/>
                <w:highlight w:val="none"/>
              </w:rPr>
            </w:pPr>
            <w:r>
              <w:rPr>
                <w:rFonts w:hint="eastAsia" w:cs="宋体" w:asciiTheme="minorEastAsia" w:hAnsiTheme="minorEastAsia" w:eastAsiaTheme="minorEastAsia"/>
                <w:color w:val="auto"/>
                <w:kern w:val="0"/>
                <w:sz w:val="18"/>
                <w:szCs w:val="18"/>
                <w:highlight w:val="none"/>
              </w:rPr>
              <w:t>1.4</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灯具功率4*200W。</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1"/>
                <w:sz w:val="18"/>
                <w:szCs w:val="18"/>
                <w:highlight w:val="none"/>
              </w:rPr>
            </w:pPr>
            <w:r>
              <w:rPr>
                <w:rFonts w:hint="eastAsia" w:cs="宋体" w:asciiTheme="minorEastAsia" w:hAnsiTheme="minorEastAsia" w:eastAsiaTheme="minorEastAsia"/>
                <w:color w:val="auto"/>
                <w:kern w:val="0"/>
                <w:sz w:val="18"/>
                <w:szCs w:val="18"/>
                <w:highlight w:val="none"/>
              </w:rPr>
              <w:t>1.5</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色温3900K±100K，显色指数Ra≥70，整灯光效≥140lm/W。</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1"/>
                <w:sz w:val="18"/>
                <w:szCs w:val="18"/>
                <w:highlight w:val="none"/>
              </w:rPr>
            </w:pPr>
            <w:r>
              <w:rPr>
                <w:rFonts w:hint="eastAsia" w:cs="宋体" w:asciiTheme="minorEastAsia" w:hAnsiTheme="minorEastAsia" w:eastAsiaTheme="minorEastAsia"/>
                <w:color w:val="auto"/>
                <w:kern w:val="0"/>
                <w:sz w:val="18"/>
                <w:szCs w:val="18"/>
                <w:highlight w:val="none"/>
              </w:rPr>
              <w:t>1.6</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光通量维持率：点燃6000h光通维持率不低于96%，10000h光通维持率不低于90%。</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1"/>
                <w:sz w:val="18"/>
                <w:szCs w:val="18"/>
                <w:highlight w:val="none"/>
              </w:rPr>
            </w:pPr>
            <w:r>
              <w:rPr>
                <w:rFonts w:hint="eastAsia" w:cs="宋体" w:asciiTheme="minorEastAsia" w:hAnsiTheme="minorEastAsia" w:eastAsiaTheme="minorEastAsia"/>
                <w:color w:val="auto"/>
                <w:kern w:val="0"/>
                <w:sz w:val="18"/>
                <w:szCs w:val="18"/>
                <w:highlight w:val="none"/>
              </w:rPr>
              <w:t>1.7</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灯具配光：朗伯型配光，符合设计要求。</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1"/>
                <w:sz w:val="18"/>
                <w:szCs w:val="18"/>
                <w:highlight w:val="none"/>
              </w:rPr>
            </w:pPr>
            <w:r>
              <w:rPr>
                <w:rFonts w:hint="eastAsia" w:cs="宋体" w:asciiTheme="minorEastAsia" w:hAnsiTheme="minorEastAsia" w:eastAsiaTheme="minorEastAsia"/>
                <w:color w:val="auto"/>
                <w:kern w:val="0"/>
                <w:sz w:val="18"/>
                <w:szCs w:val="18"/>
                <w:highlight w:val="none"/>
              </w:rPr>
              <w:t>1.8</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防护等级≥IP66。</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1.9</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灯具通过1000小时盐雾测试。</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1"/>
                <w:sz w:val="18"/>
                <w:szCs w:val="18"/>
                <w:highlight w:val="none"/>
              </w:rPr>
            </w:pPr>
            <w:r>
              <w:rPr>
                <w:rFonts w:hint="eastAsia" w:cs="宋体" w:asciiTheme="minorEastAsia" w:hAnsiTheme="minorEastAsia" w:eastAsiaTheme="minorEastAsia"/>
                <w:color w:val="auto"/>
                <w:kern w:val="0"/>
                <w:sz w:val="18"/>
                <w:szCs w:val="18"/>
                <w:highlight w:val="none"/>
              </w:rPr>
              <w:t>1.10</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灯具通过振动测试,灯具通过防风测试。</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1"/>
                <w:sz w:val="18"/>
                <w:szCs w:val="18"/>
                <w:highlight w:val="none"/>
              </w:rPr>
            </w:pPr>
            <w:r>
              <w:rPr>
                <w:rFonts w:hint="eastAsia" w:cs="宋体" w:asciiTheme="minorEastAsia" w:hAnsiTheme="minorEastAsia" w:eastAsiaTheme="minorEastAsia"/>
                <w:color w:val="auto"/>
                <w:kern w:val="0"/>
                <w:sz w:val="18"/>
                <w:szCs w:val="18"/>
                <w:highlight w:val="none"/>
              </w:rPr>
              <w:t>▲1.11</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灯具尺寸：详见图纸（允许偏差±5%以内）。</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1"/>
                <w:sz w:val="18"/>
                <w:szCs w:val="18"/>
                <w:highlight w:val="none"/>
              </w:rPr>
            </w:pPr>
            <w:r>
              <w:rPr>
                <w:rFonts w:hint="eastAsia" w:cs="宋体" w:asciiTheme="minorEastAsia" w:hAnsiTheme="minorEastAsia" w:eastAsiaTheme="minorEastAsia"/>
                <w:color w:val="auto"/>
                <w:kern w:val="0"/>
                <w:sz w:val="18"/>
                <w:szCs w:val="18"/>
                <w:highlight w:val="none"/>
              </w:rPr>
              <w:t>1.12</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灯具颜色依据业主要求。</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1"/>
                <w:sz w:val="18"/>
                <w:szCs w:val="18"/>
                <w:highlight w:val="none"/>
              </w:rPr>
            </w:pPr>
            <w:r>
              <w:rPr>
                <w:rFonts w:hint="eastAsia" w:cs="宋体" w:asciiTheme="minorEastAsia" w:hAnsiTheme="minorEastAsia" w:eastAsiaTheme="minorEastAsia"/>
                <w:color w:val="auto"/>
                <w:kern w:val="0"/>
                <w:sz w:val="18"/>
                <w:szCs w:val="18"/>
                <w:highlight w:val="none"/>
              </w:rPr>
              <w:t>1.13</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灯具绝缘等级为 Class I。</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2</w:t>
            </w:r>
          </w:p>
        </w:tc>
        <w:tc>
          <w:tcPr>
            <w:tcW w:w="6952" w:type="dxa"/>
            <w:vAlign w:val="center"/>
          </w:tcPr>
          <w:p>
            <w:pPr>
              <w:widowControl/>
              <w:shd w:val="clear"/>
              <w:spacing w:line="360" w:lineRule="auto"/>
              <w:ind w:firstLine="181" w:firstLineChars="100"/>
              <w:jc w:val="left"/>
              <w:textAlignment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LED驱动器技术要求</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2.1</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输入电压:AC100-305V。</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2.2</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效率≥90%。</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2.3</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功率因素≥0.95。</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2.4</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防护等级≥IP65。</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2.5</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输出方式:恒流输出。</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2.6</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工作环境温度:-40℃～70℃。</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2.7</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具有调光功能，支持1-10V/PWM/电阻。</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3</w:t>
            </w:r>
          </w:p>
        </w:tc>
        <w:tc>
          <w:tcPr>
            <w:tcW w:w="6952" w:type="dxa"/>
            <w:vAlign w:val="center"/>
          </w:tcPr>
          <w:p>
            <w:pPr>
              <w:widowControl/>
              <w:shd w:val="clear"/>
              <w:spacing w:line="360" w:lineRule="auto"/>
              <w:ind w:firstLine="181" w:firstLineChars="100"/>
              <w:jc w:val="left"/>
              <w:textAlignment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灯杆技术要求</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3.1</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LED灯杆采用优质Q235钢板，圆锥形，无横向焊缝，焊缝平整无漏焊及焊接缺陷。15米灯杆下口径φ350mm，上口径φ140mm，壁厚6.0mm。</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3.2</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灯杆整体造型美观，表面光洁。</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3.3</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灯杆基础法兰盘采用Q235优质钢板540mm*540mm*20mm，法兰与杆体之间焊接可靠、牢固，无焊接缺陷，通过螺栓安装在基础上。</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3.4</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电气检修门与杆体下节护板浑然一体，门边缝隙小于2mm，具备良好的防水性能。灯杆电气检修门内有接地及安装断路装置。</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3.5</w:t>
            </w:r>
          </w:p>
        </w:tc>
        <w:tc>
          <w:tcPr>
            <w:tcW w:w="6952"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灯杆及加工部件整体热镀锌，表面光洁无明显色差，镀锌厚度符合国家标准。</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3.6</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灯杆表面静电喷塑处理，喷塑厚度符合国家标准。表面防紫外线，防腐抗酸碱，喷塑后表面色泽一致，无脱落现象。</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3.7</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防风等级≥14级，防震等级6级。</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427"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3.8</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使用寿命≥50年。</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632"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三</w:t>
            </w:r>
          </w:p>
        </w:tc>
        <w:tc>
          <w:tcPr>
            <w:tcW w:w="6952" w:type="dxa"/>
            <w:vAlign w:val="center"/>
          </w:tcPr>
          <w:p>
            <w:pPr>
              <w:widowControl/>
              <w:shd w:val="clear"/>
              <w:spacing w:line="360" w:lineRule="auto"/>
              <w:ind w:firstLine="181" w:firstLineChars="100"/>
              <w:jc w:val="left"/>
              <w:textAlignment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智能系统参数</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632" w:hRule="atLeast"/>
          <w:jc w:val="center"/>
        </w:trPr>
        <w:tc>
          <w:tcPr>
            <w:tcW w:w="893" w:type="dxa"/>
            <w:vAlign w:val="center"/>
          </w:tcPr>
          <w:p>
            <w:pPr>
              <w:shd w:val="clear"/>
              <w:spacing w:line="360" w:lineRule="auto"/>
              <w:jc w:val="center"/>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color w:val="auto"/>
                <w:sz w:val="18"/>
                <w:szCs w:val="18"/>
                <w:highlight w:val="none"/>
              </w:rPr>
              <w:t>1.1</w:t>
            </w:r>
          </w:p>
        </w:tc>
        <w:tc>
          <w:tcPr>
            <w:tcW w:w="6952" w:type="dxa"/>
            <w:vAlign w:val="center"/>
          </w:tcPr>
          <w:p>
            <w:pPr>
              <w:pStyle w:val="2"/>
              <w:shd w:val="clear"/>
              <w:spacing w:line="360" w:lineRule="auto"/>
              <w:ind w:firstLine="180" w:firstLineChars="100"/>
              <w:rPr>
                <w:rFonts w:cs="宋体" w:asciiTheme="minorEastAsia" w:hAnsiTheme="minorEastAsia" w:eastAsiaTheme="minorEastAsia"/>
                <w:b/>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系统采用电力载波方案，通过4G或5G手机卡进行远距离无线调光、开关控制。</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632" w:hRule="atLeast"/>
          <w:jc w:val="center"/>
        </w:trPr>
        <w:tc>
          <w:tcPr>
            <w:tcW w:w="893" w:type="dxa"/>
            <w:vAlign w:val="center"/>
          </w:tcPr>
          <w:p>
            <w:pPr>
              <w:shd w:val="clear"/>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sz w:val="18"/>
                <w:szCs w:val="18"/>
                <w:highlight w:val="none"/>
              </w:rPr>
              <w:t>1.2</w:t>
            </w:r>
          </w:p>
        </w:tc>
        <w:tc>
          <w:tcPr>
            <w:tcW w:w="6952" w:type="dxa"/>
            <w:vAlign w:val="center"/>
          </w:tcPr>
          <w:p>
            <w:pPr>
              <w:pStyle w:val="2"/>
              <w:shd w:val="clear"/>
              <w:spacing w:line="360" w:lineRule="auto"/>
              <w:ind w:firstLine="180" w:firstLineChars="100"/>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系统可根据路面实际情况制定各种亮灯控制策略，按照控制策略，通过监控中心合理设定开关灯时间来实现照明控制。</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632" w:hRule="atLeast"/>
          <w:jc w:val="center"/>
        </w:trPr>
        <w:tc>
          <w:tcPr>
            <w:tcW w:w="893" w:type="dxa"/>
            <w:vAlign w:val="center"/>
          </w:tcPr>
          <w:p>
            <w:pPr>
              <w:shd w:val="clear"/>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sz w:val="18"/>
                <w:szCs w:val="18"/>
                <w:highlight w:val="none"/>
              </w:rPr>
              <w:t>1.3</w:t>
            </w:r>
          </w:p>
        </w:tc>
        <w:tc>
          <w:tcPr>
            <w:tcW w:w="6952" w:type="dxa"/>
            <w:vAlign w:val="center"/>
          </w:tcPr>
          <w:p>
            <w:pPr>
              <w:pStyle w:val="2"/>
              <w:shd w:val="clear"/>
              <w:spacing w:line="360" w:lineRule="auto"/>
              <w:ind w:firstLine="180" w:firstLineChars="100"/>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系统可对项目每盏灯具单独进行调光、开关控制。</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632" w:hRule="atLeast"/>
          <w:jc w:val="center"/>
        </w:trPr>
        <w:tc>
          <w:tcPr>
            <w:tcW w:w="893" w:type="dxa"/>
            <w:vAlign w:val="center"/>
          </w:tcPr>
          <w:p>
            <w:pPr>
              <w:shd w:val="clear"/>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sz w:val="18"/>
                <w:szCs w:val="18"/>
                <w:highlight w:val="none"/>
              </w:rPr>
              <w:t>1.4</w:t>
            </w:r>
          </w:p>
        </w:tc>
        <w:tc>
          <w:tcPr>
            <w:tcW w:w="6952" w:type="dxa"/>
            <w:vAlign w:val="center"/>
          </w:tcPr>
          <w:p>
            <w:pPr>
              <w:pStyle w:val="2"/>
              <w:shd w:val="clear"/>
              <w:spacing w:line="360" w:lineRule="auto"/>
              <w:ind w:firstLine="180" w:firstLineChars="100"/>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集中器支持单相和三相供电方式，宽电压供电电压范围100～400VAC，带液晶显示，防护等级≥IP54，工作温度范围：-40~85℃；</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632" w:hRule="atLeast"/>
          <w:jc w:val="center"/>
        </w:trPr>
        <w:tc>
          <w:tcPr>
            <w:tcW w:w="893" w:type="dxa"/>
            <w:vAlign w:val="center"/>
          </w:tcPr>
          <w:p>
            <w:pPr>
              <w:shd w:val="clear"/>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sz w:val="18"/>
                <w:szCs w:val="18"/>
                <w:highlight w:val="none"/>
              </w:rPr>
              <w:t>★1.5</w:t>
            </w:r>
          </w:p>
        </w:tc>
        <w:tc>
          <w:tcPr>
            <w:tcW w:w="6952" w:type="dxa"/>
            <w:vAlign w:val="center"/>
          </w:tcPr>
          <w:p>
            <w:pPr>
              <w:pStyle w:val="2"/>
              <w:shd w:val="clear"/>
              <w:spacing w:line="360" w:lineRule="auto"/>
              <w:ind w:firstLine="180" w:firstLineChars="100"/>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单灯控制器有电流、电压功率因素采集功能，有远程开/关灯和调光功能，宽电压供电电压范围100～260VAC，单灯出现故障不影响正常亮灯，控制终端同时具有PWM和0-10V调光输出接口，防护等级≥IP67。</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90" w:hRule="atLeast"/>
          <w:jc w:val="center"/>
        </w:trPr>
        <w:tc>
          <w:tcPr>
            <w:tcW w:w="893" w:type="dxa"/>
            <w:vAlign w:val="center"/>
          </w:tcPr>
          <w:p>
            <w:pPr>
              <w:shd w:val="clear"/>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sz w:val="18"/>
                <w:szCs w:val="18"/>
                <w:highlight w:val="none"/>
              </w:rPr>
              <w:t>★1.6</w:t>
            </w:r>
          </w:p>
        </w:tc>
        <w:tc>
          <w:tcPr>
            <w:tcW w:w="6952" w:type="dxa"/>
            <w:vAlign w:val="center"/>
          </w:tcPr>
          <w:p>
            <w:pPr>
              <w:pStyle w:val="2"/>
              <w:shd w:val="clear"/>
              <w:spacing w:line="360" w:lineRule="auto"/>
              <w:ind w:firstLine="180" w:firstLineChars="100"/>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系统软件采用模块化设计，分布式架构方式，支持SDK包、API等多种接口，支持情景模式自定义功能，支持对监控终端进行远程及U盘本地升级，支持意外亮灯、意外灭灯、线路过流、线路过压、线路欠压、门开、控制柜缺相、漏电保护器故障、交流接触器故障等故障报警，可显示终端和回路隶属关系。</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90" w:hRule="atLeast"/>
          <w:jc w:val="center"/>
        </w:trPr>
        <w:tc>
          <w:tcPr>
            <w:tcW w:w="893" w:type="dxa"/>
            <w:vAlign w:val="center"/>
          </w:tcPr>
          <w:p>
            <w:pPr>
              <w:shd w:val="clear"/>
              <w:spacing w:line="360" w:lineRule="auto"/>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1.7</w:t>
            </w:r>
          </w:p>
        </w:tc>
        <w:tc>
          <w:tcPr>
            <w:tcW w:w="6952" w:type="dxa"/>
            <w:vAlign w:val="center"/>
          </w:tcPr>
          <w:p>
            <w:pPr>
              <w:pStyle w:val="2"/>
              <w:shd w:val="clear"/>
              <w:spacing w:line="360" w:lineRule="auto"/>
              <w:ind w:firstLine="360"/>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拥有自主智能控制平台、集中终端等远程控制类软件自主知识产权、软件著作权。</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90" w:hRule="atLeast"/>
          <w:jc w:val="center"/>
        </w:trPr>
        <w:tc>
          <w:tcPr>
            <w:tcW w:w="893" w:type="dxa"/>
            <w:vAlign w:val="center"/>
          </w:tcPr>
          <w:p>
            <w:pPr>
              <w:shd w:val="clear"/>
              <w:spacing w:line="360" w:lineRule="auto"/>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1.8</w:t>
            </w:r>
          </w:p>
        </w:tc>
        <w:tc>
          <w:tcPr>
            <w:tcW w:w="6952" w:type="dxa"/>
            <w:vAlign w:val="center"/>
          </w:tcPr>
          <w:p>
            <w:pPr>
              <w:pStyle w:val="2"/>
              <w:shd w:val="clear"/>
              <w:spacing w:line="360" w:lineRule="auto"/>
              <w:ind w:firstLine="360"/>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中标方需具有自建控制平台，协助业主方远程维护，包含不同季节及节假日亮灯方案控制、电量统计、故障短信报警等；采购人只需在现有电脑上就能观看运行状况。</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776"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四</w:t>
            </w:r>
          </w:p>
        </w:tc>
        <w:tc>
          <w:tcPr>
            <w:tcW w:w="6952"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b/>
                <w:bCs/>
                <w:color w:val="auto"/>
                <w:kern w:val="0"/>
                <w:sz w:val="18"/>
                <w:szCs w:val="18"/>
                <w:highlight w:val="none"/>
              </w:rPr>
              <w:t>其它要求</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776" w:hRule="atLeast"/>
          <w:jc w:val="center"/>
        </w:trPr>
        <w:tc>
          <w:tcPr>
            <w:tcW w:w="893" w:type="dxa"/>
            <w:vAlign w:val="center"/>
          </w:tcPr>
          <w:p>
            <w:pPr>
              <w:shd w:val="clear"/>
              <w:spacing w:line="360" w:lineRule="auto"/>
              <w:jc w:val="center"/>
              <w:rPr>
                <w:rFonts w:asciiTheme="minorEastAsia" w:hAnsiTheme="minorEastAsia" w:eastAsiaTheme="minorEastAsia"/>
                <w:b/>
                <w:bCs/>
                <w:color w:val="auto"/>
                <w:sz w:val="18"/>
                <w:szCs w:val="18"/>
                <w:highlight w:val="none"/>
              </w:rPr>
            </w:pPr>
            <w:r>
              <w:rPr>
                <w:rFonts w:hint="eastAsia" w:cs="宋体" w:asciiTheme="minorEastAsia" w:hAnsiTheme="minorEastAsia" w:eastAsiaTheme="minorEastAsia"/>
                <w:color w:val="auto"/>
                <w:sz w:val="18"/>
                <w:szCs w:val="18"/>
                <w:highlight w:val="none"/>
              </w:rPr>
              <w:t>1.1</w:t>
            </w:r>
          </w:p>
        </w:tc>
        <w:tc>
          <w:tcPr>
            <w:tcW w:w="6952" w:type="dxa"/>
            <w:vAlign w:val="center"/>
          </w:tcPr>
          <w:p>
            <w:pPr>
              <w:shd w:val="clear"/>
              <w:spacing w:line="360" w:lineRule="auto"/>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驱动器（参考品牌）：英飞特、明纬、飞利浦。</w:t>
            </w:r>
          </w:p>
          <w:p>
            <w:pPr>
              <w:shd w:val="clear"/>
              <w:spacing w:line="360" w:lineRule="auto"/>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封装LED芯片（参考品牌）：欧司朗、科锐、飞利浦。</w:t>
            </w:r>
          </w:p>
          <w:p>
            <w:pPr>
              <w:widowControl/>
              <w:shd w:val="clear"/>
              <w:spacing w:line="360" w:lineRule="auto"/>
              <w:ind w:firstLine="180" w:firstLineChars="100"/>
              <w:jc w:val="left"/>
              <w:textAlignment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集中控制器（参考品牌）：方大智控、湖南诚石、中微感联</w:t>
            </w:r>
          </w:p>
          <w:p>
            <w:pPr>
              <w:pStyle w:val="2"/>
              <w:shd w:val="clear"/>
              <w:spacing w:line="360" w:lineRule="auto"/>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stheme="minorBidi"/>
                <w:color w:val="auto"/>
                <w:sz w:val="18"/>
                <w:szCs w:val="18"/>
                <w:highlight w:val="none"/>
              </w:rPr>
              <w:t>单灯控制器（参考品牌）：方大智控、湖南诚石、中微感联</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1403" w:hRule="atLeast"/>
          <w:jc w:val="center"/>
        </w:trPr>
        <w:tc>
          <w:tcPr>
            <w:tcW w:w="893" w:type="dxa"/>
            <w:vAlign w:val="center"/>
          </w:tcPr>
          <w:p>
            <w:pPr>
              <w:widowControl/>
              <w:shd w:val="clear"/>
              <w:spacing w:line="360" w:lineRule="auto"/>
              <w:jc w:val="center"/>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1.2</w:t>
            </w:r>
          </w:p>
        </w:tc>
        <w:tc>
          <w:tcPr>
            <w:tcW w:w="6952" w:type="dxa"/>
            <w:vAlign w:val="center"/>
          </w:tcPr>
          <w:p>
            <w:pPr>
              <w:widowControl/>
              <w:shd w:val="clear"/>
              <w:spacing w:line="360" w:lineRule="auto"/>
              <w:ind w:firstLine="180" w:firstLineChars="100"/>
              <w:jc w:val="left"/>
              <w:textAlignment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抽检：为确保实际安装灯具与检测灯具及投标样品灯具重要光电参数（发光能效、显色指数、功率因数等）一致性，当路灯送至业主指定地点后，招标人将随机抽取不少于2套灯具送至国家质量监督检测中心（上海或北京）进行检测，如测试参数不符合招标技术规格要求的，则全部灯具退还给中标人，所产生的相关费用由中标人全部承担。</w:t>
            </w:r>
          </w:p>
        </w:tc>
        <w:tc>
          <w:tcPr>
            <w:tcW w:w="980" w:type="dxa"/>
            <w:vAlign w:val="center"/>
          </w:tcPr>
          <w:p>
            <w:pPr>
              <w:widowControl/>
              <w:shd w:val="clear"/>
              <w:spacing w:line="360" w:lineRule="auto"/>
              <w:jc w:val="left"/>
              <w:textAlignment w:val="center"/>
              <w:rPr>
                <w:rFonts w:cs="宋体" w:asciiTheme="minorEastAsia" w:hAnsiTheme="minorEastAsia" w:eastAsiaTheme="minorEastAsia"/>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1"/>
          <w:wAfter w:w="9" w:type="dxa"/>
          <w:trHeight w:val="815" w:hRule="atLeast"/>
          <w:jc w:val="center"/>
        </w:trPr>
        <w:tc>
          <w:tcPr>
            <w:tcW w:w="8825" w:type="dxa"/>
            <w:gridSpan w:val="3"/>
            <w:vAlign w:val="center"/>
          </w:tcPr>
          <w:p>
            <w:pPr>
              <w:widowControl/>
              <w:shd w:val="clear"/>
              <w:spacing w:line="360" w:lineRule="auto"/>
              <w:ind w:firstLine="180" w:firstLineChars="100"/>
              <w:jc w:val="left"/>
              <w:textAlignment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1、参考品牌仅供投标参考，不具限制性，投标产品非参考品牌的，必须在产品质量和性能上与参考品牌同档次或优于参考品牌，欢迎其他能满足本项目技术需求且性能与参考品牌相当的产品参与投标。</w:t>
            </w:r>
          </w:p>
          <w:p>
            <w:pPr>
              <w:widowControl/>
              <w:shd w:val="clear"/>
              <w:spacing w:line="360" w:lineRule="auto"/>
              <w:ind w:firstLine="180" w:firstLineChars="100"/>
              <w:jc w:val="left"/>
              <w:textAlignment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2、标★的技术参数，投标文件中需提供国家认可的第三方检测单位CMA出具的检测报告或其他证明材料复印件（同款灯具或模组的检测报告也予以认可），未提供检测报告或检测报告参数不满足的视作负偏离。</w:t>
            </w:r>
          </w:p>
        </w:tc>
      </w:tr>
    </w:tbl>
    <w:p>
      <w:pPr>
        <w:shd w:val="clear"/>
        <w:rPr>
          <w:rFonts w:ascii="宋体" w:hAnsi="宋体" w:cs="宋体"/>
          <w:color w:val="auto"/>
          <w:kern w:val="1"/>
          <w:sz w:val="24"/>
          <w:highlight w:val="none"/>
        </w:rPr>
      </w:pPr>
      <w:r>
        <w:rPr>
          <w:rFonts w:hint="eastAsia" w:ascii="宋体" w:hAnsi="宋体"/>
          <w:b/>
          <w:color w:val="auto"/>
          <w:sz w:val="24"/>
          <w:highlight w:val="none"/>
        </w:rPr>
        <w:t>三、灯具尺寸样式图：</w:t>
      </w:r>
    </w:p>
    <w:p>
      <w:pPr>
        <w:shd w:val="clear"/>
        <w:rPr>
          <w:rFonts w:ascii="宋体" w:hAnsi="宋体" w:cs="宋体"/>
          <w:color w:val="auto"/>
          <w:kern w:val="1"/>
          <w:sz w:val="24"/>
          <w:highlight w:val="none"/>
        </w:rPr>
      </w:pPr>
      <w:r>
        <w:rPr>
          <w:rFonts w:hint="eastAsia" w:ascii="宋体" w:hAnsi="宋体" w:cs="宋体"/>
          <w:color w:val="auto"/>
          <w:kern w:val="1"/>
          <w:sz w:val="24"/>
          <w:highlight w:val="none"/>
        </w:rPr>
        <w:t xml:space="preserve">   </w:t>
      </w:r>
    </w:p>
    <w:p>
      <w:pPr>
        <w:shd w:val="clear"/>
        <w:rPr>
          <w:rFonts w:ascii="宋体" w:hAnsi="宋体" w:cs="宋体"/>
          <w:color w:val="auto"/>
          <w:kern w:val="1"/>
          <w:sz w:val="28"/>
          <w:szCs w:val="28"/>
          <w:highlight w:val="none"/>
        </w:rPr>
      </w:pPr>
      <w:r>
        <w:rPr>
          <w:rFonts w:hint="eastAsia" w:ascii="宋体" w:hAnsi="宋体" w:cs="宋体"/>
          <w:color w:val="auto"/>
          <w:kern w:val="1"/>
          <w:sz w:val="24"/>
          <w:highlight w:val="none"/>
        </w:rPr>
        <w:t xml:space="preserve">               </w:t>
      </w:r>
      <w:r>
        <w:rPr>
          <w:rFonts w:hint="eastAsia" w:ascii="宋体" w:hAnsi="宋体" w:cs="宋体"/>
          <w:color w:val="auto"/>
          <w:kern w:val="1"/>
          <w:sz w:val="28"/>
          <w:szCs w:val="28"/>
          <w:highlight w:val="none"/>
        </w:rPr>
        <w:t>120W/180W/250W  LED灯具尺寸图</w:t>
      </w:r>
    </w:p>
    <w:p>
      <w:pPr>
        <w:shd w:val="clear"/>
        <w:rPr>
          <w:rFonts w:ascii="宋体" w:hAnsi="宋体" w:cs="宋体"/>
          <w:color w:val="auto"/>
          <w:kern w:val="1"/>
          <w:sz w:val="24"/>
          <w:highlight w:val="none"/>
        </w:rPr>
      </w:pPr>
      <w:r>
        <w:rPr>
          <w:color w:val="auto"/>
          <w:highlight w:val="none"/>
        </w:rPr>
        <w:drawing>
          <wp:inline distT="0" distB="0" distL="114300" distR="114300">
            <wp:extent cx="4747895" cy="3281045"/>
            <wp:effectExtent l="0" t="0" r="1460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cstate="print"/>
                    <a:stretch>
                      <a:fillRect/>
                    </a:stretch>
                  </pic:blipFill>
                  <pic:spPr>
                    <a:xfrm>
                      <a:off x="0" y="0"/>
                      <a:ext cx="4747895" cy="3281045"/>
                    </a:xfrm>
                    <a:prstGeom prst="rect">
                      <a:avLst/>
                    </a:prstGeom>
                    <a:noFill/>
                    <a:ln>
                      <a:noFill/>
                    </a:ln>
                  </pic:spPr>
                </pic:pic>
              </a:graphicData>
            </a:graphic>
          </wp:inline>
        </w:drawing>
      </w:r>
    </w:p>
    <w:p>
      <w:pPr>
        <w:shd w:val="clear"/>
        <w:rPr>
          <w:rFonts w:ascii="宋体" w:hAnsi="宋体" w:cs="宋体"/>
          <w:color w:val="auto"/>
          <w:kern w:val="1"/>
          <w:sz w:val="24"/>
          <w:highlight w:val="none"/>
        </w:rPr>
      </w:pPr>
    </w:p>
    <w:p>
      <w:pPr>
        <w:shd w:val="clear"/>
        <w:ind w:firstLine="1897" w:firstLineChars="900"/>
        <w:rPr>
          <w:rFonts w:ascii="宋体" w:hAnsi="宋体" w:cs="宋体"/>
          <w:b/>
          <w:bCs/>
          <w:color w:val="auto"/>
          <w:szCs w:val="21"/>
          <w:highlight w:val="none"/>
        </w:rPr>
      </w:pPr>
      <w:r>
        <w:rPr>
          <w:rFonts w:hint="eastAsia" w:ascii="宋体" w:hAnsi="宋体" w:cs="宋体"/>
          <w:b/>
          <w:bCs/>
          <w:color w:val="auto"/>
          <w:szCs w:val="21"/>
          <w:highlight w:val="none"/>
        </w:rPr>
        <w:t>注：（长宽高满足招标文件要求±5%以内）</w:t>
      </w:r>
    </w:p>
    <w:p>
      <w:pPr>
        <w:shd w:val="clear"/>
        <w:spacing w:line="360" w:lineRule="auto"/>
        <w:rPr>
          <w:color w:val="auto"/>
          <w:kern w:val="1"/>
          <w:highlight w:val="none"/>
        </w:rPr>
      </w:pPr>
    </w:p>
    <w:p>
      <w:pPr>
        <w:shd w:val="clear"/>
        <w:ind w:firstLine="2240" w:firstLineChars="800"/>
        <w:rPr>
          <w:rFonts w:ascii="宋体" w:hAnsi="宋体" w:cs="宋体"/>
          <w:color w:val="auto"/>
          <w:kern w:val="1"/>
          <w:sz w:val="28"/>
          <w:szCs w:val="28"/>
          <w:highlight w:val="none"/>
        </w:rPr>
      </w:pPr>
      <w:r>
        <w:rPr>
          <w:rFonts w:hint="eastAsia" w:ascii="宋体" w:hAnsi="宋体" w:cs="宋体"/>
          <w:color w:val="auto"/>
          <w:kern w:val="1"/>
          <w:sz w:val="28"/>
          <w:szCs w:val="28"/>
          <w:highlight w:val="none"/>
        </w:rPr>
        <w:t xml:space="preserve"> 80W  LED灯具尺寸图</w:t>
      </w:r>
    </w:p>
    <w:p>
      <w:pPr>
        <w:shd w:val="clear"/>
        <w:spacing w:line="360" w:lineRule="auto"/>
        <w:rPr>
          <w:color w:val="auto"/>
          <w:kern w:val="1"/>
          <w:highlight w:val="none"/>
        </w:rPr>
      </w:pPr>
      <w:r>
        <w:rPr>
          <w:color w:val="auto"/>
          <w:highlight w:val="none"/>
        </w:rPr>
        <w:drawing>
          <wp:inline distT="0" distB="0" distL="114300" distR="114300">
            <wp:extent cx="4885690" cy="2812415"/>
            <wp:effectExtent l="0" t="0" r="10160" b="698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cstate="print"/>
                    <a:stretch>
                      <a:fillRect/>
                    </a:stretch>
                  </pic:blipFill>
                  <pic:spPr>
                    <a:xfrm>
                      <a:off x="0" y="0"/>
                      <a:ext cx="4885690" cy="2812415"/>
                    </a:xfrm>
                    <a:prstGeom prst="rect">
                      <a:avLst/>
                    </a:prstGeom>
                    <a:noFill/>
                    <a:ln>
                      <a:noFill/>
                    </a:ln>
                  </pic:spPr>
                </pic:pic>
              </a:graphicData>
            </a:graphic>
          </wp:inline>
        </w:drawing>
      </w:r>
    </w:p>
    <w:p>
      <w:pPr>
        <w:shd w:val="clear"/>
        <w:spacing w:line="360" w:lineRule="auto"/>
        <w:ind w:firstLine="1897" w:firstLineChars="900"/>
        <w:rPr>
          <w:color w:val="auto"/>
          <w:kern w:val="1"/>
          <w:highlight w:val="none"/>
        </w:rPr>
      </w:pPr>
      <w:r>
        <w:rPr>
          <w:rFonts w:hint="eastAsia" w:ascii="宋体" w:hAnsi="宋体" w:cs="宋体"/>
          <w:b/>
          <w:bCs/>
          <w:color w:val="auto"/>
          <w:szCs w:val="21"/>
          <w:highlight w:val="none"/>
        </w:rPr>
        <w:t>注：（长宽高满足招标文件要求±5%以内）</w:t>
      </w:r>
    </w:p>
    <w:p>
      <w:pPr>
        <w:shd w:val="clear"/>
        <w:spacing w:line="360" w:lineRule="auto"/>
        <w:jc w:val="center"/>
        <w:rPr>
          <w:rFonts w:ascii="宋体" w:hAnsi="宋体" w:cs="宋体"/>
          <w:color w:val="auto"/>
          <w:kern w:val="1"/>
          <w:sz w:val="28"/>
          <w:szCs w:val="28"/>
          <w:highlight w:val="none"/>
        </w:rPr>
      </w:pPr>
      <w:r>
        <w:rPr>
          <w:rFonts w:hint="eastAsia" w:ascii="宋体" w:hAnsi="宋体" w:cs="宋体"/>
          <w:color w:val="auto"/>
          <w:kern w:val="1"/>
          <w:sz w:val="28"/>
          <w:szCs w:val="28"/>
          <w:highlight w:val="none"/>
        </w:rPr>
        <w:t>10/8米灯杆尺寸样式图</w:t>
      </w:r>
    </w:p>
    <w:p>
      <w:pPr>
        <w:shd w:val="clear"/>
        <w:spacing w:line="360" w:lineRule="auto"/>
        <w:rPr>
          <w:color w:val="auto"/>
          <w:highlight w:val="none"/>
        </w:rPr>
      </w:pPr>
      <w:r>
        <w:rPr>
          <w:color w:val="auto"/>
          <w:highlight w:val="none"/>
        </w:rPr>
        <w:drawing>
          <wp:inline distT="0" distB="0" distL="114300" distR="114300">
            <wp:extent cx="3962400" cy="7305675"/>
            <wp:effectExtent l="0" t="0" r="0" b="95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4" cstate="print"/>
                    <a:stretch>
                      <a:fillRect/>
                    </a:stretch>
                  </pic:blipFill>
                  <pic:spPr>
                    <a:xfrm>
                      <a:off x="0" y="0"/>
                      <a:ext cx="3962400" cy="7305675"/>
                    </a:xfrm>
                    <a:prstGeom prst="rect">
                      <a:avLst/>
                    </a:prstGeom>
                    <a:noFill/>
                    <a:ln>
                      <a:noFill/>
                    </a:ln>
                  </pic:spPr>
                </pic:pic>
              </a:graphicData>
            </a:graphic>
          </wp:inline>
        </w:drawing>
      </w:r>
    </w:p>
    <w:p>
      <w:pPr>
        <w:pStyle w:val="2"/>
        <w:shd w:val="clear"/>
        <w:ind w:firstLine="560"/>
        <w:rPr>
          <w:color w:val="auto"/>
          <w:highlight w:val="none"/>
        </w:rPr>
      </w:pPr>
    </w:p>
    <w:p>
      <w:pPr>
        <w:pStyle w:val="2"/>
        <w:shd w:val="clear"/>
        <w:ind w:firstLine="560"/>
        <w:rPr>
          <w:color w:val="auto"/>
          <w:highlight w:val="none"/>
        </w:rPr>
      </w:pPr>
    </w:p>
    <w:p>
      <w:pPr>
        <w:pStyle w:val="2"/>
        <w:shd w:val="clear"/>
        <w:ind w:firstLine="560"/>
        <w:rPr>
          <w:color w:val="auto"/>
          <w:highlight w:val="none"/>
        </w:rPr>
      </w:pPr>
    </w:p>
    <w:p>
      <w:pPr>
        <w:pStyle w:val="2"/>
        <w:shd w:val="clear"/>
        <w:ind w:firstLine="560"/>
        <w:rPr>
          <w:color w:val="auto"/>
          <w:highlight w:val="none"/>
        </w:rPr>
      </w:pPr>
    </w:p>
    <w:p>
      <w:pPr>
        <w:pStyle w:val="2"/>
        <w:shd w:val="clear"/>
        <w:ind w:firstLine="560"/>
        <w:rPr>
          <w:color w:val="auto"/>
          <w:highlight w:val="none"/>
        </w:rPr>
      </w:pPr>
    </w:p>
    <w:p>
      <w:pPr>
        <w:shd w:val="clear"/>
        <w:rPr>
          <w:rFonts w:ascii="宋体" w:hAnsi="宋体" w:cs="宋体"/>
          <w:color w:val="auto"/>
          <w:kern w:val="1"/>
          <w:sz w:val="28"/>
          <w:szCs w:val="28"/>
          <w:highlight w:val="none"/>
        </w:rPr>
      </w:pPr>
      <w:r>
        <w:rPr>
          <w:rFonts w:hint="eastAsia" w:ascii="宋体" w:hAnsi="宋体" w:cs="宋体"/>
          <w:color w:val="auto"/>
          <w:kern w:val="1"/>
          <w:sz w:val="24"/>
          <w:highlight w:val="none"/>
        </w:rPr>
        <w:t xml:space="preserve">                  </w:t>
      </w:r>
      <w:r>
        <w:rPr>
          <w:rFonts w:hint="eastAsia" w:ascii="宋体" w:hAnsi="宋体" w:cs="宋体"/>
          <w:color w:val="auto"/>
          <w:kern w:val="1"/>
          <w:sz w:val="28"/>
          <w:szCs w:val="28"/>
          <w:highlight w:val="none"/>
        </w:rPr>
        <w:t>200W  LED投光灯尺寸图</w:t>
      </w:r>
    </w:p>
    <w:p>
      <w:pPr>
        <w:shd w:val="clear"/>
        <w:rPr>
          <w:rFonts w:ascii="宋体" w:hAnsi="宋体" w:cs="宋体"/>
          <w:color w:val="auto"/>
          <w:kern w:val="1"/>
          <w:sz w:val="24"/>
          <w:highlight w:val="none"/>
        </w:rPr>
      </w:pPr>
      <w:r>
        <w:rPr>
          <w:color w:val="auto"/>
          <w:highlight w:val="none"/>
        </w:rPr>
        <w:drawing>
          <wp:inline distT="0" distB="0" distL="114300" distR="114300">
            <wp:extent cx="5268595" cy="4095750"/>
            <wp:effectExtent l="0" t="0" r="825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5" cstate="print"/>
                    <a:stretch>
                      <a:fillRect/>
                    </a:stretch>
                  </pic:blipFill>
                  <pic:spPr>
                    <a:xfrm>
                      <a:off x="0" y="0"/>
                      <a:ext cx="5268595" cy="4095750"/>
                    </a:xfrm>
                    <a:prstGeom prst="rect">
                      <a:avLst/>
                    </a:prstGeom>
                    <a:noFill/>
                    <a:ln>
                      <a:noFill/>
                    </a:ln>
                  </pic:spPr>
                </pic:pic>
              </a:graphicData>
            </a:graphic>
          </wp:inline>
        </w:drawing>
      </w:r>
    </w:p>
    <w:p>
      <w:pPr>
        <w:shd w:val="clear"/>
        <w:rPr>
          <w:rFonts w:ascii="宋体" w:hAnsi="宋体" w:cs="宋体"/>
          <w:color w:val="auto"/>
          <w:kern w:val="1"/>
          <w:sz w:val="24"/>
          <w:highlight w:val="none"/>
        </w:rPr>
      </w:pPr>
    </w:p>
    <w:p>
      <w:pPr>
        <w:shd w:val="clear"/>
        <w:ind w:firstLine="1897" w:firstLineChars="900"/>
        <w:rPr>
          <w:rFonts w:ascii="宋体" w:hAnsi="宋体" w:cs="宋体"/>
          <w:b/>
          <w:bCs/>
          <w:color w:val="auto"/>
          <w:szCs w:val="21"/>
          <w:highlight w:val="none"/>
        </w:rPr>
      </w:pPr>
      <w:r>
        <w:rPr>
          <w:rFonts w:hint="eastAsia" w:ascii="宋体" w:hAnsi="宋体" w:cs="宋体"/>
          <w:b/>
          <w:bCs/>
          <w:color w:val="auto"/>
          <w:szCs w:val="21"/>
          <w:highlight w:val="none"/>
        </w:rPr>
        <w:t>注：（长宽高满足招标文件要求±5%以内）</w:t>
      </w:r>
    </w:p>
    <w:p>
      <w:pPr>
        <w:pStyle w:val="2"/>
        <w:shd w:val="clear"/>
        <w:ind w:firstLine="560"/>
        <w:rPr>
          <w:color w:val="auto"/>
          <w:highlight w:val="none"/>
        </w:rPr>
      </w:pPr>
    </w:p>
    <w:p>
      <w:pPr>
        <w:shd w:val="clear"/>
        <w:spacing w:line="360" w:lineRule="auto"/>
        <w:rPr>
          <w:color w:val="auto"/>
          <w:kern w:val="1"/>
          <w:highlight w:val="none"/>
        </w:rPr>
      </w:pPr>
    </w:p>
    <w:p>
      <w:pPr>
        <w:shd w:val="clear"/>
        <w:spacing w:line="360" w:lineRule="auto"/>
        <w:rPr>
          <w:color w:val="auto"/>
          <w:kern w:val="1"/>
          <w:highlight w:val="none"/>
        </w:rPr>
      </w:pPr>
    </w:p>
    <w:p>
      <w:pPr>
        <w:pStyle w:val="2"/>
        <w:shd w:val="clear"/>
        <w:ind w:firstLine="560"/>
        <w:rPr>
          <w:color w:val="auto"/>
          <w:kern w:val="1"/>
          <w:highlight w:val="none"/>
        </w:rPr>
      </w:pPr>
    </w:p>
    <w:p>
      <w:pPr>
        <w:pStyle w:val="2"/>
        <w:shd w:val="clear"/>
        <w:ind w:firstLine="560"/>
        <w:rPr>
          <w:color w:val="auto"/>
          <w:kern w:val="1"/>
          <w:highlight w:val="none"/>
        </w:rPr>
      </w:pPr>
    </w:p>
    <w:p>
      <w:pPr>
        <w:pStyle w:val="2"/>
        <w:shd w:val="clear"/>
        <w:ind w:firstLine="560"/>
        <w:rPr>
          <w:color w:val="auto"/>
          <w:kern w:val="1"/>
          <w:highlight w:val="none"/>
        </w:rPr>
      </w:pPr>
    </w:p>
    <w:p>
      <w:pPr>
        <w:pStyle w:val="2"/>
        <w:shd w:val="clear"/>
        <w:ind w:firstLine="560"/>
        <w:rPr>
          <w:color w:val="auto"/>
          <w:kern w:val="1"/>
          <w:highlight w:val="none"/>
        </w:rPr>
      </w:pPr>
    </w:p>
    <w:p>
      <w:pPr>
        <w:pStyle w:val="2"/>
        <w:shd w:val="clear"/>
        <w:ind w:firstLine="560"/>
        <w:rPr>
          <w:color w:val="auto"/>
          <w:kern w:val="1"/>
          <w:highlight w:val="none"/>
        </w:rPr>
      </w:pPr>
    </w:p>
    <w:p>
      <w:pPr>
        <w:pStyle w:val="2"/>
        <w:shd w:val="clear"/>
        <w:ind w:firstLine="560"/>
        <w:rPr>
          <w:color w:val="auto"/>
          <w:kern w:val="1"/>
          <w:highlight w:val="none"/>
        </w:rPr>
      </w:pPr>
    </w:p>
    <w:p>
      <w:pPr>
        <w:shd w:val="clear"/>
        <w:spacing w:line="360" w:lineRule="auto"/>
        <w:jc w:val="center"/>
        <w:rPr>
          <w:rFonts w:ascii="宋体" w:hAnsi="宋体" w:cs="宋体"/>
          <w:color w:val="auto"/>
          <w:kern w:val="1"/>
          <w:sz w:val="28"/>
          <w:szCs w:val="28"/>
          <w:highlight w:val="none"/>
        </w:rPr>
      </w:pPr>
      <w:r>
        <w:rPr>
          <w:rFonts w:hint="eastAsia" w:ascii="宋体" w:hAnsi="宋体" w:cs="宋体"/>
          <w:color w:val="auto"/>
          <w:kern w:val="1"/>
          <w:sz w:val="28"/>
          <w:szCs w:val="28"/>
          <w:highlight w:val="none"/>
        </w:rPr>
        <w:t>15米高高杆灯尺寸样式图</w:t>
      </w:r>
    </w:p>
    <w:p>
      <w:pPr>
        <w:pStyle w:val="2"/>
        <w:shd w:val="clear"/>
        <w:ind w:firstLine="560"/>
        <w:rPr>
          <w:color w:val="auto"/>
          <w:kern w:val="1"/>
          <w:highlight w:val="none"/>
        </w:rPr>
      </w:pPr>
      <w:r>
        <w:rPr>
          <w:color w:val="auto"/>
          <w:highlight w:val="none"/>
        </w:rPr>
        <w:drawing>
          <wp:inline distT="0" distB="0" distL="114300" distR="114300">
            <wp:extent cx="3076575" cy="7791450"/>
            <wp:effectExtent l="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6" cstate="print"/>
                    <a:stretch>
                      <a:fillRect/>
                    </a:stretch>
                  </pic:blipFill>
                  <pic:spPr>
                    <a:xfrm>
                      <a:off x="0" y="0"/>
                      <a:ext cx="3076575" cy="7791450"/>
                    </a:xfrm>
                    <a:prstGeom prst="rect">
                      <a:avLst/>
                    </a:prstGeom>
                    <a:noFill/>
                    <a:ln>
                      <a:noFill/>
                    </a:ln>
                  </pic:spPr>
                </pic:pic>
              </a:graphicData>
            </a:graphic>
          </wp:inline>
        </w:drawing>
      </w:r>
      <w:r>
        <w:rPr>
          <w:color w:val="auto"/>
          <w:highlight w:val="none"/>
        </w:rPr>
        <w:drawing>
          <wp:inline distT="0" distB="0" distL="114300" distR="114300">
            <wp:extent cx="1311910" cy="1113155"/>
            <wp:effectExtent l="0" t="0" r="2540" b="1079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7" cstate="print"/>
                    <a:stretch>
                      <a:fillRect/>
                    </a:stretch>
                  </pic:blipFill>
                  <pic:spPr>
                    <a:xfrm>
                      <a:off x="0" y="0"/>
                      <a:ext cx="1311910" cy="1113155"/>
                    </a:xfrm>
                    <a:prstGeom prst="rect">
                      <a:avLst/>
                    </a:prstGeom>
                    <a:noFill/>
                    <a:ln>
                      <a:noFill/>
                    </a:ln>
                  </pic:spPr>
                </pic:pic>
              </a:graphicData>
            </a:graphic>
          </wp:inline>
        </w:drawing>
      </w:r>
    </w:p>
    <w:p>
      <w:pPr>
        <w:shd w:val="clear"/>
        <w:spacing w:line="360" w:lineRule="auto"/>
        <w:rPr>
          <w:color w:val="auto"/>
          <w:kern w:val="1"/>
          <w:highlight w:val="none"/>
        </w:rPr>
      </w:pPr>
    </w:p>
    <w:p>
      <w:pPr>
        <w:shd w:val="clear"/>
        <w:rPr>
          <w:color w:val="auto"/>
          <w:highlight w:val="none"/>
        </w:rPr>
      </w:pPr>
    </w:p>
    <w:p>
      <w:pPr>
        <w:shd w:val="clear"/>
        <w:spacing w:line="360" w:lineRule="auto"/>
        <w:ind w:firstLine="420" w:firstLineChars="200"/>
        <w:rPr>
          <w:rFonts w:asciiTheme="majorEastAsia" w:hAnsiTheme="majorEastAsia" w:eastAsiaTheme="majorEastAsia"/>
          <w:color w:val="auto"/>
          <w:highlight w:val="none"/>
        </w:rPr>
      </w:pPr>
    </w:p>
    <w:p>
      <w:pPr>
        <w:pStyle w:val="2"/>
        <w:shd w:val="clear"/>
        <w:ind w:firstLine="560"/>
        <w:rPr>
          <w:color w:val="auto"/>
          <w:highlight w:val="none"/>
        </w:rPr>
      </w:pPr>
    </w:p>
    <w:p>
      <w:pPr>
        <w:shd w:val="clear"/>
        <w:rPr>
          <w:rFonts w:ascii="宋体" w:hAnsi="宋体"/>
          <w:b/>
          <w:color w:val="auto"/>
          <w:sz w:val="24"/>
          <w:highlight w:val="none"/>
        </w:rPr>
      </w:pPr>
      <w:r>
        <w:rPr>
          <w:rFonts w:hint="eastAsia" w:ascii="宋体" w:hAnsi="宋体"/>
          <w:b/>
          <w:color w:val="auto"/>
          <w:sz w:val="24"/>
          <w:highlight w:val="none"/>
        </w:rPr>
        <w:t>四、商务要求</w:t>
      </w:r>
    </w:p>
    <w:tbl>
      <w:tblPr>
        <w:tblStyle w:val="24"/>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auto" w:sz="4" w:space="0"/>
              <w:bottom w:val="single" w:color="auto" w:sz="4" w:space="0"/>
              <w:right w:val="single" w:color="auto" w:sz="4" w:space="0"/>
            </w:tcBorders>
            <w:vAlign w:val="center"/>
          </w:tcPr>
          <w:p>
            <w:pPr>
              <w:widowControl/>
              <w:shd w:val="clea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项目</w:t>
            </w:r>
          </w:p>
        </w:tc>
        <w:tc>
          <w:tcPr>
            <w:tcW w:w="7371" w:type="dxa"/>
            <w:tcBorders>
              <w:top w:val="single" w:color="auto" w:sz="4" w:space="0"/>
              <w:left w:val="single" w:color="auto" w:sz="4" w:space="0"/>
              <w:bottom w:val="single" w:color="auto" w:sz="4" w:space="0"/>
            </w:tcBorders>
            <w:vAlign w:val="center"/>
          </w:tcPr>
          <w:p>
            <w:pPr>
              <w:widowControl/>
              <w:shd w:val="clea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要</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auto" w:sz="4" w:space="0"/>
              <w:bottom w:val="single" w:color="auto" w:sz="4" w:space="0"/>
              <w:right w:val="single" w:color="auto" w:sz="4" w:space="0"/>
            </w:tcBorders>
            <w:vAlign w:val="center"/>
          </w:tcPr>
          <w:p>
            <w:pPr>
              <w:widowControl/>
              <w:shd w:val="clear"/>
              <w:spacing w:line="360" w:lineRule="auto"/>
              <w:jc w:val="center"/>
              <w:rPr>
                <w:rFonts w:ascii="宋体" w:hAnsi="宋体" w:cs="宋体"/>
                <w:color w:val="auto"/>
                <w:sz w:val="18"/>
                <w:szCs w:val="18"/>
                <w:highlight w:val="none"/>
              </w:rPr>
            </w:pPr>
            <w:r>
              <w:rPr>
                <w:rFonts w:hint="eastAsia" w:ascii="宋体" w:hAnsi="宋体" w:cs="仿宋"/>
                <w:color w:val="auto"/>
                <w:kern w:val="0"/>
                <w:sz w:val="18"/>
                <w:szCs w:val="18"/>
                <w:highlight w:val="none"/>
              </w:rPr>
              <w:t>投标报价</w:t>
            </w:r>
          </w:p>
        </w:tc>
        <w:tc>
          <w:tcPr>
            <w:tcW w:w="7371" w:type="dxa"/>
            <w:tcBorders>
              <w:top w:val="single" w:color="auto" w:sz="4" w:space="0"/>
              <w:left w:val="single" w:color="auto" w:sz="4" w:space="0"/>
              <w:bottom w:val="single" w:color="auto" w:sz="4" w:space="0"/>
            </w:tcBorders>
            <w:vAlign w:val="center"/>
          </w:tcPr>
          <w:p>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投标报价应包括完成招标文件范围内的货款、标准附件、备品备件、专用工具、包装、运输、装卸、保险、税金、货到就位保管、调试、培训、保修等一切税金和费用。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auto" w:sz="4" w:space="0"/>
              <w:bottom w:val="single" w:color="auto" w:sz="4" w:space="0"/>
              <w:right w:val="single" w:color="auto" w:sz="4" w:space="0"/>
            </w:tcBorders>
            <w:vAlign w:val="center"/>
          </w:tcPr>
          <w:p>
            <w:pPr>
              <w:widowControl/>
              <w:shd w:val="clear"/>
              <w:spacing w:line="360" w:lineRule="auto"/>
              <w:jc w:val="center"/>
              <w:rPr>
                <w:rFonts w:ascii="宋体" w:hAnsi="宋体" w:cs="宋体"/>
                <w:color w:val="auto"/>
                <w:sz w:val="18"/>
                <w:szCs w:val="18"/>
                <w:highlight w:val="none"/>
              </w:rPr>
            </w:pPr>
            <w:r>
              <w:rPr>
                <w:rFonts w:ascii="宋体" w:hAnsi="宋体" w:cs="宋体"/>
                <w:color w:val="auto"/>
                <w:sz w:val="18"/>
                <w:szCs w:val="18"/>
                <w:highlight w:val="none"/>
              </w:rPr>
              <w:t>质保期</w:t>
            </w:r>
          </w:p>
        </w:tc>
        <w:tc>
          <w:tcPr>
            <w:tcW w:w="7371" w:type="dxa"/>
            <w:tcBorders>
              <w:top w:val="single" w:color="auto" w:sz="4" w:space="0"/>
              <w:left w:val="single" w:color="auto" w:sz="4" w:space="0"/>
              <w:bottom w:val="single" w:color="auto" w:sz="4" w:space="0"/>
            </w:tcBorders>
            <w:vAlign w:val="center"/>
          </w:tcPr>
          <w:p>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1）验收合格之日起不少于24个月。</w:t>
            </w:r>
          </w:p>
          <w:p>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2）质保期内更换的零部件质量保证：自更换之日起不少于24个月。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auto" w:sz="4" w:space="0"/>
              <w:bottom w:val="single" w:color="auto" w:sz="4" w:space="0"/>
              <w:right w:val="single" w:color="auto" w:sz="4" w:space="0"/>
            </w:tcBorders>
            <w:vAlign w:val="center"/>
          </w:tcPr>
          <w:p>
            <w:pPr>
              <w:widowControl/>
              <w:shd w:val="clea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供货方式和交货期要求</w:t>
            </w:r>
          </w:p>
        </w:tc>
        <w:tc>
          <w:tcPr>
            <w:tcW w:w="7371" w:type="dxa"/>
            <w:tcBorders>
              <w:top w:val="single" w:color="auto" w:sz="4" w:space="0"/>
              <w:left w:val="single" w:color="auto" w:sz="4" w:space="0"/>
              <w:bottom w:val="single" w:color="auto" w:sz="4" w:space="0"/>
            </w:tcBorders>
            <w:vAlign w:val="center"/>
          </w:tcPr>
          <w:p>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供货方式：一次性供货；</w:t>
            </w:r>
          </w:p>
          <w:p>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工期要求：</w:t>
            </w:r>
            <w:r>
              <w:rPr>
                <w:rFonts w:hint="eastAsia" w:cs="仿宋" w:asciiTheme="majorEastAsia" w:hAnsiTheme="majorEastAsia" w:eastAsiaTheme="majorEastAsia"/>
                <w:color w:val="auto"/>
                <w:sz w:val="18"/>
                <w:szCs w:val="18"/>
                <w:highlight w:val="none"/>
              </w:rPr>
              <w:t>合同签订之日起20日历天内完成供货。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51" w:type="dxa"/>
            <w:tcBorders>
              <w:top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地点</w:t>
            </w:r>
          </w:p>
        </w:tc>
        <w:tc>
          <w:tcPr>
            <w:tcW w:w="7371" w:type="dxa"/>
            <w:tcBorders>
              <w:top w:val="single" w:color="auto" w:sz="4" w:space="0"/>
              <w:left w:val="single" w:color="auto" w:sz="4" w:space="0"/>
              <w:bottom w:val="single" w:color="auto" w:sz="4" w:space="0"/>
            </w:tcBorders>
            <w:vAlign w:val="center"/>
          </w:tcPr>
          <w:p>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51" w:type="dxa"/>
            <w:tcBorders>
              <w:top w:val="single" w:color="auto" w:sz="4" w:space="0"/>
              <w:bottom w:val="single" w:color="auto" w:sz="4" w:space="0"/>
              <w:right w:val="single" w:color="auto" w:sz="4" w:space="0"/>
            </w:tcBorders>
            <w:vAlign w:val="center"/>
          </w:tcPr>
          <w:p>
            <w:pPr>
              <w:widowControl/>
              <w:shd w:val="clear"/>
              <w:spacing w:line="360" w:lineRule="auto"/>
              <w:ind w:left="-108" w:right="-120"/>
              <w:jc w:val="center"/>
              <w:rPr>
                <w:rFonts w:ascii="宋体" w:hAnsi="宋体" w:cs="宋体"/>
                <w:color w:val="auto"/>
                <w:sz w:val="18"/>
                <w:szCs w:val="18"/>
                <w:highlight w:val="none"/>
              </w:rPr>
            </w:pPr>
            <w:r>
              <w:rPr>
                <w:rFonts w:hint="eastAsia" w:ascii="宋体" w:hAnsi="宋体" w:cs="宋体"/>
                <w:color w:val="auto"/>
                <w:sz w:val="18"/>
                <w:szCs w:val="18"/>
                <w:highlight w:val="none"/>
              </w:rPr>
              <w:t>履约担保</w:t>
            </w:r>
          </w:p>
        </w:tc>
        <w:tc>
          <w:tcPr>
            <w:tcW w:w="7371" w:type="dxa"/>
            <w:tcBorders>
              <w:top w:val="single" w:color="auto" w:sz="4" w:space="0"/>
              <w:left w:val="single" w:color="auto" w:sz="4" w:space="0"/>
              <w:bottom w:val="single" w:color="auto" w:sz="4" w:space="0"/>
            </w:tcBorders>
            <w:vAlign w:val="center"/>
          </w:tcPr>
          <w:p>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履约担保</w:t>
            </w:r>
            <w:r>
              <w:rPr>
                <w:rFonts w:ascii="宋体" w:hAnsi="宋体" w:cs="宋体"/>
                <w:color w:val="auto"/>
                <w:sz w:val="18"/>
                <w:szCs w:val="18"/>
                <w:highlight w:val="none"/>
              </w:rPr>
              <w:t>形式：</w:t>
            </w:r>
            <w:r>
              <w:rPr>
                <w:rFonts w:hint="eastAsia" w:ascii="宋体" w:hAnsi="宋体" w:cs="宋体"/>
                <w:color w:val="auto"/>
                <w:sz w:val="18"/>
                <w:szCs w:val="18"/>
                <w:highlight w:val="none"/>
              </w:rPr>
              <w:t>电汇、银行保函、保险公司保函。</w:t>
            </w:r>
          </w:p>
          <w:p>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履约担保</w:t>
            </w:r>
            <w:r>
              <w:rPr>
                <w:rFonts w:ascii="宋体" w:hAnsi="宋体" w:cs="宋体"/>
                <w:color w:val="auto"/>
                <w:sz w:val="18"/>
                <w:szCs w:val="18"/>
                <w:highlight w:val="none"/>
              </w:rPr>
              <w:t>的收取及退还：</w:t>
            </w:r>
            <w:r>
              <w:rPr>
                <w:rFonts w:hint="eastAsia" w:ascii="宋体" w:hAnsi="宋体" w:cs="宋体"/>
                <w:color w:val="auto"/>
                <w:sz w:val="18"/>
                <w:szCs w:val="18"/>
                <w:highlight w:val="none"/>
              </w:rPr>
              <w:t>按合同总金额的2.5%计收</w:t>
            </w:r>
            <w:r>
              <w:rPr>
                <w:rFonts w:ascii="宋体" w:hAnsi="宋体" w:cs="宋体"/>
                <w:color w:val="auto"/>
                <w:sz w:val="18"/>
                <w:szCs w:val="18"/>
                <w:highlight w:val="none"/>
              </w:rPr>
              <w:t>，合同履行完毕（验收合格并交付使用）后5日内无息退还。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18"/>
                <w:szCs w:val="18"/>
                <w:highlight w:val="none"/>
              </w:rPr>
            </w:pPr>
            <w:r>
              <w:rPr>
                <w:rFonts w:ascii="宋体" w:hAnsi="宋体" w:cs="宋体"/>
                <w:color w:val="auto"/>
                <w:sz w:val="18"/>
                <w:szCs w:val="18"/>
                <w:highlight w:val="none"/>
              </w:rPr>
              <w:t>付款条件</w:t>
            </w:r>
          </w:p>
        </w:tc>
        <w:tc>
          <w:tcPr>
            <w:tcW w:w="7371" w:type="dxa"/>
            <w:tcBorders>
              <w:top w:val="single" w:color="auto" w:sz="4" w:space="0"/>
              <w:left w:val="single" w:color="auto" w:sz="4" w:space="0"/>
              <w:bottom w:val="single" w:color="auto" w:sz="4" w:space="0"/>
            </w:tcBorders>
            <w:vAlign w:val="center"/>
          </w:tcPr>
          <w:p>
            <w:pPr>
              <w:shd w:val="clear"/>
              <w:spacing w:line="360" w:lineRule="auto"/>
              <w:jc w:val="left"/>
              <w:rPr>
                <w:rFonts w:ascii="宋体" w:hAnsi="宋体" w:cs="宋体"/>
                <w:color w:val="auto"/>
                <w:sz w:val="18"/>
                <w:szCs w:val="18"/>
                <w:highlight w:val="none"/>
              </w:rPr>
            </w:pPr>
            <w:r>
              <w:rPr>
                <w:rFonts w:hint="eastAsia" w:ascii="宋体" w:hAnsi="宋体" w:cs="仿宋"/>
                <w:color w:val="auto"/>
                <w:kern w:val="0"/>
                <w:sz w:val="18"/>
                <w:szCs w:val="18"/>
                <w:highlight w:val="none"/>
              </w:rPr>
              <w:t>合同签订后15天内支付合同金额的10%的预付款，安装完毕验收合格后15天内支付至合同金额的80%，审计完成后15天内支付至审定价的95%（中标人须提供该项目一般纳税人全额增值税普通发票），余款在质保期满后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18"/>
                <w:szCs w:val="18"/>
                <w:highlight w:val="none"/>
              </w:rPr>
            </w:pPr>
            <w:r>
              <w:rPr>
                <w:rFonts w:ascii="宋体" w:hAnsi="宋体" w:cs="宋体"/>
                <w:color w:val="auto"/>
                <w:sz w:val="18"/>
                <w:szCs w:val="18"/>
                <w:highlight w:val="none"/>
              </w:rPr>
              <w:t>合同终止</w:t>
            </w:r>
          </w:p>
        </w:tc>
        <w:tc>
          <w:tcPr>
            <w:tcW w:w="7371" w:type="dxa"/>
            <w:tcBorders>
              <w:top w:val="single" w:color="auto" w:sz="4" w:space="0"/>
              <w:left w:val="single" w:color="auto" w:sz="4" w:space="0"/>
              <w:bottom w:val="single" w:color="auto" w:sz="4" w:space="0"/>
            </w:tcBorders>
            <w:vAlign w:val="center"/>
          </w:tcPr>
          <w:p>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1）未能使合同货物达到合同附件规定的技术性能和指标的；</w:t>
            </w:r>
          </w:p>
          <w:p>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2）未能在合同规定的期限（或采购人同意延长的最终期限）内完成的；</w:t>
            </w:r>
          </w:p>
          <w:p>
            <w:pPr>
              <w:shd w:val="clear"/>
              <w:spacing w:line="360" w:lineRule="auto"/>
              <w:jc w:val="left"/>
              <w:rPr>
                <w:rFonts w:ascii="宋体" w:hAnsi="宋体" w:cs="宋体"/>
                <w:color w:val="auto"/>
                <w:sz w:val="18"/>
                <w:szCs w:val="18"/>
                <w:highlight w:val="none"/>
              </w:rPr>
            </w:pPr>
            <w:r>
              <w:rPr>
                <w:rFonts w:ascii="宋体" w:hAnsi="宋体" w:cs="宋体"/>
                <w:color w:val="auto"/>
                <w:sz w:val="18"/>
                <w:szCs w:val="18"/>
                <w:highlight w:val="none"/>
              </w:rPr>
              <w:t>3</w:t>
            </w:r>
            <w:r>
              <w:rPr>
                <w:rFonts w:hint="eastAsia" w:ascii="宋体" w:hAnsi="宋体" w:cs="宋体"/>
                <w:color w:val="auto"/>
                <w:sz w:val="18"/>
                <w:szCs w:val="18"/>
                <w:highlight w:val="none"/>
              </w:rPr>
              <w:t>）</w:t>
            </w:r>
            <w:r>
              <w:rPr>
                <w:rFonts w:ascii="宋体" w:hAnsi="宋体" w:cs="宋体"/>
                <w:color w:val="auto"/>
                <w:sz w:val="18"/>
                <w:szCs w:val="18"/>
                <w:highlight w:val="none"/>
              </w:rPr>
              <w:t>未能履行合同规定的其它义务。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951" w:type="dxa"/>
            <w:tcBorders>
              <w:top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18"/>
                <w:szCs w:val="18"/>
                <w:highlight w:val="none"/>
              </w:rPr>
            </w:pPr>
            <w:r>
              <w:rPr>
                <w:rFonts w:ascii="宋体" w:hAnsi="宋体" w:cs="宋体"/>
                <w:color w:val="auto"/>
                <w:sz w:val="18"/>
                <w:szCs w:val="18"/>
                <w:highlight w:val="none"/>
              </w:rPr>
              <w:t>验收要求</w:t>
            </w:r>
          </w:p>
        </w:tc>
        <w:tc>
          <w:tcPr>
            <w:tcW w:w="7371" w:type="dxa"/>
            <w:tcBorders>
              <w:top w:val="single" w:color="auto" w:sz="4" w:space="0"/>
              <w:left w:val="single" w:color="auto" w:sz="4" w:space="0"/>
              <w:bottom w:val="single" w:color="auto" w:sz="4" w:space="0"/>
            </w:tcBorders>
            <w:vAlign w:val="center"/>
          </w:tcPr>
          <w:p>
            <w:pPr>
              <w:shd w:val="clear"/>
              <w:spacing w:line="360" w:lineRule="auto"/>
              <w:jc w:val="left"/>
              <w:rPr>
                <w:rFonts w:ascii="宋体" w:hAnsi="宋体" w:cs="宋体"/>
                <w:color w:val="auto"/>
                <w:sz w:val="18"/>
                <w:szCs w:val="18"/>
                <w:highlight w:val="none"/>
              </w:rPr>
            </w:pPr>
            <w:r>
              <w:rPr>
                <w:rFonts w:ascii="宋体" w:hAnsi="宋体" w:cs="宋体"/>
                <w:color w:val="auto"/>
                <w:sz w:val="18"/>
                <w:szCs w:val="18"/>
                <w:highlight w:val="none"/>
              </w:rPr>
              <w:t>对中标人各项指标进行核对，</w:t>
            </w:r>
            <w:r>
              <w:rPr>
                <w:rFonts w:hint="eastAsia" w:ascii="宋体" w:hAnsi="宋体" w:cs="宋体"/>
                <w:color w:val="auto"/>
                <w:sz w:val="18"/>
                <w:szCs w:val="18"/>
                <w:highlight w:val="none"/>
              </w:rPr>
              <w:t>如经校对发现与标书要求或投标文件不一致，则本项目作为验收不合格，采购人将不支付全额货款，投标单位将承担一切后果与责任。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质量要求</w:t>
            </w:r>
          </w:p>
        </w:tc>
        <w:tc>
          <w:tcPr>
            <w:tcW w:w="7371" w:type="dxa"/>
            <w:tcBorders>
              <w:top w:val="single" w:color="auto" w:sz="4" w:space="0"/>
              <w:left w:val="single" w:color="auto" w:sz="4" w:space="0"/>
              <w:bottom w:val="single" w:color="auto" w:sz="4" w:space="0"/>
            </w:tcBorders>
            <w:vAlign w:val="center"/>
          </w:tcPr>
          <w:p>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投标人保证所供的商品必须是出厂原装合格产品,如发生所供的商品与合同不符,采购人有权拒收或退货,由此产生的一切责任和后果由投标人承担。质保期自验收合格之日起计。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售后技术</w:t>
            </w:r>
          </w:p>
          <w:p>
            <w:pPr>
              <w:shd w:val="clea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服务要求</w:t>
            </w:r>
          </w:p>
        </w:tc>
        <w:tc>
          <w:tcPr>
            <w:tcW w:w="7371" w:type="dxa"/>
            <w:tcBorders>
              <w:top w:val="single" w:color="auto" w:sz="4" w:space="0"/>
              <w:left w:val="single" w:color="auto" w:sz="4" w:space="0"/>
              <w:bottom w:val="single" w:color="auto" w:sz="4" w:space="0"/>
            </w:tcBorders>
            <w:vAlign w:val="center"/>
          </w:tcPr>
          <w:p>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接到采购人通知后60分钟内响应，2小时内到达维修现场，一般问题12小时内修复，重大问题48小时内修复。质保期内应定期检查灯具运行情况，确保每月两次及以上。一个月内出现二次及以上未及时响应或维修，采购人有权指定其他有维修能力的单位进行维修，所产生的费用由中标人支付。规定时间内不能修复的免费提供同档次产品供甲方使用。清洁工作、亮灯率要求：对灯具设施、设备的清洁工作要求每年不少于2次；亮灯率确保达到98%及以上。</w:t>
            </w:r>
          </w:p>
        </w:tc>
      </w:tr>
    </w:tbl>
    <w:p>
      <w:pPr>
        <w:shd w:val="clea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24"/>
          <w:highlight w:val="none"/>
        </w:rPr>
        <w:br w:type="page"/>
      </w:r>
      <w:r>
        <w:rPr>
          <w:rFonts w:hint="eastAsia" w:cs="仿宋" w:asciiTheme="majorEastAsia" w:hAnsiTheme="majorEastAsia" w:eastAsiaTheme="majorEastAsia"/>
          <w:b/>
          <w:color w:val="auto"/>
          <w:sz w:val="36"/>
          <w:szCs w:val="36"/>
          <w:highlight w:val="none"/>
        </w:rPr>
        <w:t xml:space="preserve">第四部分   </w:t>
      </w:r>
      <w:bookmarkStart w:id="35" w:name="_Toc184308045"/>
      <w:bookmarkEnd w:id="35"/>
      <w:bookmarkStart w:id="36" w:name="_Toc184308086"/>
      <w:bookmarkEnd w:id="36"/>
      <w:bookmarkStart w:id="37" w:name="_Toc184313243"/>
      <w:bookmarkEnd w:id="37"/>
      <w:bookmarkStart w:id="38" w:name="_Toc184314414"/>
      <w:bookmarkEnd w:id="38"/>
      <w:bookmarkStart w:id="39" w:name="_Toc184308044"/>
      <w:bookmarkEnd w:id="39"/>
      <w:bookmarkStart w:id="40" w:name="_Toc184314411"/>
      <w:bookmarkEnd w:id="40"/>
      <w:bookmarkStart w:id="41" w:name="_Toc184310286"/>
      <w:bookmarkEnd w:id="41"/>
      <w:bookmarkStart w:id="42" w:name="_Toc184310295"/>
      <w:bookmarkEnd w:id="42"/>
      <w:bookmarkStart w:id="43" w:name="_Toc184310323"/>
      <w:bookmarkEnd w:id="43"/>
      <w:bookmarkStart w:id="44" w:name="_Toc184314460"/>
      <w:bookmarkEnd w:id="44"/>
      <w:bookmarkStart w:id="45" w:name="_Toc184314474"/>
      <w:bookmarkEnd w:id="45"/>
      <w:bookmarkStart w:id="46" w:name="_Toc184308077"/>
      <w:bookmarkEnd w:id="46"/>
      <w:bookmarkStart w:id="47" w:name="_Toc184310283"/>
      <w:bookmarkEnd w:id="47"/>
      <w:bookmarkStart w:id="48" w:name="_Toc184314464"/>
      <w:bookmarkEnd w:id="48"/>
      <w:bookmarkStart w:id="49" w:name="_Toc184310276"/>
      <w:bookmarkEnd w:id="49"/>
      <w:bookmarkStart w:id="50" w:name="_Toc184314472"/>
      <w:bookmarkEnd w:id="50"/>
      <w:bookmarkStart w:id="51" w:name="_Toc184312073"/>
      <w:bookmarkEnd w:id="51"/>
      <w:bookmarkStart w:id="52" w:name="_Toc184308060"/>
      <w:bookmarkEnd w:id="52"/>
      <w:bookmarkStart w:id="53" w:name="_Toc184314435"/>
      <w:bookmarkEnd w:id="53"/>
      <w:bookmarkStart w:id="54" w:name="_Toc184308105"/>
      <w:bookmarkEnd w:id="54"/>
      <w:bookmarkStart w:id="55" w:name="_Toc184310342"/>
      <w:bookmarkEnd w:id="55"/>
      <w:bookmarkStart w:id="56" w:name="_Toc184308043"/>
      <w:bookmarkEnd w:id="56"/>
      <w:bookmarkStart w:id="57" w:name="_Toc184313302"/>
      <w:bookmarkEnd w:id="57"/>
      <w:bookmarkStart w:id="58" w:name="_Toc184310274"/>
      <w:bookmarkEnd w:id="58"/>
      <w:bookmarkStart w:id="59" w:name="_Toc184310290"/>
      <w:bookmarkEnd w:id="59"/>
      <w:bookmarkStart w:id="60" w:name="_Toc184312092"/>
      <w:bookmarkEnd w:id="60"/>
      <w:bookmarkStart w:id="61" w:name="_Toc184313282"/>
      <w:bookmarkEnd w:id="61"/>
      <w:bookmarkStart w:id="62" w:name="_Toc184312072"/>
      <w:bookmarkEnd w:id="62"/>
      <w:bookmarkStart w:id="63" w:name="_Toc184308106"/>
      <w:bookmarkEnd w:id="63"/>
      <w:bookmarkStart w:id="64" w:name="_Toc184310344"/>
      <w:bookmarkEnd w:id="64"/>
      <w:bookmarkStart w:id="65" w:name="_Toc184310280"/>
      <w:bookmarkEnd w:id="65"/>
      <w:bookmarkStart w:id="66" w:name="_Toc184310316"/>
      <w:bookmarkEnd w:id="66"/>
      <w:bookmarkStart w:id="67" w:name="_Toc184308087"/>
      <w:bookmarkEnd w:id="67"/>
      <w:bookmarkStart w:id="68" w:name="_Toc184312102"/>
      <w:bookmarkEnd w:id="68"/>
      <w:bookmarkStart w:id="69" w:name="_Toc184313242"/>
      <w:bookmarkEnd w:id="69"/>
      <w:bookmarkStart w:id="70" w:name="_Toc184308107"/>
      <w:bookmarkEnd w:id="70"/>
      <w:bookmarkStart w:id="71" w:name="_Toc184312075"/>
      <w:bookmarkEnd w:id="71"/>
      <w:bookmarkStart w:id="72" w:name="_Toc184308038"/>
      <w:bookmarkEnd w:id="72"/>
      <w:bookmarkStart w:id="73" w:name="_Toc184314480"/>
      <w:bookmarkEnd w:id="73"/>
      <w:bookmarkStart w:id="74" w:name="_Toc184314422"/>
      <w:bookmarkEnd w:id="74"/>
      <w:bookmarkStart w:id="75" w:name="_Toc184314462"/>
      <w:bookmarkEnd w:id="75"/>
      <w:bookmarkStart w:id="76" w:name="_Toc184313244"/>
      <w:bookmarkEnd w:id="76"/>
      <w:bookmarkStart w:id="77" w:name="_Toc184310324"/>
      <w:bookmarkEnd w:id="77"/>
      <w:bookmarkStart w:id="78" w:name="_Toc184313295"/>
      <w:bookmarkEnd w:id="78"/>
      <w:bookmarkStart w:id="79" w:name="_Toc184312093"/>
      <w:bookmarkEnd w:id="79"/>
      <w:bookmarkStart w:id="80" w:name="_Toc184314417"/>
      <w:bookmarkEnd w:id="80"/>
      <w:bookmarkStart w:id="81" w:name="_Toc184310335"/>
      <w:bookmarkEnd w:id="81"/>
      <w:bookmarkStart w:id="82" w:name="_Toc184310277"/>
      <w:bookmarkEnd w:id="82"/>
      <w:bookmarkStart w:id="83" w:name="_Toc184312131"/>
      <w:bookmarkEnd w:id="83"/>
      <w:bookmarkStart w:id="84" w:name="_Toc184314451"/>
      <w:bookmarkEnd w:id="84"/>
      <w:bookmarkStart w:id="85" w:name="_Toc184310307"/>
      <w:bookmarkEnd w:id="85"/>
      <w:bookmarkStart w:id="86" w:name="_Toc184308104"/>
      <w:bookmarkEnd w:id="86"/>
      <w:bookmarkStart w:id="87" w:name="_Toc184314415"/>
      <w:bookmarkEnd w:id="87"/>
      <w:bookmarkStart w:id="88" w:name="_Toc184312126"/>
      <w:bookmarkEnd w:id="88"/>
      <w:bookmarkStart w:id="89" w:name="_Toc184312108"/>
      <w:bookmarkEnd w:id="89"/>
      <w:bookmarkStart w:id="90" w:name="_Toc184314448"/>
      <w:bookmarkEnd w:id="90"/>
      <w:bookmarkStart w:id="91" w:name="_Toc184310328"/>
      <w:bookmarkEnd w:id="91"/>
      <w:bookmarkStart w:id="92" w:name="_Toc184308059"/>
      <w:bookmarkEnd w:id="92"/>
      <w:bookmarkStart w:id="93" w:name="_Toc184310319"/>
      <w:bookmarkEnd w:id="93"/>
      <w:bookmarkStart w:id="94" w:name="_Toc184313301"/>
      <w:bookmarkEnd w:id="94"/>
      <w:bookmarkStart w:id="95" w:name="_Toc184312071"/>
      <w:bookmarkEnd w:id="95"/>
      <w:bookmarkStart w:id="96" w:name="_Toc184310279"/>
      <w:bookmarkEnd w:id="96"/>
      <w:bookmarkStart w:id="97" w:name="_Toc184308051"/>
      <w:bookmarkEnd w:id="97"/>
      <w:bookmarkStart w:id="98" w:name="_Toc184310313"/>
      <w:bookmarkEnd w:id="98"/>
      <w:bookmarkStart w:id="99" w:name="_Toc184314441"/>
      <w:bookmarkEnd w:id="99"/>
      <w:bookmarkStart w:id="100" w:name="_Toc184312079"/>
      <w:bookmarkEnd w:id="100"/>
      <w:bookmarkStart w:id="101" w:name="_Toc184314434"/>
      <w:bookmarkEnd w:id="101"/>
      <w:bookmarkStart w:id="102" w:name="_Toc184312084"/>
      <w:bookmarkEnd w:id="102"/>
      <w:bookmarkStart w:id="103" w:name="_Toc184314465"/>
      <w:bookmarkEnd w:id="103"/>
      <w:bookmarkStart w:id="104" w:name="_Toc184313240"/>
      <w:bookmarkEnd w:id="104"/>
      <w:bookmarkStart w:id="105" w:name="_Toc184314479"/>
      <w:bookmarkEnd w:id="105"/>
      <w:bookmarkStart w:id="106" w:name="_Toc184314423"/>
      <w:bookmarkEnd w:id="106"/>
      <w:bookmarkStart w:id="107" w:name="_Toc184308062"/>
      <w:bookmarkEnd w:id="107"/>
      <w:bookmarkStart w:id="108" w:name="_Toc184313271"/>
      <w:bookmarkEnd w:id="108"/>
      <w:bookmarkStart w:id="109" w:name="_Toc184308064"/>
      <w:bookmarkEnd w:id="109"/>
      <w:bookmarkStart w:id="110" w:name="_Toc184310311"/>
      <w:bookmarkEnd w:id="110"/>
      <w:bookmarkStart w:id="111" w:name="_Toc184310292"/>
      <w:bookmarkEnd w:id="111"/>
      <w:bookmarkStart w:id="112" w:name="_Toc184313274"/>
      <w:bookmarkEnd w:id="112"/>
      <w:bookmarkStart w:id="113" w:name="_Toc184312076"/>
      <w:bookmarkEnd w:id="113"/>
      <w:bookmarkStart w:id="114" w:name="_Toc184308101"/>
      <w:bookmarkEnd w:id="114"/>
      <w:bookmarkStart w:id="115" w:name="_Toc184308072"/>
      <w:bookmarkEnd w:id="115"/>
      <w:bookmarkStart w:id="116" w:name="_Toc184313239"/>
      <w:bookmarkEnd w:id="116"/>
      <w:bookmarkStart w:id="117" w:name="_Toc184313293"/>
      <w:bookmarkEnd w:id="117"/>
      <w:bookmarkStart w:id="118" w:name="_Toc184314440"/>
      <w:bookmarkEnd w:id="118"/>
      <w:bookmarkStart w:id="119" w:name="_Toc184314431"/>
      <w:bookmarkEnd w:id="119"/>
      <w:bookmarkStart w:id="120" w:name="_Toc184310284"/>
      <w:bookmarkEnd w:id="120"/>
      <w:bookmarkStart w:id="121" w:name="_Toc184310291"/>
      <w:bookmarkEnd w:id="121"/>
      <w:bookmarkStart w:id="122" w:name="_Toc184310306"/>
      <w:bookmarkEnd w:id="122"/>
      <w:bookmarkStart w:id="123" w:name="_Toc184312080"/>
      <w:bookmarkEnd w:id="123"/>
      <w:bookmarkStart w:id="124" w:name="_Toc184314421"/>
      <w:bookmarkEnd w:id="124"/>
      <w:bookmarkStart w:id="125" w:name="_Toc184313269"/>
      <w:bookmarkEnd w:id="125"/>
      <w:bookmarkStart w:id="126" w:name="_Toc184314436"/>
      <w:bookmarkEnd w:id="126"/>
      <w:bookmarkStart w:id="127" w:name="_Toc184308108"/>
      <w:bookmarkEnd w:id="127"/>
      <w:bookmarkStart w:id="128" w:name="_Toc184313291"/>
      <w:bookmarkEnd w:id="128"/>
      <w:bookmarkStart w:id="129" w:name="_Toc184308079"/>
      <w:bookmarkEnd w:id="129"/>
      <w:bookmarkStart w:id="130" w:name="_Toc184308063"/>
      <w:bookmarkEnd w:id="130"/>
      <w:bookmarkStart w:id="131" w:name="_Toc184313281"/>
      <w:bookmarkEnd w:id="131"/>
      <w:bookmarkStart w:id="132" w:name="_Toc184310281"/>
      <w:bookmarkEnd w:id="132"/>
      <w:bookmarkStart w:id="133" w:name="_Toc184308067"/>
      <w:bookmarkEnd w:id="133"/>
      <w:bookmarkStart w:id="134" w:name="_Toc184313248"/>
      <w:bookmarkEnd w:id="134"/>
      <w:bookmarkStart w:id="135" w:name="_Toc184308055"/>
      <w:bookmarkEnd w:id="135"/>
      <w:bookmarkStart w:id="136" w:name="_Toc184313275"/>
      <w:bookmarkEnd w:id="136"/>
      <w:bookmarkStart w:id="137" w:name="_Toc184313259"/>
      <w:bookmarkEnd w:id="137"/>
      <w:bookmarkStart w:id="138" w:name="_Toc184312088"/>
      <w:bookmarkEnd w:id="138"/>
      <w:bookmarkStart w:id="139" w:name="_Toc184312113"/>
      <w:bookmarkEnd w:id="139"/>
      <w:bookmarkStart w:id="140" w:name="_Toc184314459"/>
      <w:bookmarkEnd w:id="140"/>
      <w:bookmarkStart w:id="141" w:name="_Toc184310293"/>
      <w:bookmarkEnd w:id="141"/>
      <w:bookmarkStart w:id="142" w:name="_Toc184313292"/>
      <w:bookmarkEnd w:id="142"/>
      <w:bookmarkStart w:id="143" w:name="_Toc184314461"/>
      <w:bookmarkEnd w:id="143"/>
      <w:bookmarkStart w:id="144" w:name="_Toc184314473"/>
      <w:bookmarkEnd w:id="144"/>
      <w:bookmarkStart w:id="145" w:name="_Toc184312136"/>
      <w:bookmarkEnd w:id="145"/>
      <w:bookmarkStart w:id="146" w:name="_Toc184310298"/>
      <w:bookmarkEnd w:id="146"/>
      <w:bookmarkStart w:id="147" w:name="_Toc184308057"/>
      <w:bookmarkEnd w:id="147"/>
      <w:bookmarkStart w:id="148" w:name="_Toc184314430"/>
      <w:bookmarkEnd w:id="148"/>
      <w:bookmarkStart w:id="149" w:name="_Toc184313255"/>
      <w:bookmarkEnd w:id="149"/>
      <w:bookmarkStart w:id="150" w:name="_Toc184312068"/>
      <w:bookmarkEnd w:id="150"/>
      <w:bookmarkStart w:id="151" w:name="_Toc184313254"/>
      <w:bookmarkEnd w:id="151"/>
      <w:bookmarkStart w:id="152" w:name="_Toc184314439"/>
      <w:bookmarkEnd w:id="152"/>
      <w:bookmarkStart w:id="153" w:name="_Toc184313267"/>
      <w:bookmarkEnd w:id="153"/>
      <w:bookmarkStart w:id="154" w:name="_Toc184312087"/>
      <w:bookmarkEnd w:id="154"/>
      <w:bookmarkStart w:id="155" w:name="_Toc184310297"/>
      <w:bookmarkEnd w:id="155"/>
      <w:bookmarkStart w:id="156" w:name="_Toc184310309"/>
      <w:bookmarkEnd w:id="156"/>
      <w:bookmarkStart w:id="157" w:name="_Toc184314426"/>
      <w:bookmarkEnd w:id="157"/>
      <w:bookmarkStart w:id="158" w:name="_Toc184313283"/>
      <w:bookmarkEnd w:id="158"/>
      <w:bookmarkStart w:id="159" w:name="_Toc184308039"/>
      <w:bookmarkEnd w:id="159"/>
      <w:bookmarkStart w:id="160" w:name="_Toc184308066"/>
      <w:bookmarkEnd w:id="160"/>
      <w:bookmarkStart w:id="161" w:name="_Toc184308056"/>
      <w:bookmarkEnd w:id="161"/>
      <w:bookmarkStart w:id="162" w:name="_Toc184308081"/>
      <w:bookmarkEnd w:id="162"/>
      <w:bookmarkStart w:id="163" w:name="_Toc184310299"/>
      <w:bookmarkEnd w:id="163"/>
      <w:bookmarkStart w:id="164" w:name="_Toc184312097"/>
      <w:bookmarkEnd w:id="164"/>
      <w:bookmarkStart w:id="165" w:name="_Toc184312067"/>
      <w:bookmarkEnd w:id="165"/>
      <w:bookmarkStart w:id="166" w:name="_Toc184314467"/>
      <w:bookmarkEnd w:id="166"/>
      <w:bookmarkStart w:id="167" w:name="_Toc184312135"/>
      <w:bookmarkEnd w:id="167"/>
      <w:bookmarkStart w:id="168" w:name="_Toc184313307"/>
      <w:bookmarkEnd w:id="168"/>
      <w:bookmarkStart w:id="169" w:name="_Toc184313303"/>
      <w:bookmarkEnd w:id="169"/>
      <w:bookmarkStart w:id="170" w:name="_Toc184313280"/>
      <w:bookmarkEnd w:id="170"/>
      <w:bookmarkStart w:id="171" w:name="_Toc184314457"/>
      <w:bookmarkEnd w:id="171"/>
      <w:bookmarkStart w:id="172" w:name="_Toc184310322"/>
      <w:bookmarkEnd w:id="172"/>
      <w:bookmarkStart w:id="173" w:name="_Toc184314458"/>
      <w:bookmarkEnd w:id="173"/>
      <w:bookmarkStart w:id="174" w:name="_Toc184314475"/>
      <w:bookmarkEnd w:id="174"/>
      <w:bookmarkStart w:id="175" w:name="_Toc184310340"/>
      <w:bookmarkEnd w:id="175"/>
      <w:bookmarkStart w:id="176" w:name="_Toc184312118"/>
      <w:bookmarkEnd w:id="176"/>
      <w:bookmarkStart w:id="177" w:name="_Toc184312070"/>
      <w:bookmarkEnd w:id="177"/>
      <w:bookmarkStart w:id="178" w:name="_Toc184312106"/>
      <w:bookmarkEnd w:id="178"/>
      <w:bookmarkStart w:id="179" w:name="_Toc184313266"/>
      <w:bookmarkEnd w:id="179"/>
      <w:bookmarkStart w:id="180" w:name="_Toc184308058"/>
      <w:bookmarkEnd w:id="180"/>
      <w:bookmarkStart w:id="181" w:name="_Toc184310317"/>
      <w:bookmarkEnd w:id="181"/>
      <w:bookmarkStart w:id="182" w:name="_Toc184312114"/>
      <w:bookmarkEnd w:id="182"/>
      <w:bookmarkStart w:id="183" w:name="_Toc184310273"/>
      <w:bookmarkEnd w:id="183"/>
      <w:bookmarkStart w:id="184" w:name="_Toc184308054"/>
      <w:bookmarkEnd w:id="184"/>
      <w:bookmarkStart w:id="185" w:name="_Toc184308074"/>
      <w:bookmarkEnd w:id="185"/>
      <w:bookmarkStart w:id="186" w:name="_Toc184314466"/>
      <w:bookmarkEnd w:id="186"/>
      <w:bookmarkStart w:id="187" w:name="_Toc184314447"/>
      <w:bookmarkEnd w:id="187"/>
      <w:bookmarkStart w:id="188" w:name="_Toc184310336"/>
      <w:bookmarkEnd w:id="188"/>
      <w:bookmarkStart w:id="189" w:name="_Toc184314429"/>
      <w:bookmarkEnd w:id="189"/>
      <w:bookmarkStart w:id="190" w:name="_Toc184313251"/>
      <w:bookmarkEnd w:id="190"/>
      <w:bookmarkStart w:id="191" w:name="_Toc184308065"/>
      <w:bookmarkEnd w:id="191"/>
      <w:bookmarkStart w:id="192" w:name="_Toc184313262"/>
      <w:bookmarkEnd w:id="192"/>
      <w:bookmarkStart w:id="193" w:name="_Toc184310275"/>
      <w:bookmarkEnd w:id="193"/>
      <w:bookmarkStart w:id="194" w:name="_Toc184308053"/>
      <w:bookmarkEnd w:id="194"/>
      <w:bookmarkStart w:id="195" w:name="_Toc184313263"/>
      <w:bookmarkEnd w:id="195"/>
      <w:bookmarkStart w:id="196" w:name="_Toc184312112"/>
      <w:bookmarkEnd w:id="196"/>
      <w:bookmarkStart w:id="197" w:name="_Toc184312115"/>
      <w:bookmarkEnd w:id="197"/>
      <w:bookmarkStart w:id="198" w:name="_Toc184308092"/>
      <w:bookmarkEnd w:id="198"/>
      <w:bookmarkStart w:id="199" w:name="_Toc184313306"/>
      <w:bookmarkEnd w:id="199"/>
      <w:bookmarkStart w:id="200" w:name="_Toc184314450"/>
      <w:bookmarkEnd w:id="200"/>
      <w:bookmarkStart w:id="201" w:name="_Toc184314452"/>
      <w:bookmarkEnd w:id="201"/>
      <w:bookmarkStart w:id="202" w:name="_Toc184312109"/>
      <w:bookmarkEnd w:id="202"/>
      <w:bookmarkStart w:id="203" w:name="_Toc184314413"/>
      <w:bookmarkEnd w:id="203"/>
      <w:bookmarkStart w:id="204" w:name="_Toc184313294"/>
      <w:bookmarkEnd w:id="204"/>
      <w:bookmarkStart w:id="205" w:name="_Toc184310288"/>
      <w:bookmarkEnd w:id="205"/>
      <w:bookmarkStart w:id="206" w:name="_Toc184313253"/>
      <w:bookmarkEnd w:id="206"/>
      <w:bookmarkStart w:id="207" w:name="_Toc184313277"/>
      <w:bookmarkEnd w:id="207"/>
      <w:bookmarkStart w:id="208" w:name="_Toc184308090"/>
      <w:bookmarkEnd w:id="208"/>
      <w:bookmarkStart w:id="209" w:name="_Toc184310296"/>
      <w:bookmarkEnd w:id="209"/>
      <w:bookmarkStart w:id="210" w:name="_Toc184313270"/>
      <w:bookmarkEnd w:id="210"/>
      <w:bookmarkStart w:id="211" w:name="_Toc184312094"/>
      <w:bookmarkEnd w:id="211"/>
      <w:bookmarkStart w:id="212" w:name="_Toc184308061"/>
      <w:bookmarkEnd w:id="212"/>
      <w:bookmarkStart w:id="213" w:name="_Toc184314454"/>
      <w:bookmarkEnd w:id="213"/>
      <w:bookmarkStart w:id="214" w:name="_Toc184310325"/>
      <w:bookmarkEnd w:id="214"/>
      <w:bookmarkStart w:id="215" w:name="_Toc184313287"/>
      <w:bookmarkEnd w:id="215"/>
      <w:bookmarkStart w:id="216" w:name="_Toc184310341"/>
      <w:bookmarkEnd w:id="216"/>
      <w:bookmarkStart w:id="217" w:name="_Toc184312085"/>
      <w:bookmarkEnd w:id="217"/>
      <w:bookmarkStart w:id="218" w:name="_Toc184312086"/>
      <w:bookmarkEnd w:id="218"/>
      <w:bookmarkStart w:id="219" w:name="_Toc184313298"/>
      <w:bookmarkEnd w:id="219"/>
      <w:bookmarkStart w:id="220" w:name="_Toc184312130"/>
      <w:bookmarkEnd w:id="220"/>
      <w:bookmarkStart w:id="221" w:name="_Toc184312116"/>
      <w:bookmarkEnd w:id="221"/>
      <w:bookmarkStart w:id="222" w:name="_Toc184314428"/>
      <w:bookmarkEnd w:id="222"/>
      <w:bookmarkStart w:id="223" w:name="_Toc184314433"/>
      <w:bookmarkEnd w:id="223"/>
      <w:bookmarkStart w:id="224" w:name="_Toc184312069"/>
      <w:bookmarkEnd w:id="224"/>
      <w:bookmarkStart w:id="225" w:name="_Toc184313299"/>
      <w:bookmarkEnd w:id="225"/>
      <w:bookmarkStart w:id="226" w:name="_Toc184308091"/>
      <w:bookmarkEnd w:id="226"/>
      <w:bookmarkStart w:id="227" w:name="_Toc184312120"/>
      <w:bookmarkEnd w:id="227"/>
      <w:bookmarkStart w:id="228" w:name="_Toc184312124"/>
      <w:bookmarkEnd w:id="228"/>
      <w:bookmarkStart w:id="229" w:name="_Toc184312123"/>
      <w:bookmarkEnd w:id="229"/>
      <w:bookmarkStart w:id="230" w:name="_Toc184313286"/>
      <w:bookmarkEnd w:id="230"/>
      <w:bookmarkStart w:id="231" w:name="_Toc184310329"/>
      <w:bookmarkEnd w:id="231"/>
      <w:bookmarkStart w:id="232" w:name="_Toc184310320"/>
      <w:bookmarkEnd w:id="232"/>
      <w:bookmarkStart w:id="233" w:name="_Toc184308049"/>
      <w:bookmarkEnd w:id="233"/>
      <w:bookmarkStart w:id="234" w:name="_Toc184312122"/>
      <w:bookmarkEnd w:id="234"/>
      <w:bookmarkStart w:id="235" w:name="_Toc184312090"/>
      <w:bookmarkEnd w:id="235"/>
      <w:bookmarkStart w:id="236" w:name="_Toc184313276"/>
      <w:bookmarkEnd w:id="236"/>
      <w:bookmarkStart w:id="237" w:name="_Toc184310331"/>
      <w:bookmarkEnd w:id="237"/>
      <w:bookmarkStart w:id="238" w:name="_Toc184313304"/>
      <w:bookmarkEnd w:id="238"/>
      <w:bookmarkStart w:id="239" w:name="_Toc184312110"/>
      <w:bookmarkEnd w:id="239"/>
      <w:bookmarkStart w:id="240" w:name="_Toc184313252"/>
      <w:bookmarkEnd w:id="240"/>
      <w:bookmarkStart w:id="241" w:name="_Toc184314476"/>
      <w:bookmarkEnd w:id="241"/>
      <w:bookmarkStart w:id="242" w:name="_Toc184312121"/>
      <w:bookmarkEnd w:id="242"/>
      <w:bookmarkStart w:id="243" w:name="_Toc184310338"/>
      <w:bookmarkEnd w:id="243"/>
      <w:bookmarkStart w:id="244" w:name="_Toc184314455"/>
      <w:bookmarkEnd w:id="244"/>
      <w:bookmarkStart w:id="245" w:name="_Toc184314470"/>
      <w:bookmarkEnd w:id="245"/>
      <w:bookmarkStart w:id="246" w:name="_Toc184308046"/>
      <w:bookmarkEnd w:id="246"/>
      <w:bookmarkStart w:id="247" w:name="_Toc184313250"/>
      <w:bookmarkEnd w:id="247"/>
      <w:bookmarkStart w:id="248" w:name="_Toc184313305"/>
      <w:bookmarkEnd w:id="248"/>
      <w:bookmarkStart w:id="249" w:name="_Toc184310334"/>
      <w:bookmarkEnd w:id="249"/>
      <w:bookmarkStart w:id="250" w:name="_Toc184308102"/>
      <w:bookmarkEnd w:id="250"/>
      <w:bookmarkStart w:id="251" w:name="_Toc184314449"/>
      <w:bookmarkEnd w:id="251"/>
      <w:bookmarkStart w:id="252" w:name="_Toc184312133"/>
      <w:bookmarkEnd w:id="252"/>
      <w:bookmarkStart w:id="253" w:name="_Toc184312077"/>
      <w:bookmarkEnd w:id="253"/>
      <w:bookmarkStart w:id="254" w:name="_Toc184308089"/>
      <w:bookmarkEnd w:id="254"/>
      <w:bookmarkStart w:id="255" w:name="_Toc184313285"/>
      <w:bookmarkEnd w:id="255"/>
      <w:bookmarkStart w:id="256" w:name="_Toc184308094"/>
      <w:bookmarkEnd w:id="256"/>
      <w:bookmarkStart w:id="257" w:name="_Toc184313265"/>
      <w:bookmarkEnd w:id="257"/>
      <w:bookmarkStart w:id="258" w:name="_Toc184313261"/>
      <w:bookmarkEnd w:id="258"/>
      <w:bookmarkStart w:id="259" w:name="_Toc184312129"/>
      <w:bookmarkEnd w:id="259"/>
      <w:bookmarkStart w:id="260" w:name="_Toc184312091"/>
      <w:bookmarkEnd w:id="260"/>
      <w:bookmarkStart w:id="261" w:name="_Toc184310304"/>
      <w:bookmarkEnd w:id="261"/>
      <w:bookmarkStart w:id="262" w:name="_Toc184312132"/>
      <w:bookmarkEnd w:id="262"/>
      <w:bookmarkStart w:id="263" w:name="_Toc184314469"/>
      <w:bookmarkEnd w:id="263"/>
      <w:bookmarkStart w:id="264" w:name="_Toc184310272"/>
      <w:bookmarkEnd w:id="264"/>
      <w:bookmarkStart w:id="265" w:name="_Toc184310332"/>
      <w:bookmarkEnd w:id="265"/>
      <w:bookmarkStart w:id="266" w:name="_Toc184308088"/>
      <w:bookmarkEnd w:id="266"/>
      <w:bookmarkStart w:id="267" w:name="_Toc184314478"/>
      <w:bookmarkEnd w:id="267"/>
      <w:bookmarkStart w:id="268" w:name="_Toc184312134"/>
      <w:bookmarkEnd w:id="268"/>
      <w:bookmarkStart w:id="269" w:name="_Toc184312105"/>
      <w:bookmarkEnd w:id="269"/>
      <w:bookmarkStart w:id="270" w:name="_Toc184308040"/>
      <w:bookmarkEnd w:id="270"/>
      <w:bookmarkStart w:id="271" w:name="_Toc184310289"/>
      <w:bookmarkEnd w:id="271"/>
      <w:bookmarkStart w:id="272" w:name="_Toc184313241"/>
      <w:bookmarkEnd w:id="272"/>
      <w:bookmarkStart w:id="273" w:name="_Toc184308095"/>
      <w:bookmarkEnd w:id="273"/>
      <w:bookmarkStart w:id="274" w:name="_Toc184308085"/>
      <w:bookmarkEnd w:id="274"/>
      <w:bookmarkStart w:id="275" w:name="_Toc184308050"/>
      <w:bookmarkEnd w:id="275"/>
      <w:bookmarkStart w:id="276" w:name="_Toc184308068"/>
      <w:bookmarkEnd w:id="276"/>
      <w:bookmarkStart w:id="277" w:name="_Toc184313245"/>
      <w:bookmarkEnd w:id="277"/>
      <w:bookmarkStart w:id="278" w:name="_Toc184312089"/>
      <w:bookmarkEnd w:id="278"/>
      <w:bookmarkStart w:id="279" w:name="_Toc184308096"/>
      <w:bookmarkEnd w:id="279"/>
      <w:bookmarkStart w:id="280" w:name="_Toc184313290"/>
      <w:bookmarkEnd w:id="280"/>
      <w:bookmarkStart w:id="281" w:name="_Toc184313309"/>
      <w:bookmarkEnd w:id="281"/>
      <w:bookmarkStart w:id="282" w:name="_Toc184314412"/>
      <w:bookmarkEnd w:id="282"/>
      <w:bookmarkStart w:id="283" w:name="_Toc184310330"/>
      <w:bookmarkEnd w:id="283"/>
      <w:bookmarkStart w:id="284" w:name="_Toc184310326"/>
      <w:bookmarkEnd w:id="284"/>
      <w:bookmarkStart w:id="285" w:name="_Toc184314437"/>
      <w:bookmarkEnd w:id="285"/>
      <w:bookmarkStart w:id="286" w:name="_Toc184313300"/>
      <w:bookmarkEnd w:id="286"/>
      <w:bookmarkStart w:id="287" w:name="_Toc184312137"/>
      <w:bookmarkEnd w:id="287"/>
      <w:bookmarkStart w:id="288" w:name="_Toc184314424"/>
      <w:bookmarkEnd w:id="288"/>
      <w:bookmarkStart w:id="289" w:name="_Toc184310321"/>
      <w:bookmarkEnd w:id="289"/>
      <w:bookmarkStart w:id="290" w:name="_Toc184308098"/>
      <w:bookmarkEnd w:id="290"/>
      <w:bookmarkStart w:id="291" w:name="_Toc184312107"/>
      <w:bookmarkEnd w:id="291"/>
      <w:bookmarkStart w:id="292" w:name="_Toc184308037"/>
      <w:bookmarkEnd w:id="292"/>
      <w:bookmarkStart w:id="293" w:name="_Toc184313288"/>
      <w:bookmarkEnd w:id="293"/>
      <w:bookmarkStart w:id="294" w:name="_Toc184308042"/>
      <w:bookmarkEnd w:id="294"/>
      <w:bookmarkStart w:id="295" w:name="_Toc184312125"/>
      <w:bookmarkEnd w:id="295"/>
      <w:bookmarkStart w:id="296" w:name="_Toc184314427"/>
      <w:bookmarkEnd w:id="296"/>
      <w:bookmarkStart w:id="297" w:name="_Toc184314463"/>
      <w:bookmarkEnd w:id="297"/>
      <w:bookmarkStart w:id="298" w:name="_Toc184313289"/>
      <w:bookmarkEnd w:id="298"/>
      <w:bookmarkStart w:id="299" w:name="_Toc184312127"/>
      <w:bookmarkEnd w:id="299"/>
      <w:bookmarkStart w:id="300" w:name="_Toc184308076"/>
      <w:bookmarkEnd w:id="300"/>
      <w:bookmarkStart w:id="301" w:name="_Toc184308099"/>
      <w:bookmarkEnd w:id="301"/>
      <w:bookmarkStart w:id="302" w:name="_Toc184308073"/>
      <w:bookmarkEnd w:id="302"/>
      <w:bookmarkStart w:id="303" w:name="_Toc184312128"/>
      <w:bookmarkEnd w:id="303"/>
      <w:bookmarkStart w:id="304" w:name="_Toc184308103"/>
      <w:bookmarkEnd w:id="304"/>
      <w:bookmarkStart w:id="305" w:name="_Toc184314468"/>
      <w:bookmarkEnd w:id="305"/>
      <w:bookmarkStart w:id="306" w:name="_Toc184312119"/>
      <w:bookmarkEnd w:id="306"/>
      <w:bookmarkStart w:id="307" w:name="_Toc184313296"/>
      <w:bookmarkEnd w:id="307"/>
      <w:bookmarkStart w:id="308" w:name="_Toc184308093"/>
      <w:bookmarkEnd w:id="308"/>
      <w:bookmarkStart w:id="309" w:name="_Toc184314471"/>
      <w:bookmarkEnd w:id="309"/>
      <w:bookmarkStart w:id="310" w:name="_Toc184313284"/>
      <w:bookmarkEnd w:id="310"/>
      <w:bookmarkStart w:id="311" w:name="_Toc184308097"/>
      <w:bookmarkEnd w:id="311"/>
      <w:bookmarkStart w:id="312" w:name="_Toc184310333"/>
      <w:bookmarkEnd w:id="312"/>
      <w:bookmarkStart w:id="313" w:name="_Toc184308080"/>
      <w:bookmarkEnd w:id="313"/>
      <w:bookmarkStart w:id="314" w:name="_Toc184312074"/>
      <w:bookmarkEnd w:id="314"/>
      <w:bookmarkStart w:id="315" w:name="_Toc184314481"/>
      <w:bookmarkEnd w:id="315"/>
      <w:bookmarkStart w:id="316" w:name="_Toc184312082"/>
      <w:bookmarkEnd w:id="316"/>
      <w:bookmarkStart w:id="317" w:name="_Toc184308036"/>
      <w:bookmarkEnd w:id="317"/>
      <w:bookmarkStart w:id="318" w:name="_Toc184313297"/>
      <w:bookmarkEnd w:id="318"/>
      <w:bookmarkStart w:id="319" w:name="_Toc184314477"/>
      <w:bookmarkEnd w:id="319"/>
      <w:bookmarkStart w:id="320" w:name="_Toc184312138"/>
      <w:bookmarkEnd w:id="320"/>
      <w:bookmarkStart w:id="321" w:name="_Toc184308100"/>
      <w:bookmarkEnd w:id="321"/>
      <w:bookmarkStart w:id="322" w:name="_Toc184312096"/>
      <w:bookmarkEnd w:id="322"/>
      <w:bookmarkStart w:id="323" w:name="_Toc184313310"/>
      <w:bookmarkEnd w:id="323"/>
      <w:bookmarkStart w:id="324" w:name="_Toc184314445"/>
      <w:bookmarkEnd w:id="324"/>
      <w:bookmarkStart w:id="325" w:name="_Toc184310337"/>
      <w:bookmarkEnd w:id="325"/>
      <w:bookmarkStart w:id="326" w:name="_Toc184310305"/>
      <w:bookmarkEnd w:id="326"/>
      <w:bookmarkStart w:id="327" w:name="_Toc184313268"/>
      <w:bookmarkEnd w:id="327"/>
      <w:bookmarkStart w:id="328" w:name="_Toc184314444"/>
      <w:bookmarkEnd w:id="328"/>
      <w:bookmarkStart w:id="329" w:name="_Toc184312104"/>
      <w:bookmarkEnd w:id="329"/>
      <w:bookmarkStart w:id="330" w:name="_Toc184314419"/>
      <w:bookmarkEnd w:id="330"/>
      <w:bookmarkStart w:id="331" w:name="_Toc184308083"/>
      <w:bookmarkEnd w:id="331"/>
      <w:bookmarkStart w:id="332" w:name="_Toc184314420"/>
      <w:bookmarkEnd w:id="332"/>
      <w:bookmarkStart w:id="333" w:name="_Toc184310314"/>
      <w:bookmarkEnd w:id="333"/>
      <w:bookmarkStart w:id="334" w:name="_Toc184310303"/>
      <w:bookmarkEnd w:id="334"/>
      <w:bookmarkStart w:id="335" w:name="_Toc184308048"/>
      <w:bookmarkEnd w:id="335"/>
      <w:bookmarkStart w:id="336" w:name="_Toc184314432"/>
      <w:bookmarkEnd w:id="336"/>
      <w:bookmarkStart w:id="337" w:name="_Toc184308082"/>
      <w:bookmarkEnd w:id="337"/>
      <w:bookmarkStart w:id="338" w:name="_Toc184310308"/>
      <w:bookmarkEnd w:id="338"/>
      <w:bookmarkStart w:id="339" w:name="_Toc184314443"/>
      <w:bookmarkEnd w:id="339"/>
      <w:bookmarkStart w:id="340" w:name="_Toc184308078"/>
      <w:bookmarkEnd w:id="340"/>
      <w:bookmarkStart w:id="341" w:name="_Toc184310282"/>
      <w:bookmarkEnd w:id="341"/>
      <w:bookmarkStart w:id="342" w:name="_Toc184310300"/>
      <w:bookmarkEnd w:id="342"/>
      <w:bookmarkStart w:id="343" w:name="_Toc184313264"/>
      <w:bookmarkEnd w:id="343"/>
      <w:bookmarkStart w:id="344" w:name="_Toc184313247"/>
      <w:bookmarkEnd w:id="344"/>
      <w:bookmarkStart w:id="345" w:name="_Toc184314453"/>
      <w:bookmarkEnd w:id="345"/>
      <w:bookmarkStart w:id="346" w:name="_Toc184314410"/>
      <w:bookmarkEnd w:id="346"/>
      <w:bookmarkStart w:id="347" w:name="_Toc184313272"/>
      <w:bookmarkEnd w:id="347"/>
      <w:bookmarkStart w:id="348" w:name="_Toc184308084"/>
      <w:bookmarkEnd w:id="348"/>
      <w:bookmarkStart w:id="349" w:name="_Toc184313257"/>
      <w:bookmarkEnd w:id="349"/>
      <w:bookmarkStart w:id="350" w:name="_Toc184312078"/>
      <w:bookmarkEnd w:id="350"/>
      <w:bookmarkStart w:id="351" w:name="_Toc184312103"/>
      <w:bookmarkEnd w:id="351"/>
      <w:bookmarkStart w:id="352" w:name="_Toc184313238"/>
      <w:bookmarkEnd w:id="352"/>
      <w:bookmarkStart w:id="353" w:name="_Toc184312095"/>
      <w:bookmarkEnd w:id="353"/>
      <w:bookmarkStart w:id="354" w:name="_Toc184312100"/>
      <w:bookmarkEnd w:id="354"/>
      <w:bookmarkStart w:id="355" w:name="_Toc184313273"/>
      <w:bookmarkEnd w:id="355"/>
      <w:bookmarkStart w:id="356" w:name="_Toc184310339"/>
      <w:bookmarkEnd w:id="356"/>
      <w:bookmarkStart w:id="357" w:name="_Toc184314442"/>
      <w:bookmarkEnd w:id="357"/>
      <w:bookmarkStart w:id="358" w:name="_Toc184313249"/>
      <w:bookmarkEnd w:id="358"/>
      <w:bookmarkStart w:id="359" w:name="_Toc184308071"/>
      <w:bookmarkEnd w:id="359"/>
      <w:bookmarkStart w:id="360" w:name="_Toc184310343"/>
      <w:bookmarkEnd w:id="360"/>
      <w:bookmarkStart w:id="361" w:name="_Toc184312101"/>
      <w:bookmarkEnd w:id="361"/>
      <w:bookmarkStart w:id="362" w:name="_Toc184313279"/>
      <w:bookmarkEnd w:id="362"/>
      <w:bookmarkStart w:id="363" w:name="_Toc184312083"/>
      <w:bookmarkEnd w:id="363"/>
      <w:bookmarkStart w:id="364" w:name="_Toc184314456"/>
      <w:bookmarkEnd w:id="364"/>
      <w:bookmarkStart w:id="365" w:name="_Toc184313258"/>
      <w:bookmarkEnd w:id="365"/>
      <w:bookmarkStart w:id="366" w:name="_Toc184310285"/>
      <w:bookmarkEnd w:id="366"/>
      <w:bookmarkStart w:id="367" w:name="_Toc184313308"/>
      <w:bookmarkEnd w:id="367"/>
      <w:bookmarkStart w:id="368" w:name="_Toc184314446"/>
      <w:bookmarkEnd w:id="368"/>
      <w:bookmarkStart w:id="369" w:name="_Toc184312139"/>
      <w:bookmarkEnd w:id="369"/>
      <w:bookmarkStart w:id="370" w:name="_Toc184312099"/>
      <w:bookmarkEnd w:id="370"/>
      <w:bookmarkStart w:id="371" w:name="_Toc184312117"/>
      <w:bookmarkEnd w:id="371"/>
      <w:bookmarkStart w:id="372" w:name="_Toc184310315"/>
      <w:bookmarkEnd w:id="372"/>
      <w:bookmarkStart w:id="373" w:name="_Toc184308069"/>
      <w:bookmarkEnd w:id="373"/>
      <w:bookmarkStart w:id="374" w:name="_Toc184308052"/>
      <w:bookmarkEnd w:id="374"/>
      <w:bookmarkStart w:id="375" w:name="_Toc184308070"/>
      <w:bookmarkEnd w:id="375"/>
      <w:bookmarkStart w:id="376" w:name="_Toc184308047"/>
      <w:bookmarkEnd w:id="376"/>
      <w:bookmarkStart w:id="377" w:name="_Toc184312098"/>
      <w:bookmarkEnd w:id="377"/>
      <w:bookmarkStart w:id="378" w:name="_Toc184310327"/>
      <w:bookmarkEnd w:id="378"/>
      <w:bookmarkStart w:id="379" w:name="_Toc184313278"/>
      <w:bookmarkEnd w:id="379"/>
      <w:bookmarkStart w:id="380" w:name="_Toc184310302"/>
      <w:bookmarkEnd w:id="380"/>
      <w:bookmarkStart w:id="381" w:name="_Toc184310312"/>
      <w:bookmarkEnd w:id="381"/>
      <w:bookmarkStart w:id="382" w:name="_Toc184314482"/>
      <w:bookmarkEnd w:id="382"/>
      <w:bookmarkStart w:id="383" w:name="_Toc184310294"/>
      <w:bookmarkEnd w:id="383"/>
      <w:bookmarkStart w:id="384" w:name="_Toc184313246"/>
      <w:bookmarkEnd w:id="384"/>
      <w:bookmarkStart w:id="385" w:name="_Toc184312081"/>
      <w:bookmarkEnd w:id="385"/>
      <w:bookmarkStart w:id="386" w:name="_Toc184313260"/>
      <w:bookmarkEnd w:id="386"/>
      <w:bookmarkStart w:id="387" w:name="_Toc184310318"/>
      <w:bookmarkEnd w:id="387"/>
      <w:bookmarkStart w:id="388" w:name="_Toc184312111"/>
      <w:bookmarkEnd w:id="388"/>
      <w:bookmarkStart w:id="389" w:name="_Toc184310301"/>
      <w:bookmarkEnd w:id="389"/>
      <w:bookmarkStart w:id="390" w:name="_Toc184314438"/>
      <w:bookmarkEnd w:id="390"/>
      <w:bookmarkStart w:id="391" w:name="_Toc184308041"/>
      <w:bookmarkEnd w:id="391"/>
      <w:bookmarkStart w:id="392" w:name="_Toc184310310"/>
      <w:bookmarkEnd w:id="392"/>
      <w:bookmarkStart w:id="393" w:name="_Toc184310287"/>
      <w:bookmarkEnd w:id="393"/>
      <w:bookmarkStart w:id="394" w:name="_Toc184314418"/>
      <w:bookmarkEnd w:id="394"/>
      <w:bookmarkStart w:id="395" w:name="_Toc184313256"/>
      <w:bookmarkEnd w:id="395"/>
      <w:bookmarkStart w:id="396" w:name="_Toc184308075"/>
      <w:bookmarkEnd w:id="396"/>
      <w:bookmarkStart w:id="397" w:name="_Toc184314416"/>
      <w:bookmarkEnd w:id="397"/>
      <w:bookmarkStart w:id="398" w:name="_Toc184310278"/>
      <w:bookmarkEnd w:id="398"/>
      <w:bookmarkStart w:id="399" w:name="_Toc184314425"/>
      <w:bookmarkEnd w:id="399"/>
      <w:r>
        <w:rPr>
          <w:rFonts w:hint="eastAsia" w:cs="仿宋" w:asciiTheme="majorEastAsia" w:hAnsiTheme="majorEastAsia" w:eastAsiaTheme="majorEastAsia"/>
          <w:b/>
          <w:color w:val="auto"/>
          <w:sz w:val="36"/>
          <w:szCs w:val="36"/>
          <w:highlight w:val="none"/>
        </w:rPr>
        <w:t>评标办法</w:t>
      </w:r>
    </w:p>
    <w:p>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评标办法前附表</w:t>
      </w:r>
    </w:p>
    <w:tbl>
      <w:tblPr>
        <w:tblStyle w:val="24"/>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9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Merge w:val="restart"/>
            <w:vAlign w:val="center"/>
          </w:tcPr>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资信技术分65</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分</w:t>
            </w:r>
          </w:p>
          <w:p>
            <w:pPr>
              <w:shd w:val="clear"/>
              <w:spacing w:line="360" w:lineRule="auto"/>
              <w:rPr>
                <w:rFonts w:cs="宋体" w:asciiTheme="minorEastAsia" w:hAnsiTheme="minorEastAsia" w:eastAsiaTheme="minorEastAsia"/>
                <w:bCs/>
                <w:color w:val="auto"/>
                <w:szCs w:val="21"/>
                <w:highlight w:val="none"/>
              </w:rPr>
            </w:pPr>
          </w:p>
        </w:tc>
        <w:tc>
          <w:tcPr>
            <w:tcW w:w="9461" w:type="dxa"/>
            <w:vAlign w:val="center"/>
          </w:tcPr>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1、“采购需求”响应情况（12分）</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完全符合招标文件第三章“采购需求”的得12分；一般技术参数负偏离的每条扣1分，标★的技术参数有负偏离的每条扣2分；扣完为止。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05" w:type="dxa"/>
            <w:vMerge w:val="continue"/>
            <w:vAlign w:val="center"/>
          </w:tcPr>
          <w:p>
            <w:pPr>
              <w:shd w:val="clear"/>
              <w:spacing w:line="360" w:lineRule="auto"/>
              <w:rPr>
                <w:rFonts w:cs="宋体" w:asciiTheme="minorEastAsia" w:hAnsiTheme="minorEastAsia" w:eastAsiaTheme="minorEastAsia"/>
                <w:bCs/>
                <w:color w:val="auto"/>
                <w:szCs w:val="21"/>
                <w:highlight w:val="none"/>
              </w:rPr>
            </w:pPr>
          </w:p>
        </w:tc>
        <w:tc>
          <w:tcPr>
            <w:tcW w:w="9461" w:type="dxa"/>
            <w:vAlign w:val="center"/>
          </w:tcPr>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2、灯具性能（12分）</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① LED路灯（180W）：整灯光效≥170lm/W且显色指数Ra≥80得6分，170lm/W﹥整灯光效≥165lm/W且显色指数Ra≥80得3分，165lm/W﹥整灯光效≥140lm/W且显色指数Ra≥80得1分，其它不得分，此项最高得6分。</w:t>
            </w:r>
          </w:p>
          <w:p>
            <w:pPr>
              <w:pStyle w:val="2"/>
              <w:shd w:val="clear"/>
              <w:spacing w:line="360" w:lineRule="auto"/>
              <w:ind w:firstLine="0" w:firstLineChars="0"/>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② LED投光灯（200W）：整灯光效≥165lm/W且显色指数Ra≥80得6分；165lm/W＞整灯光效≥155lm/W且显色指数Ra≥80得3分；155lm/W＞整灯光效≥140lm/W且显色指数Ra≥80得1分，其它不得分，此项最高得6分。</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（投标文件中提供180W、200W LED灯具“国家灯具质量检验检测中心（监督检验）中心”检测报告复印件并加盖单位公章；报告中投标灯具需满足招标文件里的尺寸、结构、色温等技术要求，否则不予认可）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05" w:type="dxa"/>
            <w:vMerge w:val="continue"/>
            <w:vAlign w:val="center"/>
          </w:tcPr>
          <w:p>
            <w:pPr>
              <w:shd w:val="clear"/>
              <w:spacing w:line="360" w:lineRule="auto"/>
              <w:rPr>
                <w:rFonts w:cs="宋体" w:asciiTheme="minorEastAsia" w:hAnsiTheme="minorEastAsia" w:eastAsiaTheme="minorEastAsia"/>
                <w:bCs/>
                <w:color w:val="auto"/>
                <w:szCs w:val="21"/>
                <w:highlight w:val="none"/>
              </w:rPr>
            </w:pPr>
          </w:p>
        </w:tc>
        <w:tc>
          <w:tcPr>
            <w:tcW w:w="9461" w:type="dxa"/>
            <w:vAlign w:val="center"/>
          </w:tcPr>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3、投标产品制造商生产能力（4分）</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根据投标产品制造商专业生产设备、专业生产工具配备是否齐全，生产工艺流程、生产技术是否先进、研发能力进行评议0-4分。（投标文件中提供设备、专业生产工具等发票和彩色照片等证明资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05" w:type="dxa"/>
            <w:vMerge w:val="continue"/>
          </w:tcPr>
          <w:p>
            <w:pPr>
              <w:shd w:val="clear"/>
              <w:spacing w:line="360" w:lineRule="auto"/>
              <w:rPr>
                <w:rFonts w:cs="宋体" w:asciiTheme="minorEastAsia" w:hAnsiTheme="minorEastAsia" w:eastAsiaTheme="minorEastAsia"/>
                <w:bCs/>
                <w:color w:val="auto"/>
                <w:szCs w:val="21"/>
                <w:highlight w:val="none"/>
              </w:rPr>
            </w:pPr>
          </w:p>
        </w:tc>
        <w:tc>
          <w:tcPr>
            <w:tcW w:w="9461" w:type="dxa"/>
            <w:vAlign w:val="center"/>
          </w:tcPr>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4、供货保障及交货期安排（4分）</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①根据投标人产品供货保障方案及措施的可行性进行评议0-2分。</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②针对本项目交货期安排的合理性及交货期的紧凑性进行评议0-2分。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05" w:type="dxa"/>
            <w:vMerge w:val="continue"/>
          </w:tcPr>
          <w:p>
            <w:pPr>
              <w:shd w:val="clear"/>
              <w:spacing w:line="360" w:lineRule="auto"/>
              <w:rPr>
                <w:rFonts w:asciiTheme="minorEastAsia" w:hAnsiTheme="minorEastAsia" w:eastAsiaTheme="minorEastAsia"/>
                <w:color w:val="auto"/>
                <w:szCs w:val="21"/>
                <w:highlight w:val="none"/>
              </w:rPr>
            </w:pPr>
          </w:p>
        </w:tc>
        <w:tc>
          <w:tcPr>
            <w:tcW w:w="9461" w:type="dxa"/>
          </w:tcPr>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5、售后服务（12</w:t>
            </w:r>
            <w:r>
              <w:rPr>
                <w:rFonts w:hint="eastAsia" w:cs="宋体" w:asciiTheme="minorEastAsia" w:hAnsiTheme="minorEastAsia" w:eastAsiaTheme="minorEastAsia"/>
                <w:bCs/>
                <w:color w:val="auto"/>
                <w:szCs w:val="21"/>
                <w:highlight w:val="none"/>
                <w:lang w:eastAsia="zh-CN"/>
              </w:rPr>
              <w:t>分</w:t>
            </w:r>
            <w:r>
              <w:rPr>
                <w:rFonts w:hint="eastAsia" w:cs="宋体" w:asciiTheme="minorEastAsia" w:hAnsiTheme="minorEastAsia" w:eastAsiaTheme="minorEastAsia"/>
                <w:bCs/>
                <w:color w:val="auto"/>
                <w:szCs w:val="21"/>
                <w:highlight w:val="none"/>
              </w:rPr>
              <w:t>）</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 xml:space="preserve">①根据投标人提供的售后服务是否详细可行、合理完善，从售后服务方案、售后服务响应速度（以投标人或其分支机构营业执照注册地作为依据）、备品备件、售后服务人员配备（人员需提供当地社保缴纳证明材料）这四项内容进行评议，每项0-2分，共8分。 </w:t>
            </w:r>
          </w:p>
          <w:p>
            <w:pPr>
              <w:shd w:val="clear"/>
              <w:spacing w:line="360" w:lineRule="auto"/>
              <w:rPr>
                <w:color w:val="auto"/>
                <w:highlight w:val="none"/>
              </w:rPr>
            </w:pPr>
            <w:r>
              <w:rPr>
                <w:rFonts w:hint="eastAsia" w:cs="宋体" w:asciiTheme="minorEastAsia" w:hAnsiTheme="minorEastAsia" w:eastAsiaTheme="minorEastAsia"/>
                <w:bCs/>
                <w:color w:val="auto"/>
                <w:szCs w:val="21"/>
                <w:highlight w:val="none"/>
              </w:rPr>
              <w:t>②根据投标人质保期承诺在满足招标文件的基础上，每增加6个月得1分，最高得4分。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05" w:type="dxa"/>
            <w:vMerge w:val="continue"/>
          </w:tcPr>
          <w:p>
            <w:pPr>
              <w:shd w:val="clear"/>
              <w:spacing w:line="360" w:lineRule="auto"/>
              <w:rPr>
                <w:rFonts w:asciiTheme="minorEastAsia" w:hAnsiTheme="minorEastAsia" w:eastAsiaTheme="minorEastAsia"/>
                <w:color w:val="auto"/>
                <w:szCs w:val="21"/>
                <w:highlight w:val="none"/>
              </w:rPr>
            </w:pPr>
          </w:p>
        </w:tc>
        <w:tc>
          <w:tcPr>
            <w:tcW w:w="9461" w:type="dxa"/>
          </w:tcPr>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6、履约能力（3分）</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投标人自2019年1月1日来具有完成过同类（户外路灯照明）项目业绩的每个得0.5分，最多得3分。（投标文件中提供中标通知书、网上公示截图、合同、验收报告复印件）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05" w:type="dxa"/>
            <w:vMerge w:val="continue"/>
          </w:tcPr>
          <w:p>
            <w:pPr>
              <w:shd w:val="clear"/>
              <w:spacing w:line="360" w:lineRule="auto"/>
              <w:rPr>
                <w:rFonts w:asciiTheme="minorEastAsia" w:hAnsiTheme="minorEastAsia" w:eastAsiaTheme="minorEastAsia"/>
                <w:color w:val="auto"/>
                <w:szCs w:val="21"/>
                <w:highlight w:val="none"/>
              </w:rPr>
            </w:pPr>
          </w:p>
        </w:tc>
        <w:tc>
          <w:tcPr>
            <w:tcW w:w="9461" w:type="dxa"/>
          </w:tcPr>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7、企业实力（3分）</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投标人具有省级及以上政府部门颁发的荣誉证书每个得0.5分，具有地市级政府部门颁发的荣誉证书每个得0.25分，最多得3分。（投标文件中提供证书复印件）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05" w:type="dxa"/>
            <w:vMerge w:val="continue"/>
          </w:tcPr>
          <w:p>
            <w:pPr>
              <w:shd w:val="clear"/>
              <w:spacing w:line="360" w:lineRule="auto"/>
              <w:rPr>
                <w:rFonts w:asciiTheme="minorEastAsia" w:hAnsiTheme="minorEastAsia" w:eastAsiaTheme="minorEastAsia"/>
                <w:color w:val="auto"/>
                <w:szCs w:val="21"/>
                <w:highlight w:val="none"/>
              </w:rPr>
            </w:pPr>
          </w:p>
        </w:tc>
        <w:tc>
          <w:tcPr>
            <w:tcW w:w="9461" w:type="dxa"/>
          </w:tcPr>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8、产品展示（10分）：（提供以下灯具实物细节图）</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①根据投标样品“LED路灯（180W）”的样式、美观度、制造工艺、材质等进行评议0-5分。</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②根据投标样品“LED投光灯（200W）”的样式、美观度、制造工艺、材质等进行评议0-5分。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605" w:type="dxa"/>
            <w:vMerge w:val="continue"/>
          </w:tcPr>
          <w:p>
            <w:pPr>
              <w:shd w:val="clear"/>
              <w:spacing w:line="360" w:lineRule="auto"/>
              <w:rPr>
                <w:rFonts w:asciiTheme="minorEastAsia" w:hAnsiTheme="minorEastAsia" w:eastAsiaTheme="minorEastAsia"/>
                <w:color w:val="auto"/>
                <w:szCs w:val="21"/>
                <w:highlight w:val="none"/>
              </w:rPr>
            </w:pPr>
          </w:p>
        </w:tc>
        <w:tc>
          <w:tcPr>
            <w:tcW w:w="9461" w:type="dxa"/>
            <w:vAlign w:val="center"/>
          </w:tcPr>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9、智能控制系统功能演示（4分）：根据投标人提供的智能控制系统演示视频介绍情况（介绍某个说明时需有特写镜头，清晰可见，演示样品须和投标产品一致）进行评审（时限5分钟内）：</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①智能开关功能，实现得2分；</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②远程智能终端运行功能，实现得2分。</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投标人根据评分标准中的演示内容进行视频录制，以U盘形式邮寄。具体详见投标须知前附表。未按规定形式演示的不得分。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605" w:type="dxa"/>
            <w:vMerge w:val="continue"/>
          </w:tcPr>
          <w:p>
            <w:pPr>
              <w:shd w:val="clear"/>
              <w:spacing w:line="360" w:lineRule="auto"/>
              <w:rPr>
                <w:rFonts w:asciiTheme="minorEastAsia" w:hAnsiTheme="minorEastAsia" w:eastAsiaTheme="minorEastAsia"/>
                <w:color w:val="auto"/>
                <w:szCs w:val="21"/>
                <w:highlight w:val="none"/>
              </w:rPr>
            </w:pPr>
          </w:p>
        </w:tc>
        <w:tc>
          <w:tcPr>
            <w:tcW w:w="9461" w:type="dxa"/>
            <w:vAlign w:val="center"/>
          </w:tcPr>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10、政府采购政策加分（1分）</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 xml:space="preserve">①投标人是国家认定的不发达地区或少数民族地区企业的加0.5分。 </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②节能产品、环境标志产品政策性因素得分（0.5分）。投标产品如属于节能产品的得0.25分，投标产品如属于环境标志产品的得0.25分，投标人须提供由国家确定的认证机构出具的、处于有效期之内的节能产品、环境标志产品认证证书，未按要求提供认证证书或认证证书与中国政府采购网(www.ccgp.gov.cn) 节能产品、环境标志产品查询结果不相符的评标委员会将不予认可。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5" w:type="dxa"/>
            <w:vAlign w:val="center"/>
          </w:tcPr>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报价分35分）</w:t>
            </w:r>
          </w:p>
        </w:tc>
        <w:tc>
          <w:tcPr>
            <w:tcW w:w="9461" w:type="dxa"/>
            <w:vAlign w:val="center"/>
          </w:tcPr>
          <w:p>
            <w:pPr>
              <w:shd w:val="clear"/>
              <w:tabs>
                <w:tab w:val="left" w:pos="0"/>
              </w:tabs>
              <w:adjustRightInd w:val="0"/>
              <w:snapToGrid w:val="0"/>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满足招标文件要求且参与评审价格最低为评标基准价，其价格分为满分，其余供应商的价格分以下列公式计算：</w:t>
            </w:r>
          </w:p>
          <w:p>
            <w:pPr>
              <w:shd w:val="clear"/>
              <w:tabs>
                <w:tab w:val="left" w:pos="0"/>
              </w:tabs>
              <w:adjustRightInd w:val="0"/>
              <w:snapToGrid w:val="0"/>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投标报价得分=（评标基准价/参与评审的价格）×价格权值×100</w:t>
            </w:r>
          </w:p>
          <w:p>
            <w:pPr>
              <w:shd w:val="clea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参与评审价格=投标价格×（1-价格折扣率）</w:t>
            </w:r>
          </w:p>
        </w:tc>
      </w:tr>
    </w:tbl>
    <w:p>
      <w:pPr>
        <w:widowControl/>
        <w:shd w:val="clear"/>
        <w:jc w:val="left"/>
        <w:rPr>
          <w:rFonts w:eastAsia="仿宋_GB2312"/>
          <w:color w:val="auto"/>
          <w:sz w:val="28"/>
          <w:highlight w:val="none"/>
        </w:rPr>
      </w:pPr>
    </w:p>
    <w:p>
      <w:pPr>
        <w:shd w:val="clear"/>
        <w:snapToGrid w:val="0"/>
        <w:spacing w:line="360" w:lineRule="auto"/>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color w:val="auto"/>
          <w:sz w:val="20"/>
          <w:szCs w:val="20"/>
          <w:highlight w:val="none"/>
        </w:rPr>
        <w:t> </w:t>
      </w:r>
      <w:r>
        <w:rPr>
          <w:rFonts w:hint="eastAsia" w:cs="仿宋" w:asciiTheme="majorEastAsia" w:hAnsiTheme="majorEastAsia" w:eastAsiaTheme="majorEastAsia"/>
          <w:b/>
          <w:color w:val="auto"/>
          <w:sz w:val="24"/>
          <w:highlight w:val="none"/>
        </w:rPr>
        <w:t>备注：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编制投标文件（商务技术文件部分）时，建议按此目录（序号和内容）提供评标标准相应的商务技术资料。 </w:t>
      </w: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pPr>
        <w:shd w:val="clear"/>
        <w:spacing w:line="360" w:lineRule="auto"/>
        <w:ind w:firstLine="472" w:firstLineChars="196"/>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pPr>
        <w:shd w:val="clear"/>
        <w:spacing w:line="360" w:lineRule="auto"/>
        <w:ind w:firstLine="472" w:firstLineChars="19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b/>
          <w:color w:val="auto"/>
          <w:sz w:val="24"/>
          <w:highlight w:val="none"/>
        </w:rPr>
        <w:t>评标标准：</w:t>
      </w:r>
      <w:r>
        <w:rPr>
          <w:rFonts w:hint="eastAsia" w:cs="仿宋" w:asciiTheme="majorEastAsia" w:hAnsiTheme="majorEastAsia" w:eastAsiaTheme="majorEastAsia"/>
          <w:color w:val="auto"/>
          <w:kern w:val="0"/>
          <w:sz w:val="24"/>
          <w:highlight w:val="none"/>
        </w:rPr>
        <w:t>见评标办法前附表。</w:t>
      </w: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pPr>
        <w:shd w:val="clear"/>
        <w:spacing w:line="360" w:lineRule="auto"/>
        <w:ind w:firstLine="482" w:firstLineChars="200"/>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pPr>
        <w:pStyle w:val="45"/>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pPr>
        <w:pStyle w:val="45"/>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3.4.3投标报价超过招标文件中规定的预算金额或者最高限价的，投标无效。</w:t>
      </w:r>
    </w:p>
    <w:p>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pPr>
        <w:pStyle w:val="45"/>
        <w:shd w:val="clear"/>
        <w:spacing w:before="0"/>
        <w:ind w:firstLine="482"/>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pPr>
        <w:pStyle w:val="10"/>
        <w:shd w:val="clear"/>
        <w:spacing w:line="360" w:lineRule="auto"/>
        <w:ind w:firstLine="482"/>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4.2.2.2投标文件未按招标文件要求加密、签字、盖章的；（投标文件中加盖</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公章部分均须CA签章。）</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 资格证明文件不全的或者不符合招标文件标明的资格要求的；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4.2.3.</w:t>
      </w:r>
      <w:r>
        <w:rPr>
          <w:rFonts w:hint="eastAsia" w:cs="仿宋" w:asciiTheme="majorEastAsia" w:hAnsiTheme="majorEastAsia" w:eastAsiaTheme="majorEastAsia"/>
          <w:color w:val="auto"/>
          <w:kern w:val="0"/>
          <w:sz w:val="24"/>
          <w:highlight w:val="none"/>
        </w:rPr>
        <w:t>2 联合体参加的未提供联合协议；</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4.2.3.3 投标文件未按招标文件要求签署、盖章的；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4.2.3.4投标代表人未能出具身份证明或与法定代表人授权委托人身份不符的；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4.2.3.5 投标文件格式不规范、项目不齐全或者内容虚假的；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4.2.3.6投标文件的实质性内容未使用中文表述、意思表述不明确、前后矛盾或者使用计量单位不符合招标文件要求的（经评标委员会认定并允许其当场更正的笔误除外）；</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4.2.3.7 投标有效期、交货时间、质保期等商务条款不能满足招标文件要求的；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4.2.3.8 带“▲”的条款不能满足招标文件要求、未实质性响应招标文件要求或者投标文件有采购人不能接受的附加条件的；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4.2.3.9单位负责人为同一人或者存在直接控股、管理关系的不同供应商参加同一合同项下的政府采购活动的；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4.2.3.10 为采购项目提供整体设计、规范编制或者项目管理、监理、检测等服务的供应商参加该采购项目的其他采购活动的；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4.3.1未提供或未如实提供投标货物的技术参数，或者投标文件标明的响应或偏离与事实不符或虚假投标的；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明显不符合招标文件要求的规格型号、质量标准，或者与招标文件中标“▲”的技术指标、主要功能项目发生实质性偏离的；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允许偏离的技术、性能指标或辅助功能项目发生负偏离达/项（含）以上的；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未采用人民币报价或者未按照招标文件标明的币种报价的；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报价超出最高限价，或者超出采购预算金额的；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p>
    <w:p>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pPr>
        <w:pStyle w:val="10"/>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pPr>
        <w:pStyle w:val="10"/>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pPr>
        <w:pStyle w:val="10"/>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pPr>
        <w:pStyle w:val="10"/>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pPr>
        <w:pStyle w:val="10"/>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pPr>
        <w:pStyle w:val="10"/>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pPr>
        <w:pStyle w:val="10"/>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0"/>
        <w:shd w:val="clear"/>
        <w:adjustRightInd w:val="0"/>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pPr>
        <w:pStyle w:val="10"/>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pPr>
        <w:pStyle w:val="10"/>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pPr>
        <w:pStyle w:val="10"/>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pPr>
        <w:pStyle w:val="10"/>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pPr>
        <w:pStyle w:val="10"/>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6"/>
      <w:bookmarkStart w:id="400" w:name="第五部分"/>
      <w:bookmarkStart w:id="401" w:name="_Toc86217003"/>
    </w:p>
    <w:p>
      <w:pPr>
        <w:shd w:val="clear"/>
        <w:spacing w:line="360" w:lineRule="auto"/>
        <w:rPr>
          <w:rFonts w:cs="仿宋" w:asciiTheme="majorEastAsia" w:hAnsiTheme="majorEastAsia" w:eastAsiaTheme="majorEastAsia"/>
          <w:b/>
          <w:color w:val="auto"/>
          <w:sz w:val="36"/>
          <w:szCs w:val="36"/>
          <w:highlight w:val="none"/>
        </w:rPr>
      </w:pPr>
    </w:p>
    <w:p>
      <w:pPr>
        <w:pStyle w:val="10"/>
        <w:numPr>
          <w:ilvl w:val="0"/>
          <w:numId w:val="2"/>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br w:type="page"/>
      </w:r>
      <w:r>
        <w:rPr>
          <w:rFonts w:hint="eastAsia" w:cs="仿宋" w:asciiTheme="majorEastAsia" w:hAnsiTheme="majorEastAsia" w:eastAsiaTheme="majorEastAsia"/>
          <w:b/>
          <w:color w:val="auto"/>
          <w:sz w:val="36"/>
          <w:szCs w:val="36"/>
          <w:highlight w:val="none"/>
        </w:rPr>
        <w:t>拟签订的合同文本</w:t>
      </w:r>
    </w:p>
    <w:p>
      <w:pPr>
        <w:shd w:val="clear"/>
        <w:spacing w:line="360" w:lineRule="auto"/>
        <w:jc w:val="center"/>
        <w:rPr>
          <w:rFonts w:cs="仿宋" w:asciiTheme="minorEastAsia" w:hAnsiTheme="minorEastAsia" w:eastAsiaTheme="minorEastAsia"/>
          <w:b/>
          <w:color w:val="auto"/>
          <w:sz w:val="36"/>
          <w:szCs w:val="36"/>
          <w:highlight w:val="none"/>
        </w:rPr>
      </w:pPr>
      <w:r>
        <w:rPr>
          <w:rFonts w:hint="eastAsia" w:cs="仿宋" w:asciiTheme="minorEastAsia" w:hAnsiTheme="minorEastAsia" w:eastAsiaTheme="minorEastAsia"/>
          <w:b/>
          <w:color w:val="auto"/>
          <w:sz w:val="36"/>
          <w:szCs w:val="36"/>
          <w:highlight w:val="none"/>
        </w:rPr>
        <w:t>（货物类）</w:t>
      </w:r>
    </w:p>
    <w:p>
      <w:pPr>
        <w:pStyle w:val="46"/>
        <w:shd w:val="clear"/>
        <w:ind w:left="0" w:leftChars="0" w:firstLine="0" w:firstLineChars="0"/>
        <w:rPr>
          <w:rFonts w:cs="仿宋" w:asciiTheme="minorEastAsia" w:hAnsiTheme="minorEastAsia" w:eastAsiaTheme="minorEastAsia"/>
          <w:color w:val="auto"/>
          <w:szCs w:val="24"/>
          <w:highlight w:val="none"/>
        </w:rPr>
      </w:pPr>
    </w:p>
    <w:p>
      <w:pPr>
        <w:pStyle w:val="46"/>
        <w:shd w:val="clear"/>
        <w:rPr>
          <w:rFonts w:cs="仿宋" w:asciiTheme="minorEastAsia" w:hAnsiTheme="minorEastAsia" w:eastAsiaTheme="minorEastAsia"/>
          <w:color w:val="auto"/>
          <w:szCs w:val="24"/>
          <w:highlight w:val="none"/>
        </w:rPr>
      </w:pPr>
    </w:p>
    <w:p>
      <w:pPr>
        <w:shd w:val="clear"/>
        <w:spacing w:before="120" w:line="360" w:lineRule="auto"/>
        <w:rPr>
          <w:rFonts w:cs="仿宋" w:asciiTheme="minorEastAsia" w:hAnsiTheme="minorEastAsia" w:eastAsiaTheme="minorEastAsia"/>
          <w:color w:val="auto"/>
          <w:sz w:val="24"/>
          <w:highlight w:val="none"/>
        </w:rPr>
      </w:pPr>
    </w:p>
    <w:p>
      <w:pPr>
        <w:shd w:val="clear"/>
        <w:spacing w:before="120" w:line="360" w:lineRule="auto"/>
        <w:ind w:left="960" w:firstLine="720" w:firstLineChars="3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项目名称：</w:t>
      </w:r>
      <w:r>
        <w:rPr>
          <w:rFonts w:hint="eastAsia" w:cs="仿宋" w:asciiTheme="minorEastAsia" w:hAnsiTheme="minorEastAsia" w:eastAsiaTheme="minorEastAsia"/>
          <w:color w:val="auto"/>
          <w:sz w:val="24"/>
          <w:highlight w:val="none"/>
          <w:u w:val="single"/>
        </w:rPr>
        <w:t xml:space="preserve">                                   </w:t>
      </w:r>
    </w:p>
    <w:p>
      <w:pPr>
        <w:pStyle w:val="38"/>
        <w:shd w:val="clear"/>
        <w:spacing w:before="120"/>
        <w:rPr>
          <w:rFonts w:cs="仿宋" w:asciiTheme="minorEastAsia" w:hAnsiTheme="minorEastAsia" w:eastAsiaTheme="minorEastAsia"/>
          <w:color w:val="auto"/>
          <w:szCs w:val="24"/>
          <w:highlight w:val="none"/>
        </w:rPr>
      </w:pPr>
    </w:p>
    <w:p>
      <w:pPr>
        <w:pStyle w:val="38"/>
        <w:shd w:val="clear"/>
        <w:spacing w:before="120"/>
        <w:rPr>
          <w:rFonts w:cs="仿宋" w:asciiTheme="minorEastAsia" w:hAnsiTheme="minorEastAsia" w:eastAsiaTheme="minorEastAsia"/>
          <w:color w:val="auto"/>
          <w:szCs w:val="24"/>
          <w:highlight w:val="none"/>
        </w:rPr>
      </w:pPr>
    </w:p>
    <w:p>
      <w:pPr>
        <w:shd w:val="clear"/>
        <w:spacing w:line="360" w:lineRule="auto"/>
        <w:rPr>
          <w:rFonts w:cs="仿宋" w:asciiTheme="minorEastAsia" w:hAnsiTheme="minorEastAsia" w:eastAsiaTheme="minorEastAsia"/>
          <w:color w:val="auto"/>
          <w:sz w:val="24"/>
          <w:highlight w:val="none"/>
        </w:rPr>
      </w:pPr>
    </w:p>
    <w:p>
      <w:pPr>
        <w:shd w:val="clear"/>
        <w:spacing w:before="120" w:line="480" w:lineRule="auto"/>
        <w:ind w:left="960" w:firstLine="720" w:firstLineChars="3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甲方：</w:t>
      </w:r>
      <w:r>
        <w:rPr>
          <w:rFonts w:hint="eastAsia" w:cs="仿宋" w:asciiTheme="minorEastAsia" w:hAnsiTheme="minorEastAsia" w:eastAsiaTheme="minorEastAsia"/>
          <w:color w:val="auto"/>
          <w:sz w:val="24"/>
          <w:highlight w:val="none"/>
          <w:u w:val="single"/>
        </w:rPr>
        <w:t xml:space="preserve">                                       </w:t>
      </w:r>
    </w:p>
    <w:p>
      <w:pPr>
        <w:shd w:val="clear"/>
        <w:spacing w:before="120" w:line="480" w:lineRule="auto"/>
        <w:ind w:left="960" w:firstLine="720" w:firstLineChars="3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乙方：</w:t>
      </w:r>
      <w:r>
        <w:rPr>
          <w:rFonts w:hint="eastAsia" w:cs="仿宋" w:asciiTheme="minorEastAsia" w:hAnsiTheme="minorEastAsia" w:eastAsiaTheme="minorEastAsia"/>
          <w:color w:val="auto"/>
          <w:sz w:val="24"/>
          <w:highlight w:val="none"/>
          <w:u w:val="single"/>
        </w:rPr>
        <w:t xml:space="preserve">                                       </w:t>
      </w:r>
    </w:p>
    <w:p>
      <w:pPr>
        <w:shd w:val="clear"/>
        <w:spacing w:before="120" w:line="480" w:lineRule="auto"/>
        <w:ind w:firstLine="1680" w:firstLineChars="7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签订地：</w:t>
      </w:r>
      <w:r>
        <w:rPr>
          <w:rFonts w:hint="eastAsia" w:cs="仿宋" w:asciiTheme="minorEastAsia" w:hAnsiTheme="minorEastAsia" w:eastAsiaTheme="minorEastAsia"/>
          <w:color w:val="auto"/>
          <w:sz w:val="24"/>
          <w:highlight w:val="none"/>
          <w:u w:val="single"/>
        </w:rPr>
        <w:t xml:space="preserve">                                     </w:t>
      </w:r>
    </w:p>
    <w:p>
      <w:pPr>
        <w:shd w:val="clear"/>
        <w:spacing w:before="120" w:line="480" w:lineRule="auto"/>
        <w:ind w:firstLine="1680" w:firstLineChars="7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签订日期：</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年</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月</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日</w:t>
      </w:r>
    </w:p>
    <w:p>
      <w:pPr>
        <w:shd w:val="clear"/>
        <w:spacing w:line="360" w:lineRule="auto"/>
        <w:ind w:firstLine="480" w:firstLineChars="200"/>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u w:val="single"/>
          <w:lang w:val="zh-CN"/>
        </w:rPr>
        <w:br w:type="page"/>
      </w:r>
      <w:r>
        <w:rPr>
          <w:rFonts w:hint="eastAsia" w:cs="仿宋" w:asciiTheme="minorEastAsia" w:hAnsiTheme="minorEastAsia" w:eastAsiaTheme="minorEastAsia"/>
          <w:color w:val="auto"/>
          <w:sz w:val="24"/>
          <w:highlight w:val="none"/>
          <w:u w:val="single"/>
          <w:lang w:val="zh-CN"/>
        </w:rPr>
        <w:t xml:space="preserve">        </w:t>
      </w:r>
      <w:r>
        <w:rPr>
          <w:rFonts w:hint="eastAsia" w:cs="仿宋" w:asciiTheme="minorEastAsia" w:hAnsiTheme="minorEastAsia" w:eastAsiaTheme="minorEastAsia"/>
          <w:color w:val="auto"/>
          <w:sz w:val="24"/>
          <w:highlight w:val="none"/>
          <w:lang w:val="zh-CN"/>
        </w:rPr>
        <w:t>年</w:t>
      </w:r>
      <w:r>
        <w:rPr>
          <w:rFonts w:hint="eastAsia" w:cs="仿宋" w:asciiTheme="minorEastAsia" w:hAnsiTheme="minorEastAsia" w:eastAsiaTheme="minorEastAsia"/>
          <w:color w:val="auto"/>
          <w:sz w:val="24"/>
          <w:highlight w:val="none"/>
          <w:u w:val="single"/>
          <w:lang w:val="zh-CN"/>
        </w:rPr>
        <w:t xml:space="preserve">     </w:t>
      </w:r>
      <w:r>
        <w:rPr>
          <w:rFonts w:hint="eastAsia" w:cs="仿宋" w:asciiTheme="minorEastAsia" w:hAnsiTheme="minorEastAsia" w:eastAsiaTheme="minorEastAsia"/>
          <w:color w:val="auto"/>
          <w:sz w:val="24"/>
          <w:highlight w:val="none"/>
          <w:lang w:val="zh-CN"/>
        </w:rPr>
        <w:t>月</w:t>
      </w:r>
      <w:r>
        <w:rPr>
          <w:rFonts w:hint="eastAsia" w:cs="仿宋" w:asciiTheme="minorEastAsia" w:hAnsiTheme="minorEastAsia" w:eastAsiaTheme="minorEastAsia"/>
          <w:color w:val="auto"/>
          <w:sz w:val="24"/>
          <w:highlight w:val="none"/>
          <w:u w:val="single"/>
          <w:lang w:val="zh-CN"/>
        </w:rPr>
        <w:t xml:space="preserve">     </w:t>
      </w:r>
      <w:r>
        <w:rPr>
          <w:rFonts w:hint="eastAsia" w:cs="仿宋" w:asciiTheme="minorEastAsia" w:hAnsiTheme="minorEastAsia" w:eastAsiaTheme="minorEastAsia"/>
          <w:color w:val="auto"/>
          <w:sz w:val="24"/>
          <w:highlight w:val="none"/>
          <w:lang w:val="zh-CN"/>
        </w:rPr>
        <w:t>日，</w:t>
      </w:r>
      <w:r>
        <w:rPr>
          <w:rFonts w:hint="eastAsia" w:cs="仿宋" w:asciiTheme="minorEastAsia" w:hAnsiTheme="minorEastAsia" w:eastAsiaTheme="minorEastAsia"/>
          <w:color w:val="auto"/>
          <w:sz w:val="24"/>
          <w:highlight w:val="none"/>
          <w:u w:val="single"/>
          <w:lang w:val="zh-CN"/>
        </w:rPr>
        <w:t xml:space="preserve">   （采购人）   </w:t>
      </w:r>
      <w:r>
        <w:rPr>
          <w:rFonts w:hint="eastAsia" w:cs="仿宋" w:asciiTheme="minorEastAsia" w:hAnsiTheme="minorEastAsia" w:eastAsiaTheme="minorEastAsia"/>
          <w:color w:val="auto"/>
          <w:sz w:val="24"/>
          <w:highlight w:val="none"/>
          <w:lang w:val="zh-CN"/>
        </w:rPr>
        <w:t>以</w:t>
      </w:r>
      <w:r>
        <w:rPr>
          <w:rFonts w:hint="eastAsia" w:cs="仿宋" w:asciiTheme="minorEastAsia" w:hAnsiTheme="minorEastAsia" w:eastAsiaTheme="minorEastAsia"/>
          <w:color w:val="auto"/>
          <w:sz w:val="24"/>
          <w:highlight w:val="none"/>
          <w:u w:val="single"/>
          <w:lang w:val="zh-CN"/>
        </w:rPr>
        <w:t xml:space="preserve">   （政府采购方式）  </w:t>
      </w:r>
      <w:r>
        <w:rPr>
          <w:rFonts w:hint="eastAsia" w:cs="仿宋" w:asciiTheme="minorEastAsia" w:hAnsiTheme="minorEastAsia" w:eastAsiaTheme="minorEastAsia"/>
          <w:color w:val="auto"/>
          <w:sz w:val="24"/>
          <w:highlight w:val="none"/>
          <w:lang w:val="zh-CN"/>
        </w:rPr>
        <w:t>对</w:t>
      </w:r>
      <w:r>
        <w:rPr>
          <w:rFonts w:hint="eastAsia" w:cs="仿宋" w:asciiTheme="minorEastAsia" w:hAnsiTheme="minorEastAsia" w:eastAsiaTheme="minorEastAsia"/>
          <w:color w:val="auto"/>
          <w:sz w:val="24"/>
          <w:highlight w:val="none"/>
          <w:u w:val="single"/>
          <w:lang w:val="zh-CN"/>
        </w:rPr>
        <w:t xml:space="preserve">   （同前页项目名称）   </w:t>
      </w:r>
      <w:r>
        <w:rPr>
          <w:rFonts w:hint="eastAsia" w:cs="仿宋" w:asciiTheme="minorEastAsia" w:hAnsiTheme="minorEastAsia" w:eastAsiaTheme="minorEastAsia"/>
          <w:color w:val="auto"/>
          <w:sz w:val="24"/>
          <w:highlight w:val="none"/>
          <w:lang w:val="zh-CN"/>
        </w:rPr>
        <w:t>项目进行了采购。经</w:t>
      </w:r>
      <w:r>
        <w:rPr>
          <w:rFonts w:hint="eastAsia" w:cs="仿宋" w:asciiTheme="minorEastAsia" w:hAnsiTheme="minorEastAsia" w:eastAsiaTheme="minorEastAsia"/>
          <w:color w:val="auto"/>
          <w:sz w:val="24"/>
          <w:highlight w:val="none"/>
          <w:u w:val="single"/>
          <w:lang w:val="zh-CN"/>
        </w:rPr>
        <w:t xml:space="preserve">   （相关评定主体名称）   </w:t>
      </w:r>
      <w:r>
        <w:rPr>
          <w:rFonts w:hint="eastAsia" w:cs="仿宋" w:asciiTheme="minorEastAsia" w:hAnsiTheme="minorEastAsia" w:eastAsiaTheme="minorEastAsia"/>
          <w:color w:val="auto"/>
          <w:sz w:val="24"/>
          <w:highlight w:val="none"/>
          <w:lang w:val="zh-CN"/>
        </w:rPr>
        <w:t>评定，</w:t>
      </w:r>
      <w:r>
        <w:rPr>
          <w:rFonts w:hint="eastAsia" w:cs="仿宋" w:asciiTheme="minorEastAsia" w:hAnsiTheme="minorEastAsia" w:eastAsiaTheme="minorEastAsia"/>
          <w:color w:val="auto"/>
          <w:sz w:val="24"/>
          <w:highlight w:val="none"/>
          <w:u w:val="single"/>
          <w:lang w:val="zh-CN"/>
        </w:rPr>
        <w:t xml:space="preserve">   （中标供应商名称）</w:t>
      </w:r>
      <w:r>
        <w:rPr>
          <w:rFonts w:hint="eastAsia" w:cs="仿宋" w:asciiTheme="minorEastAsia" w:hAnsiTheme="minorEastAsia" w:eastAsiaTheme="minorEastAsia"/>
          <w:color w:val="auto"/>
          <w:sz w:val="24"/>
          <w:highlight w:val="none"/>
          <w:lang w:val="zh-CN"/>
        </w:rPr>
        <w:t>为该项目中标供应商。现于中标通知书发出之日起三十日内，按照采购文件确定的事项签订本合同。</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zh-CN"/>
        </w:rPr>
        <w:t>根据《中华人民共和国民法典》、《中华人民共和国政府采购法》等相关法律法规之规定，按照平等、自愿、公平、诚实信用和绿色的原则，经</w:t>
      </w:r>
      <w:r>
        <w:rPr>
          <w:rFonts w:hint="eastAsia" w:cs="仿宋" w:asciiTheme="minorEastAsia" w:hAnsiTheme="minorEastAsia" w:eastAsiaTheme="minorEastAsia"/>
          <w:color w:val="auto"/>
          <w:sz w:val="24"/>
          <w:highlight w:val="none"/>
          <w:u w:val="single"/>
        </w:rPr>
        <w:t xml:space="preserve">   （采购人）   </w:t>
      </w:r>
      <w:r>
        <w:rPr>
          <w:rFonts w:hint="eastAsia" w:cs="仿宋" w:asciiTheme="minorEastAsia" w:hAnsiTheme="minorEastAsia" w:eastAsiaTheme="minorEastAsia"/>
          <w:color w:val="auto"/>
          <w:sz w:val="24"/>
          <w:highlight w:val="none"/>
          <w:lang w:val="zh-CN"/>
        </w:rPr>
        <w:t>(以下简称：甲方)和</w:t>
      </w:r>
      <w:r>
        <w:rPr>
          <w:rFonts w:hint="eastAsia" w:cs="仿宋" w:asciiTheme="minorEastAsia" w:hAnsiTheme="minorEastAsia" w:eastAsiaTheme="minorEastAsia"/>
          <w:color w:val="auto"/>
          <w:sz w:val="24"/>
          <w:highlight w:val="none"/>
          <w:u w:val="single"/>
        </w:rPr>
        <w:t xml:space="preserve">   （中标供应商名称）   </w:t>
      </w:r>
      <w:r>
        <w:rPr>
          <w:rFonts w:hint="eastAsia" w:cs="仿宋" w:asciiTheme="minorEastAsia" w:hAnsiTheme="minorEastAsia" w:eastAsiaTheme="minorEastAsia"/>
          <w:color w:val="auto"/>
          <w:sz w:val="24"/>
          <w:highlight w:val="none"/>
          <w:lang w:val="zh-CN"/>
        </w:rPr>
        <w:t>(以下简称：乙方)协商一致，约定以下合同</w:t>
      </w:r>
      <w:r>
        <w:rPr>
          <w:rFonts w:hint="eastAsia" w:cs="仿宋" w:asciiTheme="minorEastAsia" w:hAnsiTheme="minorEastAsia" w:eastAsiaTheme="minorEastAsia"/>
          <w:color w:val="auto"/>
          <w:sz w:val="24"/>
          <w:highlight w:val="none"/>
        </w:rPr>
        <w:t>条款，以兹共同遵守、全面履行。</w:t>
      </w:r>
    </w:p>
    <w:p>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bookmarkStart w:id="402" w:name="_Toc24059"/>
      <w:bookmarkStart w:id="403" w:name="_Toc2232"/>
      <w:bookmarkStart w:id="404" w:name="_Toc3029"/>
      <w:r>
        <w:rPr>
          <w:rFonts w:hint="eastAsia" w:cs="仿宋" w:asciiTheme="minorEastAsia" w:hAnsiTheme="minorEastAsia" w:eastAsiaTheme="minorEastAsia"/>
          <w:b/>
          <w:color w:val="auto"/>
          <w:sz w:val="24"/>
          <w:highlight w:val="none"/>
        </w:rPr>
        <w:t>1 定义</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本合同中的下列词语应按以下内容进行解释：</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 “合同”系指采购人和中标供应商签订的载明双方当事人所达成的协议，并包括所有的附件、附录和构成合同的其他文件。</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1.2 “合同价”系指根据合同约定，中标供应商在完全履行合同义务后，采购人应支付给中标供应商的价格。</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1.3 “货物”系指中标供应商根据合同约定应向采购人交付的一切各种形态和种类的物品，包括原材料、燃料、设备、机械、仪表、备件、计算机软件、产品等，并包括工具、手册等其他相关资料。</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1.4 “甲方”系指与中标供应商签署合同的采购人；采购人委托采购代理机构代表其与乙方签订合同的，采购人的授权委托书作为合同附件。</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hd w:val="clear"/>
        <w:spacing w:line="360" w:lineRule="auto"/>
        <w:ind w:firstLine="480"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color w:val="auto"/>
          <w:sz w:val="24"/>
          <w:highlight w:val="none"/>
        </w:rPr>
        <w:t>1.6 “现场”系指合同约定货物将要运至或者安装的地点。</w:t>
      </w:r>
    </w:p>
    <w:p>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 合同组成部分</w:t>
      </w:r>
      <w:bookmarkEnd w:id="402"/>
      <w:bookmarkEnd w:id="403"/>
      <w:bookmarkEnd w:id="404"/>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2.1 本合同及其补充合同、变更协议；</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 中标通知书；</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2.3 投标文件（含澄清或者说明文件）；</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2.4 招标文件（含澄清或者修改文件）；</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2.5 其他相关采购文件。</w:t>
      </w:r>
    </w:p>
    <w:p>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bookmarkStart w:id="405" w:name="_Toc21295"/>
      <w:bookmarkStart w:id="406" w:name="_Toc27126"/>
      <w:bookmarkStart w:id="407" w:name="_Toc24300"/>
      <w:r>
        <w:rPr>
          <w:rFonts w:hint="eastAsia" w:cs="仿宋" w:asciiTheme="minorEastAsia" w:hAnsiTheme="minorEastAsia" w:eastAsiaTheme="minorEastAsia"/>
          <w:b/>
          <w:color w:val="auto"/>
          <w:sz w:val="24"/>
          <w:highlight w:val="none"/>
        </w:rPr>
        <w:t>3 货物</w:t>
      </w:r>
      <w:bookmarkEnd w:id="405"/>
      <w:bookmarkEnd w:id="406"/>
      <w:bookmarkEnd w:id="407"/>
    </w:p>
    <w:tbl>
      <w:tblPr>
        <w:tblStyle w:val="24"/>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货物名称</w:t>
            </w:r>
          </w:p>
        </w:tc>
        <w:tc>
          <w:tcPr>
            <w:tcW w:w="925"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品牌名称</w:t>
            </w:r>
          </w:p>
        </w:tc>
        <w:tc>
          <w:tcPr>
            <w:tcW w:w="3461"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规格型号/技术要求/质量要求</w:t>
            </w:r>
          </w:p>
        </w:tc>
        <w:tc>
          <w:tcPr>
            <w:tcW w:w="1186"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r>
    </w:tbl>
    <w:p>
      <w:pPr>
        <w:pStyle w:val="2"/>
        <w:shd w:val="clear"/>
        <w:ind w:firstLine="560"/>
        <w:rPr>
          <w:rFonts w:asciiTheme="minorEastAsia" w:hAnsiTheme="minorEastAsia" w:eastAsiaTheme="minorEastAsia"/>
          <w:color w:val="auto"/>
          <w:highlight w:val="none"/>
        </w:rPr>
      </w:pPr>
    </w:p>
    <w:p>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bookmarkStart w:id="408" w:name="_Toc21631"/>
      <w:bookmarkStart w:id="409" w:name="_Toc21551"/>
      <w:bookmarkStart w:id="410" w:name="_Toc23292"/>
      <w:r>
        <w:rPr>
          <w:rFonts w:hint="eastAsia" w:cs="仿宋" w:asciiTheme="minorEastAsia" w:hAnsiTheme="minorEastAsia" w:eastAsiaTheme="minorEastAsia"/>
          <w:b/>
          <w:color w:val="auto"/>
          <w:sz w:val="24"/>
          <w:highlight w:val="none"/>
        </w:rPr>
        <w:t>4 价款</w:t>
      </w:r>
      <w:bookmarkEnd w:id="408"/>
      <w:bookmarkEnd w:id="409"/>
      <w:bookmarkEnd w:id="410"/>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本合同总价为：￥</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元（大写：</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元人民币）。</w:t>
      </w:r>
    </w:p>
    <w:p>
      <w:pPr>
        <w:shd w:val="clear"/>
        <w:spacing w:line="360" w:lineRule="auto"/>
        <w:ind w:firstLine="480" w:firstLineChars="200"/>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42"/>
              <w:shd w:val="clear"/>
              <w:spacing w:line="360" w:lineRule="auto"/>
              <w:ind w:firstLine="200"/>
              <w:jc w:val="center"/>
              <w:rPr>
                <w:rFonts w:cs="仿宋" w:asciiTheme="minorEastAsia" w:hAnsiTheme="minorEastAsia" w:eastAsiaTheme="minorEastAsia"/>
                <w:color w:val="auto"/>
                <w:sz w:val="24"/>
                <w:szCs w:val="24"/>
                <w:highlight w:val="none"/>
              </w:rPr>
            </w:pPr>
          </w:p>
        </w:tc>
      </w:tr>
    </w:tbl>
    <w:p>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bookmarkStart w:id="411" w:name="_Toc22618"/>
      <w:bookmarkStart w:id="412" w:name="_Toc10340"/>
      <w:bookmarkStart w:id="413" w:name="_Toc1814"/>
      <w:r>
        <w:rPr>
          <w:rFonts w:hint="eastAsia" w:cs="仿宋" w:asciiTheme="minorEastAsia" w:hAnsiTheme="minorEastAsia" w:eastAsiaTheme="minorEastAsia"/>
          <w:b/>
          <w:color w:val="auto"/>
          <w:sz w:val="24"/>
          <w:highlight w:val="none"/>
        </w:rPr>
        <w:t>5 付款</w:t>
      </w:r>
      <w:bookmarkEnd w:id="411"/>
      <w:bookmarkEnd w:id="412"/>
      <w:bookmarkEnd w:id="413"/>
      <w:r>
        <w:rPr>
          <w:rFonts w:hint="eastAsia" w:cs="仿宋" w:asciiTheme="minorEastAsia" w:hAnsiTheme="minorEastAsia" w:eastAsiaTheme="minorEastAsia"/>
          <w:b/>
          <w:color w:val="auto"/>
          <w:sz w:val="24"/>
          <w:highlight w:val="none"/>
        </w:rPr>
        <w:t>方式、时间和条件</w:t>
      </w:r>
    </w:p>
    <w:p>
      <w:pPr>
        <w:pStyle w:val="41"/>
        <w:shd w:val="clear"/>
        <w:spacing w:before="0" w:beforeAutospacing="0" w:after="0" w:afterAutospacing="0" w:line="360" w:lineRule="auto"/>
        <w:ind w:firstLine="480"/>
        <w:rPr>
          <w:rFonts w:cs="仿宋" w:asciiTheme="minorEastAsia" w:hAnsiTheme="minorEastAsia" w:eastAsiaTheme="minorEastAsia"/>
          <w:b/>
          <w:bCs/>
          <w:i/>
          <w:iCs/>
          <w:color w:val="auto"/>
          <w:kern w:val="2"/>
          <w:highlight w:val="none"/>
          <w:u w:val="single"/>
        </w:rPr>
      </w:pPr>
      <w:bookmarkStart w:id="414" w:name="_Toc2846"/>
      <w:bookmarkStart w:id="415" w:name="_Toc32071"/>
      <w:bookmarkStart w:id="416" w:name="_Toc19304"/>
      <w:r>
        <w:rPr>
          <w:rFonts w:hint="eastAsia" w:cs="仿宋" w:asciiTheme="minorEastAsia" w:hAnsiTheme="minorEastAsia" w:eastAsiaTheme="minorEastAsia"/>
          <w:color w:val="auto"/>
          <w:kern w:val="2"/>
          <w:highlight w:val="none"/>
        </w:rPr>
        <w:t>5.1 资金支付的方式、时间和条件：</w:t>
      </w:r>
      <w:r>
        <w:rPr>
          <w:rFonts w:hint="eastAsia" w:cs="仿宋" w:asciiTheme="minorEastAsia" w:hAnsiTheme="minorEastAsia" w:eastAsiaTheme="minorEastAsia"/>
          <w:b/>
          <w:bCs/>
          <w:iCs/>
          <w:color w:val="auto"/>
          <w:kern w:val="2"/>
          <w:highlight w:val="none"/>
          <w:u w:val="single"/>
        </w:rPr>
        <w:t xml:space="preserve">合同签订后15天内支付合同金额的10%的预付款，安装完毕验收合格后15天内支付至合同金额的80%，审计完成后15天内支付至审定价的95%（中标人须提供该项目一般纳税人全额增值税普通发票），余款在质保期满后付清。 </w:t>
      </w:r>
    </w:p>
    <w:p>
      <w:pPr>
        <w:pStyle w:val="41"/>
        <w:shd w:val="clear"/>
        <w:spacing w:before="0" w:beforeAutospacing="0" w:after="0" w:afterAutospacing="0" w:line="360" w:lineRule="auto"/>
        <w:ind w:firstLine="480"/>
        <w:rPr>
          <w:rFonts w:cs="仿宋" w:asciiTheme="minorEastAsia" w:hAnsiTheme="minorEastAsia" w:eastAsiaTheme="minorEastAsia"/>
          <w:color w:val="auto"/>
          <w:kern w:val="2"/>
          <w:highlight w:val="none"/>
        </w:rPr>
      </w:pPr>
      <w:r>
        <w:rPr>
          <w:rFonts w:hint="eastAsia" w:cs="仿宋" w:asciiTheme="minorEastAsia" w:hAnsiTheme="minorEastAsia" w:eastAsiaTheme="minorEastAsia"/>
          <w:color w:val="auto"/>
          <w:kern w:val="2"/>
          <w:highlight w:val="none"/>
        </w:rPr>
        <w:t>5.2 乙方收款账户：</w:t>
      </w:r>
    </w:p>
    <w:p>
      <w:pPr>
        <w:shd w:val="clear"/>
        <w:autoSpaceDE w:val="0"/>
        <w:autoSpaceDN w:val="0"/>
        <w:spacing w:line="360" w:lineRule="auto"/>
        <w:ind w:left="1470" w:leftChars="7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开户银行：</w:t>
      </w:r>
      <w:r>
        <w:rPr>
          <w:rFonts w:hint="eastAsia" w:cs="仿宋" w:asciiTheme="minorEastAsia" w:hAnsiTheme="minorEastAsia" w:eastAsiaTheme="minorEastAsia"/>
          <w:b/>
          <w:bCs/>
          <w:i/>
          <w:iCs/>
          <w:color w:val="auto"/>
          <w:sz w:val="24"/>
          <w:highlight w:val="none"/>
          <w:u w:val="single"/>
        </w:rPr>
        <w:t xml:space="preserve">                          </w:t>
      </w:r>
      <w:r>
        <w:rPr>
          <w:rFonts w:hint="eastAsia" w:cs="仿宋" w:asciiTheme="minorEastAsia" w:hAnsiTheme="minorEastAsia" w:eastAsiaTheme="minorEastAsia"/>
          <w:color w:val="auto"/>
          <w:sz w:val="24"/>
          <w:highlight w:val="none"/>
        </w:rPr>
        <w:t xml:space="preserve">                          </w:t>
      </w:r>
    </w:p>
    <w:p>
      <w:pPr>
        <w:shd w:val="clear"/>
        <w:autoSpaceDE w:val="0"/>
        <w:autoSpaceDN w:val="0"/>
        <w:spacing w:line="360" w:lineRule="auto"/>
        <w:ind w:left="1470" w:leftChars="7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开户名称：</w:t>
      </w:r>
      <w:r>
        <w:rPr>
          <w:rFonts w:hint="eastAsia" w:cs="仿宋" w:asciiTheme="minorEastAsia" w:hAnsiTheme="minorEastAsia" w:eastAsiaTheme="minorEastAsia"/>
          <w:b/>
          <w:bCs/>
          <w:i/>
          <w:iCs/>
          <w:color w:val="auto"/>
          <w:sz w:val="24"/>
          <w:highlight w:val="none"/>
          <w:u w:val="single"/>
        </w:rPr>
        <w:t xml:space="preserve">                          </w:t>
      </w:r>
      <w:r>
        <w:rPr>
          <w:rFonts w:hint="eastAsia" w:cs="仿宋" w:asciiTheme="minorEastAsia" w:hAnsiTheme="minorEastAsia" w:eastAsiaTheme="minorEastAsia"/>
          <w:color w:val="auto"/>
          <w:sz w:val="24"/>
          <w:highlight w:val="none"/>
        </w:rPr>
        <w:t xml:space="preserve">                             </w:t>
      </w:r>
    </w:p>
    <w:p>
      <w:pPr>
        <w:shd w:val="clear"/>
        <w:autoSpaceDE w:val="0"/>
        <w:autoSpaceDN w:val="0"/>
        <w:spacing w:line="360" w:lineRule="auto"/>
        <w:ind w:left="1470" w:leftChars="700"/>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rPr>
        <w:t>开户账号：</w:t>
      </w:r>
      <w:r>
        <w:rPr>
          <w:rFonts w:hint="eastAsia" w:cs="仿宋" w:asciiTheme="minorEastAsia" w:hAnsiTheme="minorEastAsia" w:eastAsiaTheme="minorEastAsia"/>
          <w:b/>
          <w:bCs/>
          <w:i/>
          <w:iCs/>
          <w:color w:val="auto"/>
          <w:sz w:val="24"/>
          <w:highlight w:val="none"/>
          <w:u w:val="single"/>
        </w:rPr>
        <w:t xml:space="preserve">                          </w:t>
      </w:r>
      <w:r>
        <w:rPr>
          <w:rFonts w:hint="eastAsia" w:cs="仿宋" w:asciiTheme="minorEastAsia" w:hAnsiTheme="minorEastAsia" w:eastAsiaTheme="minorEastAsia"/>
          <w:color w:val="auto"/>
          <w:sz w:val="24"/>
          <w:highlight w:val="none"/>
          <w:lang w:val="zh-CN"/>
        </w:rPr>
        <w:t xml:space="preserve">      </w:t>
      </w:r>
    </w:p>
    <w:p>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6 货物交付期限、地点和方式</w:t>
      </w:r>
      <w:bookmarkEnd w:id="414"/>
      <w:bookmarkEnd w:id="415"/>
      <w:bookmarkEnd w:id="416"/>
    </w:p>
    <w:p>
      <w:pPr>
        <w:shd w:val="clear"/>
        <w:adjustRightInd w:val="0"/>
        <w:spacing w:line="360" w:lineRule="auto"/>
        <w:ind w:firstLine="480" w:firstLineChars="200"/>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6.1 交付期限：</w:t>
      </w:r>
      <w:r>
        <w:rPr>
          <w:rFonts w:hint="eastAsia" w:cs="仿宋" w:asciiTheme="minorEastAsia" w:hAnsiTheme="minorEastAsia" w:eastAsiaTheme="minorEastAsia"/>
          <w:b/>
          <w:i/>
          <w:color w:val="auto"/>
          <w:highlight w:val="none"/>
          <w:u w:val="single"/>
        </w:rPr>
        <w:t xml:space="preserve">                   </w:t>
      </w:r>
    </w:p>
    <w:p>
      <w:pPr>
        <w:shd w:val="clear"/>
        <w:adjustRightIn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6.2 交付地点：</w:t>
      </w:r>
      <w:r>
        <w:rPr>
          <w:rFonts w:hint="eastAsia" w:cs="仿宋" w:asciiTheme="minorEastAsia" w:hAnsiTheme="minorEastAsia" w:eastAsiaTheme="minorEastAsia"/>
          <w:b/>
          <w:i/>
          <w:color w:val="auto"/>
          <w:highlight w:val="none"/>
          <w:u w:val="single"/>
        </w:rPr>
        <w:t xml:space="preserve">                   </w:t>
      </w:r>
    </w:p>
    <w:p>
      <w:pPr>
        <w:shd w:val="clear"/>
        <w:adjustRightInd w:val="0"/>
        <w:spacing w:line="360" w:lineRule="auto"/>
        <w:ind w:firstLine="48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sz w:val="24"/>
          <w:highlight w:val="none"/>
        </w:rPr>
        <w:t>6.3 交付方式：</w:t>
      </w:r>
      <w:r>
        <w:rPr>
          <w:rFonts w:hint="eastAsia" w:cs="仿宋" w:asciiTheme="minorEastAsia" w:hAnsiTheme="minorEastAsia" w:eastAsiaTheme="minorEastAsia"/>
          <w:b/>
          <w:i/>
          <w:color w:val="auto"/>
          <w:highlight w:val="none"/>
          <w:u w:val="single"/>
        </w:rPr>
        <w:t xml:space="preserve">                   </w:t>
      </w:r>
    </w:p>
    <w:p>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7 技术规范</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8 知识产权</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8.2具有知识产权的计算机软件等货物的知识产权归属，除合同另有规定外，归甲方所有。</w:t>
      </w:r>
    </w:p>
    <w:p>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9 包装和装运</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hd w:val="clear"/>
        <w:spacing w:line="360" w:lineRule="auto"/>
        <w:ind w:firstLine="48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10 履约保证金</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10.1 招标文件要求乙方提交履约保证金的，乙方应按</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方式（可以支票、汇票、本票或者银行保函等非现金形式），在合同签订并生效后</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日内提交不超过合同金额2.5%的履约保证金。</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10.2  履约保证金在</w:t>
      </w:r>
      <w:r>
        <w:rPr>
          <w:rFonts w:hint="eastAsia" w:cs="仿宋" w:asciiTheme="minorEastAsia" w:hAnsiTheme="minorEastAsia" w:eastAsiaTheme="minorEastAsia"/>
          <w:b/>
          <w:i/>
          <w:color w:val="auto"/>
          <w:highlight w:val="none"/>
          <w:u w:val="single"/>
        </w:rPr>
        <w:t xml:space="preserve">              </w:t>
      </w:r>
      <w:r>
        <w:rPr>
          <w:rFonts w:hint="eastAsia" w:cs="仿宋" w:asciiTheme="minorEastAsia" w:hAnsiTheme="minorEastAsia" w:eastAsiaTheme="minorEastAsia"/>
          <w:color w:val="auto"/>
          <w:sz w:val="24"/>
          <w:highlight w:val="none"/>
        </w:rPr>
        <w:t>（合同规定的履约时间）内不予退还。乙方在前述约定期间届满前能履行完合同约定义务事项的，甲方在前述约定期间届满之日起</w:t>
      </w:r>
      <w:r>
        <w:rPr>
          <w:rFonts w:hint="eastAsia" w:cs="仿宋" w:asciiTheme="minorEastAsia" w:hAnsiTheme="minorEastAsia" w:eastAsiaTheme="minorEastAsia"/>
          <w:color w:val="auto"/>
          <w:sz w:val="24"/>
          <w:highlight w:val="none"/>
          <w:u w:val="single"/>
        </w:rPr>
        <w:t xml:space="preserve"> 5 </w:t>
      </w:r>
      <w:r>
        <w:rPr>
          <w:rFonts w:hint="eastAsia" w:cs="仿宋" w:asciiTheme="minorEastAsia" w:hAnsiTheme="minorEastAsia" w:eastAsiaTheme="minorEastAsia"/>
          <w:color w:val="auto"/>
          <w:sz w:val="24"/>
          <w:highlight w:val="none"/>
        </w:rPr>
        <w:t>个工作日内，将履约保证金无息退还乙方。</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11 履约检查和问题反馈</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11.1甲方有权在其认为必要时，对乙方是否能够按照合同约定交付货物进行履约检查，以确保乙方所交付的货物能够依约满足甲方之项目需求，但不得因履约检查妨碍乙方的正常工作，乙方应予积极配合；</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11.2 合同履行期间，甲方有权将履行过程中出现的问题反馈给乙方，双方当事人应以书面形式约定需要完善和改进的内容。</w:t>
      </w:r>
    </w:p>
    <w:p>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12 检验和验收</w:t>
      </w:r>
    </w:p>
    <w:p>
      <w:pPr>
        <w:shd w:val="clear"/>
        <w:tabs>
          <w:tab w:val="left" w:pos="360"/>
          <w:tab w:val="left" w:pos="540"/>
          <w:tab w:val="left" w:pos="1080"/>
        </w:tabs>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12.1货物交付前，乙方应对货物的质量、数量等方面进行详细、全面的检验，并向甲方出具证明货物符合合同约定的文件；货物交付时，乙方在交付后</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个工作日内组织验收，并可依法邀请相关方参加，验收应出具验收书。</w:t>
      </w:r>
    </w:p>
    <w:p>
      <w:pPr>
        <w:shd w:val="clear"/>
        <w:tabs>
          <w:tab w:val="left" w:pos="360"/>
          <w:tab w:val="left" w:pos="540"/>
          <w:tab w:val="left" w:pos="1080"/>
        </w:tabs>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13 技术资料和保密义务</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13.1 乙方有权依据合同约定和项目需要，向甲方了解有关情况，调阅有关资料等，甲方应予积极配合；</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13.2 乙方有义务妥善保管和保护由甲方提供的前款信息和资料等；</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14 质量保证</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14.1 乙方应建立和完善履行合同的内部质量保证体系，并提供相关内部规章制度给甲方，以便甲方进行监督检查；</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14.2 乙方应保证履行合同的人员数量和素质、软件和硬件设备的配置、场地、环境和设施等满足全面履行合同的要求，并应接受甲方的监督检查。</w:t>
      </w:r>
    </w:p>
    <w:p>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15 货物的风险负担</w:t>
      </w:r>
    </w:p>
    <w:p>
      <w:pPr>
        <w:shd w:val="clear"/>
        <w:spacing w:line="360" w:lineRule="auto"/>
        <w:ind w:firstLine="480"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color w:val="auto"/>
          <w:sz w:val="24"/>
          <w:highlight w:val="none"/>
        </w:rPr>
        <w:t>货物在甲方未收货前出现的货物毁损、灭失的风险均由乙方承担。</w:t>
      </w:r>
    </w:p>
    <w:p>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16 延迟交货</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17 合同变更</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18 合同转让和分包</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18.2乙方采取分包方式履行合同的，甲方可直接向分包供应商支付款项。</w:t>
      </w:r>
    </w:p>
    <w:p>
      <w:pPr>
        <w:shd w:val="clear"/>
        <w:spacing w:line="360" w:lineRule="auto"/>
        <w:ind w:firstLine="482" w:firstLineChars="200"/>
        <w:outlineLvl w:val="0"/>
        <w:rPr>
          <w:rFonts w:cs="仿宋" w:asciiTheme="minorEastAsia" w:hAnsiTheme="minorEastAsia" w:eastAsiaTheme="minorEastAsia"/>
          <w:b/>
          <w:color w:val="auto"/>
          <w:sz w:val="24"/>
          <w:highlight w:val="none"/>
        </w:rPr>
      </w:pPr>
      <w:bookmarkStart w:id="417" w:name="_Toc21423"/>
      <w:bookmarkStart w:id="418" w:name="_Toc19554"/>
      <w:bookmarkStart w:id="419" w:name="_Toc27250"/>
      <w:r>
        <w:rPr>
          <w:rFonts w:hint="eastAsia" w:cs="仿宋" w:asciiTheme="minorEastAsia" w:hAnsiTheme="minorEastAsia" w:eastAsiaTheme="minorEastAsia"/>
          <w:b/>
          <w:color w:val="auto"/>
          <w:sz w:val="24"/>
          <w:highlight w:val="none"/>
        </w:rPr>
        <w:t>19 违约责任</w:t>
      </w:r>
      <w:bookmarkEnd w:id="417"/>
      <w:bookmarkEnd w:id="418"/>
      <w:bookmarkEnd w:id="419"/>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19.1 除不可抗力外，如果乙方拒绝履行合同，或没有按照本合同约定的期限、地点和方式交付货物，那么甲方可要求乙方支付违约金，违约金按每日计合同总价的</w:t>
      </w:r>
      <w:r>
        <w:rPr>
          <w:rFonts w:hint="eastAsia" w:cs="仿宋" w:asciiTheme="minorEastAsia" w:hAnsiTheme="minorEastAsia" w:eastAsiaTheme="minorEastAsia"/>
          <w:color w:val="auto"/>
          <w:sz w:val="24"/>
          <w:highlight w:val="none"/>
          <w:u w:val="single"/>
        </w:rPr>
        <w:t xml:space="preserve">  0.05  </w:t>
      </w:r>
      <w:r>
        <w:rPr>
          <w:rFonts w:hint="eastAsia" w:cs="仿宋" w:asciiTheme="minorEastAsia" w:hAnsiTheme="minorEastAsia" w:eastAsiaTheme="minorEastAsia"/>
          <w:color w:val="auto"/>
          <w:sz w:val="24"/>
          <w:highlight w:val="none"/>
        </w:rPr>
        <w:t>%，最高限额为本合同总价的</w:t>
      </w:r>
      <w:r>
        <w:rPr>
          <w:rFonts w:hint="eastAsia" w:cs="仿宋" w:asciiTheme="minorEastAsia" w:hAnsiTheme="minorEastAsia" w:eastAsiaTheme="minorEastAsia"/>
          <w:color w:val="auto"/>
          <w:sz w:val="24"/>
          <w:highlight w:val="none"/>
          <w:u w:val="single"/>
        </w:rPr>
        <w:t xml:space="preserve"> 10  </w:t>
      </w:r>
      <w:r>
        <w:rPr>
          <w:rFonts w:hint="eastAsia" w:cs="仿宋" w:asciiTheme="minorEastAsia" w:hAnsiTheme="minorEastAsia" w:eastAsiaTheme="minorEastAsia"/>
          <w:color w:val="auto"/>
          <w:sz w:val="24"/>
          <w:highlight w:val="none"/>
        </w:rPr>
        <w:t>%；迟延交付货物的违约金计算数额达到前述最高限额之日起，甲方有权在要求乙方支付违约金的同时，书面通知乙方解除本合同；</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19.2 除不可抗力外，如果甲方没有按照本合同约定的付款方式付款，那么乙方可要求甲方支付违约金，违约金按每迟延付款一日的应付而未付款的</w:t>
      </w:r>
      <w:r>
        <w:rPr>
          <w:rFonts w:hint="eastAsia" w:cs="仿宋" w:asciiTheme="minorEastAsia" w:hAnsiTheme="minorEastAsia" w:eastAsiaTheme="minorEastAsia"/>
          <w:color w:val="auto"/>
          <w:sz w:val="24"/>
          <w:highlight w:val="none"/>
          <w:u w:val="single"/>
        </w:rPr>
        <w:t xml:space="preserve">  0.05  </w:t>
      </w:r>
      <w:r>
        <w:rPr>
          <w:rFonts w:hint="eastAsia" w:cs="仿宋" w:asciiTheme="minorEastAsia" w:hAnsiTheme="minorEastAsia" w:eastAsiaTheme="minorEastAsia"/>
          <w:color w:val="auto"/>
          <w:sz w:val="24"/>
          <w:highlight w:val="none"/>
        </w:rPr>
        <w:t>%计算，最高限额为本合同总价的</w:t>
      </w:r>
      <w:r>
        <w:rPr>
          <w:rFonts w:hint="eastAsia" w:cs="仿宋" w:asciiTheme="minorEastAsia" w:hAnsiTheme="minorEastAsia" w:eastAsiaTheme="minorEastAsia"/>
          <w:color w:val="auto"/>
          <w:sz w:val="24"/>
          <w:highlight w:val="none"/>
          <w:u w:val="single"/>
        </w:rPr>
        <w:t xml:space="preserve">  10   </w:t>
      </w:r>
      <w:r>
        <w:rPr>
          <w:rFonts w:hint="eastAsia" w:cs="仿宋" w:asciiTheme="minorEastAsia" w:hAnsiTheme="minorEastAsia" w:eastAsiaTheme="minorEastAsia"/>
          <w:color w:val="auto"/>
          <w:sz w:val="24"/>
          <w:highlight w:val="none"/>
        </w:rPr>
        <w:t>%；迟延付款的违约金计算数额达到前述最高限额之日起，乙方有权在要求甲方支付违约金的同时，书面通知甲方解除本合同；</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19.6 如果出现政府采购监督管理部门在处理投诉事项期间，书面通知甲方暂停采购活动的情形，或者询问或质疑事项可能影响中标结果的，导致甲方中止履行合同的情形，均不视为甲方违约。</w:t>
      </w:r>
    </w:p>
    <w:p>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20 不可抗力</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20.1如果任何一方遭遇法律规定的不可抗力，致使合同履行受阻时，履行合同的期限应予延长，延长的期限应相当于不可抗力所影响的时间；</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20.2 因不可抗力致使不能实现合同目的的，当事人可以解除合同；</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20.3 因不可抗力致使合同有变更必要的，双方当事人应在不可抗力发生后</w:t>
      </w:r>
      <w:r>
        <w:rPr>
          <w:rFonts w:hint="eastAsia" w:cs="仿宋" w:asciiTheme="minorEastAsia" w:hAnsiTheme="minorEastAsia" w:eastAsiaTheme="minorEastAsia"/>
          <w:color w:val="auto"/>
          <w:sz w:val="24"/>
          <w:highlight w:val="none"/>
          <w:u w:val="single"/>
        </w:rPr>
        <w:t xml:space="preserve"> 10 </w:t>
      </w:r>
      <w:r>
        <w:rPr>
          <w:rFonts w:hint="eastAsia" w:cs="仿宋" w:asciiTheme="minorEastAsia" w:hAnsiTheme="minorEastAsia" w:eastAsiaTheme="minorEastAsia"/>
          <w:color w:val="auto"/>
          <w:sz w:val="24"/>
          <w:highlight w:val="none"/>
        </w:rPr>
        <w:t>日内以书面形式变更合同；</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20.4受不可抗力影响的一方在不可抗力发生后，应在</w:t>
      </w:r>
      <w:r>
        <w:rPr>
          <w:rFonts w:hint="eastAsia" w:cs="仿宋" w:asciiTheme="minorEastAsia" w:hAnsiTheme="minorEastAsia" w:eastAsiaTheme="minorEastAsia"/>
          <w:color w:val="auto"/>
          <w:sz w:val="24"/>
          <w:highlight w:val="none"/>
          <w:u w:val="single"/>
        </w:rPr>
        <w:t xml:space="preserve">  5  </w:t>
      </w:r>
      <w:r>
        <w:rPr>
          <w:rFonts w:hint="eastAsia" w:cs="仿宋" w:asciiTheme="minorEastAsia" w:hAnsiTheme="minorEastAsia" w:eastAsiaTheme="minorEastAsia"/>
          <w:color w:val="auto"/>
          <w:sz w:val="24"/>
          <w:highlight w:val="none"/>
        </w:rPr>
        <w:t>日内以书面形式通知对方当事人，并在</w:t>
      </w:r>
      <w:r>
        <w:rPr>
          <w:rFonts w:hint="eastAsia" w:cs="仿宋" w:asciiTheme="minorEastAsia" w:hAnsiTheme="minorEastAsia" w:eastAsiaTheme="minorEastAsia"/>
          <w:color w:val="auto"/>
          <w:sz w:val="24"/>
          <w:highlight w:val="none"/>
          <w:u w:val="single"/>
        </w:rPr>
        <w:t xml:space="preserve">  15  </w:t>
      </w:r>
      <w:r>
        <w:rPr>
          <w:rFonts w:hint="eastAsia" w:cs="仿宋" w:asciiTheme="minorEastAsia" w:hAnsiTheme="minorEastAsia" w:eastAsiaTheme="minorEastAsia"/>
          <w:color w:val="auto"/>
          <w:sz w:val="24"/>
          <w:highlight w:val="none"/>
        </w:rPr>
        <w:t>日内，将有关部门出具的证明文件送达对方当事人。</w:t>
      </w:r>
    </w:p>
    <w:p>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21 税费</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与合同有关的一切税费，均按照中华人民共和国法律的相关规定。</w:t>
      </w:r>
    </w:p>
    <w:p>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22 乙方破产</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hd w:val="clear"/>
        <w:spacing w:line="360" w:lineRule="auto"/>
        <w:ind w:firstLine="482" w:firstLineChars="200"/>
        <w:outlineLvl w:val="0"/>
        <w:rPr>
          <w:rFonts w:cs="仿宋" w:asciiTheme="minorEastAsia" w:hAnsiTheme="minorEastAsia" w:eastAsiaTheme="minorEastAsia"/>
          <w:b/>
          <w:color w:val="auto"/>
          <w:sz w:val="24"/>
          <w:highlight w:val="none"/>
        </w:rPr>
      </w:pPr>
      <w:bookmarkStart w:id="420" w:name="_Toc15583"/>
      <w:bookmarkStart w:id="421" w:name="_Toc28375"/>
      <w:bookmarkStart w:id="422" w:name="_Toc16021"/>
      <w:r>
        <w:rPr>
          <w:rFonts w:hint="eastAsia" w:cs="仿宋" w:asciiTheme="minorEastAsia" w:hAnsiTheme="minorEastAsia" w:eastAsiaTheme="minorEastAsia"/>
          <w:b/>
          <w:color w:val="auto"/>
          <w:sz w:val="24"/>
          <w:highlight w:val="none"/>
        </w:rPr>
        <w:t>23 合同争议的解决</w:t>
      </w:r>
      <w:bookmarkEnd w:id="420"/>
      <w:bookmarkEnd w:id="421"/>
      <w:bookmarkEnd w:id="422"/>
    </w:p>
    <w:p>
      <w:pPr>
        <w:shd w:val="clear"/>
        <w:adjustRightIn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本合同履行过程中发生的任何争议，双方当事人均可通过和解或者调解解决；不愿和解、调解或者和解、调解不成的，可以向宁波市奉化区人民法院提起诉讼。</w:t>
      </w:r>
    </w:p>
    <w:p>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24 合同中止、终止</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24.1 双方当事人不得擅自中止或者终止合同；</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24.2合同继续履行将损害国家利益和社会公共利益的，双方当事人应当中止或者终止合同。有过错的一方应当承担赔偿责任，双方当事人都有过错的，各自承担相应的责任。</w:t>
      </w:r>
    </w:p>
    <w:p>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25 通知和送达</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25.1任何一方因履行合同而以合同第一部分尾部所列明的传真或电子邮件 </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发出的所有通知、文件、材料，均视为已向对方当事人送达；任何一方变更上述送达方式或者地址的，应于</w:t>
      </w:r>
      <w:r>
        <w:rPr>
          <w:rFonts w:hint="eastAsia" w:cs="仿宋" w:asciiTheme="minorEastAsia" w:hAnsiTheme="minorEastAsia" w:eastAsiaTheme="minorEastAsia"/>
          <w:color w:val="auto"/>
          <w:sz w:val="24"/>
          <w:highlight w:val="none"/>
          <w:u w:val="single"/>
        </w:rPr>
        <w:t>3</w:t>
      </w:r>
      <w:r>
        <w:rPr>
          <w:rFonts w:hint="eastAsia" w:cs="仿宋" w:asciiTheme="minorEastAsia" w:hAnsiTheme="minorEastAsia" w:eastAsiaTheme="minorEastAsia"/>
          <w:color w:val="auto"/>
          <w:sz w:val="24"/>
          <w:highlight w:val="none"/>
        </w:rPr>
        <w:t>个工作日内书面通知对方当事人，在对方当事人收到有关变更通知之前，变更前的约定送达方式或者地址仍视为有效。</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26 计量单位</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除技术规范中另有规定外,合同的计量单位均使用国家法定计量单位。</w:t>
      </w:r>
    </w:p>
    <w:p>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27合同使用的文字和适用的法律</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27.1 合同使用汉语书就、变更和解释；</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27.2 合同适用中华人民共和国法律。</w:t>
      </w:r>
    </w:p>
    <w:p>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28合同效力</w:t>
      </w:r>
    </w:p>
    <w:p>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本合同一式四份，甲乙双方各两份，每份均具有同等法律效力。本合同自双方当事人盖章或者签字时生效。</w:t>
      </w:r>
    </w:p>
    <w:p>
      <w:pPr>
        <w:shd w:val="clear"/>
        <w:autoSpaceDE w:val="0"/>
        <w:autoSpaceDN w:val="0"/>
        <w:spacing w:line="360" w:lineRule="auto"/>
        <w:rPr>
          <w:rFonts w:cs="仿宋" w:asciiTheme="minorEastAsia" w:hAnsiTheme="minorEastAsia" w:eastAsiaTheme="minorEastAsia"/>
          <w:color w:val="auto"/>
          <w:sz w:val="24"/>
          <w:highlight w:val="none"/>
          <w:lang w:val="zh-CN"/>
        </w:rPr>
      </w:pPr>
    </w:p>
    <w:p>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b/>
          <w:color w:val="auto"/>
          <w:sz w:val="24"/>
          <w:highlight w:val="none"/>
          <w:lang w:val="zh-CN"/>
        </w:rPr>
        <w:t>甲方名称（公章）</w:t>
      </w:r>
      <w:r>
        <w:rPr>
          <w:rFonts w:hint="eastAsia" w:cs="仿宋" w:asciiTheme="minorEastAsia" w:hAnsiTheme="minorEastAsia" w:eastAsiaTheme="minorEastAsia"/>
          <w:color w:val="auto"/>
          <w:sz w:val="24"/>
          <w:highlight w:val="none"/>
          <w:lang w:val="zh-CN"/>
        </w:rPr>
        <w:t xml:space="preserve">：                       </w:t>
      </w:r>
      <w:r>
        <w:rPr>
          <w:rFonts w:hint="eastAsia" w:cs="仿宋" w:asciiTheme="minorEastAsia" w:hAnsiTheme="minorEastAsia" w:eastAsiaTheme="minorEastAsia"/>
          <w:b/>
          <w:color w:val="auto"/>
          <w:sz w:val="24"/>
          <w:highlight w:val="none"/>
          <w:lang w:val="zh-CN"/>
        </w:rPr>
        <w:t>乙方名称（公章）</w:t>
      </w:r>
      <w:r>
        <w:rPr>
          <w:rFonts w:hint="eastAsia" w:cs="仿宋" w:asciiTheme="minorEastAsia" w:hAnsiTheme="minorEastAsia" w:eastAsiaTheme="minorEastAsia"/>
          <w:color w:val="auto"/>
          <w:sz w:val="24"/>
          <w:highlight w:val="none"/>
          <w:lang w:val="zh-CN"/>
        </w:rPr>
        <w:t>：</w:t>
      </w:r>
    </w:p>
    <w:p>
      <w:pPr>
        <w:shd w:val="clear"/>
        <w:autoSpaceDE w:val="0"/>
        <w:autoSpaceDN w:val="0"/>
        <w:spacing w:line="360" w:lineRule="auto"/>
        <w:rPr>
          <w:rFonts w:cs="仿宋" w:asciiTheme="minorEastAsia" w:hAnsiTheme="minorEastAsia" w:eastAsiaTheme="minorEastAsia"/>
          <w:color w:val="auto"/>
          <w:sz w:val="24"/>
          <w:highlight w:val="none"/>
          <w:lang w:val="zh-CN"/>
        </w:rPr>
      </w:pPr>
    </w:p>
    <w:p>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统一社会信用代码：                       统一社会信用代码或身份证号码：</w:t>
      </w:r>
    </w:p>
    <w:p>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住所：                                   住所：</w:t>
      </w:r>
    </w:p>
    <w:p>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 xml:space="preserve">法定代表人或授权代表（签字）：       </w:t>
      </w: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lang w:val="zh-CN"/>
        </w:rPr>
        <w:t xml:space="preserve"> 法定代表人或授权代表（签字）: </w:t>
      </w:r>
    </w:p>
    <w:p>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联系人：                                 联系人：</w:t>
      </w:r>
    </w:p>
    <w:p>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约定送达地址：                           约定送达地址：</w:t>
      </w:r>
    </w:p>
    <w:p>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邮政编码：                               邮政编码：</w:t>
      </w:r>
    </w:p>
    <w:p>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 xml:space="preserve">电话:                                    电话: </w:t>
      </w:r>
    </w:p>
    <w:p>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传真:                                    传真:</w:t>
      </w:r>
    </w:p>
    <w:p>
      <w:pPr>
        <w:pStyle w:val="2"/>
        <w:shd w:val="clear"/>
        <w:spacing w:line="360" w:lineRule="auto"/>
        <w:ind w:firstLine="480"/>
        <w:rPr>
          <w:rFonts w:cs="仿宋" w:asciiTheme="minorEastAsia" w:hAnsiTheme="minorEastAsia" w:eastAsiaTheme="minorEastAsia"/>
          <w:color w:val="auto"/>
          <w:sz w:val="24"/>
          <w:highlight w:val="none"/>
        </w:rPr>
      </w:pPr>
    </w:p>
    <w:p>
      <w:pPr>
        <w:pStyle w:val="2"/>
        <w:shd w:val="clear"/>
        <w:spacing w:line="360" w:lineRule="auto"/>
        <w:ind w:firstLine="0" w:firstLineChars="0"/>
        <w:rPr>
          <w:rFonts w:cs="仿宋" w:asciiTheme="minorEastAsia" w:hAnsiTheme="minorEastAsia" w:eastAsiaTheme="minorEastAsia"/>
          <w:b/>
          <w:bCs/>
          <w:color w:val="auto"/>
          <w:sz w:val="24"/>
          <w:highlight w:val="none"/>
          <w:lang w:val="zh-CN"/>
        </w:rPr>
      </w:pPr>
      <w:r>
        <w:rPr>
          <w:rFonts w:hint="eastAsia" w:cs="仿宋" w:asciiTheme="minorEastAsia" w:hAnsiTheme="minorEastAsia" w:eastAsiaTheme="minorEastAsia"/>
          <w:b/>
          <w:bCs/>
          <w:color w:val="auto"/>
          <w:sz w:val="24"/>
          <w:highlight w:val="none"/>
        </w:rPr>
        <w:t>见证人：采购代理机构名称</w:t>
      </w:r>
    </w:p>
    <w:p>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 xml:space="preserve">住所：                             </w:t>
      </w:r>
    </w:p>
    <w:p>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 xml:space="preserve">法定代表人或授权代表（签字）：       </w:t>
      </w:r>
      <w:r>
        <w:rPr>
          <w:rFonts w:hint="eastAsia" w:cs="仿宋" w:asciiTheme="minorEastAsia" w:hAnsiTheme="minorEastAsia" w:eastAsiaTheme="minorEastAsia"/>
          <w:color w:val="auto"/>
          <w:sz w:val="24"/>
          <w:highlight w:val="none"/>
        </w:rPr>
        <w:t xml:space="preserve"> </w:t>
      </w:r>
    </w:p>
    <w:p>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 xml:space="preserve">联系人：                                                                    </w:t>
      </w:r>
    </w:p>
    <w:p>
      <w:pPr>
        <w:widowControl/>
        <w:shd w:val="clear"/>
        <w:jc w:val="left"/>
        <w:rPr>
          <w:rFonts w:cs="仿宋" w:asciiTheme="majorEastAsia" w:hAnsiTheme="majorEastAsia" w:eastAsiaTheme="majorEastAsia"/>
          <w:b/>
          <w:color w:val="auto"/>
          <w:sz w:val="24"/>
          <w:highlight w:val="none"/>
        </w:rPr>
      </w:pPr>
      <w:r>
        <w:rPr>
          <w:rFonts w:hint="eastAsia" w:cs="仿宋" w:asciiTheme="minorEastAsia" w:hAnsiTheme="minorEastAsia" w:eastAsiaTheme="minorEastAsia"/>
          <w:color w:val="auto"/>
          <w:sz w:val="24"/>
          <w:highlight w:val="none"/>
          <w:lang w:val="zh-CN"/>
        </w:rPr>
        <w:t xml:space="preserve">电话:  </w:t>
      </w:r>
    </w:p>
    <w:p>
      <w:pPr>
        <w:widowControl/>
        <w:shd w:val="clear"/>
        <w:jc w:val="left"/>
        <w:rPr>
          <w:rFonts w:cs="仿宋" w:asciiTheme="majorEastAsia" w:hAnsiTheme="majorEastAsia" w:eastAsiaTheme="majorEastAsia"/>
          <w:b/>
          <w:color w:val="auto"/>
          <w:sz w:val="24"/>
          <w:highlight w:val="none"/>
        </w:rPr>
      </w:pPr>
    </w:p>
    <w:p>
      <w:pPr>
        <w:widowControl/>
        <w:shd w:val="clear"/>
        <w:jc w:val="left"/>
        <w:rPr>
          <w:rFonts w:cs="仿宋" w:asciiTheme="majorEastAsia" w:hAnsiTheme="majorEastAsia" w:eastAsiaTheme="majorEastAsia"/>
          <w:b/>
          <w:color w:val="auto"/>
          <w:sz w:val="24"/>
          <w:highlight w:val="none"/>
        </w:rPr>
      </w:pPr>
      <w:r>
        <w:rPr>
          <w:rFonts w:cs="仿宋" w:asciiTheme="majorEastAsia" w:hAnsiTheme="majorEastAsia" w:eastAsiaTheme="majorEastAsia"/>
          <w:b/>
          <w:color w:val="auto"/>
          <w:sz w:val="24"/>
          <w:highlight w:val="none"/>
        </w:rPr>
        <w:br w:type="page"/>
      </w:r>
    </w:p>
    <w:p>
      <w:pPr>
        <w:shd w:val="clear"/>
        <w:spacing w:line="360" w:lineRule="auto"/>
        <w:jc w:val="center"/>
        <w:rPr>
          <w:rFonts w:cs="仿宋" w:asciiTheme="majorEastAsia" w:hAnsiTheme="majorEastAsia" w:eastAsiaTheme="majorEastAsia"/>
          <w:b/>
          <w:color w:val="auto"/>
          <w:sz w:val="24"/>
          <w:highlight w:val="none"/>
        </w:rPr>
      </w:pPr>
    </w:p>
    <w:p>
      <w:pPr>
        <w:shd w:val="clear"/>
        <w:spacing w:line="360" w:lineRule="auto"/>
        <w:ind w:left="720" w:firstLine="723" w:firstLineChars="200"/>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第六部分</w:t>
      </w:r>
      <w:bookmarkEnd w:id="400"/>
      <w:r>
        <w:rPr>
          <w:rFonts w:hint="eastAsia" w:cs="仿宋" w:asciiTheme="majorEastAsia" w:hAnsiTheme="majorEastAsia" w:eastAsiaTheme="majorEastAsia"/>
          <w:b/>
          <w:color w:val="auto"/>
          <w:sz w:val="36"/>
          <w:szCs w:val="20"/>
          <w:highlight w:val="none"/>
        </w:rPr>
        <w:t xml:space="preserve"> </w:t>
      </w:r>
      <w:bookmarkEnd w:id="401"/>
      <w:r>
        <w:rPr>
          <w:rFonts w:hint="eastAsia" w:cs="仿宋" w:asciiTheme="majorEastAsia" w:hAnsiTheme="majorEastAsia" w:eastAsiaTheme="majorEastAsia"/>
          <w:b/>
          <w:color w:val="auto"/>
          <w:sz w:val="36"/>
          <w:szCs w:val="20"/>
          <w:highlight w:val="none"/>
        </w:rPr>
        <w:t>应提交的有关格式范例</w:t>
      </w:r>
    </w:p>
    <w:p>
      <w:pPr>
        <w:shd w:val="clear"/>
        <w:spacing w:line="360" w:lineRule="auto"/>
        <w:jc w:val="center"/>
        <w:outlineLvl w:val="0"/>
        <w:rPr>
          <w:rFonts w:cs="仿宋" w:asciiTheme="majorEastAsia" w:hAnsiTheme="majorEastAsia" w:eastAsiaTheme="majorEastAsia"/>
          <w:b/>
          <w:color w:val="auto"/>
          <w:kern w:val="0"/>
          <w:sz w:val="36"/>
          <w:szCs w:val="36"/>
          <w:highlight w:val="none"/>
        </w:rPr>
      </w:pPr>
    </w:p>
    <w:p>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pPr>
        <w:shd w:val="clear"/>
        <w:spacing w:line="360" w:lineRule="auto"/>
        <w:jc w:val="center"/>
        <w:outlineLvl w:val="0"/>
        <w:rPr>
          <w:rFonts w:cs="仿宋" w:asciiTheme="majorEastAsia" w:hAnsiTheme="majorEastAsia" w:eastAsiaTheme="majorEastAsia"/>
          <w:b/>
          <w:color w:val="auto"/>
          <w:kern w:val="0"/>
          <w:sz w:val="36"/>
          <w:szCs w:val="36"/>
          <w:highlight w:val="none"/>
        </w:rPr>
      </w:pPr>
    </w:p>
    <w:p>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符合参加采购活动应当具备的一般条件的承诺函；</w:t>
      </w:r>
    </w:p>
    <w:p>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落实政府采购政策需满足的资格要求；</w:t>
      </w:r>
    </w:p>
    <w:p>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本项目的特定资格要求。</w:t>
      </w:r>
    </w:p>
    <w:p>
      <w:pPr>
        <w:pStyle w:val="2"/>
        <w:shd w:val="clear"/>
        <w:spacing w:line="360" w:lineRule="auto"/>
        <w:ind w:firstLine="480"/>
        <w:rPr>
          <w:rFonts w:cs="仿宋" w:asciiTheme="majorEastAsia" w:hAnsiTheme="majorEastAsia" w:eastAsiaTheme="majorEastAsia"/>
          <w:color w:val="auto"/>
          <w:sz w:val="24"/>
          <w:highlight w:val="none"/>
        </w:rPr>
      </w:pPr>
    </w:p>
    <w:p>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一、 符合参加采购活动应当具备的一般条件的承诺函</w:t>
      </w:r>
    </w:p>
    <w:p>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我方参与（项目名称）【项目编号：        】采购活动，郑重承诺：</w:t>
      </w:r>
    </w:p>
    <w:p>
      <w:pPr>
        <w:shd w:val="clear"/>
        <w:snapToGrid w:val="0"/>
        <w:spacing w:line="360" w:lineRule="auto"/>
        <w:ind w:firstLine="360" w:firstLineChars="15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（二）未被信用中国（www.creditchina.gov.cn)、中国政府采购网（www.ccgp.gov.cn）列入失信被执行人、重大税收违法案件当事人名单、政府采购严重违法失信行为记录名单。</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二、落实政府采购政策需满足的资格要求</w:t>
      </w:r>
    </w:p>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（根据招标公告落实政府采购政策需满足的资格要求选择提供相应的材料；未要求的，无需提供）</w:t>
      </w:r>
    </w:p>
    <w:p>
      <w:pPr>
        <w:shd w:val="clear"/>
        <w:snapToGrid w:val="0"/>
        <w:spacing w:before="50" w:after="50"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A</w:t>
      </w:r>
      <w:r>
        <w:rPr>
          <w:rFonts w:hint="eastAsia" w:cs="仿宋" w:asciiTheme="majorEastAsia" w:hAnsiTheme="majorEastAsia" w:eastAsiaTheme="maj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pPr>
        <w:widowControl/>
        <w:shd w:val="clear"/>
        <w:spacing w:line="360" w:lineRule="auto"/>
        <w:ind w:firstLine="480"/>
        <w:jc w:val="left"/>
        <w:rPr>
          <w:rFonts w:cs="仿宋" w:asciiTheme="majorEastAsia" w:hAnsiTheme="majorEastAsia" w:eastAsiaTheme="majorEastAsia"/>
          <w:color w:val="auto"/>
          <w:sz w:val="24"/>
          <w:highlight w:val="none"/>
        </w:rPr>
      </w:pPr>
    </w:p>
    <w:p>
      <w:pPr>
        <w:widowControl/>
        <w:shd w:val="clear"/>
        <w:spacing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B.</w:t>
      </w:r>
      <w:r>
        <w:rPr>
          <w:rFonts w:hint="eastAsia" w:cs="仿宋" w:asciiTheme="majorEastAsia" w:hAnsiTheme="majorEastAsia" w:eastAsiaTheme="majorEastAsia"/>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hd w:val="clear"/>
        <w:spacing w:line="360" w:lineRule="auto"/>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rPr>
        <w:t>三、本项目的特定资格要求</w:t>
      </w:r>
    </w:p>
    <w:p>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（根据招标公告本项目的特定资格要求提供相应的材料；未要求的，无需提供）</w:t>
      </w:r>
    </w:p>
    <w:p>
      <w:pPr>
        <w:shd w:val="clear"/>
        <w:spacing w:line="360" w:lineRule="auto"/>
        <w:rPr>
          <w:rFonts w:cs="仿宋" w:asciiTheme="majorEastAsia" w:hAnsiTheme="majorEastAsia" w:eastAsiaTheme="majorEastAsia"/>
          <w:color w:val="auto"/>
          <w:highlight w:val="none"/>
        </w:rPr>
      </w:pPr>
    </w:p>
    <w:p>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hd w:val="clear"/>
        <w:spacing w:line="360" w:lineRule="auto"/>
        <w:jc w:val="center"/>
        <w:outlineLvl w:val="0"/>
        <w:rPr>
          <w:rFonts w:cs="仿宋" w:asciiTheme="majorEastAsia" w:hAnsiTheme="majorEastAsia" w:eastAsiaTheme="majorEastAsia"/>
          <w:b/>
          <w:color w:val="auto"/>
          <w:kern w:val="0"/>
          <w:sz w:val="36"/>
          <w:szCs w:val="36"/>
          <w:highlight w:val="none"/>
        </w:rPr>
      </w:pPr>
    </w:p>
    <w:p>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hd w:val="clear"/>
        <w:spacing w:line="360" w:lineRule="auto"/>
        <w:jc w:val="center"/>
        <w:outlineLvl w:val="0"/>
        <w:rPr>
          <w:rFonts w:cs="仿宋" w:asciiTheme="majorEastAsia" w:hAnsiTheme="majorEastAsia" w:eastAsiaTheme="majorEastAsia"/>
          <w:b/>
          <w:color w:val="auto"/>
          <w:kern w:val="0"/>
          <w:sz w:val="36"/>
          <w:szCs w:val="36"/>
          <w:highlight w:val="none"/>
        </w:rPr>
      </w:pPr>
    </w:p>
    <w:p>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hd w:val="clear"/>
        <w:spacing w:line="360" w:lineRule="auto"/>
        <w:jc w:val="center"/>
        <w:outlineLvl w:val="0"/>
        <w:rPr>
          <w:rFonts w:cs="仿宋" w:asciiTheme="majorEastAsia" w:hAnsiTheme="majorEastAsia" w:eastAsiaTheme="majorEastAsia"/>
          <w:b/>
          <w:color w:val="auto"/>
          <w:kern w:val="0"/>
          <w:sz w:val="36"/>
          <w:szCs w:val="36"/>
          <w:highlight w:val="none"/>
        </w:rPr>
      </w:pPr>
    </w:p>
    <w:p>
      <w:pPr>
        <w:shd w:val="clear"/>
        <w:spacing w:line="360" w:lineRule="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pPr>
        <w:shd w:val="clear"/>
        <w:spacing w:line="360" w:lineRule="auto"/>
        <w:ind w:right="420"/>
        <w:jc w:val="cente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pPr>
        <w:shd w:val="clear"/>
        <w:spacing w:line="360" w:lineRule="auto"/>
        <w:jc w:val="center"/>
        <w:outlineLvl w:val="0"/>
        <w:rPr>
          <w:rFonts w:cs="仿宋" w:asciiTheme="majorEastAsia" w:hAnsiTheme="majorEastAsia" w:eastAsiaTheme="majorEastAsia"/>
          <w:b/>
          <w:color w:val="auto"/>
          <w:kern w:val="0"/>
          <w:sz w:val="24"/>
          <w:highlight w:val="none"/>
        </w:rPr>
      </w:pPr>
    </w:p>
    <w:p>
      <w:pPr>
        <w:shd w:val="clear"/>
        <w:spacing w:line="360" w:lineRule="auto"/>
        <w:ind w:left="3990" w:leftChars="1900"/>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pPr>
        <w:shd w:val="clear"/>
        <w:snapToGrid w:val="0"/>
        <w:spacing w:line="360" w:lineRule="auto"/>
        <w:ind w:firstLine="960" w:firstLineChars="400"/>
        <w:rPr>
          <w:rFonts w:cs="仿宋" w:asciiTheme="majorEastAsia" w:hAnsiTheme="majorEastAsia" w:eastAsiaTheme="majorEastAsia"/>
          <w:color w:val="auto"/>
          <w:sz w:val="24"/>
          <w:highlight w:val="none"/>
        </w:rPr>
      </w:pP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1评分索引表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符合性自查表；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投标函；</w:t>
      </w:r>
      <w:r>
        <w:rPr>
          <w:rFonts w:hint="eastAsia" w:cs="仿宋" w:asciiTheme="majorEastAsia" w:hAnsiTheme="majorEastAsia" w:eastAsiaTheme="majorEastAsia"/>
          <w:color w:val="auto"/>
          <w:sz w:val="28"/>
          <w:szCs w:val="28"/>
          <w:highlight w:val="none"/>
          <w:lang w:val="zh-CN"/>
        </w:rPr>
        <w:t xml:space="preserve"> </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授权委托书或法定代表人（单位负责人、自然人本人）身份证明；</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投标人基本情况表；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距采购人最近或者能为本项目提供最优服务的网点情况表；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评标标准相应的商务技术资料；</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8 商务响应表；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9 技术响应表；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10 同类业绩情况一览表；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 xml:space="preserve">11 </w:t>
      </w:r>
      <w:r>
        <w:rPr>
          <w:rFonts w:hint="eastAsia" w:cs="仿宋" w:asciiTheme="majorEastAsia" w:hAnsiTheme="majorEastAsia" w:eastAsiaTheme="majorEastAsia"/>
          <w:color w:val="auto"/>
          <w:sz w:val="28"/>
          <w:szCs w:val="28"/>
          <w:highlight w:val="none"/>
          <w:lang w:val="zh-CN"/>
        </w:rPr>
        <w:t>政府采购供应商廉洁自律承诺书；</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12 其他资料。</w:t>
      </w:r>
    </w:p>
    <w:p>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p>
    <w:p>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评分索引表</w:t>
      </w:r>
    </w:p>
    <w:p>
      <w:pPr>
        <w:shd w:val="clear"/>
        <w:snapToGrid w:val="0"/>
        <w:spacing w:before="50" w:after="50"/>
        <w:rPr>
          <w:rFonts w:ascii="宋体" w:hAnsi="宋体"/>
          <w:b/>
          <w:color w:val="auto"/>
          <w:sz w:val="24"/>
          <w:highlight w:val="none"/>
        </w:rPr>
      </w:pPr>
    </w:p>
    <w:p>
      <w:pPr>
        <w:shd w:val="clear"/>
        <w:snapToGrid w:val="0"/>
        <w:spacing w:before="50" w:after="50" w:line="360"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olor w:val="auto"/>
                <w:sz w:val="24"/>
                <w:highlight w:val="none"/>
              </w:rPr>
            </w:pPr>
            <w:r>
              <w:rPr>
                <w:rFonts w:hint="eastAsia" w:ascii="宋体" w:hAnsi="宋体"/>
                <w:color w:val="auto"/>
                <w:sz w:val="24"/>
                <w:highlight w:val="none"/>
              </w:rPr>
              <w:t>1</w:t>
            </w:r>
          </w:p>
        </w:tc>
        <w:tc>
          <w:tcPr>
            <w:tcW w:w="5819" w:type="dxa"/>
            <w:tcBorders>
              <w:top w:val="single" w:color="auto" w:sz="4" w:space="0"/>
              <w:left w:val="single" w:color="auto" w:sz="4" w:space="0"/>
              <w:right w:val="single" w:color="auto" w:sz="4" w:space="0"/>
            </w:tcBorders>
            <w:vAlign w:val="center"/>
          </w:tcPr>
          <w:p>
            <w:pPr>
              <w:shd w:val="clear"/>
              <w:jc w:val="center"/>
              <w:rPr>
                <w:rFonts w:ascii="宋体" w:hAnsi="宋体"/>
                <w:color w:val="auto"/>
                <w:sz w:val="24"/>
                <w:highlight w:val="none"/>
              </w:rPr>
            </w:pPr>
            <w:r>
              <w:rPr>
                <w:rFonts w:hint="eastAsia" w:ascii="宋体" w:hAnsi="宋体"/>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pPr>
              <w:shd w:val="clea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olor w:val="auto"/>
                <w:sz w:val="24"/>
                <w:highlight w:val="none"/>
              </w:rPr>
            </w:pPr>
            <w:r>
              <w:rPr>
                <w:rFonts w:hint="eastAsia" w:ascii="宋体" w:hAnsi="宋体"/>
                <w:color w:val="auto"/>
                <w:sz w:val="24"/>
                <w:highlight w:val="none"/>
              </w:rPr>
              <w:t>2</w:t>
            </w:r>
          </w:p>
        </w:tc>
        <w:tc>
          <w:tcPr>
            <w:tcW w:w="5819" w:type="dxa"/>
            <w:tcBorders>
              <w:top w:val="single" w:color="auto" w:sz="4" w:space="0"/>
              <w:left w:val="single" w:color="auto" w:sz="4" w:space="0"/>
              <w:right w:val="single" w:color="auto" w:sz="4" w:space="0"/>
            </w:tcBorders>
            <w:vAlign w:val="center"/>
          </w:tcPr>
          <w:p>
            <w:pPr>
              <w:widowControl/>
              <w:shd w:val="clear"/>
              <w:jc w:val="center"/>
              <w:rPr>
                <w:rFonts w:ascii="宋体" w:hAnsi="宋体" w:cs="宋体"/>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pPr>
              <w:shd w:val="clea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ind w:left="55" w:leftChars="26"/>
              <w:rPr>
                <w:rFonts w:ascii="宋体" w:hAnsi="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pStyle w:val="18"/>
              <w:shd w:val="clear"/>
              <w:ind w:firstLine="562"/>
              <w:rPr>
                <w:rFonts w:ascii="宋体"/>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pStyle w:val="18"/>
              <w:shd w:val="clear"/>
              <w:ind w:firstLine="562"/>
              <w:jc w:val="center"/>
              <w:rPr>
                <w:rFonts w:ascii="宋体"/>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spacing w:line="320" w:lineRule="exact"/>
              <w:rPr>
                <w:rFonts w:ascii="宋体" w:hAnsi="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pStyle w:val="18"/>
              <w:shd w:val="clear"/>
              <w:ind w:firstLine="560"/>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pStyle w:val="18"/>
              <w:shd w:val="clear"/>
              <w:ind w:firstLine="560"/>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pStyle w:val="18"/>
              <w:shd w:val="clear"/>
              <w:ind w:firstLine="560"/>
              <w:rPr>
                <w:rFonts w:ascii="宋体"/>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bCs/>
                <w:color w:val="auto"/>
                <w:sz w:val="24"/>
                <w:highlight w:val="none"/>
              </w:rPr>
            </w:pPr>
          </w:p>
        </w:tc>
        <w:tc>
          <w:tcPr>
            <w:tcW w:w="1627" w:type="dxa"/>
            <w:tcBorders>
              <w:top w:val="single" w:color="auto" w:sz="4" w:space="0"/>
              <w:left w:val="single" w:color="auto" w:sz="4" w:space="0"/>
              <w:right w:val="single" w:color="auto" w:sz="4" w:space="0"/>
            </w:tcBorders>
            <w:vAlign w:val="center"/>
          </w:tcPr>
          <w:p>
            <w:pPr>
              <w:shd w:val="clear"/>
              <w:jc w:val="center"/>
              <w:rPr>
                <w:rFonts w:ascii="宋体" w:hAnsi="宋体"/>
                <w:bCs/>
                <w:color w:val="auto"/>
                <w:sz w:val="24"/>
                <w:highlight w:val="none"/>
              </w:rPr>
            </w:pPr>
          </w:p>
        </w:tc>
      </w:tr>
    </w:tbl>
    <w:p>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cs="仿宋" w:asciiTheme="majorEastAsia" w:hAnsiTheme="majorEastAsia" w:eastAsiaTheme="majorEastAsia"/>
          <w:b/>
          <w:color w:val="auto"/>
          <w:kern w:val="0"/>
          <w:sz w:val="32"/>
          <w:szCs w:val="32"/>
          <w:highlight w:val="none"/>
        </w:rPr>
        <w:br w:type="page"/>
      </w:r>
    </w:p>
    <w:p>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符合性自查表</w:t>
      </w:r>
    </w:p>
    <w:tbl>
      <w:tblPr>
        <w:tblStyle w:val="24"/>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pPr>
              <w:shd w:val="clear"/>
              <w:spacing w:line="360" w:lineRule="auto"/>
              <w:rPr>
                <w:rFonts w:cs="仿宋" w:asciiTheme="majorEastAsia" w:hAnsiTheme="majorEastAsia" w:eastAsiaTheme="majorEastAsia"/>
                <w:color w:val="auto"/>
                <w:sz w:val="24"/>
                <w:highlight w:val="none"/>
              </w:rPr>
            </w:pPr>
          </w:p>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vAlign w:val="center"/>
          </w:tcPr>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vAlign w:val="center"/>
          </w:tcPr>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投标函</w:t>
            </w:r>
          </w:p>
        </w:tc>
        <w:tc>
          <w:tcPr>
            <w:tcW w:w="1185" w:type="dxa"/>
            <w:vAlign w:val="center"/>
          </w:tcPr>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vAlign w:val="center"/>
          </w:tcPr>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vAlign w:val="center"/>
          </w:tcPr>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vAlign w:val="center"/>
          </w:tcPr>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vAlign w:val="center"/>
          </w:tcPr>
          <w:p>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vAlign w:val="center"/>
          </w:tcPr>
          <w:p>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vAlign w:val="center"/>
          </w:tcPr>
          <w:p>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vAlign w:val="center"/>
          </w:tcPr>
          <w:p>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highlight w:val="none"/>
              </w:rPr>
            </w:pPr>
          </w:p>
        </w:tc>
        <w:tc>
          <w:tcPr>
            <w:tcW w:w="4103" w:type="dxa"/>
            <w:vAlign w:val="center"/>
          </w:tcPr>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2518" w:type="dxa"/>
            <w:vAlign w:val="center"/>
          </w:tcPr>
          <w:p>
            <w:pPr>
              <w:shd w:val="clear"/>
              <w:spacing w:line="360" w:lineRule="auto"/>
              <w:rPr>
                <w:rFonts w:cs="仿宋" w:asciiTheme="majorEastAsia" w:hAnsiTheme="majorEastAsia" w:eastAsiaTheme="majorEastAsia"/>
                <w:color w:val="auto"/>
                <w:kern w:val="0"/>
                <w:sz w:val="24"/>
                <w:highlight w:val="none"/>
              </w:rPr>
            </w:pPr>
          </w:p>
        </w:tc>
        <w:tc>
          <w:tcPr>
            <w:tcW w:w="1185" w:type="dxa"/>
          </w:tcPr>
          <w:p>
            <w:pPr>
              <w:shd w:val="clear"/>
              <w:spacing w:line="360" w:lineRule="auto"/>
              <w:rPr>
                <w:rFonts w:cs="仿宋" w:asciiTheme="majorEastAsia" w:hAnsiTheme="majorEastAsia" w:eastAsiaTheme="majorEastAsia"/>
                <w:color w:val="auto"/>
                <w:sz w:val="24"/>
                <w:highlight w:val="none"/>
              </w:rPr>
            </w:pPr>
          </w:p>
        </w:tc>
        <w:tc>
          <w:tcPr>
            <w:tcW w:w="1785" w:type="dxa"/>
            <w:vAlign w:val="center"/>
          </w:tcPr>
          <w:p>
            <w:pPr>
              <w:shd w:val="clear"/>
              <w:spacing w:line="360" w:lineRule="auto"/>
              <w:rPr>
                <w:rFonts w:cs="仿宋" w:asciiTheme="majorEastAsia" w:hAnsiTheme="majorEastAsia" w:eastAsiaTheme="majorEastAsia"/>
                <w:color w:val="auto"/>
                <w:sz w:val="24"/>
                <w:highlight w:val="none"/>
              </w:rPr>
            </w:pPr>
          </w:p>
        </w:tc>
      </w:tr>
    </w:tbl>
    <w:p>
      <w:pPr>
        <w:shd w:val="clear"/>
        <w:snapToGrid w:val="0"/>
        <w:spacing w:line="360" w:lineRule="auto"/>
        <w:jc w:val="left"/>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pPr>
        <w:numPr>
          <w:ilvl w:val="0"/>
          <w:numId w:val="3"/>
        </w:num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投标</w:t>
      </w:r>
      <w:r>
        <w:rPr>
          <w:rFonts w:hint="eastAsia" w:cs="仿宋" w:asciiTheme="majorEastAsia" w:hAnsiTheme="majorEastAsia" w:eastAsiaTheme="majorEastAsia"/>
          <w:b/>
          <w:color w:val="auto"/>
          <w:sz w:val="32"/>
          <w:szCs w:val="32"/>
          <w:highlight w:val="none"/>
        </w:rPr>
        <w:t>函</w:t>
      </w:r>
    </w:p>
    <w:p>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我方参加你方组织的（项目名称）【项目编号：        】招标的有关活动，并对此项目进行投标。为此：</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2.1.1有效的企业法人营业执照（或事业法人登记证）、其他组织（个体工商户）的营业执照或者民办非企业单位登记证书；</w:t>
      </w:r>
    </w:p>
    <w:p>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2.1.2符合参加政府采购活动应当具备的一般条件的承诺函落实政府采购政策需满足的资格要求；</w:t>
      </w:r>
    </w:p>
    <w:p>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2.1.3落实政府采购政策需满足的资格要求（如果有）；</w:t>
      </w:r>
    </w:p>
    <w:p>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2.1.4联合协议（如果有）；</w:t>
      </w:r>
    </w:p>
    <w:p>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2.1.5分包意向协议（如果有）；</w:t>
      </w:r>
    </w:p>
    <w:p>
      <w:pPr>
        <w:shd w:val="clear"/>
        <w:snapToGrid w:val="0"/>
        <w:spacing w:line="360" w:lineRule="auto"/>
        <w:ind w:firstLine="960" w:firstLineChars="4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2.1.6本项目的特定资格要求（如果有）。</w:t>
      </w:r>
    </w:p>
    <w:p>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color w:val="auto"/>
          <w:sz w:val="24"/>
          <w:highlight w:val="none"/>
        </w:rPr>
        <w:t>商务技术</w:t>
      </w:r>
      <w:r>
        <w:rPr>
          <w:rFonts w:hint="eastAsia" w:cs="仿宋" w:asciiTheme="majorEastAsia" w:hAnsiTheme="majorEastAsia" w:eastAsiaTheme="majorEastAsia"/>
          <w:color w:val="auto"/>
          <w:sz w:val="24"/>
          <w:highlight w:val="none"/>
          <w:lang w:val="zh-CN"/>
        </w:rPr>
        <w:t>文件：</w:t>
      </w:r>
    </w:p>
    <w:p>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 评分索引表</w:t>
      </w:r>
    </w:p>
    <w:p>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2.2.2 符合性自查表；</w:t>
      </w:r>
    </w:p>
    <w:p>
      <w:pPr>
        <w:shd w:val="clear"/>
        <w:snapToGrid w:val="0"/>
        <w:spacing w:line="360" w:lineRule="auto"/>
        <w:ind w:left="420" w:leftChars="200" w:firstLine="480" w:firstLineChars="200"/>
        <w:rPr>
          <w:rFonts w:cs="仿宋" w:asciiTheme="majorEastAsia" w:hAnsiTheme="majorEastAsia" w:eastAsiaTheme="majorEastAsia"/>
          <w:color w:val="auto"/>
          <w:highlight w:val="none"/>
          <w:lang w:val="zh-CN"/>
        </w:rPr>
      </w:pPr>
      <w:r>
        <w:rPr>
          <w:rFonts w:hint="eastAsia" w:cs="仿宋" w:asciiTheme="majorEastAsia" w:hAnsiTheme="majorEastAsia" w:eastAsiaTheme="majorEastAsia"/>
          <w:color w:val="auto"/>
          <w:sz w:val="24"/>
          <w:highlight w:val="none"/>
        </w:rPr>
        <w:t>2.2.3 投标函；</w:t>
      </w:r>
      <w:r>
        <w:rPr>
          <w:rFonts w:hint="eastAsia" w:cs="仿宋" w:asciiTheme="majorEastAsia" w:hAnsiTheme="majorEastAsia" w:eastAsiaTheme="majorEastAsia"/>
          <w:color w:val="auto"/>
          <w:sz w:val="24"/>
          <w:highlight w:val="none"/>
          <w:lang w:val="zh-CN"/>
        </w:rPr>
        <w:t xml:space="preserve"> </w:t>
      </w:r>
    </w:p>
    <w:p>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2.2.4 授权委托书或法定代表人（单位负责人、自然人本人）身份证明；</w:t>
      </w:r>
    </w:p>
    <w:p>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2.2.5 投标人基本情况表；</w:t>
      </w:r>
    </w:p>
    <w:p>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2.2.6 距采购人最近或者能为本项目提供最优服务的网点情况表；</w:t>
      </w:r>
    </w:p>
    <w:p>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2.2.7 评标标准相应的商务技术资料；</w:t>
      </w:r>
    </w:p>
    <w:p>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8 商务响应表；</w:t>
      </w:r>
    </w:p>
    <w:p>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9 技术响应表；</w:t>
      </w:r>
    </w:p>
    <w:p>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10 同类业绩情况一览表；</w:t>
      </w:r>
    </w:p>
    <w:p>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 xml:space="preserve">2.2.11 </w:t>
      </w:r>
      <w:r>
        <w:rPr>
          <w:rFonts w:hint="eastAsia" w:cs="仿宋" w:asciiTheme="majorEastAsia" w:hAnsiTheme="majorEastAsia" w:eastAsiaTheme="majorEastAsia"/>
          <w:color w:val="auto"/>
          <w:sz w:val="24"/>
          <w:highlight w:val="none"/>
          <w:lang w:val="zh-CN"/>
        </w:rPr>
        <w:t>政府采购供应商廉洁自律承诺书；</w:t>
      </w:r>
    </w:p>
    <w:p>
      <w:pPr>
        <w:shd w:val="clea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2.2.12 其他资料。</w:t>
      </w:r>
    </w:p>
    <w:p>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2.3.1 开标一览表；</w:t>
      </w:r>
    </w:p>
    <w:p>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2.3.2投标报价明细表；</w:t>
      </w:r>
    </w:p>
    <w:p>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2.3.3 中小企业声明函（如有）；</w:t>
      </w:r>
    </w:p>
    <w:p>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2.3.4 残疾人福利性单位声明函（如有）；</w:t>
      </w:r>
    </w:p>
    <w:p>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2.3.5 监狱企业的证明文件（如有）；</w:t>
      </w:r>
    </w:p>
    <w:p>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2.3.6 政府采购统计基础信息表。</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3、我方承诺除商务技术偏离表列出的偏离外，我方响应招标文件的全部要求。</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4.3按照招标文件要求提交履约保证金； </w:t>
      </w:r>
    </w:p>
    <w:p>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4.4在合同约定的期限内完成合同规定的全部义务。 </w:t>
      </w:r>
    </w:p>
    <w:p>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5、其他补充说明: </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 xml:space="preserve"> 。</w:t>
      </w:r>
    </w:p>
    <w:p>
      <w:pPr>
        <w:shd w:val="clear"/>
        <w:spacing w:line="360" w:lineRule="auto"/>
        <w:ind w:firstLine="3600" w:firstLineChars="1500"/>
        <w:rPr>
          <w:rFonts w:cs="仿宋" w:asciiTheme="majorEastAsia" w:hAnsiTheme="majorEastAsia" w:eastAsiaTheme="majorEastAsia"/>
          <w:color w:val="auto"/>
          <w:sz w:val="24"/>
          <w:highlight w:val="none"/>
        </w:rPr>
      </w:pPr>
    </w:p>
    <w:p>
      <w:pPr>
        <w:shd w:val="clear"/>
        <w:spacing w:line="360" w:lineRule="auto"/>
        <w:ind w:firstLine="3600" w:firstLineChars="1500"/>
        <w:rPr>
          <w:rFonts w:cs="仿宋" w:asciiTheme="majorEastAsia" w:hAnsiTheme="majorEastAsia" w:eastAsiaTheme="majorEastAsia"/>
          <w:color w:val="auto"/>
          <w:sz w:val="24"/>
          <w:highlight w:val="none"/>
        </w:rPr>
      </w:pPr>
    </w:p>
    <w:p>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pPr>
        <w:shd w:val="clear"/>
        <w:spacing w:line="360" w:lineRule="auto"/>
        <w:jc w:val="center"/>
        <w:rPr>
          <w:rFonts w:cs="仿宋" w:asciiTheme="majorEastAsia" w:hAnsiTheme="majorEastAsia" w:eastAsiaTheme="majorEastAsia"/>
          <w:b/>
          <w:color w:val="auto"/>
          <w:kern w:val="0"/>
          <w:sz w:val="32"/>
          <w:szCs w:val="32"/>
          <w:highlight w:val="none"/>
        </w:rPr>
      </w:pPr>
    </w:p>
    <w:p>
      <w:pPr>
        <w:shd w:val="clear"/>
        <w:spacing w:line="360" w:lineRule="auto"/>
        <w:jc w:val="center"/>
        <w:rPr>
          <w:rFonts w:cs="仿宋" w:asciiTheme="majorEastAsia" w:hAnsiTheme="majorEastAsia" w:eastAsiaTheme="majorEastAsia"/>
          <w:b/>
          <w:color w:val="auto"/>
          <w:kern w:val="0"/>
          <w:sz w:val="32"/>
          <w:szCs w:val="32"/>
          <w:highlight w:val="none"/>
          <w:lang w:val="zh-CN"/>
        </w:rPr>
      </w:pPr>
    </w:p>
    <w:p>
      <w:pPr>
        <w:shd w:val="clear"/>
        <w:spacing w:line="360" w:lineRule="auto"/>
        <w:rPr>
          <w:rFonts w:cs="仿宋" w:asciiTheme="majorEastAsia" w:hAnsiTheme="majorEastAsia" w:eastAsiaTheme="majorEastAsia"/>
          <w:b/>
          <w:color w:val="auto"/>
          <w:sz w:val="32"/>
          <w:szCs w:val="32"/>
          <w:highlight w:val="none"/>
        </w:rPr>
      </w:pPr>
      <w:bookmarkStart w:id="423" w:name="_Toc488936100"/>
      <w:bookmarkStart w:id="424" w:name="_Toc479927873"/>
      <w:bookmarkStart w:id="425" w:name="_Toc483379796"/>
      <w:bookmarkStart w:id="426" w:name="_Toc225223761"/>
      <w:bookmarkStart w:id="427" w:name="_Toc110393361"/>
      <w:bookmarkStart w:id="428" w:name="_Toc14746861"/>
    </w:p>
    <w:p>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授权委托书或法定代表人（单位负责人、自然人本人）身份证明</w:t>
      </w:r>
    </w:p>
    <w:p>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pPr>
        <w:shd w:val="clear"/>
        <w:spacing w:line="480" w:lineRule="auto"/>
        <w:jc w:val="center"/>
        <w:rPr>
          <w:rFonts w:ascii="宋体" w:hAnsi="宋体" w:cs="宋体"/>
          <w:bCs/>
          <w:color w:val="auto"/>
          <w:sz w:val="24"/>
          <w:highlight w:val="none"/>
        </w:rPr>
      </w:pPr>
    </w:p>
    <w:p>
      <w:pPr>
        <w:shd w:val="clear"/>
        <w:spacing w:line="480" w:lineRule="auto"/>
        <w:jc w:val="center"/>
        <w:rPr>
          <w:rFonts w:ascii="宋体" w:hAnsi="宋体" w:cs="宋体"/>
          <w:b/>
          <w:color w:val="auto"/>
          <w:sz w:val="24"/>
          <w:highlight w:val="none"/>
        </w:rPr>
      </w:pPr>
      <w:r>
        <w:rPr>
          <w:rFonts w:hint="eastAsia" w:ascii="宋体" w:hAnsi="宋体" w:cs="宋体"/>
          <w:bCs/>
          <w:color w:val="auto"/>
          <w:sz w:val="24"/>
          <w:highlight w:val="none"/>
        </w:rPr>
        <w:t>（法定代表人不来投标的，此表不用）</w:t>
      </w:r>
    </w:p>
    <w:p>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pPr>
        <w:shd w:val="clea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pPr>
        <w:shd w:val="clea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pPr>
        <w:shd w:val="clear"/>
        <w:spacing w:line="360" w:lineRule="auto"/>
        <w:ind w:firstLine="420" w:firstLineChars="200"/>
        <w:rPr>
          <w:rFonts w:ascii="宋体" w:hAnsi="宋体" w:cs="宋体"/>
          <w:color w:val="auto"/>
          <w:szCs w:val="21"/>
          <w:highlight w:val="none"/>
        </w:rPr>
      </w:pPr>
    </w:p>
    <w:p>
      <w:pPr>
        <w:shd w:val="clear"/>
        <w:spacing w:line="360" w:lineRule="auto"/>
        <w:ind w:firstLine="420" w:firstLineChars="200"/>
        <w:rPr>
          <w:rFonts w:ascii="宋体" w:hAnsi="宋体" w:cs="宋体"/>
          <w:color w:val="auto"/>
          <w:szCs w:val="21"/>
          <w:highlight w:val="none"/>
        </w:rPr>
      </w:pPr>
    </w:p>
    <w:p>
      <w:pPr>
        <w:shd w:val="clea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shd w:val="clear"/>
        <w:spacing w:line="360" w:lineRule="auto"/>
        <w:ind w:firstLine="4515" w:firstLineChars="2150"/>
        <w:rPr>
          <w:rFonts w:ascii="宋体" w:hAnsi="宋体" w:cs="宋体"/>
          <w:color w:val="auto"/>
          <w:szCs w:val="21"/>
          <w:highlight w:val="none"/>
          <w:u w:val="single"/>
        </w:rPr>
      </w:pPr>
    </w:p>
    <w:p>
      <w:pPr>
        <w:shd w:val="clea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hd w:val="clear"/>
        <w:spacing w:line="360" w:lineRule="auto"/>
        <w:rPr>
          <w:rFonts w:ascii="宋体" w:hAnsi="宋体" w:cs="宋体"/>
          <w:color w:val="auto"/>
          <w:sz w:val="24"/>
          <w:highlight w:val="none"/>
        </w:rPr>
      </w:pPr>
    </w:p>
    <w:p>
      <w:pPr>
        <w:shd w:val="clear"/>
        <w:spacing w:line="360" w:lineRule="auto"/>
        <w:rPr>
          <w:rFonts w:ascii="宋体" w:hAnsi="宋体" w:cs="宋体"/>
          <w:b/>
          <w:color w:val="auto"/>
          <w:szCs w:val="21"/>
          <w:highlight w:val="none"/>
        </w:rPr>
      </w:pPr>
    </w:p>
    <w:p>
      <w:pPr>
        <w:shd w:val="clear"/>
        <w:spacing w:line="360" w:lineRule="auto"/>
        <w:rPr>
          <w:rFonts w:ascii="宋体" w:hAnsi="宋体" w:cs="宋体"/>
          <w:b/>
          <w:color w:val="auto"/>
          <w:szCs w:val="21"/>
          <w:highlight w:val="none"/>
        </w:rPr>
      </w:pPr>
    </w:p>
    <w:p>
      <w:pPr>
        <w:shd w:val="clear"/>
        <w:jc w:val="left"/>
        <w:rPr>
          <w:rFonts w:cs="仿宋" w:asciiTheme="majorEastAsia" w:hAnsiTheme="majorEastAsia" w:eastAsiaTheme="majorEastAsia"/>
          <w:color w:val="auto"/>
          <w:sz w:val="24"/>
          <w:highlight w:val="none"/>
        </w:rPr>
      </w:pPr>
      <w:r>
        <w:rPr>
          <w:rFonts w:hint="eastAsia" w:ascii="宋体" w:hAnsi="宋体" w:cs="宋体"/>
          <w:b/>
          <w:color w:val="auto"/>
          <w:szCs w:val="21"/>
          <w:highlight w:val="none"/>
        </w:rPr>
        <w:t>附法定代表人身份证复印件（正反面）：</w:t>
      </w:r>
      <w:r>
        <w:rPr>
          <w:rFonts w:hint="eastAsia" w:cs="仿宋" w:asciiTheme="majorEastAsia" w:hAnsiTheme="majorEastAsia" w:eastAsiaTheme="majorEastAsia"/>
          <w:color w:val="auto"/>
          <w:sz w:val="24"/>
          <w:highlight w:val="none"/>
        </w:rPr>
        <w:t xml:space="preserve">                      </w:t>
      </w:r>
      <w:r>
        <w:rPr>
          <w:rFonts w:cs="仿宋" w:asciiTheme="majorEastAsia" w:hAnsiTheme="majorEastAsia" w:eastAsiaTheme="majorEastAsia"/>
          <w:color w:val="auto"/>
          <w:sz w:val="24"/>
          <w:highlight w:val="none"/>
        </w:rPr>
        <w:br w:type="page"/>
      </w:r>
    </w:p>
    <w:p>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hd w:val="clear"/>
        <w:jc w:val="center"/>
        <w:rPr>
          <w:rFonts w:ascii="宋体" w:hAnsi="宋体" w:cs="宋体"/>
          <w:bCs/>
          <w:color w:val="auto"/>
          <w:sz w:val="24"/>
          <w:highlight w:val="none"/>
        </w:rPr>
      </w:pPr>
    </w:p>
    <w:p>
      <w:pPr>
        <w:shd w:val="clea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pPr>
        <w:shd w:val="clear"/>
        <w:snapToGrid w:val="0"/>
        <w:spacing w:line="360" w:lineRule="auto"/>
        <w:rPr>
          <w:rFonts w:ascii="宋体" w:hAnsi="宋体" w:cs="宋体"/>
          <w:bCs/>
          <w:color w:val="auto"/>
          <w:sz w:val="24"/>
          <w:highlight w:val="none"/>
        </w:rPr>
      </w:pPr>
    </w:p>
    <w:p>
      <w:pPr>
        <w:shd w:val="clea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（投标人名称）的法定代表人，现授权委托本单位在职职工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项目的投标活动，并代表我方全权办理针对上述项目的投标、开标、评标、签约等具体事务和签署相关文件。</w:t>
      </w:r>
    </w:p>
    <w:p>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pPr>
        <w:shd w:val="clea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shd w:val="clear"/>
        <w:snapToGrid w:val="0"/>
        <w:spacing w:line="360" w:lineRule="auto"/>
        <w:rPr>
          <w:rFonts w:ascii="宋体" w:hAnsi="宋体" w:cs="宋体"/>
          <w:color w:val="auto"/>
          <w:szCs w:val="21"/>
          <w:highlight w:val="none"/>
        </w:rPr>
      </w:pPr>
    </w:p>
    <w:p>
      <w:pPr>
        <w:shd w:val="clear"/>
        <w:snapToGrid w:val="0"/>
        <w:spacing w:line="360" w:lineRule="auto"/>
        <w:rPr>
          <w:rFonts w:ascii="宋体" w:hAnsi="宋体" w:cs="宋体"/>
          <w:color w:val="auto"/>
          <w:szCs w:val="21"/>
          <w:highlight w:val="none"/>
        </w:rPr>
      </w:pPr>
    </w:p>
    <w:p>
      <w:pPr>
        <w:shd w:val="clea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w:t>
      </w:r>
      <w:r>
        <w:rPr>
          <w:rFonts w:hint="eastAsia" w:ascii="宋体" w:hAnsi="宋体" w:cs="宋体"/>
          <w:color w:val="auto"/>
          <w:szCs w:val="21"/>
          <w:highlight w:val="none"/>
          <w:u w:val="single"/>
        </w:rPr>
        <w:t xml:space="preserve">          </w:t>
      </w:r>
    </w:p>
    <w:p>
      <w:pPr>
        <w:shd w:val="clea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hd w:val="clear"/>
        <w:snapToGrid w:val="0"/>
        <w:spacing w:line="360" w:lineRule="auto"/>
        <w:rPr>
          <w:rFonts w:ascii="宋体" w:hAnsi="宋体" w:cs="宋体"/>
          <w:color w:val="auto"/>
          <w:szCs w:val="21"/>
          <w:highlight w:val="none"/>
        </w:rPr>
      </w:pPr>
    </w:p>
    <w:p>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pPr>
        <w:shd w:val="clear"/>
        <w:spacing w:line="360" w:lineRule="auto"/>
        <w:ind w:firstLine="1260" w:firstLineChars="600"/>
        <w:rPr>
          <w:rFonts w:ascii="宋体" w:hAnsi="宋体" w:cs="宋体"/>
          <w:color w:val="auto"/>
          <w:highlight w:val="none"/>
        </w:rPr>
      </w:pPr>
      <w:r>
        <w:rPr>
          <w:rFonts w:hint="eastAsia" w:ascii="宋体" w:hAnsi="宋体" w:cs="宋体"/>
          <w:color w:val="auto"/>
          <w:highlight w:val="none"/>
        </w:rPr>
        <w:t xml:space="preserve">                                  日期：</w:t>
      </w:r>
    </w:p>
    <w:p>
      <w:pPr>
        <w:shd w:val="clear"/>
        <w:spacing w:line="360" w:lineRule="auto"/>
        <w:rPr>
          <w:rFonts w:ascii="宋体" w:hAnsi="宋体" w:cs="宋体"/>
          <w:b/>
          <w:color w:val="auto"/>
          <w:szCs w:val="21"/>
          <w:highlight w:val="none"/>
        </w:rPr>
      </w:pPr>
    </w:p>
    <w:p>
      <w:pPr>
        <w:shd w:val="clear"/>
        <w:spacing w:line="360" w:lineRule="auto"/>
        <w:rPr>
          <w:rFonts w:ascii="宋体" w:hAnsi="宋体" w:cs="宋体"/>
          <w:b/>
          <w:color w:val="auto"/>
          <w:szCs w:val="21"/>
          <w:highlight w:val="none"/>
        </w:rPr>
      </w:pPr>
    </w:p>
    <w:p>
      <w:pPr>
        <w:shd w:val="clear"/>
        <w:jc w:val="left"/>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附：法定代表人身份证复印件（正反面）、授权代表身份证复印件（正反面）：</w:t>
      </w:r>
    </w:p>
    <w:p>
      <w:pPr>
        <w:shd w:val="clear"/>
        <w:snapToGrid w:val="0"/>
        <w:spacing w:line="360" w:lineRule="auto"/>
        <w:rPr>
          <w:rFonts w:cs="仿宋" w:asciiTheme="majorEastAsia" w:hAnsiTheme="majorEastAsia" w:eastAsiaTheme="majorEastAsia"/>
          <w:color w:val="auto"/>
          <w:sz w:val="24"/>
          <w:highlight w:val="none"/>
        </w:rPr>
      </w:pPr>
    </w:p>
    <w:p>
      <w:pPr>
        <w:shd w:val="clear"/>
        <w:spacing w:line="360" w:lineRule="auto"/>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32"/>
          <w:szCs w:val="32"/>
          <w:highlight w:val="none"/>
          <w:lang w:val="zh-CN"/>
        </w:rPr>
        <w:t xml:space="preserve">      </w:t>
      </w:r>
      <w:r>
        <w:rPr>
          <w:rFonts w:hint="eastAsia" w:cs="仿宋" w:asciiTheme="majorEastAsia" w:hAnsiTheme="majorEastAsia" w:eastAsiaTheme="majorEastAsia"/>
          <w:b/>
          <w:color w:val="auto"/>
          <w:kern w:val="0"/>
          <w:sz w:val="32"/>
          <w:szCs w:val="32"/>
          <w:highlight w:val="none"/>
        </w:rPr>
        <w:t xml:space="preserve"> </w:t>
      </w:r>
    </w:p>
    <w:p>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投标人基本情况</w:t>
      </w:r>
      <w:bookmarkEnd w:id="423"/>
      <w:bookmarkEnd w:id="424"/>
      <w:bookmarkEnd w:id="425"/>
      <w:bookmarkEnd w:id="426"/>
      <w:bookmarkEnd w:id="427"/>
      <w:bookmarkEnd w:id="428"/>
      <w:r>
        <w:rPr>
          <w:rFonts w:hint="eastAsia" w:cs="仿宋" w:asciiTheme="majorEastAsia" w:hAnsiTheme="majorEastAsia" w:eastAsiaTheme="majorEastAsia"/>
          <w:b/>
          <w:color w:val="auto"/>
          <w:kern w:val="0"/>
          <w:sz w:val="32"/>
          <w:szCs w:val="32"/>
          <w:highlight w:val="none"/>
          <w:lang w:val="zh-CN"/>
        </w:rPr>
        <w:t>表</w:t>
      </w:r>
    </w:p>
    <w:tbl>
      <w:tblPr>
        <w:tblStyle w:val="24"/>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项目负责人姓名</w:t>
            </w:r>
          </w:p>
        </w:tc>
        <w:tc>
          <w:tcPr>
            <w:tcW w:w="1936"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restart"/>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p>
      <w:pPr>
        <w:pStyle w:val="2"/>
        <w:shd w:val="clear"/>
        <w:spacing w:line="360" w:lineRule="auto"/>
        <w:ind w:firstLine="560"/>
        <w:rPr>
          <w:rFonts w:cs="仿宋" w:asciiTheme="majorEastAsia" w:hAnsiTheme="majorEastAsia" w:eastAsiaTheme="majorEastAsia"/>
          <w:color w:val="auto"/>
          <w:highlight w:val="none"/>
          <w:lang w:val="zh-CN"/>
        </w:rPr>
      </w:pPr>
    </w:p>
    <w:p>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距采购人最近或者能为本项目提供最优服务的网点情况表</w:t>
      </w:r>
    </w:p>
    <w:p>
      <w:pPr>
        <w:shd w:val="clear"/>
        <w:spacing w:line="360" w:lineRule="auto"/>
        <w:rPr>
          <w:rFonts w:cs="仿宋" w:asciiTheme="majorEastAsia" w:hAnsiTheme="majorEastAsia" w:eastAsiaTheme="majorEastAsia"/>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pPr>
        <w:shd w:val="clear"/>
        <w:spacing w:line="360" w:lineRule="auto"/>
        <w:rPr>
          <w:rFonts w:cs="仿宋" w:asciiTheme="majorEastAsia" w:hAnsiTheme="majorEastAsia" w:eastAsiaTheme="majorEastAsia"/>
          <w:color w:val="auto"/>
          <w:highlight w:val="none"/>
        </w:rPr>
      </w:pPr>
    </w:p>
    <w:p>
      <w:pPr>
        <w:shd w:val="clear"/>
        <w:spacing w:line="360" w:lineRule="auto"/>
        <w:rPr>
          <w:rFonts w:cs="仿宋" w:asciiTheme="majorEastAsia" w:hAnsiTheme="majorEastAsia" w:eastAsiaTheme="majorEastAsia"/>
          <w:color w:val="auto"/>
          <w:highlight w:val="none"/>
        </w:rPr>
      </w:pPr>
    </w:p>
    <w:p>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highlight w:val="none"/>
        </w:rPr>
        <w:t xml:space="preserve">       </w:t>
      </w:r>
    </w:p>
    <w:p>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评标标准相应的商务技术资料</w:t>
      </w:r>
    </w:p>
    <w:p>
      <w:pPr>
        <w:shd w:val="clear"/>
        <w:snapToGrid w:val="0"/>
        <w:spacing w:line="360" w:lineRule="auto"/>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pPr>
        <w:pStyle w:val="2"/>
        <w:shd w:val="clear"/>
        <w:ind w:firstLine="560"/>
        <w:rPr>
          <w:rFonts w:asciiTheme="majorEastAsia" w:hAnsiTheme="majorEastAsia" w:eastAsiaTheme="majorEastAsia"/>
          <w:color w:val="auto"/>
          <w:highlight w:val="none"/>
          <w:lang w:val="zh-CN"/>
        </w:rPr>
      </w:pPr>
    </w:p>
    <w:p>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商务响应表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72" w:type="dxa"/>
          </w:tcPr>
          <w:p>
            <w:pPr>
              <w:shd w:val="clea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285" w:type="dxa"/>
          </w:tcPr>
          <w:p>
            <w:pPr>
              <w:shd w:val="clea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948" w:type="dxa"/>
          </w:tcPr>
          <w:p>
            <w:pPr>
              <w:shd w:val="clea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响应或偏离说明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272" w:type="dxa"/>
          </w:tcPr>
          <w:p>
            <w:pPr>
              <w:shd w:val="clear"/>
              <w:spacing w:line="360" w:lineRule="auto"/>
              <w:jc w:val="center"/>
              <w:rPr>
                <w:rFonts w:ascii="仿宋" w:hAnsi="仿宋" w:eastAsia="仿宋" w:cs="仿宋"/>
                <w:b/>
                <w:color w:val="auto"/>
                <w:kern w:val="0"/>
                <w:sz w:val="32"/>
                <w:szCs w:val="32"/>
                <w:highlight w:val="none"/>
              </w:rPr>
            </w:pPr>
          </w:p>
        </w:tc>
        <w:tc>
          <w:tcPr>
            <w:tcW w:w="3285" w:type="dxa"/>
          </w:tcPr>
          <w:p>
            <w:pPr>
              <w:shd w:val="clear"/>
              <w:spacing w:line="360" w:lineRule="auto"/>
              <w:jc w:val="center"/>
              <w:rPr>
                <w:rFonts w:ascii="仿宋" w:hAnsi="仿宋" w:eastAsia="仿宋" w:cs="仿宋"/>
                <w:b/>
                <w:color w:val="auto"/>
                <w:kern w:val="0"/>
                <w:sz w:val="32"/>
                <w:szCs w:val="32"/>
                <w:highlight w:val="none"/>
              </w:rPr>
            </w:pPr>
          </w:p>
        </w:tc>
        <w:tc>
          <w:tcPr>
            <w:tcW w:w="1948" w:type="dxa"/>
          </w:tcPr>
          <w:p>
            <w:pPr>
              <w:shd w:val="clear"/>
              <w:spacing w:line="360" w:lineRule="auto"/>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272" w:type="dxa"/>
          </w:tcPr>
          <w:p>
            <w:pPr>
              <w:shd w:val="clear"/>
              <w:spacing w:line="360" w:lineRule="auto"/>
              <w:jc w:val="center"/>
              <w:rPr>
                <w:rFonts w:ascii="仿宋" w:hAnsi="仿宋" w:eastAsia="仿宋" w:cs="仿宋"/>
                <w:b/>
                <w:color w:val="auto"/>
                <w:kern w:val="0"/>
                <w:sz w:val="32"/>
                <w:szCs w:val="32"/>
                <w:highlight w:val="none"/>
              </w:rPr>
            </w:pPr>
          </w:p>
        </w:tc>
        <w:tc>
          <w:tcPr>
            <w:tcW w:w="3285" w:type="dxa"/>
          </w:tcPr>
          <w:p>
            <w:pPr>
              <w:shd w:val="clear"/>
              <w:spacing w:line="360" w:lineRule="auto"/>
              <w:jc w:val="center"/>
              <w:rPr>
                <w:rFonts w:ascii="仿宋" w:hAnsi="仿宋" w:eastAsia="仿宋" w:cs="仿宋"/>
                <w:b/>
                <w:color w:val="auto"/>
                <w:kern w:val="0"/>
                <w:sz w:val="32"/>
                <w:szCs w:val="32"/>
                <w:highlight w:val="none"/>
              </w:rPr>
            </w:pPr>
          </w:p>
        </w:tc>
        <w:tc>
          <w:tcPr>
            <w:tcW w:w="1948" w:type="dxa"/>
          </w:tcPr>
          <w:p>
            <w:pPr>
              <w:shd w:val="clear"/>
              <w:spacing w:line="360" w:lineRule="auto"/>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272" w:type="dxa"/>
          </w:tcPr>
          <w:p>
            <w:pPr>
              <w:shd w:val="clear"/>
              <w:spacing w:line="360" w:lineRule="auto"/>
              <w:jc w:val="center"/>
              <w:rPr>
                <w:rFonts w:ascii="仿宋" w:hAnsi="仿宋" w:eastAsia="仿宋" w:cs="仿宋"/>
                <w:b/>
                <w:color w:val="auto"/>
                <w:kern w:val="0"/>
                <w:sz w:val="32"/>
                <w:szCs w:val="32"/>
                <w:highlight w:val="none"/>
              </w:rPr>
            </w:pPr>
          </w:p>
        </w:tc>
        <w:tc>
          <w:tcPr>
            <w:tcW w:w="3285" w:type="dxa"/>
          </w:tcPr>
          <w:p>
            <w:pPr>
              <w:shd w:val="clear"/>
              <w:spacing w:line="360" w:lineRule="auto"/>
              <w:jc w:val="center"/>
              <w:rPr>
                <w:rFonts w:ascii="仿宋" w:hAnsi="仿宋" w:eastAsia="仿宋" w:cs="仿宋"/>
                <w:b/>
                <w:color w:val="auto"/>
                <w:kern w:val="0"/>
                <w:sz w:val="32"/>
                <w:szCs w:val="32"/>
                <w:highlight w:val="none"/>
              </w:rPr>
            </w:pPr>
          </w:p>
        </w:tc>
        <w:tc>
          <w:tcPr>
            <w:tcW w:w="1948" w:type="dxa"/>
          </w:tcPr>
          <w:p>
            <w:pPr>
              <w:shd w:val="clear"/>
              <w:spacing w:line="360" w:lineRule="auto"/>
              <w:jc w:val="center"/>
              <w:rPr>
                <w:rFonts w:ascii="仿宋" w:hAnsi="仿宋" w:eastAsia="仿宋" w:cs="仿宋"/>
                <w:b/>
                <w:color w:val="auto"/>
                <w:kern w:val="0"/>
                <w:sz w:val="32"/>
                <w:szCs w:val="32"/>
                <w:highlight w:val="none"/>
              </w:rPr>
            </w:pPr>
          </w:p>
        </w:tc>
      </w:tr>
    </w:tbl>
    <w:p>
      <w:pPr>
        <w:shd w:val="clear"/>
        <w:adjustRightInd w:val="0"/>
        <w:snapToGrid w:val="0"/>
        <w:spacing w:line="360" w:lineRule="auto"/>
        <w:jc w:val="right"/>
        <w:rPr>
          <w:rFonts w:cs="仿宋" w:asciiTheme="majorEastAsia" w:hAnsiTheme="majorEastAsia" w:eastAsiaTheme="majorEastAsia"/>
          <w:color w:val="auto"/>
          <w:kern w:val="0"/>
          <w:sz w:val="24"/>
          <w:highlight w:val="none"/>
        </w:rPr>
      </w:pPr>
    </w:p>
    <w:p>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pPr>
        <w:widowControl/>
        <w:shd w:val="clear"/>
        <w:jc w:val="left"/>
        <w:rPr>
          <w:rFonts w:asciiTheme="majorEastAsia" w:hAnsiTheme="majorEastAsia" w:eastAsiaTheme="majorEastAsia"/>
          <w:color w:val="auto"/>
          <w:sz w:val="28"/>
          <w:highlight w:val="none"/>
          <w:lang w:val="zh-CN"/>
        </w:rPr>
      </w:pPr>
    </w:p>
    <w:p>
      <w:pPr>
        <w:widowControl/>
        <w:shd w:val="clear"/>
        <w:jc w:val="left"/>
        <w:rPr>
          <w:rFonts w:asciiTheme="majorEastAsia" w:hAnsiTheme="majorEastAsia" w:eastAsiaTheme="majorEastAsia"/>
          <w:color w:val="auto"/>
          <w:sz w:val="28"/>
          <w:highlight w:val="none"/>
          <w:lang w:val="zh-CN"/>
        </w:rPr>
      </w:pPr>
      <w:r>
        <w:rPr>
          <w:rFonts w:asciiTheme="majorEastAsia" w:hAnsiTheme="majorEastAsia" w:eastAsiaTheme="majorEastAsia"/>
          <w:color w:val="auto"/>
          <w:highlight w:val="none"/>
          <w:lang w:val="zh-CN"/>
        </w:rPr>
        <w:br w:type="page"/>
      </w:r>
    </w:p>
    <w:p>
      <w:pPr>
        <w:pStyle w:val="2"/>
        <w:shd w:val="clear"/>
        <w:ind w:firstLine="560"/>
        <w:rPr>
          <w:rFonts w:asciiTheme="majorEastAsia" w:hAnsiTheme="majorEastAsia" w:eastAsiaTheme="majorEastAsia"/>
          <w:color w:val="auto"/>
          <w:highlight w:val="none"/>
          <w:lang w:val="zh-CN"/>
        </w:rPr>
      </w:pPr>
    </w:p>
    <w:p>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技术响应表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27"/>
        <w:gridCol w:w="3270"/>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27" w:type="dxa"/>
          </w:tcPr>
          <w:p>
            <w:pPr>
              <w:shd w:val="clea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270" w:type="dxa"/>
          </w:tcPr>
          <w:p>
            <w:pPr>
              <w:shd w:val="clea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2008" w:type="dxa"/>
          </w:tcPr>
          <w:p>
            <w:pPr>
              <w:shd w:val="clea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响应或偏离说明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227" w:type="dxa"/>
          </w:tcPr>
          <w:p>
            <w:pPr>
              <w:shd w:val="clear"/>
              <w:spacing w:line="360" w:lineRule="auto"/>
              <w:jc w:val="center"/>
              <w:rPr>
                <w:rFonts w:ascii="仿宋" w:hAnsi="仿宋" w:eastAsia="仿宋" w:cs="仿宋"/>
                <w:b/>
                <w:color w:val="auto"/>
                <w:kern w:val="0"/>
                <w:sz w:val="32"/>
                <w:szCs w:val="32"/>
                <w:highlight w:val="none"/>
              </w:rPr>
            </w:pPr>
          </w:p>
        </w:tc>
        <w:tc>
          <w:tcPr>
            <w:tcW w:w="3270" w:type="dxa"/>
          </w:tcPr>
          <w:p>
            <w:pPr>
              <w:shd w:val="clear"/>
              <w:spacing w:line="360" w:lineRule="auto"/>
              <w:jc w:val="center"/>
              <w:rPr>
                <w:rFonts w:ascii="仿宋" w:hAnsi="仿宋" w:eastAsia="仿宋" w:cs="仿宋"/>
                <w:b/>
                <w:color w:val="auto"/>
                <w:kern w:val="0"/>
                <w:sz w:val="32"/>
                <w:szCs w:val="32"/>
                <w:highlight w:val="none"/>
              </w:rPr>
            </w:pPr>
          </w:p>
        </w:tc>
        <w:tc>
          <w:tcPr>
            <w:tcW w:w="2008" w:type="dxa"/>
          </w:tcPr>
          <w:p>
            <w:pPr>
              <w:shd w:val="clear"/>
              <w:spacing w:line="360" w:lineRule="auto"/>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227" w:type="dxa"/>
          </w:tcPr>
          <w:p>
            <w:pPr>
              <w:shd w:val="clear"/>
              <w:spacing w:line="360" w:lineRule="auto"/>
              <w:jc w:val="center"/>
              <w:rPr>
                <w:rFonts w:ascii="仿宋" w:hAnsi="仿宋" w:eastAsia="仿宋" w:cs="仿宋"/>
                <w:b/>
                <w:color w:val="auto"/>
                <w:kern w:val="0"/>
                <w:sz w:val="32"/>
                <w:szCs w:val="32"/>
                <w:highlight w:val="none"/>
              </w:rPr>
            </w:pPr>
          </w:p>
        </w:tc>
        <w:tc>
          <w:tcPr>
            <w:tcW w:w="3270" w:type="dxa"/>
          </w:tcPr>
          <w:p>
            <w:pPr>
              <w:shd w:val="clear"/>
              <w:spacing w:line="360" w:lineRule="auto"/>
              <w:jc w:val="center"/>
              <w:rPr>
                <w:rFonts w:ascii="仿宋" w:hAnsi="仿宋" w:eastAsia="仿宋" w:cs="仿宋"/>
                <w:b/>
                <w:color w:val="auto"/>
                <w:kern w:val="0"/>
                <w:sz w:val="32"/>
                <w:szCs w:val="32"/>
                <w:highlight w:val="none"/>
              </w:rPr>
            </w:pPr>
          </w:p>
        </w:tc>
        <w:tc>
          <w:tcPr>
            <w:tcW w:w="2008" w:type="dxa"/>
          </w:tcPr>
          <w:p>
            <w:pPr>
              <w:shd w:val="clear"/>
              <w:spacing w:line="360" w:lineRule="auto"/>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227" w:type="dxa"/>
          </w:tcPr>
          <w:p>
            <w:pPr>
              <w:shd w:val="clear"/>
              <w:spacing w:line="360" w:lineRule="auto"/>
              <w:jc w:val="center"/>
              <w:rPr>
                <w:rFonts w:ascii="仿宋" w:hAnsi="仿宋" w:eastAsia="仿宋" w:cs="仿宋"/>
                <w:b/>
                <w:color w:val="auto"/>
                <w:kern w:val="0"/>
                <w:sz w:val="32"/>
                <w:szCs w:val="32"/>
                <w:highlight w:val="none"/>
              </w:rPr>
            </w:pPr>
          </w:p>
        </w:tc>
        <w:tc>
          <w:tcPr>
            <w:tcW w:w="3270" w:type="dxa"/>
          </w:tcPr>
          <w:p>
            <w:pPr>
              <w:shd w:val="clear"/>
              <w:spacing w:line="360" w:lineRule="auto"/>
              <w:jc w:val="center"/>
              <w:rPr>
                <w:rFonts w:ascii="仿宋" w:hAnsi="仿宋" w:eastAsia="仿宋" w:cs="仿宋"/>
                <w:b/>
                <w:color w:val="auto"/>
                <w:kern w:val="0"/>
                <w:sz w:val="32"/>
                <w:szCs w:val="32"/>
                <w:highlight w:val="none"/>
              </w:rPr>
            </w:pPr>
          </w:p>
        </w:tc>
        <w:tc>
          <w:tcPr>
            <w:tcW w:w="2008" w:type="dxa"/>
          </w:tcPr>
          <w:p>
            <w:pPr>
              <w:shd w:val="clear"/>
              <w:spacing w:line="360" w:lineRule="auto"/>
              <w:jc w:val="center"/>
              <w:rPr>
                <w:rFonts w:ascii="仿宋" w:hAnsi="仿宋" w:eastAsia="仿宋" w:cs="仿宋"/>
                <w:b/>
                <w:color w:val="auto"/>
                <w:kern w:val="0"/>
                <w:sz w:val="32"/>
                <w:szCs w:val="32"/>
                <w:highlight w:val="none"/>
              </w:rPr>
            </w:pPr>
          </w:p>
        </w:tc>
      </w:tr>
    </w:tbl>
    <w:p>
      <w:pPr>
        <w:shd w:val="clear"/>
        <w:spacing w:line="360" w:lineRule="auto"/>
        <w:ind w:firstLine="3360" w:firstLineChars="1600"/>
        <w:rPr>
          <w:rFonts w:ascii="宋体" w:hAnsi="宋体" w:cs="宋体"/>
          <w:color w:val="auto"/>
          <w:highlight w:val="none"/>
        </w:rPr>
      </w:pPr>
    </w:p>
    <w:p>
      <w:pPr>
        <w:shd w:val="clear"/>
        <w:spacing w:line="360" w:lineRule="auto"/>
        <w:ind w:firstLine="3360" w:firstLineChars="1600"/>
        <w:rPr>
          <w:rFonts w:ascii="宋体" w:hAnsi="宋体" w:cs="宋体"/>
          <w:color w:val="auto"/>
          <w:highlight w:val="none"/>
        </w:rPr>
      </w:pPr>
      <w:r>
        <w:rPr>
          <w:rFonts w:hint="eastAsia" w:ascii="宋体" w:hAnsi="宋体" w:cs="宋体"/>
          <w:color w:val="auto"/>
          <w:highlight w:val="none"/>
        </w:rPr>
        <w:t>法定代表人或其授权委托人（签名或印章）：</w:t>
      </w:r>
    </w:p>
    <w:p>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pPr>
        <w:shd w:val="clear"/>
        <w:spacing w:line="360" w:lineRule="auto"/>
        <w:rPr>
          <w:rFonts w:ascii="宋体" w:hAnsi="宋体" w:cs="宋体"/>
          <w:color w:val="auto"/>
          <w:sz w:val="24"/>
          <w:highlight w:val="none"/>
        </w:rPr>
      </w:pPr>
      <w:r>
        <w:rPr>
          <w:rFonts w:hint="eastAsia" w:ascii="宋体" w:hAnsi="宋体" w:cs="宋体"/>
          <w:color w:val="auto"/>
          <w:highlight w:val="none"/>
        </w:rPr>
        <w:t xml:space="preserve">                                              日期：</w:t>
      </w:r>
    </w:p>
    <w:p>
      <w:pPr>
        <w:pStyle w:val="2"/>
        <w:shd w:val="clear"/>
        <w:ind w:firstLine="560"/>
        <w:rPr>
          <w:color w:val="auto"/>
          <w:highlight w:val="none"/>
        </w:rPr>
      </w:pPr>
    </w:p>
    <w:p>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同类业绩情况一览表</w:t>
      </w:r>
    </w:p>
    <w:p>
      <w:pPr>
        <w:shd w:val="clear"/>
        <w:spacing w:line="360" w:lineRule="auto"/>
        <w:jc w:val="center"/>
        <w:rPr>
          <w:rFonts w:cs="仿宋" w:asciiTheme="majorEastAsia" w:hAnsiTheme="majorEastAsia" w:eastAsiaTheme="majorEastAsia"/>
          <w:color w:val="auto"/>
          <w:highlight w:val="none"/>
        </w:rPr>
      </w:pPr>
    </w:p>
    <w:tbl>
      <w:tblPr>
        <w:tblStyle w:val="24"/>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w:t>
            </w:r>
          </w:p>
          <w:p>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highlight w:val="none"/>
              </w:rPr>
            </w:pPr>
          </w:p>
        </w:tc>
      </w:tr>
    </w:tbl>
    <w:p>
      <w:pPr>
        <w:shd w:val="clear"/>
        <w:spacing w:line="360" w:lineRule="auto"/>
        <w:jc w:val="left"/>
        <w:rPr>
          <w:rFonts w:cs="仿宋" w:asciiTheme="majorEastAsia" w:hAnsiTheme="majorEastAsia" w:eastAsiaTheme="majorEastAsia"/>
          <w:color w:val="auto"/>
          <w:kern w:val="0"/>
          <w:sz w:val="24"/>
          <w:highlight w:val="none"/>
        </w:rPr>
      </w:pPr>
    </w:p>
    <w:p>
      <w:pPr>
        <w:shd w:val="clear"/>
        <w:spacing w:line="360" w:lineRule="auto"/>
        <w:jc w:val="left"/>
        <w:rPr>
          <w:rFonts w:cs="仿宋" w:asciiTheme="majorEastAsia" w:hAnsiTheme="majorEastAsia" w:eastAsiaTheme="majorEastAsia"/>
          <w:color w:val="auto"/>
          <w:kern w:val="0"/>
          <w:sz w:val="24"/>
          <w:highlight w:val="none"/>
        </w:rPr>
      </w:pPr>
    </w:p>
    <w:p>
      <w:pPr>
        <w:shd w:val="clear"/>
        <w:spacing w:line="360" w:lineRule="auto"/>
        <w:jc w:val="left"/>
        <w:rPr>
          <w:rFonts w:cs="仿宋" w:asciiTheme="majorEastAsia" w:hAnsiTheme="majorEastAsia" w:eastAsiaTheme="majorEastAsia"/>
          <w:color w:val="auto"/>
          <w:kern w:val="0"/>
          <w:sz w:val="24"/>
          <w:highlight w:val="none"/>
        </w:rPr>
      </w:pPr>
    </w:p>
    <w:p>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pPr>
        <w:shd w:val="clear"/>
        <w:spacing w:line="360" w:lineRule="auto"/>
        <w:ind w:left="4620" w:leftChars="2200"/>
        <w:jc w:val="left"/>
        <w:rPr>
          <w:rFonts w:cs="仿宋" w:asciiTheme="majorEastAsia" w:hAnsiTheme="majorEastAsia" w:eastAsiaTheme="majorEastAsia"/>
          <w:b/>
          <w:color w:val="auto"/>
          <w:kern w:val="0"/>
          <w:sz w:val="32"/>
          <w:szCs w:val="32"/>
          <w:highlight w:val="none"/>
          <w:lang w:val="zh-CN"/>
        </w:rPr>
      </w:pPr>
    </w:p>
    <w:p>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政府采购供应商廉洁自律承诺书</w:t>
      </w:r>
    </w:p>
    <w:p>
      <w:pPr>
        <w:shd w:val="clear"/>
        <w:snapToGrid w:val="0"/>
        <w:spacing w:line="360" w:lineRule="auto"/>
        <w:rPr>
          <w:rFonts w:cs="仿宋" w:asciiTheme="majorEastAsia" w:hAnsiTheme="majorEastAsia" w:eastAsiaTheme="majorEastAsia"/>
          <w:color w:val="auto"/>
          <w:sz w:val="24"/>
          <w:highlight w:val="none"/>
        </w:rPr>
      </w:pPr>
    </w:p>
    <w:p>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进行项目建设或其他经营活动，并通报市财政局。由此引起的相应损失均由我单位承担。</w:t>
      </w:r>
    </w:p>
    <w:p>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pPr>
        <w:shd w:val="clear"/>
        <w:spacing w:line="360" w:lineRule="auto"/>
        <w:ind w:left="4620" w:leftChars="2200"/>
        <w:rPr>
          <w:rFonts w:cs="仿宋" w:asciiTheme="majorEastAsia" w:hAnsiTheme="majorEastAsia" w:eastAsiaTheme="majorEastAsia"/>
          <w:color w:val="auto"/>
          <w:sz w:val="24"/>
          <w:highlight w:val="none"/>
        </w:rPr>
      </w:pPr>
    </w:p>
    <w:p>
      <w:pPr>
        <w:shd w:val="clear"/>
        <w:spacing w:line="360" w:lineRule="auto"/>
        <w:jc w:val="center"/>
        <w:rPr>
          <w:rFonts w:cs="仿宋" w:asciiTheme="majorEastAsia" w:hAnsiTheme="majorEastAsia" w:eastAsiaTheme="majorEastAsia"/>
          <w:b/>
          <w:bCs/>
          <w:color w:val="auto"/>
          <w:sz w:val="24"/>
          <w:highlight w:val="none"/>
        </w:rPr>
      </w:pPr>
    </w:p>
    <w:p>
      <w:pPr>
        <w:shd w:val="clear"/>
        <w:spacing w:line="360" w:lineRule="auto"/>
        <w:jc w:val="center"/>
        <w:rPr>
          <w:rFonts w:cs="仿宋" w:asciiTheme="majorEastAsia" w:hAnsiTheme="majorEastAsia" w:eastAsiaTheme="maj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shd w:val="clear"/>
        <w:spacing w:line="360" w:lineRule="auto"/>
        <w:jc w:val="center"/>
        <w:outlineLvl w:val="0"/>
        <w:rPr>
          <w:rFonts w:cs="仿宋" w:asciiTheme="majorEastAsia" w:hAnsiTheme="majorEastAsia" w:eastAsiaTheme="majorEastAsia"/>
          <w:b/>
          <w:color w:val="auto"/>
          <w:kern w:val="0"/>
          <w:sz w:val="36"/>
          <w:szCs w:val="36"/>
          <w:highlight w:val="none"/>
        </w:rPr>
      </w:pPr>
    </w:p>
    <w:p>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sz w:val="24"/>
          <w:highlight w:val="none"/>
        </w:rPr>
        <w:t xml:space="preserve"> </w:t>
      </w:r>
    </w:p>
    <w:p>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开标一览表；</w:t>
      </w:r>
    </w:p>
    <w:p>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投标报价明细表；</w:t>
      </w:r>
    </w:p>
    <w:p>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中小企业声明函（如有）；</w:t>
      </w:r>
    </w:p>
    <w:p>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残疾人福利性单位声明函（如有）；</w:t>
      </w:r>
    </w:p>
    <w:p>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监狱企业的证明文件（如有）；</w:t>
      </w:r>
    </w:p>
    <w:p>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政府采购统计基础信息表；</w:t>
      </w:r>
    </w:p>
    <w:p>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其他资料（如有）。</w:t>
      </w:r>
    </w:p>
    <w:p>
      <w:pPr>
        <w:shd w:val="clear"/>
        <w:snapToGrid w:val="0"/>
        <w:spacing w:line="360" w:lineRule="auto"/>
        <w:ind w:right="480"/>
        <w:rPr>
          <w:rFonts w:cs="仿宋" w:asciiTheme="majorEastAsia" w:hAnsiTheme="majorEastAsia" w:eastAsiaTheme="majorEastAsia"/>
          <w:b/>
          <w:color w:val="auto"/>
          <w:kern w:val="0"/>
          <w:sz w:val="32"/>
          <w:szCs w:val="32"/>
          <w:highlight w:val="none"/>
        </w:rPr>
      </w:pPr>
    </w:p>
    <w:p>
      <w:pPr>
        <w:pStyle w:val="39"/>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pStyle w:val="39"/>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pPr>
        <w:shd w:val="clear"/>
        <w:snapToGrid w:val="0"/>
        <w:spacing w:line="360" w:lineRule="auto"/>
        <w:rPr>
          <w:rFonts w:ascii="宋体" w:hAnsi="宋体" w:cs="仿宋"/>
          <w:color w:val="auto"/>
          <w:kern w:val="0"/>
          <w:sz w:val="24"/>
          <w:highlight w:val="none"/>
          <w:u w:val="single"/>
        </w:rPr>
      </w:pPr>
      <w:r>
        <w:rPr>
          <w:rFonts w:hint="eastAsia" w:ascii="宋体" w:hAnsi="宋体" w:cs="仿宋"/>
          <w:color w:val="auto"/>
          <w:sz w:val="24"/>
          <w:highlight w:val="none"/>
        </w:rPr>
        <w:t>（采购人）、（采购代理机构）</w:t>
      </w:r>
      <w:r>
        <w:rPr>
          <w:rFonts w:hint="eastAsia" w:ascii="宋体" w:hAnsi="宋体" w:cs="仿宋"/>
          <w:color w:val="auto"/>
          <w:kern w:val="0"/>
          <w:sz w:val="24"/>
          <w:highlight w:val="none"/>
          <w:lang w:val="zh-CN"/>
        </w:rPr>
        <w:t>：</w:t>
      </w:r>
      <w:r>
        <w:rPr>
          <w:rFonts w:hint="eastAsia" w:ascii="宋体" w:hAnsi="宋体" w:cs="仿宋"/>
          <w:color w:val="auto"/>
          <w:kern w:val="0"/>
          <w:sz w:val="24"/>
          <w:highlight w:val="none"/>
          <w:u w:val="single"/>
        </w:rPr>
        <w:t xml:space="preserve">                                     </w:t>
      </w:r>
    </w:p>
    <w:p>
      <w:pPr>
        <w:shd w:val="clear"/>
        <w:snapToGrid w:val="0"/>
        <w:spacing w:line="360" w:lineRule="auto"/>
        <w:ind w:firstLine="482"/>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仿宋"/>
          <w:color w:val="auto"/>
          <w:sz w:val="24"/>
          <w:highlight w:val="none"/>
        </w:rPr>
        <w:t>（项目名称）</w:t>
      </w:r>
      <w:r>
        <w:rPr>
          <w:rFonts w:hint="eastAsia" w:ascii="宋体" w:hAnsi="宋体" w:cs="仿宋"/>
          <w:color w:val="auto"/>
          <w:kern w:val="0"/>
          <w:sz w:val="24"/>
          <w:highlight w:val="none"/>
          <w:lang w:val="zh-CN"/>
        </w:rPr>
        <w:t>【招标编号：</w:t>
      </w:r>
      <w:r>
        <w:rPr>
          <w:rFonts w:hint="eastAsia" w:ascii="宋体" w:hAnsi="宋体" w:cs="仿宋"/>
          <w:color w:val="auto"/>
          <w:sz w:val="24"/>
          <w:highlight w:val="none"/>
        </w:rPr>
        <w:t>（采购编号）】的实施</w:t>
      </w:r>
      <w:r>
        <w:rPr>
          <w:rFonts w:hint="eastAsia" w:ascii="宋体" w:hAnsi="宋体" w:cs="仿宋"/>
          <w:color w:val="auto"/>
          <w:kern w:val="0"/>
          <w:sz w:val="24"/>
          <w:highlight w:val="none"/>
          <w:lang w:val="zh-CN"/>
        </w:rPr>
        <w:t>。</w:t>
      </w:r>
    </w:p>
    <w:p>
      <w:pPr>
        <w:shd w:val="clear"/>
        <w:spacing w:line="360" w:lineRule="auto"/>
        <w:jc w:val="center"/>
        <w:rPr>
          <w:rFonts w:ascii="宋体" w:hAnsi="宋体" w:cs="仿宋"/>
          <w:b/>
          <w:color w:val="auto"/>
          <w:kern w:val="0"/>
          <w:sz w:val="24"/>
          <w:highlight w:val="none"/>
          <w:lang w:val="zh-CN"/>
        </w:rPr>
      </w:pPr>
      <w:r>
        <w:rPr>
          <w:rFonts w:hint="eastAsia" w:ascii="宋体" w:hAnsi="宋体" w:cs="仿宋"/>
          <w:b/>
          <w:color w:val="auto"/>
          <w:kern w:val="0"/>
          <w:sz w:val="24"/>
          <w:highlight w:val="none"/>
          <w:lang w:val="zh-CN"/>
        </w:rPr>
        <w:t>开标一览表（报价表）(单位均为人民币元)</w:t>
      </w:r>
    </w:p>
    <w:tbl>
      <w:tblPr>
        <w:tblStyle w:val="24"/>
        <w:tblW w:w="50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2612"/>
        <w:gridCol w:w="874"/>
        <w:gridCol w:w="1276"/>
        <w:gridCol w:w="1134"/>
        <w:gridCol w:w="156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312" w:type="pct"/>
            <w:vAlign w:val="center"/>
          </w:tcPr>
          <w:p>
            <w:pPr>
              <w:shd w:val="clear"/>
              <w:jc w:val="center"/>
              <w:rPr>
                <w:rFonts w:ascii="宋体" w:hAnsi="宋体" w:cs="仿宋"/>
                <w:color w:val="auto"/>
                <w:sz w:val="24"/>
                <w:highlight w:val="none"/>
              </w:rPr>
            </w:pPr>
            <w:r>
              <w:rPr>
                <w:rFonts w:hint="eastAsia" w:ascii="宋体" w:hAnsi="宋体" w:cs="仿宋"/>
                <w:color w:val="auto"/>
                <w:sz w:val="24"/>
                <w:highlight w:val="none"/>
              </w:rPr>
              <w:t>序号</w:t>
            </w:r>
          </w:p>
        </w:tc>
        <w:tc>
          <w:tcPr>
            <w:tcW w:w="1380" w:type="pct"/>
            <w:vAlign w:val="center"/>
          </w:tcPr>
          <w:p>
            <w:pPr>
              <w:shd w:val="clear"/>
              <w:jc w:val="center"/>
              <w:rPr>
                <w:rFonts w:ascii="宋体" w:hAnsi="宋体" w:cs="仿宋"/>
                <w:color w:val="auto"/>
                <w:sz w:val="24"/>
                <w:highlight w:val="none"/>
              </w:rPr>
            </w:pPr>
            <w:r>
              <w:rPr>
                <w:rFonts w:hint="eastAsia" w:ascii="宋体" w:hAnsi="宋体" w:cs="仿宋"/>
                <w:color w:val="auto"/>
                <w:sz w:val="24"/>
                <w:highlight w:val="none"/>
              </w:rPr>
              <w:t>名称</w:t>
            </w:r>
          </w:p>
        </w:tc>
        <w:tc>
          <w:tcPr>
            <w:tcW w:w="462" w:type="pct"/>
            <w:vAlign w:val="center"/>
          </w:tcPr>
          <w:p>
            <w:pPr>
              <w:shd w:val="clear"/>
              <w:jc w:val="center"/>
              <w:rPr>
                <w:rFonts w:ascii="宋体" w:hAnsi="宋体" w:cs="仿宋"/>
                <w:color w:val="auto"/>
                <w:sz w:val="24"/>
                <w:highlight w:val="none"/>
              </w:rPr>
            </w:pPr>
            <w:r>
              <w:rPr>
                <w:rFonts w:hint="eastAsia" w:ascii="宋体" w:hAnsi="宋体" w:cs="仿宋"/>
                <w:color w:val="auto"/>
                <w:sz w:val="24"/>
                <w:highlight w:val="none"/>
              </w:rPr>
              <w:t>品牌</w:t>
            </w:r>
          </w:p>
        </w:tc>
        <w:tc>
          <w:tcPr>
            <w:tcW w:w="674" w:type="pct"/>
            <w:vAlign w:val="center"/>
          </w:tcPr>
          <w:p>
            <w:pPr>
              <w:shd w:val="clear"/>
              <w:jc w:val="center"/>
              <w:rPr>
                <w:rFonts w:ascii="宋体" w:hAnsi="宋体" w:cs="仿宋"/>
                <w:color w:val="auto"/>
                <w:sz w:val="24"/>
                <w:highlight w:val="none"/>
              </w:rPr>
            </w:pPr>
            <w:r>
              <w:rPr>
                <w:rFonts w:hint="eastAsia" w:ascii="宋体" w:hAnsi="宋体" w:cs="仿宋"/>
                <w:color w:val="auto"/>
                <w:sz w:val="24"/>
                <w:highlight w:val="none"/>
              </w:rPr>
              <w:t>规格型号</w:t>
            </w:r>
          </w:p>
        </w:tc>
        <w:tc>
          <w:tcPr>
            <w:tcW w:w="599" w:type="pct"/>
            <w:vAlign w:val="center"/>
          </w:tcPr>
          <w:p>
            <w:pPr>
              <w:shd w:val="clear"/>
              <w:jc w:val="center"/>
              <w:rPr>
                <w:rFonts w:ascii="宋体" w:hAnsi="宋体" w:cs="仿宋"/>
                <w:color w:val="auto"/>
                <w:sz w:val="24"/>
                <w:highlight w:val="none"/>
              </w:rPr>
            </w:pPr>
            <w:r>
              <w:rPr>
                <w:rFonts w:hint="eastAsia" w:ascii="宋体" w:hAnsi="宋体" w:cs="仿宋"/>
                <w:color w:val="auto"/>
                <w:sz w:val="24"/>
                <w:highlight w:val="none"/>
              </w:rPr>
              <w:t>数量</w:t>
            </w:r>
          </w:p>
        </w:tc>
        <w:tc>
          <w:tcPr>
            <w:tcW w:w="824" w:type="pct"/>
            <w:vAlign w:val="center"/>
          </w:tcPr>
          <w:p>
            <w:pPr>
              <w:shd w:val="clear"/>
              <w:jc w:val="center"/>
              <w:rPr>
                <w:rFonts w:ascii="宋体" w:hAnsi="宋体" w:cs="仿宋"/>
                <w:color w:val="auto"/>
                <w:sz w:val="24"/>
                <w:highlight w:val="none"/>
              </w:rPr>
            </w:pPr>
            <w:r>
              <w:rPr>
                <w:rFonts w:hint="eastAsia" w:ascii="宋体" w:hAnsi="宋体" w:cs="仿宋"/>
                <w:color w:val="auto"/>
                <w:sz w:val="24"/>
                <w:highlight w:val="none"/>
              </w:rPr>
              <w:t>单价</w:t>
            </w:r>
          </w:p>
        </w:tc>
        <w:tc>
          <w:tcPr>
            <w:tcW w:w="749" w:type="pct"/>
            <w:vAlign w:val="center"/>
          </w:tcPr>
          <w:p>
            <w:pPr>
              <w:shd w:val="clear"/>
              <w:jc w:val="center"/>
              <w:rPr>
                <w:rFonts w:ascii="宋体" w:hAnsi="宋体" w:cs="仿宋"/>
                <w:color w:val="auto"/>
                <w:sz w:val="24"/>
                <w:highlight w:val="none"/>
              </w:rPr>
            </w:pPr>
            <w:r>
              <w:rPr>
                <w:rFonts w:hint="eastAsia" w:ascii="宋体" w:hAnsi="宋体" w:cs="仿宋"/>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12" w:type="pct"/>
            <w:vAlign w:val="center"/>
          </w:tcPr>
          <w:p>
            <w:pPr>
              <w:shd w:val="clear"/>
              <w:jc w:val="center"/>
              <w:rPr>
                <w:rFonts w:ascii="宋体" w:hAnsi="宋体" w:cs="仿宋"/>
                <w:color w:val="auto"/>
                <w:sz w:val="24"/>
                <w:highlight w:val="none"/>
              </w:rPr>
            </w:pPr>
            <w:r>
              <w:rPr>
                <w:rFonts w:hint="eastAsia" w:ascii="宋体" w:hAnsi="宋体" w:cs="仿宋"/>
                <w:color w:val="auto"/>
                <w:sz w:val="24"/>
                <w:highlight w:val="none"/>
              </w:rPr>
              <w:t>1</w:t>
            </w:r>
          </w:p>
        </w:tc>
        <w:tc>
          <w:tcPr>
            <w:tcW w:w="1380" w:type="pct"/>
            <w:vAlign w:val="center"/>
          </w:tcPr>
          <w:p>
            <w:pPr>
              <w:shd w:val="clear"/>
              <w:jc w:val="center"/>
              <w:rPr>
                <w:rFonts w:ascii="宋体" w:hAnsi="宋体" w:cs="仿宋"/>
                <w:color w:val="auto"/>
                <w:sz w:val="24"/>
                <w:highlight w:val="none"/>
              </w:rPr>
            </w:pPr>
          </w:p>
        </w:tc>
        <w:tc>
          <w:tcPr>
            <w:tcW w:w="462" w:type="pct"/>
          </w:tcPr>
          <w:p>
            <w:pPr>
              <w:shd w:val="clear"/>
              <w:jc w:val="center"/>
              <w:rPr>
                <w:rFonts w:ascii="宋体" w:hAnsi="宋体" w:cs="仿宋"/>
                <w:color w:val="auto"/>
                <w:sz w:val="24"/>
                <w:highlight w:val="none"/>
              </w:rPr>
            </w:pPr>
          </w:p>
        </w:tc>
        <w:tc>
          <w:tcPr>
            <w:tcW w:w="674" w:type="pct"/>
          </w:tcPr>
          <w:p>
            <w:pPr>
              <w:shd w:val="clear"/>
              <w:jc w:val="center"/>
              <w:rPr>
                <w:rFonts w:ascii="宋体" w:hAnsi="宋体" w:cs="仿宋"/>
                <w:color w:val="auto"/>
                <w:sz w:val="24"/>
                <w:highlight w:val="none"/>
              </w:rPr>
            </w:pPr>
          </w:p>
        </w:tc>
        <w:tc>
          <w:tcPr>
            <w:tcW w:w="599" w:type="pct"/>
            <w:vAlign w:val="center"/>
          </w:tcPr>
          <w:p>
            <w:pPr>
              <w:shd w:val="clear"/>
              <w:jc w:val="center"/>
              <w:rPr>
                <w:rFonts w:ascii="宋体" w:hAnsi="宋体" w:cs="仿宋"/>
                <w:color w:val="auto"/>
                <w:sz w:val="24"/>
                <w:highlight w:val="none"/>
              </w:rPr>
            </w:pPr>
          </w:p>
        </w:tc>
        <w:tc>
          <w:tcPr>
            <w:tcW w:w="824" w:type="pct"/>
            <w:vAlign w:val="center"/>
          </w:tcPr>
          <w:p>
            <w:pPr>
              <w:shd w:val="clear"/>
              <w:jc w:val="center"/>
              <w:rPr>
                <w:rFonts w:ascii="宋体" w:hAnsi="宋体" w:cs="仿宋"/>
                <w:color w:val="auto"/>
                <w:sz w:val="24"/>
                <w:highlight w:val="none"/>
              </w:rPr>
            </w:pPr>
          </w:p>
        </w:tc>
        <w:tc>
          <w:tcPr>
            <w:tcW w:w="749" w:type="pct"/>
            <w:vAlign w:val="center"/>
          </w:tcPr>
          <w:p>
            <w:pPr>
              <w:shd w:val="clear"/>
              <w:jc w:val="center"/>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12" w:type="pct"/>
            <w:vAlign w:val="center"/>
          </w:tcPr>
          <w:p>
            <w:pPr>
              <w:shd w:val="clear"/>
              <w:jc w:val="center"/>
              <w:rPr>
                <w:rFonts w:ascii="宋体" w:hAnsi="宋体" w:cs="仿宋"/>
                <w:color w:val="auto"/>
                <w:sz w:val="24"/>
                <w:highlight w:val="none"/>
              </w:rPr>
            </w:pPr>
            <w:r>
              <w:rPr>
                <w:rFonts w:hint="eastAsia" w:ascii="宋体" w:hAnsi="宋体" w:cs="仿宋"/>
                <w:color w:val="auto"/>
                <w:sz w:val="24"/>
                <w:highlight w:val="none"/>
              </w:rPr>
              <w:t>2</w:t>
            </w:r>
          </w:p>
        </w:tc>
        <w:tc>
          <w:tcPr>
            <w:tcW w:w="1380" w:type="pct"/>
            <w:vAlign w:val="center"/>
          </w:tcPr>
          <w:p>
            <w:pPr>
              <w:shd w:val="clear"/>
              <w:jc w:val="center"/>
              <w:rPr>
                <w:rFonts w:ascii="宋体" w:hAnsi="宋体" w:cs="仿宋"/>
                <w:color w:val="auto"/>
                <w:sz w:val="24"/>
                <w:highlight w:val="none"/>
              </w:rPr>
            </w:pPr>
          </w:p>
        </w:tc>
        <w:tc>
          <w:tcPr>
            <w:tcW w:w="462" w:type="pct"/>
          </w:tcPr>
          <w:p>
            <w:pPr>
              <w:shd w:val="clear"/>
              <w:jc w:val="center"/>
              <w:rPr>
                <w:rFonts w:ascii="宋体" w:hAnsi="宋体" w:cs="仿宋"/>
                <w:color w:val="auto"/>
                <w:sz w:val="24"/>
                <w:highlight w:val="none"/>
              </w:rPr>
            </w:pPr>
          </w:p>
        </w:tc>
        <w:tc>
          <w:tcPr>
            <w:tcW w:w="674" w:type="pct"/>
          </w:tcPr>
          <w:p>
            <w:pPr>
              <w:shd w:val="clear"/>
              <w:jc w:val="center"/>
              <w:rPr>
                <w:rFonts w:ascii="宋体" w:hAnsi="宋体" w:cs="仿宋"/>
                <w:color w:val="auto"/>
                <w:sz w:val="24"/>
                <w:highlight w:val="none"/>
              </w:rPr>
            </w:pPr>
          </w:p>
        </w:tc>
        <w:tc>
          <w:tcPr>
            <w:tcW w:w="599" w:type="pct"/>
            <w:vAlign w:val="center"/>
          </w:tcPr>
          <w:p>
            <w:pPr>
              <w:shd w:val="clear"/>
              <w:jc w:val="center"/>
              <w:rPr>
                <w:rFonts w:ascii="宋体" w:hAnsi="宋体" w:cs="仿宋"/>
                <w:color w:val="auto"/>
                <w:sz w:val="24"/>
                <w:highlight w:val="none"/>
              </w:rPr>
            </w:pPr>
          </w:p>
        </w:tc>
        <w:tc>
          <w:tcPr>
            <w:tcW w:w="824" w:type="pct"/>
            <w:vAlign w:val="center"/>
          </w:tcPr>
          <w:p>
            <w:pPr>
              <w:shd w:val="clear"/>
              <w:jc w:val="center"/>
              <w:rPr>
                <w:rFonts w:ascii="宋体" w:hAnsi="宋体" w:cs="仿宋"/>
                <w:color w:val="auto"/>
                <w:sz w:val="24"/>
                <w:highlight w:val="none"/>
              </w:rPr>
            </w:pPr>
          </w:p>
        </w:tc>
        <w:tc>
          <w:tcPr>
            <w:tcW w:w="749" w:type="pct"/>
            <w:vAlign w:val="center"/>
          </w:tcPr>
          <w:p>
            <w:pPr>
              <w:shd w:val="clear"/>
              <w:jc w:val="center"/>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12" w:type="pct"/>
            <w:vAlign w:val="center"/>
          </w:tcPr>
          <w:p>
            <w:pPr>
              <w:shd w:val="clear"/>
              <w:jc w:val="center"/>
              <w:rPr>
                <w:rFonts w:ascii="宋体" w:hAnsi="宋体" w:cs="仿宋"/>
                <w:color w:val="auto"/>
                <w:sz w:val="24"/>
                <w:highlight w:val="none"/>
              </w:rPr>
            </w:pPr>
            <w:r>
              <w:rPr>
                <w:rFonts w:hint="eastAsia" w:ascii="仿宋" w:hAnsi="仿宋" w:eastAsia="仿宋" w:cs="仿宋"/>
                <w:color w:val="auto"/>
                <w:sz w:val="24"/>
                <w:highlight w:val="none"/>
              </w:rPr>
              <w:t>…</w:t>
            </w:r>
          </w:p>
        </w:tc>
        <w:tc>
          <w:tcPr>
            <w:tcW w:w="1380" w:type="pct"/>
            <w:vAlign w:val="center"/>
          </w:tcPr>
          <w:p>
            <w:pPr>
              <w:shd w:val="clear"/>
              <w:jc w:val="center"/>
              <w:rPr>
                <w:rFonts w:ascii="宋体" w:hAnsi="宋体" w:cs="仿宋"/>
                <w:color w:val="auto"/>
                <w:sz w:val="24"/>
                <w:highlight w:val="none"/>
              </w:rPr>
            </w:pPr>
          </w:p>
        </w:tc>
        <w:tc>
          <w:tcPr>
            <w:tcW w:w="462" w:type="pct"/>
          </w:tcPr>
          <w:p>
            <w:pPr>
              <w:shd w:val="clear"/>
              <w:jc w:val="center"/>
              <w:rPr>
                <w:rFonts w:ascii="宋体" w:hAnsi="宋体" w:cs="仿宋"/>
                <w:color w:val="auto"/>
                <w:sz w:val="24"/>
                <w:highlight w:val="none"/>
              </w:rPr>
            </w:pPr>
          </w:p>
        </w:tc>
        <w:tc>
          <w:tcPr>
            <w:tcW w:w="674" w:type="pct"/>
          </w:tcPr>
          <w:p>
            <w:pPr>
              <w:shd w:val="clear"/>
              <w:jc w:val="center"/>
              <w:rPr>
                <w:rFonts w:ascii="宋体" w:hAnsi="宋体" w:cs="仿宋"/>
                <w:color w:val="auto"/>
                <w:sz w:val="24"/>
                <w:highlight w:val="none"/>
              </w:rPr>
            </w:pPr>
          </w:p>
        </w:tc>
        <w:tc>
          <w:tcPr>
            <w:tcW w:w="599" w:type="pct"/>
            <w:vAlign w:val="center"/>
          </w:tcPr>
          <w:p>
            <w:pPr>
              <w:shd w:val="clear"/>
              <w:jc w:val="center"/>
              <w:rPr>
                <w:rFonts w:ascii="宋体" w:hAnsi="宋体" w:cs="仿宋"/>
                <w:color w:val="auto"/>
                <w:sz w:val="24"/>
                <w:highlight w:val="none"/>
              </w:rPr>
            </w:pPr>
          </w:p>
        </w:tc>
        <w:tc>
          <w:tcPr>
            <w:tcW w:w="824" w:type="pct"/>
            <w:vAlign w:val="center"/>
          </w:tcPr>
          <w:p>
            <w:pPr>
              <w:shd w:val="clear"/>
              <w:jc w:val="center"/>
              <w:rPr>
                <w:rFonts w:ascii="宋体" w:hAnsi="宋体" w:cs="仿宋"/>
                <w:color w:val="auto"/>
                <w:sz w:val="24"/>
                <w:highlight w:val="none"/>
              </w:rPr>
            </w:pPr>
          </w:p>
        </w:tc>
        <w:tc>
          <w:tcPr>
            <w:tcW w:w="749" w:type="pct"/>
            <w:vAlign w:val="center"/>
          </w:tcPr>
          <w:p>
            <w:pPr>
              <w:shd w:val="clear"/>
              <w:jc w:val="center"/>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427" w:type="pct"/>
            <w:gridSpan w:val="5"/>
            <w:vAlign w:val="center"/>
          </w:tcPr>
          <w:p>
            <w:pPr>
              <w:shd w:val="clear"/>
              <w:jc w:val="center"/>
              <w:rPr>
                <w:rFonts w:ascii="宋体" w:hAnsi="宋体" w:cs="仿宋"/>
                <w:color w:val="auto"/>
                <w:sz w:val="24"/>
                <w:highlight w:val="none"/>
              </w:rPr>
            </w:pPr>
            <w:r>
              <w:rPr>
                <w:rFonts w:hint="eastAsia" w:ascii="宋体" w:hAnsi="宋体" w:cs="仿宋"/>
                <w:color w:val="auto"/>
                <w:sz w:val="24"/>
                <w:highlight w:val="none"/>
              </w:rPr>
              <w:t>投标报价（小写）</w:t>
            </w:r>
          </w:p>
        </w:tc>
        <w:tc>
          <w:tcPr>
            <w:tcW w:w="1573" w:type="pct"/>
            <w:gridSpan w:val="2"/>
            <w:vAlign w:val="center"/>
          </w:tcPr>
          <w:p>
            <w:pPr>
              <w:shd w:val="clear"/>
              <w:jc w:val="center"/>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427" w:type="pct"/>
            <w:gridSpan w:val="5"/>
            <w:vAlign w:val="center"/>
          </w:tcPr>
          <w:p>
            <w:pPr>
              <w:shd w:val="clear"/>
              <w:jc w:val="center"/>
              <w:rPr>
                <w:rFonts w:ascii="宋体" w:hAnsi="宋体" w:cs="仿宋"/>
                <w:color w:val="auto"/>
                <w:sz w:val="24"/>
                <w:highlight w:val="none"/>
              </w:rPr>
            </w:pPr>
            <w:r>
              <w:rPr>
                <w:rFonts w:hint="eastAsia" w:ascii="宋体" w:hAnsi="宋体" w:cs="仿宋"/>
                <w:color w:val="auto"/>
                <w:sz w:val="24"/>
                <w:highlight w:val="none"/>
              </w:rPr>
              <w:t>投标报价（大写）</w:t>
            </w:r>
          </w:p>
        </w:tc>
        <w:tc>
          <w:tcPr>
            <w:tcW w:w="1573" w:type="pct"/>
            <w:gridSpan w:val="2"/>
            <w:vAlign w:val="center"/>
          </w:tcPr>
          <w:p>
            <w:pPr>
              <w:shd w:val="clear"/>
              <w:jc w:val="center"/>
              <w:rPr>
                <w:rFonts w:ascii="宋体" w:hAnsi="宋体" w:cs="仿宋"/>
                <w:color w:val="auto"/>
                <w:sz w:val="24"/>
                <w:highlight w:val="none"/>
              </w:rPr>
            </w:pPr>
          </w:p>
        </w:tc>
      </w:tr>
    </w:tbl>
    <w:p>
      <w:pPr>
        <w:shd w:val="clear"/>
        <w:snapToGrid w:val="0"/>
        <w:spacing w:line="360" w:lineRule="auto"/>
        <w:ind w:left="480"/>
        <w:rPr>
          <w:rFonts w:ascii="宋体" w:hAnsi="宋体" w:cs="仿宋"/>
          <w:b/>
          <w:color w:val="auto"/>
          <w:kern w:val="0"/>
          <w:sz w:val="24"/>
          <w:highlight w:val="none"/>
          <w:lang w:val="zh-CN"/>
        </w:rPr>
      </w:pPr>
      <w:r>
        <w:rPr>
          <w:rFonts w:hint="eastAsia" w:ascii="宋体" w:hAnsi="宋体" w:cs="仿宋"/>
          <w:b/>
          <w:color w:val="auto"/>
          <w:kern w:val="0"/>
          <w:sz w:val="24"/>
          <w:highlight w:val="none"/>
          <w:lang w:val="zh-CN"/>
        </w:rPr>
        <w:t>注：</w:t>
      </w:r>
    </w:p>
    <w:p>
      <w:pPr>
        <w:shd w:val="clear"/>
        <w:spacing w:line="360" w:lineRule="auto"/>
        <w:ind w:left="-2" w:leftChars="-1"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1、投标人需按本表格式填写，不得自行更改。</w:t>
      </w:r>
    </w:p>
    <w:p>
      <w:pPr>
        <w:shd w:val="clear"/>
        <w:spacing w:line="360" w:lineRule="auto"/>
        <w:ind w:firstLine="480" w:firstLineChars="200"/>
        <w:rPr>
          <w:rFonts w:ascii="宋体" w:hAnsi="宋体" w:cs="仿宋"/>
          <w:b/>
          <w:color w:val="auto"/>
          <w:kern w:val="0"/>
          <w:sz w:val="24"/>
          <w:highlight w:val="none"/>
          <w:lang w:val="zh-CN"/>
        </w:rPr>
      </w:pPr>
      <w:r>
        <w:rPr>
          <w:rFonts w:hint="eastAsia" w:ascii="宋体" w:hAnsi="宋体" w:cs="仿宋"/>
          <w:color w:val="auto"/>
          <w:kern w:val="0"/>
          <w:sz w:val="24"/>
          <w:highlight w:val="none"/>
          <w:lang w:val="zh-CN"/>
        </w:rPr>
        <w:t>2、有关本项目实施所涉及的一切费用均计入报价。</w:t>
      </w:r>
      <w:r>
        <w:rPr>
          <w:rFonts w:hint="eastAsia" w:ascii="宋体" w:hAnsi="宋体" w:cs="仿宋"/>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仿宋"/>
          <w:color w:val="auto"/>
          <w:kern w:val="0"/>
          <w:sz w:val="24"/>
          <w:highlight w:val="none"/>
          <w:lang w:val="zh-CN"/>
        </w:rPr>
        <w:t>，</w:t>
      </w:r>
      <w:r>
        <w:rPr>
          <w:rFonts w:hint="eastAsia" w:ascii="宋体" w:hAnsi="宋体" w:cs="仿宋"/>
          <w:b/>
          <w:color w:val="auto"/>
          <w:kern w:val="0"/>
          <w:sz w:val="24"/>
          <w:highlight w:val="none"/>
          <w:lang w:val="zh-CN"/>
        </w:rPr>
        <w:t>不得出现“0元”“免费赠送”等形式的无偿报价，</w:t>
      </w:r>
      <w:r>
        <w:rPr>
          <w:rFonts w:hint="eastAsia" w:ascii="宋体" w:hAnsi="宋体" w:cs="仿宋"/>
          <w:b/>
          <w:color w:val="auto"/>
          <w:kern w:val="0"/>
          <w:sz w:val="24"/>
          <w:highlight w:val="none"/>
        </w:rPr>
        <w:t>否则视为</w:t>
      </w:r>
      <w:r>
        <w:rPr>
          <w:rFonts w:hint="eastAsia" w:ascii="宋体" w:hAnsi="宋体" w:cs="仿宋"/>
          <w:b/>
          <w:color w:val="auto"/>
          <w:sz w:val="24"/>
          <w:highlight w:val="none"/>
        </w:rPr>
        <w:t>投标文件含有采购人不能接受的附加条件的，投标无效</w:t>
      </w:r>
      <w:r>
        <w:rPr>
          <w:rFonts w:hint="eastAsia" w:ascii="宋体" w:hAnsi="宋体" w:cs="仿宋"/>
          <w:b/>
          <w:color w:val="auto"/>
          <w:kern w:val="0"/>
          <w:sz w:val="24"/>
          <w:highlight w:val="none"/>
          <w:lang w:val="zh-CN"/>
        </w:rPr>
        <w:t>。</w:t>
      </w:r>
    </w:p>
    <w:p>
      <w:pPr>
        <w:shd w:val="clear"/>
        <w:spacing w:line="360" w:lineRule="auto"/>
        <w:ind w:firstLine="482" w:firstLineChars="200"/>
        <w:rPr>
          <w:rFonts w:ascii="宋体" w:hAnsi="宋体" w:cs="仿宋"/>
          <w:b/>
          <w:color w:val="auto"/>
          <w:kern w:val="0"/>
          <w:sz w:val="24"/>
          <w:highlight w:val="none"/>
          <w:lang w:val="zh-CN"/>
        </w:rPr>
      </w:pPr>
    </w:p>
    <w:p>
      <w:pPr>
        <w:shd w:val="clear"/>
        <w:spacing w:line="360" w:lineRule="auto"/>
        <w:ind w:firstLine="482" w:firstLineChars="200"/>
        <w:rPr>
          <w:rFonts w:ascii="宋体" w:hAnsi="宋体" w:cs="仿宋"/>
          <w:b/>
          <w:color w:val="auto"/>
          <w:kern w:val="0"/>
          <w:sz w:val="24"/>
          <w:highlight w:val="none"/>
          <w:lang w:val="zh-CN"/>
        </w:rPr>
      </w:pPr>
    </w:p>
    <w:p>
      <w:pPr>
        <w:shd w:val="clear"/>
        <w:spacing w:line="360" w:lineRule="auto"/>
        <w:ind w:firstLine="482" w:firstLineChars="200"/>
        <w:rPr>
          <w:rFonts w:ascii="宋体" w:hAnsi="宋体" w:cs="仿宋"/>
          <w:color w:val="auto"/>
          <w:kern w:val="0"/>
          <w:sz w:val="24"/>
          <w:highlight w:val="none"/>
          <w:lang w:val="zh-CN"/>
        </w:rPr>
      </w:pPr>
      <w:r>
        <w:rPr>
          <w:rFonts w:hint="eastAsia" w:ascii="宋体" w:hAnsi="宋体" w:cs="仿宋"/>
          <w:b/>
          <w:color w:val="auto"/>
          <w:kern w:val="0"/>
          <w:sz w:val="24"/>
          <w:highlight w:val="none"/>
          <w:lang w:val="zh-CN"/>
        </w:rPr>
        <w:t xml:space="preserve">         </w:t>
      </w:r>
      <w:r>
        <w:rPr>
          <w:rFonts w:hint="eastAsia" w:ascii="宋体" w:hAnsi="宋体" w:cs="仿宋"/>
          <w:color w:val="auto"/>
          <w:sz w:val="24"/>
          <w:highlight w:val="none"/>
        </w:rPr>
        <w:t xml:space="preserve">法定代表人或其授权委托人（签名或印章）：        </w:t>
      </w:r>
    </w:p>
    <w:p>
      <w:pPr>
        <w:shd w:val="clear"/>
        <w:adjustRightInd w:val="0"/>
        <w:snapToGrid w:val="0"/>
        <w:spacing w:line="360" w:lineRule="auto"/>
        <w:ind w:left="3360" w:leftChars="1600"/>
        <w:rPr>
          <w:rFonts w:ascii="宋体" w:hAnsi="宋体" w:cs="仿宋"/>
          <w:color w:val="auto"/>
          <w:sz w:val="24"/>
          <w:highlight w:val="none"/>
        </w:rPr>
      </w:pPr>
      <w:r>
        <w:rPr>
          <w:rFonts w:hint="eastAsia" w:ascii="宋体" w:hAnsi="宋体" w:cs="仿宋"/>
          <w:color w:val="auto"/>
          <w:sz w:val="24"/>
          <w:highlight w:val="none"/>
        </w:rPr>
        <w:t xml:space="preserve">         投标人（盖章）：         </w:t>
      </w:r>
    </w:p>
    <w:p>
      <w:pPr>
        <w:shd w:val="clear"/>
        <w:adjustRightInd w:val="0"/>
        <w:snapToGrid w:val="0"/>
        <w:spacing w:line="360" w:lineRule="auto"/>
        <w:ind w:left="3360" w:leftChars="1600"/>
        <w:rPr>
          <w:rFonts w:ascii="宋体" w:hAnsi="宋体" w:cs="仿宋"/>
          <w:color w:val="auto"/>
          <w:sz w:val="24"/>
          <w:highlight w:val="none"/>
        </w:rPr>
        <w:sectPr>
          <w:pgSz w:w="11906" w:h="16838"/>
          <w:pgMar w:top="1247" w:right="1418" w:bottom="1276" w:left="1418" w:header="851" w:footer="992" w:gutter="0"/>
          <w:cols w:space="720" w:num="1"/>
          <w:titlePg/>
          <w:docGrid w:linePitch="312" w:charSpace="0"/>
        </w:sectPr>
      </w:pPr>
      <w:r>
        <w:rPr>
          <w:rFonts w:hint="eastAsia" w:ascii="宋体" w:hAnsi="宋体" w:cs="仿宋"/>
          <w:color w:val="auto"/>
          <w:sz w:val="24"/>
          <w:highlight w:val="none"/>
        </w:rPr>
        <w:t xml:space="preserve">                日  期：</w:t>
      </w:r>
    </w:p>
    <w:p>
      <w:pPr>
        <w:pStyle w:val="2"/>
        <w:shd w:val="clear"/>
        <w:ind w:firstLine="560"/>
        <w:rPr>
          <w:color w:val="auto"/>
          <w:highlight w:val="none"/>
        </w:rPr>
      </w:pPr>
    </w:p>
    <w:p>
      <w:pPr>
        <w:pStyle w:val="39"/>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标    项：</w:t>
      </w:r>
      <w:r>
        <w:rPr>
          <w:rFonts w:hint="eastAsia" w:cs="仿宋" w:asciiTheme="majorEastAsia" w:hAnsiTheme="majorEastAsia" w:eastAsiaTheme="majorEastAsia"/>
          <w:color w:val="auto"/>
          <w:kern w:val="0"/>
          <w:sz w:val="24"/>
          <w:highlight w:val="none"/>
          <w:u w:val="single"/>
        </w:rPr>
        <w:t xml:space="preserve">                              </w:t>
      </w:r>
    </w:p>
    <w:p>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金额单位：人民币（元）</w:t>
      </w:r>
    </w:p>
    <w:tbl>
      <w:tblPr>
        <w:tblStyle w:val="24"/>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1637"/>
        <w:gridCol w:w="1513"/>
        <w:gridCol w:w="150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序号</w:t>
            </w:r>
          </w:p>
        </w:tc>
        <w:tc>
          <w:tcPr>
            <w:tcW w:w="139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名称</w:t>
            </w:r>
          </w:p>
        </w:tc>
        <w:tc>
          <w:tcPr>
            <w:tcW w:w="1846"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品牌（如有）</w:t>
            </w:r>
          </w:p>
        </w:tc>
        <w:tc>
          <w:tcPr>
            <w:tcW w:w="1637"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规格型号</w:t>
            </w:r>
          </w:p>
        </w:tc>
        <w:tc>
          <w:tcPr>
            <w:tcW w:w="1513"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单位及数量</w:t>
            </w:r>
          </w:p>
        </w:tc>
        <w:tc>
          <w:tcPr>
            <w:tcW w:w="1500"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单价</w:t>
            </w:r>
          </w:p>
        </w:tc>
        <w:tc>
          <w:tcPr>
            <w:tcW w:w="1411"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w:t>
            </w:r>
          </w:p>
        </w:tc>
        <w:tc>
          <w:tcPr>
            <w:tcW w:w="1846"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sz w:val="24"/>
                <w:highlight w:val="none"/>
              </w:rPr>
            </w:pPr>
          </w:p>
        </w:tc>
        <w:tc>
          <w:tcPr>
            <w:tcW w:w="4882" w:type="dxa"/>
            <w:gridSpan w:val="3"/>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总报价：</w:t>
            </w:r>
          </w:p>
        </w:tc>
        <w:tc>
          <w:tcPr>
            <w:tcW w:w="1513"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pPr>
              <w:shd w:val="clear"/>
              <w:spacing w:line="360" w:lineRule="auto"/>
              <w:rPr>
                <w:rFonts w:cs="仿宋" w:asciiTheme="majorEastAsia" w:hAnsiTheme="majorEastAsia" w:eastAsiaTheme="majorEastAsia"/>
                <w:color w:val="auto"/>
                <w:highlight w:val="none"/>
              </w:rPr>
            </w:pPr>
          </w:p>
        </w:tc>
      </w:tr>
    </w:tbl>
    <w:p>
      <w:pPr>
        <w:pStyle w:val="10"/>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pPr>
        <w:pStyle w:val="10"/>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1.本表格仅供参考，投标人可根据项目实际情况扩展表格。</w:t>
      </w:r>
    </w:p>
    <w:p>
      <w:pPr>
        <w:pStyle w:val="10"/>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2.投标总价应与开标一览表的投标报价一致。</w:t>
      </w:r>
    </w:p>
    <w:p>
      <w:pPr>
        <w:shd w:val="clear"/>
        <w:spacing w:line="360" w:lineRule="auto"/>
        <w:rPr>
          <w:rFonts w:cs="仿宋" w:asciiTheme="majorEastAsia" w:hAnsiTheme="majorEastAsia" w:eastAsiaTheme="majorEastAsia"/>
          <w:color w:val="auto"/>
          <w:sz w:val="24"/>
          <w:highlight w:val="none"/>
        </w:rPr>
      </w:pPr>
    </w:p>
    <w:p>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pPr>
        <w:pStyle w:val="39"/>
        <w:keepNext w:val="0"/>
        <w:pageBreakBefore w:val="0"/>
        <w:shd w:val="clear"/>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highlight w:val="none"/>
        </w:rPr>
      </w:pPr>
      <w:r>
        <w:rPr>
          <w:rFonts w:hint="eastAsia" w:cs="仿宋" w:asciiTheme="majorEastAsia" w:hAnsiTheme="majorEastAsia" w:eastAsiaTheme="majorEastAsia"/>
          <w:b w:val="0"/>
          <w:color w:val="auto"/>
          <w:kern w:val="2"/>
          <w:sz w:val="24"/>
          <w:szCs w:val="24"/>
          <w:highlight w:val="none"/>
        </w:rPr>
        <w:t xml:space="preserve">日  期：  </w:t>
      </w:r>
    </w:p>
    <w:p>
      <w:pPr>
        <w:pStyle w:val="39"/>
        <w:keepNext w:val="0"/>
        <w:pageBreakBefore w:val="0"/>
        <w:shd w:val="clear"/>
        <w:tabs>
          <w:tab w:val="clear" w:pos="720"/>
        </w:tabs>
        <w:snapToGrid w:val="0"/>
        <w:spacing w:before="120" w:after="120"/>
        <w:outlineLvl w:val="9"/>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val="0"/>
          <w:color w:val="auto"/>
          <w:kern w:val="2"/>
          <w:sz w:val="24"/>
          <w:szCs w:val="24"/>
          <w:highlight w:val="none"/>
        </w:rPr>
        <w:br w:type="page"/>
      </w:r>
      <w:r>
        <w:rPr>
          <w:rFonts w:hint="eastAsia" w:cs="仿宋" w:asciiTheme="majorEastAsia" w:hAnsiTheme="majorEastAsia" w:eastAsiaTheme="majorEastAsia"/>
          <w:color w:val="auto"/>
          <w:kern w:val="2"/>
          <w:sz w:val="32"/>
          <w:szCs w:val="32"/>
          <w:highlight w:val="none"/>
        </w:rPr>
        <w:t>三、</w:t>
      </w:r>
      <w:r>
        <w:rPr>
          <w:rFonts w:hint="eastAsia" w:cs="仿宋" w:asciiTheme="majorEastAsia" w:hAnsiTheme="majorEastAsia" w:eastAsiaTheme="majorEastAsia"/>
          <w:color w:val="auto"/>
          <w:sz w:val="32"/>
          <w:szCs w:val="32"/>
          <w:highlight w:val="none"/>
        </w:rPr>
        <w:t>中小企业声明函</w:t>
      </w:r>
    </w:p>
    <w:p>
      <w:pPr>
        <w:widowControl/>
        <w:shd w:val="clear"/>
        <w:spacing w:line="360" w:lineRule="auto"/>
        <w:ind w:firstLine="120" w:firstLineChars="5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shd w:val="clear"/>
        <w:spacing w:line="360" w:lineRule="auto"/>
        <w:jc w:val="center"/>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中小企业声明函</w:t>
      </w:r>
    </w:p>
    <w:p>
      <w:pPr>
        <w:shd w:val="clear"/>
        <w:spacing w:line="360" w:lineRule="auto"/>
        <w:jc w:val="left"/>
        <w:rPr>
          <w:rFonts w:cs="仿宋" w:asciiTheme="majorEastAsia" w:hAnsiTheme="majorEastAsia" w:eastAsiaTheme="majorEastAsia"/>
          <w:b/>
          <w:color w:val="auto"/>
          <w:szCs w:val="21"/>
          <w:highlight w:val="none"/>
        </w:rPr>
      </w:pPr>
      <w:r>
        <w:rPr>
          <w:rFonts w:hint="eastAsia" w:cs="仿宋" w:asciiTheme="majorEastAsia" w:hAnsiTheme="majorEastAsia" w:eastAsiaTheme="majorEastAsia"/>
          <w:b/>
          <w:color w:val="auto"/>
          <w:szCs w:val="21"/>
          <w:highlight w:val="none"/>
        </w:rPr>
        <w:t>（对相关制造商信息了解不充分，或者不能确定相关信息真实、准确的，不建议出具《中小企业声明函》。声明函中对标的及内容填写不全的视为未提供。）</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rPr>
        <w:t>（标的名称）</w:t>
      </w:r>
      <w:r>
        <w:rPr>
          <w:rFonts w:hint="eastAsia" w:cs="仿宋" w:asciiTheme="majorEastAsia" w:hAnsiTheme="majorEastAsia" w:eastAsiaTheme="majorEastAsia"/>
          <w:color w:val="auto"/>
          <w:sz w:val="24"/>
          <w:highlight w:val="none"/>
        </w:rPr>
        <w:t xml:space="preserve"> ，属于 </w:t>
      </w:r>
      <w:r>
        <w:rPr>
          <w:rFonts w:hint="eastAsia" w:cs="仿宋" w:asciiTheme="majorEastAsia" w:hAnsiTheme="majorEastAsia" w:eastAsiaTheme="majorEastAsia"/>
          <w:color w:val="auto"/>
          <w:sz w:val="24"/>
          <w:highlight w:val="none"/>
          <w:u w:val="single"/>
        </w:rPr>
        <w:t>（招标文件中明确的所属行业）</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rPr>
        <w:t>（标的名称）</w:t>
      </w:r>
      <w:r>
        <w:rPr>
          <w:rFonts w:hint="eastAsia" w:cs="仿宋" w:asciiTheme="majorEastAsia" w:hAnsiTheme="majorEastAsia" w:eastAsiaTheme="majorEastAsia"/>
          <w:color w:val="auto"/>
          <w:sz w:val="24"/>
          <w:highlight w:val="none"/>
        </w:rPr>
        <w:t xml:space="preserve"> ，属于 </w:t>
      </w:r>
      <w:r>
        <w:rPr>
          <w:rFonts w:hint="eastAsia" w:cs="仿宋" w:asciiTheme="majorEastAsia" w:hAnsiTheme="majorEastAsia" w:eastAsiaTheme="majorEastAsia"/>
          <w:color w:val="auto"/>
          <w:sz w:val="24"/>
          <w:highlight w:val="none"/>
          <w:u w:val="single"/>
        </w:rPr>
        <w:t>（招标文件中明确的所属行业）</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本企业对上述声明内容的真实性负责。如有虚假，将依法承担相应责任。</w:t>
      </w:r>
    </w:p>
    <w:p>
      <w:pPr>
        <w:shd w:val="clear"/>
        <w:snapToGrid w:val="0"/>
        <w:spacing w:line="360" w:lineRule="auto"/>
        <w:ind w:firstLine="5160" w:firstLineChars="2150"/>
        <w:rPr>
          <w:rFonts w:cs="仿宋" w:asciiTheme="majorEastAsia" w:hAnsiTheme="majorEastAsia" w:eastAsiaTheme="majorEastAsia"/>
          <w:color w:val="auto"/>
          <w:kern w:val="0"/>
          <w:sz w:val="24"/>
          <w:highlight w:val="none"/>
          <w:lang w:val="zh-CN"/>
        </w:rPr>
      </w:pPr>
    </w:p>
    <w:p>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日  期：</w:t>
      </w:r>
    </w:p>
    <w:p>
      <w:pPr>
        <w:shd w:val="clear"/>
        <w:spacing w:line="360" w:lineRule="auto"/>
        <w:jc w:val="left"/>
        <w:rPr>
          <w:rFonts w:cs="仿宋" w:asciiTheme="majorEastAsia" w:hAnsiTheme="majorEastAsia" w:eastAsiaTheme="majorEastAsia"/>
          <w:color w:val="auto"/>
          <w:sz w:val="18"/>
          <w:szCs w:val="18"/>
          <w:highlight w:val="none"/>
        </w:rPr>
      </w:pPr>
      <w:r>
        <w:rPr>
          <w:rFonts w:hint="eastAsia" w:cs="仿宋" w:asciiTheme="majorEastAsia" w:hAnsiTheme="majorEastAsia" w:eastAsiaTheme="majorEastAsia"/>
          <w:color w:val="auto"/>
          <w:sz w:val="18"/>
          <w:szCs w:val="18"/>
          <w:highlight w:val="none"/>
        </w:rPr>
        <w:t>从业人员、营业收入、资产总额填报上一年度数据，无上一年度数据的新成立企业可不填报。</w:t>
      </w:r>
    </w:p>
    <w:p>
      <w:pPr>
        <w:shd w:val="clear"/>
        <w:spacing w:line="360" w:lineRule="auto"/>
        <w:ind w:right="-420" w:rightChars="-200" w:firstLine="480" w:firstLineChars="20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color w:val="auto"/>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spacing w:line="360" w:lineRule="auto"/>
        <w:jc w:val="center"/>
        <w:rPr>
          <w:rFonts w:cs="仿宋" w:asciiTheme="majorEastAsia" w:hAnsiTheme="majorEastAsia" w:eastAsiaTheme="majorEastAsia"/>
          <w:b/>
          <w:bCs/>
          <w:color w:val="auto"/>
          <w:sz w:val="32"/>
          <w:szCs w:val="32"/>
          <w:highlight w:val="none"/>
        </w:rPr>
      </w:pPr>
      <w:r>
        <w:rPr>
          <w:rFonts w:hint="eastAsia" w:cs="仿宋" w:asciiTheme="majorEastAsia" w:hAnsiTheme="majorEastAsia" w:eastAsiaTheme="majorEastAsia"/>
          <w:b/>
          <w:color w:val="auto"/>
          <w:sz w:val="32"/>
          <w:szCs w:val="32"/>
          <w:highlight w:val="none"/>
        </w:rPr>
        <w:br w:type="page"/>
      </w:r>
    </w:p>
    <w:p>
      <w:pPr>
        <w:shd w:val="clear"/>
        <w:spacing w:line="360" w:lineRule="auto"/>
        <w:jc w:val="center"/>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bCs/>
          <w:color w:val="auto"/>
          <w:sz w:val="32"/>
          <w:szCs w:val="32"/>
          <w:highlight w:val="none"/>
        </w:rPr>
        <w:t>四、残疾人福利性单位声明函</w:t>
      </w:r>
    </w:p>
    <w:p>
      <w:pPr>
        <w:shd w:val="clear"/>
        <w:spacing w:line="360" w:lineRule="auto"/>
        <w:rPr>
          <w:rFonts w:cs="仿宋" w:asciiTheme="majorEastAsia" w:hAnsiTheme="majorEastAsia" w:eastAsiaTheme="majorEastAsia"/>
          <w:b/>
          <w:color w:val="auto"/>
          <w:spacing w:val="6"/>
          <w:sz w:val="30"/>
          <w:szCs w:val="30"/>
          <w:highlight w:val="none"/>
        </w:rPr>
      </w:pPr>
    </w:p>
    <w:p>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本单位对上述声明的真实性负责。如有虚假，将依法承担相应责任。</w:t>
      </w:r>
    </w:p>
    <w:p>
      <w:pPr>
        <w:shd w:val="clear"/>
        <w:spacing w:line="360" w:lineRule="auto"/>
        <w:ind w:firstLine="480" w:firstLineChars="200"/>
        <w:jc w:val="left"/>
        <w:rPr>
          <w:rFonts w:cs="仿宋" w:asciiTheme="majorEastAsia" w:hAnsiTheme="majorEastAsia" w:eastAsiaTheme="majorEastAsia"/>
          <w:color w:val="auto"/>
          <w:sz w:val="24"/>
          <w:highlight w:val="none"/>
        </w:rPr>
      </w:pPr>
    </w:p>
    <w:p>
      <w:pPr>
        <w:shd w:val="clear"/>
        <w:spacing w:line="360" w:lineRule="auto"/>
        <w:ind w:firstLine="480" w:firstLineChars="200"/>
        <w:jc w:val="left"/>
        <w:rPr>
          <w:rFonts w:cs="仿宋" w:asciiTheme="majorEastAsia" w:hAnsiTheme="majorEastAsia" w:eastAsiaTheme="majorEastAsia"/>
          <w:color w:val="auto"/>
          <w:sz w:val="24"/>
          <w:highlight w:val="none"/>
        </w:rPr>
      </w:pPr>
    </w:p>
    <w:p>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法定代表人或其授权委托人（签名或印章）：</w:t>
      </w:r>
    </w:p>
    <w:p>
      <w:pPr>
        <w:shd w:val="clear"/>
        <w:adjustRightInd w:val="0"/>
        <w:spacing w:line="360" w:lineRule="auto"/>
        <w:ind w:firstLine="3840" w:firstLineChars="16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p>
      <w:pPr>
        <w:shd w:val="clear"/>
        <w:spacing w:line="360" w:lineRule="auto"/>
        <w:ind w:firstLine="643" w:firstLineChars="200"/>
        <w:jc w:val="left"/>
        <w:rPr>
          <w:rFonts w:cs="仿宋" w:asciiTheme="majorEastAsia" w:hAnsiTheme="majorEastAsia" w:eastAsiaTheme="majorEastAsia"/>
          <w:b/>
          <w:color w:val="auto"/>
          <w:sz w:val="32"/>
          <w:szCs w:val="32"/>
          <w:highlight w:val="none"/>
        </w:rPr>
      </w:pPr>
    </w:p>
    <w:p>
      <w:pPr>
        <w:shd w:val="clear"/>
        <w:spacing w:line="360" w:lineRule="auto"/>
        <w:rPr>
          <w:rFonts w:cs="仿宋" w:asciiTheme="majorEastAsia" w:hAnsiTheme="majorEastAsia" w:eastAsiaTheme="majorEastAsia"/>
          <w:b/>
          <w:color w:val="auto"/>
          <w:sz w:val="32"/>
          <w:szCs w:val="32"/>
          <w:highlight w:val="none"/>
        </w:rPr>
      </w:pPr>
    </w:p>
    <w:p>
      <w:pPr>
        <w:numPr>
          <w:ilvl w:val="0"/>
          <w:numId w:val="4"/>
        </w:numPr>
        <w:shd w:val="clear"/>
        <w:spacing w:line="360" w:lineRule="auto"/>
        <w:jc w:val="center"/>
        <w:rPr>
          <w:rFonts w:cs="仿宋" w:asciiTheme="majorEastAsia" w:hAnsiTheme="majorEastAsia" w:eastAsiaTheme="majorEastAsia"/>
          <w:b/>
          <w:color w:val="auto"/>
          <w:spacing w:val="6"/>
          <w:sz w:val="32"/>
          <w:szCs w:val="32"/>
          <w:highlight w:val="none"/>
        </w:rPr>
      </w:pPr>
      <w:r>
        <w:rPr>
          <w:rFonts w:hint="eastAsia" w:cs="仿宋" w:asciiTheme="majorEastAsia" w:hAnsiTheme="majorEastAsia" w:eastAsiaTheme="majorEastAsia"/>
          <w:b/>
          <w:color w:val="auto"/>
          <w:spacing w:val="6"/>
          <w:sz w:val="32"/>
          <w:szCs w:val="32"/>
          <w:highlight w:val="none"/>
        </w:rPr>
        <w:br w:type="page"/>
      </w:r>
      <w:r>
        <w:rPr>
          <w:rFonts w:hint="eastAsia" w:cs="仿宋" w:asciiTheme="majorEastAsia" w:hAnsiTheme="majorEastAsia" w:eastAsiaTheme="majorEastAsia"/>
          <w:b/>
          <w:color w:val="auto"/>
          <w:spacing w:val="6"/>
          <w:sz w:val="32"/>
          <w:szCs w:val="32"/>
          <w:highlight w:val="none"/>
        </w:rPr>
        <w:t>政府采购统计基础信息表</w:t>
      </w:r>
    </w:p>
    <w:p>
      <w:pPr>
        <w:pStyle w:val="2"/>
        <w:shd w:val="clear"/>
        <w:spacing w:line="360" w:lineRule="auto"/>
        <w:ind w:firstLine="0" w:firstLineChars="0"/>
        <w:rPr>
          <w:rFonts w:cs="仿宋" w:asciiTheme="majorEastAsia" w:hAnsiTheme="majorEastAsia" w:eastAsiaTheme="majorEastAsia"/>
          <w:color w:val="auto"/>
          <w:highlight w:val="none"/>
        </w:rPr>
      </w:pPr>
    </w:p>
    <w:tbl>
      <w:tblPr>
        <w:tblStyle w:val="24"/>
        <w:tblW w:w="8537" w:type="dxa"/>
        <w:jc w:val="center"/>
        <w:tblLayout w:type="fixed"/>
        <w:tblCellMar>
          <w:top w:w="0" w:type="dxa"/>
          <w:left w:w="108" w:type="dxa"/>
          <w:bottom w:w="0" w:type="dxa"/>
          <w:right w:w="108" w:type="dxa"/>
        </w:tblCellMar>
      </w:tblPr>
      <w:tblGrid>
        <w:gridCol w:w="4998"/>
        <w:gridCol w:w="3539"/>
      </w:tblGrid>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highlight w:val="none"/>
              </w:rPr>
            </w:pPr>
          </w:p>
        </w:tc>
      </w:tr>
    </w:tbl>
    <w:p>
      <w:pPr>
        <w:shd w:val="clear"/>
        <w:adjustRightInd w:val="0"/>
        <w:spacing w:line="360" w:lineRule="auto"/>
        <w:jc w:val="left"/>
        <w:rPr>
          <w:rFonts w:cs="仿宋" w:asciiTheme="majorEastAsia" w:hAnsiTheme="majorEastAsia" w:eastAsiaTheme="majorEastAsia"/>
          <w:color w:val="auto"/>
          <w:sz w:val="24"/>
          <w:highlight w:val="none"/>
        </w:rPr>
      </w:pPr>
    </w:p>
    <w:p>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备注：请各投标人务必填写此表作为投标文件的组成部分。</w:t>
      </w:r>
    </w:p>
    <w:p>
      <w:pPr>
        <w:shd w:val="clear"/>
        <w:adjustRightInd w:val="0"/>
        <w:spacing w:line="360" w:lineRule="auto"/>
        <w:jc w:val="left"/>
        <w:rPr>
          <w:rFonts w:cs="仿宋" w:asciiTheme="majorEastAsia" w:hAnsiTheme="majorEastAsia" w:eastAsiaTheme="majorEastAsia"/>
          <w:color w:val="auto"/>
          <w:sz w:val="24"/>
          <w:highlight w:val="none"/>
        </w:rPr>
      </w:pPr>
    </w:p>
    <w:p>
      <w:pPr>
        <w:shd w:val="clear"/>
        <w:adjustRightInd w:val="0"/>
        <w:spacing w:line="360" w:lineRule="auto"/>
        <w:jc w:val="left"/>
        <w:rPr>
          <w:rFonts w:cs="仿宋" w:asciiTheme="majorEastAsia" w:hAnsiTheme="majorEastAsia" w:eastAsiaTheme="majorEastAsia"/>
          <w:color w:val="auto"/>
          <w:sz w:val="24"/>
          <w:highlight w:val="none"/>
        </w:rPr>
      </w:pPr>
    </w:p>
    <w:p>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法定代表人或其授权委托人（签名或印章）：</w:t>
      </w:r>
    </w:p>
    <w:p>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bookmarkEnd w:id="4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abstractNum w:abstractNumId="3">
    <w:nsid w:val="495C2BCE"/>
    <w:multiLevelType w:val="singleLevel"/>
    <w:tmpl w:val="495C2BC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MwZjIwZWYxMjI1ODlmMWQ2NjBlZmJmNGMwY2QxMzgifQ=="/>
  </w:docVars>
  <w:rsids>
    <w:rsidRoot w:val="00982EB4"/>
    <w:rsid w:val="000024D9"/>
    <w:rsid w:val="000065A3"/>
    <w:rsid w:val="00012EA1"/>
    <w:rsid w:val="00015F03"/>
    <w:rsid w:val="00016734"/>
    <w:rsid w:val="00017281"/>
    <w:rsid w:val="000262FF"/>
    <w:rsid w:val="000319DC"/>
    <w:rsid w:val="000331D4"/>
    <w:rsid w:val="00033B6A"/>
    <w:rsid w:val="00054C88"/>
    <w:rsid w:val="00061CE1"/>
    <w:rsid w:val="00065A23"/>
    <w:rsid w:val="0009377B"/>
    <w:rsid w:val="00095D46"/>
    <w:rsid w:val="000B3EAE"/>
    <w:rsid w:val="000B591C"/>
    <w:rsid w:val="000C0BD7"/>
    <w:rsid w:val="000C462C"/>
    <w:rsid w:val="000C6782"/>
    <w:rsid w:val="000D6A74"/>
    <w:rsid w:val="000E448A"/>
    <w:rsid w:val="000F198F"/>
    <w:rsid w:val="00101CCF"/>
    <w:rsid w:val="00103984"/>
    <w:rsid w:val="00127768"/>
    <w:rsid w:val="001553AB"/>
    <w:rsid w:val="00156D89"/>
    <w:rsid w:val="00160EF9"/>
    <w:rsid w:val="00161D88"/>
    <w:rsid w:val="00170509"/>
    <w:rsid w:val="00170C42"/>
    <w:rsid w:val="001716B0"/>
    <w:rsid w:val="00173CE3"/>
    <w:rsid w:val="00184494"/>
    <w:rsid w:val="00184FAC"/>
    <w:rsid w:val="0018642D"/>
    <w:rsid w:val="001A24B1"/>
    <w:rsid w:val="001A36AA"/>
    <w:rsid w:val="001A5AE4"/>
    <w:rsid w:val="001B2403"/>
    <w:rsid w:val="001B2FBB"/>
    <w:rsid w:val="001B55E6"/>
    <w:rsid w:val="001B595B"/>
    <w:rsid w:val="001C1283"/>
    <w:rsid w:val="001E5266"/>
    <w:rsid w:val="001F3EFC"/>
    <w:rsid w:val="00215736"/>
    <w:rsid w:val="00223803"/>
    <w:rsid w:val="002277EA"/>
    <w:rsid w:val="0024092E"/>
    <w:rsid w:val="0024127F"/>
    <w:rsid w:val="0024207D"/>
    <w:rsid w:val="00243393"/>
    <w:rsid w:val="00245456"/>
    <w:rsid w:val="00250AA9"/>
    <w:rsid w:val="00255C6D"/>
    <w:rsid w:val="00257FDF"/>
    <w:rsid w:val="00261288"/>
    <w:rsid w:val="0027141A"/>
    <w:rsid w:val="002823C7"/>
    <w:rsid w:val="00290D0E"/>
    <w:rsid w:val="002936BF"/>
    <w:rsid w:val="0029689E"/>
    <w:rsid w:val="002B346D"/>
    <w:rsid w:val="002C57A8"/>
    <w:rsid w:val="002F042D"/>
    <w:rsid w:val="002F0ADD"/>
    <w:rsid w:val="003019C6"/>
    <w:rsid w:val="00302F81"/>
    <w:rsid w:val="0031114F"/>
    <w:rsid w:val="00325592"/>
    <w:rsid w:val="00335B83"/>
    <w:rsid w:val="003549BF"/>
    <w:rsid w:val="00360386"/>
    <w:rsid w:val="00362452"/>
    <w:rsid w:val="00371AD6"/>
    <w:rsid w:val="00376072"/>
    <w:rsid w:val="003773A8"/>
    <w:rsid w:val="003871E7"/>
    <w:rsid w:val="003874A0"/>
    <w:rsid w:val="003C59F1"/>
    <w:rsid w:val="003D05D9"/>
    <w:rsid w:val="003D139D"/>
    <w:rsid w:val="003E1943"/>
    <w:rsid w:val="003E2E3B"/>
    <w:rsid w:val="003F7DE3"/>
    <w:rsid w:val="00403D12"/>
    <w:rsid w:val="00406444"/>
    <w:rsid w:val="00407930"/>
    <w:rsid w:val="004147C2"/>
    <w:rsid w:val="00421648"/>
    <w:rsid w:val="0042540B"/>
    <w:rsid w:val="00452804"/>
    <w:rsid w:val="00452882"/>
    <w:rsid w:val="00460A2F"/>
    <w:rsid w:val="00464C82"/>
    <w:rsid w:val="004705E6"/>
    <w:rsid w:val="00472D6D"/>
    <w:rsid w:val="004735C4"/>
    <w:rsid w:val="00476751"/>
    <w:rsid w:val="00480207"/>
    <w:rsid w:val="004841B4"/>
    <w:rsid w:val="004860F1"/>
    <w:rsid w:val="004863DA"/>
    <w:rsid w:val="004868B9"/>
    <w:rsid w:val="00491B0D"/>
    <w:rsid w:val="004A3340"/>
    <w:rsid w:val="004C3E57"/>
    <w:rsid w:val="004E23EB"/>
    <w:rsid w:val="004E36CD"/>
    <w:rsid w:val="00503815"/>
    <w:rsid w:val="0050384F"/>
    <w:rsid w:val="005047BD"/>
    <w:rsid w:val="00507B69"/>
    <w:rsid w:val="0051553B"/>
    <w:rsid w:val="0052345D"/>
    <w:rsid w:val="0054572D"/>
    <w:rsid w:val="00545EB5"/>
    <w:rsid w:val="00550EE6"/>
    <w:rsid w:val="005537BE"/>
    <w:rsid w:val="00555D80"/>
    <w:rsid w:val="00556126"/>
    <w:rsid w:val="005657F7"/>
    <w:rsid w:val="00572FA4"/>
    <w:rsid w:val="00580CC1"/>
    <w:rsid w:val="005A20EF"/>
    <w:rsid w:val="005B037D"/>
    <w:rsid w:val="005B0674"/>
    <w:rsid w:val="005B09B1"/>
    <w:rsid w:val="005C72D1"/>
    <w:rsid w:val="005D37FA"/>
    <w:rsid w:val="005D7413"/>
    <w:rsid w:val="00625E0B"/>
    <w:rsid w:val="006262D2"/>
    <w:rsid w:val="0065305C"/>
    <w:rsid w:val="0065579D"/>
    <w:rsid w:val="00656582"/>
    <w:rsid w:val="00664275"/>
    <w:rsid w:val="00673D9C"/>
    <w:rsid w:val="0068316D"/>
    <w:rsid w:val="00686437"/>
    <w:rsid w:val="00693366"/>
    <w:rsid w:val="006A264B"/>
    <w:rsid w:val="006B20D4"/>
    <w:rsid w:val="006B593D"/>
    <w:rsid w:val="006D2706"/>
    <w:rsid w:val="006D4450"/>
    <w:rsid w:val="006D63C7"/>
    <w:rsid w:val="006F0678"/>
    <w:rsid w:val="00706C27"/>
    <w:rsid w:val="00721D94"/>
    <w:rsid w:val="00736A58"/>
    <w:rsid w:val="00736AF5"/>
    <w:rsid w:val="00745E05"/>
    <w:rsid w:val="00751782"/>
    <w:rsid w:val="00753175"/>
    <w:rsid w:val="007561AC"/>
    <w:rsid w:val="00764A69"/>
    <w:rsid w:val="00766A53"/>
    <w:rsid w:val="00773362"/>
    <w:rsid w:val="00781F7B"/>
    <w:rsid w:val="00793125"/>
    <w:rsid w:val="007A389D"/>
    <w:rsid w:val="007B53E7"/>
    <w:rsid w:val="007C55F7"/>
    <w:rsid w:val="007C7482"/>
    <w:rsid w:val="007E0DB1"/>
    <w:rsid w:val="007E34B6"/>
    <w:rsid w:val="007E5A2D"/>
    <w:rsid w:val="007E6B76"/>
    <w:rsid w:val="007F7F39"/>
    <w:rsid w:val="0080249B"/>
    <w:rsid w:val="00812028"/>
    <w:rsid w:val="008232A9"/>
    <w:rsid w:val="00830469"/>
    <w:rsid w:val="00830ACD"/>
    <w:rsid w:val="0083502E"/>
    <w:rsid w:val="00842B04"/>
    <w:rsid w:val="00845258"/>
    <w:rsid w:val="00846213"/>
    <w:rsid w:val="00856E4E"/>
    <w:rsid w:val="00860232"/>
    <w:rsid w:val="00864EF1"/>
    <w:rsid w:val="0086589A"/>
    <w:rsid w:val="00871BF2"/>
    <w:rsid w:val="00886BF0"/>
    <w:rsid w:val="008907A1"/>
    <w:rsid w:val="00894DBE"/>
    <w:rsid w:val="008B0252"/>
    <w:rsid w:val="008B7311"/>
    <w:rsid w:val="008C5004"/>
    <w:rsid w:val="008C7259"/>
    <w:rsid w:val="008C784E"/>
    <w:rsid w:val="008D4ADA"/>
    <w:rsid w:val="008E16FC"/>
    <w:rsid w:val="008E38B5"/>
    <w:rsid w:val="008F14D3"/>
    <w:rsid w:val="008F6A9E"/>
    <w:rsid w:val="008F739E"/>
    <w:rsid w:val="009024C2"/>
    <w:rsid w:val="00913BD6"/>
    <w:rsid w:val="0094040D"/>
    <w:rsid w:val="00953CE2"/>
    <w:rsid w:val="009615B0"/>
    <w:rsid w:val="009629BA"/>
    <w:rsid w:val="0096407C"/>
    <w:rsid w:val="0097588C"/>
    <w:rsid w:val="00982EB4"/>
    <w:rsid w:val="00990797"/>
    <w:rsid w:val="00995301"/>
    <w:rsid w:val="009A6A3B"/>
    <w:rsid w:val="009C6DF4"/>
    <w:rsid w:val="009F5B94"/>
    <w:rsid w:val="00A0043A"/>
    <w:rsid w:val="00A01475"/>
    <w:rsid w:val="00A0234A"/>
    <w:rsid w:val="00A15D08"/>
    <w:rsid w:val="00A2079A"/>
    <w:rsid w:val="00A21B33"/>
    <w:rsid w:val="00A21B78"/>
    <w:rsid w:val="00A23DA0"/>
    <w:rsid w:val="00A370E0"/>
    <w:rsid w:val="00A448AB"/>
    <w:rsid w:val="00A53E16"/>
    <w:rsid w:val="00A66AA4"/>
    <w:rsid w:val="00A676FD"/>
    <w:rsid w:val="00A86A63"/>
    <w:rsid w:val="00AA12FE"/>
    <w:rsid w:val="00AA1DAF"/>
    <w:rsid w:val="00AA33F6"/>
    <w:rsid w:val="00AD4084"/>
    <w:rsid w:val="00AE00B7"/>
    <w:rsid w:val="00B01801"/>
    <w:rsid w:val="00B11CD4"/>
    <w:rsid w:val="00B21C7F"/>
    <w:rsid w:val="00B33BBE"/>
    <w:rsid w:val="00B3449C"/>
    <w:rsid w:val="00B408F1"/>
    <w:rsid w:val="00B4400B"/>
    <w:rsid w:val="00B67397"/>
    <w:rsid w:val="00B75341"/>
    <w:rsid w:val="00B80145"/>
    <w:rsid w:val="00B80D21"/>
    <w:rsid w:val="00B87CBE"/>
    <w:rsid w:val="00B94E85"/>
    <w:rsid w:val="00B95071"/>
    <w:rsid w:val="00B9541E"/>
    <w:rsid w:val="00BA1CC4"/>
    <w:rsid w:val="00BA7F9C"/>
    <w:rsid w:val="00BC24FC"/>
    <w:rsid w:val="00BC340B"/>
    <w:rsid w:val="00BE020A"/>
    <w:rsid w:val="00BE4CB0"/>
    <w:rsid w:val="00BF12AA"/>
    <w:rsid w:val="00BF1506"/>
    <w:rsid w:val="00BF3490"/>
    <w:rsid w:val="00BF605B"/>
    <w:rsid w:val="00C15363"/>
    <w:rsid w:val="00C20CE5"/>
    <w:rsid w:val="00C26925"/>
    <w:rsid w:val="00C3594E"/>
    <w:rsid w:val="00C42406"/>
    <w:rsid w:val="00C47AC3"/>
    <w:rsid w:val="00C56A2B"/>
    <w:rsid w:val="00C62297"/>
    <w:rsid w:val="00C66171"/>
    <w:rsid w:val="00C72045"/>
    <w:rsid w:val="00C73083"/>
    <w:rsid w:val="00C75895"/>
    <w:rsid w:val="00C82113"/>
    <w:rsid w:val="00C82E86"/>
    <w:rsid w:val="00C85E24"/>
    <w:rsid w:val="00C90E4B"/>
    <w:rsid w:val="00C94C37"/>
    <w:rsid w:val="00C94FA1"/>
    <w:rsid w:val="00C95337"/>
    <w:rsid w:val="00CA5AE7"/>
    <w:rsid w:val="00CA6967"/>
    <w:rsid w:val="00CA6F4B"/>
    <w:rsid w:val="00CB0C2D"/>
    <w:rsid w:val="00CB17EC"/>
    <w:rsid w:val="00CB2671"/>
    <w:rsid w:val="00CB7C47"/>
    <w:rsid w:val="00CC2998"/>
    <w:rsid w:val="00CC5DFE"/>
    <w:rsid w:val="00CD18DE"/>
    <w:rsid w:val="00CD2C64"/>
    <w:rsid w:val="00CD68E9"/>
    <w:rsid w:val="00CF24DB"/>
    <w:rsid w:val="00D052C3"/>
    <w:rsid w:val="00D07366"/>
    <w:rsid w:val="00D25126"/>
    <w:rsid w:val="00D62310"/>
    <w:rsid w:val="00D63B1C"/>
    <w:rsid w:val="00D6501B"/>
    <w:rsid w:val="00D71320"/>
    <w:rsid w:val="00D7244E"/>
    <w:rsid w:val="00D75034"/>
    <w:rsid w:val="00D75BB4"/>
    <w:rsid w:val="00D80BD8"/>
    <w:rsid w:val="00D846E7"/>
    <w:rsid w:val="00D847E6"/>
    <w:rsid w:val="00D87D9D"/>
    <w:rsid w:val="00D95BE4"/>
    <w:rsid w:val="00DB21B7"/>
    <w:rsid w:val="00DC421A"/>
    <w:rsid w:val="00DF259A"/>
    <w:rsid w:val="00DF7E6B"/>
    <w:rsid w:val="00E00B26"/>
    <w:rsid w:val="00E0341F"/>
    <w:rsid w:val="00E1030B"/>
    <w:rsid w:val="00E17138"/>
    <w:rsid w:val="00E2099D"/>
    <w:rsid w:val="00E23AD0"/>
    <w:rsid w:val="00E25E9C"/>
    <w:rsid w:val="00E30E36"/>
    <w:rsid w:val="00E347A5"/>
    <w:rsid w:val="00E53ED9"/>
    <w:rsid w:val="00E67DD2"/>
    <w:rsid w:val="00E7313D"/>
    <w:rsid w:val="00E768C5"/>
    <w:rsid w:val="00E77511"/>
    <w:rsid w:val="00E80BD5"/>
    <w:rsid w:val="00E9017F"/>
    <w:rsid w:val="00E964E0"/>
    <w:rsid w:val="00EA0F3F"/>
    <w:rsid w:val="00EB2459"/>
    <w:rsid w:val="00EB25A8"/>
    <w:rsid w:val="00EC3260"/>
    <w:rsid w:val="00EC338F"/>
    <w:rsid w:val="00ED669C"/>
    <w:rsid w:val="00ED69E8"/>
    <w:rsid w:val="00EF15B7"/>
    <w:rsid w:val="00EF4640"/>
    <w:rsid w:val="00F0217B"/>
    <w:rsid w:val="00F128C1"/>
    <w:rsid w:val="00F14163"/>
    <w:rsid w:val="00F2478E"/>
    <w:rsid w:val="00F25F71"/>
    <w:rsid w:val="00F30F5B"/>
    <w:rsid w:val="00F36900"/>
    <w:rsid w:val="00F36C06"/>
    <w:rsid w:val="00F4077A"/>
    <w:rsid w:val="00F41A25"/>
    <w:rsid w:val="00F51917"/>
    <w:rsid w:val="00F54AB8"/>
    <w:rsid w:val="00F60919"/>
    <w:rsid w:val="00F812E1"/>
    <w:rsid w:val="00F85025"/>
    <w:rsid w:val="00F85EC7"/>
    <w:rsid w:val="00F85EF1"/>
    <w:rsid w:val="00F86C77"/>
    <w:rsid w:val="00F906EA"/>
    <w:rsid w:val="00FA3424"/>
    <w:rsid w:val="00FB0BA4"/>
    <w:rsid w:val="00FB197C"/>
    <w:rsid w:val="00FC3046"/>
    <w:rsid w:val="00FD1459"/>
    <w:rsid w:val="00FD3F44"/>
    <w:rsid w:val="00FD6224"/>
    <w:rsid w:val="00FF2980"/>
    <w:rsid w:val="00FF710F"/>
    <w:rsid w:val="00FF74F7"/>
    <w:rsid w:val="00FF796A"/>
    <w:rsid w:val="0C670906"/>
    <w:rsid w:val="305277BA"/>
    <w:rsid w:val="30CE781C"/>
    <w:rsid w:val="36994613"/>
    <w:rsid w:val="42B9270F"/>
    <w:rsid w:val="42F848B2"/>
    <w:rsid w:val="43402962"/>
    <w:rsid w:val="443B3647"/>
    <w:rsid w:val="4B9D6558"/>
    <w:rsid w:val="57CF5D62"/>
    <w:rsid w:val="60A56F10"/>
    <w:rsid w:val="697D5D30"/>
    <w:rsid w:val="6AE07B4D"/>
    <w:rsid w:val="6E24202B"/>
    <w:rsid w:val="6F2A2565"/>
    <w:rsid w:val="6FD470B5"/>
    <w:rsid w:val="76544B8E"/>
    <w:rsid w:val="7D77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33"/>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47"/>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1"/>
    <w:pPr>
      <w:ind w:firstLine="420" w:firstLineChars="200"/>
    </w:pPr>
    <w:rPr>
      <w:rFonts w:eastAsia="仿宋_GB2312"/>
      <w:sz w:val="28"/>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link w:val="59"/>
    <w:qFormat/>
    <w:uiPriority w:val="0"/>
    <w:pPr>
      <w:jc w:val="left"/>
    </w:pPr>
    <w:rPr>
      <w:rFonts w:ascii="Times New Roman" w:hAnsi="Times New Roman"/>
      <w:szCs w:val="20"/>
    </w:rPr>
  </w:style>
  <w:style w:type="paragraph" w:styleId="8">
    <w:name w:val="Body Text"/>
    <w:basedOn w:val="1"/>
    <w:next w:val="9"/>
    <w:link w:val="37"/>
    <w:qFormat/>
    <w:uiPriority w:val="99"/>
    <w:pPr>
      <w:autoSpaceDE w:val="0"/>
      <w:autoSpaceDN w:val="0"/>
      <w:spacing w:line="360" w:lineRule="auto"/>
    </w:pPr>
    <w:rPr>
      <w:rFonts w:ascii="宋体" w:hAnsi="Arial" w:cs="Arial"/>
      <w:snapToGrid w:val="0"/>
      <w:sz w:val="24"/>
      <w:szCs w:val="21"/>
      <w:lang w:val="zh-CN"/>
    </w:rPr>
  </w:style>
  <w:style w:type="paragraph" w:styleId="9">
    <w:name w:val="Date"/>
    <w:basedOn w:val="1"/>
    <w:next w:val="1"/>
    <w:link w:val="35"/>
    <w:qFormat/>
    <w:uiPriority w:val="0"/>
    <w:pPr>
      <w:ind w:left="100" w:leftChars="2500"/>
    </w:pPr>
    <w:rPr>
      <w:rFonts w:ascii="宋体"/>
      <w:sz w:val="24"/>
      <w:szCs w:val="21"/>
      <w:lang w:val="zh-CN"/>
    </w:rPr>
  </w:style>
  <w:style w:type="paragraph" w:styleId="10">
    <w:name w:val="Body Text Indent"/>
    <w:basedOn w:val="1"/>
    <w:link w:val="34"/>
    <w:qFormat/>
    <w:uiPriority w:val="0"/>
    <w:pPr>
      <w:spacing w:line="480" w:lineRule="exact"/>
      <w:ind w:firstLine="480" w:firstLineChars="200"/>
    </w:pPr>
    <w:rPr>
      <w:rFonts w:ascii="宋体" w:hAnsi="宋体"/>
      <w:sz w:val="24"/>
    </w:rPr>
  </w:style>
  <w:style w:type="paragraph" w:styleId="11">
    <w:name w:val="toc 3"/>
    <w:basedOn w:val="1"/>
    <w:next w:val="1"/>
    <w:qFormat/>
    <w:uiPriority w:val="0"/>
    <w:pPr>
      <w:ind w:left="840" w:leftChars="400"/>
    </w:pPr>
    <w:rPr>
      <w:rFonts w:ascii="Times New Roman" w:hAnsi="Times New Roman"/>
    </w:rPr>
  </w:style>
  <w:style w:type="paragraph" w:styleId="12">
    <w:name w:val="Plain Text"/>
    <w:basedOn w:val="1"/>
    <w:link w:val="36"/>
    <w:qFormat/>
    <w:uiPriority w:val="0"/>
    <w:rPr>
      <w:rFonts w:ascii="宋体" w:hAnsi="Courier New" w:cs="Arial"/>
      <w:snapToGrid w:val="0"/>
      <w:szCs w:val="21"/>
    </w:rPr>
  </w:style>
  <w:style w:type="paragraph" w:styleId="13">
    <w:name w:val="Balloon Text"/>
    <w:basedOn w:val="1"/>
    <w:link w:val="50"/>
    <w:unhideWhenUsed/>
    <w:qFormat/>
    <w:uiPriority w:val="0"/>
    <w:rPr>
      <w:sz w:val="18"/>
      <w:szCs w:val="18"/>
    </w:rPr>
  </w:style>
  <w:style w:type="paragraph" w:styleId="14">
    <w:name w:val="footer"/>
    <w:basedOn w:val="1"/>
    <w:link w:val="32"/>
    <w:unhideWhenUsed/>
    <w:qFormat/>
    <w:uiPriority w:val="0"/>
    <w:pPr>
      <w:tabs>
        <w:tab w:val="center" w:pos="4153"/>
        <w:tab w:val="right" w:pos="8306"/>
      </w:tabs>
      <w:snapToGrid w:val="0"/>
      <w:jc w:val="left"/>
    </w:pPr>
    <w:rPr>
      <w:sz w:val="18"/>
      <w:szCs w:val="18"/>
    </w:rPr>
  </w:style>
  <w:style w:type="paragraph" w:styleId="15">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91"/>
      </w:tabs>
      <w:spacing w:line="360" w:lineRule="auto"/>
    </w:pPr>
    <w:rPr>
      <w:rFonts w:ascii="Times New Roman" w:hAnsi="Times New Roman"/>
    </w:rPr>
  </w:style>
  <w:style w:type="paragraph" w:styleId="17">
    <w:name w:val="Subtitle"/>
    <w:basedOn w:val="1"/>
    <w:next w:val="1"/>
    <w:link w:val="61"/>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8">
    <w:name w:val="Body Text Indent 3"/>
    <w:basedOn w:val="1"/>
    <w:link w:val="53"/>
    <w:qFormat/>
    <w:uiPriority w:val="0"/>
    <w:pPr>
      <w:spacing w:after="120"/>
      <w:ind w:left="420" w:leftChars="200"/>
    </w:pPr>
    <w:rPr>
      <w:rFonts w:ascii="Times New Roman" w:hAnsi="Times New Roman"/>
      <w:sz w:val="16"/>
      <w:szCs w:val="16"/>
    </w:rPr>
  </w:style>
  <w:style w:type="paragraph" w:styleId="19">
    <w:name w:val="toc 2"/>
    <w:basedOn w:val="1"/>
    <w:next w:val="1"/>
    <w:qFormat/>
    <w:uiPriority w:val="39"/>
    <w:pPr>
      <w:ind w:left="420" w:leftChars="200"/>
    </w:pPr>
    <w:rPr>
      <w:rFonts w:ascii="Times New Roman" w:hAnsi="Times New Roman"/>
    </w:rPr>
  </w:style>
  <w:style w:type="paragraph" w:styleId="20">
    <w:name w:val="Normal (Web)"/>
    <w:basedOn w:val="1"/>
    <w:qFormat/>
    <w:uiPriority w:val="0"/>
    <w:pPr>
      <w:spacing w:beforeAutospacing="1" w:afterAutospacing="1"/>
      <w:jc w:val="left"/>
    </w:pPr>
    <w:rPr>
      <w:rFonts w:ascii="Times New Roman" w:hAnsi="Times New Roman"/>
      <w:kern w:val="0"/>
      <w:sz w:val="24"/>
    </w:rPr>
  </w:style>
  <w:style w:type="paragraph" w:styleId="21">
    <w:name w:val="Title"/>
    <w:basedOn w:val="1"/>
    <w:next w:val="1"/>
    <w:link w:val="62"/>
    <w:qFormat/>
    <w:uiPriority w:val="0"/>
    <w:pPr>
      <w:spacing w:before="240" w:after="60"/>
      <w:jc w:val="center"/>
      <w:outlineLvl w:val="0"/>
    </w:pPr>
    <w:rPr>
      <w:rFonts w:ascii="Cambria" w:hAnsi="Cambria" w:eastAsiaTheme="minorEastAsia"/>
      <w:b/>
      <w:bCs/>
      <w:sz w:val="32"/>
      <w:szCs w:val="32"/>
    </w:rPr>
  </w:style>
  <w:style w:type="paragraph" w:styleId="22">
    <w:name w:val="Body Text First Indent"/>
    <w:basedOn w:val="8"/>
    <w:link w:val="60"/>
    <w:qFormat/>
    <w:uiPriority w:val="0"/>
    <w:pPr>
      <w:autoSpaceDE/>
      <w:autoSpaceDN/>
      <w:spacing w:after="120" w:line="240" w:lineRule="auto"/>
      <w:ind w:firstLine="420" w:firstLineChars="100"/>
    </w:pPr>
    <w:rPr>
      <w:rFonts w:ascii="Times New Roman" w:hAnsi="Times New Roman" w:cs="Times New Roman"/>
      <w:snapToGrid/>
      <w:sz w:val="21"/>
      <w:szCs w:val="24"/>
      <w:lang w:val="en-US"/>
    </w:rPr>
  </w:style>
  <w:style w:type="paragraph" w:styleId="23">
    <w:name w:val="Body Text First Indent 2"/>
    <w:basedOn w:val="10"/>
    <w:link w:val="57"/>
    <w:unhideWhenUsed/>
    <w:qFormat/>
    <w:uiPriority w:val="0"/>
    <w:pPr>
      <w:spacing w:after="120" w:line="240" w:lineRule="auto"/>
      <w:ind w:left="420" w:leftChars="200" w:firstLine="420"/>
    </w:pPr>
    <w:rPr>
      <w:rFonts w:ascii="Calibri" w:hAnsi="Calibri"/>
      <w:sz w:val="21"/>
    </w:rPr>
  </w:style>
  <w:style w:type="table" w:styleId="25">
    <w:name w:val="Table Grid"/>
    <w:basedOn w:val="24"/>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rPr>
      <w:rFonts w:ascii="Arial" w:hAnsi="Arial" w:eastAsia="黑体" w:cs="Arial"/>
      <w:snapToGrid w:val="0"/>
      <w:kern w:val="0"/>
      <w:szCs w:val="21"/>
    </w:rPr>
  </w:style>
  <w:style w:type="character" w:styleId="29">
    <w:name w:val="FollowedHyperlink"/>
    <w:basedOn w:val="26"/>
    <w:qFormat/>
    <w:uiPriority w:val="0"/>
    <w:rPr>
      <w:color w:val="800080"/>
      <w:u w:val="none"/>
    </w:rPr>
  </w:style>
  <w:style w:type="character" w:styleId="30">
    <w:name w:val="Hyperlink"/>
    <w:qFormat/>
    <w:uiPriority w:val="99"/>
    <w:rPr>
      <w:rFonts w:ascii="Arial" w:hAnsi="Arial" w:eastAsia="黑体" w:cs="Arial"/>
      <w:snapToGrid w:val="0"/>
      <w:color w:val="000000"/>
      <w:kern w:val="0"/>
      <w:sz w:val="18"/>
      <w:szCs w:val="18"/>
      <w:u w:val="none"/>
    </w:rPr>
  </w:style>
  <w:style w:type="character" w:customStyle="1" w:styleId="31">
    <w:name w:val="页眉 Char"/>
    <w:basedOn w:val="26"/>
    <w:link w:val="15"/>
    <w:qFormat/>
    <w:uiPriority w:val="99"/>
    <w:rPr>
      <w:sz w:val="18"/>
      <w:szCs w:val="18"/>
    </w:rPr>
  </w:style>
  <w:style w:type="character" w:customStyle="1" w:styleId="32">
    <w:name w:val="页脚 Char"/>
    <w:basedOn w:val="26"/>
    <w:link w:val="14"/>
    <w:qFormat/>
    <w:uiPriority w:val="99"/>
    <w:rPr>
      <w:sz w:val="18"/>
      <w:szCs w:val="18"/>
    </w:rPr>
  </w:style>
  <w:style w:type="character" w:customStyle="1" w:styleId="33">
    <w:name w:val="标题 2 Char"/>
    <w:basedOn w:val="26"/>
    <w:link w:val="3"/>
    <w:qFormat/>
    <w:uiPriority w:val="0"/>
    <w:rPr>
      <w:rFonts w:ascii="仿宋_GB2312" w:hAnsi="仿宋" w:eastAsia="仿宋_GB2312" w:cs="Times New Roman"/>
      <w:b/>
      <w:bCs/>
      <w:sz w:val="32"/>
      <w:szCs w:val="32"/>
      <w:lang w:val="zh-CN"/>
    </w:rPr>
  </w:style>
  <w:style w:type="character" w:customStyle="1" w:styleId="34">
    <w:name w:val="正文文本缩进 Char"/>
    <w:basedOn w:val="26"/>
    <w:link w:val="10"/>
    <w:qFormat/>
    <w:uiPriority w:val="0"/>
    <w:rPr>
      <w:rFonts w:ascii="宋体" w:hAnsi="宋体" w:eastAsia="宋体" w:cs="Times New Roman"/>
      <w:sz w:val="24"/>
      <w:szCs w:val="24"/>
    </w:rPr>
  </w:style>
  <w:style w:type="character" w:customStyle="1" w:styleId="35">
    <w:name w:val="日期 Char"/>
    <w:basedOn w:val="26"/>
    <w:link w:val="9"/>
    <w:qFormat/>
    <w:uiPriority w:val="0"/>
    <w:rPr>
      <w:rFonts w:ascii="宋体" w:hAnsi="Calibri" w:eastAsia="宋体" w:cs="Times New Roman"/>
      <w:sz w:val="24"/>
      <w:szCs w:val="21"/>
      <w:lang w:val="zh-CN"/>
    </w:rPr>
  </w:style>
  <w:style w:type="character" w:customStyle="1" w:styleId="36">
    <w:name w:val="纯文本 Char"/>
    <w:basedOn w:val="26"/>
    <w:link w:val="12"/>
    <w:qFormat/>
    <w:uiPriority w:val="0"/>
    <w:rPr>
      <w:rFonts w:ascii="宋体" w:hAnsi="Courier New" w:eastAsia="宋体" w:cs="Arial"/>
      <w:snapToGrid w:val="0"/>
      <w:szCs w:val="21"/>
    </w:rPr>
  </w:style>
  <w:style w:type="character" w:customStyle="1" w:styleId="37">
    <w:name w:val="正文文本 Char"/>
    <w:basedOn w:val="26"/>
    <w:link w:val="8"/>
    <w:qFormat/>
    <w:uiPriority w:val="99"/>
    <w:rPr>
      <w:rFonts w:ascii="宋体" w:hAnsi="Arial" w:eastAsia="宋体" w:cs="Arial"/>
      <w:snapToGrid w:val="0"/>
      <w:sz w:val="24"/>
      <w:szCs w:val="21"/>
      <w:lang w:val="zh-CN"/>
    </w:rPr>
  </w:style>
  <w:style w:type="paragraph" w:customStyle="1" w:styleId="38">
    <w:name w:val="索引 11"/>
    <w:basedOn w:val="1"/>
    <w:next w:val="1"/>
    <w:qFormat/>
    <w:uiPriority w:val="99"/>
    <w:pPr>
      <w:spacing w:line="360" w:lineRule="auto"/>
    </w:pPr>
    <w:rPr>
      <w:rFonts w:ascii="仿宋_GB2312" w:eastAsia="仿宋_GB2312"/>
      <w:sz w:val="24"/>
      <w:szCs w:val="20"/>
    </w:rPr>
  </w:style>
  <w:style w:type="paragraph" w:customStyle="1" w:styleId="3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1">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2">
    <w:name w:val="纯文本1"/>
    <w:basedOn w:val="1"/>
    <w:qFormat/>
    <w:uiPriority w:val="0"/>
    <w:rPr>
      <w:rFonts w:ascii="宋体" w:hAnsi="Courier New"/>
      <w:kern w:val="0"/>
      <w:sz w:val="20"/>
      <w:szCs w:val="20"/>
    </w:rPr>
  </w:style>
  <w:style w:type="paragraph" w:customStyle="1" w:styleId="4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0_0"/>
    <w:basedOn w:val="43"/>
    <w:qFormat/>
    <w:uiPriority w:val="0"/>
    <w:rPr>
      <w:rFonts w:ascii="宋体" w:hAnsi="Courier New"/>
      <w:szCs w:val="21"/>
    </w:rPr>
  </w:style>
  <w:style w:type="paragraph" w:customStyle="1" w:styleId="45">
    <w:name w:val="正文2"/>
    <w:basedOn w:val="1"/>
    <w:qFormat/>
    <w:uiPriority w:val="0"/>
    <w:pPr>
      <w:spacing w:before="156" w:line="360" w:lineRule="auto"/>
      <w:ind w:firstLine="510" w:firstLineChars="200"/>
    </w:pPr>
    <w:rPr>
      <w:sz w:val="24"/>
      <w:szCs w:val="20"/>
    </w:rPr>
  </w:style>
  <w:style w:type="paragraph" w:customStyle="1" w:styleId="46">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7">
    <w:name w:val="标题 3 Char"/>
    <w:basedOn w:val="26"/>
    <w:link w:val="4"/>
    <w:semiHidden/>
    <w:qFormat/>
    <w:uiPriority w:val="9"/>
    <w:rPr>
      <w:rFonts w:ascii="Calibri" w:hAnsi="Calibri" w:eastAsia="宋体" w:cs="Times New Roman"/>
      <w:b/>
      <w:bCs/>
      <w:sz w:val="32"/>
      <w:szCs w:val="32"/>
    </w:rPr>
  </w:style>
  <w:style w:type="character" w:customStyle="1" w:styleId="48">
    <w:name w:val="标题 4 Char"/>
    <w:basedOn w:val="26"/>
    <w:link w:val="5"/>
    <w:semiHidden/>
    <w:qFormat/>
    <w:uiPriority w:val="9"/>
    <w:rPr>
      <w:rFonts w:asciiTheme="majorHAnsi" w:hAnsiTheme="majorHAnsi" w:eastAsiaTheme="majorEastAsia" w:cstheme="majorBidi"/>
      <w:b/>
      <w:bCs/>
      <w:sz w:val="28"/>
      <w:szCs w:val="28"/>
    </w:rPr>
  </w:style>
  <w:style w:type="paragraph" w:customStyle="1" w:styleId="49">
    <w:name w:val="标题4"/>
    <w:basedOn w:val="1"/>
    <w:qFormat/>
    <w:uiPriority w:val="0"/>
    <w:rPr>
      <w:rFonts w:ascii="Times New Roman" w:hAnsi="Times New Roman" w:eastAsia="仿宋_GB2312"/>
      <w:sz w:val="32"/>
      <w:szCs w:val="20"/>
    </w:rPr>
  </w:style>
  <w:style w:type="character" w:customStyle="1" w:styleId="50">
    <w:name w:val="批注框文本 Char"/>
    <w:basedOn w:val="26"/>
    <w:link w:val="13"/>
    <w:qFormat/>
    <w:uiPriority w:val="0"/>
    <w:rPr>
      <w:rFonts w:ascii="Calibri" w:hAnsi="Calibri" w:eastAsia="宋体" w:cs="Times New Roman"/>
      <w:sz w:val="18"/>
      <w:szCs w:val="18"/>
    </w:rPr>
  </w:style>
  <w:style w:type="character" w:customStyle="1" w:styleId="51">
    <w:name w:val="List Paragraph Char"/>
    <w:link w:val="52"/>
    <w:qFormat/>
    <w:locked/>
    <w:uiPriority w:val="0"/>
    <w:rPr>
      <w:rFonts w:ascii="Times New Roman" w:hAnsi="Times New Roman"/>
      <w:szCs w:val="24"/>
    </w:rPr>
  </w:style>
  <w:style w:type="paragraph" w:customStyle="1" w:styleId="52">
    <w:name w:val="列出段落1"/>
    <w:basedOn w:val="1"/>
    <w:link w:val="51"/>
    <w:qFormat/>
    <w:uiPriority w:val="34"/>
    <w:pPr>
      <w:ind w:firstLine="420" w:firstLineChars="200"/>
    </w:pPr>
    <w:rPr>
      <w:rFonts w:ascii="Times New Roman" w:hAnsi="Times New Roman" w:eastAsiaTheme="minorEastAsia" w:cstheme="minorBidi"/>
    </w:rPr>
  </w:style>
  <w:style w:type="character" w:customStyle="1" w:styleId="53">
    <w:name w:val="正文文本缩进 3 Char"/>
    <w:basedOn w:val="26"/>
    <w:link w:val="18"/>
    <w:qFormat/>
    <w:uiPriority w:val="0"/>
    <w:rPr>
      <w:rFonts w:ascii="Times New Roman" w:hAnsi="Times New Roman" w:eastAsia="宋体" w:cs="Times New Roman"/>
      <w:kern w:val="2"/>
      <w:sz w:val="16"/>
      <w:szCs w:val="16"/>
    </w:rPr>
  </w:style>
  <w:style w:type="paragraph" w:styleId="54">
    <w:name w:val="List Paragraph"/>
    <w:basedOn w:val="1"/>
    <w:unhideWhenUsed/>
    <w:qFormat/>
    <w:uiPriority w:val="34"/>
    <w:pPr>
      <w:ind w:firstLine="420" w:firstLineChars="200"/>
    </w:pPr>
  </w:style>
  <w:style w:type="paragraph" w:customStyle="1" w:styleId="55">
    <w:name w:val="正文空格"/>
    <w:basedOn w:val="1"/>
    <w:next w:val="1"/>
    <w:qFormat/>
    <w:uiPriority w:val="0"/>
    <w:pPr>
      <w:spacing w:line="400" w:lineRule="exact"/>
      <w:ind w:firstLine="200" w:firstLineChars="200"/>
    </w:pPr>
    <w:rPr>
      <w:sz w:val="24"/>
      <w:szCs w:val="22"/>
    </w:rPr>
  </w:style>
  <w:style w:type="paragraph" w:customStyle="1" w:styleId="56">
    <w:name w:val="列出段落2"/>
    <w:basedOn w:val="1"/>
    <w:qFormat/>
    <w:uiPriority w:val="34"/>
    <w:pPr>
      <w:ind w:firstLine="420" w:firstLineChars="200"/>
    </w:pPr>
    <w:rPr>
      <w:kern w:val="0"/>
      <w:sz w:val="20"/>
      <w:szCs w:val="20"/>
    </w:rPr>
  </w:style>
  <w:style w:type="character" w:customStyle="1" w:styleId="57">
    <w:name w:val="正文首行缩进 2 Char"/>
    <w:basedOn w:val="34"/>
    <w:link w:val="23"/>
    <w:semiHidden/>
    <w:qFormat/>
    <w:uiPriority w:val="99"/>
    <w:rPr>
      <w:rFonts w:ascii="Calibri" w:hAnsi="Calibri" w:eastAsia="宋体" w:cs="Times New Roman"/>
      <w:kern w:val="2"/>
      <w:sz w:val="21"/>
      <w:szCs w:val="24"/>
    </w:rPr>
  </w:style>
  <w:style w:type="character" w:customStyle="1" w:styleId="58">
    <w:name w:val="font31"/>
    <w:basedOn w:val="26"/>
    <w:qFormat/>
    <w:uiPriority w:val="0"/>
    <w:rPr>
      <w:rFonts w:hint="eastAsia" w:ascii="宋体" w:hAnsi="宋体" w:eastAsia="宋体" w:cs="宋体"/>
      <w:color w:val="000000"/>
      <w:sz w:val="21"/>
      <w:szCs w:val="21"/>
      <w:u w:val="none"/>
    </w:rPr>
  </w:style>
  <w:style w:type="character" w:customStyle="1" w:styleId="59">
    <w:name w:val="批注文字 Char"/>
    <w:basedOn w:val="26"/>
    <w:link w:val="7"/>
    <w:qFormat/>
    <w:uiPriority w:val="0"/>
    <w:rPr>
      <w:rFonts w:ascii="Times New Roman" w:hAnsi="Times New Roman" w:eastAsia="宋体" w:cs="Times New Roman"/>
      <w:kern w:val="2"/>
      <w:sz w:val="21"/>
    </w:rPr>
  </w:style>
  <w:style w:type="character" w:customStyle="1" w:styleId="60">
    <w:name w:val="正文首行缩进 Char"/>
    <w:basedOn w:val="37"/>
    <w:link w:val="22"/>
    <w:qFormat/>
    <w:uiPriority w:val="0"/>
    <w:rPr>
      <w:rFonts w:ascii="Times New Roman" w:hAnsi="Times New Roman" w:eastAsia="宋体" w:cs="Times New Roman"/>
      <w:snapToGrid w:val="0"/>
      <w:kern w:val="2"/>
      <w:sz w:val="21"/>
      <w:szCs w:val="24"/>
      <w:lang w:val="zh-CN"/>
    </w:rPr>
  </w:style>
  <w:style w:type="character" w:customStyle="1" w:styleId="61">
    <w:name w:val="副标题 Char"/>
    <w:basedOn w:val="26"/>
    <w:link w:val="17"/>
    <w:qFormat/>
    <w:uiPriority w:val="0"/>
    <w:rPr>
      <w:rFonts w:ascii="Cambria" w:hAnsi="Cambria" w:cs="Times New Roman"/>
      <w:b/>
      <w:bCs/>
      <w:kern w:val="28"/>
      <w:sz w:val="32"/>
      <w:szCs w:val="32"/>
    </w:rPr>
  </w:style>
  <w:style w:type="character" w:customStyle="1" w:styleId="62">
    <w:name w:val="标题 Char"/>
    <w:basedOn w:val="26"/>
    <w:link w:val="21"/>
    <w:qFormat/>
    <w:uiPriority w:val="0"/>
    <w:rPr>
      <w:rFonts w:ascii="Cambria" w:hAnsi="Cambria" w:cs="Times New Roman"/>
      <w:b/>
      <w:bCs/>
      <w:kern w:val="2"/>
      <w:sz w:val="32"/>
      <w:szCs w:val="32"/>
    </w:rPr>
  </w:style>
  <w:style w:type="paragraph" w:customStyle="1" w:styleId="63">
    <w:name w:val="正文对齐"/>
    <w:basedOn w:val="1"/>
    <w:qFormat/>
    <w:uiPriority w:val="0"/>
    <w:pPr>
      <w:spacing w:after="120" w:line="360" w:lineRule="auto"/>
      <w:ind w:left="400" w:leftChars="400"/>
    </w:pPr>
    <w:rPr>
      <w:rFonts w:ascii="Times New Roman" w:hAnsi="Times New Roman"/>
      <w:sz w:val="24"/>
      <w:szCs w:val="21"/>
    </w:rPr>
  </w:style>
  <w:style w:type="paragraph" w:customStyle="1" w:styleId="64">
    <w:name w:val="表格文字"/>
    <w:basedOn w:val="65"/>
    <w:qFormat/>
    <w:uiPriority w:val="0"/>
  </w:style>
  <w:style w:type="paragraph" w:customStyle="1" w:styleId="65">
    <w:name w:val="表格文字（两侧对齐）"/>
    <w:basedOn w:val="1"/>
    <w:qFormat/>
    <w:uiPriority w:val="0"/>
    <w:pPr>
      <w:snapToGrid w:val="0"/>
      <w:jc w:val="left"/>
    </w:pPr>
    <w:rPr>
      <w:rFonts w:ascii="Times New Roman" w:hAnsi="Times New Roman"/>
    </w:rPr>
  </w:style>
  <w:style w:type="paragraph" w:customStyle="1" w:styleId="66">
    <w:name w:val="*正文"/>
    <w:basedOn w:val="1"/>
    <w:qFormat/>
    <w:uiPriority w:val="0"/>
    <w:pPr>
      <w:ind w:firstLine="480"/>
    </w:pPr>
    <w:rPr>
      <w:rFonts w:ascii="宋体" w:hAnsi="宋体"/>
      <w:szCs w:val="22"/>
    </w:rPr>
  </w:style>
  <w:style w:type="paragraph" w:customStyle="1" w:styleId="67">
    <w:name w:val="列出段落3"/>
    <w:basedOn w:val="1"/>
    <w:qFormat/>
    <w:uiPriority w:val="34"/>
    <w:pPr>
      <w:ind w:firstLine="420" w:firstLineChars="200"/>
    </w:pPr>
    <w:rPr>
      <w:rFonts w:cs="宋体"/>
      <w:szCs w:val="22"/>
    </w:rPr>
  </w:style>
  <w:style w:type="paragraph" w:customStyle="1" w:styleId="68">
    <w:name w:val="列出段落4"/>
    <w:basedOn w:val="1"/>
    <w:unhideWhenUsed/>
    <w:qFormat/>
    <w:uiPriority w:val="34"/>
    <w:pPr>
      <w:ind w:firstLine="420" w:firstLineChars="200"/>
    </w:pPr>
    <w:rPr>
      <w:rFonts w:ascii="Times New Roman" w:hAnsi="Times New Roman"/>
    </w:rPr>
  </w:style>
  <w:style w:type="paragraph" w:customStyle="1" w:styleId="69">
    <w:name w:val="Blockquote"/>
    <w:basedOn w:val="1"/>
    <w:qFormat/>
    <w:uiPriority w:val="99"/>
    <w:pPr>
      <w:spacing w:before="100" w:after="100"/>
      <w:ind w:left="360" w:right="360"/>
      <w:jc w:val="left"/>
    </w:pPr>
    <w:rPr>
      <w:rFonts w:ascii="Times New Roman" w:hAnsi="Times New Roman"/>
      <w:snapToGrid w:val="0"/>
      <w:kern w:val="0"/>
      <w:sz w:val="24"/>
      <w:szCs w:val="20"/>
      <w:lang w:eastAsia="en-US"/>
    </w:rPr>
  </w:style>
  <w:style w:type="paragraph" w:customStyle="1" w:styleId="7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7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73">
    <w:name w:val="font41"/>
    <w:qFormat/>
    <w:uiPriority w:val="99"/>
    <w:rPr>
      <w:rFonts w:ascii="宋体" w:hAnsi="宋体" w:eastAsia="宋体"/>
      <w:color w:val="000000"/>
      <w:sz w:val="18"/>
      <w:u w:val="none"/>
    </w:rPr>
  </w:style>
  <w:style w:type="character" w:customStyle="1" w:styleId="74">
    <w:name w:val="textcolor1"/>
    <w:basedOn w:val="26"/>
    <w:qFormat/>
    <w:uiPriority w:val="0"/>
    <w:rPr>
      <w:color w:val="FF6600"/>
    </w:rPr>
  </w:style>
  <w:style w:type="paragraph" w:customStyle="1" w:styleId="75">
    <w:name w:val="样式 样式 样式 首行缩进:  0.85 厘米 + 首行缩进:  2 字符 + 首行缩进:  2 字符"/>
    <w:basedOn w:val="1"/>
    <w:qFormat/>
    <w:uiPriority w:val="0"/>
    <w:pPr>
      <w:autoSpaceDE w:val="0"/>
      <w:autoSpaceDN w:val="0"/>
      <w:adjustRightInd w:val="0"/>
      <w:spacing w:line="360" w:lineRule="auto"/>
      <w:ind w:firstLine="200" w:firstLineChars="200"/>
    </w:pPr>
    <w:rPr>
      <w:rFonts w:ascii="Arial" w:hAnsi="Arial"/>
      <w:sz w:val="28"/>
      <w:szCs w:val="20"/>
    </w:rPr>
  </w:style>
  <w:style w:type="paragraph" w:customStyle="1" w:styleId="76">
    <w:name w:val="+正文"/>
    <w:basedOn w:val="1"/>
    <w:qFormat/>
    <w:uiPriority w:val="0"/>
    <w:pPr>
      <w:spacing w:line="360" w:lineRule="auto"/>
      <w:ind w:firstLine="200" w:firstLineChars="200"/>
    </w:pPr>
    <w:rPr>
      <w:rFonts w:ascii="Times New Roman" w:hAnsi="Times New Roman"/>
    </w:rPr>
  </w:style>
  <w:style w:type="paragraph" w:customStyle="1" w:styleId="77">
    <w:name w:val="+1."/>
    <w:basedOn w:val="76"/>
    <w:qFormat/>
    <w:uiPriority w:val="0"/>
    <w:pPr>
      <w:tabs>
        <w:tab w:val="left" w:pos="1276"/>
      </w:tabs>
      <w:ind w:left="851" w:firstLine="0" w:firstLineChars="0"/>
    </w:pPr>
    <w:rPr>
      <w:rFonts w:ascii="宋体" w:hAnsi="宋体"/>
      <w:kern w:val="0"/>
      <w:szCs w:val="28"/>
    </w:rPr>
  </w:style>
  <w:style w:type="paragraph" w:customStyle="1" w:styleId="78">
    <w:name w:val="+列表编号"/>
    <w:basedOn w:val="1"/>
    <w:qFormat/>
    <w:uiPriority w:val="0"/>
    <w:pPr>
      <w:tabs>
        <w:tab w:val="center" w:pos="4200"/>
        <w:tab w:val="right" w:pos="8400"/>
      </w:tabs>
      <w:spacing w:before="120" w:after="120"/>
      <w:jc w:val="center"/>
    </w:pPr>
    <w:rPr>
      <w:rFonts w:ascii="Times New Roman" w:hAnsi="Times New Roman"/>
      <w:b/>
      <w:sz w:val="28"/>
      <w:szCs w:val="28"/>
    </w:rPr>
  </w:style>
  <w:style w:type="paragraph" w:customStyle="1" w:styleId="79">
    <w:name w:val="1-正文"/>
    <w:basedOn w:val="1"/>
    <w:qFormat/>
    <w:uiPriority w:val="0"/>
    <w:pPr>
      <w:spacing w:beforeAutospacing="1" w:line="360" w:lineRule="auto"/>
      <w:ind w:firstLine="480" w:firstLineChars="200"/>
    </w:pPr>
    <w:rPr>
      <w:rFonts w:ascii="Times New Roman" w:hAnsi="Times New Roman"/>
      <w:szCs w:val="22"/>
    </w:rPr>
  </w:style>
  <w:style w:type="character" w:customStyle="1" w:styleId="80">
    <w:name w:val="font21"/>
    <w:basedOn w:val="26"/>
    <w:qFormat/>
    <w:uiPriority w:val="0"/>
    <w:rPr>
      <w:rFonts w:hint="eastAsia" w:ascii="宋体" w:hAnsi="宋体" w:eastAsia="宋体" w:cs="宋体"/>
      <w:color w:val="000000"/>
      <w:sz w:val="20"/>
      <w:szCs w:val="20"/>
      <w:u w:val="none"/>
    </w:rPr>
  </w:style>
  <w:style w:type="character" w:customStyle="1" w:styleId="81">
    <w:name w:val="font11"/>
    <w:basedOn w:val="26"/>
    <w:qFormat/>
    <w:uiPriority w:val="0"/>
    <w:rPr>
      <w:rFonts w:hint="eastAsia" w:ascii="宋体" w:hAnsi="宋体" w:eastAsia="宋体" w:cs="宋体"/>
      <w:color w:val="000000"/>
      <w:sz w:val="21"/>
      <w:szCs w:val="21"/>
      <w:u w:val="none"/>
    </w:rPr>
  </w:style>
  <w:style w:type="paragraph" w:customStyle="1" w:styleId="82">
    <w:name w:val="正文_10"/>
    <w:qFormat/>
    <w:uiPriority w:val="0"/>
    <w:rPr>
      <w:rFonts w:ascii="Times New Roman" w:hAnsi="Times New Roman" w:eastAsia="宋体" w:cs="Times New Roman"/>
      <w:sz w:val="21"/>
      <w:szCs w:val="22"/>
      <w:lang w:val="en-US" w:eastAsia="zh-CN" w:bidi="ar-SA"/>
    </w:rPr>
  </w:style>
  <w:style w:type="paragraph" w:customStyle="1" w:styleId="83">
    <w:name w:val="纯文本_4"/>
    <w:basedOn w:val="84"/>
    <w:qFormat/>
    <w:uiPriority w:val="0"/>
    <w:pPr>
      <w:widowControl/>
      <w:jc w:val="left"/>
    </w:pPr>
    <w:rPr>
      <w:rFonts w:ascii="宋体" w:hAnsi="Courier New"/>
      <w:kern w:val="0"/>
      <w:szCs w:val="21"/>
    </w:rPr>
  </w:style>
  <w:style w:type="paragraph" w:customStyle="1" w:styleId="84">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Table Paragraph"/>
    <w:basedOn w:val="1"/>
    <w:qFormat/>
    <w:uiPriority w:val="1"/>
    <w:rPr>
      <w:rFonts w:ascii="Times New Roman" w:hAnsi="Times New Roman" w:eastAsia="Times New Roman"/>
    </w:rPr>
  </w:style>
  <w:style w:type="paragraph" w:customStyle="1" w:styleId="86">
    <w:name w:val="p0"/>
    <w:basedOn w:val="1"/>
    <w:qFormat/>
    <w:uiPriority w:val="0"/>
    <w:pPr>
      <w:widowControl/>
    </w:pPr>
    <w:rPr>
      <w:rFonts w:ascii="Times New Roman" w:hAnsi="Times New Roman"/>
      <w:kern w:val="0"/>
      <w:szCs w:val="21"/>
    </w:rPr>
  </w:style>
  <w:style w:type="paragraph" w:customStyle="1" w:styleId="8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表格正文"/>
    <w:basedOn w:val="1"/>
    <w:qFormat/>
    <w:uiPriority w:val="0"/>
    <w:pPr>
      <w:snapToGrid w:val="0"/>
      <w:spacing w:afterLines="50" w:line="300" w:lineRule="auto"/>
    </w:pPr>
    <w:rPr>
      <w:rFonts w:ascii="Arial" w:hAnsi="Arial"/>
    </w:rPr>
  </w:style>
  <w:style w:type="paragraph" w:customStyle="1" w:styleId="89">
    <w:name w:val="正文1"/>
    <w:basedOn w:val="1"/>
    <w:qFormat/>
    <w:uiPriority w:val="0"/>
    <w:pPr>
      <w:widowControl/>
    </w:pPr>
    <w:rPr>
      <w:rFonts w:ascii="Times New Roman" w:hAnsi="Times New Roman"/>
      <w:szCs w:val="21"/>
    </w:rPr>
  </w:style>
  <w:style w:type="character" w:customStyle="1" w:styleId="90">
    <w:name w:val="font61"/>
    <w:qFormat/>
    <w:uiPriority w:val="0"/>
    <w:rPr>
      <w:rFonts w:hint="eastAsia" w:ascii="宋体" w:hAnsi="宋体" w:eastAsia="宋体" w:cs="宋体"/>
      <w:color w:val="000000"/>
      <w:sz w:val="18"/>
      <w:szCs w:val="18"/>
      <w:u w:val="none"/>
    </w:rPr>
  </w:style>
  <w:style w:type="character" w:customStyle="1" w:styleId="91">
    <w:name w:val="font91"/>
    <w:qFormat/>
    <w:uiPriority w:val="0"/>
    <w:rPr>
      <w:rFonts w:ascii="Symbol" w:hAnsi="Symbol" w:cs="Symbol"/>
      <w:color w:val="000000"/>
      <w:sz w:val="18"/>
      <w:szCs w:val="18"/>
      <w:u w:val="none"/>
    </w:rPr>
  </w:style>
  <w:style w:type="character" w:customStyle="1" w:styleId="92">
    <w:name w:val="font101"/>
    <w:qFormat/>
    <w:uiPriority w:val="0"/>
    <w:rPr>
      <w:rFonts w:hint="default" w:ascii="Symbol" w:hAnsi="Symbol" w:cs="Symbol"/>
      <w:color w:val="000000"/>
      <w:sz w:val="18"/>
      <w:szCs w:val="18"/>
      <w:u w:val="none"/>
    </w:rPr>
  </w:style>
  <w:style w:type="paragraph" w:customStyle="1" w:styleId="93">
    <w:name w:val="_Style 14"/>
    <w:basedOn w:val="1"/>
    <w:next w:val="54"/>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68</Pages>
  <Words>29459</Words>
  <Characters>31912</Characters>
  <Lines>260</Lines>
  <Paragraphs>73</Paragraphs>
  <TotalTime>29</TotalTime>
  <ScaleCrop>false</ScaleCrop>
  <LinksUpToDate>false</LinksUpToDate>
  <CharactersWithSpaces>34746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2022-07-14T08:15:00Z</dcterms:created>
  <dc:creator>Microsoft</dc:creator>
  <cp:lastModifiedBy>Administrator</cp:lastModifiedBy>
  <cp:lastPrinted>2022-08-18T08:07:00Z</cp:lastPrinted>
  <dcterms:modified xsi:type="dcterms:W3CDTF">2022-08-23T06:25:37Z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A12025A4C1A0495C92A5218CFCA62A79</vt:lpwstr>
  </property>
</Properties>
</file>