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仿宋_GB2312" w:asciiTheme="majorEastAsia" w:hAnsiTheme="majorEastAsia" w:eastAsiaTheme="majorEastAsia"/>
          <w:sz w:val="48"/>
          <w:szCs w:val="48"/>
        </w:rPr>
      </w:pPr>
    </w:p>
    <w:p>
      <w:pPr>
        <w:spacing w:line="360" w:lineRule="auto"/>
        <w:jc w:val="center"/>
        <w:rPr>
          <w:rFonts w:cs="仿宋_GB2312" w:asciiTheme="majorEastAsia" w:hAnsiTheme="majorEastAsia" w:eastAsiaTheme="majorEastAsia"/>
          <w:sz w:val="48"/>
          <w:szCs w:val="48"/>
        </w:rPr>
      </w:pPr>
      <w:r>
        <w:rPr>
          <w:rFonts w:hint="eastAsia" w:cs="仿宋_GB2312" w:asciiTheme="majorEastAsia" w:hAnsiTheme="majorEastAsia" w:eastAsiaTheme="majorEastAsia"/>
          <w:sz w:val="48"/>
          <w:szCs w:val="48"/>
        </w:rPr>
        <w:t xml:space="preserve">2022年省优质均衡区创建暨校园设施改造提升工程项目-部分学校运动场地（球场）改造 </w:t>
      </w:r>
    </w:p>
    <w:p>
      <w:pPr>
        <w:spacing w:line="360" w:lineRule="auto"/>
        <w:jc w:val="center"/>
        <w:rPr>
          <w:rFonts w:cs="仿宋_GB2312" w:asciiTheme="majorEastAsia" w:hAnsiTheme="majorEastAsia" w:eastAsiaTheme="majorEastAsia"/>
          <w:sz w:val="48"/>
          <w:szCs w:val="48"/>
        </w:rPr>
      </w:pPr>
      <w:r>
        <w:rPr>
          <w:rFonts w:hint="eastAsia" w:cs="仿宋_GB2312" w:asciiTheme="majorEastAsia" w:hAnsiTheme="majorEastAsia" w:eastAsiaTheme="majorEastAsia"/>
          <w:sz w:val="48"/>
          <w:szCs w:val="48"/>
        </w:rPr>
        <w:t>公开招标采购文件</w:t>
      </w:r>
    </w:p>
    <w:p>
      <w:pPr>
        <w:spacing w:line="360" w:lineRule="auto"/>
        <w:jc w:val="center"/>
        <w:rPr>
          <w:rFonts w:cs="仿宋_GB2312" w:asciiTheme="majorEastAsia" w:hAnsiTheme="majorEastAsia" w:eastAsiaTheme="majorEastAsia"/>
          <w:b/>
          <w:sz w:val="44"/>
          <w:szCs w:val="44"/>
        </w:rPr>
      </w:pPr>
      <w:r>
        <w:rPr>
          <w:rFonts w:cs="仿宋_GB2312" w:asciiTheme="majorEastAsia" w:hAnsiTheme="majorEastAsia" w:eastAsiaTheme="majorEastAsia"/>
          <w:b/>
          <w:sz w:val="44"/>
          <w:szCs w:val="44"/>
        </w:rPr>
        <w:t xml:space="preserve"> （电子招投标）</w:t>
      </w:r>
    </w:p>
    <w:p>
      <w:pPr>
        <w:snapToGrid w:val="0"/>
        <w:spacing w:line="360" w:lineRule="auto"/>
        <w:jc w:val="center"/>
        <w:rPr>
          <w:rFonts w:cs="仿宋_GB2312" w:asciiTheme="majorEastAsia" w:hAnsiTheme="majorEastAsia" w:eastAsiaTheme="majorEastAsia"/>
          <w:sz w:val="30"/>
          <w:szCs w:val="30"/>
        </w:rPr>
      </w:pPr>
      <w:r>
        <w:rPr>
          <w:rFonts w:hint="eastAsia" w:cs="仿宋_GB2312" w:asciiTheme="majorEastAsia" w:hAnsiTheme="majorEastAsia" w:eastAsiaTheme="majorEastAsia"/>
          <w:sz w:val="30"/>
          <w:szCs w:val="30"/>
        </w:rPr>
        <w:t>项目编号</w:t>
      </w:r>
      <w:r>
        <w:rPr>
          <w:rFonts w:cs="仿宋_GB2312" w:asciiTheme="majorEastAsia" w:hAnsiTheme="majorEastAsia" w:eastAsiaTheme="majorEastAsia"/>
          <w:sz w:val="30"/>
          <w:szCs w:val="30"/>
        </w:rPr>
        <w:t>:</w:t>
      </w:r>
      <w:r>
        <w:rPr>
          <w:rFonts w:asciiTheme="majorEastAsia" w:hAnsiTheme="majorEastAsia" w:eastAsiaTheme="majorEastAsia"/>
        </w:rPr>
        <w:t xml:space="preserve"> </w:t>
      </w:r>
      <w:r>
        <w:rPr>
          <w:rFonts w:cs="仿宋_GB2312" w:asciiTheme="majorEastAsia" w:hAnsiTheme="majorEastAsia" w:eastAsiaTheme="majorEastAsia"/>
          <w:sz w:val="30"/>
          <w:szCs w:val="30"/>
        </w:rPr>
        <w:t>FHGQZB(2022)</w:t>
      </w:r>
      <w:r>
        <w:rPr>
          <w:rFonts w:hint="eastAsia" w:cs="仿宋_GB2312" w:asciiTheme="majorEastAsia" w:hAnsiTheme="majorEastAsia" w:eastAsiaTheme="majorEastAsia"/>
          <w:sz w:val="30"/>
          <w:szCs w:val="30"/>
        </w:rPr>
        <w:t>144</w:t>
      </w:r>
      <w:r>
        <w:rPr>
          <w:rFonts w:cs="仿宋_GB2312" w:asciiTheme="majorEastAsia" w:hAnsiTheme="majorEastAsia" w:eastAsiaTheme="majorEastAsia"/>
          <w:sz w:val="30"/>
          <w:szCs w:val="30"/>
        </w:rPr>
        <w:t>D</w:t>
      </w:r>
      <w:r>
        <w:rPr>
          <w:rFonts w:hint="eastAsia" w:cs="仿宋_GB2312" w:asciiTheme="majorEastAsia" w:hAnsiTheme="majorEastAsia" w:eastAsiaTheme="majorEastAsia"/>
          <w:sz w:val="30"/>
          <w:szCs w:val="30"/>
        </w:rPr>
        <w:t>-1</w:t>
      </w:r>
    </w:p>
    <w:p>
      <w:pPr>
        <w:spacing w:line="360" w:lineRule="auto"/>
        <w:rPr>
          <w:rFonts w:cs="仿宋_GB2312" w:asciiTheme="majorEastAsia" w:hAnsiTheme="majorEastAsia" w:eastAsiaTheme="majorEastAsia"/>
          <w:sz w:val="28"/>
          <w:szCs w:val="20"/>
        </w:rPr>
      </w:pPr>
    </w:p>
    <w:p>
      <w:pPr>
        <w:spacing w:line="360" w:lineRule="auto"/>
        <w:jc w:val="center"/>
        <w:rPr>
          <w:rFonts w:cs="仿宋_GB2312" w:asciiTheme="majorEastAsia" w:hAnsiTheme="majorEastAsia" w:eastAsiaTheme="majorEastAsia"/>
          <w:b/>
          <w:sz w:val="44"/>
          <w:szCs w:val="44"/>
        </w:rPr>
      </w:pPr>
      <w:r>
        <w:rPr>
          <w:rFonts w:cs="仿宋_GB2312" w:asciiTheme="majorEastAsia" w:hAnsiTheme="majorEastAsia" w:eastAsiaTheme="majorEastAsia"/>
          <w:b/>
          <w:sz w:val="44"/>
          <w:szCs w:val="44"/>
        </w:rPr>
        <w:t xml:space="preserve"> </w:t>
      </w:r>
    </w:p>
    <w:p>
      <w:pPr>
        <w:spacing w:line="360" w:lineRule="auto"/>
        <w:jc w:val="center"/>
        <w:rPr>
          <w:rFonts w:cs="仿宋_GB2312" w:asciiTheme="majorEastAsia" w:hAnsiTheme="majorEastAsia" w:eastAsiaTheme="majorEastAsia"/>
          <w:b/>
          <w:sz w:val="44"/>
          <w:szCs w:val="44"/>
        </w:rPr>
      </w:pPr>
    </w:p>
    <w:p>
      <w:pPr>
        <w:pStyle w:val="2"/>
        <w:ind w:firstLine="560"/>
      </w:pPr>
    </w:p>
    <w:p>
      <w:pPr>
        <w:pStyle w:val="2"/>
        <w:ind w:firstLine="560"/>
      </w:pPr>
    </w:p>
    <w:p>
      <w:pPr>
        <w:pStyle w:val="2"/>
        <w:ind w:firstLine="560"/>
      </w:pPr>
    </w:p>
    <w:p>
      <w:pPr>
        <w:pStyle w:val="2"/>
        <w:ind w:firstLine="560"/>
      </w:pPr>
    </w:p>
    <w:p>
      <w:pPr>
        <w:pStyle w:val="2"/>
        <w:ind w:firstLine="560"/>
      </w:pPr>
    </w:p>
    <w:p>
      <w:pPr>
        <w:pStyle w:val="2"/>
        <w:ind w:firstLine="560"/>
      </w:pPr>
    </w:p>
    <w:p>
      <w:pPr>
        <w:spacing w:line="360" w:lineRule="auto"/>
        <w:rPr>
          <w:rFonts w:cs="仿宋_GB2312" w:asciiTheme="majorEastAsia" w:hAnsiTheme="majorEastAsia" w:eastAsiaTheme="majorEastAsia"/>
          <w:sz w:val="32"/>
          <w:szCs w:val="32"/>
        </w:rPr>
      </w:pPr>
    </w:p>
    <w:p>
      <w:pPr>
        <w:snapToGrid w:val="0"/>
        <w:spacing w:line="360" w:lineRule="auto"/>
        <w:jc w:val="center"/>
        <w:rPr>
          <w:rFonts w:cs="仿宋_GB2312" w:asciiTheme="majorEastAsia" w:hAnsiTheme="majorEastAsia" w:eastAsiaTheme="majorEastAsia"/>
          <w:sz w:val="32"/>
          <w:szCs w:val="32"/>
        </w:rPr>
      </w:pPr>
      <w:r>
        <w:rPr>
          <w:rFonts w:hint="eastAsia" w:cs="仿宋_GB2312" w:asciiTheme="majorEastAsia" w:hAnsiTheme="majorEastAsia" w:eastAsiaTheme="majorEastAsia"/>
          <w:sz w:val="32"/>
          <w:szCs w:val="32"/>
        </w:rPr>
        <w:t>采购人：宁波市奉化区教育发展投资有限责任公司</w:t>
      </w:r>
    </w:p>
    <w:p>
      <w:pPr>
        <w:spacing w:line="360" w:lineRule="auto"/>
        <w:jc w:val="center"/>
        <w:rPr>
          <w:rFonts w:cs="仿宋_GB2312" w:asciiTheme="majorEastAsia" w:hAnsiTheme="majorEastAsia" w:eastAsiaTheme="majorEastAsia"/>
          <w:bCs/>
          <w:sz w:val="32"/>
          <w:szCs w:val="32"/>
        </w:rPr>
      </w:pPr>
      <w:r>
        <w:rPr>
          <w:rFonts w:hint="eastAsia" w:cs="仿宋_GB2312" w:asciiTheme="majorEastAsia" w:hAnsiTheme="majorEastAsia" w:eastAsiaTheme="majorEastAsia"/>
          <w:bCs/>
          <w:sz w:val="32"/>
          <w:szCs w:val="32"/>
        </w:rPr>
        <w:t>采购代理机构：宁波敬信项目管理咨询有限公司</w:t>
      </w:r>
    </w:p>
    <w:p>
      <w:pPr>
        <w:snapToGrid w:val="0"/>
        <w:spacing w:line="360" w:lineRule="auto"/>
        <w:jc w:val="center"/>
        <w:rPr>
          <w:rFonts w:cs="仿宋_GB2312" w:asciiTheme="majorEastAsia" w:hAnsiTheme="majorEastAsia" w:eastAsiaTheme="majorEastAsia"/>
          <w:bCs/>
          <w:sz w:val="32"/>
          <w:szCs w:val="32"/>
        </w:rPr>
      </w:pPr>
    </w:p>
    <w:p>
      <w:pPr>
        <w:snapToGrid w:val="0"/>
        <w:spacing w:line="360" w:lineRule="auto"/>
        <w:jc w:val="center"/>
        <w:rPr>
          <w:rFonts w:cs="仿宋_GB2312" w:asciiTheme="majorEastAsia" w:hAnsiTheme="majorEastAsia" w:eastAsiaTheme="majorEastAsia"/>
          <w:bCs/>
          <w:sz w:val="32"/>
          <w:szCs w:val="32"/>
        </w:rPr>
      </w:pPr>
      <w:r>
        <w:rPr>
          <w:rFonts w:hint="eastAsia" w:cs="仿宋_GB2312" w:asciiTheme="majorEastAsia" w:hAnsiTheme="majorEastAsia" w:eastAsiaTheme="majorEastAsia"/>
          <w:bCs/>
          <w:sz w:val="32"/>
          <w:szCs w:val="32"/>
        </w:rPr>
        <w:t>二零二二年</w:t>
      </w:r>
    </w:p>
    <w:p>
      <w:pPr>
        <w:spacing w:line="360" w:lineRule="auto"/>
        <w:jc w:val="center"/>
        <w:rPr>
          <w:rFonts w:cs="仿宋_GB2312" w:asciiTheme="majorEastAsia" w:hAnsiTheme="majorEastAsia" w:eastAsiaTheme="majorEastAsia"/>
          <w:sz w:val="24"/>
        </w:rPr>
      </w:pPr>
      <w:r>
        <w:rPr>
          <w:rFonts w:cs="仿宋_GB2312" w:asciiTheme="majorEastAsia" w:hAnsiTheme="majorEastAsia" w:eastAsiaTheme="majorEastAsia"/>
          <w:sz w:val="24"/>
        </w:rPr>
        <w:br w:type="page"/>
      </w:r>
      <w:bookmarkStart w:id="0" w:name="_Hlt67893495"/>
      <w:bookmarkEnd w:id="0"/>
    </w:p>
    <w:p>
      <w:pPr>
        <w:spacing w:line="360" w:lineRule="auto"/>
        <w:jc w:val="center"/>
        <w:rPr>
          <w:rFonts w:cs="仿宋_GB2312" w:asciiTheme="majorEastAsia" w:hAnsiTheme="majorEastAsia" w:eastAsiaTheme="majorEastAsia"/>
          <w:sz w:val="24"/>
        </w:rPr>
      </w:pPr>
    </w:p>
    <w:p>
      <w:pPr>
        <w:spacing w:line="360" w:lineRule="auto"/>
        <w:jc w:val="center"/>
        <w:rPr>
          <w:rFonts w:cs="仿宋_GB2312" w:asciiTheme="majorEastAsia" w:hAnsiTheme="majorEastAsia" w:eastAsiaTheme="majorEastAsia"/>
          <w:b/>
          <w:sz w:val="48"/>
          <w:szCs w:val="48"/>
        </w:rPr>
      </w:pPr>
      <w:r>
        <w:rPr>
          <w:rFonts w:hint="eastAsia" w:cs="仿宋_GB2312" w:asciiTheme="majorEastAsia" w:hAnsiTheme="majorEastAsia" w:eastAsiaTheme="majorEastAsia"/>
          <w:b/>
          <w:sz w:val="48"/>
          <w:szCs w:val="48"/>
        </w:rPr>
        <w:t>目</w:t>
      </w:r>
      <w:r>
        <w:rPr>
          <w:rFonts w:cs="仿宋_GB2312" w:asciiTheme="majorEastAsia" w:hAnsiTheme="majorEastAsia" w:eastAsiaTheme="majorEastAsia"/>
          <w:b/>
          <w:sz w:val="48"/>
          <w:szCs w:val="48"/>
        </w:rPr>
        <w:t xml:space="preserve">  </w:t>
      </w:r>
      <w:r>
        <w:rPr>
          <w:rFonts w:hint="eastAsia" w:cs="仿宋_GB2312" w:asciiTheme="majorEastAsia" w:hAnsiTheme="majorEastAsia" w:eastAsiaTheme="majorEastAsia"/>
          <w:b/>
          <w:sz w:val="48"/>
          <w:szCs w:val="48"/>
        </w:rPr>
        <w:t>录</w:t>
      </w:r>
    </w:p>
    <w:p>
      <w:pPr>
        <w:spacing w:line="360" w:lineRule="auto"/>
        <w:rPr>
          <w:rFonts w:cs="仿宋_GB2312" w:asciiTheme="majorEastAsia" w:hAnsiTheme="majorEastAsia" w:eastAsiaTheme="majorEastAsia"/>
          <w:sz w:val="32"/>
          <w:szCs w:val="32"/>
        </w:rPr>
      </w:pPr>
    </w:p>
    <w:p>
      <w:pPr>
        <w:spacing w:line="360" w:lineRule="auto"/>
        <w:rPr>
          <w:rFonts w:cs="仿宋_GB2312" w:asciiTheme="majorEastAsia" w:hAnsiTheme="majorEastAsia" w:eastAsiaTheme="majorEastAsia"/>
          <w:sz w:val="32"/>
          <w:szCs w:val="32"/>
        </w:rPr>
      </w:pPr>
    </w:p>
    <w:p>
      <w:pPr>
        <w:spacing w:line="360" w:lineRule="auto"/>
        <w:ind w:firstLine="1280" w:firstLineChars="400"/>
        <w:rPr>
          <w:rFonts w:cs="仿宋" w:asciiTheme="majorEastAsia" w:hAnsiTheme="majorEastAsia" w:eastAsiaTheme="majorEastAsia"/>
          <w:sz w:val="32"/>
          <w:szCs w:val="32"/>
        </w:rPr>
      </w:pPr>
      <w:r>
        <w:rPr>
          <w:rFonts w:hint="eastAsia" w:cs="仿宋" w:asciiTheme="majorEastAsia" w:hAnsiTheme="majorEastAsia" w:eastAsiaTheme="majorEastAsia"/>
          <w:sz w:val="32"/>
          <w:szCs w:val="32"/>
        </w:rPr>
        <w:t>第一部分      招标公告</w:t>
      </w:r>
    </w:p>
    <w:p>
      <w:pPr>
        <w:spacing w:line="360" w:lineRule="auto"/>
        <w:ind w:firstLine="1280" w:firstLineChars="400"/>
        <w:rPr>
          <w:rFonts w:cs="仿宋" w:asciiTheme="majorEastAsia" w:hAnsiTheme="majorEastAsia" w:eastAsiaTheme="majorEastAsia"/>
          <w:sz w:val="32"/>
          <w:szCs w:val="32"/>
        </w:rPr>
      </w:pPr>
      <w:r>
        <w:rPr>
          <w:rFonts w:hint="eastAsia" w:cs="仿宋" w:asciiTheme="majorEastAsia" w:hAnsiTheme="majorEastAsia" w:eastAsiaTheme="majorEastAsia"/>
          <w:sz w:val="32"/>
          <w:szCs w:val="32"/>
        </w:rPr>
        <w:t>第二部分      投标须知</w:t>
      </w:r>
    </w:p>
    <w:p>
      <w:pPr>
        <w:spacing w:line="360" w:lineRule="auto"/>
        <w:ind w:firstLine="1280" w:firstLineChars="400"/>
        <w:rPr>
          <w:rFonts w:cs="仿宋" w:asciiTheme="majorEastAsia" w:hAnsiTheme="majorEastAsia" w:eastAsiaTheme="majorEastAsia"/>
          <w:sz w:val="32"/>
          <w:szCs w:val="32"/>
        </w:rPr>
      </w:pPr>
      <w:r>
        <w:rPr>
          <w:rFonts w:hint="eastAsia" w:cs="仿宋" w:asciiTheme="majorEastAsia" w:hAnsiTheme="majorEastAsia" w:eastAsiaTheme="majorEastAsia"/>
          <w:sz w:val="32"/>
          <w:szCs w:val="32"/>
        </w:rPr>
        <w:t>第三部分      采购需求</w:t>
      </w:r>
    </w:p>
    <w:p>
      <w:pPr>
        <w:spacing w:line="360" w:lineRule="auto"/>
        <w:ind w:firstLine="1280" w:firstLineChars="400"/>
        <w:rPr>
          <w:rFonts w:cs="仿宋" w:asciiTheme="majorEastAsia" w:hAnsiTheme="majorEastAsia" w:eastAsiaTheme="majorEastAsia"/>
          <w:sz w:val="32"/>
          <w:szCs w:val="32"/>
        </w:rPr>
      </w:pPr>
      <w:r>
        <w:rPr>
          <w:rFonts w:hint="eastAsia" w:cs="仿宋" w:asciiTheme="majorEastAsia" w:hAnsiTheme="majorEastAsia" w:eastAsiaTheme="majorEastAsia"/>
          <w:sz w:val="32"/>
          <w:szCs w:val="32"/>
        </w:rPr>
        <w:t>第四部分      评标办法</w:t>
      </w:r>
    </w:p>
    <w:p>
      <w:pPr>
        <w:spacing w:line="360" w:lineRule="auto"/>
        <w:ind w:firstLine="1280" w:firstLineChars="400"/>
        <w:rPr>
          <w:rFonts w:cs="仿宋" w:asciiTheme="majorEastAsia" w:hAnsiTheme="majorEastAsia" w:eastAsiaTheme="majorEastAsia"/>
          <w:sz w:val="32"/>
          <w:szCs w:val="32"/>
        </w:rPr>
      </w:pPr>
      <w:r>
        <w:rPr>
          <w:rFonts w:hint="eastAsia" w:cs="仿宋" w:asciiTheme="majorEastAsia" w:hAnsiTheme="majorEastAsia" w:eastAsiaTheme="majorEastAsia"/>
          <w:sz w:val="32"/>
          <w:szCs w:val="32"/>
        </w:rPr>
        <w:t>第五部分      拟签订的合同文本</w:t>
      </w:r>
    </w:p>
    <w:p>
      <w:pPr>
        <w:spacing w:line="360" w:lineRule="auto"/>
        <w:ind w:firstLine="1280" w:firstLineChars="400"/>
        <w:rPr>
          <w:rFonts w:cs="仿宋" w:asciiTheme="majorEastAsia" w:hAnsiTheme="majorEastAsia" w:eastAsiaTheme="majorEastAsia"/>
          <w:sz w:val="32"/>
          <w:szCs w:val="32"/>
        </w:rPr>
      </w:pPr>
      <w:r>
        <w:rPr>
          <w:rFonts w:hint="eastAsia" w:cs="仿宋" w:asciiTheme="majorEastAsia" w:hAnsiTheme="majorEastAsia" w:eastAsiaTheme="majorEastAsia"/>
          <w:sz w:val="32"/>
          <w:szCs w:val="32"/>
        </w:rPr>
        <w:t>第六部分      应提交的有关格式范例</w:t>
      </w:r>
    </w:p>
    <w:p>
      <w:pPr>
        <w:spacing w:line="360" w:lineRule="auto"/>
        <w:ind w:firstLine="549" w:firstLineChars="229"/>
        <w:rPr>
          <w:rFonts w:cs="仿宋" w:asciiTheme="majorEastAsia" w:hAnsiTheme="majorEastAsia" w:eastAsiaTheme="majorEastAsia"/>
          <w:sz w:val="24"/>
        </w:rPr>
      </w:pPr>
      <w:bookmarkStart w:id="1" w:name="_Hlt91233176"/>
      <w:bookmarkEnd w:id="1"/>
      <w:bookmarkStart w:id="2" w:name="_Toc91899869"/>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rPr>
          <w:rFonts w:cs="仿宋" w:asciiTheme="majorEastAsia" w:hAnsiTheme="majorEastAsia" w:eastAsiaTheme="majorEastAsia"/>
          <w:sz w:val="24"/>
        </w:rPr>
      </w:pPr>
    </w:p>
    <w:p>
      <w:pPr>
        <w:spacing w:line="360" w:lineRule="auto"/>
        <w:jc w:val="center"/>
        <w:outlineLvl w:val="0"/>
        <w:rPr>
          <w:rFonts w:cs="仿宋" w:asciiTheme="majorEastAsia" w:hAnsiTheme="majorEastAsia" w:eastAsiaTheme="majorEastAsia"/>
          <w:b/>
          <w:sz w:val="36"/>
          <w:szCs w:val="20"/>
        </w:rPr>
      </w:pPr>
      <w:bookmarkStart w:id="3" w:name="第一部分"/>
      <w:r>
        <w:rPr>
          <w:rFonts w:hint="eastAsia" w:cs="仿宋" w:asciiTheme="majorEastAsia" w:hAnsiTheme="majorEastAsia" w:eastAsiaTheme="majorEastAsia"/>
          <w:b/>
          <w:sz w:val="36"/>
          <w:szCs w:val="36"/>
        </w:rPr>
        <w:br w:type="page"/>
      </w:r>
      <w:bookmarkEnd w:id="2"/>
      <w:bookmarkEnd w:id="3"/>
      <w:bookmarkStart w:id="4" w:name="_Hlt74649545"/>
      <w:bookmarkEnd w:id="4"/>
      <w:bookmarkStart w:id="5" w:name="_Hlt74707423"/>
      <w:bookmarkEnd w:id="5"/>
      <w:bookmarkStart w:id="6" w:name="_Hlt74728647"/>
      <w:bookmarkEnd w:id="6"/>
      <w:bookmarkStart w:id="7" w:name="_Hlt74729822"/>
      <w:bookmarkEnd w:id="7"/>
      <w:bookmarkStart w:id="8" w:name="第二部分"/>
      <w:bookmarkStart w:id="9" w:name="_Toc91899870"/>
      <w:bookmarkStart w:id="10" w:name="_Toc91899871"/>
      <w:r>
        <w:rPr>
          <w:rFonts w:hint="eastAsia" w:cs="仿宋" w:asciiTheme="majorEastAsia" w:hAnsiTheme="majorEastAsia" w:eastAsiaTheme="majorEastAsia"/>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u w:val="single"/>
        </w:rPr>
        <w:t>2022年省优质均衡区创建暨校园设施改造提升工程项目-部分学校运动场地（球场）改造</w:t>
      </w:r>
      <w:r>
        <w:rPr>
          <w:rFonts w:hint="eastAsia" w:cs="仿宋" w:asciiTheme="majorEastAsia" w:hAnsiTheme="majorEastAsia" w:eastAsiaTheme="majorEastAsia"/>
          <w:sz w:val="24"/>
        </w:rPr>
        <w:t>的潜在供应商应在政采云平台（</w:t>
      </w:r>
      <w:r>
        <w:fldChar w:fldCharType="begin"/>
      </w:r>
      <w:r>
        <w:instrText xml:space="preserve"> HYPERLINK "https://www.zcygov.cn/）获取（下载）招标文件，并于2022年00月00日09点00分00秒" </w:instrText>
      </w:r>
      <w:r>
        <w:fldChar w:fldCharType="separate"/>
      </w:r>
      <w:r>
        <w:rPr>
          <w:rStyle w:val="24"/>
          <w:rFonts w:hint="eastAsia" w:cs="仿宋" w:asciiTheme="majorEastAsia" w:hAnsiTheme="majorEastAsia" w:eastAsiaTheme="majorEastAsia"/>
          <w:color w:val="auto"/>
          <w:sz w:val="24"/>
          <w:szCs w:val="24"/>
        </w:rPr>
        <w:t>https://www.zcygov.cn/）获取（下载）招标文件，并于</w:t>
      </w:r>
      <w:r>
        <w:rPr>
          <w:rStyle w:val="24"/>
          <w:rFonts w:hint="eastAsia" w:cs="仿宋" w:asciiTheme="majorEastAsia" w:hAnsiTheme="majorEastAsia" w:eastAsiaTheme="majorEastAsia"/>
          <w:snapToGrid/>
          <w:color w:val="auto"/>
          <w:kern w:val="2"/>
          <w:sz w:val="24"/>
          <w:szCs w:val="24"/>
        </w:rPr>
        <w:t>2022年0</w:t>
      </w:r>
      <w:r>
        <w:rPr>
          <w:rStyle w:val="24"/>
          <w:rFonts w:hint="eastAsia" w:cs="仿宋" w:asciiTheme="majorEastAsia" w:hAnsiTheme="majorEastAsia" w:eastAsiaTheme="majorEastAsia"/>
          <w:snapToGrid/>
          <w:color w:val="auto"/>
          <w:kern w:val="2"/>
          <w:sz w:val="24"/>
          <w:szCs w:val="24"/>
          <w:lang w:val="en-US" w:eastAsia="zh-CN"/>
        </w:rPr>
        <w:t>8</w:t>
      </w:r>
      <w:r>
        <w:rPr>
          <w:rStyle w:val="24"/>
          <w:rFonts w:hint="eastAsia" w:cs="仿宋" w:asciiTheme="majorEastAsia" w:hAnsiTheme="majorEastAsia" w:eastAsiaTheme="majorEastAsia"/>
          <w:snapToGrid/>
          <w:color w:val="auto"/>
          <w:kern w:val="2"/>
          <w:sz w:val="24"/>
          <w:szCs w:val="24"/>
        </w:rPr>
        <w:t>月</w:t>
      </w:r>
      <w:r>
        <w:rPr>
          <w:rStyle w:val="24"/>
          <w:rFonts w:hint="eastAsia" w:cs="仿宋" w:asciiTheme="majorEastAsia" w:hAnsiTheme="majorEastAsia" w:eastAsiaTheme="majorEastAsia"/>
          <w:snapToGrid/>
          <w:color w:val="auto"/>
          <w:kern w:val="2"/>
          <w:sz w:val="24"/>
          <w:szCs w:val="24"/>
          <w:lang w:val="en-US" w:eastAsia="zh-CN"/>
        </w:rPr>
        <w:t>17</w:t>
      </w:r>
      <w:r>
        <w:rPr>
          <w:rStyle w:val="24"/>
          <w:rFonts w:hint="eastAsia" w:cs="仿宋" w:asciiTheme="majorEastAsia" w:hAnsiTheme="majorEastAsia" w:eastAsiaTheme="majorEastAsia"/>
          <w:snapToGrid/>
          <w:color w:val="auto"/>
          <w:kern w:val="2"/>
          <w:sz w:val="24"/>
          <w:szCs w:val="24"/>
        </w:rPr>
        <w:t>日</w:t>
      </w:r>
      <w:r>
        <w:rPr>
          <w:rStyle w:val="24"/>
          <w:rFonts w:hint="eastAsia" w:cs="仿宋" w:asciiTheme="majorEastAsia" w:hAnsiTheme="majorEastAsia" w:eastAsiaTheme="majorEastAsia"/>
          <w:snapToGrid/>
          <w:color w:val="auto"/>
          <w:kern w:val="2"/>
          <w:sz w:val="24"/>
          <w:szCs w:val="24"/>
          <w:lang w:val="en-US" w:eastAsia="zh-CN"/>
        </w:rPr>
        <w:t>09</w:t>
      </w:r>
      <w:r>
        <w:rPr>
          <w:rStyle w:val="24"/>
          <w:rFonts w:hint="eastAsia" w:cs="仿宋" w:asciiTheme="majorEastAsia" w:hAnsiTheme="majorEastAsia" w:eastAsiaTheme="majorEastAsia"/>
          <w:snapToGrid/>
          <w:color w:val="auto"/>
          <w:kern w:val="2"/>
          <w:sz w:val="24"/>
          <w:szCs w:val="24"/>
        </w:rPr>
        <w:t>点</w:t>
      </w:r>
      <w:r>
        <w:rPr>
          <w:rStyle w:val="24"/>
          <w:rFonts w:hint="eastAsia" w:cs="仿宋" w:asciiTheme="majorEastAsia" w:hAnsiTheme="majorEastAsia" w:eastAsiaTheme="majorEastAsia"/>
          <w:snapToGrid/>
          <w:color w:val="auto"/>
          <w:kern w:val="2"/>
          <w:sz w:val="24"/>
          <w:szCs w:val="24"/>
          <w:lang w:val="en-US" w:eastAsia="zh-CN"/>
        </w:rPr>
        <w:t>00</w:t>
      </w:r>
      <w:r>
        <w:rPr>
          <w:rStyle w:val="24"/>
          <w:rFonts w:hint="eastAsia" w:cs="仿宋" w:asciiTheme="majorEastAsia" w:hAnsiTheme="majorEastAsia" w:eastAsiaTheme="majorEastAsia"/>
          <w:snapToGrid/>
          <w:color w:val="auto"/>
          <w:kern w:val="2"/>
          <w:sz w:val="24"/>
          <w:szCs w:val="24"/>
        </w:rPr>
        <w:t>分</w:t>
      </w:r>
      <w:r>
        <w:rPr>
          <w:rStyle w:val="24"/>
          <w:rFonts w:hint="eastAsia" w:cs="仿宋" w:asciiTheme="majorEastAsia" w:hAnsiTheme="majorEastAsia" w:eastAsiaTheme="majorEastAsia"/>
          <w:bCs/>
          <w:snapToGrid/>
          <w:color w:val="auto"/>
          <w:kern w:val="2"/>
          <w:sz w:val="24"/>
          <w:szCs w:val="24"/>
        </w:rPr>
        <w:t>00秒</w:t>
      </w:r>
      <w:r>
        <w:rPr>
          <w:rStyle w:val="24"/>
          <w:rFonts w:hint="eastAsia" w:cs="仿宋" w:asciiTheme="majorEastAsia" w:hAnsiTheme="majorEastAsia" w:eastAsiaTheme="majorEastAsia"/>
          <w:bCs/>
          <w:snapToGrid/>
          <w:color w:val="auto"/>
          <w:kern w:val="2"/>
          <w:sz w:val="24"/>
          <w:szCs w:val="24"/>
        </w:rPr>
        <w:fldChar w:fldCharType="end"/>
      </w:r>
      <w:r>
        <w:rPr>
          <w:rFonts w:hint="eastAsia" w:cs="仿宋" w:asciiTheme="majorEastAsia" w:hAnsiTheme="majorEastAsia" w:eastAsiaTheme="majorEastAsia"/>
          <w:bCs/>
          <w:sz w:val="24"/>
        </w:rPr>
        <w:t>（北京时间）前</w:t>
      </w:r>
      <w:r>
        <w:rPr>
          <w:rFonts w:hint="eastAsia" w:cs="仿宋" w:asciiTheme="majorEastAsia" w:hAnsiTheme="majorEastAsia" w:eastAsiaTheme="majorEastAsia"/>
          <w:sz w:val="24"/>
        </w:rPr>
        <w:t>递交（上传）投标文件。</w:t>
      </w: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 xml:space="preserve">一、项目基本情况                                            </w:t>
      </w:r>
    </w:p>
    <w:p>
      <w:pPr>
        <w:spacing w:line="360" w:lineRule="auto"/>
        <w:ind w:firstLine="480"/>
        <w:rPr>
          <w:rFonts w:cs="仿宋" w:asciiTheme="majorEastAsia" w:hAnsiTheme="majorEastAsia" w:eastAsiaTheme="majorEastAsia"/>
          <w:b/>
          <w:sz w:val="24"/>
        </w:rPr>
      </w:pPr>
      <w:r>
        <w:rPr>
          <w:rFonts w:hint="eastAsia" w:cs="仿宋" w:asciiTheme="majorEastAsia" w:hAnsiTheme="majorEastAsia" w:eastAsiaTheme="majorEastAsia"/>
          <w:b/>
          <w:sz w:val="24"/>
        </w:rPr>
        <w:t>项目编号：</w:t>
      </w:r>
      <w:r>
        <w:rPr>
          <w:rFonts w:cs="仿宋" w:asciiTheme="majorEastAsia" w:hAnsiTheme="majorEastAsia" w:eastAsiaTheme="majorEastAsia"/>
          <w:sz w:val="24"/>
        </w:rPr>
        <w:t>FHGQZB(2022)</w:t>
      </w:r>
      <w:r>
        <w:rPr>
          <w:rFonts w:hint="eastAsia" w:cs="仿宋" w:asciiTheme="majorEastAsia" w:hAnsiTheme="majorEastAsia" w:eastAsiaTheme="majorEastAsia"/>
          <w:sz w:val="24"/>
        </w:rPr>
        <w:t>144</w:t>
      </w:r>
      <w:r>
        <w:rPr>
          <w:rFonts w:cs="仿宋" w:asciiTheme="majorEastAsia" w:hAnsiTheme="majorEastAsia" w:eastAsiaTheme="majorEastAsia"/>
          <w:sz w:val="24"/>
        </w:rPr>
        <w:t>D</w:t>
      </w:r>
      <w:r>
        <w:rPr>
          <w:rFonts w:hint="eastAsia" w:cs="仿宋" w:asciiTheme="majorEastAsia" w:hAnsiTheme="majorEastAsia" w:eastAsiaTheme="majorEastAsia"/>
          <w:sz w:val="24"/>
        </w:rPr>
        <w:t xml:space="preserve">-1          </w:t>
      </w:r>
      <w:r>
        <w:rPr>
          <w:rFonts w:hint="eastAsia" w:ascii="宋体" w:hAnsi="宋体" w:cs="宋体"/>
          <w:sz w:val="24"/>
        </w:rPr>
        <w:t>档案编号:</w:t>
      </w:r>
      <w:r>
        <w:t xml:space="preserve"> </w:t>
      </w:r>
      <w:r>
        <w:rPr>
          <w:rFonts w:ascii="宋体" w:hAnsi="宋体" w:cs="宋体"/>
          <w:sz w:val="24"/>
        </w:rPr>
        <w:t>JX-22138</w:t>
      </w:r>
      <w:r>
        <w:rPr>
          <w:rFonts w:hint="eastAsia" w:cs="仿宋" w:asciiTheme="majorEastAsia" w:hAnsiTheme="majorEastAsia" w:eastAsiaTheme="majorEastAsia"/>
          <w:sz w:val="24"/>
        </w:rPr>
        <w:t xml:space="preserve">  </w:t>
      </w:r>
      <w:r>
        <w:rPr>
          <w:rFonts w:hint="eastAsia" w:cs="仿宋" w:asciiTheme="majorEastAsia" w:hAnsiTheme="majorEastAsia" w:eastAsiaTheme="majorEastAsia"/>
          <w:b/>
          <w:sz w:val="24"/>
        </w:rPr>
        <w:t xml:space="preserve"> </w:t>
      </w:r>
    </w:p>
    <w:p>
      <w:pPr>
        <w:spacing w:line="360" w:lineRule="auto"/>
        <w:ind w:firstLine="480"/>
        <w:rPr>
          <w:rFonts w:cs="仿宋" w:asciiTheme="majorEastAsia" w:hAnsiTheme="majorEastAsia" w:eastAsiaTheme="majorEastAsia"/>
          <w:sz w:val="24"/>
        </w:rPr>
      </w:pPr>
      <w:r>
        <w:rPr>
          <w:rFonts w:hint="eastAsia" w:cs="仿宋" w:asciiTheme="majorEastAsia" w:hAnsiTheme="majorEastAsia" w:eastAsiaTheme="majorEastAsia"/>
          <w:b/>
          <w:sz w:val="24"/>
        </w:rPr>
        <w:t>项目名称：</w:t>
      </w:r>
      <w:r>
        <w:rPr>
          <w:rFonts w:hint="eastAsia" w:cs="仿宋" w:asciiTheme="majorEastAsia" w:hAnsiTheme="majorEastAsia" w:eastAsiaTheme="majorEastAsia"/>
          <w:sz w:val="24"/>
        </w:rPr>
        <w:t xml:space="preserve">2022年省优质均衡区创建暨校园设施改造提升工程项目-部分学校运动场地（球场）改造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w:t>
      </w:r>
      <w:r>
        <w:rPr>
          <w:rFonts w:hint="eastAsia" w:cs="仿宋" w:asciiTheme="majorEastAsia" w:hAnsiTheme="majorEastAsia" w:eastAsiaTheme="majorEastAsia"/>
          <w:b/>
          <w:sz w:val="24"/>
        </w:rPr>
        <w:t xml:space="preserve"> 预算金额（元）：</w:t>
      </w:r>
      <w:r>
        <w:rPr>
          <w:rFonts w:hint="eastAsia" w:ascii="宋体" w:hAnsi="宋体" w:cs="宋体"/>
          <w:sz w:val="24"/>
        </w:rPr>
        <w:t>人民币1252763；</w:t>
      </w:r>
      <w:r>
        <w:rPr>
          <w:rFonts w:cs="仿宋" w:asciiTheme="majorEastAsia" w:hAnsiTheme="majorEastAsia" w:eastAsiaTheme="majorEastAsia"/>
          <w:sz w:val="24"/>
        </w:rPr>
        <w:t xml:space="preserve"> </w:t>
      </w:r>
    </w:p>
    <w:p>
      <w:pPr>
        <w:spacing w:line="360" w:lineRule="auto"/>
        <w:ind w:firstLine="480"/>
        <w:rPr>
          <w:rFonts w:cs="仿宋" w:asciiTheme="majorEastAsia" w:hAnsiTheme="majorEastAsia" w:eastAsiaTheme="majorEastAsia"/>
          <w:sz w:val="24"/>
        </w:rPr>
      </w:pPr>
      <w:r>
        <w:rPr>
          <w:rFonts w:hint="eastAsia" w:cs="仿宋" w:asciiTheme="majorEastAsia" w:hAnsiTheme="majorEastAsia" w:eastAsiaTheme="majorEastAsia"/>
          <w:b/>
          <w:sz w:val="24"/>
        </w:rPr>
        <w:t>最高限价（元）：</w:t>
      </w:r>
      <w:r>
        <w:rPr>
          <w:rFonts w:hint="eastAsia" w:ascii="宋体" w:hAnsi="宋体" w:cs="宋体"/>
          <w:sz w:val="24"/>
        </w:rPr>
        <w:t>人民币1252763；</w:t>
      </w:r>
      <w:r>
        <w:rPr>
          <w:rFonts w:cs="仿宋" w:asciiTheme="majorEastAsia" w:hAnsiTheme="majorEastAsia" w:eastAsiaTheme="majorEastAsia"/>
          <w:sz w:val="24"/>
        </w:rPr>
        <w:t xml:space="preserve"> </w:t>
      </w:r>
    </w:p>
    <w:p>
      <w:pPr>
        <w:pStyle w:val="7"/>
        <w:spacing w:line="360" w:lineRule="auto"/>
        <w:ind w:firstLine="480"/>
        <w:rPr>
          <w:rFonts w:cs="仿宋" w:asciiTheme="majorEastAsia" w:hAnsiTheme="majorEastAsia" w:eastAsiaTheme="majorEastAsia"/>
          <w:bCs/>
          <w:snapToGrid/>
          <w:color w:val="auto"/>
          <w:kern w:val="2"/>
          <w:sz w:val="24"/>
          <w:szCs w:val="24"/>
        </w:rPr>
      </w:pPr>
      <w:r>
        <w:rPr>
          <w:rFonts w:hint="eastAsia" w:cs="仿宋" w:asciiTheme="majorEastAsia" w:hAnsiTheme="majorEastAsia" w:eastAsiaTheme="majorEastAsia"/>
          <w:b/>
          <w:color w:val="auto"/>
          <w:sz w:val="24"/>
        </w:rPr>
        <w:t>采购需求：</w:t>
      </w:r>
      <w:r>
        <w:rPr>
          <w:rFonts w:hint="eastAsia" w:cs="仿宋" w:asciiTheme="majorEastAsia" w:hAnsiTheme="majorEastAsia" w:eastAsiaTheme="majorEastAsia"/>
          <w:bCs/>
          <w:snapToGrid/>
          <w:color w:val="auto"/>
          <w:kern w:val="2"/>
          <w:sz w:val="24"/>
          <w:szCs w:val="24"/>
        </w:rPr>
        <w:t>（项目名称）主要内容：</w:t>
      </w:r>
      <w:r>
        <w:rPr>
          <w:rFonts w:hint="eastAsia" w:cs="仿宋" w:asciiTheme="majorEastAsia" w:hAnsiTheme="majorEastAsia" w:eastAsiaTheme="majorEastAsia"/>
          <w:color w:val="auto"/>
          <w:sz w:val="24"/>
          <w:u w:val="single"/>
        </w:rPr>
        <w:t>学校运动场地（球场）改造</w:t>
      </w:r>
      <w:r>
        <w:rPr>
          <w:rFonts w:hint="eastAsia" w:cs="仿宋" w:asciiTheme="majorEastAsia" w:hAnsiTheme="majorEastAsia" w:eastAsiaTheme="majorEastAsia"/>
          <w:bCs/>
          <w:snapToGrid/>
          <w:color w:val="auto"/>
          <w:kern w:val="2"/>
          <w:sz w:val="24"/>
          <w:szCs w:val="24"/>
        </w:rPr>
        <w:t>。详见招标文件第三部分采购需求。</w:t>
      </w:r>
    </w:p>
    <w:p>
      <w:pPr>
        <w:spacing w:line="360" w:lineRule="auto"/>
        <w:ind w:firstLine="480"/>
        <w:rPr>
          <w:rFonts w:cs="仿宋" w:asciiTheme="majorEastAsia" w:hAnsiTheme="majorEastAsia" w:eastAsiaTheme="majorEastAsia"/>
          <w:b/>
          <w:sz w:val="24"/>
        </w:rPr>
      </w:pPr>
      <w:r>
        <w:rPr>
          <w:rFonts w:hint="eastAsia" w:cs="仿宋" w:asciiTheme="majorEastAsia" w:hAnsiTheme="majorEastAsia" w:eastAsiaTheme="majorEastAsia"/>
          <w:b/>
          <w:sz w:val="24"/>
        </w:rPr>
        <w:t>合同履约期限：</w:t>
      </w:r>
      <w:r>
        <w:rPr>
          <w:rFonts w:hint="eastAsia" w:cs="仿宋" w:asciiTheme="majorEastAsia" w:hAnsiTheme="majorEastAsia" w:eastAsiaTheme="majorEastAsia"/>
          <w:sz w:val="24"/>
        </w:rPr>
        <w:t>2022年08月31日前完工并通过验收。</w:t>
      </w:r>
    </w:p>
    <w:p>
      <w:pPr>
        <w:pStyle w:val="7"/>
        <w:spacing w:line="360" w:lineRule="auto"/>
        <w:ind w:firstLine="48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本项目接受联合体投标：</w:t>
      </w:r>
      <w:r>
        <w:rPr>
          <w:rFonts w:hint="eastAsia" w:ascii="MS Gothic" w:hAnsi="MS Gothic" w:eastAsia="MS Gothic" w:cs="MS Gothic"/>
          <w:color w:val="auto"/>
          <w:kern w:val="0"/>
          <w:sz w:val="24"/>
        </w:rPr>
        <w:t>☐</w:t>
      </w:r>
      <w:r>
        <w:rPr>
          <w:rFonts w:hint="eastAsia" w:cs="仿宋" w:asciiTheme="majorEastAsia" w:hAnsiTheme="majorEastAsia" w:eastAsiaTheme="majorEastAsia"/>
          <w:b/>
          <w:color w:val="auto"/>
          <w:sz w:val="24"/>
        </w:rPr>
        <w:t>是，</w:t>
      </w:r>
      <w:r>
        <w:rPr>
          <w:rFonts w:hint="eastAsia" w:cs="仿宋" w:asciiTheme="majorEastAsia" w:hAnsiTheme="majorEastAsia" w:eastAsiaTheme="majorEastAsia"/>
          <w:color w:val="auto"/>
          <w:kern w:val="0"/>
          <w:sz w:val="24"/>
        </w:rPr>
        <w:t xml:space="preserve"> </w:t>
      </w:r>
      <w:r>
        <w:rPr>
          <w:rFonts w:hint="eastAsia" w:cs="仿宋" w:asciiTheme="majorEastAsia" w:hAnsiTheme="majorEastAsia" w:eastAsiaTheme="majorEastAsia"/>
          <w:color w:val="auto"/>
          <w:kern w:val="0"/>
          <w:sz w:val="24"/>
        </w:rPr>
        <w:sym w:font="Wingdings" w:char="F0FE"/>
      </w:r>
      <w:r>
        <w:rPr>
          <w:rFonts w:hint="eastAsia" w:cs="仿宋" w:asciiTheme="majorEastAsia" w:hAnsiTheme="majorEastAsia" w:eastAsiaTheme="majorEastAsia"/>
          <w:b/>
          <w:color w:val="auto"/>
          <w:sz w:val="24"/>
        </w:rPr>
        <w:t>否</w:t>
      </w:r>
      <w:r>
        <w:rPr>
          <w:rFonts w:hint="eastAsia" w:cs="仿宋" w:asciiTheme="majorEastAsia" w:hAnsiTheme="majorEastAsia" w:eastAsiaTheme="majorEastAsia"/>
          <w:color w:val="auto"/>
          <w:kern w:val="0"/>
          <w:sz w:val="24"/>
        </w:rPr>
        <w:t>。</w:t>
      </w: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二、申请人的资格要求：</w:t>
      </w:r>
    </w:p>
    <w:p>
      <w:pPr>
        <w:spacing w:line="360" w:lineRule="auto"/>
        <w:ind w:firstLine="48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 xml:space="preserve">    2.落实政府采购政策需满足的资格要求：</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kern w:val="0"/>
          <w:sz w:val="24"/>
        </w:rPr>
        <w:sym w:font="Wingdings" w:char="F0FE"/>
      </w:r>
      <w:r>
        <w:rPr>
          <w:rFonts w:hint="eastAsia" w:cs="仿宋" w:asciiTheme="majorEastAsia" w:hAnsiTheme="majorEastAsia" w:eastAsiaTheme="majorEastAsia"/>
          <w:sz w:val="24"/>
        </w:rPr>
        <w:t>无；</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3.本项目的特定资格要求：</w:t>
      </w:r>
      <w:r>
        <w:rPr>
          <w:rFonts w:hint="eastAsia" w:ascii="宋体" w:hAnsi="宋体" w:cs="宋体"/>
          <w:sz w:val="24"/>
        </w:rPr>
        <w:t>无</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cs="仿宋" w:asciiTheme="majorEastAsia" w:hAnsiTheme="majorEastAsia" w:eastAsiaTheme="majorEastAsia"/>
          <w:b/>
          <w:sz w:val="24"/>
        </w:rPr>
      </w:pP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 xml:space="preserve">三、获取招标文件 </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时间：</w:t>
      </w:r>
      <w:r>
        <w:rPr>
          <w:rFonts w:hint="eastAsia" w:cs="仿宋" w:asciiTheme="majorEastAsia" w:hAnsiTheme="majorEastAsia" w:eastAsiaTheme="majorEastAsia"/>
          <w:sz w:val="24"/>
        </w:rPr>
        <w:t>2022年07月</w:t>
      </w:r>
      <w:r>
        <w:rPr>
          <w:rFonts w:hint="eastAsia" w:cs="仿宋" w:asciiTheme="majorEastAsia" w:hAnsiTheme="majorEastAsia" w:eastAsiaTheme="majorEastAsia"/>
          <w:sz w:val="24"/>
          <w:lang w:val="en-US" w:eastAsia="zh-CN"/>
        </w:rPr>
        <w:t>27</w:t>
      </w:r>
      <w:r>
        <w:rPr>
          <w:rFonts w:hint="eastAsia" w:cs="仿宋" w:asciiTheme="majorEastAsia" w:hAnsiTheme="majorEastAsia" w:eastAsiaTheme="majorEastAsia"/>
          <w:sz w:val="24"/>
        </w:rPr>
        <w:t>日至2022年0</w:t>
      </w:r>
      <w:r>
        <w:rPr>
          <w:rFonts w:hint="eastAsia" w:cs="仿宋" w:asciiTheme="majorEastAsia" w:hAnsiTheme="majorEastAsia" w:eastAsiaTheme="majorEastAsia"/>
          <w:sz w:val="24"/>
          <w:lang w:val="en-US" w:eastAsia="zh-CN"/>
        </w:rPr>
        <w:t>8</w:t>
      </w:r>
      <w:r>
        <w:rPr>
          <w:rFonts w:hint="eastAsia" w:cs="仿宋" w:asciiTheme="majorEastAsia" w:hAnsiTheme="majorEastAsia" w:eastAsiaTheme="majorEastAsia"/>
          <w:sz w:val="24"/>
        </w:rPr>
        <w:t>月</w:t>
      </w:r>
      <w:r>
        <w:rPr>
          <w:rFonts w:hint="eastAsia" w:cs="仿宋" w:asciiTheme="majorEastAsia" w:hAnsiTheme="majorEastAsia" w:eastAsiaTheme="majorEastAsia"/>
          <w:sz w:val="24"/>
          <w:lang w:val="en-US" w:eastAsia="zh-CN"/>
        </w:rPr>
        <w:t>03</w:t>
      </w:r>
      <w:r>
        <w:rPr>
          <w:rFonts w:hint="eastAsia" w:cs="仿宋" w:asciiTheme="majorEastAsia" w:hAnsiTheme="majorEastAsia" w:eastAsiaTheme="majorEastAsia"/>
          <w:sz w:val="24"/>
        </w:rPr>
        <w:t>日，每天上午00:00至12:00 ，下午12:00至23:59（北京时间）。</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地点（网址）：</w:t>
      </w:r>
      <w:r>
        <w:rPr>
          <w:rFonts w:hint="eastAsia" w:cs="仿宋" w:asciiTheme="majorEastAsia" w:hAnsiTheme="majorEastAsia" w:eastAsiaTheme="majorEastAsia"/>
          <w:sz w:val="24"/>
        </w:rPr>
        <w:t>政采云平台（https://www.zcygov.cn/）。</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方式：</w:t>
      </w:r>
      <w:r>
        <w:rPr>
          <w:rFonts w:hint="eastAsia" w:cs="仿宋" w:asciiTheme="majorEastAsia" w:hAnsiTheme="majorEastAsia" w:eastAsiaTheme="majorEastAsia"/>
          <w:sz w:val="24"/>
        </w:rPr>
        <w:t xml:space="preserve">供应商登录政采云平台https://www.zcygov.cn/在线申请获取招标文件（进入“项目采购”应用，在获取采购文件菜单中选择项目，申请获取招标文件）。 </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售价（元）：</w:t>
      </w:r>
      <w:r>
        <w:rPr>
          <w:rFonts w:hint="eastAsia" w:cs="仿宋" w:asciiTheme="majorEastAsia" w:hAnsiTheme="majorEastAsia" w:eastAsiaTheme="majorEastAsia"/>
          <w:sz w:val="24"/>
        </w:rPr>
        <w:t xml:space="preserve">0 </w:t>
      </w:r>
      <w:r>
        <w:rPr>
          <w:rFonts w:hint="eastAsia" w:cs="仿宋" w:asciiTheme="majorEastAsia" w:hAnsiTheme="majorEastAsia" w:eastAsiaTheme="majorEastAsia"/>
          <w:sz w:val="24"/>
        </w:rPr>
        <w:tab/>
      </w: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四、提交投标文件截止时间、开标时间和地点</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提交投标文件截止时间：</w:t>
      </w:r>
      <w:r>
        <w:rPr>
          <w:rFonts w:hint="eastAsia" w:cs="仿宋" w:asciiTheme="majorEastAsia" w:hAnsiTheme="majorEastAsia" w:eastAsiaTheme="majorEastAsia"/>
          <w:sz w:val="24"/>
          <w:u w:val="single"/>
        </w:rPr>
        <w:t xml:space="preserve"> 2022年0</w:t>
      </w:r>
      <w:r>
        <w:rPr>
          <w:rFonts w:hint="eastAsia" w:cs="仿宋" w:asciiTheme="majorEastAsia" w:hAnsiTheme="majorEastAsia" w:eastAsiaTheme="majorEastAsia"/>
          <w:sz w:val="24"/>
          <w:u w:val="single"/>
          <w:lang w:val="en-US" w:eastAsia="zh-CN"/>
        </w:rPr>
        <w:t>8</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17</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u w:val="single"/>
          <w:lang w:val="en-US" w:eastAsia="zh-CN"/>
        </w:rPr>
        <w:t>09</w:t>
      </w:r>
      <w:r>
        <w:rPr>
          <w:rFonts w:hint="eastAsia" w:cs="仿宋" w:asciiTheme="majorEastAsia" w:hAnsiTheme="majorEastAsia" w:eastAsiaTheme="majorEastAsia"/>
          <w:sz w:val="24"/>
          <w:u w:val="single"/>
        </w:rPr>
        <w:t>点</w:t>
      </w:r>
      <w:r>
        <w:rPr>
          <w:rFonts w:hint="eastAsia" w:cs="仿宋" w:asciiTheme="majorEastAsia" w:hAnsiTheme="majorEastAsia" w:eastAsiaTheme="majorEastAsia"/>
          <w:sz w:val="24"/>
          <w:u w:val="single"/>
          <w:lang w:val="en-US" w:eastAsia="zh-CN"/>
        </w:rPr>
        <w:t>0</w:t>
      </w:r>
      <w:r>
        <w:rPr>
          <w:rFonts w:hint="eastAsia" w:cs="仿宋" w:asciiTheme="majorEastAsia" w:hAnsiTheme="majorEastAsia" w:eastAsiaTheme="majorEastAsia"/>
          <w:sz w:val="24"/>
          <w:u w:val="single"/>
        </w:rPr>
        <w:t>0分</w:t>
      </w:r>
      <w:r>
        <w:rPr>
          <w:rFonts w:hint="eastAsia" w:cs="仿宋" w:asciiTheme="majorEastAsia" w:hAnsiTheme="majorEastAsia" w:eastAsiaTheme="majorEastAsia"/>
          <w:bCs/>
          <w:sz w:val="24"/>
          <w:u w:val="single"/>
        </w:rPr>
        <w:t xml:space="preserve"> </w:t>
      </w:r>
      <w:r>
        <w:rPr>
          <w:rFonts w:hint="eastAsia" w:cs="仿宋" w:asciiTheme="majorEastAsia" w:hAnsiTheme="majorEastAsia" w:eastAsiaTheme="majorEastAsia"/>
          <w:sz w:val="24"/>
        </w:rPr>
        <w:t>（北京时间）。</w:t>
      </w:r>
    </w:p>
    <w:p>
      <w:pPr>
        <w:spacing w:line="360" w:lineRule="auto"/>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投标地点（网址）：</w:t>
      </w:r>
      <w:r>
        <w:rPr>
          <w:rFonts w:hint="eastAsia" w:cs="仿宋" w:asciiTheme="majorEastAsia" w:hAnsiTheme="majorEastAsia" w:eastAsiaTheme="majorEastAsia"/>
          <w:sz w:val="24"/>
        </w:rPr>
        <w:t>政采云平台（https://www.zcygov.cn/）。</w:t>
      </w:r>
    </w:p>
    <w:p>
      <w:pPr>
        <w:spacing w:line="360" w:lineRule="auto"/>
        <w:ind w:firstLine="482" w:firstLineChars="200"/>
        <w:rPr>
          <w:rFonts w:cs="仿宋" w:asciiTheme="majorEastAsia" w:hAnsiTheme="majorEastAsia" w:eastAsiaTheme="majorEastAsia"/>
          <w:bCs/>
          <w:sz w:val="24"/>
          <w:u w:val="single"/>
        </w:rPr>
      </w:pPr>
      <w:r>
        <w:rPr>
          <w:rFonts w:hint="eastAsia" w:cs="仿宋" w:asciiTheme="majorEastAsia" w:hAnsiTheme="majorEastAsia" w:eastAsiaTheme="majorEastAsia"/>
          <w:b/>
          <w:sz w:val="24"/>
        </w:rPr>
        <w:t>开标时间：</w:t>
      </w:r>
      <w:r>
        <w:rPr>
          <w:rFonts w:hint="eastAsia" w:cs="仿宋" w:asciiTheme="majorEastAsia" w:hAnsiTheme="majorEastAsia" w:eastAsiaTheme="majorEastAsia"/>
          <w:sz w:val="24"/>
          <w:u w:val="single"/>
        </w:rPr>
        <w:t>2022年0</w:t>
      </w:r>
      <w:r>
        <w:rPr>
          <w:rFonts w:hint="eastAsia" w:cs="仿宋" w:asciiTheme="majorEastAsia" w:hAnsiTheme="majorEastAsia" w:eastAsiaTheme="majorEastAsia"/>
          <w:sz w:val="24"/>
          <w:u w:val="single"/>
          <w:lang w:val="en-US" w:eastAsia="zh-CN"/>
        </w:rPr>
        <w:t>8</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17</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u w:val="single"/>
          <w:lang w:val="en-US" w:eastAsia="zh-CN"/>
        </w:rPr>
        <w:t>09</w:t>
      </w:r>
      <w:r>
        <w:rPr>
          <w:rFonts w:hint="eastAsia" w:cs="仿宋" w:asciiTheme="majorEastAsia" w:hAnsiTheme="majorEastAsia" w:eastAsiaTheme="majorEastAsia"/>
          <w:sz w:val="24"/>
          <w:u w:val="single"/>
        </w:rPr>
        <w:t>点</w:t>
      </w:r>
      <w:r>
        <w:rPr>
          <w:rFonts w:hint="eastAsia" w:cs="仿宋" w:asciiTheme="majorEastAsia" w:hAnsiTheme="majorEastAsia" w:eastAsiaTheme="majorEastAsia"/>
          <w:sz w:val="24"/>
          <w:u w:val="single"/>
          <w:lang w:val="en-US" w:eastAsia="zh-CN"/>
        </w:rPr>
        <w:t>0</w:t>
      </w:r>
      <w:r>
        <w:rPr>
          <w:rFonts w:hint="eastAsia" w:cs="仿宋" w:asciiTheme="majorEastAsia" w:hAnsiTheme="majorEastAsia" w:eastAsiaTheme="majorEastAsia"/>
          <w:sz w:val="24"/>
          <w:u w:val="single"/>
        </w:rPr>
        <w:t>0分</w:t>
      </w:r>
      <w:r>
        <w:rPr>
          <w:rFonts w:hint="eastAsia" w:cs="仿宋" w:asciiTheme="majorEastAsia" w:hAnsiTheme="majorEastAsia" w:eastAsiaTheme="majorEastAsia"/>
          <w:sz w:val="24"/>
        </w:rPr>
        <w:t>（北京时间）。</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开标地点（网址）：</w:t>
      </w:r>
      <w:r>
        <w:rPr>
          <w:rFonts w:hint="eastAsia" w:cs="仿宋" w:asciiTheme="majorEastAsia" w:hAnsiTheme="majorEastAsia" w:eastAsiaTheme="majorEastAsia"/>
          <w:sz w:val="24"/>
        </w:rPr>
        <w:t>政采云平台（https://www.zcygov.cn/）。</w:t>
      </w:r>
    </w:p>
    <w:p>
      <w:pPr>
        <w:spacing w:line="360" w:lineRule="auto"/>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开标地点（线下）：</w:t>
      </w:r>
      <w:r>
        <w:rPr>
          <w:rFonts w:hint="eastAsia" w:cs="仿宋" w:asciiTheme="majorEastAsia" w:hAnsiTheme="majorEastAsia" w:eastAsiaTheme="majorEastAsia"/>
          <w:bCs/>
          <w:sz w:val="24"/>
        </w:rPr>
        <w:t>宁波市奉化区公共资源交易中心开标厅二（宁波市奉化区大成东路277号4楼）</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b/>
          <w:sz w:val="24"/>
        </w:rPr>
        <w:t xml:space="preserve">五、公告期限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自本公告发布之日起5个工作日。</w:t>
      </w: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六、其他补充事宜</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监督管理部门投诉。</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在开标前应确保成为浙江省政府采购网正式注册入库供应商，并完成CA数字证书办理。完成CA数字证书办理在资料齐全的情况下预计7个工作日左右，请各</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合理预估时间，及时办理。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按照平台提示和招标文件的规定在半小时内完成在线解密。⑨具体操作指南：详见政采云平台“服务中心-帮助文档-项目采购-操作流程-电子招投标-政府采购项目电子交易管理操作指南-供应商”。</w:t>
      </w: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七、对本次采购提出询问、质疑、投诉，请按以下方式联系</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1.采购人信息</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名    称：宁波市奉化区教育发展投资有限责任公司</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地    址：</w:t>
      </w:r>
      <w:r>
        <w:rPr>
          <w:rFonts w:hint="eastAsia" w:ascii="宋体" w:hAnsi="宋体" w:cs="宋体"/>
          <w:sz w:val="24"/>
        </w:rPr>
        <w:t>宁波市奉化区锦屏街道桥西岸路128-2号</w:t>
      </w:r>
    </w:p>
    <w:p>
      <w:pPr>
        <w:spacing w:line="360" w:lineRule="auto"/>
        <w:ind w:firstLine="480"/>
        <w:rPr>
          <w:rFonts w:cs="仿宋" w:asciiTheme="majorEastAsia" w:hAnsiTheme="majorEastAsia" w:eastAsiaTheme="majorEastAsia"/>
          <w:sz w:val="24"/>
        </w:rPr>
      </w:pPr>
      <w:r>
        <w:rPr>
          <w:rFonts w:hint="eastAsia" w:cs="仿宋" w:asciiTheme="majorEastAsia" w:hAnsiTheme="majorEastAsia" w:eastAsiaTheme="majorEastAsia"/>
          <w:sz w:val="24"/>
        </w:rPr>
        <w:t>项目联系人：</w:t>
      </w:r>
      <w:r>
        <w:rPr>
          <w:rFonts w:hint="eastAsia" w:ascii="宋体" w:hAnsi="宋体" w:cs="宋体"/>
          <w:sz w:val="24"/>
        </w:rPr>
        <w:t>顾先生</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联系方式</w:t>
      </w:r>
      <w:r>
        <w:rPr>
          <w:rFonts w:hint="eastAsia" w:ascii="宋体" w:hAnsi="宋体" w:cs="宋体"/>
          <w:sz w:val="24"/>
        </w:rPr>
        <w:t>：</w:t>
      </w:r>
      <w:r>
        <w:rPr>
          <w:rFonts w:ascii="宋体" w:hAnsi="宋体" w:cs="宋体"/>
          <w:sz w:val="24"/>
        </w:rPr>
        <w:t>0574-88506809</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2.采购代理机构信息            </w:t>
      </w:r>
    </w:p>
    <w:p>
      <w:pPr>
        <w:spacing w:line="360" w:lineRule="auto"/>
        <w:ind w:firstLine="480"/>
        <w:rPr>
          <w:rFonts w:cs="仿宋" w:asciiTheme="majorEastAsia" w:hAnsiTheme="majorEastAsia" w:eastAsiaTheme="majorEastAsia"/>
          <w:sz w:val="24"/>
        </w:rPr>
      </w:pPr>
      <w:r>
        <w:rPr>
          <w:rFonts w:hint="eastAsia" w:cs="仿宋" w:asciiTheme="majorEastAsia" w:hAnsiTheme="majorEastAsia" w:eastAsiaTheme="majorEastAsia"/>
          <w:sz w:val="24"/>
        </w:rPr>
        <w:t>名    称：宁波敬信项目管理咨询有限公司</w:t>
      </w:r>
    </w:p>
    <w:p>
      <w:pPr>
        <w:spacing w:line="360" w:lineRule="auto"/>
        <w:ind w:firstLine="480"/>
        <w:rPr>
          <w:rFonts w:cs="仿宋" w:asciiTheme="majorEastAsia" w:hAnsiTheme="majorEastAsia" w:eastAsiaTheme="majorEastAsia"/>
          <w:sz w:val="24"/>
        </w:rPr>
      </w:pPr>
      <w:r>
        <w:rPr>
          <w:rFonts w:hint="eastAsia" w:cs="仿宋" w:asciiTheme="majorEastAsia" w:hAnsiTheme="majorEastAsia" w:eastAsiaTheme="majorEastAsia"/>
          <w:sz w:val="24"/>
        </w:rPr>
        <w:t>地    址：</w:t>
      </w:r>
      <w:r>
        <w:rPr>
          <w:rFonts w:hint="eastAsia" w:cs="宋体" w:asciiTheme="majorEastAsia" w:hAnsiTheme="majorEastAsia" w:eastAsiaTheme="majorEastAsia"/>
          <w:bCs/>
          <w:sz w:val="24"/>
        </w:rPr>
        <w:t>宁波市奉化区岳林东路商业二16幢502室（惠政丽都北门）</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传    真：</w:t>
      </w:r>
      <w:r>
        <w:rPr>
          <w:rFonts w:hint="eastAsia" w:ascii="宋体" w:hAnsi="宋体" w:cs="宋体"/>
          <w:bCs/>
          <w:sz w:val="24"/>
        </w:rPr>
        <w:t>0574-88986381</w:t>
      </w:r>
      <w:r>
        <w:rPr>
          <w:rFonts w:hint="eastAsia" w:cs="仿宋" w:asciiTheme="majorEastAsia" w:hAnsiTheme="majorEastAsia" w:eastAsiaTheme="majorEastAsia"/>
          <w:sz w:val="24"/>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项目联系人（询问）：丁先生</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项目联系方式（询问）：</w:t>
      </w:r>
      <w:r>
        <w:rPr>
          <w:rFonts w:hint="eastAsia" w:ascii="宋体" w:hAnsi="宋体" w:cs="宋体"/>
          <w:bCs/>
          <w:sz w:val="24"/>
        </w:rPr>
        <w:t>0574-88986381</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质疑联系人：唐先生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质疑联系方式：</w:t>
      </w:r>
      <w:r>
        <w:rPr>
          <w:rFonts w:hint="eastAsia" w:ascii="宋体" w:hAnsi="宋体" w:cs="宋体"/>
          <w:bCs/>
          <w:sz w:val="24"/>
        </w:rPr>
        <w:t>0574-88986379</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3.同级监督管理部门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名    称：</w:t>
      </w:r>
      <w:r>
        <w:rPr>
          <w:rFonts w:hint="eastAsia" w:ascii="宋体" w:hAnsi="宋体" w:cs="宋体"/>
          <w:bCs/>
          <w:sz w:val="24"/>
        </w:rPr>
        <w:t>宁波市奉化区国有资产管理中心</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地    址：</w:t>
      </w:r>
      <w:r>
        <w:rPr>
          <w:rFonts w:hint="eastAsia" w:ascii="宋体" w:hAnsi="宋体" w:cs="宋体"/>
          <w:bCs/>
          <w:sz w:val="24"/>
        </w:rPr>
        <w:t>宁波市奉化区大成东路275号</w:t>
      </w:r>
    </w:p>
    <w:p>
      <w:pPr>
        <w:spacing w:line="360" w:lineRule="auto"/>
        <w:ind w:firstLine="240" w:firstLineChars="100"/>
        <w:rPr>
          <w:rFonts w:cs="仿宋" w:asciiTheme="majorEastAsia" w:hAnsiTheme="majorEastAsia" w:eastAsiaTheme="majorEastAsia"/>
          <w:sz w:val="24"/>
        </w:rPr>
      </w:pPr>
      <w:r>
        <w:rPr>
          <w:rFonts w:hint="eastAsia" w:cs="仿宋" w:asciiTheme="majorEastAsia" w:hAnsiTheme="majorEastAsia" w:eastAsiaTheme="majorEastAsia"/>
          <w:sz w:val="24"/>
        </w:rPr>
        <w:t xml:space="preserve">  传    真：</w:t>
      </w:r>
      <w:r>
        <w:rPr>
          <w:rFonts w:hint="eastAsia" w:ascii="宋体" w:hAnsi="宋体" w:cs="宋体"/>
          <w:bCs/>
          <w:sz w:val="24"/>
        </w:rPr>
        <w:t>0574-89285446</w:t>
      </w:r>
      <w:r>
        <w:rPr>
          <w:rFonts w:hint="eastAsia" w:cs="仿宋" w:asciiTheme="majorEastAsia" w:hAnsiTheme="majorEastAsia" w:eastAsiaTheme="majorEastAsia"/>
          <w:sz w:val="24"/>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    联 系 人 ：</w:t>
      </w:r>
      <w:r>
        <w:rPr>
          <w:rFonts w:hint="eastAsia" w:ascii="宋体" w:hAnsi="宋体" w:cs="宋体"/>
          <w:bCs/>
          <w:sz w:val="24"/>
        </w:rPr>
        <w:t>竺女士</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监督投诉电话： </w:t>
      </w:r>
      <w:r>
        <w:rPr>
          <w:rFonts w:hint="eastAsia" w:ascii="宋体" w:hAnsi="宋体" w:cs="宋体"/>
          <w:bCs/>
          <w:sz w:val="24"/>
        </w:rPr>
        <w:t>0574-89285446</w:t>
      </w:r>
      <w:r>
        <w:rPr>
          <w:rFonts w:hint="eastAsia" w:cs="仿宋" w:asciiTheme="majorEastAsia" w:hAnsiTheme="majorEastAsia" w:eastAsiaTheme="majorEastAsia"/>
          <w:sz w:val="24"/>
        </w:rPr>
        <w:t xml:space="preserve">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CA问题联系电话（人工）：汇信CA 400-888-4636；天谷CA 400-087-8198。</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rPr>
        <w:t xml:space="preserve">                              </w:t>
      </w:r>
    </w:p>
    <w:p>
      <w:pPr>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br w:type="page"/>
      </w:r>
      <w:r>
        <w:rPr>
          <w:rFonts w:hint="eastAsia" w:cs="仿宋" w:asciiTheme="majorEastAsia" w:hAnsiTheme="majorEastAsia" w:eastAsiaTheme="majorEastAsia"/>
          <w:b/>
          <w:sz w:val="36"/>
          <w:szCs w:val="20"/>
        </w:rPr>
        <w:t>第二部分</w:t>
      </w:r>
      <w:bookmarkEnd w:id="8"/>
      <w:r>
        <w:rPr>
          <w:rFonts w:hint="eastAsia" w:cs="仿宋" w:asciiTheme="majorEastAsia" w:hAnsiTheme="majorEastAsia" w:eastAsiaTheme="majorEastAsia"/>
          <w:b/>
          <w:sz w:val="36"/>
          <w:szCs w:val="20"/>
        </w:rPr>
        <w:t xml:space="preserve"> 投标须知</w:t>
      </w:r>
      <w:bookmarkEnd w:id="9"/>
    </w:p>
    <w:p>
      <w:pPr>
        <w:snapToGrid w:val="0"/>
        <w:spacing w:line="360" w:lineRule="auto"/>
        <w:jc w:val="center"/>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前附表</w:t>
      </w:r>
    </w:p>
    <w:tbl>
      <w:tblPr>
        <w:tblStyle w:val="19"/>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400" w:lineRule="exact"/>
              <w:textAlignment w:val="baseline"/>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1、有关本项目实施所需的所有费用（含税费）均计入报价。</w:t>
            </w:r>
          </w:p>
          <w:p>
            <w:pPr>
              <w:spacing w:line="400" w:lineRule="exact"/>
              <w:textAlignment w:val="baseline"/>
              <w:rPr>
                <w:rFonts w:ascii="宋体" w:hAnsi="宋体" w:cs="宋体"/>
                <w:sz w:val="24"/>
              </w:rPr>
            </w:pPr>
            <w:r>
              <w:rPr>
                <w:rFonts w:hint="eastAsia" w:ascii="宋体" w:hAnsi="宋体" w:cs="宋体"/>
                <w:sz w:val="24"/>
              </w:rPr>
              <w:t>2、投标报价应包括完成本项目的所有费用（经验收合格交付业主使用前所发生的一切费用。）</w:t>
            </w:r>
            <w:r>
              <w:rPr>
                <w:rFonts w:hint="eastAsia" w:cs="仿宋" w:asciiTheme="majorEastAsia" w:hAnsiTheme="majorEastAsia" w:eastAsiaTheme="majorEastAsia"/>
                <w:kern w:val="0"/>
                <w:sz w:val="24"/>
              </w:rPr>
              <w:t>凡影响投标报价的所有费用，应在投标报价中计入。中标后，不得以不完全了解、忽视或误解采购文件、施工现场和周围环境等情况为借口，而提出费用补偿或延长工期等的要求。</w:t>
            </w:r>
            <w:r>
              <w:t xml:space="preserve"> </w:t>
            </w:r>
          </w:p>
          <w:p>
            <w:pPr>
              <w:snapToGrid w:val="0"/>
              <w:spacing w:line="360" w:lineRule="auto"/>
              <w:jc w:val="left"/>
              <w:rPr>
                <w:rFonts w:cs="仿宋" w:asciiTheme="majorEastAsia" w:hAnsiTheme="majorEastAsia" w:eastAsiaTheme="majorEastAsia"/>
                <w:b/>
                <w:kern w:val="0"/>
                <w:sz w:val="24"/>
                <w:lang w:val="zh-CN"/>
              </w:rPr>
            </w:pPr>
            <w:r>
              <w:rPr>
                <w:rFonts w:hint="eastAsia" w:cs="仿宋" w:asciiTheme="majorEastAsia" w:hAnsiTheme="majorEastAsia" w:eastAsiaTheme="majorEastAsia"/>
                <w:sz w:val="24"/>
              </w:rPr>
              <w:t>3、开标一览表是报价的唯一载体</w:t>
            </w:r>
            <w:r>
              <w:rPr>
                <w:rFonts w:hint="eastAsia" w:cs="仿宋" w:asciiTheme="majorEastAsia" w:hAnsiTheme="majorEastAsia" w:eastAsiaTheme="majorEastAsia"/>
                <w:kern w:val="0"/>
                <w:sz w:val="24"/>
                <w:lang w:val="zh-CN"/>
              </w:rPr>
              <w:t>。投标文件中价格全部采用人民币报价。招标文件未列明，而供应商认为必需的费用也需列入报价。</w:t>
            </w:r>
          </w:p>
          <w:p>
            <w:pPr>
              <w:snapToGrid w:val="0"/>
              <w:spacing w:line="360" w:lineRule="auto"/>
              <w:jc w:val="left"/>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投标报价出现下列情形的，投标无效：</w:t>
            </w:r>
          </w:p>
          <w:p>
            <w:pPr>
              <w:snapToGrid w:val="0"/>
              <w:spacing w:line="360" w:lineRule="auto"/>
              <w:ind w:firstLine="241" w:firstLineChars="100"/>
              <w:jc w:val="left"/>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投标文件出现不是唯一的、有选择性投标报价的；</w:t>
            </w:r>
          </w:p>
          <w:p>
            <w:pPr>
              <w:snapToGrid w:val="0"/>
              <w:spacing w:line="360" w:lineRule="auto"/>
              <w:ind w:firstLine="241" w:firstLineChars="1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b/>
                <w:kern w:val="0"/>
                <w:sz w:val="24"/>
                <w:lang w:val="zh-CN"/>
              </w:rPr>
              <w:t>投标报价超过招标文件中规定的预算金额或者最高限价的;</w:t>
            </w:r>
          </w:p>
          <w:p>
            <w:pPr>
              <w:spacing w:line="360" w:lineRule="auto"/>
              <w:ind w:firstLine="241" w:firstLineChars="100"/>
              <w:rPr>
                <w:rFonts w:cs="仿宋" w:asciiTheme="majorEastAsia" w:hAnsiTheme="majorEastAsia" w:eastAsiaTheme="majorEastAsia"/>
                <w:b/>
                <w:sz w:val="24"/>
              </w:rPr>
            </w:pPr>
            <w:r>
              <w:rPr>
                <w:rFonts w:hint="eastAsia" w:cs="仿宋" w:asciiTheme="majorEastAsia" w:hAnsiTheme="majorEastAsia" w:eastAsiaTheme="majorEastAsia"/>
                <w:b/>
                <w:kern w:val="0"/>
                <w:sz w:val="24"/>
              </w:rPr>
              <w:t>报价明显低于其他通过符合性审查供应商的报价，有可能影响产品质量或者不能诚信履约的，未能按要求提供书面说明或者提交相关证明材料证明其报价合理性的</w:t>
            </w:r>
            <w:r>
              <w:rPr>
                <w:rFonts w:hint="eastAsia" w:cs="仿宋" w:asciiTheme="majorEastAsia" w:hAnsiTheme="majorEastAsia" w:eastAsiaTheme="majorEastAsia"/>
                <w:b/>
                <w:sz w:val="24"/>
                <w:szCs w:val="21"/>
              </w:rPr>
              <w:t>;</w:t>
            </w:r>
          </w:p>
          <w:p>
            <w:pPr>
              <w:spacing w:line="360" w:lineRule="auto"/>
              <w:ind w:firstLine="241" w:firstLineChars="100"/>
              <w:rPr>
                <w:rFonts w:cs="仿宋" w:asciiTheme="majorEastAsia" w:hAnsiTheme="majorEastAsia" w:eastAsiaTheme="majorEastAsia"/>
                <w:sz w:val="24"/>
              </w:rPr>
            </w:pPr>
            <w:r>
              <w:rPr>
                <w:rFonts w:hint="eastAsia" w:cs="仿宋" w:asciiTheme="majorEastAsia" w:hAnsiTheme="majorEastAsia" w:eastAsiaTheme="majorEastAsia"/>
                <w:b/>
                <w:kern w:val="0"/>
                <w:sz w:val="24"/>
              </w:rPr>
              <w:t>供应商对根据修正原则修正后的报价不确认的</w:t>
            </w:r>
            <w:r>
              <w:rPr>
                <w:rFonts w:hint="eastAsia" w:cs="仿宋"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pStyle w:val="13"/>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kern w:val="28"/>
                <w:sz w:val="24"/>
                <w:szCs w:val="24"/>
              </w:rPr>
              <w:t>投标保证金</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z w:val="24"/>
              </w:rPr>
              <w:t>投标保证金：人民币贰万元整；</w:t>
            </w:r>
          </w:p>
          <w:p>
            <w:pPr>
              <w:spacing w:line="360" w:lineRule="auto"/>
              <w:ind w:firstLine="480" w:firstLineChars="200"/>
              <w:rPr>
                <w:rFonts w:ascii="宋体" w:hAnsi="宋体" w:cs="宋体"/>
                <w:sz w:val="24"/>
              </w:rPr>
            </w:pPr>
            <w:r>
              <w:rPr>
                <w:rFonts w:hint="eastAsia" w:ascii="宋体" w:hAnsi="宋体" w:cs="宋体"/>
                <w:sz w:val="24"/>
              </w:rPr>
              <w:t>投标保证金须从投标人的基本账户转出以非现金方式交纳，形式：单位网银、转账支票、银行汇票或汇兑。</w:t>
            </w:r>
          </w:p>
          <w:p>
            <w:pPr>
              <w:spacing w:line="360" w:lineRule="auto"/>
              <w:ind w:firstLine="482" w:firstLineChars="200"/>
              <w:rPr>
                <w:rFonts w:ascii="宋体" w:hAnsi="宋体"/>
                <w:b/>
                <w:sz w:val="24"/>
              </w:rPr>
            </w:pPr>
            <w:r>
              <w:rPr>
                <w:rFonts w:hint="eastAsia" w:ascii="宋体" w:hAnsi="宋体"/>
                <w:b/>
                <w:sz w:val="24"/>
              </w:rPr>
              <w:t>账户名：宁波市奉化区政务服务中心(区公共资源交易中心)</w:t>
            </w:r>
          </w:p>
          <w:p>
            <w:pPr>
              <w:spacing w:line="360" w:lineRule="auto"/>
              <w:ind w:firstLine="482" w:firstLineChars="200"/>
              <w:rPr>
                <w:rFonts w:ascii="宋体" w:hAnsi="宋体"/>
                <w:b/>
                <w:sz w:val="24"/>
              </w:rPr>
            </w:pPr>
            <w:r>
              <w:rPr>
                <w:rFonts w:hint="eastAsia" w:ascii="宋体" w:hAnsi="宋体"/>
                <w:b/>
                <w:sz w:val="24"/>
              </w:rPr>
              <w:t>账号：231000003436009001554</w:t>
            </w:r>
            <w:bookmarkStart w:id="422" w:name="_GoBack"/>
            <w:bookmarkEnd w:id="422"/>
          </w:p>
          <w:p>
            <w:pPr>
              <w:spacing w:line="360" w:lineRule="auto"/>
              <w:ind w:firstLine="482" w:firstLineChars="200"/>
              <w:rPr>
                <w:rFonts w:ascii="宋体" w:hAnsi="宋体"/>
                <w:b/>
                <w:sz w:val="24"/>
              </w:rPr>
            </w:pPr>
            <w:r>
              <w:rPr>
                <w:rFonts w:hint="eastAsia" w:ascii="宋体" w:hAnsi="宋体"/>
                <w:b/>
                <w:sz w:val="24"/>
              </w:rPr>
              <w:t>开户行：宁波奉化农村商业银行股份有限公司锦屏支行</w:t>
            </w:r>
          </w:p>
          <w:p>
            <w:pPr>
              <w:spacing w:line="360" w:lineRule="auto"/>
              <w:ind w:firstLine="482" w:firstLineChars="200"/>
              <w:rPr>
                <w:rFonts w:ascii="宋体" w:hAnsi="宋体"/>
                <w:b/>
                <w:sz w:val="24"/>
              </w:rPr>
            </w:pPr>
            <w:r>
              <w:rPr>
                <w:rFonts w:hint="eastAsia" w:ascii="宋体" w:hAnsi="宋体"/>
                <w:b/>
                <w:sz w:val="24"/>
              </w:rPr>
              <w:t>电话、传真：0574—88589092</w:t>
            </w:r>
          </w:p>
          <w:p>
            <w:pPr>
              <w:spacing w:line="360" w:lineRule="auto"/>
              <w:ind w:firstLine="480" w:firstLineChars="200"/>
              <w:rPr>
                <w:rFonts w:ascii="宋体" w:hAnsi="宋体"/>
                <w:sz w:val="24"/>
              </w:rPr>
            </w:pPr>
            <w:r>
              <w:rPr>
                <w:rFonts w:hint="eastAsia" w:ascii="宋体" w:hAnsi="宋体"/>
                <w:sz w:val="24"/>
              </w:rPr>
              <w:t>在2022年0</w:t>
            </w:r>
            <w:r>
              <w:rPr>
                <w:rFonts w:hint="eastAsia" w:ascii="宋体" w:hAnsi="宋体"/>
                <w:sz w:val="24"/>
                <w:lang w:val="en-US" w:eastAsia="zh-CN"/>
              </w:rPr>
              <w:t>8</w:t>
            </w:r>
            <w:r>
              <w:rPr>
                <w:rFonts w:hint="eastAsia" w:ascii="宋体" w:hAnsi="宋体"/>
                <w:sz w:val="24"/>
              </w:rPr>
              <w:t>月</w:t>
            </w:r>
            <w:r>
              <w:rPr>
                <w:rFonts w:hint="eastAsia" w:ascii="宋体" w:hAnsi="宋体"/>
                <w:sz w:val="24"/>
                <w:lang w:val="en-US" w:eastAsia="zh-CN"/>
              </w:rPr>
              <w:t>15</w:t>
            </w:r>
            <w:r>
              <w:rPr>
                <w:rFonts w:hint="eastAsia" w:ascii="宋体" w:hAnsi="宋体"/>
                <w:sz w:val="24"/>
              </w:rPr>
              <w:t>日下午16时前须足额缴纳（以实际到账时间为准），并在汇款信息或转账支票中注明项目名称。</w:t>
            </w:r>
          </w:p>
          <w:p>
            <w:pPr>
              <w:spacing w:line="360" w:lineRule="auto"/>
              <w:jc w:val="left"/>
              <w:rPr>
                <w:rFonts w:cs="仿宋" w:asciiTheme="majorEastAsia" w:hAnsiTheme="majorEastAsia" w:eastAsiaTheme="majorEastAsia"/>
                <w:b/>
                <w:kern w:val="0"/>
                <w:sz w:val="24"/>
              </w:rPr>
            </w:pPr>
            <w:r>
              <w:rPr>
                <w:rFonts w:hint="eastAsia" w:hAnsi="宋体"/>
                <w:b/>
                <w:sz w:val="24"/>
              </w:rPr>
              <w:t>注：</w:t>
            </w:r>
            <w:r>
              <w:rPr>
                <w:rFonts w:hint="eastAsia" w:hAnsi="宋体"/>
                <w:sz w:val="24"/>
              </w:rPr>
              <w:t>▲</w:t>
            </w:r>
            <w:r>
              <w:rPr>
                <w:rFonts w:hint="eastAsia" w:hAnsi="宋体"/>
                <w:b/>
                <w:sz w:val="24"/>
              </w:rPr>
              <w:t>投标保证金按规定时间到账，超时的作无效标处理。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资格证明文件：见招标文件第二部分9.1。</w:t>
            </w:r>
          </w:p>
          <w:p>
            <w:pPr>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资格证明文件不全的或者不符合招标文件标明的资格要求的</w:t>
            </w:r>
            <w:r>
              <w:rPr>
                <w:rFonts w:hint="eastAsia" w:cs="仿宋" w:asciiTheme="majorEastAsia" w:hAnsiTheme="majorEastAsia" w:eastAsiaTheme="majorEastAsia"/>
                <w:sz w:val="24"/>
                <w:lang w:val="zh-CN"/>
              </w:rPr>
              <w:t>，视为供应商不具备招标文件中规定的资格要求，投标无效。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自行踏勘。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仿宋"/>
                <w:kern w:val="0"/>
                <w:sz w:val="24"/>
              </w:rPr>
            </w:pPr>
            <w:r>
              <w:rPr>
                <w:rFonts w:hint="eastAsia" w:cs="仿宋" w:asciiTheme="minorEastAsia" w:hAnsiTheme="minorEastAsia" w:eastAsiaTheme="minorEastAsia"/>
                <w:kern w:val="0"/>
                <w:sz w:val="24"/>
              </w:rPr>
              <w:t>（1）</w:t>
            </w:r>
            <w:r>
              <w:rPr>
                <w:rFonts w:hint="eastAsia" w:ascii="宋体" w:hAnsi="宋体" w:cs="仿宋"/>
                <w:snapToGrid w:val="0"/>
                <w:kern w:val="28"/>
                <w:sz w:val="24"/>
              </w:rPr>
              <w:t>样品制作的标准和要求：</w:t>
            </w:r>
            <w:r>
              <w:rPr>
                <w:rFonts w:hint="eastAsia" w:ascii="宋体" w:hAnsi="宋体" w:cs="仿宋"/>
                <w:sz w:val="24"/>
              </w:rPr>
              <w:t>详见</w:t>
            </w:r>
            <w:r>
              <w:rPr>
                <w:rFonts w:hint="eastAsia" w:ascii="宋体" w:hAnsi="宋体" w:cs="仿宋"/>
                <w:sz w:val="24"/>
                <w:u w:val="single"/>
              </w:rPr>
              <w:t>第三部分 采购需求、</w:t>
            </w:r>
            <w:r>
              <w:rPr>
                <w:rFonts w:hint="eastAsia" w:ascii="宋体" w:hAnsi="宋体" w:cs="仿宋"/>
                <w:snapToGrid w:val="0"/>
                <w:kern w:val="28"/>
                <w:sz w:val="24"/>
                <w:u w:val="single"/>
              </w:rPr>
              <w:t xml:space="preserve">第四部分 </w:t>
            </w:r>
            <w:r>
              <w:rPr>
                <w:rFonts w:hint="eastAsia" w:ascii="宋体" w:hAnsi="宋体" w:cs="仿宋"/>
                <w:sz w:val="24"/>
                <w:u w:val="single"/>
              </w:rPr>
              <w:t>评标办法</w:t>
            </w:r>
            <w:r>
              <w:rPr>
                <w:rFonts w:hint="eastAsia" w:ascii="宋体" w:hAnsi="宋体" w:cs="仿宋"/>
                <w:kern w:val="0"/>
                <w:sz w:val="24"/>
              </w:rPr>
              <w:t>；</w:t>
            </w:r>
          </w:p>
          <w:p>
            <w:pPr>
              <w:spacing w:line="360" w:lineRule="auto"/>
              <w:rPr>
                <w:rFonts w:ascii="宋体" w:hAnsi="宋体" w:cs="仿宋"/>
                <w:kern w:val="0"/>
                <w:sz w:val="24"/>
              </w:rPr>
            </w:pPr>
            <w:r>
              <w:rPr>
                <w:rFonts w:hint="eastAsia" w:ascii="宋体" w:hAnsi="宋体" w:cs="仿宋"/>
                <w:kern w:val="0"/>
                <w:sz w:val="24"/>
              </w:rPr>
              <w:t>（2）样品的评审方法以及评审标准</w:t>
            </w:r>
            <w:r>
              <w:rPr>
                <w:rFonts w:hint="eastAsia" w:ascii="宋体" w:hAnsi="宋体" w:cs="仿宋"/>
                <w:snapToGrid w:val="0"/>
                <w:kern w:val="28"/>
                <w:sz w:val="24"/>
              </w:rPr>
              <w:t>：详见</w:t>
            </w:r>
            <w:r>
              <w:rPr>
                <w:rFonts w:hint="eastAsia" w:ascii="宋体" w:hAnsi="宋体" w:cs="仿宋"/>
                <w:snapToGrid w:val="0"/>
                <w:kern w:val="28"/>
                <w:sz w:val="24"/>
                <w:u w:val="single"/>
              </w:rPr>
              <w:t xml:space="preserve">第四部分 </w:t>
            </w:r>
            <w:r>
              <w:rPr>
                <w:rFonts w:hint="eastAsia" w:ascii="宋体" w:hAnsi="宋体" w:cs="仿宋"/>
                <w:sz w:val="24"/>
                <w:u w:val="single"/>
              </w:rPr>
              <w:t>评标办法</w:t>
            </w:r>
            <w:r>
              <w:rPr>
                <w:rFonts w:hint="eastAsia" w:ascii="宋体" w:hAnsi="宋体" w:cs="仿宋"/>
                <w:kern w:val="0"/>
                <w:sz w:val="24"/>
              </w:rPr>
              <w:t>；</w:t>
            </w:r>
          </w:p>
          <w:p>
            <w:pPr>
              <w:spacing w:line="360" w:lineRule="auto"/>
              <w:rPr>
                <w:rFonts w:cs="仿宋" w:asciiTheme="minorEastAsia" w:hAnsiTheme="minorEastAsia" w:eastAsiaTheme="minorEastAsia"/>
                <w:kern w:val="0"/>
                <w:sz w:val="24"/>
              </w:rPr>
            </w:pPr>
            <w:r>
              <w:rPr>
                <w:rFonts w:hint="eastAsia" w:cs="仿宋" w:asciiTheme="minorEastAsia" w:hAnsiTheme="minorEastAsia" w:eastAsiaTheme="minorEastAsia"/>
                <w:kern w:val="0"/>
                <w:sz w:val="24"/>
              </w:rPr>
              <w:t>（3）是否需要随样品提交检测报告：</w:t>
            </w:r>
            <w:r>
              <w:rPr>
                <w:rFonts w:hint="eastAsia" w:cs="仿宋" w:asciiTheme="minorEastAsia" w:hAnsiTheme="minorEastAsia" w:eastAsiaTheme="minorEastAsia"/>
                <w:kern w:val="0"/>
                <w:sz w:val="24"/>
              </w:rPr>
              <w:sym w:font="Wingdings" w:char="F0FE"/>
            </w:r>
            <w:r>
              <w:rPr>
                <w:rFonts w:hint="eastAsia" w:cs="仿宋" w:asciiTheme="minorEastAsia" w:hAnsiTheme="minorEastAsia" w:eastAsiaTheme="minorEastAsia"/>
                <w:kern w:val="0"/>
                <w:sz w:val="24"/>
              </w:rPr>
              <w:t>否。</w:t>
            </w:r>
          </w:p>
          <w:p>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4）因疫情原因，供应商以邮寄的方式提供样品，投标人可在投标截止时间前将样品包装密封后邮寄至宁波敬信项目管理咨询有限公司，密封袋上需标注项目名称、项目编号、投标人名称并加盖公章（地址：宁波市奉化区岳林东路商业二16幢502室（惠政丽都北门），收件人：丁先生，联系电话：13777265503，快递以签收时间为准）。</w:t>
            </w:r>
          </w:p>
          <w:p>
            <w:pPr>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 xml:space="preserve"> (5)采购活动结束后，对于未中标人提供的样品，采购人、采购代理机构将通知未中标人在规定的时间内取回或代理机构寄回，采购人、采购代理机构不负保管义务；对于中标人提供的样品，采购人将进行保管、封存，并作为履约验收的参考。</w:t>
            </w:r>
          </w:p>
          <w:p>
            <w:pPr>
              <w:pStyle w:val="2"/>
              <w:ind w:firstLine="0" w:firstLineChars="0"/>
            </w:pPr>
            <w:r>
              <w:rPr>
                <w:rFonts w:hint="eastAsia" w:cs="仿宋" w:asciiTheme="minorEastAsia" w:hAnsiTheme="minorEastAsia" w:eastAsiaTheme="minorEastAsia"/>
                <w:sz w:val="24"/>
              </w:rPr>
              <w:t>（6）制作、运输、安装和保管样品所发生的一切费用由</w:t>
            </w:r>
            <w:r>
              <w:rPr>
                <w:rFonts w:hint="eastAsia" w:cs="仿宋" w:asciiTheme="minorEastAsia" w:hAnsiTheme="minorEastAsia" w:eastAsiaTheme="minorEastAsia"/>
                <w:kern w:val="0"/>
                <w:sz w:val="24"/>
                <w:lang w:val="zh-CN"/>
              </w:rPr>
              <w:t>供应商承担</w:t>
            </w:r>
            <w:r>
              <w:rPr>
                <w:rFonts w:hint="eastAsia" w:cs="仿宋"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Cs/>
                <w:sz w:val="24"/>
              </w:rPr>
            </w:pPr>
            <w:r>
              <w:rPr>
                <w:rFonts w:hint="eastAsia" w:cs="仿宋" w:asciiTheme="majorEastAsia" w:hAnsiTheme="majorEastAsia" w:eastAsiaTheme="majorEastAsia"/>
                <w:b/>
                <w:sz w:val="24"/>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pPr>
            <w:r>
              <w:rPr>
                <w:rFonts w:hint="eastAsia" w:cs="仿宋" w:asciiTheme="majorEastAsia" w:hAnsiTheme="majorEastAsia" w:eastAsiaTheme="majorEastAsia"/>
                <w:kern w:val="0"/>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仿宋" w:asciiTheme="majorEastAsia" w:hAnsiTheme="majorEastAsia" w:eastAsiaTheme="majorEastAsia"/>
                <w:sz w:val="24"/>
              </w:rPr>
            </w:pPr>
            <w:r>
              <w:rPr>
                <w:rFonts w:cs="仿宋" w:asciiTheme="majorEastAsia" w:hAnsiTheme="majorEastAsia" w:eastAsiaTheme="majorEastAsia"/>
                <w:kern w:val="0"/>
                <w:sz w:val="24"/>
              </w:rPr>
              <w:t></w:t>
            </w:r>
            <w:r>
              <w:rPr>
                <w:rFonts w:hint="eastAsia" w:cs="仿宋" w:asciiTheme="majorEastAsia" w:hAnsiTheme="majorEastAsia" w:eastAsiaTheme="majorEastAsia"/>
                <w:sz w:val="24"/>
              </w:rPr>
              <w:t>货物类，单一产品或</w:t>
            </w:r>
            <w:r>
              <w:rPr>
                <w:rFonts w:hint="eastAsia" w:cs="仿宋" w:asciiTheme="majorEastAsia" w:hAnsiTheme="majorEastAsia" w:eastAsiaTheme="majorEastAsia"/>
                <w:kern w:val="0"/>
                <w:sz w:val="24"/>
              </w:rPr>
              <w:t>核心产品为：</w:t>
            </w:r>
            <w:r>
              <w:rPr>
                <w:rFonts w:hint="eastAsia" w:cs="仿宋" w:asciiTheme="majorEastAsia" w:hAnsiTheme="majorEastAsia" w:eastAsiaTheme="majorEastAsia"/>
                <w:kern w:val="0"/>
                <w:sz w:val="24"/>
                <w:u w:val="single"/>
              </w:rPr>
              <w:t>室外地面改性聚丙烯材料模块</w:t>
            </w:r>
            <w:r>
              <w:rPr>
                <w:rFonts w:hint="eastAsia" w:cs="仿宋" w:asciiTheme="majorEastAsia" w:hAnsiTheme="majorEastAsia" w:eastAsiaTheme="majorEastAsia"/>
                <w:sz w:val="24"/>
              </w:rPr>
              <w:t>。</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kern w:val="0"/>
                <w:sz w:val="24"/>
              </w:rPr>
              <w:t>多家</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提供相同品牌产品（单一产品采购项目中的该产品或者非单一产品采购项目的核心产品）且通过资格审查、符合性审查的不同</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参加同一合同项下投标的，按一家</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计算，评审后得分最高的同品牌</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获得中标人推荐资格；评审得分相同的，报价评审得分最高的同品牌</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获得中标人推荐资格；评审得分和报价评审得分均相同的，由采购人或评标委员会采取随机抽取方式确定，其他同品牌</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不作为中标候选人。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标的：</w:t>
            </w:r>
            <w:r>
              <w:rPr>
                <w:rFonts w:hint="eastAsia" w:cs="仿宋" w:asciiTheme="majorEastAsia" w:hAnsiTheme="majorEastAsia" w:eastAsiaTheme="majorEastAsia"/>
                <w:sz w:val="24"/>
                <w:u w:val="single"/>
              </w:rPr>
              <w:t>学校运动场地（球场）改造</w:t>
            </w:r>
            <w:r>
              <w:rPr>
                <w:rFonts w:hint="eastAsia" w:cs="仿宋" w:asciiTheme="majorEastAsia" w:hAnsiTheme="majorEastAsia" w:eastAsiaTheme="majorEastAsia"/>
                <w:kern w:val="0"/>
                <w:sz w:val="24"/>
              </w:rPr>
              <w:t>，属于</w:t>
            </w:r>
            <w:r>
              <w:rPr>
                <w:rFonts w:hint="eastAsia" w:cs="仿宋" w:asciiTheme="majorEastAsia" w:hAnsiTheme="majorEastAsia" w:eastAsiaTheme="majorEastAsia"/>
                <w:kern w:val="0"/>
                <w:sz w:val="24"/>
                <w:u w:val="single"/>
              </w:rPr>
              <w:t>工业</w:t>
            </w:r>
            <w:r>
              <w:rPr>
                <w:rFonts w:hint="eastAsia" w:cs="仿宋" w:asciiTheme="majorEastAsia" w:hAnsiTheme="majorEastAsia" w:eastAsiaTheme="majorEastAsia"/>
                <w:kern w:val="0"/>
                <w:sz w:val="24"/>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p>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仿宋" w:asciiTheme="majorEastAsia" w:hAnsiTheme="majorEastAsia" w:eastAsiaTheme="majorEastAsia"/>
                <w:snapToGrid w:val="0"/>
                <w:kern w:val="28"/>
                <w:sz w:val="24"/>
              </w:rPr>
            </w:pPr>
            <w:r>
              <w:rPr>
                <w:rFonts w:hint="eastAsia" w:ascii="宋体" w:hAnsi="宋体" w:cs="宋体"/>
                <w:sz w:val="24"/>
              </w:rPr>
              <w:t>本项目中标服务费：17000元。中标人应在本公司发出中标通知书</w:t>
            </w:r>
            <w:r>
              <w:rPr>
                <w:rFonts w:ascii="宋体" w:hAnsi="宋体" w:cs="宋体"/>
                <w:sz w:val="24"/>
              </w:rPr>
              <w:t>5</w:t>
            </w:r>
            <w:r>
              <w:rPr>
                <w:rFonts w:hint="eastAsia" w:ascii="宋体" w:hAnsi="宋体" w:cs="宋体"/>
                <w:sz w:val="24"/>
              </w:rPr>
              <w:t>个工作日内向本招标公司支付招标服务费。招标服务费只收现金、银行票汇款、电汇款。</w:t>
            </w:r>
          </w:p>
        </w:tc>
      </w:tr>
    </w:tbl>
    <w:p>
      <w:pPr>
        <w:snapToGrid w:val="0"/>
        <w:spacing w:line="360" w:lineRule="auto"/>
        <w:jc w:val="center"/>
        <w:rPr>
          <w:rFonts w:cs="仿宋" w:asciiTheme="majorEastAsia" w:hAnsiTheme="majorEastAsia" w:eastAsiaTheme="majorEastAsia"/>
          <w:b/>
          <w:sz w:val="32"/>
          <w:szCs w:val="20"/>
        </w:rPr>
      </w:pPr>
    </w:p>
    <w:bookmarkEnd w:id="10"/>
    <w:p>
      <w:pPr>
        <w:spacing w:line="360" w:lineRule="auto"/>
        <w:ind w:firstLine="3845" w:firstLineChars="1197"/>
        <w:outlineLvl w:val="0"/>
        <w:rPr>
          <w:rFonts w:cs="仿宋" w:asciiTheme="majorEastAsia" w:hAnsiTheme="majorEastAsia" w:eastAsiaTheme="majorEastAsia"/>
          <w:b/>
          <w:sz w:val="32"/>
          <w:szCs w:val="20"/>
        </w:rPr>
      </w:pPr>
      <w:bookmarkStart w:id="11" w:name="第三部分"/>
      <w:bookmarkStart w:id="12" w:name="_Toc164416483"/>
      <w:r>
        <w:rPr>
          <w:rFonts w:cs="仿宋" w:asciiTheme="majorEastAsia" w:hAnsiTheme="majorEastAsia" w:eastAsiaTheme="majorEastAsia"/>
          <w:b/>
          <w:sz w:val="32"/>
          <w:szCs w:val="20"/>
        </w:rPr>
        <w:br w:type="page"/>
      </w:r>
    </w:p>
    <w:p>
      <w:pPr>
        <w:spacing w:line="360" w:lineRule="auto"/>
        <w:ind w:firstLine="3845" w:firstLineChars="1197"/>
        <w:outlineLvl w:val="0"/>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一、总则</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适用范围</w:t>
      </w:r>
    </w:p>
    <w:p>
      <w:pPr>
        <w:snapToGrid w:val="0"/>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本招标文件适用于该项目的招标、投标、开标、资格审查及信用信息查询、评标、定标、合同、验收等行为（法律、法规另有规定的，从其规定）。</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定义</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 “采购人”或“招标人”系指招标公告中载明的本项目的采购人。</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 “采购代理机构”系指招标公告中载明的本项目的采购代理机构。</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 “</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”或“投标人”系指是指响应招标、参加投标竞争的法人、其他组织或者自然人。</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2.4 “负责人”系指法人企业的法定负责人，或其他组织为法律、行政法规规定代表单位行使职权的主要负责人，或自然人本人。</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2.5“电子签名”系指数据电文中以电子形式所含、所附用于识别签名人身份并表明签名人认可其中内容的数据；“公章”系指单位法定名称章。</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2.6“电子交易平台”是指本项目采购活动所依托的采购云平台（https://www.zcygov.cn/）。</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2.7 “▲” 系指实质性要求条款，“</w:t>
      </w:r>
      <w:r>
        <w:rPr>
          <w:rFonts w:hint="eastAsia" w:cs="仿宋" w:asciiTheme="majorEastAsia" w:hAnsiTheme="majorEastAsia" w:eastAsiaTheme="majorEastAsia"/>
          <w:kern w:val="0"/>
          <w:sz w:val="24"/>
        </w:rPr>
        <w:sym w:font="Wingdings" w:char="F0FE"/>
      </w:r>
      <w:r>
        <w:rPr>
          <w:rFonts w:hint="eastAsia" w:cs="仿宋" w:asciiTheme="majorEastAsia" w:hAnsiTheme="majorEastAsia" w:eastAsiaTheme="majorEastAsia"/>
          <w:sz w:val="24"/>
        </w:rPr>
        <w:t>” 系指适用本项目的要求，“</w:t>
      </w:r>
      <w:r>
        <w:rPr>
          <w:rFonts w:hint="eastAsia" w:ascii="MS Gothic" w:hAnsi="MS Gothic" w:eastAsia="MS Gothic" w:cs="MS Gothic"/>
          <w:kern w:val="0"/>
          <w:sz w:val="24"/>
        </w:rPr>
        <w:t>☐</w:t>
      </w:r>
      <w:r>
        <w:rPr>
          <w:rFonts w:hint="eastAsia" w:cs="仿宋" w:asciiTheme="majorEastAsia" w:hAnsiTheme="majorEastAsia" w:eastAsiaTheme="majorEastAsia"/>
          <w:sz w:val="24"/>
        </w:rPr>
        <w:t>” 系指不适用本项目的要求。</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采购项目需要落实的政府采购政策</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 支持节能产品</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3.3支持中小企业发展</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符合中小企业划分标准的个体工商户，在政府采购活动中视同中小企业。</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bCs/>
          <w:sz w:val="24"/>
        </w:rPr>
        <w:t>3.3.2</w:t>
      </w:r>
      <w:r>
        <w:rPr>
          <w:rFonts w:hint="eastAsia" w:cs="仿宋" w:asciiTheme="majorEastAsia" w:hAnsiTheme="majorEastAsia" w:eastAsiaTheme="majorEastAsia"/>
          <w:kern w:val="0"/>
          <w:sz w:val="24"/>
        </w:rPr>
        <w:t>在政府采购活动中，</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提供的货物、工程或者服务符合下列情形的，享受中小企业扶持政策：</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3.3.2.2在工程采购项目中，工程由中小企业承建，即工程施工单位为中小企业；</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在货物采购项目中，</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提供的货物既有中小企业制造货物，也有大型企业制造货物的，不享受中小企业扶持政策。</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3.3.4符合《关于促进残疾人就业政府采购政策的通知》（财库〔2017〕141号）规定的条件并提供《残疾人福利性单位声明函》的残疾人福利性单位视同小型、微型企业；</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3.3.6可享受中小企业扶持政策的</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应按照招标文件格式要求提供《中小企业声明函》，</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提供的《中小企业声明函》与实际情况不符的，不享受中小企业扶持政策。声明内容不实的，属于提供虚假材料谋取中标、成交的，依法承担法律责任。</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3.3.7中小企业享受扶持政策获得政府采购合同的，小微企业不得将合同分包给大中型企业，中型企业不得将合同分包给大型企业。</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特别说明</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4.1关于分公司投标</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除银行、保险、石油石化、电力、电信等特殊行业外。法人的分支机构由于不能独立承担民事责任，不能以分支机构的身份参加政府采购，只能以法人身份参加。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4.2关于知识产权</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4.2.1 </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承担。</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4.2.2 投标报价应包含所有应向所有权人支付的专利权、商标权或其它知识产权的一切相关费用。</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4.2.3 系统软件、通用软件必须是具有在中国境内的合法使用权或版权的正版软件，涉及到第三方提出侵权或知识产权的起诉及支付版税等费用由</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承担所有责任及费用。</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的风险</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4.3.1 </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应详细阅读招标文件中的全部内容和要求，按照招标文件的要求提交投标文件，没有按照招标文件要求提供投标文件和资料导致的风险由</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承担,并对所提供的全部资料的真实性承担法律责任。</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4.3.2 无论因何种原因导致本次采购活动终止致</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损失的，相关责任人均不承担任何责任。</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询问、质疑、投诉</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.1供应商询问</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.2供应商质疑</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w:t>
      </w:r>
      <w:r>
        <w:rPr>
          <w:rFonts w:hint="eastAsia" w:cs="仿宋" w:asciiTheme="majorEastAsia" w:hAnsiTheme="majorEastAsia" w:eastAsiaTheme="majorEastAsia"/>
          <w:sz w:val="24"/>
        </w:rPr>
        <w:t>.1提出质疑的供应商应当是参与所质疑项目采购活动的供应商。潜在供应商已依法获取其可质疑的招标文件的，可以对该文件提出质疑。</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w:t>
      </w:r>
      <w:r>
        <w:rPr>
          <w:rFonts w:hint="eastAsia" w:cs="仿宋" w:asciiTheme="majorEastAsia" w:hAnsiTheme="majorEastAsia" w:eastAsiaTheme="major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5.2.2.1对招标文件提出质疑的，质疑期限为供应商获得招标文件之日或者招标文件公告期限届满之日起计算。</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5.2.2.2对采购过程提出质疑的，质疑期限为各采购程序环节结束之日起计算。</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5.2.2.3对采购结果提出质疑的，质疑期限自采购结果公告期限届满之日起计算。</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5.2.2.4对同一采购程序环节的质疑，供应商须一次性提出。</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w:t>
      </w:r>
      <w:r>
        <w:rPr>
          <w:rFonts w:hint="eastAsia" w:cs="仿宋" w:asciiTheme="majorEastAsia" w:hAnsiTheme="majorEastAsia" w:eastAsiaTheme="majorEastAsia"/>
          <w:sz w:val="24"/>
        </w:rPr>
        <w:t>供应商提出质疑应当提交质疑函和必要的证明材料。质疑函应当包括下列内容：</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.2.3.1供应商的姓名或者名称、地址、邮编、联系人及联系电话；</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.2.3.2质疑项目的名称、编号；</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.2.3.3具体、明确的质疑事项和与质疑事项相关的请求；</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.2.3.4事实依据；</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.2.3.5必要的法律依据；</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.2.3.6提出质疑的日期。</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5.2.3.7对招标文件提出质疑的需要提供在政采云平台获取招标文件的截图。</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供应商提交的质疑函需一式三份。供应商为自然人的，应当由本人签字；供应商为法人或者其他组织的，应当由法定代表人、主要负责人，或者其授权代表签字或者盖章，并加盖公章。</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质疑函范本请到浙江政府采购网下载专区下载。</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w:t>
      </w:r>
      <w:r>
        <w:rPr>
          <w:rFonts w:hint="eastAsia" w:cs="仿宋" w:asciiTheme="majorEastAsia" w:hAnsiTheme="majorEastAsia" w:eastAsiaTheme="majorEastAsia"/>
          <w:sz w:val="24"/>
        </w:rPr>
        <w:t>.4采购人或者采购代理机构应当在收到供应商的书面质疑后七个工作日内作出答复，并以书面形式通知质疑供应商和其他与质疑处理结果有利害关系的政府采购当事人，但答复的内容不得涉及商业秘密。</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.2</w:t>
      </w:r>
      <w:r>
        <w:rPr>
          <w:rFonts w:hint="eastAsia" w:cs="仿宋" w:asciiTheme="majorEastAsia" w:hAnsiTheme="majorEastAsia" w:eastAsiaTheme="majorEastAsia"/>
          <w:sz w:val="24"/>
        </w:rPr>
        <w:t>.5询问或者质疑事项可能影响采购结果的，采购人应当暂停签订合同，已经签订合同的，应当中止履行合同。</w:t>
      </w:r>
    </w:p>
    <w:p>
      <w:pPr>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5</w:t>
      </w:r>
      <w:r>
        <w:rPr>
          <w:rFonts w:hint="eastAsia" w:cs="仿宋" w:asciiTheme="majorEastAsia" w:hAnsiTheme="majorEastAsia" w:eastAsiaTheme="majorEastAsia"/>
          <w:sz w:val="24"/>
          <w:lang w:val="zh-CN"/>
        </w:rPr>
        <w:t>.3供应商投诉</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5.3.1质疑供应商对采购人、采购代理机构的答复不满意或者采购人、采购代理机构未在规定的时间内作出答复的，可以在答复期满后十五个工作日内向同级政府采购监督管理部门提出投诉。</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5.3.</w:t>
      </w:r>
      <w:r>
        <w:rPr>
          <w:rFonts w:hint="eastAsia" w:cs="仿宋" w:asciiTheme="majorEastAsia" w:hAnsiTheme="majorEastAsia" w:eastAsiaTheme="majorEastAsia"/>
          <w:sz w:val="24"/>
          <w:lang w:val="zh-CN"/>
        </w:rPr>
        <w:t>2</w:t>
      </w:r>
      <w:r>
        <w:rPr>
          <w:rFonts w:hint="eastAsia" w:cs="仿宋" w:asciiTheme="majorEastAsia" w:hAnsiTheme="majorEastAsia" w:eastAsiaTheme="majorEastAsia"/>
          <w:sz w:val="24"/>
        </w:rPr>
        <w:t>供应商投诉的事项不得超出已质疑事项的范围，基于质疑答复内容提出的投诉事项除外。</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5.3.3供应商投诉应当有明确的请求和必要的证明材料。</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5.3.5 以联合体形式参加政府采购活动的，其投诉应当由组成联合体的所有供应商共同提出。</w:t>
      </w:r>
    </w:p>
    <w:p>
      <w:pPr>
        <w:spacing w:line="360" w:lineRule="auto"/>
        <w:ind w:firstLine="480" w:firstLineChars="200"/>
        <w:rPr>
          <w:rFonts w:cs="仿宋" w:asciiTheme="majorEastAsia" w:hAnsiTheme="majorEastAsia" w:eastAsiaTheme="majorEastAsia"/>
          <w:sz w:val="18"/>
          <w:szCs w:val="18"/>
        </w:rPr>
      </w:pPr>
      <w:r>
        <w:rPr>
          <w:rFonts w:hint="eastAsia" w:cs="仿宋" w:asciiTheme="majorEastAsia" w:hAnsiTheme="majorEastAsia" w:eastAsiaTheme="majorEastAsia"/>
          <w:sz w:val="24"/>
        </w:rPr>
        <w:t>投诉书范本请到浙江政府采购网下载专区下载。</w:t>
      </w:r>
    </w:p>
    <w:p>
      <w:pPr>
        <w:spacing w:line="360" w:lineRule="auto"/>
        <w:jc w:val="center"/>
        <w:outlineLvl w:val="0"/>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 xml:space="preserve">      二、招标文件的构成、澄清、修改</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招标文件的构成</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 招标文件包括下列文件及附件：</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6.1.1 招标公告；</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 xml:space="preserve">6.1.2 </w:t>
      </w:r>
      <w:r>
        <w:rPr>
          <w:rFonts w:hint="eastAsia" w:cs="仿宋" w:asciiTheme="majorEastAsia" w:hAnsiTheme="majorEastAsia" w:eastAsiaTheme="majorEastAsia"/>
          <w:sz w:val="24"/>
          <w:szCs w:val="24"/>
          <w:lang w:val="zh-CN"/>
        </w:rPr>
        <w:t>投标</w:t>
      </w:r>
      <w:r>
        <w:rPr>
          <w:rFonts w:hint="eastAsia" w:cs="仿宋" w:asciiTheme="majorEastAsia" w:hAnsiTheme="majorEastAsia" w:eastAsiaTheme="majorEastAsia"/>
          <w:sz w:val="24"/>
          <w:szCs w:val="24"/>
        </w:rPr>
        <w:t>须知；</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6.1.3 采购需求；</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6.1.4 评标办法；</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6.1.5 拟签订的合同文本；</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6.1.6 应提交的有关格式范例；</w:t>
      </w:r>
    </w:p>
    <w:p>
      <w:pPr>
        <w:pStyle w:val="13"/>
        <w:spacing w:line="360" w:lineRule="auto"/>
        <w:ind w:firstLine="480" w:firstLineChars="200"/>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6.1.7 附件（如有）；</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6.2与本项目有关的</w:t>
      </w:r>
      <w:r>
        <w:rPr>
          <w:rFonts w:hint="eastAsia" w:cs="仿宋" w:asciiTheme="majorEastAsia" w:hAnsiTheme="majorEastAsia" w:eastAsiaTheme="majorEastAsia"/>
          <w:bCs/>
          <w:sz w:val="24"/>
        </w:rPr>
        <w:t>澄清或者修改的内容为招标文件的组成部分</w:t>
      </w:r>
      <w:r>
        <w:rPr>
          <w:rFonts w:hint="eastAsia" w:cs="仿宋" w:asciiTheme="majorEastAsia" w:hAnsiTheme="majorEastAsia" w:eastAsiaTheme="majorEastAsia"/>
          <w:sz w:val="24"/>
        </w:rPr>
        <w:t>。</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招标文件的澄清、修改</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7.2 更正公告为招标文件的组成部分，一经在网站发布，视同已通知所有招标文件的收受人，不再采用其它方式传达相关信息, 若因未能及时了解到上述网站上发布的相关信息而导致的一切后果自行承担。</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7.3 如更正公告有重新发布电子招标文件的，</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应下载最新发布的电子招标文件制作投标文件。</w:t>
      </w:r>
    </w:p>
    <w:p>
      <w:pPr>
        <w:spacing w:line="360" w:lineRule="auto"/>
        <w:ind w:firstLine="480" w:firstLineChars="200"/>
        <w:rPr>
          <w:rFonts w:cs="仿宋" w:asciiTheme="majorEastAsia" w:hAnsiTheme="majorEastAsia" w:eastAsiaTheme="majorEastAsia"/>
          <w:b/>
          <w:sz w:val="30"/>
          <w:szCs w:val="20"/>
        </w:rPr>
      </w:pPr>
      <w:r>
        <w:rPr>
          <w:rFonts w:hint="eastAsia" w:cs="仿宋" w:asciiTheme="majorEastAsia" w:hAnsiTheme="majorEastAsia" w:eastAsiaTheme="majorEastAsia"/>
          <w:sz w:val="24"/>
        </w:rPr>
        <w:t>7.4 已获取招标文件的潜在</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，若有问题需要澄清，应于投标截止时间前，以书面形式向采购代理机构提出。</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在规定的时间内未对招标文件提出疑问、质疑或要求澄清的，将视其为无异议。对招标文件中描述有歧义或前后不一致的地方，评标委员会有权进行评判，但对同一条款的评判应适用于每个</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w:t>
      </w:r>
    </w:p>
    <w:p>
      <w:pPr>
        <w:spacing w:line="360" w:lineRule="auto"/>
        <w:jc w:val="center"/>
        <w:outlineLvl w:val="0"/>
        <w:rPr>
          <w:rFonts w:cs="仿宋" w:asciiTheme="majorEastAsia" w:hAnsiTheme="majorEastAsia" w:eastAsiaTheme="majorEastAsia"/>
          <w:b/>
          <w:sz w:val="30"/>
          <w:szCs w:val="20"/>
        </w:rPr>
      </w:pPr>
      <w:r>
        <w:rPr>
          <w:rFonts w:hint="eastAsia" w:cs="仿宋" w:asciiTheme="majorEastAsia" w:hAnsiTheme="majorEastAsia" w:eastAsiaTheme="majorEastAsia"/>
          <w:b/>
          <w:sz w:val="30"/>
          <w:szCs w:val="20"/>
        </w:rPr>
        <w:t>三、投标</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投标文件的语言</w:t>
      </w:r>
    </w:p>
    <w:p>
      <w:pPr>
        <w:autoSpaceDE w:val="0"/>
        <w:autoSpaceDN w:val="0"/>
        <w:spacing w:line="360" w:lineRule="auto"/>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投标文件及</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与采购有关的来往通知、函件和文件均应使用中文。</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投标文件的组成</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9.1 </w:t>
      </w:r>
      <w:r>
        <w:rPr>
          <w:rFonts w:hint="eastAsia" w:cs="仿宋" w:asciiTheme="majorEastAsia" w:hAnsiTheme="majorEastAsia" w:eastAsiaTheme="majorEastAsia"/>
          <w:b/>
          <w:sz w:val="24"/>
        </w:rPr>
        <w:t>资格文件</w:t>
      </w:r>
      <w:r>
        <w:rPr>
          <w:rFonts w:hint="eastAsia" w:cs="仿宋" w:asciiTheme="majorEastAsia" w:hAnsiTheme="majorEastAsia" w:eastAsiaTheme="majorEastAsia"/>
          <w:sz w:val="24"/>
        </w:rPr>
        <w:t>：</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9.1.1有效的企业法人营业执照（或事业法人登记证）、其他组织（个体工商户）的营业执照或者民办非企业单位登记证书；</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9.1.2符合参加采购活动应当具备的一般条件的承诺函(格式见第六部分)；</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9.1.3落实采购政策需满足的资格要求（如适用）；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9.1.4本项目的特定资格要求。</w:t>
      </w:r>
    </w:p>
    <w:p>
      <w:pPr>
        <w:snapToGrid w:val="0"/>
        <w:spacing w:line="360" w:lineRule="auto"/>
        <w:ind w:firstLine="480" w:firstLineChars="200"/>
        <w:rPr>
          <w:rFonts w:cs="仿宋" w:asciiTheme="majorEastAsia" w:hAnsiTheme="majorEastAsia" w:eastAsiaTheme="majorEastAsia"/>
          <w:b/>
          <w:bCs/>
          <w:sz w:val="24"/>
          <w:lang w:val="zh-CN"/>
        </w:rPr>
      </w:pPr>
      <w:r>
        <w:rPr>
          <w:rFonts w:hint="eastAsia" w:cs="仿宋" w:asciiTheme="majorEastAsia" w:hAnsiTheme="majorEastAsia" w:eastAsiaTheme="majorEastAsia"/>
          <w:sz w:val="24"/>
        </w:rPr>
        <w:t>9</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 xml:space="preserve"> </w:t>
      </w:r>
      <w:r>
        <w:rPr>
          <w:rFonts w:hint="eastAsia" w:cs="仿宋" w:asciiTheme="majorEastAsia" w:hAnsiTheme="majorEastAsia" w:eastAsiaTheme="majorEastAsia"/>
          <w:b/>
          <w:bCs/>
          <w:sz w:val="24"/>
        </w:rPr>
        <w:t>商务技术</w:t>
      </w:r>
      <w:r>
        <w:rPr>
          <w:rFonts w:hint="eastAsia" w:cs="仿宋" w:asciiTheme="majorEastAsia" w:hAnsiTheme="majorEastAsia" w:eastAsiaTheme="majorEastAsia"/>
          <w:b/>
          <w:bCs/>
          <w:sz w:val="24"/>
          <w:lang w:val="zh-CN"/>
        </w:rPr>
        <w:t>文件：</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9.2.1 评分索引表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9.2.2 符合性自查表；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9.2.3 投标函；</w:t>
      </w:r>
      <w:r>
        <w:rPr>
          <w:rFonts w:hint="eastAsia" w:cs="仿宋" w:asciiTheme="majorEastAsia" w:hAnsiTheme="majorEastAsia" w:eastAsiaTheme="majorEastAsia"/>
          <w:sz w:val="24"/>
          <w:lang w:val="zh-CN"/>
        </w:rPr>
        <w:t xml:space="preserve"> </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9.2.4 授权委托书或法定代表人（单位负责人、自然人本人）身份证明；</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9.2.5投标人基本情况表；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9.2.6 距采购人最近或者能为本项目提供最优服务的网点情况表；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7 评标标准相应的商务技术资料；</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9.2.8 商务响应表；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9.2.9 技术响应表；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9.2.10 同类业绩情况一览表；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9.2.11</w:t>
      </w:r>
      <w:r>
        <w:rPr>
          <w:rFonts w:hint="eastAsia" w:cs="仿宋" w:asciiTheme="majorEastAsia" w:hAnsiTheme="majorEastAsia" w:eastAsiaTheme="majorEastAsia"/>
          <w:sz w:val="24"/>
          <w:lang w:val="zh-CN"/>
        </w:rPr>
        <w:t>政府采购供应商廉洁自律承诺书；</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9.2.12其他资料（如有）。</w:t>
      </w:r>
    </w:p>
    <w:p>
      <w:pPr>
        <w:snapToGrid w:val="0"/>
        <w:spacing w:line="360" w:lineRule="auto"/>
        <w:ind w:firstLine="480" w:firstLineChars="200"/>
        <w:rPr>
          <w:rFonts w:cs="仿宋" w:asciiTheme="majorEastAsia" w:hAnsiTheme="majorEastAsia" w:eastAsiaTheme="majorEastAsia"/>
          <w:sz w:val="24"/>
          <w:u w:val="single"/>
          <w:lang w:val="zh-CN"/>
        </w:rPr>
      </w:pPr>
      <w:r>
        <w:rPr>
          <w:rFonts w:hint="eastAsia" w:cs="仿宋" w:asciiTheme="majorEastAsia" w:hAnsiTheme="majorEastAsia" w:eastAsiaTheme="majorEastAsia"/>
          <w:kern w:val="0"/>
          <w:sz w:val="24"/>
        </w:rPr>
        <w:t>9</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kern w:val="0"/>
          <w:sz w:val="24"/>
        </w:rPr>
        <w:t xml:space="preserve">3 </w:t>
      </w:r>
      <w:r>
        <w:rPr>
          <w:rFonts w:hint="eastAsia" w:cs="仿宋" w:asciiTheme="majorEastAsia" w:hAnsiTheme="majorEastAsia" w:eastAsiaTheme="majorEastAsia"/>
          <w:b/>
          <w:sz w:val="24"/>
        </w:rPr>
        <w:t>报价文件：</w:t>
      </w:r>
      <w:r>
        <w:rPr>
          <w:rFonts w:hint="eastAsia" w:cs="仿宋" w:asciiTheme="majorEastAsia" w:hAnsiTheme="majorEastAsia" w:eastAsiaTheme="majorEastAsia"/>
          <w:sz w:val="24"/>
        </w:rPr>
        <w:t xml:space="preserve"> </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9.3.1 开标一览表；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9.3.2 投标报价明细表；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9.3.3 中小企业声明函（如有）；</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9.3.4 残疾人福利性单位声明函（如有）；</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9.3.5 监狱企业的证明文件（如有）；</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9.3.6 政府采购统计基础信息表；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9.3.7其他资料（如有）。</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投标文件的编制</w:t>
      </w:r>
    </w:p>
    <w:p>
      <w:pPr>
        <w:spacing w:line="360" w:lineRule="auto"/>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kern w:val="0"/>
          <w:sz w:val="24"/>
          <w:lang w:val="zh-CN"/>
        </w:rPr>
        <w:t>1</w:t>
      </w:r>
      <w:r>
        <w:rPr>
          <w:rFonts w:hint="eastAsia" w:cs="仿宋" w:asciiTheme="majorEastAsia" w:hAnsiTheme="majorEastAsia" w:eastAsiaTheme="majorEastAsia"/>
          <w:kern w:val="0"/>
          <w:sz w:val="24"/>
        </w:rPr>
        <w:t>0</w:t>
      </w:r>
      <w:r>
        <w:rPr>
          <w:rFonts w:hint="eastAsia" w:cs="仿宋" w:asciiTheme="majorEastAsia" w:hAnsiTheme="majorEastAsia" w:eastAsiaTheme="majorEastAsia"/>
          <w:kern w:val="0"/>
          <w:sz w:val="24"/>
          <w:lang w:val="zh-CN"/>
        </w:rPr>
        <w:t>.1投标文件分为资格文件、商务技术文件、报价文件三部分。各供应商在编制投标文件时请按照招标文件第六部分规定的格式进行。</w:t>
      </w:r>
      <w:r>
        <w:rPr>
          <w:rFonts w:hint="eastAsia" w:cs="仿宋" w:asciiTheme="majorEastAsia" w:hAnsiTheme="majorEastAsia" w:eastAsiaTheme="majorEastAsia"/>
          <w:kern w:val="0"/>
          <w:sz w:val="24"/>
        </w:rPr>
        <w:t>未有规定格式的资料，</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应自行编制，但至少须包含9.投标文件组成中的内容。</w:t>
      </w:r>
      <w:r>
        <w:rPr>
          <w:rFonts w:hint="eastAsia" w:cs="仿宋" w:asciiTheme="majorEastAsia" w:hAnsiTheme="majorEastAsia" w:eastAsiaTheme="majorEastAsia"/>
          <w:kern w:val="0"/>
          <w:sz w:val="24"/>
          <w:lang w:val="zh-CN"/>
        </w:rPr>
        <w:t>混乱的编排导致投标文件被误读或评标委员会查找不到有效文件是供应商的风险。</w:t>
      </w:r>
    </w:p>
    <w:p>
      <w:pPr>
        <w:spacing w:line="360" w:lineRule="auto"/>
        <w:ind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w:t>
      </w:r>
      <w:r>
        <w:rPr>
          <w:rFonts w:hint="eastAsia" w:cs="仿宋" w:asciiTheme="majorEastAsia" w:hAnsiTheme="majorEastAsia" w:eastAsiaTheme="majorEastAsia"/>
          <w:kern w:val="0"/>
          <w:sz w:val="24"/>
        </w:rPr>
        <w:t>0</w:t>
      </w:r>
      <w:r>
        <w:rPr>
          <w:rFonts w:hint="eastAsia" w:cs="仿宋" w:asciiTheme="majorEastAsia" w:hAnsiTheme="majorEastAsia" w:eastAsiaTheme="majorEastAsia"/>
          <w:kern w:val="0"/>
          <w:sz w:val="24"/>
          <w:lang w:val="zh-CN"/>
        </w:rPr>
        <w:t>.2供应商进行电子投标应安装客户端软件—“政采云电子交易客户端”，并按照招标文件和电子交易平台的要求编制并加密投标文件。供应商未按规定加密的投标文件，电子交易平台将拒收并提示。</w:t>
      </w:r>
    </w:p>
    <w:p>
      <w:pPr>
        <w:spacing w:line="360" w:lineRule="auto"/>
        <w:ind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w:t>
      </w:r>
      <w:r>
        <w:rPr>
          <w:rFonts w:hint="eastAsia" w:cs="仿宋" w:asciiTheme="majorEastAsia" w:hAnsiTheme="majorEastAsia" w:eastAsiaTheme="majorEastAsia"/>
          <w:kern w:val="0"/>
          <w:sz w:val="24"/>
        </w:rPr>
        <w:t>0</w:t>
      </w:r>
      <w:r>
        <w:rPr>
          <w:rFonts w:hint="eastAsia" w:cs="仿宋" w:asciiTheme="majorEastAsia" w:hAnsiTheme="majorEastAsia" w:eastAsiaTheme="majorEastAsia"/>
          <w:kern w:val="0"/>
          <w:sz w:val="24"/>
          <w:lang w:val="zh-CN"/>
        </w:rPr>
        <w:t>.3使用“政采云电子交易客户端”需要提前申领CA数字证书，申领流程请自行前往“浙江政府采购网-下载专区-电子交易客户端-CA驱动和申领流程”进行查阅。</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投标文件的签署、盖章</w:t>
      </w:r>
    </w:p>
    <w:p>
      <w:pPr>
        <w:pStyle w:val="40"/>
        <w:snapToGrid w:val="0"/>
        <w:spacing w:before="0"/>
        <w:ind w:firstLine="480"/>
        <w:rPr>
          <w:rFonts w:cs="仿宋" w:asciiTheme="majorEastAsia" w:hAnsiTheme="majorEastAsia" w:eastAsiaTheme="majorEastAsia"/>
          <w:b/>
        </w:rPr>
      </w:pPr>
      <w:r>
        <w:rPr>
          <w:rFonts w:hint="eastAsia" w:cs="仿宋" w:asciiTheme="majorEastAsia" w:hAnsiTheme="majorEastAsia" w:eastAsiaTheme="majorEastAsia"/>
          <w:szCs w:val="24"/>
        </w:rPr>
        <w:t>11.1投标文件按照招标文件第六部分格式要</w:t>
      </w:r>
      <w:r>
        <w:rPr>
          <w:rFonts w:hint="eastAsia" w:cs="仿宋" w:asciiTheme="majorEastAsia" w:hAnsiTheme="majorEastAsia" w:eastAsiaTheme="majorEastAsia"/>
        </w:rPr>
        <w:t>求进行签署、盖章。</w:t>
      </w:r>
      <w:r>
        <w:rPr>
          <w:rFonts w:hint="eastAsia" w:cs="仿宋" w:asciiTheme="majorEastAsia" w:hAnsiTheme="majorEastAsia" w:eastAsiaTheme="majorEastAsia"/>
          <w:b/>
        </w:rPr>
        <w:t>▲供应商的投标文件未按照招标文件要求签署、盖章的，其投标无效</w:t>
      </w:r>
      <w:r>
        <w:rPr>
          <w:rFonts w:hint="eastAsia" w:cs="仿宋" w:asciiTheme="majorEastAsia" w:hAnsiTheme="majorEastAsia" w:eastAsiaTheme="majorEastAsia"/>
          <w:szCs w:val="24"/>
        </w:rPr>
        <w:t>。</w:t>
      </w:r>
    </w:p>
    <w:p>
      <w:pPr>
        <w:pStyle w:val="40"/>
        <w:snapToGrid w:val="0"/>
        <w:spacing w:before="0"/>
        <w:ind w:firstLine="480"/>
        <w:rPr>
          <w:rFonts w:cs="仿宋" w:asciiTheme="majorEastAsia" w:hAnsiTheme="majorEastAsia" w:eastAsiaTheme="majorEastAsia"/>
        </w:rPr>
      </w:pPr>
      <w:r>
        <w:rPr>
          <w:rFonts w:hint="eastAsia" w:cs="仿宋" w:asciiTheme="majorEastAsia" w:hAnsiTheme="majorEastAsia" w:eastAsiaTheme="majorEastAsia"/>
        </w:rPr>
        <w:t>11.2为确保网上操作合法、有效和安全，</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rPr>
        <w:t>应当在投标截止时间前完成在“政府采购云平台”的身份认证，确保在电子投标过程中能够对相关数据电文进行加密和使用电子签名。</w:t>
      </w:r>
    </w:p>
    <w:p>
      <w:pPr>
        <w:pStyle w:val="40"/>
        <w:snapToGrid w:val="0"/>
        <w:spacing w:before="0"/>
        <w:ind w:firstLine="480"/>
        <w:rPr>
          <w:rFonts w:cs="仿宋" w:asciiTheme="majorEastAsia" w:hAnsiTheme="majorEastAsia" w:eastAsiaTheme="majorEastAsia"/>
          <w:szCs w:val="24"/>
        </w:rPr>
      </w:pPr>
      <w:r>
        <w:rPr>
          <w:rFonts w:hint="eastAsia" w:cs="仿宋" w:asciiTheme="majorEastAsia" w:hAnsiTheme="majorEastAsia" w:eastAsiaTheme="majorEastAsia"/>
        </w:rPr>
        <w:t>11.3招标文件对投标文件签署、盖章的要求适用于电子签名。</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投标文件的提交、补充、修改、撤回</w:t>
      </w:r>
    </w:p>
    <w:p>
      <w:pPr>
        <w:pStyle w:val="40"/>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40"/>
        <w:spacing w:before="0"/>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12.2电子交易平台收到投标文件，将妥善保存并即时向供应商发出确认回执通知。在投标截止时间前，除供应商补充、修改或者撤回投标文件外，任何单位和个人不得解密或提取投标文件。</w:t>
      </w:r>
    </w:p>
    <w:p>
      <w:pPr>
        <w:pStyle w:val="40"/>
        <w:spacing w:before="0"/>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12.3采购人、采购代理机构可以视情况延长投标文件提交的截止时间。在上述情况下，采购代理机构与</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szCs w:val="24"/>
        </w:rPr>
        <w:t>以前在投标截止期方面的全部权利、责任和义务，将适用于延长至新的投标截止期。</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投标有效期</w:t>
      </w:r>
    </w:p>
    <w:p>
      <w:pPr>
        <w:spacing w:line="360" w:lineRule="auto"/>
        <w:ind w:firstLine="480" w:firstLineChars="200"/>
        <w:rPr>
          <w:rFonts w:cs="仿宋" w:asciiTheme="majorEastAsia" w:hAnsiTheme="majorEastAsia" w:eastAsiaTheme="majorEastAsia"/>
          <w:b/>
          <w:sz w:val="24"/>
          <w:szCs w:val="21"/>
        </w:rPr>
      </w:pPr>
      <w:r>
        <w:rPr>
          <w:rFonts w:hint="eastAsia" w:cs="仿宋" w:asciiTheme="majorEastAsia" w:hAnsiTheme="majorEastAsia" w:eastAsiaTheme="majorEastAsia"/>
          <w:sz w:val="24"/>
          <w:szCs w:val="20"/>
        </w:rPr>
        <w:t>投标有效期为从提交投标文件的截止之日起90天。▲</w:t>
      </w:r>
      <w:r>
        <w:rPr>
          <w:rFonts w:hint="eastAsia" w:cs="仿宋" w:asciiTheme="majorEastAsia" w:hAnsiTheme="majorEastAsia" w:eastAsiaTheme="majorEastAsia"/>
          <w:b/>
          <w:sz w:val="24"/>
          <w:szCs w:val="20"/>
        </w:rPr>
        <w:t>供应商的投标文件中承</w:t>
      </w:r>
      <w:r>
        <w:rPr>
          <w:rFonts w:hint="eastAsia" w:cs="仿宋" w:asciiTheme="majorEastAsia" w:hAnsiTheme="majorEastAsia" w:eastAsiaTheme="majorEastAsia"/>
          <w:b/>
          <w:sz w:val="24"/>
          <w:szCs w:val="21"/>
        </w:rPr>
        <w:t>诺的投标有效期少于招标文件中载明的投标有效期的，投标无效。</w:t>
      </w:r>
    </w:p>
    <w:p>
      <w:pPr>
        <w:pStyle w:val="40"/>
        <w:spacing w:before="0"/>
        <w:ind w:firstLine="643"/>
        <w:rPr>
          <w:rFonts w:cs="仿宋" w:asciiTheme="majorEastAsia" w:hAnsiTheme="majorEastAsia" w:eastAsiaTheme="majorEastAsia"/>
          <w:b/>
          <w:sz w:val="32"/>
        </w:rPr>
      </w:pPr>
    </w:p>
    <w:p>
      <w:pPr>
        <w:pStyle w:val="40"/>
        <w:spacing w:before="0"/>
        <w:ind w:firstLine="1928" w:firstLineChars="600"/>
        <w:rPr>
          <w:rFonts w:cs="仿宋" w:asciiTheme="majorEastAsia" w:hAnsiTheme="majorEastAsia" w:eastAsiaTheme="majorEastAsia"/>
          <w:b/>
          <w:sz w:val="32"/>
        </w:rPr>
      </w:pPr>
      <w:r>
        <w:rPr>
          <w:rFonts w:hint="eastAsia" w:cs="仿宋" w:asciiTheme="majorEastAsia" w:hAnsiTheme="majorEastAsia" w:eastAsiaTheme="majorEastAsia"/>
          <w:b/>
          <w:sz w:val="32"/>
        </w:rPr>
        <w:t>四、开标、资格审查与信用信息查询</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 xml:space="preserve">开标 </w:t>
      </w:r>
    </w:p>
    <w:p>
      <w:pPr>
        <w:pStyle w:val="35"/>
        <w:spacing w:before="0" w:line="360" w:lineRule="auto"/>
        <w:ind w:left="0" w:firstLine="480" w:firstLineChars="200"/>
        <w:contextualSpacing/>
        <w:rPr>
          <w:rFonts w:cs="仿宋" w:asciiTheme="majorEastAsia" w:hAnsiTheme="majorEastAsia" w:eastAsiaTheme="majorEastAsia"/>
          <w:sz w:val="24"/>
        </w:rPr>
      </w:pPr>
      <w:r>
        <w:rPr>
          <w:rFonts w:hint="eastAsia" w:cs="仿宋" w:asciiTheme="majorEastAsia" w:hAnsiTheme="majorEastAsia" w:eastAsiaTheme="majorEastAsia"/>
          <w:sz w:val="24"/>
        </w:rPr>
        <w:t>14.1采购代理机构按照招标文件规定的时间通过电子交易平台组织开标，所有</w:t>
      </w:r>
      <w:r>
        <w:rPr>
          <w:rFonts w:hint="eastAsia" w:cs="仿宋" w:asciiTheme="majorEastAsia" w:hAnsiTheme="majorEastAsia" w:eastAsiaTheme="majorEastAsia"/>
          <w:sz w:val="24"/>
          <w:lang w:val="zh-CN"/>
        </w:rPr>
        <w:t>供应商</w:t>
      </w:r>
      <w:r>
        <w:rPr>
          <w:rFonts w:hint="eastAsia" w:cs="仿宋" w:asciiTheme="majorEastAsia" w:hAnsiTheme="majorEastAsia" w:eastAsiaTheme="majorEastAsia"/>
          <w:sz w:val="24"/>
        </w:rPr>
        <w:t>均应当准时在线参加。</w:t>
      </w:r>
      <w:r>
        <w:rPr>
          <w:rFonts w:hint="eastAsia" w:cs="仿宋" w:asciiTheme="majorEastAsia" w:hAnsiTheme="majorEastAsia" w:eastAsiaTheme="majorEastAsia"/>
          <w:sz w:val="24"/>
          <w:lang w:val="zh-CN"/>
        </w:rPr>
        <w:t>供应商</w:t>
      </w:r>
      <w:r>
        <w:rPr>
          <w:rFonts w:hint="eastAsia" w:cs="仿宋" w:asciiTheme="majorEastAsia" w:hAnsiTheme="majorEastAsia" w:eastAsiaTheme="majorEastAsia"/>
          <w:sz w:val="24"/>
        </w:rPr>
        <w:t>不足3家的，不得开标。</w:t>
      </w:r>
    </w:p>
    <w:p>
      <w:pPr>
        <w:pStyle w:val="35"/>
        <w:spacing w:before="0" w:line="360" w:lineRule="auto"/>
        <w:ind w:left="0" w:firstLine="240" w:firstLineChars="100"/>
        <w:contextualSpacing/>
        <w:rPr>
          <w:rFonts w:cs="仿宋" w:asciiTheme="majorEastAsia" w:hAnsiTheme="majorEastAsia" w:eastAsiaTheme="majorEastAsia"/>
          <w:sz w:val="24"/>
        </w:rPr>
      </w:pPr>
      <w:r>
        <w:rPr>
          <w:rFonts w:hint="eastAsia" w:cs="仿宋" w:asciiTheme="majorEastAsia" w:hAnsiTheme="majorEastAsia" w:eastAsiaTheme="majorEastAsia"/>
          <w:sz w:val="24"/>
        </w:rPr>
        <w:t>　14.2开标时，电子交易平台按开标时间自动提取所有投标文件。采购代理机构依托电子交易平台发起开始解密指令，</w:t>
      </w:r>
      <w:r>
        <w:rPr>
          <w:rFonts w:hint="eastAsia" w:cs="仿宋" w:asciiTheme="majorEastAsia" w:hAnsiTheme="majorEastAsia" w:eastAsiaTheme="majorEastAsia"/>
          <w:sz w:val="24"/>
          <w:lang w:val="zh-CN"/>
        </w:rPr>
        <w:t>供应商</w:t>
      </w:r>
      <w:r>
        <w:rPr>
          <w:rFonts w:hint="eastAsia" w:cs="仿宋" w:asciiTheme="majorEastAsia" w:hAnsiTheme="majorEastAsia" w:eastAsiaTheme="majorEastAsia"/>
          <w:sz w:val="24"/>
        </w:rPr>
        <w:t>按照平台提示和招标文件的规定在半小时内完成在线解密。</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资格审查</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15.1开标后，采购人或采购代理机构依据法律法规和招标文件的规定，对供应商的资格条件进行审查。</w:t>
      </w:r>
    </w:p>
    <w:p>
      <w:pPr>
        <w:pStyle w:val="40"/>
        <w:spacing w:before="0"/>
        <w:ind w:firstLine="480"/>
        <w:rPr>
          <w:rFonts w:cs="仿宋" w:asciiTheme="majorEastAsia" w:hAnsiTheme="majorEastAsia" w:eastAsiaTheme="majorEastAsia"/>
        </w:rPr>
      </w:pPr>
      <w:r>
        <w:rPr>
          <w:rFonts w:hint="eastAsia" w:cs="仿宋" w:asciiTheme="majorEastAsia" w:hAnsiTheme="majorEastAsia" w:eastAsiaTheme="majorEastAsia"/>
          <w:kern w:val="0"/>
          <w:szCs w:val="24"/>
        </w:rPr>
        <w:t>15.</w:t>
      </w:r>
      <w:r>
        <w:rPr>
          <w:rFonts w:hint="eastAsia" w:cs="仿宋" w:asciiTheme="majorEastAsia" w:hAnsiTheme="majorEastAsia" w:eastAsiaTheme="majorEastAsia"/>
        </w:rPr>
        <w:t>2对未通过资格审查的供应商，采购人或采购代理机构告知其未通过的原因。</w:t>
      </w:r>
    </w:p>
    <w:p>
      <w:pPr>
        <w:pStyle w:val="40"/>
        <w:spacing w:before="0"/>
        <w:ind w:firstLine="480"/>
        <w:rPr>
          <w:rFonts w:cs="仿宋" w:asciiTheme="majorEastAsia" w:hAnsiTheme="majorEastAsia" w:eastAsiaTheme="majorEastAsia"/>
        </w:rPr>
      </w:pPr>
      <w:r>
        <w:rPr>
          <w:rFonts w:hint="eastAsia" w:cs="仿宋" w:asciiTheme="majorEastAsia" w:hAnsiTheme="majorEastAsia" w:eastAsiaTheme="majorEastAsia"/>
          <w:kern w:val="0"/>
          <w:szCs w:val="24"/>
        </w:rPr>
        <w:t>15.</w:t>
      </w:r>
      <w:r>
        <w:rPr>
          <w:rFonts w:hint="eastAsia" w:cs="仿宋" w:asciiTheme="majorEastAsia" w:hAnsiTheme="majorEastAsia" w:eastAsiaTheme="majorEastAsia"/>
        </w:rPr>
        <w:t>3合格供应商不足3家的，不再评标。</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w:t>
      </w:r>
    </w:p>
    <w:p>
      <w:pPr>
        <w:pStyle w:val="40"/>
        <w:spacing w:before="0"/>
        <w:ind w:firstLine="495" w:firstLineChars="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16.1信用信息查询渠道及截止时间：采购代理机构将通过“信用中国”网站(www.creditchina.gov.cn)、中国政府采购网(www.ccgp.gov.cn)渠道查询供应商投标截止时间当天的信用记录。</w:t>
      </w:r>
    </w:p>
    <w:p>
      <w:pPr>
        <w:pStyle w:val="40"/>
        <w:spacing w:before="0"/>
        <w:ind w:firstLine="495" w:firstLineChars="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16.2信用信息的使用规则：经查询列入失信被执行人名单、重大税收违法案件当事人名单、政府采购严重违法失信行为记录名单的</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将被拒绝参与政府采购活动。</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 w:asciiTheme="majorEastAsia" w:hAnsiTheme="majorEastAsia" w:eastAsiaTheme="majorEastAsia"/>
        </w:rPr>
        <w:t>。</w:t>
      </w:r>
    </w:p>
    <w:p>
      <w:pPr>
        <w:snapToGrid w:val="0"/>
        <w:spacing w:line="360" w:lineRule="auto"/>
        <w:jc w:val="center"/>
        <w:outlineLvl w:val="0"/>
        <w:rPr>
          <w:rFonts w:cs="仿宋" w:asciiTheme="majorEastAsia" w:hAnsiTheme="majorEastAsia" w:eastAsiaTheme="majorEastAsia"/>
          <w:b/>
          <w:sz w:val="36"/>
          <w:szCs w:val="36"/>
        </w:rPr>
      </w:pPr>
    </w:p>
    <w:p>
      <w:pPr>
        <w:snapToGrid w:val="0"/>
        <w:spacing w:line="360" w:lineRule="auto"/>
        <w:jc w:val="center"/>
        <w:outlineLvl w:val="0"/>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五、评标</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bookmarkStart w:id="13" w:name="_Toc91899903"/>
      <w:r>
        <w:rPr>
          <w:rFonts w:hint="eastAsia" w:cs="仿宋" w:asciiTheme="majorEastAsia" w:hAnsiTheme="majorEastAsia" w:eastAsiaTheme="majorEastAsia"/>
          <w:b/>
          <w:sz w:val="24"/>
        </w:rPr>
        <w:t>评标委员会</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17.1 本次招标依法组建评标委员会。评标委员会由采购人代表和评审专家组成，评审专家从专家库随机抽取。</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 评审专家有下列情形之一的，受到邀请应主动提出回避，采购当事人也可以要求该评审专家回避：</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17.3.1 参加采购活动前三年内，与供应商存在劳动关系，或者担任过供应商的董事、监事，或者是供应商的控股股东或实际控制人；</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17.3.2 与供应商的法定代表人或者负责人有夫妻、直系血亲、三代以内旁系血亲或者近姻亲关系；</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17.3.3 任职单位与参加该采购项目供应商存在行政隶属关系；</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17.3.4 曾经参加过该采购项目的进口产品或招标文件、采购需求、采购方式的论证和咨询服务工作；</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17.3.5 是参加该采购项目供应商的上级主管部门、控股或参股单位的工作人员，或与该供应商存在其他经济利益关系；</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17.3.6 评标委员会成员之间具有配偶、近亲属关系等；</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17.3.7 法律、法规、规章规定应当回避以及其他可能影响政府采购活动公平、公正进行的关系。</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17.4 评标委员会判断投标文件的有效性、合格性和响应情况，仅依据投标人所递交一切文件的真实表述，不受与本项目无直接关联的外部信息、传言而影响自身的专业判断。</w:t>
      </w:r>
    </w:p>
    <w:p>
      <w:pPr>
        <w:pStyle w:val="40"/>
        <w:spacing w:before="0"/>
        <w:ind w:firstLine="480"/>
        <w:rPr>
          <w:rFonts w:asciiTheme="majorEastAsia" w:hAnsiTheme="majorEastAsia" w:eastAsiaTheme="majorEastAsia"/>
        </w:rPr>
      </w:pPr>
      <w:r>
        <w:rPr>
          <w:rFonts w:hint="eastAsia" w:cs="仿宋" w:asciiTheme="majorEastAsia" w:hAnsiTheme="majorEastAsia" w:eastAsiaTheme="majorEastAsia"/>
          <w:kern w:val="0"/>
          <w:szCs w:val="24"/>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评标</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评标委员会将根据招标文件和有关规定，履行评标工作职责，并按照评标方法及评分标准，全面衡量各</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对招标文件的响应情况。对实质上响应招标文件的</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，按照评审因素的量化指标推荐综合得分排名第一的为中标候选人。</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得分相同的，按投标报价由低到高顺序排列。得分且投标报价相同的，投标文件满足招标文件全部实质性要求，且按照评审因素的量化指标评审得分最高的</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为排名第一的中标候选人。</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详见招标文件第四部分评标办法。</w:t>
      </w:r>
    </w:p>
    <w:p>
      <w:pPr>
        <w:spacing w:line="360" w:lineRule="auto"/>
        <w:rPr>
          <w:rFonts w:cs="仿宋" w:asciiTheme="majorEastAsia" w:hAnsiTheme="majorEastAsia" w:eastAsiaTheme="majorEastAsia"/>
          <w:b/>
          <w:sz w:val="24"/>
        </w:rPr>
      </w:pPr>
    </w:p>
    <w:p>
      <w:pPr>
        <w:snapToGrid w:val="0"/>
        <w:spacing w:line="360" w:lineRule="auto"/>
        <w:jc w:val="center"/>
        <w:outlineLvl w:val="0"/>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六、定 标</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确定中标供应商</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本项目由评标委员会推荐一个中标候选人，采购人不得在评标委员会推荐的中标候选人以外确定中标候选人。</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中标通知与中标结果公告</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20.1自中标人确定之日起2个工作日内，采购代理机构通过电子交易平台向中标人发出中标通知书，同时编制发布采购结果公告。采购代理机构也可以以纸质形式进行中标通知。</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20.3公告期限为1个工作日。</w:t>
      </w:r>
    </w:p>
    <w:p>
      <w:pPr>
        <w:snapToGrid w:val="0"/>
        <w:spacing w:line="360" w:lineRule="auto"/>
        <w:ind w:left="120" w:leftChars="57" w:firstLine="482" w:firstLineChars="150"/>
        <w:jc w:val="center"/>
        <w:rPr>
          <w:rFonts w:cs="仿宋" w:asciiTheme="majorEastAsia" w:hAnsiTheme="majorEastAsia" w:eastAsiaTheme="majorEastAsia"/>
          <w:b/>
          <w:sz w:val="32"/>
        </w:rPr>
      </w:pP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hint="eastAsia" w:cs="仿宋" w:asciiTheme="majorEastAsia" w:hAnsiTheme="majorEastAsia" w:eastAsiaTheme="majorEastAsia"/>
          <w:b/>
          <w:sz w:val="32"/>
        </w:rPr>
        <w:t>七、合同授予</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合同授予</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合同主要条款详见第五部分拟签订的合同文本。</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合同的签订</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22.1 采购人与中标供应商应当通过电子交易平台在中标通知书发出之日起三十日内，按照招标文件及中标供应商的投标文件确定的事项签订采购合同，并在合同签订之日起2个工作日内依法发布合同公告。</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lang w:val="zh-CN"/>
        </w:rPr>
        <w:t>2</w:t>
      </w:r>
      <w:r>
        <w:rPr>
          <w:rFonts w:hint="eastAsia" w:cs="仿宋" w:asciiTheme="majorEastAsia" w:hAnsiTheme="majorEastAsia" w:eastAsiaTheme="majorEastAsia"/>
          <w:kern w:val="0"/>
          <w:szCs w:val="24"/>
        </w:rPr>
        <w:t>2</w:t>
      </w:r>
      <w:r>
        <w:rPr>
          <w:rFonts w:hint="eastAsia" w:cs="仿宋" w:asciiTheme="majorEastAsia" w:hAnsiTheme="majorEastAsia" w:eastAsiaTheme="majorEastAsia"/>
          <w:kern w:val="0"/>
          <w:szCs w:val="24"/>
          <w:lang w:val="zh-CN"/>
        </w:rPr>
        <w:t>.2中标供应商按规定的日期、时间、地点，由法定代表人或其授权代表与采购人代表签订合同。如中标人为联合体的，由联合体成员各方法定代表人或其授权代表与采购人代表签订合同。</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22.3如签订合同并生效后，供应商无故拒绝或延期，除按照合同条款处理外，列入不良行为记录名单，并给予通报。</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22.4中标供应商拒绝与采购人签订合同的，列入不良行为记录名单，采购人、采购代理机构重新开展政府采购活动。</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投标保证金的交纳与退还</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23.1 ▲投标人须按规定提交投标保证金。否则作无效标处理。</w:t>
      </w:r>
    </w:p>
    <w:p>
      <w:pPr>
        <w:pStyle w:val="40"/>
        <w:spacing w:before="0"/>
        <w:ind w:left="483" w:leftChars="230" w:firstLine="0" w:firstLineChars="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23.2保证金形式：单位网银、转账支票、汇票、汇兑。</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23.3未中标人的投标保证金在中标通知书发出后5个工作日内退还。</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23.4中标人应在中标通知书发出后按招标文件规定的时间内与招标人签订合同，并交纳招标文件规定的履约保证金，中标人的投标保证金在合同签订后5个工作日内退还。</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23.5保证金不计息。</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23.6投标人有下列情形之一的，投标保证金将不予退还：</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23.6.1投标人在投标有效期内撤回投标文件的；</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23.6.2未按规定提交履约保证金的；</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23.6.3投标人在投标过程中弄虚作假，提供虚假材料的；</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23.6.4中标人无正当理由不与招标人签订合同的；</w:t>
      </w:r>
      <w:r>
        <w:rPr>
          <w:rFonts w:hint="eastAsia" w:cs="仿宋" w:asciiTheme="majorEastAsia" w:hAnsiTheme="majorEastAsia" w:eastAsiaTheme="majorEastAsia"/>
          <w:kern w:val="0"/>
          <w:szCs w:val="24"/>
        </w:rPr>
        <w:br w:type="textWrapping"/>
      </w:r>
      <w:r>
        <w:rPr>
          <w:rFonts w:hint="eastAsia" w:cs="仿宋" w:asciiTheme="majorEastAsia" w:hAnsiTheme="majorEastAsia" w:eastAsiaTheme="majorEastAsia"/>
          <w:kern w:val="0"/>
          <w:szCs w:val="24"/>
        </w:rPr>
        <w:t xml:space="preserve">    23.6.5其他严重扰乱招投标程序的。</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履约保证金</w:t>
      </w:r>
    </w:p>
    <w:p>
      <w:pPr>
        <w:tabs>
          <w:tab w:val="left" w:pos="0"/>
        </w:tabs>
        <w:spacing w:line="360" w:lineRule="auto"/>
        <w:ind w:firstLine="482"/>
        <w:rPr>
          <w:rFonts w:cs="仿宋" w:asciiTheme="majorEastAsia" w:hAnsiTheme="majorEastAsia" w:eastAsiaTheme="majorEastAsia"/>
          <w:b/>
          <w:sz w:val="24"/>
        </w:rPr>
      </w:pPr>
      <w:r>
        <w:rPr>
          <w:rFonts w:hint="eastAsia" w:cs="仿宋" w:asciiTheme="majorEastAsia" w:hAnsiTheme="majorEastAsia" w:eastAsiaTheme="majorEastAsia"/>
          <w:kern w:val="0"/>
          <w:sz w:val="24"/>
        </w:rPr>
        <w:t>拟签订的合同文本要求中标供应商提交履约保证金的，供应商应当以支票、汇票、本票或者金融机构、担保机构出具的保函等非现金形式提交</w:t>
      </w:r>
      <w:r>
        <w:rPr>
          <w:rFonts w:hint="eastAsia" w:cs="仿宋" w:asciiTheme="majorEastAsia" w:hAnsiTheme="majorEastAsia" w:eastAsiaTheme="majorEastAsia"/>
          <w:sz w:val="24"/>
        </w:rPr>
        <w:t>。履约保证金的数额不得超过政府采购合同金额的2.5%。鼓励和支持供应商以银行、保险公司出具的保函形式提供履约保证金。</w:t>
      </w:r>
      <w:r>
        <w:rPr>
          <w:rFonts w:hint="eastAsia" w:cs="仿宋" w:asciiTheme="majorEastAsia" w:hAnsiTheme="majorEastAsia" w:eastAsiaTheme="majorEastAsia"/>
          <w:b/>
          <w:sz w:val="24"/>
        </w:rPr>
        <w:t>采购人不得拒收履约保函。</w:t>
      </w:r>
    </w:p>
    <w:p>
      <w:pPr>
        <w:pStyle w:val="9"/>
        <w:rPr>
          <w:rFonts w:asciiTheme="majorEastAsia" w:hAnsiTheme="majorEastAsia" w:eastAsiaTheme="majorEastAsia"/>
        </w:rPr>
      </w:pPr>
    </w:p>
    <w:p>
      <w:pPr>
        <w:snapToGrid w:val="0"/>
        <w:spacing w:line="360" w:lineRule="auto"/>
        <w:ind w:firstLine="3357" w:firstLineChars="1045"/>
        <w:rPr>
          <w:rFonts w:cs="仿宋" w:asciiTheme="majorEastAsia" w:hAnsiTheme="majorEastAsia" w:eastAsiaTheme="majorEastAsia"/>
          <w:b/>
          <w:sz w:val="24"/>
        </w:rPr>
      </w:pPr>
      <w:r>
        <w:rPr>
          <w:rFonts w:hint="eastAsia" w:cs="仿宋" w:asciiTheme="majorEastAsia" w:hAnsiTheme="majorEastAsia" w:eastAsiaTheme="majorEastAsia"/>
          <w:b/>
          <w:sz w:val="32"/>
        </w:rPr>
        <w:t>八、电子交易活动的中止</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电子交易活动的中止</w:t>
      </w:r>
    </w:p>
    <w:p>
      <w:pPr>
        <w:tabs>
          <w:tab w:val="left" w:pos="0"/>
        </w:tabs>
        <w:spacing w:line="360" w:lineRule="auto"/>
        <w:ind w:firstLine="48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采购过程中出现以下情形，导致电子交易平台无法正常运行，或者无法保证电子交易的公平、公正和安全时，采购代理机构可中止电子交易活动：</w:t>
      </w:r>
    </w:p>
    <w:p>
      <w:pPr>
        <w:pStyle w:val="40"/>
        <w:snapToGrid w:val="0"/>
        <w:spacing w:before="0"/>
        <w:ind w:firstLine="480"/>
        <w:rPr>
          <w:rFonts w:cs="仿宋" w:asciiTheme="majorEastAsia" w:hAnsiTheme="majorEastAsia" w:eastAsiaTheme="majorEastAsia"/>
        </w:rPr>
      </w:pPr>
      <w:r>
        <w:rPr>
          <w:rFonts w:hint="eastAsia" w:cs="仿宋" w:asciiTheme="majorEastAsia" w:hAnsiTheme="majorEastAsia" w:eastAsiaTheme="majorEastAsia"/>
        </w:rPr>
        <w:t xml:space="preserve">25.1电子交易平台发生故障而无法登录访问的； </w:t>
      </w:r>
    </w:p>
    <w:p>
      <w:pPr>
        <w:pStyle w:val="40"/>
        <w:snapToGrid w:val="0"/>
        <w:spacing w:before="0"/>
        <w:ind w:firstLine="480"/>
        <w:rPr>
          <w:rFonts w:cs="仿宋" w:asciiTheme="majorEastAsia" w:hAnsiTheme="majorEastAsia" w:eastAsiaTheme="majorEastAsia"/>
        </w:rPr>
      </w:pPr>
      <w:r>
        <w:rPr>
          <w:rFonts w:hint="eastAsia" w:cs="仿宋" w:asciiTheme="majorEastAsia" w:hAnsiTheme="majorEastAsia" w:eastAsiaTheme="majorEastAsia"/>
        </w:rPr>
        <w:t>25.2电子交易平台应用或数据库出现错误，不能进行正常操作的；</w:t>
      </w:r>
    </w:p>
    <w:p>
      <w:pPr>
        <w:pStyle w:val="40"/>
        <w:snapToGrid w:val="0"/>
        <w:spacing w:before="0"/>
        <w:ind w:firstLine="480"/>
        <w:rPr>
          <w:rFonts w:cs="仿宋" w:asciiTheme="majorEastAsia" w:hAnsiTheme="majorEastAsia" w:eastAsiaTheme="majorEastAsia"/>
        </w:rPr>
      </w:pPr>
      <w:r>
        <w:rPr>
          <w:rFonts w:hint="eastAsia" w:cs="仿宋" w:asciiTheme="majorEastAsia" w:hAnsiTheme="majorEastAsia" w:eastAsiaTheme="majorEastAsia"/>
        </w:rPr>
        <w:t>25.3电子交易平台发现严重安全漏洞，有潜在泄密危险的；</w:t>
      </w:r>
    </w:p>
    <w:p>
      <w:pPr>
        <w:pStyle w:val="40"/>
        <w:snapToGrid w:val="0"/>
        <w:spacing w:before="0"/>
        <w:ind w:firstLine="480"/>
        <w:rPr>
          <w:rFonts w:cs="仿宋" w:asciiTheme="majorEastAsia" w:hAnsiTheme="majorEastAsia" w:eastAsiaTheme="majorEastAsia"/>
        </w:rPr>
      </w:pPr>
      <w:r>
        <w:rPr>
          <w:rFonts w:hint="eastAsia" w:cs="仿宋" w:asciiTheme="majorEastAsia" w:hAnsiTheme="majorEastAsia" w:eastAsiaTheme="majorEastAsia"/>
        </w:rPr>
        <w:t xml:space="preserve">25.4病毒发作导致不能进行正常操作的； </w:t>
      </w:r>
    </w:p>
    <w:p>
      <w:pPr>
        <w:pStyle w:val="40"/>
        <w:snapToGrid w:val="0"/>
        <w:spacing w:before="0"/>
        <w:ind w:firstLine="480"/>
        <w:rPr>
          <w:rFonts w:cs="仿宋" w:asciiTheme="majorEastAsia" w:hAnsiTheme="majorEastAsia" w:eastAsiaTheme="majorEastAsia"/>
        </w:rPr>
      </w:pPr>
      <w:r>
        <w:rPr>
          <w:rFonts w:hint="eastAsia" w:cs="仿宋" w:asciiTheme="majorEastAsia" w:hAnsiTheme="majorEastAsia" w:eastAsiaTheme="majorEastAsia"/>
        </w:rPr>
        <w:t>25.5其他无法保证电子交易的公平、公正和安全的情况。</w:t>
      </w:r>
    </w:p>
    <w:p>
      <w:pPr>
        <w:tabs>
          <w:tab w:val="left" w:pos="0"/>
        </w:tabs>
        <w:spacing w:line="360" w:lineRule="auto"/>
        <w:ind w:firstLine="480"/>
        <w:rPr>
          <w:rFonts w:cs="仿宋" w:asciiTheme="majorEastAsia" w:hAnsiTheme="majorEastAsia" w:eastAsiaTheme="majorEastAsia"/>
          <w:sz w:val="24"/>
        </w:rPr>
      </w:pP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hint="eastAsia" w:cs="仿宋" w:asciiTheme="majorEastAsia" w:hAnsiTheme="majorEastAsia" w:eastAsiaTheme="majorEastAsia"/>
          <w:b/>
          <w:sz w:val="32"/>
        </w:rPr>
        <w:t>九、验收</w:t>
      </w:r>
    </w:p>
    <w:p>
      <w:pPr>
        <w:numPr>
          <w:ilvl w:val="0"/>
          <w:numId w:val="1"/>
        </w:numPr>
        <w:adjustRightInd w:val="0"/>
        <w:snapToGrid w:val="0"/>
        <w:spacing w:beforeLines="50" w:line="360" w:lineRule="auto"/>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验收</w:t>
      </w:r>
    </w:p>
    <w:p>
      <w:pPr>
        <w:tabs>
          <w:tab w:val="left" w:pos="0"/>
        </w:tabs>
        <w:spacing w:line="360" w:lineRule="auto"/>
        <w:ind w:firstLine="48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26.2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cs="仿宋" w:asciiTheme="majorEastAsia" w:hAnsiTheme="majorEastAsia" w:eastAsiaTheme="majorEastAsia"/>
          <w:kern w:val="0"/>
          <w:sz w:val="24"/>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r>
        <w:rPr>
          <w:rFonts w:hint="eastAsia" w:cs="仿宋" w:asciiTheme="majorEastAsia" w:hAnsiTheme="majorEastAsia" w:eastAsiaTheme="majorEastAsia"/>
          <w:kern w:val="0"/>
          <w:sz w:val="24"/>
        </w:rPr>
        <w:t>26.3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bookmarkEnd w:id="11"/>
      <w:bookmarkEnd w:id="12"/>
      <w:bookmarkEnd w:id="13"/>
      <w:bookmarkStart w:id="14" w:name="_Hlt68072990"/>
      <w:bookmarkEnd w:id="14"/>
      <w:bookmarkStart w:id="15" w:name="_Hlt74730295"/>
      <w:bookmarkEnd w:id="15"/>
      <w:bookmarkStart w:id="16" w:name="_Hlt74707468"/>
      <w:bookmarkEnd w:id="16"/>
      <w:bookmarkStart w:id="17" w:name="_Hlt68073093"/>
      <w:bookmarkEnd w:id="17"/>
      <w:bookmarkStart w:id="18" w:name="_Hlt68057669"/>
      <w:bookmarkEnd w:id="18"/>
      <w:bookmarkStart w:id="19" w:name="_Hlt74729768"/>
      <w:bookmarkEnd w:id="19"/>
      <w:bookmarkStart w:id="20" w:name="_Hlt75236290"/>
      <w:bookmarkEnd w:id="20"/>
      <w:bookmarkStart w:id="21" w:name="_Hlt75236011"/>
      <w:bookmarkEnd w:id="21"/>
      <w:bookmarkStart w:id="22" w:name="_Hlt75236101"/>
      <w:bookmarkEnd w:id="22"/>
      <w:bookmarkStart w:id="23" w:name="_Hlt68403820"/>
      <w:bookmarkEnd w:id="23"/>
      <w:bookmarkStart w:id="24" w:name="_Hlt68072998"/>
      <w:bookmarkEnd w:id="24"/>
      <w:bookmarkStart w:id="25" w:name="_Hlt74714665"/>
      <w:bookmarkEnd w:id="25"/>
      <w:bookmarkStart w:id="26" w:name="第四部分"/>
    </w:p>
    <w:p>
      <w:pPr>
        <w:tabs>
          <w:tab w:val="left" w:pos="0"/>
        </w:tabs>
        <w:spacing w:line="360" w:lineRule="auto"/>
        <w:ind w:firstLine="480"/>
        <w:rPr>
          <w:rFonts w:cs="仿宋" w:asciiTheme="majorEastAsia" w:hAnsiTheme="majorEastAsia" w:eastAsiaTheme="majorEastAsia"/>
          <w:kern w:val="0"/>
          <w:sz w:val="24"/>
        </w:rPr>
      </w:pPr>
    </w:p>
    <w:p>
      <w:pPr>
        <w:spacing w:line="36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第三部分   采购需求</w:t>
      </w:r>
    </w:p>
    <w:p>
      <w:pPr>
        <w:ind w:firstLine="602"/>
        <w:rPr>
          <w:rFonts w:eastAsia="仿宋_GB2312"/>
          <w:b/>
          <w:sz w:val="30"/>
          <w:szCs w:val="30"/>
        </w:rPr>
      </w:pPr>
      <w:r>
        <w:rPr>
          <w:rFonts w:hint="eastAsia" w:eastAsia="仿宋_GB2312"/>
          <w:b/>
          <w:sz w:val="30"/>
          <w:szCs w:val="30"/>
        </w:rPr>
        <w:t>特别说明：</w:t>
      </w:r>
    </w:p>
    <w:p>
      <w:pPr>
        <w:ind w:left="360" w:firstLine="480"/>
        <w:rPr>
          <w:rFonts w:asciiTheme="minorEastAsia" w:hAnsiTheme="minorEastAsia" w:eastAsiaTheme="minorEastAsia"/>
          <w:sz w:val="24"/>
        </w:rPr>
      </w:pPr>
      <w:r>
        <w:rPr>
          <w:rFonts w:hint="eastAsia" w:asciiTheme="minorEastAsia" w:hAnsiTheme="minorEastAsia" w:eastAsiaTheme="minorEastAsia"/>
          <w:sz w:val="24"/>
        </w:rPr>
        <w:t>1、投标人须明确承诺，在本项目的所有环节和过程中做好安全防护工作，并完全承担所发生的任何涉及人员、车辆、设备等事故的法律责任和经济责任，招标对此不承担任何责任。</w:t>
      </w:r>
    </w:p>
    <w:p>
      <w:pPr>
        <w:ind w:left="360" w:firstLine="480"/>
        <w:rPr>
          <w:rFonts w:asciiTheme="minorEastAsia" w:hAnsiTheme="minorEastAsia" w:eastAsiaTheme="minorEastAsia"/>
          <w:sz w:val="24"/>
        </w:rPr>
      </w:pPr>
      <w:r>
        <w:rPr>
          <w:rFonts w:hint="eastAsia" w:asciiTheme="minorEastAsia" w:hAnsiTheme="minorEastAsia" w:eastAsiaTheme="minorEastAsia"/>
          <w:sz w:val="24"/>
        </w:rPr>
        <w:t>2、请各投标人认真阅读特别说明中的内容，参加投标的视为完全理解其中的各项内容。</w:t>
      </w:r>
    </w:p>
    <w:p>
      <w:pPr>
        <w:ind w:left="360" w:firstLine="480"/>
        <w:rPr>
          <w:rFonts w:asciiTheme="minorEastAsia" w:hAnsiTheme="minorEastAsia" w:eastAsiaTheme="minorEastAsia"/>
          <w:sz w:val="24"/>
        </w:rPr>
      </w:pPr>
      <w:r>
        <w:rPr>
          <w:rFonts w:hint="eastAsia" w:asciiTheme="minorEastAsia" w:hAnsiTheme="minorEastAsia" w:eastAsiaTheme="minorEastAsia"/>
          <w:sz w:val="24"/>
        </w:rPr>
        <w:t>3、采购清单</w:t>
      </w:r>
    </w:p>
    <w:tbl>
      <w:tblPr>
        <w:tblStyle w:val="19"/>
        <w:tblW w:w="5000" w:type="pct"/>
        <w:tblInd w:w="0" w:type="dxa"/>
        <w:tblLayout w:type="autofit"/>
        <w:tblCellMar>
          <w:top w:w="0" w:type="dxa"/>
          <w:left w:w="108" w:type="dxa"/>
          <w:bottom w:w="0" w:type="dxa"/>
          <w:right w:w="108" w:type="dxa"/>
        </w:tblCellMar>
      </w:tblPr>
      <w:tblGrid>
        <w:gridCol w:w="674"/>
        <w:gridCol w:w="1133"/>
        <w:gridCol w:w="1276"/>
        <w:gridCol w:w="1279"/>
        <w:gridCol w:w="5382"/>
        <w:gridCol w:w="4787"/>
      </w:tblGrid>
      <w:tr>
        <w:tblPrEx>
          <w:tblCellMar>
            <w:top w:w="0" w:type="dxa"/>
            <w:left w:w="108" w:type="dxa"/>
            <w:bottom w:w="0" w:type="dxa"/>
            <w:right w:w="108" w:type="dxa"/>
          </w:tblCellMar>
        </w:tblPrEx>
        <w:trPr>
          <w:trHeight w:val="199" w:hRule="atLeast"/>
        </w:trPr>
        <w:tc>
          <w:tcPr>
            <w:tcW w:w="23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kern w:val="0"/>
                <w:szCs w:val="21"/>
              </w:rPr>
            </w:pPr>
            <w:bookmarkStart w:id="27" w:name="RANGE!A1:F13"/>
            <w:bookmarkEnd w:id="27"/>
            <w:r>
              <w:rPr>
                <w:rFonts w:hint="eastAsia" w:ascii="宋体" w:hAnsi="宋体" w:cs="宋体"/>
                <w:b/>
                <w:bCs/>
                <w:kern w:val="0"/>
                <w:szCs w:val="21"/>
              </w:rPr>
              <w:t>序号</w:t>
            </w:r>
          </w:p>
        </w:tc>
        <w:tc>
          <w:tcPr>
            <w:tcW w:w="390"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Cs w:val="21"/>
              </w:rPr>
            </w:pPr>
            <w:r>
              <w:rPr>
                <w:rFonts w:hint="eastAsia" w:ascii="宋体" w:hAnsi="宋体" w:cs="宋体"/>
                <w:b/>
                <w:bCs/>
                <w:kern w:val="0"/>
                <w:szCs w:val="21"/>
              </w:rPr>
              <w:t>学校名称</w:t>
            </w:r>
          </w:p>
        </w:tc>
        <w:tc>
          <w:tcPr>
            <w:tcW w:w="439"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Cs w:val="21"/>
              </w:rPr>
            </w:pPr>
            <w:r>
              <w:rPr>
                <w:rFonts w:hint="eastAsia" w:ascii="宋体" w:hAnsi="宋体" w:cs="宋体"/>
                <w:b/>
                <w:bCs/>
                <w:kern w:val="0"/>
                <w:szCs w:val="21"/>
              </w:rPr>
              <w:t>材料名称</w:t>
            </w:r>
          </w:p>
        </w:tc>
        <w:tc>
          <w:tcPr>
            <w:tcW w:w="440"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Cs w:val="21"/>
              </w:rPr>
            </w:pPr>
            <w:r>
              <w:rPr>
                <w:rFonts w:hint="eastAsia" w:ascii="宋体" w:hAnsi="宋体" w:cs="宋体"/>
                <w:b/>
                <w:bCs/>
                <w:kern w:val="0"/>
                <w:szCs w:val="21"/>
              </w:rPr>
              <w:t>面积(平方)</w:t>
            </w:r>
          </w:p>
        </w:tc>
        <w:tc>
          <w:tcPr>
            <w:tcW w:w="1852"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Cs w:val="21"/>
              </w:rPr>
            </w:pPr>
            <w:r>
              <w:rPr>
                <w:rFonts w:hint="eastAsia" w:ascii="宋体" w:hAnsi="宋体" w:cs="宋体"/>
                <w:b/>
                <w:bCs/>
                <w:kern w:val="0"/>
                <w:szCs w:val="21"/>
              </w:rPr>
              <w:t>图纸</w:t>
            </w:r>
          </w:p>
        </w:tc>
        <w:tc>
          <w:tcPr>
            <w:tcW w:w="1647"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5088"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向阳学校</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30"/>
                <w:szCs w:val="30"/>
              </w:rPr>
            </w:pPr>
            <w:r>
              <w:rPr>
                <w:rFonts w:hint="eastAsia" w:ascii="宋体" w:hAnsi="宋体" w:cs="宋体"/>
                <w:kern w:val="0"/>
                <w:sz w:val="30"/>
                <w:szCs w:val="30"/>
              </w:rPr>
              <w:t>围网</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514</w:t>
            </w:r>
          </w:p>
        </w:tc>
        <w:tc>
          <w:tcPr>
            <w:tcW w:w="1852" w:type="pct"/>
            <w:tcBorders>
              <w:top w:val="nil"/>
              <w:left w:val="nil"/>
              <w:bottom w:val="single" w:color="auto" w:sz="4" w:space="0"/>
              <w:right w:val="single" w:color="auto" w:sz="4" w:space="0"/>
            </w:tcBorders>
            <w:shd w:val="clear" w:color="000000" w:fill="FFFFFF"/>
            <w:vAlign w:val="center"/>
          </w:tcPr>
          <w:p>
            <w:pPr>
              <w:widowControl/>
              <w:jc w:val="left"/>
              <w:rPr>
                <w:rFonts w:ascii="Helvetica" w:hAnsi="Helvetica" w:cs="宋体"/>
                <w:kern w:val="0"/>
                <w:sz w:val="20"/>
                <w:szCs w:val="20"/>
              </w:rPr>
            </w:pPr>
            <w:r>
              <w:rPr>
                <w:rFonts w:ascii="Helvetica" w:hAnsi="Helvetica" w:cs="宋体"/>
                <w:kern w:val="0"/>
                <w:sz w:val="20"/>
                <w:szCs w:val="20"/>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-78740</wp:posOffset>
                  </wp:positionV>
                  <wp:extent cx="2962275" cy="320992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2962275" cy="3209925"/>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高</w:t>
            </w:r>
            <w:r>
              <w:rPr>
                <w:rFonts w:ascii="Helvetica" w:hAnsi="Helvetica" w:cs="宋体"/>
                <w:kern w:val="0"/>
                <w:sz w:val="20"/>
                <w:szCs w:val="20"/>
              </w:rPr>
              <w:t>4</w:t>
            </w:r>
            <w:r>
              <w:rPr>
                <w:rFonts w:hint="eastAsia" w:ascii="宋体" w:hAnsi="宋体" w:cs="宋体"/>
                <w:kern w:val="0"/>
                <w:sz w:val="20"/>
                <w:szCs w:val="20"/>
              </w:rPr>
              <w:t>米宽</w:t>
            </w:r>
            <w:r>
              <w:rPr>
                <w:rFonts w:ascii="Helvetica" w:hAnsi="Helvetica" w:cs="宋体"/>
                <w:kern w:val="0"/>
                <w:sz w:val="20"/>
                <w:szCs w:val="20"/>
              </w:rPr>
              <w:t>3</w:t>
            </w:r>
            <w:r>
              <w:rPr>
                <w:rFonts w:hint="eastAsia" w:ascii="宋体" w:hAnsi="宋体" w:cs="宋体"/>
                <w:kern w:val="0"/>
                <w:sz w:val="20"/>
                <w:szCs w:val="20"/>
              </w:rPr>
              <w:t>米规格</w:t>
            </w:r>
            <w:r>
              <w:rPr>
                <w:rFonts w:ascii="Helvetica" w:hAnsi="Helvetica" w:cs="宋体"/>
                <w:kern w:val="0"/>
                <w:sz w:val="20"/>
                <w:szCs w:val="20"/>
              </w:rPr>
              <w:br w:type="textWrapping"/>
            </w:r>
            <w:r>
              <w:rPr>
                <w:rFonts w:hint="eastAsia" w:ascii="宋体" w:hAnsi="宋体" w:cs="宋体"/>
                <w:kern w:val="0"/>
                <w:sz w:val="20"/>
                <w:szCs w:val="20"/>
              </w:rPr>
              <w:t>圆管组合式围网（口字型）立柱</w:t>
            </w:r>
            <w:r>
              <w:rPr>
                <w:rFonts w:ascii="Helvetica" w:hAnsi="Helvetica" w:cs="宋体"/>
                <w:kern w:val="0"/>
                <w:sz w:val="20"/>
                <w:szCs w:val="20"/>
              </w:rPr>
              <w:t xml:space="preserve"> Φ76X2mm</w:t>
            </w:r>
            <w:r>
              <w:rPr>
                <w:rFonts w:hint="eastAsia" w:ascii="宋体" w:hAnsi="宋体" w:cs="宋体"/>
                <w:kern w:val="0"/>
                <w:sz w:val="20"/>
                <w:szCs w:val="20"/>
              </w:rPr>
              <w:t>圆管</w:t>
            </w:r>
            <w:r>
              <w:rPr>
                <w:rFonts w:ascii="Helvetica" w:hAnsi="Helvetica" w:cs="宋体"/>
                <w:kern w:val="0"/>
                <w:sz w:val="20"/>
                <w:szCs w:val="20"/>
              </w:rPr>
              <w:t xml:space="preserve"> 510.4m² </w:t>
            </w:r>
            <w:r>
              <w:rPr>
                <w:rFonts w:ascii="Helvetica" w:hAnsi="Helvetica" w:cs="宋体"/>
                <w:kern w:val="0"/>
                <w:sz w:val="20"/>
                <w:szCs w:val="20"/>
              </w:rPr>
              <w:br w:type="textWrapping"/>
            </w:r>
            <w:r>
              <w:rPr>
                <w:rFonts w:hint="eastAsia" w:ascii="宋体" w:hAnsi="宋体" w:cs="宋体"/>
                <w:kern w:val="0"/>
                <w:sz w:val="20"/>
                <w:szCs w:val="20"/>
              </w:rPr>
              <w:t>横杆</w:t>
            </w:r>
            <w:r>
              <w:rPr>
                <w:rFonts w:ascii="Helvetica" w:hAnsi="Helvetica" w:cs="宋体"/>
                <w:kern w:val="0"/>
                <w:sz w:val="20"/>
                <w:szCs w:val="20"/>
              </w:rPr>
              <w:t xml:space="preserve"> Φ60X2mm</w:t>
            </w:r>
            <w:r>
              <w:rPr>
                <w:rFonts w:hint="eastAsia" w:ascii="宋体" w:hAnsi="宋体" w:cs="宋体"/>
                <w:kern w:val="0"/>
                <w:sz w:val="20"/>
                <w:szCs w:val="20"/>
              </w:rPr>
              <w:t>圆管</w:t>
            </w:r>
            <w:r>
              <w:rPr>
                <w:rFonts w:ascii="Helvetica" w:hAnsi="Helvetica" w:cs="宋体"/>
                <w:kern w:val="0"/>
                <w:sz w:val="20"/>
                <w:szCs w:val="20"/>
              </w:rPr>
              <w:t xml:space="preserve">   </w:t>
            </w:r>
            <w:r>
              <w:rPr>
                <w:rFonts w:ascii="Helvetica" w:hAnsi="Helvetica" w:cs="宋体"/>
                <w:kern w:val="0"/>
                <w:sz w:val="20"/>
                <w:szCs w:val="20"/>
              </w:rPr>
              <w:br w:type="textWrapping"/>
            </w:r>
            <w:r>
              <w:rPr>
                <w:rFonts w:hint="eastAsia" w:ascii="宋体" w:hAnsi="宋体" w:cs="宋体"/>
                <w:kern w:val="0"/>
                <w:sz w:val="20"/>
                <w:szCs w:val="20"/>
              </w:rPr>
              <w:t>扣件</w:t>
            </w:r>
            <w:r>
              <w:rPr>
                <w:rFonts w:ascii="Helvetica" w:hAnsi="Helvetica" w:cs="宋体"/>
                <w:kern w:val="0"/>
                <w:sz w:val="20"/>
                <w:szCs w:val="20"/>
              </w:rPr>
              <w:t xml:space="preserve"> </w:t>
            </w:r>
            <w:r>
              <w:rPr>
                <w:rFonts w:hint="eastAsia" w:ascii="宋体" w:hAnsi="宋体" w:cs="宋体"/>
                <w:kern w:val="0"/>
                <w:sz w:val="20"/>
                <w:szCs w:val="20"/>
              </w:rPr>
              <w:t>精钢冲压扣件</w:t>
            </w:r>
            <w:r>
              <w:rPr>
                <w:rFonts w:ascii="Helvetica" w:hAnsi="Helvetica" w:cs="宋体"/>
                <w:kern w:val="0"/>
                <w:sz w:val="20"/>
                <w:szCs w:val="20"/>
              </w:rPr>
              <w:t xml:space="preserve">   </w:t>
            </w:r>
            <w:r>
              <w:rPr>
                <w:rFonts w:ascii="Helvetica" w:hAnsi="Helvetica" w:cs="宋体"/>
                <w:kern w:val="0"/>
                <w:sz w:val="20"/>
                <w:szCs w:val="20"/>
              </w:rPr>
              <w:br w:type="textWrapping"/>
            </w:r>
            <w:r>
              <w:rPr>
                <w:rFonts w:hint="eastAsia" w:ascii="宋体" w:hAnsi="宋体" w:cs="宋体"/>
                <w:kern w:val="0"/>
                <w:sz w:val="20"/>
                <w:szCs w:val="20"/>
              </w:rPr>
              <w:t>螺丝</w:t>
            </w:r>
            <w:r>
              <w:rPr>
                <w:rFonts w:ascii="Helvetica" w:hAnsi="Helvetica" w:cs="宋体"/>
                <w:kern w:val="0"/>
                <w:sz w:val="20"/>
                <w:szCs w:val="20"/>
              </w:rPr>
              <w:t xml:space="preserve"> </w:t>
            </w:r>
            <w:r>
              <w:rPr>
                <w:rFonts w:hint="eastAsia" w:ascii="宋体" w:hAnsi="宋体" w:cs="宋体"/>
                <w:kern w:val="0"/>
                <w:sz w:val="20"/>
                <w:szCs w:val="20"/>
              </w:rPr>
              <w:t>国标</w:t>
            </w:r>
            <w:r>
              <w:rPr>
                <w:rFonts w:ascii="Helvetica" w:hAnsi="Helvetica" w:cs="宋体"/>
                <w:kern w:val="0"/>
                <w:sz w:val="20"/>
                <w:szCs w:val="20"/>
              </w:rPr>
              <w:t>304+</w:t>
            </w:r>
            <w:r>
              <w:rPr>
                <w:rFonts w:hint="eastAsia" w:ascii="宋体" w:hAnsi="宋体" w:cs="宋体"/>
                <w:kern w:val="0"/>
                <w:sz w:val="20"/>
                <w:szCs w:val="20"/>
              </w:rPr>
              <w:t>镀锌自攻螺丝</w:t>
            </w:r>
            <w:r>
              <w:rPr>
                <w:rFonts w:ascii="Helvetica" w:hAnsi="Helvetica" w:cs="宋体"/>
                <w:kern w:val="0"/>
                <w:sz w:val="20"/>
                <w:szCs w:val="20"/>
              </w:rPr>
              <w:t xml:space="preserve">   </w:t>
            </w:r>
            <w:r>
              <w:rPr>
                <w:rFonts w:ascii="Helvetica" w:hAnsi="Helvetica" w:cs="宋体"/>
                <w:kern w:val="0"/>
                <w:sz w:val="20"/>
                <w:szCs w:val="20"/>
              </w:rPr>
              <w:br w:type="textWrapping"/>
            </w:r>
            <w:r>
              <w:rPr>
                <w:rFonts w:ascii="Helvetica" w:hAnsi="Helvetica" w:cs="宋体"/>
                <w:kern w:val="0"/>
                <w:sz w:val="20"/>
                <w:szCs w:val="20"/>
              </w:rPr>
              <w:t>PE</w:t>
            </w:r>
            <w:r>
              <w:rPr>
                <w:rFonts w:hint="eastAsia" w:ascii="宋体" w:hAnsi="宋体" w:cs="宋体"/>
                <w:kern w:val="0"/>
                <w:sz w:val="20"/>
                <w:szCs w:val="20"/>
              </w:rPr>
              <w:t>包塑围网</w:t>
            </w:r>
            <w:r>
              <w:rPr>
                <w:rFonts w:ascii="Helvetica" w:hAnsi="Helvetica" w:cs="宋体"/>
                <w:kern w:val="0"/>
                <w:sz w:val="20"/>
                <w:szCs w:val="20"/>
              </w:rPr>
              <w:t xml:space="preserve"> 2.3/3.6/45</w:t>
            </w:r>
            <w:r>
              <w:rPr>
                <w:rFonts w:hint="eastAsia" w:ascii="宋体" w:hAnsi="宋体" w:cs="宋体"/>
                <w:kern w:val="0"/>
                <w:sz w:val="20"/>
                <w:szCs w:val="20"/>
              </w:rPr>
              <w:t>网孔</w:t>
            </w:r>
            <w:r>
              <w:rPr>
                <w:rFonts w:ascii="Helvetica" w:hAnsi="Helvetica" w:cs="宋体"/>
                <w:kern w:val="0"/>
                <w:sz w:val="20"/>
                <w:szCs w:val="20"/>
              </w:rPr>
              <w:t xml:space="preserve">   </w:t>
            </w:r>
            <w:r>
              <w:rPr>
                <w:rFonts w:ascii="Helvetica" w:hAnsi="Helvetica" w:cs="宋体"/>
                <w:kern w:val="0"/>
                <w:sz w:val="20"/>
                <w:szCs w:val="20"/>
              </w:rPr>
              <w:br w:type="textWrapping"/>
            </w:r>
            <w:r>
              <w:rPr>
                <w:rFonts w:hint="eastAsia" w:ascii="宋体" w:hAnsi="宋体" w:cs="宋体"/>
                <w:kern w:val="0"/>
                <w:sz w:val="20"/>
                <w:szCs w:val="20"/>
              </w:rPr>
              <w:t>压网条</w:t>
            </w:r>
            <w:r>
              <w:rPr>
                <w:rFonts w:ascii="Helvetica" w:hAnsi="Helvetica" w:cs="宋体"/>
                <w:kern w:val="0"/>
                <w:sz w:val="20"/>
                <w:szCs w:val="20"/>
              </w:rPr>
              <w:t xml:space="preserve"> </w:t>
            </w:r>
            <w:r>
              <w:rPr>
                <w:rFonts w:hint="eastAsia" w:ascii="宋体" w:hAnsi="宋体" w:cs="宋体"/>
                <w:kern w:val="0"/>
                <w:sz w:val="20"/>
                <w:szCs w:val="20"/>
              </w:rPr>
              <w:t>铝型材</w:t>
            </w:r>
            <w:r>
              <w:rPr>
                <w:rFonts w:ascii="Helvetica" w:hAnsi="Helvetica" w:cs="宋体"/>
                <w:kern w:val="0"/>
                <w:sz w:val="20"/>
                <w:szCs w:val="20"/>
              </w:rPr>
              <w:t>3.8mm×18mm</w:t>
            </w:r>
            <w:r>
              <w:rPr>
                <w:rFonts w:hint="eastAsia" w:ascii="宋体" w:hAnsi="宋体" w:cs="宋体"/>
                <w:kern w:val="0"/>
                <w:sz w:val="20"/>
                <w:szCs w:val="20"/>
              </w:rPr>
              <w:t>宽</w:t>
            </w:r>
            <w:r>
              <w:rPr>
                <w:rFonts w:ascii="Helvetica" w:hAnsi="Helvetica" w:cs="宋体"/>
                <w:kern w:val="0"/>
                <w:sz w:val="20"/>
                <w:szCs w:val="20"/>
              </w:rPr>
              <w:t xml:space="preserve">   </w:t>
            </w:r>
            <w:r>
              <w:rPr>
                <w:rFonts w:hint="eastAsia" w:ascii="宋体" w:hAnsi="宋体" w:cs="宋体"/>
                <w:kern w:val="0"/>
                <w:sz w:val="20"/>
                <w:szCs w:val="20"/>
              </w:rPr>
              <w:t>片装式进出口门</w:t>
            </w:r>
            <w:r>
              <w:rPr>
                <w:rFonts w:ascii="Helvetica" w:hAnsi="Helvetica" w:cs="宋体"/>
                <w:kern w:val="0"/>
                <w:sz w:val="20"/>
                <w:szCs w:val="20"/>
              </w:rPr>
              <w:t xml:space="preserve"> </w:t>
            </w:r>
            <w:r>
              <w:rPr>
                <w:rFonts w:hint="eastAsia" w:ascii="宋体" w:hAnsi="宋体" w:cs="宋体"/>
                <w:kern w:val="0"/>
                <w:sz w:val="20"/>
                <w:szCs w:val="20"/>
              </w:rPr>
              <w:t>材质：镀锌钢管</w:t>
            </w:r>
            <w:r>
              <w:rPr>
                <w:rFonts w:ascii="Helvetica" w:hAnsi="Helvetica" w:cs="宋体"/>
                <w:kern w:val="0"/>
                <w:sz w:val="20"/>
                <w:szCs w:val="20"/>
              </w:rPr>
              <w:br w:type="textWrapping"/>
            </w:r>
            <w:r>
              <w:rPr>
                <w:rFonts w:hint="eastAsia" w:ascii="宋体" w:hAnsi="宋体" w:cs="宋体"/>
                <w:kern w:val="0"/>
                <w:sz w:val="20"/>
                <w:szCs w:val="20"/>
              </w:rPr>
              <w:t>单开门规格：宽度</w:t>
            </w:r>
            <w:r>
              <w:rPr>
                <w:rFonts w:ascii="Helvetica" w:hAnsi="Helvetica" w:cs="宋体"/>
                <w:kern w:val="0"/>
                <w:sz w:val="20"/>
                <w:szCs w:val="20"/>
              </w:rPr>
              <w:t>2.5m*</w:t>
            </w:r>
            <w:r>
              <w:rPr>
                <w:rFonts w:hint="eastAsia" w:ascii="宋体" w:hAnsi="宋体" w:cs="宋体"/>
                <w:kern w:val="0"/>
                <w:sz w:val="20"/>
                <w:szCs w:val="20"/>
              </w:rPr>
              <w:t>高度</w:t>
            </w:r>
            <w:r>
              <w:rPr>
                <w:rFonts w:ascii="Helvetica" w:hAnsi="Helvetica" w:cs="宋体"/>
                <w:kern w:val="0"/>
                <w:sz w:val="20"/>
                <w:szCs w:val="20"/>
              </w:rPr>
              <w:t>3m</w:t>
            </w:r>
          </w:p>
        </w:tc>
      </w:tr>
      <w:tr>
        <w:tblPrEx>
          <w:tblCellMar>
            <w:top w:w="0" w:type="dxa"/>
            <w:left w:w="108" w:type="dxa"/>
            <w:bottom w:w="0" w:type="dxa"/>
            <w:right w:w="108" w:type="dxa"/>
          </w:tblCellMar>
        </w:tblPrEx>
        <w:trPr>
          <w:trHeight w:val="8179"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2</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奉港学校</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围网</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424.02</w:t>
            </w:r>
          </w:p>
        </w:tc>
        <w:tc>
          <w:tcPr>
            <w:tcW w:w="1852" w:type="pct"/>
            <w:tcBorders>
              <w:top w:val="nil"/>
              <w:left w:val="nil"/>
              <w:bottom w:val="single" w:color="auto" w:sz="4" w:space="0"/>
              <w:right w:val="single" w:color="auto" w:sz="4" w:space="0"/>
            </w:tcBorders>
            <w:shd w:val="clear" w:color="000000" w:fill="FFFFFF"/>
            <w:vAlign w:val="center"/>
          </w:tcPr>
          <w:p>
            <w:pPr>
              <w:widowControl/>
              <w:jc w:val="left"/>
              <w:rPr>
                <w:rFonts w:ascii="Helvetica" w:hAnsi="Helvetica" w:cs="宋体"/>
                <w:kern w:val="0"/>
                <w:sz w:val="20"/>
                <w:szCs w:val="20"/>
              </w:rPr>
            </w:pPr>
            <w:r>
              <w:rPr>
                <w:rFonts w:ascii="Helvetica" w:hAnsi="Helvetica" w:cs="宋体"/>
                <w:kern w:val="0"/>
                <w:sz w:val="20"/>
                <w:szCs w:val="20"/>
              </w:rPr>
              <w:drawing>
                <wp:anchor distT="0" distB="0" distL="114300" distR="114300" simplePos="0" relativeHeight="251660288" behindDoc="0" locked="0" layoutInCell="1" allowOverlap="1">
                  <wp:simplePos x="0" y="0"/>
                  <wp:positionH relativeFrom="column">
                    <wp:posOffset>28575</wp:posOffset>
                  </wp:positionH>
                  <wp:positionV relativeFrom="paragraph">
                    <wp:posOffset>457200</wp:posOffset>
                  </wp:positionV>
                  <wp:extent cx="2952750" cy="42862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2952750" cy="4291330"/>
                          </a:xfrm>
                          <a:prstGeom prst="rect">
                            <a:avLst/>
                          </a:prstGeom>
                          <a:noFill/>
                          <a:ln w="9525">
                            <a:noFill/>
                          </a:ln>
                        </pic:spPr>
                      </pic:pic>
                    </a:graphicData>
                  </a:graphic>
                </wp:anchor>
              </w:drawing>
            </w:r>
          </w:p>
        </w:tc>
        <w:tc>
          <w:tcPr>
            <w:tcW w:w="1647"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高</w:t>
            </w:r>
            <w:r>
              <w:rPr>
                <w:rFonts w:ascii="Helvetica" w:hAnsi="Helvetica" w:cs="宋体"/>
                <w:kern w:val="0"/>
                <w:sz w:val="20"/>
                <w:szCs w:val="20"/>
              </w:rPr>
              <w:t>4</w:t>
            </w:r>
            <w:r>
              <w:rPr>
                <w:rFonts w:hint="eastAsia" w:ascii="宋体" w:hAnsi="宋体" w:cs="宋体"/>
                <w:kern w:val="0"/>
                <w:sz w:val="20"/>
                <w:szCs w:val="20"/>
              </w:rPr>
              <w:t>米宽</w:t>
            </w:r>
            <w:r>
              <w:rPr>
                <w:rFonts w:ascii="Helvetica" w:hAnsi="Helvetica" w:cs="宋体"/>
                <w:kern w:val="0"/>
                <w:sz w:val="20"/>
                <w:szCs w:val="20"/>
              </w:rPr>
              <w:t>3</w:t>
            </w:r>
            <w:r>
              <w:rPr>
                <w:rFonts w:hint="eastAsia" w:ascii="宋体" w:hAnsi="宋体" w:cs="宋体"/>
                <w:kern w:val="0"/>
                <w:sz w:val="20"/>
                <w:szCs w:val="20"/>
              </w:rPr>
              <w:t>米规格</w:t>
            </w:r>
            <w:r>
              <w:rPr>
                <w:rFonts w:ascii="Helvetica" w:hAnsi="Helvetica" w:cs="宋体"/>
                <w:kern w:val="0"/>
                <w:sz w:val="20"/>
                <w:szCs w:val="20"/>
              </w:rPr>
              <w:br w:type="page"/>
            </w:r>
            <w:r>
              <w:rPr>
                <w:rFonts w:hint="eastAsia" w:ascii="宋体" w:hAnsi="宋体" w:cs="宋体"/>
                <w:kern w:val="0"/>
                <w:sz w:val="20"/>
                <w:szCs w:val="20"/>
              </w:rPr>
              <w:t>圆管组合式围网（口字型）</w:t>
            </w:r>
            <w:r>
              <w:rPr>
                <w:rFonts w:ascii="Helvetica" w:hAnsi="Helvetica" w:cs="宋体"/>
                <w:kern w:val="0"/>
                <w:sz w:val="20"/>
                <w:szCs w:val="20"/>
              </w:rPr>
              <w:t xml:space="preserve"> </w:t>
            </w:r>
            <w:r>
              <w:rPr>
                <w:rFonts w:hint="eastAsia" w:ascii="宋体" w:hAnsi="宋体" w:cs="宋体"/>
                <w:kern w:val="0"/>
                <w:sz w:val="20"/>
                <w:szCs w:val="20"/>
              </w:rPr>
              <w:t>立柱</w:t>
            </w:r>
            <w:r>
              <w:rPr>
                <w:rFonts w:ascii="Helvetica" w:hAnsi="Helvetica" w:cs="宋体"/>
                <w:kern w:val="0"/>
                <w:sz w:val="20"/>
                <w:szCs w:val="20"/>
              </w:rPr>
              <w:t xml:space="preserve"> Φ76X2mm</w:t>
            </w:r>
            <w:r>
              <w:rPr>
                <w:rFonts w:hint="eastAsia" w:ascii="宋体" w:hAnsi="宋体" w:cs="宋体"/>
                <w:kern w:val="0"/>
                <w:sz w:val="20"/>
                <w:szCs w:val="20"/>
              </w:rPr>
              <w:t>圆管</w:t>
            </w:r>
            <w:r>
              <w:rPr>
                <w:rFonts w:ascii="Helvetica" w:hAnsi="Helvetica" w:cs="宋体"/>
                <w:kern w:val="0"/>
                <w:sz w:val="20"/>
                <w:szCs w:val="20"/>
              </w:rPr>
              <w:t xml:space="preserve"> 420.8m² </w:t>
            </w:r>
            <w:r>
              <w:rPr>
                <w:rFonts w:ascii="Helvetica" w:hAnsi="Helvetica" w:cs="宋体"/>
                <w:kern w:val="0"/>
                <w:sz w:val="20"/>
                <w:szCs w:val="20"/>
              </w:rPr>
              <w:br w:type="page"/>
            </w:r>
            <w:r>
              <w:rPr>
                <w:rFonts w:hint="eastAsia" w:ascii="宋体" w:hAnsi="宋体" w:cs="宋体"/>
                <w:kern w:val="0"/>
                <w:sz w:val="20"/>
                <w:szCs w:val="20"/>
              </w:rPr>
              <w:t>横杆</w:t>
            </w:r>
            <w:r>
              <w:rPr>
                <w:rFonts w:ascii="Helvetica" w:hAnsi="Helvetica" w:cs="宋体"/>
                <w:kern w:val="0"/>
                <w:sz w:val="20"/>
                <w:szCs w:val="20"/>
              </w:rPr>
              <w:t xml:space="preserve"> Φ60X2mm</w:t>
            </w:r>
            <w:r>
              <w:rPr>
                <w:rFonts w:hint="eastAsia" w:ascii="宋体" w:hAnsi="宋体" w:cs="宋体"/>
                <w:kern w:val="0"/>
                <w:sz w:val="20"/>
                <w:szCs w:val="20"/>
              </w:rPr>
              <w:t>圆管</w:t>
            </w:r>
            <w:r>
              <w:rPr>
                <w:rFonts w:ascii="Helvetica" w:hAnsi="Helvetica" w:cs="宋体"/>
                <w:kern w:val="0"/>
                <w:sz w:val="20"/>
                <w:szCs w:val="20"/>
              </w:rPr>
              <w:t xml:space="preserve">   </w:t>
            </w:r>
            <w:r>
              <w:rPr>
                <w:rFonts w:ascii="Helvetica" w:hAnsi="Helvetica" w:cs="宋体"/>
                <w:kern w:val="0"/>
                <w:sz w:val="20"/>
                <w:szCs w:val="20"/>
              </w:rPr>
              <w:br w:type="page"/>
            </w:r>
            <w:r>
              <w:rPr>
                <w:rFonts w:hint="eastAsia" w:ascii="宋体" w:hAnsi="宋体" w:cs="宋体"/>
                <w:kern w:val="0"/>
                <w:sz w:val="20"/>
                <w:szCs w:val="20"/>
              </w:rPr>
              <w:t>扣件</w:t>
            </w:r>
            <w:r>
              <w:rPr>
                <w:rFonts w:ascii="Helvetica" w:hAnsi="Helvetica" w:cs="宋体"/>
                <w:kern w:val="0"/>
                <w:sz w:val="20"/>
                <w:szCs w:val="20"/>
              </w:rPr>
              <w:t xml:space="preserve"> </w:t>
            </w:r>
            <w:r>
              <w:rPr>
                <w:rFonts w:hint="eastAsia" w:ascii="宋体" w:hAnsi="宋体" w:cs="宋体"/>
                <w:kern w:val="0"/>
                <w:sz w:val="20"/>
                <w:szCs w:val="20"/>
              </w:rPr>
              <w:t>精钢冲压扣件</w:t>
            </w:r>
            <w:r>
              <w:rPr>
                <w:rFonts w:ascii="Helvetica" w:hAnsi="Helvetica" w:cs="宋体"/>
                <w:kern w:val="0"/>
                <w:sz w:val="20"/>
                <w:szCs w:val="20"/>
              </w:rPr>
              <w:t xml:space="preserve">   </w:t>
            </w:r>
            <w:r>
              <w:rPr>
                <w:rFonts w:ascii="Helvetica" w:hAnsi="Helvetica" w:cs="宋体"/>
                <w:kern w:val="0"/>
                <w:sz w:val="20"/>
                <w:szCs w:val="20"/>
              </w:rPr>
              <w:br w:type="page"/>
            </w:r>
            <w:r>
              <w:rPr>
                <w:rFonts w:hint="eastAsia" w:ascii="宋体" w:hAnsi="宋体" w:cs="宋体"/>
                <w:kern w:val="0"/>
                <w:sz w:val="20"/>
                <w:szCs w:val="20"/>
              </w:rPr>
              <w:t>螺丝</w:t>
            </w:r>
            <w:r>
              <w:rPr>
                <w:rFonts w:ascii="Helvetica" w:hAnsi="Helvetica" w:cs="宋体"/>
                <w:kern w:val="0"/>
                <w:sz w:val="20"/>
                <w:szCs w:val="20"/>
              </w:rPr>
              <w:t xml:space="preserve"> </w:t>
            </w:r>
            <w:r>
              <w:rPr>
                <w:rFonts w:hint="eastAsia" w:ascii="宋体" w:hAnsi="宋体" w:cs="宋体"/>
                <w:kern w:val="0"/>
                <w:sz w:val="20"/>
                <w:szCs w:val="20"/>
              </w:rPr>
              <w:t>国标</w:t>
            </w:r>
            <w:r>
              <w:rPr>
                <w:rFonts w:ascii="Helvetica" w:hAnsi="Helvetica" w:cs="宋体"/>
                <w:kern w:val="0"/>
                <w:sz w:val="20"/>
                <w:szCs w:val="20"/>
              </w:rPr>
              <w:t>304+</w:t>
            </w:r>
            <w:r>
              <w:rPr>
                <w:rFonts w:hint="eastAsia" w:ascii="宋体" w:hAnsi="宋体" w:cs="宋体"/>
                <w:kern w:val="0"/>
                <w:sz w:val="20"/>
                <w:szCs w:val="20"/>
              </w:rPr>
              <w:t>镀锌自攻螺丝</w:t>
            </w:r>
            <w:r>
              <w:rPr>
                <w:rFonts w:ascii="Helvetica" w:hAnsi="Helvetica" w:cs="宋体"/>
                <w:kern w:val="0"/>
                <w:sz w:val="20"/>
                <w:szCs w:val="20"/>
              </w:rPr>
              <w:t xml:space="preserve">   </w:t>
            </w:r>
            <w:r>
              <w:rPr>
                <w:rFonts w:ascii="Helvetica" w:hAnsi="Helvetica" w:cs="宋体"/>
                <w:kern w:val="0"/>
                <w:sz w:val="20"/>
                <w:szCs w:val="20"/>
              </w:rPr>
              <w:br w:type="page"/>
            </w:r>
            <w:r>
              <w:rPr>
                <w:rFonts w:ascii="Helvetica" w:hAnsi="Helvetica" w:cs="宋体"/>
                <w:kern w:val="0"/>
                <w:sz w:val="20"/>
                <w:szCs w:val="20"/>
              </w:rPr>
              <w:t>PE</w:t>
            </w:r>
            <w:r>
              <w:rPr>
                <w:rFonts w:hint="eastAsia" w:ascii="宋体" w:hAnsi="宋体" w:cs="宋体"/>
                <w:kern w:val="0"/>
                <w:sz w:val="20"/>
                <w:szCs w:val="20"/>
              </w:rPr>
              <w:t>包塑围网</w:t>
            </w:r>
            <w:r>
              <w:rPr>
                <w:rFonts w:ascii="Helvetica" w:hAnsi="Helvetica" w:cs="宋体"/>
                <w:kern w:val="0"/>
                <w:sz w:val="20"/>
                <w:szCs w:val="20"/>
              </w:rPr>
              <w:t xml:space="preserve"> 2.3/3.6/45</w:t>
            </w:r>
            <w:r>
              <w:rPr>
                <w:rFonts w:hint="eastAsia" w:ascii="宋体" w:hAnsi="宋体" w:cs="宋体"/>
                <w:kern w:val="0"/>
                <w:sz w:val="20"/>
                <w:szCs w:val="20"/>
              </w:rPr>
              <w:t>网孔</w:t>
            </w:r>
            <w:r>
              <w:rPr>
                <w:rFonts w:ascii="Helvetica" w:hAnsi="Helvetica" w:cs="宋体"/>
                <w:kern w:val="0"/>
                <w:sz w:val="20"/>
                <w:szCs w:val="20"/>
              </w:rPr>
              <w:t xml:space="preserve">   </w:t>
            </w:r>
            <w:r>
              <w:rPr>
                <w:rFonts w:ascii="Helvetica" w:hAnsi="Helvetica" w:cs="宋体"/>
                <w:kern w:val="0"/>
                <w:sz w:val="20"/>
                <w:szCs w:val="20"/>
              </w:rPr>
              <w:br w:type="page"/>
            </w:r>
            <w:r>
              <w:rPr>
                <w:rFonts w:hint="eastAsia" w:ascii="宋体" w:hAnsi="宋体" w:cs="宋体"/>
                <w:kern w:val="0"/>
                <w:sz w:val="20"/>
                <w:szCs w:val="20"/>
              </w:rPr>
              <w:t>压网条</w:t>
            </w:r>
            <w:r>
              <w:rPr>
                <w:rFonts w:ascii="Helvetica" w:hAnsi="Helvetica" w:cs="宋体"/>
                <w:kern w:val="0"/>
                <w:sz w:val="20"/>
                <w:szCs w:val="20"/>
              </w:rPr>
              <w:t xml:space="preserve"> </w:t>
            </w:r>
            <w:r>
              <w:rPr>
                <w:rFonts w:hint="eastAsia" w:ascii="宋体" w:hAnsi="宋体" w:cs="宋体"/>
                <w:kern w:val="0"/>
                <w:sz w:val="20"/>
                <w:szCs w:val="20"/>
              </w:rPr>
              <w:t>铝型材</w:t>
            </w:r>
            <w:r>
              <w:rPr>
                <w:rFonts w:ascii="Helvetica" w:hAnsi="Helvetica" w:cs="宋体"/>
                <w:kern w:val="0"/>
                <w:sz w:val="20"/>
                <w:szCs w:val="20"/>
              </w:rPr>
              <w:t>3.8mm×18mm</w:t>
            </w:r>
            <w:r>
              <w:rPr>
                <w:rFonts w:hint="eastAsia" w:ascii="宋体" w:hAnsi="宋体" w:cs="宋体"/>
                <w:kern w:val="0"/>
                <w:sz w:val="20"/>
                <w:szCs w:val="20"/>
              </w:rPr>
              <w:t>宽</w:t>
            </w:r>
            <w:r>
              <w:rPr>
                <w:rFonts w:ascii="Helvetica" w:hAnsi="Helvetica" w:cs="宋体"/>
                <w:kern w:val="0"/>
                <w:sz w:val="20"/>
                <w:szCs w:val="20"/>
              </w:rPr>
              <w:t xml:space="preserve">   </w:t>
            </w:r>
            <w:r>
              <w:rPr>
                <w:rFonts w:ascii="Helvetica" w:hAnsi="Helvetica" w:cs="宋体"/>
                <w:kern w:val="0"/>
                <w:sz w:val="20"/>
                <w:szCs w:val="20"/>
              </w:rPr>
              <w:br w:type="page"/>
            </w:r>
            <w:r>
              <w:rPr>
                <w:rFonts w:hint="eastAsia" w:ascii="宋体" w:hAnsi="宋体" w:cs="宋体"/>
                <w:kern w:val="0"/>
                <w:sz w:val="20"/>
                <w:szCs w:val="20"/>
              </w:rPr>
              <w:t>片装式进出口门</w:t>
            </w:r>
            <w:r>
              <w:rPr>
                <w:rFonts w:ascii="Helvetica" w:hAnsi="Helvetica" w:cs="宋体"/>
                <w:kern w:val="0"/>
                <w:sz w:val="20"/>
                <w:szCs w:val="20"/>
              </w:rPr>
              <w:t xml:space="preserve"> </w:t>
            </w:r>
            <w:r>
              <w:rPr>
                <w:rFonts w:hint="eastAsia" w:ascii="宋体" w:hAnsi="宋体" w:cs="宋体"/>
                <w:kern w:val="0"/>
                <w:sz w:val="20"/>
                <w:szCs w:val="20"/>
              </w:rPr>
              <w:t>材质：镀锌钢管</w:t>
            </w:r>
            <w:r>
              <w:rPr>
                <w:rFonts w:ascii="Helvetica" w:hAnsi="Helvetica" w:cs="宋体"/>
                <w:kern w:val="0"/>
                <w:sz w:val="20"/>
                <w:szCs w:val="20"/>
              </w:rPr>
              <w:br w:type="page"/>
            </w:r>
            <w:r>
              <w:rPr>
                <w:rFonts w:hint="eastAsia" w:ascii="宋体" w:hAnsi="宋体" w:cs="宋体"/>
                <w:kern w:val="0"/>
                <w:sz w:val="20"/>
                <w:szCs w:val="20"/>
              </w:rPr>
              <w:t>单开门规格：宽度</w:t>
            </w:r>
            <w:r>
              <w:rPr>
                <w:rFonts w:ascii="Helvetica" w:hAnsi="Helvetica" w:cs="宋体"/>
                <w:kern w:val="0"/>
                <w:sz w:val="20"/>
                <w:szCs w:val="20"/>
              </w:rPr>
              <w:t>1.4m*</w:t>
            </w:r>
            <w:r>
              <w:rPr>
                <w:rFonts w:hint="eastAsia" w:ascii="宋体" w:hAnsi="宋体" w:cs="宋体"/>
                <w:kern w:val="0"/>
                <w:sz w:val="20"/>
                <w:szCs w:val="20"/>
              </w:rPr>
              <w:t>高度</w:t>
            </w:r>
            <w:r>
              <w:rPr>
                <w:rFonts w:ascii="Helvetica" w:hAnsi="Helvetica" w:cs="宋体"/>
                <w:kern w:val="0"/>
                <w:sz w:val="20"/>
                <w:szCs w:val="20"/>
              </w:rPr>
              <w:t>2.3m 3.22m²</w:t>
            </w:r>
          </w:p>
        </w:tc>
      </w:tr>
      <w:tr>
        <w:tblPrEx>
          <w:tblCellMar>
            <w:top w:w="0" w:type="dxa"/>
            <w:left w:w="108" w:type="dxa"/>
            <w:bottom w:w="0" w:type="dxa"/>
            <w:right w:w="108" w:type="dxa"/>
          </w:tblCellMar>
        </w:tblPrEx>
        <w:trPr>
          <w:trHeight w:val="552"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3</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奉化实验中学</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室外地面改性聚丙烯材料模块（悬浮式拼装地板）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ascii="宋体" w:hAnsi="宋体" w:cs="宋体"/>
                <w:kern w:val="0"/>
                <w:sz w:val="18"/>
                <w:szCs w:val="18"/>
              </w:rPr>
              <w:t>989</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18"/>
                <w:szCs w:val="18"/>
              </w:rPr>
            </w:pPr>
            <w:r>
              <w:rPr>
                <w:rFonts w:ascii="宋体" w:hAnsi="宋体" w:cs="宋体"/>
                <w:kern w:val="0"/>
                <w:sz w:val="18"/>
                <w:szCs w:val="18"/>
              </w:rPr>
              <w:drawing>
                <wp:anchor distT="0" distB="0" distL="114300" distR="114300" simplePos="0" relativeHeight="251661312" behindDoc="0" locked="0" layoutInCell="1" allowOverlap="1">
                  <wp:simplePos x="0" y="0"/>
                  <wp:positionH relativeFrom="column">
                    <wp:posOffset>28575</wp:posOffset>
                  </wp:positionH>
                  <wp:positionV relativeFrom="paragraph">
                    <wp:posOffset>1581150</wp:posOffset>
                  </wp:positionV>
                  <wp:extent cx="2962275" cy="1781175"/>
                  <wp:effectExtent l="0" t="0" r="0" b="0"/>
                  <wp:wrapNone/>
                  <wp:docPr id="12" name="图片 12" descr="d5bcb62961567067a8d9732f06c2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5bcb62961567067a8d9732f06c24c7"/>
                          <pic:cNvPicPr>
                            <a:picLocks noChangeAspect="1"/>
                          </pic:cNvPicPr>
                        </pic:nvPicPr>
                        <pic:blipFill>
                          <a:blip r:embed="rId14" cstate="print"/>
                          <a:srcRect b="24357"/>
                          <a:stretch>
                            <a:fillRect/>
                          </a:stretch>
                        </pic:blipFill>
                        <pic:spPr>
                          <a:xfrm>
                            <a:off x="0" y="0"/>
                            <a:ext cx="2964180" cy="1774825"/>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000000" w:fill="FFFFFF"/>
          </w:tcPr>
          <w:p>
            <w:pPr>
              <w:widowControl/>
              <w:jc w:val="left"/>
              <w:rPr>
                <w:rFonts w:ascii="宋体" w:hAnsi="宋体" w:cs="宋体"/>
                <w:kern w:val="0"/>
                <w:sz w:val="18"/>
                <w:szCs w:val="18"/>
              </w:rPr>
            </w:pPr>
            <w:r>
              <w:rPr>
                <w:rFonts w:ascii="宋体" w:hAnsi="宋体" w:cs="宋体"/>
                <w:kern w:val="0"/>
                <w:sz w:val="18"/>
                <w:szCs w:val="18"/>
              </w:rPr>
              <w:br w:type="page"/>
            </w:r>
            <w:r>
              <w:rPr>
                <w:rFonts w:ascii="宋体" w:hAnsi="宋体" w:cs="宋体"/>
                <w:kern w:val="0"/>
                <w:sz w:val="18"/>
                <w:szCs w:val="18"/>
              </w:rPr>
              <w:t>1</w:t>
            </w:r>
            <w:r>
              <w:rPr>
                <w:rFonts w:hint="eastAsia" w:ascii="宋体" w:hAnsi="宋体" w:cs="宋体"/>
                <w:kern w:val="0"/>
                <w:sz w:val="18"/>
                <w:szCs w:val="18"/>
              </w:rPr>
              <w:t>、产品规格：</w:t>
            </w:r>
            <w:r>
              <w:rPr>
                <w:rFonts w:ascii="宋体" w:hAnsi="宋体" w:cs="宋体"/>
                <w:kern w:val="0"/>
                <w:sz w:val="18"/>
                <w:szCs w:val="18"/>
              </w:rPr>
              <w:t>≥498mm*498mm*19mm</w:t>
            </w:r>
            <w:r>
              <w:rPr>
                <w:rFonts w:hint="eastAsia" w:ascii="宋体" w:hAnsi="宋体" w:cs="宋体"/>
                <w:kern w:val="0"/>
                <w:sz w:val="18"/>
                <w:szCs w:val="18"/>
              </w:rPr>
              <w:t>，</w:t>
            </w:r>
            <w:r>
              <w:rPr>
                <w:rFonts w:ascii="宋体" w:hAnsi="宋体" w:cs="宋体"/>
                <w:kern w:val="0"/>
                <w:sz w:val="18"/>
                <w:szCs w:val="18"/>
              </w:rPr>
              <w:t>≥940g</w:t>
            </w:r>
            <w:r>
              <w:rPr>
                <w:rFonts w:hint="eastAsia" w:ascii="宋体" w:hAnsi="宋体" w:cs="宋体"/>
                <w:kern w:val="0"/>
                <w:sz w:val="18"/>
                <w:szCs w:val="18"/>
              </w:rPr>
              <w:t>。</w:t>
            </w:r>
          </w:p>
          <w:p>
            <w:pPr>
              <w:widowControl/>
              <w:jc w:val="left"/>
              <w:rPr>
                <w:rFonts w:ascii="宋体" w:hAnsi="宋体" w:cs="宋体"/>
                <w:kern w:val="0"/>
                <w:sz w:val="18"/>
                <w:szCs w:val="18"/>
              </w:rPr>
            </w:pPr>
            <w:r>
              <w:rPr>
                <w:rFonts w:ascii="宋体" w:hAnsi="宋体" w:cs="宋体"/>
                <w:kern w:val="0"/>
                <w:sz w:val="18"/>
                <w:szCs w:val="18"/>
              </w:rPr>
              <w:br w:type="page"/>
            </w:r>
            <w:r>
              <w:rPr>
                <w:rFonts w:ascii="宋体" w:hAnsi="宋体" w:cs="宋体"/>
                <w:kern w:val="0"/>
                <w:sz w:val="18"/>
                <w:szCs w:val="18"/>
              </w:rPr>
              <w:t>2</w:t>
            </w:r>
            <w:r>
              <w:rPr>
                <w:rFonts w:hint="eastAsia" w:ascii="宋体" w:hAnsi="宋体" w:cs="宋体"/>
                <w:kern w:val="0"/>
                <w:sz w:val="18"/>
                <w:szCs w:val="18"/>
              </w:rPr>
              <w:t>、食品级改性聚丙烯材质，</w:t>
            </w:r>
            <w:r>
              <w:rPr>
                <w:rFonts w:ascii="宋体" w:hAnsi="宋体" w:cs="宋体"/>
                <w:kern w:val="0"/>
                <w:sz w:val="18"/>
                <w:szCs w:val="18"/>
              </w:rPr>
              <w:t>100%</w:t>
            </w:r>
            <w:r>
              <w:rPr>
                <w:rFonts w:hint="eastAsia" w:ascii="宋体" w:hAnsi="宋体" w:cs="宋体"/>
                <w:kern w:val="0"/>
                <w:sz w:val="18"/>
                <w:szCs w:val="18"/>
              </w:rPr>
              <w:t>原生料，无毒无味，绿色、安全，环保；</w:t>
            </w:r>
            <w:r>
              <w:rPr>
                <w:rFonts w:ascii="宋体" w:hAnsi="宋体" w:cs="宋体"/>
                <w:kern w:val="0"/>
                <w:sz w:val="18"/>
                <w:szCs w:val="18"/>
              </w:rPr>
              <w:br w:type="page"/>
            </w:r>
          </w:p>
          <w:p>
            <w:pPr>
              <w:widowControl/>
              <w:jc w:val="left"/>
              <w:rPr>
                <w:rFonts w:ascii="宋体" w:hAnsi="宋体" w:cs="宋体"/>
                <w:kern w:val="0"/>
                <w:sz w:val="18"/>
                <w:szCs w:val="18"/>
              </w:rPr>
            </w:pPr>
            <w:r>
              <w:rPr>
                <w:rFonts w:ascii="宋体" w:hAnsi="宋体" w:cs="宋体"/>
                <w:kern w:val="0"/>
                <w:sz w:val="18"/>
                <w:szCs w:val="18"/>
              </w:rPr>
              <w:t>3</w:t>
            </w:r>
            <w:r>
              <w:rPr>
                <w:rFonts w:hint="eastAsia" w:ascii="宋体" w:hAnsi="宋体" w:cs="宋体"/>
                <w:kern w:val="0"/>
                <w:sz w:val="18"/>
                <w:szCs w:val="18"/>
              </w:rPr>
              <w:t>、材料为环保高强度改性聚丙烯，</w:t>
            </w:r>
            <w:r>
              <w:rPr>
                <w:rFonts w:ascii="宋体" w:hAnsi="宋体" w:cs="宋体"/>
                <w:kern w:val="0"/>
                <w:sz w:val="18"/>
                <w:szCs w:val="18"/>
              </w:rPr>
              <w:t>100%</w:t>
            </w:r>
            <w:r>
              <w:rPr>
                <w:rFonts w:hint="eastAsia" w:ascii="宋体" w:hAnsi="宋体" w:cs="宋体"/>
                <w:kern w:val="0"/>
                <w:sz w:val="18"/>
                <w:szCs w:val="18"/>
              </w:rPr>
              <w:t>原生料，食品级材料，无毒无味，绿色、安全，环保；</w:t>
            </w:r>
          </w:p>
          <w:p>
            <w:pPr>
              <w:widowControl/>
              <w:jc w:val="left"/>
              <w:rPr>
                <w:rFonts w:ascii="宋体" w:hAnsi="宋体" w:cs="宋体"/>
                <w:kern w:val="0"/>
                <w:sz w:val="18"/>
                <w:szCs w:val="18"/>
              </w:rPr>
            </w:pPr>
            <w:r>
              <w:rPr>
                <w:rFonts w:ascii="宋体" w:hAnsi="宋体" w:cs="宋体"/>
                <w:kern w:val="0"/>
                <w:sz w:val="18"/>
                <w:szCs w:val="18"/>
              </w:rPr>
              <w:br w:type="page"/>
            </w:r>
            <w:r>
              <w:rPr>
                <w:rFonts w:ascii="宋体" w:hAnsi="宋体" w:cs="宋体"/>
                <w:kern w:val="0"/>
                <w:sz w:val="18"/>
                <w:szCs w:val="18"/>
              </w:rPr>
              <w:t>4</w:t>
            </w:r>
            <w:r>
              <w:rPr>
                <w:rFonts w:hint="eastAsia" w:ascii="宋体" w:hAnsi="宋体" w:cs="宋体"/>
                <w:kern w:val="0"/>
                <w:sz w:val="18"/>
                <w:szCs w:val="18"/>
              </w:rPr>
              <w:t>、整体结构：复合型大米纹面层</w:t>
            </w:r>
            <w:r>
              <w:rPr>
                <w:rFonts w:ascii="宋体" w:hAnsi="宋体" w:cs="宋体"/>
                <w:kern w:val="0"/>
                <w:sz w:val="18"/>
                <w:szCs w:val="18"/>
              </w:rPr>
              <w:t>+</w:t>
            </w:r>
            <w:r>
              <w:rPr>
                <w:rFonts w:hint="eastAsia" w:ascii="宋体" w:hAnsi="宋体" w:cs="宋体"/>
                <w:kern w:val="0"/>
                <w:sz w:val="18"/>
                <w:szCs w:val="18"/>
              </w:rPr>
              <w:t>软连接（</w:t>
            </w:r>
            <w:r>
              <w:rPr>
                <w:rFonts w:ascii="宋体" w:hAnsi="宋体" w:cs="宋体"/>
                <w:kern w:val="0"/>
                <w:sz w:val="18"/>
                <w:szCs w:val="18"/>
              </w:rPr>
              <w:t>16</w:t>
            </w:r>
            <w:r>
              <w:rPr>
                <w:rFonts w:hint="eastAsia" w:ascii="宋体" w:hAnsi="宋体" w:cs="宋体"/>
                <w:kern w:val="0"/>
                <w:sz w:val="18"/>
                <w:szCs w:val="18"/>
              </w:rPr>
              <w:t>宫格）</w:t>
            </w:r>
            <w:r>
              <w:rPr>
                <w:rFonts w:ascii="宋体" w:hAnsi="宋体" w:cs="宋体"/>
                <w:kern w:val="0"/>
                <w:sz w:val="18"/>
                <w:szCs w:val="18"/>
              </w:rPr>
              <w:t>+</w:t>
            </w:r>
            <w:r>
              <w:rPr>
                <w:rFonts w:hint="eastAsia" w:ascii="宋体" w:hAnsi="宋体" w:cs="宋体"/>
                <w:kern w:val="0"/>
                <w:sz w:val="18"/>
                <w:szCs w:val="18"/>
              </w:rPr>
              <w:t>弹性垫，不反光、不刺眼，色泽柔和，极大提高摩擦力，防滑效果更显著；</w:t>
            </w:r>
            <w:r>
              <w:rPr>
                <w:rFonts w:ascii="宋体" w:hAnsi="宋体" w:cs="宋体"/>
                <w:kern w:val="0"/>
                <w:sz w:val="18"/>
                <w:szCs w:val="18"/>
              </w:rPr>
              <w:t xml:space="preserve"> </w:t>
            </w:r>
          </w:p>
          <w:p>
            <w:pPr>
              <w:widowControl/>
              <w:jc w:val="left"/>
              <w:rPr>
                <w:rFonts w:ascii="宋体" w:hAnsi="宋体" w:cs="宋体"/>
                <w:kern w:val="0"/>
                <w:sz w:val="18"/>
                <w:szCs w:val="18"/>
              </w:rPr>
            </w:pPr>
            <w:r>
              <w:rPr>
                <w:rFonts w:ascii="宋体" w:hAnsi="宋体" w:cs="宋体"/>
                <w:kern w:val="0"/>
                <w:sz w:val="18"/>
                <w:szCs w:val="18"/>
              </w:rPr>
              <w:br w:type="page"/>
            </w:r>
            <w:r>
              <w:rPr>
                <w:rFonts w:ascii="宋体" w:hAnsi="宋体" w:cs="宋体"/>
                <w:kern w:val="0"/>
                <w:sz w:val="18"/>
                <w:szCs w:val="18"/>
              </w:rPr>
              <w:t>5</w:t>
            </w:r>
            <w:r>
              <w:rPr>
                <w:rFonts w:hint="eastAsia" w:ascii="宋体" w:hAnsi="宋体" w:cs="宋体"/>
                <w:kern w:val="0"/>
                <w:sz w:val="18"/>
                <w:szCs w:val="18"/>
              </w:rPr>
              <w:t>、皮纹纹理：不反光、不刺眼，色泽柔和，极大提高摩擦力，防滑效果更显著。</w:t>
            </w:r>
          </w:p>
          <w:p>
            <w:pPr>
              <w:widowControl/>
              <w:jc w:val="left"/>
              <w:rPr>
                <w:rFonts w:ascii="宋体" w:hAnsi="宋体" w:cs="宋体"/>
                <w:kern w:val="0"/>
                <w:sz w:val="18"/>
                <w:szCs w:val="18"/>
              </w:rPr>
            </w:pPr>
            <w:r>
              <w:rPr>
                <w:rFonts w:ascii="宋体" w:hAnsi="宋体" w:cs="宋体"/>
                <w:kern w:val="0"/>
                <w:sz w:val="18"/>
                <w:szCs w:val="18"/>
              </w:rPr>
              <w:br w:type="page"/>
            </w:r>
            <w:r>
              <w:rPr>
                <w:rFonts w:ascii="宋体" w:hAnsi="宋体" w:cs="宋体"/>
                <w:kern w:val="0"/>
                <w:sz w:val="18"/>
                <w:szCs w:val="18"/>
              </w:rPr>
              <w:t>6</w:t>
            </w:r>
            <w:r>
              <w:rPr>
                <w:rFonts w:hint="eastAsia" w:ascii="宋体" w:hAnsi="宋体" w:cs="宋体"/>
                <w:kern w:val="0"/>
                <w:sz w:val="18"/>
                <w:szCs w:val="18"/>
              </w:rPr>
              <w:t>、支撑系统：</w:t>
            </w:r>
            <w:r>
              <w:rPr>
                <w:rFonts w:ascii="宋体" w:hAnsi="宋体" w:cs="宋体"/>
                <w:kern w:val="0"/>
                <w:sz w:val="18"/>
                <w:szCs w:val="18"/>
              </w:rPr>
              <w:t>≥80</w:t>
            </w:r>
            <w:r>
              <w:rPr>
                <w:rFonts w:hint="eastAsia" w:ascii="宋体" w:hAnsi="宋体" w:cs="宋体"/>
                <w:kern w:val="0"/>
                <w:sz w:val="18"/>
                <w:szCs w:val="18"/>
              </w:rPr>
              <w:t>颗弹性垫为主支撑（大大提高冲击吸收及球类回弹）</w:t>
            </w:r>
          </w:p>
          <w:p>
            <w:pPr>
              <w:widowControl/>
              <w:jc w:val="left"/>
              <w:rPr>
                <w:rFonts w:ascii="宋体" w:hAnsi="宋体" w:cs="宋体"/>
                <w:kern w:val="0"/>
                <w:sz w:val="18"/>
                <w:szCs w:val="18"/>
              </w:rPr>
            </w:pPr>
            <w:r>
              <w:rPr>
                <w:rFonts w:ascii="宋体" w:hAnsi="宋体" w:cs="宋体"/>
                <w:kern w:val="0"/>
                <w:sz w:val="18"/>
                <w:szCs w:val="18"/>
              </w:rPr>
              <w:br w:type="page"/>
            </w:r>
            <w:r>
              <w:rPr>
                <w:rFonts w:ascii="宋体" w:hAnsi="宋体" w:cs="宋体"/>
                <w:kern w:val="0"/>
                <w:sz w:val="18"/>
                <w:szCs w:val="18"/>
              </w:rPr>
              <w:t>7</w:t>
            </w:r>
            <w:r>
              <w:rPr>
                <w:rFonts w:hint="eastAsia" w:ascii="宋体" w:hAnsi="宋体" w:cs="宋体"/>
                <w:kern w:val="0"/>
                <w:sz w:val="18"/>
                <w:szCs w:val="18"/>
              </w:rPr>
              <w:t>、采用航空材质、圆形结构设计二代固定块可以扩大安装区域，单块产品正中间中扣可取出、嵌入，为保障整体性和平整度，中扣直径不大于</w:t>
            </w:r>
            <w:r>
              <w:rPr>
                <w:rFonts w:ascii="宋体" w:hAnsi="宋体" w:cs="宋体"/>
                <w:kern w:val="0"/>
                <w:sz w:val="18"/>
                <w:szCs w:val="18"/>
              </w:rPr>
              <w:t xml:space="preserve">40mm, </w:t>
            </w:r>
            <w:r>
              <w:rPr>
                <w:rFonts w:hint="eastAsia" w:ascii="宋体" w:hAnsi="宋体" w:cs="宋体"/>
                <w:kern w:val="0"/>
                <w:sz w:val="18"/>
                <w:szCs w:val="18"/>
              </w:rPr>
              <w:t>更大缓冲间隙，实现</w:t>
            </w:r>
            <w:r>
              <w:rPr>
                <w:rFonts w:ascii="宋体" w:hAnsi="宋体" w:cs="宋体"/>
                <w:kern w:val="0"/>
                <w:sz w:val="18"/>
                <w:szCs w:val="18"/>
              </w:rPr>
              <w:t>360°</w:t>
            </w:r>
            <w:r>
              <w:rPr>
                <w:rFonts w:hint="eastAsia" w:ascii="宋体" w:hAnsi="宋体" w:cs="宋体"/>
                <w:kern w:val="0"/>
                <w:sz w:val="18"/>
                <w:szCs w:val="18"/>
              </w:rPr>
              <w:t>旋转，有效防风、防盗、防位移。</w:t>
            </w:r>
          </w:p>
          <w:p>
            <w:pPr>
              <w:widowControl/>
              <w:jc w:val="left"/>
              <w:rPr>
                <w:rFonts w:ascii="宋体" w:hAnsi="宋体" w:cs="宋体"/>
                <w:kern w:val="0"/>
                <w:sz w:val="18"/>
                <w:szCs w:val="18"/>
              </w:rPr>
            </w:pPr>
            <w:r>
              <w:rPr>
                <w:rFonts w:ascii="宋体" w:hAnsi="宋体" w:cs="宋体"/>
                <w:kern w:val="0"/>
                <w:sz w:val="18"/>
                <w:szCs w:val="18"/>
              </w:rPr>
              <w:br w:type="page"/>
            </w:r>
            <w:r>
              <w:rPr>
                <w:rFonts w:hint="eastAsia" w:ascii="宋体" w:hAnsi="宋体" w:cs="宋体"/>
                <w:kern w:val="0"/>
                <w:sz w:val="18"/>
                <w:szCs w:val="18"/>
              </w:rPr>
              <w:t>具体要求：</w:t>
            </w:r>
          </w:p>
          <w:p>
            <w:pPr>
              <w:widowControl/>
              <w:jc w:val="left"/>
              <w:rPr>
                <w:rFonts w:ascii="宋体" w:hAnsi="宋体" w:cs="宋体"/>
                <w:kern w:val="0"/>
                <w:sz w:val="18"/>
                <w:szCs w:val="18"/>
              </w:rPr>
            </w:pPr>
            <w:r>
              <w:rPr>
                <w:rFonts w:ascii="宋体" w:hAnsi="宋体" w:cs="宋体"/>
                <w:kern w:val="0"/>
                <w:sz w:val="18"/>
                <w:szCs w:val="18"/>
              </w:rPr>
              <w:br w:type="page"/>
            </w:r>
            <w:r>
              <w:rPr>
                <w:rFonts w:hint="eastAsia" w:ascii="宋体" w:hAnsi="宋体" w:cs="宋体"/>
                <w:kern w:val="0"/>
                <w:sz w:val="18"/>
                <w:szCs w:val="18"/>
              </w:rPr>
              <w:t>8、冲击吸收：</w:t>
            </w:r>
            <w:r>
              <w:rPr>
                <w:rFonts w:ascii="宋体" w:hAnsi="宋体" w:cs="宋体"/>
                <w:kern w:val="0"/>
                <w:sz w:val="18"/>
                <w:szCs w:val="18"/>
              </w:rPr>
              <w:br w:type="page"/>
            </w:r>
            <w:r>
              <w:rPr>
                <w:rFonts w:hint="eastAsia" w:ascii="宋体" w:hAnsi="宋体" w:cs="宋体"/>
                <w:kern w:val="0"/>
                <w:sz w:val="18"/>
                <w:szCs w:val="18"/>
              </w:rPr>
              <w:t>①</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0±2</w:t>
            </w:r>
            <w:r>
              <w:rPr>
                <w:rFonts w:hint="eastAsia" w:ascii="宋体" w:hAnsi="宋体" w:cs="宋体"/>
                <w:kern w:val="0"/>
                <w:sz w:val="18"/>
                <w:szCs w:val="18"/>
              </w:rPr>
              <w:t>）℃：</w:t>
            </w:r>
            <w:r>
              <w:rPr>
                <w:rFonts w:ascii="宋体" w:hAnsi="宋体" w:cs="宋体"/>
                <w:kern w:val="0"/>
                <w:sz w:val="18"/>
                <w:szCs w:val="18"/>
              </w:rPr>
              <w:t>20~50%</w:t>
            </w:r>
            <w:r>
              <w:rPr>
                <w:rFonts w:hint="eastAsia" w:ascii="宋体" w:hAnsi="宋体" w:cs="宋体"/>
                <w:kern w:val="0"/>
                <w:sz w:val="18"/>
                <w:szCs w:val="18"/>
              </w:rPr>
              <w:t>；②</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23±2</w:t>
            </w:r>
            <w:r>
              <w:rPr>
                <w:rFonts w:hint="eastAsia" w:ascii="宋体" w:hAnsi="宋体" w:cs="宋体"/>
                <w:kern w:val="0"/>
                <w:sz w:val="18"/>
                <w:szCs w:val="18"/>
              </w:rPr>
              <w:t>）℃：</w:t>
            </w:r>
            <w:r>
              <w:rPr>
                <w:rFonts w:ascii="宋体" w:hAnsi="宋体" w:cs="宋体"/>
                <w:kern w:val="0"/>
                <w:sz w:val="18"/>
                <w:szCs w:val="18"/>
              </w:rPr>
              <w:t>20~50%</w:t>
            </w:r>
            <w:r>
              <w:rPr>
                <w:rFonts w:hint="eastAsia" w:ascii="宋体" w:hAnsi="宋体" w:cs="宋体"/>
                <w:kern w:val="0"/>
                <w:sz w:val="18"/>
                <w:szCs w:val="18"/>
              </w:rPr>
              <w:t>；③</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50±2</w:t>
            </w:r>
            <w:r>
              <w:rPr>
                <w:rFonts w:hint="eastAsia" w:ascii="宋体" w:hAnsi="宋体" w:cs="宋体"/>
                <w:kern w:val="0"/>
                <w:sz w:val="18"/>
                <w:szCs w:val="18"/>
              </w:rPr>
              <w:t>）℃：</w:t>
            </w:r>
            <w:r>
              <w:rPr>
                <w:rFonts w:ascii="宋体" w:hAnsi="宋体" w:cs="宋体"/>
                <w:kern w:val="0"/>
                <w:sz w:val="18"/>
                <w:szCs w:val="18"/>
              </w:rPr>
              <w:t>20~50%</w:t>
            </w:r>
            <w:r>
              <w:rPr>
                <w:rFonts w:hint="eastAsia" w:ascii="宋体" w:hAnsi="宋体" w:cs="宋体"/>
                <w:kern w:val="0"/>
                <w:sz w:val="18"/>
                <w:szCs w:val="18"/>
              </w:rPr>
              <w:t>；</w:t>
            </w:r>
            <w:r>
              <w:rPr>
                <w:rFonts w:ascii="宋体" w:hAnsi="宋体" w:cs="宋体"/>
                <w:kern w:val="0"/>
                <w:sz w:val="18"/>
                <w:szCs w:val="18"/>
              </w:rPr>
              <w:br w:type="page"/>
            </w:r>
            <w:r>
              <w:rPr>
                <w:rFonts w:ascii="宋体" w:hAnsi="宋体" w:cs="宋体"/>
                <w:kern w:val="0"/>
                <w:sz w:val="18"/>
                <w:szCs w:val="18"/>
              </w:rPr>
              <w:t xml:space="preserve">2. </w:t>
            </w:r>
            <w:r>
              <w:rPr>
                <w:rFonts w:hint="eastAsia" w:ascii="宋体" w:hAnsi="宋体" w:cs="宋体"/>
                <w:kern w:val="0"/>
                <w:sz w:val="18"/>
                <w:szCs w:val="18"/>
              </w:rPr>
              <w:t>抗滑值</w:t>
            </w:r>
            <w:r>
              <w:rPr>
                <w:rFonts w:ascii="宋体" w:hAnsi="宋体" w:cs="宋体"/>
                <w:kern w:val="0"/>
                <w:sz w:val="18"/>
                <w:szCs w:val="18"/>
              </w:rPr>
              <w:t>/(BFN,20</w:t>
            </w:r>
            <w:r>
              <w:rPr>
                <w:rFonts w:hint="eastAsia" w:ascii="宋体" w:hAnsi="宋体" w:cs="宋体"/>
                <w:kern w:val="0"/>
                <w:sz w:val="18"/>
                <w:szCs w:val="18"/>
              </w:rPr>
              <w:t>℃</w:t>
            </w:r>
            <w:r>
              <w:rPr>
                <w:rFonts w:ascii="宋体" w:hAnsi="宋体" w:cs="宋体"/>
                <w:kern w:val="0"/>
                <w:sz w:val="18"/>
                <w:szCs w:val="18"/>
              </w:rPr>
              <w:t>)</w:t>
            </w:r>
            <w:r>
              <w:rPr>
                <w:rFonts w:hint="eastAsia" w:ascii="宋体" w:hAnsi="宋体" w:cs="宋体"/>
                <w:kern w:val="0"/>
                <w:sz w:val="18"/>
                <w:szCs w:val="18"/>
              </w:rPr>
              <w:t>：</w:t>
            </w:r>
            <w:r>
              <w:rPr>
                <w:rFonts w:ascii="宋体" w:hAnsi="宋体" w:cs="宋体"/>
                <w:kern w:val="0"/>
                <w:sz w:val="18"/>
                <w:szCs w:val="18"/>
              </w:rPr>
              <w:t>80~110</w:t>
            </w:r>
            <w:r>
              <w:rPr>
                <w:rFonts w:hint="eastAsia" w:ascii="宋体" w:hAnsi="宋体" w:cs="宋体"/>
                <w:kern w:val="0"/>
                <w:sz w:val="18"/>
                <w:szCs w:val="18"/>
              </w:rPr>
              <w:t>（干测）；</w:t>
            </w:r>
            <w:r>
              <w:rPr>
                <w:rFonts w:ascii="宋体" w:hAnsi="宋体" w:cs="宋体"/>
                <w:kern w:val="0"/>
                <w:sz w:val="18"/>
                <w:szCs w:val="18"/>
              </w:rPr>
              <w:br w:type="page"/>
            </w:r>
            <w:r>
              <w:rPr>
                <w:rFonts w:ascii="宋体" w:hAnsi="宋体" w:cs="宋体"/>
                <w:kern w:val="0"/>
                <w:sz w:val="18"/>
                <w:szCs w:val="18"/>
              </w:rPr>
              <w:t xml:space="preserve">3. </w:t>
            </w:r>
            <w:r>
              <w:rPr>
                <w:rFonts w:hint="eastAsia" w:ascii="宋体" w:hAnsi="宋体" w:cs="宋体"/>
                <w:kern w:val="0"/>
                <w:sz w:val="18"/>
                <w:szCs w:val="18"/>
              </w:rPr>
              <w:t>拉伸强度（</w:t>
            </w:r>
            <w:r>
              <w:rPr>
                <w:rFonts w:ascii="宋体" w:hAnsi="宋体" w:cs="宋体"/>
                <w:kern w:val="0"/>
                <w:sz w:val="18"/>
                <w:szCs w:val="18"/>
              </w:rPr>
              <w:t>MPa</w:t>
            </w:r>
            <w:r>
              <w:rPr>
                <w:rFonts w:hint="eastAsia" w:ascii="宋体" w:hAnsi="宋体" w:cs="宋体"/>
                <w:kern w:val="0"/>
                <w:sz w:val="18"/>
                <w:szCs w:val="18"/>
              </w:rPr>
              <w:t>）</w:t>
            </w:r>
            <w:r>
              <w:rPr>
                <w:rFonts w:ascii="宋体" w:hAnsi="宋体" w:cs="宋体"/>
                <w:kern w:val="0"/>
                <w:sz w:val="18"/>
                <w:szCs w:val="18"/>
              </w:rPr>
              <w:t>≥0.4</w:t>
            </w:r>
            <w:r>
              <w:rPr>
                <w:rFonts w:hint="eastAsia" w:ascii="宋体" w:hAnsi="宋体" w:cs="宋体"/>
                <w:kern w:val="0"/>
                <w:sz w:val="18"/>
                <w:szCs w:val="18"/>
              </w:rPr>
              <w:t>；</w:t>
            </w:r>
            <w:r>
              <w:rPr>
                <w:rFonts w:ascii="宋体" w:hAnsi="宋体" w:cs="宋体"/>
                <w:kern w:val="0"/>
                <w:sz w:val="18"/>
                <w:szCs w:val="18"/>
              </w:rPr>
              <w:br w:type="page"/>
            </w:r>
            <w:r>
              <w:rPr>
                <w:rFonts w:ascii="宋体" w:hAnsi="宋体" w:cs="宋体"/>
                <w:kern w:val="0"/>
                <w:sz w:val="18"/>
                <w:szCs w:val="18"/>
              </w:rPr>
              <w:t xml:space="preserve">4. </w:t>
            </w:r>
            <w:r>
              <w:rPr>
                <w:rFonts w:hint="eastAsia" w:ascii="宋体" w:hAnsi="宋体" w:cs="宋体"/>
                <w:kern w:val="0"/>
                <w:sz w:val="18"/>
                <w:szCs w:val="18"/>
              </w:rPr>
              <w:t>拉断伸长率</w:t>
            </w:r>
            <w:r>
              <w:rPr>
                <w:rFonts w:ascii="宋体" w:hAnsi="宋体" w:cs="宋体"/>
                <w:kern w:val="0"/>
                <w:sz w:val="18"/>
                <w:szCs w:val="18"/>
              </w:rPr>
              <w:t>≥40%</w:t>
            </w:r>
            <w:r>
              <w:rPr>
                <w:rFonts w:hint="eastAsia" w:ascii="宋体" w:hAnsi="宋体" w:cs="宋体"/>
                <w:kern w:val="0"/>
                <w:sz w:val="18"/>
                <w:szCs w:val="18"/>
              </w:rPr>
              <w:t>；</w:t>
            </w:r>
            <w:r>
              <w:rPr>
                <w:rFonts w:ascii="宋体" w:hAnsi="宋体" w:cs="宋体"/>
                <w:kern w:val="0"/>
                <w:sz w:val="18"/>
                <w:szCs w:val="18"/>
              </w:rPr>
              <w:br w:type="page"/>
            </w:r>
            <w:r>
              <w:rPr>
                <w:rFonts w:ascii="宋体" w:hAnsi="宋体" w:cs="宋体"/>
                <w:kern w:val="0"/>
                <w:sz w:val="18"/>
                <w:szCs w:val="18"/>
              </w:rPr>
              <w:t>5</w:t>
            </w:r>
            <w:r>
              <w:rPr>
                <w:rFonts w:hint="eastAsia" w:ascii="宋体" w:hAnsi="宋体" w:cs="宋体"/>
                <w:kern w:val="0"/>
                <w:sz w:val="18"/>
                <w:szCs w:val="18"/>
              </w:rPr>
              <w:t>、有害物质释放量：</w:t>
            </w:r>
            <w:r>
              <w:rPr>
                <w:rFonts w:ascii="宋体" w:hAnsi="宋体" w:cs="宋体"/>
                <w:kern w:val="0"/>
                <w:sz w:val="18"/>
                <w:szCs w:val="18"/>
              </w:rPr>
              <w:br w:type="page"/>
            </w:r>
            <w:r>
              <w:rPr>
                <w:rFonts w:hint="eastAsia" w:ascii="宋体" w:hAnsi="宋体" w:cs="宋体"/>
                <w:kern w:val="0"/>
                <w:sz w:val="18"/>
                <w:szCs w:val="18"/>
              </w:rPr>
              <w:t>①</w:t>
            </w:r>
            <w:r>
              <w:rPr>
                <w:rFonts w:ascii="宋体" w:hAnsi="宋体" w:cs="宋体"/>
                <w:kern w:val="0"/>
                <w:sz w:val="18"/>
                <w:szCs w:val="18"/>
              </w:rPr>
              <w:t xml:space="preserve"> </w:t>
            </w:r>
            <w:r>
              <w:rPr>
                <w:rFonts w:hint="eastAsia" w:ascii="宋体" w:hAnsi="宋体" w:cs="宋体"/>
                <w:kern w:val="0"/>
                <w:sz w:val="18"/>
                <w:szCs w:val="18"/>
              </w:rPr>
              <w:t>总挥发性有机化合物（</w:t>
            </w:r>
            <w:r>
              <w:rPr>
                <w:rFonts w:ascii="宋体" w:hAnsi="宋体" w:cs="宋体"/>
                <w:kern w:val="0"/>
                <w:sz w:val="18"/>
                <w:szCs w:val="18"/>
              </w:rPr>
              <w:t>TVOC</w:t>
            </w:r>
            <w:r>
              <w:rPr>
                <w:rFonts w:hint="eastAsia" w:ascii="宋体" w:hAnsi="宋体" w:cs="宋体"/>
                <w:kern w:val="0"/>
                <w:sz w:val="18"/>
                <w:szCs w:val="18"/>
              </w:rPr>
              <w:t>）</w:t>
            </w:r>
            <w:r>
              <w:rPr>
                <w:rFonts w:ascii="宋体" w:hAnsi="宋体" w:cs="宋体"/>
                <w:kern w:val="0"/>
                <w:sz w:val="18"/>
                <w:szCs w:val="18"/>
              </w:rPr>
              <w:t>≤5.0mg/</w:t>
            </w:r>
            <w:r>
              <w:rPr>
                <w:rFonts w:hint="eastAsia" w:ascii="宋体" w:hAnsi="宋体" w:cs="宋体"/>
                <w:kern w:val="0"/>
                <w:sz w:val="18"/>
                <w:szCs w:val="18"/>
              </w:rPr>
              <w:t>（</w:t>
            </w:r>
            <w:r>
              <w:rPr>
                <w:rFonts w:ascii="宋体" w:hAnsi="宋体" w:cs="宋体"/>
                <w:kern w:val="0"/>
                <w:sz w:val="18"/>
                <w:szCs w:val="18"/>
              </w:rPr>
              <w:t>m²•h</w:t>
            </w:r>
            <w:r>
              <w:rPr>
                <w:rFonts w:hint="eastAsia" w:ascii="宋体" w:hAnsi="宋体" w:cs="宋体"/>
                <w:kern w:val="0"/>
                <w:sz w:val="18"/>
                <w:szCs w:val="18"/>
              </w:rPr>
              <w:t>）；②</w:t>
            </w:r>
            <w:r>
              <w:rPr>
                <w:rFonts w:ascii="宋体" w:hAnsi="宋体" w:cs="宋体"/>
                <w:kern w:val="0"/>
                <w:sz w:val="18"/>
                <w:szCs w:val="18"/>
              </w:rPr>
              <w:t xml:space="preserve"> </w:t>
            </w:r>
            <w:r>
              <w:rPr>
                <w:rFonts w:hint="eastAsia" w:ascii="宋体" w:hAnsi="宋体" w:cs="宋体"/>
                <w:kern w:val="0"/>
                <w:sz w:val="18"/>
                <w:szCs w:val="18"/>
              </w:rPr>
              <w:t>甲醛</w:t>
            </w:r>
            <w:r>
              <w:rPr>
                <w:rFonts w:ascii="宋体" w:hAnsi="宋体" w:cs="宋体"/>
                <w:kern w:val="0"/>
                <w:sz w:val="18"/>
                <w:szCs w:val="18"/>
              </w:rPr>
              <w:t>≤0.4mg/</w:t>
            </w:r>
            <w:r>
              <w:rPr>
                <w:rFonts w:hint="eastAsia" w:ascii="宋体" w:hAnsi="宋体" w:cs="宋体"/>
                <w:kern w:val="0"/>
                <w:sz w:val="18"/>
                <w:szCs w:val="18"/>
              </w:rPr>
              <w:t>（</w:t>
            </w:r>
            <w:r>
              <w:rPr>
                <w:rFonts w:ascii="宋体" w:hAnsi="宋体" w:cs="宋体"/>
                <w:kern w:val="0"/>
                <w:sz w:val="18"/>
                <w:szCs w:val="18"/>
              </w:rPr>
              <w:t>m²•h</w:t>
            </w:r>
            <w:r>
              <w:rPr>
                <w:rFonts w:hint="eastAsia" w:ascii="宋体" w:hAnsi="宋体" w:cs="宋体"/>
                <w:kern w:val="0"/>
                <w:sz w:val="18"/>
                <w:szCs w:val="18"/>
              </w:rPr>
              <w:t>）；③</w:t>
            </w:r>
            <w:r>
              <w:rPr>
                <w:rFonts w:ascii="宋体" w:hAnsi="宋体" w:cs="宋体"/>
                <w:kern w:val="0"/>
                <w:sz w:val="18"/>
                <w:szCs w:val="18"/>
              </w:rPr>
              <w:t xml:space="preserve"> </w:t>
            </w:r>
            <w:r>
              <w:rPr>
                <w:rFonts w:hint="eastAsia" w:ascii="宋体" w:hAnsi="宋体" w:cs="宋体"/>
                <w:kern w:val="0"/>
                <w:sz w:val="18"/>
                <w:szCs w:val="18"/>
              </w:rPr>
              <w:t>苯</w:t>
            </w:r>
            <w:r>
              <w:rPr>
                <w:rFonts w:ascii="宋体" w:hAnsi="宋体" w:cs="宋体"/>
                <w:kern w:val="0"/>
                <w:sz w:val="18"/>
                <w:szCs w:val="18"/>
              </w:rPr>
              <w:t>≤0.1mg/</w:t>
            </w:r>
            <w:r>
              <w:rPr>
                <w:rFonts w:hint="eastAsia" w:ascii="宋体" w:hAnsi="宋体" w:cs="宋体"/>
                <w:kern w:val="0"/>
                <w:sz w:val="18"/>
                <w:szCs w:val="18"/>
              </w:rPr>
              <w:t>（</w:t>
            </w:r>
            <w:r>
              <w:rPr>
                <w:rFonts w:ascii="宋体" w:hAnsi="宋体" w:cs="宋体"/>
                <w:kern w:val="0"/>
                <w:sz w:val="18"/>
                <w:szCs w:val="18"/>
              </w:rPr>
              <w:t>m²•h</w:t>
            </w:r>
            <w:r>
              <w:rPr>
                <w:rFonts w:hint="eastAsia" w:ascii="宋体" w:hAnsi="宋体" w:cs="宋体"/>
                <w:kern w:val="0"/>
                <w:sz w:val="18"/>
                <w:szCs w:val="18"/>
              </w:rPr>
              <w:t>）；④</w:t>
            </w:r>
            <w:r>
              <w:rPr>
                <w:rFonts w:ascii="宋体" w:hAnsi="宋体" w:cs="宋体"/>
                <w:kern w:val="0"/>
                <w:sz w:val="18"/>
                <w:szCs w:val="18"/>
              </w:rPr>
              <w:t xml:space="preserve"> </w:t>
            </w:r>
            <w:r>
              <w:rPr>
                <w:rFonts w:hint="eastAsia" w:ascii="宋体" w:hAnsi="宋体" w:cs="宋体"/>
                <w:kern w:val="0"/>
                <w:sz w:val="18"/>
                <w:szCs w:val="18"/>
              </w:rPr>
              <w:t>甲苯、二甲苯和乙苯总和</w:t>
            </w:r>
            <w:r>
              <w:rPr>
                <w:rFonts w:ascii="宋体" w:hAnsi="宋体" w:cs="宋体"/>
                <w:kern w:val="0"/>
                <w:sz w:val="18"/>
                <w:szCs w:val="18"/>
              </w:rPr>
              <w:t>≤1.0mg/</w:t>
            </w:r>
            <w:r>
              <w:rPr>
                <w:rFonts w:hint="eastAsia" w:ascii="宋体" w:hAnsi="宋体" w:cs="宋体"/>
                <w:kern w:val="0"/>
                <w:sz w:val="18"/>
                <w:szCs w:val="18"/>
              </w:rPr>
              <w:t>（</w:t>
            </w:r>
            <w:r>
              <w:rPr>
                <w:rFonts w:ascii="宋体" w:hAnsi="宋体" w:cs="宋体"/>
                <w:kern w:val="0"/>
                <w:sz w:val="18"/>
                <w:szCs w:val="18"/>
              </w:rPr>
              <w:t>m²•h</w:t>
            </w:r>
            <w:r>
              <w:rPr>
                <w:rFonts w:hint="eastAsia" w:ascii="宋体" w:hAnsi="宋体" w:cs="宋体"/>
                <w:kern w:val="0"/>
                <w:sz w:val="18"/>
                <w:szCs w:val="18"/>
              </w:rPr>
              <w:t>）；⑤</w:t>
            </w:r>
            <w:r>
              <w:rPr>
                <w:rFonts w:ascii="宋体" w:hAnsi="宋体" w:cs="宋体"/>
                <w:kern w:val="0"/>
                <w:sz w:val="18"/>
                <w:szCs w:val="18"/>
              </w:rPr>
              <w:t xml:space="preserve"> </w:t>
            </w:r>
            <w:r>
              <w:rPr>
                <w:rFonts w:hint="eastAsia" w:ascii="宋体" w:hAnsi="宋体" w:cs="宋体"/>
                <w:kern w:val="0"/>
                <w:sz w:val="18"/>
                <w:szCs w:val="18"/>
              </w:rPr>
              <w:t>二硫化碳</w:t>
            </w:r>
            <w:r>
              <w:rPr>
                <w:rFonts w:ascii="宋体" w:hAnsi="宋体" w:cs="宋体"/>
                <w:kern w:val="0"/>
                <w:sz w:val="18"/>
                <w:szCs w:val="18"/>
              </w:rPr>
              <w:t>≤7.0mg/</w:t>
            </w:r>
            <w:r>
              <w:rPr>
                <w:rFonts w:hint="eastAsia" w:ascii="宋体" w:hAnsi="宋体" w:cs="宋体"/>
                <w:kern w:val="0"/>
                <w:sz w:val="18"/>
                <w:szCs w:val="18"/>
              </w:rPr>
              <w:t>（</w:t>
            </w:r>
            <w:r>
              <w:rPr>
                <w:rFonts w:ascii="宋体" w:hAnsi="宋体" w:cs="宋体"/>
                <w:kern w:val="0"/>
                <w:sz w:val="18"/>
                <w:szCs w:val="18"/>
              </w:rPr>
              <w:t>m²•h</w:t>
            </w:r>
            <w:r>
              <w:rPr>
                <w:rFonts w:hint="eastAsia" w:ascii="宋体" w:hAnsi="宋体" w:cs="宋体"/>
                <w:kern w:val="0"/>
                <w:sz w:val="18"/>
                <w:szCs w:val="18"/>
              </w:rPr>
              <w:t>）；</w:t>
            </w:r>
          </w:p>
          <w:p>
            <w:pPr>
              <w:widowControl/>
              <w:jc w:val="left"/>
              <w:rPr>
                <w:rFonts w:ascii="宋体" w:hAnsi="宋体" w:cs="宋体"/>
                <w:kern w:val="0"/>
                <w:sz w:val="18"/>
                <w:szCs w:val="18"/>
              </w:rPr>
            </w:pPr>
            <w:r>
              <w:rPr>
                <w:rFonts w:ascii="宋体" w:hAnsi="宋体" w:cs="宋体"/>
                <w:kern w:val="0"/>
                <w:sz w:val="18"/>
                <w:szCs w:val="18"/>
              </w:rPr>
              <w:br w:type="page"/>
            </w:r>
            <w:r>
              <w:rPr>
                <w:rFonts w:hint="eastAsia" w:ascii="宋体" w:hAnsi="宋体" w:cs="宋体"/>
                <w:kern w:val="0"/>
                <w:sz w:val="18"/>
                <w:szCs w:val="18"/>
              </w:rPr>
              <w:t>9、含画线和收边条。</w:t>
            </w:r>
          </w:p>
        </w:tc>
      </w:tr>
      <w:tr>
        <w:tblPrEx>
          <w:tblCellMar>
            <w:top w:w="0" w:type="dxa"/>
            <w:left w:w="108" w:type="dxa"/>
            <w:bottom w:w="0" w:type="dxa"/>
            <w:right w:w="108" w:type="dxa"/>
          </w:tblCellMar>
        </w:tblPrEx>
        <w:trPr>
          <w:trHeight w:val="7094"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4</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奉化实验中学</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1897</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2336" behindDoc="0" locked="0" layoutInCell="1" allowOverlap="1">
                  <wp:simplePos x="0" y="0"/>
                  <wp:positionH relativeFrom="column">
                    <wp:posOffset>19050</wp:posOffset>
                  </wp:positionH>
                  <wp:positionV relativeFrom="paragraph">
                    <wp:posOffset>1524000</wp:posOffset>
                  </wp:positionV>
                  <wp:extent cx="2962275" cy="2095500"/>
                  <wp:effectExtent l="0" t="0" r="0" b="0"/>
                  <wp:wrapNone/>
                  <wp:docPr id="13" name="图片 13" descr="2.17-01-奉化实验中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7-01-奉化实验中学-1"/>
                          <pic:cNvPicPr>
                            <a:picLocks noChangeAspect="1"/>
                          </pic:cNvPicPr>
                        </pic:nvPicPr>
                        <pic:blipFill>
                          <a:blip r:embed="rId15" cstate="print"/>
                          <a:srcRect l="322" r="-322" b="15400"/>
                          <a:stretch>
                            <a:fillRect/>
                          </a:stretch>
                        </pic:blipFill>
                        <pic:spPr>
                          <a:xfrm>
                            <a:off x="0" y="0"/>
                            <a:ext cx="2961005" cy="2092960"/>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000000" w:fill="FFFFFF"/>
          </w:tcPr>
          <w:p>
            <w:pPr>
              <w:widowControl/>
              <w:jc w:val="left"/>
              <w:rPr>
                <w:rFonts w:ascii="宋体" w:hAnsi="宋体" w:cs="宋体"/>
                <w:kern w:val="0"/>
                <w:sz w:val="18"/>
                <w:szCs w:val="18"/>
              </w:rPr>
            </w:pPr>
            <w:r>
              <w:rPr>
                <w:rFonts w:hint="eastAsia" w:ascii="宋体" w:hAnsi="宋体" w:cs="宋体"/>
                <w:kern w:val="0"/>
                <w:sz w:val="18"/>
                <w:szCs w:val="18"/>
              </w:rPr>
              <w:br w:type="page"/>
            </w:r>
            <w:r>
              <w:rPr>
                <w:rFonts w:hint="eastAsia" w:ascii="宋体" w:hAnsi="宋体" w:cs="宋体"/>
                <w:kern w:val="0"/>
                <w:sz w:val="18"/>
                <w:szCs w:val="18"/>
              </w:rPr>
              <w:t>1、产品规格：≥498mm*498mm*19mm，≥940g。</w:t>
            </w:r>
            <w:r>
              <w:rPr>
                <w:rFonts w:hint="eastAsia" w:ascii="宋体" w:hAnsi="宋体" w:cs="宋体"/>
                <w:kern w:val="0"/>
                <w:sz w:val="18"/>
                <w:szCs w:val="18"/>
              </w:rPr>
              <w:br w:type="page"/>
            </w:r>
            <w:r>
              <w:rPr>
                <w:rFonts w:hint="eastAsia" w:ascii="宋体" w:hAnsi="宋体" w:cs="宋体"/>
                <w:kern w:val="0"/>
                <w:sz w:val="18"/>
                <w:szCs w:val="18"/>
              </w:rPr>
              <w:t>2、食品级改性聚丙烯材质，100%原生料，无毒无味，绿色、安全，环保；</w:t>
            </w:r>
            <w:r>
              <w:rPr>
                <w:rFonts w:hint="eastAsia" w:ascii="宋体" w:hAnsi="宋体" w:cs="宋体"/>
                <w:kern w:val="0"/>
                <w:sz w:val="18"/>
                <w:szCs w:val="18"/>
              </w:rPr>
              <w:br w:type="page"/>
            </w:r>
            <w:r>
              <w:rPr>
                <w:rFonts w:hint="eastAsia" w:ascii="宋体" w:hAnsi="宋体" w:cs="宋体"/>
                <w:kern w:val="0"/>
                <w:sz w:val="18"/>
                <w:szCs w:val="18"/>
              </w:rPr>
              <w:t>3、材料为环保高强度改性聚丙烯，100%原生料，食品级材料，无毒无味，绿色、安全，环保；</w:t>
            </w:r>
            <w:r>
              <w:rPr>
                <w:rFonts w:hint="eastAsia" w:ascii="宋体" w:hAnsi="宋体" w:cs="宋体"/>
                <w:kern w:val="0"/>
                <w:sz w:val="18"/>
                <w:szCs w:val="18"/>
              </w:rPr>
              <w:br w:type="page"/>
            </w:r>
            <w:r>
              <w:rPr>
                <w:rFonts w:hint="eastAsia" w:ascii="宋体" w:hAnsi="宋体" w:cs="宋体"/>
                <w:kern w:val="0"/>
                <w:sz w:val="18"/>
                <w:szCs w:val="18"/>
              </w:rPr>
              <w:t xml:space="preserve">4、整体结构：复合型大米纹面层+软连接（16宫格）+弹性垫，不反光、不刺眼，色泽柔和，极大提高摩擦力，防滑效果更显著； </w:t>
            </w:r>
            <w:r>
              <w:rPr>
                <w:rFonts w:hint="eastAsia" w:ascii="宋体" w:hAnsi="宋体" w:cs="宋体"/>
                <w:kern w:val="0"/>
                <w:sz w:val="18"/>
                <w:szCs w:val="18"/>
              </w:rPr>
              <w:br w:type="page"/>
            </w:r>
            <w:r>
              <w:rPr>
                <w:rFonts w:hint="eastAsia" w:ascii="宋体" w:hAnsi="宋体" w:cs="宋体"/>
                <w:kern w:val="0"/>
                <w:sz w:val="18"/>
                <w:szCs w:val="18"/>
              </w:rPr>
              <w:t>5、皮纹纹理：不反光、不刺眼，色泽柔和，极大提高摩擦力，防滑效果更显著。</w:t>
            </w:r>
            <w:r>
              <w:rPr>
                <w:rFonts w:hint="eastAsia" w:ascii="宋体" w:hAnsi="宋体" w:cs="宋体"/>
                <w:kern w:val="0"/>
                <w:sz w:val="18"/>
                <w:szCs w:val="18"/>
              </w:rPr>
              <w:br w:type="page"/>
            </w:r>
            <w:r>
              <w:rPr>
                <w:rFonts w:hint="eastAsia" w:ascii="宋体" w:hAnsi="宋体" w:cs="宋体"/>
                <w:kern w:val="0"/>
                <w:sz w:val="18"/>
                <w:szCs w:val="18"/>
              </w:rPr>
              <w:t>6、</w:t>
            </w:r>
            <w:r>
              <w:rPr>
                <w:rFonts w:ascii="Symbol" w:hAnsi="Symbol" w:cs="宋体"/>
                <w:kern w:val="0"/>
                <w:sz w:val="18"/>
                <w:szCs w:val="18"/>
              </w:rPr>
              <w:t></w:t>
            </w:r>
            <w:r>
              <w:rPr>
                <w:rFonts w:hint="eastAsia" w:ascii="宋体" w:hAnsi="宋体" w:cs="宋体"/>
                <w:kern w:val="0"/>
                <w:sz w:val="18"/>
                <w:szCs w:val="18"/>
              </w:rPr>
              <w:t>支撑系统：≥80颗弹性垫为主支撑（大大提高冲击吸收及球类回弹）</w:t>
            </w:r>
            <w:r>
              <w:rPr>
                <w:rFonts w:hint="eastAsia" w:ascii="宋体" w:hAnsi="宋体" w:cs="宋体"/>
                <w:kern w:val="0"/>
                <w:sz w:val="18"/>
                <w:szCs w:val="18"/>
              </w:rPr>
              <w:br w:type="page"/>
            </w:r>
            <w:r>
              <w:rPr>
                <w:rFonts w:hint="eastAsia" w:ascii="宋体" w:hAnsi="宋体" w:cs="宋体"/>
                <w:kern w:val="0"/>
                <w:sz w:val="18"/>
                <w:szCs w:val="18"/>
              </w:rPr>
              <w:t>7、</w:t>
            </w:r>
            <w:r>
              <w:rPr>
                <w:rFonts w:ascii="Symbol" w:hAnsi="Symbol" w:cs="宋体"/>
                <w:kern w:val="0"/>
                <w:sz w:val="18"/>
                <w:szCs w:val="18"/>
              </w:rPr>
              <w:t></w:t>
            </w:r>
            <w:r>
              <w:rPr>
                <w:rFonts w:hint="eastAsia" w:ascii="宋体" w:hAnsi="宋体" w:cs="宋体"/>
                <w:kern w:val="0"/>
                <w:sz w:val="18"/>
                <w:szCs w:val="18"/>
              </w:rPr>
              <w:t>采用航空材质、圆形结构设计二代固定块可以扩大安装区域，单块产品正中间中扣可取出、嵌入，为保障整体性和平整度，中扣直径不大于40mm, 更大缓冲间隙，实现360°旋转，有效防风、防盗、防位移。</w:t>
            </w:r>
            <w:r>
              <w:rPr>
                <w:rFonts w:hint="eastAsia" w:ascii="宋体" w:hAnsi="宋体" w:cs="宋体"/>
                <w:kern w:val="0"/>
                <w:sz w:val="18"/>
                <w:szCs w:val="18"/>
              </w:rPr>
              <w:br w:type="page"/>
            </w:r>
            <w:r>
              <w:rPr>
                <w:rFonts w:hint="eastAsia" w:ascii="宋体" w:hAnsi="宋体" w:cs="宋体"/>
                <w:kern w:val="0"/>
                <w:sz w:val="18"/>
                <w:szCs w:val="18"/>
              </w:rPr>
              <w:t>具体参数：</w:t>
            </w:r>
            <w:r>
              <w:rPr>
                <w:rFonts w:hint="eastAsia" w:ascii="宋体" w:hAnsi="宋体" w:cs="宋体"/>
                <w:kern w:val="0"/>
                <w:sz w:val="18"/>
                <w:szCs w:val="18"/>
              </w:rPr>
              <w:br w:type="page"/>
            </w:r>
            <w:r>
              <w:rPr>
                <w:rFonts w:hint="eastAsia" w:ascii="宋体" w:hAnsi="宋体" w:cs="宋体"/>
                <w:kern w:val="0"/>
                <w:sz w:val="18"/>
                <w:szCs w:val="18"/>
              </w:rPr>
              <w:t>1、冲击吸收：</w:t>
            </w:r>
            <w:r>
              <w:rPr>
                <w:rFonts w:hint="eastAsia" w:ascii="宋体" w:hAnsi="宋体" w:cs="宋体"/>
                <w:kern w:val="0"/>
                <w:sz w:val="18"/>
                <w:szCs w:val="18"/>
              </w:rPr>
              <w:br w:type="page"/>
            </w:r>
            <w:r>
              <w:rPr>
                <w:rFonts w:hint="eastAsia" w:ascii="宋体" w:hAnsi="宋体" w:cs="宋体"/>
                <w:kern w:val="0"/>
                <w:sz w:val="18"/>
                <w:szCs w:val="18"/>
              </w:rPr>
              <w:t>① （0±2）℃：20~50%；② （23±2）℃：20~50%；③ （50±2）℃：20~50%；</w:t>
            </w:r>
            <w:r>
              <w:rPr>
                <w:rFonts w:hint="eastAsia" w:ascii="宋体" w:hAnsi="宋体" w:cs="宋体"/>
                <w:kern w:val="0"/>
                <w:sz w:val="18"/>
                <w:szCs w:val="18"/>
              </w:rPr>
              <w:br w:type="page"/>
            </w:r>
            <w:r>
              <w:rPr>
                <w:rFonts w:hint="eastAsia" w:ascii="宋体" w:hAnsi="宋体" w:cs="宋体"/>
                <w:kern w:val="0"/>
                <w:sz w:val="18"/>
                <w:szCs w:val="18"/>
              </w:rPr>
              <w:t>2. 抗滑值/(BFN,20℃)：80~110（干测）；</w:t>
            </w:r>
            <w:r>
              <w:rPr>
                <w:rFonts w:hint="eastAsia" w:ascii="宋体" w:hAnsi="宋体" w:cs="宋体"/>
                <w:kern w:val="0"/>
                <w:sz w:val="18"/>
                <w:szCs w:val="18"/>
              </w:rPr>
              <w:br w:type="page"/>
            </w:r>
            <w:r>
              <w:rPr>
                <w:rFonts w:hint="eastAsia" w:ascii="宋体" w:hAnsi="宋体" w:cs="宋体"/>
                <w:kern w:val="0"/>
                <w:sz w:val="18"/>
                <w:szCs w:val="18"/>
              </w:rPr>
              <w:t>3. 拉伸强度（MPa）≥0.4；</w:t>
            </w:r>
            <w:r>
              <w:rPr>
                <w:rFonts w:hint="eastAsia" w:ascii="宋体" w:hAnsi="宋体" w:cs="宋体"/>
                <w:kern w:val="0"/>
                <w:sz w:val="18"/>
                <w:szCs w:val="18"/>
              </w:rPr>
              <w:br w:type="page"/>
            </w:r>
            <w:r>
              <w:rPr>
                <w:rFonts w:hint="eastAsia" w:ascii="宋体" w:hAnsi="宋体" w:cs="宋体"/>
                <w:kern w:val="0"/>
                <w:sz w:val="18"/>
                <w:szCs w:val="18"/>
              </w:rPr>
              <w:t>4. 拉断伸长率≥40%；</w:t>
            </w:r>
            <w:r>
              <w:rPr>
                <w:rFonts w:hint="eastAsia" w:ascii="宋体" w:hAnsi="宋体" w:cs="宋体"/>
                <w:kern w:val="0"/>
                <w:sz w:val="18"/>
                <w:szCs w:val="18"/>
              </w:rPr>
              <w:br w:type="page"/>
            </w:r>
            <w:r>
              <w:rPr>
                <w:rFonts w:hint="eastAsia" w:ascii="宋体" w:hAnsi="宋体" w:cs="宋体"/>
                <w:kern w:val="0"/>
                <w:sz w:val="18"/>
                <w:szCs w:val="18"/>
              </w:rPr>
              <w:t>5、有害物质释放量：</w:t>
            </w:r>
            <w:r>
              <w:rPr>
                <w:rFonts w:hint="eastAsia" w:ascii="宋体" w:hAnsi="宋体" w:cs="宋体"/>
                <w:kern w:val="0"/>
                <w:sz w:val="18"/>
                <w:szCs w:val="18"/>
              </w:rPr>
              <w:br w:type="page"/>
            </w:r>
            <w:r>
              <w:rPr>
                <w:rFonts w:hint="eastAsia" w:ascii="宋体" w:hAnsi="宋体" w:cs="宋体"/>
                <w:kern w:val="0"/>
                <w:sz w:val="18"/>
                <w:szCs w:val="18"/>
              </w:rPr>
              <w:t>① 总挥发性有机化合物（TVOC）≤5.0mg/（m²•h）；② 甲醛≤0.4mg/（m²•h）；③ 苯≤0.1mg/（m²•h）；④ 甲苯、二甲苯和乙苯总和≤1.0mg/（m²•h）；⑤ 二硫化碳≤7.0mg/（m²•h）；</w:t>
            </w:r>
            <w:r>
              <w:rPr>
                <w:rFonts w:hint="eastAsia" w:ascii="宋体" w:hAnsi="宋体" w:cs="宋体"/>
                <w:kern w:val="0"/>
                <w:sz w:val="18"/>
                <w:szCs w:val="18"/>
              </w:rPr>
              <w:br w:type="page"/>
            </w:r>
            <w:r>
              <w:rPr>
                <w:rFonts w:hint="eastAsia" w:ascii="宋体" w:hAnsi="宋体" w:cs="宋体"/>
                <w:kern w:val="0"/>
                <w:sz w:val="18"/>
                <w:szCs w:val="18"/>
              </w:rPr>
              <w:t>8、含画线和收边条。</w:t>
            </w:r>
          </w:p>
        </w:tc>
      </w:tr>
      <w:tr>
        <w:tblPrEx>
          <w:tblCellMar>
            <w:top w:w="0" w:type="dxa"/>
            <w:left w:w="108" w:type="dxa"/>
            <w:bottom w:w="0" w:type="dxa"/>
            <w:right w:w="108" w:type="dxa"/>
          </w:tblCellMar>
        </w:tblPrEx>
        <w:trPr>
          <w:trHeight w:val="8179"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5</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向阳学校</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536</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3360" behindDoc="0" locked="0" layoutInCell="1" allowOverlap="1">
                  <wp:simplePos x="0" y="0"/>
                  <wp:positionH relativeFrom="column">
                    <wp:posOffset>28575</wp:posOffset>
                  </wp:positionH>
                  <wp:positionV relativeFrom="paragraph">
                    <wp:posOffset>1609725</wp:posOffset>
                  </wp:positionV>
                  <wp:extent cx="2952750" cy="1933575"/>
                  <wp:effectExtent l="0" t="0" r="0" b="0"/>
                  <wp:wrapNone/>
                  <wp:docPr id="14" name="图片 14" descr="2.17-02-向阳学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7-02-向阳学校---2"/>
                          <pic:cNvPicPr>
                            <a:picLocks noChangeAspect="1"/>
                          </pic:cNvPicPr>
                        </pic:nvPicPr>
                        <pic:blipFill>
                          <a:blip r:embed="rId16" cstate="print"/>
                          <a:srcRect b="31643"/>
                          <a:stretch>
                            <a:fillRect/>
                          </a:stretch>
                        </pic:blipFill>
                        <pic:spPr>
                          <a:xfrm>
                            <a:off x="0" y="0"/>
                            <a:ext cx="2954655" cy="1934210"/>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auto" w:fill="auto"/>
          </w:tcPr>
          <w:p>
            <w:pPr>
              <w:widowControl/>
              <w:jc w:val="left"/>
              <w:rPr>
                <w:rFonts w:ascii="宋体" w:hAnsi="宋体" w:cs="宋体"/>
                <w:kern w:val="0"/>
                <w:sz w:val="20"/>
                <w:szCs w:val="20"/>
              </w:rPr>
            </w:pPr>
            <w:r>
              <w:rPr>
                <w:rFonts w:ascii="Helvetica" w:hAnsi="Helvetica" w:cs="宋体"/>
                <w:kern w:val="0"/>
                <w:sz w:val="20"/>
                <w:szCs w:val="20"/>
              </w:rPr>
              <w:t>1</w:t>
            </w:r>
            <w:r>
              <w:rPr>
                <w:rFonts w:hint="eastAsia" w:ascii="宋体" w:hAnsi="宋体" w:cs="宋体"/>
                <w:kern w:val="0"/>
                <w:sz w:val="20"/>
                <w:szCs w:val="20"/>
              </w:rPr>
              <w:t>、产品规格：≥</w:t>
            </w:r>
            <w:r>
              <w:rPr>
                <w:rFonts w:ascii="宋体" w:hAnsi="宋体" w:cs="宋体"/>
                <w:kern w:val="0"/>
                <w:sz w:val="20"/>
                <w:szCs w:val="20"/>
              </w:rPr>
              <w:t>340mm×340mm×15.8mm；</w:t>
            </w:r>
            <w:r>
              <w:rPr>
                <w:rFonts w:hint="eastAsia" w:ascii="宋体" w:hAnsi="宋体" w:cs="宋体"/>
                <w:kern w:val="0"/>
                <w:sz w:val="20"/>
                <w:szCs w:val="20"/>
              </w:rPr>
              <w:t>≥</w:t>
            </w:r>
            <w:r>
              <w:rPr>
                <w:rFonts w:ascii="宋体" w:hAnsi="宋体" w:cs="宋体"/>
                <w:kern w:val="0"/>
                <w:sz w:val="20"/>
                <w:szCs w:val="20"/>
              </w:rPr>
              <w:t>320g</w:t>
            </w:r>
            <w:r>
              <w:rPr>
                <w:rFonts w:hint="eastAsia" w:ascii="宋体" w:hAnsi="宋体" w:cs="宋体"/>
                <w:kern w:val="0"/>
                <w:sz w:val="20"/>
                <w:szCs w:val="20"/>
              </w:rPr>
              <w:t>。</w:t>
            </w:r>
            <w:r>
              <w:rPr>
                <w:rFonts w:ascii="Helvetica" w:hAnsi="Helvetica" w:cs="宋体"/>
                <w:kern w:val="0"/>
                <w:sz w:val="20"/>
                <w:szCs w:val="20"/>
              </w:rPr>
              <w:br w:type="page"/>
            </w:r>
            <w:r>
              <w:rPr>
                <w:rFonts w:ascii="Helvetica" w:hAnsi="Helvetica" w:cs="宋体"/>
                <w:kern w:val="0"/>
                <w:sz w:val="20"/>
                <w:szCs w:val="20"/>
              </w:rPr>
              <w:t>2</w:t>
            </w:r>
            <w:r>
              <w:rPr>
                <w:rFonts w:hint="eastAsia" w:ascii="宋体" w:hAnsi="宋体" w:cs="宋体"/>
                <w:kern w:val="0"/>
                <w:sz w:val="20"/>
                <w:szCs w:val="20"/>
              </w:rPr>
              <w:t>、食品级改性聚丙烯材质，</w:t>
            </w:r>
            <w:r>
              <w:rPr>
                <w:rFonts w:ascii="Helvetica" w:hAnsi="Helvetica" w:cs="宋体"/>
                <w:kern w:val="0"/>
                <w:sz w:val="20"/>
                <w:szCs w:val="20"/>
              </w:rPr>
              <w:t>100%</w:t>
            </w:r>
            <w:r>
              <w:rPr>
                <w:rFonts w:hint="eastAsia" w:ascii="宋体" w:hAnsi="宋体" w:cs="宋体"/>
                <w:kern w:val="0"/>
                <w:sz w:val="20"/>
                <w:szCs w:val="20"/>
              </w:rPr>
              <w:t>原生料，无毒无味，绿色、安全，环保；</w:t>
            </w:r>
            <w:r>
              <w:rPr>
                <w:rFonts w:ascii="Helvetica" w:hAnsi="Helvetica" w:cs="宋体"/>
                <w:kern w:val="0"/>
                <w:sz w:val="20"/>
                <w:szCs w:val="20"/>
              </w:rPr>
              <w:br w:type="page"/>
            </w:r>
            <w:r>
              <w:rPr>
                <w:rFonts w:ascii="Helvetica" w:hAnsi="Helvetica" w:cs="宋体"/>
                <w:kern w:val="0"/>
                <w:sz w:val="20"/>
                <w:szCs w:val="20"/>
              </w:rPr>
              <w:t>3</w:t>
            </w:r>
            <w:r>
              <w:rPr>
                <w:rFonts w:hint="eastAsia" w:ascii="宋体" w:hAnsi="宋体" w:cs="宋体"/>
                <w:kern w:val="0"/>
                <w:sz w:val="20"/>
                <w:szCs w:val="20"/>
              </w:rPr>
              <w:t>、运动地板外观：适合于运动，具备运动地板特性。</w:t>
            </w:r>
            <w:r>
              <w:rPr>
                <w:rFonts w:ascii="Helvetica" w:hAnsi="Helvetica" w:cs="宋体"/>
                <w:kern w:val="0"/>
                <w:sz w:val="20"/>
                <w:szCs w:val="20"/>
              </w:rPr>
              <w:br w:type="page"/>
            </w:r>
            <w:r>
              <w:rPr>
                <w:rFonts w:ascii="Helvetica" w:hAnsi="Helvetica" w:cs="宋体"/>
                <w:kern w:val="0"/>
                <w:sz w:val="20"/>
                <w:szCs w:val="20"/>
              </w:rPr>
              <w:t>4</w:t>
            </w:r>
            <w:r>
              <w:rPr>
                <w:rFonts w:hint="eastAsia" w:ascii="宋体" w:hAnsi="宋体" w:cs="宋体"/>
                <w:kern w:val="0"/>
                <w:sz w:val="20"/>
                <w:szCs w:val="20"/>
              </w:rPr>
              <w:t>、皮纹纹理：不反光、不刺眼，色泽柔和，极大提高摩擦力，防滑效果更显著</w:t>
            </w:r>
            <w:r>
              <w:rPr>
                <w:rFonts w:ascii="Helvetica" w:hAnsi="Helvetica" w:cs="宋体"/>
                <w:kern w:val="0"/>
                <w:sz w:val="20"/>
                <w:szCs w:val="20"/>
              </w:rPr>
              <w:br w:type="page"/>
            </w:r>
            <w:r>
              <w:rPr>
                <w:rFonts w:ascii="Helvetica" w:hAnsi="Helvetica" w:cs="宋体"/>
                <w:kern w:val="0"/>
                <w:sz w:val="20"/>
                <w:szCs w:val="20"/>
              </w:rPr>
              <w:t>5</w:t>
            </w:r>
            <w:r>
              <w:rPr>
                <w:rFonts w:hint="eastAsia" w:ascii="宋体" w:hAnsi="宋体" w:cs="宋体"/>
                <w:kern w:val="0"/>
                <w:sz w:val="20"/>
                <w:szCs w:val="20"/>
              </w:rPr>
              <w:t>、防热胀冷缩性：由</w:t>
            </w:r>
            <w:r>
              <w:rPr>
                <w:rFonts w:ascii="Helvetica" w:hAnsi="Helvetica" w:cs="宋体"/>
                <w:kern w:val="0"/>
                <w:sz w:val="20"/>
                <w:szCs w:val="20"/>
              </w:rPr>
              <w:t>12</w:t>
            </w:r>
            <w:r>
              <w:rPr>
                <w:rFonts w:hint="eastAsia" w:ascii="宋体" w:hAnsi="宋体" w:cs="宋体"/>
                <w:kern w:val="0"/>
                <w:sz w:val="20"/>
                <w:szCs w:val="20"/>
              </w:rPr>
              <w:t>组弹性臂弹性支柱构成</w:t>
            </w:r>
            <w:r>
              <w:rPr>
                <w:rFonts w:ascii="Helvetica" w:hAnsi="Helvetica" w:cs="宋体"/>
                <w:kern w:val="0"/>
                <w:sz w:val="20"/>
                <w:szCs w:val="20"/>
              </w:rPr>
              <w:t>+4</w:t>
            </w:r>
            <w:r>
              <w:rPr>
                <w:rFonts w:hint="eastAsia" w:ascii="宋体" w:hAnsi="宋体" w:cs="宋体"/>
                <w:kern w:val="0"/>
                <w:sz w:val="20"/>
                <w:szCs w:val="20"/>
              </w:rPr>
              <w:t>组弓形扣组合构成，防止因温度变化引起的起拱或拉裂，保证地板在</w:t>
            </w:r>
            <w:r>
              <w:rPr>
                <w:rFonts w:ascii="Helvetica" w:hAnsi="Helvetica" w:cs="宋体"/>
                <w:kern w:val="0"/>
                <w:sz w:val="20"/>
                <w:szCs w:val="20"/>
              </w:rPr>
              <w:t>2</w:t>
            </w:r>
            <w:r>
              <w:rPr>
                <w:rFonts w:hint="eastAsia" w:ascii="宋体" w:hAnsi="宋体" w:cs="宋体"/>
                <w:kern w:val="0"/>
                <w:sz w:val="20"/>
                <w:szCs w:val="20"/>
              </w:rPr>
              <w:t>间隙伸缩</w:t>
            </w:r>
            <w:r>
              <w:rPr>
                <w:rFonts w:ascii="Helvetica" w:hAnsi="Helvetica" w:cs="宋体"/>
                <w:kern w:val="0"/>
                <w:sz w:val="20"/>
                <w:szCs w:val="20"/>
              </w:rPr>
              <w:t>6</w:t>
            </w:r>
            <w:r>
              <w:rPr>
                <w:rFonts w:hint="eastAsia" w:ascii="宋体" w:hAnsi="宋体" w:cs="宋体"/>
                <w:kern w:val="0"/>
                <w:sz w:val="20"/>
                <w:szCs w:val="20"/>
              </w:rPr>
              <w:t>、单块地板包含两个专用固定结构设计，双重固定块可从地板中嵌入、取出，可以扩大安装区域，更大缓冲间隙，保证施工精度和安全。有效防风、防盗、防位移，均匀减震；防止软连接结构造成的蹬地位移起拱现象。</w:t>
            </w:r>
            <w:r>
              <w:rPr>
                <w:rFonts w:ascii="Helvetica" w:hAnsi="Helvetica" w:cs="宋体"/>
                <w:kern w:val="0"/>
                <w:sz w:val="20"/>
                <w:szCs w:val="20"/>
              </w:rPr>
              <w:br w:type="page"/>
            </w:r>
            <w:r>
              <w:rPr>
                <w:rFonts w:ascii="Helvetica" w:hAnsi="Helvetica" w:cs="宋体"/>
                <w:kern w:val="0"/>
                <w:sz w:val="20"/>
                <w:szCs w:val="20"/>
              </w:rPr>
              <w:t>7</w:t>
            </w:r>
            <w:r>
              <w:rPr>
                <w:rFonts w:hint="eastAsia" w:ascii="宋体" w:hAnsi="宋体" w:cs="宋体"/>
                <w:kern w:val="0"/>
                <w:sz w:val="20"/>
                <w:szCs w:val="20"/>
              </w:rPr>
              <w:t>、支撑系统：由</w:t>
            </w:r>
            <w:r>
              <w:rPr>
                <w:rFonts w:ascii="Helvetica" w:hAnsi="Helvetica" w:cs="宋体"/>
                <w:kern w:val="0"/>
                <w:sz w:val="20"/>
                <w:szCs w:val="20"/>
              </w:rPr>
              <w:t>800</w:t>
            </w:r>
            <w:r>
              <w:rPr>
                <w:rFonts w:hint="eastAsia" w:ascii="宋体" w:hAnsi="宋体" w:cs="宋体"/>
                <w:kern w:val="0"/>
                <w:sz w:val="20"/>
                <w:szCs w:val="20"/>
              </w:rPr>
              <w:t>根细弹支撑柱构成，即保证了冲击吸收又达到了球类回弹要求</w:t>
            </w:r>
            <w:r>
              <w:rPr>
                <w:rFonts w:ascii="Helvetica" w:hAnsi="Helvetica" w:cs="宋体"/>
                <w:kern w:val="0"/>
                <w:sz w:val="20"/>
                <w:szCs w:val="20"/>
              </w:rPr>
              <w:br w:type="page"/>
            </w:r>
            <w:r>
              <w:rPr>
                <w:rFonts w:hint="eastAsia" w:ascii="宋体" w:hAnsi="宋体" w:cs="宋体"/>
                <w:kern w:val="0"/>
                <w:sz w:val="20"/>
                <w:szCs w:val="20"/>
              </w:rPr>
              <w:t>具体参数：</w:t>
            </w:r>
            <w:r>
              <w:rPr>
                <w:rFonts w:ascii="Helvetica" w:hAnsi="Helvetica" w:cs="宋体"/>
                <w:kern w:val="0"/>
                <w:sz w:val="20"/>
                <w:szCs w:val="20"/>
              </w:rPr>
              <w:br w:type="page"/>
            </w:r>
            <w:r>
              <w:rPr>
                <w:rFonts w:ascii="Helvetica" w:hAnsi="Helvetica" w:cs="宋体"/>
                <w:kern w:val="0"/>
                <w:sz w:val="20"/>
                <w:szCs w:val="20"/>
              </w:rPr>
              <w:t>1</w:t>
            </w:r>
            <w:r>
              <w:rPr>
                <w:rFonts w:hint="eastAsia" w:ascii="宋体" w:hAnsi="宋体" w:cs="宋体"/>
                <w:kern w:val="0"/>
                <w:sz w:val="20"/>
                <w:szCs w:val="20"/>
              </w:rPr>
              <w:t>、冲击吸收：①</w:t>
            </w:r>
            <w:r>
              <w:rPr>
                <w:rFonts w:ascii="Helvetica" w:hAnsi="Helvetica" w:cs="宋体"/>
                <w:kern w:val="0"/>
                <w:sz w:val="20"/>
                <w:szCs w:val="20"/>
              </w:rPr>
              <w:t xml:space="preserve"> </w:t>
            </w:r>
            <w:r>
              <w:rPr>
                <w:rFonts w:hint="eastAsia" w:ascii="宋体" w:hAnsi="宋体" w:cs="宋体"/>
                <w:kern w:val="0"/>
                <w:sz w:val="20"/>
                <w:szCs w:val="20"/>
              </w:rPr>
              <w:t>（</w:t>
            </w:r>
            <w:r>
              <w:rPr>
                <w:rFonts w:ascii="Helvetica" w:hAnsi="Helvetica" w:cs="宋体"/>
                <w:kern w:val="0"/>
                <w:sz w:val="20"/>
                <w:szCs w:val="20"/>
              </w:rPr>
              <w:t>0±2</w:t>
            </w:r>
            <w:r>
              <w:rPr>
                <w:rFonts w:hint="eastAsia" w:ascii="宋体" w:hAnsi="宋体" w:cs="宋体"/>
                <w:kern w:val="0"/>
                <w:sz w:val="20"/>
                <w:szCs w:val="20"/>
              </w:rPr>
              <w:t>）℃：</w:t>
            </w:r>
            <w:r>
              <w:rPr>
                <w:rFonts w:ascii="Helvetica" w:hAnsi="Helvetica" w:cs="宋体"/>
                <w:kern w:val="0"/>
                <w:sz w:val="20"/>
                <w:szCs w:val="20"/>
              </w:rPr>
              <w:t>20~50%</w:t>
            </w:r>
            <w:r>
              <w:rPr>
                <w:rFonts w:hint="eastAsia" w:ascii="宋体" w:hAnsi="宋体" w:cs="宋体"/>
                <w:kern w:val="0"/>
                <w:sz w:val="20"/>
                <w:szCs w:val="20"/>
              </w:rPr>
              <w:t>；②</w:t>
            </w:r>
            <w:r>
              <w:rPr>
                <w:rFonts w:ascii="Helvetica" w:hAnsi="Helvetica" w:cs="宋体"/>
                <w:kern w:val="0"/>
                <w:sz w:val="20"/>
                <w:szCs w:val="20"/>
              </w:rPr>
              <w:t xml:space="preserve"> </w:t>
            </w:r>
            <w:r>
              <w:rPr>
                <w:rFonts w:hint="eastAsia" w:ascii="宋体" w:hAnsi="宋体" w:cs="宋体"/>
                <w:kern w:val="0"/>
                <w:sz w:val="20"/>
                <w:szCs w:val="20"/>
              </w:rPr>
              <w:t>（</w:t>
            </w:r>
            <w:r>
              <w:rPr>
                <w:rFonts w:ascii="Helvetica" w:hAnsi="Helvetica" w:cs="宋体"/>
                <w:kern w:val="0"/>
                <w:sz w:val="20"/>
                <w:szCs w:val="20"/>
              </w:rPr>
              <w:t>23±2</w:t>
            </w:r>
            <w:r>
              <w:rPr>
                <w:rFonts w:hint="eastAsia" w:ascii="宋体" w:hAnsi="宋体" w:cs="宋体"/>
                <w:kern w:val="0"/>
                <w:sz w:val="20"/>
                <w:szCs w:val="20"/>
              </w:rPr>
              <w:t>）℃：</w:t>
            </w:r>
            <w:r>
              <w:rPr>
                <w:rFonts w:ascii="Helvetica" w:hAnsi="Helvetica" w:cs="宋体"/>
                <w:kern w:val="0"/>
                <w:sz w:val="20"/>
                <w:szCs w:val="20"/>
              </w:rPr>
              <w:t>20~50%</w:t>
            </w:r>
            <w:r>
              <w:rPr>
                <w:rFonts w:hint="eastAsia" w:ascii="宋体" w:hAnsi="宋体" w:cs="宋体"/>
                <w:kern w:val="0"/>
                <w:sz w:val="20"/>
                <w:szCs w:val="20"/>
              </w:rPr>
              <w:t>；③</w:t>
            </w:r>
            <w:r>
              <w:rPr>
                <w:rFonts w:ascii="Helvetica" w:hAnsi="Helvetica" w:cs="宋体"/>
                <w:kern w:val="0"/>
                <w:sz w:val="20"/>
                <w:szCs w:val="20"/>
              </w:rPr>
              <w:t xml:space="preserve"> </w:t>
            </w:r>
            <w:r>
              <w:rPr>
                <w:rFonts w:hint="eastAsia" w:ascii="宋体" w:hAnsi="宋体" w:cs="宋体"/>
                <w:kern w:val="0"/>
                <w:sz w:val="20"/>
                <w:szCs w:val="20"/>
              </w:rPr>
              <w:t>（</w:t>
            </w:r>
            <w:r>
              <w:rPr>
                <w:rFonts w:ascii="Helvetica" w:hAnsi="Helvetica" w:cs="宋体"/>
                <w:kern w:val="0"/>
                <w:sz w:val="20"/>
                <w:szCs w:val="20"/>
              </w:rPr>
              <w:t>50±2</w:t>
            </w:r>
            <w:r>
              <w:rPr>
                <w:rFonts w:hint="eastAsia" w:ascii="宋体" w:hAnsi="宋体" w:cs="宋体"/>
                <w:kern w:val="0"/>
                <w:sz w:val="20"/>
                <w:szCs w:val="20"/>
              </w:rPr>
              <w:t>）℃：</w:t>
            </w:r>
            <w:r>
              <w:rPr>
                <w:rFonts w:ascii="Helvetica" w:hAnsi="Helvetica" w:cs="宋体"/>
                <w:kern w:val="0"/>
                <w:sz w:val="20"/>
                <w:szCs w:val="20"/>
              </w:rPr>
              <w:t>20~50%</w:t>
            </w:r>
            <w:r>
              <w:rPr>
                <w:rFonts w:hint="eastAsia" w:ascii="宋体" w:hAnsi="宋体" w:cs="宋体"/>
                <w:kern w:val="0"/>
                <w:sz w:val="20"/>
                <w:szCs w:val="20"/>
              </w:rPr>
              <w:t>；</w:t>
            </w:r>
            <w:r>
              <w:rPr>
                <w:rFonts w:ascii="Helvetica" w:hAnsi="Helvetica" w:cs="宋体"/>
                <w:kern w:val="0"/>
                <w:sz w:val="20"/>
                <w:szCs w:val="20"/>
              </w:rPr>
              <w:br w:type="page"/>
            </w:r>
            <w:r>
              <w:rPr>
                <w:rFonts w:ascii="Helvetica" w:hAnsi="Helvetica" w:cs="宋体"/>
                <w:kern w:val="0"/>
                <w:sz w:val="20"/>
                <w:szCs w:val="20"/>
              </w:rPr>
              <w:t xml:space="preserve">2. </w:t>
            </w:r>
            <w:r>
              <w:rPr>
                <w:rFonts w:hint="eastAsia" w:ascii="宋体" w:hAnsi="宋体" w:cs="宋体"/>
                <w:kern w:val="0"/>
                <w:sz w:val="20"/>
                <w:szCs w:val="20"/>
              </w:rPr>
              <w:t>抗滑值</w:t>
            </w:r>
            <w:r>
              <w:rPr>
                <w:rFonts w:ascii="Helvetica" w:hAnsi="Helvetica" w:cs="宋体"/>
                <w:kern w:val="0"/>
                <w:sz w:val="20"/>
                <w:szCs w:val="20"/>
              </w:rPr>
              <w:t>/(BFN,20</w:t>
            </w:r>
            <w:r>
              <w:rPr>
                <w:rFonts w:hint="eastAsia" w:ascii="宋体" w:hAnsi="宋体" w:cs="宋体"/>
                <w:kern w:val="0"/>
                <w:sz w:val="20"/>
                <w:szCs w:val="20"/>
              </w:rPr>
              <w:t>℃</w:t>
            </w:r>
            <w:r>
              <w:rPr>
                <w:rFonts w:ascii="Helvetica" w:hAnsi="Helvetica" w:cs="宋体"/>
                <w:kern w:val="0"/>
                <w:sz w:val="20"/>
                <w:szCs w:val="20"/>
              </w:rPr>
              <w:t>)</w:t>
            </w:r>
            <w:r>
              <w:rPr>
                <w:rFonts w:hint="eastAsia" w:ascii="宋体" w:hAnsi="宋体" w:cs="宋体"/>
                <w:kern w:val="0"/>
                <w:sz w:val="20"/>
                <w:szCs w:val="20"/>
              </w:rPr>
              <w:t>：</w:t>
            </w:r>
            <w:r>
              <w:rPr>
                <w:rFonts w:ascii="Helvetica" w:hAnsi="Helvetica" w:cs="宋体"/>
                <w:kern w:val="0"/>
                <w:sz w:val="20"/>
                <w:szCs w:val="20"/>
              </w:rPr>
              <w:t>80~110</w:t>
            </w:r>
            <w:r>
              <w:rPr>
                <w:rFonts w:hint="eastAsia" w:ascii="宋体" w:hAnsi="宋体" w:cs="宋体"/>
                <w:kern w:val="0"/>
                <w:sz w:val="20"/>
                <w:szCs w:val="20"/>
              </w:rPr>
              <w:t>（干测）；</w:t>
            </w:r>
            <w:r>
              <w:rPr>
                <w:rFonts w:ascii="Helvetica" w:hAnsi="Helvetica" w:cs="宋体"/>
                <w:kern w:val="0"/>
                <w:sz w:val="20"/>
                <w:szCs w:val="20"/>
              </w:rPr>
              <w:br w:type="page"/>
            </w:r>
            <w:r>
              <w:rPr>
                <w:rFonts w:ascii="Helvetica" w:hAnsi="Helvetica" w:cs="宋体"/>
                <w:kern w:val="0"/>
                <w:sz w:val="20"/>
                <w:szCs w:val="20"/>
              </w:rPr>
              <w:t xml:space="preserve">3. </w:t>
            </w:r>
            <w:r>
              <w:rPr>
                <w:rFonts w:hint="eastAsia" w:ascii="宋体" w:hAnsi="宋体" w:cs="宋体"/>
                <w:kern w:val="0"/>
                <w:sz w:val="20"/>
                <w:szCs w:val="20"/>
              </w:rPr>
              <w:t>拉伸强度（</w:t>
            </w:r>
            <w:r>
              <w:rPr>
                <w:rFonts w:ascii="Helvetica" w:hAnsi="Helvetica" w:cs="宋体"/>
                <w:kern w:val="0"/>
                <w:sz w:val="20"/>
                <w:szCs w:val="20"/>
              </w:rPr>
              <w:t>MPa</w:t>
            </w:r>
            <w:r>
              <w:rPr>
                <w:rFonts w:hint="eastAsia" w:ascii="宋体" w:hAnsi="宋体" w:cs="宋体"/>
                <w:kern w:val="0"/>
                <w:sz w:val="20"/>
                <w:szCs w:val="20"/>
              </w:rPr>
              <w:t>）</w:t>
            </w:r>
            <w:r>
              <w:rPr>
                <w:rFonts w:ascii="Helvetica" w:hAnsi="Helvetica" w:cs="宋体"/>
                <w:kern w:val="0"/>
                <w:sz w:val="20"/>
                <w:szCs w:val="20"/>
              </w:rPr>
              <w:t>≥0.4</w:t>
            </w:r>
            <w:r>
              <w:rPr>
                <w:rFonts w:hint="eastAsia" w:ascii="宋体" w:hAnsi="宋体" w:cs="宋体"/>
                <w:kern w:val="0"/>
                <w:sz w:val="20"/>
                <w:szCs w:val="20"/>
              </w:rPr>
              <w:t>；</w:t>
            </w:r>
            <w:r>
              <w:rPr>
                <w:rFonts w:ascii="Helvetica" w:hAnsi="Helvetica" w:cs="宋体"/>
                <w:kern w:val="0"/>
                <w:sz w:val="20"/>
                <w:szCs w:val="20"/>
              </w:rPr>
              <w:br w:type="page"/>
            </w:r>
            <w:r>
              <w:rPr>
                <w:rFonts w:ascii="Helvetica" w:hAnsi="Helvetica" w:cs="宋体"/>
                <w:kern w:val="0"/>
                <w:sz w:val="20"/>
                <w:szCs w:val="20"/>
              </w:rPr>
              <w:t xml:space="preserve">4. </w:t>
            </w:r>
            <w:r>
              <w:rPr>
                <w:rFonts w:hint="eastAsia" w:ascii="宋体" w:hAnsi="宋体" w:cs="宋体"/>
                <w:kern w:val="0"/>
                <w:sz w:val="20"/>
                <w:szCs w:val="20"/>
              </w:rPr>
              <w:t>拉断伸长率</w:t>
            </w:r>
            <w:r>
              <w:rPr>
                <w:rFonts w:ascii="Helvetica" w:hAnsi="Helvetica" w:cs="宋体"/>
                <w:kern w:val="0"/>
                <w:sz w:val="20"/>
                <w:szCs w:val="20"/>
              </w:rPr>
              <w:t>≥40%</w:t>
            </w:r>
            <w:r>
              <w:rPr>
                <w:rFonts w:hint="eastAsia" w:ascii="宋体" w:hAnsi="宋体" w:cs="宋体"/>
                <w:kern w:val="0"/>
                <w:sz w:val="20"/>
                <w:szCs w:val="20"/>
              </w:rPr>
              <w:t>；</w:t>
            </w:r>
            <w:r>
              <w:rPr>
                <w:rFonts w:ascii="Helvetica" w:hAnsi="Helvetica" w:cs="宋体"/>
                <w:kern w:val="0"/>
                <w:sz w:val="20"/>
                <w:szCs w:val="20"/>
              </w:rPr>
              <w:br w:type="page"/>
            </w:r>
            <w:r>
              <w:rPr>
                <w:rFonts w:ascii="Helvetica" w:hAnsi="Helvetica" w:cs="宋体"/>
                <w:kern w:val="0"/>
                <w:sz w:val="20"/>
                <w:szCs w:val="20"/>
              </w:rPr>
              <w:t>5</w:t>
            </w:r>
            <w:r>
              <w:rPr>
                <w:rFonts w:hint="eastAsia" w:ascii="宋体" w:hAnsi="宋体" w:cs="宋体"/>
                <w:kern w:val="0"/>
                <w:sz w:val="20"/>
                <w:szCs w:val="20"/>
              </w:rPr>
              <w:t>、有害物质释放量：①</w:t>
            </w:r>
            <w:r>
              <w:rPr>
                <w:rFonts w:ascii="Helvetica" w:hAnsi="Helvetica" w:cs="宋体"/>
                <w:kern w:val="0"/>
                <w:sz w:val="20"/>
                <w:szCs w:val="20"/>
              </w:rPr>
              <w:t xml:space="preserve"> </w:t>
            </w:r>
            <w:r>
              <w:rPr>
                <w:rFonts w:hint="eastAsia" w:ascii="宋体" w:hAnsi="宋体" w:cs="宋体"/>
                <w:kern w:val="0"/>
                <w:sz w:val="20"/>
                <w:szCs w:val="20"/>
              </w:rPr>
              <w:t>总挥发性有机化合物（</w:t>
            </w:r>
            <w:r>
              <w:rPr>
                <w:rFonts w:ascii="Helvetica" w:hAnsi="Helvetica" w:cs="宋体"/>
                <w:kern w:val="0"/>
                <w:sz w:val="20"/>
                <w:szCs w:val="20"/>
              </w:rPr>
              <w:t>TVOC</w:t>
            </w:r>
            <w:r>
              <w:rPr>
                <w:rFonts w:hint="eastAsia" w:ascii="宋体" w:hAnsi="宋体" w:cs="宋体"/>
                <w:kern w:val="0"/>
                <w:sz w:val="20"/>
                <w:szCs w:val="20"/>
              </w:rPr>
              <w:t>）</w:t>
            </w:r>
            <w:r>
              <w:rPr>
                <w:rFonts w:ascii="Helvetica" w:hAnsi="Helvetica" w:cs="宋体"/>
                <w:kern w:val="0"/>
                <w:sz w:val="20"/>
                <w:szCs w:val="20"/>
              </w:rPr>
              <w:t>≤5.0mg/</w:t>
            </w:r>
            <w:r>
              <w:rPr>
                <w:rFonts w:hint="eastAsia" w:ascii="宋体" w:hAnsi="宋体" w:cs="宋体"/>
                <w:kern w:val="0"/>
                <w:sz w:val="20"/>
                <w:szCs w:val="20"/>
              </w:rPr>
              <w:t>（</w:t>
            </w:r>
            <w:r>
              <w:rPr>
                <w:rFonts w:ascii="Helvetica" w:hAnsi="Helvetica" w:cs="宋体"/>
                <w:kern w:val="0"/>
                <w:sz w:val="20"/>
                <w:szCs w:val="20"/>
              </w:rPr>
              <w:t>m²•h</w:t>
            </w:r>
            <w:r>
              <w:rPr>
                <w:rFonts w:hint="eastAsia" w:ascii="宋体" w:hAnsi="宋体" w:cs="宋体"/>
                <w:kern w:val="0"/>
                <w:sz w:val="20"/>
                <w:szCs w:val="20"/>
              </w:rPr>
              <w:t>）；②</w:t>
            </w:r>
            <w:r>
              <w:rPr>
                <w:rFonts w:ascii="Helvetica" w:hAnsi="Helvetica" w:cs="宋体"/>
                <w:kern w:val="0"/>
                <w:sz w:val="20"/>
                <w:szCs w:val="20"/>
              </w:rPr>
              <w:t xml:space="preserve"> </w:t>
            </w:r>
            <w:r>
              <w:rPr>
                <w:rFonts w:hint="eastAsia" w:ascii="宋体" w:hAnsi="宋体" w:cs="宋体"/>
                <w:kern w:val="0"/>
                <w:sz w:val="20"/>
                <w:szCs w:val="20"/>
              </w:rPr>
              <w:t>甲醛</w:t>
            </w:r>
            <w:r>
              <w:rPr>
                <w:rFonts w:ascii="Helvetica" w:hAnsi="Helvetica" w:cs="宋体"/>
                <w:kern w:val="0"/>
                <w:sz w:val="20"/>
                <w:szCs w:val="20"/>
              </w:rPr>
              <w:t>≤0.4mg/</w:t>
            </w:r>
            <w:r>
              <w:rPr>
                <w:rFonts w:hint="eastAsia" w:ascii="宋体" w:hAnsi="宋体" w:cs="宋体"/>
                <w:kern w:val="0"/>
                <w:sz w:val="20"/>
                <w:szCs w:val="20"/>
              </w:rPr>
              <w:t>（</w:t>
            </w:r>
            <w:r>
              <w:rPr>
                <w:rFonts w:ascii="Helvetica" w:hAnsi="Helvetica" w:cs="宋体"/>
                <w:kern w:val="0"/>
                <w:sz w:val="20"/>
                <w:szCs w:val="20"/>
              </w:rPr>
              <w:t>m²•h</w:t>
            </w:r>
            <w:r>
              <w:rPr>
                <w:rFonts w:hint="eastAsia" w:ascii="宋体" w:hAnsi="宋体" w:cs="宋体"/>
                <w:kern w:val="0"/>
                <w:sz w:val="20"/>
                <w:szCs w:val="20"/>
              </w:rPr>
              <w:t>）；③</w:t>
            </w:r>
            <w:r>
              <w:rPr>
                <w:rFonts w:ascii="Helvetica" w:hAnsi="Helvetica" w:cs="宋体"/>
                <w:kern w:val="0"/>
                <w:sz w:val="20"/>
                <w:szCs w:val="20"/>
              </w:rPr>
              <w:t xml:space="preserve"> </w:t>
            </w:r>
            <w:r>
              <w:rPr>
                <w:rFonts w:hint="eastAsia" w:ascii="宋体" w:hAnsi="宋体" w:cs="宋体"/>
                <w:kern w:val="0"/>
                <w:sz w:val="20"/>
                <w:szCs w:val="20"/>
              </w:rPr>
              <w:t>苯</w:t>
            </w:r>
            <w:r>
              <w:rPr>
                <w:rFonts w:ascii="Helvetica" w:hAnsi="Helvetica" w:cs="宋体"/>
                <w:kern w:val="0"/>
                <w:sz w:val="20"/>
                <w:szCs w:val="20"/>
              </w:rPr>
              <w:t>≤0.1mg/</w:t>
            </w:r>
            <w:r>
              <w:rPr>
                <w:rFonts w:hint="eastAsia" w:ascii="宋体" w:hAnsi="宋体" w:cs="宋体"/>
                <w:kern w:val="0"/>
                <w:sz w:val="20"/>
                <w:szCs w:val="20"/>
              </w:rPr>
              <w:t>（</w:t>
            </w:r>
            <w:r>
              <w:rPr>
                <w:rFonts w:ascii="Helvetica" w:hAnsi="Helvetica" w:cs="宋体"/>
                <w:kern w:val="0"/>
                <w:sz w:val="20"/>
                <w:szCs w:val="20"/>
              </w:rPr>
              <w:t>m²•h</w:t>
            </w:r>
            <w:r>
              <w:rPr>
                <w:rFonts w:hint="eastAsia" w:ascii="宋体" w:hAnsi="宋体" w:cs="宋体"/>
                <w:kern w:val="0"/>
                <w:sz w:val="20"/>
                <w:szCs w:val="20"/>
              </w:rPr>
              <w:t>）；④</w:t>
            </w:r>
            <w:r>
              <w:rPr>
                <w:rFonts w:ascii="Helvetica" w:hAnsi="Helvetica" w:cs="宋体"/>
                <w:kern w:val="0"/>
                <w:sz w:val="20"/>
                <w:szCs w:val="20"/>
              </w:rPr>
              <w:t xml:space="preserve"> </w:t>
            </w:r>
            <w:r>
              <w:rPr>
                <w:rFonts w:hint="eastAsia" w:ascii="宋体" w:hAnsi="宋体" w:cs="宋体"/>
                <w:kern w:val="0"/>
                <w:sz w:val="20"/>
                <w:szCs w:val="20"/>
              </w:rPr>
              <w:t>甲苯、二甲苯和乙苯总和</w:t>
            </w:r>
            <w:r>
              <w:rPr>
                <w:rFonts w:ascii="Helvetica" w:hAnsi="Helvetica" w:cs="宋体"/>
                <w:kern w:val="0"/>
                <w:sz w:val="20"/>
                <w:szCs w:val="20"/>
              </w:rPr>
              <w:t>≤1.0mg/</w:t>
            </w:r>
            <w:r>
              <w:rPr>
                <w:rFonts w:hint="eastAsia" w:ascii="宋体" w:hAnsi="宋体" w:cs="宋体"/>
                <w:kern w:val="0"/>
                <w:sz w:val="20"/>
                <w:szCs w:val="20"/>
              </w:rPr>
              <w:t>（</w:t>
            </w:r>
            <w:r>
              <w:rPr>
                <w:rFonts w:ascii="Helvetica" w:hAnsi="Helvetica" w:cs="宋体"/>
                <w:kern w:val="0"/>
                <w:sz w:val="20"/>
                <w:szCs w:val="20"/>
              </w:rPr>
              <w:t>m²•h</w:t>
            </w:r>
            <w:r>
              <w:rPr>
                <w:rFonts w:hint="eastAsia" w:ascii="宋体" w:hAnsi="宋体" w:cs="宋体"/>
                <w:kern w:val="0"/>
                <w:sz w:val="20"/>
                <w:szCs w:val="20"/>
              </w:rPr>
              <w:t>）；⑤</w:t>
            </w:r>
            <w:r>
              <w:rPr>
                <w:rFonts w:ascii="Helvetica" w:hAnsi="Helvetica" w:cs="宋体"/>
                <w:kern w:val="0"/>
                <w:sz w:val="20"/>
                <w:szCs w:val="20"/>
              </w:rPr>
              <w:t xml:space="preserve"> </w:t>
            </w:r>
            <w:r>
              <w:rPr>
                <w:rFonts w:hint="eastAsia" w:ascii="宋体" w:hAnsi="宋体" w:cs="宋体"/>
                <w:kern w:val="0"/>
                <w:sz w:val="20"/>
                <w:szCs w:val="20"/>
              </w:rPr>
              <w:t>二硫化碳</w:t>
            </w:r>
            <w:r>
              <w:rPr>
                <w:rFonts w:ascii="Helvetica" w:hAnsi="Helvetica" w:cs="宋体"/>
                <w:kern w:val="0"/>
                <w:sz w:val="20"/>
                <w:szCs w:val="20"/>
              </w:rPr>
              <w:t>≤7.0mg/</w:t>
            </w:r>
            <w:r>
              <w:rPr>
                <w:rFonts w:hint="eastAsia" w:ascii="宋体" w:hAnsi="宋体" w:cs="宋体"/>
                <w:kern w:val="0"/>
                <w:sz w:val="20"/>
                <w:szCs w:val="20"/>
              </w:rPr>
              <w:t>（</w:t>
            </w:r>
            <w:r>
              <w:rPr>
                <w:rFonts w:ascii="Helvetica" w:hAnsi="Helvetica" w:cs="宋体"/>
                <w:kern w:val="0"/>
                <w:sz w:val="20"/>
                <w:szCs w:val="20"/>
              </w:rPr>
              <w:t>m²•h</w:t>
            </w:r>
            <w:r>
              <w:rPr>
                <w:rFonts w:hint="eastAsia" w:ascii="宋体" w:hAnsi="宋体" w:cs="宋体"/>
                <w:kern w:val="0"/>
                <w:sz w:val="20"/>
                <w:szCs w:val="20"/>
              </w:rPr>
              <w:t>）；</w:t>
            </w:r>
            <w:r>
              <w:rPr>
                <w:rFonts w:ascii="Helvetica" w:hAnsi="Helvetica" w:cs="宋体"/>
                <w:kern w:val="0"/>
                <w:sz w:val="20"/>
                <w:szCs w:val="20"/>
              </w:rPr>
              <w:br w:type="page"/>
            </w:r>
            <w:r>
              <w:rPr>
                <w:rFonts w:ascii="Helvetica" w:hAnsi="Helvetica" w:cs="宋体"/>
                <w:kern w:val="0"/>
                <w:sz w:val="20"/>
                <w:szCs w:val="20"/>
              </w:rPr>
              <w:t xml:space="preserve"> </w:t>
            </w:r>
            <w:r>
              <w:rPr>
                <w:rFonts w:hint="eastAsia" w:ascii="Helvetica" w:hAnsi="Helvetica" w:cs="宋体"/>
                <w:kern w:val="0"/>
                <w:sz w:val="20"/>
                <w:szCs w:val="20"/>
              </w:rPr>
              <w:t>8</w:t>
            </w:r>
            <w:r>
              <w:rPr>
                <w:rFonts w:hint="eastAsia" w:ascii="宋体" w:hAnsi="宋体" w:cs="宋体"/>
                <w:kern w:val="0"/>
                <w:sz w:val="20"/>
                <w:szCs w:val="20"/>
              </w:rPr>
              <w:t>、含画线和收边条。</w:t>
            </w:r>
          </w:p>
        </w:tc>
      </w:tr>
      <w:tr>
        <w:tblPrEx>
          <w:tblCellMar>
            <w:top w:w="0" w:type="dxa"/>
            <w:left w:w="108" w:type="dxa"/>
            <w:bottom w:w="0" w:type="dxa"/>
            <w:right w:w="108" w:type="dxa"/>
          </w:tblCellMar>
        </w:tblPrEx>
        <w:trPr>
          <w:trHeight w:val="8179"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6</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奉港学校</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637</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4384" behindDoc="0" locked="0" layoutInCell="1" allowOverlap="1">
                  <wp:simplePos x="0" y="0"/>
                  <wp:positionH relativeFrom="column">
                    <wp:posOffset>28575</wp:posOffset>
                  </wp:positionH>
                  <wp:positionV relativeFrom="paragraph">
                    <wp:posOffset>1543050</wp:posOffset>
                  </wp:positionV>
                  <wp:extent cx="2962275" cy="2228850"/>
                  <wp:effectExtent l="0" t="0" r="0" b="0"/>
                  <wp:wrapNone/>
                  <wp:docPr id="15" name="图片 15" descr="2.17-03-奉港中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17-03-奉港中学---"/>
                          <pic:cNvPicPr>
                            <a:picLocks noChangeAspect="1"/>
                          </pic:cNvPicPr>
                        </pic:nvPicPr>
                        <pic:blipFill>
                          <a:blip r:embed="rId17" cstate="print"/>
                          <a:srcRect b="18497"/>
                          <a:stretch>
                            <a:fillRect/>
                          </a:stretch>
                        </pic:blipFill>
                        <pic:spPr>
                          <a:xfrm>
                            <a:off x="0" y="0"/>
                            <a:ext cx="2963545" cy="2224405"/>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1、产品规格：≥340mm×340mm×15.8mm；≥320g。</w:t>
            </w:r>
            <w:r>
              <w:rPr>
                <w:rFonts w:hint="eastAsia" w:ascii="宋体" w:hAnsi="宋体" w:cs="宋体"/>
                <w:kern w:val="0"/>
                <w:sz w:val="20"/>
                <w:szCs w:val="20"/>
              </w:rPr>
              <w:br w:type="page"/>
            </w:r>
            <w:r>
              <w:rPr>
                <w:rFonts w:hint="eastAsia" w:ascii="宋体" w:hAnsi="宋体" w:cs="宋体"/>
                <w:kern w:val="0"/>
                <w:sz w:val="20"/>
                <w:szCs w:val="20"/>
              </w:rPr>
              <w:t>2、食品级改性聚丙烯材质，100%原生料，无毒无味，绿色、安全，环保；</w:t>
            </w:r>
            <w:r>
              <w:rPr>
                <w:rFonts w:hint="eastAsia" w:ascii="宋体" w:hAnsi="宋体" w:cs="宋体"/>
                <w:kern w:val="0"/>
                <w:sz w:val="20"/>
                <w:szCs w:val="20"/>
              </w:rPr>
              <w:br w:type="page"/>
            </w:r>
            <w:r>
              <w:rPr>
                <w:rFonts w:hint="eastAsia" w:ascii="宋体" w:hAnsi="宋体" w:cs="宋体"/>
                <w:kern w:val="0"/>
                <w:sz w:val="20"/>
                <w:szCs w:val="20"/>
              </w:rPr>
              <w:t>3、运动地板外观：适合于运动，具备运动地板特性。</w:t>
            </w:r>
            <w:r>
              <w:rPr>
                <w:rFonts w:hint="eastAsia" w:ascii="宋体" w:hAnsi="宋体" w:cs="宋体"/>
                <w:kern w:val="0"/>
                <w:sz w:val="20"/>
                <w:szCs w:val="20"/>
              </w:rPr>
              <w:br w:type="page"/>
            </w:r>
            <w:r>
              <w:rPr>
                <w:rFonts w:hint="eastAsia" w:ascii="宋体" w:hAnsi="宋体" w:cs="宋体"/>
                <w:kern w:val="0"/>
                <w:sz w:val="20"/>
                <w:szCs w:val="20"/>
              </w:rPr>
              <w:t>4、皮纹纹理：不反光、不刺眼，色泽柔和，极大提高摩擦力，防滑效果更显著</w:t>
            </w:r>
            <w:r>
              <w:rPr>
                <w:rFonts w:hint="eastAsia" w:ascii="宋体" w:hAnsi="宋体" w:cs="宋体"/>
                <w:kern w:val="0"/>
                <w:sz w:val="20"/>
                <w:szCs w:val="20"/>
              </w:rPr>
              <w:br w:type="page"/>
            </w:r>
            <w:r>
              <w:rPr>
                <w:rFonts w:hint="eastAsia" w:ascii="宋体" w:hAnsi="宋体" w:cs="宋体"/>
                <w:kern w:val="0"/>
                <w:sz w:val="20"/>
                <w:szCs w:val="20"/>
              </w:rPr>
              <w:t>5、防热胀冷缩性：由12组弹性臂弹性支柱构成+4组弓形扣组合构成，防止因温度变化引起的起拱或拉裂，保证地板在2间隙伸缩6、单块地板包含两个专用固定结构设计，双重固定块可从地板中嵌入、取出，可以扩大安装区域，更大缓冲间隙，保证施工精度和安全。有效防风、防盗、防位移，均匀减震；防止软连接结构造成的蹬地位移起拱现象。</w:t>
            </w:r>
            <w:r>
              <w:rPr>
                <w:rFonts w:hint="eastAsia" w:ascii="宋体" w:hAnsi="宋体" w:cs="宋体"/>
                <w:kern w:val="0"/>
                <w:sz w:val="20"/>
                <w:szCs w:val="20"/>
              </w:rPr>
              <w:br w:type="page"/>
            </w:r>
            <w:r>
              <w:rPr>
                <w:rFonts w:hint="eastAsia" w:ascii="宋体" w:hAnsi="宋体" w:cs="宋体"/>
                <w:kern w:val="0"/>
                <w:sz w:val="20"/>
                <w:szCs w:val="20"/>
              </w:rPr>
              <w:t>7、支撑系统：由800根细弹支撑柱构成，即保证了冲击吸收又达到了球类回弹要求</w:t>
            </w:r>
            <w:r>
              <w:rPr>
                <w:rFonts w:hint="eastAsia" w:ascii="宋体" w:hAnsi="宋体" w:cs="宋体"/>
                <w:kern w:val="0"/>
                <w:sz w:val="20"/>
                <w:szCs w:val="20"/>
              </w:rPr>
              <w:br w:type="page"/>
            </w:r>
            <w:r>
              <w:rPr>
                <w:rFonts w:hint="eastAsia" w:ascii="宋体" w:hAnsi="宋体" w:cs="宋体"/>
                <w:kern w:val="0"/>
                <w:sz w:val="20"/>
                <w:szCs w:val="20"/>
              </w:rPr>
              <w:t>具体参数：</w:t>
            </w:r>
            <w:r>
              <w:rPr>
                <w:rFonts w:hint="eastAsia" w:ascii="宋体" w:hAnsi="宋体" w:cs="宋体"/>
                <w:kern w:val="0"/>
                <w:sz w:val="20"/>
                <w:szCs w:val="20"/>
              </w:rPr>
              <w:br w:type="page"/>
            </w:r>
            <w:r>
              <w:rPr>
                <w:rFonts w:hint="eastAsia" w:ascii="宋体" w:hAnsi="宋体" w:cs="宋体"/>
                <w:kern w:val="0"/>
                <w:sz w:val="20"/>
                <w:szCs w:val="20"/>
              </w:rPr>
              <w:t>1、冲击吸收：① （0±2）℃：20~50%；② （23±2）℃：20~50%；③ （50±2）℃：20~50%；</w:t>
            </w:r>
            <w:r>
              <w:rPr>
                <w:rFonts w:hint="eastAsia" w:ascii="宋体" w:hAnsi="宋体" w:cs="宋体"/>
                <w:kern w:val="0"/>
                <w:sz w:val="20"/>
                <w:szCs w:val="20"/>
              </w:rPr>
              <w:br w:type="page"/>
            </w:r>
            <w:r>
              <w:rPr>
                <w:rFonts w:hint="eastAsia" w:ascii="宋体" w:hAnsi="宋体" w:cs="宋体"/>
                <w:kern w:val="0"/>
                <w:sz w:val="20"/>
                <w:szCs w:val="20"/>
              </w:rPr>
              <w:t>2. 抗滑值/(BFN,20℃)：80~110（干测）；</w:t>
            </w:r>
            <w:r>
              <w:rPr>
                <w:rFonts w:hint="eastAsia" w:ascii="宋体" w:hAnsi="宋体" w:cs="宋体"/>
                <w:kern w:val="0"/>
                <w:sz w:val="20"/>
                <w:szCs w:val="20"/>
              </w:rPr>
              <w:br w:type="page"/>
            </w:r>
            <w:r>
              <w:rPr>
                <w:rFonts w:hint="eastAsia" w:ascii="宋体" w:hAnsi="宋体" w:cs="宋体"/>
                <w:kern w:val="0"/>
                <w:sz w:val="20"/>
                <w:szCs w:val="20"/>
              </w:rPr>
              <w:t>3. 拉伸强度（MPa）≥0.4；</w:t>
            </w:r>
            <w:r>
              <w:rPr>
                <w:rFonts w:hint="eastAsia" w:ascii="宋体" w:hAnsi="宋体" w:cs="宋体"/>
                <w:kern w:val="0"/>
                <w:sz w:val="20"/>
                <w:szCs w:val="20"/>
              </w:rPr>
              <w:br w:type="page"/>
            </w:r>
            <w:r>
              <w:rPr>
                <w:rFonts w:hint="eastAsia" w:ascii="宋体" w:hAnsi="宋体" w:cs="宋体"/>
                <w:kern w:val="0"/>
                <w:sz w:val="20"/>
                <w:szCs w:val="20"/>
              </w:rPr>
              <w:t>4. 拉断伸长率≥40%；</w:t>
            </w:r>
            <w:r>
              <w:rPr>
                <w:rFonts w:hint="eastAsia" w:ascii="宋体" w:hAnsi="宋体" w:cs="宋体"/>
                <w:kern w:val="0"/>
                <w:sz w:val="20"/>
                <w:szCs w:val="20"/>
              </w:rPr>
              <w:br w:type="page"/>
            </w:r>
            <w:r>
              <w:rPr>
                <w:rFonts w:hint="eastAsia" w:ascii="宋体" w:hAnsi="宋体" w:cs="宋体"/>
                <w:kern w:val="0"/>
                <w:sz w:val="20"/>
                <w:szCs w:val="20"/>
              </w:rPr>
              <w:t>5、有害物质释放量：① 总挥发性有机化合物（TVOC）≤5.0mg/（m²•h）；② 甲醛≤0.4mg/（m²•h）；③ 苯≤0.1mg/（m²•h）；④ 甲苯、二甲苯和乙苯总和≤1.0mg/（m²•h）；⑤ 二硫化碳≤7.0mg/（m²•h）； 8、含画线和收边条。</w:t>
            </w:r>
          </w:p>
        </w:tc>
      </w:tr>
      <w:tr>
        <w:tblPrEx>
          <w:tblCellMar>
            <w:top w:w="0" w:type="dxa"/>
            <w:left w:w="108" w:type="dxa"/>
            <w:bottom w:w="0" w:type="dxa"/>
            <w:right w:w="108" w:type="dxa"/>
          </w:tblCellMar>
        </w:tblPrEx>
        <w:trPr>
          <w:trHeight w:val="8179"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7</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裘村镇中心小学篮球场</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650</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5408" behindDoc="0" locked="0" layoutInCell="1" allowOverlap="1">
                  <wp:simplePos x="0" y="0"/>
                  <wp:positionH relativeFrom="column">
                    <wp:posOffset>28575</wp:posOffset>
                  </wp:positionH>
                  <wp:positionV relativeFrom="paragraph">
                    <wp:posOffset>1590675</wp:posOffset>
                  </wp:positionV>
                  <wp:extent cx="2952750" cy="2000250"/>
                  <wp:effectExtent l="0" t="0" r="0" b="0"/>
                  <wp:wrapNone/>
                  <wp:docPr id="3" name="图片 3" descr="微信图片_202206061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606100945"/>
                          <pic:cNvPicPr>
                            <a:picLocks noChangeAspect="1"/>
                          </pic:cNvPicPr>
                        </pic:nvPicPr>
                        <pic:blipFill>
                          <a:blip r:embed="rId18" cstate="print"/>
                          <a:srcRect b="18321"/>
                          <a:stretch>
                            <a:fillRect/>
                          </a:stretch>
                        </pic:blipFill>
                        <pic:spPr>
                          <a:xfrm>
                            <a:off x="0" y="0"/>
                            <a:ext cx="2952115" cy="1995805"/>
                          </a:xfrm>
                          <a:prstGeom prst="rect">
                            <a:avLst/>
                          </a:prstGeom>
                        </pic:spPr>
                      </pic:pic>
                    </a:graphicData>
                  </a:graphic>
                </wp:anchor>
              </w:drawing>
            </w:r>
          </w:p>
        </w:tc>
        <w:tc>
          <w:tcPr>
            <w:tcW w:w="1647" w:type="pct"/>
            <w:tcBorders>
              <w:top w:val="nil"/>
              <w:left w:val="nil"/>
              <w:bottom w:val="single" w:color="auto" w:sz="4" w:space="0"/>
              <w:right w:val="single" w:color="auto"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1、产品规格：≥340mm×340mm×15.8mm；≥320g。</w:t>
            </w:r>
            <w:r>
              <w:rPr>
                <w:rFonts w:hint="eastAsia" w:ascii="宋体" w:hAnsi="宋体" w:cs="宋体"/>
                <w:kern w:val="0"/>
                <w:sz w:val="20"/>
                <w:szCs w:val="20"/>
              </w:rPr>
              <w:br w:type="page"/>
            </w:r>
            <w:r>
              <w:rPr>
                <w:rFonts w:hint="eastAsia" w:ascii="宋体" w:hAnsi="宋体" w:cs="宋体"/>
                <w:kern w:val="0"/>
                <w:sz w:val="20"/>
                <w:szCs w:val="20"/>
              </w:rPr>
              <w:t>2、食品级改性聚丙烯材质，100%原生料，无毒无味，绿色、安全，环保；</w:t>
            </w:r>
            <w:r>
              <w:rPr>
                <w:rFonts w:hint="eastAsia" w:ascii="宋体" w:hAnsi="宋体" w:cs="宋体"/>
                <w:kern w:val="0"/>
                <w:sz w:val="20"/>
                <w:szCs w:val="20"/>
              </w:rPr>
              <w:br w:type="page"/>
            </w:r>
            <w:r>
              <w:rPr>
                <w:rFonts w:hint="eastAsia" w:ascii="宋体" w:hAnsi="宋体" w:cs="宋体"/>
                <w:kern w:val="0"/>
                <w:sz w:val="20"/>
                <w:szCs w:val="20"/>
              </w:rPr>
              <w:t>3、运动地板外观：适合于运动，具备运动地板特性。</w:t>
            </w:r>
            <w:r>
              <w:rPr>
                <w:rFonts w:hint="eastAsia" w:ascii="宋体" w:hAnsi="宋体" w:cs="宋体"/>
                <w:kern w:val="0"/>
                <w:sz w:val="20"/>
                <w:szCs w:val="20"/>
              </w:rPr>
              <w:br w:type="page"/>
            </w:r>
            <w:r>
              <w:rPr>
                <w:rFonts w:hint="eastAsia" w:ascii="宋体" w:hAnsi="宋体" w:cs="宋体"/>
                <w:kern w:val="0"/>
                <w:sz w:val="20"/>
                <w:szCs w:val="20"/>
              </w:rPr>
              <w:t>4、皮纹纹理：不反光、不刺眼，色泽柔和，极大提高摩擦力，防滑效果更显著</w:t>
            </w:r>
            <w:r>
              <w:rPr>
                <w:rFonts w:hint="eastAsia" w:ascii="宋体" w:hAnsi="宋体" w:cs="宋体"/>
                <w:kern w:val="0"/>
                <w:sz w:val="20"/>
                <w:szCs w:val="20"/>
              </w:rPr>
              <w:br w:type="page"/>
            </w:r>
            <w:r>
              <w:rPr>
                <w:rFonts w:hint="eastAsia" w:ascii="宋体" w:hAnsi="宋体" w:cs="宋体"/>
                <w:kern w:val="0"/>
                <w:sz w:val="20"/>
                <w:szCs w:val="20"/>
              </w:rPr>
              <w:t>5、防热胀冷缩性：由12组弹性臂弹性支柱构成+4组弓形扣组合构成，防止因温度变化引起的起拱或拉裂，保证地板在2间隙伸缩</w:t>
            </w:r>
            <w:r>
              <w:rPr>
                <w:rFonts w:hint="eastAsia" w:ascii="宋体" w:hAnsi="宋体" w:cs="宋体"/>
                <w:kern w:val="0"/>
                <w:sz w:val="20"/>
                <w:szCs w:val="20"/>
              </w:rPr>
              <w:br w:type="page"/>
            </w:r>
            <w:r>
              <w:rPr>
                <w:rFonts w:hint="eastAsia" w:ascii="宋体" w:hAnsi="宋体" w:cs="宋体"/>
                <w:kern w:val="0"/>
                <w:sz w:val="20"/>
                <w:szCs w:val="20"/>
              </w:rPr>
              <w:t>6、单块地板包含两个专用固定结构设计，双重固定块可从地板中嵌入、取出，可以扩大安装区域，更大缓冲间隙，保证施工精度和安全。有效防风、防盗、防位移，均匀减震；防止软连接结构造成的蹬地位移起拱现象。</w:t>
            </w:r>
            <w:r>
              <w:rPr>
                <w:rFonts w:hint="eastAsia" w:ascii="宋体" w:hAnsi="宋体" w:cs="宋体"/>
                <w:kern w:val="0"/>
                <w:sz w:val="20"/>
                <w:szCs w:val="20"/>
              </w:rPr>
              <w:br w:type="page"/>
            </w:r>
            <w:r>
              <w:rPr>
                <w:rFonts w:hint="eastAsia" w:ascii="宋体" w:hAnsi="宋体" w:cs="宋体"/>
                <w:kern w:val="0"/>
                <w:sz w:val="20"/>
                <w:szCs w:val="20"/>
              </w:rPr>
              <w:t>7、支撑系统：由800根细弹支撑柱构成，即保证了冲击吸收又达到了球类回弹要求</w:t>
            </w:r>
            <w:r>
              <w:rPr>
                <w:rFonts w:hint="eastAsia" w:ascii="宋体" w:hAnsi="宋体" w:cs="宋体"/>
                <w:kern w:val="0"/>
                <w:sz w:val="20"/>
                <w:szCs w:val="20"/>
              </w:rPr>
              <w:br w:type="page"/>
            </w:r>
            <w:r>
              <w:rPr>
                <w:rFonts w:hint="eastAsia" w:ascii="宋体" w:hAnsi="宋体" w:cs="宋体"/>
                <w:kern w:val="0"/>
                <w:sz w:val="20"/>
                <w:szCs w:val="20"/>
              </w:rPr>
              <w:t>具体参数：</w:t>
            </w:r>
            <w:r>
              <w:rPr>
                <w:rFonts w:hint="eastAsia" w:ascii="宋体" w:hAnsi="宋体" w:cs="宋体"/>
                <w:kern w:val="0"/>
                <w:sz w:val="20"/>
                <w:szCs w:val="20"/>
              </w:rPr>
              <w:br w:type="page"/>
            </w:r>
            <w:r>
              <w:rPr>
                <w:rFonts w:hint="eastAsia" w:ascii="宋体" w:hAnsi="宋体" w:cs="宋体"/>
                <w:kern w:val="0"/>
                <w:sz w:val="20"/>
                <w:szCs w:val="20"/>
              </w:rPr>
              <w:t>1、冲击吸收：① （0±2）℃：20~50%；② （23±2）℃：20~50%；③ （50±2）℃：20~50%；</w:t>
            </w:r>
            <w:r>
              <w:rPr>
                <w:rFonts w:hint="eastAsia" w:ascii="宋体" w:hAnsi="宋体" w:cs="宋体"/>
                <w:kern w:val="0"/>
                <w:sz w:val="20"/>
                <w:szCs w:val="20"/>
              </w:rPr>
              <w:br w:type="page"/>
            </w:r>
            <w:r>
              <w:rPr>
                <w:rFonts w:hint="eastAsia" w:ascii="宋体" w:hAnsi="宋体" w:cs="宋体"/>
                <w:kern w:val="0"/>
                <w:sz w:val="20"/>
                <w:szCs w:val="20"/>
              </w:rPr>
              <w:t>2. 抗滑值/(BFN,20℃)：80~110（干测）；</w:t>
            </w:r>
            <w:r>
              <w:rPr>
                <w:rFonts w:hint="eastAsia" w:ascii="宋体" w:hAnsi="宋体" w:cs="宋体"/>
                <w:kern w:val="0"/>
                <w:sz w:val="20"/>
                <w:szCs w:val="20"/>
              </w:rPr>
              <w:br w:type="page"/>
            </w:r>
            <w:r>
              <w:rPr>
                <w:rFonts w:hint="eastAsia" w:ascii="宋体" w:hAnsi="宋体" w:cs="宋体"/>
                <w:kern w:val="0"/>
                <w:sz w:val="20"/>
                <w:szCs w:val="20"/>
              </w:rPr>
              <w:t>3. 拉伸强度（MPa）≥0.4；</w:t>
            </w:r>
            <w:r>
              <w:rPr>
                <w:rFonts w:hint="eastAsia" w:ascii="宋体" w:hAnsi="宋体" w:cs="宋体"/>
                <w:kern w:val="0"/>
                <w:sz w:val="20"/>
                <w:szCs w:val="20"/>
              </w:rPr>
              <w:br w:type="page"/>
            </w:r>
            <w:r>
              <w:rPr>
                <w:rFonts w:hint="eastAsia" w:ascii="宋体" w:hAnsi="宋体" w:cs="宋体"/>
                <w:kern w:val="0"/>
                <w:sz w:val="20"/>
                <w:szCs w:val="20"/>
              </w:rPr>
              <w:t>4. 拉断伸长率≥40%；</w:t>
            </w:r>
            <w:r>
              <w:rPr>
                <w:rFonts w:hint="eastAsia" w:ascii="宋体" w:hAnsi="宋体" w:cs="宋体"/>
                <w:kern w:val="0"/>
                <w:sz w:val="20"/>
                <w:szCs w:val="20"/>
              </w:rPr>
              <w:br w:type="page"/>
            </w:r>
            <w:r>
              <w:rPr>
                <w:rFonts w:hint="eastAsia" w:ascii="宋体" w:hAnsi="宋体" w:cs="宋体"/>
                <w:kern w:val="0"/>
                <w:sz w:val="20"/>
                <w:szCs w:val="20"/>
              </w:rPr>
              <w:t>5、有害物质释放量：① 总挥发性有机化合物（TVOC）≤5.0mg/（m²•h）；② 甲醛≤0.4mg/（m²•h）；③ 苯≤0.1mg/（m²•h）；④ 甲苯、二甲苯和乙苯总和≤1.0mg/（m²•h）；⑤ 二硫化碳≤7.0mg/（m²•h）； 8、含画线和收边条。</w:t>
            </w:r>
          </w:p>
        </w:tc>
      </w:tr>
      <w:tr>
        <w:tblPrEx>
          <w:tblCellMar>
            <w:top w:w="0" w:type="dxa"/>
            <w:left w:w="108" w:type="dxa"/>
            <w:bottom w:w="0" w:type="dxa"/>
            <w:right w:w="108" w:type="dxa"/>
          </w:tblCellMar>
        </w:tblPrEx>
        <w:trPr>
          <w:trHeight w:val="8179"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8</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30"/>
                <w:szCs w:val="30"/>
              </w:rPr>
            </w:pPr>
            <w:r>
              <w:rPr>
                <w:rFonts w:hint="eastAsia" w:ascii="宋体" w:hAnsi="宋体" w:cs="宋体"/>
                <w:kern w:val="0"/>
                <w:sz w:val="30"/>
                <w:szCs w:val="30"/>
              </w:rPr>
              <w:t>裘村镇中心小学</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606</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6432" behindDoc="0" locked="0" layoutInCell="1" allowOverlap="1">
                  <wp:simplePos x="0" y="0"/>
                  <wp:positionH relativeFrom="column">
                    <wp:posOffset>371475</wp:posOffset>
                  </wp:positionH>
                  <wp:positionV relativeFrom="paragraph">
                    <wp:posOffset>238125</wp:posOffset>
                  </wp:positionV>
                  <wp:extent cx="2352675" cy="4705350"/>
                  <wp:effectExtent l="0" t="0" r="0" b="0"/>
                  <wp:wrapNone/>
                  <wp:docPr id="17" name="图片 17" descr="5.12-裘村镇中心小学--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12-裘村镇中心小学--2--2"/>
                          <pic:cNvPicPr>
                            <a:picLocks noChangeAspect="1"/>
                          </pic:cNvPicPr>
                        </pic:nvPicPr>
                        <pic:blipFill>
                          <a:blip r:embed="rId19" cstate="print"/>
                          <a:srcRect b="8342"/>
                          <a:stretch>
                            <a:fillRect/>
                          </a:stretch>
                        </pic:blipFill>
                        <pic:spPr>
                          <a:xfrm>
                            <a:off x="0" y="0"/>
                            <a:ext cx="2352675" cy="4709795"/>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1、产品规格：≥340mm×340mm×15.8mm；≥320g。</w:t>
            </w:r>
            <w:r>
              <w:rPr>
                <w:rFonts w:hint="eastAsia" w:ascii="宋体" w:hAnsi="宋体" w:cs="宋体"/>
                <w:kern w:val="0"/>
                <w:sz w:val="20"/>
                <w:szCs w:val="20"/>
              </w:rPr>
              <w:br w:type="page"/>
            </w:r>
            <w:r>
              <w:rPr>
                <w:rFonts w:hint="eastAsia" w:ascii="宋体" w:hAnsi="宋体" w:cs="宋体"/>
                <w:kern w:val="0"/>
                <w:sz w:val="20"/>
                <w:szCs w:val="20"/>
              </w:rPr>
              <w:t>2、食品级改性聚丙烯材质，100%原生料，无毒无味，绿色、安全，环保；</w:t>
            </w:r>
            <w:r>
              <w:rPr>
                <w:rFonts w:hint="eastAsia" w:ascii="宋体" w:hAnsi="宋体" w:cs="宋体"/>
                <w:kern w:val="0"/>
                <w:sz w:val="20"/>
                <w:szCs w:val="20"/>
              </w:rPr>
              <w:br w:type="page"/>
            </w:r>
            <w:r>
              <w:rPr>
                <w:rFonts w:hint="eastAsia" w:ascii="宋体" w:hAnsi="宋体" w:cs="宋体"/>
                <w:kern w:val="0"/>
                <w:sz w:val="20"/>
                <w:szCs w:val="20"/>
              </w:rPr>
              <w:t>3、运动地板外观：适合于运动，具备运动地板特性。</w:t>
            </w:r>
            <w:r>
              <w:rPr>
                <w:rFonts w:hint="eastAsia" w:ascii="宋体" w:hAnsi="宋体" w:cs="宋体"/>
                <w:kern w:val="0"/>
                <w:sz w:val="20"/>
                <w:szCs w:val="20"/>
              </w:rPr>
              <w:br w:type="page"/>
            </w:r>
            <w:r>
              <w:rPr>
                <w:rFonts w:hint="eastAsia" w:ascii="宋体" w:hAnsi="宋体" w:cs="宋体"/>
                <w:kern w:val="0"/>
                <w:sz w:val="20"/>
                <w:szCs w:val="20"/>
              </w:rPr>
              <w:t>4、皮纹纹理：不反光、不刺眼，色泽柔和，极大提高摩擦力，防滑效果更显著</w:t>
            </w:r>
            <w:r>
              <w:rPr>
                <w:rFonts w:hint="eastAsia" w:ascii="宋体" w:hAnsi="宋体" w:cs="宋体"/>
                <w:kern w:val="0"/>
                <w:sz w:val="20"/>
                <w:szCs w:val="20"/>
              </w:rPr>
              <w:br w:type="page"/>
            </w:r>
            <w:r>
              <w:rPr>
                <w:rFonts w:hint="eastAsia" w:ascii="宋体" w:hAnsi="宋体" w:cs="宋体"/>
                <w:kern w:val="0"/>
                <w:sz w:val="20"/>
                <w:szCs w:val="20"/>
              </w:rPr>
              <w:t>5、防热胀冷缩性：由12组弹性臂弹性支柱构成+4组弓形扣组合构成，防止因温度变化引起的起拱或拉裂，保证地板在2间隙伸缩6、单块地板包含两个专用固定结构设计，双重固定块可从地板中嵌入、取出，可以扩大安装区域，更大缓冲间隙，保证施工精度和安全。有效防风、防盗、防位移，均匀减震；防止软连接结构造成的蹬地位移起拱现象。</w:t>
            </w:r>
            <w:r>
              <w:rPr>
                <w:rFonts w:hint="eastAsia" w:ascii="宋体" w:hAnsi="宋体" w:cs="宋体"/>
                <w:kern w:val="0"/>
                <w:sz w:val="20"/>
                <w:szCs w:val="20"/>
              </w:rPr>
              <w:br w:type="page"/>
            </w:r>
            <w:r>
              <w:rPr>
                <w:rFonts w:hint="eastAsia" w:ascii="宋体" w:hAnsi="宋体" w:cs="宋体"/>
                <w:kern w:val="0"/>
                <w:sz w:val="20"/>
                <w:szCs w:val="20"/>
              </w:rPr>
              <w:t>7、支撑系统：由800根细弹支撑柱构成，即保证了冲击吸收又达到了球类回弹要求</w:t>
            </w:r>
            <w:r>
              <w:rPr>
                <w:rFonts w:hint="eastAsia" w:ascii="宋体" w:hAnsi="宋体" w:cs="宋体"/>
                <w:kern w:val="0"/>
                <w:sz w:val="20"/>
                <w:szCs w:val="20"/>
              </w:rPr>
              <w:br w:type="page"/>
            </w:r>
            <w:r>
              <w:rPr>
                <w:rFonts w:hint="eastAsia" w:ascii="宋体" w:hAnsi="宋体" w:cs="宋体"/>
                <w:kern w:val="0"/>
                <w:sz w:val="20"/>
                <w:szCs w:val="20"/>
              </w:rPr>
              <w:t>具体参数：</w:t>
            </w:r>
            <w:r>
              <w:rPr>
                <w:rFonts w:hint="eastAsia" w:ascii="宋体" w:hAnsi="宋体" w:cs="宋体"/>
                <w:kern w:val="0"/>
                <w:sz w:val="20"/>
                <w:szCs w:val="20"/>
              </w:rPr>
              <w:br w:type="page"/>
            </w:r>
            <w:r>
              <w:rPr>
                <w:rFonts w:hint="eastAsia" w:ascii="宋体" w:hAnsi="宋体" w:cs="宋体"/>
                <w:kern w:val="0"/>
                <w:sz w:val="20"/>
                <w:szCs w:val="20"/>
              </w:rPr>
              <w:t>1、冲击吸收：① （0±2）℃：20~50%；② （23±2）℃：20~50%；③ （50±2）℃：20~50%；</w:t>
            </w:r>
            <w:r>
              <w:rPr>
                <w:rFonts w:hint="eastAsia" w:ascii="宋体" w:hAnsi="宋体" w:cs="宋体"/>
                <w:kern w:val="0"/>
                <w:sz w:val="20"/>
                <w:szCs w:val="20"/>
              </w:rPr>
              <w:br w:type="page"/>
            </w:r>
            <w:r>
              <w:rPr>
                <w:rFonts w:hint="eastAsia" w:ascii="宋体" w:hAnsi="宋体" w:cs="宋体"/>
                <w:kern w:val="0"/>
                <w:sz w:val="20"/>
                <w:szCs w:val="20"/>
              </w:rPr>
              <w:t>2. 抗滑值/(BFN,20℃)：80~110（干测）；</w:t>
            </w:r>
            <w:r>
              <w:rPr>
                <w:rFonts w:hint="eastAsia" w:ascii="宋体" w:hAnsi="宋体" w:cs="宋体"/>
                <w:kern w:val="0"/>
                <w:sz w:val="20"/>
                <w:szCs w:val="20"/>
              </w:rPr>
              <w:br w:type="page"/>
            </w:r>
            <w:r>
              <w:rPr>
                <w:rFonts w:hint="eastAsia" w:ascii="宋体" w:hAnsi="宋体" w:cs="宋体"/>
                <w:kern w:val="0"/>
                <w:sz w:val="20"/>
                <w:szCs w:val="20"/>
              </w:rPr>
              <w:t>3. 拉伸强度（MPa）≥0.4；</w:t>
            </w:r>
            <w:r>
              <w:rPr>
                <w:rFonts w:hint="eastAsia" w:ascii="宋体" w:hAnsi="宋体" w:cs="宋体"/>
                <w:kern w:val="0"/>
                <w:sz w:val="20"/>
                <w:szCs w:val="20"/>
              </w:rPr>
              <w:br w:type="page"/>
            </w:r>
            <w:r>
              <w:rPr>
                <w:rFonts w:hint="eastAsia" w:ascii="宋体" w:hAnsi="宋体" w:cs="宋体"/>
                <w:kern w:val="0"/>
                <w:sz w:val="20"/>
                <w:szCs w:val="20"/>
              </w:rPr>
              <w:t>4. 拉断伸长率≥40%；</w:t>
            </w:r>
            <w:r>
              <w:rPr>
                <w:rFonts w:hint="eastAsia" w:ascii="宋体" w:hAnsi="宋体" w:cs="宋体"/>
                <w:kern w:val="0"/>
                <w:sz w:val="20"/>
                <w:szCs w:val="20"/>
              </w:rPr>
              <w:br w:type="page"/>
            </w:r>
            <w:r>
              <w:rPr>
                <w:rFonts w:hint="eastAsia" w:ascii="宋体" w:hAnsi="宋体" w:cs="宋体"/>
                <w:kern w:val="0"/>
                <w:sz w:val="20"/>
                <w:szCs w:val="20"/>
              </w:rPr>
              <w:t>5、有害物质释放量：① 总挥发性有机化合物（TVOC）≤5.0mg/（m²•h）；② 甲醛≤0.4mg/（m²•h）；③ 苯≤0.1mg/（m²•h）；④ 甲苯、二甲苯和乙苯总和≤1.0mg/（m²•h）；⑤ 二硫化碳≤7.0mg/（m²•h）；</w:t>
            </w:r>
            <w:r>
              <w:rPr>
                <w:rFonts w:hint="eastAsia" w:ascii="宋体" w:hAnsi="宋体" w:cs="宋体"/>
                <w:kern w:val="0"/>
                <w:sz w:val="20"/>
                <w:szCs w:val="20"/>
              </w:rPr>
              <w:br w:type="page"/>
            </w:r>
            <w:r>
              <w:rPr>
                <w:rFonts w:hint="eastAsia" w:ascii="宋体" w:hAnsi="宋体" w:cs="宋体"/>
                <w:kern w:val="0"/>
                <w:sz w:val="20"/>
                <w:szCs w:val="20"/>
              </w:rPr>
              <w:t>8、含画线和收边条。</w:t>
            </w:r>
          </w:p>
        </w:tc>
      </w:tr>
      <w:tr>
        <w:tblPrEx>
          <w:tblCellMar>
            <w:top w:w="0" w:type="dxa"/>
            <w:left w:w="108" w:type="dxa"/>
            <w:bottom w:w="0" w:type="dxa"/>
            <w:right w:w="108" w:type="dxa"/>
          </w:tblCellMar>
        </w:tblPrEx>
        <w:trPr>
          <w:trHeight w:val="8179"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9</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白杜小学</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986</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7456" behindDoc="0" locked="0" layoutInCell="1" allowOverlap="1">
                  <wp:simplePos x="0" y="0"/>
                  <wp:positionH relativeFrom="column">
                    <wp:posOffset>28575</wp:posOffset>
                  </wp:positionH>
                  <wp:positionV relativeFrom="paragraph">
                    <wp:posOffset>1409700</wp:posOffset>
                  </wp:positionV>
                  <wp:extent cx="2962275" cy="2333625"/>
                  <wp:effectExtent l="0" t="0" r="0" b="0"/>
                  <wp:wrapNone/>
                  <wp:docPr id="18" name="图片 18" descr="2.18-07-白杜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8-07-白杜小学"/>
                          <pic:cNvPicPr>
                            <a:picLocks noChangeAspect="1"/>
                          </pic:cNvPicPr>
                        </pic:nvPicPr>
                        <pic:blipFill>
                          <a:blip r:embed="rId20" cstate="print"/>
                          <a:srcRect b="15837"/>
                          <a:stretch>
                            <a:fillRect/>
                          </a:stretch>
                        </pic:blipFill>
                        <pic:spPr>
                          <a:xfrm>
                            <a:off x="0" y="0"/>
                            <a:ext cx="2966720" cy="2328545"/>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1、产品规格：≥340mm×340mm×15.8mm；≥320g。</w:t>
            </w:r>
            <w:r>
              <w:rPr>
                <w:rFonts w:hint="eastAsia" w:ascii="宋体" w:hAnsi="宋体" w:cs="宋体"/>
                <w:kern w:val="0"/>
                <w:sz w:val="20"/>
                <w:szCs w:val="20"/>
              </w:rPr>
              <w:br w:type="page"/>
            </w:r>
            <w:r>
              <w:rPr>
                <w:rFonts w:hint="eastAsia" w:ascii="宋体" w:hAnsi="宋体" w:cs="宋体"/>
                <w:kern w:val="0"/>
                <w:sz w:val="20"/>
                <w:szCs w:val="20"/>
              </w:rPr>
              <w:t>2、食品级改性聚丙烯材质，100%原生料，无毒无味，绿色、安全，环保；</w:t>
            </w:r>
            <w:r>
              <w:rPr>
                <w:rFonts w:hint="eastAsia" w:ascii="宋体" w:hAnsi="宋体" w:cs="宋体"/>
                <w:kern w:val="0"/>
                <w:sz w:val="20"/>
                <w:szCs w:val="20"/>
              </w:rPr>
              <w:br w:type="page"/>
            </w:r>
            <w:r>
              <w:rPr>
                <w:rFonts w:hint="eastAsia" w:ascii="宋体" w:hAnsi="宋体" w:cs="宋体"/>
                <w:kern w:val="0"/>
                <w:sz w:val="20"/>
                <w:szCs w:val="20"/>
              </w:rPr>
              <w:t>3、运动地板外观：适合于运动，具备运动地板特性。</w:t>
            </w:r>
            <w:r>
              <w:rPr>
                <w:rFonts w:hint="eastAsia" w:ascii="宋体" w:hAnsi="宋体" w:cs="宋体"/>
                <w:kern w:val="0"/>
                <w:sz w:val="20"/>
                <w:szCs w:val="20"/>
              </w:rPr>
              <w:br w:type="page"/>
            </w:r>
            <w:r>
              <w:rPr>
                <w:rFonts w:hint="eastAsia" w:ascii="宋体" w:hAnsi="宋体" w:cs="宋体"/>
                <w:kern w:val="0"/>
                <w:sz w:val="20"/>
                <w:szCs w:val="20"/>
              </w:rPr>
              <w:t>4、皮纹纹理：不反光、不刺眼，色泽柔和，极大提高摩擦力，防滑效果更显著</w:t>
            </w:r>
            <w:r>
              <w:rPr>
                <w:rFonts w:hint="eastAsia" w:ascii="宋体" w:hAnsi="宋体" w:cs="宋体"/>
                <w:kern w:val="0"/>
                <w:sz w:val="20"/>
                <w:szCs w:val="20"/>
              </w:rPr>
              <w:br w:type="page"/>
            </w:r>
            <w:r>
              <w:rPr>
                <w:rFonts w:hint="eastAsia" w:ascii="宋体" w:hAnsi="宋体" w:cs="宋体"/>
                <w:kern w:val="0"/>
                <w:sz w:val="20"/>
                <w:szCs w:val="20"/>
              </w:rPr>
              <w:t>5、防热胀冷缩性：由12组弹性臂弹性支柱构成+4组弓形扣组合构成，防止因温度变化引起的起拱或拉裂，保证地板在2间隙伸缩6、单块地板包含两个专用固定结构设计，双重固定块可从地板中嵌入、取出，可以扩大安装区域，更大缓冲间隙，保证施工精度和安全。有效防风、防盗、防位移，均匀减震；防止软连接结构造成的蹬地位移起拱现象。</w:t>
            </w:r>
            <w:r>
              <w:rPr>
                <w:rFonts w:hint="eastAsia" w:ascii="宋体" w:hAnsi="宋体" w:cs="宋体"/>
                <w:kern w:val="0"/>
                <w:sz w:val="20"/>
                <w:szCs w:val="20"/>
              </w:rPr>
              <w:br w:type="page"/>
            </w:r>
            <w:r>
              <w:rPr>
                <w:rFonts w:hint="eastAsia" w:ascii="宋体" w:hAnsi="宋体" w:cs="宋体"/>
                <w:kern w:val="0"/>
                <w:sz w:val="20"/>
                <w:szCs w:val="20"/>
              </w:rPr>
              <w:t>7、支撑系统：由800根细弹支撑柱构成，即保证了冲击吸收又达到了球类回弹要求</w:t>
            </w:r>
            <w:r>
              <w:rPr>
                <w:rFonts w:hint="eastAsia" w:ascii="宋体" w:hAnsi="宋体" w:cs="宋体"/>
                <w:kern w:val="0"/>
                <w:sz w:val="20"/>
                <w:szCs w:val="20"/>
              </w:rPr>
              <w:br w:type="page"/>
            </w:r>
            <w:r>
              <w:rPr>
                <w:rFonts w:hint="eastAsia" w:ascii="宋体" w:hAnsi="宋体" w:cs="宋体"/>
                <w:kern w:val="0"/>
                <w:sz w:val="20"/>
                <w:szCs w:val="20"/>
              </w:rPr>
              <w:t>具体参数：</w:t>
            </w:r>
            <w:r>
              <w:rPr>
                <w:rFonts w:hint="eastAsia" w:ascii="宋体" w:hAnsi="宋体" w:cs="宋体"/>
                <w:kern w:val="0"/>
                <w:sz w:val="20"/>
                <w:szCs w:val="20"/>
              </w:rPr>
              <w:br w:type="page"/>
            </w:r>
            <w:r>
              <w:rPr>
                <w:rFonts w:hint="eastAsia" w:ascii="宋体" w:hAnsi="宋体" w:cs="宋体"/>
                <w:kern w:val="0"/>
                <w:sz w:val="20"/>
                <w:szCs w:val="20"/>
              </w:rPr>
              <w:t>1、冲击吸收：① （0±2）℃：20~50%；② （23±2）℃：20~50%；③ （50±2）℃：20~50%；</w:t>
            </w:r>
            <w:r>
              <w:rPr>
                <w:rFonts w:hint="eastAsia" w:ascii="宋体" w:hAnsi="宋体" w:cs="宋体"/>
                <w:kern w:val="0"/>
                <w:sz w:val="20"/>
                <w:szCs w:val="20"/>
              </w:rPr>
              <w:br w:type="page"/>
            </w:r>
            <w:r>
              <w:rPr>
                <w:rFonts w:hint="eastAsia" w:ascii="宋体" w:hAnsi="宋体" w:cs="宋体"/>
                <w:kern w:val="0"/>
                <w:sz w:val="20"/>
                <w:szCs w:val="20"/>
              </w:rPr>
              <w:t>2. 抗滑值/(BFN,20℃)：80~110（干测）；</w:t>
            </w:r>
            <w:r>
              <w:rPr>
                <w:rFonts w:hint="eastAsia" w:ascii="宋体" w:hAnsi="宋体" w:cs="宋体"/>
                <w:kern w:val="0"/>
                <w:sz w:val="20"/>
                <w:szCs w:val="20"/>
              </w:rPr>
              <w:br w:type="page"/>
            </w:r>
            <w:r>
              <w:rPr>
                <w:rFonts w:hint="eastAsia" w:ascii="宋体" w:hAnsi="宋体" w:cs="宋体"/>
                <w:kern w:val="0"/>
                <w:sz w:val="20"/>
                <w:szCs w:val="20"/>
              </w:rPr>
              <w:t>3. 拉伸强度（MPa）≥0.4；</w:t>
            </w:r>
            <w:r>
              <w:rPr>
                <w:rFonts w:hint="eastAsia" w:ascii="宋体" w:hAnsi="宋体" w:cs="宋体"/>
                <w:kern w:val="0"/>
                <w:sz w:val="20"/>
                <w:szCs w:val="20"/>
              </w:rPr>
              <w:br w:type="page"/>
            </w:r>
            <w:r>
              <w:rPr>
                <w:rFonts w:hint="eastAsia" w:ascii="宋体" w:hAnsi="宋体" w:cs="宋体"/>
                <w:kern w:val="0"/>
                <w:sz w:val="20"/>
                <w:szCs w:val="20"/>
              </w:rPr>
              <w:t>4. 拉断伸长率≥40%；</w:t>
            </w:r>
            <w:r>
              <w:rPr>
                <w:rFonts w:hint="eastAsia" w:ascii="宋体" w:hAnsi="宋体" w:cs="宋体"/>
                <w:kern w:val="0"/>
                <w:sz w:val="20"/>
                <w:szCs w:val="20"/>
              </w:rPr>
              <w:br w:type="page"/>
            </w:r>
            <w:r>
              <w:rPr>
                <w:rFonts w:hint="eastAsia" w:ascii="宋体" w:hAnsi="宋体" w:cs="宋体"/>
                <w:kern w:val="0"/>
                <w:sz w:val="20"/>
                <w:szCs w:val="20"/>
              </w:rPr>
              <w:t>5、有害物质释放量：① 总挥发性有机化合物（TVOC）≤5.0mg/（m²•h）；② 甲醛≤0.4mg/（m²•h）；③ 苯≤0.1mg/（m²•h）；④ 甲苯、二甲苯和乙苯总和≤1.0mg/（m²•h）；⑤ 二硫化碳≤7.0mg/（m²•h）； 8、含画线和收边条。</w:t>
            </w:r>
          </w:p>
        </w:tc>
      </w:tr>
      <w:tr>
        <w:tblPrEx>
          <w:tblCellMar>
            <w:top w:w="0" w:type="dxa"/>
            <w:left w:w="108" w:type="dxa"/>
            <w:bottom w:w="0" w:type="dxa"/>
            <w:right w:w="108" w:type="dxa"/>
          </w:tblCellMar>
        </w:tblPrEx>
        <w:trPr>
          <w:trHeight w:val="6653"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10</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江口南浦小学</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室外地面改性聚丙烯材料模块</w:t>
            </w:r>
            <w:r>
              <w:rPr>
                <w:rFonts w:hint="eastAsia" w:ascii="宋体" w:hAnsi="宋体" w:cs="宋体"/>
                <w:kern w:val="0"/>
                <w:sz w:val="30"/>
                <w:szCs w:val="30"/>
              </w:rPr>
              <w:t>（悬浮式拼装地板）</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741</w:t>
            </w:r>
          </w:p>
        </w:tc>
        <w:tc>
          <w:tcPr>
            <w:tcW w:w="1852"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drawing>
                <wp:anchor distT="0" distB="0" distL="114300" distR="114300" simplePos="0" relativeHeight="251668480" behindDoc="0" locked="0" layoutInCell="1" allowOverlap="1">
                  <wp:simplePos x="0" y="0"/>
                  <wp:positionH relativeFrom="column">
                    <wp:posOffset>19050</wp:posOffset>
                  </wp:positionH>
                  <wp:positionV relativeFrom="paragraph">
                    <wp:posOffset>1533525</wp:posOffset>
                  </wp:positionV>
                  <wp:extent cx="2971800" cy="2124075"/>
                  <wp:effectExtent l="0" t="0" r="0" b="0"/>
                  <wp:wrapNone/>
                  <wp:docPr id="19" name="图片 19" descr="2.18-08-江口南浦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18-08-江口南浦小学"/>
                          <pic:cNvPicPr>
                            <a:picLocks noChangeAspect="1"/>
                          </pic:cNvPicPr>
                        </pic:nvPicPr>
                        <pic:blipFill>
                          <a:blip r:embed="rId21" cstate="print"/>
                          <a:srcRect b="16190"/>
                          <a:stretch>
                            <a:fillRect/>
                          </a:stretch>
                        </pic:blipFill>
                        <pic:spPr>
                          <a:xfrm>
                            <a:off x="0" y="0"/>
                            <a:ext cx="2975610" cy="2120265"/>
                          </a:xfrm>
                          <a:prstGeom prst="rect">
                            <a:avLst/>
                          </a:prstGeom>
                          <a:ln w="12700" cap="flat">
                            <a:noFill/>
                            <a:miter lim="400000"/>
                            <a:headEnd/>
                            <a:tailEnd/>
                          </a:ln>
                          <a:effectLst/>
                        </pic:spPr>
                      </pic:pic>
                    </a:graphicData>
                  </a:graphic>
                </wp:anchor>
              </w:drawing>
            </w:r>
          </w:p>
        </w:tc>
        <w:tc>
          <w:tcPr>
            <w:tcW w:w="1647" w:type="pct"/>
            <w:tcBorders>
              <w:top w:val="nil"/>
              <w:left w:val="nil"/>
              <w:bottom w:val="single" w:color="auto" w:sz="4" w:space="0"/>
              <w:right w:val="single" w:color="auto" w:sz="4" w:space="0"/>
            </w:tcBorders>
            <w:shd w:val="clear" w:color="auto" w:fill="auto"/>
          </w:tcPr>
          <w:p>
            <w:pPr>
              <w:widowControl/>
              <w:jc w:val="left"/>
              <w:rPr>
                <w:rFonts w:ascii="宋体" w:hAnsi="宋体" w:cs="宋体"/>
                <w:kern w:val="0"/>
                <w:sz w:val="20"/>
                <w:szCs w:val="20"/>
              </w:rPr>
            </w:pPr>
            <w:r>
              <w:rPr>
                <w:rFonts w:hint="eastAsia" w:ascii="宋体" w:hAnsi="宋体" w:cs="宋体"/>
                <w:kern w:val="0"/>
                <w:sz w:val="20"/>
                <w:szCs w:val="20"/>
              </w:rPr>
              <w:t>1、产品规格：≥340mm×340mm×15.8mm；≥320g。</w:t>
            </w:r>
            <w:r>
              <w:rPr>
                <w:rFonts w:hint="eastAsia" w:ascii="宋体" w:hAnsi="宋体" w:cs="宋体"/>
                <w:kern w:val="0"/>
                <w:sz w:val="20"/>
                <w:szCs w:val="20"/>
              </w:rPr>
              <w:br w:type="page"/>
            </w:r>
            <w:r>
              <w:rPr>
                <w:rFonts w:hint="eastAsia" w:ascii="宋体" w:hAnsi="宋体" w:cs="宋体"/>
                <w:kern w:val="0"/>
                <w:sz w:val="20"/>
                <w:szCs w:val="20"/>
              </w:rPr>
              <w:t>2、食品级改性聚丙烯材质，100%原生料，无毒无味，绿色、安全，环保；</w:t>
            </w:r>
            <w:r>
              <w:rPr>
                <w:rFonts w:hint="eastAsia" w:ascii="宋体" w:hAnsi="宋体" w:cs="宋体"/>
                <w:kern w:val="0"/>
                <w:sz w:val="20"/>
                <w:szCs w:val="20"/>
              </w:rPr>
              <w:br w:type="page"/>
            </w:r>
            <w:r>
              <w:rPr>
                <w:rFonts w:hint="eastAsia" w:ascii="宋体" w:hAnsi="宋体" w:cs="宋体"/>
                <w:kern w:val="0"/>
                <w:sz w:val="20"/>
                <w:szCs w:val="20"/>
              </w:rPr>
              <w:t>3、运动地板外观：适合于运动，具备运动地板特性。</w:t>
            </w:r>
            <w:r>
              <w:rPr>
                <w:rFonts w:hint="eastAsia" w:ascii="宋体" w:hAnsi="宋体" w:cs="宋体"/>
                <w:kern w:val="0"/>
                <w:sz w:val="20"/>
                <w:szCs w:val="20"/>
              </w:rPr>
              <w:br w:type="page"/>
            </w:r>
            <w:r>
              <w:rPr>
                <w:rFonts w:hint="eastAsia" w:ascii="宋体" w:hAnsi="宋体" w:cs="宋体"/>
                <w:kern w:val="0"/>
                <w:sz w:val="20"/>
                <w:szCs w:val="20"/>
              </w:rPr>
              <w:t>4、皮纹纹理：不反光、不刺眼，色泽柔和，极大提高摩擦力，防滑效果更显著</w:t>
            </w:r>
            <w:r>
              <w:rPr>
                <w:rFonts w:hint="eastAsia" w:ascii="宋体" w:hAnsi="宋体" w:cs="宋体"/>
                <w:kern w:val="0"/>
                <w:sz w:val="20"/>
                <w:szCs w:val="20"/>
              </w:rPr>
              <w:br w:type="page"/>
            </w:r>
            <w:r>
              <w:rPr>
                <w:rFonts w:hint="eastAsia" w:ascii="宋体" w:hAnsi="宋体" w:cs="宋体"/>
                <w:kern w:val="0"/>
                <w:sz w:val="20"/>
                <w:szCs w:val="20"/>
              </w:rPr>
              <w:t>5、防热胀冷缩性：由12组弹性臂弹性支柱构成+4组弓形扣组合构成，防止因温度变化引起的起拱或拉裂，保证地板在2间隙伸缩</w:t>
            </w:r>
            <w:r>
              <w:rPr>
                <w:rFonts w:hint="eastAsia" w:ascii="宋体" w:hAnsi="宋体" w:cs="宋体"/>
                <w:kern w:val="0"/>
                <w:sz w:val="20"/>
                <w:szCs w:val="20"/>
              </w:rPr>
              <w:br w:type="page"/>
            </w:r>
            <w:r>
              <w:rPr>
                <w:rFonts w:hint="eastAsia" w:ascii="宋体" w:hAnsi="宋体" w:cs="宋体"/>
                <w:kern w:val="0"/>
                <w:sz w:val="20"/>
                <w:szCs w:val="20"/>
              </w:rPr>
              <w:t>6、单块地板包含两个专用固定结构设计，双重固定块可从地板中嵌入、取出，可以扩大安装区域，更大缓冲间隙，保证施工精度和安全。有效防风、防盗、防位移，均匀减震；防止软连接结构造成的蹬地位移起拱现象。</w:t>
            </w:r>
            <w:r>
              <w:rPr>
                <w:rFonts w:hint="eastAsia" w:ascii="宋体" w:hAnsi="宋体" w:cs="宋体"/>
                <w:kern w:val="0"/>
                <w:sz w:val="20"/>
                <w:szCs w:val="20"/>
              </w:rPr>
              <w:br w:type="page"/>
            </w:r>
            <w:r>
              <w:rPr>
                <w:rFonts w:hint="eastAsia" w:ascii="宋体" w:hAnsi="宋体" w:cs="宋体"/>
                <w:kern w:val="0"/>
                <w:sz w:val="20"/>
                <w:szCs w:val="20"/>
              </w:rPr>
              <w:t>7、支撑系统：由800根细弹支撑柱构成，即保证了冲击吸收又达到了球类回弹要求</w:t>
            </w:r>
            <w:r>
              <w:rPr>
                <w:rFonts w:hint="eastAsia" w:ascii="宋体" w:hAnsi="宋体" w:cs="宋体"/>
                <w:kern w:val="0"/>
                <w:sz w:val="20"/>
                <w:szCs w:val="20"/>
              </w:rPr>
              <w:br w:type="page"/>
            </w:r>
            <w:r>
              <w:rPr>
                <w:rFonts w:hint="eastAsia" w:ascii="宋体" w:hAnsi="宋体" w:cs="宋体"/>
                <w:kern w:val="0"/>
                <w:sz w:val="20"/>
                <w:szCs w:val="20"/>
              </w:rPr>
              <w:t>具体参数：</w:t>
            </w:r>
            <w:r>
              <w:rPr>
                <w:rFonts w:hint="eastAsia" w:ascii="宋体" w:hAnsi="宋体" w:cs="宋体"/>
                <w:kern w:val="0"/>
                <w:sz w:val="20"/>
                <w:szCs w:val="20"/>
              </w:rPr>
              <w:br w:type="page"/>
            </w:r>
            <w:r>
              <w:rPr>
                <w:rFonts w:hint="eastAsia" w:ascii="宋体" w:hAnsi="宋体" w:cs="宋体"/>
                <w:kern w:val="0"/>
                <w:sz w:val="20"/>
                <w:szCs w:val="20"/>
              </w:rPr>
              <w:t>1、冲击吸收：① （0±2）℃：20~50%；② （23±2）℃：20~50%；③ （50±2）℃：20~50%；</w:t>
            </w:r>
            <w:r>
              <w:rPr>
                <w:rFonts w:hint="eastAsia" w:ascii="宋体" w:hAnsi="宋体" w:cs="宋体"/>
                <w:kern w:val="0"/>
                <w:sz w:val="20"/>
                <w:szCs w:val="20"/>
              </w:rPr>
              <w:br w:type="page"/>
            </w:r>
            <w:r>
              <w:rPr>
                <w:rFonts w:hint="eastAsia" w:ascii="宋体" w:hAnsi="宋体" w:cs="宋体"/>
                <w:kern w:val="0"/>
                <w:sz w:val="20"/>
                <w:szCs w:val="20"/>
              </w:rPr>
              <w:t>2. 抗滑值/(BFN,20℃)：80~110（干测）；</w:t>
            </w:r>
            <w:r>
              <w:rPr>
                <w:rFonts w:hint="eastAsia" w:ascii="宋体" w:hAnsi="宋体" w:cs="宋体"/>
                <w:kern w:val="0"/>
                <w:sz w:val="20"/>
                <w:szCs w:val="20"/>
              </w:rPr>
              <w:br w:type="page"/>
            </w:r>
            <w:r>
              <w:rPr>
                <w:rFonts w:hint="eastAsia" w:ascii="宋体" w:hAnsi="宋体" w:cs="宋体"/>
                <w:kern w:val="0"/>
                <w:sz w:val="20"/>
                <w:szCs w:val="20"/>
              </w:rPr>
              <w:t>3. 拉伸强度（MPa）≥0.4；</w:t>
            </w:r>
            <w:r>
              <w:rPr>
                <w:rFonts w:hint="eastAsia" w:ascii="宋体" w:hAnsi="宋体" w:cs="宋体"/>
                <w:kern w:val="0"/>
                <w:sz w:val="20"/>
                <w:szCs w:val="20"/>
              </w:rPr>
              <w:br w:type="page"/>
            </w:r>
            <w:r>
              <w:rPr>
                <w:rFonts w:hint="eastAsia" w:ascii="宋体" w:hAnsi="宋体" w:cs="宋体"/>
                <w:kern w:val="0"/>
                <w:sz w:val="20"/>
                <w:szCs w:val="20"/>
              </w:rPr>
              <w:t>4. 拉断伸长率≥40%；</w:t>
            </w:r>
            <w:r>
              <w:rPr>
                <w:rFonts w:hint="eastAsia" w:ascii="宋体" w:hAnsi="宋体" w:cs="宋体"/>
                <w:kern w:val="0"/>
                <w:sz w:val="20"/>
                <w:szCs w:val="20"/>
              </w:rPr>
              <w:br w:type="page"/>
            </w:r>
            <w:r>
              <w:rPr>
                <w:rFonts w:hint="eastAsia" w:ascii="宋体" w:hAnsi="宋体" w:cs="宋体"/>
                <w:kern w:val="0"/>
                <w:sz w:val="20"/>
                <w:szCs w:val="20"/>
              </w:rPr>
              <w:t>5、有害物质释放量：① 总挥发性有机化合物（TVOC）≤5.0mg/（m²•h）；② 甲醛≤0.4mg/（m²•h）；③ 苯≤0.1mg/（m²•h）；④ 甲苯、二甲苯和乙苯总和≤1.0mg/（m²•h）；⑤ 二硫化碳≤7.0mg/（m²•h）； 8、含画线和收边条。</w:t>
            </w:r>
          </w:p>
        </w:tc>
      </w:tr>
      <w:tr>
        <w:tblPrEx>
          <w:tblCellMar>
            <w:top w:w="0" w:type="dxa"/>
            <w:left w:w="108" w:type="dxa"/>
            <w:bottom w:w="0" w:type="dxa"/>
            <w:right w:w="108" w:type="dxa"/>
          </w:tblCellMar>
        </w:tblPrEx>
        <w:trPr>
          <w:trHeight w:val="551" w:hRule="atLeast"/>
        </w:trPr>
        <w:tc>
          <w:tcPr>
            <w:tcW w:w="23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11</w:t>
            </w:r>
          </w:p>
        </w:tc>
        <w:tc>
          <w:tcPr>
            <w:tcW w:w="39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各校</w:t>
            </w:r>
          </w:p>
        </w:tc>
        <w:tc>
          <w:tcPr>
            <w:tcW w:w="439"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找平</w:t>
            </w:r>
          </w:p>
        </w:tc>
        <w:tc>
          <w:tcPr>
            <w:tcW w:w="440" w:type="pct"/>
            <w:tcBorders>
              <w:top w:val="nil"/>
              <w:left w:val="nil"/>
              <w:bottom w:val="single" w:color="auto" w:sz="4" w:space="0"/>
              <w:right w:val="single" w:color="auto" w:sz="4" w:space="0"/>
            </w:tcBorders>
            <w:shd w:val="clear" w:color="000000" w:fill="FFFFFF"/>
            <w:vAlign w:val="center"/>
          </w:tcPr>
          <w:p>
            <w:pPr>
              <w:widowControl/>
              <w:jc w:val="center"/>
              <w:rPr>
                <w:rFonts w:ascii="Helvetica" w:hAnsi="Helvetica" w:cs="宋体"/>
                <w:kern w:val="0"/>
                <w:sz w:val="30"/>
                <w:szCs w:val="30"/>
              </w:rPr>
            </w:pPr>
            <w:r>
              <w:rPr>
                <w:rFonts w:ascii="Helvetica" w:hAnsi="Helvetica" w:cs="宋体"/>
                <w:kern w:val="0"/>
                <w:sz w:val="30"/>
                <w:szCs w:val="30"/>
              </w:rPr>
              <w:t>1095</w:t>
            </w:r>
          </w:p>
        </w:tc>
        <w:tc>
          <w:tcPr>
            <w:tcW w:w="1852" w:type="pct"/>
            <w:tcBorders>
              <w:top w:val="nil"/>
              <w:left w:val="nil"/>
              <w:bottom w:val="single" w:color="auto" w:sz="4" w:space="0"/>
              <w:right w:val="single" w:color="auto" w:sz="4" w:space="0"/>
            </w:tcBorders>
            <w:shd w:val="clear" w:color="auto" w:fill="auto"/>
          </w:tcPr>
          <w:p>
            <w:pPr>
              <w:widowControl/>
              <w:jc w:val="left"/>
              <w:rPr>
                <w:rFonts w:ascii="Helvetica" w:hAnsi="Helvetica" w:cs="宋体"/>
                <w:kern w:val="0"/>
                <w:sz w:val="20"/>
                <w:szCs w:val="20"/>
              </w:rPr>
            </w:pPr>
            <w:r>
              <w:rPr>
                <w:rFonts w:ascii="Helvetica" w:hAnsi="Helvetica" w:cs="宋体"/>
                <w:kern w:val="0"/>
                <w:sz w:val="20"/>
                <w:szCs w:val="20"/>
              </w:rPr>
              <w:t>　</w:t>
            </w:r>
          </w:p>
        </w:tc>
        <w:tc>
          <w:tcPr>
            <w:tcW w:w="1647"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拆除的基层类型：水泥、沥青地面</w:t>
            </w:r>
            <w:r>
              <w:rPr>
                <w:rFonts w:ascii="Helvetica" w:hAnsi="Helvetica" w:cs="宋体"/>
                <w:kern w:val="0"/>
                <w:sz w:val="20"/>
                <w:szCs w:val="20"/>
              </w:rPr>
              <w:br w:type="page"/>
            </w:r>
            <w:r>
              <w:rPr>
                <w:rFonts w:hint="eastAsia" w:ascii="宋体" w:hAnsi="宋体" w:cs="宋体"/>
                <w:kern w:val="0"/>
                <w:sz w:val="20"/>
                <w:szCs w:val="20"/>
              </w:rPr>
              <w:t>装饰地面材料种类：水泥、沥青、塑胶面层</w:t>
            </w:r>
            <w:r>
              <w:rPr>
                <w:rFonts w:ascii="Helvetica" w:hAnsi="Helvetica" w:cs="宋体"/>
                <w:kern w:val="0"/>
                <w:sz w:val="20"/>
                <w:szCs w:val="20"/>
              </w:rPr>
              <w:br w:type="page"/>
            </w:r>
            <w:r>
              <w:rPr>
                <w:rFonts w:hint="eastAsia" w:ascii="宋体" w:hAnsi="宋体" w:cs="宋体"/>
                <w:kern w:val="0"/>
                <w:sz w:val="20"/>
                <w:szCs w:val="20"/>
              </w:rPr>
              <w:t>对所有场地进行局部找平处理。找平厚度根据现场不同，包括3公分、10公分、16公分不等</w:t>
            </w:r>
          </w:p>
        </w:tc>
      </w:tr>
    </w:tbl>
    <w:p>
      <w:pPr>
        <w:snapToGrid w:val="0"/>
        <w:spacing w:line="360" w:lineRule="auto"/>
        <w:jc w:val="left"/>
        <w:rPr>
          <w:rFonts w:cs="仿宋" w:asciiTheme="majorEastAsia" w:hAnsiTheme="majorEastAsia" w:eastAsiaTheme="majorEastAsia"/>
          <w:b/>
          <w:sz w:val="32"/>
          <w:szCs w:val="20"/>
        </w:rPr>
      </w:pPr>
      <w:r>
        <w:rPr>
          <w:rFonts w:cs="仿宋" w:asciiTheme="majorEastAsia" w:hAnsiTheme="majorEastAsia" w:eastAsiaTheme="majorEastAsia"/>
          <w:b/>
          <w:sz w:val="32"/>
          <w:szCs w:val="20"/>
        </w:rPr>
        <w:t>注</w:t>
      </w:r>
      <w:r>
        <w:rPr>
          <w:rFonts w:hint="eastAsia" w:cs="仿宋" w:asciiTheme="majorEastAsia" w:hAnsiTheme="majorEastAsia" w:eastAsiaTheme="majorEastAsia"/>
          <w:b/>
          <w:sz w:val="32"/>
          <w:szCs w:val="20"/>
        </w:rPr>
        <w:t>: 因疫情原因，供应商以邮寄的方式提供样品,具体要求详见投标须知前附表。</w:t>
      </w:r>
    </w:p>
    <w:p>
      <w:pPr>
        <w:pStyle w:val="2"/>
        <w:ind w:firstLine="0" w:firstLineChars="0"/>
        <w:sectPr>
          <w:pgSz w:w="16838" w:h="11906" w:orient="landscape"/>
          <w:pgMar w:top="1418" w:right="1276" w:bottom="1418" w:left="1247" w:header="851" w:footer="992" w:gutter="0"/>
          <w:cols w:space="720" w:num="1"/>
          <w:titlePg/>
          <w:docGrid w:linePitch="312" w:charSpace="0"/>
        </w:sectPr>
      </w:pPr>
    </w:p>
    <w:p>
      <w:pPr>
        <w:widowControl/>
        <w:jc w:val="left"/>
        <w:rPr>
          <w:rFonts w:asciiTheme="majorEastAsia" w:hAnsiTheme="majorEastAsia" w:eastAsiaTheme="majorEastAsia"/>
          <w:sz w:val="28"/>
        </w:rPr>
      </w:pPr>
    </w:p>
    <w:p>
      <w:pPr>
        <w:widowControl/>
        <w:jc w:val="left"/>
        <w:rPr>
          <w:rFonts w:cs="仿宋" w:asciiTheme="majorEastAsia" w:hAnsiTheme="majorEastAsia" w:eastAsiaTheme="majorEastAsia"/>
          <w:b/>
          <w:sz w:val="32"/>
        </w:rPr>
      </w:pPr>
      <w:r>
        <w:rPr>
          <w:rFonts w:hint="eastAsia" w:cs="仿宋" w:asciiTheme="majorEastAsia" w:hAnsiTheme="majorEastAsia" w:eastAsiaTheme="majorEastAsia"/>
          <w:b/>
          <w:sz w:val="32"/>
        </w:rPr>
        <w:t>六、商务要求</w:t>
      </w:r>
    </w:p>
    <w:tbl>
      <w:tblPr>
        <w:tblStyle w:val="19"/>
        <w:tblW w:w="0" w:type="auto"/>
        <w:tblInd w:w="0" w:type="dxa"/>
        <w:tblLayout w:type="fixed"/>
        <w:tblCellMar>
          <w:top w:w="0" w:type="dxa"/>
          <w:left w:w="108" w:type="dxa"/>
          <w:bottom w:w="0" w:type="dxa"/>
          <w:right w:w="108" w:type="dxa"/>
        </w:tblCellMar>
      </w:tblPr>
      <w:tblGrid>
        <w:gridCol w:w="1936"/>
        <w:gridCol w:w="7186"/>
      </w:tblGrid>
      <w:tr>
        <w:tblPrEx>
          <w:tblCellMar>
            <w:top w:w="0" w:type="dxa"/>
            <w:left w:w="108" w:type="dxa"/>
            <w:bottom w:w="0" w:type="dxa"/>
            <w:right w:w="108" w:type="dxa"/>
          </w:tblCellMar>
        </w:tblPrEx>
        <w:trPr>
          <w:trHeight w:val="359"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jc w:val="center"/>
              <w:rPr>
                <w:rFonts w:cs="仿宋" w:asciiTheme="majorEastAsia" w:hAnsiTheme="majorEastAsia" w:eastAsiaTheme="majorEastAsia"/>
                <w:b/>
                <w:bCs/>
                <w:kern w:val="0"/>
                <w:sz w:val="24"/>
              </w:rPr>
            </w:pPr>
            <w:r>
              <w:rPr>
                <w:rFonts w:hint="eastAsia" w:cs="仿宋" w:asciiTheme="majorEastAsia" w:hAnsiTheme="majorEastAsia" w:eastAsiaTheme="majorEastAsia"/>
                <w:b/>
                <w:bCs/>
                <w:kern w:val="0"/>
                <w:sz w:val="24"/>
              </w:rPr>
              <w:t>项目</w:t>
            </w:r>
          </w:p>
        </w:tc>
        <w:tc>
          <w:tcPr>
            <w:tcW w:w="7186" w:type="dxa"/>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jc w:val="center"/>
              <w:rPr>
                <w:rFonts w:cs="仿宋" w:asciiTheme="majorEastAsia" w:hAnsiTheme="majorEastAsia" w:eastAsiaTheme="majorEastAsia"/>
                <w:b/>
                <w:bCs/>
                <w:kern w:val="0"/>
                <w:sz w:val="24"/>
              </w:rPr>
            </w:pPr>
            <w:r>
              <w:rPr>
                <w:rFonts w:hint="eastAsia" w:cs="仿宋" w:asciiTheme="majorEastAsia" w:hAnsiTheme="majorEastAsia" w:eastAsiaTheme="majorEastAsia"/>
                <w:b/>
                <w:bCs/>
                <w:kern w:val="0"/>
                <w:sz w:val="24"/>
              </w:rPr>
              <w:t>要 求</w:t>
            </w:r>
          </w:p>
        </w:tc>
      </w:tr>
      <w:tr>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付款条件</w:t>
            </w:r>
          </w:p>
        </w:tc>
        <w:tc>
          <w:tcPr>
            <w:tcW w:w="718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合同签订后15个日历天内支付合同总价的30%作为预付款，验收合格后15日历天内付至合同总价的95%，余款在质保期满后付清。</w:t>
            </w:r>
          </w:p>
          <w:p>
            <w:pPr>
              <w:pStyle w:val="2"/>
              <w:ind w:firstLine="0" w:firstLineChars="0"/>
              <w:jc w:val="left"/>
            </w:pPr>
            <w:r>
              <w:rPr>
                <w:rFonts w:hint="eastAsia" w:cs="仿宋" w:asciiTheme="majorEastAsia" w:hAnsiTheme="majorEastAsia" w:eastAsiaTheme="majorEastAsia"/>
                <w:kern w:val="0"/>
                <w:sz w:val="24"/>
              </w:rPr>
              <w:t>注：甲方支付预付款前，乙方需开具预付款同等金额的预付款保函（银行保函）及收据。预付款保函于验收合格后退还，乙方需开具预付款同等金额的增值税专票给甲方。</w:t>
            </w:r>
          </w:p>
        </w:tc>
      </w:tr>
      <w:tr>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履约保证金</w:t>
            </w:r>
          </w:p>
        </w:tc>
        <w:tc>
          <w:tcPr>
            <w:tcW w:w="718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ind w:left="-108" w:right="-120"/>
              <w:jc w:val="left"/>
              <w:rPr>
                <w:rFonts w:ascii="宋体" w:hAnsi="宋体" w:cs="宋体"/>
                <w:sz w:val="24"/>
              </w:rPr>
            </w:pPr>
            <w:r>
              <w:rPr>
                <w:rFonts w:hint="eastAsia" w:ascii="宋体" w:hAnsi="宋体" w:cs="宋体"/>
                <w:sz w:val="24"/>
              </w:rPr>
              <w:t>履约担保</w:t>
            </w:r>
            <w:r>
              <w:rPr>
                <w:rFonts w:ascii="宋体" w:hAnsi="宋体" w:cs="宋体"/>
                <w:sz w:val="24"/>
              </w:rPr>
              <w:t>形式：</w:t>
            </w:r>
            <w:r>
              <w:rPr>
                <w:rFonts w:hint="eastAsia" w:ascii="宋体" w:hAnsi="宋体" w:cs="宋体"/>
                <w:sz w:val="24"/>
              </w:rPr>
              <w:t>电汇、银行保函、保险公司保函。</w:t>
            </w:r>
          </w:p>
          <w:p>
            <w:pPr>
              <w:widowControl/>
              <w:spacing w:line="0" w:lineRule="atLeast"/>
              <w:ind w:left="-108" w:right="-120"/>
              <w:jc w:val="left"/>
              <w:rPr>
                <w:rFonts w:ascii="宋体" w:hAnsi="宋体" w:cs="宋体"/>
                <w:sz w:val="24"/>
              </w:rPr>
            </w:pPr>
            <w:r>
              <w:rPr>
                <w:rFonts w:hint="eastAsia" w:ascii="宋体" w:hAnsi="宋体" w:cs="宋体"/>
                <w:sz w:val="24"/>
              </w:rPr>
              <w:t>履约担保</w:t>
            </w:r>
            <w:r>
              <w:rPr>
                <w:rFonts w:ascii="宋体" w:hAnsi="宋体" w:cs="宋体"/>
                <w:sz w:val="24"/>
              </w:rPr>
              <w:t>的收取及退还：</w:t>
            </w:r>
            <w:r>
              <w:rPr>
                <w:rFonts w:hint="eastAsia" w:ascii="宋体" w:hAnsi="宋体" w:cs="宋体"/>
                <w:sz w:val="24"/>
              </w:rPr>
              <w:t>按合同总金额的2.5%计收</w:t>
            </w:r>
            <w:r>
              <w:rPr>
                <w:rFonts w:ascii="宋体" w:hAnsi="宋体" w:cs="宋体"/>
                <w:sz w:val="24"/>
              </w:rPr>
              <w:t>，合同履行完毕（验收合格并交付使用）后5日内无息退还。</w:t>
            </w:r>
          </w:p>
        </w:tc>
      </w:tr>
      <w:tr>
        <w:tblPrEx>
          <w:tblCellMar>
            <w:top w:w="0" w:type="dxa"/>
            <w:left w:w="108" w:type="dxa"/>
            <w:bottom w:w="0" w:type="dxa"/>
            <w:right w:w="108" w:type="dxa"/>
          </w:tblCellMar>
        </w:tblPrEx>
        <w:trPr>
          <w:trHeight w:val="342"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工期及地点</w:t>
            </w:r>
          </w:p>
        </w:tc>
        <w:tc>
          <w:tcPr>
            <w:tcW w:w="718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cs="仿宋" w:asciiTheme="majorEastAsia" w:hAnsiTheme="majorEastAsia" w:eastAsiaTheme="majorEastAsia"/>
                <w:kern w:val="0"/>
                <w:sz w:val="24"/>
              </w:rPr>
              <w:t>工期</w:t>
            </w:r>
            <w:r>
              <w:rPr>
                <w:rFonts w:hint="eastAsia" w:cs="仿宋" w:asciiTheme="majorEastAsia" w:hAnsiTheme="majorEastAsia" w:eastAsiaTheme="majorEastAsia"/>
                <w:kern w:val="0"/>
                <w:sz w:val="24"/>
              </w:rPr>
              <w:t>：</w:t>
            </w:r>
            <w:r>
              <w:rPr>
                <w:rFonts w:hint="eastAsia" w:cs="仿宋" w:asciiTheme="majorEastAsia" w:hAnsiTheme="majorEastAsia" w:eastAsiaTheme="majorEastAsia"/>
                <w:sz w:val="24"/>
              </w:rPr>
              <w:t>2022年08月31日前完工并通过验收</w:t>
            </w:r>
            <w:r>
              <w:rPr>
                <w:rFonts w:hint="eastAsia" w:cs="仿宋" w:asciiTheme="majorEastAsia" w:hAnsiTheme="majorEastAsia" w:eastAsiaTheme="majorEastAsia"/>
                <w:kern w:val="0"/>
                <w:sz w:val="24"/>
              </w:rPr>
              <w:t>。</w:t>
            </w:r>
          </w:p>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地点：业主指定地点。</w:t>
            </w:r>
          </w:p>
        </w:tc>
      </w:tr>
      <w:tr>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产品及服务质量保证</w:t>
            </w:r>
          </w:p>
        </w:tc>
        <w:tc>
          <w:tcPr>
            <w:tcW w:w="718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供应商保证所供的商品必须是合格产品,如发生所供的商品与合同不符,采购人有权拒收或退货,由此产生的一切责任和后果由供应商承担。质保期自货物验收合格之日起计。</w:t>
            </w:r>
          </w:p>
        </w:tc>
      </w:tr>
      <w:tr>
        <w:tblPrEx>
          <w:tblCellMar>
            <w:top w:w="0" w:type="dxa"/>
            <w:left w:w="108" w:type="dxa"/>
            <w:bottom w:w="0" w:type="dxa"/>
            <w:right w:w="108" w:type="dxa"/>
          </w:tblCellMar>
        </w:tblPrEx>
        <w:trPr>
          <w:trHeight w:val="549"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质保期</w:t>
            </w:r>
          </w:p>
        </w:tc>
        <w:tc>
          <w:tcPr>
            <w:tcW w:w="718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项目验收合格并移交之日起24个月。</w:t>
            </w:r>
          </w:p>
        </w:tc>
      </w:tr>
      <w:tr>
        <w:tblPrEx>
          <w:tblCellMar>
            <w:top w:w="0" w:type="dxa"/>
            <w:left w:w="108" w:type="dxa"/>
            <w:bottom w:w="0" w:type="dxa"/>
            <w:right w:w="108" w:type="dxa"/>
          </w:tblCellMar>
        </w:tblPrEx>
        <w:trPr>
          <w:trHeight w:val="666"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售后技术服务要求</w:t>
            </w:r>
          </w:p>
        </w:tc>
        <w:tc>
          <w:tcPr>
            <w:tcW w:w="718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定期对场地进行保养回访，每年不少于2次，若发生故障时在24小时内到场进行维修。</w:t>
            </w:r>
          </w:p>
        </w:tc>
      </w:tr>
      <w:tr>
        <w:tblPrEx>
          <w:tblCellMar>
            <w:top w:w="0" w:type="dxa"/>
            <w:left w:w="108" w:type="dxa"/>
            <w:bottom w:w="0" w:type="dxa"/>
            <w:right w:w="108" w:type="dxa"/>
          </w:tblCellMar>
        </w:tblPrEx>
        <w:tc>
          <w:tcPr>
            <w:tcW w:w="193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合同终止</w:t>
            </w:r>
          </w:p>
        </w:tc>
        <w:tc>
          <w:tcPr>
            <w:tcW w:w="7186" w:type="dxa"/>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（一）未能使合同货物达到合同附件规定的技术性能和指标的；</w:t>
            </w:r>
          </w:p>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（二）未能在合同规定的期限（或采购人同意延长的最终期限）内提供全部或部分货物的；</w:t>
            </w:r>
          </w:p>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（三）未能履行合同规定的其它义务。</w:t>
            </w:r>
          </w:p>
        </w:tc>
      </w:tr>
    </w:tbl>
    <w:p>
      <w:pPr>
        <w:snapToGrid w:val="0"/>
        <w:spacing w:line="36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24"/>
        </w:rPr>
        <w:br w:type="page"/>
      </w:r>
      <w:r>
        <w:rPr>
          <w:rFonts w:hint="eastAsia" w:cs="仿宋" w:asciiTheme="majorEastAsia" w:hAnsiTheme="majorEastAsia" w:eastAsiaTheme="majorEastAsia"/>
          <w:b/>
          <w:sz w:val="36"/>
          <w:szCs w:val="36"/>
        </w:rPr>
        <w:t xml:space="preserve">第四部分   </w:t>
      </w:r>
      <w:bookmarkStart w:id="28" w:name="_Toc184313252"/>
      <w:bookmarkEnd w:id="28"/>
      <w:bookmarkStart w:id="29" w:name="_Toc184310275"/>
      <w:bookmarkEnd w:id="29"/>
      <w:bookmarkStart w:id="30" w:name="_Toc184314429"/>
      <w:bookmarkEnd w:id="30"/>
      <w:bookmarkStart w:id="31" w:name="_Toc184308102"/>
      <w:bookmarkEnd w:id="31"/>
      <w:bookmarkStart w:id="32" w:name="_Toc184312099"/>
      <w:bookmarkEnd w:id="32"/>
      <w:bookmarkStart w:id="33" w:name="_Toc184312085"/>
      <w:bookmarkEnd w:id="33"/>
      <w:bookmarkStart w:id="34" w:name="_Toc184312117"/>
      <w:bookmarkEnd w:id="34"/>
      <w:bookmarkStart w:id="35" w:name="_Toc184312121"/>
      <w:bookmarkEnd w:id="35"/>
      <w:bookmarkStart w:id="36" w:name="_Toc184308040"/>
      <w:bookmarkEnd w:id="36"/>
      <w:bookmarkStart w:id="37" w:name="_Toc184314472"/>
      <w:bookmarkEnd w:id="37"/>
      <w:bookmarkStart w:id="38" w:name="_Toc184308056"/>
      <w:bookmarkEnd w:id="38"/>
      <w:bookmarkStart w:id="39" w:name="_Toc184310322"/>
      <w:bookmarkEnd w:id="39"/>
      <w:bookmarkStart w:id="40" w:name="_Toc184313251"/>
      <w:bookmarkEnd w:id="40"/>
      <w:bookmarkStart w:id="41" w:name="_Toc184313241"/>
      <w:bookmarkEnd w:id="41"/>
      <w:bookmarkStart w:id="42" w:name="_Toc184314449"/>
      <w:bookmarkEnd w:id="42"/>
      <w:bookmarkStart w:id="43" w:name="_Toc184312091"/>
      <w:bookmarkEnd w:id="43"/>
      <w:bookmarkStart w:id="44" w:name="_Toc184310330"/>
      <w:bookmarkEnd w:id="44"/>
      <w:bookmarkStart w:id="45" w:name="_Toc184310288"/>
      <w:bookmarkEnd w:id="45"/>
      <w:bookmarkStart w:id="46" w:name="_Toc184314466"/>
      <w:bookmarkEnd w:id="46"/>
      <w:bookmarkStart w:id="47" w:name="_Toc184314413"/>
      <w:bookmarkEnd w:id="47"/>
      <w:bookmarkStart w:id="48" w:name="_Toc184308054"/>
      <w:bookmarkEnd w:id="48"/>
      <w:bookmarkStart w:id="49" w:name="_Toc184313275"/>
      <w:bookmarkEnd w:id="49"/>
      <w:bookmarkStart w:id="50" w:name="_Toc184312094"/>
      <w:bookmarkEnd w:id="50"/>
      <w:bookmarkStart w:id="51" w:name="_Toc184313262"/>
      <w:bookmarkEnd w:id="51"/>
      <w:bookmarkStart w:id="52" w:name="_Toc184308072"/>
      <w:bookmarkEnd w:id="52"/>
      <w:bookmarkStart w:id="53" w:name="_Toc184314473"/>
      <w:bookmarkEnd w:id="53"/>
      <w:bookmarkStart w:id="54" w:name="_Toc184308081"/>
      <w:bookmarkEnd w:id="54"/>
      <w:bookmarkStart w:id="55" w:name="_Toc184312114"/>
      <w:bookmarkEnd w:id="55"/>
      <w:bookmarkStart w:id="56" w:name="_Toc184312124"/>
      <w:bookmarkEnd w:id="56"/>
      <w:bookmarkStart w:id="57" w:name="_Toc184312105"/>
      <w:bookmarkEnd w:id="57"/>
      <w:bookmarkStart w:id="58" w:name="_Toc184314450"/>
      <w:bookmarkEnd w:id="58"/>
      <w:bookmarkStart w:id="59" w:name="_Toc184314478"/>
      <w:bookmarkEnd w:id="59"/>
      <w:bookmarkStart w:id="60" w:name="_Toc184312112"/>
      <w:bookmarkEnd w:id="60"/>
      <w:bookmarkStart w:id="61" w:name="_Toc184313303"/>
      <w:bookmarkEnd w:id="61"/>
      <w:bookmarkStart w:id="62" w:name="_Toc184310296"/>
      <w:bookmarkEnd w:id="62"/>
      <w:bookmarkStart w:id="63" w:name="_Toc184313289"/>
      <w:bookmarkEnd w:id="63"/>
      <w:bookmarkStart w:id="64" w:name="_Toc184310312"/>
      <w:bookmarkEnd w:id="64"/>
      <w:bookmarkStart w:id="65" w:name="_Toc184312132"/>
      <w:bookmarkEnd w:id="65"/>
      <w:bookmarkStart w:id="66" w:name="_Toc184308089"/>
      <w:bookmarkEnd w:id="66"/>
      <w:bookmarkStart w:id="67" w:name="_Toc184310329"/>
      <w:bookmarkEnd w:id="67"/>
      <w:bookmarkStart w:id="68" w:name="_Toc184313242"/>
      <w:bookmarkEnd w:id="68"/>
      <w:bookmarkStart w:id="69" w:name="_Toc184312077"/>
      <w:bookmarkEnd w:id="69"/>
      <w:bookmarkStart w:id="70" w:name="_Toc184308076"/>
      <w:bookmarkEnd w:id="70"/>
      <w:bookmarkStart w:id="71" w:name="_Toc184314482"/>
      <w:bookmarkEnd w:id="71"/>
      <w:bookmarkStart w:id="72" w:name="_Toc184310286"/>
      <w:bookmarkEnd w:id="72"/>
      <w:bookmarkStart w:id="73" w:name="_Toc184314467"/>
      <w:bookmarkEnd w:id="73"/>
      <w:bookmarkStart w:id="74" w:name="_Toc184314422"/>
      <w:bookmarkEnd w:id="74"/>
      <w:bookmarkStart w:id="75" w:name="_Toc184313305"/>
      <w:bookmarkEnd w:id="75"/>
      <w:bookmarkStart w:id="76" w:name="_Toc184312080"/>
      <w:bookmarkEnd w:id="76"/>
      <w:bookmarkStart w:id="77" w:name="_Toc184308090"/>
      <w:bookmarkEnd w:id="77"/>
      <w:bookmarkStart w:id="78" w:name="_Toc184312069"/>
      <w:bookmarkEnd w:id="78"/>
      <w:bookmarkStart w:id="79" w:name="_Toc184312109"/>
      <w:bookmarkEnd w:id="79"/>
      <w:bookmarkStart w:id="80" w:name="_Toc184313287"/>
      <w:bookmarkEnd w:id="80"/>
      <w:bookmarkStart w:id="81" w:name="_Toc184308091"/>
      <w:bookmarkEnd w:id="81"/>
      <w:bookmarkStart w:id="82" w:name="_Toc184314455"/>
      <w:bookmarkEnd w:id="82"/>
      <w:bookmarkStart w:id="83" w:name="_Toc184312120"/>
      <w:bookmarkEnd w:id="83"/>
      <w:bookmarkStart w:id="84" w:name="_Toc184313277"/>
      <w:bookmarkEnd w:id="84"/>
      <w:bookmarkStart w:id="85" w:name="_Toc184312118"/>
      <w:bookmarkEnd w:id="85"/>
      <w:bookmarkStart w:id="86" w:name="_Toc184313280"/>
      <w:bookmarkEnd w:id="86"/>
      <w:bookmarkStart w:id="87" w:name="_Toc184310325"/>
      <w:bookmarkEnd w:id="87"/>
      <w:bookmarkStart w:id="88" w:name="_Toc184313285"/>
      <w:bookmarkEnd w:id="88"/>
      <w:bookmarkStart w:id="89" w:name="_Toc184312075"/>
      <w:bookmarkEnd w:id="89"/>
      <w:bookmarkStart w:id="90" w:name="_Toc184314411"/>
      <w:bookmarkEnd w:id="90"/>
      <w:bookmarkStart w:id="91" w:name="_Toc184308087"/>
      <w:bookmarkEnd w:id="91"/>
      <w:bookmarkStart w:id="92" w:name="_Toc184314476"/>
      <w:bookmarkEnd w:id="92"/>
      <w:bookmarkStart w:id="93" w:name="_Toc184313274"/>
      <w:bookmarkEnd w:id="93"/>
      <w:bookmarkStart w:id="94" w:name="_Toc184314436"/>
      <w:bookmarkEnd w:id="94"/>
      <w:bookmarkStart w:id="95" w:name="_Toc184308093"/>
      <w:bookmarkEnd w:id="95"/>
      <w:bookmarkStart w:id="96" w:name="_Toc184314415"/>
      <w:bookmarkEnd w:id="96"/>
      <w:bookmarkStart w:id="97" w:name="_Toc184313302"/>
      <w:bookmarkEnd w:id="97"/>
      <w:bookmarkStart w:id="98" w:name="_Toc184310342"/>
      <w:bookmarkEnd w:id="98"/>
      <w:bookmarkStart w:id="99" w:name="_Toc184310327"/>
      <w:bookmarkEnd w:id="99"/>
      <w:bookmarkStart w:id="100" w:name="_Toc184310279"/>
      <w:bookmarkEnd w:id="100"/>
      <w:bookmarkStart w:id="101" w:name="_Toc184313294"/>
      <w:bookmarkEnd w:id="101"/>
      <w:bookmarkStart w:id="102" w:name="_Toc184310313"/>
      <w:bookmarkEnd w:id="102"/>
      <w:bookmarkStart w:id="103" w:name="_Toc184312070"/>
      <w:bookmarkEnd w:id="103"/>
      <w:bookmarkStart w:id="104" w:name="_Toc184312103"/>
      <w:bookmarkEnd w:id="104"/>
      <w:bookmarkStart w:id="105" w:name="_Toc184314474"/>
      <w:bookmarkEnd w:id="105"/>
      <w:bookmarkStart w:id="106" w:name="_Toc184313282"/>
      <w:bookmarkEnd w:id="106"/>
      <w:bookmarkStart w:id="107" w:name="_Toc184310343"/>
      <w:bookmarkEnd w:id="107"/>
      <w:bookmarkStart w:id="108" w:name="_Toc184314479"/>
      <w:bookmarkEnd w:id="108"/>
      <w:bookmarkStart w:id="109" w:name="_Toc184308051"/>
      <w:bookmarkEnd w:id="109"/>
      <w:bookmarkStart w:id="110" w:name="_Toc184310320"/>
      <w:bookmarkEnd w:id="110"/>
      <w:bookmarkStart w:id="111" w:name="_Toc184313248"/>
      <w:bookmarkEnd w:id="111"/>
      <w:bookmarkStart w:id="112" w:name="_Toc184308044"/>
      <w:bookmarkEnd w:id="112"/>
      <w:bookmarkStart w:id="113" w:name="_Toc184314461"/>
      <w:bookmarkEnd w:id="113"/>
      <w:bookmarkStart w:id="114" w:name="_Toc184312113"/>
      <w:bookmarkEnd w:id="114"/>
      <w:bookmarkStart w:id="115" w:name="_Toc184310289"/>
      <w:bookmarkEnd w:id="115"/>
      <w:bookmarkStart w:id="116" w:name="_Toc184308094"/>
      <w:bookmarkEnd w:id="116"/>
      <w:bookmarkStart w:id="117" w:name="_Toc184310280"/>
      <w:bookmarkEnd w:id="117"/>
      <w:bookmarkStart w:id="118" w:name="_Toc184314442"/>
      <w:bookmarkEnd w:id="118"/>
      <w:bookmarkStart w:id="119" w:name="_Toc184313306"/>
      <w:bookmarkEnd w:id="119"/>
      <w:bookmarkStart w:id="120" w:name="_Toc184314460"/>
      <w:bookmarkEnd w:id="120"/>
      <w:bookmarkStart w:id="121" w:name="_Toc184312111"/>
      <w:bookmarkEnd w:id="121"/>
      <w:bookmarkStart w:id="122" w:name="_Toc184308086"/>
      <w:bookmarkEnd w:id="122"/>
      <w:bookmarkStart w:id="123" w:name="_Toc184314477"/>
      <w:bookmarkEnd w:id="123"/>
      <w:bookmarkStart w:id="124" w:name="_Toc184313250"/>
      <w:bookmarkEnd w:id="124"/>
      <w:bookmarkStart w:id="125" w:name="_Toc184310315"/>
      <w:bookmarkEnd w:id="125"/>
      <w:bookmarkStart w:id="126" w:name="_Toc184314465"/>
      <w:bookmarkEnd w:id="126"/>
      <w:bookmarkStart w:id="127" w:name="_Toc184313268"/>
      <w:bookmarkEnd w:id="127"/>
      <w:bookmarkStart w:id="128" w:name="_Toc184312126"/>
      <w:bookmarkEnd w:id="128"/>
      <w:bookmarkStart w:id="129" w:name="_Toc184310277"/>
      <w:bookmarkEnd w:id="129"/>
      <w:bookmarkStart w:id="130" w:name="_Toc184310295"/>
      <w:bookmarkEnd w:id="130"/>
      <w:bookmarkStart w:id="131" w:name="_Toc184314420"/>
      <w:bookmarkEnd w:id="131"/>
      <w:bookmarkStart w:id="132" w:name="_Toc184312073"/>
      <w:bookmarkEnd w:id="132"/>
      <w:bookmarkStart w:id="133" w:name="_Toc184310307"/>
      <w:bookmarkEnd w:id="133"/>
      <w:bookmarkStart w:id="134" w:name="_Toc184308048"/>
      <w:bookmarkEnd w:id="134"/>
      <w:bookmarkStart w:id="135" w:name="_Toc184314414"/>
      <w:bookmarkEnd w:id="135"/>
      <w:bookmarkStart w:id="136" w:name="_Toc184314419"/>
      <w:bookmarkEnd w:id="136"/>
      <w:bookmarkStart w:id="137" w:name="_Toc184313254"/>
      <w:bookmarkEnd w:id="137"/>
      <w:bookmarkStart w:id="138" w:name="_Toc184310303"/>
      <w:bookmarkEnd w:id="138"/>
      <w:bookmarkStart w:id="139" w:name="_Toc184314431"/>
      <w:bookmarkEnd w:id="139"/>
      <w:bookmarkStart w:id="140" w:name="_Toc184314435"/>
      <w:bookmarkEnd w:id="140"/>
      <w:bookmarkStart w:id="141" w:name="_Toc184313308"/>
      <w:bookmarkEnd w:id="141"/>
      <w:bookmarkStart w:id="142" w:name="_Toc184308059"/>
      <w:bookmarkEnd w:id="142"/>
      <w:bookmarkStart w:id="143" w:name="_Toc184314425"/>
      <w:bookmarkEnd w:id="143"/>
      <w:bookmarkStart w:id="144" w:name="_Toc184310316"/>
      <w:bookmarkEnd w:id="144"/>
      <w:bookmarkStart w:id="145" w:name="_Toc184310283"/>
      <w:bookmarkEnd w:id="145"/>
      <w:bookmarkStart w:id="146" w:name="_Toc184308070"/>
      <w:bookmarkEnd w:id="146"/>
      <w:bookmarkStart w:id="147" w:name="_Toc184310318"/>
      <w:bookmarkEnd w:id="147"/>
      <w:bookmarkStart w:id="148" w:name="_Toc184312081"/>
      <w:bookmarkEnd w:id="148"/>
      <w:bookmarkStart w:id="149" w:name="_Toc184310324"/>
      <w:bookmarkEnd w:id="149"/>
      <w:bookmarkStart w:id="150" w:name="_Toc184308069"/>
      <w:bookmarkEnd w:id="150"/>
      <w:bookmarkStart w:id="151" w:name="_Toc184310337"/>
      <w:bookmarkEnd w:id="151"/>
      <w:bookmarkStart w:id="152" w:name="_Toc184312102"/>
      <w:bookmarkEnd w:id="152"/>
      <w:bookmarkStart w:id="153" w:name="_Toc184308088"/>
      <w:bookmarkEnd w:id="153"/>
      <w:bookmarkStart w:id="154" w:name="_Toc184314440"/>
      <w:bookmarkEnd w:id="154"/>
      <w:bookmarkStart w:id="155" w:name="_Toc184308106"/>
      <w:bookmarkEnd w:id="155"/>
      <w:bookmarkStart w:id="156" w:name="_Toc184314448"/>
      <w:bookmarkEnd w:id="156"/>
      <w:bookmarkStart w:id="157" w:name="_Toc184308105"/>
      <w:bookmarkEnd w:id="157"/>
      <w:bookmarkStart w:id="158" w:name="_Toc184310285"/>
      <w:bookmarkEnd w:id="158"/>
      <w:bookmarkStart w:id="159" w:name="_Toc184308062"/>
      <w:bookmarkEnd w:id="159"/>
      <w:bookmarkStart w:id="160" w:name="_Toc184312104"/>
      <w:bookmarkEnd w:id="160"/>
      <w:bookmarkStart w:id="161" w:name="_Toc184313246"/>
      <w:bookmarkEnd w:id="161"/>
      <w:bookmarkStart w:id="162" w:name="_Toc184313244"/>
      <w:bookmarkEnd w:id="162"/>
      <w:bookmarkStart w:id="163" w:name="_Toc184313291"/>
      <w:bookmarkEnd w:id="163"/>
      <w:bookmarkStart w:id="164" w:name="_Toc184310309"/>
      <w:bookmarkEnd w:id="164"/>
      <w:bookmarkStart w:id="165" w:name="_Toc184310305"/>
      <w:bookmarkEnd w:id="165"/>
      <w:bookmarkStart w:id="166" w:name="_Toc184314443"/>
      <w:bookmarkEnd w:id="166"/>
      <w:bookmarkStart w:id="167" w:name="_Toc184314480"/>
      <w:bookmarkEnd w:id="167"/>
      <w:bookmarkStart w:id="168" w:name="_Toc184308108"/>
      <w:bookmarkEnd w:id="168"/>
      <w:bookmarkStart w:id="169" w:name="_Toc184310293"/>
      <w:bookmarkEnd w:id="169"/>
      <w:bookmarkStart w:id="170" w:name="_Toc184313269"/>
      <w:bookmarkEnd w:id="170"/>
      <w:bookmarkStart w:id="171" w:name="_Toc184310298"/>
      <w:bookmarkEnd w:id="171"/>
      <w:bookmarkStart w:id="172" w:name="_Toc184314462"/>
      <w:bookmarkEnd w:id="172"/>
      <w:bookmarkStart w:id="173" w:name="_Toc184314464"/>
      <w:bookmarkEnd w:id="173"/>
      <w:bookmarkStart w:id="174" w:name="_Toc184314457"/>
      <w:bookmarkEnd w:id="174"/>
      <w:bookmarkStart w:id="175" w:name="_Toc184308078"/>
      <w:bookmarkEnd w:id="175"/>
      <w:bookmarkStart w:id="176" w:name="_Toc184313239"/>
      <w:bookmarkEnd w:id="176"/>
      <w:bookmarkStart w:id="177" w:name="_Toc184313286"/>
      <w:bookmarkEnd w:id="177"/>
      <w:bookmarkStart w:id="178" w:name="_Toc184314439"/>
      <w:bookmarkEnd w:id="178"/>
      <w:bookmarkStart w:id="179" w:name="_Toc184312079"/>
      <w:bookmarkEnd w:id="179"/>
      <w:bookmarkStart w:id="180" w:name="_Toc184308047"/>
      <w:bookmarkEnd w:id="180"/>
      <w:bookmarkStart w:id="181" w:name="_Toc184308055"/>
      <w:bookmarkEnd w:id="181"/>
      <w:bookmarkStart w:id="182" w:name="_Toc184314453"/>
      <w:bookmarkEnd w:id="182"/>
      <w:bookmarkStart w:id="183" w:name="_Toc184310338"/>
      <w:bookmarkEnd w:id="183"/>
      <w:bookmarkStart w:id="184" w:name="_Toc184308104"/>
      <w:bookmarkEnd w:id="184"/>
      <w:bookmarkStart w:id="185" w:name="_Toc184313299"/>
      <w:bookmarkEnd w:id="185"/>
      <w:bookmarkStart w:id="186" w:name="_Toc184313273"/>
      <w:bookmarkEnd w:id="186"/>
      <w:bookmarkStart w:id="187" w:name="_Toc184310294"/>
      <w:bookmarkEnd w:id="187"/>
      <w:bookmarkStart w:id="188" w:name="_Toc184312101"/>
      <w:bookmarkEnd w:id="188"/>
      <w:bookmarkStart w:id="189" w:name="_Toc184314418"/>
      <w:bookmarkEnd w:id="189"/>
      <w:bookmarkStart w:id="190" w:name="_Toc184314481"/>
      <w:bookmarkEnd w:id="190"/>
      <w:bookmarkStart w:id="191" w:name="_Toc184313276"/>
      <w:bookmarkEnd w:id="191"/>
      <w:bookmarkStart w:id="192" w:name="_Toc184308043"/>
      <w:bookmarkEnd w:id="192"/>
      <w:bookmarkStart w:id="193" w:name="_Toc184312122"/>
      <w:bookmarkEnd w:id="193"/>
      <w:bookmarkStart w:id="194" w:name="_Toc184308084"/>
      <w:bookmarkEnd w:id="194"/>
      <w:bookmarkStart w:id="195" w:name="_Toc184308103"/>
      <w:bookmarkEnd w:id="195"/>
      <w:bookmarkStart w:id="196" w:name="_Toc184313253"/>
      <w:bookmarkEnd w:id="196"/>
      <w:bookmarkStart w:id="197" w:name="_Toc184313258"/>
      <w:bookmarkEnd w:id="197"/>
      <w:bookmarkStart w:id="198" w:name="_Toc184313270"/>
      <w:bookmarkEnd w:id="198"/>
      <w:bookmarkStart w:id="199" w:name="_Toc184310302"/>
      <w:bookmarkEnd w:id="199"/>
      <w:bookmarkStart w:id="200" w:name="_Toc184314417"/>
      <w:bookmarkEnd w:id="200"/>
      <w:bookmarkStart w:id="201" w:name="_Toc184312087"/>
      <w:bookmarkEnd w:id="201"/>
      <w:bookmarkStart w:id="202" w:name="_Toc184310317"/>
      <w:bookmarkEnd w:id="202"/>
      <w:bookmarkStart w:id="203" w:name="_Toc184310306"/>
      <w:bookmarkEnd w:id="203"/>
      <w:bookmarkStart w:id="204" w:name="_Toc184313243"/>
      <w:bookmarkEnd w:id="204"/>
      <w:bookmarkStart w:id="205" w:name="_Toc184310326"/>
      <w:bookmarkEnd w:id="205"/>
      <w:bookmarkStart w:id="206" w:name="_Toc184314423"/>
      <w:bookmarkEnd w:id="206"/>
      <w:bookmarkStart w:id="207" w:name="_Toc184313263"/>
      <w:bookmarkEnd w:id="207"/>
      <w:bookmarkStart w:id="208" w:name="_Toc184308092"/>
      <w:bookmarkEnd w:id="208"/>
      <w:bookmarkStart w:id="209" w:name="_Toc184312068"/>
      <w:bookmarkEnd w:id="209"/>
      <w:bookmarkStart w:id="210" w:name="_Toc184313278"/>
      <w:bookmarkEnd w:id="210"/>
      <w:bookmarkStart w:id="211" w:name="_Toc184308052"/>
      <w:bookmarkEnd w:id="211"/>
      <w:bookmarkStart w:id="212" w:name="_Toc184310290"/>
      <w:bookmarkEnd w:id="212"/>
      <w:bookmarkStart w:id="213" w:name="_Toc184312072"/>
      <w:bookmarkEnd w:id="213"/>
      <w:bookmarkStart w:id="214" w:name="_Toc184313288"/>
      <w:bookmarkEnd w:id="214"/>
      <w:bookmarkStart w:id="215" w:name="_Toc184310287"/>
      <w:bookmarkEnd w:id="215"/>
      <w:bookmarkStart w:id="216" w:name="_Toc184313259"/>
      <w:bookmarkEnd w:id="216"/>
      <w:bookmarkStart w:id="217" w:name="_Toc184308075"/>
      <w:bookmarkEnd w:id="217"/>
      <w:bookmarkStart w:id="218" w:name="_Toc184312076"/>
      <w:bookmarkEnd w:id="218"/>
      <w:bookmarkStart w:id="219" w:name="_Toc184313247"/>
      <w:bookmarkEnd w:id="219"/>
      <w:bookmarkStart w:id="220" w:name="_Toc184312123"/>
      <w:bookmarkEnd w:id="220"/>
      <w:bookmarkStart w:id="221" w:name="_Toc184313238"/>
      <w:bookmarkEnd w:id="221"/>
      <w:bookmarkStart w:id="222" w:name="_Toc184313301"/>
      <w:bookmarkEnd w:id="222"/>
      <w:bookmarkStart w:id="223" w:name="_Toc184313295"/>
      <w:bookmarkEnd w:id="223"/>
      <w:bookmarkStart w:id="224" w:name="_Toc184312093"/>
      <w:bookmarkEnd w:id="224"/>
      <w:bookmarkStart w:id="225" w:name="_Toc184313266"/>
      <w:bookmarkEnd w:id="225"/>
      <w:bookmarkStart w:id="226" w:name="_Toc184313290"/>
      <w:bookmarkEnd w:id="226"/>
      <w:bookmarkStart w:id="227" w:name="_Toc184310278"/>
      <w:bookmarkEnd w:id="227"/>
      <w:bookmarkStart w:id="228" w:name="_Toc184312096"/>
      <w:bookmarkEnd w:id="228"/>
      <w:bookmarkStart w:id="229" w:name="_Toc184310276"/>
      <w:bookmarkEnd w:id="229"/>
      <w:bookmarkStart w:id="230" w:name="_Toc184312108"/>
      <w:bookmarkEnd w:id="230"/>
      <w:bookmarkStart w:id="231" w:name="_Toc184312139"/>
      <w:bookmarkEnd w:id="231"/>
      <w:bookmarkStart w:id="232" w:name="_Toc184310335"/>
      <w:bookmarkEnd w:id="232"/>
      <w:bookmarkStart w:id="233" w:name="_Toc184312071"/>
      <w:bookmarkEnd w:id="233"/>
      <w:bookmarkStart w:id="234" w:name="_Toc184308100"/>
      <w:bookmarkEnd w:id="234"/>
      <w:bookmarkStart w:id="235" w:name="_Toc184308099"/>
      <w:bookmarkEnd w:id="235"/>
      <w:bookmarkStart w:id="236" w:name="_Toc184313256"/>
      <w:bookmarkEnd w:id="236"/>
      <w:bookmarkStart w:id="237" w:name="_Toc184308079"/>
      <w:bookmarkEnd w:id="237"/>
      <w:bookmarkStart w:id="238" w:name="_Toc184310344"/>
      <w:bookmarkEnd w:id="238"/>
      <w:bookmarkStart w:id="239" w:name="_Toc184314410"/>
      <w:bookmarkEnd w:id="239"/>
      <w:bookmarkStart w:id="240" w:name="_Toc184313281"/>
      <w:bookmarkEnd w:id="240"/>
      <w:bookmarkStart w:id="241" w:name="_Toc184314451"/>
      <w:bookmarkEnd w:id="241"/>
      <w:bookmarkStart w:id="242" w:name="_Toc184314421"/>
      <w:bookmarkEnd w:id="242"/>
      <w:bookmarkStart w:id="243" w:name="_Toc184308041"/>
      <w:bookmarkEnd w:id="243"/>
      <w:bookmarkStart w:id="244" w:name="_Toc184310282"/>
      <w:bookmarkEnd w:id="244"/>
      <w:bookmarkStart w:id="245" w:name="_Toc184314441"/>
      <w:bookmarkEnd w:id="245"/>
      <w:bookmarkStart w:id="246" w:name="_Toc184308082"/>
      <w:bookmarkEnd w:id="246"/>
      <w:bookmarkStart w:id="247" w:name="_Toc184308038"/>
      <w:bookmarkEnd w:id="247"/>
      <w:bookmarkStart w:id="248" w:name="_Toc184313260"/>
      <w:bookmarkEnd w:id="248"/>
      <w:bookmarkStart w:id="249" w:name="_Toc184312100"/>
      <w:bookmarkEnd w:id="249"/>
      <w:bookmarkStart w:id="250" w:name="_Toc184312092"/>
      <w:bookmarkEnd w:id="250"/>
      <w:bookmarkStart w:id="251" w:name="_Toc184310328"/>
      <w:bookmarkEnd w:id="251"/>
      <w:bookmarkStart w:id="252" w:name="_Toc184314416"/>
      <w:bookmarkEnd w:id="252"/>
      <w:bookmarkStart w:id="253" w:name="_Toc184312129"/>
      <w:bookmarkEnd w:id="253"/>
      <w:bookmarkStart w:id="254" w:name="_Toc184313272"/>
      <w:bookmarkEnd w:id="254"/>
      <w:bookmarkStart w:id="255" w:name="_Toc184312095"/>
      <w:bookmarkEnd w:id="255"/>
      <w:bookmarkStart w:id="256" w:name="_Toc184314432"/>
      <w:bookmarkEnd w:id="256"/>
      <w:bookmarkStart w:id="257" w:name="_Toc184313293"/>
      <w:bookmarkEnd w:id="257"/>
      <w:bookmarkStart w:id="258" w:name="_Toc184308064"/>
      <w:bookmarkEnd w:id="258"/>
      <w:bookmarkStart w:id="259" w:name="_Toc184308085"/>
      <w:bookmarkEnd w:id="259"/>
      <w:bookmarkStart w:id="260" w:name="_Toc184308058"/>
      <w:bookmarkEnd w:id="260"/>
      <w:bookmarkStart w:id="261" w:name="_Toc184308077"/>
      <w:bookmarkEnd w:id="261"/>
      <w:bookmarkStart w:id="262" w:name="_Toc184308045"/>
      <w:bookmarkEnd w:id="262"/>
      <w:bookmarkStart w:id="263" w:name="_Toc184313249"/>
      <w:bookmarkEnd w:id="263"/>
      <w:bookmarkStart w:id="264" w:name="_Toc184310274"/>
      <w:bookmarkEnd w:id="264"/>
      <w:bookmarkStart w:id="265" w:name="_Toc184308060"/>
      <w:bookmarkEnd w:id="265"/>
      <w:bookmarkStart w:id="266" w:name="_Toc184314444"/>
      <w:bookmarkEnd w:id="266"/>
      <w:bookmarkStart w:id="267" w:name="_Toc184308063"/>
      <w:bookmarkEnd w:id="267"/>
      <w:bookmarkStart w:id="268" w:name="_Toc184308083"/>
      <w:bookmarkEnd w:id="268"/>
      <w:bookmarkStart w:id="269" w:name="_Toc184312078"/>
      <w:bookmarkEnd w:id="269"/>
      <w:bookmarkStart w:id="270" w:name="_Toc184314445"/>
      <w:bookmarkEnd w:id="270"/>
      <w:bookmarkStart w:id="271" w:name="_Toc184310311"/>
      <w:bookmarkEnd w:id="271"/>
      <w:bookmarkStart w:id="272" w:name="_Toc184310331"/>
      <w:bookmarkEnd w:id="272"/>
      <w:bookmarkStart w:id="273" w:name="_Toc184310284"/>
      <w:bookmarkEnd w:id="273"/>
      <w:bookmarkStart w:id="274" w:name="_Toc184313267"/>
      <w:bookmarkEnd w:id="274"/>
      <w:bookmarkStart w:id="275" w:name="_Toc184308065"/>
      <w:bookmarkEnd w:id="275"/>
      <w:bookmarkStart w:id="276" w:name="_Toc184312133"/>
      <w:bookmarkEnd w:id="276"/>
      <w:bookmarkStart w:id="277" w:name="_Toc184314426"/>
      <w:bookmarkEnd w:id="277"/>
      <w:bookmarkStart w:id="278" w:name="_Toc184312138"/>
      <w:bookmarkEnd w:id="278"/>
      <w:bookmarkStart w:id="279" w:name="_Toc184312136"/>
      <w:bookmarkEnd w:id="279"/>
      <w:bookmarkStart w:id="280" w:name="_Toc184313310"/>
      <w:bookmarkEnd w:id="280"/>
      <w:bookmarkStart w:id="281" w:name="_Toc184313279"/>
      <w:bookmarkEnd w:id="281"/>
      <w:bookmarkStart w:id="282" w:name="_Toc184310300"/>
      <w:bookmarkEnd w:id="282"/>
      <w:bookmarkStart w:id="283" w:name="_Toc184313240"/>
      <w:bookmarkEnd w:id="283"/>
      <w:bookmarkStart w:id="284" w:name="_Toc184310339"/>
      <w:bookmarkEnd w:id="284"/>
      <w:bookmarkStart w:id="285" w:name="_Toc184308073"/>
      <w:bookmarkEnd w:id="285"/>
      <w:bookmarkStart w:id="286" w:name="_Toc184310340"/>
      <w:bookmarkEnd w:id="286"/>
      <w:bookmarkStart w:id="287" w:name="_Toc184314463"/>
      <w:bookmarkEnd w:id="287"/>
      <w:bookmarkStart w:id="288" w:name="_Toc184314456"/>
      <w:bookmarkEnd w:id="288"/>
      <w:bookmarkStart w:id="289" w:name="_Toc184308080"/>
      <w:bookmarkEnd w:id="289"/>
      <w:bookmarkStart w:id="290" w:name="_Toc184313257"/>
      <w:bookmarkEnd w:id="290"/>
      <w:bookmarkStart w:id="291" w:name="_Toc184308057"/>
      <w:bookmarkEnd w:id="291"/>
      <w:bookmarkStart w:id="292" w:name="_Toc184313255"/>
      <w:bookmarkEnd w:id="292"/>
      <w:bookmarkStart w:id="293" w:name="_Toc184308071"/>
      <w:bookmarkEnd w:id="293"/>
      <w:bookmarkStart w:id="294" w:name="_Toc184312090"/>
      <w:bookmarkEnd w:id="294"/>
      <w:bookmarkStart w:id="295" w:name="_Toc184310314"/>
      <w:bookmarkEnd w:id="295"/>
      <w:bookmarkStart w:id="296" w:name="_Toc184314452"/>
      <w:bookmarkEnd w:id="296"/>
      <w:bookmarkStart w:id="297" w:name="_Toc184314446"/>
      <w:bookmarkEnd w:id="297"/>
      <w:bookmarkStart w:id="298" w:name="_Toc184308107"/>
      <w:bookmarkEnd w:id="298"/>
      <w:bookmarkStart w:id="299" w:name="_Toc184310323"/>
      <w:bookmarkEnd w:id="299"/>
      <w:bookmarkStart w:id="300" w:name="_Toc184313271"/>
      <w:bookmarkEnd w:id="300"/>
      <w:bookmarkStart w:id="301" w:name="_Toc184308095"/>
      <w:bookmarkEnd w:id="301"/>
      <w:bookmarkStart w:id="302" w:name="_Toc184313300"/>
      <w:bookmarkEnd w:id="302"/>
      <w:bookmarkStart w:id="303" w:name="_Toc184310310"/>
      <w:bookmarkEnd w:id="303"/>
      <w:bookmarkStart w:id="304" w:name="_Toc184312106"/>
      <w:bookmarkEnd w:id="304"/>
      <w:bookmarkStart w:id="305" w:name="_Toc184312131"/>
      <w:bookmarkEnd w:id="305"/>
      <w:bookmarkStart w:id="306" w:name="_Toc184308098"/>
      <w:bookmarkEnd w:id="306"/>
      <w:bookmarkStart w:id="307" w:name="_Toc184313298"/>
      <w:bookmarkEnd w:id="307"/>
      <w:bookmarkStart w:id="308" w:name="_Toc184312130"/>
      <w:bookmarkEnd w:id="308"/>
      <w:bookmarkStart w:id="309" w:name="_Toc184312127"/>
      <w:bookmarkEnd w:id="309"/>
      <w:bookmarkStart w:id="310" w:name="_Toc184314468"/>
      <w:bookmarkEnd w:id="310"/>
      <w:bookmarkStart w:id="311" w:name="_Toc184310291"/>
      <w:bookmarkEnd w:id="311"/>
      <w:bookmarkStart w:id="312" w:name="_Toc184310319"/>
      <w:bookmarkEnd w:id="312"/>
      <w:bookmarkStart w:id="313" w:name="_Toc184312083"/>
      <w:bookmarkEnd w:id="313"/>
      <w:bookmarkStart w:id="314" w:name="_Toc184313283"/>
      <w:bookmarkEnd w:id="314"/>
      <w:bookmarkStart w:id="315" w:name="_Toc184310334"/>
      <w:bookmarkEnd w:id="315"/>
      <w:bookmarkStart w:id="316" w:name="_Toc184313264"/>
      <w:bookmarkEnd w:id="316"/>
      <w:bookmarkStart w:id="317" w:name="_Toc184310308"/>
      <w:bookmarkEnd w:id="317"/>
      <w:bookmarkStart w:id="318" w:name="_Toc184312074"/>
      <w:bookmarkEnd w:id="318"/>
      <w:bookmarkStart w:id="319" w:name="_Toc184308074"/>
      <w:bookmarkEnd w:id="319"/>
      <w:bookmarkStart w:id="320" w:name="_Toc184312107"/>
      <w:bookmarkEnd w:id="320"/>
      <w:bookmarkStart w:id="321" w:name="_Toc184308066"/>
      <w:bookmarkEnd w:id="321"/>
      <w:bookmarkStart w:id="322" w:name="_Toc184313284"/>
      <w:bookmarkEnd w:id="322"/>
      <w:bookmarkStart w:id="323" w:name="_Toc184314437"/>
      <w:bookmarkEnd w:id="323"/>
      <w:bookmarkStart w:id="324" w:name="_Toc184310333"/>
      <w:bookmarkEnd w:id="324"/>
      <w:bookmarkStart w:id="325" w:name="_Toc184312137"/>
      <w:bookmarkEnd w:id="325"/>
      <w:bookmarkStart w:id="326" w:name="_Toc184308042"/>
      <w:bookmarkEnd w:id="326"/>
      <w:bookmarkStart w:id="327" w:name="_Toc184313307"/>
      <w:bookmarkEnd w:id="327"/>
      <w:bookmarkStart w:id="328" w:name="_Toc184312128"/>
      <w:bookmarkEnd w:id="328"/>
      <w:bookmarkStart w:id="329" w:name="_Toc184308036"/>
      <w:bookmarkEnd w:id="329"/>
      <w:bookmarkStart w:id="330" w:name="_Toc184313296"/>
      <w:bookmarkEnd w:id="330"/>
      <w:bookmarkStart w:id="331" w:name="_Toc184308068"/>
      <w:bookmarkEnd w:id="331"/>
      <w:bookmarkStart w:id="332" w:name="_Toc184310301"/>
      <w:bookmarkEnd w:id="332"/>
      <w:bookmarkStart w:id="333" w:name="_Toc184308039"/>
      <w:bookmarkEnd w:id="333"/>
      <w:bookmarkStart w:id="334" w:name="_Toc184314434"/>
      <w:bookmarkEnd w:id="334"/>
      <w:bookmarkStart w:id="335" w:name="_Toc184312119"/>
      <w:bookmarkEnd w:id="335"/>
      <w:bookmarkStart w:id="336" w:name="_Toc184314458"/>
      <w:bookmarkEnd w:id="336"/>
      <w:bookmarkStart w:id="337" w:name="_Toc184314412"/>
      <w:bookmarkEnd w:id="337"/>
      <w:bookmarkStart w:id="338" w:name="_Toc184308046"/>
      <w:bookmarkEnd w:id="338"/>
      <w:bookmarkStart w:id="339" w:name="_Toc184310272"/>
      <w:bookmarkEnd w:id="339"/>
      <w:bookmarkStart w:id="340" w:name="_Toc184310321"/>
      <w:bookmarkEnd w:id="340"/>
      <w:bookmarkStart w:id="341" w:name="_Toc184313309"/>
      <w:bookmarkEnd w:id="341"/>
      <w:bookmarkStart w:id="342" w:name="_Toc184310332"/>
      <w:bookmarkEnd w:id="342"/>
      <w:bookmarkStart w:id="343" w:name="_Toc184308097"/>
      <w:bookmarkEnd w:id="343"/>
      <w:bookmarkStart w:id="344" w:name="_Toc184310281"/>
      <w:bookmarkEnd w:id="344"/>
      <w:bookmarkStart w:id="345" w:name="_Toc184314433"/>
      <w:bookmarkEnd w:id="345"/>
      <w:bookmarkStart w:id="346" w:name="_Toc184310304"/>
      <w:bookmarkEnd w:id="346"/>
      <w:bookmarkStart w:id="347" w:name="_Toc184312082"/>
      <w:bookmarkEnd w:id="347"/>
      <w:bookmarkStart w:id="348" w:name="_Toc184313304"/>
      <w:bookmarkEnd w:id="348"/>
      <w:bookmarkStart w:id="349" w:name="_Toc184308053"/>
      <w:bookmarkEnd w:id="349"/>
      <w:bookmarkStart w:id="350" w:name="_Toc184314430"/>
      <w:bookmarkEnd w:id="350"/>
      <w:bookmarkStart w:id="351" w:name="_Toc184314470"/>
      <w:bookmarkEnd w:id="351"/>
      <w:bookmarkStart w:id="352" w:name="_Toc184312135"/>
      <w:bookmarkEnd w:id="352"/>
      <w:bookmarkStart w:id="353" w:name="_Toc184314424"/>
      <w:bookmarkEnd w:id="353"/>
      <w:bookmarkStart w:id="354" w:name="_Toc184312086"/>
      <w:bookmarkEnd w:id="354"/>
      <w:bookmarkStart w:id="355" w:name="_Toc184313261"/>
      <w:bookmarkEnd w:id="355"/>
      <w:bookmarkStart w:id="356" w:name="_Toc184308101"/>
      <w:bookmarkEnd w:id="356"/>
      <w:bookmarkStart w:id="357" w:name="_Toc184314471"/>
      <w:bookmarkEnd w:id="357"/>
      <w:bookmarkStart w:id="358" w:name="_Toc184308061"/>
      <w:bookmarkEnd w:id="358"/>
      <w:bookmarkStart w:id="359" w:name="_Toc184314459"/>
      <w:bookmarkEnd w:id="359"/>
      <w:bookmarkStart w:id="360" w:name="_Toc184314475"/>
      <w:bookmarkEnd w:id="360"/>
      <w:bookmarkStart w:id="361" w:name="_Toc184312134"/>
      <w:bookmarkEnd w:id="361"/>
      <w:bookmarkStart w:id="362" w:name="_Toc184308037"/>
      <w:bookmarkEnd w:id="362"/>
      <w:bookmarkStart w:id="363" w:name="_Toc184308050"/>
      <w:bookmarkEnd w:id="363"/>
      <w:bookmarkStart w:id="364" w:name="_Toc184312089"/>
      <w:bookmarkEnd w:id="364"/>
      <w:bookmarkStart w:id="365" w:name="_Toc184310292"/>
      <w:bookmarkEnd w:id="365"/>
      <w:bookmarkStart w:id="366" w:name="_Toc184310299"/>
      <w:bookmarkEnd w:id="366"/>
      <w:bookmarkStart w:id="367" w:name="_Toc184310341"/>
      <w:bookmarkEnd w:id="367"/>
      <w:bookmarkStart w:id="368" w:name="_Toc184312125"/>
      <w:bookmarkEnd w:id="368"/>
      <w:bookmarkStart w:id="369" w:name="_Toc184313265"/>
      <w:bookmarkEnd w:id="369"/>
      <w:bookmarkStart w:id="370" w:name="_Toc184312116"/>
      <w:bookmarkEnd w:id="370"/>
      <w:bookmarkStart w:id="371" w:name="_Toc184312098"/>
      <w:bookmarkEnd w:id="371"/>
      <w:bookmarkStart w:id="372" w:name="_Toc184312084"/>
      <w:bookmarkEnd w:id="372"/>
      <w:bookmarkStart w:id="373" w:name="_Toc184310297"/>
      <w:bookmarkEnd w:id="373"/>
      <w:bookmarkStart w:id="374" w:name="_Toc184312088"/>
      <w:bookmarkEnd w:id="374"/>
      <w:bookmarkStart w:id="375" w:name="_Toc184314454"/>
      <w:bookmarkEnd w:id="375"/>
      <w:bookmarkStart w:id="376" w:name="_Toc184312067"/>
      <w:bookmarkEnd w:id="376"/>
      <w:bookmarkStart w:id="377" w:name="_Toc184314469"/>
      <w:bookmarkEnd w:id="377"/>
      <w:bookmarkStart w:id="378" w:name="_Toc184308067"/>
      <w:bookmarkEnd w:id="378"/>
      <w:bookmarkStart w:id="379" w:name="_Toc184310336"/>
      <w:bookmarkEnd w:id="379"/>
      <w:bookmarkStart w:id="380" w:name="_Toc184308096"/>
      <w:bookmarkEnd w:id="380"/>
      <w:bookmarkStart w:id="381" w:name="_Toc184308049"/>
      <w:bookmarkEnd w:id="381"/>
      <w:bookmarkStart w:id="382" w:name="_Toc184312097"/>
      <w:bookmarkEnd w:id="382"/>
      <w:bookmarkStart w:id="383" w:name="_Toc184314427"/>
      <w:bookmarkEnd w:id="383"/>
      <w:bookmarkStart w:id="384" w:name="_Toc184313297"/>
      <w:bookmarkEnd w:id="384"/>
      <w:bookmarkStart w:id="385" w:name="_Toc184314447"/>
      <w:bookmarkEnd w:id="385"/>
      <w:bookmarkStart w:id="386" w:name="_Toc184313245"/>
      <w:bookmarkEnd w:id="386"/>
      <w:bookmarkStart w:id="387" w:name="_Toc184312115"/>
      <w:bookmarkEnd w:id="387"/>
      <w:bookmarkStart w:id="388" w:name="_Toc184310273"/>
      <w:bookmarkEnd w:id="388"/>
      <w:bookmarkStart w:id="389" w:name="_Toc184314428"/>
      <w:bookmarkEnd w:id="389"/>
      <w:bookmarkStart w:id="390" w:name="_Toc184312110"/>
      <w:bookmarkEnd w:id="390"/>
      <w:bookmarkStart w:id="391" w:name="_Toc184313292"/>
      <w:bookmarkEnd w:id="391"/>
      <w:bookmarkStart w:id="392" w:name="_Toc184314438"/>
      <w:bookmarkEnd w:id="392"/>
      <w:r>
        <w:rPr>
          <w:rFonts w:hint="eastAsia" w:cs="仿宋" w:asciiTheme="majorEastAsia" w:hAnsiTheme="majorEastAsia" w:eastAsiaTheme="majorEastAsia"/>
          <w:b/>
          <w:sz w:val="36"/>
          <w:szCs w:val="36"/>
        </w:rPr>
        <w:t>评标办法</w:t>
      </w:r>
    </w:p>
    <w:p>
      <w:pPr>
        <w:snapToGrid w:val="0"/>
        <w:spacing w:line="360" w:lineRule="auto"/>
        <w:jc w:val="center"/>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评标办法前附表</w:t>
      </w:r>
    </w:p>
    <w:p>
      <w:pPr>
        <w:snapToGrid w:val="0"/>
        <w:spacing w:line="360" w:lineRule="auto"/>
        <w:jc w:val="center"/>
        <w:rPr>
          <w:rFonts w:cs="仿宋" w:asciiTheme="majorEastAsia" w:hAnsiTheme="majorEastAsia" w:eastAsiaTheme="majorEastAsia"/>
          <w:b/>
          <w:sz w:val="32"/>
          <w:szCs w:val="20"/>
        </w:rPr>
      </w:pPr>
    </w:p>
    <w:tbl>
      <w:tblPr>
        <w:tblStyle w:val="19"/>
        <w:tblW w:w="10421" w:type="dxa"/>
        <w:jc w:val="center"/>
        <w:tblLayout w:type="fixed"/>
        <w:tblCellMar>
          <w:top w:w="0" w:type="dxa"/>
          <w:left w:w="108" w:type="dxa"/>
          <w:bottom w:w="0" w:type="dxa"/>
          <w:right w:w="108" w:type="dxa"/>
        </w:tblCellMar>
      </w:tblPr>
      <w:tblGrid>
        <w:gridCol w:w="520"/>
        <w:gridCol w:w="1879"/>
        <w:gridCol w:w="8022"/>
      </w:tblGrid>
      <w:tr>
        <w:tblPrEx>
          <w:tblCellMar>
            <w:top w:w="0" w:type="dxa"/>
            <w:left w:w="108" w:type="dxa"/>
            <w:bottom w:w="0" w:type="dxa"/>
            <w:right w:w="108" w:type="dxa"/>
          </w:tblCellMar>
        </w:tblPrEx>
        <w:trPr>
          <w:trHeight w:val="390" w:hRule="atLeast"/>
          <w:jc w:val="center"/>
        </w:trPr>
        <w:tc>
          <w:tcPr>
            <w:tcW w:w="520" w:type="dxa"/>
            <w:vMerge w:val="restart"/>
            <w:tcBorders>
              <w:top w:val="single" w:color="auto" w:sz="4" w:space="0"/>
              <w:left w:val="single" w:color="auto" w:sz="4" w:space="0"/>
              <w:right w:val="single" w:color="auto" w:sz="4" w:space="0"/>
            </w:tcBorders>
            <w:vAlign w:val="center"/>
          </w:tcPr>
          <w:p>
            <w:pPr>
              <w:spacing w:line="340" w:lineRule="exact"/>
            </w:pPr>
            <w:r>
              <w:rPr>
                <w:rFonts w:hint="eastAsia"/>
              </w:rPr>
              <w:t>资信技术60分</w:t>
            </w:r>
          </w:p>
        </w:tc>
        <w:tc>
          <w:tcPr>
            <w:tcW w:w="1879"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评审条款</w:t>
            </w:r>
          </w:p>
        </w:tc>
        <w:tc>
          <w:tcPr>
            <w:tcW w:w="8022" w:type="dxa"/>
            <w:tcBorders>
              <w:top w:val="single" w:color="auto" w:sz="4" w:space="0"/>
              <w:left w:val="nil"/>
              <w:bottom w:val="single" w:color="auto" w:sz="4" w:space="0"/>
              <w:right w:val="single" w:color="auto" w:sz="4" w:space="0"/>
            </w:tcBorders>
            <w:vAlign w:val="center"/>
          </w:tcPr>
          <w:p>
            <w:pPr>
              <w:spacing w:line="340" w:lineRule="exact"/>
              <w:jc w:val="center"/>
            </w:pPr>
            <w:r>
              <w:rPr>
                <w:rFonts w:hint="eastAsia"/>
              </w:rPr>
              <w:t>评审因素</w:t>
            </w:r>
          </w:p>
        </w:tc>
      </w:tr>
      <w:tr>
        <w:tblPrEx>
          <w:tblCellMar>
            <w:top w:w="0" w:type="dxa"/>
            <w:left w:w="108" w:type="dxa"/>
            <w:bottom w:w="0" w:type="dxa"/>
            <w:right w:w="108" w:type="dxa"/>
          </w:tblCellMar>
        </w:tblPrEx>
        <w:trPr>
          <w:trHeight w:val="944"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right w:val="single" w:color="auto" w:sz="4" w:space="0"/>
            </w:tcBorders>
            <w:vAlign w:val="center"/>
          </w:tcPr>
          <w:p>
            <w:pPr>
              <w:spacing w:line="340" w:lineRule="exact"/>
            </w:pPr>
            <w:r>
              <w:rPr>
                <w:rFonts w:hint="eastAsia"/>
              </w:rPr>
              <w:t>招标内容和技术需求响应情况（11分）</w:t>
            </w:r>
          </w:p>
        </w:tc>
        <w:tc>
          <w:tcPr>
            <w:tcW w:w="8022" w:type="dxa"/>
            <w:tcBorders>
              <w:top w:val="single" w:color="auto" w:sz="4" w:space="0"/>
              <w:left w:val="nil"/>
              <w:right w:val="single" w:color="auto" w:sz="4" w:space="0"/>
            </w:tcBorders>
            <w:vAlign w:val="center"/>
          </w:tcPr>
          <w:p>
            <w:pPr>
              <w:pStyle w:val="2"/>
              <w:ind w:firstLine="0" w:firstLineChars="0"/>
              <w:rPr>
                <w:rFonts w:eastAsia="宋体"/>
                <w:sz w:val="21"/>
              </w:rPr>
            </w:pPr>
            <w:r>
              <w:rPr>
                <w:rFonts w:hint="eastAsia" w:eastAsia="宋体"/>
                <w:sz w:val="21"/>
              </w:rPr>
              <w:t>对投标人提供的投标产品的技术要求响应情况进行评议，完全响应招标文件第三部分 采购需求的得11分；每负偏离一条，扣2分，扣完为止。</w:t>
            </w:r>
          </w:p>
        </w:tc>
      </w:tr>
      <w:tr>
        <w:tblPrEx>
          <w:tblCellMar>
            <w:top w:w="0" w:type="dxa"/>
            <w:left w:w="108" w:type="dxa"/>
            <w:bottom w:w="0" w:type="dxa"/>
            <w:right w:w="108" w:type="dxa"/>
          </w:tblCellMar>
        </w:tblPrEx>
        <w:trPr>
          <w:trHeight w:val="836"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right w:val="single" w:color="auto" w:sz="4" w:space="0"/>
            </w:tcBorders>
            <w:vAlign w:val="center"/>
          </w:tcPr>
          <w:p>
            <w:pPr>
              <w:spacing w:line="340" w:lineRule="exact"/>
            </w:pPr>
            <w:r>
              <w:rPr>
                <w:rFonts w:hint="eastAsia"/>
              </w:rPr>
              <w:t>围网选用情况（4分）</w:t>
            </w:r>
          </w:p>
        </w:tc>
        <w:tc>
          <w:tcPr>
            <w:tcW w:w="8022" w:type="dxa"/>
            <w:tcBorders>
              <w:top w:val="single" w:color="auto" w:sz="4" w:space="0"/>
              <w:left w:val="nil"/>
              <w:right w:val="single" w:color="auto" w:sz="4" w:space="0"/>
            </w:tcBorders>
            <w:vAlign w:val="center"/>
          </w:tcPr>
          <w:p>
            <w:pPr>
              <w:spacing w:line="340" w:lineRule="exact"/>
              <w:rPr>
                <w:b/>
              </w:rPr>
            </w:pPr>
            <w:r>
              <w:rPr>
                <w:rFonts w:hint="eastAsia"/>
              </w:rPr>
              <w:t>对投标人所投产品的性能、工艺水平、外观效果（提供效果图）等方面进行评议。（0-4分）</w:t>
            </w:r>
          </w:p>
        </w:tc>
      </w:tr>
      <w:tr>
        <w:tblPrEx>
          <w:tblCellMar>
            <w:top w:w="0" w:type="dxa"/>
            <w:left w:w="108" w:type="dxa"/>
            <w:bottom w:w="0" w:type="dxa"/>
            <w:right w:w="108" w:type="dxa"/>
          </w:tblCellMar>
        </w:tblPrEx>
        <w:trPr>
          <w:trHeight w:val="926"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right w:val="single" w:color="auto" w:sz="4" w:space="0"/>
            </w:tcBorders>
            <w:vAlign w:val="center"/>
          </w:tcPr>
          <w:p>
            <w:pPr>
              <w:spacing w:line="340" w:lineRule="exact"/>
            </w:pPr>
            <w:r>
              <w:rPr>
                <w:rFonts w:hint="eastAsia"/>
              </w:rPr>
              <w:t>室外地面改性聚丙烯材料模块选用情况（5分）</w:t>
            </w:r>
          </w:p>
        </w:tc>
        <w:tc>
          <w:tcPr>
            <w:tcW w:w="8022" w:type="dxa"/>
            <w:tcBorders>
              <w:top w:val="single" w:color="auto" w:sz="4" w:space="0"/>
              <w:left w:val="nil"/>
              <w:right w:val="single" w:color="auto" w:sz="4" w:space="0"/>
            </w:tcBorders>
            <w:vAlign w:val="center"/>
          </w:tcPr>
          <w:p>
            <w:pPr>
              <w:spacing w:line="340" w:lineRule="exact"/>
            </w:pPr>
            <w:r>
              <w:rPr>
                <w:rFonts w:hint="eastAsia"/>
              </w:rPr>
              <w:t>在满足采购需求的基础上对投标人所投产品的化学性能、物理性能指标、安全环保情况进行评议。（0-5分）（提供检测报告复印件等证明材料。）</w:t>
            </w:r>
          </w:p>
        </w:tc>
      </w:tr>
      <w:tr>
        <w:tblPrEx>
          <w:tblCellMar>
            <w:top w:w="0" w:type="dxa"/>
            <w:left w:w="108" w:type="dxa"/>
            <w:bottom w:w="0" w:type="dxa"/>
            <w:right w:w="108" w:type="dxa"/>
          </w:tblCellMar>
        </w:tblPrEx>
        <w:trPr>
          <w:trHeight w:val="1014"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right w:val="single" w:color="auto" w:sz="4" w:space="0"/>
            </w:tcBorders>
            <w:vAlign w:val="center"/>
          </w:tcPr>
          <w:p>
            <w:pPr>
              <w:spacing w:line="340" w:lineRule="exact"/>
            </w:pPr>
            <w:r>
              <w:rPr>
                <w:rFonts w:hint="eastAsia"/>
              </w:rPr>
              <w:t>技术方案（4分）</w:t>
            </w:r>
          </w:p>
        </w:tc>
        <w:tc>
          <w:tcPr>
            <w:tcW w:w="8022" w:type="dxa"/>
            <w:tcBorders>
              <w:top w:val="single" w:color="auto" w:sz="4" w:space="0"/>
              <w:left w:val="nil"/>
              <w:right w:val="single" w:color="auto" w:sz="4" w:space="0"/>
            </w:tcBorders>
          </w:tcPr>
          <w:p>
            <w:pPr>
              <w:spacing w:line="340" w:lineRule="exact"/>
            </w:pPr>
            <w:r>
              <w:rPr>
                <w:rFonts w:hint="eastAsia"/>
              </w:rPr>
              <w:t>对项目现有状况和实施状况的分析，对整个项目有整体把握，项目的重点、难点分析准确、具体，解决方案针对性强且可行合理，技术方案整体全面、合理、可行等内容进行评议。（0-4分）</w:t>
            </w:r>
          </w:p>
        </w:tc>
      </w:tr>
      <w:tr>
        <w:tblPrEx>
          <w:tblCellMar>
            <w:top w:w="0" w:type="dxa"/>
            <w:left w:w="108" w:type="dxa"/>
            <w:bottom w:w="0" w:type="dxa"/>
            <w:right w:w="108" w:type="dxa"/>
          </w:tblCellMar>
        </w:tblPrEx>
        <w:trPr>
          <w:trHeight w:val="1080"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样品（15分）</w:t>
            </w:r>
          </w:p>
        </w:tc>
        <w:tc>
          <w:tcPr>
            <w:tcW w:w="8022" w:type="dxa"/>
            <w:tcBorders>
              <w:top w:val="single" w:color="auto" w:sz="4" w:space="0"/>
              <w:left w:val="nil"/>
              <w:bottom w:val="single" w:color="auto" w:sz="4" w:space="0"/>
              <w:right w:val="single" w:color="auto" w:sz="4" w:space="0"/>
            </w:tcBorders>
            <w:vAlign w:val="center"/>
          </w:tcPr>
          <w:p>
            <w:pPr>
              <w:spacing w:line="340" w:lineRule="exact"/>
            </w:pPr>
            <w:r>
              <w:rPr>
                <w:rFonts w:hint="eastAsia"/>
              </w:rPr>
              <w:t>投标人根据采购要求提供室外地面改性聚丙烯材料模块（①奉化实验中学：样品尺寸不小于340x340x15.8mm；②白杜小学：样品尺寸不小于498mm*498mm*19mm）：</w:t>
            </w:r>
          </w:p>
          <w:p>
            <w:pPr>
              <w:spacing w:line="340" w:lineRule="exact"/>
            </w:pPr>
            <w:r>
              <w:rPr>
                <w:rFonts w:hint="eastAsia"/>
              </w:rPr>
              <w:t>1、对所提供样品的底层处理的合规性、气味的刺激性等情况进行评议；（0-5分）</w:t>
            </w:r>
          </w:p>
          <w:p>
            <w:pPr>
              <w:spacing w:line="340" w:lineRule="exact"/>
            </w:pPr>
            <w:r>
              <w:rPr>
                <w:rFonts w:hint="eastAsia"/>
              </w:rPr>
              <w:t>2、对所提供样品的色彩准确性、色温合理性、失光程度等情况进行评议；（0-5分）</w:t>
            </w:r>
          </w:p>
          <w:p>
            <w:pPr>
              <w:spacing w:line="340" w:lineRule="exact"/>
            </w:pPr>
            <w:r>
              <w:rPr>
                <w:rFonts w:hint="eastAsia"/>
              </w:rPr>
              <w:t>3、对所提供样品的纹理均匀程度、止滑处理均匀程度、质感情况等进行评议。（0-5分）</w:t>
            </w:r>
          </w:p>
          <w:p>
            <w:pPr>
              <w:pStyle w:val="2"/>
              <w:ind w:firstLine="0" w:firstLineChars="0"/>
            </w:pPr>
            <w:r>
              <w:rPr>
                <w:rFonts w:hint="eastAsia" w:eastAsia="宋体"/>
                <w:sz w:val="21"/>
              </w:rPr>
              <w:t>注：未提供样品，或样品提供不全的作无效标处理。</w:t>
            </w:r>
          </w:p>
        </w:tc>
      </w:tr>
      <w:tr>
        <w:tblPrEx>
          <w:tblCellMar>
            <w:top w:w="0" w:type="dxa"/>
            <w:left w:w="108" w:type="dxa"/>
            <w:bottom w:w="0" w:type="dxa"/>
            <w:right w:w="108" w:type="dxa"/>
          </w:tblCellMar>
        </w:tblPrEx>
        <w:trPr>
          <w:trHeight w:val="680"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施工组织方案（3分）</w:t>
            </w:r>
          </w:p>
        </w:tc>
        <w:tc>
          <w:tcPr>
            <w:tcW w:w="8022" w:type="dxa"/>
            <w:tcBorders>
              <w:top w:val="single" w:color="auto" w:sz="4" w:space="0"/>
              <w:left w:val="nil"/>
              <w:bottom w:val="single" w:color="auto" w:sz="4" w:space="0"/>
              <w:right w:val="single" w:color="auto" w:sz="4" w:space="0"/>
            </w:tcBorders>
            <w:vAlign w:val="center"/>
          </w:tcPr>
          <w:p>
            <w:pPr>
              <w:spacing w:line="340" w:lineRule="exact"/>
            </w:pPr>
            <w:r>
              <w:rPr>
                <w:rFonts w:hint="eastAsia"/>
              </w:rPr>
              <w:t>对投标人提供的针对本项目的施工方案、机械配备、措施方案的针对性、详细性等进行评议。（0-3分）</w:t>
            </w:r>
          </w:p>
        </w:tc>
      </w:tr>
      <w:tr>
        <w:tblPrEx>
          <w:tblCellMar>
            <w:top w:w="0" w:type="dxa"/>
            <w:left w:w="108" w:type="dxa"/>
            <w:bottom w:w="0" w:type="dxa"/>
            <w:right w:w="108" w:type="dxa"/>
          </w:tblCellMar>
        </w:tblPrEx>
        <w:trPr>
          <w:trHeight w:val="680"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工期承诺及保障方案（4分）</w:t>
            </w:r>
          </w:p>
        </w:tc>
        <w:tc>
          <w:tcPr>
            <w:tcW w:w="8022" w:type="dxa"/>
            <w:tcBorders>
              <w:top w:val="single" w:color="auto" w:sz="4" w:space="0"/>
              <w:left w:val="nil"/>
              <w:bottom w:val="single" w:color="auto" w:sz="4" w:space="0"/>
              <w:right w:val="single" w:color="auto" w:sz="4" w:space="0"/>
            </w:tcBorders>
            <w:vAlign w:val="center"/>
          </w:tcPr>
          <w:p>
            <w:pPr>
              <w:spacing w:line="340" w:lineRule="exact"/>
            </w:pPr>
            <w:r>
              <w:rPr>
                <w:rFonts w:hint="eastAsia"/>
              </w:rPr>
              <w:t>对投标人针对本项目的工期计划、承诺及保障方案进行评议。（0-4分）</w:t>
            </w:r>
          </w:p>
        </w:tc>
      </w:tr>
      <w:tr>
        <w:tblPrEx>
          <w:tblCellMar>
            <w:top w:w="0" w:type="dxa"/>
            <w:left w:w="108" w:type="dxa"/>
            <w:bottom w:w="0" w:type="dxa"/>
            <w:right w:w="108" w:type="dxa"/>
          </w:tblCellMar>
        </w:tblPrEx>
        <w:trPr>
          <w:trHeight w:val="368"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nil"/>
              <w:left w:val="single" w:color="auto" w:sz="4" w:space="0"/>
              <w:bottom w:val="single" w:color="auto" w:sz="4" w:space="0"/>
              <w:right w:val="single" w:color="auto" w:sz="4" w:space="0"/>
            </w:tcBorders>
            <w:vAlign w:val="center"/>
          </w:tcPr>
          <w:p>
            <w:pPr>
              <w:spacing w:line="340" w:lineRule="exact"/>
            </w:pPr>
            <w:r>
              <w:rPr>
                <w:rFonts w:hint="eastAsia"/>
              </w:rPr>
              <w:t>人员配备情况（3分）</w:t>
            </w:r>
          </w:p>
        </w:tc>
        <w:tc>
          <w:tcPr>
            <w:tcW w:w="8022" w:type="dxa"/>
            <w:tcBorders>
              <w:top w:val="single" w:color="auto" w:sz="4" w:space="0"/>
              <w:left w:val="nil"/>
              <w:bottom w:val="single" w:color="auto" w:sz="4" w:space="0"/>
              <w:right w:val="single" w:color="auto" w:sz="4" w:space="0"/>
            </w:tcBorders>
            <w:vAlign w:val="center"/>
          </w:tcPr>
          <w:p>
            <w:pPr>
              <w:spacing w:line="340" w:lineRule="exact"/>
            </w:pPr>
            <w:r>
              <w:rPr>
                <w:rFonts w:hint="eastAsia"/>
              </w:rPr>
              <w:t>对投标人针对本项目拟派项目负责人、主要施工人员的与项目相关的职称、类似项目经验等进行评议。（0-3分）（投标文件中提供相关证明材料。）</w:t>
            </w:r>
          </w:p>
        </w:tc>
      </w:tr>
      <w:tr>
        <w:tblPrEx>
          <w:tblCellMar>
            <w:top w:w="0" w:type="dxa"/>
            <w:left w:w="108" w:type="dxa"/>
            <w:bottom w:w="0" w:type="dxa"/>
            <w:right w:w="108" w:type="dxa"/>
          </w:tblCellMar>
        </w:tblPrEx>
        <w:trPr>
          <w:trHeight w:val="1049"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right w:val="single" w:color="auto" w:sz="4" w:space="0"/>
            </w:tcBorders>
            <w:vAlign w:val="center"/>
          </w:tcPr>
          <w:p>
            <w:pPr>
              <w:spacing w:line="340" w:lineRule="exact"/>
            </w:pPr>
            <w:r>
              <w:rPr>
                <w:rFonts w:hint="eastAsia"/>
              </w:rPr>
              <w:t>履约能力（2分）</w:t>
            </w:r>
          </w:p>
        </w:tc>
        <w:tc>
          <w:tcPr>
            <w:tcW w:w="8022" w:type="dxa"/>
            <w:tcBorders>
              <w:top w:val="single" w:color="auto" w:sz="4" w:space="0"/>
              <w:left w:val="nil"/>
              <w:right w:val="single" w:color="auto" w:sz="4" w:space="0"/>
            </w:tcBorders>
            <w:vAlign w:val="center"/>
          </w:tcPr>
          <w:p>
            <w:pPr>
              <w:spacing w:line="340" w:lineRule="exact"/>
            </w:pPr>
            <w:r>
              <w:rPr>
                <w:rFonts w:hint="eastAsia"/>
              </w:rPr>
              <w:t>投标人自2019年1月1日（以验收报告日期为准）以来完成过同类项目，每提供一个得1分，最多得2分。（投标文件中需提供合同、验收报告复印件。）</w:t>
            </w:r>
          </w:p>
        </w:tc>
      </w:tr>
      <w:tr>
        <w:tblPrEx>
          <w:tblCellMar>
            <w:top w:w="0" w:type="dxa"/>
            <w:left w:w="108" w:type="dxa"/>
            <w:bottom w:w="0" w:type="dxa"/>
            <w:right w:w="108" w:type="dxa"/>
          </w:tblCellMar>
        </w:tblPrEx>
        <w:trPr>
          <w:trHeight w:val="666" w:hRule="atLeast"/>
          <w:jc w:val="center"/>
        </w:trPr>
        <w:tc>
          <w:tcPr>
            <w:tcW w:w="520" w:type="dxa"/>
            <w:vMerge w:val="continue"/>
            <w:tcBorders>
              <w:left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售后服务(8分)</w:t>
            </w:r>
          </w:p>
        </w:tc>
        <w:tc>
          <w:tcPr>
            <w:tcW w:w="8022" w:type="dxa"/>
            <w:tcBorders>
              <w:top w:val="single" w:color="auto" w:sz="4" w:space="0"/>
              <w:left w:val="nil"/>
              <w:bottom w:val="single" w:color="auto" w:sz="4" w:space="0"/>
              <w:right w:val="single" w:color="auto" w:sz="4" w:space="0"/>
            </w:tcBorders>
            <w:vAlign w:val="center"/>
          </w:tcPr>
          <w:p>
            <w:r>
              <w:rPr>
                <w:rFonts w:hint="eastAsia"/>
              </w:rPr>
              <w:t>（1）对投标人针对本项目的售后服务承诺情况进行评议；（0-4分）</w:t>
            </w:r>
          </w:p>
          <w:p>
            <w:pPr>
              <w:spacing w:line="340" w:lineRule="exact"/>
            </w:pPr>
            <w:r>
              <w:rPr>
                <w:rFonts w:hint="eastAsia"/>
              </w:rPr>
              <w:t xml:space="preserve">（2）对投标单位针对本项目的售后服务点情况（位置、仓库及备品备件、办公情况等）进行评议。（0-4分）。（投标文件中提供售后服务点营业执照复印件、办公室及仓库照片、租赁合同复印件等证明材料。）       </w:t>
            </w:r>
          </w:p>
        </w:tc>
      </w:tr>
      <w:tr>
        <w:tblPrEx>
          <w:tblCellMar>
            <w:top w:w="0" w:type="dxa"/>
            <w:left w:w="108" w:type="dxa"/>
            <w:bottom w:w="0" w:type="dxa"/>
            <w:right w:w="108" w:type="dxa"/>
          </w:tblCellMar>
        </w:tblPrEx>
        <w:trPr>
          <w:trHeight w:val="666" w:hRule="atLeast"/>
          <w:jc w:val="center"/>
        </w:trPr>
        <w:tc>
          <w:tcPr>
            <w:tcW w:w="520" w:type="dxa"/>
            <w:vMerge w:val="continue"/>
            <w:tcBorders>
              <w:left w:val="single" w:color="auto" w:sz="4" w:space="0"/>
              <w:bottom w:val="single" w:color="auto" w:sz="4" w:space="0"/>
              <w:right w:val="single" w:color="auto" w:sz="4" w:space="0"/>
            </w:tcBorders>
            <w:vAlign w:val="center"/>
          </w:tcPr>
          <w:p>
            <w:pPr>
              <w:spacing w:line="340" w:lineRule="exact"/>
            </w:pPr>
          </w:p>
        </w:tc>
        <w:tc>
          <w:tcPr>
            <w:tcW w:w="1879" w:type="dxa"/>
            <w:tcBorders>
              <w:top w:val="single" w:color="auto" w:sz="4" w:space="0"/>
              <w:left w:val="single" w:color="auto" w:sz="4" w:space="0"/>
              <w:bottom w:val="single" w:color="auto" w:sz="4" w:space="0"/>
              <w:right w:val="single" w:color="auto" w:sz="4" w:space="0"/>
            </w:tcBorders>
            <w:vAlign w:val="center"/>
          </w:tcPr>
          <w:p>
            <w:pPr>
              <w:spacing w:line="340" w:lineRule="exact"/>
            </w:pPr>
            <w:r>
              <w:rPr>
                <w:rFonts w:hint="eastAsia"/>
              </w:rPr>
              <w:t>采购政策(1分)</w:t>
            </w:r>
          </w:p>
        </w:tc>
        <w:tc>
          <w:tcPr>
            <w:tcW w:w="8022" w:type="dxa"/>
            <w:tcBorders>
              <w:top w:val="single" w:color="auto" w:sz="4" w:space="0"/>
              <w:left w:val="nil"/>
              <w:bottom w:val="single" w:color="auto" w:sz="4" w:space="0"/>
              <w:right w:val="single" w:color="auto" w:sz="4" w:space="0"/>
            </w:tcBorders>
            <w:vAlign w:val="center"/>
          </w:tcPr>
          <w:p>
            <w:r>
              <w:rPr>
                <w:rFonts w:hint="eastAsia"/>
              </w:rPr>
              <w:t>（1）投标人是国家认定的不发达地区或少数民族地区企业的加0.5分。</w:t>
            </w:r>
          </w:p>
          <w:p>
            <w:pPr>
              <w:jc w:val="left"/>
            </w:pPr>
            <w:r>
              <w:rPr>
                <w:rFonts w:hint="eastAsia"/>
              </w:rPr>
              <w:t>（2）节能产品、环境标志产品政策性因素得分（各0.25分）。投标产品如属于节能产品的得0.25分，投标产品如属于环境标志产品的得0.25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tblPrEx>
          <w:tblCellMar>
            <w:top w:w="0" w:type="dxa"/>
            <w:left w:w="108" w:type="dxa"/>
            <w:bottom w:w="0" w:type="dxa"/>
            <w:right w:w="108" w:type="dxa"/>
          </w:tblCellMar>
        </w:tblPrEx>
        <w:trPr>
          <w:trHeight w:val="271" w:hRule="atLeast"/>
          <w:jc w:val="center"/>
        </w:trPr>
        <w:tc>
          <w:tcPr>
            <w:tcW w:w="2399"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pPr>
            <w:r>
              <w:rPr>
                <w:rFonts w:hint="eastAsia"/>
              </w:rPr>
              <w:t>价格分40分</w:t>
            </w:r>
          </w:p>
        </w:tc>
        <w:tc>
          <w:tcPr>
            <w:tcW w:w="8022" w:type="dxa"/>
            <w:tcBorders>
              <w:top w:val="single" w:color="auto" w:sz="4" w:space="0"/>
              <w:left w:val="nil"/>
              <w:bottom w:val="single" w:color="auto" w:sz="4" w:space="0"/>
              <w:right w:val="single" w:color="auto" w:sz="4" w:space="0"/>
            </w:tcBorders>
            <w:vAlign w:val="center"/>
          </w:tcPr>
          <w:p>
            <w:pPr>
              <w:spacing w:line="300" w:lineRule="exact"/>
              <w:rPr>
                <w:szCs w:val="21"/>
              </w:rPr>
            </w:pPr>
            <w:r>
              <w:rPr>
                <w:rFonts w:hint="eastAsia"/>
                <w:szCs w:val="21"/>
              </w:rPr>
              <w:t>满足采购文件要求且参与评审价格最低为评标基准价，其价格分为满分，其余投标人的价格分以下列公式计算：</w:t>
            </w:r>
          </w:p>
          <w:p>
            <w:pPr>
              <w:spacing w:line="300" w:lineRule="exact"/>
              <w:rPr>
                <w:szCs w:val="21"/>
              </w:rPr>
            </w:pPr>
            <w:r>
              <w:rPr>
                <w:rFonts w:hint="eastAsia"/>
                <w:szCs w:val="21"/>
              </w:rPr>
              <w:t>投标报价得分=（评标基准价/参与评审的价格）×价格权值×100。</w:t>
            </w:r>
          </w:p>
          <w:p>
            <w:pPr>
              <w:spacing w:line="340" w:lineRule="exact"/>
            </w:pPr>
            <w:r>
              <w:rPr>
                <w:rFonts w:hint="eastAsia"/>
                <w:szCs w:val="21"/>
              </w:rPr>
              <w:t>参与评审价格=投标价格×（1-小微企业价格扣除优惠值20%）</w:t>
            </w:r>
          </w:p>
        </w:tc>
      </w:tr>
    </w:tbl>
    <w:p>
      <w:pPr>
        <w:widowControl/>
        <w:jc w:val="left"/>
        <w:rPr>
          <w:rFonts w:eastAsia="仿宋_GB2312"/>
          <w:sz w:val="28"/>
        </w:rPr>
      </w:pPr>
    </w:p>
    <w:p>
      <w:pPr>
        <w:pStyle w:val="2"/>
        <w:ind w:firstLine="560"/>
      </w:pPr>
    </w:p>
    <w:p>
      <w:pPr>
        <w:pStyle w:val="2"/>
        <w:ind w:firstLine="560"/>
      </w:pPr>
    </w:p>
    <w:p>
      <w:pPr>
        <w:snapToGrid w:val="0"/>
        <w:spacing w:line="360" w:lineRule="auto"/>
        <w:rPr>
          <w:rFonts w:cs="仿宋" w:asciiTheme="majorEastAsia" w:hAnsiTheme="majorEastAsia" w:eastAsiaTheme="majorEastAsia"/>
          <w:b/>
          <w:sz w:val="24"/>
        </w:rPr>
      </w:pPr>
      <w:r>
        <w:rPr>
          <w:rFonts w:hint="eastAsia" w:cs="仿宋" w:asciiTheme="majorEastAsia" w:hAnsiTheme="majorEastAsia" w:eastAsiaTheme="majorEastAsia"/>
          <w:sz w:val="20"/>
          <w:szCs w:val="20"/>
        </w:rPr>
        <w:t> </w:t>
      </w:r>
      <w:r>
        <w:rPr>
          <w:rFonts w:hint="eastAsia" w:cs="仿宋" w:asciiTheme="majorEastAsia" w:hAnsiTheme="majorEastAsia" w:eastAsiaTheme="majorEastAsia"/>
          <w:b/>
          <w:sz w:val="24"/>
        </w:rPr>
        <w:t>备注：</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sz w:val="24"/>
        </w:rPr>
        <w:t>编制投标文件（商务技术文件部分）时，建议按此目录（序号和内容）提供评标标准相应的商务技术资料。 </w:t>
      </w: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cs="仿宋" w:asciiTheme="majorEastAsia" w:hAnsiTheme="majorEastAsia" w:eastAsiaTheme="majorEastAsia"/>
          <w:b/>
          <w:sz w:val="32"/>
        </w:rPr>
        <w:br w:type="page"/>
      </w: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hint="eastAsia" w:cs="仿宋" w:asciiTheme="majorEastAsia" w:hAnsiTheme="majorEastAsia" w:eastAsiaTheme="majorEastAsia"/>
          <w:b/>
          <w:sz w:val="32"/>
        </w:rPr>
        <w:t>一、评标方法</w:t>
      </w:r>
    </w:p>
    <w:p>
      <w:pPr>
        <w:spacing w:line="360" w:lineRule="auto"/>
        <w:ind w:firstLine="472" w:firstLineChars="196"/>
        <w:rPr>
          <w:rFonts w:cs="仿宋" w:asciiTheme="majorEastAsia" w:hAnsiTheme="majorEastAsia" w:eastAsiaTheme="majorEastAsia"/>
          <w:kern w:val="0"/>
          <w:sz w:val="24"/>
        </w:rPr>
      </w:pPr>
      <w:r>
        <w:rPr>
          <w:rFonts w:hint="eastAsia" w:cs="仿宋" w:asciiTheme="majorEastAsia" w:hAnsiTheme="majorEastAsia" w:eastAsiaTheme="majorEastAsia"/>
          <w:b/>
          <w:kern w:val="0"/>
          <w:sz w:val="24"/>
        </w:rPr>
        <w:t>1.本项目采用综合评分法。</w:t>
      </w:r>
      <w:r>
        <w:rPr>
          <w:rFonts w:hint="eastAsia" w:cs="仿宋" w:asciiTheme="majorEastAsia" w:hAnsiTheme="majorEastAsia" w:eastAsiaTheme="majorEastAsia"/>
          <w:kern w:val="0"/>
          <w:sz w:val="24"/>
        </w:rPr>
        <w:t>综合评分法，是指投标文件满足招标文件全部实质性要求，且按照评审因素的量化指标评审得分最高的</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为中标候选人的评标方法。</w:t>
      </w: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hint="eastAsia" w:cs="仿宋" w:asciiTheme="majorEastAsia" w:hAnsiTheme="majorEastAsia" w:eastAsiaTheme="majorEastAsia"/>
          <w:b/>
          <w:sz w:val="32"/>
        </w:rPr>
        <w:t>二、评标标准</w:t>
      </w:r>
    </w:p>
    <w:p>
      <w:pPr>
        <w:spacing w:line="360" w:lineRule="auto"/>
        <w:ind w:firstLine="472" w:firstLineChars="196"/>
        <w:rPr>
          <w:rFonts w:cs="仿宋" w:asciiTheme="majorEastAsia" w:hAnsiTheme="majorEastAsia" w:eastAsiaTheme="majorEastAsia"/>
          <w:b/>
          <w:sz w:val="24"/>
        </w:rPr>
      </w:pPr>
      <w:r>
        <w:rPr>
          <w:rFonts w:hint="eastAsia" w:cs="仿宋" w:asciiTheme="majorEastAsia" w:hAnsiTheme="majorEastAsia" w:eastAsiaTheme="majorEastAsia"/>
          <w:b/>
          <w:sz w:val="24"/>
        </w:rPr>
        <w:t>2.</w:t>
      </w:r>
      <w:r>
        <w:rPr>
          <w:rFonts w:hint="eastAsia" w:cs="仿宋" w:asciiTheme="majorEastAsia" w:hAnsiTheme="majorEastAsia" w:eastAsiaTheme="majorEastAsia"/>
        </w:rPr>
        <w:t xml:space="preserve"> </w:t>
      </w:r>
      <w:r>
        <w:rPr>
          <w:rFonts w:hint="eastAsia" w:cs="仿宋" w:asciiTheme="majorEastAsia" w:hAnsiTheme="majorEastAsia" w:eastAsiaTheme="majorEastAsia"/>
          <w:b/>
          <w:sz w:val="24"/>
        </w:rPr>
        <w:t>评标标准：</w:t>
      </w:r>
      <w:r>
        <w:rPr>
          <w:rFonts w:hint="eastAsia" w:cs="仿宋" w:asciiTheme="majorEastAsia" w:hAnsiTheme="majorEastAsia" w:eastAsiaTheme="majorEastAsia"/>
          <w:kern w:val="0"/>
          <w:sz w:val="24"/>
        </w:rPr>
        <w:t>见评标办法前附表。</w:t>
      </w: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hint="eastAsia" w:cs="仿宋" w:asciiTheme="majorEastAsia" w:hAnsiTheme="majorEastAsia" w:eastAsiaTheme="majorEastAsia"/>
          <w:b/>
          <w:sz w:val="32"/>
        </w:rPr>
        <w:t>三、评标程序</w:t>
      </w:r>
    </w:p>
    <w:p>
      <w:pPr>
        <w:spacing w:line="360" w:lineRule="auto"/>
        <w:ind w:firstLine="482" w:firstLineChars="200"/>
        <w:rPr>
          <w:rFonts w:cs="仿宋" w:asciiTheme="majorEastAsia" w:hAnsiTheme="majorEastAsia" w:eastAsiaTheme="majorEastAsia"/>
          <w:kern w:val="0"/>
          <w:sz w:val="24"/>
        </w:rPr>
      </w:pPr>
      <w:r>
        <w:rPr>
          <w:rFonts w:hint="eastAsia" w:cs="仿宋" w:asciiTheme="majorEastAsia" w:hAnsiTheme="majorEastAsia" w:eastAsiaTheme="majorEastAsia"/>
          <w:b/>
          <w:kern w:val="0"/>
          <w:sz w:val="24"/>
        </w:rPr>
        <w:t>3.1 符合性审查。</w:t>
      </w:r>
      <w:r>
        <w:rPr>
          <w:rFonts w:hint="eastAsia" w:cs="仿宋" w:asciiTheme="majorEastAsia" w:hAnsiTheme="majorEastAsia" w:eastAsiaTheme="majorEastAsia"/>
          <w:kern w:val="0"/>
          <w:sz w:val="24"/>
        </w:rPr>
        <w:t>评标委员会应当对符合资格的</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的投标文件进行符合性审查，以确定其是否满足招标文件的实质性要求。不满足招标文件的实质性要求的，投标无效。</w:t>
      </w:r>
    </w:p>
    <w:p>
      <w:pPr>
        <w:spacing w:line="360" w:lineRule="auto"/>
        <w:ind w:firstLine="482" w:firstLineChars="200"/>
        <w:rPr>
          <w:rFonts w:cs="仿宋" w:asciiTheme="majorEastAsia" w:hAnsiTheme="majorEastAsia" w:eastAsiaTheme="majorEastAsia"/>
          <w:kern w:val="0"/>
          <w:sz w:val="24"/>
        </w:rPr>
      </w:pPr>
      <w:r>
        <w:rPr>
          <w:rFonts w:hint="eastAsia" w:cs="仿宋" w:asciiTheme="majorEastAsia" w:hAnsiTheme="majorEastAsia" w:eastAsiaTheme="majorEastAsia"/>
          <w:b/>
          <w:kern w:val="0"/>
          <w:sz w:val="24"/>
        </w:rPr>
        <w:t>3.2 商务技术评审。</w:t>
      </w:r>
      <w:r>
        <w:rPr>
          <w:rFonts w:hint="eastAsia" w:cs="仿宋" w:asciiTheme="majorEastAsia" w:hAnsiTheme="majorEastAsia" w:eastAsiaTheme="majorEastAsia"/>
          <w:kern w:val="0"/>
          <w:sz w:val="24"/>
        </w:rPr>
        <w:t>评标委员会应当按照招标文件中规定的评标方法和标准，对符合性审查合格的投标文件进行商务和技术评估。</w:t>
      </w:r>
    </w:p>
    <w:p>
      <w:pPr>
        <w:spacing w:line="360" w:lineRule="auto"/>
        <w:ind w:firstLine="482" w:firstLineChars="200"/>
        <w:rPr>
          <w:rFonts w:cs="仿宋" w:asciiTheme="majorEastAsia" w:hAnsiTheme="majorEastAsia" w:eastAsiaTheme="majorEastAsia"/>
          <w:kern w:val="0"/>
          <w:sz w:val="24"/>
        </w:rPr>
      </w:pPr>
      <w:r>
        <w:rPr>
          <w:rFonts w:hint="eastAsia" w:cs="仿宋" w:asciiTheme="majorEastAsia" w:hAnsiTheme="majorEastAsia" w:eastAsiaTheme="majorEastAsia"/>
          <w:b/>
          <w:kern w:val="0"/>
          <w:sz w:val="24"/>
        </w:rPr>
        <w:t>3.3 汇总商务技术得分。</w:t>
      </w:r>
      <w:r>
        <w:rPr>
          <w:rFonts w:hint="eastAsia" w:cs="仿宋" w:asciiTheme="majorEastAsia" w:hAnsiTheme="majorEastAsia" w:eastAsiaTheme="majorEastAsia"/>
          <w:kern w:val="0"/>
          <w:sz w:val="24"/>
        </w:rPr>
        <w:t>评标委员会各成员应当独立对每个</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的商务和技术文件进行评价，并汇总商务技术得分情况。</w:t>
      </w:r>
    </w:p>
    <w:p>
      <w:pPr>
        <w:spacing w:line="360" w:lineRule="auto"/>
        <w:ind w:firstLine="482" w:firstLineChars="200"/>
        <w:rPr>
          <w:rFonts w:cs="仿宋" w:asciiTheme="majorEastAsia" w:hAnsiTheme="majorEastAsia" w:eastAsiaTheme="majorEastAsia"/>
          <w:b/>
          <w:kern w:val="0"/>
          <w:sz w:val="24"/>
        </w:rPr>
      </w:pPr>
      <w:r>
        <w:rPr>
          <w:rFonts w:hint="eastAsia" w:cs="仿宋" w:asciiTheme="majorEastAsia" w:hAnsiTheme="majorEastAsia" w:eastAsiaTheme="majorEastAsia"/>
          <w:b/>
          <w:kern w:val="0"/>
          <w:sz w:val="24"/>
        </w:rPr>
        <w:t>3.4 报价评审。</w:t>
      </w:r>
    </w:p>
    <w:p>
      <w:pPr>
        <w:pStyle w:val="40"/>
        <w:spacing w:before="0"/>
        <w:ind w:firstLine="480"/>
        <w:rPr>
          <w:rFonts w:cs="仿宋" w:asciiTheme="majorEastAsia" w:hAnsiTheme="majorEastAsia" w:eastAsiaTheme="majorEastAsia"/>
          <w:kern w:val="0"/>
        </w:rPr>
      </w:pPr>
      <w:r>
        <w:rPr>
          <w:rFonts w:hint="eastAsia" w:cs="仿宋" w:asciiTheme="majorEastAsia" w:hAnsiTheme="majorEastAsia" w:eastAsiaTheme="majorEastAsia"/>
          <w:kern w:val="0"/>
        </w:rPr>
        <w:t>3.4.1投标文件报价出现前后不一致的，按照下列规定修正：</w:t>
      </w:r>
    </w:p>
    <w:p>
      <w:pPr>
        <w:pStyle w:val="40"/>
        <w:spacing w:before="0"/>
        <w:ind w:firstLine="480"/>
        <w:rPr>
          <w:rFonts w:cs="仿宋" w:asciiTheme="majorEastAsia" w:hAnsiTheme="majorEastAsia" w:eastAsiaTheme="majorEastAsia"/>
          <w:kern w:val="0"/>
        </w:rPr>
      </w:pPr>
      <w:r>
        <w:rPr>
          <w:rFonts w:hint="eastAsia" w:cs="仿宋" w:asciiTheme="majorEastAsia" w:hAnsiTheme="majorEastAsia" w:eastAsiaTheme="majorEastAsia"/>
          <w:kern w:val="0"/>
        </w:rPr>
        <w:t>3.4.1.1电子交易平台生成的开标记录表(报价表)内容与投标文件中开标一览表(报价表)不一致的，以投标文件中开标一览表(报价表)为准；</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3.4.1.2</w:t>
      </w:r>
      <w:r>
        <w:rPr>
          <w:rFonts w:hint="eastAsia" w:cs="仿宋" w:asciiTheme="majorEastAsia" w:hAnsiTheme="majorEastAsia" w:eastAsiaTheme="majorEastAsia"/>
          <w:kern w:val="0"/>
        </w:rPr>
        <w:t>投标文件中开标一览表(报价表)内容与投标文件中相应内容不一致的，以开标一览表(报价表)为准；</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3.4.1.3 大写金额和小写金额不一致的，以大写金额为准;</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3.4.1.4 单价金额小数点或者百分比有明显错位的，以开标一览表的总价为准，并修改单价;</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3.4.1.5 总价金额与按单价汇总金额不一致的，以单价金额计算结果为准；</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确认后产生约束力。</w:t>
      </w:r>
    </w:p>
    <w:p>
      <w:pPr>
        <w:snapToGrid w:val="0"/>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3.4.2投标文件出现不是唯一的、有选择性投标报价的，投标无效。</w:t>
      </w:r>
    </w:p>
    <w:p>
      <w:pPr>
        <w:snapToGrid w:val="0"/>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3.4.3投标报价超过招标文件中规定的预算金额或者最高限价的，投标无效。</w:t>
      </w:r>
    </w:p>
    <w:p>
      <w:pPr>
        <w:pStyle w:val="40"/>
        <w:spacing w:before="0"/>
        <w:ind w:firstLine="480"/>
        <w:rPr>
          <w:rFonts w:cs="仿宋" w:asciiTheme="majorEastAsia" w:hAnsiTheme="majorEastAsia" w:eastAsiaTheme="majorEastAsia"/>
          <w:kern w:val="0"/>
          <w:szCs w:val="24"/>
        </w:rPr>
      </w:pPr>
      <w:r>
        <w:rPr>
          <w:rFonts w:hint="eastAsia" w:cs="仿宋" w:asciiTheme="majorEastAsia" w:hAnsiTheme="majorEastAsia" w:eastAsiaTheme="majorEastAsia"/>
          <w:kern w:val="0"/>
          <w:szCs w:val="24"/>
        </w:rPr>
        <w:t>3.4.4评标委员会认为</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的报价明显低于其他通过符合性审查</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的报价，有可能影响产品质量或者不能诚信履约的，应当要求其在30分钟内提供书面说明，必要时提交相关证明材料;</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不能证明其报价合理性的，评标委员会应当将其作为无效投标处理。</w:t>
      </w:r>
    </w:p>
    <w:p>
      <w:pPr>
        <w:spacing w:line="360" w:lineRule="auto"/>
        <w:ind w:firstLine="482" w:firstLineChars="200"/>
        <w:rPr>
          <w:rFonts w:cs="仿宋" w:asciiTheme="majorEastAsia" w:hAnsiTheme="majorEastAsia" w:eastAsiaTheme="majorEastAsia"/>
          <w:kern w:val="0"/>
          <w:sz w:val="24"/>
        </w:rPr>
      </w:pPr>
      <w:r>
        <w:rPr>
          <w:rFonts w:hint="eastAsia" w:cs="仿宋" w:asciiTheme="majorEastAsia" w:hAnsiTheme="majorEastAsia" w:eastAsiaTheme="majorEastAsia"/>
          <w:b/>
          <w:kern w:val="0"/>
          <w:sz w:val="24"/>
        </w:rPr>
        <w:t>3.5编写评标报告。</w:t>
      </w:r>
      <w:r>
        <w:rPr>
          <w:rFonts w:hint="eastAsia" w:cs="仿宋" w:asciiTheme="majorEastAsia" w:hAnsiTheme="majorEastAsia" w:eastAsiaTheme="major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auto"/>
        <w:ind w:left="120" w:leftChars="57" w:firstLine="482" w:firstLineChars="150"/>
        <w:jc w:val="center"/>
        <w:rPr>
          <w:rFonts w:cs="仿宋" w:asciiTheme="majorEastAsia" w:hAnsiTheme="majorEastAsia" w:eastAsiaTheme="majorEastAsia"/>
          <w:b/>
          <w:sz w:val="32"/>
        </w:rPr>
      </w:pPr>
      <w:r>
        <w:rPr>
          <w:rFonts w:hint="eastAsia" w:cs="仿宋" w:asciiTheme="majorEastAsia" w:hAnsiTheme="majorEastAsia" w:eastAsiaTheme="majorEastAsia"/>
          <w:b/>
          <w:sz w:val="32"/>
        </w:rPr>
        <w:t>四、评标中的其他事项</w:t>
      </w:r>
    </w:p>
    <w:p>
      <w:pPr>
        <w:pStyle w:val="40"/>
        <w:spacing w:before="0"/>
        <w:ind w:firstLine="482"/>
        <w:rPr>
          <w:rFonts w:cs="仿宋" w:asciiTheme="majorEastAsia" w:hAnsiTheme="majorEastAsia" w:eastAsiaTheme="majorEastAsia"/>
          <w:kern w:val="0"/>
          <w:szCs w:val="24"/>
        </w:rPr>
      </w:pPr>
      <w:r>
        <w:rPr>
          <w:rFonts w:hint="eastAsia" w:cs="仿宋" w:asciiTheme="majorEastAsia" w:hAnsiTheme="majorEastAsia" w:eastAsiaTheme="majorEastAsia"/>
          <w:b/>
          <w:kern w:val="0"/>
          <w:szCs w:val="24"/>
        </w:rPr>
        <w:t>4.1投标澄清、说明或者补正。</w:t>
      </w:r>
      <w:r>
        <w:rPr>
          <w:rFonts w:hint="eastAsia" w:cs="仿宋" w:asciiTheme="majorEastAsia" w:hAnsiTheme="majorEastAsia" w:eastAsiaTheme="majorEastAsia"/>
          <w:kern w:val="0"/>
          <w:szCs w:val="24"/>
        </w:rPr>
        <w:t>对于投标文件中含义不明确、同类问题表述不一致或者有明显文字和计算错误的内容需要</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作出必要的澄清、说明或者补正的，评标委员会和</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通过电子交易平台交换数据电文，</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提交使用电子签名的相关数据电文或通过平台上传加盖公章的扫描件。给予</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提交澄清、说明或补正的时间不得少于半小时，</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已经明确表示澄清说明或补正完毕的除外。</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kern w:val="0"/>
          <w:szCs w:val="24"/>
        </w:rPr>
        <w:t>的澄清、说明或者补正不得超出投标文件的范围或者改变投标文件的实质性内容。</w:t>
      </w:r>
    </w:p>
    <w:p>
      <w:pPr>
        <w:pStyle w:val="11"/>
        <w:spacing w:line="360" w:lineRule="auto"/>
        <w:ind w:firstLine="482"/>
        <w:rPr>
          <w:rFonts w:cs="仿宋" w:asciiTheme="majorEastAsia" w:hAnsiTheme="majorEastAsia" w:eastAsiaTheme="majorEastAsia"/>
          <w:szCs w:val="21"/>
        </w:rPr>
      </w:pPr>
      <w:r>
        <w:rPr>
          <w:rFonts w:hint="eastAsia" w:cs="仿宋" w:asciiTheme="majorEastAsia" w:hAnsiTheme="majorEastAsia" w:eastAsiaTheme="majorEastAsia"/>
          <w:b/>
          <w:kern w:val="0"/>
        </w:rPr>
        <w:t>4.2投标无效的情形。</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4.2.1 没有响应招标文件实质性要求的投标将被视为无效投标。</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不得通过修正或撤消不合要求的偏离或保留从而使其投标成为实质上响应的投标，但经评标委员会认定属于</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修改、补正投标文件后，不影响评标委员会对其投标文件所作的评价和评分结果。</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4.2.2 在电子开评标时，如发现下列情形之一的，将被视为无效投标文件：</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4.2.2.1电子投标文件解密失败的；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4.2.2.2投标文件未按招标文件要求加密、签字、盖章的；（投标文件中加盖</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公章部分均须CA签章。）</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 在资格审查、符合性审查和商务评审时，如发现下列情形之一的，将被视为无效投标文件：</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4.2.3.1 资格证明文件不全的或者不符合招标文件标明的资格要求的；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4.2.3.2 投标文件未按招标文件要求签署、盖章的；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4.2.3.3 投标文件格式不规范、项目不齐全或者内容虚假的；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4.2.3.4 投标文件的实质性内容未使用中文表述、意思表述不明确、前后矛盾或者使用计量单位不符合招标文件要求的（经评标委员会认定并允许其当场更正的笔误除外）；</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4.2.3.5 投标有效期、交货时间、质保期等商务条款不能满足招标文件要求的；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4.2.3.6 带“▲”的条款不能满足招标文件要求、未实质性响应招标文件要求或者投标文件有采购人不能接受的附加条件的；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4.2.3.7 单位负责人为同一人或者存在直接控股、管理关系的不同供应商参加同一合同项下的采购活动的；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4.2.3.8 为采购项目提供整体设计、规范编制或者项目管理、监理、检测等服务的供应商参加该采购项目的其他采购活动的；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4.2.3.9 商务技术文件中出现本项目投标报价或单价的。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4.3.在技术评审时，如发现下列情形之一的，将被视为无效投标文件：</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4.3.1未提供或未如实提供投标货物的技术参数，或者投标文件标明的响应或偏离与事实不符或虚假投标的；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4.3.2 明显不符合招标文件要求的规格型号、质量标准，或者与招标文件中标“▲”的技术指标、主要功能项目发生实质性偏离的；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4.3.3 允许偏离的技术、性能指标或辅助功能项目发生负偏离达/项（含）以上的；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4.3.4 投标技术方案不明确，存在一个或一个以上备选（替代）投标方案的；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4.3.5 与其他参加本次投标</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的投标文件（技术文件）的文字表述内容差错相同2处以上的；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4.4 在报价评审时，如发现下列情形之一的，投标文件将被视为无效：</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4.4.1 未采用人民币报价或者未按照招标文件标明的币种报价的；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4.4.2 报价超出最高限价，或者超出采购预算金额的；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4.4.3 投标报价具有选择性的；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4.4.4 投标报价中出现缺项、漏项或被评标委员会认定为有可能影响产品质量或者不能诚信履约的且不能在合理的时间内证明其报价合理性的；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4.4.5供应商对根据修正原则修正后的报价不确认的。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4.5其他无效情形：</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4.5.1 不同</w:t>
      </w:r>
      <w:r>
        <w:rPr>
          <w:rFonts w:hint="eastAsia" w:cs="仿宋" w:asciiTheme="majorEastAsia" w:hAnsiTheme="majorEastAsia" w:eastAsiaTheme="majorEastAsia"/>
          <w:kern w:val="0"/>
          <w:sz w:val="24"/>
          <w:lang w:val="zh-CN"/>
        </w:rPr>
        <w:t>供应商</w:t>
      </w:r>
      <w:r>
        <w:rPr>
          <w:rFonts w:hint="eastAsia" w:cs="仿宋" w:asciiTheme="majorEastAsia" w:hAnsiTheme="majorEastAsia" w:eastAsiaTheme="majorEastAsia"/>
          <w:kern w:val="0"/>
          <w:sz w:val="24"/>
        </w:rPr>
        <w:t>的投标文件出自同一终端设备或在相同Internet主机分配地址（相同IP地址）进行网上报名、投标的；</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4.5.2 法律、法规、规章（适用本市的）及省级以上规范性文件（适用本市的）规定的其他无效情形。</w:t>
      </w:r>
    </w:p>
    <w:p>
      <w:pPr>
        <w:pStyle w:val="11"/>
        <w:snapToGrid w:val="0"/>
        <w:spacing w:line="360" w:lineRule="auto"/>
        <w:ind w:firstLine="482"/>
        <w:rPr>
          <w:rFonts w:cs="仿宋" w:asciiTheme="majorEastAsia" w:hAnsiTheme="majorEastAsia" w:eastAsiaTheme="majorEastAsia"/>
        </w:rPr>
      </w:pPr>
      <w:r>
        <w:rPr>
          <w:rFonts w:hint="eastAsia" w:cs="仿宋" w:asciiTheme="majorEastAsia" w:hAnsiTheme="majorEastAsia" w:eastAsiaTheme="majorEastAsia"/>
          <w:b/>
        </w:rPr>
        <w:t>5.废标。</w:t>
      </w:r>
      <w:r>
        <w:rPr>
          <w:rFonts w:hint="eastAsia" w:cs="仿宋" w:asciiTheme="majorEastAsia" w:hAnsiTheme="majorEastAsia" w:eastAsiaTheme="majorEastAsia"/>
        </w:rPr>
        <w:t>根据《中华人民共和国政府采购法》第三十六条之规定，在采购中，出现下列情形之一的，应予废标：</w:t>
      </w:r>
    </w:p>
    <w:p>
      <w:pPr>
        <w:pStyle w:val="11"/>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5.1符合专业条件的供应商或者对招标文件作实质响应的供应商不足3家的；</w:t>
      </w:r>
    </w:p>
    <w:p>
      <w:pPr>
        <w:pStyle w:val="11"/>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5.2出现影响采购公正的违法、违规行为的；</w:t>
      </w:r>
    </w:p>
    <w:p>
      <w:pPr>
        <w:pStyle w:val="11"/>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5.3</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rPr>
        <w:t>的报价均超过了采购预算，采购人不能支付的；</w:t>
      </w:r>
    </w:p>
    <w:p>
      <w:pPr>
        <w:pStyle w:val="11"/>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5.4因重大变故，采购任务取消的。</w:t>
      </w:r>
    </w:p>
    <w:p>
      <w:pPr>
        <w:pStyle w:val="11"/>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废标后，采购代理机构应当将废标理由通知所有</w:t>
      </w:r>
      <w:r>
        <w:rPr>
          <w:rFonts w:hint="eastAsia" w:cs="仿宋" w:asciiTheme="majorEastAsia" w:hAnsiTheme="majorEastAsia" w:eastAsiaTheme="majorEastAsia"/>
          <w:kern w:val="0"/>
          <w:lang w:val="zh-CN"/>
        </w:rPr>
        <w:t>供应商</w:t>
      </w:r>
      <w:r>
        <w:rPr>
          <w:rFonts w:hint="eastAsia" w:cs="仿宋" w:asciiTheme="majorEastAsia" w:hAnsiTheme="majorEastAsia" w:eastAsiaTheme="majorEastAsia"/>
        </w:rPr>
        <w:t>。</w:t>
      </w:r>
    </w:p>
    <w:p>
      <w:pPr>
        <w:pStyle w:val="11"/>
        <w:snapToGrid w:val="0"/>
        <w:spacing w:line="360" w:lineRule="auto"/>
        <w:ind w:firstLine="482"/>
        <w:rPr>
          <w:rFonts w:cs="仿宋" w:asciiTheme="majorEastAsia" w:hAnsiTheme="majorEastAsia" w:eastAsiaTheme="majorEastAsia"/>
        </w:rPr>
      </w:pPr>
      <w:r>
        <w:rPr>
          <w:rFonts w:hint="eastAsia" w:cs="仿宋" w:asciiTheme="majorEastAsia" w:hAnsiTheme="majorEastAsia" w:eastAsiaTheme="majorEastAsia"/>
          <w:b/>
        </w:rPr>
        <w:t>6.修改招标文件，重新组织采购活动。</w:t>
      </w:r>
      <w:r>
        <w:rPr>
          <w:rFonts w:hint="eastAsia" w:cs="仿宋" w:asciiTheme="majorEastAsia" w:hAnsiTheme="majorEastAsia" w:eastAsiaTheme="major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11"/>
        <w:adjustRightInd w:val="0"/>
        <w:snapToGrid w:val="0"/>
        <w:spacing w:line="360" w:lineRule="auto"/>
        <w:ind w:firstLine="482"/>
        <w:rPr>
          <w:rFonts w:cs="仿宋" w:asciiTheme="majorEastAsia" w:hAnsiTheme="majorEastAsia" w:eastAsiaTheme="majorEastAsia"/>
        </w:rPr>
      </w:pPr>
      <w:r>
        <w:rPr>
          <w:rFonts w:hint="eastAsia" w:cs="仿宋" w:asciiTheme="majorEastAsia" w:hAnsiTheme="majorEastAsia" w:eastAsiaTheme="majorEastAsia"/>
          <w:b/>
          <w:kern w:val="0"/>
        </w:rPr>
        <w:t>7.重新开展采购。</w:t>
      </w:r>
      <w:r>
        <w:rPr>
          <w:rFonts w:hint="eastAsia" w:cs="仿宋" w:asciiTheme="majorEastAsia" w:hAnsiTheme="majorEastAsia" w:eastAsiaTheme="majorEastAsia"/>
        </w:rPr>
        <w:t>有政府采购法第七十一条、第七十二条规定的违法行为之一，影响或者可能影响中标、成交结果的，依照下列规定处理：</w:t>
      </w:r>
    </w:p>
    <w:p>
      <w:pPr>
        <w:pStyle w:val="11"/>
        <w:adjustRightInd w:val="0"/>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7.1未确定中标或者中标人的，终止本次采购活动，重新开展采购活动。</w:t>
      </w:r>
    </w:p>
    <w:p>
      <w:pPr>
        <w:pStyle w:val="11"/>
        <w:adjustRightInd w:val="0"/>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7.2已确定中标或者中标人但尚未签订政府采购合同的，中标或者成交结果无效，重新开展政府采购活动。</w:t>
      </w:r>
    </w:p>
    <w:p>
      <w:pPr>
        <w:pStyle w:val="11"/>
        <w:adjustRightInd w:val="0"/>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7.3政府采购合同已签订但尚未履行的，撤销合同，重新开展政府采购活动。</w:t>
      </w:r>
    </w:p>
    <w:p>
      <w:pPr>
        <w:pStyle w:val="11"/>
        <w:adjustRightInd w:val="0"/>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7.4政府采购合同已经履行，给采购人、供应商造成损失的，由责任人承担赔偿责任。</w:t>
      </w:r>
    </w:p>
    <w:p>
      <w:pPr>
        <w:pStyle w:val="11"/>
        <w:adjustRightInd w:val="0"/>
        <w:snapToGrid w:val="0"/>
        <w:spacing w:line="360" w:lineRule="auto"/>
        <w:rPr>
          <w:rFonts w:cs="仿宋" w:asciiTheme="majorEastAsia" w:hAnsiTheme="majorEastAsia" w:eastAsiaTheme="majorEastAsia"/>
        </w:rPr>
      </w:pPr>
      <w:r>
        <w:rPr>
          <w:rFonts w:hint="eastAsia" w:cs="仿宋" w:asciiTheme="majorEastAsia" w:hAnsiTheme="majorEastAsia" w:eastAsiaTheme="majorEastAsia"/>
        </w:rPr>
        <w:t>7.5政府采购当事人有其他违反政府采购法</w:t>
      </w:r>
      <w:r>
        <w:rPr>
          <w:rFonts w:hint="eastAsia" w:cs="仿宋" w:asciiTheme="majorEastAsia" w:hAnsiTheme="majorEastAsia" w:eastAsiaTheme="majorEastAsia"/>
          <w:kern w:val="0"/>
        </w:rPr>
        <w:t>或者政府采购法实施条例等法律法规规定</w:t>
      </w:r>
      <w:r>
        <w:rPr>
          <w:rFonts w:hint="eastAsia" w:cs="仿宋" w:asciiTheme="majorEastAsia" w:hAnsiTheme="majorEastAsia" w:eastAsiaTheme="majorEastAsia"/>
        </w:rPr>
        <w:t>的行为，经改正后仍然影响或者可能影响中标、成交结果或者依法被认定为中标、成交无效的，依照7.1-7.4规定处理。</w:t>
      </w:r>
      <w:bookmarkEnd w:id="26"/>
      <w:bookmarkStart w:id="393" w:name="第五部分"/>
      <w:bookmarkStart w:id="394" w:name="_Toc86217003"/>
    </w:p>
    <w:p>
      <w:pPr>
        <w:pStyle w:val="11"/>
        <w:adjustRightInd w:val="0"/>
        <w:snapToGrid w:val="0"/>
        <w:spacing w:line="360" w:lineRule="auto"/>
        <w:rPr>
          <w:rFonts w:cs="仿宋" w:asciiTheme="majorEastAsia" w:hAnsiTheme="majorEastAsia" w:eastAsiaTheme="majorEastAsia"/>
        </w:rPr>
      </w:pPr>
      <w:r>
        <w:rPr>
          <w:rFonts w:cs="仿宋" w:asciiTheme="majorEastAsia" w:hAnsiTheme="majorEastAsia" w:eastAsiaTheme="majorEastAsia"/>
        </w:rPr>
        <w:br w:type="page"/>
      </w:r>
    </w:p>
    <w:p>
      <w:pPr>
        <w:pStyle w:val="11"/>
        <w:adjustRightInd w:val="0"/>
        <w:snapToGrid w:val="0"/>
        <w:spacing w:line="360" w:lineRule="auto"/>
        <w:rPr>
          <w:rFonts w:cs="仿宋" w:asciiTheme="majorEastAsia" w:hAnsiTheme="majorEastAsia" w:eastAsiaTheme="majorEastAsia"/>
        </w:rPr>
      </w:pPr>
    </w:p>
    <w:p>
      <w:pPr>
        <w:pStyle w:val="11"/>
        <w:numPr>
          <w:ilvl w:val="0"/>
          <w:numId w:val="2"/>
        </w:numPr>
        <w:adjustRightInd w:val="0"/>
        <w:snapToGrid w:val="0"/>
        <w:spacing w:line="360" w:lineRule="auto"/>
        <w:ind w:firstLine="0" w:firstLineChars="0"/>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拟签订的合同文本</w:t>
      </w:r>
    </w:p>
    <w:p>
      <w:pPr>
        <w:spacing w:line="360" w:lineRule="auto"/>
        <w:rPr>
          <w:rFonts w:cs="仿宋" w:asciiTheme="minorEastAsia" w:hAnsiTheme="minorEastAsia" w:eastAsiaTheme="minorEastAsia"/>
          <w:sz w:val="24"/>
          <w:u w:val="single"/>
        </w:rPr>
      </w:pPr>
      <w:r>
        <w:rPr>
          <w:rFonts w:hint="eastAsia" w:cs="仿宋" w:asciiTheme="minorEastAsia" w:hAnsiTheme="minorEastAsia" w:eastAsiaTheme="minorEastAsia"/>
          <w:sz w:val="24"/>
        </w:rPr>
        <w:t>合同编号：</w:t>
      </w:r>
      <w:r>
        <w:rPr>
          <w:rFonts w:hint="eastAsia" w:cs="仿宋" w:asciiTheme="minorEastAsia" w:hAnsiTheme="minorEastAsia" w:eastAsiaTheme="minorEastAsia"/>
          <w:sz w:val="24"/>
          <w:u w:val="single"/>
        </w:rPr>
        <w:t xml:space="preserve">           </w:t>
      </w:r>
    </w:p>
    <w:p>
      <w:pPr>
        <w:spacing w:line="360" w:lineRule="auto"/>
        <w:jc w:val="center"/>
        <w:rPr>
          <w:rFonts w:cs="仿宋" w:asciiTheme="minorEastAsia" w:hAnsiTheme="minorEastAsia" w:eastAsiaTheme="minorEastAsia"/>
          <w:b/>
          <w:sz w:val="28"/>
          <w:szCs w:val="28"/>
        </w:rPr>
      </w:pPr>
    </w:p>
    <w:p>
      <w:pPr>
        <w:spacing w:line="360" w:lineRule="auto"/>
        <w:jc w:val="center"/>
        <w:rPr>
          <w:rFonts w:cs="仿宋" w:asciiTheme="minorEastAsia" w:hAnsiTheme="minorEastAsia" w:eastAsiaTheme="minorEastAsia"/>
          <w:b/>
          <w:sz w:val="24"/>
        </w:rPr>
      </w:pPr>
    </w:p>
    <w:p>
      <w:pPr>
        <w:spacing w:line="360" w:lineRule="auto"/>
        <w:jc w:val="center"/>
        <w:rPr>
          <w:rFonts w:cs="仿宋" w:asciiTheme="minorEastAsia" w:hAnsiTheme="minorEastAsia" w:eastAsiaTheme="minorEastAsia"/>
          <w:b/>
          <w:sz w:val="24"/>
        </w:rPr>
      </w:pPr>
    </w:p>
    <w:p>
      <w:pPr>
        <w:spacing w:line="360" w:lineRule="auto"/>
        <w:jc w:val="center"/>
        <w:rPr>
          <w:rFonts w:cs="仿宋" w:asciiTheme="minorEastAsia" w:hAnsiTheme="minorEastAsia" w:eastAsiaTheme="minorEastAsia"/>
          <w:b/>
          <w:sz w:val="36"/>
          <w:szCs w:val="36"/>
        </w:rPr>
      </w:pPr>
      <w:r>
        <w:rPr>
          <w:rFonts w:hint="eastAsia" w:cs="仿宋" w:asciiTheme="minorEastAsia" w:hAnsiTheme="minorEastAsia" w:eastAsiaTheme="minorEastAsia"/>
          <w:b/>
          <w:sz w:val="36"/>
          <w:szCs w:val="36"/>
        </w:rPr>
        <w:t>（货物类）</w:t>
      </w:r>
    </w:p>
    <w:p>
      <w:pPr>
        <w:pStyle w:val="41"/>
        <w:ind w:left="0" w:leftChars="0" w:firstLine="0" w:firstLineChars="0"/>
        <w:rPr>
          <w:rFonts w:cs="仿宋" w:asciiTheme="minorEastAsia" w:hAnsiTheme="minorEastAsia" w:eastAsiaTheme="minorEastAsia"/>
          <w:szCs w:val="24"/>
        </w:rPr>
      </w:pPr>
    </w:p>
    <w:p>
      <w:pPr>
        <w:pStyle w:val="41"/>
        <w:rPr>
          <w:rFonts w:cs="仿宋" w:asciiTheme="minorEastAsia" w:hAnsiTheme="minorEastAsia" w:eastAsiaTheme="minorEastAsia"/>
          <w:szCs w:val="24"/>
        </w:rPr>
      </w:pPr>
    </w:p>
    <w:p>
      <w:pPr>
        <w:spacing w:before="120" w:line="360" w:lineRule="auto"/>
        <w:rPr>
          <w:rFonts w:cs="仿宋" w:asciiTheme="minorEastAsia" w:hAnsiTheme="minorEastAsia" w:eastAsiaTheme="minorEastAsia"/>
          <w:sz w:val="24"/>
        </w:rPr>
      </w:pPr>
    </w:p>
    <w:p>
      <w:pPr>
        <w:spacing w:before="120" w:line="360" w:lineRule="auto"/>
        <w:ind w:left="960" w:firstLine="720" w:firstLineChars="300"/>
        <w:rPr>
          <w:rFonts w:cs="仿宋" w:asciiTheme="minorEastAsia" w:hAnsiTheme="minorEastAsia" w:eastAsiaTheme="minorEastAsia"/>
          <w:sz w:val="24"/>
        </w:rPr>
      </w:pPr>
      <w:r>
        <w:rPr>
          <w:rFonts w:hint="eastAsia" w:cs="仿宋" w:asciiTheme="minorEastAsia" w:hAnsiTheme="minorEastAsia" w:eastAsiaTheme="minorEastAsia"/>
          <w:sz w:val="24"/>
        </w:rPr>
        <w:t>项目名称：</w:t>
      </w:r>
      <w:r>
        <w:rPr>
          <w:rFonts w:hint="eastAsia" w:cs="仿宋" w:asciiTheme="minorEastAsia" w:hAnsiTheme="minorEastAsia" w:eastAsiaTheme="minorEastAsia"/>
          <w:sz w:val="24"/>
          <w:u w:val="single"/>
        </w:rPr>
        <w:t xml:space="preserve">                                   </w:t>
      </w:r>
    </w:p>
    <w:p>
      <w:pPr>
        <w:pStyle w:val="33"/>
        <w:spacing w:before="120"/>
        <w:rPr>
          <w:rFonts w:cs="仿宋" w:asciiTheme="minorEastAsia" w:hAnsiTheme="minorEastAsia" w:eastAsiaTheme="minorEastAsia"/>
          <w:szCs w:val="24"/>
        </w:rPr>
      </w:pPr>
    </w:p>
    <w:p>
      <w:pPr>
        <w:pStyle w:val="33"/>
        <w:spacing w:before="120"/>
        <w:rPr>
          <w:rFonts w:cs="仿宋" w:asciiTheme="minorEastAsia" w:hAnsiTheme="minorEastAsia" w:eastAsiaTheme="minorEastAsia"/>
          <w:szCs w:val="24"/>
        </w:rPr>
      </w:pPr>
    </w:p>
    <w:p>
      <w:pPr>
        <w:spacing w:line="360" w:lineRule="auto"/>
        <w:rPr>
          <w:rFonts w:cs="仿宋" w:asciiTheme="minorEastAsia" w:hAnsiTheme="minorEastAsia" w:eastAsiaTheme="minorEastAsia"/>
          <w:sz w:val="24"/>
        </w:rPr>
      </w:pPr>
    </w:p>
    <w:p>
      <w:pPr>
        <w:spacing w:before="120" w:line="480" w:lineRule="auto"/>
        <w:ind w:left="960" w:firstLine="720" w:firstLineChars="300"/>
        <w:rPr>
          <w:rFonts w:cs="仿宋" w:asciiTheme="minorEastAsia" w:hAnsiTheme="minorEastAsia" w:eastAsiaTheme="minorEastAsia"/>
          <w:sz w:val="24"/>
        </w:rPr>
      </w:pPr>
      <w:r>
        <w:rPr>
          <w:rFonts w:hint="eastAsia" w:cs="仿宋" w:asciiTheme="minorEastAsia" w:hAnsiTheme="minorEastAsia" w:eastAsiaTheme="minorEastAsia"/>
          <w:sz w:val="24"/>
        </w:rPr>
        <w:t>甲方：</w:t>
      </w:r>
      <w:r>
        <w:rPr>
          <w:rFonts w:hint="eastAsia" w:cs="仿宋" w:asciiTheme="minorEastAsia" w:hAnsiTheme="minorEastAsia" w:eastAsiaTheme="minorEastAsia"/>
          <w:sz w:val="24"/>
          <w:u w:val="single"/>
        </w:rPr>
        <w:t xml:space="preserve">                                       </w:t>
      </w:r>
    </w:p>
    <w:p>
      <w:pPr>
        <w:spacing w:before="120" w:line="480" w:lineRule="auto"/>
        <w:ind w:left="960" w:firstLine="720" w:firstLineChars="300"/>
        <w:rPr>
          <w:rFonts w:cs="仿宋" w:asciiTheme="minorEastAsia" w:hAnsiTheme="minorEastAsia" w:eastAsiaTheme="minorEastAsia"/>
          <w:sz w:val="24"/>
        </w:rPr>
      </w:pPr>
      <w:r>
        <w:rPr>
          <w:rFonts w:hint="eastAsia" w:cs="仿宋" w:asciiTheme="minorEastAsia" w:hAnsiTheme="minorEastAsia" w:eastAsiaTheme="minorEastAsia"/>
          <w:sz w:val="24"/>
        </w:rPr>
        <w:t>乙方：</w:t>
      </w:r>
      <w:r>
        <w:rPr>
          <w:rFonts w:hint="eastAsia" w:cs="仿宋" w:asciiTheme="minorEastAsia" w:hAnsiTheme="minorEastAsia" w:eastAsiaTheme="minorEastAsia"/>
          <w:sz w:val="24"/>
          <w:u w:val="single"/>
        </w:rPr>
        <w:t xml:space="preserve">                                       </w:t>
      </w:r>
    </w:p>
    <w:p>
      <w:pPr>
        <w:spacing w:before="120" w:line="480" w:lineRule="auto"/>
        <w:ind w:firstLine="1680" w:firstLineChars="700"/>
        <w:rPr>
          <w:rFonts w:cs="仿宋" w:asciiTheme="minorEastAsia" w:hAnsiTheme="minorEastAsia" w:eastAsiaTheme="minorEastAsia"/>
          <w:sz w:val="24"/>
        </w:rPr>
      </w:pPr>
      <w:r>
        <w:rPr>
          <w:rFonts w:hint="eastAsia" w:cs="仿宋" w:asciiTheme="minorEastAsia" w:hAnsiTheme="minorEastAsia" w:eastAsiaTheme="minorEastAsia"/>
          <w:sz w:val="24"/>
        </w:rPr>
        <w:t>签订地：</w:t>
      </w:r>
      <w:r>
        <w:rPr>
          <w:rFonts w:hint="eastAsia" w:cs="仿宋" w:asciiTheme="minorEastAsia" w:hAnsiTheme="minorEastAsia" w:eastAsiaTheme="minorEastAsia"/>
          <w:sz w:val="24"/>
          <w:u w:val="single"/>
        </w:rPr>
        <w:t xml:space="preserve">                                     </w:t>
      </w:r>
    </w:p>
    <w:p>
      <w:pPr>
        <w:spacing w:before="120" w:line="480" w:lineRule="auto"/>
        <w:ind w:firstLine="1680" w:firstLineChars="700"/>
        <w:rPr>
          <w:rFonts w:cs="仿宋" w:asciiTheme="minorEastAsia" w:hAnsiTheme="minorEastAsia" w:eastAsiaTheme="minorEastAsia"/>
          <w:sz w:val="24"/>
        </w:rPr>
      </w:pPr>
      <w:r>
        <w:rPr>
          <w:rFonts w:hint="eastAsia" w:cs="仿宋" w:asciiTheme="minorEastAsia" w:hAnsiTheme="minorEastAsia" w:eastAsiaTheme="minorEastAsia"/>
          <w:sz w:val="24"/>
        </w:rPr>
        <w:t>签订日期：</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日</w:t>
      </w:r>
    </w:p>
    <w:p>
      <w:pPr>
        <w:spacing w:line="360" w:lineRule="auto"/>
        <w:ind w:firstLine="480" w:firstLineChars="200"/>
        <w:rPr>
          <w:rFonts w:cs="仿宋" w:asciiTheme="minorEastAsia" w:hAnsiTheme="minorEastAsia" w:eastAsiaTheme="minorEastAsia"/>
          <w:sz w:val="24"/>
          <w:lang w:val="zh-CN"/>
        </w:rPr>
      </w:pPr>
      <w:r>
        <w:rPr>
          <w:rFonts w:hint="eastAsia" w:cs="仿宋" w:asciiTheme="minorEastAsia" w:hAnsiTheme="minorEastAsia" w:eastAsiaTheme="minorEastAsia"/>
          <w:sz w:val="24"/>
          <w:u w:val="single"/>
          <w:lang w:val="zh-CN"/>
        </w:rPr>
        <w:br w:type="page"/>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年</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月</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日，</w:t>
      </w:r>
      <w:r>
        <w:rPr>
          <w:rFonts w:hint="eastAsia" w:cs="仿宋" w:asciiTheme="minorEastAsia" w:hAnsiTheme="minorEastAsia" w:eastAsiaTheme="minorEastAsia"/>
          <w:sz w:val="24"/>
          <w:u w:val="single"/>
          <w:lang w:val="zh-CN"/>
        </w:rPr>
        <w:t xml:space="preserve">   （采购人）   </w:t>
      </w:r>
      <w:r>
        <w:rPr>
          <w:rFonts w:hint="eastAsia" w:cs="仿宋" w:asciiTheme="minorEastAsia" w:hAnsiTheme="minorEastAsia" w:eastAsiaTheme="minorEastAsia"/>
          <w:sz w:val="24"/>
          <w:lang w:val="zh-CN"/>
        </w:rPr>
        <w:t>以</w:t>
      </w:r>
      <w:r>
        <w:rPr>
          <w:rFonts w:hint="eastAsia" w:cs="仿宋" w:asciiTheme="minorEastAsia" w:hAnsiTheme="minorEastAsia" w:eastAsiaTheme="minorEastAsia"/>
          <w:sz w:val="24"/>
          <w:u w:val="single"/>
          <w:lang w:val="zh-CN"/>
        </w:rPr>
        <w:t xml:space="preserve">     </w:t>
      </w:r>
      <w:r>
        <w:rPr>
          <w:rFonts w:hint="eastAsia" w:cs="仿宋" w:asciiTheme="minorEastAsia" w:hAnsiTheme="minorEastAsia" w:eastAsiaTheme="minorEastAsia"/>
          <w:sz w:val="24"/>
          <w:lang w:val="zh-CN"/>
        </w:rPr>
        <w:t>对</w:t>
      </w:r>
      <w:r>
        <w:rPr>
          <w:rFonts w:hint="eastAsia" w:cs="仿宋" w:asciiTheme="minorEastAsia" w:hAnsiTheme="minorEastAsia" w:eastAsiaTheme="minorEastAsia"/>
          <w:sz w:val="24"/>
          <w:u w:val="single"/>
          <w:lang w:val="zh-CN"/>
        </w:rPr>
        <w:t xml:space="preserve">   （同前页项目名称）   </w:t>
      </w:r>
      <w:r>
        <w:rPr>
          <w:rFonts w:hint="eastAsia" w:cs="仿宋" w:asciiTheme="minorEastAsia" w:hAnsiTheme="minorEastAsia" w:eastAsiaTheme="minorEastAsia"/>
          <w:sz w:val="24"/>
          <w:lang w:val="zh-CN"/>
        </w:rPr>
        <w:t>项目进行了采购。经</w:t>
      </w:r>
      <w:r>
        <w:rPr>
          <w:rFonts w:hint="eastAsia" w:cs="仿宋" w:asciiTheme="minorEastAsia" w:hAnsiTheme="minorEastAsia" w:eastAsiaTheme="minorEastAsia"/>
          <w:sz w:val="24"/>
          <w:u w:val="single"/>
          <w:lang w:val="zh-CN"/>
        </w:rPr>
        <w:t xml:space="preserve">   （相关评定主体名称）   </w:t>
      </w:r>
      <w:r>
        <w:rPr>
          <w:rFonts w:hint="eastAsia" w:cs="仿宋" w:asciiTheme="minorEastAsia" w:hAnsiTheme="minorEastAsia" w:eastAsiaTheme="minorEastAsia"/>
          <w:sz w:val="24"/>
          <w:lang w:val="zh-CN"/>
        </w:rPr>
        <w:t>评定，</w:t>
      </w:r>
      <w:r>
        <w:rPr>
          <w:rFonts w:hint="eastAsia" w:cs="仿宋" w:asciiTheme="minorEastAsia" w:hAnsiTheme="minorEastAsia" w:eastAsiaTheme="minorEastAsia"/>
          <w:sz w:val="24"/>
          <w:u w:val="single"/>
          <w:lang w:val="zh-CN"/>
        </w:rPr>
        <w:t xml:space="preserve">   （中标供应商名称）</w:t>
      </w:r>
      <w:r>
        <w:rPr>
          <w:rFonts w:hint="eastAsia" w:cs="仿宋" w:asciiTheme="minorEastAsia" w:hAnsiTheme="minorEastAsia" w:eastAsiaTheme="minorEastAsia"/>
          <w:sz w:val="24"/>
          <w:lang w:val="zh-CN"/>
        </w:rPr>
        <w:t>为该项目中标供应商。现于中标通知书发出之日起三十日内，按照采购文件确定的事项签订本合同。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lang w:val="zh-CN"/>
        </w:rPr>
        <w:t>根据《中华人民共和国民法典》、《中华人民共和国政府采购法》等相关法律法规之规定，按照平等、自愿、公平、诚实信用和绿色的原则，经</w:t>
      </w:r>
      <w:r>
        <w:rPr>
          <w:rFonts w:hint="eastAsia" w:cs="仿宋" w:asciiTheme="minorEastAsia" w:hAnsiTheme="minorEastAsia" w:eastAsiaTheme="minorEastAsia"/>
          <w:sz w:val="24"/>
          <w:u w:val="single"/>
        </w:rPr>
        <w:t xml:space="preserve">   （采购人）   </w:t>
      </w:r>
      <w:r>
        <w:rPr>
          <w:rFonts w:hint="eastAsia" w:cs="仿宋" w:asciiTheme="minorEastAsia" w:hAnsiTheme="minorEastAsia" w:eastAsiaTheme="minorEastAsia"/>
          <w:sz w:val="24"/>
          <w:lang w:val="zh-CN"/>
        </w:rPr>
        <w:t>(以下简称：甲方)和</w:t>
      </w:r>
      <w:r>
        <w:rPr>
          <w:rFonts w:hint="eastAsia" w:cs="仿宋" w:asciiTheme="minorEastAsia" w:hAnsiTheme="minorEastAsia" w:eastAsiaTheme="minorEastAsia"/>
          <w:sz w:val="24"/>
          <w:u w:val="single"/>
        </w:rPr>
        <w:t xml:space="preserve">   （中标供应商名称）   </w:t>
      </w:r>
      <w:r>
        <w:rPr>
          <w:rFonts w:hint="eastAsia" w:cs="仿宋" w:asciiTheme="minorEastAsia" w:hAnsiTheme="minorEastAsia" w:eastAsiaTheme="minorEastAsia"/>
          <w:sz w:val="24"/>
          <w:lang w:val="zh-CN"/>
        </w:rPr>
        <w:t>(以下简称：乙方)协商一致，约定以下合同</w:t>
      </w:r>
      <w:r>
        <w:rPr>
          <w:rFonts w:hint="eastAsia" w:cs="仿宋" w:asciiTheme="minorEastAsia" w:hAnsiTheme="minorEastAsia" w:eastAsiaTheme="minorEastAsia"/>
          <w:sz w:val="24"/>
        </w:rPr>
        <w:t>条款，以兹共同遵守、全面履行。</w:t>
      </w:r>
    </w:p>
    <w:p>
      <w:pPr>
        <w:adjustRightInd w:val="0"/>
        <w:spacing w:line="360" w:lineRule="auto"/>
        <w:ind w:firstLine="482" w:firstLineChars="200"/>
        <w:outlineLvl w:val="0"/>
        <w:rPr>
          <w:rFonts w:cs="仿宋" w:asciiTheme="minorEastAsia" w:hAnsiTheme="minorEastAsia" w:eastAsiaTheme="minorEastAsia"/>
          <w:b/>
          <w:sz w:val="24"/>
        </w:rPr>
      </w:pPr>
      <w:bookmarkStart w:id="395" w:name="_Toc3029"/>
      <w:bookmarkStart w:id="396" w:name="_Toc24059"/>
      <w:bookmarkStart w:id="397" w:name="_Toc2232"/>
      <w:r>
        <w:rPr>
          <w:rFonts w:hint="eastAsia" w:cs="仿宋" w:asciiTheme="minorEastAsia" w:hAnsiTheme="minorEastAsia" w:eastAsiaTheme="minorEastAsia"/>
          <w:b/>
          <w:sz w:val="24"/>
        </w:rPr>
        <w:t>1 定义</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本合同中的下列词语应按以下内容进行解释：</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1.1 “合同”系指采购人和中标供应商签订的载明双方当事人所达成的协议，并包括所有的附件、附录和构成合同的其他文件。</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1.2 “合同价”系指根据合同约定，中标供应商在完全履行合同义务后，采购人应支付给中标供应商的价格。</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1.3 “货物”系指中标供应商根据合同约定应向采购人交付的一切各种形态和种类的物品，包括原材料、燃料、设备、机械、仪表、备件、计算机软件、产品等，并包括工具、手册等其他相关资料。</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1.4 “甲方”系指与中标供应商签署合同的采购人；采购人委托采购代理机构代表其与乙方签订合同的，采购人的授权委托书作为合同附件。</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1.5 “乙方”系指根据合同约定交付货物的中标供应商；两个以上的自然人、法人或者其他组织组成一个联合体，以一个供应商的身份共同参加采购的，联合体各方均应为乙方或者与乙方相同地位的合同当事人，并就合同约定的事项对甲方承担连带责任。</w:t>
      </w:r>
    </w:p>
    <w:p>
      <w:pPr>
        <w:spacing w:line="360" w:lineRule="auto"/>
        <w:ind w:firstLine="480" w:firstLineChars="200"/>
        <w:rPr>
          <w:rFonts w:cs="仿宋" w:asciiTheme="minorEastAsia" w:hAnsiTheme="minorEastAsia" w:eastAsiaTheme="minorEastAsia"/>
          <w:b/>
          <w:sz w:val="24"/>
        </w:rPr>
      </w:pPr>
      <w:r>
        <w:rPr>
          <w:rFonts w:hint="eastAsia" w:cs="仿宋" w:asciiTheme="minorEastAsia" w:hAnsiTheme="minorEastAsia" w:eastAsiaTheme="minorEastAsia"/>
          <w:sz w:val="24"/>
        </w:rPr>
        <w:t>1.6 “现场”系指合同约定货物将要运至或者安装的地点。</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 合同组成部分</w:t>
      </w:r>
      <w:bookmarkEnd w:id="395"/>
      <w:bookmarkEnd w:id="396"/>
      <w:bookmarkEnd w:id="397"/>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下列文件为本合同的组成部分，并构成一个整体，需综合解释、相互补充。如果下列文件内容出现不一致的情形，那么在保证按照招标文件确定的事项的前提下，组成本合同的多个文件的优先适用顺序如下：</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2.1 本合同及其补充合同、变更协议；</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2.2 中标通知书；</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2.3 投标文件（含澄清或者说明文件）；</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2.4 招标文件（含澄清或者修改文件）；</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2.5 其他相关采购文件。</w:t>
      </w:r>
    </w:p>
    <w:p>
      <w:pPr>
        <w:adjustRightInd w:val="0"/>
        <w:spacing w:line="360" w:lineRule="auto"/>
        <w:ind w:firstLine="482" w:firstLineChars="200"/>
        <w:outlineLvl w:val="0"/>
        <w:rPr>
          <w:rFonts w:cs="仿宋" w:asciiTheme="minorEastAsia" w:hAnsiTheme="minorEastAsia" w:eastAsiaTheme="minorEastAsia"/>
          <w:b/>
          <w:sz w:val="24"/>
        </w:rPr>
      </w:pPr>
      <w:bookmarkStart w:id="398" w:name="_Toc27126"/>
      <w:bookmarkStart w:id="399" w:name="_Toc21295"/>
      <w:bookmarkStart w:id="400" w:name="_Toc24300"/>
      <w:r>
        <w:rPr>
          <w:rFonts w:hint="eastAsia" w:cs="仿宋" w:asciiTheme="minorEastAsia" w:hAnsiTheme="minorEastAsia" w:eastAsiaTheme="minorEastAsia"/>
          <w:b/>
          <w:sz w:val="24"/>
        </w:rPr>
        <w:t>3 货物</w:t>
      </w:r>
      <w:bookmarkEnd w:id="398"/>
      <w:bookmarkEnd w:id="399"/>
      <w:bookmarkEnd w:id="400"/>
    </w:p>
    <w:tbl>
      <w:tblPr>
        <w:tblStyle w:val="19"/>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序号</w:t>
            </w:r>
          </w:p>
        </w:tc>
        <w:tc>
          <w:tcPr>
            <w:tcW w:w="1620"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货物名称</w:t>
            </w:r>
          </w:p>
        </w:tc>
        <w:tc>
          <w:tcPr>
            <w:tcW w:w="92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数量</w:t>
            </w:r>
          </w:p>
        </w:tc>
        <w:tc>
          <w:tcPr>
            <w:tcW w:w="124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品牌名称</w:t>
            </w:r>
          </w:p>
        </w:tc>
        <w:tc>
          <w:tcPr>
            <w:tcW w:w="346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规格型号/技术要求/质量要求</w:t>
            </w:r>
          </w:p>
        </w:tc>
        <w:tc>
          <w:tcPr>
            <w:tcW w:w="1186"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620"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92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6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186"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620"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92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6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186"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620"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92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6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186"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620"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92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6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1186"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bl>
    <w:p>
      <w:pPr>
        <w:pStyle w:val="2"/>
        <w:ind w:firstLine="560"/>
        <w:rPr>
          <w:rFonts w:asciiTheme="minorEastAsia" w:hAnsiTheme="minorEastAsia" w:eastAsiaTheme="minorEastAsia"/>
        </w:rPr>
      </w:pPr>
    </w:p>
    <w:p>
      <w:pPr>
        <w:adjustRightInd w:val="0"/>
        <w:spacing w:line="360" w:lineRule="auto"/>
        <w:ind w:firstLine="482" w:firstLineChars="200"/>
        <w:outlineLvl w:val="0"/>
        <w:rPr>
          <w:rFonts w:cs="仿宋" w:asciiTheme="minorEastAsia" w:hAnsiTheme="minorEastAsia" w:eastAsiaTheme="minorEastAsia"/>
          <w:b/>
          <w:sz w:val="24"/>
        </w:rPr>
      </w:pPr>
      <w:bookmarkStart w:id="401" w:name="_Toc21551"/>
      <w:bookmarkStart w:id="402" w:name="_Toc23292"/>
      <w:bookmarkStart w:id="403" w:name="_Toc21631"/>
      <w:r>
        <w:rPr>
          <w:rFonts w:hint="eastAsia" w:cs="仿宋" w:asciiTheme="minorEastAsia" w:hAnsiTheme="minorEastAsia" w:eastAsiaTheme="minorEastAsia"/>
          <w:b/>
          <w:sz w:val="24"/>
        </w:rPr>
        <w:t>4 价款</w:t>
      </w:r>
      <w:bookmarkEnd w:id="401"/>
      <w:bookmarkEnd w:id="402"/>
      <w:bookmarkEnd w:id="403"/>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本合同总价为：￥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元（大写：</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元人民币）。</w:t>
      </w:r>
    </w:p>
    <w:p>
      <w:pPr>
        <w:spacing w:line="360" w:lineRule="auto"/>
        <w:ind w:firstLine="480" w:firstLineChars="200"/>
        <w:rPr>
          <w:rFonts w:cs="仿宋" w:asciiTheme="minorEastAsia" w:hAnsiTheme="minorEastAsia" w:eastAsiaTheme="minorEastAsia"/>
          <w:sz w:val="24"/>
          <w:u w:val="single"/>
        </w:rPr>
      </w:pPr>
      <w:r>
        <w:rPr>
          <w:rFonts w:hint="eastAsia" w:cs="仿宋" w:asciiTheme="minorEastAsia" w:hAnsiTheme="minorEastAsia" w:eastAsiaTheme="minorEastAsia"/>
          <w:sz w:val="24"/>
        </w:rPr>
        <w:t>分项价格：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7"/>
              <w:spacing w:line="360" w:lineRule="auto"/>
              <w:ind w:firstLine="200"/>
              <w:jc w:val="center"/>
              <w:rPr>
                <w:rFonts w:cs="仿宋" w:asciiTheme="minorEastAsia" w:hAnsiTheme="minorEastAsia" w:eastAsiaTheme="minorEastAsia"/>
                <w:sz w:val="24"/>
                <w:szCs w:val="24"/>
              </w:rPr>
            </w:pPr>
          </w:p>
        </w:tc>
      </w:tr>
    </w:tbl>
    <w:p>
      <w:pPr>
        <w:adjustRightInd w:val="0"/>
        <w:spacing w:line="360" w:lineRule="auto"/>
        <w:ind w:firstLine="482" w:firstLineChars="200"/>
        <w:outlineLvl w:val="0"/>
        <w:rPr>
          <w:rFonts w:cs="仿宋" w:asciiTheme="minorEastAsia" w:hAnsiTheme="minorEastAsia" w:eastAsiaTheme="minorEastAsia"/>
          <w:b/>
          <w:sz w:val="24"/>
        </w:rPr>
      </w:pPr>
      <w:bookmarkStart w:id="404" w:name="_Toc1814"/>
      <w:bookmarkStart w:id="405" w:name="_Toc10340"/>
      <w:bookmarkStart w:id="406" w:name="_Toc22618"/>
      <w:r>
        <w:rPr>
          <w:rFonts w:hint="eastAsia" w:cs="仿宋" w:asciiTheme="minorEastAsia" w:hAnsiTheme="minorEastAsia" w:eastAsiaTheme="minorEastAsia"/>
          <w:b/>
          <w:sz w:val="24"/>
        </w:rPr>
        <w:t>5 付款</w:t>
      </w:r>
      <w:bookmarkEnd w:id="404"/>
      <w:bookmarkEnd w:id="405"/>
      <w:bookmarkEnd w:id="406"/>
      <w:r>
        <w:rPr>
          <w:rFonts w:hint="eastAsia" w:cs="仿宋" w:asciiTheme="minorEastAsia" w:hAnsiTheme="minorEastAsia" w:eastAsiaTheme="minorEastAsia"/>
          <w:b/>
          <w:sz w:val="24"/>
        </w:rPr>
        <w:t>方式、时间和条件</w:t>
      </w:r>
    </w:p>
    <w:p>
      <w:pPr>
        <w:pStyle w:val="36"/>
        <w:spacing w:before="0" w:beforeAutospacing="0" w:after="0" w:afterAutospacing="0" w:line="360" w:lineRule="auto"/>
        <w:ind w:firstLine="480"/>
        <w:rPr>
          <w:rFonts w:cs="仿宋" w:asciiTheme="minorEastAsia" w:hAnsiTheme="minorEastAsia" w:eastAsiaTheme="minorEastAsia"/>
          <w:b/>
          <w:bCs/>
          <w:i/>
          <w:iCs/>
          <w:kern w:val="2"/>
          <w:u w:val="single"/>
        </w:rPr>
      </w:pPr>
      <w:bookmarkStart w:id="407" w:name="_Toc19304"/>
      <w:bookmarkStart w:id="408" w:name="_Toc32071"/>
      <w:bookmarkStart w:id="409" w:name="_Toc2846"/>
      <w:r>
        <w:rPr>
          <w:rFonts w:hint="eastAsia" w:cs="仿宋" w:asciiTheme="minorEastAsia" w:hAnsiTheme="minorEastAsia" w:eastAsiaTheme="minorEastAsia"/>
          <w:kern w:val="2"/>
        </w:rPr>
        <w:t>5.1 资金支付的方式、时间和条件：</w:t>
      </w:r>
      <w:r>
        <w:rPr>
          <w:rFonts w:hint="eastAsia" w:cs="仿宋" w:asciiTheme="minorEastAsia" w:hAnsiTheme="minorEastAsia" w:eastAsiaTheme="minorEastAsia"/>
          <w:b/>
          <w:bCs/>
          <w:i/>
          <w:iCs/>
          <w:kern w:val="2"/>
          <w:u w:val="single"/>
        </w:rPr>
        <w:t xml:space="preserve">                       </w:t>
      </w:r>
    </w:p>
    <w:p>
      <w:pPr>
        <w:pStyle w:val="36"/>
        <w:spacing w:before="0" w:beforeAutospacing="0" w:after="0" w:afterAutospacing="0" w:line="360" w:lineRule="auto"/>
        <w:ind w:firstLine="480"/>
        <w:rPr>
          <w:rFonts w:cs="仿宋" w:asciiTheme="minorEastAsia" w:hAnsiTheme="minorEastAsia" w:eastAsiaTheme="minorEastAsia"/>
          <w:kern w:val="2"/>
        </w:rPr>
      </w:pPr>
      <w:r>
        <w:rPr>
          <w:rFonts w:hint="eastAsia" w:cs="仿宋" w:asciiTheme="minorEastAsia" w:hAnsiTheme="minorEastAsia" w:eastAsiaTheme="minorEastAsia"/>
          <w:kern w:val="2"/>
        </w:rPr>
        <w:t>5.2 乙方收款账户：</w:t>
      </w:r>
    </w:p>
    <w:p>
      <w:pPr>
        <w:autoSpaceDE w:val="0"/>
        <w:autoSpaceDN w:val="0"/>
        <w:spacing w:line="360" w:lineRule="auto"/>
        <w:ind w:left="1470" w:leftChars="700"/>
        <w:rPr>
          <w:rFonts w:cs="仿宋" w:asciiTheme="minorEastAsia" w:hAnsiTheme="minorEastAsia" w:eastAsiaTheme="minorEastAsia"/>
          <w:sz w:val="24"/>
        </w:rPr>
      </w:pPr>
      <w:r>
        <w:rPr>
          <w:rFonts w:hint="eastAsia" w:cs="仿宋" w:asciiTheme="minorEastAsia" w:hAnsiTheme="minorEastAsia" w:eastAsiaTheme="minorEastAsia"/>
          <w:sz w:val="24"/>
        </w:rPr>
        <w:t>开户银行：</w:t>
      </w:r>
      <w:r>
        <w:rPr>
          <w:rFonts w:hint="eastAsia" w:cs="仿宋" w:asciiTheme="minorEastAsia" w:hAnsiTheme="minorEastAsia" w:eastAsiaTheme="minorEastAsia"/>
          <w:b/>
          <w:bCs/>
          <w:i/>
          <w:iCs/>
          <w:sz w:val="24"/>
          <w:u w:val="single"/>
        </w:rPr>
        <w:t xml:space="preserve">                          </w:t>
      </w:r>
      <w:r>
        <w:rPr>
          <w:rFonts w:hint="eastAsia" w:cs="仿宋" w:asciiTheme="minorEastAsia" w:hAnsiTheme="minorEastAsia" w:eastAsiaTheme="minorEastAsia"/>
          <w:sz w:val="24"/>
        </w:rPr>
        <w:t xml:space="preserve">                          </w:t>
      </w:r>
    </w:p>
    <w:p>
      <w:pPr>
        <w:autoSpaceDE w:val="0"/>
        <w:autoSpaceDN w:val="0"/>
        <w:spacing w:line="360" w:lineRule="auto"/>
        <w:ind w:left="1470" w:leftChars="700"/>
        <w:rPr>
          <w:rFonts w:cs="仿宋" w:asciiTheme="minorEastAsia" w:hAnsiTheme="minorEastAsia" w:eastAsiaTheme="minorEastAsia"/>
          <w:sz w:val="24"/>
        </w:rPr>
      </w:pPr>
      <w:r>
        <w:rPr>
          <w:rFonts w:hint="eastAsia" w:cs="仿宋" w:asciiTheme="minorEastAsia" w:hAnsiTheme="minorEastAsia" w:eastAsiaTheme="minorEastAsia"/>
          <w:sz w:val="24"/>
        </w:rPr>
        <w:t>开户名称：</w:t>
      </w:r>
      <w:r>
        <w:rPr>
          <w:rFonts w:hint="eastAsia" w:cs="仿宋" w:asciiTheme="minorEastAsia" w:hAnsiTheme="minorEastAsia" w:eastAsiaTheme="minorEastAsia"/>
          <w:b/>
          <w:bCs/>
          <w:i/>
          <w:iCs/>
          <w:sz w:val="24"/>
          <w:u w:val="single"/>
        </w:rPr>
        <w:t xml:space="preserve">                          </w:t>
      </w:r>
      <w:r>
        <w:rPr>
          <w:rFonts w:hint="eastAsia" w:cs="仿宋" w:asciiTheme="minorEastAsia" w:hAnsiTheme="minorEastAsia" w:eastAsiaTheme="minorEastAsia"/>
          <w:sz w:val="24"/>
        </w:rPr>
        <w:t xml:space="preserve">                             </w:t>
      </w:r>
    </w:p>
    <w:p>
      <w:pPr>
        <w:autoSpaceDE w:val="0"/>
        <w:autoSpaceDN w:val="0"/>
        <w:spacing w:line="360" w:lineRule="auto"/>
        <w:ind w:left="1470" w:leftChars="700"/>
        <w:rPr>
          <w:rFonts w:cs="仿宋" w:asciiTheme="minorEastAsia" w:hAnsiTheme="minorEastAsia" w:eastAsiaTheme="minorEastAsia"/>
          <w:sz w:val="24"/>
          <w:lang w:val="zh-CN"/>
        </w:rPr>
      </w:pPr>
      <w:r>
        <w:rPr>
          <w:rFonts w:hint="eastAsia" w:cs="仿宋" w:asciiTheme="minorEastAsia" w:hAnsiTheme="minorEastAsia" w:eastAsiaTheme="minorEastAsia"/>
          <w:sz w:val="24"/>
        </w:rPr>
        <w:t>开户账号：</w:t>
      </w:r>
      <w:r>
        <w:rPr>
          <w:rFonts w:hint="eastAsia" w:cs="仿宋" w:asciiTheme="minorEastAsia" w:hAnsiTheme="minorEastAsia" w:eastAsiaTheme="minorEastAsia"/>
          <w:b/>
          <w:bCs/>
          <w:i/>
          <w:iCs/>
          <w:sz w:val="24"/>
          <w:u w:val="single"/>
        </w:rPr>
        <w:t xml:space="preserve">                          </w:t>
      </w:r>
      <w:r>
        <w:rPr>
          <w:rFonts w:hint="eastAsia" w:cs="仿宋" w:asciiTheme="minorEastAsia" w:hAnsiTheme="minorEastAsia" w:eastAsiaTheme="minorEastAsia"/>
          <w:sz w:val="24"/>
          <w:lang w:val="zh-CN"/>
        </w:rPr>
        <w:t xml:space="preserve">      </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6 货物交付期限、地点和方式</w:t>
      </w:r>
      <w:bookmarkEnd w:id="407"/>
      <w:bookmarkEnd w:id="408"/>
      <w:bookmarkEnd w:id="409"/>
    </w:p>
    <w:p>
      <w:pPr>
        <w:adjustRightInd w:val="0"/>
        <w:spacing w:line="360" w:lineRule="auto"/>
        <w:ind w:firstLine="480" w:firstLineChars="200"/>
        <w:rPr>
          <w:rFonts w:cs="仿宋" w:asciiTheme="minorEastAsia" w:hAnsiTheme="minorEastAsia" w:eastAsiaTheme="minorEastAsia"/>
          <w:sz w:val="24"/>
          <w:u w:val="single"/>
        </w:rPr>
      </w:pPr>
      <w:r>
        <w:rPr>
          <w:rFonts w:hint="eastAsia" w:cs="仿宋" w:asciiTheme="minorEastAsia" w:hAnsiTheme="minorEastAsia" w:eastAsiaTheme="minorEastAsia"/>
          <w:sz w:val="24"/>
        </w:rPr>
        <w:t>6.1 交付期限：</w:t>
      </w:r>
      <w:r>
        <w:rPr>
          <w:rFonts w:hint="eastAsia" w:cs="仿宋" w:asciiTheme="minorEastAsia" w:hAnsiTheme="minorEastAsia" w:eastAsiaTheme="minorEastAsia"/>
          <w:b/>
          <w:i/>
          <w:u w:val="single"/>
        </w:rPr>
        <w:t xml:space="preserve">                   </w:t>
      </w:r>
    </w:p>
    <w:p>
      <w:pPr>
        <w:adjustRightIn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6.2 交付地点：</w:t>
      </w:r>
      <w:r>
        <w:rPr>
          <w:rFonts w:hint="eastAsia" w:cs="仿宋" w:asciiTheme="minorEastAsia" w:hAnsiTheme="minorEastAsia" w:eastAsiaTheme="minorEastAsia"/>
          <w:b/>
          <w:i/>
          <w:u w:val="single"/>
        </w:rPr>
        <w:t xml:space="preserve">                   </w:t>
      </w:r>
    </w:p>
    <w:p>
      <w:pPr>
        <w:adjustRightInd w:val="0"/>
        <w:spacing w:line="360" w:lineRule="auto"/>
        <w:ind w:firstLine="480" w:firstLineChars="200"/>
        <w:rPr>
          <w:rFonts w:cs="仿宋" w:asciiTheme="minorEastAsia" w:hAnsiTheme="minorEastAsia" w:eastAsiaTheme="minorEastAsia"/>
        </w:rPr>
      </w:pPr>
      <w:r>
        <w:rPr>
          <w:rFonts w:hint="eastAsia" w:cs="仿宋" w:asciiTheme="minorEastAsia" w:hAnsiTheme="minorEastAsia" w:eastAsiaTheme="minorEastAsia"/>
          <w:sz w:val="24"/>
        </w:rPr>
        <w:t>6.3 交付方式：</w:t>
      </w:r>
      <w:r>
        <w:rPr>
          <w:rFonts w:hint="eastAsia" w:cs="仿宋" w:asciiTheme="minorEastAsia" w:hAnsiTheme="minorEastAsia" w:eastAsiaTheme="minorEastAsia"/>
          <w:b/>
          <w:i/>
          <w:u w:val="single"/>
        </w:rPr>
        <w:t xml:space="preserve">                   </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7 技术规范</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8 知识产权</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8.1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8.2具有知识产权的计算机软件等货物的知识产权归属，除合同另有规定外，归甲方所有。</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9 包装和装运</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auto"/>
        <w:ind w:firstLine="480" w:firstLineChars="200"/>
        <w:rPr>
          <w:rFonts w:cs="仿宋" w:asciiTheme="minorEastAsia" w:hAnsiTheme="minorEastAsia" w:eastAsiaTheme="minorEastAsia"/>
        </w:rPr>
      </w:pPr>
      <w:r>
        <w:rPr>
          <w:rFonts w:hint="eastAsia" w:cs="仿宋" w:asciiTheme="minorEastAsia" w:hAnsiTheme="minorEastAsia" w:eastAsiaTheme="minorEastAsia"/>
          <w:sz w:val="24"/>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10 履约保证金</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10.1 招标文件要求乙方提交履约保证金的，乙方应按</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方式（可以支票、汇票、本票或者银行保函等非现金形式），在合同签订并生效后</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日内提交不超过合同金额2.5%的履约保证金。</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10.2  履约保证金在</w:t>
      </w:r>
      <w:r>
        <w:rPr>
          <w:rFonts w:hint="eastAsia" w:cs="仿宋" w:asciiTheme="minorEastAsia" w:hAnsiTheme="minorEastAsia" w:eastAsiaTheme="minorEastAsia"/>
          <w:b/>
          <w:i/>
          <w:u w:val="single"/>
        </w:rPr>
        <w:t xml:space="preserve">              </w:t>
      </w:r>
      <w:r>
        <w:rPr>
          <w:rFonts w:hint="eastAsia" w:cs="仿宋" w:asciiTheme="minorEastAsia" w:hAnsiTheme="minorEastAsia" w:eastAsiaTheme="minorEastAsia"/>
          <w:sz w:val="24"/>
        </w:rPr>
        <w:t>（合同规定的履约时间）内不予退还。乙方在前述约定期间届满前能履行完合同约定义务事项的，甲方在前述约定期间届满之日起</w:t>
      </w:r>
      <w:r>
        <w:rPr>
          <w:rFonts w:hint="eastAsia" w:cs="仿宋" w:asciiTheme="minorEastAsia" w:hAnsiTheme="minorEastAsia" w:eastAsiaTheme="minorEastAsia"/>
          <w:sz w:val="24"/>
          <w:u w:val="single"/>
        </w:rPr>
        <w:t xml:space="preserve"> 5 </w:t>
      </w:r>
      <w:r>
        <w:rPr>
          <w:rFonts w:hint="eastAsia" w:cs="仿宋" w:asciiTheme="minorEastAsia" w:hAnsiTheme="minorEastAsia" w:eastAsiaTheme="minorEastAsia"/>
          <w:sz w:val="24"/>
        </w:rPr>
        <w:t>个工作日内，将履约保证金无息退还乙方。</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adjustRightInd w:val="0"/>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11 履约检查和问题反馈</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11.1甲方有权在其认为必要时，对乙方是否能够按照合同约定交付货物进行履约检查，以确保乙方所交付的货物能够依约满足甲方之项目需求，但不得因履约检查妨碍乙方的正常工作，乙方应予积极配合；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11.2 合同履行期间，甲方有权将履行过程中出现的问题反馈给乙方，双方当事人应以书面形式约定需要完善和改进的内容。</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12 检验和验收</w:t>
      </w:r>
    </w:p>
    <w:p>
      <w:pPr>
        <w:tabs>
          <w:tab w:val="left" w:pos="360"/>
          <w:tab w:val="left" w:pos="540"/>
          <w:tab w:val="left" w:pos="1080"/>
        </w:tabs>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12.1货物交付前，乙方应对货物的质量、数量等方面进行详细、全面的检验，并向甲方出具证明货物符合合同约定的文件；货物交付时，乙方在交付后</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个工作日内组织验收，并可依法邀请相关方参加，验收应出具验收书。</w:t>
      </w:r>
    </w:p>
    <w:p>
      <w:pPr>
        <w:tabs>
          <w:tab w:val="left" w:pos="360"/>
          <w:tab w:val="left" w:pos="540"/>
          <w:tab w:val="left" w:pos="1080"/>
        </w:tabs>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12.2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13 技术资料和保密义务</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13.1 乙方有权依据合同约定和项目需要，向甲方了解有关情况，调阅有关资料等，甲方应予积极配合；</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13.2 乙方有义务妥善保管和保护由甲方提供的前款信息和资料等；</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13.3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14 质量保证</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14.1 乙方应建立和完善履行合同的内部质量保证体系，并提供相关内部规章制度给甲方，以便甲方进行监督检查；</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14.2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15 货物的风险负担</w:t>
      </w:r>
    </w:p>
    <w:p>
      <w:pPr>
        <w:spacing w:line="360" w:lineRule="auto"/>
        <w:ind w:firstLine="480" w:firstLineChars="200"/>
        <w:rPr>
          <w:rFonts w:cs="仿宋" w:asciiTheme="minorEastAsia" w:hAnsiTheme="minorEastAsia" w:eastAsiaTheme="minorEastAsia"/>
          <w:b/>
          <w:sz w:val="24"/>
        </w:rPr>
      </w:pPr>
      <w:r>
        <w:rPr>
          <w:rFonts w:hint="eastAsia" w:cs="仿宋" w:asciiTheme="minorEastAsia" w:hAnsiTheme="minorEastAsia" w:eastAsiaTheme="minorEastAsia"/>
          <w:sz w:val="24"/>
        </w:rPr>
        <w:t>货物在甲方未收货前出现的货物毁损、灭失的风险均由乙方承担。</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16 延迟交货</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17 合同变更</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合同继续履行将损害国家利益和社会公共利益的，双方当事人应当以书面形式变更合同。有过错的一方应当承担赔偿责任，双方当事人都有过错的，各自承担相应的责任。</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18 合同转让和分包</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18.1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18.2乙方采取分包方式履行合同的，甲方可直接向分包供应商支付款项。</w:t>
      </w:r>
    </w:p>
    <w:p>
      <w:pPr>
        <w:spacing w:line="360" w:lineRule="auto"/>
        <w:ind w:firstLine="482" w:firstLineChars="200"/>
        <w:outlineLvl w:val="0"/>
        <w:rPr>
          <w:rFonts w:cs="仿宋" w:asciiTheme="minorEastAsia" w:hAnsiTheme="minorEastAsia" w:eastAsiaTheme="minorEastAsia"/>
          <w:b/>
          <w:sz w:val="24"/>
        </w:rPr>
      </w:pPr>
      <w:bookmarkStart w:id="410" w:name="_Toc27250"/>
      <w:bookmarkStart w:id="411" w:name="_Toc19554"/>
      <w:bookmarkStart w:id="412" w:name="_Toc21423"/>
      <w:r>
        <w:rPr>
          <w:rFonts w:hint="eastAsia" w:cs="仿宋" w:asciiTheme="minorEastAsia" w:hAnsiTheme="minorEastAsia" w:eastAsiaTheme="minorEastAsia"/>
          <w:b/>
          <w:sz w:val="24"/>
        </w:rPr>
        <w:t>19 违约责任</w:t>
      </w:r>
      <w:bookmarkEnd w:id="410"/>
      <w:bookmarkEnd w:id="411"/>
      <w:bookmarkEnd w:id="412"/>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19.1 除不可抗力外，如果乙方拒绝履行合同，或没有按照本合同约定的期限、地点和方式交付货物，那么甲方可要求乙方支付违约金，违约金按每日计合同总价的</w:t>
      </w:r>
      <w:r>
        <w:rPr>
          <w:rFonts w:hint="eastAsia" w:cs="仿宋" w:asciiTheme="minorEastAsia" w:hAnsiTheme="minorEastAsia" w:eastAsiaTheme="minorEastAsia"/>
          <w:sz w:val="24"/>
          <w:u w:val="single"/>
        </w:rPr>
        <w:t xml:space="preserve">  0.05  </w:t>
      </w:r>
      <w:r>
        <w:rPr>
          <w:rFonts w:hint="eastAsia" w:cs="仿宋" w:asciiTheme="minorEastAsia" w:hAnsiTheme="minorEastAsia" w:eastAsiaTheme="minorEastAsia"/>
          <w:sz w:val="24"/>
        </w:rPr>
        <w:t>%，最高限额为本合同总价的</w:t>
      </w:r>
      <w:r>
        <w:rPr>
          <w:rFonts w:hint="eastAsia" w:cs="仿宋" w:asciiTheme="minorEastAsia" w:hAnsiTheme="minorEastAsia" w:eastAsiaTheme="minorEastAsia"/>
          <w:sz w:val="24"/>
          <w:u w:val="single"/>
        </w:rPr>
        <w:t xml:space="preserve"> 10  </w:t>
      </w:r>
      <w:r>
        <w:rPr>
          <w:rFonts w:hint="eastAsia" w:cs="仿宋" w:asciiTheme="minorEastAsia" w:hAnsiTheme="minorEastAsia" w:eastAsiaTheme="minorEastAsia"/>
          <w:sz w:val="24"/>
        </w:rPr>
        <w:t>%；迟延交付货物的违约金计算数额达到前述最高限额之日起，甲方有权在要求乙方支付违约金的同时，书面通知乙方解除本合同；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19.2 除不可抗力外，如果甲方没有按照本合同约定的付款方式付款，那么乙方可要求甲方支付违约金，违约金按每迟延付款一日的应付而未付款的</w:t>
      </w:r>
      <w:r>
        <w:rPr>
          <w:rFonts w:hint="eastAsia" w:cs="仿宋" w:asciiTheme="minorEastAsia" w:hAnsiTheme="minorEastAsia" w:eastAsiaTheme="minorEastAsia"/>
          <w:sz w:val="24"/>
          <w:u w:val="single"/>
        </w:rPr>
        <w:t xml:space="preserve">  0.05  </w:t>
      </w:r>
      <w:r>
        <w:rPr>
          <w:rFonts w:hint="eastAsia" w:cs="仿宋" w:asciiTheme="minorEastAsia" w:hAnsiTheme="minorEastAsia" w:eastAsiaTheme="minorEastAsia"/>
          <w:sz w:val="24"/>
        </w:rPr>
        <w:t>%计算，最高限额为本合同总价的</w:t>
      </w:r>
      <w:r>
        <w:rPr>
          <w:rFonts w:hint="eastAsia" w:cs="仿宋" w:asciiTheme="minorEastAsia" w:hAnsiTheme="minorEastAsia" w:eastAsiaTheme="minorEastAsia"/>
          <w:sz w:val="24"/>
          <w:u w:val="single"/>
        </w:rPr>
        <w:t xml:space="preserve">  10   </w:t>
      </w:r>
      <w:r>
        <w:rPr>
          <w:rFonts w:hint="eastAsia" w:cs="仿宋" w:asciiTheme="minorEastAsia" w:hAnsiTheme="minorEastAsia" w:eastAsiaTheme="minorEastAsia"/>
          <w:sz w:val="24"/>
        </w:rPr>
        <w:t>%；迟延付款的违约金计算数额达到前述最高限额之日起，乙方有权在要求甲方支付违约金的同时，书面通知甲方解除本合同；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19.3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19.4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19.5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19.6 如果出现采购监督管理部门在处理投诉事项期间，书面通知甲方暂停采购活动的情形，或者询问或质疑事项可能影响中标结果的，导致甲方中止履行合同的情形，均不视为甲方违约。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20 不可抗力</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20.1如果任何一方遭遇法律规定的不可抗力，致使合同履行受阻时，履行合同的期限应予延长，延长的期限应相当于不可抗力所影响的时间；</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20.2 因不可抗力致使不能实现合同目的的，当事人可以解除合同；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20.3 因不可抗力致使合同有变更必要的，双方当事人应在不可抗力发生后</w:t>
      </w:r>
      <w:r>
        <w:rPr>
          <w:rFonts w:hint="eastAsia" w:cs="仿宋" w:asciiTheme="minorEastAsia" w:hAnsiTheme="minorEastAsia" w:eastAsiaTheme="minorEastAsia"/>
          <w:sz w:val="24"/>
          <w:u w:val="single"/>
        </w:rPr>
        <w:t xml:space="preserve"> 10 </w:t>
      </w:r>
      <w:r>
        <w:rPr>
          <w:rFonts w:hint="eastAsia" w:cs="仿宋" w:asciiTheme="minorEastAsia" w:hAnsiTheme="minorEastAsia" w:eastAsiaTheme="minorEastAsia"/>
          <w:sz w:val="24"/>
        </w:rPr>
        <w:t>日内以书面形式变更合同；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20.4受不可抗力影响的一方在不可抗力发生后，应在</w:t>
      </w:r>
      <w:r>
        <w:rPr>
          <w:rFonts w:hint="eastAsia" w:cs="仿宋" w:asciiTheme="minorEastAsia" w:hAnsiTheme="minorEastAsia" w:eastAsiaTheme="minorEastAsia"/>
          <w:sz w:val="24"/>
          <w:u w:val="single"/>
        </w:rPr>
        <w:t xml:space="preserve">  5  </w:t>
      </w:r>
      <w:r>
        <w:rPr>
          <w:rFonts w:hint="eastAsia" w:cs="仿宋" w:asciiTheme="minorEastAsia" w:hAnsiTheme="minorEastAsia" w:eastAsiaTheme="minorEastAsia"/>
          <w:sz w:val="24"/>
        </w:rPr>
        <w:t>日内以书面形式通知对方当事人，并在</w:t>
      </w:r>
      <w:r>
        <w:rPr>
          <w:rFonts w:hint="eastAsia" w:cs="仿宋" w:asciiTheme="minorEastAsia" w:hAnsiTheme="minorEastAsia" w:eastAsiaTheme="minorEastAsia"/>
          <w:sz w:val="24"/>
          <w:u w:val="single"/>
        </w:rPr>
        <w:t xml:space="preserve">  15  </w:t>
      </w:r>
      <w:r>
        <w:rPr>
          <w:rFonts w:hint="eastAsia" w:cs="仿宋" w:asciiTheme="minorEastAsia" w:hAnsiTheme="minorEastAsia" w:eastAsiaTheme="minorEastAsia"/>
          <w:sz w:val="24"/>
        </w:rPr>
        <w:t>日内，将有关部门出具的证明文件送达对方当事人。</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21 税费</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与合同有关的一切税费，均按照中华人民共和国法律的相关规定。</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22 乙方破产</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cs="仿宋" w:asciiTheme="minorEastAsia" w:hAnsiTheme="minorEastAsia" w:eastAsiaTheme="minorEastAsia"/>
          <w:b/>
          <w:sz w:val="24"/>
        </w:rPr>
      </w:pPr>
      <w:bookmarkStart w:id="413" w:name="_Toc15583"/>
      <w:bookmarkStart w:id="414" w:name="_Toc16021"/>
      <w:bookmarkStart w:id="415" w:name="_Toc28375"/>
      <w:r>
        <w:rPr>
          <w:rFonts w:hint="eastAsia" w:cs="仿宋" w:asciiTheme="minorEastAsia" w:hAnsiTheme="minorEastAsia" w:eastAsiaTheme="minorEastAsia"/>
          <w:b/>
          <w:sz w:val="24"/>
        </w:rPr>
        <w:t>23 合同争议的解决</w:t>
      </w:r>
      <w:bookmarkEnd w:id="413"/>
      <w:bookmarkEnd w:id="414"/>
      <w:bookmarkEnd w:id="415"/>
    </w:p>
    <w:p>
      <w:pPr>
        <w:adjustRightInd w:val="0"/>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本合同履行过程中发生的任何争议，双方当事人均可通过和解或者调解解决；不愿和解、调解或者和解、调解不成的，可以向宁波市奉化区人民法院提起诉讼。</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24 合同中止、终止</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24.1 双方当事人不得擅自中止或者终止合同；</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24.2合同继续履行将损害国家利益和社会公共利益的，双方当事人应当中止或者终止合同。有过错的一方应当承担赔偿责任，双方当事人都有过错的，各自承担相应的责任。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25 通知和送达</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 xml:space="preserve">25.1任何一方因履行合同而以合同第一部分尾部所列明的传真或电子邮件 </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发出的所有通知、文件、材料，均视为已向对方当事人送达；任何一方变更上述送达方式或者地址的，应于</w:t>
      </w:r>
      <w:r>
        <w:rPr>
          <w:rFonts w:hint="eastAsia" w:cs="仿宋" w:asciiTheme="minorEastAsia" w:hAnsiTheme="minorEastAsia" w:eastAsiaTheme="minorEastAsia"/>
          <w:sz w:val="24"/>
          <w:u w:val="single"/>
        </w:rPr>
        <w:t>3</w:t>
      </w:r>
      <w:r>
        <w:rPr>
          <w:rFonts w:hint="eastAsia" w:cs="仿宋" w:asciiTheme="minorEastAsia" w:hAnsiTheme="minorEastAsia" w:eastAsiaTheme="minorEastAsia"/>
          <w:sz w:val="24"/>
        </w:rPr>
        <w:t>个工作日内书面通知对方当事人，在对方当事人收到有关变更通知之前，变更前的约定送达方式或者地址仍视为有效。</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25.2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26 计量单位</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除技术规范中另有规定外,合同的计量单位均使用国家法定计量单位。</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27合同使用的文字和适用的法律</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27.1 合同使用汉语书就、变更和解释；</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27.2 合同适用中华人民共和国法律。</w:t>
      </w:r>
    </w:p>
    <w:p>
      <w:pPr>
        <w:spacing w:line="360" w:lineRule="auto"/>
        <w:ind w:firstLine="482" w:firstLineChars="200"/>
        <w:outlineLvl w:val="0"/>
        <w:rPr>
          <w:rFonts w:cs="仿宋" w:asciiTheme="minorEastAsia" w:hAnsiTheme="minorEastAsia" w:eastAsiaTheme="minorEastAsia"/>
          <w:b/>
          <w:sz w:val="24"/>
        </w:rPr>
      </w:pPr>
      <w:r>
        <w:rPr>
          <w:rFonts w:hint="eastAsia" w:cs="仿宋" w:asciiTheme="minorEastAsia" w:hAnsiTheme="minorEastAsia" w:eastAsiaTheme="minorEastAsia"/>
          <w:b/>
          <w:sz w:val="24"/>
        </w:rPr>
        <w:t>28合同效力</w:t>
      </w:r>
    </w:p>
    <w:p>
      <w:pPr>
        <w:spacing w:line="360" w:lineRule="auto"/>
        <w:ind w:firstLine="480" w:firstLineChars="200"/>
        <w:rPr>
          <w:rFonts w:cs="仿宋" w:asciiTheme="minorEastAsia" w:hAnsiTheme="minorEastAsia" w:eastAsiaTheme="minorEastAsia"/>
          <w:sz w:val="24"/>
        </w:rPr>
      </w:pPr>
      <w:r>
        <w:rPr>
          <w:rFonts w:hint="eastAsia" w:cs="仿宋" w:asciiTheme="minorEastAsia" w:hAnsiTheme="minorEastAsia" w:eastAsiaTheme="minorEastAsia"/>
          <w:sz w:val="24"/>
        </w:rPr>
        <w:t>本合同一式四份，甲乙双方各两份，每份均具有同等法律效力。本合同自双方当事人盖章或者签字时生效。</w:t>
      </w:r>
    </w:p>
    <w:p>
      <w:pPr>
        <w:autoSpaceDE w:val="0"/>
        <w:autoSpaceDN w:val="0"/>
        <w:spacing w:line="360" w:lineRule="auto"/>
        <w:rPr>
          <w:rFonts w:cs="仿宋" w:asciiTheme="minorEastAsia" w:hAnsiTheme="minorEastAsia" w:eastAsiaTheme="minorEastAsia"/>
          <w:sz w:val="24"/>
          <w:lang w:val="zh-CN"/>
        </w:rPr>
      </w:pP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b/>
          <w:sz w:val="24"/>
          <w:lang w:val="zh-CN"/>
        </w:rPr>
        <w:t>甲方名称（公章）</w:t>
      </w:r>
      <w:r>
        <w:rPr>
          <w:rFonts w:hint="eastAsia" w:cs="仿宋" w:asciiTheme="minorEastAsia" w:hAnsiTheme="minorEastAsia" w:eastAsiaTheme="minorEastAsia"/>
          <w:sz w:val="24"/>
          <w:lang w:val="zh-CN"/>
        </w:rPr>
        <w:t xml:space="preserve">：                       </w:t>
      </w:r>
      <w:r>
        <w:rPr>
          <w:rFonts w:hint="eastAsia" w:cs="仿宋" w:asciiTheme="minorEastAsia" w:hAnsiTheme="minorEastAsia" w:eastAsiaTheme="minorEastAsia"/>
          <w:b/>
          <w:sz w:val="24"/>
          <w:lang w:val="zh-CN"/>
        </w:rPr>
        <w:t>乙方名称（公章）</w:t>
      </w:r>
      <w:r>
        <w:rPr>
          <w:rFonts w:hint="eastAsia" w:cs="仿宋" w:asciiTheme="minorEastAsia" w:hAnsiTheme="minorEastAsia" w:eastAsiaTheme="minorEastAsia"/>
          <w:sz w:val="24"/>
          <w:lang w:val="zh-CN"/>
        </w:rPr>
        <w:t>：</w:t>
      </w:r>
    </w:p>
    <w:p>
      <w:pPr>
        <w:autoSpaceDE w:val="0"/>
        <w:autoSpaceDN w:val="0"/>
        <w:spacing w:line="360" w:lineRule="auto"/>
        <w:rPr>
          <w:rFonts w:cs="仿宋" w:asciiTheme="minorEastAsia" w:hAnsiTheme="minorEastAsia" w:eastAsiaTheme="minorEastAsia"/>
          <w:sz w:val="24"/>
          <w:lang w:val="zh-CN"/>
        </w:rPr>
      </w:pP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统一社会信用代码：                       统一社会信用代码或身份证号码：</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住所：                                   住所：</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 xml:space="preserve">法定代表人或授权代表（签字）：       </w:t>
      </w:r>
      <w:r>
        <w:rPr>
          <w:rFonts w:hint="eastAsia" w:cs="仿宋" w:asciiTheme="minorEastAsia" w:hAnsiTheme="minorEastAsia" w:eastAsiaTheme="minorEastAsia"/>
          <w:sz w:val="24"/>
        </w:rPr>
        <w:t xml:space="preserve">   </w:t>
      </w:r>
      <w:r>
        <w:rPr>
          <w:rFonts w:hint="eastAsia" w:cs="仿宋" w:asciiTheme="minorEastAsia" w:hAnsiTheme="minorEastAsia" w:eastAsiaTheme="minorEastAsia"/>
          <w:sz w:val="24"/>
          <w:lang w:val="zh-CN"/>
        </w:rPr>
        <w:t xml:space="preserve"> 法定代表人或授权代表（签字）: </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联系人：                                 联系人：</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约定送达地址：                           约定送达地址：</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邮政编码：                               邮政编码：</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 xml:space="preserve">电话:                                    电话: </w:t>
      </w:r>
    </w:p>
    <w:p>
      <w:pPr>
        <w:autoSpaceDE w:val="0"/>
        <w:autoSpaceDN w:val="0"/>
        <w:spacing w:line="360" w:lineRule="auto"/>
        <w:rPr>
          <w:rFonts w:cs="仿宋" w:asciiTheme="minorEastAsia" w:hAnsiTheme="minorEastAsia" w:eastAsiaTheme="minorEastAsia"/>
          <w:sz w:val="24"/>
          <w:lang w:val="zh-CN"/>
        </w:rPr>
      </w:pPr>
      <w:r>
        <w:rPr>
          <w:rFonts w:hint="eastAsia" w:cs="仿宋" w:asciiTheme="minorEastAsia" w:hAnsiTheme="minorEastAsia" w:eastAsiaTheme="minorEastAsia"/>
          <w:sz w:val="24"/>
          <w:lang w:val="zh-CN"/>
        </w:rPr>
        <w:t>传真:                                    传真:</w:t>
      </w:r>
    </w:p>
    <w:p>
      <w:pPr>
        <w:pStyle w:val="2"/>
        <w:ind w:firstLine="560"/>
        <w:rPr>
          <w:lang w:val="zh-CN"/>
        </w:rPr>
      </w:pPr>
    </w:p>
    <w:p>
      <w:pPr>
        <w:spacing w:line="360" w:lineRule="auto"/>
        <w:ind w:left="720" w:firstLine="723" w:firstLineChars="200"/>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第六部分</w:t>
      </w:r>
      <w:bookmarkEnd w:id="393"/>
      <w:r>
        <w:rPr>
          <w:rFonts w:hint="eastAsia" w:cs="仿宋" w:asciiTheme="majorEastAsia" w:hAnsiTheme="majorEastAsia" w:eastAsiaTheme="majorEastAsia"/>
          <w:b/>
          <w:sz w:val="36"/>
          <w:szCs w:val="20"/>
        </w:rPr>
        <w:t xml:space="preserve"> </w:t>
      </w:r>
      <w:bookmarkEnd w:id="394"/>
      <w:r>
        <w:rPr>
          <w:rFonts w:hint="eastAsia" w:cs="仿宋" w:asciiTheme="majorEastAsia" w:hAnsiTheme="majorEastAsia" w:eastAsiaTheme="majorEastAsia"/>
          <w:b/>
          <w:sz w:val="36"/>
          <w:szCs w:val="20"/>
        </w:rPr>
        <w:t>应提交的有关格式范例</w:t>
      </w:r>
    </w:p>
    <w:p>
      <w:pPr>
        <w:spacing w:line="360" w:lineRule="auto"/>
        <w:jc w:val="center"/>
        <w:outlineLvl w:val="0"/>
        <w:rPr>
          <w:rFonts w:cs="仿宋" w:asciiTheme="majorEastAsia" w:hAnsiTheme="majorEastAsia" w:eastAsiaTheme="majorEastAsia"/>
          <w:b/>
          <w:kern w:val="0"/>
          <w:sz w:val="36"/>
          <w:szCs w:val="36"/>
        </w:rPr>
      </w:pP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资格文件部分</w:t>
      </w: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pPr>
        <w:spacing w:line="360" w:lineRule="auto"/>
        <w:jc w:val="center"/>
        <w:outlineLvl w:val="0"/>
        <w:rPr>
          <w:rFonts w:cs="仿宋" w:asciiTheme="majorEastAsia" w:hAnsiTheme="majorEastAsia" w:eastAsiaTheme="majorEastAsia"/>
          <w:b/>
          <w:kern w:val="0"/>
          <w:sz w:val="36"/>
          <w:szCs w:val="36"/>
        </w:rPr>
      </w:pPr>
    </w:p>
    <w:p>
      <w:pPr>
        <w:adjustRightInd w:val="0"/>
        <w:snapToGrid w:val="0"/>
        <w:spacing w:line="360" w:lineRule="auto"/>
        <w:ind w:left="420" w:leftChars="200"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1 有效的企业法人营业执照（或事业法人登记证）、其他组织（个体工商户）的营业执照或者民办非企业单位登记证书；</w:t>
      </w:r>
    </w:p>
    <w:p>
      <w:pPr>
        <w:adjustRightInd w:val="0"/>
        <w:snapToGrid w:val="0"/>
        <w:spacing w:line="360" w:lineRule="auto"/>
        <w:ind w:left="420" w:leftChars="200"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2 符合参加采购活动应当具备的一般条件的承诺函；</w:t>
      </w:r>
    </w:p>
    <w:p>
      <w:pPr>
        <w:adjustRightInd w:val="0"/>
        <w:snapToGrid w:val="0"/>
        <w:spacing w:line="360" w:lineRule="auto"/>
        <w:ind w:left="420" w:leftChars="200"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3 落实采购政策需满足的资格要求；</w:t>
      </w:r>
    </w:p>
    <w:p>
      <w:pPr>
        <w:adjustRightInd w:val="0"/>
        <w:snapToGrid w:val="0"/>
        <w:spacing w:line="360" w:lineRule="auto"/>
        <w:ind w:left="420" w:leftChars="200"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4 本项目的特定资格要求。</w:t>
      </w:r>
    </w:p>
    <w:p>
      <w:pPr>
        <w:pStyle w:val="2"/>
        <w:spacing w:line="360" w:lineRule="auto"/>
        <w:ind w:firstLine="480"/>
        <w:rPr>
          <w:rFonts w:cs="仿宋" w:asciiTheme="majorEastAsia" w:hAnsiTheme="majorEastAsia" w:eastAsiaTheme="majorEastAsia"/>
          <w:sz w:val="24"/>
        </w:rPr>
      </w:pPr>
    </w:p>
    <w:p>
      <w:pPr>
        <w:spacing w:line="360" w:lineRule="auto"/>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br w:type="page"/>
      </w:r>
    </w:p>
    <w:p>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一、 符合参加采购活动应当具备的一般条件的承诺函</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（采购人）、（采购代理机构）：</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我方参与（项目名称）【项目编号：        】采购活动，郑重承诺：</w:t>
      </w:r>
    </w:p>
    <w:p>
      <w:pPr>
        <w:snapToGrid w:val="0"/>
        <w:spacing w:line="360" w:lineRule="auto"/>
        <w:ind w:firstLine="360" w:firstLineChars="150"/>
        <w:rPr>
          <w:rFonts w:cs="仿宋" w:asciiTheme="majorEastAsia" w:hAnsiTheme="majorEastAsia" w:eastAsiaTheme="majorEastAsia"/>
          <w:sz w:val="24"/>
        </w:rPr>
      </w:pPr>
      <w:r>
        <w:rPr>
          <w:rFonts w:hint="eastAsia" w:cs="仿宋" w:asciiTheme="majorEastAsia" w:hAnsiTheme="majorEastAsia" w:eastAsiaTheme="majorEastAsia"/>
          <w:sz w:val="24"/>
        </w:rPr>
        <w:t>（一）具备《中华人民共和国政府采购法》第二十二条第一款规定的条件：</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1、具有独立承担民事责任的能力；</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2、具有良好的商业信誉和健全的财务会计制度； </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3、具有履行合同所必需的设备和专业技术能力；</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4、有依法缴纳税收和社会保障资金的良好记录；</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5、参加采购活动前三年内，在经营活动中没有重大违法记录；</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6、具有法律、行政法规规定的其他条件。</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（三）不存在以下情况：</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1、单位负责人为同一人或者存在直接控股、管理关系的不同供应商参加同一合同项下的政府采购活动的；</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2、为采购项目提供整体设计、规范编制或者项目管理、监理、检测等服务后再参加该采购项目的其他采购活动的。</w:t>
      </w:r>
    </w:p>
    <w:p>
      <w:pPr>
        <w:snapToGrid w:val="0"/>
        <w:spacing w:line="360" w:lineRule="auto"/>
        <w:ind w:firstLine="5520" w:firstLineChars="2300"/>
        <w:rPr>
          <w:rFonts w:cs="仿宋" w:asciiTheme="majorEastAsia" w:hAnsiTheme="majorEastAsia" w:eastAsiaTheme="majorEastAsia"/>
          <w:kern w:val="0"/>
          <w:sz w:val="24"/>
          <w:lang w:val="zh-CN"/>
        </w:rPr>
      </w:pPr>
    </w:p>
    <w:p>
      <w:pPr>
        <w:snapToGrid w:val="0"/>
        <w:spacing w:line="360" w:lineRule="auto"/>
        <w:ind w:firstLine="5520" w:firstLineChars="2300"/>
        <w:rPr>
          <w:rFonts w:cs="仿宋" w:asciiTheme="majorEastAsia" w:hAnsiTheme="majorEastAsia" w:eastAsiaTheme="majorEastAsia"/>
          <w:kern w:val="0"/>
          <w:sz w:val="24"/>
          <w:lang w:val="zh-CN"/>
        </w:rPr>
      </w:pPr>
    </w:p>
    <w:p>
      <w:pPr>
        <w:spacing w:line="360" w:lineRule="auto"/>
        <w:ind w:right="420" w:firstLine="5250" w:firstLineChars="2500"/>
        <w:rPr>
          <w:rFonts w:ascii="宋体" w:hAnsi="宋体" w:cs="宋体"/>
        </w:rPr>
      </w:pPr>
      <w:r>
        <w:rPr>
          <w:rFonts w:hint="eastAsia" w:ascii="宋体" w:hAnsi="宋体" w:cs="宋体"/>
        </w:rPr>
        <w:t xml:space="preserve">法定代表人（签名或印章）：     </w:t>
      </w:r>
    </w:p>
    <w:p>
      <w:pPr>
        <w:spacing w:line="360" w:lineRule="auto"/>
        <w:ind w:right="420" w:firstLine="5460" w:firstLineChars="2600"/>
        <w:rPr>
          <w:rFonts w:ascii="宋体" w:hAnsi="宋体" w:cs="宋体"/>
        </w:rPr>
      </w:pPr>
      <w:r>
        <w:rPr>
          <w:rFonts w:hint="eastAsia" w:ascii="宋体" w:hAnsi="宋体" w:cs="宋体"/>
        </w:rPr>
        <w:t xml:space="preserve">投标人（盖章）：   </w:t>
      </w:r>
    </w:p>
    <w:p>
      <w:pPr>
        <w:spacing w:line="360" w:lineRule="auto"/>
        <w:ind w:right="420" w:firstLine="5355" w:firstLineChars="2550"/>
        <w:rPr>
          <w:rFonts w:ascii="宋体" w:hAnsi="宋体" w:cs="宋体"/>
        </w:rPr>
      </w:pPr>
      <w:r>
        <w:rPr>
          <w:rFonts w:hint="eastAsia" w:ascii="宋体" w:hAnsi="宋体" w:cs="宋体"/>
        </w:rPr>
        <w:t xml:space="preserve"> 年    月    日</w:t>
      </w:r>
    </w:p>
    <w:p>
      <w:pPr>
        <w:snapToGrid w:val="0"/>
        <w:spacing w:line="360" w:lineRule="auto"/>
        <w:ind w:right="480"/>
        <w:jc w:val="center"/>
        <w:rPr>
          <w:rFonts w:cs="仿宋" w:asciiTheme="majorEastAsia" w:hAnsiTheme="majorEastAsia" w:eastAsiaTheme="majorEastAsia"/>
          <w:b/>
          <w:kern w:val="0"/>
          <w:sz w:val="32"/>
          <w:szCs w:val="32"/>
        </w:rPr>
      </w:pPr>
    </w:p>
    <w:p>
      <w:pPr>
        <w:spacing w:line="360" w:lineRule="auto"/>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br w:type="page"/>
      </w:r>
    </w:p>
    <w:p>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二、落实采购政策需满足的资格要求</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（根据招标公告落实采购政策需满足的资格要求选择提供相应的材料；未要求的，无需提供）</w:t>
      </w:r>
    </w:p>
    <w:p>
      <w:pPr>
        <w:snapToGrid w:val="0"/>
        <w:spacing w:before="50" w:after="50"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A</w:t>
      </w:r>
      <w:r>
        <w:rPr>
          <w:rFonts w:hint="eastAsia" w:cs="仿宋" w:asciiTheme="majorEastAsia" w:hAnsiTheme="majorEastAsia" w:eastAsiaTheme="majorEastAsia"/>
          <w:sz w:val="24"/>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cs="仿宋" w:asciiTheme="majorEastAsia" w:hAnsiTheme="majorEastAsia" w:eastAsiaTheme="majorEastAsia"/>
          <w:sz w:val="24"/>
        </w:rPr>
      </w:pPr>
    </w:p>
    <w:p>
      <w:pPr>
        <w:widowControl/>
        <w:spacing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B.</w:t>
      </w:r>
      <w:r>
        <w:rPr>
          <w:rFonts w:hint="eastAsia" w:cs="仿宋" w:asciiTheme="majorEastAsia" w:hAnsiTheme="majorEastAsia" w:eastAsiaTheme="majorEastAsia"/>
          <w:sz w:val="24"/>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采购活动，无需提供联合协议。</w:t>
      </w:r>
    </w:p>
    <w:p>
      <w:pPr>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lang w:val="zh-CN"/>
        </w:rPr>
        <w:br w:type="page"/>
      </w:r>
      <w:r>
        <w:rPr>
          <w:rFonts w:hint="eastAsia" w:cs="仿宋" w:asciiTheme="majorEastAsia" w:hAnsiTheme="majorEastAsia" w:eastAsiaTheme="majorEastAsia"/>
          <w:b/>
          <w:kern w:val="0"/>
          <w:sz w:val="32"/>
          <w:szCs w:val="32"/>
        </w:rPr>
        <w:t>三、本项目的特定资格要求</w:t>
      </w:r>
    </w:p>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（根据招标公告本项目的特定资格要求提供相应的材料；未要求的，无需提供）</w:t>
      </w:r>
    </w:p>
    <w:p>
      <w:pPr>
        <w:spacing w:line="360" w:lineRule="auto"/>
        <w:rPr>
          <w:rFonts w:cs="仿宋" w:asciiTheme="majorEastAsia" w:hAnsiTheme="majorEastAsia" w:eastAsiaTheme="majorEastAsia"/>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pacing w:line="360" w:lineRule="auto"/>
        <w:jc w:val="center"/>
        <w:outlineLvl w:val="0"/>
        <w:rPr>
          <w:rFonts w:cs="仿宋" w:asciiTheme="majorEastAsia" w:hAnsiTheme="majorEastAsia" w:eastAsiaTheme="majorEastAsia"/>
          <w:b/>
          <w:kern w:val="0"/>
          <w:sz w:val="36"/>
          <w:szCs w:val="36"/>
        </w:rPr>
      </w:pPr>
    </w:p>
    <w:p>
      <w:pPr>
        <w:snapToGrid w:val="0"/>
        <w:spacing w:line="360" w:lineRule="auto"/>
        <w:ind w:right="480"/>
        <w:jc w:val="center"/>
        <w:rPr>
          <w:rFonts w:cs="仿宋" w:asciiTheme="majorEastAsia" w:hAnsiTheme="majorEastAsia" w:eastAsiaTheme="majorEastAsia"/>
          <w:b/>
          <w:kern w:val="0"/>
          <w:sz w:val="32"/>
          <w:szCs w:val="32"/>
        </w:rPr>
      </w:pPr>
    </w:p>
    <w:p>
      <w:pPr>
        <w:spacing w:line="360" w:lineRule="auto"/>
        <w:jc w:val="center"/>
        <w:outlineLvl w:val="0"/>
        <w:rPr>
          <w:rFonts w:cs="仿宋" w:asciiTheme="majorEastAsia" w:hAnsiTheme="majorEastAsia" w:eastAsiaTheme="majorEastAsia"/>
          <w:b/>
          <w:kern w:val="0"/>
          <w:sz w:val="36"/>
          <w:szCs w:val="36"/>
        </w:rPr>
      </w:pPr>
    </w:p>
    <w:p>
      <w:pPr>
        <w:snapToGrid w:val="0"/>
        <w:spacing w:line="360" w:lineRule="auto"/>
        <w:ind w:right="480"/>
        <w:jc w:val="center"/>
        <w:rPr>
          <w:rFonts w:cs="仿宋" w:asciiTheme="majorEastAsia" w:hAnsiTheme="majorEastAsia" w:eastAsiaTheme="majorEastAsia"/>
          <w:b/>
          <w:kern w:val="0"/>
          <w:sz w:val="32"/>
          <w:szCs w:val="32"/>
        </w:rPr>
      </w:pPr>
    </w:p>
    <w:p>
      <w:pPr>
        <w:spacing w:line="360" w:lineRule="auto"/>
        <w:jc w:val="center"/>
        <w:outlineLvl w:val="0"/>
        <w:rPr>
          <w:rFonts w:cs="仿宋" w:asciiTheme="majorEastAsia" w:hAnsiTheme="majorEastAsia" w:eastAsiaTheme="majorEastAsia"/>
          <w:b/>
          <w:kern w:val="0"/>
          <w:sz w:val="36"/>
          <w:szCs w:val="36"/>
        </w:rPr>
      </w:pPr>
    </w:p>
    <w:p>
      <w:pPr>
        <w:spacing w:line="360" w:lineRule="auto"/>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br w:type="page"/>
      </w:r>
    </w:p>
    <w:p>
      <w:pPr>
        <w:spacing w:line="360" w:lineRule="auto"/>
        <w:ind w:right="420"/>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商务技术文件部分</w:t>
      </w:r>
    </w:p>
    <w:p>
      <w:pPr>
        <w:spacing w:line="360" w:lineRule="auto"/>
        <w:jc w:val="center"/>
        <w:outlineLvl w:val="0"/>
        <w:rPr>
          <w:rFonts w:cs="仿宋" w:asciiTheme="majorEastAsia" w:hAnsiTheme="majorEastAsia" w:eastAsiaTheme="majorEastAsia"/>
          <w:b/>
          <w:kern w:val="0"/>
          <w:sz w:val="24"/>
        </w:rPr>
      </w:pPr>
    </w:p>
    <w:p>
      <w:pPr>
        <w:spacing w:line="360" w:lineRule="auto"/>
        <w:ind w:left="3990" w:leftChars="1900"/>
        <w:outlineLvl w:val="0"/>
        <w:rPr>
          <w:rFonts w:cs="仿宋" w:asciiTheme="majorEastAsia" w:hAnsiTheme="majorEastAsia" w:eastAsiaTheme="majorEastAsia"/>
          <w:b/>
          <w:kern w:val="0"/>
          <w:sz w:val="28"/>
          <w:szCs w:val="28"/>
        </w:rPr>
      </w:pPr>
      <w:r>
        <w:rPr>
          <w:rFonts w:hint="eastAsia" w:cs="仿宋" w:asciiTheme="majorEastAsia" w:hAnsiTheme="majorEastAsia" w:eastAsiaTheme="majorEastAsia"/>
          <w:b/>
          <w:kern w:val="0"/>
          <w:sz w:val="28"/>
          <w:szCs w:val="28"/>
        </w:rPr>
        <w:t>目 录</w:t>
      </w:r>
    </w:p>
    <w:p>
      <w:pPr>
        <w:snapToGrid w:val="0"/>
        <w:spacing w:line="360" w:lineRule="auto"/>
        <w:ind w:firstLine="960" w:firstLineChars="400"/>
        <w:rPr>
          <w:rFonts w:cs="仿宋" w:asciiTheme="majorEastAsia" w:hAnsiTheme="majorEastAsia" w:eastAsiaTheme="majorEastAsia"/>
          <w:sz w:val="24"/>
        </w:rPr>
      </w:pP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1 评分索引表</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2 符合性自查表；</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3 投标函；</w:t>
      </w:r>
      <w:r>
        <w:rPr>
          <w:rFonts w:hint="eastAsia" w:cs="仿宋" w:asciiTheme="majorEastAsia" w:hAnsiTheme="majorEastAsia" w:eastAsiaTheme="majorEastAsia"/>
          <w:sz w:val="28"/>
          <w:szCs w:val="28"/>
          <w:lang w:val="zh-CN"/>
        </w:rPr>
        <w:t xml:space="preserve"> </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4 授权委托书或法定代表人（单位负责人、自然人本人）身份证明；</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5投标人基本情况表；</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6 距采购人最近或者能为本项目提供最优服务的网点情况表；</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7 评标标准相应的商务技术资料；</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8 商务响应表；</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9 技术响应表；</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10 同类业绩情况一览表；</w:t>
      </w:r>
    </w:p>
    <w:p>
      <w:pPr>
        <w:adjustRightInd w:val="0"/>
        <w:snapToGrid w:val="0"/>
        <w:spacing w:line="360" w:lineRule="auto"/>
        <w:ind w:firstLine="840" w:firstLineChars="300"/>
        <w:rPr>
          <w:rFonts w:cs="仿宋" w:asciiTheme="majorEastAsia" w:hAnsiTheme="majorEastAsia" w:eastAsiaTheme="majorEastAsia"/>
          <w:sz w:val="28"/>
          <w:szCs w:val="28"/>
          <w:lang w:val="zh-CN"/>
        </w:rPr>
      </w:pPr>
      <w:r>
        <w:rPr>
          <w:rFonts w:hint="eastAsia" w:cs="仿宋" w:asciiTheme="majorEastAsia" w:hAnsiTheme="majorEastAsia" w:eastAsiaTheme="majorEastAsia"/>
          <w:sz w:val="28"/>
          <w:szCs w:val="28"/>
        </w:rPr>
        <w:t xml:space="preserve">11 </w:t>
      </w:r>
      <w:r>
        <w:rPr>
          <w:rFonts w:hint="eastAsia" w:cs="仿宋" w:asciiTheme="majorEastAsia" w:hAnsiTheme="majorEastAsia" w:eastAsiaTheme="majorEastAsia"/>
          <w:sz w:val="28"/>
          <w:szCs w:val="28"/>
          <w:lang w:val="zh-CN"/>
        </w:rPr>
        <w:t>供应商廉洁自律承诺书；</w:t>
      </w:r>
    </w:p>
    <w:p>
      <w:pPr>
        <w:adjustRightInd w:val="0"/>
        <w:snapToGrid w:val="0"/>
        <w:spacing w:line="360" w:lineRule="auto"/>
        <w:ind w:firstLine="840" w:firstLineChars="3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12 其他资料。</w:t>
      </w:r>
    </w:p>
    <w:p>
      <w:pPr>
        <w:snapToGrid w:val="0"/>
        <w:spacing w:line="360" w:lineRule="auto"/>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kern w:val="0"/>
          <w:sz w:val="24"/>
        </w:rPr>
        <w:br w:type="page"/>
      </w:r>
    </w:p>
    <w:p>
      <w:pPr>
        <w:numPr>
          <w:ilvl w:val="0"/>
          <w:numId w:val="3"/>
        </w:numPr>
        <w:snapToGrid w:val="0"/>
        <w:spacing w:line="360" w:lineRule="auto"/>
        <w:jc w:val="center"/>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评分索引表</w:t>
      </w:r>
    </w:p>
    <w:p>
      <w:pPr>
        <w:snapToGrid w:val="0"/>
        <w:spacing w:before="50" w:after="50"/>
        <w:rPr>
          <w:rFonts w:ascii="宋体" w:hAnsi="宋体"/>
          <w:b/>
          <w:sz w:val="24"/>
        </w:rPr>
      </w:pPr>
    </w:p>
    <w:p>
      <w:pPr>
        <w:snapToGrid w:val="0"/>
        <w:spacing w:before="50" w:after="50" w:line="360" w:lineRule="auto"/>
        <w:rPr>
          <w:rFonts w:ascii="宋体" w:hAnsi="宋体"/>
          <w:b/>
          <w:sz w:val="24"/>
          <w:u w:val="single"/>
        </w:rPr>
      </w:pPr>
      <w:r>
        <w:rPr>
          <w:rFonts w:hint="eastAsia" w:ascii="宋体" w:hAnsi="宋体"/>
          <w:b/>
          <w:sz w:val="24"/>
        </w:rPr>
        <w:t>投标单位名称：</w:t>
      </w:r>
    </w:p>
    <w:tbl>
      <w:tblPr>
        <w:tblStyle w:val="1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5819"/>
        <w:gridCol w:w="16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pStyle w:val="17"/>
              <w:spacing w:after="0"/>
              <w:ind w:left="0" w:leftChars="0" w:firstLine="482"/>
              <w:jc w:val="center"/>
              <w:rPr>
                <w:rFonts w:ascii="宋体"/>
                <w:b/>
                <w:bCs/>
                <w:sz w:val="24"/>
                <w:szCs w:val="24"/>
              </w:rPr>
            </w:pPr>
            <w:r>
              <w:rPr>
                <w:rFonts w:hint="eastAsia" w:ascii="宋体"/>
                <w:b/>
                <w:bCs/>
                <w:sz w:val="24"/>
                <w:szCs w:val="24"/>
              </w:rPr>
              <w:t>序号</w:t>
            </w:r>
          </w:p>
        </w:tc>
        <w:tc>
          <w:tcPr>
            <w:tcW w:w="5819" w:type="dxa"/>
            <w:tcBorders>
              <w:top w:val="single" w:color="auto" w:sz="4" w:space="0"/>
              <w:left w:val="single" w:color="auto" w:sz="4" w:space="0"/>
              <w:bottom w:val="single" w:color="auto" w:sz="4" w:space="0"/>
              <w:right w:val="single" w:color="auto" w:sz="4" w:space="0"/>
            </w:tcBorders>
            <w:vAlign w:val="center"/>
          </w:tcPr>
          <w:p>
            <w:pPr>
              <w:pStyle w:val="17"/>
              <w:spacing w:after="0"/>
              <w:ind w:left="0" w:leftChars="0" w:firstLine="482"/>
              <w:jc w:val="center"/>
              <w:rPr>
                <w:rFonts w:ascii="宋体"/>
                <w:b/>
                <w:bCs/>
                <w:sz w:val="24"/>
                <w:szCs w:val="24"/>
              </w:rPr>
            </w:pPr>
            <w:r>
              <w:rPr>
                <w:rFonts w:hint="eastAsia" w:ascii="宋体"/>
                <w:b/>
                <w:bCs/>
                <w:sz w:val="24"/>
                <w:szCs w:val="24"/>
              </w:rPr>
              <w:t>评分标准</w:t>
            </w:r>
          </w:p>
        </w:tc>
        <w:tc>
          <w:tcPr>
            <w:tcW w:w="1627" w:type="dxa"/>
            <w:tcBorders>
              <w:top w:val="single" w:color="auto" w:sz="4" w:space="0"/>
              <w:left w:val="single" w:color="auto" w:sz="4" w:space="0"/>
              <w:bottom w:val="single" w:color="auto" w:sz="4" w:space="0"/>
              <w:right w:val="single" w:color="auto" w:sz="4" w:space="0"/>
            </w:tcBorders>
            <w:vAlign w:val="center"/>
          </w:tcPr>
          <w:p>
            <w:pPr>
              <w:pStyle w:val="17"/>
              <w:spacing w:after="0"/>
              <w:ind w:left="0" w:leftChars="0" w:firstLine="482"/>
              <w:jc w:val="center"/>
              <w:rPr>
                <w:rFonts w:ascii="宋体"/>
                <w:b/>
                <w:bCs/>
                <w:sz w:val="24"/>
                <w:szCs w:val="24"/>
              </w:rPr>
            </w:pPr>
            <w:r>
              <w:rPr>
                <w:rFonts w:hint="eastAsia" w:ascii="宋体"/>
                <w:b/>
                <w:bCs/>
                <w:sz w:val="24"/>
                <w:szCs w:val="24"/>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1</w:t>
            </w:r>
          </w:p>
        </w:tc>
        <w:tc>
          <w:tcPr>
            <w:tcW w:w="5819" w:type="dxa"/>
            <w:tcBorders>
              <w:top w:val="single" w:color="auto" w:sz="4" w:space="0"/>
              <w:left w:val="single" w:color="auto" w:sz="4" w:space="0"/>
              <w:right w:val="single" w:color="auto" w:sz="4" w:space="0"/>
            </w:tcBorders>
            <w:vAlign w:val="center"/>
          </w:tcPr>
          <w:p>
            <w:pPr>
              <w:jc w:val="center"/>
              <w:rPr>
                <w:rFonts w:ascii="宋体" w:hAnsi="宋体"/>
                <w:sz w:val="24"/>
              </w:rPr>
            </w:pPr>
            <w:r>
              <w:rPr>
                <w:rFonts w:hint="eastAsia" w:ascii="宋体" w:hAnsi="宋体"/>
                <w:sz w:val="24"/>
              </w:rPr>
              <w:t>（报价除外）</w:t>
            </w:r>
          </w:p>
        </w:tc>
        <w:tc>
          <w:tcPr>
            <w:tcW w:w="1627" w:type="dxa"/>
            <w:tcBorders>
              <w:top w:val="single" w:color="auto" w:sz="4" w:space="0"/>
              <w:left w:val="single" w:color="auto" w:sz="4" w:space="0"/>
              <w:right w:val="single" w:color="auto" w:sz="4" w:space="0"/>
            </w:tcBorders>
            <w:vAlign w:val="center"/>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 w:val="24"/>
              </w:rPr>
            </w:pPr>
            <w:r>
              <w:rPr>
                <w:rFonts w:hint="eastAsia" w:ascii="宋体" w:hAnsi="宋体"/>
                <w:sz w:val="24"/>
              </w:rPr>
              <w:t>2</w:t>
            </w:r>
          </w:p>
        </w:tc>
        <w:tc>
          <w:tcPr>
            <w:tcW w:w="5819" w:type="dxa"/>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rPr>
            </w:pPr>
          </w:p>
        </w:tc>
        <w:tc>
          <w:tcPr>
            <w:tcW w:w="1627" w:type="dxa"/>
            <w:tcBorders>
              <w:top w:val="single" w:color="auto" w:sz="4" w:space="0"/>
              <w:left w:val="single" w:color="auto" w:sz="4" w:space="0"/>
              <w:right w:val="single" w:color="auto" w:sz="4" w:space="0"/>
            </w:tcBorders>
            <w:vAlign w:val="center"/>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ind w:left="55" w:leftChars="26"/>
              <w:rPr>
                <w:rFonts w:ascii="宋体" w:hAnsi="宋体" w:cs="宋体"/>
                <w:kern w:val="0"/>
                <w:sz w:val="24"/>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b/>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pStyle w:val="17"/>
              <w:ind w:firstLine="562"/>
              <w:rPr>
                <w:rFonts w:ascii="宋体"/>
                <w:b/>
              </w:rPr>
            </w:pPr>
          </w:p>
        </w:tc>
        <w:tc>
          <w:tcPr>
            <w:tcW w:w="1627" w:type="dxa"/>
            <w:tcBorders>
              <w:top w:val="single" w:color="auto" w:sz="4" w:space="0"/>
              <w:left w:val="single" w:color="auto" w:sz="4" w:space="0"/>
              <w:bottom w:val="single" w:color="auto" w:sz="4" w:space="0"/>
              <w:right w:val="single" w:color="auto" w:sz="4" w:space="0"/>
            </w:tcBorders>
            <w:vAlign w:val="center"/>
          </w:tcPr>
          <w:p>
            <w:pPr>
              <w:pStyle w:val="17"/>
              <w:ind w:firstLine="562"/>
              <w:jc w:val="center"/>
              <w:rPr>
                <w:rFonts w:asci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kern w:val="0"/>
                <w:sz w:val="24"/>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vAlign w:val="center"/>
          </w:tcPr>
          <w:p>
            <w:pPr>
              <w:pStyle w:val="17"/>
              <w:ind w:firstLine="56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vAlign w:val="center"/>
          </w:tcPr>
          <w:p>
            <w:pPr>
              <w:pStyle w:val="17"/>
              <w:ind w:firstLine="56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pStyle w:val="17"/>
              <w:ind w:firstLine="560"/>
              <w:rPr>
                <w:rFonts w:ascii="宋体"/>
              </w:rPr>
            </w:pPr>
          </w:p>
        </w:tc>
        <w:tc>
          <w:tcPr>
            <w:tcW w:w="16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rPr>
                <w:rFonts w:ascii="宋体" w:hAnsi="宋体"/>
                <w:bCs/>
                <w:sz w:val="24"/>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rPr>
                <w:rFonts w:ascii="宋体" w:hAnsi="宋体"/>
                <w:bCs/>
                <w:sz w:val="24"/>
              </w:rPr>
            </w:pPr>
          </w:p>
        </w:tc>
        <w:tc>
          <w:tcPr>
            <w:tcW w:w="1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5819" w:type="dxa"/>
            <w:tcBorders>
              <w:top w:val="single" w:color="auto" w:sz="4" w:space="0"/>
              <w:left w:val="single" w:color="auto" w:sz="4" w:space="0"/>
              <w:bottom w:val="single" w:color="auto" w:sz="4" w:space="0"/>
              <w:right w:val="single" w:color="auto" w:sz="4" w:space="0"/>
            </w:tcBorders>
            <w:vAlign w:val="center"/>
          </w:tcPr>
          <w:p>
            <w:pPr>
              <w:rPr>
                <w:rFonts w:ascii="宋体" w:hAnsi="宋体"/>
                <w:bCs/>
                <w:sz w:val="24"/>
              </w:rPr>
            </w:pPr>
          </w:p>
        </w:tc>
        <w:tc>
          <w:tcPr>
            <w:tcW w:w="1627" w:type="dxa"/>
            <w:tcBorders>
              <w:top w:val="single" w:color="auto" w:sz="4" w:space="0"/>
              <w:left w:val="single" w:color="auto" w:sz="4" w:space="0"/>
              <w:right w:val="single" w:color="auto" w:sz="4" w:space="0"/>
            </w:tcBorders>
            <w:vAlign w:val="center"/>
          </w:tcPr>
          <w:p>
            <w:pPr>
              <w:jc w:val="center"/>
              <w:rPr>
                <w:rFonts w:ascii="宋体" w:hAnsi="宋体"/>
                <w:bCs/>
                <w:sz w:val="24"/>
              </w:rPr>
            </w:pPr>
          </w:p>
        </w:tc>
      </w:tr>
    </w:tbl>
    <w:p>
      <w:r>
        <w:br w:type="page"/>
      </w:r>
    </w:p>
    <w:p>
      <w:pPr>
        <w:numPr>
          <w:ilvl w:val="0"/>
          <w:numId w:val="3"/>
        </w:numPr>
        <w:snapToGrid w:val="0"/>
        <w:spacing w:line="360" w:lineRule="auto"/>
        <w:jc w:val="center"/>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符合性自查表</w:t>
      </w:r>
    </w:p>
    <w:tbl>
      <w:tblPr>
        <w:tblStyle w:val="19"/>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序号</w:t>
            </w:r>
          </w:p>
        </w:tc>
        <w:tc>
          <w:tcPr>
            <w:tcW w:w="4103" w:type="dxa"/>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实质性要求</w:t>
            </w:r>
          </w:p>
        </w:tc>
        <w:tc>
          <w:tcPr>
            <w:tcW w:w="2518" w:type="dxa"/>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需要提供的符合性审查资料</w:t>
            </w:r>
          </w:p>
        </w:tc>
        <w:tc>
          <w:tcPr>
            <w:tcW w:w="11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b/>
                <w:sz w:val="24"/>
              </w:rPr>
              <w:t>自查结论</w:t>
            </w:r>
          </w:p>
        </w:tc>
        <w:tc>
          <w:tcPr>
            <w:tcW w:w="1785" w:type="dxa"/>
            <w:vAlign w:val="center"/>
          </w:tcPr>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投标文件中的</w:t>
            </w:r>
          </w:p>
          <w:p>
            <w:pPr>
              <w:snapToGrid w:val="0"/>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4103"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投标文件按照招标文件要求签署、盖章。</w:t>
            </w:r>
          </w:p>
        </w:tc>
        <w:tc>
          <w:tcPr>
            <w:tcW w:w="2518"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需要使用电子签名或者签字盖章的投标文件的组成部分</w:t>
            </w:r>
          </w:p>
        </w:tc>
        <w:tc>
          <w:tcPr>
            <w:tcW w:w="11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□通过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□不通过</w:t>
            </w:r>
          </w:p>
        </w:tc>
        <w:tc>
          <w:tcPr>
            <w:tcW w:w="1785" w:type="dxa"/>
            <w:vAlign w:val="center"/>
          </w:tcPr>
          <w:p>
            <w:pPr>
              <w:spacing w:line="360" w:lineRule="auto"/>
              <w:rPr>
                <w:rFonts w:cs="仿宋" w:asciiTheme="majorEastAsia" w:hAnsiTheme="majorEastAsia" w:eastAsiaTheme="majorEastAsia"/>
                <w:sz w:val="24"/>
              </w:rPr>
            </w:pP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见投标文件</w:t>
            </w:r>
          </w:p>
          <w:p>
            <w:pPr>
              <w:spacing w:line="360" w:lineRule="auto"/>
              <w:rPr>
                <w:rFonts w:cs="仿宋" w:asciiTheme="majorEastAsia" w:hAnsiTheme="majorEastAsia" w:eastAsiaTheme="majorEastAsia"/>
              </w:rPr>
            </w:pPr>
            <w:r>
              <w:rPr>
                <w:rFonts w:hint="eastAsia" w:cs="仿宋" w:asciiTheme="majorEastAsia" w:hAnsiTheme="majorEastAsia" w:eastAsiaTheme="majorEastAsia"/>
                <w:sz w:val="24"/>
              </w:rPr>
              <w:t>第</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2</w:t>
            </w:r>
          </w:p>
        </w:tc>
        <w:tc>
          <w:tcPr>
            <w:tcW w:w="4103"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投标文件中承诺的投标有效期不少于招标文件中载明的投标有效期。</w:t>
            </w:r>
          </w:p>
        </w:tc>
        <w:tc>
          <w:tcPr>
            <w:tcW w:w="2518"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投标函</w:t>
            </w:r>
          </w:p>
        </w:tc>
        <w:tc>
          <w:tcPr>
            <w:tcW w:w="11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□通过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□不通过</w:t>
            </w:r>
          </w:p>
        </w:tc>
        <w:tc>
          <w:tcPr>
            <w:tcW w:w="1785" w:type="dxa"/>
            <w:vAlign w:val="center"/>
          </w:tcPr>
          <w:p>
            <w:pPr>
              <w:spacing w:line="360" w:lineRule="auto"/>
              <w:rPr>
                <w:rFonts w:cs="仿宋" w:asciiTheme="majorEastAsia" w:hAnsiTheme="majorEastAsia" w:eastAsiaTheme="majorEastAsia"/>
              </w:rPr>
            </w:pPr>
            <w:r>
              <w:rPr>
                <w:rFonts w:hint="eastAsia" w:cs="仿宋" w:asciiTheme="majorEastAsia" w:hAnsiTheme="majorEastAsia" w:eastAsiaTheme="majorEastAsia"/>
                <w:sz w:val="24"/>
              </w:rPr>
              <w:t>见投标文件第</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3</w:t>
            </w:r>
          </w:p>
        </w:tc>
        <w:tc>
          <w:tcPr>
            <w:tcW w:w="4103"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投标文件满足招标文件的其它实质性要求。</w:t>
            </w:r>
          </w:p>
        </w:tc>
        <w:tc>
          <w:tcPr>
            <w:tcW w:w="2518"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kern w:val="0"/>
                <w:sz w:val="24"/>
              </w:rPr>
              <w:t>招标文件其它实质性要求相应的材料（“▲” 系指实质性要求条款，招标文件无其它实质性要求的，无需提供）</w:t>
            </w:r>
          </w:p>
        </w:tc>
        <w:tc>
          <w:tcPr>
            <w:tcW w:w="11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□通过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□不通过</w:t>
            </w:r>
          </w:p>
        </w:tc>
        <w:tc>
          <w:tcPr>
            <w:tcW w:w="1785" w:type="dxa"/>
            <w:vAlign w:val="center"/>
          </w:tcPr>
          <w:p>
            <w:pPr>
              <w:spacing w:line="360" w:lineRule="auto"/>
              <w:rPr>
                <w:rFonts w:cs="仿宋" w:asciiTheme="majorEastAsia" w:hAnsiTheme="majorEastAsia" w:eastAsiaTheme="majorEastAsia"/>
              </w:rPr>
            </w:pPr>
            <w:r>
              <w:rPr>
                <w:rFonts w:hint="eastAsia" w:cs="仿宋" w:asciiTheme="majorEastAsia" w:hAnsiTheme="majorEastAsia" w:eastAsiaTheme="majorEastAsia"/>
                <w:sz w:val="24"/>
              </w:rPr>
              <w:t>见投标文件第</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4</w:t>
            </w:r>
          </w:p>
        </w:tc>
        <w:tc>
          <w:tcPr>
            <w:tcW w:w="4103" w:type="dxa"/>
            <w:vAlign w:val="center"/>
          </w:tcPr>
          <w:p>
            <w:pPr>
              <w:snapToGrid w:val="0"/>
              <w:spacing w:line="360" w:lineRule="auto"/>
              <w:jc w:val="left"/>
              <w:rPr>
                <w:rFonts w:cs="仿宋" w:asciiTheme="majorEastAsia" w:hAnsiTheme="majorEastAsia" w:eastAsiaTheme="majorEastAsia"/>
                <w:bCs/>
                <w:sz w:val="24"/>
              </w:rPr>
            </w:pPr>
            <w:r>
              <w:rPr>
                <w:rFonts w:hint="eastAsia" w:cs="仿宋" w:asciiTheme="majorEastAsia" w:hAnsiTheme="majorEastAsia" w:eastAsiaTheme="majorEastAsia"/>
                <w:bCs/>
                <w:sz w:val="24"/>
              </w:rPr>
              <w:t>投标文件没有招标文件中规定的其它无效投标条款的。</w:t>
            </w:r>
          </w:p>
        </w:tc>
        <w:tc>
          <w:tcPr>
            <w:tcW w:w="2518" w:type="dxa"/>
            <w:vAlign w:val="center"/>
          </w:tcPr>
          <w:p>
            <w:pPr>
              <w:spacing w:line="360" w:lineRule="auto"/>
              <w:rPr>
                <w:rFonts w:cs="仿宋" w:asciiTheme="majorEastAsia" w:hAnsiTheme="majorEastAsia" w:eastAsiaTheme="majorEastAsia"/>
                <w:kern w:val="0"/>
                <w:sz w:val="24"/>
              </w:rPr>
            </w:pPr>
          </w:p>
        </w:tc>
        <w:tc>
          <w:tcPr>
            <w:tcW w:w="11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□通过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□不通过</w:t>
            </w:r>
          </w:p>
        </w:tc>
        <w:tc>
          <w:tcPr>
            <w:tcW w:w="17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见投标文件第</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5</w:t>
            </w:r>
          </w:p>
        </w:tc>
        <w:tc>
          <w:tcPr>
            <w:tcW w:w="4103" w:type="dxa"/>
            <w:vAlign w:val="center"/>
          </w:tcPr>
          <w:p>
            <w:pPr>
              <w:snapToGrid w:val="0"/>
              <w:spacing w:line="360" w:lineRule="auto"/>
              <w:jc w:val="left"/>
              <w:rPr>
                <w:rFonts w:cs="仿宋" w:asciiTheme="majorEastAsia" w:hAnsiTheme="majorEastAsia" w:eastAsiaTheme="majorEastAsia"/>
                <w:bCs/>
                <w:sz w:val="24"/>
              </w:rPr>
            </w:pPr>
            <w:r>
              <w:rPr>
                <w:rFonts w:hint="eastAsia" w:cs="仿宋" w:asciiTheme="majorEastAsia" w:hAnsiTheme="majorEastAsia" w:eastAsiaTheme="majorEastAsia"/>
                <w:bCs/>
                <w:sz w:val="24"/>
              </w:rPr>
              <w:t>按有关法律、法规、规章不属于投标无效的。</w:t>
            </w:r>
          </w:p>
        </w:tc>
        <w:tc>
          <w:tcPr>
            <w:tcW w:w="2518" w:type="dxa"/>
            <w:vAlign w:val="center"/>
          </w:tcPr>
          <w:p>
            <w:pPr>
              <w:spacing w:line="360" w:lineRule="auto"/>
              <w:rPr>
                <w:rFonts w:cs="仿宋" w:asciiTheme="majorEastAsia" w:hAnsiTheme="majorEastAsia" w:eastAsiaTheme="majorEastAsia"/>
                <w:kern w:val="0"/>
                <w:sz w:val="24"/>
              </w:rPr>
            </w:pPr>
          </w:p>
        </w:tc>
        <w:tc>
          <w:tcPr>
            <w:tcW w:w="11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□通过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□不通过</w:t>
            </w:r>
          </w:p>
        </w:tc>
        <w:tc>
          <w:tcPr>
            <w:tcW w:w="1785"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见投标文件第</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pPr>
              <w:spacing w:line="360" w:lineRule="auto"/>
              <w:jc w:val="center"/>
              <w:rPr>
                <w:rFonts w:cs="仿宋" w:asciiTheme="majorEastAsia" w:hAnsiTheme="majorEastAsia" w:eastAsiaTheme="majorEastAsia"/>
                <w:sz w:val="24"/>
              </w:rPr>
            </w:pPr>
          </w:p>
        </w:tc>
        <w:tc>
          <w:tcPr>
            <w:tcW w:w="4103" w:type="dxa"/>
            <w:vAlign w:val="center"/>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w:t>
            </w:r>
          </w:p>
        </w:tc>
        <w:tc>
          <w:tcPr>
            <w:tcW w:w="2518" w:type="dxa"/>
            <w:vAlign w:val="center"/>
          </w:tcPr>
          <w:p>
            <w:pPr>
              <w:spacing w:line="360" w:lineRule="auto"/>
              <w:rPr>
                <w:rFonts w:cs="仿宋" w:asciiTheme="majorEastAsia" w:hAnsiTheme="majorEastAsia" w:eastAsiaTheme="majorEastAsia"/>
                <w:kern w:val="0"/>
                <w:sz w:val="24"/>
              </w:rPr>
            </w:pPr>
          </w:p>
        </w:tc>
        <w:tc>
          <w:tcPr>
            <w:tcW w:w="1185" w:type="dxa"/>
          </w:tcPr>
          <w:p>
            <w:pPr>
              <w:spacing w:line="360" w:lineRule="auto"/>
              <w:rPr>
                <w:rFonts w:cs="仿宋" w:asciiTheme="majorEastAsia" w:hAnsiTheme="majorEastAsia" w:eastAsiaTheme="majorEastAsia"/>
                <w:sz w:val="24"/>
              </w:rPr>
            </w:pPr>
          </w:p>
        </w:tc>
        <w:tc>
          <w:tcPr>
            <w:tcW w:w="1785" w:type="dxa"/>
            <w:vAlign w:val="center"/>
          </w:tcPr>
          <w:p>
            <w:pPr>
              <w:spacing w:line="360" w:lineRule="auto"/>
              <w:rPr>
                <w:rFonts w:cs="仿宋" w:asciiTheme="majorEastAsia" w:hAnsiTheme="majorEastAsia" w:eastAsiaTheme="majorEastAsia"/>
                <w:sz w:val="24"/>
              </w:rPr>
            </w:pPr>
          </w:p>
        </w:tc>
      </w:tr>
    </w:tbl>
    <w:p>
      <w:pPr>
        <w:snapToGrid w:val="0"/>
        <w:spacing w:line="360" w:lineRule="auto"/>
        <w:jc w:val="left"/>
        <w:rPr>
          <w:rFonts w:cs="仿宋" w:asciiTheme="majorEastAsia" w:hAnsiTheme="majorEastAsia" w:eastAsiaTheme="majorEastAsia"/>
          <w:b/>
          <w:sz w:val="32"/>
          <w:szCs w:val="32"/>
        </w:rPr>
      </w:pPr>
      <w:r>
        <w:rPr>
          <w:rFonts w:hint="eastAsia" w:cs="仿宋" w:asciiTheme="majorEastAsia" w:hAnsiTheme="majorEastAsia" w:eastAsiaTheme="majorEastAsia"/>
          <w:b/>
          <w:sz w:val="24"/>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pPr>
        <w:numPr>
          <w:ilvl w:val="0"/>
          <w:numId w:val="3"/>
        </w:numPr>
        <w:snapToGrid w:val="0"/>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kern w:val="0"/>
          <w:sz w:val="32"/>
          <w:szCs w:val="32"/>
        </w:rPr>
        <w:br w:type="page"/>
      </w:r>
      <w:r>
        <w:rPr>
          <w:rFonts w:hint="eastAsia" w:cs="仿宋" w:asciiTheme="majorEastAsia" w:hAnsiTheme="majorEastAsia" w:eastAsiaTheme="majorEastAsia"/>
          <w:b/>
          <w:kern w:val="0"/>
          <w:sz w:val="32"/>
          <w:szCs w:val="32"/>
        </w:rPr>
        <w:t>投标</w:t>
      </w:r>
      <w:r>
        <w:rPr>
          <w:rFonts w:hint="eastAsia" w:cs="仿宋" w:asciiTheme="majorEastAsia" w:hAnsiTheme="majorEastAsia" w:eastAsiaTheme="majorEastAsia"/>
          <w:b/>
          <w:sz w:val="32"/>
          <w:szCs w:val="32"/>
        </w:rPr>
        <w:t>函</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（采购人）、（采购代理机构）：</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我方参加你方组织的（项目名称）【项目编号：        】招标的有关活动，并对此项目进行投标。为此：</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1、我方承诺投标有效期从提交投标文件的截止之日起</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天（不少于90天）</w:t>
      </w:r>
      <w:r>
        <w:rPr>
          <w:rFonts w:hint="eastAsia" w:cs="仿宋" w:asciiTheme="majorEastAsia" w:hAnsiTheme="majorEastAsia" w:eastAsiaTheme="majorEastAsia"/>
        </w:rPr>
        <w:t>，</w:t>
      </w:r>
      <w:r>
        <w:rPr>
          <w:rFonts w:hint="eastAsia" w:cs="仿宋" w:asciiTheme="majorEastAsia" w:hAnsiTheme="majorEastAsia" w:eastAsiaTheme="majorEastAsia"/>
          <w:sz w:val="24"/>
        </w:rPr>
        <w:t>本投标文件在投标有效期满之前均具有约束力。</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2、我方的投标文件包括以下内容：</w:t>
      </w:r>
    </w:p>
    <w:p>
      <w:pPr>
        <w:snapToGrid w:val="0"/>
        <w:spacing w:line="360" w:lineRule="auto"/>
        <w:ind w:left="210" w:leftChars="1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2.1资格文件：</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2.1.1有效的企业法人营业执照（或事业法人登记证）、其他组织（个体工商户）的营业执照或者民办非企业单位登记证书；</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2.1.2符合参加采购活动应当具备的一般条件的承诺函落实采购政策需满足的资格要求；</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2.1.3落实政府采购政策需满足的资格要求（如果有）；</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2.1.4联合协议（如果有）；</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2.1.5分包意向协议（如果有）；</w:t>
      </w:r>
    </w:p>
    <w:p>
      <w:pPr>
        <w:snapToGrid w:val="0"/>
        <w:spacing w:line="360" w:lineRule="auto"/>
        <w:ind w:firstLine="960" w:firstLineChars="400"/>
        <w:rPr>
          <w:rFonts w:cs="仿宋" w:asciiTheme="majorEastAsia" w:hAnsiTheme="majorEastAsia" w:eastAsiaTheme="majorEastAsia"/>
        </w:rPr>
      </w:pPr>
      <w:r>
        <w:rPr>
          <w:rFonts w:hint="eastAsia" w:cs="仿宋" w:asciiTheme="majorEastAsia" w:hAnsiTheme="majorEastAsia" w:eastAsiaTheme="majorEastAsia"/>
          <w:sz w:val="24"/>
        </w:rPr>
        <w:t>2.1.6本项目的特定资格要求。</w:t>
      </w:r>
    </w:p>
    <w:p>
      <w:pPr>
        <w:snapToGrid w:val="0"/>
        <w:spacing w:line="360" w:lineRule="auto"/>
        <w:ind w:left="210" w:leftChars="100"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 xml:space="preserve"> </w:t>
      </w:r>
      <w:r>
        <w:rPr>
          <w:rFonts w:hint="eastAsia" w:cs="仿宋" w:asciiTheme="majorEastAsia" w:hAnsiTheme="majorEastAsia" w:eastAsiaTheme="majorEastAsia"/>
          <w:sz w:val="24"/>
        </w:rPr>
        <w:t>商务技术</w:t>
      </w:r>
      <w:r>
        <w:rPr>
          <w:rFonts w:hint="eastAsia" w:cs="仿宋" w:asciiTheme="majorEastAsia" w:hAnsiTheme="majorEastAsia" w:eastAsiaTheme="majorEastAsia"/>
          <w:sz w:val="24"/>
          <w:lang w:val="zh-CN"/>
        </w:rPr>
        <w:t>文件：</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 评分索引表</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2.2.2 符合性自查表；</w:t>
      </w:r>
    </w:p>
    <w:p>
      <w:pPr>
        <w:snapToGrid w:val="0"/>
        <w:spacing w:line="360" w:lineRule="auto"/>
        <w:ind w:left="420" w:leftChars="200" w:firstLine="480" w:firstLineChars="200"/>
        <w:rPr>
          <w:rFonts w:cs="仿宋" w:asciiTheme="majorEastAsia" w:hAnsiTheme="majorEastAsia" w:eastAsiaTheme="majorEastAsia"/>
          <w:lang w:val="zh-CN"/>
        </w:rPr>
      </w:pPr>
      <w:r>
        <w:rPr>
          <w:rFonts w:hint="eastAsia" w:cs="仿宋" w:asciiTheme="majorEastAsia" w:hAnsiTheme="majorEastAsia" w:eastAsiaTheme="majorEastAsia"/>
          <w:sz w:val="24"/>
        </w:rPr>
        <w:t>2.2.3 投标函；</w:t>
      </w:r>
      <w:r>
        <w:rPr>
          <w:rFonts w:hint="eastAsia" w:cs="仿宋" w:asciiTheme="majorEastAsia" w:hAnsiTheme="majorEastAsia" w:eastAsiaTheme="majorEastAsia"/>
          <w:sz w:val="24"/>
          <w:lang w:val="zh-CN"/>
        </w:rPr>
        <w:t xml:space="preserve"> </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2.2.4 授权委托书或法定代表人（单位负责人、自然人本人）身份证明；</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2.2.5 投标人基本情况表；</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2.2.6 距采购人最近或者能为本项目提供最优服务的网点情况表；</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2.2.7 评标标准相应的商务技术资料；</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8 商务响应表；</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9 技术响应表；</w:t>
      </w:r>
    </w:p>
    <w:p>
      <w:pPr>
        <w:snapToGrid w:val="0"/>
        <w:spacing w:line="360" w:lineRule="auto"/>
        <w:ind w:left="420" w:leftChars="2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10 同类业绩情况一览表；</w:t>
      </w:r>
    </w:p>
    <w:p>
      <w:pPr>
        <w:snapToGrid w:val="0"/>
        <w:spacing w:line="360" w:lineRule="auto"/>
        <w:ind w:left="420" w:leftChars="200"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 xml:space="preserve">2.2.11 </w:t>
      </w:r>
      <w:r>
        <w:rPr>
          <w:rFonts w:hint="eastAsia" w:cs="仿宋" w:asciiTheme="majorEastAsia" w:hAnsiTheme="majorEastAsia" w:eastAsiaTheme="majorEastAsia"/>
          <w:sz w:val="24"/>
          <w:lang w:val="zh-CN"/>
        </w:rPr>
        <w:t>供应商廉洁自律承诺书；</w:t>
      </w:r>
    </w:p>
    <w:p>
      <w:pPr>
        <w:snapToGrid w:val="0"/>
        <w:spacing w:line="360" w:lineRule="auto"/>
        <w:ind w:left="420" w:leftChars="200" w:firstLine="480" w:firstLineChars="200"/>
        <w:rPr>
          <w:rFonts w:cs="仿宋" w:asciiTheme="majorEastAsia" w:hAnsiTheme="majorEastAsia" w:eastAsiaTheme="majorEastAsia"/>
        </w:rPr>
      </w:pPr>
      <w:r>
        <w:rPr>
          <w:rFonts w:hint="eastAsia" w:cs="仿宋" w:asciiTheme="majorEastAsia" w:hAnsiTheme="majorEastAsia" w:eastAsiaTheme="majorEastAsia"/>
          <w:sz w:val="24"/>
        </w:rPr>
        <w:t>2.2.12其他资料。</w:t>
      </w:r>
    </w:p>
    <w:p>
      <w:pPr>
        <w:snapToGrid w:val="0"/>
        <w:spacing w:line="360" w:lineRule="auto"/>
        <w:ind w:left="210" w:leftChars="1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3报价文件</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2.3.1 开标一览表；</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2.3.2投标报价明细表；</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2.3.3 中小企业声明函（如有）；</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2.3.4 残疾人福利性单位声明函（如有）；</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2.3.5 监狱企业的证明文件（如有）；</w:t>
      </w:r>
    </w:p>
    <w:p>
      <w:pPr>
        <w:snapToGrid w:val="0"/>
        <w:spacing w:line="360" w:lineRule="auto"/>
        <w:ind w:firstLine="960" w:firstLineChars="400"/>
        <w:rPr>
          <w:rFonts w:cs="仿宋" w:asciiTheme="majorEastAsia" w:hAnsiTheme="majorEastAsia" w:eastAsiaTheme="majorEastAsia"/>
          <w:sz w:val="24"/>
        </w:rPr>
      </w:pPr>
      <w:r>
        <w:rPr>
          <w:rFonts w:hint="eastAsia" w:cs="仿宋" w:asciiTheme="majorEastAsia" w:hAnsiTheme="majorEastAsia" w:eastAsiaTheme="majorEastAsia"/>
          <w:sz w:val="24"/>
        </w:rPr>
        <w:t>2.3.6 采购统计基础信息表。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3、我方承诺除商务技术响应表列出的偏离外，我方响应招标文件的全部要求。</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4、如我方中标，我方承诺：</w:t>
      </w:r>
    </w:p>
    <w:p>
      <w:pPr>
        <w:snapToGrid w:val="0"/>
        <w:spacing w:line="360" w:lineRule="auto"/>
        <w:ind w:left="210" w:leftChars="1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4.1在收到中标通知书后，在中标通知书规定的期限内与你方签订合同； </w:t>
      </w:r>
    </w:p>
    <w:p>
      <w:pPr>
        <w:snapToGrid w:val="0"/>
        <w:spacing w:line="360" w:lineRule="auto"/>
        <w:ind w:left="210" w:leftChars="1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4.2在签订合同时不向你方提出附加条件； </w:t>
      </w:r>
    </w:p>
    <w:p>
      <w:pPr>
        <w:snapToGrid w:val="0"/>
        <w:spacing w:line="360" w:lineRule="auto"/>
        <w:ind w:left="210" w:leftChars="1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4.3按照招标文件要求提交履约保证金； </w:t>
      </w:r>
    </w:p>
    <w:p>
      <w:pPr>
        <w:snapToGrid w:val="0"/>
        <w:spacing w:line="360" w:lineRule="auto"/>
        <w:ind w:left="210" w:leftChars="10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4.4在合同约定的期限内完成合同规定的全部义务。 </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5、其他补充说明: </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 xml:space="preserve"> 。</w:t>
      </w:r>
    </w:p>
    <w:p>
      <w:pPr>
        <w:spacing w:line="360" w:lineRule="auto"/>
        <w:ind w:firstLine="3600" w:firstLineChars="1500"/>
        <w:rPr>
          <w:rFonts w:cs="仿宋" w:asciiTheme="majorEastAsia" w:hAnsiTheme="majorEastAsia" w:eastAsiaTheme="majorEastAsia"/>
          <w:sz w:val="24"/>
        </w:rPr>
      </w:pPr>
    </w:p>
    <w:p>
      <w:pPr>
        <w:spacing w:line="360" w:lineRule="auto"/>
        <w:ind w:firstLine="3600" w:firstLineChars="1500"/>
        <w:rPr>
          <w:rFonts w:cs="仿宋" w:asciiTheme="majorEastAsia" w:hAnsiTheme="majorEastAsia" w:eastAsiaTheme="majorEastAsia"/>
          <w:sz w:val="24"/>
        </w:rPr>
      </w:pPr>
    </w:p>
    <w:p>
      <w:pPr>
        <w:spacing w:line="360" w:lineRule="auto"/>
        <w:ind w:right="420" w:firstLine="5250" w:firstLineChars="2500"/>
        <w:rPr>
          <w:rFonts w:ascii="宋体" w:hAnsi="宋体" w:cs="宋体"/>
        </w:rPr>
      </w:pPr>
      <w:r>
        <w:rPr>
          <w:rFonts w:hint="eastAsia" w:ascii="宋体" w:hAnsi="宋体" w:cs="宋体"/>
        </w:rPr>
        <w:t xml:space="preserve">法定代表人（签名或印章）：     </w:t>
      </w:r>
    </w:p>
    <w:p>
      <w:pPr>
        <w:spacing w:line="360" w:lineRule="auto"/>
        <w:ind w:right="420" w:firstLine="5460" w:firstLineChars="2600"/>
        <w:rPr>
          <w:rFonts w:ascii="宋体" w:hAnsi="宋体" w:cs="宋体"/>
        </w:rPr>
      </w:pPr>
      <w:r>
        <w:rPr>
          <w:rFonts w:hint="eastAsia" w:ascii="宋体" w:hAnsi="宋体" w:cs="宋体"/>
        </w:rPr>
        <w:t xml:space="preserve">投标人（盖章）：   </w:t>
      </w:r>
    </w:p>
    <w:p>
      <w:pPr>
        <w:spacing w:line="360" w:lineRule="auto"/>
        <w:ind w:right="420" w:firstLine="5355" w:firstLineChars="2550"/>
        <w:rPr>
          <w:rFonts w:ascii="宋体" w:hAnsi="宋体" w:cs="宋体"/>
        </w:rPr>
      </w:pPr>
      <w:r>
        <w:rPr>
          <w:rFonts w:hint="eastAsia" w:ascii="宋体" w:hAnsi="宋体" w:cs="宋体"/>
        </w:rPr>
        <w:t xml:space="preserve"> 年    月    日</w:t>
      </w:r>
    </w:p>
    <w:p>
      <w:pPr>
        <w:spacing w:line="360" w:lineRule="auto"/>
        <w:jc w:val="center"/>
        <w:rPr>
          <w:rFonts w:cs="仿宋" w:asciiTheme="majorEastAsia" w:hAnsiTheme="majorEastAsia" w:eastAsiaTheme="majorEastAsia"/>
          <w:b/>
          <w:kern w:val="0"/>
          <w:sz w:val="32"/>
          <w:szCs w:val="32"/>
        </w:rPr>
      </w:pPr>
    </w:p>
    <w:p>
      <w:pPr>
        <w:spacing w:line="360" w:lineRule="auto"/>
        <w:jc w:val="center"/>
        <w:rPr>
          <w:rFonts w:cs="仿宋" w:asciiTheme="majorEastAsia" w:hAnsiTheme="majorEastAsia" w:eastAsiaTheme="majorEastAsia"/>
          <w:b/>
          <w:kern w:val="0"/>
          <w:sz w:val="32"/>
          <w:szCs w:val="32"/>
          <w:lang w:val="zh-CN"/>
        </w:rPr>
      </w:pPr>
    </w:p>
    <w:p>
      <w:pPr>
        <w:spacing w:line="360" w:lineRule="auto"/>
        <w:rPr>
          <w:rFonts w:cs="仿宋" w:asciiTheme="majorEastAsia" w:hAnsiTheme="majorEastAsia" w:eastAsiaTheme="majorEastAsia"/>
          <w:b/>
          <w:sz w:val="32"/>
          <w:szCs w:val="32"/>
        </w:rPr>
      </w:pPr>
      <w:bookmarkStart w:id="416" w:name="_Toc225223761"/>
      <w:bookmarkStart w:id="417" w:name="_Toc14746861"/>
      <w:bookmarkStart w:id="418" w:name="_Toc483379796"/>
      <w:bookmarkStart w:id="419" w:name="_Toc488936100"/>
      <w:bookmarkStart w:id="420" w:name="_Toc479927873"/>
      <w:bookmarkStart w:id="421" w:name="_Toc110393361"/>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br w:type="page"/>
      </w:r>
      <w:r>
        <w:rPr>
          <w:rFonts w:hint="eastAsia" w:cs="仿宋" w:asciiTheme="majorEastAsia" w:hAnsiTheme="majorEastAsia" w:eastAsiaTheme="majorEastAsia"/>
          <w:b/>
          <w:kern w:val="0"/>
          <w:sz w:val="32"/>
          <w:szCs w:val="32"/>
          <w:lang w:val="zh-CN"/>
        </w:rPr>
        <w:t>授权委托书或法定代表人（单位负责人、自然人本人）身份证明</w:t>
      </w:r>
    </w:p>
    <w:p>
      <w:pPr>
        <w:jc w:val="center"/>
        <w:rPr>
          <w:rFonts w:ascii="宋体" w:hAnsi="宋体" w:cs="宋体"/>
          <w:b/>
          <w:sz w:val="32"/>
          <w:szCs w:val="32"/>
        </w:rPr>
      </w:pPr>
      <w:r>
        <w:rPr>
          <w:rFonts w:hint="eastAsia" w:ascii="宋体" w:hAnsi="宋体" w:cs="宋体"/>
          <w:b/>
          <w:sz w:val="32"/>
          <w:szCs w:val="32"/>
        </w:rPr>
        <w:t>法定代表人身份证明</w:t>
      </w:r>
    </w:p>
    <w:p>
      <w:pPr>
        <w:spacing w:line="480" w:lineRule="auto"/>
        <w:jc w:val="center"/>
        <w:rPr>
          <w:rFonts w:ascii="宋体" w:hAnsi="宋体" w:cs="宋体"/>
          <w:bCs/>
          <w:sz w:val="24"/>
        </w:rPr>
      </w:pPr>
    </w:p>
    <w:p>
      <w:pPr>
        <w:spacing w:line="480" w:lineRule="auto"/>
        <w:jc w:val="center"/>
        <w:rPr>
          <w:rFonts w:ascii="宋体" w:hAnsi="宋体" w:cs="宋体"/>
          <w:b/>
          <w:sz w:val="24"/>
        </w:rPr>
      </w:pPr>
      <w:r>
        <w:rPr>
          <w:rFonts w:hint="eastAsia" w:ascii="宋体" w:hAnsi="宋体" w:cs="宋体"/>
          <w:bCs/>
          <w:sz w:val="24"/>
        </w:rPr>
        <w:t>（法定代表人不来投标的，此表不用）</w:t>
      </w:r>
    </w:p>
    <w:p>
      <w:pPr>
        <w:spacing w:line="480" w:lineRule="auto"/>
        <w:ind w:firstLine="420" w:firstLineChars="200"/>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p>
    <w:p>
      <w:pPr>
        <w:spacing w:line="480" w:lineRule="auto"/>
        <w:ind w:firstLine="420" w:firstLineChars="200"/>
        <w:rPr>
          <w:rFonts w:ascii="宋体" w:hAnsi="宋体" w:cs="宋体"/>
          <w:szCs w:val="21"/>
        </w:rPr>
      </w:pPr>
      <w:r>
        <w:rPr>
          <w:rFonts w:hint="eastAsia" w:ascii="宋体" w:hAnsi="宋体" w:cs="宋体"/>
          <w:szCs w:val="21"/>
        </w:rPr>
        <w:t>单位性质：</w:t>
      </w:r>
      <w:r>
        <w:rPr>
          <w:rFonts w:hint="eastAsia" w:ascii="宋体" w:hAnsi="宋体" w:cs="宋体"/>
          <w:szCs w:val="21"/>
          <w:u w:val="single"/>
        </w:rPr>
        <w:t xml:space="preserve">                                         </w:t>
      </w:r>
      <w:r>
        <w:rPr>
          <w:rFonts w:hint="eastAsia" w:ascii="宋体" w:hAnsi="宋体" w:cs="宋体"/>
          <w:szCs w:val="21"/>
        </w:rPr>
        <w:t xml:space="preserve"> </w:t>
      </w:r>
    </w:p>
    <w:p>
      <w:pPr>
        <w:spacing w:line="480" w:lineRule="auto"/>
        <w:ind w:firstLine="420" w:firstLineChars="200"/>
        <w:rPr>
          <w:rFonts w:ascii="宋体" w:hAnsi="宋体" w:cs="宋体"/>
          <w:szCs w:val="21"/>
        </w:rPr>
      </w:pPr>
      <w:r>
        <w:rPr>
          <w:rFonts w:hint="eastAsia" w:ascii="宋体" w:hAnsi="宋体" w:cs="宋体"/>
          <w:szCs w:val="21"/>
        </w:rPr>
        <w:t>地址：</w:t>
      </w:r>
      <w:r>
        <w:rPr>
          <w:rFonts w:hint="eastAsia" w:ascii="宋体" w:hAnsi="宋体" w:cs="宋体"/>
          <w:szCs w:val="21"/>
          <w:u w:val="single"/>
        </w:rPr>
        <w:t xml:space="preserve">                                              </w:t>
      </w:r>
    </w:p>
    <w:p>
      <w:pPr>
        <w:spacing w:line="480" w:lineRule="auto"/>
        <w:ind w:firstLine="420" w:firstLineChars="200"/>
        <w:rPr>
          <w:rFonts w:ascii="宋体" w:hAnsi="宋体" w:cs="宋体"/>
          <w:szCs w:val="21"/>
        </w:rPr>
      </w:pPr>
      <w:r>
        <w:rPr>
          <w:rFonts w:hint="eastAsia" w:ascii="宋体" w:hAnsi="宋体" w:cs="宋体"/>
          <w:szCs w:val="21"/>
        </w:rPr>
        <w:t>成立时间：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480" w:lineRule="auto"/>
        <w:ind w:firstLine="420" w:firstLineChars="200"/>
        <w:rPr>
          <w:rFonts w:ascii="宋体" w:hAnsi="宋体" w:cs="宋体"/>
          <w:szCs w:val="21"/>
        </w:rPr>
      </w:pPr>
      <w:r>
        <w:rPr>
          <w:rFonts w:hint="eastAsia" w:ascii="宋体" w:hAnsi="宋体" w:cs="宋体"/>
          <w:szCs w:val="21"/>
        </w:rPr>
        <w:t>经营期限：</w:t>
      </w:r>
      <w:r>
        <w:rPr>
          <w:rFonts w:hint="eastAsia" w:ascii="宋体" w:hAnsi="宋体" w:cs="宋体"/>
          <w:szCs w:val="21"/>
          <w:u w:val="single"/>
        </w:rPr>
        <w:t xml:space="preserve">                                </w:t>
      </w:r>
      <w:r>
        <w:rPr>
          <w:rFonts w:hint="eastAsia" w:ascii="宋体" w:hAnsi="宋体" w:cs="宋体"/>
          <w:szCs w:val="21"/>
        </w:rPr>
        <w:t xml:space="preserve"> </w:t>
      </w:r>
    </w:p>
    <w:p>
      <w:pPr>
        <w:spacing w:line="480" w:lineRule="auto"/>
        <w:ind w:firstLine="420" w:firstLineChars="200"/>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周岁  </w:t>
      </w:r>
      <w:r>
        <w:rPr>
          <w:rFonts w:hint="eastAsia" w:ascii="宋体" w:hAnsi="宋体" w:cs="宋体"/>
          <w:szCs w:val="21"/>
        </w:rPr>
        <w:t>职务：</w:t>
      </w:r>
      <w:r>
        <w:rPr>
          <w:rFonts w:hint="eastAsia" w:ascii="宋体" w:hAnsi="宋体" w:cs="宋体"/>
          <w:szCs w:val="21"/>
          <w:u w:val="single"/>
        </w:rPr>
        <w:t xml:space="preserve">   </w:t>
      </w:r>
      <w:r>
        <w:rPr>
          <w:rFonts w:hint="eastAsia" w:ascii="宋体" w:hAnsi="宋体" w:cs="宋体"/>
          <w:szCs w:val="21"/>
        </w:rPr>
        <w:t>_</w:t>
      </w:r>
    </w:p>
    <w:p>
      <w:pPr>
        <w:spacing w:line="480" w:lineRule="auto"/>
        <w:ind w:firstLine="420" w:firstLineChars="200"/>
        <w:rPr>
          <w:rFonts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p>
    <w:p>
      <w:pPr>
        <w:spacing w:line="480" w:lineRule="auto"/>
        <w:ind w:firstLine="420" w:firstLineChars="200"/>
        <w:rPr>
          <w:rFonts w:ascii="宋体" w:hAnsi="宋体" w:cs="宋体"/>
          <w:szCs w:val="21"/>
        </w:rPr>
      </w:pPr>
      <w:r>
        <w:rPr>
          <w:rFonts w:hint="eastAsia" w:ascii="宋体" w:hAnsi="宋体" w:cs="宋体"/>
          <w:szCs w:val="21"/>
        </w:rPr>
        <w:t>系</w:t>
      </w:r>
      <w:r>
        <w:rPr>
          <w:rFonts w:hint="eastAsia" w:ascii="宋体" w:hAnsi="宋体" w:cs="宋体"/>
          <w:szCs w:val="21"/>
          <w:u w:val="single"/>
        </w:rPr>
        <w:t xml:space="preserve">                                      </w:t>
      </w:r>
      <w:r>
        <w:rPr>
          <w:rFonts w:hint="eastAsia" w:ascii="宋体" w:hAnsi="宋体" w:cs="宋体"/>
          <w:szCs w:val="21"/>
        </w:rPr>
        <w:t>（投标人名称）的法定代表人。</w:t>
      </w:r>
    </w:p>
    <w:p>
      <w:pPr>
        <w:spacing w:line="480" w:lineRule="auto"/>
        <w:ind w:firstLine="840" w:firstLineChars="400"/>
        <w:rPr>
          <w:rFonts w:ascii="宋体" w:hAnsi="宋体" w:cs="宋体"/>
          <w:szCs w:val="21"/>
        </w:rPr>
      </w:pPr>
      <w:r>
        <w:rPr>
          <w:rFonts w:hint="eastAsia" w:ascii="宋体" w:hAnsi="宋体" w:cs="宋体"/>
          <w:szCs w:val="21"/>
        </w:rPr>
        <w:t>特此证明。</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wordWrap w:val="0"/>
        <w:spacing w:line="360" w:lineRule="auto"/>
        <w:jc w:val="right"/>
        <w:rPr>
          <w:rFonts w:ascii="宋体" w:hAnsi="宋体" w:cs="宋体"/>
          <w:szCs w:val="21"/>
        </w:rPr>
      </w:pPr>
      <w:r>
        <w:rPr>
          <w:rFonts w:hint="eastAsia" w:ascii="宋体" w:hAnsi="宋体" w:cs="宋体"/>
          <w:szCs w:val="21"/>
        </w:rPr>
        <w:t>投标人：</w:t>
      </w:r>
      <w:r>
        <w:rPr>
          <w:rFonts w:hint="eastAsia" w:ascii="宋体" w:hAnsi="宋体" w:cs="宋体"/>
          <w:szCs w:val="21"/>
          <w:u w:val="single"/>
        </w:rPr>
        <w:t xml:space="preserve">                                </w:t>
      </w:r>
      <w:r>
        <w:rPr>
          <w:rFonts w:hint="eastAsia" w:ascii="宋体" w:hAnsi="宋体" w:cs="宋体"/>
          <w:szCs w:val="21"/>
        </w:rPr>
        <w:t>（盖单位公章）</w:t>
      </w:r>
    </w:p>
    <w:p>
      <w:pPr>
        <w:spacing w:line="360" w:lineRule="auto"/>
        <w:ind w:firstLine="4515" w:firstLineChars="2150"/>
        <w:rPr>
          <w:rFonts w:ascii="宋体" w:hAnsi="宋体" w:cs="宋体"/>
          <w:szCs w:val="21"/>
          <w:u w:val="single"/>
        </w:rPr>
      </w:pPr>
    </w:p>
    <w:p>
      <w:pPr>
        <w:spacing w:line="360" w:lineRule="auto"/>
        <w:ind w:firstLine="3675" w:firstLineChars="1750"/>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rPr>
          <w:rFonts w:ascii="宋体" w:hAnsi="宋体" w:cs="宋体"/>
          <w:sz w:val="24"/>
        </w:rPr>
      </w:pPr>
    </w:p>
    <w:p>
      <w:pPr>
        <w:spacing w:line="360" w:lineRule="auto"/>
        <w:rPr>
          <w:rFonts w:ascii="宋体" w:hAnsi="宋体" w:cs="宋体"/>
          <w:b/>
          <w:szCs w:val="21"/>
        </w:rPr>
      </w:pPr>
    </w:p>
    <w:p>
      <w:pPr>
        <w:spacing w:line="360" w:lineRule="auto"/>
        <w:rPr>
          <w:rFonts w:ascii="宋体" w:hAnsi="宋体" w:cs="宋体"/>
          <w:b/>
          <w:szCs w:val="21"/>
        </w:rPr>
      </w:pPr>
    </w:p>
    <w:p>
      <w:pPr>
        <w:jc w:val="left"/>
        <w:rPr>
          <w:rFonts w:cs="仿宋" w:asciiTheme="majorEastAsia" w:hAnsiTheme="majorEastAsia" w:eastAsiaTheme="majorEastAsia"/>
          <w:sz w:val="24"/>
        </w:rPr>
      </w:pPr>
      <w:r>
        <w:rPr>
          <w:rFonts w:hint="eastAsia" w:ascii="宋体" w:hAnsi="宋体" w:cs="宋体"/>
          <w:b/>
          <w:szCs w:val="21"/>
        </w:rPr>
        <w:t>附法定代表人身份证复印件（正反面）：</w:t>
      </w:r>
      <w:r>
        <w:rPr>
          <w:rFonts w:hint="eastAsia" w:cs="仿宋" w:asciiTheme="majorEastAsia" w:hAnsiTheme="majorEastAsia" w:eastAsiaTheme="majorEastAsia"/>
          <w:sz w:val="24"/>
        </w:rPr>
        <w:t xml:space="preserve">                      </w:t>
      </w:r>
      <w:r>
        <w:rPr>
          <w:rFonts w:cs="仿宋" w:asciiTheme="majorEastAsia" w:hAnsiTheme="majorEastAsia" w:eastAsiaTheme="majorEastAsia"/>
          <w:sz w:val="24"/>
        </w:rPr>
        <w:br w:type="page"/>
      </w:r>
    </w:p>
    <w:p>
      <w:pPr>
        <w:jc w:val="center"/>
        <w:rPr>
          <w:rFonts w:ascii="宋体" w:hAnsi="宋体" w:cs="宋体"/>
          <w:b/>
          <w:sz w:val="32"/>
          <w:szCs w:val="32"/>
        </w:rPr>
      </w:pPr>
      <w:r>
        <w:rPr>
          <w:rFonts w:hint="eastAsia" w:ascii="宋体" w:hAnsi="宋体" w:cs="宋体"/>
          <w:b/>
          <w:sz w:val="32"/>
          <w:szCs w:val="32"/>
        </w:rPr>
        <w:t>法定代表人授权委托书</w:t>
      </w:r>
    </w:p>
    <w:p>
      <w:pPr>
        <w:jc w:val="center"/>
        <w:rPr>
          <w:rFonts w:ascii="宋体" w:hAnsi="宋体" w:cs="宋体"/>
          <w:bCs/>
          <w:sz w:val="24"/>
        </w:rPr>
      </w:pPr>
    </w:p>
    <w:p>
      <w:pPr>
        <w:jc w:val="center"/>
        <w:rPr>
          <w:rFonts w:ascii="宋体" w:hAnsi="宋体" w:cs="宋体"/>
          <w:b/>
          <w:sz w:val="32"/>
          <w:szCs w:val="32"/>
        </w:rPr>
      </w:pPr>
      <w:r>
        <w:rPr>
          <w:rFonts w:hint="eastAsia" w:ascii="宋体" w:hAnsi="宋体" w:cs="宋体"/>
          <w:bCs/>
          <w:sz w:val="24"/>
        </w:rPr>
        <w:t>（法定代表人来投标的，此表不用）</w:t>
      </w:r>
    </w:p>
    <w:p>
      <w:pPr>
        <w:snapToGrid w:val="0"/>
        <w:spacing w:line="360" w:lineRule="auto"/>
        <w:rPr>
          <w:rFonts w:ascii="宋体" w:hAnsi="宋体" w:cs="宋体"/>
          <w:bCs/>
          <w:sz w:val="24"/>
        </w:rPr>
      </w:pPr>
    </w:p>
    <w:p>
      <w:pPr>
        <w:snapToGrid w:val="0"/>
        <w:spacing w:line="360" w:lineRule="auto"/>
        <w:rPr>
          <w:rFonts w:ascii="宋体" w:hAnsi="宋体" w:cs="宋体"/>
          <w:szCs w:val="21"/>
        </w:rPr>
      </w:pPr>
      <w:r>
        <w:rPr>
          <w:rFonts w:hint="eastAsia" w:ascii="宋体" w:hAnsi="宋体" w:cs="宋体"/>
          <w:bCs/>
          <w:szCs w:val="21"/>
        </w:rPr>
        <w:t>致：</w:t>
      </w:r>
      <w:r>
        <w:rPr>
          <w:rFonts w:hint="eastAsia" w:ascii="宋体" w:hAnsi="宋体" w:cs="宋体"/>
          <w:szCs w:val="21"/>
          <w:u w:val="single"/>
        </w:rPr>
        <w:t xml:space="preserve">              </w:t>
      </w:r>
      <w:r>
        <w:rPr>
          <w:rFonts w:hint="eastAsia" w:ascii="宋体" w:hAnsi="宋体" w:cs="宋体"/>
          <w:szCs w:val="21"/>
        </w:rPr>
        <w:t>（采购单位名称）</w:t>
      </w:r>
      <w:r>
        <w:rPr>
          <w:rFonts w:hint="eastAsia" w:ascii="宋体" w:hAnsi="宋体" w:cs="宋体"/>
          <w:b/>
          <w:bCs/>
          <w:szCs w:val="21"/>
        </w:rPr>
        <w:t xml:space="preserve"> </w:t>
      </w:r>
      <w:r>
        <w:rPr>
          <w:rFonts w:hint="eastAsia" w:ascii="宋体" w:hAnsi="宋体" w:cs="宋体"/>
          <w:szCs w:val="21"/>
        </w:rPr>
        <w:t>：</w:t>
      </w:r>
    </w:p>
    <w:p>
      <w:pPr>
        <w:snapToGrid w:val="0"/>
        <w:spacing w:line="360" w:lineRule="auto"/>
        <w:ind w:firstLine="420" w:firstLineChars="200"/>
        <w:rPr>
          <w:rFonts w:ascii="宋体" w:hAnsi="宋体" w:cs="宋体"/>
          <w:szCs w:val="21"/>
          <w:u w:val="single"/>
        </w:rPr>
      </w:pPr>
      <w:r>
        <w:rPr>
          <w:rFonts w:hint="eastAsia" w:ascii="宋体" w:hAnsi="宋体" w:cs="宋体"/>
          <w:szCs w:val="21"/>
        </w:rPr>
        <w:t>我</w:t>
      </w:r>
      <w:r>
        <w:rPr>
          <w:rFonts w:hint="eastAsia" w:ascii="宋体" w:hAnsi="宋体" w:cs="宋体"/>
          <w:szCs w:val="21"/>
          <w:u w:val="single"/>
        </w:rPr>
        <w:t xml:space="preserve">          </w:t>
      </w:r>
      <w:r>
        <w:rPr>
          <w:rFonts w:hint="eastAsia" w:ascii="宋体" w:hAnsi="宋体" w:cs="宋体"/>
          <w:szCs w:val="21"/>
        </w:rPr>
        <w:t>（姓名）系</w:t>
      </w:r>
      <w:r>
        <w:rPr>
          <w:rFonts w:hint="eastAsia" w:ascii="宋体" w:hAnsi="宋体" w:cs="宋体"/>
          <w:szCs w:val="21"/>
          <w:u w:val="single"/>
        </w:rPr>
        <w:t xml:space="preserve">           </w:t>
      </w:r>
      <w:r>
        <w:rPr>
          <w:rFonts w:hint="eastAsia" w:ascii="宋体" w:hAnsi="宋体" w:cs="宋体"/>
          <w:szCs w:val="21"/>
        </w:rPr>
        <w:t xml:space="preserve">（投标人名称）的法定代表人，现授权委托本单位在职职工 </w:t>
      </w:r>
      <w:r>
        <w:rPr>
          <w:rFonts w:hint="eastAsia" w:ascii="宋体" w:hAnsi="宋体" w:cs="宋体"/>
          <w:szCs w:val="21"/>
          <w:u w:val="single"/>
        </w:rPr>
        <w:t xml:space="preserve">           </w:t>
      </w:r>
      <w:r>
        <w:rPr>
          <w:rFonts w:hint="eastAsia" w:ascii="宋体" w:hAnsi="宋体" w:cs="宋体"/>
          <w:szCs w:val="21"/>
        </w:rPr>
        <w:t>（姓名）以我方的名义参加</w:t>
      </w:r>
      <w:r>
        <w:rPr>
          <w:rFonts w:hint="eastAsia" w:ascii="宋体" w:hAnsi="宋体" w:cs="宋体"/>
          <w:szCs w:val="21"/>
          <w:u w:val="single"/>
        </w:rPr>
        <w:t xml:space="preserve">                       </w:t>
      </w:r>
      <w:r>
        <w:rPr>
          <w:rFonts w:hint="eastAsia" w:ascii="宋体" w:hAnsi="宋体" w:cs="宋体"/>
          <w:szCs w:val="21"/>
        </w:rPr>
        <w:t>项目的投标活动，并代表我方全权办理针对上述项目的投标、开标、评标、签约等具体事务和签署相关文件。</w:t>
      </w:r>
    </w:p>
    <w:p>
      <w:pPr>
        <w:snapToGrid w:val="0"/>
        <w:spacing w:line="360" w:lineRule="auto"/>
        <w:ind w:firstLine="420" w:firstLineChars="200"/>
        <w:rPr>
          <w:rFonts w:ascii="宋体" w:hAnsi="宋体" w:cs="宋体"/>
          <w:szCs w:val="21"/>
          <w:u w:val="single"/>
        </w:rPr>
      </w:pPr>
      <w:r>
        <w:rPr>
          <w:rFonts w:hint="eastAsia" w:ascii="宋体" w:hAnsi="宋体" w:cs="宋体"/>
          <w:szCs w:val="21"/>
        </w:rPr>
        <w:t>我方对被授权人的签名事项负全部责任。</w:t>
      </w:r>
    </w:p>
    <w:p>
      <w:pPr>
        <w:snapToGrid w:val="0"/>
        <w:spacing w:line="360" w:lineRule="auto"/>
        <w:ind w:firstLine="420" w:firstLineChars="200"/>
        <w:rPr>
          <w:rFonts w:ascii="宋体" w:hAnsi="宋体" w:cs="宋体"/>
          <w:szCs w:val="21"/>
        </w:rPr>
      </w:pPr>
      <w:r>
        <w:rPr>
          <w:rFonts w:hint="eastAsia" w:ascii="宋体" w:hAnsi="宋体" w:cs="宋体"/>
          <w:szCs w:val="21"/>
        </w:rPr>
        <w:t>在撤销授权的书面通知以前，本授权书一直有效。被授权人在授权书有效期内签署的所有文件不因授权的撤销而失效。</w:t>
      </w:r>
    </w:p>
    <w:p>
      <w:pPr>
        <w:snapToGrid w:val="0"/>
        <w:spacing w:line="360" w:lineRule="auto"/>
        <w:ind w:firstLine="480"/>
        <w:rPr>
          <w:rFonts w:ascii="宋体" w:hAnsi="宋体" w:cs="宋体"/>
          <w:szCs w:val="21"/>
        </w:rPr>
      </w:pPr>
      <w:r>
        <w:rPr>
          <w:rFonts w:hint="eastAsia" w:ascii="宋体" w:hAnsi="宋体" w:cs="宋体"/>
          <w:szCs w:val="21"/>
        </w:rPr>
        <w:t>被授权人无转委托权，特此委托。</w:t>
      </w: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u w:val="single"/>
        </w:rPr>
      </w:pPr>
      <w:r>
        <w:rPr>
          <w:rFonts w:hint="eastAsia" w:ascii="宋体" w:hAnsi="宋体" w:cs="宋体"/>
          <w:szCs w:val="21"/>
        </w:rPr>
        <w:t>被授权人签名：</w:t>
      </w:r>
      <w:r>
        <w:rPr>
          <w:rFonts w:hint="eastAsia" w:ascii="宋体" w:hAnsi="宋体" w:cs="宋体"/>
          <w:szCs w:val="21"/>
          <w:u w:val="single"/>
        </w:rPr>
        <w:t xml:space="preserve">          </w:t>
      </w:r>
      <w:r>
        <w:rPr>
          <w:rFonts w:hint="eastAsia" w:ascii="宋体" w:hAnsi="宋体" w:cs="宋体"/>
          <w:szCs w:val="21"/>
        </w:rPr>
        <w:t xml:space="preserve">                 法定代表人签名：</w:t>
      </w:r>
      <w:r>
        <w:rPr>
          <w:rFonts w:hint="eastAsia" w:ascii="宋体" w:hAnsi="宋体" w:cs="宋体"/>
          <w:szCs w:val="21"/>
          <w:u w:val="single"/>
        </w:rPr>
        <w:t xml:space="preserve">          </w:t>
      </w:r>
    </w:p>
    <w:p>
      <w:pPr>
        <w:snapToGrid w:val="0"/>
        <w:spacing w:line="360" w:lineRule="auto"/>
        <w:ind w:firstLine="840" w:firstLineChars="400"/>
        <w:rPr>
          <w:rFonts w:ascii="宋体" w:hAnsi="宋体" w:cs="宋体"/>
          <w:szCs w:val="21"/>
        </w:rPr>
      </w:pPr>
      <w:r>
        <w:rPr>
          <w:rFonts w:hint="eastAsia" w:ascii="宋体" w:hAnsi="宋体" w:cs="宋体"/>
          <w:szCs w:val="21"/>
        </w:rPr>
        <w:t>职务：</w:t>
      </w:r>
      <w:r>
        <w:rPr>
          <w:rFonts w:hint="eastAsia" w:ascii="宋体" w:hAnsi="宋体" w:cs="宋体"/>
          <w:szCs w:val="21"/>
          <w:u w:val="single"/>
        </w:rPr>
        <w:t xml:space="preserve">           </w:t>
      </w:r>
      <w:r>
        <w:rPr>
          <w:rFonts w:hint="eastAsia" w:ascii="宋体" w:hAnsi="宋体" w:cs="宋体"/>
          <w:szCs w:val="21"/>
        </w:rPr>
        <w:t xml:space="preserve">                          职务：</w:t>
      </w:r>
      <w:r>
        <w:rPr>
          <w:rFonts w:hint="eastAsia" w:ascii="宋体" w:hAnsi="宋体" w:cs="宋体"/>
          <w:szCs w:val="21"/>
          <w:u w:val="single"/>
        </w:rPr>
        <w:t xml:space="preserve">           </w:t>
      </w:r>
    </w:p>
    <w:p>
      <w:pPr>
        <w:snapToGrid w:val="0"/>
        <w:spacing w:line="360" w:lineRule="auto"/>
        <w:rPr>
          <w:rFonts w:ascii="宋体" w:hAnsi="宋体" w:cs="宋体"/>
          <w:szCs w:val="21"/>
        </w:rPr>
      </w:pPr>
      <w:r>
        <w:rPr>
          <w:rFonts w:hint="eastAsia" w:ascii="宋体" w:hAnsi="宋体" w:cs="宋体"/>
          <w:szCs w:val="21"/>
        </w:rPr>
        <w:t>被授权人身份证号码：</w:t>
      </w:r>
      <w:r>
        <w:rPr>
          <w:rFonts w:hint="eastAsia" w:ascii="宋体" w:hAnsi="宋体" w:cs="宋体"/>
          <w:szCs w:val="21"/>
          <w:u w:val="single"/>
        </w:rPr>
        <w:t xml:space="preserve">                             </w:t>
      </w:r>
      <w:r>
        <w:rPr>
          <w:rFonts w:hint="eastAsia" w:ascii="宋体" w:hAnsi="宋体" w:cs="宋体"/>
          <w:szCs w:val="21"/>
        </w:rPr>
        <w:t xml:space="preserve"> </w:t>
      </w:r>
    </w:p>
    <w:p>
      <w:pPr>
        <w:snapToGrid w:val="0"/>
        <w:spacing w:line="360" w:lineRule="auto"/>
        <w:rPr>
          <w:rFonts w:ascii="宋体" w:hAnsi="宋体" w:cs="宋体"/>
          <w:szCs w:val="21"/>
        </w:rPr>
      </w:pPr>
      <w:r>
        <w:rPr>
          <w:rFonts w:hint="eastAsia" w:ascii="宋体" w:hAnsi="宋体" w:cs="宋体"/>
          <w:szCs w:val="21"/>
        </w:rPr>
        <w:t xml:space="preserve">                                    </w:t>
      </w:r>
    </w:p>
    <w:p>
      <w:pPr>
        <w:snapToGrid w:val="0"/>
        <w:spacing w:line="360" w:lineRule="auto"/>
        <w:rPr>
          <w:rFonts w:ascii="宋体" w:hAnsi="宋体" w:cs="宋体"/>
          <w:szCs w:val="21"/>
        </w:rPr>
      </w:pPr>
    </w:p>
    <w:p>
      <w:pPr>
        <w:spacing w:line="360" w:lineRule="auto"/>
        <w:ind w:firstLine="4830" w:firstLineChars="2300"/>
        <w:rPr>
          <w:rFonts w:ascii="宋体" w:hAnsi="宋体" w:cs="宋体"/>
        </w:rPr>
      </w:pPr>
      <w:r>
        <w:rPr>
          <w:rFonts w:hint="eastAsia" w:ascii="宋体" w:hAnsi="宋体" w:cs="宋体"/>
        </w:rPr>
        <w:t>投标人（盖章）：</w:t>
      </w:r>
    </w:p>
    <w:p>
      <w:pPr>
        <w:spacing w:line="360" w:lineRule="auto"/>
        <w:ind w:firstLine="1260" w:firstLineChars="600"/>
        <w:rPr>
          <w:rFonts w:ascii="宋体" w:hAnsi="宋体" w:cs="宋体"/>
        </w:rPr>
      </w:pPr>
      <w:r>
        <w:rPr>
          <w:rFonts w:hint="eastAsia" w:ascii="宋体" w:hAnsi="宋体" w:cs="宋体"/>
        </w:rPr>
        <w:t xml:space="preserve">                                  日期：</w:t>
      </w: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r>
        <w:rPr>
          <w:rFonts w:hint="eastAsia" w:ascii="宋体" w:hAnsi="宋体" w:cs="宋体"/>
          <w:b/>
          <w:szCs w:val="21"/>
        </w:rPr>
        <w:t>附：法定代表人身份证复印件（正反面）、授权代表身份证复印件（正反面）：</w:t>
      </w:r>
    </w:p>
    <w:p>
      <w:pPr>
        <w:snapToGrid w:val="0"/>
        <w:spacing w:line="360" w:lineRule="auto"/>
        <w:rPr>
          <w:rFonts w:cs="仿宋" w:asciiTheme="majorEastAsia" w:hAnsiTheme="majorEastAsia" w:eastAsiaTheme="majorEastAsia"/>
          <w:sz w:val="24"/>
        </w:rPr>
      </w:pPr>
    </w:p>
    <w:p>
      <w:pPr>
        <w:spacing w:line="360" w:lineRule="auto"/>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b/>
          <w:kern w:val="0"/>
          <w:sz w:val="32"/>
          <w:szCs w:val="32"/>
          <w:lang w:val="zh-CN"/>
        </w:rPr>
        <w:t xml:space="preserve">      </w:t>
      </w:r>
      <w:r>
        <w:rPr>
          <w:rFonts w:hint="eastAsia" w:cs="仿宋" w:asciiTheme="majorEastAsia" w:hAnsiTheme="majorEastAsia" w:eastAsiaTheme="majorEastAsia"/>
          <w:b/>
          <w:kern w:val="0"/>
          <w:sz w:val="32"/>
          <w:szCs w:val="32"/>
        </w:rPr>
        <w:t xml:space="preserve"> </w:t>
      </w: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br w:type="page"/>
      </w:r>
      <w:r>
        <w:rPr>
          <w:rFonts w:hint="eastAsia" w:cs="仿宋" w:asciiTheme="majorEastAsia" w:hAnsiTheme="majorEastAsia" w:eastAsiaTheme="majorEastAsia"/>
          <w:b/>
          <w:kern w:val="0"/>
          <w:sz w:val="32"/>
          <w:szCs w:val="32"/>
          <w:lang w:val="zh-CN"/>
        </w:rPr>
        <w:t>投标人基本情况</w:t>
      </w:r>
      <w:bookmarkEnd w:id="416"/>
      <w:bookmarkEnd w:id="417"/>
      <w:bookmarkEnd w:id="418"/>
      <w:bookmarkEnd w:id="419"/>
      <w:bookmarkEnd w:id="420"/>
      <w:bookmarkEnd w:id="421"/>
      <w:r>
        <w:rPr>
          <w:rFonts w:hint="eastAsia" w:cs="仿宋" w:asciiTheme="majorEastAsia" w:hAnsiTheme="majorEastAsia" w:eastAsiaTheme="majorEastAsia"/>
          <w:b/>
          <w:kern w:val="0"/>
          <w:sz w:val="32"/>
          <w:szCs w:val="32"/>
          <w:lang w:val="zh-CN"/>
        </w:rPr>
        <w:t>表</w:t>
      </w:r>
    </w:p>
    <w:tbl>
      <w:tblPr>
        <w:tblStyle w:val="19"/>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投标人名称</w:t>
            </w:r>
          </w:p>
        </w:tc>
        <w:tc>
          <w:tcPr>
            <w:tcW w:w="7647" w:type="dxa"/>
            <w:gridSpan w:val="5"/>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注册地址</w:t>
            </w:r>
          </w:p>
        </w:tc>
        <w:tc>
          <w:tcPr>
            <w:tcW w:w="2809"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成立时间</w:t>
            </w:r>
          </w:p>
        </w:tc>
        <w:tc>
          <w:tcPr>
            <w:tcW w:w="3052"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统一信用代码</w:t>
            </w:r>
          </w:p>
        </w:tc>
        <w:tc>
          <w:tcPr>
            <w:tcW w:w="2809"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注册资金</w:t>
            </w:r>
          </w:p>
        </w:tc>
        <w:tc>
          <w:tcPr>
            <w:tcW w:w="3052"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投标联系人姓名</w:t>
            </w:r>
          </w:p>
        </w:tc>
        <w:tc>
          <w:tcPr>
            <w:tcW w:w="1936" w:type="dxa"/>
            <w:vAlign w:val="center"/>
          </w:tcPr>
          <w:p>
            <w:pPr>
              <w:adjustRightInd w:val="0"/>
              <w:snapToGrid w:val="0"/>
              <w:spacing w:line="360" w:lineRule="auto"/>
              <w:rPr>
                <w:rFonts w:cs="仿宋" w:asciiTheme="majorEastAsia" w:hAnsiTheme="majorEastAsia" w:eastAsiaTheme="majorEastAsia"/>
                <w:kern w:val="0"/>
                <w:sz w:val="24"/>
                <w:lang w:val="zh-CN"/>
              </w:rPr>
            </w:pPr>
          </w:p>
        </w:tc>
        <w:tc>
          <w:tcPr>
            <w:tcW w:w="873"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电话</w:t>
            </w: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20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手机</w:t>
            </w:r>
          </w:p>
        </w:tc>
        <w:tc>
          <w:tcPr>
            <w:tcW w:w="1852" w:type="dxa"/>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法定代表人姓名</w:t>
            </w:r>
          </w:p>
        </w:tc>
        <w:tc>
          <w:tcPr>
            <w:tcW w:w="1936" w:type="dxa"/>
            <w:vAlign w:val="center"/>
          </w:tcPr>
          <w:p>
            <w:pPr>
              <w:adjustRightInd w:val="0"/>
              <w:snapToGrid w:val="0"/>
              <w:spacing w:line="360" w:lineRule="auto"/>
              <w:rPr>
                <w:rFonts w:cs="仿宋" w:asciiTheme="majorEastAsia" w:hAnsiTheme="majorEastAsia" w:eastAsiaTheme="majorEastAsia"/>
                <w:kern w:val="0"/>
                <w:sz w:val="24"/>
                <w:lang w:val="zh-CN"/>
              </w:rPr>
            </w:pPr>
          </w:p>
        </w:tc>
        <w:tc>
          <w:tcPr>
            <w:tcW w:w="873"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电话</w:t>
            </w: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20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手机</w:t>
            </w:r>
          </w:p>
        </w:tc>
        <w:tc>
          <w:tcPr>
            <w:tcW w:w="1852" w:type="dxa"/>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项目负责人姓名</w:t>
            </w:r>
          </w:p>
        </w:tc>
        <w:tc>
          <w:tcPr>
            <w:tcW w:w="1936" w:type="dxa"/>
            <w:vAlign w:val="center"/>
          </w:tcPr>
          <w:p>
            <w:pPr>
              <w:adjustRightInd w:val="0"/>
              <w:snapToGrid w:val="0"/>
              <w:spacing w:line="360" w:lineRule="auto"/>
              <w:rPr>
                <w:rFonts w:cs="仿宋" w:asciiTheme="majorEastAsia" w:hAnsiTheme="majorEastAsia" w:eastAsiaTheme="majorEastAsia"/>
                <w:kern w:val="0"/>
                <w:sz w:val="24"/>
                <w:lang w:val="zh-CN"/>
              </w:rPr>
            </w:pPr>
          </w:p>
        </w:tc>
        <w:tc>
          <w:tcPr>
            <w:tcW w:w="873"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电话</w:t>
            </w: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20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技术职称</w:t>
            </w:r>
          </w:p>
        </w:tc>
        <w:tc>
          <w:tcPr>
            <w:tcW w:w="1852" w:type="dxa"/>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员工总人数：</w:t>
            </w:r>
          </w:p>
        </w:tc>
        <w:tc>
          <w:tcPr>
            <w:tcW w:w="1936" w:type="dxa"/>
            <w:vMerge w:val="restart"/>
            <w:vAlign w:val="center"/>
          </w:tcPr>
          <w:p>
            <w:pPr>
              <w:adjustRightInd w:val="0"/>
              <w:snapToGrid w:val="0"/>
              <w:spacing w:line="360" w:lineRule="auto"/>
              <w:rPr>
                <w:rFonts w:cs="仿宋" w:asciiTheme="majorEastAsia" w:hAnsiTheme="majorEastAsia" w:eastAsiaTheme="majorEastAsia"/>
                <w:kern w:val="0"/>
                <w:sz w:val="24"/>
                <w:lang w:val="zh-CN"/>
              </w:rPr>
            </w:pPr>
          </w:p>
        </w:tc>
        <w:tc>
          <w:tcPr>
            <w:tcW w:w="873" w:type="dxa"/>
            <w:vMerge w:val="restart"/>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其中</w:t>
            </w: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高级职称</w:t>
            </w:r>
          </w:p>
        </w:tc>
        <w:tc>
          <w:tcPr>
            <w:tcW w:w="3052"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936" w:type="dxa"/>
            <w:vMerge w:val="continue"/>
            <w:vAlign w:val="center"/>
          </w:tcPr>
          <w:p>
            <w:pPr>
              <w:adjustRightInd w:val="0"/>
              <w:snapToGrid w:val="0"/>
              <w:spacing w:line="360" w:lineRule="auto"/>
              <w:rPr>
                <w:rFonts w:cs="仿宋" w:asciiTheme="majorEastAsia" w:hAnsiTheme="majorEastAsia" w:eastAsiaTheme="majorEastAsia"/>
                <w:kern w:val="0"/>
                <w:sz w:val="24"/>
                <w:lang w:val="zh-CN"/>
              </w:rPr>
            </w:pPr>
          </w:p>
        </w:tc>
        <w:tc>
          <w:tcPr>
            <w:tcW w:w="873" w:type="dxa"/>
            <w:vMerge w:val="continue"/>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中级职称</w:t>
            </w:r>
          </w:p>
        </w:tc>
        <w:tc>
          <w:tcPr>
            <w:tcW w:w="3052"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936" w:type="dxa"/>
            <w:vMerge w:val="continue"/>
            <w:vAlign w:val="center"/>
          </w:tcPr>
          <w:p>
            <w:pPr>
              <w:adjustRightInd w:val="0"/>
              <w:snapToGrid w:val="0"/>
              <w:spacing w:line="360" w:lineRule="auto"/>
              <w:rPr>
                <w:rFonts w:cs="仿宋" w:asciiTheme="majorEastAsia" w:hAnsiTheme="majorEastAsia" w:eastAsiaTheme="majorEastAsia"/>
                <w:kern w:val="0"/>
                <w:sz w:val="24"/>
                <w:lang w:val="zh-CN"/>
              </w:rPr>
            </w:pPr>
          </w:p>
        </w:tc>
        <w:tc>
          <w:tcPr>
            <w:tcW w:w="873" w:type="dxa"/>
            <w:vMerge w:val="continue"/>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786"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各类注册人员</w:t>
            </w:r>
          </w:p>
        </w:tc>
        <w:tc>
          <w:tcPr>
            <w:tcW w:w="3052" w:type="dxa"/>
            <w:gridSpan w:val="2"/>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基本账户开户银行</w:t>
            </w:r>
          </w:p>
        </w:tc>
        <w:tc>
          <w:tcPr>
            <w:tcW w:w="7647" w:type="dxa"/>
            <w:gridSpan w:val="5"/>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基本账户账号</w:t>
            </w:r>
          </w:p>
        </w:tc>
        <w:tc>
          <w:tcPr>
            <w:tcW w:w="7647" w:type="dxa"/>
            <w:gridSpan w:val="5"/>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经营范围</w:t>
            </w:r>
          </w:p>
        </w:tc>
        <w:tc>
          <w:tcPr>
            <w:tcW w:w="7647" w:type="dxa"/>
            <w:gridSpan w:val="5"/>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备注</w:t>
            </w:r>
          </w:p>
        </w:tc>
        <w:tc>
          <w:tcPr>
            <w:tcW w:w="7647" w:type="dxa"/>
            <w:gridSpan w:val="5"/>
            <w:vAlign w:val="center"/>
          </w:tcPr>
          <w:p>
            <w:pPr>
              <w:adjustRightInd w:val="0"/>
              <w:snapToGrid w:val="0"/>
              <w:spacing w:line="360" w:lineRule="auto"/>
              <w:rPr>
                <w:rFonts w:cs="仿宋" w:asciiTheme="majorEastAsia" w:hAnsiTheme="majorEastAsia" w:eastAsiaTheme="majorEastAsia"/>
                <w:kern w:val="0"/>
                <w:sz w:val="24"/>
                <w:lang w:val="zh-CN"/>
              </w:rPr>
            </w:pPr>
          </w:p>
        </w:tc>
      </w:tr>
    </w:tbl>
    <w:p>
      <w:pPr>
        <w:adjustRightInd w:val="0"/>
        <w:snapToGrid w:val="0"/>
        <w:spacing w:line="360" w:lineRule="auto"/>
        <w:ind w:firstLine="482" w:firstLineChars="200"/>
        <w:rPr>
          <w:rFonts w:cs="仿宋" w:asciiTheme="majorEastAsia" w:hAnsiTheme="majorEastAsia" w:eastAsiaTheme="majorEastAsia"/>
          <w:b/>
          <w:bCs/>
          <w:kern w:val="0"/>
          <w:sz w:val="24"/>
          <w:lang w:val="zh-CN"/>
        </w:rPr>
      </w:pPr>
      <w:r>
        <w:rPr>
          <w:rFonts w:hint="eastAsia" w:cs="仿宋" w:asciiTheme="majorEastAsia" w:hAnsiTheme="majorEastAsia" w:eastAsiaTheme="majorEastAsia"/>
          <w:b/>
          <w:bCs/>
          <w:kern w:val="0"/>
          <w:sz w:val="24"/>
          <w:lang w:val="zh-CN"/>
        </w:rPr>
        <w:t>兹证明上述声明是真实、正确的，并提供了全部能提供的资料和数据，我们同意遵照贵方要求出示有关证明文件。</w:t>
      </w:r>
    </w:p>
    <w:p>
      <w:pPr>
        <w:adjustRightInd w:val="0"/>
        <w:snapToGrid w:val="0"/>
        <w:spacing w:line="360" w:lineRule="auto"/>
        <w:rPr>
          <w:rFonts w:cs="仿宋" w:asciiTheme="majorEastAsia" w:hAnsiTheme="majorEastAsia" w:eastAsiaTheme="majorEastAsia"/>
          <w:kern w:val="0"/>
          <w:sz w:val="24"/>
          <w:lang w:val="zh-CN"/>
        </w:rPr>
      </w:pPr>
    </w:p>
    <w:p>
      <w:pPr>
        <w:pStyle w:val="2"/>
        <w:spacing w:line="360" w:lineRule="auto"/>
        <w:ind w:firstLine="560"/>
        <w:rPr>
          <w:rFonts w:cs="仿宋" w:asciiTheme="majorEastAsia" w:hAnsiTheme="majorEastAsia" w:eastAsiaTheme="majorEastAsia"/>
          <w:lang w:val="zh-CN"/>
        </w:rPr>
      </w:pPr>
    </w:p>
    <w:p>
      <w:pPr>
        <w:adjustRightInd w:val="0"/>
        <w:snapToGrid w:val="0"/>
        <w:spacing w:line="360" w:lineRule="auto"/>
        <w:ind w:firstLine="4080" w:firstLineChars="17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法定代表人或其授权委托人（签名或印章）：</w:t>
      </w:r>
    </w:p>
    <w:p>
      <w:pPr>
        <w:adjustRightInd w:val="0"/>
        <w:snapToGrid w:val="0"/>
        <w:spacing w:line="360" w:lineRule="auto"/>
        <w:ind w:firstLine="4080" w:firstLineChars="17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投标人（盖章）：</w:t>
      </w:r>
    </w:p>
    <w:p>
      <w:pPr>
        <w:adjustRightInd w:val="0"/>
        <w:snapToGrid w:val="0"/>
        <w:spacing w:line="360" w:lineRule="auto"/>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kern w:val="0"/>
          <w:sz w:val="24"/>
          <w:lang w:val="zh-CN"/>
        </w:rPr>
        <w:t xml:space="preserve">                                  日期：</w:t>
      </w: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br w:type="page"/>
      </w:r>
      <w:r>
        <w:rPr>
          <w:rFonts w:hint="eastAsia" w:cs="仿宋" w:asciiTheme="majorEastAsia" w:hAnsiTheme="majorEastAsia" w:eastAsiaTheme="majorEastAsia"/>
          <w:b/>
          <w:kern w:val="0"/>
          <w:sz w:val="32"/>
          <w:szCs w:val="32"/>
          <w:lang w:val="zh-CN"/>
        </w:rPr>
        <w:t>距采购人最近或者能为本项目提供最优服务的网点情况表</w:t>
      </w:r>
    </w:p>
    <w:p>
      <w:pPr>
        <w:spacing w:line="360" w:lineRule="auto"/>
        <w:rPr>
          <w:rFonts w:cs="仿宋" w:asciiTheme="majorEastAsia" w:hAnsiTheme="majorEastAsia" w:eastAsiaTheme="majorEastAsia"/>
        </w:rPr>
      </w:pPr>
    </w:p>
    <w:tbl>
      <w:tblPr>
        <w:tblStyle w:val="1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pPr>
              <w:adjustRightInd w:val="0"/>
              <w:snapToGrid w:val="0"/>
              <w:spacing w:line="360" w:lineRule="auto"/>
              <w:rPr>
                <w:rFonts w:cs="仿宋" w:asciiTheme="majorEastAsia" w:hAnsiTheme="majorEastAsia" w:eastAsiaTheme="majorEastAsia"/>
                <w:kern w:val="0"/>
                <w:sz w:val="24"/>
                <w:lang w:val="zh-CN"/>
              </w:rPr>
            </w:pPr>
          </w:p>
        </w:tc>
      </w:tr>
    </w:tbl>
    <w:p>
      <w:pPr>
        <w:spacing w:line="360" w:lineRule="auto"/>
        <w:rPr>
          <w:rFonts w:cs="仿宋" w:asciiTheme="majorEastAsia" w:hAnsiTheme="majorEastAsia" w:eastAsiaTheme="majorEastAsia"/>
        </w:rPr>
      </w:pPr>
    </w:p>
    <w:p>
      <w:pPr>
        <w:spacing w:line="360" w:lineRule="auto"/>
        <w:rPr>
          <w:rFonts w:cs="仿宋" w:asciiTheme="majorEastAsia" w:hAnsiTheme="majorEastAsia" w:eastAsiaTheme="majorEastAsia"/>
        </w:rPr>
      </w:pPr>
    </w:p>
    <w:p>
      <w:pPr>
        <w:adjustRightInd w:val="0"/>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rPr>
        <w:t xml:space="preserve">       </w:t>
      </w:r>
    </w:p>
    <w:p>
      <w:pPr>
        <w:adjustRightInd w:val="0"/>
        <w:snapToGrid w:val="0"/>
        <w:spacing w:line="360" w:lineRule="auto"/>
        <w:ind w:left="3990" w:leftChars="19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法定代表人或其授权委托人（签名或印章）：</w:t>
      </w:r>
    </w:p>
    <w:p>
      <w:pPr>
        <w:adjustRightInd w:val="0"/>
        <w:snapToGrid w:val="0"/>
        <w:spacing w:line="360" w:lineRule="auto"/>
        <w:ind w:left="3990" w:leftChars="19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投标人（盖章）：</w:t>
      </w:r>
    </w:p>
    <w:p>
      <w:pPr>
        <w:adjustRightInd w:val="0"/>
        <w:snapToGrid w:val="0"/>
        <w:spacing w:line="360" w:lineRule="auto"/>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kern w:val="0"/>
          <w:sz w:val="24"/>
          <w:lang w:val="zh-CN"/>
        </w:rPr>
        <w:t xml:space="preserve">                                 日期</w:t>
      </w:r>
      <w:r>
        <w:rPr>
          <w:rFonts w:hint="eastAsia" w:cs="仿宋" w:asciiTheme="majorEastAsia" w:hAnsiTheme="majorEastAsia" w:eastAsiaTheme="majorEastAsia"/>
          <w:kern w:val="0"/>
          <w:sz w:val="24"/>
        </w:rPr>
        <w:t>:</w:t>
      </w: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br w:type="page"/>
      </w:r>
      <w:r>
        <w:rPr>
          <w:rFonts w:hint="eastAsia" w:cs="仿宋" w:asciiTheme="majorEastAsia" w:hAnsiTheme="majorEastAsia" w:eastAsiaTheme="majorEastAsia"/>
          <w:b/>
          <w:kern w:val="0"/>
          <w:sz w:val="32"/>
          <w:szCs w:val="32"/>
          <w:lang w:val="zh-CN"/>
        </w:rPr>
        <w:t>评标标准相应的商务技术资料</w:t>
      </w:r>
    </w:p>
    <w:p>
      <w:pPr>
        <w:snapToGrid w:val="0"/>
        <w:spacing w:line="360" w:lineRule="auto"/>
        <w:jc w:val="left"/>
        <w:rPr>
          <w:rFonts w:cs="仿宋" w:asciiTheme="majorEastAsia" w:hAnsiTheme="majorEastAsia" w:eastAsiaTheme="majorEastAsia"/>
          <w:b/>
          <w:sz w:val="24"/>
        </w:rPr>
      </w:pPr>
      <w:r>
        <w:rPr>
          <w:rFonts w:hint="eastAsia" w:cs="仿宋" w:asciiTheme="majorEastAsia" w:hAnsiTheme="majorEastAsia" w:eastAsiaTheme="majorEastAsia"/>
          <w:b/>
          <w:sz w:val="24"/>
        </w:rPr>
        <w:t>（按招标文件第四部分评标办法前附表中“投标文件中评标标准相应的商务技术资料目录”提供资料）</w:t>
      </w:r>
    </w:p>
    <w:p>
      <w:pPr>
        <w:pStyle w:val="2"/>
        <w:ind w:firstLine="560"/>
        <w:rPr>
          <w:rFonts w:asciiTheme="majorEastAsia" w:hAnsiTheme="majorEastAsia" w:eastAsiaTheme="majorEastAsia"/>
          <w:lang w:val="zh-CN"/>
        </w:rPr>
      </w:pP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t>商务响应表</w:t>
      </w:r>
    </w:p>
    <w:tbl>
      <w:tblPr>
        <w:tblStyle w:val="19"/>
        <w:tblW w:w="5000" w:type="pct"/>
        <w:tblInd w:w="0" w:type="dxa"/>
        <w:tblLayout w:type="autofit"/>
        <w:tblCellMar>
          <w:top w:w="0" w:type="dxa"/>
          <w:left w:w="108" w:type="dxa"/>
          <w:bottom w:w="0" w:type="dxa"/>
          <w:right w:w="108" w:type="dxa"/>
        </w:tblCellMar>
      </w:tblPr>
      <w:tblGrid>
        <w:gridCol w:w="1526"/>
        <w:gridCol w:w="5670"/>
        <w:gridCol w:w="708"/>
        <w:gridCol w:w="1382"/>
      </w:tblGrid>
      <w:tr>
        <w:tblPrEx>
          <w:tblCellMar>
            <w:top w:w="0" w:type="dxa"/>
            <w:left w:w="108" w:type="dxa"/>
            <w:bottom w:w="0" w:type="dxa"/>
            <w:right w:w="108" w:type="dxa"/>
          </w:tblCellMar>
        </w:tblPrEx>
        <w:trPr>
          <w:trHeight w:val="359"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jc w:val="center"/>
              <w:rPr>
                <w:rFonts w:cs="仿宋" w:asciiTheme="majorEastAsia" w:hAnsiTheme="majorEastAsia" w:eastAsiaTheme="majorEastAsia"/>
                <w:b/>
                <w:bCs/>
                <w:kern w:val="0"/>
                <w:sz w:val="24"/>
              </w:rPr>
            </w:pPr>
            <w:r>
              <w:rPr>
                <w:rFonts w:hint="eastAsia" w:cs="仿宋" w:asciiTheme="majorEastAsia" w:hAnsiTheme="majorEastAsia" w:eastAsiaTheme="majorEastAsia"/>
                <w:b/>
                <w:bCs/>
                <w:kern w:val="0"/>
                <w:sz w:val="24"/>
              </w:rPr>
              <w:t>项目</w:t>
            </w:r>
          </w:p>
        </w:tc>
        <w:tc>
          <w:tcPr>
            <w:tcW w:w="3053" w:type="pct"/>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jc w:val="center"/>
              <w:rPr>
                <w:rFonts w:cs="仿宋" w:asciiTheme="majorEastAsia" w:hAnsiTheme="majorEastAsia" w:eastAsiaTheme="majorEastAsia"/>
                <w:b/>
                <w:bCs/>
                <w:kern w:val="0"/>
                <w:sz w:val="24"/>
              </w:rPr>
            </w:pPr>
            <w:r>
              <w:rPr>
                <w:rFonts w:hint="eastAsia" w:cs="仿宋" w:asciiTheme="majorEastAsia" w:hAnsiTheme="majorEastAsia" w:eastAsiaTheme="majorEastAsia"/>
                <w:b/>
                <w:bCs/>
                <w:kern w:val="0"/>
                <w:sz w:val="24"/>
              </w:rPr>
              <w:t>要 求</w:t>
            </w:r>
          </w:p>
        </w:tc>
        <w:tc>
          <w:tcPr>
            <w:tcW w:w="381" w:type="pct"/>
            <w:tcBorders>
              <w:top w:val="single" w:color="000000" w:sz="4" w:space="0"/>
              <w:left w:val="single" w:color="000000" w:sz="4" w:space="0"/>
              <w:bottom w:val="single" w:color="000000" w:sz="4" w:space="0"/>
              <w:right w:val="single" w:color="000000" w:sz="4" w:space="0"/>
            </w:tcBorders>
          </w:tcPr>
          <w:p>
            <w:pPr>
              <w:tabs>
                <w:tab w:val="left" w:pos="0"/>
              </w:tabs>
              <w:adjustRightInd w:val="0"/>
              <w:snapToGrid w:val="0"/>
              <w:spacing w:line="360" w:lineRule="auto"/>
              <w:jc w:val="center"/>
              <w:rPr>
                <w:rFonts w:cs="仿宋" w:asciiTheme="majorEastAsia" w:hAnsiTheme="majorEastAsia" w:eastAsiaTheme="majorEastAsia"/>
                <w:b/>
                <w:bCs/>
                <w:kern w:val="0"/>
                <w:sz w:val="24"/>
              </w:rPr>
            </w:pPr>
            <w:r>
              <w:rPr>
                <w:rFonts w:hint="eastAsia" w:cs="仿宋" w:asciiTheme="majorEastAsia" w:hAnsiTheme="majorEastAsia" w:eastAsiaTheme="majorEastAsia"/>
                <w:b/>
                <w:bCs/>
                <w:kern w:val="0"/>
                <w:sz w:val="24"/>
              </w:rPr>
              <w:t>响应情况</w:t>
            </w:r>
          </w:p>
        </w:tc>
        <w:tc>
          <w:tcPr>
            <w:tcW w:w="744" w:type="pct"/>
            <w:tcBorders>
              <w:top w:val="single" w:color="000000" w:sz="4" w:space="0"/>
              <w:left w:val="single" w:color="000000" w:sz="4" w:space="0"/>
              <w:bottom w:val="single" w:color="000000" w:sz="4" w:space="0"/>
              <w:right w:val="single" w:color="000000" w:sz="4" w:space="0"/>
            </w:tcBorders>
          </w:tcPr>
          <w:p>
            <w:pPr>
              <w:tabs>
                <w:tab w:val="left" w:pos="0"/>
              </w:tabs>
              <w:adjustRightInd w:val="0"/>
              <w:snapToGrid w:val="0"/>
              <w:spacing w:line="360" w:lineRule="auto"/>
              <w:jc w:val="center"/>
              <w:rPr>
                <w:rFonts w:cs="仿宋" w:asciiTheme="majorEastAsia" w:hAnsiTheme="majorEastAsia" w:eastAsiaTheme="majorEastAsia"/>
                <w:b/>
                <w:bCs/>
                <w:kern w:val="0"/>
                <w:sz w:val="24"/>
              </w:rPr>
            </w:pPr>
            <w:r>
              <w:rPr>
                <w:rFonts w:hint="eastAsia" w:cs="仿宋" w:asciiTheme="majorEastAsia" w:hAnsiTheme="majorEastAsia" w:eastAsiaTheme="majorEastAsia"/>
                <w:b/>
                <w:bCs/>
                <w:kern w:val="0"/>
                <w:sz w:val="24"/>
              </w:rPr>
              <w:t>投标人承诺或说明</w:t>
            </w:r>
          </w:p>
        </w:tc>
      </w:tr>
      <w:tr>
        <w:tblPrEx>
          <w:tblCellMar>
            <w:top w:w="0" w:type="dxa"/>
            <w:left w:w="108" w:type="dxa"/>
            <w:bottom w:w="0" w:type="dxa"/>
            <w:right w:w="108" w:type="dxa"/>
          </w:tblCellMar>
        </w:tblPrEx>
        <w:trPr>
          <w:trHeight w:val="469"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付款条件</w:t>
            </w:r>
          </w:p>
        </w:tc>
        <w:tc>
          <w:tcPr>
            <w:tcW w:w="3053"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合同签订后15个日历天内支付合同总价的30%作为预付款，验收合格后15日历天内付至合同总价的95%，余款在质保期满后付清。</w:t>
            </w:r>
          </w:p>
          <w:p>
            <w:pPr>
              <w:pStyle w:val="2"/>
              <w:ind w:firstLine="0" w:firstLineChars="0"/>
              <w:jc w:val="left"/>
            </w:pPr>
            <w:r>
              <w:rPr>
                <w:rFonts w:hint="eastAsia" w:cs="仿宋" w:asciiTheme="majorEastAsia" w:hAnsiTheme="majorEastAsia" w:eastAsiaTheme="majorEastAsia"/>
                <w:kern w:val="0"/>
                <w:sz w:val="24"/>
              </w:rPr>
              <w:t>注：甲方支付预付款前，乙方需开具预付款同等金额的预付款保函（银行保函）及收据。预付款保函于验收合格后退还，乙方需开具预付款同等金额的增值税专票给甲方。</w:t>
            </w:r>
          </w:p>
        </w:tc>
        <w:tc>
          <w:tcPr>
            <w:tcW w:w="381"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c>
          <w:tcPr>
            <w:tcW w:w="744"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r>
      <w:tr>
        <w:tblPrEx>
          <w:tblCellMar>
            <w:top w:w="0" w:type="dxa"/>
            <w:left w:w="108" w:type="dxa"/>
            <w:bottom w:w="0" w:type="dxa"/>
            <w:right w:w="108" w:type="dxa"/>
          </w:tblCellMar>
        </w:tblPrEx>
        <w:trPr>
          <w:trHeight w:val="469"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tabs>
                <w:tab w:val="left" w:pos="0"/>
              </w:tabs>
              <w:adjustRightInd w:val="0"/>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履约保证金</w:t>
            </w:r>
          </w:p>
        </w:tc>
        <w:tc>
          <w:tcPr>
            <w:tcW w:w="3053" w:type="pct"/>
            <w:tcBorders>
              <w:top w:val="single" w:color="000000" w:sz="4" w:space="0"/>
              <w:left w:val="single" w:color="000000" w:sz="4" w:space="0"/>
              <w:bottom w:val="single" w:color="000000" w:sz="4" w:space="0"/>
              <w:right w:val="single" w:color="000000" w:sz="4" w:space="0"/>
            </w:tcBorders>
            <w:vAlign w:val="center"/>
          </w:tcPr>
          <w:p>
            <w:pPr>
              <w:widowControl/>
              <w:spacing w:line="0" w:lineRule="atLeast"/>
              <w:ind w:left="-108" w:right="-120"/>
              <w:jc w:val="left"/>
              <w:rPr>
                <w:rFonts w:ascii="宋体" w:hAnsi="宋体" w:cs="宋体"/>
                <w:sz w:val="24"/>
              </w:rPr>
            </w:pPr>
            <w:r>
              <w:rPr>
                <w:rFonts w:hint="eastAsia" w:ascii="宋体" w:hAnsi="宋体" w:cs="宋体"/>
                <w:sz w:val="24"/>
              </w:rPr>
              <w:t>履约担保</w:t>
            </w:r>
            <w:r>
              <w:rPr>
                <w:rFonts w:ascii="宋体" w:hAnsi="宋体" w:cs="宋体"/>
                <w:sz w:val="24"/>
              </w:rPr>
              <w:t>形式：</w:t>
            </w:r>
            <w:r>
              <w:rPr>
                <w:rFonts w:hint="eastAsia" w:ascii="宋体" w:hAnsi="宋体" w:cs="宋体"/>
                <w:sz w:val="24"/>
              </w:rPr>
              <w:t>电汇、银行保函、保险公司保函。</w:t>
            </w:r>
          </w:p>
          <w:p>
            <w:pPr>
              <w:widowControl/>
              <w:spacing w:line="0" w:lineRule="atLeast"/>
              <w:ind w:left="-108" w:right="-120"/>
              <w:jc w:val="left"/>
              <w:rPr>
                <w:rFonts w:ascii="宋体" w:hAnsi="宋体" w:cs="宋体"/>
                <w:sz w:val="24"/>
              </w:rPr>
            </w:pPr>
            <w:r>
              <w:rPr>
                <w:rFonts w:hint="eastAsia" w:ascii="宋体" w:hAnsi="宋体" w:cs="宋体"/>
                <w:sz w:val="24"/>
              </w:rPr>
              <w:t>履约担保</w:t>
            </w:r>
            <w:r>
              <w:rPr>
                <w:rFonts w:ascii="宋体" w:hAnsi="宋体" w:cs="宋体"/>
                <w:sz w:val="24"/>
              </w:rPr>
              <w:t>的收取及退还：</w:t>
            </w:r>
            <w:r>
              <w:rPr>
                <w:rFonts w:hint="eastAsia" w:ascii="宋体" w:hAnsi="宋体" w:cs="宋体"/>
                <w:sz w:val="24"/>
              </w:rPr>
              <w:t>按合同总金额的2.5%计收</w:t>
            </w:r>
            <w:r>
              <w:rPr>
                <w:rFonts w:ascii="宋体" w:hAnsi="宋体" w:cs="宋体"/>
                <w:sz w:val="24"/>
              </w:rPr>
              <w:t>，合同履行完毕（验收合格并交付使用）后5日内无息退还。</w:t>
            </w:r>
          </w:p>
        </w:tc>
        <w:tc>
          <w:tcPr>
            <w:tcW w:w="381" w:type="pct"/>
            <w:tcBorders>
              <w:top w:val="single" w:color="000000" w:sz="4" w:space="0"/>
              <w:left w:val="single" w:color="000000" w:sz="4" w:space="0"/>
              <w:bottom w:val="single" w:color="000000" w:sz="4" w:space="0"/>
              <w:right w:val="single" w:color="000000" w:sz="4" w:space="0"/>
            </w:tcBorders>
          </w:tcPr>
          <w:p>
            <w:pPr>
              <w:widowControl/>
              <w:spacing w:line="0" w:lineRule="atLeast"/>
              <w:ind w:left="-108" w:right="-120"/>
              <w:jc w:val="left"/>
              <w:rPr>
                <w:rFonts w:ascii="宋体" w:hAnsi="宋体" w:cs="宋体"/>
                <w:sz w:val="24"/>
              </w:rPr>
            </w:pPr>
          </w:p>
        </w:tc>
        <w:tc>
          <w:tcPr>
            <w:tcW w:w="744" w:type="pct"/>
            <w:tcBorders>
              <w:top w:val="single" w:color="000000" w:sz="4" w:space="0"/>
              <w:left w:val="single" w:color="000000" w:sz="4" w:space="0"/>
              <w:bottom w:val="single" w:color="000000" w:sz="4" w:space="0"/>
              <w:right w:val="single" w:color="000000" w:sz="4" w:space="0"/>
            </w:tcBorders>
          </w:tcPr>
          <w:p>
            <w:pPr>
              <w:widowControl/>
              <w:spacing w:line="0" w:lineRule="atLeast"/>
              <w:ind w:left="-108" w:right="-120"/>
              <w:jc w:val="left"/>
              <w:rPr>
                <w:rFonts w:ascii="宋体" w:hAnsi="宋体" w:cs="宋体"/>
                <w:sz w:val="24"/>
              </w:rPr>
            </w:pPr>
          </w:p>
        </w:tc>
      </w:tr>
      <w:tr>
        <w:tblPrEx>
          <w:tblCellMar>
            <w:top w:w="0" w:type="dxa"/>
            <w:left w:w="108" w:type="dxa"/>
            <w:bottom w:w="0" w:type="dxa"/>
            <w:right w:w="108" w:type="dxa"/>
          </w:tblCellMar>
        </w:tblPrEx>
        <w:trPr>
          <w:trHeight w:val="342"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工期及地点</w:t>
            </w:r>
          </w:p>
        </w:tc>
        <w:tc>
          <w:tcPr>
            <w:tcW w:w="3053"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cs="仿宋" w:asciiTheme="majorEastAsia" w:hAnsiTheme="majorEastAsia" w:eastAsiaTheme="majorEastAsia"/>
                <w:kern w:val="0"/>
                <w:sz w:val="24"/>
              </w:rPr>
              <w:t>工期</w:t>
            </w:r>
            <w:r>
              <w:rPr>
                <w:rFonts w:hint="eastAsia" w:cs="仿宋" w:asciiTheme="majorEastAsia" w:hAnsiTheme="majorEastAsia" w:eastAsiaTheme="majorEastAsia"/>
                <w:kern w:val="0"/>
                <w:sz w:val="24"/>
              </w:rPr>
              <w:t>：</w:t>
            </w:r>
            <w:r>
              <w:rPr>
                <w:rFonts w:hint="eastAsia" w:cs="仿宋" w:asciiTheme="majorEastAsia" w:hAnsiTheme="majorEastAsia" w:eastAsiaTheme="majorEastAsia"/>
                <w:sz w:val="24"/>
              </w:rPr>
              <w:t>2022年08月31日前完工并通过验收</w:t>
            </w:r>
            <w:r>
              <w:rPr>
                <w:rFonts w:hint="eastAsia" w:cs="仿宋" w:asciiTheme="majorEastAsia" w:hAnsiTheme="majorEastAsia" w:eastAsiaTheme="majorEastAsia"/>
                <w:kern w:val="0"/>
                <w:sz w:val="24"/>
              </w:rPr>
              <w:t>。</w:t>
            </w:r>
          </w:p>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地点：业主指定地点。</w:t>
            </w:r>
          </w:p>
        </w:tc>
        <w:tc>
          <w:tcPr>
            <w:tcW w:w="381"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c>
          <w:tcPr>
            <w:tcW w:w="744"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r>
      <w:tr>
        <w:tblPrEx>
          <w:tblCellMar>
            <w:top w:w="0" w:type="dxa"/>
            <w:left w:w="108" w:type="dxa"/>
            <w:bottom w:w="0" w:type="dxa"/>
            <w:right w:w="108" w:type="dxa"/>
          </w:tblCellMar>
        </w:tblPrEx>
        <w:trPr>
          <w:trHeight w:val="469"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产品及服务质量保证</w:t>
            </w:r>
          </w:p>
        </w:tc>
        <w:tc>
          <w:tcPr>
            <w:tcW w:w="3053"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供应商保证所供的商品必须是合格产品,如发生所供的商品与合同不符,采购人有权拒收或退货,由此产生的一切责任和后果由供应商承担。质保期自货物验收合格之日起计。</w:t>
            </w:r>
          </w:p>
        </w:tc>
        <w:tc>
          <w:tcPr>
            <w:tcW w:w="381"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c>
          <w:tcPr>
            <w:tcW w:w="744"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r>
      <w:tr>
        <w:tblPrEx>
          <w:tblCellMar>
            <w:top w:w="0" w:type="dxa"/>
            <w:left w:w="108" w:type="dxa"/>
            <w:bottom w:w="0" w:type="dxa"/>
            <w:right w:w="108" w:type="dxa"/>
          </w:tblCellMar>
        </w:tblPrEx>
        <w:trPr>
          <w:trHeight w:val="549"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质保期</w:t>
            </w:r>
          </w:p>
        </w:tc>
        <w:tc>
          <w:tcPr>
            <w:tcW w:w="3053"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项目验收合格并移交之日起24个月。</w:t>
            </w:r>
          </w:p>
        </w:tc>
        <w:tc>
          <w:tcPr>
            <w:tcW w:w="381"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c>
          <w:tcPr>
            <w:tcW w:w="744"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r>
      <w:tr>
        <w:tblPrEx>
          <w:tblCellMar>
            <w:top w:w="0" w:type="dxa"/>
            <w:left w:w="108" w:type="dxa"/>
            <w:bottom w:w="0" w:type="dxa"/>
            <w:right w:w="108" w:type="dxa"/>
          </w:tblCellMar>
        </w:tblPrEx>
        <w:trPr>
          <w:trHeight w:val="666" w:hRule="atLeast"/>
        </w:trPr>
        <w:tc>
          <w:tcPr>
            <w:tcW w:w="822"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售后技术服务要求</w:t>
            </w:r>
          </w:p>
        </w:tc>
        <w:tc>
          <w:tcPr>
            <w:tcW w:w="3053"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定期对场地进行保养回访，每年不少于2次，若发生故障时在24小时内到场进行维修。</w:t>
            </w:r>
          </w:p>
        </w:tc>
        <w:tc>
          <w:tcPr>
            <w:tcW w:w="381"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c>
          <w:tcPr>
            <w:tcW w:w="744"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r>
      <w:tr>
        <w:tblPrEx>
          <w:tblCellMar>
            <w:top w:w="0" w:type="dxa"/>
            <w:left w:w="108" w:type="dxa"/>
            <w:bottom w:w="0" w:type="dxa"/>
            <w:right w:w="108" w:type="dxa"/>
          </w:tblCellMar>
        </w:tblPrEx>
        <w:tc>
          <w:tcPr>
            <w:tcW w:w="822"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合同终止</w:t>
            </w:r>
          </w:p>
        </w:tc>
        <w:tc>
          <w:tcPr>
            <w:tcW w:w="3053" w:type="pct"/>
            <w:tcBorders>
              <w:top w:val="single" w:color="000000" w:sz="4" w:space="0"/>
              <w:left w:val="single" w:color="000000" w:sz="4" w:space="0"/>
              <w:bottom w:val="single" w:color="000000" w:sz="4" w:space="0"/>
              <w:right w:val="single" w:color="000000" w:sz="4" w:space="0"/>
            </w:tcBorders>
            <w:vAlign w:val="center"/>
          </w:tcPr>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（一）未能使合同货物达到合同附件规定的技术性能和指标的；</w:t>
            </w:r>
          </w:p>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（二）未能在合同规定的期限（或采购人同意延长的最终期限）内提供全部或部分货物的；</w:t>
            </w:r>
          </w:p>
          <w:p>
            <w:pPr>
              <w:pStyle w:val="2"/>
              <w:ind w:firstLine="0" w:firstLineChars="0"/>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（三）未能履行合同规定的其它义务。</w:t>
            </w:r>
          </w:p>
        </w:tc>
        <w:tc>
          <w:tcPr>
            <w:tcW w:w="381"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c>
          <w:tcPr>
            <w:tcW w:w="744" w:type="pct"/>
            <w:tcBorders>
              <w:top w:val="single" w:color="000000" w:sz="4" w:space="0"/>
              <w:left w:val="single" w:color="000000" w:sz="4" w:space="0"/>
              <w:bottom w:val="single" w:color="000000" w:sz="4" w:space="0"/>
              <w:right w:val="single" w:color="000000" w:sz="4" w:space="0"/>
            </w:tcBorders>
          </w:tcPr>
          <w:p>
            <w:pPr>
              <w:pStyle w:val="2"/>
              <w:ind w:firstLine="0" w:firstLineChars="0"/>
              <w:jc w:val="left"/>
              <w:rPr>
                <w:rFonts w:cs="仿宋" w:asciiTheme="majorEastAsia" w:hAnsiTheme="majorEastAsia" w:eastAsiaTheme="majorEastAsia"/>
                <w:kern w:val="0"/>
                <w:sz w:val="24"/>
              </w:rPr>
            </w:pPr>
          </w:p>
        </w:tc>
      </w:tr>
    </w:tbl>
    <w:p>
      <w:pPr>
        <w:adjustRightInd w:val="0"/>
        <w:snapToGrid w:val="0"/>
        <w:spacing w:line="360" w:lineRule="auto"/>
        <w:jc w:val="right"/>
        <w:rPr>
          <w:rFonts w:cs="仿宋" w:asciiTheme="majorEastAsia" w:hAnsiTheme="majorEastAsia" w:eastAsiaTheme="majorEastAsia"/>
          <w:kern w:val="0"/>
          <w:sz w:val="24"/>
        </w:rPr>
      </w:pPr>
    </w:p>
    <w:p>
      <w:pPr>
        <w:adjustRightInd w:val="0"/>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法定代表人或其授权委托人（签名或印章）：</w:t>
      </w:r>
    </w:p>
    <w:p>
      <w:pPr>
        <w:adjustRightInd w:val="0"/>
        <w:snapToGrid w:val="0"/>
        <w:spacing w:line="360" w:lineRule="auto"/>
        <w:ind w:left="3990" w:leftChars="1900"/>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投标人（盖章）：</w:t>
      </w:r>
    </w:p>
    <w:p>
      <w:pPr>
        <w:adjustRightInd w:val="0"/>
        <w:snapToGrid w:val="0"/>
        <w:spacing w:line="360" w:lineRule="auto"/>
        <w:ind w:right="1920"/>
        <w:jc w:val="center"/>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kern w:val="0"/>
          <w:sz w:val="24"/>
          <w:lang w:val="zh-CN"/>
        </w:rPr>
        <w:t xml:space="preserve">                                      日期</w:t>
      </w:r>
      <w:r>
        <w:rPr>
          <w:rFonts w:hint="eastAsia" w:cs="仿宋" w:asciiTheme="majorEastAsia" w:hAnsiTheme="majorEastAsia" w:eastAsiaTheme="majorEastAsia"/>
          <w:kern w:val="0"/>
          <w:sz w:val="24"/>
        </w:rPr>
        <w:t>:</w:t>
      </w: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t>技术响应表</w:t>
      </w:r>
    </w:p>
    <w:p>
      <w:pPr>
        <w:spacing w:line="360" w:lineRule="auto"/>
        <w:jc w:val="center"/>
        <w:rPr>
          <w:rFonts w:ascii="宋体" w:hAnsi="宋体" w:cs="宋体"/>
        </w:rPr>
      </w:pPr>
      <w:r>
        <w:rPr>
          <w:rFonts w:hint="eastAsia" w:ascii="宋体" w:hAnsi="宋体" w:cs="宋体"/>
          <w:b/>
        </w:rPr>
        <w:t>1.带</w:t>
      </w:r>
      <w:r>
        <w:rPr>
          <w:rFonts w:hint="eastAsia" w:cs="仿宋" w:asciiTheme="majorEastAsia" w:hAnsiTheme="majorEastAsia" w:eastAsiaTheme="majorEastAsia"/>
          <w:b/>
        </w:rPr>
        <w:t>▲</w:t>
      </w:r>
      <w:r>
        <w:rPr>
          <w:rFonts w:hint="eastAsia" w:ascii="宋体" w:hAnsi="宋体" w:cs="宋体"/>
          <w:b/>
        </w:rPr>
        <w:t>条款响应一览表</w:t>
      </w:r>
    </w:p>
    <w:p>
      <w:pPr>
        <w:spacing w:line="360" w:lineRule="auto"/>
        <w:rPr>
          <w:rFonts w:cs="仿宋" w:asciiTheme="majorEastAsia" w:hAnsiTheme="majorEastAsia" w:eastAsiaTheme="majorEastAsia"/>
          <w:kern w:val="0"/>
          <w:sz w:val="32"/>
          <w:szCs w:val="32"/>
          <w:lang w:val="zh-CN"/>
        </w:rPr>
      </w:pPr>
      <w:r>
        <w:rPr>
          <w:rFonts w:hint="eastAsia" w:ascii="宋体" w:hAnsi="宋体" w:cs="宋体"/>
        </w:rPr>
        <w:t>项目名称：</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szCs w:val="21"/>
              </w:rPr>
            </w:pPr>
            <w:r>
              <w:rPr>
                <w:rFonts w:hint="eastAsia" w:ascii="宋体" w:hAnsi="宋体" w:cs="宋体"/>
                <w:szCs w:val="21"/>
              </w:rPr>
              <w:t>序号</w:t>
            </w:r>
          </w:p>
        </w:tc>
        <w:tc>
          <w:tcPr>
            <w:tcW w:w="2787" w:type="dxa"/>
            <w:vAlign w:val="center"/>
          </w:tcPr>
          <w:p>
            <w:pPr>
              <w:ind w:firstLine="210" w:firstLineChars="100"/>
              <w:rPr>
                <w:rFonts w:ascii="宋体" w:hAnsi="宋体" w:cs="宋体"/>
              </w:rPr>
            </w:pPr>
            <w:r>
              <w:rPr>
                <w:rFonts w:hint="eastAsia" w:ascii="宋体" w:hAnsi="宋体" w:cs="宋体"/>
              </w:rPr>
              <w:t>采购文件条款描述</w:t>
            </w:r>
          </w:p>
        </w:tc>
        <w:tc>
          <w:tcPr>
            <w:tcW w:w="2788" w:type="dxa"/>
            <w:vAlign w:val="center"/>
          </w:tcPr>
          <w:p>
            <w:pPr>
              <w:ind w:left="-78" w:leftChars="-37" w:right="-80" w:rightChars="-38"/>
              <w:jc w:val="center"/>
              <w:rPr>
                <w:rFonts w:ascii="宋体" w:hAnsi="宋体" w:cs="宋体"/>
              </w:rPr>
            </w:pPr>
            <w:r>
              <w:rPr>
                <w:rFonts w:hint="eastAsia" w:ascii="宋体" w:hAnsi="宋体" w:cs="宋体"/>
              </w:rPr>
              <w:t>投标人响应描述</w:t>
            </w:r>
          </w:p>
        </w:tc>
        <w:tc>
          <w:tcPr>
            <w:tcW w:w="2788" w:type="dxa"/>
            <w:vAlign w:val="center"/>
          </w:tcPr>
          <w:p>
            <w:pPr>
              <w:ind w:left="-78" w:leftChars="-37" w:right="-80" w:rightChars="-38"/>
              <w:jc w:val="center"/>
              <w:rPr>
                <w:rFonts w:ascii="宋体" w:hAnsi="宋体" w:cs="宋体"/>
              </w:rPr>
            </w:pPr>
            <w:r>
              <w:rPr>
                <w:rFonts w:hint="eastAsia" w:ascii="宋体" w:hAnsi="宋体" w:cs="宋体"/>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r>
              <w:rPr>
                <w:rFonts w:hint="eastAsia" w:ascii="宋体" w:hAnsi="宋体" w:cs="宋体"/>
              </w:rPr>
              <w:t>……</w:t>
            </w: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bl>
    <w:p>
      <w:pPr>
        <w:spacing w:line="360" w:lineRule="auto"/>
        <w:jc w:val="left"/>
        <w:rPr>
          <w:rFonts w:ascii="宋体" w:hAnsi="宋体" w:cs="宋体"/>
        </w:rPr>
      </w:pPr>
      <w:r>
        <w:rPr>
          <w:rFonts w:hint="eastAsia" w:ascii="宋体" w:hAnsi="宋体" w:cs="宋体"/>
        </w:rPr>
        <w:t>说明：投标人必须对应采购文件“第三部分 采购需求”带“</w:t>
      </w:r>
      <w:r>
        <w:rPr>
          <w:rFonts w:hint="eastAsia" w:cs="仿宋" w:asciiTheme="majorEastAsia" w:hAnsiTheme="majorEastAsia" w:eastAsiaTheme="majorEastAsia"/>
          <w:b/>
        </w:rPr>
        <w:t>▲</w:t>
      </w:r>
      <w:r>
        <w:rPr>
          <w:rFonts w:hint="eastAsia" w:ascii="宋体" w:hAnsi="宋体" w:cs="宋体"/>
        </w:rPr>
        <w:t>”的条款逐条应答并按要求填写上表。条款要求提供的相关证明资料必须一并提供，否则视为不响应。</w:t>
      </w:r>
    </w:p>
    <w:p>
      <w:pPr>
        <w:spacing w:line="360" w:lineRule="auto"/>
        <w:jc w:val="right"/>
        <w:rPr>
          <w:rFonts w:ascii="宋体" w:hAnsi="宋体" w:cs="宋体"/>
        </w:rPr>
      </w:pPr>
      <w:r>
        <w:rPr>
          <w:rFonts w:hint="eastAsia" w:ascii="宋体" w:hAnsi="宋体" w:cs="宋体"/>
        </w:rPr>
        <w:t>法定代表人或其授权委托人（签名或印章）：</w:t>
      </w:r>
    </w:p>
    <w:p>
      <w:pPr>
        <w:spacing w:line="360" w:lineRule="auto"/>
        <w:ind w:firstLine="5040" w:firstLineChars="2400"/>
        <w:rPr>
          <w:rFonts w:ascii="宋体" w:hAnsi="宋体" w:cs="宋体"/>
        </w:rPr>
      </w:pPr>
      <w:r>
        <w:rPr>
          <w:rFonts w:hint="eastAsia" w:ascii="宋体" w:hAnsi="宋体" w:cs="宋体"/>
        </w:rPr>
        <w:t>投标人（盖章）：</w:t>
      </w:r>
    </w:p>
    <w:p>
      <w:pPr>
        <w:spacing w:line="360" w:lineRule="auto"/>
        <w:rPr>
          <w:rFonts w:ascii="宋体" w:hAnsi="宋体" w:cs="宋体"/>
          <w:sz w:val="24"/>
        </w:rPr>
      </w:pPr>
      <w:r>
        <w:rPr>
          <w:rFonts w:hint="eastAsia" w:ascii="宋体" w:hAnsi="宋体" w:cs="宋体"/>
        </w:rPr>
        <w:t xml:space="preserve">                                                日期：</w:t>
      </w:r>
    </w:p>
    <w:p>
      <w:pPr>
        <w:jc w:val="center"/>
        <w:rPr>
          <w:rFonts w:ascii="宋体" w:hAnsi="宋体" w:cs="宋体"/>
        </w:rPr>
      </w:pPr>
      <w:r>
        <w:rPr>
          <w:rFonts w:hint="eastAsia" w:ascii="宋体" w:hAnsi="宋体" w:cs="宋体"/>
          <w:b/>
        </w:rPr>
        <w:t>2.一般性条款响应一览表</w:t>
      </w:r>
    </w:p>
    <w:p>
      <w:pPr>
        <w:rPr>
          <w:rFonts w:ascii="宋体" w:hAnsi="宋体" w:cs="宋体"/>
        </w:rPr>
      </w:pPr>
    </w:p>
    <w:p>
      <w:pPr>
        <w:ind w:firstLine="210" w:firstLineChars="100"/>
        <w:rPr>
          <w:rFonts w:ascii="宋体" w:hAnsi="宋体" w:cs="宋体"/>
        </w:rPr>
      </w:pPr>
      <w:r>
        <w:rPr>
          <w:rFonts w:hint="eastAsia" w:ascii="宋体" w:hAnsi="宋体" w:cs="宋体"/>
        </w:rPr>
        <w:t xml:space="preserve">  项目名称：     </w:t>
      </w:r>
    </w:p>
    <w:p>
      <w:pPr>
        <w:ind w:firstLine="210" w:firstLineChars="100"/>
        <w:rPr>
          <w:rFonts w:ascii="宋体" w:hAnsi="宋体" w:cs="宋体"/>
        </w:rPr>
      </w:pPr>
      <w:r>
        <w:rPr>
          <w:rFonts w:hint="eastAsia" w:ascii="宋体" w:hAnsi="宋体" w:cs="宋体"/>
        </w:rPr>
        <w:t xml:space="preserve">   </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szCs w:val="21"/>
              </w:rPr>
            </w:pPr>
            <w:r>
              <w:rPr>
                <w:rFonts w:hint="eastAsia" w:ascii="宋体" w:hAnsi="宋体" w:cs="宋体"/>
                <w:szCs w:val="21"/>
              </w:rPr>
              <w:t>序号</w:t>
            </w:r>
          </w:p>
        </w:tc>
        <w:tc>
          <w:tcPr>
            <w:tcW w:w="2787" w:type="dxa"/>
            <w:vAlign w:val="center"/>
          </w:tcPr>
          <w:p>
            <w:pPr>
              <w:ind w:firstLine="210" w:firstLineChars="100"/>
              <w:rPr>
                <w:rFonts w:ascii="宋体" w:hAnsi="宋体" w:cs="宋体"/>
              </w:rPr>
            </w:pPr>
            <w:r>
              <w:rPr>
                <w:rFonts w:hint="eastAsia" w:ascii="宋体" w:hAnsi="宋体" w:cs="宋体"/>
              </w:rPr>
              <w:t>采购文件条款描述</w:t>
            </w:r>
          </w:p>
        </w:tc>
        <w:tc>
          <w:tcPr>
            <w:tcW w:w="2788" w:type="dxa"/>
            <w:vAlign w:val="center"/>
          </w:tcPr>
          <w:p>
            <w:pPr>
              <w:ind w:left="-78" w:leftChars="-37" w:right="-80" w:rightChars="-38"/>
              <w:jc w:val="center"/>
              <w:rPr>
                <w:rFonts w:ascii="宋体" w:hAnsi="宋体" w:cs="宋体"/>
              </w:rPr>
            </w:pPr>
            <w:r>
              <w:rPr>
                <w:rFonts w:hint="eastAsia" w:ascii="宋体" w:hAnsi="宋体" w:cs="宋体"/>
              </w:rPr>
              <w:t>投标人响应描述</w:t>
            </w:r>
          </w:p>
        </w:tc>
        <w:tc>
          <w:tcPr>
            <w:tcW w:w="2788" w:type="dxa"/>
            <w:vAlign w:val="center"/>
          </w:tcPr>
          <w:p>
            <w:pPr>
              <w:ind w:left="-78" w:leftChars="-37" w:right="-80" w:rightChars="-38"/>
              <w:jc w:val="center"/>
              <w:rPr>
                <w:rFonts w:ascii="宋体" w:hAnsi="宋体" w:cs="宋体"/>
              </w:rPr>
            </w:pPr>
            <w:r>
              <w:rPr>
                <w:rFonts w:hint="eastAsia" w:ascii="宋体" w:hAnsi="宋体" w:cs="宋体"/>
              </w:rPr>
              <w:t>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rPr>
                <w:rFonts w:ascii="宋体" w:hAnsi="宋体" w:cs="宋体"/>
              </w:rPr>
            </w:pPr>
            <w:r>
              <w:rPr>
                <w:rFonts w:hint="eastAsia" w:ascii="宋体" w:hAnsi="宋体" w:cs="宋体"/>
              </w:rPr>
              <w:t>……</w:t>
            </w:r>
          </w:p>
        </w:tc>
        <w:tc>
          <w:tcPr>
            <w:tcW w:w="2787" w:type="dxa"/>
          </w:tcPr>
          <w:p>
            <w:pPr>
              <w:rPr>
                <w:rFonts w:ascii="宋体" w:hAnsi="宋体" w:cs="宋体"/>
              </w:rPr>
            </w:pPr>
          </w:p>
        </w:tc>
        <w:tc>
          <w:tcPr>
            <w:tcW w:w="2788" w:type="dxa"/>
          </w:tcPr>
          <w:p>
            <w:pPr>
              <w:rPr>
                <w:rFonts w:ascii="宋体" w:hAnsi="宋体" w:cs="宋体"/>
              </w:rPr>
            </w:pPr>
          </w:p>
        </w:tc>
        <w:tc>
          <w:tcPr>
            <w:tcW w:w="2788" w:type="dxa"/>
          </w:tcPr>
          <w:p>
            <w:pPr>
              <w:rPr>
                <w:rFonts w:ascii="宋体" w:hAnsi="宋体" w:cs="宋体"/>
              </w:rPr>
            </w:pPr>
          </w:p>
        </w:tc>
      </w:tr>
    </w:tbl>
    <w:p>
      <w:pPr>
        <w:spacing w:line="360" w:lineRule="auto"/>
        <w:ind w:firstLine="210" w:firstLineChars="100"/>
        <w:rPr>
          <w:rFonts w:ascii="宋体" w:hAnsi="宋体" w:cs="宋体"/>
        </w:rPr>
      </w:pPr>
      <w:r>
        <w:rPr>
          <w:rFonts w:hint="eastAsia" w:ascii="宋体" w:hAnsi="宋体" w:cs="宋体"/>
        </w:rPr>
        <w:t>注：对采购文件“第三部分 采购需求”中具有参数性能指标要求的，投标人必须以所提供设备性能指标的具体参数值据实应答</w:t>
      </w:r>
      <w:r>
        <w:rPr>
          <w:rFonts w:hint="eastAsia" w:ascii="宋体" w:hAnsi="宋体" w:cs="宋体"/>
          <w:sz w:val="24"/>
        </w:rPr>
        <w:t>。</w:t>
      </w:r>
    </w:p>
    <w:p>
      <w:pPr>
        <w:spacing w:line="360" w:lineRule="auto"/>
        <w:ind w:firstLine="3360" w:firstLineChars="1600"/>
        <w:rPr>
          <w:rFonts w:ascii="宋体" w:hAnsi="宋体" w:cs="宋体"/>
        </w:rPr>
      </w:pPr>
      <w:r>
        <w:rPr>
          <w:rFonts w:hint="eastAsia" w:ascii="宋体" w:hAnsi="宋体" w:cs="宋体"/>
        </w:rPr>
        <w:t>法定代表人或其授权委托人（签名或印章）：</w:t>
      </w:r>
    </w:p>
    <w:p>
      <w:pPr>
        <w:spacing w:line="360" w:lineRule="auto"/>
        <w:ind w:firstLine="4830" w:firstLineChars="2300"/>
        <w:rPr>
          <w:rFonts w:ascii="宋体" w:hAnsi="宋体" w:cs="宋体"/>
        </w:rPr>
      </w:pPr>
      <w:r>
        <w:rPr>
          <w:rFonts w:hint="eastAsia" w:ascii="宋体" w:hAnsi="宋体" w:cs="宋体"/>
        </w:rPr>
        <w:t>投标人（盖章）：</w:t>
      </w:r>
    </w:p>
    <w:p>
      <w:pPr>
        <w:spacing w:line="360" w:lineRule="auto"/>
        <w:rPr>
          <w:rFonts w:ascii="宋体" w:hAnsi="宋体" w:cs="宋体"/>
          <w:sz w:val="24"/>
        </w:rPr>
      </w:pPr>
      <w:r>
        <w:rPr>
          <w:rFonts w:hint="eastAsia" w:ascii="宋体" w:hAnsi="宋体" w:cs="宋体"/>
        </w:rPr>
        <w:t xml:space="preserve">                                              日期：</w:t>
      </w:r>
    </w:p>
    <w:p>
      <w:pPr>
        <w:pStyle w:val="2"/>
        <w:ind w:firstLine="560"/>
      </w:pP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rPr>
        <w:br w:type="page"/>
      </w:r>
      <w:r>
        <w:rPr>
          <w:rFonts w:hint="eastAsia" w:cs="仿宋" w:asciiTheme="majorEastAsia" w:hAnsiTheme="majorEastAsia" w:eastAsiaTheme="majorEastAsia"/>
          <w:b/>
          <w:kern w:val="0"/>
          <w:sz w:val="32"/>
          <w:szCs w:val="32"/>
        </w:rPr>
        <w:t>同类业绩情况一览表</w:t>
      </w:r>
    </w:p>
    <w:p>
      <w:pPr>
        <w:spacing w:line="360" w:lineRule="auto"/>
        <w:jc w:val="center"/>
        <w:rPr>
          <w:rFonts w:cs="仿宋" w:asciiTheme="majorEastAsia" w:hAnsiTheme="majorEastAsia" w:eastAsiaTheme="majorEastAsia"/>
        </w:rPr>
      </w:pPr>
    </w:p>
    <w:tbl>
      <w:tblPr>
        <w:tblStyle w:val="19"/>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序号</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采购单位名称</w:t>
            </w:r>
          </w:p>
        </w:tc>
        <w:tc>
          <w:tcPr>
            <w:tcW w:w="1732" w:type="dxa"/>
            <w:tcBorders>
              <w:top w:val="single" w:color="auto" w:sz="4" w:space="0"/>
              <w:left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合同金额</w:t>
            </w:r>
          </w:p>
          <w:p>
            <w:pPr>
              <w:spacing w:line="360" w:lineRule="auto"/>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合同签订时间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9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9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9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9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w:t>
            </w:r>
          </w:p>
        </w:tc>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3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c>
          <w:tcPr>
            <w:tcW w:w="179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ajorEastAsia" w:hAnsiTheme="majorEastAsia" w:eastAsiaTheme="majorEastAsia"/>
                <w:kern w:val="0"/>
                <w:sz w:val="24"/>
              </w:rPr>
            </w:pPr>
          </w:p>
        </w:tc>
      </w:tr>
    </w:tbl>
    <w:p>
      <w:pPr>
        <w:spacing w:line="360" w:lineRule="auto"/>
        <w:jc w:val="left"/>
        <w:rPr>
          <w:rFonts w:cs="仿宋" w:asciiTheme="majorEastAsia" w:hAnsiTheme="majorEastAsia" w:eastAsiaTheme="majorEastAsia"/>
          <w:kern w:val="0"/>
          <w:sz w:val="24"/>
        </w:rPr>
      </w:pPr>
    </w:p>
    <w:p>
      <w:pPr>
        <w:spacing w:line="360" w:lineRule="auto"/>
        <w:jc w:val="left"/>
        <w:rPr>
          <w:rFonts w:cs="仿宋" w:asciiTheme="majorEastAsia" w:hAnsiTheme="majorEastAsia" w:eastAsiaTheme="majorEastAsia"/>
          <w:kern w:val="0"/>
          <w:sz w:val="24"/>
        </w:rPr>
      </w:pPr>
    </w:p>
    <w:p>
      <w:pPr>
        <w:spacing w:line="360" w:lineRule="auto"/>
        <w:jc w:val="left"/>
        <w:rPr>
          <w:rFonts w:cs="仿宋" w:asciiTheme="majorEastAsia" w:hAnsiTheme="majorEastAsia" w:eastAsiaTheme="majorEastAsia"/>
          <w:kern w:val="0"/>
          <w:sz w:val="24"/>
        </w:rPr>
      </w:pPr>
    </w:p>
    <w:p>
      <w:pPr>
        <w:adjustRightInd w:val="0"/>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法定代表人或其授权委托人（签名或印章）：</w:t>
      </w:r>
    </w:p>
    <w:p>
      <w:pPr>
        <w:adjustRightInd w:val="0"/>
        <w:snapToGrid w:val="0"/>
        <w:spacing w:line="360" w:lineRule="auto"/>
        <w:ind w:left="3990" w:leftChars="1900"/>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投标人（盖章）：</w:t>
      </w:r>
    </w:p>
    <w:p>
      <w:pPr>
        <w:adjustRightInd w:val="0"/>
        <w:snapToGrid w:val="0"/>
        <w:spacing w:line="360" w:lineRule="auto"/>
        <w:ind w:right="1920"/>
        <w:jc w:val="center"/>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kern w:val="0"/>
          <w:sz w:val="24"/>
          <w:lang w:val="zh-CN"/>
        </w:rPr>
        <w:t xml:space="preserve">                                      日期</w:t>
      </w:r>
      <w:r>
        <w:rPr>
          <w:rFonts w:hint="eastAsia" w:cs="仿宋" w:asciiTheme="majorEastAsia" w:hAnsiTheme="majorEastAsia" w:eastAsiaTheme="majorEastAsia"/>
          <w:kern w:val="0"/>
          <w:sz w:val="24"/>
        </w:rPr>
        <w:t>:</w:t>
      </w:r>
    </w:p>
    <w:p>
      <w:pPr>
        <w:spacing w:line="360" w:lineRule="auto"/>
        <w:ind w:left="4620" w:leftChars="2200"/>
        <w:jc w:val="left"/>
        <w:rPr>
          <w:rFonts w:cs="仿宋" w:asciiTheme="majorEastAsia" w:hAnsiTheme="majorEastAsia" w:eastAsiaTheme="majorEastAsia"/>
          <w:b/>
          <w:kern w:val="0"/>
          <w:sz w:val="32"/>
          <w:szCs w:val="32"/>
          <w:lang w:val="zh-CN"/>
        </w:rPr>
      </w:pPr>
    </w:p>
    <w:p>
      <w:pPr>
        <w:numPr>
          <w:ilvl w:val="0"/>
          <w:numId w:val="3"/>
        </w:numPr>
        <w:snapToGrid w:val="0"/>
        <w:spacing w:line="360" w:lineRule="auto"/>
        <w:jc w:val="center"/>
        <w:outlineLvl w:val="0"/>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kern w:val="0"/>
          <w:sz w:val="32"/>
          <w:szCs w:val="32"/>
          <w:lang w:val="zh-CN"/>
        </w:rPr>
        <w:br w:type="page"/>
      </w:r>
      <w:r>
        <w:rPr>
          <w:rFonts w:hint="eastAsia" w:cs="仿宋" w:asciiTheme="majorEastAsia" w:hAnsiTheme="majorEastAsia" w:eastAsiaTheme="majorEastAsia"/>
          <w:b/>
          <w:kern w:val="0"/>
          <w:sz w:val="32"/>
          <w:szCs w:val="32"/>
          <w:lang w:val="zh-CN"/>
        </w:rPr>
        <w:t>供应商廉洁自律承诺书</w:t>
      </w:r>
    </w:p>
    <w:p>
      <w:pPr>
        <w:snapToGrid w:val="0"/>
        <w:spacing w:line="360" w:lineRule="auto"/>
        <w:rPr>
          <w:rFonts w:cs="仿宋" w:asciiTheme="majorEastAsia" w:hAnsiTheme="majorEastAsia" w:eastAsiaTheme="majorEastAsia"/>
          <w:sz w:val="24"/>
        </w:rPr>
      </w:pPr>
    </w:p>
    <w:p>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我单位响应你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四、不为项目有关人员及部门出国（境）、旅游等提供方便；</w:t>
      </w:r>
    </w:p>
    <w:p>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五、不为项目有关人员个人装修住房、婚丧嫁娶、配偶子女工作安排等提供</w:t>
      </w:r>
    </w:p>
    <w:p>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好处；</w:t>
      </w:r>
    </w:p>
    <w:p>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六、严格遵守《</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政府采购法》《</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招标投标</w:t>
      </w:r>
    </w:p>
    <w:p>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w:t>
      </w:r>
      <w:r>
        <w:rPr>
          <w:rFonts w:hint="eastAsia" w:cs="仿宋" w:asciiTheme="majorEastAsia" w:hAnsiTheme="majorEastAsia" w:eastAsiaTheme="majorEastAsia"/>
          <w:sz w:val="24"/>
          <w:lang w:val="zh-CN"/>
        </w:rPr>
        <w:t>《中华人民共和国民法典》</w:t>
      </w:r>
      <w:r>
        <w:rPr>
          <w:rFonts w:hint="eastAsia" w:cs="仿宋" w:asciiTheme="majorEastAsia" w:hAnsiTheme="majorEastAsia" w:eastAsiaTheme="majorEastAsia"/>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如违反上述承诺，你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cs="仿宋" w:asciiTheme="majorEastAsia" w:hAnsiTheme="majorEastAsia" w:eastAsiaTheme="majorEastAsia"/>
          <w:kern w:val="0"/>
          <w:sz w:val="24"/>
          <w:lang w:val="zh-CN"/>
        </w:rPr>
      </w:pPr>
    </w:p>
    <w:p>
      <w:pPr>
        <w:autoSpaceDE w:val="0"/>
        <w:autoSpaceDN w:val="0"/>
        <w:spacing w:line="360" w:lineRule="auto"/>
        <w:ind w:left="2"/>
        <w:jc w:val="left"/>
        <w:rPr>
          <w:rFonts w:cs="仿宋" w:asciiTheme="majorEastAsia" w:hAnsiTheme="majorEastAsia" w:eastAsiaTheme="majorEastAsia"/>
          <w:kern w:val="0"/>
          <w:sz w:val="24"/>
          <w:lang w:val="zh-CN"/>
        </w:rPr>
      </w:pPr>
    </w:p>
    <w:p>
      <w:pPr>
        <w:autoSpaceDE w:val="0"/>
        <w:autoSpaceDN w:val="0"/>
        <w:spacing w:line="360" w:lineRule="auto"/>
        <w:ind w:left="2"/>
        <w:jc w:val="left"/>
        <w:rPr>
          <w:rFonts w:cs="仿宋" w:asciiTheme="majorEastAsia" w:hAnsiTheme="majorEastAsia" w:eastAsiaTheme="majorEastAsia"/>
          <w:kern w:val="0"/>
          <w:sz w:val="24"/>
          <w:lang w:val="zh-CN"/>
        </w:rPr>
      </w:pPr>
    </w:p>
    <w:p>
      <w:pPr>
        <w:adjustRightInd w:val="0"/>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法定代表人或其授权委托人（签名或印章）：</w:t>
      </w:r>
    </w:p>
    <w:p>
      <w:pPr>
        <w:adjustRightInd w:val="0"/>
        <w:snapToGrid w:val="0"/>
        <w:spacing w:line="360" w:lineRule="auto"/>
        <w:ind w:left="3990" w:leftChars="1900"/>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投标人（盖章）：</w:t>
      </w:r>
    </w:p>
    <w:p>
      <w:pPr>
        <w:adjustRightInd w:val="0"/>
        <w:snapToGrid w:val="0"/>
        <w:spacing w:line="360" w:lineRule="auto"/>
        <w:ind w:right="1920"/>
        <w:jc w:val="center"/>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kern w:val="0"/>
          <w:sz w:val="24"/>
          <w:lang w:val="zh-CN"/>
        </w:rPr>
        <w:t xml:space="preserve">                                      日期</w:t>
      </w:r>
      <w:r>
        <w:rPr>
          <w:rFonts w:hint="eastAsia" w:cs="仿宋" w:asciiTheme="majorEastAsia" w:hAnsiTheme="majorEastAsia" w:eastAsiaTheme="majorEastAsia"/>
          <w:kern w:val="0"/>
          <w:sz w:val="24"/>
        </w:rPr>
        <w:t>:</w:t>
      </w:r>
    </w:p>
    <w:p>
      <w:pPr>
        <w:spacing w:line="360" w:lineRule="auto"/>
        <w:ind w:left="4620" w:leftChars="2200"/>
        <w:rPr>
          <w:rFonts w:cs="仿宋" w:asciiTheme="majorEastAsia" w:hAnsiTheme="majorEastAsia" w:eastAsiaTheme="majorEastAsia"/>
          <w:sz w:val="24"/>
        </w:rPr>
      </w:pPr>
    </w:p>
    <w:p>
      <w:pPr>
        <w:spacing w:line="360" w:lineRule="auto"/>
        <w:jc w:val="center"/>
        <w:rPr>
          <w:rFonts w:cs="仿宋" w:asciiTheme="majorEastAsia" w:hAnsiTheme="majorEastAsia" w:eastAsiaTheme="majorEastAsia"/>
          <w:b/>
          <w:bCs/>
          <w:sz w:val="24"/>
        </w:rPr>
      </w:pPr>
    </w:p>
    <w:p>
      <w:pPr>
        <w:spacing w:line="360" w:lineRule="auto"/>
        <w:jc w:val="center"/>
        <w:rPr>
          <w:rFonts w:cs="仿宋" w:asciiTheme="majorEastAsia" w:hAnsiTheme="majorEastAsia" w:eastAsiaTheme="majorEastAsia"/>
          <w:b/>
          <w:bCs/>
          <w:sz w:val="24"/>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cs="仿宋" w:asciiTheme="majorEastAsia" w:hAnsiTheme="majorEastAsia" w:eastAsiaTheme="majorEastAsia"/>
          <w:b/>
          <w:kern w:val="0"/>
          <w:sz w:val="36"/>
          <w:szCs w:val="36"/>
        </w:rPr>
      </w:pP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报价文件部分</w:t>
      </w: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pPr>
        <w:snapToGrid w:val="0"/>
        <w:spacing w:line="360" w:lineRule="auto"/>
        <w:ind w:firstLine="480" w:firstLineChars="200"/>
        <w:rPr>
          <w:rFonts w:cs="仿宋" w:asciiTheme="majorEastAsia" w:hAnsiTheme="majorEastAsia" w:eastAsiaTheme="majorEastAsia"/>
          <w:sz w:val="24"/>
          <w:u w:val="single"/>
          <w:lang w:val="zh-CN"/>
        </w:rPr>
      </w:pPr>
      <w:r>
        <w:rPr>
          <w:rFonts w:hint="eastAsia" w:cs="仿宋" w:asciiTheme="majorEastAsia" w:hAnsiTheme="majorEastAsia" w:eastAsiaTheme="majorEastAsia"/>
          <w:sz w:val="24"/>
        </w:rPr>
        <w:t xml:space="preserve"> </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1 开标一览表；</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2 投标报价明细表；</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3 中小企业声明函（如有）；</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4 残疾人福利性单位声明函（如有）；</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5 监狱企业的证明文件（如有）；</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6 统计基础信息表；</w:t>
      </w:r>
    </w:p>
    <w:p>
      <w:pPr>
        <w:snapToGrid w:val="0"/>
        <w:spacing w:line="360" w:lineRule="auto"/>
        <w:ind w:firstLine="1120" w:firstLineChars="4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7 其他资料（如有）。</w:t>
      </w:r>
    </w:p>
    <w:p>
      <w:pPr>
        <w:snapToGrid w:val="0"/>
        <w:spacing w:line="360" w:lineRule="auto"/>
        <w:ind w:right="480"/>
        <w:rPr>
          <w:rFonts w:cs="仿宋" w:asciiTheme="majorEastAsia" w:hAnsiTheme="majorEastAsia" w:eastAsiaTheme="majorEastAsia"/>
          <w:b/>
          <w:kern w:val="0"/>
          <w:sz w:val="32"/>
          <w:szCs w:val="32"/>
        </w:rPr>
      </w:pPr>
    </w:p>
    <w:p>
      <w:pPr>
        <w:pStyle w:val="34"/>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pStyle w:val="34"/>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r>
        <w:rPr>
          <w:rFonts w:hint="eastAsia" w:cs="仿宋" w:asciiTheme="majorEastAsia" w:hAnsiTheme="majorEastAsia" w:eastAsiaTheme="majorEastAsia"/>
          <w:kern w:val="2"/>
          <w:sz w:val="32"/>
          <w:szCs w:val="32"/>
        </w:rPr>
        <w:t>一、开标一览表（报价表）</w:t>
      </w:r>
    </w:p>
    <w:p>
      <w:pPr>
        <w:snapToGrid w:val="0"/>
        <w:spacing w:line="360" w:lineRule="auto"/>
        <w:rPr>
          <w:rFonts w:cs="仿宋" w:asciiTheme="majorEastAsia" w:hAnsiTheme="majorEastAsia" w:eastAsiaTheme="majorEastAsia"/>
          <w:kern w:val="0"/>
          <w:sz w:val="24"/>
          <w:u w:val="single"/>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kern w:val="0"/>
          <w:sz w:val="24"/>
          <w:u w:val="single"/>
        </w:rPr>
        <w:t xml:space="preserve">                                     </w:t>
      </w:r>
    </w:p>
    <w:p>
      <w:pPr>
        <w:snapToGrid w:val="0"/>
        <w:spacing w:line="360" w:lineRule="auto"/>
        <w:ind w:firstLine="482"/>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sz w:val="24"/>
        </w:rPr>
        <w:t>（项目名称）</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sz w:val="24"/>
        </w:rPr>
        <w:t>项目编号：        】的实施</w:t>
      </w:r>
      <w:r>
        <w:rPr>
          <w:rFonts w:hint="eastAsia" w:cs="仿宋" w:asciiTheme="majorEastAsia" w:hAnsiTheme="majorEastAsia" w:eastAsiaTheme="majorEastAsia"/>
          <w:kern w:val="0"/>
          <w:sz w:val="24"/>
          <w:lang w:val="zh-CN"/>
        </w:rPr>
        <w:t>。</w:t>
      </w:r>
    </w:p>
    <w:p>
      <w:pPr>
        <w:spacing w:line="360" w:lineRule="auto"/>
        <w:jc w:val="center"/>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开标一览表（报价表）(单位均为人民币元)</w:t>
      </w:r>
    </w:p>
    <w:tbl>
      <w:tblPr>
        <w:tblStyle w:val="19"/>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序号</w:t>
            </w:r>
          </w:p>
        </w:tc>
        <w:tc>
          <w:tcPr>
            <w:tcW w:w="1417" w:type="dxa"/>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名称</w:t>
            </w:r>
          </w:p>
        </w:tc>
        <w:tc>
          <w:tcPr>
            <w:tcW w:w="1843" w:type="dxa"/>
          </w:tcPr>
          <w:p>
            <w:pPr>
              <w:spacing w:line="360" w:lineRule="auto"/>
              <w:jc w:val="center"/>
              <w:rPr>
                <w:rFonts w:cs="仿宋" w:asciiTheme="majorEastAsia" w:hAnsiTheme="majorEastAsia" w:eastAsiaTheme="majorEastAsia"/>
                <w:b/>
                <w:sz w:val="24"/>
              </w:rPr>
            </w:pPr>
          </w:p>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品牌（如果有）</w:t>
            </w:r>
          </w:p>
        </w:tc>
        <w:tc>
          <w:tcPr>
            <w:tcW w:w="3118" w:type="dxa"/>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规格型号（或具体服务）</w:t>
            </w:r>
          </w:p>
        </w:tc>
        <w:tc>
          <w:tcPr>
            <w:tcW w:w="993" w:type="dxa"/>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数量</w:t>
            </w:r>
          </w:p>
        </w:tc>
        <w:tc>
          <w:tcPr>
            <w:tcW w:w="1559" w:type="dxa"/>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单价</w:t>
            </w:r>
          </w:p>
        </w:tc>
        <w:tc>
          <w:tcPr>
            <w:tcW w:w="1984" w:type="dxa"/>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总价</w:t>
            </w:r>
          </w:p>
        </w:tc>
        <w:tc>
          <w:tcPr>
            <w:tcW w:w="3119" w:type="dxa"/>
            <w:vAlign w:val="center"/>
          </w:tcPr>
          <w:p>
            <w:pPr>
              <w:spacing w:line="360" w:lineRule="auto"/>
              <w:jc w:val="center"/>
              <w:rPr>
                <w:rFonts w:cs="仿宋" w:asciiTheme="majorEastAsia" w:hAnsiTheme="majorEastAsia" w:eastAsiaTheme="majorEastAsia"/>
                <w:b/>
                <w:sz w:val="24"/>
              </w:rPr>
            </w:pPr>
          </w:p>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服务要求（年限）</w:t>
            </w:r>
          </w:p>
          <w:p>
            <w:pPr>
              <w:spacing w:line="360" w:lineRule="auto"/>
              <w:jc w:val="center"/>
              <w:rPr>
                <w:rFonts w:cs="仿宋"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1417" w:type="dxa"/>
            <w:vAlign w:val="center"/>
          </w:tcPr>
          <w:p>
            <w:pPr>
              <w:snapToGrid w:val="0"/>
              <w:spacing w:line="360" w:lineRule="auto"/>
              <w:jc w:val="center"/>
              <w:rPr>
                <w:rFonts w:cs="仿宋" w:asciiTheme="majorEastAsia" w:hAnsiTheme="majorEastAsia" w:eastAsiaTheme="majorEastAsia"/>
                <w:sz w:val="24"/>
              </w:rPr>
            </w:pPr>
          </w:p>
        </w:tc>
        <w:tc>
          <w:tcPr>
            <w:tcW w:w="1843" w:type="dxa"/>
            <w:vAlign w:val="center"/>
          </w:tcPr>
          <w:p>
            <w:pPr>
              <w:snapToGrid w:val="0"/>
              <w:spacing w:line="360" w:lineRule="auto"/>
              <w:jc w:val="center"/>
              <w:rPr>
                <w:rFonts w:cs="仿宋" w:asciiTheme="majorEastAsia" w:hAnsiTheme="majorEastAsia" w:eastAsiaTheme="majorEastAsia"/>
                <w:sz w:val="24"/>
              </w:rPr>
            </w:pPr>
          </w:p>
        </w:tc>
        <w:tc>
          <w:tcPr>
            <w:tcW w:w="3118" w:type="dxa"/>
            <w:vAlign w:val="center"/>
          </w:tcPr>
          <w:p>
            <w:pPr>
              <w:snapToGrid w:val="0"/>
              <w:spacing w:line="360" w:lineRule="auto"/>
              <w:jc w:val="center"/>
              <w:rPr>
                <w:rFonts w:cs="仿宋" w:asciiTheme="majorEastAsia" w:hAnsiTheme="majorEastAsia" w:eastAsiaTheme="majorEastAsia"/>
                <w:sz w:val="24"/>
              </w:rPr>
            </w:pPr>
          </w:p>
        </w:tc>
        <w:tc>
          <w:tcPr>
            <w:tcW w:w="993" w:type="dxa"/>
            <w:vAlign w:val="center"/>
          </w:tcPr>
          <w:p>
            <w:pPr>
              <w:snapToGrid w:val="0"/>
              <w:spacing w:line="360" w:lineRule="auto"/>
              <w:jc w:val="center"/>
              <w:rPr>
                <w:rFonts w:cs="仿宋" w:asciiTheme="majorEastAsia" w:hAnsiTheme="majorEastAsia" w:eastAsiaTheme="majorEastAsia"/>
                <w:sz w:val="24"/>
              </w:rPr>
            </w:pPr>
          </w:p>
        </w:tc>
        <w:tc>
          <w:tcPr>
            <w:tcW w:w="1559" w:type="dxa"/>
            <w:vAlign w:val="center"/>
          </w:tcPr>
          <w:p>
            <w:pPr>
              <w:spacing w:line="360" w:lineRule="auto"/>
              <w:jc w:val="center"/>
              <w:rPr>
                <w:rFonts w:cs="仿宋" w:asciiTheme="majorEastAsia" w:hAnsiTheme="majorEastAsia" w:eastAsiaTheme="majorEastAsia"/>
                <w:sz w:val="24"/>
              </w:rPr>
            </w:pPr>
          </w:p>
        </w:tc>
        <w:tc>
          <w:tcPr>
            <w:tcW w:w="1984" w:type="dxa"/>
            <w:vAlign w:val="center"/>
          </w:tcPr>
          <w:p>
            <w:pPr>
              <w:spacing w:line="360" w:lineRule="auto"/>
              <w:jc w:val="center"/>
              <w:rPr>
                <w:rFonts w:cs="仿宋" w:asciiTheme="majorEastAsia" w:hAnsiTheme="majorEastAsia" w:eastAsiaTheme="majorEastAsia"/>
                <w:sz w:val="24"/>
              </w:rPr>
            </w:pPr>
          </w:p>
        </w:tc>
        <w:tc>
          <w:tcPr>
            <w:tcW w:w="3119" w:type="dxa"/>
            <w:vAlign w:val="center"/>
          </w:tcPr>
          <w:p>
            <w:pPr>
              <w:spacing w:line="360" w:lineRule="auto"/>
              <w:jc w:val="center"/>
              <w:rPr>
                <w:rFonts w:cs="仿宋"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2</w:t>
            </w:r>
          </w:p>
        </w:tc>
        <w:tc>
          <w:tcPr>
            <w:tcW w:w="1417" w:type="dxa"/>
            <w:vAlign w:val="center"/>
          </w:tcPr>
          <w:p>
            <w:pPr>
              <w:snapToGrid w:val="0"/>
              <w:spacing w:line="360" w:lineRule="auto"/>
              <w:jc w:val="center"/>
              <w:rPr>
                <w:rFonts w:cs="仿宋" w:asciiTheme="majorEastAsia" w:hAnsiTheme="majorEastAsia" w:eastAsiaTheme="majorEastAsia"/>
                <w:sz w:val="24"/>
              </w:rPr>
            </w:pPr>
          </w:p>
        </w:tc>
        <w:tc>
          <w:tcPr>
            <w:tcW w:w="1843" w:type="dxa"/>
            <w:vAlign w:val="center"/>
          </w:tcPr>
          <w:p>
            <w:pPr>
              <w:snapToGrid w:val="0"/>
              <w:spacing w:line="360" w:lineRule="auto"/>
              <w:jc w:val="center"/>
              <w:rPr>
                <w:rFonts w:cs="仿宋" w:asciiTheme="majorEastAsia" w:hAnsiTheme="majorEastAsia" w:eastAsiaTheme="majorEastAsia"/>
                <w:sz w:val="24"/>
              </w:rPr>
            </w:pPr>
          </w:p>
        </w:tc>
        <w:tc>
          <w:tcPr>
            <w:tcW w:w="3118" w:type="dxa"/>
            <w:vAlign w:val="center"/>
          </w:tcPr>
          <w:p>
            <w:pPr>
              <w:snapToGrid w:val="0"/>
              <w:spacing w:line="360" w:lineRule="auto"/>
              <w:jc w:val="center"/>
              <w:rPr>
                <w:rFonts w:cs="仿宋" w:asciiTheme="majorEastAsia" w:hAnsiTheme="majorEastAsia" w:eastAsiaTheme="majorEastAsia"/>
                <w:sz w:val="24"/>
              </w:rPr>
            </w:pPr>
          </w:p>
        </w:tc>
        <w:tc>
          <w:tcPr>
            <w:tcW w:w="993" w:type="dxa"/>
            <w:vAlign w:val="center"/>
          </w:tcPr>
          <w:p>
            <w:pPr>
              <w:snapToGrid w:val="0"/>
              <w:spacing w:line="360" w:lineRule="auto"/>
              <w:jc w:val="center"/>
              <w:rPr>
                <w:rFonts w:cs="仿宋" w:asciiTheme="majorEastAsia" w:hAnsiTheme="majorEastAsia" w:eastAsiaTheme="majorEastAsia"/>
                <w:sz w:val="24"/>
              </w:rPr>
            </w:pPr>
          </w:p>
        </w:tc>
        <w:tc>
          <w:tcPr>
            <w:tcW w:w="1559" w:type="dxa"/>
            <w:vAlign w:val="center"/>
          </w:tcPr>
          <w:p>
            <w:pPr>
              <w:spacing w:line="360" w:lineRule="auto"/>
              <w:jc w:val="center"/>
              <w:rPr>
                <w:rFonts w:cs="仿宋" w:asciiTheme="majorEastAsia" w:hAnsiTheme="majorEastAsia" w:eastAsiaTheme="majorEastAsia"/>
                <w:sz w:val="24"/>
              </w:rPr>
            </w:pPr>
          </w:p>
        </w:tc>
        <w:tc>
          <w:tcPr>
            <w:tcW w:w="1984" w:type="dxa"/>
            <w:vAlign w:val="center"/>
          </w:tcPr>
          <w:p>
            <w:pPr>
              <w:spacing w:line="360" w:lineRule="auto"/>
              <w:jc w:val="center"/>
              <w:rPr>
                <w:rFonts w:cs="仿宋" w:asciiTheme="majorEastAsia" w:hAnsiTheme="majorEastAsia" w:eastAsiaTheme="majorEastAsia"/>
                <w:sz w:val="24"/>
              </w:rPr>
            </w:pPr>
          </w:p>
        </w:tc>
        <w:tc>
          <w:tcPr>
            <w:tcW w:w="3119" w:type="dxa"/>
            <w:vAlign w:val="center"/>
          </w:tcPr>
          <w:p>
            <w:pPr>
              <w:spacing w:line="360" w:lineRule="auto"/>
              <w:jc w:val="center"/>
              <w:rPr>
                <w:rFonts w:cs="仿宋"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w:t>
            </w:r>
          </w:p>
        </w:tc>
        <w:tc>
          <w:tcPr>
            <w:tcW w:w="1417" w:type="dxa"/>
            <w:vAlign w:val="center"/>
          </w:tcPr>
          <w:p>
            <w:pPr>
              <w:snapToGrid w:val="0"/>
              <w:spacing w:line="360" w:lineRule="auto"/>
              <w:jc w:val="center"/>
              <w:rPr>
                <w:rFonts w:cs="仿宋" w:asciiTheme="majorEastAsia" w:hAnsiTheme="majorEastAsia" w:eastAsiaTheme="majorEastAsia"/>
                <w:sz w:val="24"/>
              </w:rPr>
            </w:pPr>
          </w:p>
        </w:tc>
        <w:tc>
          <w:tcPr>
            <w:tcW w:w="1843" w:type="dxa"/>
            <w:vAlign w:val="center"/>
          </w:tcPr>
          <w:p>
            <w:pPr>
              <w:snapToGrid w:val="0"/>
              <w:spacing w:line="360" w:lineRule="auto"/>
              <w:jc w:val="center"/>
              <w:rPr>
                <w:rFonts w:cs="仿宋" w:asciiTheme="majorEastAsia" w:hAnsiTheme="majorEastAsia" w:eastAsiaTheme="majorEastAsia"/>
                <w:sz w:val="24"/>
              </w:rPr>
            </w:pPr>
          </w:p>
        </w:tc>
        <w:tc>
          <w:tcPr>
            <w:tcW w:w="3118" w:type="dxa"/>
            <w:vAlign w:val="center"/>
          </w:tcPr>
          <w:p>
            <w:pPr>
              <w:snapToGrid w:val="0"/>
              <w:spacing w:line="360" w:lineRule="auto"/>
              <w:jc w:val="center"/>
              <w:rPr>
                <w:rFonts w:cs="仿宋" w:asciiTheme="majorEastAsia" w:hAnsiTheme="majorEastAsia" w:eastAsiaTheme="majorEastAsia"/>
                <w:sz w:val="24"/>
              </w:rPr>
            </w:pPr>
          </w:p>
        </w:tc>
        <w:tc>
          <w:tcPr>
            <w:tcW w:w="993" w:type="dxa"/>
            <w:vAlign w:val="center"/>
          </w:tcPr>
          <w:p>
            <w:pPr>
              <w:snapToGrid w:val="0"/>
              <w:spacing w:line="360" w:lineRule="auto"/>
              <w:jc w:val="center"/>
              <w:rPr>
                <w:rFonts w:cs="仿宋" w:asciiTheme="majorEastAsia" w:hAnsiTheme="majorEastAsia" w:eastAsiaTheme="majorEastAsia"/>
                <w:sz w:val="24"/>
              </w:rPr>
            </w:pPr>
          </w:p>
        </w:tc>
        <w:tc>
          <w:tcPr>
            <w:tcW w:w="1559" w:type="dxa"/>
            <w:vAlign w:val="center"/>
          </w:tcPr>
          <w:p>
            <w:pPr>
              <w:spacing w:line="360" w:lineRule="auto"/>
              <w:jc w:val="center"/>
              <w:rPr>
                <w:rFonts w:cs="仿宋" w:asciiTheme="majorEastAsia" w:hAnsiTheme="majorEastAsia" w:eastAsiaTheme="majorEastAsia"/>
                <w:sz w:val="24"/>
              </w:rPr>
            </w:pPr>
          </w:p>
        </w:tc>
        <w:tc>
          <w:tcPr>
            <w:tcW w:w="1984" w:type="dxa"/>
            <w:vAlign w:val="center"/>
          </w:tcPr>
          <w:p>
            <w:pPr>
              <w:spacing w:line="360" w:lineRule="auto"/>
              <w:jc w:val="center"/>
              <w:rPr>
                <w:rFonts w:cs="仿宋" w:asciiTheme="majorEastAsia" w:hAnsiTheme="majorEastAsia" w:eastAsiaTheme="majorEastAsia"/>
                <w:sz w:val="24"/>
              </w:rPr>
            </w:pPr>
          </w:p>
        </w:tc>
        <w:tc>
          <w:tcPr>
            <w:tcW w:w="3119" w:type="dxa"/>
            <w:vAlign w:val="center"/>
          </w:tcPr>
          <w:p>
            <w:pPr>
              <w:spacing w:line="360" w:lineRule="auto"/>
              <w:jc w:val="center"/>
              <w:rPr>
                <w:rFonts w:cs="仿宋"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cs="仿宋" w:asciiTheme="majorEastAsia" w:hAnsiTheme="majorEastAsia" w:eastAsiaTheme="majorEastAsia"/>
                <w:sz w:val="24"/>
              </w:rPr>
            </w:pPr>
          </w:p>
        </w:tc>
        <w:tc>
          <w:tcPr>
            <w:tcW w:w="1417" w:type="dxa"/>
            <w:vAlign w:val="center"/>
          </w:tcPr>
          <w:p>
            <w:pPr>
              <w:snapToGrid w:val="0"/>
              <w:spacing w:line="360" w:lineRule="auto"/>
              <w:jc w:val="center"/>
              <w:rPr>
                <w:rFonts w:cs="仿宋" w:asciiTheme="majorEastAsia" w:hAnsiTheme="majorEastAsia" w:eastAsiaTheme="majorEastAsia"/>
                <w:sz w:val="24"/>
              </w:rPr>
            </w:pPr>
          </w:p>
        </w:tc>
        <w:tc>
          <w:tcPr>
            <w:tcW w:w="1843" w:type="dxa"/>
            <w:vAlign w:val="center"/>
          </w:tcPr>
          <w:p>
            <w:pPr>
              <w:snapToGrid w:val="0"/>
              <w:spacing w:line="360" w:lineRule="auto"/>
              <w:jc w:val="center"/>
              <w:rPr>
                <w:rFonts w:cs="仿宋" w:asciiTheme="majorEastAsia" w:hAnsiTheme="majorEastAsia" w:eastAsiaTheme="majorEastAsia"/>
                <w:sz w:val="24"/>
              </w:rPr>
            </w:pPr>
          </w:p>
        </w:tc>
        <w:tc>
          <w:tcPr>
            <w:tcW w:w="3118" w:type="dxa"/>
            <w:vAlign w:val="center"/>
          </w:tcPr>
          <w:p>
            <w:pPr>
              <w:snapToGrid w:val="0"/>
              <w:spacing w:line="360" w:lineRule="auto"/>
              <w:jc w:val="center"/>
              <w:rPr>
                <w:rFonts w:cs="仿宋" w:asciiTheme="majorEastAsia" w:hAnsiTheme="majorEastAsia" w:eastAsiaTheme="majorEastAsia"/>
                <w:sz w:val="24"/>
              </w:rPr>
            </w:pPr>
          </w:p>
        </w:tc>
        <w:tc>
          <w:tcPr>
            <w:tcW w:w="993" w:type="dxa"/>
            <w:vAlign w:val="center"/>
          </w:tcPr>
          <w:p>
            <w:pPr>
              <w:snapToGrid w:val="0"/>
              <w:spacing w:line="360" w:lineRule="auto"/>
              <w:jc w:val="center"/>
              <w:rPr>
                <w:rFonts w:cs="仿宋" w:asciiTheme="majorEastAsia" w:hAnsiTheme="majorEastAsia" w:eastAsiaTheme="majorEastAsia"/>
                <w:sz w:val="24"/>
              </w:rPr>
            </w:pPr>
          </w:p>
        </w:tc>
        <w:tc>
          <w:tcPr>
            <w:tcW w:w="1559" w:type="dxa"/>
            <w:vAlign w:val="center"/>
          </w:tcPr>
          <w:p>
            <w:pPr>
              <w:spacing w:line="360" w:lineRule="auto"/>
              <w:jc w:val="center"/>
              <w:rPr>
                <w:rFonts w:cs="仿宋" w:asciiTheme="majorEastAsia" w:hAnsiTheme="majorEastAsia" w:eastAsiaTheme="majorEastAsia"/>
                <w:sz w:val="24"/>
              </w:rPr>
            </w:pPr>
          </w:p>
        </w:tc>
        <w:tc>
          <w:tcPr>
            <w:tcW w:w="1984" w:type="dxa"/>
            <w:vAlign w:val="center"/>
          </w:tcPr>
          <w:p>
            <w:pPr>
              <w:spacing w:line="360" w:lineRule="auto"/>
              <w:jc w:val="center"/>
              <w:rPr>
                <w:rFonts w:cs="仿宋" w:asciiTheme="majorEastAsia" w:hAnsiTheme="majorEastAsia" w:eastAsiaTheme="majorEastAsia"/>
                <w:sz w:val="24"/>
              </w:rPr>
            </w:pPr>
          </w:p>
        </w:tc>
        <w:tc>
          <w:tcPr>
            <w:tcW w:w="3119" w:type="dxa"/>
            <w:vAlign w:val="center"/>
          </w:tcPr>
          <w:p>
            <w:pPr>
              <w:spacing w:line="360" w:lineRule="auto"/>
              <w:jc w:val="center"/>
              <w:rPr>
                <w:rFonts w:cs="仿宋"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cs="仿宋" w:asciiTheme="majorEastAsia" w:hAnsiTheme="majorEastAsia" w:eastAsiaTheme="majorEastAsia"/>
                <w:sz w:val="24"/>
              </w:rPr>
            </w:pPr>
          </w:p>
        </w:tc>
        <w:tc>
          <w:tcPr>
            <w:tcW w:w="1417" w:type="dxa"/>
            <w:vAlign w:val="center"/>
          </w:tcPr>
          <w:p>
            <w:pPr>
              <w:snapToGrid w:val="0"/>
              <w:spacing w:line="360" w:lineRule="auto"/>
              <w:jc w:val="center"/>
              <w:rPr>
                <w:rFonts w:cs="仿宋" w:asciiTheme="majorEastAsia" w:hAnsiTheme="majorEastAsia" w:eastAsiaTheme="majorEastAsia"/>
                <w:sz w:val="24"/>
              </w:rPr>
            </w:pPr>
          </w:p>
        </w:tc>
        <w:tc>
          <w:tcPr>
            <w:tcW w:w="1843" w:type="dxa"/>
            <w:vAlign w:val="center"/>
          </w:tcPr>
          <w:p>
            <w:pPr>
              <w:snapToGrid w:val="0"/>
              <w:spacing w:line="360" w:lineRule="auto"/>
              <w:jc w:val="center"/>
              <w:rPr>
                <w:rFonts w:cs="仿宋" w:asciiTheme="majorEastAsia" w:hAnsiTheme="majorEastAsia" w:eastAsiaTheme="majorEastAsia"/>
                <w:sz w:val="24"/>
              </w:rPr>
            </w:pPr>
          </w:p>
        </w:tc>
        <w:tc>
          <w:tcPr>
            <w:tcW w:w="3118" w:type="dxa"/>
            <w:vAlign w:val="center"/>
          </w:tcPr>
          <w:p>
            <w:pPr>
              <w:snapToGrid w:val="0"/>
              <w:spacing w:line="360" w:lineRule="auto"/>
              <w:jc w:val="center"/>
              <w:rPr>
                <w:rFonts w:cs="仿宋" w:asciiTheme="majorEastAsia" w:hAnsiTheme="majorEastAsia" w:eastAsiaTheme="majorEastAsia"/>
                <w:sz w:val="24"/>
              </w:rPr>
            </w:pPr>
          </w:p>
        </w:tc>
        <w:tc>
          <w:tcPr>
            <w:tcW w:w="993" w:type="dxa"/>
            <w:vAlign w:val="center"/>
          </w:tcPr>
          <w:p>
            <w:pPr>
              <w:snapToGrid w:val="0"/>
              <w:spacing w:line="360" w:lineRule="auto"/>
              <w:jc w:val="center"/>
              <w:rPr>
                <w:rFonts w:cs="仿宋" w:asciiTheme="majorEastAsia" w:hAnsiTheme="majorEastAsia" w:eastAsiaTheme="majorEastAsia"/>
                <w:sz w:val="24"/>
              </w:rPr>
            </w:pPr>
          </w:p>
        </w:tc>
        <w:tc>
          <w:tcPr>
            <w:tcW w:w="1559" w:type="dxa"/>
            <w:vAlign w:val="center"/>
          </w:tcPr>
          <w:p>
            <w:pPr>
              <w:spacing w:line="360" w:lineRule="auto"/>
              <w:jc w:val="center"/>
              <w:rPr>
                <w:rFonts w:cs="仿宋" w:asciiTheme="majorEastAsia" w:hAnsiTheme="majorEastAsia" w:eastAsiaTheme="majorEastAsia"/>
                <w:sz w:val="24"/>
              </w:rPr>
            </w:pPr>
          </w:p>
        </w:tc>
        <w:tc>
          <w:tcPr>
            <w:tcW w:w="1984" w:type="dxa"/>
            <w:vAlign w:val="center"/>
          </w:tcPr>
          <w:p>
            <w:pPr>
              <w:spacing w:line="360" w:lineRule="auto"/>
              <w:jc w:val="center"/>
              <w:rPr>
                <w:rFonts w:cs="仿宋" w:asciiTheme="majorEastAsia" w:hAnsiTheme="majorEastAsia" w:eastAsiaTheme="majorEastAsia"/>
                <w:sz w:val="24"/>
              </w:rPr>
            </w:pPr>
          </w:p>
        </w:tc>
        <w:tc>
          <w:tcPr>
            <w:tcW w:w="3119" w:type="dxa"/>
            <w:vAlign w:val="center"/>
          </w:tcPr>
          <w:p>
            <w:pPr>
              <w:spacing w:line="360" w:lineRule="auto"/>
              <w:jc w:val="center"/>
              <w:rPr>
                <w:rFonts w:cs="仿宋"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投标报价（小写）</w:t>
            </w:r>
          </w:p>
        </w:tc>
        <w:tc>
          <w:tcPr>
            <w:tcW w:w="7655" w:type="dxa"/>
            <w:gridSpan w:val="4"/>
            <w:vAlign w:val="center"/>
          </w:tcPr>
          <w:p>
            <w:pPr>
              <w:spacing w:line="360" w:lineRule="auto"/>
              <w:jc w:val="center"/>
              <w:rPr>
                <w:rFonts w:cs="仿宋"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投标报价（大写）</w:t>
            </w:r>
          </w:p>
        </w:tc>
        <w:tc>
          <w:tcPr>
            <w:tcW w:w="7655" w:type="dxa"/>
            <w:gridSpan w:val="4"/>
            <w:vAlign w:val="center"/>
          </w:tcPr>
          <w:p>
            <w:pPr>
              <w:spacing w:line="360" w:lineRule="auto"/>
              <w:jc w:val="center"/>
              <w:rPr>
                <w:rFonts w:cs="仿宋" w:asciiTheme="majorEastAsia" w:hAnsiTheme="majorEastAsia" w:eastAsiaTheme="majorEastAsia"/>
                <w:sz w:val="24"/>
              </w:rPr>
            </w:pPr>
          </w:p>
        </w:tc>
      </w:tr>
    </w:tbl>
    <w:p>
      <w:pPr>
        <w:snapToGrid w:val="0"/>
        <w:spacing w:line="360" w:lineRule="auto"/>
        <w:ind w:left="480"/>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注：</w:t>
      </w:r>
    </w:p>
    <w:p>
      <w:pPr>
        <w:spacing w:line="360" w:lineRule="auto"/>
        <w:ind w:left="-2" w:leftChars="-1"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1、投标人需按本表格式填写，不得自行更改。</w:t>
      </w:r>
    </w:p>
    <w:p>
      <w:pPr>
        <w:spacing w:line="360" w:lineRule="auto"/>
        <w:ind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2、有关本项目实施所涉及的一切费用均计入报价。</w:t>
      </w:r>
      <w:r>
        <w:rPr>
          <w:rFonts w:hint="eastAsia" w:cs="仿宋" w:asciiTheme="majorEastAsia" w:hAnsiTheme="majorEastAsia" w:eastAsiaTheme="majorEastAsia"/>
          <w:b/>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不得出现“0元”“免费赠送”等形式的无偿报价，</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投标文件含有采购人不能接受的附加条件的，投标无效</w:t>
      </w:r>
      <w:r>
        <w:rPr>
          <w:rFonts w:hint="eastAsia" w:cs="仿宋" w:asciiTheme="majorEastAsia" w:hAnsiTheme="majorEastAsia" w:eastAsiaTheme="majorEastAsia"/>
          <w:b/>
          <w:kern w:val="0"/>
          <w:sz w:val="24"/>
          <w:lang w:val="zh-CN"/>
        </w:rPr>
        <w:t>。</w:t>
      </w:r>
    </w:p>
    <w:p>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3、以上表格要求细分项目及报价，在“规格型号（或具体服务）”一栏中，货物类项目填写规格型号，服务类项目填写具体服务。</w:t>
      </w:r>
    </w:p>
    <w:p>
      <w:pPr>
        <w:spacing w:line="360" w:lineRule="auto"/>
        <w:ind w:left="3780" w:leftChars="1800"/>
        <w:rPr>
          <w:rFonts w:cs="仿宋" w:asciiTheme="majorEastAsia" w:hAnsiTheme="majorEastAsia" w:eastAsiaTheme="majorEastAsia"/>
          <w:sz w:val="32"/>
          <w:szCs w:val="32"/>
        </w:rPr>
      </w:pPr>
    </w:p>
    <w:p>
      <w:pPr>
        <w:pStyle w:val="2"/>
        <w:spacing w:line="360" w:lineRule="auto"/>
        <w:ind w:firstLine="640"/>
        <w:rPr>
          <w:rFonts w:cs="仿宋" w:asciiTheme="majorEastAsia" w:hAnsiTheme="majorEastAsia" w:eastAsiaTheme="majorEastAsia"/>
          <w:sz w:val="32"/>
          <w:szCs w:val="32"/>
        </w:rPr>
      </w:pPr>
    </w:p>
    <w:p>
      <w:pPr>
        <w:pStyle w:val="2"/>
        <w:spacing w:line="360" w:lineRule="auto"/>
        <w:ind w:firstLine="640"/>
        <w:rPr>
          <w:rFonts w:cs="仿宋" w:asciiTheme="majorEastAsia" w:hAnsiTheme="majorEastAsia" w:eastAsiaTheme="majorEastAsia"/>
          <w:sz w:val="32"/>
          <w:szCs w:val="32"/>
        </w:rPr>
      </w:pPr>
    </w:p>
    <w:p>
      <w:pPr>
        <w:spacing w:line="360" w:lineRule="auto"/>
        <w:ind w:left="7560" w:leftChars="3600"/>
        <w:rPr>
          <w:rFonts w:cs="仿宋" w:asciiTheme="majorEastAsia" w:hAnsiTheme="majorEastAsia" w:eastAsiaTheme="majorEastAsia"/>
          <w:sz w:val="24"/>
        </w:rPr>
      </w:pPr>
      <w:r>
        <w:rPr>
          <w:rFonts w:hint="eastAsia" w:cs="仿宋" w:asciiTheme="majorEastAsia" w:hAnsiTheme="majorEastAsia" w:eastAsiaTheme="majorEastAsia"/>
          <w:sz w:val="24"/>
        </w:rPr>
        <w:t xml:space="preserve">法定代表人或其授权委托人（签名或印章）：        </w:t>
      </w:r>
    </w:p>
    <w:p>
      <w:pPr>
        <w:spacing w:line="360" w:lineRule="auto"/>
        <w:ind w:left="7560" w:leftChars="36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投标人（盖章）：         </w:t>
      </w:r>
    </w:p>
    <w:p>
      <w:pPr>
        <w:spacing w:line="360" w:lineRule="auto"/>
        <w:ind w:left="7560" w:leftChars="3600"/>
        <w:rPr>
          <w:rFonts w:asciiTheme="majorEastAsia" w:hAnsiTheme="majorEastAsia" w:eastAsiaTheme="majorEastAsia"/>
        </w:rPr>
        <w:sectPr>
          <w:pgSz w:w="16838" w:h="11906" w:orient="landscape"/>
          <w:pgMar w:top="1418" w:right="1276" w:bottom="1418" w:left="1247" w:header="851" w:footer="992" w:gutter="0"/>
          <w:cols w:space="720" w:num="1"/>
          <w:titlePg/>
          <w:docGrid w:linePitch="312" w:charSpace="0"/>
        </w:sectPr>
      </w:pPr>
      <w:r>
        <w:rPr>
          <w:rFonts w:hint="eastAsia" w:cs="仿宋" w:asciiTheme="majorEastAsia" w:hAnsiTheme="majorEastAsia" w:eastAsiaTheme="majorEastAsia"/>
          <w:sz w:val="24"/>
        </w:rPr>
        <w:t xml:space="preserve">日  期： </w:t>
      </w:r>
    </w:p>
    <w:p>
      <w:pPr>
        <w:pStyle w:val="34"/>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r>
        <w:rPr>
          <w:rFonts w:hint="eastAsia" w:cs="仿宋" w:asciiTheme="majorEastAsia" w:hAnsiTheme="majorEastAsia" w:eastAsiaTheme="majorEastAsia"/>
          <w:kern w:val="2"/>
          <w:sz w:val="32"/>
          <w:szCs w:val="32"/>
        </w:rPr>
        <w:t>二、投标报价明细表</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投标人名称：</w:t>
      </w:r>
      <w:r>
        <w:rPr>
          <w:rFonts w:hint="eastAsia" w:cs="仿宋" w:asciiTheme="majorEastAsia" w:hAnsiTheme="majorEastAsia" w:eastAsiaTheme="majorEastAsia"/>
          <w:kern w:val="0"/>
          <w:sz w:val="24"/>
          <w:u w:val="single"/>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标    项：</w:t>
      </w:r>
      <w:r>
        <w:rPr>
          <w:rFonts w:hint="eastAsia" w:cs="仿宋" w:asciiTheme="majorEastAsia" w:hAnsiTheme="majorEastAsia" w:eastAsiaTheme="majorEastAsia"/>
          <w:kern w:val="0"/>
          <w:sz w:val="24"/>
          <w:u w:val="single"/>
        </w:rPr>
        <w:t xml:space="preserve">                              </w:t>
      </w:r>
    </w:p>
    <w:p>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项目编号： </w:t>
      </w:r>
      <w:r>
        <w:rPr>
          <w:rFonts w:hint="eastAsia" w:cs="仿宋" w:asciiTheme="majorEastAsia" w:hAnsiTheme="majorEastAsia" w:eastAsiaTheme="majorEastAsia"/>
          <w:kern w:val="0"/>
          <w:sz w:val="24"/>
          <w:u w:val="single"/>
        </w:rPr>
        <w:t xml:space="preserve">                             </w:t>
      </w:r>
      <w:r>
        <w:rPr>
          <w:rFonts w:hint="eastAsia" w:cs="仿宋" w:asciiTheme="majorEastAsia" w:hAnsiTheme="majorEastAsia" w:eastAsiaTheme="majorEastAsia"/>
          <w:sz w:val="24"/>
        </w:rPr>
        <w:t xml:space="preserve">           金额单位：人民币（元）</w:t>
      </w:r>
    </w:p>
    <w:tbl>
      <w:tblPr>
        <w:tblStyle w:val="19"/>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序号</w:t>
            </w:r>
          </w:p>
        </w:tc>
        <w:tc>
          <w:tcPr>
            <w:tcW w:w="13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名称</w:t>
            </w:r>
          </w:p>
        </w:tc>
        <w:tc>
          <w:tcPr>
            <w:tcW w:w="184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品牌（如有）</w:t>
            </w: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规格型号</w:t>
            </w:r>
          </w:p>
        </w:tc>
        <w:tc>
          <w:tcPr>
            <w:tcW w:w="151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单位及数量</w:t>
            </w:r>
          </w:p>
        </w:tc>
        <w:tc>
          <w:tcPr>
            <w:tcW w:w="150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单价</w:t>
            </w:r>
          </w:p>
        </w:tc>
        <w:tc>
          <w:tcPr>
            <w:tcW w:w="141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合计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399"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r>
              <w:rPr>
                <w:rFonts w:hint="eastAsia" w:cs="仿宋" w:asciiTheme="majorEastAsia" w:hAnsiTheme="majorEastAsia" w:eastAsiaTheme="majorEastAsia"/>
              </w:rPr>
              <w:t>……</w:t>
            </w:r>
          </w:p>
        </w:tc>
        <w:tc>
          <w:tcPr>
            <w:tcW w:w="1846"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637"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sz w:val="24"/>
              </w:rPr>
            </w:pPr>
          </w:p>
        </w:tc>
        <w:tc>
          <w:tcPr>
            <w:tcW w:w="4882" w:type="dxa"/>
            <w:gridSpan w:val="3"/>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总报价：</w:t>
            </w:r>
          </w:p>
        </w:tc>
        <w:tc>
          <w:tcPr>
            <w:tcW w:w="1513"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500"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c>
          <w:tcPr>
            <w:tcW w:w="1411" w:type="dxa"/>
            <w:tcBorders>
              <w:top w:val="single" w:color="auto" w:sz="4" w:space="0"/>
              <w:left w:val="single" w:color="auto" w:sz="4" w:space="0"/>
              <w:bottom w:val="single" w:color="auto" w:sz="4" w:space="0"/>
              <w:right w:val="single" w:color="auto" w:sz="4" w:space="0"/>
            </w:tcBorders>
          </w:tcPr>
          <w:p>
            <w:pPr>
              <w:spacing w:line="360" w:lineRule="auto"/>
              <w:rPr>
                <w:rFonts w:cs="仿宋" w:asciiTheme="majorEastAsia" w:hAnsiTheme="majorEastAsia" w:eastAsiaTheme="majorEastAsia"/>
              </w:rPr>
            </w:pPr>
          </w:p>
        </w:tc>
      </w:tr>
    </w:tbl>
    <w:p>
      <w:pPr>
        <w:pStyle w:val="11"/>
        <w:spacing w:line="360" w:lineRule="auto"/>
        <w:ind w:left="-178" w:leftChars="-85"/>
        <w:rPr>
          <w:rFonts w:cs="仿宋" w:asciiTheme="majorEastAsia" w:hAnsiTheme="majorEastAsia" w:eastAsiaTheme="majorEastAsia"/>
        </w:rPr>
      </w:pPr>
      <w:r>
        <w:rPr>
          <w:rFonts w:hint="eastAsia" w:cs="仿宋" w:asciiTheme="majorEastAsia" w:hAnsiTheme="majorEastAsia" w:eastAsiaTheme="majorEastAsia"/>
        </w:rPr>
        <w:t>注：</w:t>
      </w:r>
    </w:p>
    <w:p>
      <w:pPr>
        <w:pStyle w:val="11"/>
        <w:spacing w:line="360" w:lineRule="auto"/>
        <w:ind w:left="-178" w:leftChars="-85"/>
        <w:rPr>
          <w:rFonts w:cs="仿宋" w:asciiTheme="majorEastAsia" w:hAnsiTheme="majorEastAsia" w:eastAsiaTheme="majorEastAsia"/>
        </w:rPr>
      </w:pPr>
      <w:r>
        <w:rPr>
          <w:rFonts w:hint="eastAsia" w:cs="仿宋" w:asciiTheme="majorEastAsia" w:hAnsiTheme="majorEastAsia" w:eastAsiaTheme="majorEastAsia"/>
        </w:rPr>
        <w:t>1.本表格仅供参考，投标人可根据项目实际情况扩展表格。</w:t>
      </w:r>
    </w:p>
    <w:p>
      <w:pPr>
        <w:pStyle w:val="11"/>
        <w:spacing w:line="360" w:lineRule="auto"/>
        <w:ind w:left="-178" w:leftChars="-85"/>
        <w:rPr>
          <w:rFonts w:cs="仿宋" w:asciiTheme="majorEastAsia" w:hAnsiTheme="majorEastAsia" w:eastAsiaTheme="majorEastAsia"/>
        </w:rPr>
      </w:pPr>
      <w:r>
        <w:rPr>
          <w:rFonts w:hint="eastAsia" w:cs="仿宋" w:asciiTheme="majorEastAsia" w:hAnsiTheme="majorEastAsia" w:eastAsiaTheme="majorEastAsia"/>
        </w:rPr>
        <w:t>2.投标总价应与开标一览表的投标报价一致。</w:t>
      </w:r>
    </w:p>
    <w:p>
      <w:pPr>
        <w:spacing w:line="360" w:lineRule="auto"/>
        <w:rPr>
          <w:rFonts w:cs="仿宋" w:asciiTheme="majorEastAsia" w:hAnsiTheme="majorEastAsia" w:eastAsiaTheme="majorEastAsia"/>
          <w:sz w:val="24"/>
        </w:rPr>
      </w:pPr>
    </w:p>
    <w:p>
      <w:pPr>
        <w:spacing w:line="360" w:lineRule="auto"/>
        <w:ind w:left="3780" w:leftChars="1800"/>
        <w:rPr>
          <w:rFonts w:cs="仿宋" w:asciiTheme="majorEastAsia" w:hAnsiTheme="majorEastAsia" w:eastAsiaTheme="majorEastAsia"/>
          <w:sz w:val="24"/>
        </w:rPr>
      </w:pPr>
      <w:r>
        <w:rPr>
          <w:rFonts w:hint="eastAsia" w:cs="仿宋" w:asciiTheme="majorEastAsia" w:hAnsiTheme="majorEastAsia" w:eastAsiaTheme="majorEastAsia"/>
          <w:sz w:val="24"/>
        </w:rPr>
        <w:t xml:space="preserve">法定代表人或其授权委托人（签名或印章）：        </w:t>
      </w:r>
    </w:p>
    <w:p>
      <w:pPr>
        <w:spacing w:line="360" w:lineRule="auto"/>
        <w:ind w:left="3780" w:leftChars="18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投标人（盖章）：         </w:t>
      </w:r>
    </w:p>
    <w:p>
      <w:pPr>
        <w:pStyle w:val="34"/>
        <w:keepNext w:val="0"/>
        <w:pageBreakBefore w:val="0"/>
        <w:tabs>
          <w:tab w:val="clear" w:pos="720"/>
        </w:tabs>
        <w:snapToGrid w:val="0"/>
        <w:spacing w:before="120" w:after="120"/>
        <w:ind w:left="3780" w:leftChars="1800"/>
        <w:jc w:val="both"/>
        <w:outlineLvl w:val="9"/>
        <w:rPr>
          <w:rFonts w:cs="仿宋" w:asciiTheme="majorEastAsia" w:hAnsiTheme="majorEastAsia" w:eastAsiaTheme="majorEastAsia"/>
          <w:b w:val="0"/>
          <w:kern w:val="2"/>
          <w:sz w:val="24"/>
          <w:szCs w:val="24"/>
        </w:rPr>
      </w:pPr>
      <w:r>
        <w:rPr>
          <w:rFonts w:hint="eastAsia" w:cs="仿宋" w:asciiTheme="majorEastAsia" w:hAnsiTheme="majorEastAsia" w:eastAsiaTheme="majorEastAsia"/>
          <w:b w:val="0"/>
          <w:kern w:val="2"/>
          <w:sz w:val="24"/>
          <w:szCs w:val="24"/>
        </w:rPr>
        <w:t xml:space="preserve">日  期：  </w:t>
      </w:r>
    </w:p>
    <w:p>
      <w:pPr>
        <w:pStyle w:val="34"/>
        <w:keepNext w:val="0"/>
        <w:pageBreakBefore w:val="0"/>
        <w:tabs>
          <w:tab w:val="clear" w:pos="720"/>
        </w:tabs>
        <w:snapToGrid w:val="0"/>
        <w:spacing w:before="120" w:after="120"/>
        <w:outlineLvl w:val="9"/>
        <w:rPr>
          <w:rFonts w:cs="仿宋" w:asciiTheme="majorEastAsia" w:hAnsiTheme="majorEastAsia" w:eastAsiaTheme="majorEastAsia"/>
          <w:sz w:val="32"/>
          <w:szCs w:val="32"/>
        </w:rPr>
      </w:pPr>
      <w:r>
        <w:rPr>
          <w:rFonts w:hint="eastAsia" w:cs="仿宋" w:asciiTheme="majorEastAsia" w:hAnsiTheme="majorEastAsia" w:eastAsiaTheme="majorEastAsia"/>
          <w:b w:val="0"/>
          <w:kern w:val="2"/>
          <w:sz w:val="24"/>
          <w:szCs w:val="24"/>
        </w:rPr>
        <w:br w:type="page"/>
      </w:r>
      <w:r>
        <w:rPr>
          <w:rFonts w:hint="eastAsia" w:cs="仿宋" w:asciiTheme="majorEastAsia" w:hAnsiTheme="majorEastAsia" w:eastAsiaTheme="majorEastAsia"/>
          <w:kern w:val="2"/>
          <w:sz w:val="32"/>
          <w:szCs w:val="32"/>
        </w:rPr>
        <w:t>三、</w:t>
      </w:r>
      <w:r>
        <w:rPr>
          <w:rFonts w:hint="eastAsia" w:cs="仿宋" w:asciiTheme="majorEastAsia" w:hAnsiTheme="majorEastAsia" w:eastAsiaTheme="majorEastAsia"/>
          <w:sz w:val="32"/>
          <w:szCs w:val="32"/>
        </w:rPr>
        <w:t>中小企业声明函</w:t>
      </w:r>
    </w:p>
    <w:p>
      <w:pPr>
        <w:widowControl/>
        <w:spacing w:line="360" w:lineRule="auto"/>
        <w:ind w:firstLine="120" w:firstLineChars="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招标公告落实采购政策需满足的资格要求为“无”即本项目或标项未预留份额专门面向中小企业时，符合《政府采购促进中小企业发展管理办法》规定的小微企业拟享受价格扣除政策的，需提供中小企业声明函。]</w:t>
      </w:r>
    </w:p>
    <w:p>
      <w:pPr>
        <w:spacing w:line="360" w:lineRule="auto"/>
        <w:jc w:val="center"/>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中小企业声明函（货物）</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hint="eastAsia" w:cs="仿宋" w:asciiTheme="majorEastAsia" w:hAnsiTheme="majorEastAsia" w:eastAsiaTheme="majorEastAsia"/>
        </w:rPr>
        <w:t xml:space="preserve"> </w:t>
      </w:r>
      <w:r>
        <w:rPr>
          <w:rFonts w:hint="eastAsia" w:cs="仿宋" w:asciiTheme="majorEastAsia" w:hAnsiTheme="majorEastAsia" w:eastAsiaTheme="majorEastAsia"/>
          <w:sz w:val="24"/>
          <w:u w:val="single"/>
        </w:rPr>
        <w:t>（标的名称）</w:t>
      </w:r>
      <w:r>
        <w:rPr>
          <w:rFonts w:hint="eastAsia" w:cs="仿宋" w:asciiTheme="majorEastAsia" w:hAnsiTheme="majorEastAsia" w:eastAsiaTheme="majorEastAsia"/>
          <w:sz w:val="24"/>
        </w:rPr>
        <w:t xml:space="preserve"> ，属于 </w:t>
      </w:r>
      <w:r>
        <w:rPr>
          <w:rFonts w:hint="eastAsia" w:cs="仿宋" w:asciiTheme="majorEastAsia" w:hAnsiTheme="majorEastAsia" w:eastAsiaTheme="majorEastAsia"/>
          <w:sz w:val="24"/>
          <w:u w:val="single"/>
        </w:rPr>
        <w:t>（招标文件中明确的所属行业）</w:t>
      </w:r>
      <w:r>
        <w:rPr>
          <w:rFonts w:hint="eastAsia" w:cs="仿宋" w:asciiTheme="majorEastAsia" w:hAnsiTheme="majorEastAsia" w:eastAsiaTheme="majorEastAsia"/>
          <w:sz w:val="24"/>
        </w:rPr>
        <w:t>行业 ；制造商为</w:t>
      </w:r>
      <w:r>
        <w:rPr>
          <w:rFonts w:hint="eastAsia" w:cs="仿宋" w:asciiTheme="majorEastAsia" w:hAnsiTheme="majorEastAsia" w:eastAsiaTheme="majorEastAsia"/>
          <w:sz w:val="24"/>
          <w:u w:val="single"/>
        </w:rPr>
        <w:t xml:space="preserve"> （企业名称）</w:t>
      </w:r>
      <w:r>
        <w:rPr>
          <w:rFonts w:hint="eastAsia" w:cs="仿宋" w:asciiTheme="majorEastAsia" w:hAnsiTheme="majorEastAsia" w:eastAsiaTheme="majorEastAsia"/>
          <w:sz w:val="24"/>
        </w:rPr>
        <w:t xml:space="preserve"> ，从业人员</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人，营业收入为</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万元，资产总额为</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万元，属于</w:t>
      </w:r>
      <w:r>
        <w:rPr>
          <w:rFonts w:hint="eastAsia" w:cs="仿宋" w:asciiTheme="majorEastAsia" w:hAnsiTheme="majorEastAsia" w:eastAsiaTheme="majorEastAsia"/>
          <w:sz w:val="24"/>
          <w:u w:val="single"/>
        </w:rPr>
        <w:t xml:space="preserve"> （中型企业、小型企业、微型企业）</w:t>
      </w:r>
      <w:r>
        <w:rPr>
          <w:rFonts w:hint="eastAsia" w:cs="仿宋" w:asciiTheme="majorEastAsia" w:hAnsiTheme="majorEastAsia" w:eastAsiaTheme="majorEastAsia"/>
          <w:sz w:val="24"/>
        </w:rPr>
        <w:t xml:space="preserve">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w:t>
      </w:r>
      <w:r>
        <w:rPr>
          <w:rFonts w:hint="eastAsia" w:cs="仿宋" w:asciiTheme="majorEastAsia" w:hAnsiTheme="majorEastAsia" w:eastAsiaTheme="majorEastAsia"/>
        </w:rPr>
        <w:t xml:space="preserve"> </w:t>
      </w:r>
      <w:r>
        <w:rPr>
          <w:rFonts w:hint="eastAsia" w:cs="仿宋" w:asciiTheme="majorEastAsia" w:hAnsiTheme="majorEastAsia" w:eastAsiaTheme="majorEastAsia"/>
          <w:sz w:val="24"/>
          <w:u w:val="single"/>
        </w:rPr>
        <w:t>（标的名称）</w:t>
      </w:r>
      <w:r>
        <w:rPr>
          <w:rFonts w:hint="eastAsia" w:cs="仿宋" w:asciiTheme="majorEastAsia" w:hAnsiTheme="majorEastAsia" w:eastAsiaTheme="majorEastAsia"/>
          <w:sz w:val="24"/>
        </w:rPr>
        <w:t xml:space="preserve"> ，属于 </w:t>
      </w:r>
      <w:r>
        <w:rPr>
          <w:rFonts w:hint="eastAsia" w:cs="仿宋" w:asciiTheme="majorEastAsia" w:hAnsiTheme="majorEastAsia" w:eastAsiaTheme="majorEastAsia"/>
          <w:sz w:val="24"/>
          <w:u w:val="single"/>
        </w:rPr>
        <w:t>（招标文件中明确的所属行业）</w:t>
      </w:r>
      <w:r>
        <w:rPr>
          <w:rFonts w:hint="eastAsia" w:cs="仿宋" w:asciiTheme="majorEastAsia" w:hAnsiTheme="majorEastAsia" w:eastAsiaTheme="majorEastAsia"/>
          <w:sz w:val="24"/>
        </w:rPr>
        <w:t>行业 ；制造商为</w:t>
      </w:r>
      <w:r>
        <w:rPr>
          <w:rFonts w:hint="eastAsia" w:cs="仿宋" w:asciiTheme="majorEastAsia" w:hAnsiTheme="majorEastAsia" w:eastAsiaTheme="majorEastAsia"/>
          <w:sz w:val="24"/>
          <w:u w:val="single"/>
        </w:rPr>
        <w:t xml:space="preserve"> （企业名称）</w:t>
      </w:r>
      <w:r>
        <w:rPr>
          <w:rFonts w:hint="eastAsia" w:cs="仿宋" w:asciiTheme="majorEastAsia" w:hAnsiTheme="majorEastAsia" w:eastAsiaTheme="majorEastAsia"/>
          <w:sz w:val="24"/>
        </w:rPr>
        <w:t xml:space="preserve"> ，从业人员</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人，营业收入为</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万元，资产总额为</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万元，属于</w:t>
      </w:r>
      <w:r>
        <w:rPr>
          <w:rFonts w:hint="eastAsia" w:cs="仿宋" w:asciiTheme="majorEastAsia" w:hAnsiTheme="majorEastAsia" w:eastAsiaTheme="majorEastAsia"/>
          <w:sz w:val="24"/>
          <w:u w:val="single"/>
        </w:rPr>
        <w:t xml:space="preserve"> （中型企业、小型企业、微型企业）</w:t>
      </w:r>
      <w:r>
        <w:rPr>
          <w:rFonts w:hint="eastAsia" w:cs="仿宋" w:asciiTheme="majorEastAsia" w:hAnsiTheme="majorEastAsia" w:eastAsiaTheme="majorEastAsia"/>
          <w:sz w:val="24"/>
        </w:rPr>
        <w:t xml:space="preserve">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以上企业，不属于大企业的分支机构，不存在控股股东为大企业的情形，也不存在与大企业的负责人为同一人的情形。</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本企业对上述声明内容的真实性负责。如有虚假，将依法承担相应责任。</w:t>
      </w:r>
    </w:p>
    <w:p>
      <w:pPr>
        <w:snapToGrid w:val="0"/>
        <w:spacing w:line="360" w:lineRule="auto"/>
        <w:ind w:firstLine="5160" w:firstLineChars="2150"/>
        <w:rPr>
          <w:rFonts w:cs="仿宋" w:asciiTheme="majorEastAsia" w:hAnsiTheme="majorEastAsia" w:eastAsiaTheme="majorEastAsia"/>
          <w:kern w:val="0"/>
          <w:sz w:val="24"/>
          <w:lang w:val="zh-CN"/>
        </w:rPr>
      </w:pPr>
    </w:p>
    <w:p>
      <w:pPr>
        <w:spacing w:line="360" w:lineRule="auto"/>
        <w:ind w:left="3780" w:leftChars="1800"/>
        <w:rPr>
          <w:rFonts w:cs="仿宋" w:asciiTheme="majorEastAsia" w:hAnsiTheme="majorEastAsia" w:eastAsiaTheme="majorEastAsia"/>
          <w:sz w:val="24"/>
        </w:rPr>
      </w:pPr>
      <w:r>
        <w:rPr>
          <w:rFonts w:hint="eastAsia" w:cs="仿宋" w:asciiTheme="majorEastAsia" w:hAnsiTheme="majorEastAsia" w:eastAsiaTheme="majorEastAsia"/>
          <w:sz w:val="24"/>
        </w:rPr>
        <w:t xml:space="preserve">法定代表人或其授权委托人（签名或印章）：        </w:t>
      </w:r>
    </w:p>
    <w:p>
      <w:pPr>
        <w:spacing w:line="360" w:lineRule="auto"/>
        <w:ind w:left="3780" w:leftChars="18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投标人（盖章）：         </w:t>
      </w:r>
    </w:p>
    <w:p>
      <w:pPr>
        <w:spacing w:line="360" w:lineRule="auto"/>
        <w:ind w:left="3780" w:leftChars="1800"/>
        <w:rPr>
          <w:rFonts w:cs="仿宋" w:asciiTheme="majorEastAsia" w:hAnsiTheme="majorEastAsia" w:eastAsiaTheme="majorEastAsia"/>
          <w:sz w:val="24"/>
        </w:rPr>
      </w:pPr>
      <w:r>
        <w:rPr>
          <w:rFonts w:hint="eastAsia" w:cs="仿宋" w:asciiTheme="majorEastAsia" w:hAnsiTheme="majorEastAsia" w:eastAsiaTheme="majorEastAsia"/>
          <w:sz w:val="24"/>
        </w:rPr>
        <w:t>日  期：</w:t>
      </w:r>
    </w:p>
    <w:p>
      <w:pPr>
        <w:spacing w:line="360" w:lineRule="auto"/>
        <w:jc w:val="left"/>
        <w:rPr>
          <w:rFonts w:cs="仿宋" w:asciiTheme="majorEastAsia" w:hAnsiTheme="majorEastAsia" w:eastAsiaTheme="majorEastAsia"/>
          <w:sz w:val="18"/>
          <w:szCs w:val="18"/>
        </w:rPr>
      </w:pPr>
      <w:r>
        <w:rPr>
          <w:rFonts w:hint="eastAsia" w:cs="仿宋" w:asciiTheme="majorEastAsia" w:hAnsiTheme="majorEastAsia" w:eastAsiaTheme="majorEastAsia"/>
          <w:sz w:val="18"/>
          <w:szCs w:val="18"/>
        </w:rPr>
        <w:t>从业人员、营业收入、资产总额填报上一年度数据，无上一年度数据的新成立企业可不填报。</w:t>
      </w:r>
    </w:p>
    <w:p>
      <w:pPr>
        <w:spacing w:line="360" w:lineRule="auto"/>
        <w:ind w:right="-420" w:rightChars="-200" w:firstLine="480" w:firstLineChars="200"/>
        <w:rPr>
          <w:rFonts w:cs="仿宋" w:asciiTheme="majorEastAsia" w:hAnsiTheme="majorEastAsia" w:eastAsiaTheme="majorEastAsia"/>
          <w:b/>
          <w:sz w:val="32"/>
          <w:szCs w:val="32"/>
        </w:rPr>
      </w:pPr>
      <w:r>
        <w:rPr>
          <w:rFonts w:hint="eastAsia" w:cs="仿宋" w:asciiTheme="majorEastAsia" w:hAnsiTheme="majorEastAsia" w:eastAsiaTheme="majorEastAsia"/>
          <w:sz w:val="24"/>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cs="仿宋" w:asciiTheme="majorEastAsia" w:hAnsiTheme="majorEastAsia" w:eastAsiaTheme="majorEastAsia"/>
          <w:sz w:val="32"/>
          <w:szCs w:val="32"/>
        </w:rPr>
      </w:pPr>
      <w:r>
        <w:rPr>
          <w:rFonts w:hint="eastAsia" w:cs="仿宋" w:asciiTheme="majorEastAsia" w:hAnsiTheme="majorEastAsia" w:eastAsiaTheme="majorEastAsia"/>
          <w:b/>
          <w:bCs/>
          <w:sz w:val="32"/>
          <w:szCs w:val="32"/>
        </w:rPr>
        <w:t>四、残疾人福利性单位声明函</w:t>
      </w:r>
    </w:p>
    <w:p>
      <w:pPr>
        <w:spacing w:line="360" w:lineRule="auto"/>
        <w:rPr>
          <w:rFonts w:cs="仿宋" w:asciiTheme="majorEastAsia" w:hAnsiTheme="majorEastAsia" w:eastAsiaTheme="majorEastAsia"/>
          <w:b/>
          <w:spacing w:val="6"/>
          <w:sz w:val="30"/>
          <w:szCs w:val="30"/>
        </w:rPr>
      </w:pPr>
    </w:p>
    <w:p>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本单位对上述声明的真实性负责。如有虚假，将依法承担相应责任。</w:t>
      </w:r>
    </w:p>
    <w:p>
      <w:pPr>
        <w:spacing w:line="360" w:lineRule="auto"/>
        <w:ind w:firstLine="480" w:firstLineChars="200"/>
        <w:jc w:val="left"/>
        <w:rPr>
          <w:rFonts w:cs="仿宋" w:asciiTheme="majorEastAsia" w:hAnsiTheme="majorEastAsia" w:eastAsiaTheme="majorEastAsia"/>
          <w:sz w:val="24"/>
        </w:rPr>
      </w:pPr>
    </w:p>
    <w:p>
      <w:pPr>
        <w:spacing w:line="360" w:lineRule="auto"/>
        <w:ind w:firstLine="480" w:firstLineChars="200"/>
        <w:jc w:val="left"/>
        <w:rPr>
          <w:rFonts w:cs="仿宋" w:asciiTheme="majorEastAsia" w:hAnsiTheme="majorEastAsia" w:eastAsiaTheme="majorEastAsia"/>
          <w:sz w:val="24"/>
        </w:rPr>
      </w:pPr>
    </w:p>
    <w:p>
      <w:pPr>
        <w:adjustRightInd w:val="0"/>
        <w:spacing w:line="360" w:lineRule="auto"/>
        <w:ind w:firstLine="2400" w:firstLineChars="10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            法定代表人或其授权委托人（签名或印章）：</w:t>
      </w:r>
    </w:p>
    <w:p>
      <w:pPr>
        <w:adjustRightInd w:val="0"/>
        <w:spacing w:line="360" w:lineRule="auto"/>
        <w:ind w:firstLine="3840" w:firstLineChars="16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投标人（盖章）：</w:t>
      </w:r>
    </w:p>
    <w:p>
      <w:pPr>
        <w:rPr>
          <w:rFonts w:asciiTheme="majorEastAsia" w:hAnsiTheme="majorEastAsia" w:eastAsiaTheme="majorEastAsia"/>
        </w:rPr>
      </w:pPr>
      <w:r>
        <w:rPr>
          <w:rFonts w:hint="eastAsia" w:cs="仿宋" w:asciiTheme="majorEastAsia" w:hAnsiTheme="majorEastAsia" w:eastAsiaTheme="majorEastAsia"/>
          <w:sz w:val="24"/>
        </w:rPr>
        <w:t xml:space="preserve">                                日期：</w:t>
      </w:r>
    </w:p>
    <w:p>
      <w:pPr>
        <w:spacing w:line="360" w:lineRule="auto"/>
        <w:ind w:firstLine="643" w:firstLineChars="200"/>
        <w:jc w:val="left"/>
        <w:rPr>
          <w:rFonts w:cs="仿宋" w:asciiTheme="majorEastAsia" w:hAnsiTheme="majorEastAsia" w:eastAsiaTheme="majorEastAsia"/>
          <w:b/>
          <w:sz w:val="32"/>
          <w:szCs w:val="32"/>
        </w:rPr>
      </w:pPr>
    </w:p>
    <w:p>
      <w:pPr>
        <w:spacing w:line="360" w:lineRule="auto"/>
        <w:rPr>
          <w:rFonts w:cs="仿宋" w:asciiTheme="majorEastAsia" w:hAnsiTheme="majorEastAsia" w:eastAsiaTheme="majorEastAsia"/>
          <w:b/>
          <w:sz w:val="32"/>
          <w:szCs w:val="32"/>
        </w:rPr>
      </w:pPr>
    </w:p>
    <w:p>
      <w:pPr>
        <w:numPr>
          <w:ilvl w:val="0"/>
          <w:numId w:val="4"/>
        </w:num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br w:type="page"/>
      </w:r>
      <w:r>
        <w:rPr>
          <w:rFonts w:hint="eastAsia" w:cs="仿宋" w:asciiTheme="majorEastAsia" w:hAnsiTheme="majorEastAsia" w:eastAsiaTheme="majorEastAsia"/>
          <w:b/>
          <w:spacing w:val="6"/>
          <w:sz w:val="32"/>
          <w:szCs w:val="32"/>
        </w:rPr>
        <w:t>采购统计基础信息表</w:t>
      </w:r>
    </w:p>
    <w:p>
      <w:pPr>
        <w:pStyle w:val="2"/>
        <w:spacing w:line="360" w:lineRule="auto"/>
        <w:ind w:firstLine="0" w:firstLineChars="0"/>
        <w:rPr>
          <w:rFonts w:cs="仿宋" w:asciiTheme="majorEastAsia" w:hAnsiTheme="majorEastAsia" w:eastAsiaTheme="majorEastAsia"/>
        </w:rPr>
      </w:pPr>
    </w:p>
    <w:tbl>
      <w:tblPr>
        <w:tblStyle w:val="19"/>
        <w:tblW w:w="8537" w:type="dxa"/>
        <w:jc w:val="center"/>
        <w:tblLayout w:type="fixed"/>
        <w:tblCellMar>
          <w:top w:w="0" w:type="dxa"/>
          <w:left w:w="108" w:type="dxa"/>
          <w:bottom w:w="0" w:type="dxa"/>
          <w:right w:w="108" w:type="dxa"/>
        </w:tblCellMar>
      </w:tblPr>
      <w:tblGrid>
        <w:gridCol w:w="4998"/>
        <w:gridCol w:w="3539"/>
      </w:tblGrid>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采购人及采购项目名称</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投标单位名称</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投标单位是否为外商投资企业</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投标单位是否为宁波企业</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企业划分标准类型（大型、中型、小型、微型）</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提供的货物是否本企业制造</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货物原产地国别</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提供的货物是否为节能清单产品</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提供的货物是否为环境标志清单产品</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r>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承担的工程或服务是否本企业提供</w:t>
            </w:r>
          </w:p>
        </w:tc>
        <w:tc>
          <w:tcPr>
            <w:tcW w:w="3539" w:type="dxa"/>
            <w:tcBorders>
              <w:top w:val="single" w:color="000000" w:sz="4" w:space="0"/>
              <w:left w:val="nil"/>
              <w:bottom w:val="single" w:color="000000" w:sz="4" w:space="0"/>
              <w:right w:val="single" w:color="000000" w:sz="4" w:space="0"/>
            </w:tcBorders>
          </w:tcPr>
          <w:p>
            <w:pPr>
              <w:spacing w:line="360" w:lineRule="auto"/>
              <w:rPr>
                <w:rFonts w:cs="仿宋" w:asciiTheme="majorEastAsia" w:hAnsiTheme="majorEastAsia" w:eastAsiaTheme="majorEastAsia"/>
              </w:rPr>
            </w:pPr>
          </w:p>
        </w:tc>
      </w:tr>
    </w:tbl>
    <w:p>
      <w:pPr>
        <w:adjustRightInd w:val="0"/>
        <w:spacing w:line="360" w:lineRule="auto"/>
        <w:jc w:val="left"/>
        <w:rPr>
          <w:rFonts w:cs="仿宋" w:asciiTheme="majorEastAsia" w:hAnsiTheme="majorEastAsia" w:eastAsiaTheme="majorEastAsia"/>
          <w:sz w:val="24"/>
        </w:rPr>
      </w:pPr>
    </w:p>
    <w:p>
      <w:pPr>
        <w:adjustRightIn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备注：请各投标人务必填写此表作为投标文件的组成部分。</w:t>
      </w:r>
    </w:p>
    <w:p>
      <w:pPr>
        <w:adjustRightInd w:val="0"/>
        <w:spacing w:line="360" w:lineRule="auto"/>
        <w:jc w:val="left"/>
        <w:rPr>
          <w:rFonts w:cs="仿宋" w:asciiTheme="majorEastAsia" w:hAnsiTheme="majorEastAsia" w:eastAsiaTheme="majorEastAsia"/>
          <w:sz w:val="24"/>
        </w:rPr>
      </w:pPr>
    </w:p>
    <w:p>
      <w:pPr>
        <w:adjustRightInd w:val="0"/>
        <w:spacing w:line="360" w:lineRule="auto"/>
        <w:jc w:val="left"/>
        <w:rPr>
          <w:rFonts w:cs="仿宋" w:asciiTheme="majorEastAsia" w:hAnsiTheme="majorEastAsia" w:eastAsiaTheme="majorEastAsia"/>
          <w:sz w:val="24"/>
        </w:rPr>
      </w:pPr>
    </w:p>
    <w:p>
      <w:pPr>
        <w:adjustRightInd w:val="0"/>
        <w:spacing w:line="360" w:lineRule="auto"/>
        <w:ind w:firstLine="2400" w:firstLineChars="1000"/>
        <w:jc w:val="left"/>
        <w:rPr>
          <w:rFonts w:cs="仿宋" w:asciiTheme="majorEastAsia" w:hAnsiTheme="majorEastAsia" w:eastAsiaTheme="majorEastAsia"/>
          <w:sz w:val="24"/>
        </w:rPr>
      </w:pPr>
      <w:r>
        <w:rPr>
          <w:rFonts w:hint="eastAsia" w:cs="仿宋" w:asciiTheme="majorEastAsia" w:hAnsiTheme="majorEastAsia" w:eastAsiaTheme="majorEastAsia"/>
          <w:sz w:val="24"/>
        </w:rPr>
        <w:t>法定代表人或其授权委托人（签名或印章）：</w:t>
      </w:r>
    </w:p>
    <w:p>
      <w:pPr>
        <w:adjustRightInd w:val="0"/>
        <w:spacing w:line="360" w:lineRule="auto"/>
        <w:ind w:firstLine="2400" w:firstLineChars="10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投标人（盖章）：</w:t>
      </w:r>
    </w:p>
    <w:p>
      <w:pPr>
        <w:rPr>
          <w:rFonts w:asciiTheme="majorEastAsia" w:hAnsiTheme="majorEastAsia" w:eastAsiaTheme="majorEastAsia"/>
        </w:rPr>
      </w:pPr>
      <w:r>
        <w:rPr>
          <w:rFonts w:hint="eastAsia" w:cs="仿宋" w:asciiTheme="majorEastAsia" w:hAnsiTheme="majorEastAsia" w:eastAsiaTheme="majorEastAsia"/>
          <w:sz w:val="24"/>
        </w:rPr>
        <w:t xml:space="preserve">                    日期：</w:t>
      </w:r>
    </w:p>
    <w:sectPr>
      <w:pgSz w:w="11906" w:h="16838"/>
      <w:pgMar w:top="1276" w:right="1418" w:bottom="1247"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right"/>
      <w:rPr>
        <w:rFonts w:ascii="仿宋_GB2312" w:eastAsia="仿宋_GB2312"/>
        <w:b/>
        <w:i/>
        <w:u w:val="single"/>
      </w:rPr>
    </w:pPr>
    <w:r>
      <w:t></w:t>
    </w:r>
    <w:r>
      <w:rPr>
        <w:rFonts w:hint="eastAsia"/>
      </w:rPr>
      <w:t xml:space="preserve">                                               </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Fonts w:ascii="仿宋_GB2312" w:eastAsia="仿宋_GB2312"/>
        <w:b/>
        <w:i/>
        <w:u w:val="single"/>
      </w:rPr>
    </w:pPr>
    <w:r>
      <w:rPr>
        <w:rFonts w:hint="eastAsia"/>
      </w:rPr>
      <w:t xml:space="preserve">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25D33"/>
    <w:multiLevelType w:val="singleLevel"/>
    <w:tmpl w:val="9D225D33"/>
    <w:lvl w:ilvl="0" w:tentative="0">
      <w:start w:val="5"/>
      <w:numFmt w:val="chineseCounting"/>
      <w:suff w:val="nothing"/>
      <w:lvlText w:val="%1、"/>
      <w:lvlJc w:val="left"/>
      <w:rPr>
        <w:rFonts w:hint="eastAsia"/>
      </w:rPr>
    </w:lvl>
  </w:abstractNum>
  <w:abstractNum w:abstractNumId="1">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2">
    <w:nsid w:val="2DC53F9C"/>
    <w:multiLevelType w:val="singleLevel"/>
    <w:tmpl w:val="2DC53F9C"/>
    <w:lvl w:ilvl="0" w:tentative="0">
      <w:start w:val="5"/>
      <w:numFmt w:val="chineseCounting"/>
      <w:suff w:val="space"/>
      <w:lvlText w:val="第%1部分"/>
      <w:lvlJc w:val="left"/>
      <w:rPr>
        <w:rFonts w:hint="eastAsia"/>
      </w:rPr>
    </w:lvl>
  </w:abstractNum>
  <w:abstractNum w:abstractNumId="3">
    <w:nsid w:val="495C2BCE"/>
    <w:multiLevelType w:val="singleLevel"/>
    <w:tmpl w:val="495C2BCE"/>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RhNGU1Y2Y3ODg4NDU1YmQyYzgzMDZiNGJjZDY3OTAifQ=="/>
  </w:docVars>
  <w:rsids>
    <w:rsidRoot w:val="00982EB4"/>
    <w:rsid w:val="0000540F"/>
    <w:rsid w:val="00005CCB"/>
    <w:rsid w:val="00012850"/>
    <w:rsid w:val="00013331"/>
    <w:rsid w:val="00016734"/>
    <w:rsid w:val="000178C0"/>
    <w:rsid w:val="00021E0D"/>
    <w:rsid w:val="00031A29"/>
    <w:rsid w:val="00034240"/>
    <w:rsid w:val="00037CEF"/>
    <w:rsid w:val="00041D05"/>
    <w:rsid w:val="000516EC"/>
    <w:rsid w:val="000549DC"/>
    <w:rsid w:val="00073372"/>
    <w:rsid w:val="00077468"/>
    <w:rsid w:val="00077C19"/>
    <w:rsid w:val="000802CA"/>
    <w:rsid w:val="00083A96"/>
    <w:rsid w:val="00085C7D"/>
    <w:rsid w:val="00095BE9"/>
    <w:rsid w:val="00095D46"/>
    <w:rsid w:val="000975B0"/>
    <w:rsid w:val="000A5542"/>
    <w:rsid w:val="000C0964"/>
    <w:rsid w:val="000C7E7C"/>
    <w:rsid w:val="000D2159"/>
    <w:rsid w:val="000D2775"/>
    <w:rsid w:val="000D4408"/>
    <w:rsid w:val="000E448A"/>
    <w:rsid w:val="000E6100"/>
    <w:rsid w:val="000F1107"/>
    <w:rsid w:val="000F4266"/>
    <w:rsid w:val="00110101"/>
    <w:rsid w:val="00136CF0"/>
    <w:rsid w:val="001419D4"/>
    <w:rsid w:val="00142201"/>
    <w:rsid w:val="00144831"/>
    <w:rsid w:val="00145320"/>
    <w:rsid w:val="00147934"/>
    <w:rsid w:val="001553AB"/>
    <w:rsid w:val="00162853"/>
    <w:rsid w:val="001716B0"/>
    <w:rsid w:val="00173740"/>
    <w:rsid w:val="001900B1"/>
    <w:rsid w:val="00191838"/>
    <w:rsid w:val="001A4A37"/>
    <w:rsid w:val="001A5290"/>
    <w:rsid w:val="001B01B0"/>
    <w:rsid w:val="001B2FBB"/>
    <w:rsid w:val="001C033E"/>
    <w:rsid w:val="001C1283"/>
    <w:rsid w:val="001C3337"/>
    <w:rsid w:val="001C48CF"/>
    <w:rsid w:val="001C5A89"/>
    <w:rsid w:val="001D082E"/>
    <w:rsid w:val="001F0F38"/>
    <w:rsid w:val="001F23A9"/>
    <w:rsid w:val="001F3EFC"/>
    <w:rsid w:val="001F6106"/>
    <w:rsid w:val="002059D3"/>
    <w:rsid w:val="00215736"/>
    <w:rsid w:val="00223803"/>
    <w:rsid w:val="00226215"/>
    <w:rsid w:val="00226D21"/>
    <w:rsid w:val="00237892"/>
    <w:rsid w:val="0024092E"/>
    <w:rsid w:val="00242C49"/>
    <w:rsid w:val="00247799"/>
    <w:rsid w:val="00250CF3"/>
    <w:rsid w:val="00257FDF"/>
    <w:rsid w:val="00263696"/>
    <w:rsid w:val="0027141A"/>
    <w:rsid w:val="00271BE4"/>
    <w:rsid w:val="0028099A"/>
    <w:rsid w:val="002869EA"/>
    <w:rsid w:val="00295CBF"/>
    <w:rsid w:val="002B2C53"/>
    <w:rsid w:val="002D7A3A"/>
    <w:rsid w:val="002E0DD3"/>
    <w:rsid w:val="002E0E54"/>
    <w:rsid w:val="002E3300"/>
    <w:rsid w:val="002F5155"/>
    <w:rsid w:val="00306D14"/>
    <w:rsid w:val="0031504D"/>
    <w:rsid w:val="00325B1B"/>
    <w:rsid w:val="003453CB"/>
    <w:rsid w:val="00345583"/>
    <w:rsid w:val="00346E07"/>
    <w:rsid w:val="003549BF"/>
    <w:rsid w:val="00354AE6"/>
    <w:rsid w:val="00367541"/>
    <w:rsid w:val="0037109B"/>
    <w:rsid w:val="0037176E"/>
    <w:rsid w:val="0037615D"/>
    <w:rsid w:val="003773A8"/>
    <w:rsid w:val="003A6619"/>
    <w:rsid w:val="003B320D"/>
    <w:rsid w:val="003B6EF8"/>
    <w:rsid w:val="003C582A"/>
    <w:rsid w:val="003D3838"/>
    <w:rsid w:val="003F1181"/>
    <w:rsid w:val="003F6DC0"/>
    <w:rsid w:val="0040160B"/>
    <w:rsid w:val="004162A5"/>
    <w:rsid w:val="004174D5"/>
    <w:rsid w:val="00427C44"/>
    <w:rsid w:val="00434C04"/>
    <w:rsid w:val="00441280"/>
    <w:rsid w:val="00444246"/>
    <w:rsid w:val="00452882"/>
    <w:rsid w:val="00460833"/>
    <w:rsid w:val="0046238E"/>
    <w:rsid w:val="004660ED"/>
    <w:rsid w:val="004674D6"/>
    <w:rsid w:val="00467F01"/>
    <w:rsid w:val="004703FE"/>
    <w:rsid w:val="00494EA5"/>
    <w:rsid w:val="004961CC"/>
    <w:rsid w:val="004A204C"/>
    <w:rsid w:val="004A788E"/>
    <w:rsid w:val="004C6EB7"/>
    <w:rsid w:val="004D7F5F"/>
    <w:rsid w:val="004E23EB"/>
    <w:rsid w:val="004F56CB"/>
    <w:rsid w:val="004F7B7F"/>
    <w:rsid w:val="00502A7E"/>
    <w:rsid w:val="005047BD"/>
    <w:rsid w:val="00507B69"/>
    <w:rsid w:val="00513F33"/>
    <w:rsid w:val="0051780A"/>
    <w:rsid w:val="00534C38"/>
    <w:rsid w:val="00545EB5"/>
    <w:rsid w:val="00550EE6"/>
    <w:rsid w:val="005537BE"/>
    <w:rsid w:val="00554E99"/>
    <w:rsid w:val="00555D80"/>
    <w:rsid w:val="0055691F"/>
    <w:rsid w:val="00564F9D"/>
    <w:rsid w:val="00565B84"/>
    <w:rsid w:val="0058269B"/>
    <w:rsid w:val="00586CFC"/>
    <w:rsid w:val="00591E5E"/>
    <w:rsid w:val="00591ED5"/>
    <w:rsid w:val="00596953"/>
    <w:rsid w:val="005A4E05"/>
    <w:rsid w:val="005A63C6"/>
    <w:rsid w:val="005B0674"/>
    <w:rsid w:val="005B09B1"/>
    <w:rsid w:val="005B2BA7"/>
    <w:rsid w:val="005B49A0"/>
    <w:rsid w:val="005D37FA"/>
    <w:rsid w:val="005E38B5"/>
    <w:rsid w:val="005F1F35"/>
    <w:rsid w:val="00604249"/>
    <w:rsid w:val="00610D85"/>
    <w:rsid w:val="00621203"/>
    <w:rsid w:val="00623BA4"/>
    <w:rsid w:val="0063012B"/>
    <w:rsid w:val="00630643"/>
    <w:rsid w:val="0064187C"/>
    <w:rsid w:val="00645571"/>
    <w:rsid w:val="0065305C"/>
    <w:rsid w:val="0065579D"/>
    <w:rsid w:val="00673BF0"/>
    <w:rsid w:val="00673D9C"/>
    <w:rsid w:val="0068271E"/>
    <w:rsid w:val="00686437"/>
    <w:rsid w:val="0068740E"/>
    <w:rsid w:val="00693366"/>
    <w:rsid w:val="006A00CF"/>
    <w:rsid w:val="006B593D"/>
    <w:rsid w:val="006C000B"/>
    <w:rsid w:val="006C3BCC"/>
    <w:rsid w:val="006C58AF"/>
    <w:rsid w:val="006D63C7"/>
    <w:rsid w:val="006E618E"/>
    <w:rsid w:val="006F01A7"/>
    <w:rsid w:val="006F0CD5"/>
    <w:rsid w:val="006F3965"/>
    <w:rsid w:val="00706C27"/>
    <w:rsid w:val="00722B95"/>
    <w:rsid w:val="00726293"/>
    <w:rsid w:val="00726708"/>
    <w:rsid w:val="00726D13"/>
    <w:rsid w:val="007316F2"/>
    <w:rsid w:val="0074031A"/>
    <w:rsid w:val="007516D0"/>
    <w:rsid w:val="00753B56"/>
    <w:rsid w:val="007560A7"/>
    <w:rsid w:val="00757FC1"/>
    <w:rsid w:val="00764A69"/>
    <w:rsid w:val="00765B0D"/>
    <w:rsid w:val="00770DBD"/>
    <w:rsid w:val="00772B45"/>
    <w:rsid w:val="00773362"/>
    <w:rsid w:val="00776D31"/>
    <w:rsid w:val="00780215"/>
    <w:rsid w:val="00784CCA"/>
    <w:rsid w:val="007875EF"/>
    <w:rsid w:val="00796B92"/>
    <w:rsid w:val="007A3F07"/>
    <w:rsid w:val="007A528C"/>
    <w:rsid w:val="007B1291"/>
    <w:rsid w:val="007C7AE5"/>
    <w:rsid w:val="007D673F"/>
    <w:rsid w:val="007D77A8"/>
    <w:rsid w:val="007E1D47"/>
    <w:rsid w:val="007E5A2D"/>
    <w:rsid w:val="007E72FA"/>
    <w:rsid w:val="0080317A"/>
    <w:rsid w:val="00810E82"/>
    <w:rsid w:val="00823491"/>
    <w:rsid w:val="00833122"/>
    <w:rsid w:val="0083502E"/>
    <w:rsid w:val="00837B4C"/>
    <w:rsid w:val="008416DC"/>
    <w:rsid w:val="00866D1C"/>
    <w:rsid w:val="0087086C"/>
    <w:rsid w:val="00873A9E"/>
    <w:rsid w:val="0087552B"/>
    <w:rsid w:val="008776F6"/>
    <w:rsid w:val="00882BF6"/>
    <w:rsid w:val="00884171"/>
    <w:rsid w:val="00886BF0"/>
    <w:rsid w:val="00891BF5"/>
    <w:rsid w:val="00893A3A"/>
    <w:rsid w:val="008941FC"/>
    <w:rsid w:val="008A0E2F"/>
    <w:rsid w:val="008A3836"/>
    <w:rsid w:val="008A6E5B"/>
    <w:rsid w:val="008B0252"/>
    <w:rsid w:val="008B396C"/>
    <w:rsid w:val="008B79D1"/>
    <w:rsid w:val="008C0394"/>
    <w:rsid w:val="008C33EA"/>
    <w:rsid w:val="008C3A89"/>
    <w:rsid w:val="008C7259"/>
    <w:rsid w:val="008D058A"/>
    <w:rsid w:val="008E653C"/>
    <w:rsid w:val="008F00EB"/>
    <w:rsid w:val="008F340B"/>
    <w:rsid w:val="008F5FCB"/>
    <w:rsid w:val="008F739E"/>
    <w:rsid w:val="00900C30"/>
    <w:rsid w:val="009024C2"/>
    <w:rsid w:val="00903406"/>
    <w:rsid w:val="00913E80"/>
    <w:rsid w:val="0092472E"/>
    <w:rsid w:val="009443BD"/>
    <w:rsid w:val="00944BE6"/>
    <w:rsid w:val="00952B9B"/>
    <w:rsid w:val="009545EB"/>
    <w:rsid w:val="00955AC3"/>
    <w:rsid w:val="00956965"/>
    <w:rsid w:val="00957B2C"/>
    <w:rsid w:val="00982EB4"/>
    <w:rsid w:val="0099469F"/>
    <w:rsid w:val="00995301"/>
    <w:rsid w:val="009A4741"/>
    <w:rsid w:val="009C0166"/>
    <w:rsid w:val="009C0832"/>
    <w:rsid w:val="009D3A5B"/>
    <w:rsid w:val="009E114F"/>
    <w:rsid w:val="009F5B94"/>
    <w:rsid w:val="009F6A59"/>
    <w:rsid w:val="00A01196"/>
    <w:rsid w:val="00A1096D"/>
    <w:rsid w:val="00A16D5C"/>
    <w:rsid w:val="00A216AA"/>
    <w:rsid w:val="00A23DA0"/>
    <w:rsid w:val="00A3253B"/>
    <w:rsid w:val="00A34DA5"/>
    <w:rsid w:val="00A366E2"/>
    <w:rsid w:val="00A40FD2"/>
    <w:rsid w:val="00A50120"/>
    <w:rsid w:val="00A64B78"/>
    <w:rsid w:val="00A900CD"/>
    <w:rsid w:val="00A921FA"/>
    <w:rsid w:val="00AA4A26"/>
    <w:rsid w:val="00AA5773"/>
    <w:rsid w:val="00AB215E"/>
    <w:rsid w:val="00AC14A8"/>
    <w:rsid w:val="00AD1415"/>
    <w:rsid w:val="00AD6F2C"/>
    <w:rsid w:val="00AF6C6A"/>
    <w:rsid w:val="00B162FE"/>
    <w:rsid w:val="00B210CA"/>
    <w:rsid w:val="00B3449C"/>
    <w:rsid w:val="00B3477F"/>
    <w:rsid w:val="00B40141"/>
    <w:rsid w:val="00B408F1"/>
    <w:rsid w:val="00B457EA"/>
    <w:rsid w:val="00B56285"/>
    <w:rsid w:val="00B7060B"/>
    <w:rsid w:val="00B71AE1"/>
    <w:rsid w:val="00B80185"/>
    <w:rsid w:val="00B86F21"/>
    <w:rsid w:val="00BA7F9C"/>
    <w:rsid w:val="00BD4B9C"/>
    <w:rsid w:val="00BF18BA"/>
    <w:rsid w:val="00BF605B"/>
    <w:rsid w:val="00C00F43"/>
    <w:rsid w:val="00C117FE"/>
    <w:rsid w:val="00C11EBB"/>
    <w:rsid w:val="00C12C6F"/>
    <w:rsid w:val="00C3290D"/>
    <w:rsid w:val="00C4371A"/>
    <w:rsid w:val="00C45255"/>
    <w:rsid w:val="00C5475A"/>
    <w:rsid w:val="00C56A2B"/>
    <w:rsid w:val="00C64C90"/>
    <w:rsid w:val="00C71E41"/>
    <w:rsid w:val="00C73083"/>
    <w:rsid w:val="00C82E86"/>
    <w:rsid w:val="00C83373"/>
    <w:rsid w:val="00C83BAE"/>
    <w:rsid w:val="00C9488D"/>
    <w:rsid w:val="00CA204E"/>
    <w:rsid w:val="00CA7893"/>
    <w:rsid w:val="00CA78E3"/>
    <w:rsid w:val="00CB17EC"/>
    <w:rsid w:val="00CC1E2C"/>
    <w:rsid w:val="00CC6596"/>
    <w:rsid w:val="00CC7CD9"/>
    <w:rsid w:val="00CD3D0E"/>
    <w:rsid w:val="00CD404F"/>
    <w:rsid w:val="00CF14F8"/>
    <w:rsid w:val="00CF6D01"/>
    <w:rsid w:val="00D13159"/>
    <w:rsid w:val="00D150D9"/>
    <w:rsid w:val="00D1571B"/>
    <w:rsid w:val="00D22A70"/>
    <w:rsid w:val="00D254DD"/>
    <w:rsid w:val="00D51DE9"/>
    <w:rsid w:val="00D5327B"/>
    <w:rsid w:val="00D55120"/>
    <w:rsid w:val="00D6115E"/>
    <w:rsid w:val="00D62310"/>
    <w:rsid w:val="00D65324"/>
    <w:rsid w:val="00D6532B"/>
    <w:rsid w:val="00D6685F"/>
    <w:rsid w:val="00D75034"/>
    <w:rsid w:val="00D75BB4"/>
    <w:rsid w:val="00D80CE9"/>
    <w:rsid w:val="00D84F6F"/>
    <w:rsid w:val="00D90267"/>
    <w:rsid w:val="00D9129C"/>
    <w:rsid w:val="00D94868"/>
    <w:rsid w:val="00D97FDE"/>
    <w:rsid w:val="00DA4288"/>
    <w:rsid w:val="00DA7516"/>
    <w:rsid w:val="00DB2438"/>
    <w:rsid w:val="00DB3543"/>
    <w:rsid w:val="00DB6750"/>
    <w:rsid w:val="00DC21A4"/>
    <w:rsid w:val="00DC2C79"/>
    <w:rsid w:val="00DD10B4"/>
    <w:rsid w:val="00DD5321"/>
    <w:rsid w:val="00DD76E3"/>
    <w:rsid w:val="00DE6EDD"/>
    <w:rsid w:val="00DF6F1C"/>
    <w:rsid w:val="00E00349"/>
    <w:rsid w:val="00E03265"/>
    <w:rsid w:val="00E16F30"/>
    <w:rsid w:val="00E23AD0"/>
    <w:rsid w:val="00E45DDE"/>
    <w:rsid w:val="00E4620B"/>
    <w:rsid w:val="00E46A33"/>
    <w:rsid w:val="00E56ECE"/>
    <w:rsid w:val="00E67799"/>
    <w:rsid w:val="00E71FCE"/>
    <w:rsid w:val="00E74743"/>
    <w:rsid w:val="00E75F1F"/>
    <w:rsid w:val="00E859F6"/>
    <w:rsid w:val="00E94FF2"/>
    <w:rsid w:val="00EA51D3"/>
    <w:rsid w:val="00EA7628"/>
    <w:rsid w:val="00EB2459"/>
    <w:rsid w:val="00EB25A8"/>
    <w:rsid w:val="00EC3260"/>
    <w:rsid w:val="00EC767B"/>
    <w:rsid w:val="00EC7D32"/>
    <w:rsid w:val="00ED669C"/>
    <w:rsid w:val="00EE33C3"/>
    <w:rsid w:val="00F0217B"/>
    <w:rsid w:val="00F11BE9"/>
    <w:rsid w:val="00F128C1"/>
    <w:rsid w:val="00F153C6"/>
    <w:rsid w:val="00F15B2B"/>
    <w:rsid w:val="00F16980"/>
    <w:rsid w:val="00F23371"/>
    <w:rsid w:val="00F30CA5"/>
    <w:rsid w:val="00F31502"/>
    <w:rsid w:val="00F34FC0"/>
    <w:rsid w:val="00F36900"/>
    <w:rsid w:val="00F400B9"/>
    <w:rsid w:val="00F46908"/>
    <w:rsid w:val="00F51917"/>
    <w:rsid w:val="00F60919"/>
    <w:rsid w:val="00F73E20"/>
    <w:rsid w:val="00F747B6"/>
    <w:rsid w:val="00F81B7E"/>
    <w:rsid w:val="00F822E7"/>
    <w:rsid w:val="00F82F87"/>
    <w:rsid w:val="00F85EC7"/>
    <w:rsid w:val="00F87300"/>
    <w:rsid w:val="00F9048E"/>
    <w:rsid w:val="00F9481D"/>
    <w:rsid w:val="00FB1244"/>
    <w:rsid w:val="00FB424C"/>
    <w:rsid w:val="00FB6F72"/>
    <w:rsid w:val="00FD3F44"/>
    <w:rsid w:val="00FD4B2A"/>
    <w:rsid w:val="00FD52DF"/>
    <w:rsid w:val="00FD5E8A"/>
    <w:rsid w:val="00FF2980"/>
    <w:rsid w:val="00FF710F"/>
    <w:rsid w:val="00FF796A"/>
    <w:rsid w:val="07AC1A0A"/>
    <w:rsid w:val="0BCA2DD8"/>
    <w:rsid w:val="17F47D2D"/>
    <w:rsid w:val="1B441D11"/>
    <w:rsid w:val="1BDF4A70"/>
    <w:rsid w:val="1C9004D1"/>
    <w:rsid w:val="22B36610"/>
    <w:rsid w:val="264A10FA"/>
    <w:rsid w:val="29B835C3"/>
    <w:rsid w:val="2D891F6C"/>
    <w:rsid w:val="359D7CEB"/>
    <w:rsid w:val="398E7C58"/>
    <w:rsid w:val="3CBB3172"/>
    <w:rsid w:val="40442B0E"/>
    <w:rsid w:val="42F848B2"/>
    <w:rsid w:val="46EC1A89"/>
    <w:rsid w:val="49DC48B4"/>
    <w:rsid w:val="4BFB1C3C"/>
    <w:rsid w:val="4DE01260"/>
    <w:rsid w:val="4DE14DF5"/>
    <w:rsid w:val="4E9D1372"/>
    <w:rsid w:val="5AE323FE"/>
    <w:rsid w:val="5C5049A3"/>
    <w:rsid w:val="5F4C7480"/>
    <w:rsid w:val="6576293D"/>
    <w:rsid w:val="68C10B3B"/>
    <w:rsid w:val="6B2E04FD"/>
    <w:rsid w:val="7E356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qFormat="1"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28"/>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42"/>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ind w:firstLine="420" w:firstLineChars="200"/>
    </w:pPr>
    <w:rPr>
      <w:rFonts w:eastAsia="仿宋_GB2312"/>
      <w:sz w:val="28"/>
    </w:rPr>
  </w:style>
  <w:style w:type="paragraph" w:styleId="6">
    <w:name w:val="toc 7"/>
    <w:basedOn w:val="1"/>
    <w:next w:val="1"/>
    <w:semiHidden/>
    <w:unhideWhenUsed/>
    <w:qFormat/>
    <w:uiPriority w:val="39"/>
    <w:pPr>
      <w:ind w:left="2520" w:leftChars="1200"/>
    </w:pPr>
  </w:style>
  <w:style w:type="paragraph" w:styleId="7">
    <w:name w:val="Normal Indent"/>
    <w:basedOn w:val="1"/>
    <w:link w:val="48"/>
    <w:qFormat/>
    <w:uiPriority w:val="0"/>
    <w:pPr>
      <w:widowControl/>
      <w:snapToGrid w:val="0"/>
      <w:spacing w:line="480" w:lineRule="exact"/>
      <w:ind w:firstLine="567"/>
    </w:pPr>
    <w:rPr>
      <w:rFonts w:ascii="宋体"/>
      <w:snapToGrid w:val="0"/>
      <w:color w:val="000000"/>
      <w:kern w:val="28"/>
      <w:sz w:val="28"/>
      <w:szCs w:val="20"/>
    </w:rPr>
  </w:style>
  <w:style w:type="paragraph" w:styleId="8">
    <w:name w:val="annotation text"/>
    <w:basedOn w:val="1"/>
    <w:link w:val="50"/>
    <w:semiHidden/>
    <w:unhideWhenUsed/>
    <w:qFormat/>
    <w:uiPriority w:val="99"/>
    <w:pPr>
      <w:jc w:val="left"/>
    </w:pPr>
  </w:style>
  <w:style w:type="paragraph" w:styleId="9">
    <w:name w:val="Body Text"/>
    <w:basedOn w:val="1"/>
    <w:next w:val="10"/>
    <w:link w:val="32"/>
    <w:qFormat/>
    <w:uiPriority w:val="0"/>
    <w:pPr>
      <w:autoSpaceDE w:val="0"/>
      <w:autoSpaceDN w:val="0"/>
      <w:spacing w:line="360" w:lineRule="auto"/>
    </w:pPr>
    <w:rPr>
      <w:rFonts w:ascii="宋体" w:hAnsi="Arial" w:cs="Arial"/>
      <w:snapToGrid w:val="0"/>
      <w:sz w:val="24"/>
      <w:szCs w:val="21"/>
      <w:lang w:val="zh-CN"/>
    </w:rPr>
  </w:style>
  <w:style w:type="paragraph" w:styleId="10">
    <w:name w:val="Date"/>
    <w:basedOn w:val="1"/>
    <w:next w:val="1"/>
    <w:link w:val="30"/>
    <w:qFormat/>
    <w:uiPriority w:val="0"/>
    <w:pPr>
      <w:ind w:left="100" w:leftChars="2500"/>
    </w:pPr>
    <w:rPr>
      <w:rFonts w:ascii="宋体"/>
      <w:sz w:val="24"/>
      <w:szCs w:val="21"/>
      <w:lang w:val="zh-CN"/>
    </w:rPr>
  </w:style>
  <w:style w:type="paragraph" w:styleId="11">
    <w:name w:val="Body Text Indent"/>
    <w:basedOn w:val="1"/>
    <w:link w:val="29"/>
    <w:qFormat/>
    <w:uiPriority w:val="0"/>
    <w:pPr>
      <w:spacing w:line="480" w:lineRule="exact"/>
      <w:ind w:firstLine="480" w:firstLineChars="200"/>
    </w:pPr>
    <w:rPr>
      <w:rFonts w:ascii="宋体" w:hAnsi="宋体"/>
      <w:sz w:val="24"/>
    </w:rPr>
  </w:style>
  <w:style w:type="paragraph" w:styleId="12">
    <w:name w:val="toc 3"/>
    <w:basedOn w:val="1"/>
    <w:next w:val="1"/>
    <w:qFormat/>
    <w:uiPriority w:val="0"/>
    <w:pPr>
      <w:ind w:left="840" w:leftChars="400"/>
    </w:pPr>
    <w:rPr>
      <w:rFonts w:ascii="Times New Roman" w:hAnsi="Times New Roman"/>
    </w:rPr>
  </w:style>
  <w:style w:type="paragraph" w:styleId="13">
    <w:name w:val="Plain Text"/>
    <w:basedOn w:val="1"/>
    <w:link w:val="31"/>
    <w:qFormat/>
    <w:uiPriority w:val="0"/>
    <w:rPr>
      <w:rFonts w:ascii="宋体" w:hAnsi="Courier New" w:cs="Arial"/>
      <w:snapToGrid w:val="0"/>
      <w:szCs w:val="21"/>
    </w:rPr>
  </w:style>
  <w:style w:type="paragraph" w:styleId="14">
    <w:name w:val="Balloon Text"/>
    <w:basedOn w:val="1"/>
    <w:link w:val="45"/>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Body Text Indent 3"/>
    <w:basedOn w:val="1"/>
    <w:link w:val="49"/>
    <w:qFormat/>
    <w:uiPriority w:val="0"/>
    <w:pPr>
      <w:spacing w:after="120"/>
      <w:ind w:left="420" w:leftChars="200"/>
    </w:pPr>
    <w:rPr>
      <w:rFonts w:ascii="Times New Roman" w:hAnsi="Times New Roman"/>
      <w:sz w:val="16"/>
      <w:szCs w:val="16"/>
    </w:rPr>
  </w:style>
  <w:style w:type="paragraph" w:styleId="18">
    <w:name w:val="annotation subject"/>
    <w:basedOn w:val="8"/>
    <w:next w:val="8"/>
    <w:link w:val="51"/>
    <w:semiHidden/>
    <w:unhideWhenUsed/>
    <w:qFormat/>
    <w:uiPriority w:val="99"/>
    <w:rPr>
      <w:b/>
      <w:bCs/>
    </w:rPr>
  </w:style>
  <w:style w:type="table" w:styleId="20">
    <w:name w:val="Table Grid"/>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rPr>
      <w:rFonts w:ascii="Arial" w:hAnsi="Arial" w:eastAsia="黑体" w:cs="Arial"/>
      <w:snapToGrid w:val="0"/>
      <w:kern w:val="0"/>
      <w:szCs w:val="21"/>
    </w:rPr>
  </w:style>
  <w:style w:type="character" w:styleId="23">
    <w:name w:val="FollowedHyperlink"/>
    <w:basedOn w:val="21"/>
    <w:semiHidden/>
    <w:unhideWhenUsed/>
    <w:qFormat/>
    <w:uiPriority w:val="99"/>
    <w:rPr>
      <w:color w:val="800080"/>
      <w:u w:val="none"/>
    </w:rPr>
  </w:style>
  <w:style w:type="character" w:styleId="24">
    <w:name w:val="Hyperlink"/>
    <w:qFormat/>
    <w:uiPriority w:val="99"/>
    <w:rPr>
      <w:rFonts w:ascii="Arial" w:hAnsi="Arial" w:eastAsia="黑体" w:cs="Arial"/>
      <w:snapToGrid w:val="0"/>
      <w:color w:val="000000"/>
      <w:kern w:val="0"/>
      <w:sz w:val="18"/>
      <w:szCs w:val="18"/>
      <w:u w:val="none"/>
    </w:rPr>
  </w:style>
  <w:style w:type="character" w:styleId="25">
    <w:name w:val="annotation reference"/>
    <w:basedOn w:val="21"/>
    <w:semiHidden/>
    <w:unhideWhenUsed/>
    <w:uiPriority w:val="99"/>
    <w:rPr>
      <w:sz w:val="21"/>
      <w:szCs w:val="21"/>
    </w:rPr>
  </w:style>
  <w:style w:type="character" w:customStyle="1" w:styleId="26">
    <w:name w:val="页眉 Char"/>
    <w:basedOn w:val="21"/>
    <w:link w:val="16"/>
    <w:qFormat/>
    <w:uiPriority w:val="99"/>
    <w:rPr>
      <w:sz w:val="18"/>
      <w:szCs w:val="18"/>
    </w:rPr>
  </w:style>
  <w:style w:type="character" w:customStyle="1" w:styleId="27">
    <w:name w:val="页脚 Char"/>
    <w:basedOn w:val="21"/>
    <w:link w:val="15"/>
    <w:qFormat/>
    <w:uiPriority w:val="99"/>
    <w:rPr>
      <w:sz w:val="18"/>
      <w:szCs w:val="18"/>
    </w:rPr>
  </w:style>
  <w:style w:type="character" w:customStyle="1" w:styleId="28">
    <w:name w:val="标题 2 Char"/>
    <w:basedOn w:val="21"/>
    <w:link w:val="3"/>
    <w:qFormat/>
    <w:uiPriority w:val="0"/>
    <w:rPr>
      <w:rFonts w:ascii="仿宋_GB2312" w:hAnsi="仿宋" w:eastAsia="仿宋_GB2312" w:cs="Times New Roman"/>
      <w:b/>
      <w:bCs/>
      <w:sz w:val="32"/>
      <w:szCs w:val="32"/>
      <w:lang w:val="zh-CN"/>
    </w:rPr>
  </w:style>
  <w:style w:type="character" w:customStyle="1" w:styleId="29">
    <w:name w:val="正文文本缩进 Char"/>
    <w:basedOn w:val="21"/>
    <w:link w:val="11"/>
    <w:qFormat/>
    <w:uiPriority w:val="0"/>
    <w:rPr>
      <w:rFonts w:ascii="宋体" w:hAnsi="宋体" w:eastAsia="宋体" w:cs="Times New Roman"/>
      <w:sz w:val="24"/>
      <w:szCs w:val="24"/>
    </w:rPr>
  </w:style>
  <w:style w:type="character" w:customStyle="1" w:styleId="30">
    <w:name w:val="日期 Char"/>
    <w:basedOn w:val="21"/>
    <w:link w:val="10"/>
    <w:qFormat/>
    <w:uiPriority w:val="0"/>
    <w:rPr>
      <w:rFonts w:ascii="宋体" w:hAnsi="Calibri" w:eastAsia="宋体" w:cs="Times New Roman"/>
      <w:sz w:val="24"/>
      <w:szCs w:val="21"/>
      <w:lang w:val="zh-CN"/>
    </w:rPr>
  </w:style>
  <w:style w:type="character" w:customStyle="1" w:styleId="31">
    <w:name w:val="纯文本 Char"/>
    <w:basedOn w:val="21"/>
    <w:link w:val="13"/>
    <w:qFormat/>
    <w:uiPriority w:val="0"/>
    <w:rPr>
      <w:rFonts w:ascii="宋体" w:hAnsi="Courier New" w:eastAsia="宋体" w:cs="Arial"/>
      <w:snapToGrid w:val="0"/>
      <w:szCs w:val="21"/>
    </w:rPr>
  </w:style>
  <w:style w:type="character" w:customStyle="1" w:styleId="32">
    <w:name w:val="正文文本 Char"/>
    <w:basedOn w:val="21"/>
    <w:link w:val="9"/>
    <w:qFormat/>
    <w:uiPriority w:val="0"/>
    <w:rPr>
      <w:rFonts w:ascii="宋体" w:hAnsi="Arial" w:eastAsia="宋体" w:cs="Arial"/>
      <w:snapToGrid w:val="0"/>
      <w:sz w:val="24"/>
      <w:szCs w:val="21"/>
      <w:lang w:val="zh-CN"/>
    </w:rPr>
  </w:style>
  <w:style w:type="paragraph" w:customStyle="1" w:styleId="33">
    <w:name w:val="索引 11"/>
    <w:basedOn w:val="1"/>
    <w:next w:val="1"/>
    <w:qFormat/>
    <w:uiPriority w:val="99"/>
    <w:pPr>
      <w:spacing w:line="360" w:lineRule="auto"/>
    </w:pPr>
    <w:rPr>
      <w:rFonts w:ascii="仿宋_GB2312" w:eastAsia="仿宋_GB2312"/>
      <w:sz w:val="24"/>
      <w:szCs w:val="20"/>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7">
    <w:name w:val="纯文本1"/>
    <w:basedOn w:val="1"/>
    <w:qFormat/>
    <w:uiPriority w:val="0"/>
    <w:rPr>
      <w:rFonts w:ascii="宋体" w:hAnsi="Courier New"/>
      <w:kern w:val="0"/>
      <w:sz w:val="20"/>
      <w:szCs w:val="20"/>
    </w:rPr>
  </w:style>
  <w:style w:type="paragraph" w:customStyle="1" w:styleId="3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纯文本_0_0"/>
    <w:basedOn w:val="38"/>
    <w:qFormat/>
    <w:uiPriority w:val="0"/>
    <w:rPr>
      <w:rFonts w:ascii="宋体" w:hAnsi="Courier New"/>
      <w:szCs w:val="21"/>
    </w:rPr>
  </w:style>
  <w:style w:type="paragraph" w:customStyle="1" w:styleId="40">
    <w:name w:val="正文2"/>
    <w:basedOn w:val="1"/>
    <w:qFormat/>
    <w:uiPriority w:val="0"/>
    <w:pPr>
      <w:spacing w:before="156" w:line="360" w:lineRule="auto"/>
      <w:ind w:firstLine="510" w:firstLineChars="200"/>
    </w:pPr>
    <w:rPr>
      <w:sz w:val="24"/>
      <w:szCs w:val="20"/>
    </w:rPr>
  </w:style>
  <w:style w:type="paragraph" w:customStyle="1" w:styleId="41">
    <w:name w:val="正文缩进1"/>
    <w:basedOn w:val="1"/>
    <w:next w:val="11"/>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2">
    <w:name w:val="标题 3 Char"/>
    <w:basedOn w:val="21"/>
    <w:link w:val="4"/>
    <w:semiHidden/>
    <w:qFormat/>
    <w:uiPriority w:val="9"/>
    <w:rPr>
      <w:rFonts w:ascii="Calibri" w:hAnsi="Calibri" w:eastAsia="宋体" w:cs="Times New Roman"/>
      <w:b/>
      <w:bCs/>
      <w:sz w:val="32"/>
      <w:szCs w:val="32"/>
    </w:rPr>
  </w:style>
  <w:style w:type="character" w:customStyle="1" w:styleId="43">
    <w:name w:val="标题 4 Char"/>
    <w:basedOn w:val="21"/>
    <w:link w:val="5"/>
    <w:semiHidden/>
    <w:qFormat/>
    <w:uiPriority w:val="9"/>
    <w:rPr>
      <w:rFonts w:asciiTheme="majorHAnsi" w:hAnsiTheme="majorHAnsi" w:eastAsiaTheme="majorEastAsia" w:cstheme="majorBidi"/>
      <w:b/>
      <w:bCs/>
      <w:sz w:val="28"/>
      <w:szCs w:val="28"/>
    </w:rPr>
  </w:style>
  <w:style w:type="paragraph" w:customStyle="1" w:styleId="44">
    <w:name w:val="标题4"/>
    <w:basedOn w:val="1"/>
    <w:qFormat/>
    <w:uiPriority w:val="0"/>
    <w:rPr>
      <w:rFonts w:ascii="Times New Roman" w:hAnsi="Times New Roman" w:eastAsia="仿宋_GB2312"/>
      <w:sz w:val="32"/>
      <w:szCs w:val="20"/>
    </w:rPr>
  </w:style>
  <w:style w:type="character" w:customStyle="1" w:styleId="45">
    <w:name w:val="批注框文本 Char"/>
    <w:basedOn w:val="21"/>
    <w:link w:val="14"/>
    <w:semiHidden/>
    <w:qFormat/>
    <w:uiPriority w:val="99"/>
    <w:rPr>
      <w:rFonts w:ascii="Calibri" w:hAnsi="Calibri" w:eastAsia="宋体" w:cs="Times New Roman"/>
      <w:sz w:val="18"/>
      <w:szCs w:val="18"/>
    </w:rPr>
  </w:style>
  <w:style w:type="character" w:customStyle="1" w:styleId="46">
    <w:name w:val="List Paragraph Char"/>
    <w:link w:val="47"/>
    <w:qFormat/>
    <w:locked/>
    <w:uiPriority w:val="0"/>
    <w:rPr>
      <w:rFonts w:ascii="Times New Roman" w:hAnsi="Times New Roman"/>
      <w:szCs w:val="24"/>
    </w:rPr>
  </w:style>
  <w:style w:type="paragraph" w:customStyle="1" w:styleId="47">
    <w:name w:val="列出段落1"/>
    <w:basedOn w:val="1"/>
    <w:link w:val="46"/>
    <w:qFormat/>
    <w:uiPriority w:val="0"/>
    <w:pPr>
      <w:ind w:firstLine="420" w:firstLineChars="200"/>
    </w:pPr>
    <w:rPr>
      <w:rFonts w:ascii="Times New Roman" w:hAnsi="Times New Roman" w:eastAsiaTheme="minorEastAsia" w:cstheme="minorBidi"/>
    </w:rPr>
  </w:style>
  <w:style w:type="character" w:customStyle="1" w:styleId="48">
    <w:name w:val="正文缩进 Char"/>
    <w:link w:val="7"/>
    <w:qFormat/>
    <w:uiPriority w:val="99"/>
    <w:rPr>
      <w:rFonts w:ascii="宋体" w:hAnsi="Calibri" w:eastAsia="宋体" w:cs="Times New Roman"/>
      <w:snapToGrid w:val="0"/>
      <w:color w:val="000000"/>
      <w:kern w:val="28"/>
      <w:sz w:val="28"/>
    </w:rPr>
  </w:style>
  <w:style w:type="character" w:customStyle="1" w:styleId="49">
    <w:name w:val="正文文本缩进 3 Char"/>
    <w:basedOn w:val="21"/>
    <w:link w:val="17"/>
    <w:qFormat/>
    <w:uiPriority w:val="0"/>
    <w:rPr>
      <w:rFonts w:ascii="Times New Roman" w:hAnsi="Times New Roman" w:eastAsia="宋体" w:cs="Times New Roman"/>
      <w:kern w:val="2"/>
      <w:sz w:val="16"/>
      <w:szCs w:val="16"/>
    </w:rPr>
  </w:style>
  <w:style w:type="character" w:customStyle="1" w:styleId="50">
    <w:name w:val="批注文字 Char"/>
    <w:basedOn w:val="21"/>
    <w:link w:val="8"/>
    <w:semiHidden/>
    <w:qFormat/>
    <w:uiPriority w:val="99"/>
    <w:rPr>
      <w:rFonts w:ascii="Calibri" w:hAnsi="Calibri" w:eastAsia="宋体" w:cs="Times New Roman"/>
      <w:kern w:val="2"/>
      <w:sz w:val="21"/>
      <w:szCs w:val="24"/>
    </w:rPr>
  </w:style>
  <w:style w:type="character" w:customStyle="1" w:styleId="51">
    <w:name w:val="批注主题 Char"/>
    <w:basedOn w:val="50"/>
    <w:link w:val="18"/>
    <w:semiHidden/>
    <w:qFormat/>
    <w:uiPriority w:val="99"/>
    <w:rPr>
      <w:rFonts w:ascii="Calibri" w:hAnsi="Calibri" w:eastAsia="宋体" w:cs="Times New Roman"/>
      <w:b/>
      <w:bCs/>
      <w:kern w:val="2"/>
      <w:sz w:val="21"/>
      <w:szCs w:val="24"/>
    </w:rPr>
  </w:style>
  <w:style w:type="character" w:customStyle="1" w:styleId="52">
    <w:name w:val="textcolor1"/>
    <w:basedOn w:val="21"/>
    <w:qFormat/>
    <w:uiPriority w:val="0"/>
    <w:rPr>
      <w:color w:val="FF660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E374-0E2E-4FFE-9D40-7E683B0E67A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71</Pages>
  <Words>31503</Words>
  <Characters>34255</Characters>
  <Lines>62</Lines>
  <Paragraphs>77</Paragraphs>
  <TotalTime>3</TotalTime>
  <ScaleCrop>false</ScaleCrop>
  <LinksUpToDate>false</LinksUpToDate>
  <CharactersWithSpaces>37126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2022-04-06T06:41:00Z</dcterms:created>
  <dc:creator>Microsoft</dc:creator>
  <cp:lastModifiedBy>Administrator</cp:lastModifiedBy>
  <cp:lastPrinted>2022-06-14T00:38:00Z</cp:lastPrinted>
  <dcterms:modified xsi:type="dcterms:W3CDTF">2022-07-27T06:02:51Z</dcterms:modified>
  <cp:revision>383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A12025A4C1A0495C92A5218CFCA62A79</vt:lpwstr>
  </property>
</Properties>
</file>