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cs="仿宋_GB2312" w:asciiTheme="majorEastAsia" w:hAnsiTheme="majorEastAsia" w:eastAsiaTheme="majorEastAsia"/>
          <w:color w:val="auto"/>
          <w:sz w:val="48"/>
          <w:szCs w:val="48"/>
        </w:rPr>
      </w:pPr>
      <w:bookmarkStart w:id="401" w:name="_GoBack"/>
    </w:p>
    <w:p>
      <w:pPr>
        <w:shd w:val="clear"/>
        <w:spacing w:line="360" w:lineRule="auto"/>
        <w:jc w:val="center"/>
        <w:rPr>
          <w:rFonts w:cs="仿宋_GB2312" w:asciiTheme="majorEastAsia" w:hAnsiTheme="majorEastAsia" w:eastAsiaTheme="majorEastAsia"/>
          <w:color w:val="auto"/>
          <w:sz w:val="44"/>
          <w:szCs w:val="44"/>
        </w:rPr>
      </w:pPr>
      <w:r>
        <w:rPr>
          <w:rFonts w:hint="eastAsia" w:cs="仿宋_GB2312" w:asciiTheme="majorEastAsia" w:hAnsiTheme="majorEastAsia" w:eastAsiaTheme="majorEastAsia"/>
          <w:color w:val="auto"/>
          <w:sz w:val="44"/>
          <w:szCs w:val="44"/>
        </w:rPr>
        <w:t>2022年尚田街道建成区保洁及垃圾清运项目</w:t>
      </w:r>
    </w:p>
    <w:p>
      <w:pPr>
        <w:shd w:val="clear"/>
        <w:spacing w:line="360" w:lineRule="auto"/>
        <w:jc w:val="center"/>
        <w:rPr>
          <w:rFonts w:cs="仿宋_GB2312" w:asciiTheme="majorEastAsia" w:hAnsiTheme="majorEastAsia" w:eastAsiaTheme="majorEastAsia"/>
          <w:color w:val="auto"/>
          <w:sz w:val="48"/>
          <w:szCs w:val="48"/>
        </w:rPr>
      </w:pPr>
      <w:r>
        <w:rPr>
          <w:rFonts w:hint="eastAsia" w:cs="仿宋_GB2312" w:asciiTheme="majorEastAsia" w:hAnsiTheme="majorEastAsia" w:eastAsiaTheme="majorEastAsia"/>
          <w:color w:val="auto"/>
          <w:sz w:val="48"/>
          <w:szCs w:val="48"/>
        </w:rPr>
        <w:t>公开招标采购文件</w:t>
      </w:r>
    </w:p>
    <w:p>
      <w:pPr>
        <w:shd w:val="clear"/>
        <w:spacing w:line="360" w:lineRule="auto"/>
        <w:jc w:val="center"/>
        <w:rPr>
          <w:rFonts w:cs="仿宋_GB2312" w:asciiTheme="majorEastAsia" w:hAnsiTheme="majorEastAsia" w:eastAsiaTheme="majorEastAsia"/>
          <w:b/>
          <w:color w:val="auto"/>
          <w:sz w:val="44"/>
          <w:szCs w:val="44"/>
        </w:rPr>
      </w:pPr>
      <w:r>
        <w:rPr>
          <w:rFonts w:cs="仿宋_GB2312" w:asciiTheme="majorEastAsia" w:hAnsiTheme="majorEastAsia" w:eastAsiaTheme="majorEastAsia"/>
          <w:b/>
          <w:color w:val="auto"/>
          <w:sz w:val="44"/>
          <w:szCs w:val="44"/>
        </w:rPr>
        <w:t xml:space="preserve"> （电子招投标）</w:t>
      </w:r>
    </w:p>
    <w:p>
      <w:pPr>
        <w:shd w:val="clear"/>
        <w:snapToGrid w:val="0"/>
        <w:spacing w:line="360" w:lineRule="auto"/>
        <w:jc w:val="center"/>
        <w:rPr>
          <w:rFonts w:cs="仿宋_GB2312" w:asciiTheme="majorEastAsia" w:hAnsiTheme="majorEastAsia" w:eastAsiaTheme="majorEastAsia"/>
          <w:color w:val="auto"/>
          <w:sz w:val="30"/>
          <w:szCs w:val="30"/>
        </w:rPr>
      </w:pPr>
      <w:r>
        <w:rPr>
          <w:rFonts w:hint="eastAsia" w:cs="仿宋_GB2312" w:asciiTheme="majorEastAsia" w:hAnsiTheme="majorEastAsia" w:eastAsiaTheme="majorEastAsia"/>
          <w:color w:val="auto"/>
          <w:sz w:val="30"/>
          <w:szCs w:val="30"/>
        </w:rPr>
        <w:t>项目编号</w:t>
      </w:r>
      <w:r>
        <w:rPr>
          <w:rFonts w:cs="仿宋_GB2312" w:asciiTheme="majorEastAsia" w:hAnsiTheme="majorEastAsia" w:eastAsiaTheme="majorEastAsia"/>
          <w:color w:val="auto"/>
          <w:sz w:val="30"/>
          <w:szCs w:val="30"/>
        </w:rPr>
        <w:t>:FHZFCG（2022）117D</w:t>
      </w:r>
    </w:p>
    <w:p>
      <w:pPr>
        <w:shd w:val="clear"/>
        <w:spacing w:line="360" w:lineRule="auto"/>
        <w:rPr>
          <w:rFonts w:cs="仿宋_GB2312" w:asciiTheme="majorEastAsia" w:hAnsiTheme="majorEastAsia" w:eastAsiaTheme="majorEastAsia"/>
          <w:color w:val="auto"/>
          <w:sz w:val="28"/>
          <w:szCs w:val="20"/>
        </w:rPr>
      </w:pPr>
    </w:p>
    <w:p>
      <w:pPr>
        <w:shd w:val="clear"/>
        <w:spacing w:line="360" w:lineRule="auto"/>
        <w:jc w:val="center"/>
        <w:rPr>
          <w:rFonts w:cs="仿宋_GB2312" w:asciiTheme="majorEastAsia" w:hAnsiTheme="majorEastAsia" w:eastAsiaTheme="majorEastAsia"/>
          <w:b/>
          <w:color w:val="auto"/>
          <w:sz w:val="44"/>
          <w:szCs w:val="44"/>
        </w:rPr>
      </w:pPr>
      <w:r>
        <w:rPr>
          <w:rFonts w:cs="仿宋_GB2312" w:asciiTheme="majorEastAsia" w:hAnsiTheme="majorEastAsia" w:eastAsiaTheme="majorEastAsia"/>
          <w:b/>
          <w:color w:val="auto"/>
          <w:sz w:val="44"/>
          <w:szCs w:val="44"/>
        </w:rPr>
        <w:t xml:space="preserve"> </w:t>
      </w:r>
    </w:p>
    <w:p>
      <w:pPr>
        <w:shd w:val="clear"/>
        <w:spacing w:line="360" w:lineRule="auto"/>
        <w:jc w:val="center"/>
        <w:rPr>
          <w:rFonts w:cs="仿宋_GB2312" w:asciiTheme="majorEastAsia" w:hAnsiTheme="majorEastAsia" w:eastAsiaTheme="majorEastAsia"/>
          <w:b/>
          <w:color w:val="auto"/>
          <w:sz w:val="44"/>
          <w:szCs w:val="44"/>
        </w:rPr>
      </w:pPr>
    </w:p>
    <w:p>
      <w:pPr>
        <w:pStyle w:val="2"/>
        <w:shd w:val="clear"/>
        <w:ind w:firstLine="588"/>
        <w:rPr>
          <w:color w:val="auto"/>
        </w:rPr>
      </w:pPr>
    </w:p>
    <w:p>
      <w:pPr>
        <w:pStyle w:val="2"/>
        <w:shd w:val="clear"/>
        <w:ind w:firstLine="588"/>
        <w:rPr>
          <w:color w:val="auto"/>
        </w:rPr>
      </w:pPr>
    </w:p>
    <w:p>
      <w:pPr>
        <w:pStyle w:val="2"/>
        <w:shd w:val="clear"/>
        <w:ind w:firstLine="588"/>
        <w:rPr>
          <w:color w:val="auto"/>
        </w:rPr>
      </w:pPr>
    </w:p>
    <w:p>
      <w:pPr>
        <w:pStyle w:val="2"/>
        <w:shd w:val="clear"/>
        <w:ind w:firstLine="588"/>
        <w:rPr>
          <w:color w:val="auto"/>
        </w:rPr>
      </w:pPr>
    </w:p>
    <w:p>
      <w:pPr>
        <w:pStyle w:val="2"/>
        <w:shd w:val="clear"/>
        <w:ind w:firstLine="588"/>
        <w:rPr>
          <w:color w:val="auto"/>
        </w:rPr>
      </w:pPr>
    </w:p>
    <w:p>
      <w:pPr>
        <w:pStyle w:val="2"/>
        <w:shd w:val="clear"/>
        <w:ind w:firstLine="588"/>
        <w:rPr>
          <w:color w:val="auto"/>
        </w:rPr>
      </w:pPr>
    </w:p>
    <w:p>
      <w:pPr>
        <w:shd w:val="clear"/>
        <w:spacing w:line="360" w:lineRule="auto"/>
        <w:jc w:val="center"/>
        <w:rPr>
          <w:rFonts w:cs="仿宋_GB2312" w:asciiTheme="majorEastAsia" w:hAnsiTheme="majorEastAsia" w:eastAsiaTheme="majorEastAsia"/>
          <w:color w:val="auto"/>
          <w:sz w:val="24"/>
        </w:rPr>
      </w:pPr>
    </w:p>
    <w:p>
      <w:pPr>
        <w:shd w:val="clear"/>
        <w:spacing w:line="360" w:lineRule="auto"/>
        <w:jc w:val="center"/>
        <w:rPr>
          <w:rFonts w:cs="仿宋_GB2312" w:asciiTheme="majorEastAsia" w:hAnsiTheme="majorEastAsia" w:eastAsiaTheme="majorEastAsia"/>
          <w:color w:val="auto"/>
          <w:sz w:val="24"/>
        </w:rPr>
      </w:pPr>
    </w:p>
    <w:p>
      <w:pPr>
        <w:shd w:val="clear"/>
        <w:spacing w:line="360" w:lineRule="auto"/>
        <w:rPr>
          <w:rFonts w:cs="仿宋_GB2312" w:asciiTheme="majorEastAsia" w:hAnsiTheme="majorEastAsia" w:eastAsiaTheme="majorEastAsia"/>
          <w:color w:val="auto"/>
          <w:sz w:val="32"/>
          <w:szCs w:val="32"/>
        </w:rPr>
      </w:pPr>
    </w:p>
    <w:p>
      <w:pPr>
        <w:shd w:val="clear"/>
        <w:snapToGrid w:val="0"/>
        <w:spacing w:line="360" w:lineRule="auto"/>
        <w:jc w:val="center"/>
        <w:rPr>
          <w:rFonts w:cs="仿宋_GB2312" w:asciiTheme="majorEastAsia" w:hAnsiTheme="majorEastAsia" w:eastAsiaTheme="majorEastAsia"/>
          <w:color w:val="auto"/>
          <w:sz w:val="32"/>
          <w:szCs w:val="32"/>
        </w:rPr>
      </w:pPr>
      <w:r>
        <w:rPr>
          <w:rFonts w:hint="eastAsia" w:cs="仿宋_GB2312" w:asciiTheme="majorEastAsia" w:hAnsiTheme="majorEastAsia" w:eastAsiaTheme="majorEastAsia"/>
          <w:color w:val="auto"/>
          <w:sz w:val="32"/>
          <w:szCs w:val="32"/>
        </w:rPr>
        <w:t>采购人：宁波市奉化区人民政府尚田街道办事处</w:t>
      </w:r>
    </w:p>
    <w:p>
      <w:pPr>
        <w:shd w:val="clear"/>
        <w:spacing w:line="360" w:lineRule="auto"/>
        <w:jc w:val="center"/>
        <w:rPr>
          <w:rFonts w:cs="仿宋_GB2312" w:asciiTheme="majorEastAsia" w:hAnsiTheme="majorEastAsia" w:eastAsiaTheme="majorEastAsia"/>
          <w:bCs/>
          <w:color w:val="auto"/>
          <w:sz w:val="32"/>
          <w:szCs w:val="32"/>
        </w:rPr>
      </w:pPr>
      <w:r>
        <w:rPr>
          <w:rFonts w:hint="eastAsia" w:cs="仿宋_GB2312" w:asciiTheme="majorEastAsia" w:hAnsiTheme="majorEastAsia" w:eastAsiaTheme="majorEastAsia"/>
          <w:bCs/>
          <w:color w:val="auto"/>
          <w:sz w:val="32"/>
          <w:szCs w:val="32"/>
        </w:rPr>
        <w:t>采购代理机构：宁波敬信项目管理咨询有限公司</w:t>
      </w:r>
    </w:p>
    <w:p>
      <w:pPr>
        <w:shd w:val="clear"/>
        <w:snapToGrid w:val="0"/>
        <w:spacing w:line="360" w:lineRule="auto"/>
        <w:jc w:val="center"/>
        <w:rPr>
          <w:rFonts w:cs="仿宋_GB2312" w:asciiTheme="majorEastAsia" w:hAnsiTheme="majorEastAsia" w:eastAsiaTheme="majorEastAsia"/>
          <w:bCs/>
          <w:color w:val="auto"/>
          <w:sz w:val="32"/>
          <w:szCs w:val="32"/>
        </w:rPr>
      </w:pPr>
    </w:p>
    <w:p>
      <w:pPr>
        <w:shd w:val="clear"/>
        <w:snapToGrid w:val="0"/>
        <w:spacing w:line="360" w:lineRule="auto"/>
        <w:jc w:val="center"/>
        <w:rPr>
          <w:rFonts w:cs="仿宋_GB2312" w:asciiTheme="majorEastAsia" w:hAnsiTheme="majorEastAsia" w:eastAsiaTheme="majorEastAsia"/>
          <w:bCs/>
          <w:color w:val="auto"/>
          <w:sz w:val="32"/>
          <w:szCs w:val="32"/>
        </w:rPr>
      </w:pPr>
      <w:r>
        <w:rPr>
          <w:rFonts w:hint="eastAsia" w:cs="仿宋_GB2312" w:asciiTheme="majorEastAsia" w:hAnsiTheme="majorEastAsia" w:eastAsiaTheme="majorEastAsia"/>
          <w:bCs/>
          <w:color w:val="auto"/>
          <w:sz w:val="32"/>
          <w:szCs w:val="32"/>
        </w:rPr>
        <w:t>二零二二年</w:t>
      </w:r>
    </w:p>
    <w:p>
      <w:pPr>
        <w:shd w:val="clear"/>
        <w:spacing w:line="360" w:lineRule="auto"/>
        <w:jc w:val="center"/>
        <w:rPr>
          <w:rFonts w:cs="仿宋_GB2312" w:asciiTheme="majorEastAsia" w:hAnsiTheme="majorEastAsia" w:eastAsiaTheme="majorEastAsia"/>
          <w:color w:val="auto"/>
          <w:sz w:val="24"/>
        </w:rPr>
      </w:pPr>
      <w:r>
        <w:rPr>
          <w:rFonts w:cs="仿宋_GB2312" w:asciiTheme="majorEastAsia" w:hAnsiTheme="majorEastAsia" w:eastAsiaTheme="majorEastAsia"/>
          <w:color w:val="auto"/>
          <w:sz w:val="24"/>
        </w:rPr>
        <w:br w:type="page"/>
      </w:r>
      <w:bookmarkStart w:id="0" w:name="_Hlt67893495"/>
      <w:bookmarkEnd w:id="0"/>
    </w:p>
    <w:p>
      <w:pPr>
        <w:shd w:val="clear"/>
        <w:spacing w:line="360" w:lineRule="auto"/>
        <w:jc w:val="center"/>
        <w:rPr>
          <w:rFonts w:cs="仿宋_GB2312" w:asciiTheme="majorEastAsia" w:hAnsiTheme="majorEastAsia" w:eastAsiaTheme="majorEastAsia"/>
          <w:color w:val="auto"/>
          <w:sz w:val="24"/>
        </w:rPr>
      </w:pPr>
    </w:p>
    <w:p>
      <w:pPr>
        <w:shd w:val="clear"/>
        <w:spacing w:line="360" w:lineRule="auto"/>
        <w:jc w:val="center"/>
        <w:rPr>
          <w:rFonts w:cs="仿宋_GB2312" w:asciiTheme="majorEastAsia" w:hAnsiTheme="majorEastAsia" w:eastAsiaTheme="majorEastAsia"/>
          <w:b/>
          <w:color w:val="auto"/>
          <w:sz w:val="36"/>
          <w:szCs w:val="36"/>
        </w:rPr>
      </w:pPr>
      <w:r>
        <w:rPr>
          <w:rFonts w:hint="eastAsia" w:cs="仿宋_GB2312" w:asciiTheme="majorEastAsia" w:hAnsiTheme="majorEastAsia" w:eastAsiaTheme="majorEastAsia"/>
          <w:b/>
          <w:color w:val="auto"/>
          <w:sz w:val="36"/>
          <w:szCs w:val="36"/>
        </w:rPr>
        <w:t>目</w:t>
      </w:r>
      <w:r>
        <w:rPr>
          <w:rFonts w:cs="仿宋_GB2312" w:asciiTheme="majorEastAsia" w:hAnsiTheme="majorEastAsia" w:eastAsiaTheme="majorEastAsia"/>
          <w:b/>
          <w:color w:val="auto"/>
          <w:sz w:val="36"/>
          <w:szCs w:val="36"/>
        </w:rPr>
        <w:t xml:space="preserve">  </w:t>
      </w:r>
      <w:r>
        <w:rPr>
          <w:rFonts w:hint="eastAsia" w:cs="仿宋_GB2312" w:asciiTheme="majorEastAsia" w:hAnsiTheme="majorEastAsia" w:eastAsiaTheme="majorEastAsia"/>
          <w:b/>
          <w:color w:val="auto"/>
          <w:sz w:val="36"/>
          <w:szCs w:val="36"/>
        </w:rPr>
        <w:t>录</w:t>
      </w:r>
    </w:p>
    <w:p>
      <w:pPr>
        <w:shd w:val="clear"/>
        <w:spacing w:line="360" w:lineRule="auto"/>
        <w:rPr>
          <w:rFonts w:cs="仿宋_GB2312" w:asciiTheme="majorEastAsia" w:hAnsiTheme="majorEastAsia" w:eastAsiaTheme="majorEastAsia"/>
          <w:color w:val="auto"/>
          <w:sz w:val="32"/>
          <w:szCs w:val="32"/>
        </w:rPr>
      </w:pPr>
    </w:p>
    <w:p>
      <w:pPr>
        <w:shd w:val="clear"/>
        <w:spacing w:line="360" w:lineRule="auto"/>
        <w:rPr>
          <w:rFonts w:cs="仿宋_GB2312" w:asciiTheme="majorEastAsia" w:hAnsiTheme="majorEastAsia" w:eastAsiaTheme="majorEastAsia"/>
          <w:color w:val="auto"/>
          <w:sz w:val="32"/>
          <w:szCs w:val="32"/>
        </w:rPr>
      </w:pPr>
    </w:p>
    <w:p>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第一部分      招标公告</w:t>
      </w:r>
    </w:p>
    <w:p>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第二部分      投标须知</w:t>
      </w:r>
    </w:p>
    <w:p>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第三部分      采购需求</w:t>
      </w:r>
    </w:p>
    <w:p>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第四部分      评标办法</w:t>
      </w:r>
    </w:p>
    <w:p>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第五部分      拟签订的合同文本</w:t>
      </w:r>
    </w:p>
    <w:p>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第六部分      应提交的有关格式范例</w:t>
      </w:r>
    </w:p>
    <w:p>
      <w:pPr>
        <w:shd w:val="clear"/>
        <w:spacing w:line="360" w:lineRule="auto"/>
        <w:ind w:firstLine="549" w:firstLineChars="229"/>
        <w:rPr>
          <w:rFonts w:cs="仿宋" w:asciiTheme="majorEastAsia" w:hAnsiTheme="majorEastAsia" w:eastAsiaTheme="majorEastAsia"/>
          <w:color w:val="auto"/>
          <w:sz w:val="24"/>
        </w:rPr>
      </w:pPr>
      <w:bookmarkStart w:id="1" w:name="_Hlt91233176"/>
      <w:bookmarkEnd w:id="1"/>
      <w:bookmarkStart w:id="2" w:name="_Toc91899869"/>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ind w:firstLine="549" w:firstLineChars="229"/>
        <w:rPr>
          <w:rFonts w:cs="仿宋" w:asciiTheme="majorEastAsia" w:hAnsiTheme="majorEastAsia" w:eastAsiaTheme="majorEastAsia"/>
          <w:color w:val="auto"/>
          <w:sz w:val="24"/>
        </w:rPr>
      </w:pPr>
    </w:p>
    <w:p>
      <w:pPr>
        <w:shd w:val="clear"/>
        <w:spacing w:line="360" w:lineRule="auto"/>
        <w:rPr>
          <w:rFonts w:cs="仿宋" w:asciiTheme="majorEastAsia" w:hAnsiTheme="majorEastAsia" w:eastAsiaTheme="majorEastAsia"/>
          <w:color w:val="auto"/>
          <w:sz w:val="24"/>
        </w:rPr>
      </w:pPr>
    </w:p>
    <w:p>
      <w:pPr>
        <w:shd w:val="clear"/>
        <w:spacing w:line="360" w:lineRule="auto"/>
        <w:jc w:val="center"/>
        <w:outlineLvl w:val="0"/>
        <w:rPr>
          <w:rFonts w:cs="仿宋" w:asciiTheme="majorEastAsia" w:hAnsiTheme="majorEastAsia" w:eastAsiaTheme="majorEastAsia"/>
          <w:b/>
          <w:color w:val="auto"/>
          <w:sz w:val="36"/>
          <w:szCs w:val="20"/>
        </w:rPr>
      </w:pPr>
      <w:bookmarkStart w:id="3" w:name="第一部分"/>
      <w:r>
        <w:rPr>
          <w:rFonts w:hint="eastAsia" w:cs="仿宋" w:asciiTheme="majorEastAsia" w:hAnsiTheme="majorEastAsia" w:eastAsiaTheme="majorEastAsia"/>
          <w:b/>
          <w:color w:val="auto"/>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rPr>
        <w:t>第一部分 招标公告</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项目概况</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u w:val="single"/>
        </w:rPr>
        <w:t>2022年尚田街道建成区保洁及垃圾清运项目</w:t>
      </w:r>
      <w:r>
        <w:rPr>
          <w:rFonts w:hint="eastAsia" w:cs="仿宋" w:asciiTheme="majorEastAsia" w:hAnsiTheme="majorEastAsia" w:eastAsiaTheme="majorEastAsia"/>
          <w:color w:val="auto"/>
          <w:sz w:val="24"/>
        </w:rPr>
        <w:t>的潜在供应商应在政采云平台（</w:t>
      </w:r>
      <w:r>
        <w:rPr>
          <w:color w:val="auto"/>
        </w:rPr>
        <w:fldChar w:fldCharType="begin"/>
      </w:r>
      <w:r>
        <w:rPr>
          <w:color w:val="auto"/>
        </w:rPr>
        <w:instrText xml:space="preserve"> HYPERLINK "https://www.zcygov.cn/）获取（下载）招标文件，并于2022年00月00日14点30分00秒" </w:instrText>
      </w:r>
      <w:r>
        <w:rPr>
          <w:color w:val="auto"/>
        </w:rPr>
        <w:fldChar w:fldCharType="separate"/>
      </w:r>
      <w:r>
        <w:rPr>
          <w:rStyle w:val="36"/>
          <w:rFonts w:hint="eastAsia" w:cs="仿宋" w:asciiTheme="majorEastAsia" w:hAnsiTheme="majorEastAsia" w:eastAsiaTheme="majorEastAsia"/>
          <w:color w:val="auto"/>
          <w:sz w:val="24"/>
          <w:szCs w:val="24"/>
        </w:rPr>
        <w:t>https://www.zcygov.cn/）获取（下载）招标文件，并于</w:t>
      </w:r>
      <w:r>
        <w:rPr>
          <w:rStyle w:val="36"/>
          <w:rFonts w:hint="eastAsia" w:cs="仿宋" w:asciiTheme="majorEastAsia" w:hAnsiTheme="majorEastAsia" w:eastAsiaTheme="majorEastAsia"/>
          <w:snapToGrid/>
          <w:color w:val="auto"/>
          <w:kern w:val="2"/>
          <w:sz w:val="24"/>
          <w:szCs w:val="24"/>
        </w:rPr>
        <w:t>2022年</w:t>
      </w:r>
      <w:r>
        <w:rPr>
          <w:rStyle w:val="36"/>
          <w:rFonts w:hint="eastAsia" w:cs="仿宋" w:asciiTheme="majorEastAsia" w:hAnsiTheme="majorEastAsia" w:eastAsiaTheme="majorEastAsia"/>
          <w:snapToGrid/>
          <w:color w:val="auto"/>
          <w:kern w:val="2"/>
          <w:sz w:val="24"/>
          <w:szCs w:val="24"/>
          <w:lang w:val="en-US" w:eastAsia="zh-CN"/>
        </w:rPr>
        <w:t>11</w:t>
      </w:r>
      <w:r>
        <w:rPr>
          <w:rStyle w:val="36"/>
          <w:rFonts w:hint="eastAsia" w:cs="仿宋" w:asciiTheme="majorEastAsia" w:hAnsiTheme="majorEastAsia" w:eastAsiaTheme="majorEastAsia"/>
          <w:snapToGrid/>
          <w:color w:val="auto"/>
          <w:kern w:val="2"/>
          <w:sz w:val="24"/>
          <w:szCs w:val="24"/>
        </w:rPr>
        <w:t>月</w:t>
      </w:r>
      <w:r>
        <w:rPr>
          <w:rStyle w:val="36"/>
          <w:rFonts w:hint="eastAsia" w:cs="仿宋" w:asciiTheme="majorEastAsia" w:hAnsiTheme="majorEastAsia" w:eastAsiaTheme="majorEastAsia"/>
          <w:snapToGrid/>
          <w:color w:val="auto"/>
          <w:kern w:val="2"/>
          <w:sz w:val="24"/>
          <w:szCs w:val="24"/>
          <w:lang w:val="en-US" w:eastAsia="zh-CN"/>
        </w:rPr>
        <w:t>04</w:t>
      </w:r>
      <w:r>
        <w:rPr>
          <w:rStyle w:val="36"/>
          <w:rFonts w:hint="eastAsia" w:cs="仿宋" w:asciiTheme="majorEastAsia" w:hAnsiTheme="majorEastAsia" w:eastAsiaTheme="majorEastAsia"/>
          <w:snapToGrid/>
          <w:color w:val="auto"/>
          <w:kern w:val="2"/>
          <w:sz w:val="24"/>
          <w:szCs w:val="24"/>
        </w:rPr>
        <w:t>日14点00分</w:t>
      </w:r>
      <w:r>
        <w:rPr>
          <w:rStyle w:val="36"/>
          <w:rFonts w:hint="eastAsia" w:cs="仿宋" w:asciiTheme="majorEastAsia" w:hAnsiTheme="majorEastAsia" w:eastAsiaTheme="majorEastAsia"/>
          <w:bCs/>
          <w:snapToGrid/>
          <w:color w:val="auto"/>
          <w:kern w:val="2"/>
          <w:sz w:val="24"/>
          <w:szCs w:val="24"/>
        </w:rPr>
        <w:t>00秒</w:t>
      </w:r>
      <w:r>
        <w:rPr>
          <w:rStyle w:val="36"/>
          <w:rFonts w:hint="eastAsia" w:cs="仿宋" w:asciiTheme="majorEastAsia" w:hAnsiTheme="majorEastAsia" w:eastAsiaTheme="majorEastAsia"/>
          <w:bCs/>
          <w:snapToGrid/>
          <w:color w:val="auto"/>
          <w:kern w:val="2"/>
          <w:sz w:val="24"/>
          <w:szCs w:val="24"/>
        </w:rPr>
        <w:fldChar w:fldCharType="end"/>
      </w:r>
      <w:r>
        <w:rPr>
          <w:rFonts w:hint="eastAsia" w:cs="仿宋" w:asciiTheme="majorEastAsia" w:hAnsiTheme="majorEastAsia" w:eastAsiaTheme="majorEastAsia"/>
          <w:bCs/>
          <w:color w:val="auto"/>
          <w:sz w:val="24"/>
        </w:rPr>
        <w:t>（北京时间）前</w:t>
      </w:r>
      <w:r>
        <w:rPr>
          <w:rFonts w:hint="eastAsia" w:cs="仿宋" w:asciiTheme="majorEastAsia" w:hAnsiTheme="majorEastAsia" w:eastAsiaTheme="majorEastAsia"/>
          <w:color w:val="auto"/>
          <w:sz w:val="24"/>
        </w:rPr>
        <w:t>递交（上传）投标文件。</w:t>
      </w:r>
    </w:p>
    <w:p>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一、项目基本情况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项目编号：</w:t>
      </w:r>
      <w:r>
        <w:rPr>
          <w:rFonts w:hint="eastAsia" w:cs="仿宋" w:asciiTheme="majorEastAsia" w:hAnsiTheme="majorEastAsia" w:eastAsiaTheme="majorEastAsia"/>
          <w:b w:val="0"/>
          <w:bCs/>
          <w:color w:val="auto"/>
          <w:sz w:val="24"/>
          <w:u w:val="none"/>
        </w:rPr>
        <w:t>FHZFCG（2022）117D</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 xml:space="preserve"> 项目名称：</w:t>
      </w:r>
      <w:r>
        <w:rPr>
          <w:rFonts w:hint="eastAsia" w:cs="仿宋" w:asciiTheme="majorEastAsia" w:hAnsiTheme="majorEastAsia" w:eastAsiaTheme="majorEastAsia"/>
          <w:color w:val="auto"/>
          <w:sz w:val="24"/>
        </w:rPr>
        <w:t>2022年尚田街道建成区保洁及垃圾清运项目</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 xml:space="preserve"> 预算金额（元）：</w:t>
      </w:r>
      <w:r>
        <w:rPr>
          <w:rFonts w:hint="eastAsia" w:cs="仿宋" w:asciiTheme="majorEastAsia" w:hAnsiTheme="majorEastAsia" w:eastAsiaTheme="majorEastAsia"/>
          <w:color w:val="auto"/>
          <w:sz w:val="24"/>
        </w:rPr>
        <w:t>7500000元</w:t>
      </w:r>
    </w:p>
    <w:p>
      <w:pPr>
        <w:shd w:val="clear"/>
        <w:spacing w:line="360" w:lineRule="auto"/>
        <w:ind w:firstLine="48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最高限价（元）：</w:t>
      </w:r>
      <w:r>
        <w:rPr>
          <w:rFonts w:hint="eastAsia" w:cs="仿宋" w:asciiTheme="majorEastAsia" w:hAnsiTheme="majorEastAsia" w:eastAsiaTheme="majorEastAsia"/>
          <w:color w:val="auto"/>
          <w:sz w:val="24"/>
        </w:rPr>
        <w:t>7190000元</w:t>
      </w:r>
    </w:p>
    <w:p>
      <w:pPr>
        <w:pStyle w:val="13"/>
        <w:shd w:val="clear"/>
        <w:spacing w:line="360" w:lineRule="auto"/>
        <w:ind w:firstLine="480"/>
        <w:rPr>
          <w:rFonts w:cs="仿宋" w:asciiTheme="majorEastAsia" w:hAnsiTheme="majorEastAsia" w:eastAsiaTheme="majorEastAsia"/>
          <w:bCs/>
          <w:snapToGrid/>
          <w:color w:val="auto"/>
          <w:kern w:val="2"/>
          <w:sz w:val="24"/>
          <w:szCs w:val="24"/>
        </w:rPr>
      </w:pPr>
      <w:r>
        <w:rPr>
          <w:rFonts w:hint="eastAsia" w:cs="仿宋" w:asciiTheme="majorEastAsia" w:hAnsiTheme="majorEastAsia" w:eastAsiaTheme="majorEastAsia"/>
          <w:b/>
          <w:color w:val="auto"/>
          <w:sz w:val="24"/>
        </w:rPr>
        <w:t>采购需求：</w:t>
      </w:r>
      <w:r>
        <w:rPr>
          <w:rFonts w:hint="eastAsia" w:cs="仿宋" w:asciiTheme="majorEastAsia" w:hAnsiTheme="majorEastAsia" w:eastAsiaTheme="majorEastAsia"/>
          <w:bCs/>
          <w:snapToGrid/>
          <w:color w:val="auto"/>
          <w:kern w:val="2"/>
          <w:sz w:val="24"/>
          <w:szCs w:val="24"/>
        </w:rPr>
        <w:t>主要内容：</w:t>
      </w:r>
      <w:r>
        <w:rPr>
          <w:rFonts w:hint="eastAsia" w:cs="仿宋" w:asciiTheme="majorEastAsia" w:hAnsiTheme="majorEastAsia" w:eastAsiaTheme="majorEastAsia"/>
          <w:color w:val="auto"/>
          <w:sz w:val="24"/>
        </w:rPr>
        <w:t>保洁及垃圾清运</w:t>
      </w:r>
      <w:r>
        <w:rPr>
          <w:rFonts w:hint="eastAsia" w:cs="仿宋" w:asciiTheme="majorEastAsia" w:hAnsiTheme="majorEastAsia" w:eastAsiaTheme="majorEastAsia"/>
          <w:bCs/>
          <w:snapToGrid/>
          <w:color w:val="auto"/>
          <w:kern w:val="2"/>
          <w:sz w:val="24"/>
          <w:szCs w:val="24"/>
        </w:rPr>
        <w:t>。详见招标文件第三部分采购需求。</w:t>
      </w:r>
    </w:p>
    <w:p>
      <w:pPr>
        <w:pStyle w:val="51"/>
        <w:shd w:val="clear"/>
        <w:ind w:firstLine="482"/>
        <w:outlineLvl w:val="2"/>
        <w:rPr>
          <w:rFonts w:cs="仿宋" w:asciiTheme="majorEastAsia" w:hAnsiTheme="majorEastAsia" w:eastAsiaTheme="majorEastAsia"/>
          <w:color w:val="auto"/>
        </w:rPr>
      </w:pPr>
      <w:r>
        <w:rPr>
          <w:rFonts w:hint="eastAsia" w:cs="仿宋" w:asciiTheme="majorEastAsia" w:hAnsiTheme="majorEastAsia" w:eastAsiaTheme="majorEastAsia"/>
          <w:b/>
          <w:color w:val="auto"/>
        </w:rPr>
        <w:t>服务期限：</w:t>
      </w:r>
      <w:r>
        <w:rPr>
          <w:rFonts w:hint="eastAsia" w:ascii="宋体" w:hAnsi="宋体" w:cs="宋体"/>
          <w:color w:val="auto"/>
        </w:rPr>
        <w:t>合同签订之日起一年（2022年11月10日至2023年11月09日；其中农村其他垃圾清运服务期限为2023年06月01日至2023年11月09日；以上时间为暂定时间，具体以合同签订生效之日起计算）</w:t>
      </w:r>
      <w:r>
        <w:rPr>
          <w:rFonts w:hint="eastAsia" w:cs="仿宋" w:asciiTheme="majorEastAsia" w:hAnsiTheme="majorEastAsia" w:eastAsiaTheme="majorEastAsia"/>
          <w:color w:val="auto"/>
          <w:kern w:val="0"/>
        </w:rPr>
        <w:t>。</w:t>
      </w:r>
    </w:p>
    <w:p>
      <w:pPr>
        <w:pStyle w:val="13"/>
        <w:shd w:val="clear"/>
        <w:spacing w:line="360" w:lineRule="auto"/>
        <w:ind w:firstLine="48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本项目接受联合体投标：</w:t>
      </w:r>
      <w:r>
        <w:rPr>
          <w:rFonts w:hint="eastAsia" w:ascii="MS Gothic" w:hAnsi="MS Gothic" w:eastAsia="MS Gothic" w:cs="MS Gothic"/>
          <w:color w:val="auto"/>
          <w:kern w:val="0"/>
          <w:sz w:val="24"/>
        </w:rPr>
        <w:t>☐</w:t>
      </w:r>
      <w:r>
        <w:rPr>
          <w:rFonts w:hint="eastAsia" w:cs="仿宋" w:asciiTheme="majorEastAsia" w:hAnsiTheme="majorEastAsia" w:eastAsiaTheme="majorEastAsia"/>
          <w:b/>
          <w:color w:val="auto"/>
          <w:sz w:val="24"/>
        </w:rPr>
        <w:t>是，</w:t>
      </w:r>
      <w:r>
        <w:rPr>
          <w:rFonts w:hint="eastAsia" w:cs="仿宋" w:asciiTheme="majorEastAsia" w:hAnsiTheme="majorEastAsia" w:eastAsiaTheme="majorEastAsia"/>
          <w:color w:val="auto"/>
          <w:kern w:val="0"/>
          <w:sz w:val="24"/>
        </w:rPr>
        <w:t xml:space="preserve"> </w:t>
      </w:r>
      <w:r>
        <w:rPr>
          <w:rFonts w:hint="eastAsia" w:cs="仿宋" w:asciiTheme="majorEastAsia" w:hAnsiTheme="majorEastAsia" w:eastAsiaTheme="majorEastAsia"/>
          <w:color w:val="auto"/>
          <w:kern w:val="0"/>
          <w:sz w:val="24"/>
        </w:rPr>
        <w:sym w:font="Wingdings" w:char="F0FE"/>
      </w:r>
      <w:r>
        <w:rPr>
          <w:rFonts w:hint="eastAsia" w:cs="仿宋" w:asciiTheme="majorEastAsia" w:hAnsiTheme="majorEastAsia" w:eastAsiaTheme="majorEastAsia"/>
          <w:b/>
          <w:color w:val="auto"/>
          <w:sz w:val="24"/>
        </w:rPr>
        <w:t>否</w:t>
      </w:r>
      <w:r>
        <w:rPr>
          <w:rFonts w:hint="eastAsia" w:cs="仿宋" w:asciiTheme="majorEastAsia" w:hAnsiTheme="majorEastAsia" w:eastAsiaTheme="majorEastAsia"/>
          <w:color w:val="auto"/>
          <w:kern w:val="0"/>
          <w:sz w:val="24"/>
        </w:rPr>
        <w:t>。</w:t>
      </w:r>
    </w:p>
    <w:p>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二、申请人的资格要求：</w:t>
      </w:r>
    </w:p>
    <w:p>
      <w:pPr>
        <w:shd w:val="clear"/>
        <w:spacing w:line="360" w:lineRule="auto"/>
        <w:ind w:firstLine="480"/>
        <w:rPr>
          <w:rFonts w:cs="仿宋" w:asciiTheme="majorEastAsia" w:hAnsiTheme="majorEastAsia" w:eastAsiaTheme="majorEastAsia"/>
          <w:snapToGrid w:val="0"/>
          <w:color w:val="auto"/>
          <w:kern w:val="28"/>
          <w:sz w:val="24"/>
          <w:szCs w:val="20"/>
        </w:rPr>
      </w:pPr>
      <w:r>
        <w:rPr>
          <w:rFonts w:hint="eastAsia" w:cs="仿宋" w:asciiTheme="majorEastAsia" w:hAnsiTheme="majorEastAsia" w:eastAsiaTheme="maj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snapToGrid w:val="0"/>
          <w:color w:val="auto"/>
          <w:kern w:val="28"/>
          <w:sz w:val="24"/>
          <w:szCs w:val="20"/>
        </w:rPr>
        <w:t xml:space="preserve">    2.落实政府采购政策需满足的资格要求：</w:t>
      </w:r>
      <w:r>
        <w:rPr>
          <w:rFonts w:hint="eastAsia" w:cs="仿宋" w:asciiTheme="majorEastAsia" w:hAnsiTheme="majorEastAsia" w:eastAsiaTheme="majorEastAsia"/>
          <w:color w:val="auto"/>
          <w:kern w:val="0"/>
          <w:sz w:val="24"/>
        </w:rPr>
        <w:t xml:space="preserve"> </w:t>
      </w:r>
      <w:r>
        <w:rPr>
          <w:rFonts w:hint="eastAsia" w:cs="仿宋" w:asciiTheme="majorEastAsia" w:hAnsiTheme="majorEastAsia" w:eastAsiaTheme="majorEastAsia"/>
          <w:color w:val="auto"/>
          <w:kern w:val="0"/>
          <w:sz w:val="24"/>
        </w:rPr>
        <w:sym w:font="Wingdings" w:char="F0FE"/>
      </w:r>
      <w:r>
        <w:rPr>
          <w:rFonts w:hint="eastAsia" w:cs="仿宋" w:asciiTheme="majorEastAsia" w:hAnsiTheme="majorEastAsia" w:eastAsiaTheme="majorEastAsia"/>
          <w:color w:val="auto"/>
          <w:sz w:val="24"/>
        </w:rPr>
        <w:t>无；</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3.本项目的特定资格要求：</w:t>
      </w:r>
      <w:r>
        <w:rPr>
          <w:rFonts w:hint="eastAsia" w:ascii="宋体" w:hAnsi="宋体" w:cs="宋体"/>
          <w:color w:val="auto"/>
          <w:sz w:val="24"/>
        </w:rPr>
        <w:t>/。</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三、获取招标文件 </w:t>
      </w:r>
    </w:p>
    <w:p>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时间：</w:t>
      </w:r>
      <w:r>
        <w:rPr>
          <w:rFonts w:hint="eastAsia" w:cs="仿宋" w:asciiTheme="majorEastAsia" w:hAnsiTheme="majorEastAsia" w:eastAsiaTheme="majorEastAsia"/>
          <w:color w:val="auto"/>
          <w:sz w:val="24"/>
          <w:u w:val="single"/>
        </w:rPr>
        <w:t>2022年</w:t>
      </w:r>
      <w:r>
        <w:rPr>
          <w:rFonts w:hint="eastAsia" w:cs="仿宋" w:asciiTheme="majorEastAsia" w:hAnsiTheme="majorEastAsia" w:eastAsiaTheme="majorEastAsia"/>
          <w:color w:val="auto"/>
          <w:sz w:val="24"/>
          <w:u w:val="single"/>
          <w:lang w:val="en-US" w:eastAsia="zh-CN"/>
        </w:rPr>
        <w:t>10</w:t>
      </w:r>
      <w:r>
        <w:rPr>
          <w:rFonts w:hint="eastAsia" w:cs="仿宋" w:asciiTheme="majorEastAsia" w:hAnsiTheme="majorEastAsia" w:eastAsiaTheme="majorEastAsia"/>
          <w:color w:val="auto"/>
          <w:sz w:val="24"/>
          <w:u w:val="single"/>
        </w:rPr>
        <w:t>月</w:t>
      </w:r>
      <w:r>
        <w:rPr>
          <w:rFonts w:hint="eastAsia" w:cs="仿宋" w:asciiTheme="majorEastAsia" w:hAnsiTheme="majorEastAsia" w:eastAsiaTheme="majorEastAsia"/>
          <w:color w:val="auto"/>
          <w:sz w:val="24"/>
          <w:u w:val="single"/>
          <w:lang w:val="en-US" w:eastAsia="zh-CN"/>
        </w:rPr>
        <w:t>14</w:t>
      </w:r>
      <w:r>
        <w:rPr>
          <w:rFonts w:hint="eastAsia" w:cs="仿宋" w:asciiTheme="majorEastAsia" w:hAnsiTheme="majorEastAsia" w:eastAsiaTheme="majorEastAsia"/>
          <w:color w:val="auto"/>
          <w:sz w:val="24"/>
          <w:u w:val="single"/>
        </w:rPr>
        <w:t>日</w:t>
      </w:r>
      <w:r>
        <w:rPr>
          <w:rFonts w:hint="eastAsia" w:cs="仿宋" w:asciiTheme="majorEastAsia" w:hAnsiTheme="majorEastAsia" w:eastAsiaTheme="majorEastAsia"/>
          <w:color w:val="auto"/>
          <w:sz w:val="24"/>
        </w:rPr>
        <w:t>至</w:t>
      </w:r>
      <w:r>
        <w:rPr>
          <w:rFonts w:hint="eastAsia" w:cs="仿宋" w:asciiTheme="majorEastAsia" w:hAnsiTheme="majorEastAsia" w:eastAsiaTheme="majorEastAsia"/>
          <w:color w:val="auto"/>
          <w:sz w:val="24"/>
          <w:u w:val="single"/>
        </w:rPr>
        <w:t>2022年</w:t>
      </w:r>
      <w:r>
        <w:rPr>
          <w:rFonts w:hint="eastAsia" w:cs="仿宋" w:asciiTheme="majorEastAsia" w:hAnsiTheme="majorEastAsia" w:eastAsiaTheme="majorEastAsia"/>
          <w:color w:val="auto"/>
          <w:sz w:val="24"/>
          <w:u w:val="single"/>
          <w:lang w:val="en-US" w:eastAsia="zh-CN"/>
        </w:rPr>
        <w:t>10</w:t>
      </w:r>
      <w:r>
        <w:rPr>
          <w:rFonts w:hint="eastAsia" w:cs="仿宋" w:asciiTheme="majorEastAsia" w:hAnsiTheme="majorEastAsia" w:eastAsiaTheme="majorEastAsia"/>
          <w:color w:val="auto"/>
          <w:sz w:val="24"/>
          <w:u w:val="single"/>
        </w:rPr>
        <w:t>月</w:t>
      </w:r>
      <w:r>
        <w:rPr>
          <w:rFonts w:hint="eastAsia" w:cs="仿宋" w:asciiTheme="majorEastAsia" w:hAnsiTheme="majorEastAsia" w:eastAsiaTheme="majorEastAsia"/>
          <w:color w:val="auto"/>
          <w:sz w:val="24"/>
          <w:u w:val="single"/>
          <w:lang w:val="en-US" w:eastAsia="zh-CN"/>
        </w:rPr>
        <w:t>21</w:t>
      </w:r>
      <w:r>
        <w:rPr>
          <w:rFonts w:hint="eastAsia" w:cs="仿宋" w:asciiTheme="majorEastAsia" w:hAnsiTheme="majorEastAsia" w:eastAsiaTheme="majorEastAsia"/>
          <w:color w:val="auto"/>
          <w:sz w:val="24"/>
          <w:u w:val="single"/>
        </w:rPr>
        <w:t>日</w:t>
      </w:r>
      <w:r>
        <w:rPr>
          <w:rFonts w:hint="eastAsia" w:cs="仿宋" w:asciiTheme="majorEastAsia" w:hAnsiTheme="majorEastAsia" w:eastAsiaTheme="majorEastAsia"/>
          <w:color w:val="auto"/>
          <w:sz w:val="24"/>
        </w:rPr>
        <w:t>，每天上午00:00至12:00 ，下午12:00至23:59（北京时间）。</w:t>
      </w:r>
    </w:p>
    <w:p>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地点（网址）：</w:t>
      </w:r>
      <w:r>
        <w:rPr>
          <w:rFonts w:hint="eastAsia" w:cs="仿宋" w:asciiTheme="majorEastAsia" w:hAnsiTheme="majorEastAsia" w:eastAsiaTheme="majorEastAsia"/>
          <w:color w:val="auto"/>
          <w:sz w:val="24"/>
        </w:rPr>
        <w:t>政采云平台（https://www.zcygov.cn/）。</w:t>
      </w:r>
    </w:p>
    <w:p>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方式：</w:t>
      </w:r>
      <w:r>
        <w:rPr>
          <w:rFonts w:hint="eastAsia" w:cs="仿宋" w:asciiTheme="majorEastAsia" w:hAnsiTheme="majorEastAsia" w:eastAsiaTheme="majorEastAsia"/>
          <w:color w:val="auto"/>
          <w:sz w:val="24"/>
        </w:rPr>
        <w:t xml:space="preserve">供应商登录政采云平台https://www.zcygov.cn/在线申请获取招标文件（进入“项目采购”应用，在获取采购文件菜单中选择项目，申请获取招标文件）。 </w:t>
      </w:r>
    </w:p>
    <w:p>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售价（元）：</w:t>
      </w:r>
      <w:r>
        <w:rPr>
          <w:rFonts w:hint="eastAsia" w:cs="仿宋" w:asciiTheme="majorEastAsia" w:hAnsiTheme="majorEastAsia" w:eastAsiaTheme="majorEastAsia"/>
          <w:color w:val="auto"/>
          <w:sz w:val="24"/>
        </w:rPr>
        <w:t xml:space="preserve">0 </w:t>
      </w:r>
      <w:r>
        <w:rPr>
          <w:rFonts w:hint="eastAsia" w:cs="仿宋" w:asciiTheme="majorEastAsia" w:hAnsiTheme="majorEastAsia" w:eastAsiaTheme="majorEastAsia"/>
          <w:color w:val="auto"/>
          <w:sz w:val="24"/>
        </w:rPr>
        <w:tab/>
      </w:r>
    </w:p>
    <w:p>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四、提交投标文件截止时间、开标时间和地点</w:t>
      </w:r>
    </w:p>
    <w:p>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提交投标文件截止时间：</w:t>
      </w:r>
      <w:r>
        <w:rPr>
          <w:rFonts w:hint="eastAsia" w:cs="仿宋" w:asciiTheme="majorEastAsia" w:hAnsiTheme="majorEastAsia" w:eastAsiaTheme="majorEastAsia"/>
          <w:color w:val="auto"/>
          <w:sz w:val="24"/>
          <w:u w:val="single"/>
        </w:rPr>
        <w:t xml:space="preserve"> 2022年</w:t>
      </w:r>
      <w:r>
        <w:rPr>
          <w:rFonts w:hint="eastAsia" w:cs="仿宋" w:asciiTheme="majorEastAsia" w:hAnsiTheme="majorEastAsia" w:eastAsiaTheme="majorEastAsia"/>
          <w:color w:val="auto"/>
          <w:sz w:val="24"/>
          <w:u w:val="single"/>
          <w:lang w:val="en-US" w:eastAsia="zh-CN"/>
        </w:rPr>
        <w:t>11</w:t>
      </w:r>
      <w:r>
        <w:rPr>
          <w:rFonts w:hint="eastAsia" w:cs="仿宋" w:asciiTheme="majorEastAsia" w:hAnsiTheme="majorEastAsia" w:eastAsiaTheme="majorEastAsia"/>
          <w:color w:val="auto"/>
          <w:sz w:val="24"/>
          <w:u w:val="single"/>
        </w:rPr>
        <w:t>月</w:t>
      </w:r>
      <w:r>
        <w:rPr>
          <w:rFonts w:hint="eastAsia" w:cs="仿宋" w:asciiTheme="majorEastAsia" w:hAnsiTheme="majorEastAsia" w:eastAsiaTheme="majorEastAsia"/>
          <w:color w:val="auto"/>
          <w:sz w:val="24"/>
          <w:u w:val="single"/>
          <w:lang w:val="en-US" w:eastAsia="zh-CN"/>
        </w:rPr>
        <w:t>04</w:t>
      </w:r>
      <w:r>
        <w:rPr>
          <w:rFonts w:hint="eastAsia" w:cs="仿宋" w:asciiTheme="majorEastAsia" w:hAnsiTheme="majorEastAsia" w:eastAsiaTheme="majorEastAsia"/>
          <w:color w:val="auto"/>
          <w:sz w:val="24"/>
          <w:u w:val="single"/>
        </w:rPr>
        <w:t>日14点00分</w:t>
      </w:r>
      <w:r>
        <w:rPr>
          <w:rFonts w:hint="eastAsia" w:cs="仿宋" w:asciiTheme="majorEastAsia" w:hAnsiTheme="majorEastAsia" w:eastAsiaTheme="majorEastAsia"/>
          <w:bCs/>
          <w:color w:val="auto"/>
          <w:sz w:val="24"/>
          <w:u w:val="single"/>
        </w:rPr>
        <w:t xml:space="preserve"> </w:t>
      </w:r>
      <w:r>
        <w:rPr>
          <w:rFonts w:hint="eastAsia" w:cs="仿宋" w:asciiTheme="majorEastAsia" w:hAnsiTheme="majorEastAsia" w:eastAsiaTheme="majorEastAsia"/>
          <w:color w:val="auto"/>
          <w:sz w:val="24"/>
        </w:rPr>
        <w:t>（北京时间）。</w:t>
      </w:r>
    </w:p>
    <w:p>
      <w:pPr>
        <w:shd w:val="clear"/>
        <w:spacing w:line="360" w:lineRule="auto"/>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投标地点（网址）：</w:t>
      </w:r>
      <w:r>
        <w:rPr>
          <w:rFonts w:hint="eastAsia" w:cs="仿宋" w:asciiTheme="majorEastAsia" w:hAnsiTheme="majorEastAsia" w:eastAsiaTheme="majorEastAsia"/>
          <w:color w:val="auto"/>
          <w:sz w:val="24"/>
        </w:rPr>
        <w:t>政采云平台（https://www.zcygov.cn/）。</w:t>
      </w:r>
    </w:p>
    <w:p>
      <w:pPr>
        <w:shd w:val="clear"/>
        <w:spacing w:line="360" w:lineRule="auto"/>
        <w:ind w:firstLine="482" w:firstLineChars="200"/>
        <w:rPr>
          <w:rFonts w:cs="仿宋" w:asciiTheme="majorEastAsia" w:hAnsiTheme="majorEastAsia" w:eastAsiaTheme="majorEastAsia"/>
          <w:bCs/>
          <w:color w:val="auto"/>
          <w:sz w:val="24"/>
          <w:u w:val="single"/>
        </w:rPr>
      </w:pPr>
      <w:r>
        <w:rPr>
          <w:rFonts w:hint="eastAsia" w:cs="仿宋" w:asciiTheme="majorEastAsia" w:hAnsiTheme="majorEastAsia" w:eastAsiaTheme="majorEastAsia"/>
          <w:b/>
          <w:color w:val="auto"/>
          <w:sz w:val="24"/>
        </w:rPr>
        <w:t>开标时间：</w:t>
      </w:r>
      <w:r>
        <w:rPr>
          <w:rFonts w:hint="eastAsia" w:cs="仿宋" w:asciiTheme="majorEastAsia" w:hAnsiTheme="majorEastAsia" w:eastAsiaTheme="majorEastAsia"/>
          <w:color w:val="auto"/>
          <w:sz w:val="24"/>
          <w:u w:val="single"/>
        </w:rPr>
        <w:t>2022年</w:t>
      </w:r>
      <w:r>
        <w:rPr>
          <w:rFonts w:hint="eastAsia" w:cs="仿宋" w:asciiTheme="majorEastAsia" w:hAnsiTheme="majorEastAsia" w:eastAsiaTheme="majorEastAsia"/>
          <w:color w:val="auto"/>
          <w:sz w:val="24"/>
          <w:u w:val="single"/>
          <w:lang w:val="en-US" w:eastAsia="zh-CN"/>
        </w:rPr>
        <w:t>11</w:t>
      </w:r>
      <w:r>
        <w:rPr>
          <w:rFonts w:hint="eastAsia" w:cs="仿宋" w:asciiTheme="majorEastAsia" w:hAnsiTheme="majorEastAsia" w:eastAsiaTheme="majorEastAsia"/>
          <w:color w:val="auto"/>
          <w:sz w:val="24"/>
          <w:u w:val="single"/>
        </w:rPr>
        <w:t>月</w:t>
      </w:r>
      <w:r>
        <w:rPr>
          <w:rFonts w:hint="eastAsia" w:cs="仿宋" w:asciiTheme="majorEastAsia" w:hAnsiTheme="majorEastAsia" w:eastAsiaTheme="majorEastAsia"/>
          <w:color w:val="auto"/>
          <w:sz w:val="24"/>
          <w:u w:val="single"/>
          <w:lang w:val="en-US" w:eastAsia="zh-CN"/>
        </w:rPr>
        <w:t>04</w:t>
      </w:r>
      <w:r>
        <w:rPr>
          <w:rFonts w:hint="eastAsia" w:cs="仿宋" w:asciiTheme="majorEastAsia" w:hAnsiTheme="majorEastAsia" w:eastAsiaTheme="majorEastAsia"/>
          <w:color w:val="auto"/>
          <w:sz w:val="24"/>
          <w:u w:val="single"/>
        </w:rPr>
        <w:t>日14点00分</w:t>
      </w:r>
      <w:r>
        <w:rPr>
          <w:rFonts w:hint="eastAsia" w:cs="仿宋" w:asciiTheme="majorEastAsia" w:hAnsiTheme="majorEastAsia" w:eastAsiaTheme="majorEastAsia"/>
          <w:bCs/>
          <w:color w:val="auto"/>
          <w:sz w:val="24"/>
        </w:rPr>
        <w:t>。</w:t>
      </w:r>
    </w:p>
    <w:p>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开标地点（网址）：</w:t>
      </w:r>
      <w:r>
        <w:rPr>
          <w:rFonts w:hint="eastAsia" w:cs="仿宋" w:asciiTheme="majorEastAsia" w:hAnsiTheme="majorEastAsia" w:eastAsiaTheme="majorEastAsia"/>
          <w:color w:val="auto"/>
          <w:sz w:val="24"/>
        </w:rPr>
        <w:t>政采云平台（https://www.zcygov.cn/）。</w:t>
      </w:r>
    </w:p>
    <w:p>
      <w:pPr>
        <w:shd w:val="clear"/>
        <w:spacing w:line="360" w:lineRule="auto"/>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开标地点（线下）：</w:t>
      </w:r>
      <w:r>
        <w:rPr>
          <w:rFonts w:hint="eastAsia" w:cs="仿宋" w:asciiTheme="majorEastAsia" w:hAnsiTheme="majorEastAsia" w:eastAsiaTheme="majorEastAsia"/>
          <w:bCs/>
          <w:color w:val="auto"/>
          <w:sz w:val="24"/>
        </w:rPr>
        <w:t>宁波市奉化区公共资源交易中心开标厅一（宁波市奉化区大成东路277号4楼）</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 xml:space="preserve">五、公告期限 </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自本公告发布之日起5个工作日。</w:t>
      </w:r>
    </w:p>
    <w:p>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六、其他补充事宜</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按照平台提示和招标文件的规定在半小时内完成在线解密。⑨具体操作指南：详见政采云平台“服务中心-帮助文档-项目采购-操作流程-电子招投标-政府采购项目电子交易管理操作指南-供应商”。</w:t>
      </w:r>
    </w:p>
    <w:p>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七、对本次采购提出询问、质疑、投诉，请按以下方式联系</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1.采购人信息</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名    称：</w:t>
      </w:r>
      <w:r>
        <w:rPr>
          <w:rFonts w:hint="eastAsia" w:ascii="宋体" w:hAnsi="宋体" w:cs="宋体"/>
          <w:color w:val="auto"/>
          <w:sz w:val="24"/>
          <w:szCs w:val="22"/>
        </w:rPr>
        <w:t>宁波市奉化区人民政府尚田街道办事处</w:t>
      </w:r>
    </w:p>
    <w:p>
      <w:pPr>
        <w:shd w:val="clear"/>
        <w:spacing w:line="360" w:lineRule="auto"/>
        <w:rPr>
          <w:rFonts w:ascii="宋体" w:hAnsi="宋体" w:cs="仿宋"/>
          <w:color w:val="auto"/>
          <w:sz w:val="24"/>
        </w:rPr>
      </w:pPr>
      <w:r>
        <w:rPr>
          <w:rFonts w:hint="eastAsia" w:ascii="宋体" w:hAnsi="宋体" w:cs="仿宋"/>
          <w:color w:val="auto"/>
          <w:sz w:val="24"/>
        </w:rPr>
        <w:t xml:space="preserve">    地    址：</w:t>
      </w:r>
      <w:r>
        <w:rPr>
          <w:rFonts w:hint="eastAsia" w:ascii="宋体" w:hAnsi="宋体" w:cs="宋体"/>
          <w:color w:val="auto"/>
          <w:sz w:val="24"/>
        </w:rPr>
        <w:t>宁波市奉化区尚田街道镇西路12号</w:t>
      </w:r>
    </w:p>
    <w:p>
      <w:pPr>
        <w:shd w:val="clear"/>
        <w:spacing w:line="360" w:lineRule="auto"/>
        <w:ind w:firstLine="480"/>
        <w:rPr>
          <w:rFonts w:ascii="宋体" w:hAnsi="宋体" w:cs="仿宋"/>
          <w:color w:val="auto"/>
          <w:sz w:val="24"/>
        </w:rPr>
      </w:pPr>
      <w:r>
        <w:rPr>
          <w:rFonts w:hint="eastAsia" w:ascii="宋体" w:hAnsi="宋体" w:cs="仿宋"/>
          <w:color w:val="auto"/>
          <w:sz w:val="24"/>
        </w:rPr>
        <w:t xml:space="preserve">传    真：/ </w:t>
      </w:r>
    </w:p>
    <w:p>
      <w:pPr>
        <w:shd w:val="clear"/>
        <w:spacing w:line="360" w:lineRule="auto"/>
        <w:ind w:firstLine="480"/>
        <w:rPr>
          <w:rFonts w:ascii="宋体" w:hAnsi="宋体" w:cs="仿宋"/>
          <w:color w:val="auto"/>
          <w:sz w:val="24"/>
        </w:rPr>
      </w:pPr>
      <w:r>
        <w:rPr>
          <w:rFonts w:hint="eastAsia" w:ascii="宋体" w:hAnsi="宋体" w:cs="仿宋"/>
          <w:color w:val="auto"/>
          <w:sz w:val="24"/>
        </w:rPr>
        <w:t>项目联系人（询问）：胡先生</w:t>
      </w:r>
    </w:p>
    <w:p>
      <w:pPr>
        <w:shd w:val="clear"/>
        <w:spacing w:line="360" w:lineRule="auto"/>
        <w:ind w:firstLine="480"/>
        <w:rPr>
          <w:rFonts w:ascii="宋体" w:hAnsi="宋体" w:cs="仿宋"/>
          <w:color w:val="auto"/>
          <w:sz w:val="24"/>
        </w:rPr>
      </w:pPr>
      <w:r>
        <w:rPr>
          <w:rFonts w:hint="eastAsia" w:ascii="宋体" w:hAnsi="宋体" w:cs="仿宋"/>
          <w:color w:val="auto"/>
          <w:sz w:val="24"/>
        </w:rPr>
        <w:t>项目联系方式（询问）：15958879966</w:t>
      </w:r>
    </w:p>
    <w:p>
      <w:pPr>
        <w:shd w:val="clear"/>
        <w:spacing w:line="360" w:lineRule="auto"/>
        <w:ind w:firstLine="480"/>
        <w:rPr>
          <w:rFonts w:ascii="宋体" w:hAnsi="宋体" w:cs="仿宋"/>
          <w:color w:val="auto"/>
          <w:sz w:val="24"/>
        </w:rPr>
      </w:pPr>
      <w:r>
        <w:rPr>
          <w:rFonts w:hint="eastAsia" w:ascii="宋体" w:hAnsi="宋体" w:cs="仿宋"/>
          <w:color w:val="auto"/>
          <w:sz w:val="24"/>
        </w:rPr>
        <w:t>质疑联系人：唐先生</w:t>
      </w:r>
    </w:p>
    <w:p>
      <w:pPr>
        <w:shd w:val="clear"/>
        <w:spacing w:line="360" w:lineRule="auto"/>
        <w:ind w:firstLine="480"/>
        <w:rPr>
          <w:rFonts w:ascii="宋体" w:hAnsi="宋体" w:cs="仿宋"/>
          <w:color w:val="auto"/>
          <w:sz w:val="24"/>
        </w:rPr>
      </w:pPr>
      <w:r>
        <w:rPr>
          <w:rFonts w:hint="eastAsia" w:ascii="宋体" w:hAnsi="宋体" w:cs="仿宋"/>
          <w:color w:val="auto"/>
          <w:sz w:val="24"/>
        </w:rPr>
        <w:t>质疑联系方式：0574-88630718</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2.采购代理机构信息            </w:t>
      </w:r>
    </w:p>
    <w:p>
      <w:pPr>
        <w:shd w:val="clear"/>
        <w:spacing w:line="360" w:lineRule="auto"/>
        <w:ind w:firstLine="48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名    称：宁波敬信项目管理咨询有限公司</w:t>
      </w:r>
    </w:p>
    <w:p>
      <w:pPr>
        <w:shd w:val="clear"/>
        <w:spacing w:line="360" w:lineRule="auto"/>
        <w:ind w:firstLine="48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    址：</w:t>
      </w:r>
      <w:r>
        <w:rPr>
          <w:rFonts w:hint="eastAsia" w:cs="宋体" w:asciiTheme="majorEastAsia" w:hAnsiTheme="majorEastAsia" w:eastAsiaTheme="majorEastAsia"/>
          <w:bCs/>
          <w:color w:val="auto"/>
          <w:sz w:val="24"/>
        </w:rPr>
        <w:t>宁波市奉化区岳林东路商业二16幢502室（惠政丽都北门）</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传    真：</w:t>
      </w:r>
      <w:r>
        <w:rPr>
          <w:rFonts w:hint="eastAsia" w:ascii="宋体" w:hAnsi="宋体" w:cs="宋体"/>
          <w:bCs/>
          <w:color w:val="auto"/>
          <w:sz w:val="24"/>
        </w:rPr>
        <w:t>0574-88986381</w:t>
      </w:r>
      <w:r>
        <w:rPr>
          <w:rFonts w:hint="eastAsia" w:cs="仿宋" w:asciiTheme="majorEastAsia" w:hAnsiTheme="majorEastAsia" w:eastAsiaTheme="majorEastAsia"/>
          <w:color w:val="auto"/>
          <w:sz w:val="24"/>
        </w:rPr>
        <w:t xml:space="preserve">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项目联系人（询问）：罗女士</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项目联系方式（询问）： </w:t>
      </w:r>
      <w:r>
        <w:rPr>
          <w:rFonts w:hint="eastAsia" w:ascii="宋体" w:hAnsi="宋体" w:cs="宋体"/>
          <w:bCs/>
          <w:color w:val="auto"/>
          <w:sz w:val="24"/>
        </w:rPr>
        <w:t>0574-88986386</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质疑联系人：卓先生</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质疑联系方式： </w:t>
      </w:r>
      <w:r>
        <w:rPr>
          <w:rFonts w:hint="eastAsia" w:ascii="宋体" w:hAnsi="宋体" w:cs="宋体"/>
          <w:bCs/>
          <w:color w:val="auto"/>
          <w:sz w:val="24"/>
        </w:rPr>
        <w:t>0574-88986375</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3.同级监督管理部门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名    称：</w:t>
      </w:r>
      <w:r>
        <w:rPr>
          <w:rFonts w:hint="eastAsia" w:ascii="宋体" w:hAnsi="宋体" w:cs="宋体"/>
          <w:bCs/>
          <w:color w:val="auto"/>
          <w:sz w:val="24"/>
        </w:rPr>
        <w:t>宁波市奉化区财政局采购办</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地    址：</w:t>
      </w:r>
      <w:r>
        <w:rPr>
          <w:rFonts w:hint="eastAsia" w:ascii="宋体" w:hAnsi="宋体" w:cs="宋体"/>
          <w:bCs/>
          <w:color w:val="auto"/>
          <w:sz w:val="24"/>
        </w:rPr>
        <w:t>宁波市奉化区大成东路275号1015办公室</w:t>
      </w:r>
    </w:p>
    <w:p>
      <w:pPr>
        <w:shd w:val="clear"/>
        <w:spacing w:line="360" w:lineRule="auto"/>
        <w:ind w:firstLine="240" w:firstLineChars="1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传    真：</w:t>
      </w:r>
      <w:r>
        <w:rPr>
          <w:rFonts w:cs="仿宋" w:asciiTheme="majorEastAsia" w:hAnsiTheme="majorEastAsia" w:eastAsiaTheme="majorEastAsia"/>
          <w:color w:val="auto"/>
          <w:sz w:val="24"/>
        </w:rPr>
        <w:t>0574-89285326</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联 系 人 ：</w:t>
      </w:r>
      <w:r>
        <w:rPr>
          <w:rFonts w:hint="eastAsia" w:ascii="宋体" w:hAnsi="宋体" w:cs="宋体"/>
          <w:bCs/>
          <w:color w:val="auto"/>
          <w:sz w:val="24"/>
        </w:rPr>
        <w:t>邓老师</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监督投诉电话：</w:t>
      </w:r>
      <w:r>
        <w:rPr>
          <w:rFonts w:cs="仿宋" w:asciiTheme="majorEastAsia" w:hAnsiTheme="majorEastAsia" w:eastAsiaTheme="majorEastAsia"/>
          <w:color w:val="auto"/>
          <w:sz w:val="24"/>
        </w:rPr>
        <w:t xml:space="preserve">0574-89285326 </w:t>
      </w:r>
      <w:r>
        <w:rPr>
          <w:rFonts w:hint="eastAsia" w:cs="仿宋" w:asciiTheme="majorEastAsia" w:hAnsiTheme="majorEastAsia" w:eastAsiaTheme="majorEastAsia"/>
          <w:color w:val="auto"/>
          <w:sz w:val="24"/>
        </w:rPr>
        <w:t xml:space="preserve">         </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若对项目采购电子交易系统操作有疑问，可登录政采云（https://www.zcygov.cn/），点击右侧咨询小采，获取采小蜜智能服务管家帮助，或拨打政采云服务热线400-881-7190获取热线服务帮助。</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CA问题联系电话（人工）：汇信CA 400-888-4636；天谷CA 400-087-8198。</w:t>
      </w:r>
    </w:p>
    <w:p>
      <w:pPr>
        <w:pStyle w:val="20"/>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rPr>
        <w:t xml:space="preserve">                              </w:t>
      </w:r>
    </w:p>
    <w:p>
      <w:pPr>
        <w:shd w:val="clear"/>
        <w:spacing w:line="360" w:lineRule="auto"/>
        <w:jc w:val="center"/>
        <w:outlineLvl w:val="0"/>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br w:type="page"/>
      </w:r>
      <w:r>
        <w:rPr>
          <w:rFonts w:hint="eastAsia" w:cs="仿宋" w:asciiTheme="majorEastAsia" w:hAnsiTheme="majorEastAsia" w:eastAsiaTheme="majorEastAsia"/>
          <w:b/>
          <w:color w:val="auto"/>
          <w:sz w:val="36"/>
          <w:szCs w:val="20"/>
        </w:rPr>
        <w:t>第二部分</w:t>
      </w:r>
      <w:bookmarkEnd w:id="8"/>
      <w:r>
        <w:rPr>
          <w:rFonts w:hint="eastAsia" w:cs="仿宋" w:asciiTheme="majorEastAsia" w:hAnsiTheme="majorEastAsia" w:eastAsiaTheme="majorEastAsia"/>
          <w:b/>
          <w:color w:val="auto"/>
          <w:sz w:val="36"/>
          <w:szCs w:val="20"/>
        </w:rPr>
        <w:t xml:space="preserve"> 投标须知</w:t>
      </w:r>
      <w:bookmarkEnd w:id="9"/>
    </w:p>
    <w:p>
      <w:pPr>
        <w:shd w:val="clear"/>
        <w:snapToGrid w:val="0"/>
        <w:spacing w:line="360" w:lineRule="auto"/>
        <w:jc w:val="center"/>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前附表</w:t>
      </w:r>
    </w:p>
    <w:tbl>
      <w:tblPr>
        <w:tblStyle w:val="32"/>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ascii="宋体" w:hAnsi="宋体" w:cs="仿宋"/>
                <w:b/>
                <w:color w:val="auto"/>
                <w:kern w:val="0"/>
                <w:sz w:val="24"/>
                <w:lang w:val="zh-CN"/>
              </w:rPr>
            </w:pPr>
            <w:r>
              <w:rPr>
                <w:rFonts w:hint="eastAsia" w:ascii="宋体" w:hAnsi="宋体" w:cs="仿宋"/>
                <w:color w:val="auto"/>
                <w:kern w:val="0"/>
                <w:sz w:val="24"/>
                <w:lang w:val="zh-CN"/>
              </w:rPr>
              <w:t>一、有关本项目实施所需的所有费用（含税费）均计入报价。</w:t>
            </w:r>
            <w:r>
              <w:rPr>
                <w:rFonts w:hint="eastAsia" w:ascii="宋体" w:hAnsi="宋体" w:cs="仿宋"/>
                <w:color w:val="auto"/>
                <w:sz w:val="24"/>
              </w:rPr>
              <w:t>开标一览表是报价的唯一载体</w:t>
            </w:r>
            <w:r>
              <w:rPr>
                <w:rFonts w:hint="eastAsia" w:ascii="宋体" w:hAnsi="宋体" w:cs="仿宋"/>
                <w:color w:val="auto"/>
                <w:kern w:val="0"/>
                <w:sz w:val="24"/>
                <w:lang w:val="zh-CN"/>
              </w:rPr>
              <w:t>。投标文件中价格全部采用人民币报价。招标文件未列明，而供应商认为必需的费用也需列入报价。</w:t>
            </w:r>
          </w:p>
          <w:p>
            <w:pPr>
              <w:shd w:val="clear"/>
              <w:snapToGrid w:val="0"/>
              <w:spacing w:line="360" w:lineRule="auto"/>
              <w:jc w:val="left"/>
              <w:rPr>
                <w:rFonts w:ascii="宋体" w:hAnsi="宋体" w:cs="仿宋"/>
                <w:b/>
                <w:color w:val="auto"/>
                <w:kern w:val="0"/>
                <w:sz w:val="24"/>
                <w:lang w:val="zh-CN"/>
              </w:rPr>
            </w:pPr>
            <w:r>
              <w:rPr>
                <w:rFonts w:hint="eastAsia" w:ascii="宋体" w:hAnsi="宋体" w:cs="仿宋"/>
                <w:b/>
                <w:color w:val="auto"/>
                <w:kern w:val="0"/>
                <w:sz w:val="24"/>
                <w:lang w:val="zh-CN"/>
              </w:rPr>
              <w:t>投标报价出现下列情形的，投标无效：</w:t>
            </w:r>
          </w:p>
          <w:p>
            <w:pPr>
              <w:shd w:val="clear"/>
              <w:snapToGrid w:val="0"/>
              <w:spacing w:line="360" w:lineRule="auto"/>
              <w:ind w:firstLine="241" w:firstLineChars="100"/>
              <w:jc w:val="left"/>
              <w:rPr>
                <w:rFonts w:ascii="宋体" w:hAnsi="宋体" w:cs="仿宋"/>
                <w:b/>
                <w:color w:val="auto"/>
                <w:kern w:val="0"/>
                <w:sz w:val="24"/>
                <w:lang w:val="zh-CN"/>
              </w:rPr>
            </w:pPr>
            <w:r>
              <w:rPr>
                <w:rFonts w:hint="eastAsia" w:ascii="宋体" w:hAnsi="宋体" w:cs="仿宋"/>
                <w:b/>
                <w:color w:val="auto"/>
                <w:kern w:val="0"/>
                <w:sz w:val="24"/>
                <w:lang w:val="zh-CN"/>
              </w:rPr>
              <w:t>（1）投标文件出现不是唯一的、有选择性投标报价的；</w:t>
            </w:r>
          </w:p>
          <w:p>
            <w:pPr>
              <w:shd w:val="clear"/>
              <w:snapToGrid w:val="0"/>
              <w:spacing w:line="360" w:lineRule="auto"/>
              <w:ind w:firstLine="241" w:firstLineChars="100"/>
              <w:jc w:val="left"/>
              <w:rPr>
                <w:rFonts w:ascii="宋体" w:hAnsi="宋体" w:cs="仿宋"/>
                <w:color w:val="auto"/>
                <w:kern w:val="0"/>
                <w:sz w:val="24"/>
                <w:lang w:val="zh-CN"/>
              </w:rPr>
            </w:pPr>
            <w:r>
              <w:rPr>
                <w:rFonts w:hint="eastAsia" w:ascii="宋体" w:hAnsi="宋体" w:cs="仿宋"/>
                <w:b/>
                <w:color w:val="auto"/>
                <w:kern w:val="0"/>
                <w:sz w:val="24"/>
                <w:lang w:val="zh-CN"/>
              </w:rPr>
              <w:t>（2）投标报价超过招标文件中规定的预算金额或者最高限价的;</w:t>
            </w:r>
          </w:p>
          <w:p>
            <w:pPr>
              <w:shd w:val="clear"/>
              <w:spacing w:line="360" w:lineRule="auto"/>
              <w:ind w:firstLine="241" w:firstLineChars="100"/>
              <w:rPr>
                <w:rFonts w:ascii="宋体" w:hAnsi="宋体" w:cs="仿宋"/>
                <w:b/>
                <w:color w:val="auto"/>
                <w:sz w:val="24"/>
              </w:rPr>
            </w:pPr>
            <w:r>
              <w:rPr>
                <w:rFonts w:hint="eastAsia" w:ascii="宋体" w:hAnsi="宋体" w:cs="仿宋"/>
                <w:b/>
                <w:color w:val="auto"/>
                <w:kern w:val="0"/>
                <w:sz w:val="24"/>
              </w:rPr>
              <w:t>（3）报价明显低于其他通过符合性审查供应商的报价，有可能影响产品质量或者不能诚信履约的，未能按要求提供书面说明或者提交相关证明材料证明其报价合理性的</w:t>
            </w:r>
            <w:r>
              <w:rPr>
                <w:rFonts w:hint="eastAsia" w:ascii="宋体" w:hAnsi="宋体" w:cs="仿宋"/>
                <w:b/>
                <w:color w:val="auto"/>
                <w:sz w:val="24"/>
                <w:szCs w:val="21"/>
              </w:rPr>
              <w:t>;</w:t>
            </w:r>
          </w:p>
          <w:p>
            <w:pPr>
              <w:shd w:val="clear"/>
              <w:spacing w:line="360" w:lineRule="auto"/>
              <w:ind w:firstLine="241" w:firstLineChars="100"/>
              <w:rPr>
                <w:rFonts w:cs="仿宋" w:asciiTheme="majorEastAsia" w:hAnsiTheme="majorEastAsia" w:eastAsiaTheme="majorEastAsia"/>
                <w:color w:val="auto"/>
                <w:sz w:val="24"/>
              </w:rPr>
            </w:pPr>
            <w:r>
              <w:rPr>
                <w:rFonts w:hint="eastAsia" w:ascii="宋体" w:hAnsi="宋体" w:cs="仿宋"/>
                <w:b/>
                <w:color w:val="auto"/>
                <w:kern w:val="0"/>
                <w:sz w:val="24"/>
              </w:rPr>
              <w:t>（4）供应商对根据修正原则修正后的报价不确认的</w:t>
            </w:r>
            <w:r>
              <w:rPr>
                <w:rFonts w:hint="eastAsia" w:ascii="宋体" w:hAnsi="宋体"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pStyle w:val="20"/>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kern w:val="28"/>
                <w:sz w:val="24"/>
                <w:szCs w:val="24"/>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pPr>
              <w:pStyle w:val="13"/>
              <w:shd w:val="clear"/>
              <w:spacing w:line="360" w:lineRule="auto"/>
              <w:ind w:firstLine="0"/>
              <w:jc w:val="left"/>
              <w:rPr>
                <w:rFonts w:cs="仿宋" w:asciiTheme="majorEastAsia" w:hAnsiTheme="majorEastAsia" w:eastAsiaTheme="majorEastAsia"/>
                <w:b/>
                <w:color w:val="auto"/>
                <w:kern w:val="0"/>
                <w:sz w:val="24"/>
              </w:rPr>
            </w:pPr>
            <w:r>
              <w:rPr>
                <w:rFonts w:hint="eastAsia" w:hAnsi="宋体" w:cs="宋体"/>
                <w:color w:val="auto"/>
                <w:sz w:val="24"/>
              </w:rPr>
              <w:t>投标保证金：</w:t>
            </w:r>
            <w:r>
              <w:rPr>
                <w:rFonts w:hint="eastAsia" w:hAnsi="宋体" w:cs="宋体"/>
                <w:snapToGrid/>
                <w:color w:val="auto"/>
                <w:kern w:val="2"/>
                <w:sz w:val="24"/>
                <w:szCs w:val="24"/>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资格证明文件：见招标文件第二部分9.1。</w:t>
            </w:r>
          </w:p>
          <w:p>
            <w:pPr>
              <w:shd w:val="clea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资格证明文件不全的或者不符合招标文件标明的资格要求的</w:t>
            </w:r>
            <w:r>
              <w:rPr>
                <w:rFonts w:hint="eastAsia" w:cs="仿宋" w:asciiTheme="majorEastAsia" w:hAnsiTheme="majorEastAsia" w:eastAsiaTheme="majorEastAsia"/>
                <w:color w:val="auto"/>
                <w:sz w:val="24"/>
                <w:lang w:val="zh-CN"/>
              </w:rPr>
              <w:t>，视为供应商不具备招标文件中规定的资格要求，投标无效。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ascii="宋体" w:hAnsi="宋体" w:cs="仿宋"/>
                <w:b/>
                <w:color w:val="auto"/>
                <w:sz w:val="24"/>
              </w:rPr>
              <w:t>开标前答疑会或现场考察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color w:val="auto"/>
                <w:sz w:val="24"/>
                <w:szCs w:val="20"/>
              </w:rPr>
            </w:pPr>
            <w:r>
              <w:rPr>
                <w:rFonts w:hint="eastAsia" w:ascii="宋体" w:hAnsi="宋体" w:cs="仿宋"/>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Cs/>
                <w:color w:val="auto"/>
                <w:sz w:val="24"/>
              </w:rPr>
            </w:pPr>
            <w:r>
              <w:rPr>
                <w:rFonts w:hint="eastAsia" w:cs="仿宋" w:asciiTheme="majorEastAsia" w:hAnsiTheme="majorEastAsia" w:eastAsiaTheme="majorEastAsia"/>
                <w:b/>
                <w:color w:val="auto"/>
                <w:sz w:val="24"/>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snapToGrid w:val="0"/>
                <w:color w:val="auto"/>
                <w:kern w:val="28"/>
                <w:sz w:val="24"/>
              </w:rPr>
            </w:pPr>
            <w:r>
              <w:rPr>
                <w:rFonts w:hint="eastAsia" w:cs="仿宋" w:asciiTheme="majorEastAsia" w:hAnsiTheme="majorEastAsia" w:eastAsiaTheme="majorEastAsia"/>
                <w:snapToGrid w:val="0"/>
                <w:color w:val="auto"/>
                <w:kern w:val="28"/>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6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snapToGrid w:val="0"/>
                <w:color w:val="auto"/>
                <w:kern w:val="28"/>
                <w:sz w:val="24"/>
              </w:rPr>
            </w:pPr>
            <w:r>
              <w:rPr>
                <w:rFonts w:hint="eastAsia" w:cs="仿宋" w:asciiTheme="majorEastAsia" w:hAnsiTheme="majorEastAsia" w:eastAsiaTheme="majorEastAsia"/>
                <w:snapToGrid w:val="0"/>
                <w:color w:val="auto"/>
                <w:kern w:val="28"/>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snapToGrid w:val="0"/>
                <w:color w:val="auto"/>
                <w:kern w:val="28"/>
                <w:sz w:val="24"/>
                <w:u w:val="single"/>
              </w:rPr>
            </w:pPr>
            <w:r>
              <w:rPr>
                <w:rFonts w:hint="eastAsia" w:cs="仿宋" w:asciiTheme="majorEastAsia" w:hAnsiTheme="majorEastAsia" w:eastAsiaTheme="majorEastAsia"/>
                <w:snapToGrid w:val="0"/>
                <w:color w:val="auto"/>
                <w:kern w:val="28"/>
                <w:sz w:val="24"/>
              </w:rPr>
              <w:t>标的：</w:t>
            </w:r>
            <w:r>
              <w:rPr>
                <w:rFonts w:hint="eastAsia" w:cs="仿宋" w:asciiTheme="majorEastAsia" w:hAnsiTheme="majorEastAsia" w:eastAsiaTheme="majorEastAsia"/>
                <w:snapToGrid w:val="0"/>
                <w:color w:val="auto"/>
                <w:kern w:val="28"/>
                <w:sz w:val="24"/>
                <w:u w:val="single"/>
              </w:rPr>
              <w:t>保洁及垃圾清运服务</w:t>
            </w:r>
            <w:r>
              <w:rPr>
                <w:rFonts w:hint="eastAsia" w:cs="仿宋" w:asciiTheme="majorEastAsia" w:hAnsiTheme="majorEastAsia" w:eastAsiaTheme="majorEastAsia"/>
                <w:snapToGrid w:val="0"/>
                <w:color w:val="auto"/>
                <w:kern w:val="28"/>
                <w:sz w:val="24"/>
              </w:rPr>
              <w:t>，属于</w:t>
            </w:r>
            <w:r>
              <w:rPr>
                <w:rFonts w:hint="eastAsia" w:cs="仿宋" w:asciiTheme="majorEastAsia" w:hAnsiTheme="majorEastAsia" w:eastAsiaTheme="majorEastAsia"/>
                <w:snapToGrid w:val="0"/>
                <w:color w:val="auto"/>
                <w:kern w:val="28"/>
                <w:sz w:val="24"/>
                <w:u w:val="single"/>
              </w:rPr>
              <w:t>其他未列明行业；</w:t>
            </w:r>
          </w:p>
          <w:p>
            <w:pPr>
              <w:pStyle w:val="2"/>
              <w:shd w:val="clear"/>
              <w:ind w:firstLine="0" w:firstLineChars="0"/>
              <w:rPr>
                <w:rFonts w:cs="仿宋" w:asciiTheme="majorEastAsia" w:hAnsiTheme="majorEastAsia" w:eastAsiaTheme="majorEastAsia"/>
                <w:snapToGrid w:val="0"/>
                <w:color w:val="auto"/>
                <w:kern w:val="28"/>
                <w:sz w:val="24"/>
              </w:rPr>
            </w:pPr>
            <w:r>
              <w:rPr>
                <w:rFonts w:hint="eastAsia" w:cs="仿宋" w:asciiTheme="majorEastAsia" w:hAnsiTheme="majorEastAsia" w:eastAsiaTheme="majorEastAsia"/>
                <w:snapToGrid w:val="0"/>
                <w:color w:val="auto"/>
                <w:kern w:val="28"/>
                <w:sz w:val="24"/>
              </w:rPr>
              <w:t>具体根据</w:t>
            </w:r>
            <w:r>
              <w:rPr>
                <w:rFonts w:cs="仿宋" w:asciiTheme="majorEastAsia" w:hAnsiTheme="majorEastAsia" w:eastAsiaTheme="majorEastAsia"/>
                <w:snapToGrid w:val="0"/>
                <w:color w:val="auto"/>
                <w:kern w:val="28"/>
                <w:sz w:val="24"/>
              </w:rPr>
              <w:t>《中小企业划型标准规定》</w:t>
            </w:r>
            <w:r>
              <w:rPr>
                <w:rFonts w:hint="eastAsia" w:cs="仿宋" w:asciiTheme="majorEastAsia" w:hAnsiTheme="majorEastAsia" w:eastAsiaTheme="majorEastAsia"/>
                <w:snapToGrid w:val="0"/>
                <w:color w:val="auto"/>
                <w:kern w:val="28"/>
                <w:sz w:val="24"/>
              </w:rPr>
              <w:t>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tcBorders>
              <w:top w:val="single" w:color="auto" w:sz="4" w:space="0"/>
              <w:left w:val="single" w:color="000000" w:sz="8" w:space="0"/>
              <w:right w:val="single" w:color="000000" w:sz="2" w:space="0"/>
            </w:tcBorders>
          </w:tcPr>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p>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w:t>
            </w:r>
          </w:p>
        </w:tc>
        <w:tc>
          <w:tcPr>
            <w:tcW w:w="1843" w:type="dxa"/>
            <w:tcBorders>
              <w:top w:val="single" w:color="000000" w:sz="8" w:space="0"/>
              <w:left w:val="single" w:color="000000" w:sz="2"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中小企业信用融资</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snapToGrid w:val="0"/>
                <w:color w:val="auto"/>
                <w:kern w:val="28"/>
                <w:sz w:val="24"/>
              </w:rPr>
            </w:pPr>
            <w:r>
              <w:rPr>
                <w:rFonts w:hint="eastAsia" w:cs="仿宋" w:asciiTheme="majorEastAsia" w:hAnsiTheme="majorEastAsia" w:eastAsiaTheme="majorEastAsia"/>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tcBorders>
              <w:top w:val="single" w:color="auto" w:sz="4" w:space="0"/>
              <w:left w:val="single" w:color="000000" w:sz="8"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w:t>
            </w:r>
          </w:p>
        </w:tc>
        <w:tc>
          <w:tcPr>
            <w:tcW w:w="1843" w:type="dxa"/>
            <w:tcBorders>
              <w:top w:val="single" w:color="000000" w:sz="8" w:space="0"/>
              <w:left w:val="single" w:color="000000" w:sz="2"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snapToGrid w:val="0"/>
                <w:color w:val="auto"/>
                <w:kern w:val="28"/>
                <w:sz w:val="24"/>
              </w:rPr>
            </w:pPr>
            <w:r>
              <w:rPr>
                <w:rFonts w:hint="eastAsia" w:ascii="宋体" w:hAnsi="宋体" w:cs="宋体"/>
                <w:color w:val="auto"/>
                <w:sz w:val="24"/>
              </w:rPr>
              <w:t>本项目中标服务费</w:t>
            </w:r>
            <w:r>
              <w:rPr>
                <w:rFonts w:hint="eastAsia" w:ascii="宋体" w:hAnsi="宋体" w:cs="宋体"/>
                <w:color w:val="auto"/>
                <w:sz w:val="24"/>
                <w:u w:val="single"/>
              </w:rPr>
              <w:t>55300</w:t>
            </w:r>
            <w:r>
              <w:rPr>
                <w:rFonts w:hint="eastAsia" w:ascii="宋体" w:hAnsi="宋体" w:cs="宋体"/>
                <w:color w:val="auto"/>
                <w:sz w:val="24"/>
              </w:rPr>
              <w:t>元，中标人应在本公司发出中标通知书5个工作日内向本招标公司支付招标服务费。招标服务费只收现金、银行票汇款、电汇款。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特别说明</w:t>
            </w:r>
          </w:p>
        </w:tc>
        <w:tc>
          <w:tcPr>
            <w:tcW w:w="6662"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cs="仿宋" w:asciiTheme="majorEastAsia" w:hAnsiTheme="majorEastAsia" w:eastAsiaTheme="majorEastAsia"/>
                <w:snapToGrid w:val="0"/>
                <w:color w:val="auto"/>
                <w:kern w:val="28"/>
                <w:sz w:val="24"/>
              </w:rPr>
            </w:pPr>
            <w:r>
              <w:rPr>
                <w:rFonts w:hint="eastAsia" w:cs="仿宋" w:asciiTheme="majorEastAsia" w:hAnsiTheme="majorEastAsia" w:eastAsiaTheme="majorEastAsia"/>
                <w:snapToGrid w:val="0"/>
                <w:color w:val="auto"/>
                <w:kern w:val="28"/>
                <w:sz w:val="24"/>
              </w:rPr>
              <w:t>公益一类事业单位不属于政府购买服务的承接主体，不得参与承接政府购买服务。</w:t>
            </w:r>
          </w:p>
        </w:tc>
      </w:tr>
    </w:tbl>
    <w:p>
      <w:pPr>
        <w:shd w:val="clear"/>
        <w:snapToGrid w:val="0"/>
        <w:spacing w:line="360" w:lineRule="auto"/>
        <w:jc w:val="center"/>
        <w:rPr>
          <w:rFonts w:cs="仿宋" w:asciiTheme="majorEastAsia" w:hAnsiTheme="majorEastAsia" w:eastAsiaTheme="majorEastAsia"/>
          <w:b/>
          <w:color w:val="auto"/>
          <w:sz w:val="32"/>
          <w:szCs w:val="20"/>
        </w:rPr>
      </w:pPr>
    </w:p>
    <w:bookmarkEnd w:id="10"/>
    <w:p>
      <w:pPr>
        <w:shd w:val="clear"/>
        <w:spacing w:line="360" w:lineRule="auto"/>
        <w:ind w:firstLine="3845" w:firstLineChars="1197"/>
        <w:outlineLvl w:val="0"/>
        <w:rPr>
          <w:rFonts w:cs="仿宋" w:asciiTheme="majorEastAsia" w:hAnsiTheme="majorEastAsia" w:eastAsiaTheme="majorEastAsia"/>
          <w:b/>
          <w:color w:val="auto"/>
          <w:sz w:val="32"/>
          <w:szCs w:val="20"/>
        </w:rPr>
      </w:pPr>
      <w:bookmarkStart w:id="11" w:name="第三部分"/>
      <w:bookmarkStart w:id="12" w:name="_Toc164416483"/>
      <w:r>
        <w:rPr>
          <w:rFonts w:hint="eastAsia" w:cs="仿宋" w:asciiTheme="majorEastAsia" w:hAnsiTheme="majorEastAsia" w:eastAsiaTheme="majorEastAsia"/>
          <w:b/>
          <w:color w:val="auto"/>
          <w:sz w:val="32"/>
          <w:szCs w:val="20"/>
        </w:rPr>
        <w:t>一、总则</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适用范围</w:t>
      </w:r>
    </w:p>
    <w:p>
      <w:pPr>
        <w:shd w:val="clear"/>
        <w:snapToGrid w:val="0"/>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本招标文件适用于该项目的招标、投标、开标、资格审查及信用信息查询、评标、定标、合同、验收等行为（法律、法规另有规定的，从其规定）。</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定义</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 “采购人”系指招标公告中载明的本项目的采购人。</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 “采购代理机构”系指招标公告中载明的本项目的采购代理机构。</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”系指是指响应招标、参加投标竞争的法人、其他组织或者自然人。</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 “负责人”系指法人企业的法定负责人，或其他组织为法律、行政法规规定代表单位行使职权的主要负责人，或自然人本人。</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2.5“电子签名”系指数据电文中以电子形式所含、所附用于识别签名人身份并表明签名人认可其中内容的数据；“公章”系指单位法定名称章。</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2.6“电子交易平台”是指本项目政府采购活动所依托的政府采购云平台（https://www.zcygov.cn/）。</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2.7 “▲” 系指实质性要求条款，“</w:t>
      </w:r>
      <w:r>
        <w:rPr>
          <w:rFonts w:ascii="Wingdings" w:hAnsi="Wingdings" w:eastAsia="仿宋" w:cs="仿宋"/>
          <w:color w:val="auto"/>
          <w:kern w:val="0"/>
          <w:sz w:val="24"/>
        </w:rPr>
        <w:t></w:t>
      </w:r>
      <w:r>
        <w:rPr>
          <w:rFonts w:hint="eastAsia" w:cs="仿宋" w:asciiTheme="majorEastAsia" w:hAnsiTheme="majorEastAsia" w:eastAsiaTheme="majorEastAsia"/>
          <w:color w:val="auto"/>
          <w:sz w:val="24"/>
        </w:rPr>
        <w:t>” 系指适用本项目的要求，“</w:t>
      </w:r>
      <w:r>
        <w:rPr>
          <w:rFonts w:hint="eastAsia" w:ascii="MS Gothic" w:hAnsi="MS Gothic" w:eastAsia="MS Gothic" w:cs="MS Gothic"/>
          <w:color w:val="auto"/>
          <w:kern w:val="0"/>
          <w:sz w:val="24"/>
        </w:rPr>
        <w:t>☐</w:t>
      </w:r>
      <w:r>
        <w:rPr>
          <w:rFonts w:hint="eastAsia" w:cs="仿宋" w:asciiTheme="majorEastAsia" w:hAnsiTheme="majorEastAsia" w:eastAsiaTheme="majorEastAsia"/>
          <w:color w:val="auto"/>
          <w:sz w:val="24"/>
        </w:rPr>
        <w:t>” 系指不适用本项目的要求。</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采购项目需要落实的政府采购政策</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3.2 支持节能产品</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3.3支持中小企业发展</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符合中小企业划分标准的个体工商户，在政府采购活动中视同中小企业。</w:t>
      </w:r>
    </w:p>
    <w:p>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bCs/>
          <w:color w:val="auto"/>
          <w:sz w:val="24"/>
        </w:rPr>
        <w:t>3.3.2</w:t>
      </w:r>
      <w:r>
        <w:rPr>
          <w:rFonts w:hint="eastAsia" w:cs="仿宋" w:asciiTheme="majorEastAsia" w:hAnsiTheme="majorEastAsia" w:eastAsiaTheme="majorEastAsia"/>
          <w:color w:val="auto"/>
          <w:kern w:val="0"/>
          <w:sz w:val="24"/>
        </w:rPr>
        <w:t>在政府采购活动中，</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提供的货物、工程或者服务符合下列情形的，享受中小企业扶持政策：</w:t>
      </w:r>
    </w:p>
    <w:p>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3.3.2.1在货物采购项目中，货物由中小企业制造，即货物由中小企业生产且使用该中小企业商号或者注册商标；</w:t>
      </w:r>
    </w:p>
    <w:p>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3.3.2.2在工程采购项目中，工程由中小企业承建，即工程施工单位为中小企业；</w:t>
      </w:r>
    </w:p>
    <w:p>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3.3.2.3在服务采购项目中，服务由中小企业承接，即提供服务的人员为中小企业依照《中华人民共和国劳动合同法》订立劳动合同的从业人员。</w:t>
      </w:r>
    </w:p>
    <w:p>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在货物采购项目中，</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提供的货物既有中小企业制造货物，也有大型企业制造货物的，不享受中小企业扶持政策。</w:t>
      </w:r>
    </w:p>
    <w:p>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3.3.4符合《关于促进残疾人就业政府采购政策的通知》（财库〔2017〕141号）规定的条件并提供《残疾人福利性单位声明函》的残疾人福利性单位视同小型、微型企业；</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3.3.6可享受中小企业扶持政策的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应按照招标文件格式要求提供《中小企业声明函》，</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3.3.7中小企业享受扶持政策获得政府采购合同的，小微企业不得将合同分包给大中型企业，中型企业不得将合同分包给大型企业。</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3.4支持创新发展</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3.4.1 采购人优先采购被认定为首台套产品和“制造精品”的自主创新产品。</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3.4.3根据《关于促进自主创新进一步改进招标采购工作的意见》(甬资交管办〔2019〕 1号)规定，若投标产品列入地级市及以上政府部门重点自主创新产品目录的，相应的资格审查和业绩评分视同完全满足（以投标文件中提供地级市及以上政府部门重点自主创新产品目录证明材料为准）。</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特别说明</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4.1关于分公司投标</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除银行、保险、石油石化、电力、电信等特殊行业外。法人的分支机构由于不能独立承担民事责任，不能以分支机构的身份参加政府采购，只能以法人身份参加。 </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4.2关于知识产权</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4.2.1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4.2.2 投标报价应包含所有应向所有权人支付的专利权、商标权或其它知识产权的一切相关费用。</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承担所有责任及费用。</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的风险</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4.3.1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承担,并对所提供的全部资料的真实性承担法律责任。</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4.3.2 无论因何种原因导致本次采购活动终止致</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损失的，相关责任人均不承担任何责任。</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询问、质疑、投诉</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.1供应商询问</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.2供应商质疑</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.1提出质疑的供应商应当是参与所质疑项目采购活动的供应商。潜在供应商已依法获取其可质疑的招标文件的，可以对该文件提出质疑。</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5.2.2.1对招标文件提出质疑的，质疑期限为供应商获得招标文件之日或者招标文件公告期限届满之日起计算。</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5.2.2.2对采购过程提出质疑的，质疑期限为各采购程序环节结束之日起计算。</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5.2.2.3对采购结果提出质疑的，质疑期限自采购结果公告期限届满之日起计算。</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5.2.2.4对同一采购程序环节的质疑，供应商须一次性提出。</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w:t>
      </w:r>
      <w:r>
        <w:rPr>
          <w:rFonts w:hint="eastAsia" w:cs="仿宋" w:asciiTheme="majorEastAsia" w:hAnsiTheme="majorEastAsia" w:eastAsiaTheme="majorEastAsia"/>
          <w:color w:val="auto"/>
          <w:sz w:val="24"/>
        </w:rPr>
        <w:t>供应商提出质疑应当提交质疑函和必要的证明材料。质疑函应当包括下列内容：</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.2.3.1供应商的姓名或者名称、地址、邮编、联系人及联系电话；</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.2.3.2质疑项目的名称、编号；</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.2.3.3具体、明确的质疑事项和与质疑事项相关的请求；</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.2.3.4事实依据；</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.2.3.5必要的法律依据；</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.2.3.6提出质疑的日期。</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5.2.3.7对招标文件提出质疑的需要提供在政采云平台获取招标文件的截图。</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供应商提交的质疑函需一式三份。供应商为自然人的，应当由本人签字；供应商为法人或者其他组织的，应当由法定代表人、主要负责人，或者其授权代表签字或者盖章，并加盖公章。</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质疑函范本请到浙江政府采购网下载专区下载。</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.5询问或者质疑事项可能影响采购结果的，采购人应当暂停签订合同，已经签订合同的，应当中止履行合同。</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.3供应商投诉</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5.3.1质疑供应商对采购人、采购代理机构的答复不满意或者采购人、采购代理机构未在规定的时间内作出答复的，可以在答复期满后十五个工作日内向同级政府采购监督管理部门提出投诉。</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供应商投诉的事项不得超出已质疑事项的范围，基于质疑答复内容提出的投诉事项除外。</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5.3.3供应商投诉应当有明确的请求和必要的证明材料。</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5.3.5 以联合体形式参加政府采购活动的，其投诉应当由组成联合体的所有供应商共同提出。</w:t>
      </w:r>
    </w:p>
    <w:p>
      <w:pPr>
        <w:shd w:val="clear"/>
        <w:spacing w:line="360" w:lineRule="auto"/>
        <w:ind w:firstLine="480" w:firstLineChars="200"/>
        <w:rPr>
          <w:rFonts w:cs="仿宋" w:asciiTheme="majorEastAsia" w:hAnsiTheme="majorEastAsia" w:eastAsiaTheme="majorEastAsia"/>
          <w:color w:val="auto"/>
          <w:sz w:val="18"/>
          <w:szCs w:val="18"/>
        </w:rPr>
      </w:pPr>
      <w:r>
        <w:rPr>
          <w:rFonts w:hint="eastAsia" w:cs="仿宋" w:asciiTheme="majorEastAsia" w:hAnsiTheme="majorEastAsia" w:eastAsiaTheme="majorEastAsia"/>
          <w:color w:val="auto"/>
          <w:sz w:val="24"/>
        </w:rPr>
        <w:t>投诉书范本请到浙江政府采购网下载专区下载。</w:t>
      </w:r>
    </w:p>
    <w:p>
      <w:pPr>
        <w:shd w:val="clear"/>
        <w:spacing w:line="360" w:lineRule="auto"/>
        <w:jc w:val="center"/>
        <w:outlineLvl w:val="0"/>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 xml:space="preserve">      </w:t>
      </w:r>
      <w:r>
        <w:rPr>
          <w:rFonts w:cs="仿宋" w:asciiTheme="majorEastAsia" w:hAnsiTheme="majorEastAsia" w:eastAsiaTheme="majorEastAsia"/>
          <w:b/>
          <w:color w:val="auto"/>
          <w:sz w:val="32"/>
          <w:szCs w:val="20"/>
        </w:rPr>
        <w:br w:type="page"/>
      </w:r>
    </w:p>
    <w:p>
      <w:pPr>
        <w:shd w:val="clear"/>
        <w:spacing w:line="360" w:lineRule="auto"/>
        <w:jc w:val="center"/>
        <w:outlineLvl w:val="0"/>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二、招标文件的构成、澄清、修改</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招标文件的构成</w:t>
      </w:r>
    </w:p>
    <w:p>
      <w:pPr>
        <w:pStyle w:val="20"/>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 招标文件包括下列文件及附件：</w:t>
      </w:r>
    </w:p>
    <w:p>
      <w:pPr>
        <w:pStyle w:val="20"/>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6.1.1 招标公告；</w:t>
      </w:r>
    </w:p>
    <w:p>
      <w:pPr>
        <w:pStyle w:val="20"/>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 xml:space="preserve">6.1.2 </w:t>
      </w:r>
      <w:r>
        <w:rPr>
          <w:rFonts w:hint="eastAsia" w:cs="仿宋" w:asciiTheme="majorEastAsia" w:hAnsiTheme="majorEastAsia" w:eastAsiaTheme="majorEastAsia"/>
          <w:color w:val="auto"/>
          <w:sz w:val="24"/>
          <w:szCs w:val="24"/>
          <w:lang w:val="zh-CN"/>
        </w:rPr>
        <w:t>投标</w:t>
      </w:r>
      <w:r>
        <w:rPr>
          <w:rFonts w:hint="eastAsia" w:cs="仿宋" w:asciiTheme="majorEastAsia" w:hAnsiTheme="majorEastAsia" w:eastAsiaTheme="majorEastAsia"/>
          <w:color w:val="auto"/>
          <w:sz w:val="24"/>
          <w:szCs w:val="24"/>
        </w:rPr>
        <w:t>须知；</w:t>
      </w:r>
    </w:p>
    <w:p>
      <w:pPr>
        <w:pStyle w:val="20"/>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6.1.3 采购需求；</w:t>
      </w:r>
    </w:p>
    <w:p>
      <w:pPr>
        <w:pStyle w:val="20"/>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6.1.4 评标办法；</w:t>
      </w:r>
    </w:p>
    <w:p>
      <w:pPr>
        <w:pStyle w:val="20"/>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6.1.5 拟签订的合同文本；</w:t>
      </w:r>
    </w:p>
    <w:p>
      <w:pPr>
        <w:pStyle w:val="20"/>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6.1.6 应提交的有关格式范例。</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6.2与本项目有关的</w:t>
      </w:r>
      <w:r>
        <w:rPr>
          <w:rFonts w:hint="eastAsia" w:cs="仿宋" w:asciiTheme="majorEastAsia" w:hAnsiTheme="majorEastAsia" w:eastAsiaTheme="majorEastAsia"/>
          <w:bCs/>
          <w:color w:val="auto"/>
          <w:sz w:val="24"/>
        </w:rPr>
        <w:t>澄清或者修改的内容为招标文件的组成部分</w:t>
      </w:r>
      <w:r>
        <w:rPr>
          <w:rFonts w:hint="eastAsia" w:cs="仿宋" w:asciiTheme="majorEastAsia" w:hAnsiTheme="majorEastAsia" w:eastAsiaTheme="majorEastAsia"/>
          <w:color w:val="auto"/>
          <w:sz w:val="24"/>
        </w:rPr>
        <w:t>。</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招标文件的澄清、修改</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7.3 如更正公告有重新发布电子招标文件的，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应下载最新发布的电子招标文件制作投标文件。</w:t>
      </w:r>
    </w:p>
    <w:p>
      <w:pPr>
        <w:shd w:val="clear"/>
        <w:spacing w:line="360" w:lineRule="auto"/>
        <w:ind w:firstLine="480" w:firstLineChars="200"/>
        <w:rPr>
          <w:rFonts w:cs="仿宋" w:asciiTheme="majorEastAsia" w:hAnsiTheme="majorEastAsia" w:eastAsiaTheme="majorEastAsia"/>
          <w:b/>
          <w:color w:val="auto"/>
          <w:sz w:val="30"/>
          <w:szCs w:val="20"/>
        </w:rPr>
      </w:pPr>
      <w:r>
        <w:rPr>
          <w:rFonts w:hint="eastAsia" w:cs="仿宋" w:asciiTheme="majorEastAsia" w:hAnsiTheme="majorEastAsia" w:eastAsiaTheme="majorEastAsia"/>
          <w:color w:val="auto"/>
          <w:sz w:val="24"/>
        </w:rPr>
        <w:t>7.4 已获取招标文件的潜在</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，若有问题需要澄清，应于投标截止时间前，以书面形式向采购代理机构提出。</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w:t>
      </w:r>
    </w:p>
    <w:p>
      <w:pPr>
        <w:shd w:val="clear"/>
        <w:spacing w:line="360" w:lineRule="auto"/>
        <w:jc w:val="center"/>
        <w:outlineLvl w:val="0"/>
        <w:rPr>
          <w:rFonts w:cs="仿宋" w:asciiTheme="majorEastAsia" w:hAnsiTheme="majorEastAsia" w:eastAsiaTheme="majorEastAsia"/>
          <w:b/>
          <w:color w:val="auto"/>
          <w:sz w:val="30"/>
          <w:szCs w:val="20"/>
        </w:rPr>
      </w:pPr>
      <w:r>
        <w:rPr>
          <w:rFonts w:hint="eastAsia" w:cs="仿宋" w:asciiTheme="majorEastAsia" w:hAnsiTheme="majorEastAsia" w:eastAsiaTheme="majorEastAsia"/>
          <w:b/>
          <w:color w:val="auto"/>
          <w:sz w:val="30"/>
          <w:szCs w:val="20"/>
        </w:rPr>
        <w:br w:type="page"/>
      </w:r>
      <w:r>
        <w:rPr>
          <w:rFonts w:hint="eastAsia" w:cs="仿宋" w:asciiTheme="majorEastAsia" w:hAnsiTheme="majorEastAsia" w:eastAsiaTheme="majorEastAsia"/>
          <w:b/>
          <w:color w:val="auto"/>
          <w:sz w:val="30"/>
          <w:szCs w:val="20"/>
        </w:rPr>
        <w:t>三、投标</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投标文件的语言</w:t>
      </w:r>
    </w:p>
    <w:p>
      <w:pPr>
        <w:shd w:val="clear"/>
        <w:autoSpaceDE w:val="0"/>
        <w:autoSpaceDN w:val="0"/>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投标文件及</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与采购有关的来往通知、函件和文件均应使用中文。</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投标文件的组成</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9.1 </w:t>
      </w:r>
      <w:r>
        <w:rPr>
          <w:rFonts w:hint="eastAsia" w:cs="仿宋" w:asciiTheme="majorEastAsia" w:hAnsiTheme="majorEastAsia" w:eastAsiaTheme="majorEastAsia"/>
          <w:b/>
          <w:color w:val="auto"/>
          <w:sz w:val="24"/>
        </w:rPr>
        <w:t>资格文件</w:t>
      </w:r>
      <w:r>
        <w:rPr>
          <w:rFonts w:hint="eastAsia" w:cs="仿宋" w:asciiTheme="majorEastAsia" w:hAnsiTheme="majorEastAsia" w:eastAsiaTheme="majorEastAsia"/>
          <w:color w:val="auto"/>
          <w:sz w:val="24"/>
        </w:rPr>
        <w:t>：</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9.1.1有效的企业法人营业执照（或事业法人登记证）、其他组织（个体工商户）的营业执照或者民办非企业单位登记证书；</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9.1.2符合参加政府采购活动应当具备的一般条件的承诺函(格式见第六部分)；</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9.1.3落实政府采购政策需满足的资格要求（如适用）；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9.1.4本项目的特定资格要求。</w:t>
      </w:r>
    </w:p>
    <w:p>
      <w:pPr>
        <w:shd w:val="clear"/>
        <w:snapToGrid w:val="0"/>
        <w:spacing w:line="360" w:lineRule="auto"/>
        <w:ind w:firstLine="480" w:firstLineChars="200"/>
        <w:rPr>
          <w:rFonts w:cs="仿宋" w:asciiTheme="majorEastAsia" w:hAnsiTheme="majorEastAsia" w:eastAsiaTheme="majorEastAsia"/>
          <w:b/>
          <w:bCs/>
          <w:color w:val="auto"/>
          <w:sz w:val="24"/>
          <w:lang w:val="zh-CN"/>
        </w:rPr>
      </w:pPr>
      <w:r>
        <w:rPr>
          <w:rFonts w:hint="eastAsia" w:cs="仿宋" w:asciiTheme="majorEastAsia" w:hAnsiTheme="majorEastAsia" w:eastAsiaTheme="majorEastAsia"/>
          <w:color w:val="auto"/>
          <w:sz w:val="24"/>
        </w:rPr>
        <w:t>9</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b/>
          <w:bCs/>
          <w:color w:val="auto"/>
          <w:sz w:val="24"/>
        </w:rPr>
        <w:t>商务技术</w:t>
      </w:r>
      <w:r>
        <w:rPr>
          <w:rFonts w:hint="eastAsia" w:cs="仿宋" w:asciiTheme="majorEastAsia" w:hAnsiTheme="majorEastAsia" w:eastAsiaTheme="majorEastAsia"/>
          <w:b/>
          <w:bCs/>
          <w:color w:val="auto"/>
          <w:sz w:val="24"/>
          <w:lang w:val="zh-CN"/>
        </w:rPr>
        <w:t>文件：</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9.2.1评分索引表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9.2.2 符合性自查表；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9.2.3 投标函；</w:t>
      </w:r>
      <w:r>
        <w:rPr>
          <w:rFonts w:hint="eastAsia" w:cs="仿宋" w:asciiTheme="majorEastAsia" w:hAnsiTheme="majorEastAsia" w:eastAsiaTheme="majorEastAsia"/>
          <w:color w:val="auto"/>
          <w:sz w:val="24"/>
          <w:lang w:val="zh-CN"/>
        </w:rPr>
        <w:t xml:space="preserve"> </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9.2.4授权委托书或法定代表人（单位负责人、自然人本人）身份证明；</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9.2.5投标人基本情况表；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9.2.6 距采购人最近或者能为本项目提供最优服务的网点情况表；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7 评标标准相应的商务技术资料；</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9.2.8 商务响应表；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9.2.9 服务要求响应表；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9.2.10项目实施人员一览表；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9.2.11 同类业绩情况一览表；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9.2.12</w:t>
      </w:r>
      <w:r>
        <w:rPr>
          <w:rFonts w:hint="eastAsia" w:cs="仿宋" w:asciiTheme="majorEastAsia" w:hAnsiTheme="majorEastAsia" w:eastAsiaTheme="majorEastAsia"/>
          <w:color w:val="auto"/>
          <w:sz w:val="24"/>
          <w:lang w:val="zh-CN"/>
        </w:rPr>
        <w:t>政府采购供应商廉洁自律承诺书；</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9.2.13其他资料（如有）。</w:t>
      </w:r>
    </w:p>
    <w:p>
      <w:pPr>
        <w:shd w:val="clear"/>
        <w:snapToGrid w:val="0"/>
        <w:spacing w:line="360" w:lineRule="auto"/>
        <w:ind w:firstLine="480" w:firstLineChars="200"/>
        <w:rPr>
          <w:rFonts w:cs="仿宋" w:asciiTheme="majorEastAsia" w:hAnsiTheme="majorEastAsia" w:eastAsiaTheme="majorEastAsia"/>
          <w:color w:val="auto"/>
          <w:sz w:val="24"/>
          <w:u w:val="single"/>
          <w:lang w:val="zh-CN"/>
        </w:rPr>
      </w:pPr>
      <w:r>
        <w:rPr>
          <w:rFonts w:hint="eastAsia" w:cs="仿宋" w:asciiTheme="majorEastAsia" w:hAnsiTheme="majorEastAsia" w:eastAsiaTheme="majorEastAsia"/>
          <w:color w:val="auto"/>
          <w:kern w:val="0"/>
          <w:sz w:val="24"/>
        </w:rPr>
        <w:t>9</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color w:val="auto"/>
          <w:kern w:val="0"/>
          <w:sz w:val="24"/>
        </w:rPr>
        <w:t xml:space="preserve">3 </w:t>
      </w:r>
      <w:r>
        <w:rPr>
          <w:rFonts w:hint="eastAsia" w:cs="仿宋" w:asciiTheme="majorEastAsia" w:hAnsiTheme="majorEastAsia" w:eastAsiaTheme="majorEastAsia"/>
          <w:b/>
          <w:color w:val="auto"/>
          <w:sz w:val="24"/>
        </w:rPr>
        <w:t>报价文件：</w:t>
      </w:r>
      <w:r>
        <w:rPr>
          <w:rFonts w:hint="eastAsia" w:cs="仿宋" w:asciiTheme="majorEastAsia" w:hAnsiTheme="majorEastAsia" w:eastAsiaTheme="majorEastAsia"/>
          <w:color w:val="auto"/>
          <w:sz w:val="24"/>
        </w:rPr>
        <w:t xml:space="preserve"> </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9.3.1 开标一览表；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9.3.2 投标报价明细表；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9.3.3 中小企业声明函（如有）；</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9.3.4 残疾人福利性单位声明函（如有）；</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9.3.5 监狱企业的证明文件（如有）；</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9.3.6 政府采购统计基础信息表；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9.3.7其他资料（如有）。</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投标文件的编制</w:t>
      </w:r>
    </w:p>
    <w:p>
      <w:pPr>
        <w:shd w:val="clear"/>
        <w:spacing w:line="360" w:lineRule="auto"/>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rPr>
        <w:t>未有规定格式的资料，</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应自行编制，但至少须包含9.投标文件组成中的内容。</w:t>
      </w:r>
      <w:r>
        <w:rPr>
          <w:rFonts w:hint="eastAsia" w:cs="仿宋" w:asciiTheme="majorEastAsia" w:hAnsiTheme="majorEastAsia" w:eastAsiaTheme="majorEastAsia"/>
          <w:color w:val="auto"/>
          <w:kern w:val="0"/>
          <w:sz w:val="24"/>
          <w:lang w:val="zh-CN"/>
        </w:rPr>
        <w:t>混乱的编排导致投标文件被误读或评标委员会查找不到有效文件是供应商的风险。</w:t>
      </w:r>
    </w:p>
    <w:p>
      <w:pPr>
        <w:shd w:val="clear"/>
        <w:spacing w:line="36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pPr>
        <w:shd w:val="clear"/>
        <w:spacing w:line="36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.3使用“政采云电子交易客户端”需要提前申领CA数字证书，申领流程请自行前往“浙江政府采购网-下载专区-电子交易客户端-CA驱动和申领流程”进行查阅。</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投标文件的签署、盖章</w:t>
      </w:r>
    </w:p>
    <w:p>
      <w:pPr>
        <w:pStyle w:val="51"/>
        <w:shd w:val="clear"/>
        <w:snapToGrid w:val="0"/>
        <w:spacing w:before="0"/>
        <w:ind w:firstLine="480"/>
        <w:rPr>
          <w:rFonts w:cs="仿宋" w:asciiTheme="majorEastAsia" w:hAnsiTheme="majorEastAsia" w:eastAsiaTheme="majorEastAsia"/>
          <w:b/>
          <w:color w:val="auto"/>
        </w:rPr>
      </w:pPr>
      <w:r>
        <w:rPr>
          <w:rFonts w:hint="eastAsia" w:cs="仿宋" w:asciiTheme="majorEastAsia" w:hAnsiTheme="majorEastAsia" w:eastAsiaTheme="majorEastAsia"/>
          <w:color w:val="auto"/>
          <w:szCs w:val="24"/>
        </w:rPr>
        <w:t>11.1投标文件按照招标文件第六部分格式要</w:t>
      </w:r>
      <w:r>
        <w:rPr>
          <w:rFonts w:hint="eastAsia" w:cs="仿宋" w:asciiTheme="majorEastAsia" w:hAnsiTheme="majorEastAsia" w:eastAsiaTheme="majorEastAsia"/>
          <w:color w:val="auto"/>
        </w:rPr>
        <w:t>求进行签署、盖章。</w:t>
      </w:r>
      <w:r>
        <w:rPr>
          <w:rFonts w:hint="eastAsia" w:cs="仿宋" w:asciiTheme="majorEastAsia" w:hAnsiTheme="majorEastAsia" w:eastAsiaTheme="majorEastAsia"/>
          <w:b/>
          <w:color w:val="auto"/>
        </w:rPr>
        <w:t>▲供应商的投标文件未按照招标文件要求签署、盖章的，其投标无效</w:t>
      </w:r>
      <w:r>
        <w:rPr>
          <w:rFonts w:hint="eastAsia" w:cs="仿宋" w:asciiTheme="majorEastAsia" w:hAnsiTheme="majorEastAsia" w:eastAsiaTheme="majorEastAsia"/>
          <w:color w:val="auto"/>
          <w:szCs w:val="24"/>
        </w:rPr>
        <w:t>。</w:t>
      </w:r>
    </w:p>
    <w:p>
      <w:pPr>
        <w:pStyle w:val="51"/>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11.2为确保网上操作合法、有效和安全，</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应当在投标截止时间前完成在“政府采购云平台”的身份认证，确保在电子投标过程中能够对相关数据电文进行加密和使用电子签名。</w:t>
      </w:r>
    </w:p>
    <w:p>
      <w:pPr>
        <w:pStyle w:val="51"/>
        <w:shd w:val="clear"/>
        <w:snapToGrid w:val="0"/>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rPr>
        <w:t>11.3招标文件对投标文件签署、盖章的要求适用于电子签名。</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投标文件的提交、补充、修改、撤回</w:t>
      </w:r>
    </w:p>
    <w:p>
      <w:pPr>
        <w:pStyle w:val="51"/>
        <w:shd w:val="clear"/>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51"/>
        <w:shd w:val="clear"/>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12.2电子交易平台收到投标文件，将妥善保存并即时向供应商发出确认回执通知。在投标截止时间前，除供应商补充、修改或者撤回投标文件外，任何单位和个人不得解密或提取投标文件。</w:t>
      </w:r>
    </w:p>
    <w:p>
      <w:pPr>
        <w:pStyle w:val="51"/>
        <w:shd w:val="clear"/>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szCs w:val="24"/>
        </w:rPr>
        <w:t>以前在投标截止期方面的全部权利、责任和义务，将适用于延长至新的投标截止期。</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投标有效期</w:t>
      </w:r>
    </w:p>
    <w:p>
      <w:pPr>
        <w:shd w:val="clear"/>
        <w:spacing w:line="360" w:lineRule="auto"/>
        <w:ind w:firstLine="480" w:firstLineChars="200"/>
        <w:rPr>
          <w:rFonts w:cs="仿宋" w:asciiTheme="majorEastAsia" w:hAnsiTheme="majorEastAsia" w:eastAsiaTheme="majorEastAsia"/>
          <w:b/>
          <w:color w:val="auto"/>
          <w:sz w:val="24"/>
          <w:szCs w:val="21"/>
        </w:rPr>
      </w:pPr>
      <w:r>
        <w:rPr>
          <w:rFonts w:hint="eastAsia" w:cs="仿宋" w:asciiTheme="majorEastAsia" w:hAnsiTheme="majorEastAsia" w:eastAsiaTheme="majorEastAsia"/>
          <w:color w:val="auto"/>
          <w:sz w:val="24"/>
          <w:szCs w:val="20"/>
        </w:rPr>
        <w:t>投标有效期为从提交投标文件的截止之日起90天。▲</w:t>
      </w:r>
      <w:r>
        <w:rPr>
          <w:rFonts w:hint="eastAsia" w:cs="仿宋" w:asciiTheme="majorEastAsia" w:hAnsiTheme="majorEastAsia" w:eastAsiaTheme="majorEastAsia"/>
          <w:b/>
          <w:color w:val="auto"/>
          <w:sz w:val="24"/>
          <w:szCs w:val="20"/>
        </w:rPr>
        <w:t>供应商的投标文件中承</w:t>
      </w:r>
      <w:r>
        <w:rPr>
          <w:rFonts w:hint="eastAsia" w:cs="仿宋" w:asciiTheme="majorEastAsia" w:hAnsiTheme="majorEastAsia" w:eastAsiaTheme="majorEastAsia"/>
          <w:b/>
          <w:color w:val="auto"/>
          <w:sz w:val="24"/>
          <w:szCs w:val="21"/>
        </w:rPr>
        <w:t>诺的投标有效期少于招标文件中载明的投标有效期的，投标无效。</w:t>
      </w:r>
    </w:p>
    <w:p>
      <w:pPr>
        <w:pStyle w:val="51"/>
        <w:shd w:val="clear"/>
        <w:spacing w:before="0"/>
        <w:ind w:firstLine="643"/>
        <w:rPr>
          <w:rFonts w:cs="仿宋" w:asciiTheme="majorEastAsia" w:hAnsiTheme="majorEastAsia" w:eastAsiaTheme="majorEastAsia"/>
          <w:b/>
          <w:color w:val="auto"/>
          <w:sz w:val="32"/>
        </w:rPr>
      </w:pPr>
    </w:p>
    <w:p>
      <w:pPr>
        <w:pStyle w:val="51"/>
        <w:shd w:val="clear"/>
        <w:spacing w:before="0"/>
        <w:ind w:firstLine="1928" w:firstLineChars="600"/>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四、开标、资格审查与信用信息查询</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开标 </w:t>
      </w:r>
    </w:p>
    <w:p>
      <w:pPr>
        <w:pStyle w:val="46"/>
        <w:shd w:val="clear"/>
        <w:spacing w:before="0" w:line="360" w:lineRule="auto"/>
        <w:ind w:left="0" w:firstLine="480" w:firstLineChars="200"/>
        <w:contextualSpacing/>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14.1采购代理机构按照招标文件规定的时间通过电子交易平台组织开标，所有</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均应当准时在线参加。</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不足3家的，不得开标。</w:t>
      </w:r>
    </w:p>
    <w:p>
      <w:pPr>
        <w:pStyle w:val="46"/>
        <w:shd w:val="clear"/>
        <w:spacing w:before="0" w:line="360" w:lineRule="auto"/>
        <w:ind w:left="0" w:firstLine="240" w:firstLineChars="100"/>
        <w:contextualSpacing/>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按照平台提示和招标文件的规定在半小时内完成在线解密。</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资格审查</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15.1开标后，采购人或采购代理机构依据法律法规和招标文件的规定，对供应商的资格条件进行审查。</w:t>
      </w:r>
    </w:p>
    <w:p>
      <w:pPr>
        <w:pStyle w:val="51"/>
        <w:shd w:val="clear"/>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kern w:val="0"/>
          <w:szCs w:val="24"/>
        </w:rPr>
        <w:t>15.</w:t>
      </w:r>
      <w:r>
        <w:rPr>
          <w:rFonts w:hint="eastAsia" w:cs="仿宋" w:asciiTheme="majorEastAsia" w:hAnsiTheme="majorEastAsia" w:eastAsiaTheme="majorEastAsia"/>
          <w:color w:val="auto"/>
        </w:rPr>
        <w:t>2对未通过资格审查的供应商，采购人或采购代理机构告知其未通过的原因。</w:t>
      </w:r>
    </w:p>
    <w:p>
      <w:pPr>
        <w:pStyle w:val="51"/>
        <w:shd w:val="clear"/>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kern w:val="0"/>
          <w:szCs w:val="24"/>
        </w:rPr>
        <w:t>15.</w:t>
      </w:r>
      <w:r>
        <w:rPr>
          <w:rFonts w:hint="eastAsia" w:cs="仿宋" w:asciiTheme="majorEastAsia" w:hAnsiTheme="majorEastAsia" w:eastAsiaTheme="majorEastAsia"/>
          <w:color w:val="auto"/>
        </w:rPr>
        <w:t>3合格供应商不足3家的，不再评标。</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信用信息查询</w:t>
      </w:r>
    </w:p>
    <w:p>
      <w:pPr>
        <w:pStyle w:val="51"/>
        <w:shd w:val="clear"/>
        <w:spacing w:before="0"/>
        <w:ind w:firstLine="495" w:firstLineChars="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16.1信用信息查询渠道及截止时间：采购代理机构将通过“信用中国”网站(www.creditchina.gov.cn)、中国政府采购网(www.ccgp.gov.cn)渠道查询供应商投标截止时间当天的信用记录。</w:t>
      </w:r>
    </w:p>
    <w:p>
      <w:pPr>
        <w:pStyle w:val="51"/>
        <w:shd w:val="clear"/>
        <w:spacing w:before="0"/>
        <w:ind w:firstLine="495" w:firstLineChars="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16.2信用信息的使用规则：经查询列入失信被执行人名单、重大税收违法案件当事人名单、政府采购严重违法失信行为记录名单的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将被拒绝参与政府采购活动。</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rPr>
        <w:t>。</w:t>
      </w:r>
    </w:p>
    <w:p>
      <w:pPr>
        <w:shd w:val="clear"/>
        <w:snapToGrid w:val="0"/>
        <w:spacing w:line="360" w:lineRule="auto"/>
        <w:jc w:val="center"/>
        <w:outlineLvl w:val="0"/>
        <w:rPr>
          <w:rFonts w:cs="仿宋" w:asciiTheme="majorEastAsia" w:hAnsiTheme="majorEastAsia" w:eastAsiaTheme="majorEastAsia"/>
          <w:b/>
          <w:color w:val="auto"/>
          <w:sz w:val="36"/>
          <w:szCs w:val="36"/>
        </w:rPr>
      </w:pPr>
    </w:p>
    <w:p>
      <w:pPr>
        <w:shd w:val="clear"/>
        <w:snapToGrid w:val="0"/>
        <w:spacing w:line="360" w:lineRule="auto"/>
        <w:jc w:val="center"/>
        <w:outlineLvl w:val="0"/>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五、评标</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bookmarkStart w:id="13" w:name="_Toc91899903"/>
      <w:r>
        <w:rPr>
          <w:rFonts w:hint="eastAsia" w:cs="仿宋" w:asciiTheme="majorEastAsia" w:hAnsiTheme="majorEastAsia" w:eastAsiaTheme="majorEastAsia"/>
          <w:b/>
          <w:color w:val="auto"/>
          <w:sz w:val="24"/>
        </w:rPr>
        <w:t>评标委员会</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17.1 本次招标依法组建评标委员会。评标委员会由采购人代表和评审专家组成，评审专家从专家库随机抽取。</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 评审专家有下列情形之一的，受到邀请应主动提出回避，采购当事人也可以要求该评审专家回避：</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17.3.1 参加采购活动前三年内，与供应商存在劳动关系，或者担任过供应商的董事、监事，或者是供应商的控股股东或实际控制人；</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17.3.2 与供应商的法定代表人或者负责人有夫妻、直系血亲、三代以内旁系血亲或者近姻亲关系；</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17.3.3 任职单位与参加该采购项目供应商存在行政隶属关系；</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17.3.4 曾经参加过该采购项目的进口产品或招标文件、采购需求、采购方式的论证和咨询服务工作；</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17.3.5 是参加该采购项目供应商的上级主管部门、控股或参股单位的工作人员，或与该供应商存在其他经济利益关系；</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17.3.6 评标委员会成员之间具有配偶、近亲属关系等；</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17.3.7 法律、法规、规章规定应当回避以及其他可能影响政府采购活动公平、公正进行的关系。</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17.4 评标委员会判断投标文件的有效性、合格性和响应情况，仅依据投标人所递交一切文件的真实表述，不受与本项目无直接关联的外部信息、传言而影响自身的专业判断。</w:t>
      </w:r>
    </w:p>
    <w:p>
      <w:pPr>
        <w:pStyle w:val="51"/>
        <w:shd w:val="clear"/>
        <w:spacing w:before="0"/>
        <w:ind w:firstLine="480"/>
        <w:rPr>
          <w:rFonts w:asciiTheme="majorEastAsia" w:hAnsiTheme="majorEastAsia" w:eastAsiaTheme="majorEastAsia"/>
          <w:color w:val="auto"/>
        </w:rPr>
      </w:pPr>
      <w:r>
        <w:rPr>
          <w:rFonts w:hint="eastAsia" w:cs="仿宋" w:asciiTheme="majorEastAsia" w:hAnsiTheme="majorEastAsia" w:eastAsiaTheme="majorEastAsia"/>
          <w:color w:val="auto"/>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评标</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对招标文件的响应情况。对实质上响应招标文件的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，按照评审因素的量化指标推荐综合得分排名第一的为中标候选人。</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为排名第一的中标候选人。</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详见招标文件第四部分评标办法。</w:t>
      </w:r>
    </w:p>
    <w:p>
      <w:pPr>
        <w:shd w:val="clear"/>
        <w:spacing w:line="360" w:lineRule="auto"/>
        <w:rPr>
          <w:rFonts w:cs="仿宋" w:asciiTheme="majorEastAsia" w:hAnsiTheme="majorEastAsia" w:eastAsiaTheme="majorEastAsia"/>
          <w:b/>
          <w:color w:val="auto"/>
          <w:sz w:val="24"/>
        </w:rPr>
      </w:pPr>
    </w:p>
    <w:p>
      <w:pPr>
        <w:shd w:val="clear"/>
        <w:snapToGrid w:val="0"/>
        <w:spacing w:line="360" w:lineRule="auto"/>
        <w:jc w:val="center"/>
        <w:outlineLvl w:val="0"/>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六、定 标</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确定中标供应商</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本项目由评标委员会推荐一个中标候选人，采购人不得在评标委员会推荐的中标候选人以外确定中标候选人。</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中标通知与中标结果公告</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20.1自中标人确定之日起2个工作日内，采购代理机构通过电子交易平台向中标人发出中标通知书，同时编制发布采购结果公告。采购代理机构也可以以纸质形式进行中标通知。</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20.3公告期限为1个工作日。</w:t>
      </w:r>
    </w:p>
    <w:p>
      <w:pPr>
        <w:shd w:val="clear"/>
        <w:snapToGrid w:val="0"/>
        <w:spacing w:line="360" w:lineRule="auto"/>
        <w:ind w:left="120" w:leftChars="57" w:firstLine="482" w:firstLineChars="150"/>
        <w:jc w:val="center"/>
        <w:rPr>
          <w:rFonts w:hint="eastAsia" w:cs="仿宋" w:asciiTheme="majorEastAsia" w:hAnsiTheme="majorEastAsia" w:eastAsiaTheme="majorEastAsia"/>
          <w:b/>
          <w:color w:val="auto"/>
          <w:sz w:val="32"/>
        </w:rPr>
      </w:pPr>
    </w:p>
    <w:p>
      <w:pPr>
        <w:pStyle w:val="2"/>
        <w:shd w:val="clear"/>
        <w:ind w:firstLine="588"/>
        <w:rPr>
          <w:color w:val="auto"/>
        </w:rPr>
      </w:pPr>
    </w:p>
    <w:p>
      <w:pPr>
        <w:pStyle w:val="2"/>
        <w:shd w:val="clear"/>
        <w:ind w:firstLine="588"/>
        <w:rPr>
          <w:color w:val="auto"/>
        </w:rPr>
      </w:pP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七、合同授予</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合同授予</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合同主要条款详见第五部分拟签订的合同文本。</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合同的签订</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lang w:val="zh-CN"/>
        </w:rPr>
        <w:t>2</w:t>
      </w:r>
      <w:r>
        <w:rPr>
          <w:rFonts w:hint="eastAsia" w:cs="仿宋" w:asciiTheme="majorEastAsia" w:hAnsiTheme="majorEastAsia" w:eastAsiaTheme="majorEastAsia"/>
          <w:color w:val="auto"/>
          <w:kern w:val="0"/>
          <w:szCs w:val="24"/>
        </w:rPr>
        <w:t>2</w:t>
      </w:r>
      <w:r>
        <w:rPr>
          <w:rFonts w:hint="eastAsia" w:cs="仿宋" w:asciiTheme="majorEastAsia" w:hAnsiTheme="majorEastAsia" w:eastAsiaTheme="majorEastAsia"/>
          <w:color w:val="auto"/>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22.3如签订合同并生效后，供应商无故拒绝或延期，除按照合同条款处理外，列入不良行为记录名单，并给予通报。</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22.4中标供应商拒绝与采购人签订合同的，列入不良行为记录名单，采购人、采购代理机构重新开展政府采购活动。</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22.5采购合同由采购人与中标供应商根据招标文件、投标文件等内容通过政府采购电子交易平台在线签订，自动备案。</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履约保证金</w:t>
      </w:r>
    </w:p>
    <w:p>
      <w:pPr>
        <w:shd w:val="clear"/>
        <w:tabs>
          <w:tab w:val="left" w:pos="0"/>
        </w:tabs>
        <w:spacing w:line="360" w:lineRule="auto"/>
        <w:ind w:firstLine="482"/>
        <w:rPr>
          <w:rFonts w:cs="仿宋" w:asciiTheme="majorEastAsia" w:hAnsiTheme="majorEastAsia" w:eastAsiaTheme="majorEastAsia"/>
          <w:b/>
          <w:color w:val="auto"/>
          <w:sz w:val="24"/>
        </w:rPr>
      </w:pPr>
      <w:r>
        <w:rPr>
          <w:rFonts w:hint="eastAsia" w:cs="仿宋" w:asciiTheme="majorEastAsia" w:hAnsiTheme="majorEastAsia" w:eastAsiaTheme="majorEastAsia"/>
          <w:color w:val="auto"/>
          <w:kern w:val="0"/>
          <w:sz w:val="24"/>
        </w:rPr>
        <w:t>23.1详见采购需求</w:t>
      </w:r>
      <w:r>
        <w:rPr>
          <w:rFonts w:hint="eastAsia" w:cs="仿宋" w:asciiTheme="majorEastAsia" w:hAnsiTheme="majorEastAsia" w:eastAsiaTheme="majorEastAsia"/>
          <w:b/>
          <w:color w:val="auto"/>
          <w:sz w:val="24"/>
        </w:rPr>
        <w:t>。</w:t>
      </w:r>
    </w:p>
    <w:p>
      <w:pPr>
        <w:pStyle w:val="15"/>
        <w:shd w:val="clear"/>
        <w:rPr>
          <w:rFonts w:asciiTheme="majorEastAsia" w:hAnsiTheme="majorEastAsia" w:eastAsiaTheme="majorEastAsia"/>
          <w:color w:val="auto"/>
        </w:rPr>
      </w:pPr>
    </w:p>
    <w:p>
      <w:pPr>
        <w:shd w:val="clear"/>
        <w:snapToGrid w:val="0"/>
        <w:spacing w:line="360" w:lineRule="auto"/>
        <w:ind w:firstLine="3357" w:firstLineChars="1045"/>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32"/>
        </w:rPr>
        <w:t>八、电子交易活动的中止</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电子交易活动的中止</w:t>
      </w:r>
    </w:p>
    <w:p>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采购过程中出现以下情形，导致电子交易平台无法正常运行，或者无法保证电子交易的公平、公正和安全时，采购代理机构可中止电子交易活动：</w:t>
      </w:r>
    </w:p>
    <w:p>
      <w:pPr>
        <w:pStyle w:val="51"/>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 xml:space="preserve">24.1电子交易平台发生故障而无法登录访问的； </w:t>
      </w:r>
    </w:p>
    <w:p>
      <w:pPr>
        <w:pStyle w:val="51"/>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24.2电子交易平台应用或数据库出现错误，不能进行正常操作的；</w:t>
      </w:r>
    </w:p>
    <w:p>
      <w:pPr>
        <w:pStyle w:val="51"/>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24.3电子交易平台发现严重安全漏洞，有潜在泄密危险的；</w:t>
      </w:r>
    </w:p>
    <w:p>
      <w:pPr>
        <w:pStyle w:val="51"/>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 xml:space="preserve">24.4病毒发作导致不能进行正常操作的； </w:t>
      </w:r>
    </w:p>
    <w:p>
      <w:pPr>
        <w:pStyle w:val="51"/>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24.5其他无法保证电子交易的公平、公正和安全的情况。</w:t>
      </w:r>
    </w:p>
    <w:p>
      <w:pPr>
        <w:shd w:val="clear"/>
        <w:tabs>
          <w:tab w:val="left" w:pos="0"/>
        </w:tabs>
        <w:spacing w:line="360" w:lineRule="auto"/>
        <w:ind w:firstLine="480"/>
        <w:rPr>
          <w:rFonts w:cs="仿宋" w:asciiTheme="majorEastAsia" w:hAnsiTheme="majorEastAsia" w:eastAsiaTheme="majorEastAsia"/>
          <w:color w:val="auto"/>
          <w:sz w:val="24"/>
        </w:rPr>
      </w:pP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九、验收</w:t>
      </w:r>
    </w:p>
    <w:p>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验收</w:t>
      </w:r>
    </w:p>
    <w:p>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25.2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bookmarkStart w:id="14" w:name="_Hlt74729768"/>
      <w:bookmarkEnd w:id="14"/>
      <w:bookmarkStart w:id="15" w:name="_Hlt68072998"/>
      <w:bookmarkEnd w:id="15"/>
      <w:bookmarkStart w:id="16" w:name="_Hlt68403820"/>
      <w:bookmarkEnd w:id="16"/>
      <w:bookmarkStart w:id="17" w:name="_Hlt74707468"/>
      <w:bookmarkEnd w:id="17"/>
      <w:bookmarkStart w:id="18" w:name="_Hlt75236101"/>
      <w:bookmarkEnd w:id="18"/>
      <w:bookmarkStart w:id="19" w:name="_Hlt68073093"/>
      <w:bookmarkEnd w:id="19"/>
      <w:bookmarkStart w:id="20" w:name="_Hlt75236290"/>
      <w:bookmarkEnd w:id="20"/>
      <w:bookmarkStart w:id="21" w:name="_Hlt68057669"/>
      <w:bookmarkEnd w:id="21"/>
      <w:bookmarkStart w:id="22" w:name="_Hlt74730295"/>
      <w:bookmarkEnd w:id="22"/>
      <w:bookmarkStart w:id="23" w:name="_Hlt68072990"/>
      <w:bookmarkEnd w:id="23"/>
      <w:bookmarkStart w:id="24" w:name="_Hlt74714665"/>
      <w:bookmarkEnd w:id="24"/>
      <w:bookmarkStart w:id="25" w:name="_Hlt75236011"/>
      <w:bookmarkEnd w:id="25"/>
      <w:bookmarkStart w:id="26" w:name="第四部分"/>
    </w:p>
    <w:p>
      <w:pPr>
        <w:shd w:val="clea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br w:type="page"/>
      </w:r>
    </w:p>
    <w:p>
      <w:pPr>
        <w:shd w:val="clear"/>
        <w:tabs>
          <w:tab w:val="left" w:pos="0"/>
        </w:tabs>
        <w:spacing w:line="360" w:lineRule="auto"/>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第三部分   采购需求</w:t>
      </w:r>
    </w:p>
    <w:p>
      <w:pPr>
        <w:shd w:val="clear"/>
        <w:spacing w:line="360" w:lineRule="auto"/>
        <w:rPr>
          <w:b/>
          <w:bCs/>
          <w:color w:val="auto"/>
          <w:sz w:val="24"/>
        </w:rPr>
      </w:pPr>
      <w:r>
        <w:rPr>
          <w:rFonts w:hint="eastAsia"/>
          <w:b/>
          <w:bCs/>
          <w:color w:val="auto"/>
          <w:sz w:val="24"/>
        </w:rPr>
        <w:t>一、采购内容</w:t>
      </w:r>
    </w:p>
    <w:p>
      <w:pPr>
        <w:shd w:val="clear"/>
        <w:spacing w:line="360" w:lineRule="auto"/>
        <w:rPr>
          <w:b/>
          <w:bCs/>
          <w:color w:val="auto"/>
          <w:sz w:val="24"/>
        </w:rPr>
      </w:pPr>
      <w:r>
        <w:rPr>
          <w:rFonts w:hint="eastAsia"/>
          <w:b/>
          <w:bCs/>
          <w:color w:val="auto"/>
          <w:sz w:val="24"/>
        </w:rPr>
        <w:t>（一）服务范围</w:t>
      </w:r>
    </w:p>
    <w:p>
      <w:pPr>
        <w:numPr>
          <w:ilvl w:val="0"/>
          <w:numId w:val="3"/>
        </w:numPr>
        <w:shd w:val="clear"/>
        <w:spacing w:line="360" w:lineRule="auto"/>
        <w:ind w:firstLine="480" w:firstLineChars="200"/>
        <w:rPr>
          <w:rFonts w:hAnsi="宋体"/>
          <w:color w:val="auto"/>
          <w:sz w:val="24"/>
        </w:rPr>
      </w:pPr>
      <w:r>
        <w:rPr>
          <w:rFonts w:hAnsi="宋体"/>
          <w:color w:val="auto"/>
          <w:sz w:val="24"/>
        </w:rPr>
        <w:t>根据</w:t>
      </w:r>
      <w:r>
        <w:rPr>
          <w:rFonts w:hint="eastAsia" w:hAnsi="宋体"/>
          <w:color w:val="auto"/>
          <w:sz w:val="24"/>
        </w:rPr>
        <w:t>尚田街道</w:t>
      </w:r>
      <w:r>
        <w:rPr>
          <w:rFonts w:hAnsi="宋体"/>
          <w:color w:val="auto"/>
          <w:sz w:val="24"/>
        </w:rPr>
        <w:t>提供的建成区红线图确定保洁范围为建成区范围，及周边部分延伸道路。</w:t>
      </w:r>
    </w:p>
    <w:p>
      <w:pPr>
        <w:numPr>
          <w:ilvl w:val="0"/>
          <w:numId w:val="3"/>
        </w:numPr>
        <w:shd w:val="clear"/>
        <w:spacing w:line="360" w:lineRule="auto"/>
        <w:ind w:firstLine="480" w:firstLineChars="200"/>
        <w:rPr>
          <w:rFonts w:hAnsi="宋体"/>
          <w:color w:val="auto"/>
          <w:sz w:val="24"/>
        </w:rPr>
      </w:pPr>
      <w:r>
        <w:rPr>
          <w:rFonts w:hint="eastAsia"/>
          <w:color w:val="auto"/>
          <w:sz w:val="24"/>
        </w:rPr>
        <w:t>镇西路（金钟山红绿</w:t>
      </w:r>
      <w:r>
        <w:rPr>
          <w:rFonts w:hint="eastAsia" w:hAnsi="宋体"/>
          <w:color w:val="auto"/>
          <w:sz w:val="24"/>
        </w:rPr>
        <w:t>灯至尚兴路西边路口）、开城东街、开城北街、镇南路、尚兴路、十脚路、上坊路、梅山路、尚品路、***及小学门口等主要道路面积：约94558</w:t>
      </w:r>
      <w:r>
        <w:rPr>
          <w:rFonts w:hAnsi="宋体"/>
          <w:color w:val="auto"/>
          <w:sz w:val="24"/>
        </w:rPr>
        <w:t>㎡</w:t>
      </w:r>
      <w:r>
        <w:rPr>
          <w:rFonts w:hint="eastAsia" w:hAnsi="宋体"/>
          <w:color w:val="auto"/>
          <w:sz w:val="24"/>
        </w:rPr>
        <w:t xml:space="preserve">；一般道路面积：约360941 </w:t>
      </w:r>
      <w:r>
        <w:rPr>
          <w:rFonts w:hAnsi="宋体"/>
          <w:color w:val="auto"/>
          <w:sz w:val="24"/>
        </w:rPr>
        <w:t>㎡</w:t>
      </w:r>
      <w:r>
        <w:rPr>
          <w:rFonts w:hint="eastAsia" w:hAnsi="宋体"/>
          <w:color w:val="auto"/>
          <w:sz w:val="24"/>
        </w:rPr>
        <w:t>，道路面积共计：约455499</w:t>
      </w:r>
      <w:r>
        <w:rPr>
          <w:rFonts w:hAnsi="宋体"/>
          <w:color w:val="auto"/>
          <w:sz w:val="24"/>
        </w:rPr>
        <w:t>㎡</w:t>
      </w:r>
      <w:r>
        <w:rPr>
          <w:rFonts w:hint="eastAsia" w:hAnsi="宋体"/>
          <w:color w:val="auto"/>
          <w:sz w:val="24"/>
        </w:rPr>
        <w:t>。</w:t>
      </w:r>
    </w:p>
    <w:p>
      <w:pPr>
        <w:numPr>
          <w:ilvl w:val="0"/>
          <w:numId w:val="3"/>
        </w:numPr>
        <w:shd w:val="clear"/>
        <w:spacing w:line="360" w:lineRule="auto"/>
        <w:ind w:firstLine="480" w:firstLineChars="200"/>
        <w:rPr>
          <w:rFonts w:hAnsi="宋体"/>
          <w:color w:val="auto"/>
          <w:sz w:val="24"/>
        </w:rPr>
      </w:pPr>
      <w:r>
        <w:rPr>
          <w:rFonts w:hint="eastAsia" w:hAnsi="宋体"/>
          <w:color w:val="auto"/>
          <w:sz w:val="24"/>
        </w:rPr>
        <w:t>建成区绿化面积：</w:t>
      </w:r>
      <w:r>
        <w:rPr>
          <w:rFonts w:hAnsi="宋体"/>
          <w:color w:val="auto"/>
          <w:sz w:val="24"/>
        </w:rPr>
        <w:t>公园</w:t>
      </w:r>
      <w:r>
        <w:rPr>
          <w:rFonts w:hint="eastAsia" w:hAnsi="宋体"/>
          <w:color w:val="auto"/>
          <w:sz w:val="24"/>
        </w:rPr>
        <w:t>约9025</w:t>
      </w:r>
      <w:r>
        <w:rPr>
          <w:rFonts w:hAnsi="宋体"/>
          <w:color w:val="auto"/>
          <w:sz w:val="24"/>
        </w:rPr>
        <w:t>㎡，绿化</w:t>
      </w:r>
      <w:r>
        <w:rPr>
          <w:rFonts w:hint="eastAsia" w:hAnsi="宋体"/>
          <w:color w:val="auto"/>
          <w:sz w:val="24"/>
        </w:rPr>
        <w:t>带约124932</w:t>
      </w:r>
      <w:r>
        <w:rPr>
          <w:rFonts w:hAnsi="宋体"/>
          <w:color w:val="auto"/>
          <w:sz w:val="24"/>
        </w:rPr>
        <w:t>㎡</w:t>
      </w:r>
      <w:r>
        <w:rPr>
          <w:rFonts w:hint="eastAsia" w:hAnsi="宋体"/>
          <w:color w:val="auto"/>
          <w:sz w:val="24"/>
        </w:rPr>
        <w:t>；</w:t>
      </w:r>
    </w:p>
    <w:p>
      <w:pPr>
        <w:numPr>
          <w:ilvl w:val="0"/>
          <w:numId w:val="3"/>
        </w:numPr>
        <w:shd w:val="clear"/>
        <w:spacing w:line="360" w:lineRule="auto"/>
        <w:ind w:firstLine="480" w:firstLineChars="200"/>
        <w:rPr>
          <w:rFonts w:hAnsi="宋体"/>
          <w:color w:val="auto"/>
          <w:sz w:val="24"/>
        </w:rPr>
      </w:pPr>
      <w:r>
        <w:rPr>
          <w:rFonts w:hint="eastAsia" w:hAnsi="宋体"/>
          <w:color w:val="auto"/>
          <w:sz w:val="24"/>
        </w:rPr>
        <w:t>建成区</w:t>
      </w:r>
      <w:r>
        <w:rPr>
          <w:rFonts w:hAnsi="宋体"/>
          <w:color w:val="auto"/>
          <w:sz w:val="24"/>
        </w:rPr>
        <w:t>公厕</w:t>
      </w:r>
      <w:r>
        <w:rPr>
          <w:rFonts w:hint="eastAsia" w:hAnsi="宋体"/>
          <w:color w:val="auto"/>
          <w:sz w:val="24"/>
        </w:rPr>
        <w:t>：</w:t>
      </w:r>
      <w:r>
        <w:rPr>
          <w:rFonts w:hint="eastAsia"/>
          <w:color w:val="auto"/>
          <w:sz w:val="24"/>
        </w:rPr>
        <w:t>3</w:t>
      </w:r>
      <w:r>
        <w:rPr>
          <w:rFonts w:hAnsi="宋体"/>
          <w:color w:val="auto"/>
          <w:sz w:val="24"/>
        </w:rPr>
        <w:t>座</w:t>
      </w:r>
      <w:r>
        <w:rPr>
          <w:rFonts w:hint="eastAsia" w:hAnsi="宋体"/>
          <w:color w:val="auto"/>
          <w:sz w:val="24"/>
        </w:rPr>
        <w:t>；</w:t>
      </w:r>
    </w:p>
    <w:p>
      <w:pPr>
        <w:numPr>
          <w:ilvl w:val="0"/>
          <w:numId w:val="3"/>
        </w:numPr>
        <w:shd w:val="clear"/>
        <w:spacing w:line="360" w:lineRule="auto"/>
        <w:ind w:firstLine="480" w:firstLineChars="200"/>
        <w:rPr>
          <w:color w:val="auto"/>
          <w:sz w:val="24"/>
        </w:rPr>
      </w:pPr>
      <w:r>
        <w:rPr>
          <w:rFonts w:hint="eastAsia" w:hAnsi="宋体"/>
          <w:color w:val="auto"/>
          <w:sz w:val="24"/>
        </w:rPr>
        <w:t>建成区</w:t>
      </w:r>
      <w:r>
        <w:rPr>
          <w:rFonts w:hAnsi="宋体"/>
          <w:color w:val="auto"/>
          <w:sz w:val="24"/>
        </w:rPr>
        <w:t>垃圾桶清运</w:t>
      </w:r>
      <w:r>
        <w:rPr>
          <w:rFonts w:hint="eastAsia" w:hAnsi="宋体"/>
          <w:color w:val="auto"/>
          <w:sz w:val="24"/>
        </w:rPr>
        <w:t>：</w:t>
      </w:r>
      <w:r>
        <w:rPr>
          <w:rFonts w:hint="eastAsia"/>
          <w:color w:val="auto"/>
          <w:sz w:val="24"/>
        </w:rPr>
        <w:t>415</w:t>
      </w:r>
      <w:r>
        <w:rPr>
          <w:rFonts w:hAnsi="宋体"/>
          <w:color w:val="auto"/>
          <w:sz w:val="24"/>
        </w:rPr>
        <w:t>只</w:t>
      </w:r>
      <w:r>
        <w:rPr>
          <w:rFonts w:hint="eastAsia" w:hAnsi="宋体"/>
          <w:color w:val="auto"/>
          <w:sz w:val="24"/>
        </w:rPr>
        <w:t>；</w:t>
      </w:r>
    </w:p>
    <w:p>
      <w:pPr>
        <w:numPr>
          <w:ilvl w:val="0"/>
          <w:numId w:val="3"/>
        </w:numPr>
        <w:shd w:val="clear"/>
        <w:spacing w:line="360" w:lineRule="auto"/>
        <w:ind w:firstLine="480" w:firstLineChars="200"/>
        <w:rPr>
          <w:rFonts w:hAnsi="宋体"/>
          <w:color w:val="auto"/>
          <w:sz w:val="24"/>
        </w:rPr>
      </w:pPr>
      <w:r>
        <w:rPr>
          <w:rFonts w:hint="eastAsia" w:hAnsi="宋体"/>
          <w:color w:val="auto"/>
          <w:sz w:val="24"/>
        </w:rPr>
        <w:t>建成区</w:t>
      </w:r>
      <w:r>
        <w:rPr>
          <w:rFonts w:hAnsi="宋体"/>
          <w:color w:val="auto"/>
          <w:sz w:val="24"/>
        </w:rPr>
        <w:t>果壳箱</w:t>
      </w:r>
      <w:r>
        <w:rPr>
          <w:rFonts w:hint="eastAsia" w:hAnsi="宋体"/>
          <w:color w:val="auto"/>
          <w:sz w:val="24"/>
        </w:rPr>
        <w:t>：</w:t>
      </w:r>
      <w:r>
        <w:rPr>
          <w:rFonts w:hint="eastAsia"/>
          <w:color w:val="auto"/>
          <w:sz w:val="24"/>
        </w:rPr>
        <w:t>28</w:t>
      </w:r>
      <w:r>
        <w:rPr>
          <w:rFonts w:hAnsi="宋体"/>
          <w:color w:val="auto"/>
          <w:sz w:val="24"/>
        </w:rPr>
        <w:t>只</w:t>
      </w:r>
      <w:r>
        <w:rPr>
          <w:rFonts w:hint="eastAsia" w:hAnsi="宋体"/>
          <w:color w:val="auto"/>
          <w:sz w:val="24"/>
        </w:rPr>
        <w:t>；</w:t>
      </w:r>
    </w:p>
    <w:p>
      <w:pPr>
        <w:numPr>
          <w:ilvl w:val="0"/>
          <w:numId w:val="3"/>
        </w:numPr>
        <w:shd w:val="clear"/>
        <w:spacing w:line="360" w:lineRule="auto"/>
        <w:ind w:firstLine="480" w:firstLineChars="200"/>
        <w:rPr>
          <w:rFonts w:ascii="宋体" w:hAnsi="宋体"/>
          <w:color w:val="auto"/>
          <w:sz w:val="24"/>
        </w:rPr>
      </w:pPr>
      <w:r>
        <w:rPr>
          <w:rFonts w:hint="eastAsia"/>
          <w:color w:val="auto"/>
          <w:sz w:val="24"/>
        </w:rPr>
        <w:t>街道机关大院、文化中心等公共区域的保洁；值班室保洁及被褥清洗。</w:t>
      </w:r>
    </w:p>
    <w:p>
      <w:pPr>
        <w:numPr>
          <w:ilvl w:val="0"/>
          <w:numId w:val="3"/>
        </w:numPr>
        <w:shd w:val="clear"/>
        <w:spacing w:line="360" w:lineRule="auto"/>
        <w:ind w:firstLine="480" w:firstLineChars="200"/>
        <w:rPr>
          <w:rFonts w:ascii="宋体" w:hAnsi="宋体"/>
          <w:color w:val="auto"/>
          <w:sz w:val="24"/>
        </w:rPr>
      </w:pPr>
      <w:r>
        <w:rPr>
          <w:rFonts w:hint="eastAsia" w:ascii="宋体" w:hAnsi="宋体"/>
          <w:color w:val="auto"/>
          <w:sz w:val="24"/>
        </w:rPr>
        <w:t>街道各村厨余垃圾、其他垃圾清运服务范围为31个行政村（59个自然村）（街道建成区范</w:t>
      </w:r>
      <w:r>
        <w:rPr>
          <w:rFonts w:hint="eastAsia"/>
          <w:color w:val="auto"/>
          <w:sz w:val="24"/>
        </w:rPr>
        <w:t>围除外）。</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5"/>
              <w:shd w:val="clear"/>
              <w:jc w:val="center"/>
              <w:rPr>
                <w:rFonts w:hAnsi="宋体" w:cs="宋体"/>
                <w:color w:val="auto"/>
              </w:rPr>
            </w:pPr>
            <w:r>
              <w:rPr>
                <w:rFonts w:hint="eastAsia" w:hAnsi="宋体" w:cs="宋体"/>
                <w:color w:val="auto"/>
              </w:rPr>
              <w:t>序号</w:t>
            </w:r>
          </w:p>
        </w:tc>
        <w:tc>
          <w:tcPr>
            <w:tcW w:w="7508" w:type="dxa"/>
            <w:vAlign w:val="center"/>
          </w:tcPr>
          <w:p>
            <w:pPr>
              <w:pStyle w:val="15"/>
              <w:shd w:val="clear"/>
              <w:jc w:val="center"/>
              <w:rPr>
                <w:rFonts w:hAnsi="宋体" w:cs="宋体"/>
                <w:color w:val="auto"/>
              </w:rPr>
            </w:pPr>
            <w:r>
              <w:rPr>
                <w:rFonts w:hint="eastAsia" w:hAnsi="宋体" w:cs="宋体"/>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1</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后潭村、汪家村两村合并，新行政村定名为后潭村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2</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下王村、木吉岭村两村合并，新行政村定名为尚东村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3</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张家村、翁家村、庙后董村三村合并，新行政村定名为张家村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4</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孙家村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5</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大岙村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6</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方门村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7</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冷西村、岭头村、岭下村三村合并，新行政村定名为冷西村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8</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下田塔村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9</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鹊岙村、太平庵村二村合并，新行政村定名为鹊岙村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10</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鸣雁村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11</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王家岭村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12</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下畈村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13</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杜家村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14</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金地寺村、达岙岭村、竺家村、梅山脚村、燕窼村五村合并，新行政村定名为金地寺村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15</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溪汪村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16</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梅岭下村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17</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中原村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18</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西岙村、山登村两村合并，新行政村定名为西岙村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19</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桥棚村、场上村两村合并，新行政村定名为桥棚村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20</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广渡村、鲍村两村合并，新行政村定名为广渡村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21</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汇溪村、六畈田村、楼家岙村三村合并，新行政村定名为汇溪村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22</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印家坑村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23</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柴家岙村、项岙村两村合并，新行政村定名为柴家岙村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24</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苕霅村、范家村、张家滩村三村合并，新行政村定名为苕霅村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25</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杨家堰村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26</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方家岙村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27</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九龙村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28</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楼岩村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29</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许家村、横山村、东山湾村、倪家山村四村合并，新行政村定名为许家村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30</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山岙村、山岙底村、山柏坑村三村合并，新行政村定名为山岙村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9" w:type="dxa"/>
            <w:vAlign w:val="center"/>
          </w:tcPr>
          <w:p>
            <w:pPr>
              <w:shd w:val="clear"/>
              <w:spacing w:line="360" w:lineRule="auto"/>
              <w:jc w:val="center"/>
              <w:rPr>
                <w:rFonts w:ascii="宋体" w:hAnsi="宋体"/>
                <w:color w:val="auto"/>
                <w:sz w:val="24"/>
              </w:rPr>
            </w:pPr>
            <w:r>
              <w:rPr>
                <w:rFonts w:hint="eastAsia" w:ascii="宋体" w:hAnsi="宋体"/>
                <w:color w:val="auto"/>
                <w:sz w:val="24"/>
              </w:rPr>
              <w:t>31</w:t>
            </w:r>
          </w:p>
        </w:tc>
        <w:tc>
          <w:tcPr>
            <w:tcW w:w="7508" w:type="dxa"/>
            <w:vAlign w:val="center"/>
          </w:tcPr>
          <w:p>
            <w:pPr>
              <w:shd w:val="clear"/>
              <w:spacing w:line="360" w:lineRule="auto"/>
              <w:rPr>
                <w:rFonts w:ascii="宋体" w:hAnsi="宋体"/>
                <w:color w:val="auto"/>
                <w:sz w:val="24"/>
              </w:rPr>
            </w:pPr>
            <w:r>
              <w:rPr>
                <w:rFonts w:hint="eastAsia" w:ascii="宋体" w:hAnsi="宋体"/>
                <w:color w:val="auto"/>
                <w:sz w:val="24"/>
              </w:rPr>
              <w:t>畈头村、埠头村、杜岙村、塔竹林村、大山村五村合并，新行政村定名为畈头村</w:t>
            </w:r>
          </w:p>
        </w:tc>
      </w:tr>
    </w:tbl>
    <w:p>
      <w:pPr>
        <w:shd w:val="clear"/>
        <w:spacing w:line="360" w:lineRule="auto"/>
        <w:rPr>
          <w:b/>
          <w:color w:val="auto"/>
          <w:sz w:val="24"/>
        </w:rPr>
      </w:pPr>
    </w:p>
    <w:p>
      <w:pPr>
        <w:shd w:val="clear"/>
        <w:spacing w:line="360" w:lineRule="auto"/>
        <w:rPr>
          <w:b/>
          <w:color w:val="auto"/>
          <w:sz w:val="24"/>
        </w:rPr>
      </w:pPr>
      <w:r>
        <w:rPr>
          <w:rFonts w:hint="eastAsia"/>
          <w:b/>
          <w:color w:val="auto"/>
          <w:sz w:val="24"/>
        </w:rPr>
        <w:t>（二）服务时间</w:t>
      </w:r>
    </w:p>
    <w:p>
      <w:pPr>
        <w:shd w:val="clea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1、</w:t>
      </w:r>
      <w:r>
        <w:rPr>
          <w:rFonts w:hint="eastAsia"/>
          <w:color w:val="auto"/>
          <w:sz w:val="24"/>
        </w:rPr>
        <w:t>镇西路（金钟山红绿灯至尚兴路西边路口）、开城东街、开城北街、镇南路、尚兴路、十脚路、上坊路、梅山路、尚品路等主要道路</w:t>
      </w:r>
      <w:r>
        <w:rPr>
          <w:rFonts w:hint="eastAsia" w:ascii="新宋体" w:hAnsi="新宋体" w:eastAsia="新宋体" w:cs="新宋体"/>
          <w:color w:val="auto"/>
          <w:sz w:val="24"/>
        </w:rPr>
        <w:t>实施12小时保洁；一般道路实施8小时保洁；需机扫路段，抑尘洒水一天二次。</w:t>
      </w:r>
    </w:p>
    <w:p>
      <w:pPr>
        <w:shd w:val="clear"/>
        <w:spacing w:line="360" w:lineRule="auto"/>
        <w:ind w:firstLine="480" w:firstLineChars="200"/>
        <w:rPr>
          <w:rFonts w:ascii="新宋体" w:hAnsi="新宋体" w:cs="新宋体"/>
          <w:color w:val="auto"/>
          <w:sz w:val="24"/>
        </w:rPr>
      </w:pPr>
      <w:r>
        <w:rPr>
          <w:rFonts w:hint="eastAsia" w:ascii="新宋体" w:hAnsi="新宋体" w:eastAsia="新宋体" w:cs="新宋体"/>
          <w:color w:val="auto"/>
          <w:sz w:val="24"/>
        </w:rPr>
        <w:t>2、建成区公厕保洁：12小时保洁，</w:t>
      </w:r>
      <w:r>
        <w:rPr>
          <w:rFonts w:hint="eastAsia" w:ascii="宋体" w:hAnsi="宋体"/>
          <w:color w:val="auto"/>
          <w:sz w:val="24"/>
        </w:rPr>
        <w:t>实施1人1座管理保洁；</w:t>
      </w:r>
    </w:p>
    <w:p>
      <w:pPr>
        <w:shd w:val="clear"/>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3、建成区垃圾桶装运：日产日清；</w:t>
      </w:r>
    </w:p>
    <w:p>
      <w:pPr>
        <w:shd w:val="clear"/>
        <w:spacing w:line="360" w:lineRule="auto"/>
        <w:ind w:firstLine="480" w:firstLineChars="200"/>
        <w:rPr>
          <w:rFonts w:ascii="新宋体" w:hAnsi="新宋体" w:eastAsia="新宋体" w:cs="新宋体"/>
          <w:bCs/>
          <w:color w:val="auto"/>
          <w:sz w:val="24"/>
        </w:rPr>
      </w:pPr>
      <w:r>
        <w:rPr>
          <w:rFonts w:hint="eastAsia" w:ascii="新宋体" w:hAnsi="新宋体" w:eastAsia="新宋体" w:cs="新宋体"/>
          <w:color w:val="auto"/>
          <w:sz w:val="24"/>
        </w:rPr>
        <w:t>4、中转站垃圾收运：日产日清，</w:t>
      </w:r>
      <w:r>
        <w:rPr>
          <w:rFonts w:hint="eastAsia" w:ascii="新宋体" w:hAnsi="新宋体" w:eastAsia="新宋体" w:cs="新宋体"/>
          <w:bCs/>
          <w:color w:val="auto"/>
          <w:sz w:val="24"/>
        </w:rPr>
        <w:t>如遇突击清理或大型活动，需要倾倒垃圾，必须无条件执行，装运车辆由中标单位自行负责调度。</w:t>
      </w:r>
    </w:p>
    <w:p>
      <w:pPr>
        <w:shd w:val="clear"/>
        <w:spacing w:line="360" w:lineRule="auto"/>
        <w:ind w:firstLine="480" w:firstLineChars="200"/>
        <w:rPr>
          <w:color w:val="auto"/>
          <w:sz w:val="24"/>
        </w:rPr>
      </w:pPr>
      <w:r>
        <w:rPr>
          <w:rFonts w:hint="eastAsia" w:ascii="新宋体" w:hAnsi="新宋体" w:eastAsia="新宋体" w:cs="新宋体"/>
          <w:bCs/>
          <w:color w:val="auto"/>
          <w:sz w:val="24"/>
        </w:rPr>
        <w:t>5、协助</w:t>
      </w:r>
      <w:r>
        <w:rPr>
          <w:rFonts w:hint="eastAsia"/>
          <w:color w:val="auto"/>
          <w:sz w:val="24"/>
        </w:rPr>
        <w:t>建立厨余垃圾、其他垃圾分类收集网点，每天对所有农村厨余垃圾、其他垃圾采取定时定点清运方式予以清运，做到日产日清，要求每天上午9：30分前完成清运工作，</w:t>
      </w:r>
      <w:r>
        <w:rPr>
          <w:rFonts w:hint="eastAsia"/>
          <w:color w:val="auto"/>
          <w:sz w:val="24"/>
        </w:rPr>
        <w:t>节假日等特殊时期视情况增加运输频次（具体视每村厨余垃圾、其他垃圾收集至集中堆放点时间确定）。</w:t>
      </w:r>
    </w:p>
    <w:p>
      <w:pPr>
        <w:shd w:val="clear"/>
        <w:spacing w:line="360" w:lineRule="auto"/>
        <w:rPr>
          <w:b/>
          <w:color w:val="auto"/>
          <w:sz w:val="24"/>
        </w:rPr>
      </w:pPr>
      <w:r>
        <w:rPr>
          <w:rFonts w:hint="eastAsia"/>
          <w:b/>
          <w:color w:val="auto"/>
          <w:sz w:val="24"/>
        </w:rPr>
        <w:t>（三）人员配备</w:t>
      </w:r>
    </w:p>
    <w:p>
      <w:pPr>
        <w:pStyle w:val="15"/>
        <w:shd w:val="clear"/>
        <w:ind w:firstLine="435"/>
        <w:rPr>
          <w:rFonts w:hAnsi="宋体"/>
          <w:b/>
          <w:color w:val="auto"/>
        </w:rPr>
      </w:pPr>
      <w:r>
        <w:rPr>
          <w:rFonts w:hint="eastAsia" w:hAnsi="宋体"/>
          <w:b/>
          <w:color w:val="auto"/>
        </w:rPr>
        <w:t>1、岗位人员配置最低要求：</w:t>
      </w:r>
    </w:p>
    <w:p>
      <w:pPr>
        <w:shd w:val="clear"/>
        <w:adjustRightInd w:val="0"/>
        <w:snapToGrid w:val="0"/>
        <w:spacing w:line="360" w:lineRule="auto"/>
        <w:ind w:firstLine="480" w:firstLineChars="200"/>
        <w:rPr>
          <w:rFonts w:ascii="宋体" w:hAnsi="宋体"/>
          <w:color w:val="auto"/>
          <w:sz w:val="24"/>
        </w:rPr>
      </w:pPr>
      <w:r>
        <w:rPr>
          <w:rFonts w:hint="eastAsia" w:ascii="宋体" w:hAnsi="宋体"/>
          <w:color w:val="auto"/>
          <w:sz w:val="24"/>
        </w:rPr>
        <w:t>（1）根据项目实际保洁需要，本项目须配备人员不少于105人，其中项目经理1人，管理人员3人，厨余垃圾、其他垃圾收运作业人员14人（含驾驶员和跟车操作工），车辆驾驶员8人，随车辅助人员5人，环卫站工作人员2人，街道公共区域保洁员4人，其他作业保洁人员68人（其中道路保洁员60人，公厕保洁员3人，绿化养护员3人，洗桶工2人）。</w:t>
      </w:r>
    </w:p>
    <w:p>
      <w:pPr>
        <w:shd w:val="clear"/>
        <w:adjustRightInd w:val="0"/>
        <w:snapToGrid w:val="0"/>
        <w:spacing w:line="360" w:lineRule="auto"/>
        <w:ind w:firstLine="480" w:firstLineChars="200"/>
        <w:rPr>
          <w:rFonts w:ascii="宋体" w:hAnsi="宋体"/>
          <w:color w:val="auto"/>
          <w:sz w:val="24"/>
        </w:rPr>
      </w:pPr>
      <w:r>
        <w:rPr>
          <w:rFonts w:hint="eastAsia" w:ascii="宋体" w:hAnsi="宋体"/>
          <w:color w:val="auto"/>
          <w:sz w:val="24"/>
        </w:rPr>
        <w:t>（2）休息日及法定节假日都不得影响项目的日常保洁，投标单位需根据法律法规要求配置各岗位作业人员。</w:t>
      </w:r>
    </w:p>
    <w:p>
      <w:pPr>
        <w:shd w:val="clear"/>
        <w:spacing w:line="360" w:lineRule="auto"/>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z w:val="24"/>
        </w:rPr>
        <w:t>本项目投标响应文件中所配备的人员须与实际上岗就位人员相一致，投标文件中明确具体服务人员姓名，所有人员须经采购人确认后方可上岗，否则采购人有权单方面解除合同。</w:t>
      </w:r>
    </w:p>
    <w:p>
      <w:pPr>
        <w:shd w:val="clear"/>
        <w:spacing w:line="360" w:lineRule="auto"/>
        <w:rPr>
          <w:b/>
          <w:color w:val="auto"/>
          <w:sz w:val="24"/>
        </w:rPr>
      </w:pPr>
      <w:r>
        <w:rPr>
          <w:rFonts w:hint="eastAsia"/>
          <w:b/>
          <w:color w:val="auto"/>
          <w:sz w:val="24"/>
        </w:rPr>
        <w:t>（四）车辆设备配置最低要求：</w:t>
      </w:r>
    </w:p>
    <w:tbl>
      <w:tblPr>
        <w:tblStyle w:val="32"/>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555"/>
        <w:gridCol w:w="774"/>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序号</w:t>
            </w:r>
          </w:p>
        </w:tc>
        <w:tc>
          <w:tcPr>
            <w:tcW w:w="3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840" w:firstLineChars="350"/>
              <w:jc w:val="center"/>
              <w:rPr>
                <w:rFonts w:ascii="宋体" w:hAnsi="宋体"/>
                <w:color w:val="auto"/>
                <w:sz w:val="24"/>
              </w:rPr>
            </w:pPr>
            <w:r>
              <w:rPr>
                <w:rFonts w:hint="eastAsia" w:ascii="宋体" w:hAnsi="宋体"/>
                <w:color w:val="auto"/>
                <w:sz w:val="24"/>
              </w:rPr>
              <w:t>车辆</w:t>
            </w:r>
          </w:p>
        </w:tc>
        <w:tc>
          <w:tcPr>
            <w:tcW w:w="77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数量</w:t>
            </w:r>
          </w:p>
        </w:tc>
        <w:tc>
          <w:tcPr>
            <w:tcW w:w="2981"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概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1</w:t>
            </w:r>
          </w:p>
        </w:tc>
        <w:tc>
          <w:tcPr>
            <w:tcW w:w="3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桶装垃圾车（8桶及以上）</w:t>
            </w:r>
          </w:p>
        </w:tc>
        <w:tc>
          <w:tcPr>
            <w:tcW w:w="77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4辆</w:t>
            </w:r>
          </w:p>
        </w:tc>
        <w:tc>
          <w:tcPr>
            <w:tcW w:w="2981"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2</w:t>
            </w:r>
          </w:p>
        </w:tc>
        <w:tc>
          <w:tcPr>
            <w:tcW w:w="3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高压冲洗车</w:t>
            </w:r>
          </w:p>
        </w:tc>
        <w:tc>
          <w:tcPr>
            <w:tcW w:w="77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1辆</w:t>
            </w:r>
          </w:p>
        </w:tc>
        <w:tc>
          <w:tcPr>
            <w:tcW w:w="2981"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3</w:t>
            </w:r>
          </w:p>
        </w:tc>
        <w:tc>
          <w:tcPr>
            <w:tcW w:w="3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小型机扫车</w:t>
            </w:r>
          </w:p>
        </w:tc>
        <w:tc>
          <w:tcPr>
            <w:tcW w:w="77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1辆</w:t>
            </w:r>
          </w:p>
        </w:tc>
        <w:tc>
          <w:tcPr>
            <w:tcW w:w="2981"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4</w:t>
            </w:r>
          </w:p>
        </w:tc>
        <w:tc>
          <w:tcPr>
            <w:tcW w:w="3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5吨及以上机扫车</w:t>
            </w:r>
          </w:p>
        </w:tc>
        <w:tc>
          <w:tcPr>
            <w:tcW w:w="77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1辆</w:t>
            </w:r>
          </w:p>
        </w:tc>
        <w:tc>
          <w:tcPr>
            <w:tcW w:w="2981"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5</w:t>
            </w:r>
          </w:p>
        </w:tc>
        <w:tc>
          <w:tcPr>
            <w:tcW w:w="3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3-5吨及以上洒水车</w:t>
            </w:r>
          </w:p>
        </w:tc>
        <w:tc>
          <w:tcPr>
            <w:tcW w:w="77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1辆</w:t>
            </w:r>
          </w:p>
        </w:tc>
        <w:tc>
          <w:tcPr>
            <w:tcW w:w="2981"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6</w:t>
            </w:r>
          </w:p>
        </w:tc>
        <w:tc>
          <w:tcPr>
            <w:tcW w:w="3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5吨及以上密封装卸式专业餐厨或厨余垃圾收运车</w:t>
            </w:r>
          </w:p>
        </w:tc>
        <w:tc>
          <w:tcPr>
            <w:tcW w:w="77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3辆</w:t>
            </w:r>
          </w:p>
        </w:tc>
        <w:tc>
          <w:tcPr>
            <w:tcW w:w="2981"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7</w:t>
            </w:r>
          </w:p>
        </w:tc>
        <w:tc>
          <w:tcPr>
            <w:tcW w:w="3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5吨及以上密封装卸式专业其他垃圾收运车</w:t>
            </w:r>
          </w:p>
        </w:tc>
        <w:tc>
          <w:tcPr>
            <w:tcW w:w="77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4辆</w:t>
            </w:r>
          </w:p>
        </w:tc>
        <w:tc>
          <w:tcPr>
            <w:tcW w:w="2981"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8</w:t>
            </w:r>
          </w:p>
        </w:tc>
        <w:tc>
          <w:tcPr>
            <w:tcW w:w="3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对接式压缩垃圾车</w:t>
            </w:r>
          </w:p>
        </w:tc>
        <w:tc>
          <w:tcPr>
            <w:tcW w:w="77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1辆</w:t>
            </w:r>
          </w:p>
        </w:tc>
        <w:tc>
          <w:tcPr>
            <w:tcW w:w="2981"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9</w:t>
            </w:r>
          </w:p>
        </w:tc>
        <w:tc>
          <w:tcPr>
            <w:tcW w:w="3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垃圾桶专用洗桶设备</w:t>
            </w:r>
          </w:p>
        </w:tc>
        <w:tc>
          <w:tcPr>
            <w:tcW w:w="77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1套</w:t>
            </w:r>
          </w:p>
        </w:tc>
        <w:tc>
          <w:tcPr>
            <w:tcW w:w="2981"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10</w:t>
            </w:r>
          </w:p>
        </w:tc>
        <w:tc>
          <w:tcPr>
            <w:tcW w:w="3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路面养护车</w:t>
            </w:r>
          </w:p>
        </w:tc>
        <w:tc>
          <w:tcPr>
            <w:tcW w:w="774"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1辆</w:t>
            </w:r>
          </w:p>
        </w:tc>
        <w:tc>
          <w:tcPr>
            <w:tcW w:w="2981" w:type="dxa"/>
            <w:tcBorders>
              <w:top w:val="single" w:color="auto" w:sz="4" w:space="0"/>
              <w:left w:val="nil"/>
              <w:bottom w:val="single" w:color="auto" w:sz="4" w:space="0"/>
              <w:right w:val="single" w:color="auto" w:sz="4" w:space="0"/>
            </w:tcBorders>
            <w:vAlign w:val="center"/>
          </w:tcPr>
          <w:p>
            <w:pPr>
              <w:shd w:val="clea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11</w:t>
            </w:r>
          </w:p>
        </w:tc>
        <w:tc>
          <w:tcPr>
            <w:tcW w:w="3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车厢可卸式垃圾车</w:t>
            </w:r>
          </w:p>
        </w:tc>
        <w:tc>
          <w:tcPr>
            <w:tcW w:w="774" w:type="dxa"/>
            <w:tcBorders>
              <w:top w:val="single" w:color="auto" w:sz="4" w:space="0"/>
              <w:left w:val="nil"/>
              <w:bottom w:val="single" w:color="auto" w:sz="4" w:space="0"/>
              <w:right w:val="single" w:color="auto" w:sz="4" w:space="0"/>
            </w:tcBorders>
            <w:vAlign w:val="center"/>
          </w:tcPr>
          <w:p>
            <w:pPr>
              <w:shd w:val="clear"/>
              <w:spacing w:line="360" w:lineRule="auto"/>
              <w:rPr>
                <w:rFonts w:ascii="宋体" w:hAnsi="宋体"/>
                <w:color w:val="auto"/>
                <w:sz w:val="24"/>
              </w:rPr>
            </w:pPr>
            <w:r>
              <w:rPr>
                <w:rFonts w:hint="eastAsia" w:ascii="宋体" w:hAnsi="宋体"/>
                <w:color w:val="auto"/>
                <w:sz w:val="24"/>
              </w:rPr>
              <w:t>1辆</w:t>
            </w:r>
          </w:p>
        </w:tc>
        <w:tc>
          <w:tcPr>
            <w:tcW w:w="2981" w:type="dxa"/>
            <w:tcBorders>
              <w:top w:val="single" w:color="auto" w:sz="4" w:space="0"/>
              <w:left w:val="nil"/>
              <w:bottom w:val="single" w:color="auto" w:sz="4" w:space="0"/>
              <w:right w:val="single" w:color="auto" w:sz="4" w:space="0"/>
            </w:tcBorders>
            <w:vAlign w:val="center"/>
          </w:tcPr>
          <w:p>
            <w:pPr>
              <w:shd w:val="clear"/>
              <w:spacing w:line="360" w:lineRule="auto"/>
              <w:rPr>
                <w:rFonts w:ascii="宋体" w:hAnsi="宋体"/>
                <w:color w:val="auto"/>
                <w:sz w:val="24"/>
              </w:rPr>
            </w:pPr>
            <w:r>
              <w:rPr>
                <w:rFonts w:hint="eastAsia" w:ascii="宋体" w:hAnsi="宋体"/>
                <w:color w:val="auto"/>
                <w:sz w:val="24"/>
              </w:rPr>
              <w:t>遇突发状况或大型活动时及垃圾中转场地（用于收集保洁员每日清扫的垃圾），灵活应用垃圾收运方式，垃圾车厢放置在场地用于收集垃圾，确保垃圾收运及时。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12</w:t>
            </w:r>
          </w:p>
        </w:tc>
        <w:tc>
          <w:tcPr>
            <w:tcW w:w="3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olor w:val="auto"/>
                <w:sz w:val="24"/>
              </w:rPr>
            </w:pPr>
            <w:r>
              <w:rPr>
                <w:rFonts w:hint="eastAsia" w:ascii="宋体" w:hAnsi="宋体"/>
                <w:color w:val="auto"/>
                <w:sz w:val="24"/>
              </w:rPr>
              <w:t>保洁需要的其他设备</w:t>
            </w:r>
          </w:p>
        </w:tc>
        <w:tc>
          <w:tcPr>
            <w:tcW w:w="774" w:type="dxa"/>
            <w:tcBorders>
              <w:top w:val="single" w:color="auto" w:sz="4" w:space="0"/>
              <w:left w:val="nil"/>
              <w:bottom w:val="single" w:color="auto" w:sz="4" w:space="0"/>
              <w:right w:val="single" w:color="auto" w:sz="4" w:space="0"/>
            </w:tcBorders>
            <w:vAlign w:val="center"/>
          </w:tcPr>
          <w:p>
            <w:pPr>
              <w:shd w:val="clear"/>
              <w:spacing w:line="360" w:lineRule="auto"/>
              <w:rPr>
                <w:rFonts w:ascii="宋体" w:hAnsi="宋体"/>
                <w:color w:val="auto"/>
                <w:sz w:val="24"/>
              </w:rPr>
            </w:pPr>
            <w:r>
              <w:rPr>
                <w:rFonts w:hint="eastAsia" w:ascii="宋体" w:hAnsi="宋体"/>
                <w:color w:val="auto"/>
                <w:sz w:val="24"/>
              </w:rPr>
              <w:t>按实配备</w:t>
            </w:r>
          </w:p>
        </w:tc>
        <w:tc>
          <w:tcPr>
            <w:tcW w:w="2981" w:type="dxa"/>
            <w:tcBorders>
              <w:top w:val="single" w:color="auto" w:sz="4" w:space="0"/>
              <w:left w:val="nil"/>
              <w:bottom w:val="single" w:color="auto" w:sz="4" w:space="0"/>
              <w:right w:val="single" w:color="auto" w:sz="4" w:space="0"/>
            </w:tcBorders>
            <w:vAlign w:val="center"/>
          </w:tcPr>
          <w:p>
            <w:pPr>
              <w:shd w:val="clear"/>
              <w:spacing w:line="360" w:lineRule="auto"/>
              <w:rPr>
                <w:rFonts w:ascii="宋体" w:hAnsi="宋体"/>
                <w:color w:val="auto"/>
                <w:sz w:val="24"/>
              </w:rPr>
            </w:pPr>
            <w:r>
              <w:rPr>
                <w:rFonts w:hint="eastAsia" w:ascii="宋体" w:hAnsi="宋体"/>
                <w:color w:val="auto"/>
                <w:sz w:val="24"/>
              </w:rPr>
              <w:t>三轮车、割草机、打药机、绿篱机、煤铲等按需配备</w:t>
            </w:r>
          </w:p>
        </w:tc>
      </w:tr>
    </w:tbl>
    <w:p>
      <w:pPr>
        <w:shd w:val="clear" w:color="auto"/>
        <w:adjustRightInd w:val="0"/>
        <w:snapToGrid w:val="0"/>
        <w:spacing w:line="360" w:lineRule="auto"/>
        <w:ind w:right="-2" w:rightChars="-1" w:firstLine="480" w:firstLineChars="200"/>
        <w:jc w:val="left"/>
        <w:rPr>
          <w:rFonts w:ascii="宋体" w:hAnsi="宋体"/>
          <w:color w:val="auto"/>
          <w:sz w:val="24"/>
        </w:rPr>
      </w:pPr>
      <w:r>
        <w:rPr>
          <w:rFonts w:ascii="宋体" w:hAnsi="宋体"/>
          <w:color w:val="auto"/>
          <w:sz w:val="24"/>
        </w:rPr>
        <w:t>1</w:t>
      </w:r>
      <w:r>
        <w:rPr>
          <w:rFonts w:hint="eastAsia" w:ascii="宋体" w:hAnsi="宋体"/>
          <w:color w:val="auto"/>
          <w:sz w:val="24"/>
        </w:rPr>
        <w:t>、为安全清运，投标单位应为本项目提供专业环卫装备企业生产的电动或燃油清运车辆，非标准清运车辆不能投入作业服务；</w:t>
      </w:r>
    </w:p>
    <w:p>
      <w:pPr>
        <w:shd w:val="clear"/>
        <w:spacing w:line="360" w:lineRule="auto"/>
        <w:ind w:firstLine="480" w:firstLineChars="200"/>
        <w:rPr>
          <w:rFonts w:ascii="宋体" w:hAnsi="宋体" w:cs="宋体"/>
          <w:color w:val="auto"/>
          <w:sz w:val="24"/>
        </w:rPr>
      </w:pPr>
      <w:r>
        <w:rPr>
          <w:rFonts w:hint="eastAsia" w:ascii="宋体" w:hAnsi="宋体"/>
          <w:color w:val="auto"/>
          <w:sz w:val="24"/>
        </w:rPr>
        <w:t>2、</w:t>
      </w:r>
      <w:r>
        <w:rPr>
          <w:rFonts w:hint="eastAsia" w:ascii="宋体" w:hAnsi="宋体" w:cs="宋体"/>
          <w:color w:val="auto"/>
          <w:sz w:val="24"/>
        </w:rPr>
        <w:t>中标人对所需车辆全部自行出资购置。在合同期内车辆使用期限达到国家标准要求，超过使用年限的车辆中标人需及时更新换代，当现有作业车辆配置不能满足日常环卫作业需求时，中标人须增购作业车辆，弥补机械作业量不足，保洁费用不作调整。</w:t>
      </w:r>
    </w:p>
    <w:p>
      <w:pPr>
        <w:shd w:val="clear"/>
        <w:tabs>
          <w:tab w:val="left" w:pos="0"/>
        </w:tabs>
        <w:spacing w:line="360" w:lineRule="auto"/>
        <w:ind w:firstLine="420"/>
        <w:rPr>
          <w:rFonts w:ascii="宋体" w:hAnsi="宋体"/>
          <w:color w:val="auto"/>
          <w:sz w:val="24"/>
        </w:rPr>
      </w:pPr>
      <w:r>
        <w:rPr>
          <w:rFonts w:hint="eastAsia" w:ascii="宋体" w:hAnsi="宋体"/>
          <w:color w:val="auto"/>
          <w:sz w:val="24"/>
        </w:rPr>
        <w:t>3、清扫车辆行驶速度不得高于每小时10公里。机械清扫:机扫到边、到位效果明显，路面无垃圾、无淤泥、无沙石；作业期间基本无扬尘，清扫途中无垃圾洒落；垃圾到指定地点倾倒，不得随意倾倒、偷倒、乱倒垃圾；严格按照范围、路线、时间进行机械作业，不得随意变更。</w:t>
      </w:r>
    </w:p>
    <w:p>
      <w:pPr>
        <w:shd w:val="clear"/>
        <w:spacing w:line="360" w:lineRule="auto"/>
        <w:rPr>
          <w:b/>
          <w:color w:val="auto"/>
          <w:sz w:val="24"/>
        </w:rPr>
      </w:pPr>
      <w:r>
        <w:rPr>
          <w:rFonts w:hint="eastAsia"/>
          <w:b/>
          <w:color w:val="auto"/>
          <w:sz w:val="24"/>
        </w:rPr>
        <w:t>（五）其他事项：</w:t>
      </w:r>
    </w:p>
    <w:p>
      <w:pPr>
        <w:shd w:val="clear"/>
        <w:spacing w:line="360" w:lineRule="auto"/>
        <w:ind w:firstLine="480" w:firstLineChars="200"/>
        <w:rPr>
          <w:color w:val="auto"/>
          <w:sz w:val="24"/>
        </w:rPr>
      </w:pPr>
      <w:r>
        <w:rPr>
          <w:rFonts w:hint="eastAsia"/>
          <w:color w:val="auto"/>
          <w:sz w:val="24"/>
        </w:rPr>
        <w:t>1、尚田街道集贸市场保洁工作不含入本次招标范围。</w:t>
      </w:r>
    </w:p>
    <w:p>
      <w:pPr>
        <w:shd w:val="clear"/>
        <w:spacing w:line="360" w:lineRule="auto"/>
        <w:ind w:firstLine="480" w:firstLineChars="200"/>
        <w:rPr>
          <w:color w:val="auto"/>
          <w:sz w:val="24"/>
        </w:rPr>
      </w:pPr>
      <w:r>
        <w:rPr>
          <w:rFonts w:hint="eastAsia"/>
          <w:color w:val="auto"/>
          <w:sz w:val="24"/>
        </w:rPr>
        <w:t>2、中标后如需增加保洁范围或垃圾桶、果壳箱数量，需经宁波市奉化区尚田街道人民政府同意后，按本次</w:t>
      </w:r>
      <w:r>
        <w:rPr>
          <w:rFonts w:hint="eastAsia" w:ascii="新宋体" w:hAnsi="新宋体" w:eastAsia="新宋体" w:cs="新宋体"/>
          <w:color w:val="auto"/>
          <w:sz w:val="24"/>
        </w:rPr>
        <w:t>招标价格中的单价计算增加费用</w:t>
      </w:r>
      <w:r>
        <w:rPr>
          <w:rFonts w:hint="eastAsia"/>
          <w:color w:val="auto"/>
          <w:sz w:val="24"/>
        </w:rPr>
        <w:t>。</w:t>
      </w:r>
    </w:p>
    <w:p>
      <w:pPr>
        <w:shd w:val="clear"/>
        <w:adjustRightInd w:val="0"/>
        <w:spacing w:line="360" w:lineRule="auto"/>
        <w:ind w:firstLine="480" w:firstLineChars="200"/>
        <w:rPr>
          <w:color w:val="auto"/>
          <w:sz w:val="24"/>
        </w:rPr>
      </w:pPr>
      <w:r>
        <w:rPr>
          <w:rFonts w:hint="eastAsia"/>
          <w:color w:val="auto"/>
          <w:sz w:val="24"/>
        </w:rPr>
        <w:t>3、合同期间，所有人员的人身安全及意外事故由中标单位全部负责。</w:t>
      </w:r>
    </w:p>
    <w:p>
      <w:pPr>
        <w:shd w:val="clear"/>
        <w:adjustRightInd w:val="0"/>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4、公厕规定一人一厕，公厕费用包括水电费、公厕设施维修门锁、自来水龙头等，不包括墙体脱落、门板修理、台盆、高级水龙头。</w:t>
      </w:r>
    </w:p>
    <w:p>
      <w:pPr>
        <w:shd w:val="clear"/>
        <w:tabs>
          <w:tab w:val="left" w:pos="420"/>
        </w:tabs>
        <w:spacing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5、中转站除臭设备（除臭液剂由采购人购买）。</w:t>
      </w:r>
    </w:p>
    <w:p>
      <w:pPr>
        <w:shd w:val="clear"/>
        <w:tabs>
          <w:tab w:val="left" w:pos="420"/>
        </w:tabs>
        <w:spacing w:line="360" w:lineRule="auto"/>
        <w:ind w:firstLine="480" w:firstLineChars="200"/>
        <w:rPr>
          <w:color w:val="auto"/>
          <w:sz w:val="24"/>
        </w:rPr>
      </w:pPr>
      <w:r>
        <w:rPr>
          <w:rFonts w:hint="eastAsia"/>
          <w:color w:val="auto"/>
          <w:sz w:val="24"/>
        </w:rPr>
        <w:t>6、保洁范围内的杂物垃圾、大件垃圾应及时清理至大件垃圾指定地点。</w:t>
      </w:r>
    </w:p>
    <w:p>
      <w:pPr>
        <w:shd w:val="clear"/>
        <w:tabs>
          <w:tab w:val="left" w:pos="420"/>
        </w:tabs>
        <w:spacing w:line="360" w:lineRule="auto"/>
        <w:ind w:firstLine="480" w:firstLineChars="200"/>
        <w:rPr>
          <w:color w:val="auto"/>
          <w:sz w:val="24"/>
        </w:rPr>
      </w:pPr>
      <w:r>
        <w:rPr>
          <w:rFonts w:hint="eastAsia"/>
          <w:color w:val="auto"/>
          <w:sz w:val="24"/>
        </w:rPr>
        <w:t>7、</w:t>
      </w:r>
      <w:r>
        <w:rPr>
          <w:rFonts w:hint="eastAsia" w:ascii="新宋体" w:hAnsi="新宋体" w:eastAsia="新宋体" w:cs="新宋体"/>
          <w:color w:val="auto"/>
          <w:sz w:val="24"/>
        </w:rPr>
        <w:t>本次招标中标单位必须依据国家的有关法律、法规依法经营</w:t>
      </w:r>
      <w:r>
        <w:rPr>
          <w:rFonts w:hint="eastAsia"/>
          <w:color w:val="auto"/>
          <w:sz w:val="24"/>
        </w:rPr>
        <w:t>。</w:t>
      </w:r>
    </w:p>
    <w:p>
      <w:pPr>
        <w:shd w:val="clear"/>
        <w:tabs>
          <w:tab w:val="left" w:pos="420"/>
        </w:tabs>
        <w:spacing w:line="360" w:lineRule="auto"/>
        <w:ind w:firstLine="480" w:firstLineChars="200"/>
        <w:jc w:val="left"/>
        <w:rPr>
          <w:rFonts w:ascii="新宋体" w:hAnsi="新宋体" w:eastAsia="新宋体" w:cs="新宋体"/>
          <w:color w:val="auto"/>
          <w:sz w:val="24"/>
        </w:rPr>
      </w:pPr>
      <w:r>
        <w:rPr>
          <w:rFonts w:hint="eastAsia" w:ascii="新宋体" w:hAnsi="新宋体" w:eastAsia="新宋体" w:cs="新宋体"/>
          <w:color w:val="auto"/>
          <w:sz w:val="24"/>
        </w:rPr>
        <w:t>8、塑料垃圾桶损坏调换经费已打入本次招标中，以后损坏、遗失调换由中标单位负责。</w:t>
      </w:r>
    </w:p>
    <w:p>
      <w:pPr>
        <w:shd w:val="clear"/>
        <w:tabs>
          <w:tab w:val="left" w:pos="420"/>
        </w:tabs>
        <w:spacing w:line="360" w:lineRule="auto"/>
        <w:ind w:firstLine="480" w:firstLineChars="200"/>
        <w:jc w:val="left"/>
        <w:rPr>
          <w:rFonts w:ascii="新宋体" w:hAnsi="新宋体" w:eastAsia="新宋体" w:cs="新宋体"/>
          <w:color w:val="auto"/>
          <w:sz w:val="24"/>
        </w:rPr>
      </w:pPr>
      <w:r>
        <w:rPr>
          <w:rFonts w:hint="eastAsia" w:ascii="新宋体" w:hAnsi="新宋体" w:eastAsia="新宋体" w:cs="新宋体"/>
          <w:color w:val="auto"/>
          <w:sz w:val="24"/>
        </w:rPr>
        <w:t>9、本次招标的道路、垃圾桶等所产生的垃圾必须运到中转站，并通过专用压缩车对接垃圾中转车转运至焚烧厂。</w:t>
      </w:r>
    </w:p>
    <w:p>
      <w:pPr>
        <w:shd w:val="clear"/>
        <w:tabs>
          <w:tab w:val="left" w:pos="420"/>
        </w:tabs>
        <w:spacing w:line="360" w:lineRule="auto"/>
        <w:ind w:firstLine="480" w:firstLineChars="200"/>
        <w:jc w:val="left"/>
        <w:rPr>
          <w:color w:val="auto"/>
          <w:sz w:val="24"/>
        </w:rPr>
      </w:pPr>
      <w:r>
        <w:rPr>
          <w:rFonts w:hint="eastAsia"/>
          <w:color w:val="auto"/>
          <w:sz w:val="24"/>
        </w:rPr>
        <w:t>10、</w:t>
      </w:r>
      <w:r>
        <w:rPr>
          <w:rFonts w:hint="eastAsia"/>
          <w:color w:val="auto"/>
          <w:sz w:val="24"/>
        </w:rPr>
        <w:t>对尚田街道农村厨余垃圾、其他垃圾的处理必须及时，不得出现垃圾屯积现象。</w:t>
      </w:r>
    </w:p>
    <w:p>
      <w:pPr>
        <w:shd w:val="clear"/>
        <w:tabs>
          <w:tab w:val="left" w:pos="420"/>
        </w:tabs>
        <w:spacing w:line="360" w:lineRule="auto"/>
        <w:ind w:firstLine="480" w:firstLineChars="200"/>
        <w:jc w:val="left"/>
        <w:rPr>
          <w:color w:val="auto"/>
          <w:sz w:val="24"/>
        </w:rPr>
      </w:pPr>
      <w:r>
        <w:rPr>
          <w:rFonts w:hint="eastAsia"/>
          <w:color w:val="auto"/>
          <w:sz w:val="24"/>
        </w:rPr>
        <w:t>11、农村厨余垃圾、其他垃圾必须转运至指定地点倾倒处理。</w:t>
      </w:r>
    </w:p>
    <w:p>
      <w:pPr>
        <w:shd w:val="clear"/>
        <w:tabs>
          <w:tab w:val="left" w:pos="420"/>
        </w:tabs>
        <w:spacing w:line="360" w:lineRule="auto"/>
        <w:ind w:firstLine="480" w:firstLineChars="200"/>
        <w:jc w:val="left"/>
        <w:rPr>
          <w:color w:val="auto"/>
          <w:sz w:val="24"/>
        </w:rPr>
      </w:pPr>
      <w:r>
        <w:rPr>
          <w:rFonts w:hint="eastAsia"/>
          <w:color w:val="auto"/>
          <w:sz w:val="24"/>
        </w:rPr>
        <w:t>12、垃圾运输车驾驶员必须持证上岗，清运时做到沿途无撒漏现象，如遇车辆故障和不可预计的事件，必须及时调配其他车辆进行清运，保证尚田街道农村厨余垃圾日产日清。</w:t>
      </w:r>
    </w:p>
    <w:p>
      <w:pPr>
        <w:shd w:val="clear"/>
        <w:tabs>
          <w:tab w:val="left" w:pos="420"/>
        </w:tabs>
        <w:spacing w:line="360" w:lineRule="auto"/>
        <w:ind w:firstLine="480" w:firstLineChars="200"/>
        <w:jc w:val="left"/>
        <w:rPr>
          <w:color w:val="auto"/>
          <w:sz w:val="24"/>
        </w:rPr>
      </w:pPr>
      <w:r>
        <w:rPr>
          <w:rFonts w:hint="eastAsia"/>
          <w:color w:val="auto"/>
          <w:sz w:val="24"/>
        </w:rPr>
        <w:t>13、与尚田街道农村厨余垃圾清运有关的工具与耗品均由中标单位负责。</w:t>
      </w:r>
    </w:p>
    <w:p>
      <w:pPr>
        <w:shd w:val="clear"/>
        <w:tabs>
          <w:tab w:val="left" w:pos="420"/>
        </w:tabs>
        <w:spacing w:line="360" w:lineRule="auto"/>
        <w:ind w:firstLine="480" w:firstLineChars="200"/>
        <w:jc w:val="left"/>
        <w:rPr>
          <w:rFonts w:ascii="新宋体" w:hAnsi="新宋体" w:eastAsia="新宋体" w:cs="新宋体"/>
          <w:color w:val="auto"/>
          <w:sz w:val="24"/>
        </w:rPr>
      </w:pPr>
      <w:r>
        <w:rPr>
          <w:rFonts w:hint="eastAsia" w:ascii="新宋体" w:hAnsi="新宋体" w:eastAsia="新宋体" w:cs="新宋体"/>
          <w:color w:val="auto"/>
          <w:sz w:val="24"/>
        </w:rPr>
        <w:t>▲14、在符合劳动法律规定前提下，中标人应按照采购文件核定的岗位数为基础，确保员工工作时间、工资报酬等符合法律规定（员工实发工资不能低于奉化区政府部门规定的职工最低工资标准）；由于项目特点，休息日及法定节假日都不得影响本项目的正常保洁服务或降低保洁服务质量。以上所有费用均计入投标总价。</w:t>
      </w:r>
    </w:p>
    <w:p>
      <w:pPr>
        <w:shd w:val="clear"/>
        <w:tabs>
          <w:tab w:val="left" w:pos="420"/>
        </w:tabs>
        <w:spacing w:line="360" w:lineRule="auto"/>
        <w:ind w:firstLine="480" w:firstLineChars="200"/>
        <w:jc w:val="left"/>
        <w:rPr>
          <w:rFonts w:ascii="新宋体" w:hAnsi="新宋体" w:eastAsia="新宋体" w:cs="新宋体"/>
          <w:color w:val="auto"/>
          <w:sz w:val="24"/>
        </w:rPr>
      </w:pPr>
      <w:r>
        <w:rPr>
          <w:rFonts w:hint="eastAsia" w:ascii="新宋体" w:hAnsi="新宋体" w:eastAsia="新宋体" w:cs="新宋体"/>
          <w:color w:val="auto"/>
          <w:sz w:val="24"/>
        </w:rPr>
        <w:t>15、中标单位的员工必须遵守采购人和区环卫主管部门的规定和制度；允许采购人或其授权的人员对服务区域内各项服务质量控制进行检查。</w:t>
      </w:r>
    </w:p>
    <w:p>
      <w:pPr>
        <w:shd w:val="clear"/>
        <w:spacing w:line="360" w:lineRule="auto"/>
        <w:ind w:firstLine="480" w:firstLineChars="200"/>
        <w:rPr>
          <w:color w:val="auto"/>
        </w:rPr>
      </w:pPr>
      <w:r>
        <w:rPr>
          <w:rFonts w:hint="eastAsia" w:ascii="新宋体" w:hAnsi="新宋体" w:eastAsia="新宋体" w:cs="新宋体"/>
          <w:color w:val="auto"/>
          <w:sz w:val="24"/>
        </w:rPr>
        <w:t>16、中标单位及其员工发生被媒体曝光或影响招标方公众形象或违反招标方规章制度造成不良影响，以及存在与采购文件不符合的做法，或不履行其投标文件的部份承诺，而由此产生的损失及消除影响产生的费用，由中标人全部承担；招标方根据事件的轻重，与所造成影响的严重程度，根据项目考核办法扣除相应承包费用。</w:t>
      </w:r>
    </w:p>
    <w:p>
      <w:pPr>
        <w:shd w:val="clear"/>
        <w:spacing w:line="360" w:lineRule="auto"/>
        <w:rPr>
          <w:b/>
          <w:color w:val="auto"/>
          <w:sz w:val="28"/>
          <w:szCs w:val="28"/>
        </w:rPr>
      </w:pPr>
      <w:r>
        <w:rPr>
          <w:rFonts w:hint="eastAsia"/>
          <w:b/>
          <w:color w:val="auto"/>
          <w:sz w:val="28"/>
          <w:szCs w:val="28"/>
        </w:rPr>
        <w:t>二、服务要求</w:t>
      </w:r>
    </w:p>
    <w:p>
      <w:pPr>
        <w:shd w:val="clear"/>
        <w:spacing w:line="360" w:lineRule="auto"/>
        <w:rPr>
          <w:b/>
          <w:color w:val="auto"/>
          <w:sz w:val="24"/>
        </w:rPr>
      </w:pPr>
      <w:r>
        <w:rPr>
          <w:rFonts w:hint="eastAsia"/>
          <w:b/>
          <w:color w:val="auto"/>
          <w:sz w:val="24"/>
        </w:rPr>
        <w:t>（一）道路保洁</w:t>
      </w:r>
    </w:p>
    <w:p>
      <w:pPr>
        <w:shd w:val="clear"/>
        <w:spacing w:line="360" w:lineRule="auto"/>
        <w:ind w:firstLine="482" w:firstLineChars="200"/>
        <w:rPr>
          <w:b/>
          <w:bCs/>
          <w:color w:val="auto"/>
          <w:sz w:val="24"/>
        </w:rPr>
      </w:pPr>
      <w:r>
        <w:rPr>
          <w:rFonts w:hint="eastAsia"/>
          <w:b/>
          <w:bCs/>
          <w:color w:val="auto"/>
          <w:sz w:val="24"/>
        </w:rPr>
        <w:t>1、主要道路保洁</w:t>
      </w:r>
    </w:p>
    <w:p>
      <w:pPr>
        <w:shd w:val="clear"/>
        <w:spacing w:line="360" w:lineRule="auto"/>
        <w:ind w:firstLine="480" w:firstLineChars="200"/>
        <w:rPr>
          <w:color w:val="auto"/>
          <w:sz w:val="24"/>
        </w:rPr>
      </w:pPr>
      <w:r>
        <w:rPr>
          <w:rFonts w:hint="eastAsia"/>
          <w:color w:val="auto"/>
          <w:sz w:val="24"/>
        </w:rPr>
        <w:t>（1）12小时保洁道路清扫保洁时间为：早上5：00至下午17：00。全面普扫上午在7：30分前完成，下午在14：30分前完成。</w:t>
      </w:r>
    </w:p>
    <w:p>
      <w:pPr>
        <w:shd w:val="clear"/>
        <w:spacing w:line="360" w:lineRule="auto"/>
        <w:ind w:firstLine="480" w:firstLineChars="200"/>
        <w:rPr>
          <w:color w:val="auto"/>
          <w:sz w:val="24"/>
        </w:rPr>
      </w:pPr>
      <w:r>
        <w:rPr>
          <w:rFonts w:hint="eastAsia"/>
          <w:color w:val="auto"/>
          <w:sz w:val="24"/>
        </w:rPr>
        <w:t>（2）道路普扫后达到窖井沟眼净、树穴净、喇叭口净，花坛周围净、隔离带周围净，无零星垃圾，无果皮纸屑，侧石无积泥积灰，遇雨天，侧石边应无积水。路面不得有明显不洁或漏扫垃圾。</w:t>
      </w:r>
    </w:p>
    <w:p>
      <w:pPr>
        <w:shd w:val="clear"/>
        <w:spacing w:line="360" w:lineRule="auto"/>
        <w:ind w:firstLine="480" w:firstLineChars="200"/>
        <w:rPr>
          <w:color w:val="auto"/>
          <w:sz w:val="24"/>
        </w:rPr>
      </w:pPr>
      <w:r>
        <w:rPr>
          <w:rFonts w:hint="eastAsia"/>
          <w:color w:val="auto"/>
          <w:sz w:val="24"/>
        </w:rPr>
        <w:t>（3）未硬化道路、闲置地块（空地）即无垃圾、无卫生死角。</w:t>
      </w:r>
    </w:p>
    <w:p>
      <w:pPr>
        <w:shd w:val="clear"/>
        <w:spacing w:line="360" w:lineRule="auto"/>
        <w:ind w:firstLine="480" w:firstLineChars="200"/>
        <w:rPr>
          <w:color w:val="auto"/>
          <w:sz w:val="24"/>
        </w:rPr>
      </w:pPr>
      <w:r>
        <w:rPr>
          <w:rFonts w:hint="eastAsia"/>
          <w:color w:val="auto"/>
          <w:sz w:val="24"/>
        </w:rPr>
        <w:t>（4）道路、街巷、弄边沟内无污泥、垃圾、杂草。</w:t>
      </w:r>
    </w:p>
    <w:p>
      <w:pPr>
        <w:shd w:val="clear"/>
        <w:spacing w:line="360" w:lineRule="auto"/>
        <w:ind w:firstLine="480" w:firstLineChars="200"/>
        <w:rPr>
          <w:color w:val="auto"/>
          <w:sz w:val="24"/>
        </w:rPr>
      </w:pPr>
      <w:r>
        <w:rPr>
          <w:rFonts w:hint="eastAsia"/>
          <w:color w:val="auto"/>
          <w:sz w:val="24"/>
        </w:rPr>
        <w:t>（5）加强道路清扫保洁或巡回保洁的力度，无脱岗偷懒现象，路面无零星垃圾、杂物、停留时间不得超过20分钟，无</w:t>
      </w:r>
      <w:r>
        <w:rPr>
          <w:color w:val="auto"/>
          <w:sz w:val="24"/>
        </w:rPr>
        <w:t>窨</w:t>
      </w:r>
      <w:r>
        <w:rPr>
          <w:rFonts w:hint="eastAsia"/>
          <w:color w:val="auto"/>
          <w:sz w:val="24"/>
        </w:rPr>
        <w:t>井堵塞，保持喇叭口的清洁。</w:t>
      </w:r>
    </w:p>
    <w:p>
      <w:pPr>
        <w:shd w:val="clear"/>
        <w:spacing w:line="360" w:lineRule="auto"/>
        <w:ind w:firstLine="480" w:firstLineChars="200"/>
        <w:rPr>
          <w:color w:val="auto"/>
          <w:sz w:val="24"/>
        </w:rPr>
      </w:pPr>
      <w:r>
        <w:rPr>
          <w:rFonts w:hint="eastAsia"/>
          <w:color w:val="auto"/>
          <w:sz w:val="24"/>
        </w:rPr>
        <w:t>（6）严格遵守劳动纪律，准时上下班，不脱岗、不迟到、早退，偷懒、捡垃圾，工作时间不聚众闲谈。作业时，应穿反光背心。三轮车应清洁干净。</w:t>
      </w:r>
    </w:p>
    <w:p>
      <w:pPr>
        <w:shd w:val="clear"/>
        <w:spacing w:line="360" w:lineRule="auto"/>
        <w:ind w:firstLine="480" w:firstLineChars="200"/>
        <w:rPr>
          <w:color w:val="auto"/>
          <w:sz w:val="24"/>
        </w:rPr>
      </w:pPr>
      <w:r>
        <w:rPr>
          <w:rFonts w:hint="eastAsia"/>
          <w:color w:val="auto"/>
          <w:sz w:val="24"/>
        </w:rPr>
        <w:t>（7）保洁时间内除车辆满溢等情况外，保洁员不得提前到中转站倾倒垃圾。</w:t>
      </w:r>
    </w:p>
    <w:p>
      <w:pPr>
        <w:shd w:val="clear"/>
        <w:spacing w:line="360" w:lineRule="auto"/>
        <w:ind w:firstLine="480" w:firstLineChars="200"/>
        <w:rPr>
          <w:color w:val="auto"/>
          <w:sz w:val="24"/>
        </w:rPr>
      </w:pPr>
      <w:r>
        <w:rPr>
          <w:rFonts w:hint="eastAsia"/>
          <w:color w:val="auto"/>
          <w:sz w:val="24"/>
        </w:rPr>
        <w:t>（8）学校周边保洁时间差做到人走地净。</w:t>
      </w:r>
    </w:p>
    <w:p>
      <w:pPr>
        <w:shd w:val="clear"/>
        <w:spacing w:line="360" w:lineRule="auto"/>
        <w:ind w:firstLine="480" w:firstLineChars="200"/>
        <w:rPr>
          <w:color w:val="auto"/>
          <w:sz w:val="24"/>
        </w:rPr>
      </w:pPr>
      <w:r>
        <w:rPr>
          <w:rFonts w:hint="eastAsia"/>
          <w:color w:val="auto"/>
          <w:sz w:val="24"/>
        </w:rPr>
        <w:t>（9）文明作业，优质服务，清扫作业时注意不将垃圾、污水溅到行人身上，不将垃圾扫入或到入窖井、河道、绿化垃圾。</w:t>
      </w:r>
    </w:p>
    <w:p>
      <w:pPr>
        <w:shd w:val="clear"/>
        <w:spacing w:line="360" w:lineRule="auto"/>
        <w:ind w:firstLine="482" w:firstLineChars="200"/>
        <w:rPr>
          <w:b/>
          <w:bCs/>
          <w:color w:val="auto"/>
          <w:sz w:val="24"/>
        </w:rPr>
      </w:pPr>
      <w:r>
        <w:rPr>
          <w:rFonts w:hint="eastAsia"/>
          <w:b/>
          <w:bCs/>
          <w:color w:val="auto"/>
          <w:sz w:val="24"/>
        </w:rPr>
        <w:t>2、一般道路保洁</w:t>
      </w:r>
    </w:p>
    <w:p>
      <w:pPr>
        <w:shd w:val="clear"/>
        <w:spacing w:line="360" w:lineRule="auto"/>
        <w:ind w:firstLine="480" w:firstLineChars="200"/>
        <w:rPr>
          <w:color w:val="auto"/>
          <w:sz w:val="24"/>
        </w:rPr>
      </w:pPr>
      <w:r>
        <w:rPr>
          <w:rFonts w:hint="eastAsia"/>
          <w:color w:val="auto"/>
          <w:sz w:val="24"/>
        </w:rPr>
        <w:t>（1）8小时保洁道路清扫保洁时间为：早上5：00至10:00，下午13:00至16：00。全面普扫上午在7：30分前完成，下午在14：30分前完成。</w:t>
      </w:r>
    </w:p>
    <w:p>
      <w:pPr>
        <w:numPr>
          <w:ilvl w:val="0"/>
          <w:numId w:val="4"/>
        </w:numPr>
        <w:shd w:val="clear"/>
        <w:spacing w:line="360" w:lineRule="auto"/>
        <w:ind w:firstLine="480" w:firstLineChars="200"/>
        <w:rPr>
          <w:color w:val="auto"/>
          <w:sz w:val="24"/>
        </w:rPr>
      </w:pPr>
      <w:r>
        <w:rPr>
          <w:rFonts w:hint="eastAsia"/>
          <w:color w:val="auto"/>
          <w:sz w:val="24"/>
        </w:rPr>
        <w:t>道路普扫后达到窖井沟眼净、树穴净、喇叭口净，花坛周围净、隔离带周围净，无零星垃圾，无果皮纸屑，侧石无积泥积灰，遇雨天，侧石边应无积水。</w:t>
      </w:r>
    </w:p>
    <w:p>
      <w:pPr>
        <w:shd w:val="clear"/>
        <w:spacing w:line="360" w:lineRule="auto"/>
        <w:ind w:firstLine="480" w:firstLineChars="200"/>
        <w:rPr>
          <w:color w:val="auto"/>
          <w:sz w:val="24"/>
        </w:rPr>
      </w:pPr>
      <w:r>
        <w:rPr>
          <w:rFonts w:hint="eastAsia"/>
          <w:color w:val="auto"/>
          <w:sz w:val="24"/>
        </w:rPr>
        <w:t>（3）未硬化道路、闲置地块（空地）即无垃圾、无卫生死角。</w:t>
      </w:r>
    </w:p>
    <w:p>
      <w:pPr>
        <w:shd w:val="clear"/>
        <w:spacing w:line="360" w:lineRule="auto"/>
        <w:ind w:firstLine="480" w:firstLineChars="200"/>
        <w:rPr>
          <w:color w:val="auto"/>
          <w:sz w:val="24"/>
        </w:rPr>
      </w:pPr>
      <w:r>
        <w:rPr>
          <w:rFonts w:hint="eastAsia"/>
          <w:color w:val="auto"/>
          <w:sz w:val="24"/>
        </w:rPr>
        <w:t>（4）道路、街巷、弄边沟内无污泥、垃圾、杂草。</w:t>
      </w:r>
    </w:p>
    <w:p>
      <w:pPr>
        <w:shd w:val="clear"/>
        <w:spacing w:line="360" w:lineRule="auto"/>
        <w:ind w:firstLine="480" w:firstLineChars="200"/>
        <w:rPr>
          <w:color w:val="auto"/>
          <w:sz w:val="24"/>
        </w:rPr>
      </w:pPr>
      <w:r>
        <w:rPr>
          <w:rFonts w:hint="eastAsia"/>
          <w:color w:val="auto"/>
          <w:sz w:val="24"/>
        </w:rPr>
        <w:t>（5）加强道路清扫保洁或巡回保洁的力度，无</w:t>
      </w:r>
      <w:r>
        <w:rPr>
          <w:color w:val="auto"/>
          <w:sz w:val="24"/>
        </w:rPr>
        <w:t>窨</w:t>
      </w:r>
      <w:r>
        <w:rPr>
          <w:rFonts w:hint="eastAsia"/>
          <w:color w:val="auto"/>
          <w:sz w:val="24"/>
        </w:rPr>
        <w:t>井堵塞，保持喇叭口的清洁。</w:t>
      </w:r>
    </w:p>
    <w:p>
      <w:pPr>
        <w:shd w:val="clear"/>
        <w:spacing w:line="360" w:lineRule="auto"/>
        <w:ind w:firstLine="480" w:firstLineChars="200"/>
        <w:rPr>
          <w:color w:val="auto"/>
          <w:sz w:val="24"/>
        </w:rPr>
      </w:pPr>
      <w:r>
        <w:rPr>
          <w:rFonts w:hint="eastAsia"/>
          <w:color w:val="auto"/>
          <w:sz w:val="24"/>
        </w:rPr>
        <w:t>（6）严格遵守劳动纪律，准时上下班，不脱岗、不迟到、早退，偷懒、捡垃圾，工作时间不聚众闲谈。作业时，应穿反光背心。三轮车应清洁干净。</w:t>
      </w:r>
    </w:p>
    <w:p>
      <w:pPr>
        <w:shd w:val="clear"/>
        <w:spacing w:line="360" w:lineRule="auto"/>
        <w:ind w:firstLine="480" w:firstLineChars="200"/>
        <w:rPr>
          <w:color w:val="auto"/>
          <w:sz w:val="24"/>
        </w:rPr>
      </w:pPr>
      <w:r>
        <w:rPr>
          <w:rFonts w:hint="eastAsia"/>
          <w:color w:val="auto"/>
          <w:sz w:val="24"/>
        </w:rPr>
        <w:t>（7）保洁时间内除车辆满溢等情况外，保洁员不得提前到中转站倾倒垃圾。</w:t>
      </w:r>
    </w:p>
    <w:p>
      <w:pPr>
        <w:shd w:val="clear"/>
        <w:spacing w:line="360" w:lineRule="auto"/>
        <w:ind w:firstLine="480" w:firstLineChars="200"/>
        <w:rPr>
          <w:color w:val="auto"/>
          <w:sz w:val="24"/>
        </w:rPr>
      </w:pPr>
      <w:r>
        <w:rPr>
          <w:rFonts w:hint="eastAsia"/>
          <w:color w:val="auto"/>
          <w:sz w:val="24"/>
        </w:rPr>
        <w:t>（8）学校周边保洁时间差做到人走地净。</w:t>
      </w:r>
    </w:p>
    <w:p>
      <w:pPr>
        <w:shd w:val="clear"/>
        <w:spacing w:line="360" w:lineRule="auto"/>
        <w:ind w:firstLine="480" w:firstLineChars="200"/>
        <w:rPr>
          <w:color w:val="auto"/>
          <w:sz w:val="24"/>
        </w:rPr>
      </w:pPr>
      <w:r>
        <w:rPr>
          <w:rFonts w:hint="eastAsia"/>
          <w:color w:val="auto"/>
          <w:sz w:val="24"/>
        </w:rPr>
        <w:t>（9）文明作业，优质服务，清扫作业时注意不将垃圾、污水溅到行人身上，不将垃圾扫入或到入窖井、河道、绿化垃圾。</w:t>
      </w:r>
    </w:p>
    <w:p>
      <w:pPr>
        <w:shd w:val="clear"/>
        <w:spacing w:beforeLines="50" w:line="360" w:lineRule="auto"/>
        <w:rPr>
          <w:color w:val="auto"/>
          <w:sz w:val="24"/>
        </w:rPr>
      </w:pPr>
      <w:r>
        <w:rPr>
          <w:rFonts w:hint="eastAsia"/>
          <w:b/>
          <w:color w:val="auto"/>
          <w:sz w:val="24"/>
        </w:rPr>
        <w:t>（二）公厕保洁</w:t>
      </w:r>
    </w:p>
    <w:p>
      <w:pPr>
        <w:shd w:val="clear"/>
        <w:spacing w:line="360" w:lineRule="auto"/>
        <w:ind w:firstLine="480" w:firstLineChars="200"/>
        <w:rPr>
          <w:color w:val="auto"/>
          <w:sz w:val="24"/>
        </w:rPr>
      </w:pPr>
      <w:r>
        <w:rPr>
          <w:rFonts w:hint="eastAsia"/>
          <w:color w:val="auto"/>
          <w:sz w:val="24"/>
        </w:rPr>
        <w:t>（1）12小时保洁公厕：每座公厕配保洁人员，实行12小时冲洗保洁（保洁时间为6：00—18：00），公厕槽沟无大小便，实行一人一冲，大小便停留时间不超过10分钟。</w:t>
      </w:r>
    </w:p>
    <w:p>
      <w:pPr>
        <w:shd w:val="clear"/>
        <w:spacing w:line="360" w:lineRule="auto"/>
        <w:ind w:firstLine="480" w:firstLineChars="200"/>
        <w:rPr>
          <w:color w:val="auto"/>
          <w:sz w:val="24"/>
        </w:rPr>
      </w:pPr>
      <w:r>
        <w:rPr>
          <w:rFonts w:hint="eastAsia"/>
          <w:color w:val="auto"/>
          <w:sz w:val="24"/>
        </w:rPr>
        <w:t>（2）公厕门厅、管理间、洗手间、工具间经常保持清洁，附属用品和物品应摆放整齐。</w:t>
      </w:r>
    </w:p>
    <w:p>
      <w:pPr>
        <w:shd w:val="clear"/>
        <w:spacing w:line="360" w:lineRule="auto"/>
        <w:ind w:firstLine="480" w:firstLineChars="200"/>
        <w:rPr>
          <w:color w:val="auto"/>
          <w:sz w:val="24"/>
        </w:rPr>
      </w:pPr>
      <w:r>
        <w:rPr>
          <w:rFonts w:hint="eastAsia"/>
          <w:color w:val="auto"/>
          <w:sz w:val="24"/>
        </w:rPr>
        <w:t>（3）公厕应内外环境保持整洁卫生，3米内无乱堆杂物，无污水等。</w:t>
      </w:r>
    </w:p>
    <w:p>
      <w:pPr>
        <w:shd w:val="clear"/>
        <w:spacing w:line="360" w:lineRule="auto"/>
        <w:ind w:firstLine="480" w:firstLineChars="200"/>
        <w:rPr>
          <w:color w:val="auto"/>
          <w:sz w:val="24"/>
        </w:rPr>
      </w:pPr>
      <w:r>
        <w:rPr>
          <w:rFonts w:hint="eastAsia"/>
          <w:color w:val="auto"/>
          <w:sz w:val="24"/>
        </w:rPr>
        <w:t>（4）墙面、天花板、门、档板无乱张贴、乱涂写，无积灰、蛛网、污渍、痰迹等。</w:t>
      </w:r>
    </w:p>
    <w:p>
      <w:pPr>
        <w:shd w:val="clear"/>
        <w:spacing w:line="360" w:lineRule="auto"/>
        <w:ind w:firstLine="480" w:firstLineChars="200"/>
        <w:rPr>
          <w:color w:val="auto"/>
          <w:sz w:val="24"/>
        </w:rPr>
      </w:pPr>
      <w:r>
        <w:rPr>
          <w:rFonts w:hint="eastAsia"/>
          <w:color w:val="auto"/>
          <w:sz w:val="24"/>
        </w:rPr>
        <w:t>（5）地面要保持清洁干燥，墙面砖光洁，坑位整洁，大便器(槽)揩擦干净，内侧无粪便污迹，洁净见底；小便器（槽）无水锈、尿垢、垃圾，沟眼，管道保持畅通。</w:t>
      </w:r>
    </w:p>
    <w:p>
      <w:pPr>
        <w:shd w:val="clear"/>
        <w:spacing w:line="360" w:lineRule="auto"/>
        <w:ind w:firstLine="480" w:firstLineChars="200"/>
        <w:rPr>
          <w:color w:val="auto"/>
          <w:sz w:val="24"/>
        </w:rPr>
      </w:pPr>
      <w:r>
        <w:rPr>
          <w:rFonts w:hint="eastAsia"/>
          <w:color w:val="auto"/>
          <w:sz w:val="24"/>
        </w:rPr>
        <w:t>（6）蚊蝇季节（4、5、6、7、8、9、10七个月）每日喷洒灭蝇药物，做到厕内无蚊蝇、无蛆虫活动；</w:t>
      </w:r>
    </w:p>
    <w:p>
      <w:pPr>
        <w:shd w:val="clear"/>
        <w:spacing w:line="360" w:lineRule="auto"/>
        <w:ind w:firstLine="480" w:firstLineChars="200"/>
        <w:rPr>
          <w:color w:val="auto"/>
          <w:sz w:val="24"/>
        </w:rPr>
      </w:pPr>
      <w:r>
        <w:rPr>
          <w:rFonts w:hint="eastAsia"/>
          <w:color w:val="auto"/>
          <w:sz w:val="24"/>
        </w:rPr>
        <w:t>（7）公厕保洁工具必须摆放整齐，保洁人员保洁时统一着装。</w:t>
      </w:r>
    </w:p>
    <w:p>
      <w:pPr>
        <w:shd w:val="clear"/>
        <w:spacing w:line="360" w:lineRule="auto"/>
        <w:ind w:firstLine="480" w:firstLineChars="200"/>
        <w:rPr>
          <w:color w:val="auto"/>
          <w:sz w:val="24"/>
        </w:rPr>
      </w:pPr>
      <w:r>
        <w:rPr>
          <w:rFonts w:hint="eastAsia"/>
          <w:color w:val="auto"/>
          <w:sz w:val="24"/>
        </w:rPr>
        <w:t>（8）公厕的设施应保持完整，保持厕内通风良好，无明显恶臭，设施无损坏残缺，如损坏及时修复。</w:t>
      </w:r>
    </w:p>
    <w:p>
      <w:pPr>
        <w:shd w:val="clear"/>
        <w:spacing w:line="360" w:lineRule="auto"/>
        <w:ind w:firstLine="480" w:firstLineChars="200"/>
        <w:rPr>
          <w:color w:val="auto"/>
          <w:sz w:val="24"/>
        </w:rPr>
      </w:pPr>
      <w:r>
        <w:rPr>
          <w:rFonts w:hint="eastAsia"/>
          <w:color w:val="auto"/>
          <w:sz w:val="24"/>
        </w:rPr>
        <w:t>（9）配合街道做好疫情防控工作。</w:t>
      </w:r>
    </w:p>
    <w:p>
      <w:pPr>
        <w:shd w:val="clear"/>
        <w:spacing w:beforeLines="50" w:line="360" w:lineRule="auto"/>
        <w:rPr>
          <w:b/>
          <w:color w:val="auto"/>
          <w:sz w:val="24"/>
        </w:rPr>
      </w:pPr>
      <w:r>
        <w:rPr>
          <w:rFonts w:hint="eastAsia"/>
          <w:b/>
          <w:color w:val="auto"/>
          <w:sz w:val="24"/>
        </w:rPr>
        <w:t>（三）垃圾桶、果壳箱保洁</w:t>
      </w:r>
    </w:p>
    <w:p>
      <w:pPr>
        <w:shd w:val="clear"/>
        <w:spacing w:line="360" w:lineRule="auto"/>
        <w:ind w:firstLine="480" w:firstLineChars="200"/>
        <w:rPr>
          <w:color w:val="auto"/>
          <w:sz w:val="24"/>
        </w:rPr>
      </w:pPr>
      <w:r>
        <w:rPr>
          <w:rFonts w:hint="eastAsia"/>
          <w:color w:val="auto"/>
          <w:sz w:val="24"/>
        </w:rPr>
        <w:t>（1）要求在8：00前作业完成，按日产日清要求收集垃圾，不得漏点和任意撤点，桶内无沉积垃圾。</w:t>
      </w:r>
    </w:p>
    <w:p>
      <w:pPr>
        <w:shd w:val="clear"/>
        <w:spacing w:line="360" w:lineRule="auto"/>
        <w:ind w:firstLine="480" w:firstLineChars="200"/>
        <w:rPr>
          <w:color w:val="auto"/>
          <w:sz w:val="24"/>
        </w:rPr>
      </w:pPr>
      <w:r>
        <w:rPr>
          <w:rFonts w:hint="eastAsia"/>
          <w:color w:val="auto"/>
          <w:sz w:val="24"/>
        </w:rPr>
        <w:t>（2）垃圾桶不得满溢，垃圾量多时应及时清运。</w:t>
      </w:r>
    </w:p>
    <w:p>
      <w:pPr>
        <w:shd w:val="clear"/>
        <w:spacing w:line="360" w:lineRule="auto"/>
        <w:ind w:firstLine="480" w:firstLineChars="200"/>
        <w:rPr>
          <w:color w:val="auto"/>
          <w:sz w:val="24"/>
        </w:rPr>
      </w:pPr>
      <w:r>
        <w:rPr>
          <w:rFonts w:hint="eastAsia"/>
          <w:color w:val="auto"/>
          <w:sz w:val="24"/>
        </w:rPr>
        <w:t>（3）桶周围三米内必须打扫干净，不得有建筑垃圾，不得焚烧垃圾。</w:t>
      </w:r>
    </w:p>
    <w:p>
      <w:pPr>
        <w:shd w:val="clear"/>
        <w:spacing w:line="360" w:lineRule="auto"/>
        <w:ind w:firstLine="480" w:firstLineChars="200"/>
        <w:rPr>
          <w:color w:val="auto"/>
          <w:sz w:val="24"/>
        </w:rPr>
      </w:pPr>
      <w:r>
        <w:rPr>
          <w:rFonts w:hint="eastAsia"/>
          <w:color w:val="auto"/>
          <w:sz w:val="24"/>
        </w:rPr>
        <w:t>（4）垃圾桶、底座配备人员必须每日二次清洗，保持清洁、完整，桶破损应及时进行调换。</w:t>
      </w:r>
    </w:p>
    <w:p>
      <w:pPr>
        <w:shd w:val="clear"/>
        <w:spacing w:line="360" w:lineRule="auto"/>
        <w:ind w:firstLine="480" w:firstLineChars="200"/>
        <w:rPr>
          <w:color w:val="auto"/>
          <w:sz w:val="24"/>
        </w:rPr>
      </w:pPr>
      <w:r>
        <w:rPr>
          <w:rFonts w:hint="eastAsia"/>
          <w:color w:val="auto"/>
          <w:sz w:val="24"/>
        </w:rPr>
        <w:t>（5）收集清运车辆装载适当密闭清运，无沿途滴、漏、撒现象。</w:t>
      </w:r>
    </w:p>
    <w:p>
      <w:pPr>
        <w:shd w:val="clear"/>
        <w:spacing w:line="360" w:lineRule="auto"/>
        <w:ind w:firstLine="480" w:firstLineChars="200"/>
        <w:rPr>
          <w:color w:val="auto"/>
          <w:sz w:val="24"/>
        </w:rPr>
      </w:pPr>
      <w:r>
        <w:rPr>
          <w:rFonts w:hint="eastAsia"/>
          <w:color w:val="auto"/>
          <w:sz w:val="24"/>
        </w:rPr>
        <w:t>（6）垃圾桶清运保洁人员作业时必须统一着装。</w:t>
      </w:r>
    </w:p>
    <w:p>
      <w:pPr>
        <w:shd w:val="clear"/>
        <w:spacing w:line="360" w:lineRule="auto"/>
        <w:ind w:firstLine="480" w:firstLineChars="200"/>
        <w:rPr>
          <w:color w:val="auto"/>
          <w:sz w:val="24"/>
        </w:rPr>
      </w:pPr>
      <w:r>
        <w:rPr>
          <w:rFonts w:hint="eastAsia"/>
          <w:color w:val="auto"/>
          <w:sz w:val="24"/>
        </w:rPr>
        <w:t>（7）蚊蝇季节垃圾桶周围必须每日二次消杀灭蝇。</w:t>
      </w:r>
    </w:p>
    <w:p>
      <w:pPr>
        <w:shd w:val="clear"/>
        <w:spacing w:beforeLines="50" w:line="360" w:lineRule="auto"/>
        <w:rPr>
          <w:b/>
          <w:color w:val="auto"/>
          <w:sz w:val="24"/>
        </w:rPr>
      </w:pPr>
      <w:r>
        <w:rPr>
          <w:rFonts w:hint="eastAsia"/>
          <w:b/>
          <w:color w:val="auto"/>
          <w:sz w:val="24"/>
        </w:rPr>
        <w:t>（四）公园、绿化带养护保洁</w:t>
      </w:r>
    </w:p>
    <w:p>
      <w:pPr>
        <w:shd w:val="clear"/>
        <w:spacing w:line="360" w:lineRule="auto"/>
        <w:ind w:firstLine="480" w:firstLineChars="200"/>
        <w:rPr>
          <w:color w:val="auto"/>
          <w:sz w:val="24"/>
        </w:rPr>
      </w:pPr>
      <w:r>
        <w:rPr>
          <w:rFonts w:hint="eastAsia"/>
          <w:color w:val="auto"/>
          <w:sz w:val="24"/>
        </w:rPr>
        <w:t>（1）按道路12小时保洁，绿地无零星垃圾、瓦砾；无果皮、纸屑等白色垃圾、杂物。</w:t>
      </w:r>
    </w:p>
    <w:p>
      <w:pPr>
        <w:shd w:val="clear"/>
        <w:spacing w:line="360" w:lineRule="auto"/>
        <w:ind w:firstLine="480" w:firstLineChars="200"/>
        <w:rPr>
          <w:color w:val="auto"/>
          <w:sz w:val="24"/>
        </w:rPr>
      </w:pPr>
      <w:r>
        <w:rPr>
          <w:rFonts w:hint="eastAsia"/>
          <w:color w:val="auto"/>
          <w:sz w:val="24"/>
        </w:rPr>
        <w:t>（2）基本无病虫害发生。</w:t>
      </w:r>
    </w:p>
    <w:p>
      <w:pPr>
        <w:shd w:val="clear"/>
        <w:spacing w:line="360" w:lineRule="auto"/>
        <w:ind w:firstLine="480" w:firstLineChars="200"/>
        <w:rPr>
          <w:color w:val="auto"/>
          <w:sz w:val="24"/>
        </w:rPr>
      </w:pPr>
      <w:r>
        <w:rPr>
          <w:rFonts w:hint="eastAsia"/>
          <w:color w:val="auto"/>
          <w:sz w:val="24"/>
        </w:rPr>
        <w:t>（3）修剪、除虫、死株及时向业主反馈。</w:t>
      </w:r>
    </w:p>
    <w:p>
      <w:pPr>
        <w:shd w:val="clear"/>
        <w:spacing w:beforeLines="50" w:line="360" w:lineRule="auto"/>
        <w:rPr>
          <w:b/>
          <w:color w:val="auto"/>
          <w:sz w:val="24"/>
        </w:rPr>
      </w:pPr>
      <w:r>
        <w:rPr>
          <w:rFonts w:hint="eastAsia"/>
          <w:b/>
          <w:color w:val="auto"/>
          <w:sz w:val="24"/>
        </w:rPr>
        <w:t>（五）中转站垃圾收运</w:t>
      </w:r>
    </w:p>
    <w:p>
      <w:pPr>
        <w:shd w:val="clear"/>
        <w:spacing w:line="360" w:lineRule="auto"/>
        <w:ind w:firstLine="480"/>
        <w:rPr>
          <w:color w:val="auto"/>
          <w:sz w:val="24"/>
        </w:rPr>
      </w:pPr>
      <w:r>
        <w:rPr>
          <w:rFonts w:hint="eastAsia"/>
          <w:color w:val="auto"/>
          <w:sz w:val="24"/>
        </w:rPr>
        <w:t>（1）按每日实际垃圾量做到日产日清。</w:t>
      </w:r>
    </w:p>
    <w:p>
      <w:pPr>
        <w:shd w:val="clear"/>
        <w:spacing w:line="360" w:lineRule="auto"/>
        <w:ind w:firstLine="480"/>
        <w:rPr>
          <w:color w:val="auto"/>
          <w:sz w:val="24"/>
        </w:rPr>
      </w:pPr>
      <w:r>
        <w:rPr>
          <w:rFonts w:hint="eastAsia"/>
          <w:color w:val="auto"/>
          <w:sz w:val="24"/>
        </w:rPr>
        <w:t>（2）收集清运车辆装载适当密闭清运，无沿途滴、漏、撒现象。</w:t>
      </w:r>
    </w:p>
    <w:p>
      <w:pPr>
        <w:shd w:val="clear"/>
        <w:spacing w:line="360" w:lineRule="auto"/>
        <w:ind w:firstLine="480"/>
        <w:rPr>
          <w:color w:val="auto"/>
          <w:sz w:val="24"/>
        </w:rPr>
      </w:pPr>
      <w:r>
        <w:rPr>
          <w:rFonts w:hint="eastAsia"/>
          <w:color w:val="auto"/>
          <w:sz w:val="24"/>
        </w:rPr>
        <w:t>（3）</w:t>
      </w:r>
      <w:r>
        <w:rPr>
          <w:rFonts w:hint="eastAsia" w:ascii="宋体" w:hAnsi="宋体"/>
          <w:color w:val="auto"/>
          <w:sz w:val="24"/>
        </w:rPr>
        <w:t>蚊蝇孳生季节（4—10月份）中转站周边应定时喷洒消毒，</w:t>
      </w:r>
      <w:r>
        <w:rPr>
          <w:color w:val="auto"/>
          <w:sz w:val="24"/>
        </w:rPr>
        <w:t>做到无蝇</w:t>
      </w:r>
      <w:r>
        <w:rPr>
          <w:rFonts w:hint="eastAsia"/>
          <w:color w:val="auto"/>
          <w:sz w:val="24"/>
        </w:rPr>
        <w:t>虫</w:t>
      </w:r>
      <w:r>
        <w:rPr>
          <w:color w:val="auto"/>
          <w:sz w:val="24"/>
        </w:rPr>
        <w:t>活动</w:t>
      </w:r>
      <w:r>
        <w:rPr>
          <w:rFonts w:hint="eastAsia"/>
          <w:color w:val="auto"/>
          <w:sz w:val="24"/>
        </w:rPr>
        <w:t>。</w:t>
      </w:r>
    </w:p>
    <w:p>
      <w:pPr>
        <w:shd w:val="clear"/>
        <w:spacing w:beforeLines="50" w:line="360" w:lineRule="auto"/>
        <w:rPr>
          <w:b/>
          <w:color w:val="auto"/>
          <w:sz w:val="24"/>
        </w:rPr>
      </w:pPr>
      <w:r>
        <w:rPr>
          <w:rFonts w:hint="eastAsia"/>
          <w:b/>
          <w:color w:val="auto"/>
          <w:sz w:val="24"/>
        </w:rPr>
        <w:t>（六）街道办公公共区域卫生保洁</w:t>
      </w:r>
    </w:p>
    <w:p>
      <w:pPr>
        <w:shd w:val="clear"/>
        <w:spacing w:line="360" w:lineRule="auto"/>
        <w:ind w:firstLine="480"/>
        <w:rPr>
          <w:color w:val="auto"/>
          <w:sz w:val="24"/>
        </w:rPr>
      </w:pPr>
      <w:r>
        <w:rPr>
          <w:rFonts w:hint="eastAsia"/>
          <w:color w:val="auto"/>
          <w:sz w:val="24"/>
        </w:rPr>
        <w:t>（1）按街道要求对保洁区域进行精细化保洁，错峰保洁。</w:t>
      </w:r>
    </w:p>
    <w:p>
      <w:pPr>
        <w:shd w:val="clear"/>
        <w:spacing w:line="360" w:lineRule="auto"/>
        <w:ind w:firstLine="480"/>
        <w:rPr>
          <w:color w:val="auto"/>
          <w:sz w:val="24"/>
        </w:rPr>
      </w:pPr>
      <w:r>
        <w:rPr>
          <w:rFonts w:hint="eastAsia"/>
          <w:color w:val="auto"/>
          <w:sz w:val="24"/>
        </w:rPr>
        <w:t>（2）公共区域地面无污物、污水、浮土。</w:t>
      </w:r>
    </w:p>
    <w:p>
      <w:pPr>
        <w:shd w:val="clear"/>
        <w:spacing w:line="360" w:lineRule="auto"/>
        <w:ind w:firstLine="480" w:firstLineChars="200"/>
        <w:rPr>
          <w:color w:val="auto"/>
          <w:sz w:val="24"/>
        </w:rPr>
      </w:pPr>
      <w:r>
        <w:rPr>
          <w:rFonts w:hint="eastAsia"/>
          <w:color w:val="auto"/>
          <w:sz w:val="24"/>
        </w:rPr>
        <w:t>（3）公厕内部经常保持清洁，附属用品和物品应摆放整齐；地面要保持清洁干燥，墙面砖光洁，坑位整洁，大便器(槽)揩擦干净，内侧无粪便污迹，洁净见底；小便器（槽）无水锈、尿垢、垃圾，沟眼，管道保持畅通。</w:t>
      </w:r>
    </w:p>
    <w:p>
      <w:pPr>
        <w:shd w:val="clear"/>
        <w:spacing w:line="360" w:lineRule="auto"/>
        <w:ind w:firstLine="480" w:firstLineChars="200"/>
        <w:rPr>
          <w:color w:val="auto"/>
          <w:sz w:val="24"/>
        </w:rPr>
      </w:pPr>
      <w:r>
        <w:rPr>
          <w:rFonts w:hint="eastAsia"/>
          <w:color w:val="auto"/>
          <w:sz w:val="24"/>
        </w:rPr>
        <w:t>（4）楼道、扶梯要求清洁、无杂物、无积尘。</w:t>
      </w:r>
    </w:p>
    <w:p>
      <w:pPr>
        <w:shd w:val="clear"/>
        <w:spacing w:line="360" w:lineRule="auto"/>
        <w:ind w:firstLine="480"/>
        <w:rPr>
          <w:color w:val="auto"/>
          <w:sz w:val="24"/>
        </w:rPr>
      </w:pPr>
      <w:r>
        <w:rPr>
          <w:rFonts w:hint="eastAsia"/>
          <w:color w:val="auto"/>
          <w:sz w:val="24"/>
        </w:rPr>
        <w:t>（5）保洁人员保洁时统一着装。</w:t>
      </w:r>
    </w:p>
    <w:p>
      <w:pPr>
        <w:shd w:val="clear"/>
        <w:spacing w:beforeLines="50" w:line="360" w:lineRule="auto"/>
        <w:rPr>
          <w:rFonts w:hAnsi="宋体"/>
          <w:b/>
          <w:color w:val="auto"/>
          <w:sz w:val="24"/>
        </w:rPr>
      </w:pPr>
      <w:r>
        <w:rPr>
          <w:rFonts w:hint="eastAsia"/>
          <w:b/>
          <w:color w:val="auto"/>
          <w:sz w:val="24"/>
        </w:rPr>
        <w:t>（七）</w:t>
      </w:r>
      <w:r>
        <w:rPr>
          <w:rFonts w:hAnsi="宋体"/>
          <w:b/>
          <w:color w:val="auto"/>
          <w:sz w:val="24"/>
        </w:rPr>
        <w:t>台帐、投诉、指令性任务</w:t>
      </w:r>
    </w:p>
    <w:p>
      <w:pPr>
        <w:shd w:val="clear"/>
        <w:spacing w:line="360" w:lineRule="auto"/>
        <w:ind w:firstLine="480" w:firstLineChars="200"/>
        <w:rPr>
          <w:rFonts w:hAnsi="宋体"/>
          <w:color w:val="auto"/>
          <w:kern w:val="11"/>
          <w:sz w:val="24"/>
        </w:rPr>
      </w:pPr>
      <w:r>
        <w:rPr>
          <w:rFonts w:hint="eastAsia" w:hAnsi="宋体"/>
          <w:color w:val="auto"/>
          <w:kern w:val="11"/>
          <w:sz w:val="24"/>
        </w:rPr>
        <w:t>（</w:t>
      </w:r>
      <w:r>
        <w:rPr>
          <w:rFonts w:hAnsi="宋体"/>
          <w:color w:val="auto"/>
          <w:kern w:val="11"/>
          <w:sz w:val="24"/>
        </w:rPr>
        <w:t>1</w:t>
      </w:r>
      <w:r>
        <w:rPr>
          <w:rFonts w:hint="eastAsia" w:hAnsi="宋体"/>
          <w:color w:val="auto"/>
          <w:kern w:val="11"/>
          <w:sz w:val="24"/>
        </w:rPr>
        <w:t>）</w:t>
      </w:r>
      <w:r>
        <w:rPr>
          <w:rFonts w:hAnsi="宋体"/>
          <w:color w:val="auto"/>
          <w:kern w:val="11"/>
          <w:sz w:val="24"/>
        </w:rPr>
        <w:t>管理、考核资料齐全，每星期有相应的考核巡查记录。</w:t>
      </w:r>
    </w:p>
    <w:p>
      <w:pPr>
        <w:shd w:val="clear"/>
        <w:spacing w:line="360" w:lineRule="auto"/>
        <w:ind w:firstLine="475" w:firstLineChars="198"/>
        <w:rPr>
          <w:color w:val="auto"/>
          <w:kern w:val="11"/>
          <w:sz w:val="24"/>
        </w:rPr>
      </w:pPr>
      <w:r>
        <w:rPr>
          <w:rFonts w:hint="eastAsia"/>
          <w:color w:val="auto"/>
          <w:kern w:val="11"/>
          <w:sz w:val="24"/>
        </w:rPr>
        <w:t>（</w:t>
      </w:r>
      <w:r>
        <w:rPr>
          <w:color w:val="auto"/>
          <w:kern w:val="11"/>
          <w:sz w:val="24"/>
        </w:rPr>
        <w:t>2</w:t>
      </w:r>
      <w:r>
        <w:rPr>
          <w:rFonts w:hint="eastAsia"/>
          <w:color w:val="auto"/>
          <w:kern w:val="11"/>
          <w:sz w:val="24"/>
        </w:rPr>
        <w:t>）遇</w:t>
      </w:r>
      <w:r>
        <w:rPr>
          <w:color w:val="auto"/>
          <w:kern w:val="11"/>
          <w:sz w:val="24"/>
        </w:rPr>
        <w:t>群众投诉、煤体曝光</w:t>
      </w:r>
      <w:r>
        <w:rPr>
          <w:rFonts w:hint="eastAsia"/>
          <w:color w:val="auto"/>
          <w:kern w:val="11"/>
          <w:sz w:val="24"/>
        </w:rPr>
        <w:t>的</w:t>
      </w:r>
      <w:r>
        <w:rPr>
          <w:color w:val="auto"/>
          <w:kern w:val="11"/>
          <w:sz w:val="24"/>
        </w:rPr>
        <w:t>，及时处理、落实整改。</w:t>
      </w:r>
    </w:p>
    <w:p>
      <w:pPr>
        <w:shd w:val="clear"/>
        <w:spacing w:line="360" w:lineRule="auto"/>
        <w:ind w:firstLine="475" w:firstLineChars="198"/>
        <w:rPr>
          <w:color w:val="auto"/>
          <w:kern w:val="11"/>
          <w:sz w:val="24"/>
        </w:rPr>
      </w:pPr>
      <w:r>
        <w:rPr>
          <w:rFonts w:hint="eastAsia"/>
          <w:color w:val="auto"/>
          <w:kern w:val="11"/>
          <w:sz w:val="24"/>
        </w:rPr>
        <w:t>（</w:t>
      </w:r>
      <w:r>
        <w:rPr>
          <w:color w:val="auto"/>
          <w:kern w:val="11"/>
          <w:sz w:val="24"/>
        </w:rPr>
        <w:t>3</w:t>
      </w:r>
      <w:r>
        <w:rPr>
          <w:rFonts w:hint="eastAsia"/>
          <w:color w:val="auto"/>
          <w:kern w:val="11"/>
          <w:sz w:val="24"/>
        </w:rPr>
        <w:t>）</w:t>
      </w:r>
      <w:r>
        <w:rPr>
          <w:color w:val="auto"/>
          <w:kern w:val="11"/>
          <w:sz w:val="24"/>
        </w:rPr>
        <w:t>指令性任务、督促的问题必须按标准及时完成。</w:t>
      </w:r>
    </w:p>
    <w:p>
      <w:pPr>
        <w:shd w:val="clear"/>
        <w:spacing w:beforeLines="50" w:line="360" w:lineRule="auto"/>
        <w:rPr>
          <w:rFonts w:hAnsi="宋体"/>
          <w:b/>
          <w:color w:val="auto"/>
          <w:sz w:val="24"/>
        </w:rPr>
      </w:pPr>
      <w:r>
        <w:rPr>
          <w:rFonts w:hint="eastAsia" w:hAnsi="宋体"/>
          <w:b/>
          <w:color w:val="auto"/>
          <w:sz w:val="24"/>
        </w:rPr>
        <w:t>（八）街道各村厨余垃圾、其他垃圾清运服务要求</w:t>
      </w:r>
    </w:p>
    <w:p>
      <w:pPr>
        <w:shd w:val="clear"/>
        <w:spacing w:line="360" w:lineRule="auto"/>
        <w:ind w:firstLine="480" w:firstLineChars="200"/>
        <w:rPr>
          <w:rFonts w:hAnsi="宋体"/>
          <w:color w:val="auto"/>
          <w:kern w:val="11"/>
          <w:sz w:val="24"/>
        </w:rPr>
      </w:pPr>
      <w:r>
        <w:rPr>
          <w:rFonts w:hint="eastAsia" w:hAnsi="宋体"/>
          <w:color w:val="auto"/>
          <w:kern w:val="11"/>
          <w:sz w:val="24"/>
        </w:rPr>
        <w:t>（1）推行分类收集，提高资源回收利用率，完善收运体系；有步骤地扩大生活垃圾分类收集的规模和数量；采取其他垃圾、厨余垃圾的分类收集。</w:t>
      </w:r>
    </w:p>
    <w:p>
      <w:pPr>
        <w:shd w:val="clear"/>
        <w:spacing w:line="360" w:lineRule="auto"/>
        <w:ind w:firstLine="480" w:firstLineChars="200"/>
        <w:rPr>
          <w:rFonts w:hAnsi="宋体"/>
          <w:color w:val="auto"/>
          <w:kern w:val="11"/>
          <w:sz w:val="24"/>
        </w:rPr>
      </w:pPr>
      <w:r>
        <w:rPr>
          <w:rFonts w:hint="eastAsia" w:hAnsi="宋体"/>
          <w:color w:val="auto"/>
          <w:kern w:val="11"/>
          <w:sz w:val="24"/>
        </w:rPr>
        <w:t>（2）采取其他垃圾、厨余垃圾分类—收集—清运—无害化处置模式。</w:t>
      </w:r>
    </w:p>
    <w:p>
      <w:pPr>
        <w:shd w:val="clear"/>
        <w:spacing w:line="360" w:lineRule="auto"/>
        <w:ind w:firstLine="480" w:firstLineChars="200"/>
        <w:rPr>
          <w:rFonts w:hAnsi="宋体"/>
          <w:color w:val="auto"/>
          <w:kern w:val="11"/>
          <w:sz w:val="24"/>
        </w:rPr>
      </w:pPr>
      <w:r>
        <w:rPr>
          <w:rFonts w:hint="eastAsia" w:hAnsi="宋体"/>
          <w:color w:val="auto"/>
          <w:kern w:val="11"/>
          <w:sz w:val="24"/>
        </w:rPr>
        <w:t>（3）建立其他垃圾、厨余垃圾分类收集网点，每天清运其他垃圾、厨余垃圾，对所有农村采取定时定点清运方式予以清运，做到日产日清，要求每天上午9：30分前完成清运工作，节假日等特殊时期视情况增加运输频次（具体视每村其他垃圾、厨余垃圾收集至集中堆放点时间确定）。</w:t>
      </w:r>
    </w:p>
    <w:p>
      <w:pPr>
        <w:shd w:val="clear"/>
        <w:spacing w:line="360" w:lineRule="auto"/>
        <w:ind w:firstLine="480" w:firstLineChars="200"/>
        <w:rPr>
          <w:rFonts w:hAnsi="宋体"/>
          <w:color w:val="auto"/>
          <w:kern w:val="11"/>
          <w:sz w:val="24"/>
        </w:rPr>
      </w:pPr>
      <w:r>
        <w:rPr>
          <w:rFonts w:hint="eastAsia" w:hAnsi="宋体"/>
          <w:color w:val="auto"/>
          <w:kern w:val="11"/>
          <w:sz w:val="24"/>
        </w:rPr>
        <w:t>（4）各村集中堆放点采用240L厨余垃圾桶集中收集，数量不少于1083个（其他垃圾783个，厨余垃圾300个），中标供应商按实提供并进行维护。</w:t>
      </w:r>
    </w:p>
    <w:p>
      <w:pPr>
        <w:shd w:val="clear"/>
        <w:spacing w:line="360" w:lineRule="auto"/>
        <w:ind w:firstLine="480" w:firstLineChars="200"/>
        <w:rPr>
          <w:rFonts w:hAnsi="宋体"/>
          <w:color w:val="auto"/>
          <w:kern w:val="11"/>
          <w:sz w:val="24"/>
        </w:rPr>
      </w:pPr>
      <w:r>
        <w:rPr>
          <w:rFonts w:hint="eastAsia" w:hAnsi="宋体"/>
          <w:color w:val="auto"/>
          <w:kern w:val="11"/>
          <w:sz w:val="24"/>
        </w:rPr>
        <w:t>（5）车辆要求：车辆为5吨及以上密封装卸式专业餐厨或厨余垃圾收运车3辆，其他垃圾专用压缩车4辆；运送车辆必须具备封闭，防污水滴漏等功能，禁止沿途滴、漏、撒现象。投标单位有必须符合要求的车辆，提供车辆发票和行驶证复印件。</w:t>
      </w:r>
    </w:p>
    <w:p>
      <w:pPr>
        <w:shd w:val="clear"/>
        <w:spacing w:line="360" w:lineRule="auto"/>
        <w:ind w:firstLine="480" w:firstLineChars="200"/>
        <w:rPr>
          <w:rFonts w:hAnsi="宋体"/>
          <w:color w:val="auto"/>
          <w:kern w:val="11"/>
          <w:sz w:val="24"/>
        </w:rPr>
      </w:pPr>
      <w:r>
        <w:rPr>
          <w:rFonts w:hint="eastAsia" w:hAnsi="宋体"/>
          <w:color w:val="auto"/>
          <w:kern w:val="11"/>
          <w:sz w:val="24"/>
        </w:rPr>
        <w:t>（6）其他要求：</w:t>
      </w:r>
    </w:p>
    <w:p>
      <w:pPr>
        <w:shd w:val="clear"/>
        <w:spacing w:line="360" w:lineRule="auto"/>
        <w:ind w:firstLine="480" w:firstLineChars="200"/>
        <w:rPr>
          <w:rFonts w:hAnsi="宋体"/>
          <w:color w:val="auto"/>
          <w:kern w:val="11"/>
          <w:sz w:val="24"/>
        </w:rPr>
      </w:pPr>
      <w:r>
        <w:rPr>
          <w:rFonts w:hint="eastAsia" w:hAnsi="宋体"/>
          <w:color w:val="auto"/>
          <w:kern w:val="11"/>
          <w:sz w:val="24"/>
        </w:rPr>
        <w:t>1）对尚田街道农村其他垃圾、厨余垃圾的处理必须及时，不得出现垃圾屯积现象。</w:t>
      </w:r>
    </w:p>
    <w:p>
      <w:pPr>
        <w:shd w:val="clear"/>
        <w:spacing w:line="360" w:lineRule="auto"/>
        <w:ind w:firstLine="480" w:firstLineChars="200"/>
        <w:rPr>
          <w:rFonts w:hAnsi="宋体"/>
          <w:color w:val="auto"/>
          <w:kern w:val="11"/>
          <w:sz w:val="24"/>
        </w:rPr>
      </w:pPr>
      <w:r>
        <w:rPr>
          <w:rFonts w:hint="eastAsia" w:hAnsi="宋体"/>
          <w:color w:val="auto"/>
          <w:kern w:val="11"/>
          <w:sz w:val="24"/>
        </w:rPr>
        <w:t>2）农村其他垃圾、厨余垃圾必须转运至指定地点倾倒处理（地点暂定为其他垃圾清运至白杜焚烧厂，厨余垃圾清运至宁波首创富余垃圾处理有限公司）。</w:t>
      </w:r>
    </w:p>
    <w:p>
      <w:pPr>
        <w:shd w:val="clear"/>
        <w:spacing w:line="360" w:lineRule="auto"/>
        <w:ind w:firstLine="480" w:firstLineChars="200"/>
        <w:rPr>
          <w:rFonts w:hAnsi="宋体"/>
          <w:color w:val="auto"/>
          <w:kern w:val="11"/>
          <w:sz w:val="24"/>
        </w:rPr>
      </w:pPr>
      <w:r>
        <w:rPr>
          <w:rFonts w:hint="eastAsia" w:hAnsi="宋体"/>
          <w:color w:val="auto"/>
          <w:kern w:val="11"/>
          <w:sz w:val="24"/>
        </w:rPr>
        <w:t>3）垃圾运输车驾驶员必须持证上岗，清运时做到沿途无撒漏现象，如遇车辆故障和不可预计的事件，必须及时调配其他车辆进行清运，保证尚田街道农村其他垃圾、厨余垃圾日产日清。</w:t>
      </w:r>
    </w:p>
    <w:p>
      <w:pPr>
        <w:shd w:val="clear"/>
        <w:spacing w:line="360" w:lineRule="auto"/>
        <w:ind w:firstLine="480" w:firstLineChars="200"/>
        <w:rPr>
          <w:rFonts w:hAnsi="宋体"/>
          <w:color w:val="auto"/>
          <w:kern w:val="11"/>
          <w:sz w:val="24"/>
        </w:rPr>
      </w:pPr>
      <w:r>
        <w:rPr>
          <w:rFonts w:hint="eastAsia" w:hAnsi="宋体"/>
          <w:color w:val="auto"/>
          <w:kern w:val="11"/>
          <w:sz w:val="24"/>
        </w:rPr>
        <w:t>4) 与尚田街道农村其他垃圾、厨余垃圾清运有关的工具与耗品均由中标单位负责。</w:t>
      </w:r>
    </w:p>
    <w:p>
      <w:pPr>
        <w:shd w:val="clear"/>
        <w:spacing w:line="360" w:lineRule="auto"/>
        <w:ind w:firstLine="480" w:firstLineChars="200"/>
        <w:rPr>
          <w:rFonts w:hAnsi="宋体"/>
          <w:color w:val="auto"/>
          <w:kern w:val="11"/>
          <w:sz w:val="24"/>
        </w:rPr>
      </w:pPr>
      <w:r>
        <w:rPr>
          <w:rFonts w:hint="eastAsia" w:hAnsi="宋体"/>
          <w:color w:val="auto"/>
          <w:kern w:val="11"/>
          <w:sz w:val="24"/>
        </w:rPr>
        <w:t>5) 合同期间，所有人员的人身安全及意外事故由中标单位全部负责。</w:t>
      </w:r>
    </w:p>
    <w:p>
      <w:pPr>
        <w:shd w:val="clear"/>
        <w:spacing w:line="360" w:lineRule="auto"/>
        <w:ind w:firstLine="480" w:firstLineChars="200"/>
        <w:rPr>
          <w:rFonts w:hAnsi="宋体"/>
          <w:color w:val="auto"/>
          <w:kern w:val="11"/>
          <w:sz w:val="24"/>
        </w:rPr>
      </w:pPr>
      <w:r>
        <w:rPr>
          <w:rFonts w:hint="eastAsia" w:hAnsi="宋体"/>
          <w:color w:val="auto"/>
          <w:kern w:val="11"/>
          <w:sz w:val="24"/>
        </w:rPr>
        <w:t>6）各级政府部门对垃圾分类、清运工作有相应文件、规定要求的，中标人应无条件服从并执行。</w:t>
      </w:r>
    </w:p>
    <w:p>
      <w:pPr>
        <w:shd w:val="clear"/>
        <w:spacing w:line="360" w:lineRule="auto"/>
        <w:ind w:firstLine="480" w:firstLineChars="200"/>
        <w:rPr>
          <w:rFonts w:hAnsi="宋体"/>
          <w:color w:val="auto"/>
          <w:kern w:val="11"/>
          <w:sz w:val="24"/>
        </w:rPr>
      </w:pPr>
      <w:r>
        <w:rPr>
          <w:rFonts w:hint="eastAsia" w:hAnsi="宋体"/>
          <w:color w:val="auto"/>
          <w:kern w:val="11"/>
          <w:sz w:val="24"/>
        </w:rPr>
        <w:t>7）合同期间，中标供应商必须无偿及时配合招标单位做好防台防汛期间、创优评优、突击检查、大型活动等时期的临时应急布置任务。中标供应商需在活动前1小时内到达招标人指定地点并完成相应的服务，确保现场服务的顺利开展。</w:t>
      </w:r>
    </w:p>
    <w:p>
      <w:pPr>
        <w:shd w:val="clear"/>
        <w:spacing w:line="360" w:lineRule="auto"/>
        <w:rPr>
          <w:b/>
          <w:bCs/>
          <w:color w:val="auto"/>
          <w:sz w:val="24"/>
        </w:rPr>
      </w:pPr>
      <w:r>
        <w:rPr>
          <w:rFonts w:hint="eastAsia"/>
          <w:b/>
          <w:bCs/>
          <w:color w:val="auto"/>
          <w:sz w:val="24"/>
        </w:rPr>
        <w:t>三、考核办法及标准</w:t>
      </w:r>
    </w:p>
    <w:p>
      <w:pPr>
        <w:shd w:val="clear"/>
        <w:spacing w:beforeLines="50" w:line="360" w:lineRule="auto"/>
        <w:ind w:firstLine="482" w:firstLineChars="200"/>
        <w:rPr>
          <w:color w:val="auto"/>
          <w:sz w:val="24"/>
        </w:rPr>
      </w:pPr>
      <w:r>
        <w:rPr>
          <w:rFonts w:hint="eastAsia"/>
          <w:b/>
          <w:color w:val="auto"/>
          <w:sz w:val="24"/>
        </w:rPr>
        <w:t>（一）</w:t>
      </w:r>
      <w:r>
        <w:rPr>
          <w:rFonts w:hAnsi="宋体"/>
          <w:b/>
          <w:color w:val="auto"/>
          <w:sz w:val="24"/>
        </w:rPr>
        <w:t>考核项目：</w:t>
      </w:r>
      <w:r>
        <w:rPr>
          <w:color w:val="auto"/>
          <w:sz w:val="24"/>
        </w:rPr>
        <w:t>1</w:t>
      </w:r>
      <w:r>
        <w:rPr>
          <w:rFonts w:hAnsi="宋体"/>
          <w:color w:val="auto"/>
          <w:sz w:val="24"/>
        </w:rPr>
        <w:t>、道路保洁作业。</w:t>
      </w:r>
      <w:r>
        <w:rPr>
          <w:color w:val="auto"/>
          <w:sz w:val="24"/>
        </w:rPr>
        <w:t>2</w:t>
      </w:r>
      <w:r>
        <w:rPr>
          <w:rFonts w:hAnsi="宋体"/>
          <w:color w:val="auto"/>
          <w:sz w:val="24"/>
        </w:rPr>
        <w:t>、公厕清洗管理，消毒灭蝇（含设施的维护）。</w:t>
      </w:r>
      <w:r>
        <w:rPr>
          <w:color w:val="auto"/>
          <w:sz w:val="24"/>
        </w:rPr>
        <w:t>3</w:t>
      </w:r>
      <w:r>
        <w:rPr>
          <w:rFonts w:hAnsi="宋体"/>
          <w:color w:val="auto"/>
          <w:sz w:val="24"/>
        </w:rPr>
        <w:t>、垃圾收集清运及卫生管理，消毒灭蝇。</w:t>
      </w:r>
      <w:r>
        <w:rPr>
          <w:color w:val="auto"/>
          <w:sz w:val="24"/>
        </w:rPr>
        <w:t>4</w:t>
      </w:r>
      <w:r>
        <w:rPr>
          <w:rFonts w:hAnsi="宋体"/>
          <w:color w:val="auto"/>
          <w:sz w:val="24"/>
        </w:rPr>
        <w:t>、绿地养护保洁。</w:t>
      </w:r>
      <w:r>
        <w:rPr>
          <w:color w:val="auto"/>
          <w:sz w:val="24"/>
        </w:rPr>
        <w:t>5</w:t>
      </w:r>
      <w:r>
        <w:rPr>
          <w:rFonts w:hAnsi="宋体"/>
          <w:color w:val="auto"/>
          <w:sz w:val="24"/>
        </w:rPr>
        <w:t>、河道保洁。</w:t>
      </w:r>
      <w:r>
        <w:rPr>
          <w:color w:val="auto"/>
          <w:sz w:val="24"/>
        </w:rPr>
        <w:t>6</w:t>
      </w:r>
      <w:r>
        <w:rPr>
          <w:rFonts w:hAnsi="宋体"/>
          <w:color w:val="auto"/>
          <w:sz w:val="24"/>
        </w:rPr>
        <w:t>、报表报送，指令性任务完成。投诉案件落实情况等。</w:t>
      </w:r>
    </w:p>
    <w:p>
      <w:pPr>
        <w:shd w:val="clear"/>
        <w:spacing w:beforeLines="50" w:line="360" w:lineRule="auto"/>
        <w:ind w:firstLine="482" w:firstLineChars="200"/>
        <w:rPr>
          <w:rFonts w:hAnsi="宋体"/>
          <w:b/>
          <w:color w:val="auto"/>
          <w:sz w:val="24"/>
        </w:rPr>
      </w:pPr>
      <w:r>
        <w:rPr>
          <w:rFonts w:hint="eastAsia"/>
          <w:b/>
          <w:color w:val="auto"/>
          <w:sz w:val="24"/>
        </w:rPr>
        <w:t>（二）</w:t>
      </w:r>
      <w:r>
        <w:rPr>
          <w:rFonts w:hAnsi="宋体"/>
          <w:b/>
          <w:color w:val="auto"/>
          <w:sz w:val="24"/>
        </w:rPr>
        <w:t>具体考核标准及处罚办法</w:t>
      </w:r>
    </w:p>
    <w:p>
      <w:pPr>
        <w:shd w:val="clear"/>
        <w:spacing w:beforeLines="50" w:line="360" w:lineRule="auto"/>
        <w:rPr>
          <w:color w:val="auto"/>
          <w:sz w:val="24"/>
        </w:rPr>
      </w:pPr>
      <w:r>
        <w:rPr>
          <w:rFonts w:hint="eastAsia"/>
          <w:color w:val="auto"/>
          <w:sz w:val="24"/>
        </w:rPr>
        <w:t>（1）道路保洁作业卫生质量考核标准（附表一）</w:t>
      </w:r>
    </w:p>
    <w:p>
      <w:pPr>
        <w:shd w:val="clear"/>
        <w:spacing w:beforeLines="50" w:line="360" w:lineRule="auto"/>
        <w:rPr>
          <w:color w:val="auto"/>
          <w:sz w:val="24"/>
        </w:rPr>
      </w:pPr>
      <w:r>
        <w:rPr>
          <w:rFonts w:hint="eastAsia"/>
          <w:color w:val="auto"/>
          <w:sz w:val="24"/>
        </w:rPr>
        <w:t>（2）公共厕所保洁卫生质量考核标准（附表二）</w:t>
      </w:r>
    </w:p>
    <w:p>
      <w:pPr>
        <w:shd w:val="clear"/>
        <w:spacing w:beforeLines="50" w:line="360" w:lineRule="auto"/>
        <w:rPr>
          <w:color w:val="auto"/>
          <w:sz w:val="24"/>
        </w:rPr>
      </w:pPr>
      <w:r>
        <w:rPr>
          <w:rFonts w:hint="eastAsia"/>
          <w:color w:val="auto"/>
          <w:sz w:val="24"/>
        </w:rPr>
        <w:t>（3）垃圾收集清运卫生质量考核标准（附表三）</w:t>
      </w:r>
    </w:p>
    <w:p>
      <w:pPr>
        <w:shd w:val="clear"/>
        <w:spacing w:beforeLines="50" w:line="360" w:lineRule="auto"/>
        <w:rPr>
          <w:color w:val="auto"/>
          <w:sz w:val="24"/>
        </w:rPr>
      </w:pPr>
      <w:r>
        <w:rPr>
          <w:rFonts w:hint="eastAsia"/>
          <w:color w:val="auto"/>
          <w:sz w:val="24"/>
        </w:rPr>
        <w:t>（4）</w:t>
      </w:r>
      <w:r>
        <w:rPr>
          <w:color w:val="auto"/>
          <w:sz w:val="24"/>
        </w:rPr>
        <w:t>绿</w:t>
      </w:r>
      <w:r>
        <w:rPr>
          <w:rFonts w:hint="eastAsia"/>
          <w:color w:val="auto"/>
          <w:sz w:val="24"/>
        </w:rPr>
        <w:t>地</w:t>
      </w:r>
      <w:r>
        <w:rPr>
          <w:color w:val="auto"/>
          <w:sz w:val="24"/>
        </w:rPr>
        <w:t>养护</w:t>
      </w:r>
      <w:r>
        <w:rPr>
          <w:rFonts w:hint="eastAsia"/>
          <w:color w:val="auto"/>
          <w:sz w:val="24"/>
        </w:rPr>
        <w:t>保洁卫生质量</w:t>
      </w:r>
      <w:r>
        <w:rPr>
          <w:color w:val="auto"/>
          <w:sz w:val="24"/>
        </w:rPr>
        <w:t>考核</w:t>
      </w:r>
      <w:r>
        <w:rPr>
          <w:rFonts w:hint="eastAsia"/>
          <w:color w:val="auto"/>
          <w:sz w:val="24"/>
        </w:rPr>
        <w:t>标准（附表四）</w:t>
      </w:r>
    </w:p>
    <w:p>
      <w:pPr>
        <w:shd w:val="clear"/>
        <w:spacing w:beforeLines="50" w:line="360" w:lineRule="auto"/>
        <w:rPr>
          <w:color w:val="auto"/>
          <w:sz w:val="24"/>
        </w:rPr>
      </w:pPr>
      <w:r>
        <w:rPr>
          <w:rFonts w:hint="eastAsia"/>
          <w:color w:val="auto"/>
          <w:sz w:val="24"/>
        </w:rPr>
        <w:t>（5）中转站垃圾收运质量考核标准（附表五）</w:t>
      </w:r>
    </w:p>
    <w:p>
      <w:pPr>
        <w:shd w:val="clear"/>
        <w:spacing w:beforeLines="50" w:line="360" w:lineRule="auto"/>
        <w:rPr>
          <w:color w:val="auto"/>
          <w:sz w:val="24"/>
        </w:rPr>
      </w:pPr>
      <w:r>
        <w:rPr>
          <w:rFonts w:hint="eastAsia"/>
          <w:color w:val="auto"/>
          <w:sz w:val="24"/>
        </w:rPr>
        <w:t>（6）街道办公公共区域保洁卫生质量考核标准（附表六）</w:t>
      </w:r>
    </w:p>
    <w:p>
      <w:pPr>
        <w:shd w:val="clear"/>
        <w:spacing w:beforeLines="50" w:line="360" w:lineRule="auto"/>
        <w:rPr>
          <w:color w:val="auto"/>
          <w:sz w:val="24"/>
        </w:rPr>
      </w:pPr>
      <w:r>
        <w:rPr>
          <w:rFonts w:hint="eastAsia"/>
          <w:color w:val="auto"/>
          <w:sz w:val="24"/>
        </w:rPr>
        <w:t>（7）生活垃圾（含厨余垃圾、其他垃圾）收运服务考核表（附表七）</w:t>
      </w:r>
    </w:p>
    <w:p>
      <w:pPr>
        <w:shd w:val="clear"/>
        <w:spacing w:line="440" w:lineRule="exact"/>
        <w:ind w:firstLine="480" w:firstLineChars="200"/>
        <w:jc w:val="left"/>
        <w:rPr>
          <w:rFonts w:ascii="宋体" w:hAnsi="宋体"/>
          <w:b/>
          <w:color w:val="auto"/>
          <w:sz w:val="24"/>
        </w:rPr>
      </w:pPr>
      <w:r>
        <w:rPr>
          <w:rFonts w:hint="eastAsia"/>
          <w:color w:val="auto"/>
          <w:sz w:val="24"/>
        </w:rPr>
        <w:t>1、每天必须保证清运的及时，发现一处垃圾未及时清运情况，每处每次扣100元；有群众举报垃圾没有及时清运的，经查实，每处每次扣200元。</w:t>
      </w:r>
    </w:p>
    <w:p>
      <w:pPr>
        <w:shd w:val="clear"/>
        <w:spacing w:beforeLines="50" w:line="360" w:lineRule="auto"/>
        <w:rPr>
          <w:color w:val="auto"/>
          <w:sz w:val="24"/>
        </w:rPr>
      </w:pPr>
      <w:r>
        <w:rPr>
          <w:rFonts w:hint="eastAsia"/>
          <w:color w:val="auto"/>
          <w:sz w:val="24"/>
        </w:rPr>
        <w:t>（8）</w:t>
      </w:r>
      <w:r>
        <w:rPr>
          <w:color w:val="auto"/>
          <w:sz w:val="24"/>
        </w:rPr>
        <w:t>报表报送、指令性任务完成、投诉情况和落实情况考核</w:t>
      </w:r>
    </w:p>
    <w:p>
      <w:pPr>
        <w:shd w:val="clear"/>
        <w:spacing w:line="360" w:lineRule="auto"/>
        <w:ind w:firstLine="480" w:firstLineChars="200"/>
        <w:rPr>
          <w:color w:val="auto"/>
          <w:sz w:val="24"/>
        </w:rPr>
      </w:pPr>
      <w:r>
        <w:rPr>
          <w:color w:val="auto"/>
          <w:sz w:val="24"/>
        </w:rPr>
        <w:t>1、管理、考核台帐资料齐全，无台帐资料的扣</w:t>
      </w:r>
      <w:r>
        <w:rPr>
          <w:rFonts w:hint="eastAsia"/>
          <w:color w:val="auto"/>
          <w:sz w:val="24"/>
        </w:rPr>
        <w:t>0.</w:t>
      </w:r>
      <w:r>
        <w:rPr>
          <w:color w:val="auto"/>
          <w:sz w:val="24"/>
        </w:rPr>
        <w:t>2－</w:t>
      </w:r>
      <w:r>
        <w:rPr>
          <w:rFonts w:hint="eastAsia"/>
          <w:color w:val="auto"/>
          <w:sz w:val="24"/>
        </w:rPr>
        <w:t>0.</w:t>
      </w:r>
      <w:r>
        <w:rPr>
          <w:color w:val="auto"/>
          <w:sz w:val="24"/>
        </w:rPr>
        <w:t>4分。</w:t>
      </w:r>
    </w:p>
    <w:p>
      <w:pPr>
        <w:shd w:val="clear"/>
        <w:spacing w:line="360" w:lineRule="auto"/>
        <w:ind w:firstLine="480" w:firstLineChars="200"/>
        <w:rPr>
          <w:color w:val="auto"/>
          <w:sz w:val="24"/>
        </w:rPr>
      </w:pPr>
      <w:r>
        <w:rPr>
          <w:color w:val="auto"/>
          <w:sz w:val="24"/>
        </w:rPr>
        <w:t>2、由于主观原因造成群众投诉的，</w:t>
      </w:r>
      <w:r>
        <w:rPr>
          <w:rFonts w:hint="eastAsia"/>
          <w:color w:val="auto"/>
          <w:sz w:val="24"/>
        </w:rPr>
        <w:t>每次</w:t>
      </w:r>
      <w:r>
        <w:rPr>
          <w:color w:val="auto"/>
          <w:sz w:val="24"/>
        </w:rPr>
        <w:t>扣</w:t>
      </w:r>
      <w:r>
        <w:rPr>
          <w:rFonts w:hint="eastAsia"/>
          <w:color w:val="auto"/>
          <w:sz w:val="24"/>
        </w:rPr>
        <w:t>0.</w:t>
      </w:r>
      <w:r>
        <w:rPr>
          <w:color w:val="auto"/>
          <w:sz w:val="24"/>
        </w:rPr>
        <w:t>3－</w:t>
      </w:r>
      <w:r>
        <w:rPr>
          <w:rFonts w:hint="eastAsia"/>
          <w:color w:val="auto"/>
          <w:sz w:val="24"/>
        </w:rPr>
        <w:t>0.</w:t>
      </w:r>
      <w:r>
        <w:rPr>
          <w:color w:val="auto"/>
          <w:sz w:val="24"/>
        </w:rPr>
        <w:t>6分。</w:t>
      </w:r>
    </w:p>
    <w:p>
      <w:pPr>
        <w:shd w:val="clear"/>
        <w:spacing w:line="360" w:lineRule="auto"/>
        <w:ind w:firstLine="480" w:firstLineChars="200"/>
        <w:rPr>
          <w:color w:val="auto"/>
          <w:sz w:val="24"/>
        </w:rPr>
      </w:pPr>
      <w:r>
        <w:rPr>
          <w:color w:val="auto"/>
          <w:sz w:val="24"/>
        </w:rPr>
        <w:t>3、群众投诉、媒体曝光，每次扣</w:t>
      </w:r>
      <w:r>
        <w:rPr>
          <w:rFonts w:hint="eastAsia"/>
          <w:color w:val="auto"/>
          <w:sz w:val="24"/>
        </w:rPr>
        <w:t>0.</w:t>
      </w:r>
      <w:r>
        <w:rPr>
          <w:color w:val="auto"/>
          <w:sz w:val="24"/>
        </w:rPr>
        <w:t>2－</w:t>
      </w:r>
      <w:r>
        <w:rPr>
          <w:rFonts w:hint="eastAsia"/>
          <w:color w:val="auto"/>
          <w:sz w:val="24"/>
        </w:rPr>
        <w:t>0.</w:t>
      </w:r>
      <w:r>
        <w:rPr>
          <w:color w:val="auto"/>
          <w:sz w:val="24"/>
        </w:rPr>
        <w:t>3分，未及时处理、落实整改，加倍扣罚。</w:t>
      </w:r>
    </w:p>
    <w:p>
      <w:pPr>
        <w:shd w:val="clear"/>
        <w:spacing w:line="360" w:lineRule="auto"/>
        <w:ind w:firstLine="480" w:firstLineChars="200"/>
        <w:rPr>
          <w:color w:val="auto"/>
          <w:sz w:val="24"/>
        </w:rPr>
      </w:pPr>
      <w:r>
        <w:rPr>
          <w:color w:val="auto"/>
          <w:sz w:val="24"/>
        </w:rPr>
        <w:t>4、指令性任务未及时完成的每次扣</w:t>
      </w:r>
      <w:r>
        <w:rPr>
          <w:rFonts w:hint="eastAsia"/>
          <w:color w:val="auto"/>
          <w:sz w:val="24"/>
        </w:rPr>
        <w:t>0.</w:t>
      </w:r>
      <w:r>
        <w:rPr>
          <w:color w:val="auto"/>
          <w:sz w:val="24"/>
        </w:rPr>
        <w:t>2－</w:t>
      </w:r>
      <w:r>
        <w:rPr>
          <w:rFonts w:hint="eastAsia"/>
          <w:color w:val="auto"/>
          <w:sz w:val="24"/>
        </w:rPr>
        <w:t>0.</w:t>
      </w:r>
      <w:r>
        <w:rPr>
          <w:color w:val="auto"/>
          <w:sz w:val="24"/>
        </w:rPr>
        <w:t>4分。</w:t>
      </w:r>
    </w:p>
    <w:p>
      <w:pPr>
        <w:shd w:val="clear"/>
        <w:spacing w:beforeLines="50" w:line="360" w:lineRule="auto"/>
        <w:rPr>
          <w:color w:val="auto"/>
          <w:sz w:val="24"/>
        </w:rPr>
      </w:pPr>
      <w:r>
        <w:rPr>
          <w:color w:val="auto"/>
          <w:sz w:val="24"/>
        </w:rPr>
        <w:t>（</w:t>
      </w:r>
      <w:r>
        <w:rPr>
          <w:rFonts w:hint="eastAsia"/>
          <w:color w:val="auto"/>
          <w:sz w:val="24"/>
        </w:rPr>
        <w:t>9</w:t>
      </w:r>
      <w:r>
        <w:rPr>
          <w:color w:val="auto"/>
          <w:sz w:val="24"/>
        </w:rPr>
        <w:t>）日常巡查、督促承诺的项目</w:t>
      </w:r>
    </w:p>
    <w:p>
      <w:pPr>
        <w:shd w:val="clear"/>
        <w:spacing w:line="360" w:lineRule="auto"/>
        <w:ind w:firstLine="480" w:firstLineChars="200"/>
        <w:rPr>
          <w:color w:val="auto"/>
          <w:sz w:val="24"/>
        </w:rPr>
      </w:pPr>
      <w:r>
        <w:rPr>
          <w:color w:val="auto"/>
          <w:sz w:val="24"/>
        </w:rPr>
        <w:t>1、日常巡查所发现的问题按上述标准扣罚。</w:t>
      </w:r>
    </w:p>
    <w:p>
      <w:pPr>
        <w:shd w:val="clear"/>
        <w:spacing w:line="360" w:lineRule="auto"/>
        <w:ind w:firstLine="480" w:firstLineChars="200"/>
        <w:rPr>
          <w:color w:val="auto"/>
          <w:sz w:val="24"/>
        </w:rPr>
      </w:pPr>
      <w:r>
        <w:rPr>
          <w:color w:val="auto"/>
          <w:sz w:val="24"/>
        </w:rPr>
        <w:t>2、督促的问题期限内未及时完成的按标准加倍扣罚。</w:t>
      </w:r>
    </w:p>
    <w:p>
      <w:pPr>
        <w:shd w:val="clear"/>
        <w:spacing w:beforeLines="50" w:line="360" w:lineRule="auto"/>
        <w:rPr>
          <w:color w:val="auto"/>
          <w:sz w:val="24"/>
        </w:rPr>
      </w:pPr>
      <w:r>
        <w:rPr>
          <w:color w:val="auto"/>
          <w:sz w:val="24"/>
        </w:rPr>
        <w:t>（</w:t>
      </w:r>
      <w:r>
        <w:rPr>
          <w:rFonts w:hint="eastAsia"/>
          <w:color w:val="auto"/>
          <w:sz w:val="24"/>
        </w:rPr>
        <w:t>10</w:t>
      </w:r>
      <w:r>
        <w:rPr>
          <w:color w:val="auto"/>
          <w:sz w:val="24"/>
        </w:rPr>
        <w:t>）扣罚分值和整改通知未完成的处罚</w:t>
      </w:r>
    </w:p>
    <w:p>
      <w:pPr>
        <w:shd w:val="clear"/>
        <w:spacing w:line="360" w:lineRule="auto"/>
        <w:ind w:firstLine="480" w:firstLineChars="200"/>
        <w:rPr>
          <w:color w:val="auto"/>
          <w:sz w:val="24"/>
        </w:rPr>
      </w:pPr>
      <w:r>
        <w:rPr>
          <w:color w:val="auto"/>
          <w:sz w:val="24"/>
        </w:rPr>
        <w:t>1、扣罚分值按每分</w:t>
      </w:r>
      <w:r>
        <w:rPr>
          <w:rFonts w:hint="eastAsia"/>
          <w:color w:val="auto"/>
          <w:sz w:val="24"/>
        </w:rPr>
        <w:t>200</w:t>
      </w:r>
      <w:r>
        <w:rPr>
          <w:color w:val="auto"/>
          <w:sz w:val="24"/>
        </w:rPr>
        <w:t>元计算，按月结算。</w:t>
      </w:r>
    </w:p>
    <w:p>
      <w:pPr>
        <w:shd w:val="clear"/>
        <w:spacing w:line="360" w:lineRule="auto"/>
        <w:ind w:firstLine="480" w:firstLineChars="200"/>
        <w:rPr>
          <w:color w:val="auto"/>
          <w:sz w:val="24"/>
        </w:rPr>
      </w:pPr>
      <w:r>
        <w:rPr>
          <w:color w:val="auto"/>
          <w:sz w:val="24"/>
        </w:rPr>
        <w:t>2</w:t>
      </w:r>
      <w:r>
        <w:rPr>
          <w:rFonts w:hint="eastAsia"/>
          <w:color w:val="auto"/>
          <w:sz w:val="24"/>
        </w:rPr>
        <w:t>、</w:t>
      </w:r>
      <w:r>
        <w:rPr>
          <w:color w:val="auto"/>
          <w:sz w:val="24"/>
        </w:rPr>
        <w:t>如整改通知书下达后未及时完成整改通知内容的第二次下发通知书后按</w:t>
      </w:r>
      <w:r>
        <w:rPr>
          <w:rFonts w:hint="eastAsia"/>
          <w:color w:val="auto"/>
          <w:sz w:val="24"/>
        </w:rPr>
        <w:t>标准</w:t>
      </w:r>
      <w:r>
        <w:rPr>
          <w:color w:val="auto"/>
          <w:sz w:val="24"/>
        </w:rPr>
        <w:t>加倍处罚。</w:t>
      </w:r>
    </w:p>
    <w:p>
      <w:pPr>
        <w:pStyle w:val="2"/>
        <w:shd w:val="clear"/>
        <w:ind w:firstLine="588"/>
        <w:rPr>
          <w:color w:val="auto"/>
        </w:rPr>
        <w:sectPr>
          <w:headerReference r:id="rId3" w:type="default"/>
          <w:footerReference r:id="rId4" w:type="default"/>
          <w:pgSz w:w="11906" w:h="16838"/>
          <w:pgMar w:top="1440" w:right="1469" w:bottom="1440" w:left="1797" w:header="851" w:footer="992" w:gutter="0"/>
          <w:cols w:space="720" w:num="1"/>
          <w:docGrid w:linePitch="312" w:charSpace="0"/>
        </w:sectPr>
      </w:pPr>
    </w:p>
    <w:p>
      <w:pPr>
        <w:shd w:val="clear"/>
        <w:jc w:val="center"/>
        <w:rPr>
          <w:b/>
          <w:color w:val="auto"/>
          <w:sz w:val="32"/>
          <w:szCs w:val="32"/>
        </w:rPr>
      </w:pPr>
      <w:r>
        <w:rPr>
          <w:rFonts w:hint="eastAsia"/>
          <w:b/>
          <w:color w:val="auto"/>
          <w:sz w:val="32"/>
          <w:szCs w:val="32"/>
        </w:rPr>
        <w:t>附表一  道路保洁作业卫生质量考核标准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097"/>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Ansi="宋体"/>
                <w:color w:val="auto"/>
                <w:sz w:val="24"/>
              </w:rPr>
              <w:t>序号</w:t>
            </w:r>
          </w:p>
        </w:tc>
        <w:tc>
          <w:tcPr>
            <w:tcW w:w="10097"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Ansi="宋体"/>
                <w:color w:val="auto"/>
                <w:sz w:val="24"/>
              </w:rPr>
              <w:t>卫生质量考核标准</w:t>
            </w:r>
          </w:p>
        </w:tc>
        <w:tc>
          <w:tcPr>
            <w:tcW w:w="3036"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Ansi="宋体"/>
                <w:color w:val="auto"/>
                <w:sz w:val="24"/>
              </w:rPr>
              <w:t>考核评分标准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color w:val="auto"/>
                <w:sz w:val="24"/>
              </w:rPr>
              <w:t>1</w:t>
            </w:r>
          </w:p>
        </w:tc>
        <w:tc>
          <w:tcPr>
            <w:tcW w:w="10097"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rPr>
                <w:color w:val="auto"/>
                <w:sz w:val="24"/>
              </w:rPr>
            </w:pPr>
            <w:r>
              <w:rPr>
                <w:rFonts w:hAnsi="宋体"/>
                <w:color w:val="auto"/>
                <w:sz w:val="24"/>
              </w:rPr>
              <w:t>道路清扫保洁应在规定的时间内完成，早上第一遍清扫应在</w:t>
            </w:r>
            <w:r>
              <w:rPr>
                <w:color w:val="auto"/>
                <w:sz w:val="24"/>
              </w:rPr>
              <w:t>7</w:t>
            </w:r>
            <w:r>
              <w:rPr>
                <w:rFonts w:hint="eastAsia"/>
                <w:color w:val="auto"/>
                <w:sz w:val="24"/>
              </w:rPr>
              <w:t>:</w:t>
            </w:r>
            <w:r>
              <w:rPr>
                <w:color w:val="auto"/>
                <w:sz w:val="24"/>
              </w:rPr>
              <w:t>30</w:t>
            </w:r>
            <w:r>
              <w:rPr>
                <w:rFonts w:hAnsi="宋体"/>
                <w:color w:val="auto"/>
                <w:sz w:val="24"/>
              </w:rPr>
              <w:t>分之前完成，下午第二遍清扫应在</w:t>
            </w:r>
            <w:r>
              <w:rPr>
                <w:color w:val="auto"/>
                <w:sz w:val="24"/>
              </w:rPr>
              <w:t>2:30</w:t>
            </w:r>
            <w:r>
              <w:rPr>
                <w:rFonts w:hAnsi="宋体"/>
                <w:color w:val="auto"/>
                <w:sz w:val="24"/>
              </w:rPr>
              <w:t>之前完成（具体按季节变换另定）。其余时间巡回保洁。</w:t>
            </w:r>
            <w:r>
              <w:rPr>
                <w:rFonts w:hAnsi="宋体"/>
                <w:color w:val="auto"/>
                <w:kern w:val="11"/>
                <w:sz w:val="24"/>
              </w:rPr>
              <w:t>道路普扫后达到无零星垃圾、瓦砾、</w:t>
            </w:r>
            <w:r>
              <w:rPr>
                <w:rFonts w:hAnsi="宋体"/>
                <w:color w:val="auto"/>
                <w:sz w:val="24"/>
              </w:rPr>
              <w:t>砖头</w:t>
            </w:r>
            <w:r>
              <w:rPr>
                <w:rFonts w:hAnsi="宋体"/>
                <w:color w:val="auto"/>
                <w:kern w:val="11"/>
                <w:sz w:val="24"/>
              </w:rPr>
              <w:t>、</w:t>
            </w:r>
            <w:r>
              <w:rPr>
                <w:rFonts w:hAnsi="宋体"/>
                <w:color w:val="auto"/>
                <w:sz w:val="24"/>
              </w:rPr>
              <w:t>杂草</w:t>
            </w:r>
            <w:r>
              <w:rPr>
                <w:rFonts w:hAnsi="宋体"/>
                <w:color w:val="auto"/>
                <w:kern w:val="11"/>
                <w:sz w:val="24"/>
              </w:rPr>
              <w:t>、无果皮、纸屑、烟蒂、粪便等。</w:t>
            </w:r>
          </w:p>
        </w:tc>
        <w:tc>
          <w:tcPr>
            <w:tcW w:w="3036"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Ansi="宋体"/>
                <w:color w:val="auto"/>
                <w:sz w:val="24"/>
              </w:rPr>
              <w:t>未做到每发现一次扣</w:t>
            </w:r>
            <w:r>
              <w:rPr>
                <w:rFonts w:hint="eastAsia" w:hAnsi="宋体"/>
                <w:color w:val="auto"/>
                <w:sz w:val="24"/>
              </w:rPr>
              <w:t>0.</w:t>
            </w:r>
            <w:r>
              <w:rPr>
                <w:color w:val="auto"/>
                <w:sz w:val="24"/>
              </w:rPr>
              <w:t>3</w:t>
            </w:r>
            <w:r>
              <w:rPr>
                <w:rFonts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color w:val="auto"/>
                <w:sz w:val="24"/>
              </w:rPr>
              <w:t>2</w:t>
            </w:r>
          </w:p>
        </w:tc>
        <w:tc>
          <w:tcPr>
            <w:tcW w:w="10097"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rPr>
                <w:color w:val="auto"/>
                <w:sz w:val="24"/>
              </w:rPr>
            </w:pPr>
            <w:r>
              <w:rPr>
                <w:rFonts w:hAnsi="宋体"/>
                <w:color w:val="auto"/>
                <w:sz w:val="24"/>
              </w:rPr>
              <w:t>全天候巡回保洁，路面见本色，路面废弃物控制指标每千平方米：果皮</w:t>
            </w:r>
            <w:r>
              <w:rPr>
                <w:color w:val="auto"/>
                <w:sz w:val="24"/>
              </w:rPr>
              <w:t>≤4</w:t>
            </w:r>
            <w:r>
              <w:rPr>
                <w:rFonts w:hAnsi="宋体"/>
                <w:color w:val="auto"/>
                <w:sz w:val="24"/>
              </w:rPr>
              <w:t>片；纸屑、塑膜</w:t>
            </w:r>
            <w:r>
              <w:rPr>
                <w:color w:val="auto"/>
                <w:sz w:val="24"/>
              </w:rPr>
              <w:t>≤4</w:t>
            </w:r>
            <w:r>
              <w:rPr>
                <w:rFonts w:hAnsi="宋体"/>
                <w:color w:val="auto"/>
                <w:sz w:val="24"/>
              </w:rPr>
              <w:t>片；烟蒂</w:t>
            </w:r>
            <w:r>
              <w:rPr>
                <w:color w:val="auto"/>
                <w:sz w:val="24"/>
              </w:rPr>
              <w:t>≤4</w:t>
            </w:r>
            <w:r>
              <w:rPr>
                <w:rFonts w:hAnsi="宋体"/>
                <w:color w:val="auto"/>
                <w:sz w:val="24"/>
              </w:rPr>
              <w:t>个；痰迹</w:t>
            </w:r>
            <w:r>
              <w:rPr>
                <w:color w:val="auto"/>
                <w:sz w:val="24"/>
              </w:rPr>
              <w:t>≤4</w:t>
            </w:r>
            <w:r>
              <w:rPr>
                <w:rFonts w:hAnsi="宋体"/>
                <w:color w:val="auto"/>
                <w:sz w:val="24"/>
              </w:rPr>
              <w:t>处。</w:t>
            </w:r>
          </w:p>
        </w:tc>
        <w:tc>
          <w:tcPr>
            <w:tcW w:w="3036"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Ansi="宋体"/>
                <w:color w:val="auto"/>
                <w:sz w:val="24"/>
              </w:rPr>
              <w:t>未做到每项扣</w:t>
            </w:r>
            <w:r>
              <w:rPr>
                <w:rFonts w:hint="eastAsia" w:hAnsi="宋体"/>
                <w:color w:val="auto"/>
                <w:sz w:val="24"/>
              </w:rPr>
              <w:t>0.</w:t>
            </w:r>
            <w:r>
              <w:rPr>
                <w:color w:val="auto"/>
                <w:sz w:val="24"/>
              </w:rPr>
              <w:t>2</w:t>
            </w:r>
            <w:r>
              <w:rPr>
                <w:rFonts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color w:val="auto"/>
                <w:sz w:val="24"/>
              </w:rPr>
              <w:t>3</w:t>
            </w:r>
          </w:p>
        </w:tc>
        <w:tc>
          <w:tcPr>
            <w:tcW w:w="10097"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rPr>
                <w:color w:val="auto"/>
                <w:sz w:val="24"/>
              </w:rPr>
            </w:pPr>
            <w:r>
              <w:rPr>
                <w:rFonts w:hAnsi="宋体"/>
                <w:color w:val="auto"/>
                <w:sz w:val="24"/>
              </w:rPr>
              <w:t>做到五净一无：即窨井沟眼净、树穴边角净、花坛周围净、隔离带周围净、侧石无积泥积灰。</w:t>
            </w:r>
          </w:p>
        </w:tc>
        <w:tc>
          <w:tcPr>
            <w:tcW w:w="3036"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Ansi="宋体"/>
                <w:color w:val="auto"/>
                <w:sz w:val="24"/>
              </w:rPr>
              <w:t>未做到每项扣</w:t>
            </w:r>
            <w:r>
              <w:rPr>
                <w:rFonts w:hint="eastAsia" w:hAnsi="宋体"/>
                <w:color w:val="auto"/>
                <w:sz w:val="24"/>
              </w:rPr>
              <w:t>0.</w:t>
            </w:r>
            <w:r>
              <w:rPr>
                <w:color w:val="auto"/>
                <w:sz w:val="24"/>
              </w:rPr>
              <w:t>2</w:t>
            </w:r>
            <w:r>
              <w:rPr>
                <w:rFonts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color w:val="auto"/>
                <w:sz w:val="24"/>
              </w:rPr>
              <w:t>4</w:t>
            </w:r>
          </w:p>
        </w:tc>
        <w:tc>
          <w:tcPr>
            <w:tcW w:w="10097"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rPr>
                <w:color w:val="auto"/>
                <w:sz w:val="24"/>
              </w:rPr>
            </w:pPr>
            <w:r>
              <w:rPr>
                <w:rFonts w:hAnsi="宋体"/>
                <w:color w:val="auto"/>
                <w:sz w:val="24"/>
              </w:rPr>
              <w:t>遇雨天，侧石应无积污水，清扫时注意不将垃圾、污水溅到行人身上，不准将垃圾扫入或倒入窨井、河道、绿化带处和其他非环卫设施内。</w:t>
            </w:r>
          </w:p>
        </w:tc>
        <w:tc>
          <w:tcPr>
            <w:tcW w:w="3036"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Ansi="宋体"/>
                <w:color w:val="auto"/>
                <w:sz w:val="24"/>
              </w:rPr>
              <w:t>未做到每项扣</w:t>
            </w:r>
            <w:r>
              <w:rPr>
                <w:rFonts w:hint="eastAsia" w:hAnsi="宋体"/>
                <w:color w:val="auto"/>
                <w:sz w:val="24"/>
              </w:rPr>
              <w:t>0.</w:t>
            </w:r>
            <w:r>
              <w:rPr>
                <w:color w:val="auto"/>
                <w:sz w:val="24"/>
              </w:rPr>
              <w:t>2</w:t>
            </w:r>
            <w:r>
              <w:rPr>
                <w:rFonts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color w:val="auto"/>
                <w:sz w:val="24"/>
              </w:rPr>
              <w:t>5</w:t>
            </w:r>
          </w:p>
        </w:tc>
        <w:tc>
          <w:tcPr>
            <w:tcW w:w="10097"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rPr>
                <w:color w:val="auto"/>
                <w:sz w:val="24"/>
              </w:rPr>
            </w:pPr>
            <w:r>
              <w:rPr>
                <w:rFonts w:hAnsi="宋体"/>
                <w:color w:val="auto"/>
                <w:sz w:val="24"/>
              </w:rPr>
              <w:t>巡回保洁路段应加强动态巡回保洁的力度，无脱岗偷懒现象，做到随脏随扫，零星垃圾、杂物停留时间不得超过</w:t>
            </w:r>
            <w:r>
              <w:rPr>
                <w:rFonts w:hint="eastAsia" w:hAnsi="宋体"/>
                <w:color w:val="auto"/>
                <w:sz w:val="24"/>
              </w:rPr>
              <w:t>20</w:t>
            </w:r>
            <w:r>
              <w:rPr>
                <w:rFonts w:hAnsi="宋体"/>
                <w:color w:val="auto"/>
                <w:sz w:val="24"/>
              </w:rPr>
              <w:t>分钟</w:t>
            </w:r>
            <w:r>
              <w:rPr>
                <w:rFonts w:hint="eastAsia" w:hAnsi="宋体"/>
                <w:color w:val="auto"/>
                <w:sz w:val="24"/>
              </w:rPr>
              <w:t>（一般道路为30分钟）</w:t>
            </w:r>
            <w:r>
              <w:rPr>
                <w:rFonts w:hAnsi="宋体"/>
                <w:color w:val="auto"/>
                <w:sz w:val="24"/>
              </w:rPr>
              <w:t>。</w:t>
            </w:r>
          </w:p>
        </w:tc>
        <w:tc>
          <w:tcPr>
            <w:tcW w:w="3036"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Ansi="宋体"/>
                <w:color w:val="auto"/>
                <w:sz w:val="24"/>
              </w:rPr>
              <w:t>未做到每发现一次扣</w:t>
            </w:r>
            <w:r>
              <w:rPr>
                <w:rFonts w:hint="eastAsia" w:hAnsi="宋体"/>
                <w:color w:val="auto"/>
                <w:sz w:val="24"/>
              </w:rPr>
              <w:t>0.</w:t>
            </w:r>
            <w:r>
              <w:rPr>
                <w:color w:val="auto"/>
                <w:sz w:val="24"/>
              </w:rPr>
              <w:t>2</w:t>
            </w:r>
            <w:r>
              <w:rPr>
                <w:rFonts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color w:val="auto"/>
                <w:sz w:val="24"/>
              </w:rPr>
              <w:t>6</w:t>
            </w:r>
          </w:p>
        </w:tc>
        <w:tc>
          <w:tcPr>
            <w:tcW w:w="10097"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rPr>
                <w:color w:val="auto"/>
                <w:sz w:val="24"/>
              </w:rPr>
            </w:pPr>
            <w:r>
              <w:rPr>
                <w:rFonts w:hAnsi="宋体"/>
                <w:color w:val="auto"/>
                <w:sz w:val="24"/>
              </w:rPr>
              <w:t>果壳箱应实行袋装化收集，每天及时清理揩擦，保持清洁，并关好门。</w:t>
            </w:r>
          </w:p>
        </w:tc>
        <w:tc>
          <w:tcPr>
            <w:tcW w:w="3036"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Ansi="宋体"/>
                <w:color w:val="auto"/>
                <w:sz w:val="24"/>
              </w:rPr>
              <w:t>未做到每发现一次扣</w:t>
            </w:r>
            <w:r>
              <w:rPr>
                <w:rFonts w:hint="eastAsia" w:hAnsi="宋体"/>
                <w:color w:val="auto"/>
                <w:sz w:val="24"/>
              </w:rPr>
              <w:t>0.</w:t>
            </w:r>
            <w:r>
              <w:rPr>
                <w:color w:val="auto"/>
                <w:sz w:val="24"/>
              </w:rPr>
              <w:t>1</w:t>
            </w:r>
            <w:r>
              <w:rPr>
                <w:rFonts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int="eastAsia"/>
                <w:color w:val="auto"/>
                <w:sz w:val="24"/>
              </w:rPr>
              <w:t>7</w:t>
            </w:r>
          </w:p>
        </w:tc>
        <w:tc>
          <w:tcPr>
            <w:tcW w:w="10097"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rPr>
                <w:color w:val="auto"/>
                <w:sz w:val="24"/>
              </w:rPr>
            </w:pPr>
            <w:r>
              <w:rPr>
                <w:rFonts w:hAnsi="宋体"/>
                <w:color w:val="auto"/>
                <w:sz w:val="24"/>
              </w:rPr>
              <w:t>人行道卫生质量考核标准与道路清扫保洁卫生质量考核标准相同。</w:t>
            </w:r>
          </w:p>
        </w:tc>
        <w:tc>
          <w:tcPr>
            <w:tcW w:w="3036"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Ansi="宋体"/>
                <w:color w:val="auto"/>
                <w:sz w:val="24"/>
              </w:rPr>
              <w:t>扣分标准同道路扣分标准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int="eastAsia"/>
                <w:color w:val="auto"/>
                <w:sz w:val="24"/>
              </w:rPr>
              <w:t>8</w:t>
            </w:r>
          </w:p>
        </w:tc>
        <w:tc>
          <w:tcPr>
            <w:tcW w:w="10097"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rPr>
                <w:color w:val="auto"/>
                <w:sz w:val="24"/>
              </w:rPr>
            </w:pPr>
            <w:r>
              <w:rPr>
                <w:rFonts w:hAnsi="宋体"/>
                <w:color w:val="auto"/>
                <w:sz w:val="24"/>
              </w:rPr>
              <w:t>保洁人员在作业时应穿反光</w:t>
            </w:r>
            <w:r>
              <w:rPr>
                <w:rFonts w:hint="eastAsia" w:hAnsi="宋体"/>
                <w:color w:val="auto"/>
                <w:sz w:val="24"/>
              </w:rPr>
              <w:t>工作</w:t>
            </w:r>
            <w:r>
              <w:rPr>
                <w:rFonts w:hAnsi="宋体"/>
                <w:color w:val="auto"/>
                <w:sz w:val="24"/>
              </w:rPr>
              <w:t>服、戴安全帽，并把车辆停放在安全地点。</w:t>
            </w:r>
          </w:p>
        </w:tc>
        <w:tc>
          <w:tcPr>
            <w:tcW w:w="3036"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Ansi="宋体"/>
                <w:color w:val="auto"/>
                <w:sz w:val="24"/>
              </w:rPr>
              <w:t>未做到每项扣</w:t>
            </w:r>
            <w:r>
              <w:rPr>
                <w:rFonts w:hint="eastAsia" w:hAnsi="宋体"/>
                <w:color w:val="auto"/>
                <w:sz w:val="24"/>
              </w:rPr>
              <w:t>0.</w:t>
            </w:r>
            <w:r>
              <w:rPr>
                <w:color w:val="auto"/>
                <w:sz w:val="24"/>
              </w:rPr>
              <w:t>2</w:t>
            </w:r>
            <w:r>
              <w:rPr>
                <w:rFonts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int="eastAsia"/>
                <w:color w:val="auto"/>
                <w:sz w:val="24"/>
              </w:rPr>
              <w:t>9</w:t>
            </w:r>
          </w:p>
        </w:tc>
        <w:tc>
          <w:tcPr>
            <w:tcW w:w="10097"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rPr>
                <w:rFonts w:hAnsi="宋体"/>
                <w:color w:val="auto"/>
                <w:sz w:val="24"/>
              </w:rPr>
            </w:pPr>
            <w:r>
              <w:rPr>
                <w:rFonts w:hAnsi="宋体"/>
                <w:color w:val="auto"/>
                <w:kern w:val="11"/>
                <w:sz w:val="24"/>
              </w:rPr>
              <w:t>保洁时间内除特殊原因，如：车辆满溢等情况外，保洁员</w:t>
            </w:r>
            <w:r>
              <w:rPr>
                <w:rFonts w:hint="eastAsia" w:hAnsi="宋体"/>
                <w:color w:val="auto"/>
                <w:kern w:val="11"/>
                <w:sz w:val="24"/>
              </w:rPr>
              <w:t>不得</w:t>
            </w:r>
            <w:r>
              <w:rPr>
                <w:rFonts w:hAnsi="宋体"/>
                <w:color w:val="auto"/>
                <w:kern w:val="11"/>
                <w:sz w:val="24"/>
              </w:rPr>
              <w:t>提前到中转站倾倒垃圾</w:t>
            </w:r>
          </w:p>
        </w:tc>
        <w:tc>
          <w:tcPr>
            <w:tcW w:w="3036"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rFonts w:hAnsi="宋体"/>
                <w:color w:val="auto"/>
                <w:sz w:val="24"/>
              </w:rPr>
            </w:pPr>
            <w:r>
              <w:rPr>
                <w:rFonts w:hAnsi="宋体"/>
                <w:color w:val="auto"/>
                <w:kern w:val="11"/>
                <w:sz w:val="24"/>
              </w:rPr>
              <w:t>每发现一次扣</w:t>
            </w:r>
            <w:r>
              <w:rPr>
                <w:rFonts w:hint="eastAsia" w:hAnsi="宋体"/>
                <w:color w:val="auto"/>
                <w:kern w:val="11"/>
                <w:sz w:val="24"/>
              </w:rPr>
              <w:t>0.</w:t>
            </w:r>
            <w:r>
              <w:rPr>
                <w:rFonts w:hint="eastAsia"/>
                <w:color w:val="auto"/>
                <w:kern w:val="11"/>
                <w:sz w:val="24"/>
              </w:rPr>
              <w:t>2</w:t>
            </w:r>
            <w:r>
              <w:rPr>
                <w:rFonts w:hAnsi="宋体"/>
                <w:color w:val="auto"/>
                <w:kern w:val="1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int="eastAsia"/>
                <w:color w:val="auto"/>
                <w:sz w:val="24"/>
              </w:rPr>
              <w:t>10</w:t>
            </w:r>
          </w:p>
        </w:tc>
        <w:tc>
          <w:tcPr>
            <w:tcW w:w="10097"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rPr>
                <w:rFonts w:hAnsi="宋体"/>
                <w:color w:val="auto"/>
                <w:sz w:val="24"/>
              </w:rPr>
            </w:pPr>
            <w:r>
              <w:rPr>
                <w:rFonts w:hAnsi="宋体"/>
                <w:color w:val="auto"/>
                <w:kern w:val="11"/>
                <w:sz w:val="24"/>
              </w:rPr>
              <w:t>保洁作业时应禁止作业人员捡拾垃圾</w:t>
            </w:r>
          </w:p>
        </w:tc>
        <w:tc>
          <w:tcPr>
            <w:tcW w:w="3036"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rFonts w:hAnsi="宋体"/>
                <w:color w:val="auto"/>
                <w:sz w:val="24"/>
              </w:rPr>
            </w:pPr>
            <w:r>
              <w:rPr>
                <w:rFonts w:hAnsi="宋体"/>
                <w:color w:val="auto"/>
                <w:kern w:val="11"/>
                <w:sz w:val="24"/>
              </w:rPr>
              <w:t>每发现一次扣</w:t>
            </w:r>
            <w:r>
              <w:rPr>
                <w:rFonts w:hint="eastAsia" w:hAnsi="宋体"/>
                <w:color w:val="auto"/>
                <w:kern w:val="11"/>
                <w:sz w:val="24"/>
              </w:rPr>
              <w:t>0.</w:t>
            </w:r>
            <w:r>
              <w:rPr>
                <w:rFonts w:hint="eastAsia"/>
                <w:color w:val="auto"/>
                <w:kern w:val="11"/>
                <w:sz w:val="24"/>
              </w:rPr>
              <w:t>2</w:t>
            </w:r>
            <w:r>
              <w:rPr>
                <w:rFonts w:hAnsi="宋体"/>
                <w:color w:val="auto"/>
                <w:kern w:val="1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color w:val="auto"/>
                <w:sz w:val="24"/>
              </w:rPr>
            </w:pPr>
            <w:r>
              <w:rPr>
                <w:rFonts w:hint="eastAsia"/>
                <w:color w:val="auto"/>
                <w:sz w:val="24"/>
              </w:rPr>
              <w:t>11</w:t>
            </w:r>
          </w:p>
        </w:tc>
        <w:tc>
          <w:tcPr>
            <w:tcW w:w="10097"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rPr>
                <w:rFonts w:hAnsi="宋体"/>
                <w:color w:val="auto"/>
                <w:sz w:val="24"/>
              </w:rPr>
            </w:pPr>
            <w:r>
              <w:rPr>
                <w:rFonts w:hint="eastAsia" w:hAnsi="宋体"/>
                <w:color w:val="auto"/>
                <w:kern w:val="11"/>
                <w:sz w:val="24"/>
              </w:rPr>
              <w:t>保洁时间内道路各路段内的垃圾桶周边暴露垃圾应及时清扫入桶</w:t>
            </w:r>
          </w:p>
        </w:tc>
        <w:tc>
          <w:tcPr>
            <w:tcW w:w="3036" w:type="dxa"/>
            <w:tcBorders>
              <w:top w:val="single" w:color="auto" w:sz="4" w:space="0"/>
              <w:left w:val="single" w:color="auto" w:sz="4" w:space="0"/>
              <w:bottom w:val="single" w:color="auto" w:sz="4" w:space="0"/>
              <w:right w:val="single" w:color="auto" w:sz="4" w:space="0"/>
            </w:tcBorders>
            <w:vAlign w:val="center"/>
          </w:tcPr>
          <w:p>
            <w:pPr>
              <w:shd w:val="clear"/>
              <w:spacing w:line="340" w:lineRule="exact"/>
              <w:jc w:val="center"/>
              <w:rPr>
                <w:rFonts w:hAnsi="宋体"/>
                <w:color w:val="auto"/>
                <w:sz w:val="24"/>
              </w:rPr>
            </w:pPr>
            <w:r>
              <w:rPr>
                <w:rFonts w:hint="eastAsia" w:hAnsi="宋体"/>
                <w:color w:val="auto"/>
                <w:kern w:val="11"/>
                <w:sz w:val="24"/>
              </w:rPr>
              <w:t>每发现一次扣0.3分</w:t>
            </w:r>
          </w:p>
        </w:tc>
      </w:tr>
    </w:tbl>
    <w:p>
      <w:pPr>
        <w:shd w:val="clear"/>
        <w:jc w:val="center"/>
        <w:rPr>
          <w:b/>
          <w:color w:val="auto"/>
          <w:sz w:val="32"/>
          <w:szCs w:val="32"/>
        </w:rPr>
      </w:pPr>
    </w:p>
    <w:p>
      <w:pPr>
        <w:shd w:val="clear"/>
        <w:jc w:val="center"/>
        <w:rPr>
          <w:color w:val="auto"/>
          <w:sz w:val="24"/>
        </w:rPr>
      </w:pPr>
      <w:r>
        <w:rPr>
          <w:rFonts w:hint="eastAsia"/>
          <w:b/>
          <w:color w:val="auto"/>
          <w:sz w:val="32"/>
          <w:szCs w:val="32"/>
        </w:rPr>
        <w:t>附表二  公共厕所保洁卫生质量考核标准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917"/>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spacing w:line="320" w:lineRule="exact"/>
              <w:jc w:val="center"/>
              <w:rPr>
                <w:rFonts w:ascii="宋体" w:hAnsi="宋体"/>
                <w:color w:val="auto"/>
                <w:sz w:val="24"/>
              </w:rPr>
            </w:pPr>
            <w:r>
              <w:rPr>
                <w:rFonts w:hint="eastAsia" w:ascii="宋体" w:hAnsi="宋体"/>
                <w:color w:val="auto"/>
                <w:sz w:val="24"/>
              </w:rPr>
              <w:t>序号</w:t>
            </w:r>
          </w:p>
        </w:tc>
        <w:tc>
          <w:tcPr>
            <w:tcW w:w="991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卫生质量考核标准</w:t>
            </w:r>
          </w:p>
        </w:tc>
        <w:tc>
          <w:tcPr>
            <w:tcW w:w="31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考核评分标准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1</w:t>
            </w:r>
          </w:p>
        </w:tc>
        <w:tc>
          <w:tcPr>
            <w:tcW w:w="9917"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ascii="宋体" w:hAnsi="宋体"/>
                <w:color w:val="auto"/>
                <w:sz w:val="24"/>
              </w:rPr>
              <w:t>公厕内墙面、平顶、门窗、四周墙裙、挡板等应无积灰、污渍、蛛网、痰迹，无乱涂乱画和张贴。</w:t>
            </w:r>
          </w:p>
        </w:tc>
        <w:tc>
          <w:tcPr>
            <w:tcW w:w="31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未做到每项扣0.2分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2</w:t>
            </w:r>
          </w:p>
        </w:tc>
        <w:tc>
          <w:tcPr>
            <w:tcW w:w="9917"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ascii="宋体" w:hAnsi="宋体"/>
                <w:color w:val="auto"/>
                <w:sz w:val="24"/>
              </w:rPr>
              <w:t>公厕内地面完好、干燥光洁，无纸片、烟蒂、痰迹、粪迹、积水</w:t>
            </w:r>
          </w:p>
        </w:tc>
        <w:tc>
          <w:tcPr>
            <w:tcW w:w="31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未做到每项扣0.2分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3</w:t>
            </w:r>
          </w:p>
        </w:tc>
        <w:tc>
          <w:tcPr>
            <w:tcW w:w="9917"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ascii="宋体" w:hAnsi="宋体"/>
                <w:color w:val="auto"/>
                <w:sz w:val="24"/>
              </w:rPr>
              <w:t>坑位整洁，大便器（槽）揩擦干净，内侧无粪便污迹，洁净见底。</w:t>
            </w:r>
          </w:p>
        </w:tc>
        <w:tc>
          <w:tcPr>
            <w:tcW w:w="31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未做到每项扣0.3分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4</w:t>
            </w:r>
          </w:p>
        </w:tc>
        <w:tc>
          <w:tcPr>
            <w:tcW w:w="9917"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ascii="宋体" w:hAnsi="宋体"/>
                <w:color w:val="auto"/>
                <w:sz w:val="24"/>
              </w:rPr>
              <w:t>小便器（槽）无水锈、尿垢、垃圾。沟眼，管道保持畅通。</w:t>
            </w:r>
          </w:p>
        </w:tc>
        <w:tc>
          <w:tcPr>
            <w:tcW w:w="31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5</w:t>
            </w:r>
          </w:p>
        </w:tc>
        <w:tc>
          <w:tcPr>
            <w:tcW w:w="9917"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ascii="宋体" w:hAnsi="宋体"/>
                <w:color w:val="auto"/>
                <w:sz w:val="24"/>
              </w:rPr>
              <w:t>保持厕内通风良好，无明显恶臭，设施无损坏残缺。</w:t>
            </w:r>
          </w:p>
        </w:tc>
        <w:tc>
          <w:tcPr>
            <w:tcW w:w="31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6</w:t>
            </w:r>
          </w:p>
        </w:tc>
        <w:tc>
          <w:tcPr>
            <w:tcW w:w="9917"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ascii="宋体" w:hAnsi="宋体"/>
                <w:color w:val="auto"/>
                <w:sz w:val="24"/>
              </w:rPr>
              <w:t>公厕门厅、管理间、洗手间、工具间经常保持清洁，附属用品和物品应摆放整齐。</w:t>
            </w:r>
          </w:p>
        </w:tc>
        <w:tc>
          <w:tcPr>
            <w:tcW w:w="31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7</w:t>
            </w:r>
          </w:p>
        </w:tc>
        <w:tc>
          <w:tcPr>
            <w:tcW w:w="9917"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ascii="宋体" w:hAnsi="宋体"/>
                <w:color w:val="auto"/>
                <w:sz w:val="24"/>
              </w:rPr>
              <w:t>保持公厕外环境整洁，四周3—5米内无乱堆杂物、无垃圾、粪便、污水等。</w:t>
            </w:r>
          </w:p>
        </w:tc>
        <w:tc>
          <w:tcPr>
            <w:tcW w:w="31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未做到每项扣0.2分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8</w:t>
            </w:r>
          </w:p>
        </w:tc>
        <w:tc>
          <w:tcPr>
            <w:tcW w:w="9917"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ascii="宋体" w:hAnsi="宋体"/>
                <w:color w:val="auto"/>
                <w:sz w:val="24"/>
              </w:rPr>
              <w:t>定时喷洒灭蝇虫药物（4—10月），做到厕内无蚊蝇，无蛆虫活动。</w:t>
            </w:r>
          </w:p>
        </w:tc>
        <w:tc>
          <w:tcPr>
            <w:tcW w:w="31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未做到每项扣0.2分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9</w:t>
            </w:r>
          </w:p>
        </w:tc>
        <w:tc>
          <w:tcPr>
            <w:tcW w:w="9917"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ascii="宋体" w:hAnsi="宋体"/>
                <w:color w:val="auto"/>
                <w:sz w:val="24"/>
              </w:rPr>
              <w:t>有专人管理的公厕应按处部规定时间开门服务（具体时间根据季节变换另定）。</w:t>
            </w:r>
          </w:p>
        </w:tc>
        <w:tc>
          <w:tcPr>
            <w:tcW w:w="31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未做到每发现一次扣0.3分</w:t>
            </w:r>
          </w:p>
        </w:tc>
      </w:tr>
    </w:tbl>
    <w:p>
      <w:pPr>
        <w:shd w:val="clear"/>
        <w:rPr>
          <w:color w:val="auto"/>
          <w:sz w:val="24"/>
        </w:rPr>
      </w:pPr>
    </w:p>
    <w:p>
      <w:pPr>
        <w:shd w:val="clear"/>
        <w:rPr>
          <w:color w:val="auto"/>
          <w:sz w:val="24"/>
        </w:rPr>
      </w:pPr>
    </w:p>
    <w:p>
      <w:pPr>
        <w:shd w:val="clear"/>
        <w:rPr>
          <w:color w:val="auto"/>
          <w:sz w:val="24"/>
        </w:rPr>
      </w:pPr>
    </w:p>
    <w:p>
      <w:pPr>
        <w:shd w:val="clear"/>
        <w:rPr>
          <w:color w:val="auto"/>
          <w:sz w:val="24"/>
        </w:rPr>
      </w:pPr>
    </w:p>
    <w:p>
      <w:pPr>
        <w:shd w:val="clear"/>
        <w:rPr>
          <w:color w:val="auto"/>
          <w:sz w:val="24"/>
        </w:rPr>
      </w:pPr>
    </w:p>
    <w:p>
      <w:pPr>
        <w:shd w:val="clear"/>
        <w:jc w:val="center"/>
        <w:rPr>
          <w:b/>
          <w:color w:val="auto"/>
          <w:sz w:val="32"/>
          <w:szCs w:val="32"/>
        </w:rPr>
      </w:pPr>
      <w:r>
        <w:rPr>
          <w:rFonts w:hint="eastAsia"/>
          <w:b/>
          <w:color w:val="auto"/>
          <w:sz w:val="32"/>
          <w:szCs w:val="32"/>
        </w:rPr>
        <w:t>附表三  垃圾收集清运质量考核标准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9739"/>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spacing w:line="320" w:lineRule="exact"/>
              <w:jc w:val="center"/>
              <w:rPr>
                <w:rFonts w:ascii="宋体" w:hAnsi="宋体"/>
                <w:color w:val="auto"/>
                <w:sz w:val="24"/>
              </w:rPr>
            </w:pPr>
            <w:r>
              <w:rPr>
                <w:rFonts w:hint="eastAsia" w:ascii="宋体" w:hAnsi="宋体"/>
                <w:color w:val="auto"/>
                <w:sz w:val="24"/>
              </w:rPr>
              <w:t>序号</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卫生质量考核标准</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考核评分标准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1</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color w:val="auto"/>
                <w:sz w:val="24"/>
              </w:rPr>
              <w:t>按日产日清要求收集垃圾，不得漏点和任意撤点，</w:t>
            </w:r>
            <w:r>
              <w:rPr>
                <w:rFonts w:hint="eastAsia"/>
                <w:color w:val="auto"/>
                <w:sz w:val="24"/>
              </w:rPr>
              <w:t>桶</w:t>
            </w:r>
            <w:r>
              <w:rPr>
                <w:color w:val="auto"/>
                <w:sz w:val="24"/>
              </w:rPr>
              <w:t>内无沉积垃圾</w:t>
            </w:r>
            <w:r>
              <w:rPr>
                <w:rFonts w:hint="eastAsia"/>
                <w:color w:val="auto"/>
                <w:sz w:val="24"/>
              </w:rPr>
              <w:t>。</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未做到每处每次扣0.2分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2</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color w:val="auto"/>
                <w:sz w:val="24"/>
              </w:rPr>
              <w:t>垃圾桶</w:t>
            </w:r>
            <w:r>
              <w:rPr>
                <w:rFonts w:hint="eastAsia"/>
                <w:color w:val="auto"/>
                <w:sz w:val="24"/>
              </w:rPr>
              <w:t>（果壳箱）</w:t>
            </w:r>
            <w:r>
              <w:rPr>
                <w:color w:val="auto"/>
                <w:sz w:val="24"/>
              </w:rPr>
              <w:t>不得</w:t>
            </w:r>
            <w:r>
              <w:rPr>
                <w:rFonts w:hint="eastAsia"/>
                <w:color w:val="auto"/>
                <w:sz w:val="24"/>
              </w:rPr>
              <w:t>有</w:t>
            </w:r>
            <w:r>
              <w:rPr>
                <w:color w:val="auto"/>
                <w:sz w:val="24"/>
              </w:rPr>
              <w:t>满溢</w:t>
            </w:r>
            <w:r>
              <w:rPr>
                <w:rFonts w:hint="eastAsia"/>
                <w:color w:val="auto"/>
                <w:sz w:val="24"/>
              </w:rPr>
              <w:t>情况</w:t>
            </w:r>
            <w:r>
              <w:rPr>
                <w:color w:val="auto"/>
                <w:sz w:val="24"/>
              </w:rPr>
              <w:t>，垃圾量多时应及时清运</w:t>
            </w:r>
            <w:r>
              <w:rPr>
                <w:rFonts w:hint="eastAsia"/>
                <w:color w:val="auto"/>
                <w:sz w:val="24"/>
              </w:rPr>
              <w:t>。</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未做到每发现一次扣0.3分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3</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color w:val="auto"/>
                <w:sz w:val="24"/>
              </w:rPr>
              <w:t>桶周围三米内必须打扫干净，不得有建筑垃圾，不得焚烧垃圾</w:t>
            </w:r>
            <w:r>
              <w:rPr>
                <w:rFonts w:hint="eastAsia"/>
                <w:color w:val="auto"/>
                <w:sz w:val="24"/>
              </w:rPr>
              <w:t>。</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未做到每发现一次扣0.2分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4</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color w:val="auto"/>
                <w:sz w:val="24"/>
              </w:rPr>
              <w:t>垃圾桶、底座必须每日二次清洗，保持清洁、完整，桶破损应及时进行调换</w:t>
            </w:r>
            <w:r>
              <w:rPr>
                <w:rFonts w:hint="eastAsia"/>
                <w:color w:val="auto"/>
                <w:sz w:val="24"/>
              </w:rPr>
              <w:t>。</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未做到每发现一次扣0.2分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5</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color w:val="auto"/>
                <w:sz w:val="24"/>
              </w:rPr>
              <w:t>收集清运车辆装载适当，无沿途滴、漏、撒现象，运输车辆必须密闭清运</w:t>
            </w:r>
            <w:r>
              <w:rPr>
                <w:rFonts w:hint="eastAsia"/>
                <w:color w:val="auto"/>
                <w:sz w:val="24"/>
              </w:rPr>
              <w:t>。</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6</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ascii="宋体" w:hAnsi="宋体"/>
                <w:color w:val="auto"/>
                <w:sz w:val="24"/>
              </w:rPr>
              <w:t>蚊蝇孳生季节（4—10月份）垃圾桶（果壳箱）应定时喷洒消毒，</w:t>
            </w:r>
            <w:r>
              <w:rPr>
                <w:color w:val="auto"/>
                <w:sz w:val="24"/>
              </w:rPr>
              <w:t>做到无蝇</w:t>
            </w:r>
            <w:r>
              <w:rPr>
                <w:rFonts w:hint="eastAsia"/>
                <w:color w:val="auto"/>
                <w:sz w:val="24"/>
              </w:rPr>
              <w:t>虫</w:t>
            </w:r>
            <w:r>
              <w:rPr>
                <w:color w:val="auto"/>
                <w:sz w:val="24"/>
              </w:rPr>
              <w:t>活动</w:t>
            </w:r>
            <w:r>
              <w:rPr>
                <w:rFonts w:hint="eastAsia"/>
                <w:color w:val="auto"/>
                <w:sz w:val="24"/>
              </w:rPr>
              <w:t>。</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未做到每处每次扣0.1分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7</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color w:val="auto"/>
                <w:sz w:val="24"/>
              </w:rPr>
              <w:t>每天按规定时间完成垃圾收集清运。</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未做到每次扣0.2分</w:t>
            </w:r>
          </w:p>
        </w:tc>
      </w:tr>
    </w:tbl>
    <w:p>
      <w:pPr>
        <w:shd w:val="clear"/>
        <w:rPr>
          <w:color w:val="auto"/>
          <w:sz w:val="24"/>
        </w:rPr>
      </w:pPr>
    </w:p>
    <w:p>
      <w:pPr>
        <w:shd w:val="clear"/>
        <w:spacing w:line="400" w:lineRule="exact"/>
        <w:rPr>
          <w:rFonts w:hAnsi="宋体"/>
          <w:color w:val="auto"/>
          <w:kern w:val="11"/>
          <w:sz w:val="24"/>
        </w:rPr>
      </w:pPr>
    </w:p>
    <w:p>
      <w:pPr>
        <w:shd w:val="clear"/>
        <w:spacing w:line="400" w:lineRule="exact"/>
        <w:rPr>
          <w:rFonts w:hAnsi="宋体"/>
          <w:color w:val="auto"/>
          <w:kern w:val="11"/>
          <w:sz w:val="24"/>
        </w:rPr>
      </w:pPr>
    </w:p>
    <w:p>
      <w:pPr>
        <w:shd w:val="clear"/>
        <w:spacing w:line="400" w:lineRule="exact"/>
        <w:rPr>
          <w:rFonts w:hAnsi="宋体"/>
          <w:color w:val="auto"/>
          <w:kern w:val="11"/>
          <w:sz w:val="24"/>
        </w:rPr>
      </w:pPr>
    </w:p>
    <w:p>
      <w:pPr>
        <w:shd w:val="clear"/>
        <w:spacing w:line="400" w:lineRule="exact"/>
        <w:rPr>
          <w:rFonts w:hAnsi="宋体"/>
          <w:color w:val="auto"/>
          <w:kern w:val="11"/>
          <w:sz w:val="24"/>
        </w:rPr>
      </w:pPr>
    </w:p>
    <w:p>
      <w:pPr>
        <w:shd w:val="clear"/>
        <w:spacing w:line="400" w:lineRule="exact"/>
        <w:rPr>
          <w:rFonts w:hAnsi="宋体"/>
          <w:color w:val="auto"/>
          <w:kern w:val="11"/>
          <w:sz w:val="24"/>
        </w:rPr>
      </w:pPr>
    </w:p>
    <w:p>
      <w:pPr>
        <w:shd w:val="clear"/>
        <w:spacing w:line="400" w:lineRule="exact"/>
        <w:rPr>
          <w:rFonts w:hAnsi="宋体"/>
          <w:color w:val="auto"/>
          <w:kern w:val="11"/>
          <w:sz w:val="24"/>
        </w:rPr>
      </w:pPr>
    </w:p>
    <w:p>
      <w:pPr>
        <w:shd w:val="clear"/>
        <w:jc w:val="center"/>
        <w:rPr>
          <w:b/>
          <w:color w:val="auto"/>
          <w:sz w:val="32"/>
          <w:szCs w:val="32"/>
        </w:rPr>
        <w:sectPr>
          <w:pgSz w:w="16838" w:h="11906" w:orient="landscape"/>
          <w:pgMar w:top="1797" w:right="1440" w:bottom="1469" w:left="1440" w:header="851" w:footer="992" w:gutter="0"/>
          <w:cols w:space="720" w:num="1"/>
          <w:docGrid w:linePitch="312" w:charSpace="0"/>
        </w:sectPr>
      </w:pPr>
    </w:p>
    <w:p>
      <w:pPr>
        <w:shd w:val="clear"/>
        <w:jc w:val="center"/>
        <w:rPr>
          <w:b/>
          <w:color w:val="auto"/>
          <w:sz w:val="32"/>
          <w:szCs w:val="32"/>
        </w:rPr>
      </w:pPr>
      <w:r>
        <w:rPr>
          <w:rFonts w:hint="eastAsia"/>
          <w:b/>
          <w:color w:val="auto"/>
          <w:sz w:val="32"/>
          <w:szCs w:val="32"/>
        </w:rPr>
        <w:t>附表四  绿地养护保洁质量考核标准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9799"/>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hd w:val="clear"/>
              <w:spacing w:line="320" w:lineRule="exact"/>
              <w:jc w:val="center"/>
              <w:rPr>
                <w:rFonts w:ascii="宋体" w:hAnsi="宋体"/>
                <w:color w:val="auto"/>
                <w:sz w:val="24"/>
              </w:rPr>
            </w:pPr>
            <w:r>
              <w:rPr>
                <w:rFonts w:hint="eastAsia" w:ascii="宋体" w:hAnsi="宋体"/>
                <w:color w:val="auto"/>
                <w:sz w:val="24"/>
              </w:rPr>
              <w:t>序号</w:t>
            </w:r>
          </w:p>
        </w:tc>
        <w:tc>
          <w:tcPr>
            <w:tcW w:w="979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卫生质量考核标准</w:t>
            </w:r>
          </w:p>
        </w:tc>
        <w:tc>
          <w:tcPr>
            <w:tcW w:w="321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考核评分标准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1</w:t>
            </w:r>
          </w:p>
        </w:tc>
        <w:tc>
          <w:tcPr>
            <w:tcW w:w="979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color w:val="auto"/>
                <w:sz w:val="24"/>
              </w:rPr>
              <w:t>按道路要求十二小时保洁，绿地无零星垃圾、瓦砾；无果皮、纸屑等杂物</w:t>
            </w:r>
            <w:r>
              <w:rPr>
                <w:rFonts w:hint="eastAsia"/>
                <w:color w:val="auto"/>
                <w:sz w:val="24"/>
              </w:rPr>
              <w:t>。</w:t>
            </w:r>
          </w:p>
        </w:tc>
        <w:tc>
          <w:tcPr>
            <w:tcW w:w="321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未做到每处每次扣0.2分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2</w:t>
            </w:r>
          </w:p>
        </w:tc>
        <w:tc>
          <w:tcPr>
            <w:tcW w:w="979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color w:val="auto"/>
                <w:sz w:val="24"/>
              </w:rPr>
              <w:t>绿地基本无病虫害发生。</w:t>
            </w:r>
          </w:p>
        </w:tc>
        <w:tc>
          <w:tcPr>
            <w:tcW w:w="321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3</w:t>
            </w:r>
          </w:p>
        </w:tc>
        <w:tc>
          <w:tcPr>
            <w:tcW w:w="979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color w:val="auto"/>
                <w:sz w:val="24"/>
              </w:rPr>
              <w:t>修剪、除虫、死株及时向业主反馈。</w:t>
            </w:r>
          </w:p>
        </w:tc>
        <w:tc>
          <w:tcPr>
            <w:tcW w:w="321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未做到每项扣0.3分</w:t>
            </w:r>
          </w:p>
        </w:tc>
      </w:tr>
    </w:tbl>
    <w:p>
      <w:pPr>
        <w:shd w:val="clear"/>
        <w:rPr>
          <w:b/>
          <w:color w:val="auto"/>
          <w:sz w:val="32"/>
          <w:szCs w:val="32"/>
        </w:rPr>
      </w:pPr>
    </w:p>
    <w:p>
      <w:pPr>
        <w:shd w:val="clear"/>
        <w:jc w:val="center"/>
        <w:rPr>
          <w:b/>
          <w:color w:val="auto"/>
          <w:sz w:val="32"/>
          <w:szCs w:val="32"/>
        </w:rPr>
      </w:pPr>
      <w:r>
        <w:rPr>
          <w:rFonts w:hint="eastAsia"/>
          <w:b/>
          <w:color w:val="auto"/>
          <w:sz w:val="32"/>
          <w:szCs w:val="32"/>
        </w:rPr>
        <w:t>附表五  中转站垃圾收运质量考核标准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9739"/>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spacing w:line="320" w:lineRule="exact"/>
              <w:jc w:val="center"/>
              <w:rPr>
                <w:rFonts w:ascii="宋体" w:hAnsi="宋体"/>
                <w:color w:val="auto"/>
                <w:sz w:val="24"/>
              </w:rPr>
            </w:pPr>
            <w:r>
              <w:rPr>
                <w:rFonts w:hint="eastAsia" w:ascii="宋体" w:hAnsi="宋体"/>
                <w:color w:val="auto"/>
                <w:sz w:val="24"/>
              </w:rPr>
              <w:t>序号</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卫生质量考核标准</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考核评分标准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1</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color w:val="auto"/>
                <w:sz w:val="24"/>
              </w:rPr>
              <w:t>按日产日清要求收集</w:t>
            </w:r>
            <w:r>
              <w:rPr>
                <w:rFonts w:hint="eastAsia"/>
                <w:color w:val="auto"/>
                <w:sz w:val="24"/>
              </w:rPr>
              <w:t>运输</w:t>
            </w:r>
            <w:r>
              <w:rPr>
                <w:color w:val="auto"/>
                <w:sz w:val="24"/>
              </w:rPr>
              <w:t>垃圾</w:t>
            </w:r>
            <w:r>
              <w:rPr>
                <w:rFonts w:hint="eastAsia"/>
                <w:color w:val="auto"/>
                <w:sz w:val="24"/>
              </w:rPr>
              <w:t>至指定地点。</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2</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color w:val="auto"/>
                <w:sz w:val="24"/>
              </w:rPr>
              <w:t>收集清运车辆装载适当，无沿途滴、漏、撒现象，运输车辆必须密闭清运</w:t>
            </w:r>
            <w:r>
              <w:rPr>
                <w:rFonts w:hint="eastAsia"/>
                <w:color w:val="auto"/>
                <w:sz w:val="24"/>
              </w:rPr>
              <w:t>。</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3</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ascii="宋体" w:hAnsi="宋体"/>
                <w:color w:val="auto"/>
                <w:sz w:val="24"/>
              </w:rPr>
              <w:t>蚊蝇孳生季节（4—10月份）中转站周边应定时喷洒消毒，</w:t>
            </w:r>
            <w:r>
              <w:rPr>
                <w:color w:val="auto"/>
                <w:sz w:val="24"/>
              </w:rPr>
              <w:t>做到无蝇</w:t>
            </w:r>
            <w:r>
              <w:rPr>
                <w:rFonts w:hint="eastAsia"/>
                <w:color w:val="auto"/>
                <w:sz w:val="24"/>
              </w:rPr>
              <w:t>虫</w:t>
            </w:r>
            <w:r>
              <w:rPr>
                <w:color w:val="auto"/>
                <w:sz w:val="24"/>
              </w:rPr>
              <w:t>活动</w:t>
            </w:r>
            <w:r>
              <w:rPr>
                <w:rFonts w:hint="eastAsia"/>
                <w:color w:val="auto"/>
                <w:sz w:val="24"/>
              </w:rPr>
              <w:t>。</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未做到每处每次扣0.1分</w:t>
            </w:r>
          </w:p>
        </w:tc>
      </w:tr>
    </w:tbl>
    <w:p>
      <w:pPr>
        <w:shd w:val="clear"/>
        <w:spacing w:line="360" w:lineRule="auto"/>
        <w:rPr>
          <w:rFonts w:ascii="宋体" w:hAnsi="宋体"/>
          <w:b/>
          <w:color w:val="auto"/>
          <w:sz w:val="24"/>
        </w:rPr>
      </w:pPr>
    </w:p>
    <w:p>
      <w:pPr>
        <w:shd w:val="clear"/>
        <w:jc w:val="center"/>
        <w:rPr>
          <w:b/>
          <w:color w:val="auto"/>
          <w:sz w:val="32"/>
          <w:szCs w:val="32"/>
        </w:rPr>
      </w:pPr>
      <w:r>
        <w:rPr>
          <w:rFonts w:hint="eastAsia"/>
          <w:b/>
          <w:color w:val="auto"/>
          <w:sz w:val="32"/>
          <w:szCs w:val="32"/>
        </w:rPr>
        <w:t>附表六  街道办公公共区域保洁卫生质量考核标准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9739"/>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spacing w:line="320" w:lineRule="exact"/>
              <w:jc w:val="center"/>
              <w:rPr>
                <w:rFonts w:ascii="宋体" w:hAnsi="宋体"/>
                <w:color w:val="auto"/>
                <w:sz w:val="24"/>
              </w:rPr>
            </w:pPr>
            <w:r>
              <w:rPr>
                <w:rFonts w:hint="eastAsia" w:ascii="宋体" w:hAnsi="宋体"/>
                <w:color w:val="auto"/>
                <w:sz w:val="24"/>
              </w:rPr>
              <w:t>序号</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卫生质量考核标准</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考核评分标准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1</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color w:val="auto"/>
                <w:sz w:val="24"/>
              </w:rPr>
              <w:t>按街道要求对保洁区域进行精细化保洁，错峰保洁。</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未做到每处每次扣0.2分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2</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color w:val="auto"/>
                <w:sz w:val="24"/>
              </w:rPr>
              <w:t>公共区域地面无污物、污水、浮土。</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未做到每发现一次扣0.3分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3</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color w:val="auto"/>
                <w:sz w:val="24"/>
              </w:rPr>
              <w:t>公厕内部经常保持清洁，附属用品和物品应摆放整齐；地面要保持清洁干燥，墙面砖光洁，坑位整洁，大便器(槽)揩擦干净，内侧无粪便污迹，洁净见底；小便器（槽）无水锈、尿垢、垃圾，沟眼，管道保持畅通。</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未做到每发现一次扣0.2分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4</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color w:val="auto"/>
                <w:sz w:val="24"/>
              </w:rPr>
              <w:t>楼道、扶梯要求清洁、无杂物、无积尘。</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未做到每发现一次扣0.2分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5</w:t>
            </w:r>
          </w:p>
        </w:tc>
        <w:tc>
          <w:tcPr>
            <w:tcW w:w="973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宋体" w:hAnsi="宋体"/>
                <w:color w:val="auto"/>
                <w:sz w:val="24"/>
              </w:rPr>
            </w:pPr>
            <w:r>
              <w:rPr>
                <w:rFonts w:hint="eastAsia"/>
                <w:color w:val="auto"/>
                <w:sz w:val="24"/>
              </w:rPr>
              <w:t>保洁人员保洁时统一着装。</w:t>
            </w:r>
          </w:p>
        </w:tc>
        <w:tc>
          <w:tcPr>
            <w:tcW w:w="313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未做到每发现一次扣2分</w:t>
            </w:r>
          </w:p>
        </w:tc>
      </w:tr>
    </w:tbl>
    <w:p>
      <w:pPr>
        <w:shd w:val="clear"/>
        <w:jc w:val="center"/>
        <w:rPr>
          <w:b/>
          <w:color w:val="auto"/>
          <w:sz w:val="32"/>
          <w:szCs w:val="32"/>
        </w:rPr>
      </w:pPr>
      <w:r>
        <w:rPr>
          <w:rFonts w:hint="eastAsia"/>
          <w:b/>
          <w:color w:val="auto"/>
          <w:sz w:val="32"/>
          <w:szCs w:val="32"/>
        </w:rPr>
        <w:t>附表七  生活垃圾（含厨余垃圾、其他垃圾）收运服务考核表</w:t>
      </w:r>
    </w:p>
    <w:tbl>
      <w:tblPr>
        <w:tblStyle w:val="32"/>
        <w:tblW w:w="13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9468"/>
        <w:gridCol w:w="168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06" w:type="dxa"/>
            <w:vAlign w:val="center"/>
          </w:tcPr>
          <w:p>
            <w:pPr>
              <w:shd w:val="clear"/>
              <w:jc w:val="center"/>
              <w:rPr>
                <w:rFonts w:ascii="宋体" w:hAnsi="宋体" w:cs="宋体"/>
                <w:color w:val="auto"/>
                <w:sz w:val="24"/>
              </w:rPr>
            </w:pPr>
            <w:r>
              <w:rPr>
                <w:rFonts w:hint="eastAsia" w:ascii="宋体" w:hAnsi="宋体" w:cs="宋体"/>
                <w:color w:val="auto"/>
                <w:sz w:val="24"/>
              </w:rPr>
              <w:t>考 核项 目</w:t>
            </w:r>
          </w:p>
        </w:tc>
        <w:tc>
          <w:tcPr>
            <w:tcW w:w="9468" w:type="dxa"/>
            <w:vAlign w:val="center"/>
          </w:tcPr>
          <w:p>
            <w:pPr>
              <w:shd w:val="clear"/>
              <w:jc w:val="center"/>
              <w:rPr>
                <w:rFonts w:ascii="宋体" w:hAnsi="宋体" w:cs="宋体"/>
                <w:color w:val="auto"/>
                <w:sz w:val="24"/>
              </w:rPr>
            </w:pPr>
            <w:r>
              <w:rPr>
                <w:rFonts w:hint="eastAsia" w:ascii="宋体" w:hAnsi="宋体" w:cs="宋体"/>
                <w:color w:val="auto"/>
                <w:sz w:val="24"/>
              </w:rPr>
              <w:t>考核标准</w:t>
            </w:r>
          </w:p>
        </w:tc>
        <w:tc>
          <w:tcPr>
            <w:tcW w:w="1689" w:type="dxa"/>
            <w:vAlign w:val="center"/>
          </w:tcPr>
          <w:p>
            <w:pPr>
              <w:shd w:val="clear"/>
              <w:jc w:val="center"/>
              <w:rPr>
                <w:rFonts w:ascii="宋体" w:hAnsi="宋体" w:cs="宋体"/>
                <w:color w:val="auto"/>
                <w:sz w:val="24"/>
              </w:rPr>
            </w:pPr>
            <w:r>
              <w:rPr>
                <w:rFonts w:hint="eastAsia" w:ascii="宋体" w:hAnsi="宋体" w:cs="宋体"/>
                <w:color w:val="auto"/>
                <w:sz w:val="24"/>
              </w:rPr>
              <w:t>考核情况</w:t>
            </w:r>
          </w:p>
        </w:tc>
        <w:tc>
          <w:tcPr>
            <w:tcW w:w="1076" w:type="dxa"/>
            <w:vAlign w:val="center"/>
          </w:tcPr>
          <w:p>
            <w:pPr>
              <w:shd w:val="clear"/>
              <w:jc w:val="center"/>
              <w:rPr>
                <w:rFonts w:ascii="宋体" w:hAnsi="宋体" w:cs="宋体"/>
                <w:color w:val="auto"/>
                <w:sz w:val="24"/>
              </w:rPr>
            </w:pPr>
            <w:r>
              <w:rPr>
                <w:rFonts w:hint="eastAsia" w:ascii="宋体" w:hAnsi="宋体" w:cs="宋体"/>
                <w:color w:val="auto"/>
                <w:sz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506" w:type="dxa"/>
            <w:vMerge w:val="restart"/>
            <w:vAlign w:val="center"/>
          </w:tcPr>
          <w:p>
            <w:pPr>
              <w:shd w:val="clear"/>
              <w:jc w:val="center"/>
              <w:rPr>
                <w:rFonts w:ascii="宋体" w:hAnsi="宋体" w:cs="宋体"/>
                <w:color w:val="auto"/>
                <w:sz w:val="24"/>
              </w:rPr>
            </w:pPr>
            <w:r>
              <w:rPr>
                <w:rFonts w:hint="eastAsia" w:ascii="宋体" w:hAnsi="宋体" w:cs="宋体"/>
                <w:color w:val="auto"/>
                <w:sz w:val="24"/>
              </w:rPr>
              <w:t>文</w:t>
            </w:r>
          </w:p>
          <w:p>
            <w:pPr>
              <w:shd w:val="clear"/>
              <w:jc w:val="center"/>
              <w:rPr>
                <w:rFonts w:ascii="宋体" w:hAnsi="宋体" w:cs="宋体"/>
                <w:color w:val="auto"/>
                <w:sz w:val="24"/>
              </w:rPr>
            </w:pPr>
            <w:r>
              <w:rPr>
                <w:rFonts w:hint="eastAsia" w:ascii="宋体" w:hAnsi="宋体" w:cs="宋体"/>
                <w:color w:val="auto"/>
                <w:sz w:val="24"/>
              </w:rPr>
              <w:t>明</w:t>
            </w:r>
          </w:p>
          <w:p>
            <w:pPr>
              <w:shd w:val="clear"/>
              <w:jc w:val="center"/>
              <w:rPr>
                <w:rFonts w:ascii="宋体" w:hAnsi="宋体" w:cs="宋体"/>
                <w:color w:val="auto"/>
                <w:sz w:val="24"/>
              </w:rPr>
            </w:pPr>
            <w:r>
              <w:rPr>
                <w:rFonts w:hint="eastAsia" w:ascii="宋体" w:hAnsi="宋体" w:cs="宋体"/>
                <w:color w:val="auto"/>
                <w:sz w:val="24"/>
              </w:rPr>
              <w:t>作</w:t>
            </w:r>
          </w:p>
          <w:p>
            <w:pPr>
              <w:shd w:val="clear"/>
              <w:jc w:val="center"/>
              <w:rPr>
                <w:rFonts w:ascii="宋体" w:hAnsi="宋体" w:cs="宋体"/>
                <w:color w:val="auto"/>
                <w:sz w:val="24"/>
              </w:rPr>
            </w:pPr>
            <w:r>
              <w:rPr>
                <w:rFonts w:hint="eastAsia" w:ascii="宋体" w:hAnsi="宋体" w:cs="宋体"/>
                <w:color w:val="auto"/>
                <w:sz w:val="24"/>
              </w:rPr>
              <w:t>业</w:t>
            </w:r>
          </w:p>
        </w:tc>
        <w:tc>
          <w:tcPr>
            <w:tcW w:w="9468" w:type="dxa"/>
            <w:vAlign w:val="center"/>
          </w:tcPr>
          <w:p>
            <w:pPr>
              <w:shd w:val="clear"/>
              <w:rPr>
                <w:rFonts w:ascii="宋体" w:hAnsi="宋体" w:cs="宋体"/>
                <w:color w:val="auto"/>
                <w:sz w:val="24"/>
              </w:rPr>
            </w:pPr>
            <w:r>
              <w:rPr>
                <w:rFonts w:hint="eastAsia" w:ascii="宋体" w:hAnsi="宋体" w:cs="宋体"/>
                <w:color w:val="auto"/>
                <w:sz w:val="24"/>
              </w:rPr>
              <w:t>1、作业人员统一着装、持证上岗，未做到的每人每次扣0.1分。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06" w:type="dxa"/>
            <w:vMerge w:val="continue"/>
            <w:vAlign w:val="center"/>
          </w:tcPr>
          <w:p>
            <w:pPr>
              <w:shd w:val="clear"/>
              <w:jc w:val="center"/>
              <w:rPr>
                <w:rFonts w:ascii="宋体" w:hAnsi="宋体" w:cs="宋体"/>
                <w:color w:val="auto"/>
                <w:sz w:val="24"/>
              </w:rPr>
            </w:pPr>
          </w:p>
        </w:tc>
        <w:tc>
          <w:tcPr>
            <w:tcW w:w="9468" w:type="dxa"/>
            <w:vAlign w:val="center"/>
          </w:tcPr>
          <w:p>
            <w:pPr>
              <w:shd w:val="clear"/>
              <w:rPr>
                <w:rFonts w:ascii="宋体" w:hAnsi="宋体" w:cs="宋体"/>
                <w:color w:val="auto"/>
                <w:sz w:val="24"/>
              </w:rPr>
            </w:pPr>
            <w:r>
              <w:rPr>
                <w:rFonts w:hint="eastAsia" w:ascii="宋体" w:hAnsi="宋体" w:cs="宋体"/>
                <w:color w:val="auto"/>
                <w:sz w:val="24"/>
              </w:rPr>
              <w:t>2、作业车辆按规范喷涂，统一标示、标识，保持车容干净整洁，无明显异味，未做到每次扣0.2分。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506" w:type="dxa"/>
            <w:vMerge w:val="continue"/>
            <w:vAlign w:val="center"/>
          </w:tcPr>
          <w:p>
            <w:pPr>
              <w:shd w:val="clear"/>
              <w:jc w:val="center"/>
              <w:rPr>
                <w:rFonts w:ascii="宋体" w:hAnsi="宋体" w:cs="宋体"/>
                <w:color w:val="auto"/>
                <w:sz w:val="24"/>
              </w:rPr>
            </w:pPr>
          </w:p>
        </w:tc>
        <w:tc>
          <w:tcPr>
            <w:tcW w:w="9468" w:type="dxa"/>
            <w:vAlign w:val="center"/>
          </w:tcPr>
          <w:p>
            <w:pPr>
              <w:shd w:val="clear"/>
              <w:rPr>
                <w:rFonts w:ascii="宋体" w:hAnsi="宋体" w:cs="宋体"/>
                <w:color w:val="auto"/>
                <w:sz w:val="24"/>
              </w:rPr>
            </w:pPr>
            <w:r>
              <w:rPr>
                <w:rFonts w:hint="eastAsia" w:ascii="宋体" w:hAnsi="宋体" w:cs="宋体"/>
                <w:color w:val="auto"/>
                <w:sz w:val="24"/>
              </w:rPr>
              <w:t>3、车辆在作业时做到服务周到，文明操作，未做到扣0.2分。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06" w:type="dxa"/>
            <w:vMerge w:val="restart"/>
            <w:vAlign w:val="center"/>
          </w:tcPr>
          <w:p>
            <w:pPr>
              <w:shd w:val="clear"/>
              <w:jc w:val="center"/>
              <w:rPr>
                <w:rFonts w:ascii="宋体" w:hAnsi="宋体" w:cs="宋体"/>
                <w:color w:val="auto"/>
                <w:sz w:val="24"/>
              </w:rPr>
            </w:pPr>
            <w:r>
              <w:rPr>
                <w:rFonts w:hint="eastAsia" w:ascii="宋体" w:hAnsi="宋体" w:cs="宋体"/>
                <w:color w:val="auto"/>
                <w:sz w:val="24"/>
              </w:rPr>
              <w:t>禁</w:t>
            </w:r>
          </w:p>
          <w:p>
            <w:pPr>
              <w:shd w:val="clear"/>
              <w:jc w:val="center"/>
              <w:rPr>
                <w:rFonts w:ascii="宋体" w:hAnsi="宋体" w:cs="宋体"/>
                <w:color w:val="auto"/>
                <w:sz w:val="24"/>
              </w:rPr>
            </w:pPr>
            <w:r>
              <w:rPr>
                <w:rFonts w:hint="eastAsia" w:ascii="宋体" w:hAnsi="宋体" w:cs="宋体"/>
                <w:color w:val="auto"/>
                <w:sz w:val="24"/>
              </w:rPr>
              <w:t>止</w:t>
            </w:r>
          </w:p>
          <w:p>
            <w:pPr>
              <w:shd w:val="clear"/>
              <w:jc w:val="center"/>
              <w:rPr>
                <w:rFonts w:ascii="宋体" w:hAnsi="宋体" w:cs="宋体"/>
                <w:color w:val="auto"/>
                <w:sz w:val="24"/>
              </w:rPr>
            </w:pPr>
            <w:r>
              <w:rPr>
                <w:rFonts w:hint="eastAsia" w:ascii="宋体" w:hAnsi="宋体" w:cs="宋体"/>
                <w:color w:val="auto"/>
                <w:sz w:val="24"/>
              </w:rPr>
              <w:t>行</w:t>
            </w:r>
          </w:p>
          <w:p>
            <w:pPr>
              <w:shd w:val="clear"/>
              <w:jc w:val="center"/>
              <w:rPr>
                <w:rFonts w:ascii="宋体" w:hAnsi="宋体" w:cs="宋体"/>
                <w:color w:val="auto"/>
                <w:sz w:val="24"/>
              </w:rPr>
            </w:pPr>
            <w:r>
              <w:rPr>
                <w:rFonts w:hint="eastAsia" w:ascii="宋体" w:hAnsi="宋体" w:cs="宋体"/>
                <w:color w:val="auto"/>
                <w:sz w:val="24"/>
              </w:rPr>
              <w:t>为</w:t>
            </w:r>
          </w:p>
        </w:tc>
        <w:tc>
          <w:tcPr>
            <w:tcW w:w="9468" w:type="dxa"/>
            <w:vAlign w:val="center"/>
          </w:tcPr>
          <w:p>
            <w:pPr>
              <w:shd w:val="clear"/>
              <w:rPr>
                <w:rFonts w:ascii="宋体" w:hAnsi="宋体" w:cs="宋体"/>
                <w:color w:val="auto"/>
                <w:sz w:val="24"/>
              </w:rPr>
            </w:pPr>
            <w:r>
              <w:rPr>
                <w:rFonts w:hint="eastAsia" w:ascii="宋体" w:hAnsi="宋体" w:cs="宋体"/>
                <w:color w:val="auto"/>
                <w:sz w:val="24"/>
              </w:rPr>
              <w:t>1、收运作业过程中不扰民，每发现一次扰民作业，扣0.5分。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506" w:type="dxa"/>
            <w:vMerge w:val="continue"/>
            <w:vAlign w:val="center"/>
          </w:tcPr>
          <w:p>
            <w:pPr>
              <w:shd w:val="clear"/>
              <w:jc w:val="center"/>
              <w:rPr>
                <w:rFonts w:ascii="宋体" w:hAnsi="宋体" w:cs="宋体"/>
                <w:color w:val="auto"/>
                <w:sz w:val="24"/>
              </w:rPr>
            </w:pPr>
          </w:p>
        </w:tc>
        <w:tc>
          <w:tcPr>
            <w:tcW w:w="9468" w:type="dxa"/>
            <w:vAlign w:val="center"/>
          </w:tcPr>
          <w:p>
            <w:pPr>
              <w:shd w:val="clear"/>
              <w:rPr>
                <w:rFonts w:ascii="宋体" w:hAnsi="宋体" w:cs="宋体"/>
                <w:color w:val="auto"/>
                <w:sz w:val="24"/>
              </w:rPr>
            </w:pPr>
            <w:r>
              <w:rPr>
                <w:rFonts w:hint="eastAsia" w:ascii="宋体" w:hAnsi="宋体" w:cs="宋体"/>
                <w:color w:val="auto"/>
                <w:sz w:val="24"/>
              </w:rPr>
              <w:t>2、收运人员在作业过程中及卸料过程严禁吸烟，未做到每次扣0.3分。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506" w:type="dxa"/>
            <w:vMerge w:val="continue"/>
            <w:vAlign w:val="center"/>
          </w:tcPr>
          <w:p>
            <w:pPr>
              <w:shd w:val="clear"/>
              <w:jc w:val="center"/>
              <w:rPr>
                <w:rFonts w:ascii="宋体" w:hAnsi="宋体" w:cs="宋体"/>
                <w:color w:val="auto"/>
                <w:sz w:val="24"/>
              </w:rPr>
            </w:pPr>
          </w:p>
        </w:tc>
        <w:tc>
          <w:tcPr>
            <w:tcW w:w="9468" w:type="dxa"/>
            <w:vAlign w:val="center"/>
          </w:tcPr>
          <w:p>
            <w:pPr>
              <w:shd w:val="clear"/>
              <w:rPr>
                <w:rFonts w:ascii="宋体" w:hAnsi="宋体" w:cs="宋体"/>
                <w:color w:val="auto"/>
                <w:sz w:val="24"/>
              </w:rPr>
            </w:pPr>
            <w:r>
              <w:rPr>
                <w:rFonts w:hint="eastAsia" w:ascii="宋体" w:hAnsi="宋体" w:cs="宋体"/>
                <w:color w:val="auto"/>
                <w:sz w:val="24"/>
              </w:rPr>
              <w:t>3、严禁车辆在沿途中产生滴、漏、撒现象，无拖挂杂物，不装过满并加盖运行，未做到的每次扣0.5分。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06" w:type="dxa"/>
            <w:vMerge w:val="continue"/>
            <w:vAlign w:val="center"/>
          </w:tcPr>
          <w:p>
            <w:pPr>
              <w:shd w:val="clear"/>
              <w:jc w:val="center"/>
              <w:rPr>
                <w:rFonts w:ascii="宋体" w:hAnsi="宋体" w:cs="宋体"/>
                <w:color w:val="auto"/>
                <w:sz w:val="24"/>
              </w:rPr>
            </w:pPr>
          </w:p>
        </w:tc>
        <w:tc>
          <w:tcPr>
            <w:tcW w:w="9468" w:type="dxa"/>
            <w:vAlign w:val="center"/>
          </w:tcPr>
          <w:p>
            <w:pPr>
              <w:shd w:val="clear"/>
              <w:rPr>
                <w:rFonts w:ascii="宋体" w:hAnsi="宋体" w:cs="宋体"/>
                <w:color w:val="auto"/>
                <w:sz w:val="24"/>
              </w:rPr>
            </w:pPr>
            <w:r>
              <w:rPr>
                <w:rFonts w:hint="eastAsia" w:ascii="宋体" w:hAnsi="宋体" w:cs="宋体"/>
                <w:color w:val="auto"/>
                <w:sz w:val="24"/>
              </w:rPr>
              <w:t>4、未经上级主管单位许可，擅自跨区进行垃圾收集运输的，不能明确垃圾收运来源的，未按规定范围进行垃圾收运的，扣除违规车辆当日未按规定范围收集的吨位。并发现一次每次扣1分。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06" w:type="dxa"/>
            <w:vMerge w:val="restart"/>
            <w:vAlign w:val="center"/>
          </w:tcPr>
          <w:p>
            <w:pPr>
              <w:shd w:val="clear"/>
              <w:jc w:val="center"/>
              <w:rPr>
                <w:rFonts w:ascii="宋体" w:hAnsi="宋体" w:cs="宋体"/>
                <w:color w:val="auto"/>
                <w:sz w:val="24"/>
              </w:rPr>
            </w:pPr>
            <w:r>
              <w:rPr>
                <w:rFonts w:hint="eastAsia" w:ascii="宋体" w:hAnsi="宋体" w:cs="宋体"/>
                <w:color w:val="auto"/>
                <w:sz w:val="24"/>
              </w:rPr>
              <w:t>作</w:t>
            </w:r>
          </w:p>
          <w:p>
            <w:pPr>
              <w:shd w:val="clear"/>
              <w:jc w:val="center"/>
              <w:rPr>
                <w:rFonts w:ascii="宋体" w:hAnsi="宋体" w:cs="宋体"/>
                <w:color w:val="auto"/>
                <w:sz w:val="24"/>
              </w:rPr>
            </w:pPr>
            <w:r>
              <w:rPr>
                <w:rFonts w:hint="eastAsia" w:ascii="宋体" w:hAnsi="宋体" w:cs="宋体"/>
                <w:color w:val="auto"/>
                <w:sz w:val="24"/>
              </w:rPr>
              <w:t>业</w:t>
            </w:r>
          </w:p>
          <w:p>
            <w:pPr>
              <w:shd w:val="clear"/>
              <w:jc w:val="center"/>
              <w:rPr>
                <w:rFonts w:ascii="宋体" w:hAnsi="宋体" w:cs="宋体"/>
                <w:color w:val="auto"/>
                <w:sz w:val="24"/>
              </w:rPr>
            </w:pPr>
            <w:r>
              <w:rPr>
                <w:rFonts w:hint="eastAsia" w:ascii="宋体" w:hAnsi="宋体" w:cs="宋体"/>
                <w:color w:val="auto"/>
                <w:sz w:val="24"/>
              </w:rPr>
              <w:t>质</w:t>
            </w:r>
          </w:p>
          <w:p>
            <w:pPr>
              <w:shd w:val="clear"/>
              <w:jc w:val="center"/>
              <w:rPr>
                <w:rFonts w:ascii="宋体" w:hAnsi="宋体" w:cs="宋体"/>
                <w:color w:val="auto"/>
                <w:sz w:val="24"/>
              </w:rPr>
            </w:pPr>
            <w:r>
              <w:rPr>
                <w:rFonts w:hint="eastAsia" w:ascii="宋体" w:hAnsi="宋体" w:cs="宋体"/>
                <w:color w:val="auto"/>
                <w:sz w:val="24"/>
              </w:rPr>
              <w:t>量</w:t>
            </w:r>
          </w:p>
        </w:tc>
        <w:tc>
          <w:tcPr>
            <w:tcW w:w="9468" w:type="dxa"/>
            <w:vAlign w:val="center"/>
          </w:tcPr>
          <w:p>
            <w:pPr>
              <w:shd w:val="clear"/>
              <w:rPr>
                <w:rFonts w:ascii="宋体" w:hAnsi="宋体" w:cs="宋体"/>
                <w:color w:val="auto"/>
                <w:sz w:val="24"/>
              </w:rPr>
            </w:pPr>
            <w:r>
              <w:rPr>
                <w:rFonts w:hint="eastAsia" w:ascii="宋体" w:hAnsi="宋体" w:cs="宋体"/>
                <w:color w:val="auto"/>
                <w:sz w:val="24"/>
              </w:rPr>
              <w:t>1、收运作业前，检查垃圾桶垃圾分类情况，未正确分类的拍照上传至上级管理部门，分类不到位的拒收，未做到的每次扣0.3分。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506" w:type="dxa"/>
            <w:vMerge w:val="continue"/>
            <w:vAlign w:val="center"/>
          </w:tcPr>
          <w:p>
            <w:pPr>
              <w:shd w:val="clear"/>
              <w:rPr>
                <w:rFonts w:ascii="宋体" w:hAnsi="宋体" w:cs="宋体"/>
                <w:color w:val="auto"/>
                <w:sz w:val="24"/>
              </w:rPr>
            </w:pPr>
          </w:p>
        </w:tc>
        <w:tc>
          <w:tcPr>
            <w:tcW w:w="9468" w:type="dxa"/>
            <w:vAlign w:val="center"/>
          </w:tcPr>
          <w:p>
            <w:pPr>
              <w:shd w:val="clear"/>
              <w:rPr>
                <w:rFonts w:ascii="宋体" w:hAnsi="宋体" w:cs="宋体"/>
                <w:color w:val="auto"/>
                <w:sz w:val="24"/>
              </w:rPr>
            </w:pPr>
            <w:r>
              <w:rPr>
                <w:rFonts w:hint="eastAsia" w:ascii="宋体" w:hAnsi="宋体" w:cs="宋体"/>
                <w:color w:val="auto"/>
                <w:sz w:val="24"/>
              </w:rPr>
              <w:t>2、收运作业时需按规范铺设防污垫毯，防止滴漏撒，未做到每次扣0.3分。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06" w:type="dxa"/>
            <w:vMerge w:val="continue"/>
            <w:vAlign w:val="center"/>
          </w:tcPr>
          <w:p>
            <w:pPr>
              <w:shd w:val="clear"/>
              <w:rPr>
                <w:rFonts w:ascii="宋体" w:hAnsi="宋体" w:cs="宋体"/>
                <w:color w:val="auto"/>
                <w:sz w:val="24"/>
              </w:rPr>
            </w:pPr>
          </w:p>
        </w:tc>
        <w:tc>
          <w:tcPr>
            <w:tcW w:w="9468" w:type="dxa"/>
            <w:vAlign w:val="center"/>
          </w:tcPr>
          <w:p>
            <w:pPr>
              <w:shd w:val="clear"/>
              <w:rPr>
                <w:rFonts w:ascii="宋体" w:hAnsi="宋体" w:cs="宋体"/>
                <w:color w:val="auto"/>
                <w:sz w:val="24"/>
              </w:rPr>
            </w:pPr>
            <w:r>
              <w:rPr>
                <w:rFonts w:hint="eastAsia" w:ascii="宋体" w:hAnsi="宋体" w:cs="宋体"/>
                <w:color w:val="auto"/>
                <w:sz w:val="24"/>
              </w:rPr>
              <w:t>3、按规定收运时间及收运次数进行收运，操作完毕后必须将垃圾桶放回原处并摆放整齐，未做到每次扣0.3分。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506" w:type="dxa"/>
            <w:vMerge w:val="continue"/>
            <w:vAlign w:val="center"/>
          </w:tcPr>
          <w:p>
            <w:pPr>
              <w:shd w:val="clear"/>
              <w:rPr>
                <w:rFonts w:ascii="宋体" w:hAnsi="宋体" w:cs="宋体"/>
                <w:color w:val="auto"/>
                <w:sz w:val="24"/>
              </w:rPr>
            </w:pPr>
          </w:p>
        </w:tc>
        <w:tc>
          <w:tcPr>
            <w:tcW w:w="9468" w:type="dxa"/>
            <w:vAlign w:val="center"/>
          </w:tcPr>
          <w:p>
            <w:pPr>
              <w:shd w:val="clear"/>
              <w:rPr>
                <w:rFonts w:ascii="宋体" w:hAnsi="宋体" w:cs="宋体"/>
                <w:color w:val="auto"/>
                <w:sz w:val="24"/>
              </w:rPr>
            </w:pPr>
            <w:r>
              <w:rPr>
                <w:rFonts w:hint="eastAsia" w:ascii="宋体" w:hAnsi="宋体" w:cs="宋体"/>
                <w:color w:val="auto"/>
                <w:sz w:val="24"/>
              </w:rPr>
              <w:t>4、未按上报的公交化收运路线及约定时间（前后半小时）进行收运，如发现偷站漏站的，每发现一起，扣0.5分。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506" w:type="dxa"/>
            <w:vMerge w:val="continue"/>
            <w:vAlign w:val="center"/>
          </w:tcPr>
          <w:p>
            <w:pPr>
              <w:shd w:val="clear"/>
              <w:rPr>
                <w:rFonts w:ascii="宋体" w:hAnsi="宋体" w:cs="宋体"/>
                <w:color w:val="auto"/>
                <w:sz w:val="24"/>
              </w:rPr>
            </w:pPr>
          </w:p>
        </w:tc>
        <w:tc>
          <w:tcPr>
            <w:tcW w:w="9468" w:type="dxa"/>
            <w:vAlign w:val="center"/>
          </w:tcPr>
          <w:p>
            <w:pPr>
              <w:shd w:val="clear"/>
              <w:rPr>
                <w:rFonts w:ascii="宋体" w:hAnsi="宋体" w:cs="宋体"/>
                <w:color w:val="auto"/>
                <w:sz w:val="24"/>
              </w:rPr>
            </w:pPr>
            <w:r>
              <w:rPr>
                <w:rFonts w:hint="eastAsia" w:ascii="宋体" w:hAnsi="宋体" w:cs="宋体"/>
                <w:color w:val="auto"/>
                <w:sz w:val="24"/>
              </w:rPr>
              <w:t>5、未按约定时间（前后半小时）收运的每次扣0.3分。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506" w:type="dxa"/>
            <w:vMerge w:val="continue"/>
            <w:vAlign w:val="center"/>
          </w:tcPr>
          <w:p>
            <w:pPr>
              <w:shd w:val="clear"/>
              <w:rPr>
                <w:rFonts w:ascii="宋体" w:hAnsi="宋体" w:cs="宋体"/>
                <w:color w:val="auto"/>
                <w:sz w:val="24"/>
              </w:rPr>
            </w:pPr>
          </w:p>
        </w:tc>
        <w:tc>
          <w:tcPr>
            <w:tcW w:w="9468" w:type="dxa"/>
            <w:vAlign w:val="center"/>
          </w:tcPr>
          <w:p>
            <w:pPr>
              <w:shd w:val="clear"/>
              <w:rPr>
                <w:rFonts w:ascii="宋体" w:hAnsi="宋体" w:cs="宋体"/>
                <w:color w:val="auto"/>
                <w:sz w:val="24"/>
              </w:rPr>
            </w:pPr>
            <w:r>
              <w:rPr>
                <w:rFonts w:hint="eastAsia" w:ascii="宋体" w:hAnsi="宋体" w:cs="宋体"/>
                <w:color w:val="auto"/>
                <w:sz w:val="24"/>
              </w:rPr>
              <w:t>6、车辆收运过程中，不得加装过满，车辆超载行驶，每发现一次扣0.5分。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06" w:type="dxa"/>
            <w:vMerge w:val="continue"/>
            <w:vAlign w:val="center"/>
          </w:tcPr>
          <w:p>
            <w:pPr>
              <w:shd w:val="clear"/>
              <w:rPr>
                <w:rFonts w:ascii="宋体" w:hAnsi="宋体" w:cs="宋体"/>
                <w:color w:val="auto"/>
                <w:sz w:val="24"/>
              </w:rPr>
            </w:pPr>
          </w:p>
        </w:tc>
        <w:tc>
          <w:tcPr>
            <w:tcW w:w="9468" w:type="dxa"/>
            <w:vAlign w:val="center"/>
          </w:tcPr>
          <w:p>
            <w:pPr>
              <w:shd w:val="clear"/>
              <w:rPr>
                <w:rFonts w:ascii="宋体" w:hAnsi="宋体" w:cs="宋体"/>
                <w:color w:val="auto"/>
                <w:sz w:val="24"/>
              </w:rPr>
            </w:pPr>
            <w:r>
              <w:rPr>
                <w:rFonts w:hint="eastAsia" w:ascii="宋体" w:hAnsi="宋体" w:cs="宋体"/>
                <w:color w:val="auto"/>
                <w:sz w:val="24"/>
              </w:rPr>
              <w:t>7、每个点位收运结束后，对车辆进料口及收集场所进行打扫，防止收运车辆滴漏撒，保持收集点干净整洁。未做到每次扣0.3分。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06" w:type="dxa"/>
            <w:vMerge w:val="restart"/>
            <w:vAlign w:val="center"/>
          </w:tcPr>
          <w:p>
            <w:pPr>
              <w:shd w:val="clear"/>
              <w:jc w:val="center"/>
              <w:rPr>
                <w:rFonts w:ascii="宋体" w:hAnsi="宋体" w:cs="宋体"/>
                <w:color w:val="auto"/>
                <w:sz w:val="24"/>
              </w:rPr>
            </w:pPr>
            <w:r>
              <w:rPr>
                <w:rFonts w:hint="eastAsia" w:ascii="宋体" w:hAnsi="宋体" w:cs="宋体"/>
                <w:color w:val="auto"/>
                <w:sz w:val="24"/>
              </w:rPr>
              <w:t>安</w:t>
            </w:r>
          </w:p>
          <w:p>
            <w:pPr>
              <w:shd w:val="clear"/>
              <w:jc w:val="center"/>
              <w:rPr>
                <w:rFonts w:ascii="宋体" w:hAnsi="宋体" w:cs="宋体"/>
                <w:color w:val="auto"/>
                <w:sz w:val="24"/>
              </w:rPr>
            </w:pPr>
            <w:r>
              <w:rPr>
                <w:rFonts w:hint="eastAsia" w:ascii="宋体" w:hAnsi="宋体" w:cs="宋体"/>
                <w:color w:val="auto"/>
                <w:sz w:val="24"/>
              </w:rPr>
              <w:t>全</w:t>
            </w:r>
          </w:p>
          <w:p>
            <w:pPr>
              <w:shd w:val="clear"/>
              <w:jc w:val="center"/>
              <w:rPr>
                <w:rFonts w:ascii="宋体" w:hAnsi="宋体" w:cs="宋体"/>
                <w:color w:val="auto"/>
                <w:sz w:val="24"/>
              </w:rPr>
            </w:pPr>
            <w:r>
              <w:rPr>
                <w:rFonts w:hint="eastAsia" w:ascii="宋体" w:hAnsi="宋体" w:cs="宋体"/>
                <w:color w:val="auto"/>
                <w:sz w:val="24"/>
              </w:rPr>
              <w:t>作</w:t>
            </w:r>
          </w:p>
          <w:p>
            <w:pPr>
              <w:shd w:val="clear"/>
              <w:jc w:val="center"/>
              <w:rPr>
                <w:rFonts w:ascii="宋体" w:hAnsi="宋体" w:cs="宋体"/>
                <w:color w:val="auto"/>
                <w:sz w:val="24"/>
              </w:rPr>
            </w:pPr>
            <w:r>
              <w:rPr>
                <w:rFonts w:hint="eastAsia" w:ascii="宋体" w:hAnsi="宋体" w:cs="宋体"/>
                <w:color w:val="auto"/>
                <w:sz w:val="24"/>
              </w:rPr>
              <w:t>业</w:t>
            </w:r>
          </w:p>
        </w:tc>
        <w:tc>
          <w:tcPr>
            <w:tcW w:w="9468" w:type="dxa"/>
            <w:vAlign w:val="center"/>
          </w:tcPr>
          <w:p>
            <w:pPr>
              <w:shd w:val="clear"/>
              <w:rPr>
                <w:rFonts w:ascii="宋体" w:hAnsi="宋体" w:cs="宋体"/>
                <w:color w:val="auto"/>
                <w:sz w:val="24"/>
              </w:rPr>
            </w:pPr>
            <w:r>
              <w:rPr>
                <w:rFonts w:hint="eastAsia" w:ascii="宋体" w:hAnsi="宋体" w:cs="宋体"/>
                <w:color w:val="auto"/>
                <w:sz w:val="24"/>
              </w:rPr>
              <w:t>1、收运驾驶员应具备B2以上驾驶证，经公司入职培训上岗，以上未做到每项扣0.5分。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506" w:type="dxa"/>
            <w:vMerge w:val="continue"/>
            <w:vAlign w:val="center"/>
          </w:tcPr>
          <w:p>
            <w:pPr>
              <w:shd w:val="clear"/>
              <w:rPr>
                <w:rFonts w:ascii="宋体" w:hAnsi="宋体" w:cs="宋体"/>
                <w:color w:val="auto"/>
                <w:sz w:val="24"/>
              </w:rPr>
            </w:pPr>
          </w:p>
        </w:tc>
        <w:tc>
          <w:tcPr>
            <w:tcW w:w="9468" w:type="dxa"/>
            <w:vAlign w:val="center"/>
          </w:tcPr>
          <w:p>
            <w:pPr>
              <w:shd w:val="clear"/>
              <w:rPr>
                <w:rFonts w:ascii="宋体" w:hAnsi="宋体" w:cs="宋体"/>
                <w:color w:val="auto"/>
                <w:sz w:val="24"/>
              </w:rPr>
            </w:pPr>
            <w:r>
              <w:rPr>
                <w:rFonts w:hint="eastAsia" w:ascii="宋体" w:hAnsi="宋体" w:cs="宋体"/>
                <w:color w:val="auto"/>
                <w:sz w:val="24"/>
              </w:rPr>
              <w:t>2、收运驾驶员要遵守交通规则，文明驾驶车辆，不妨碍交通，做到礼让斑马线，以上未做到每项扣0.5分。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506" w:type="dxa"/>
            <w:vMerge w:val="continue"/>
            <w:vAlign w:val="center"/>
          </w:tcPr>
          <w:p>
            <w:pPr>
              <w:shd w:val="clear"/>
              <w:rPr>
                <w:rFonts w:ascii="宋体" w:hAnsi="宋体" w:cs="宋体"/>
                <w:color w:val="auto"/>
                <w:sz w:val="24"/>
              </w:rPr>
            </w:pPr>
          </w:p>
        </w:tc>
        <w:tc>
          <w:tcPr>
            <w:tcW w:w="9468" w:type="dxa"/>
            <w:vAlign w:val="center"/>
          </w:tcPr>
          <w:p>
            <w:pPr>
              <w:shd w:val="clear"/>
              <w:rPr>
                <w:rFonts w:ascii="宋体" w:hAnsi="宋体" w:cs="宋体"/>
                <w:color w:val="auto"/>
                <w:sz w:val="24"/>
              </w:rPr>
            </w:pPr>
            <w:r>
              <w:rPr>
                <w:rFonts w:hint="eastAsia" w:ascii="宋体" w:hAnsi="宋体" w:cs="宋体"/>
                <w:color w:val="auto"/>
                <w:sz w:val="24"/>
              </w:rPr>
              <w:t>3、收运过程确保安全，始终遵照安全规范进行操作，发现一次存在危险作业行为，扣0.5分；出现危险作业并产生严重后果的，扣1分。</w:t>
            </w:r>
          </w:p>
        </w:tc>
        <w:tc>
          <w:tcPr>
            <w:tcW w:w="1689" w:type="dxa"/>
            <w:vAlign w:val="center"/>
          </w:tcPr>
          <w:p>
            <w:pPr>
              <w:shd w:val="clear"/>
              <w:rPr>
                <w:rFonts w:ascii="宋体" w:hAnsi="宋体" w:cs="宋体"/>
                <w:color w:val="auto"/>
                <w:sz w:val="24"/>
              </w:rPr>
            </w:pPr>
          </w:p>
        </w:tc>
        <w:tc>
          <w:tcPr>
            <w:tcW w:w="1076" w:type="dxa"/>
            <w:vAlign w:val="center"/>
          </w:tcPr>
          <w:p>
            <w:pPr>
              <w:shd w:val="clear"/>
              <w:rPr>
                <w:rFonts w:ascii="宋体" w:hAnsi="宋体" w:cs="宋体"/>
                <w:color w:val="auto"/>
                <w:sz w:val="24"/>
              </w:rPr>
            </w:pPr>
          </w:p>
        </w:tc>
      </w:tr>
    </w:tbl>
    <w:p>
      <w:pPr>
        <w:shd w:val="clear"/>
        <w:jc w:val="center"/>
        <w:rPr>
          <w:b/>
          <w:color w:val="auto"/>
          <w:sz w:val="32"/>
          <w:szCs w:val="32"/>
        </w:rPr>
        <w:sectPr>
          <w:pgSz w:w="16838" w:h="11906" w:orient="landscape"/>
          <w:pgMar w:top="1797" w:right="1440" w:bottom="1469" w:left="1440" w:header="851" w:footer="992" w:gutter="0"/>
          <w:cols w:space="720" w:num="1"/>
          <w:docGrid w:linePitch="312" w:charSpace="0"/>
        </w:sectPr>
      </w:pPr>
    </w:p>
    <w:p>
      <w:pPr>
        <w:pStyle w:val="3"/>
        <w:keepLines w:val="0"/>
        <w:shd w:val="clear"/>
        <w:spacing w:before="0" w:after="0"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四、商务要求表</w:t>
      </w:r>
    </w:p>
    <w:tbl>
      <w:tblPr>
        <w:tblStyle w:val="32"/>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7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00" w:type="dxa"/>
            <w:vAlign w:val="center"/>
          </w:tcPr>
          <w:p>
            <w:pPr>
              <w:shd w:val="clear"/>
              <w:adjustRightInd w:val="0"/>
              <w:snapToGrid w:val="0"/>
              <w:spacing w:line="440" w:lineRule="exact"/>
              <w:jc w:val="center"/>
              <w:rPr>
                <w:rFonts w:ascii="宋体" w:cs="宋体"/>
                <w:bCs/>
                <w:color w:val="auto"/>
              </w:rPr>
            </w:pPr>
            <w:r>
              <w:rPr>
                <w:rFonts w:hint="eastAsia" w:ascii="宋体" w:cs="宋体"/>
                <w:bCs/>
                <w:color w:val="auto"/>
              </w:rPr>
              <w:t>内容</w:t>
            </w:r>
          </w:p>
        </w:tc>
        <w:tc>
          <w:tcPr>
            <w:tcW w:w="7844" w:type="dxa"/>
            <w:vAlign w:val="center"/>
          </w:tcPr>
          <w:p>
            <w:pPr>
              <w:shd w:val="clear"/>
              <w:adjustRightInd w:val="0"/>
              <w:snapToGrid w:val="0"/>
              <w:spacing w:line="440" w:lineRule="exact"/>
              <w:jc w:val="center"/>
              <w:rPr>
                <w:rFonts w:ascii="宋体" w:cs="宋体"/>
                <w:color w:val="auto"/>
                <w:kern w:val="0"/>
                <w:szCs w:val="21"/>
              </w:rPr>
            </w:pPr>
            <w:r>
              <w:rPr>
                <w:rFonts w:hint="eastAsia" w:ascii="宋体" w:cs="宋体"/>
                <w:color w:val="auto"/>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00" w:type="dxa"/>
            <w:vAlign w:val="center"/>
          </w:tcPr>
          <w:p>
            <w:pPr>
              <w:shd w:val="clear"/>
              <w:adjustRightInd w:val="0"/>
              <w:snapToGrid w:val="0"/>
              <w:spacing w:line="440" w:lineRule="exact"/>
              <w:jc w:val="center"/>
              <w:rPr>
                <w:rFonts w:ascii="宋体" w:cs="宋体"/>
                <w:bCs/>
                <w:color w:val="auto"/>
              </w:rPr>
            </w:pPr>
            <w:r>
              <w:rPr>
                <w:rFonts w:hint="eastAsia" w:ascii="宋体" w:cs="宋体"/>
                <w:bCs/>
                <w:color w:val="auto"/>
              </w:rPr>
              <w:t>投标报价</w:t>
            </w:r>
          </w:p>
        </w:tc>
        <w:tc>
          <w:tcPr>
            <w:tcW w:w="7844" w:type="dxa"/>
            <w:vAlign w:val="center"/>
          </w:tcPr>
          <w:p>
            <w:pPr>
              <w:shd w:val="clear"/>
              <w:adjustRightInd w:val="0"/>
              <w:snapToGrid w:val="0"/>
              <w:spacing w:line="440" w:lineRule="exact"/>
              <w:rPr>
                <w:rFonts w:ascii="宋体" w:hAnsi="宋体" w:cs="宋体"/>
                <w:color w:val="auto"/>
              </w:rPr>
            </w:pPr>
            <w:r>
              <w:rPr>
                <w:rFonts w:hint="eastAsia" w:ascii="宋体" w:hAnsi="宋体" w:cs="宋体"/>
                <w:color w:val="auto"/>
              </w:rPr>
              <w:t>1、投标报价是履行合同的最终价格，包含购买服务需交纳的所有税费及其他一切相关费用，投标人少报或漏报的工作量，采购人将视为已包含在投标总价中，并不予调整。</w:t>
            </w:r>
          </w:p>
          <w:p>
            <w:pPr>
              <w:shd w:val="clear"/>
              <w:adjustRightInd w:val="0"/>
              <w:snapToGrid w:val="0"/>
              <w:spacing w:line="440" w:lineRule="exact"/>
              <w:rPr>
                <w:rFonts w:ascii="宋体" w:hAnsi="宋体" w:cs="宋体"/>
                <w:color w:val="auto"/>
              </w:rPr>
            </w:pPr>
            <w:r>
              <w:rPr>
                <w:rFonts w:hint="eastAsia" w:ascii="宋体" w:hAnsi="宋体" w:cs="宋体"/>
                <w:color w:val="auto"/>
              </w:rPr>
              <w:t>2、投标文件只允许有一个报价，有选择的或有条件的报价将不予接受。</w:t>
            </w:r>
          </w:p>
          <w:p>
            <w:pPr>
              <w:shd w:val="clear"/>
              <w:adjustRightInd w:val="0"/>
              <w:snapToGrid w:val="0"/>
              <w:spacing w:line="440" w:lineRule="exact"/>
              <w:rPr>
                <w:rFonts w:ascii="宋体" w:hAnsi="宋体" w:cs="宋体"/>
                <w:color w:val="auto"/>
              </w:rPr>
            </w:pPr>
            <w:r>
              <w:rPr>
                <w:rFonts w:hint="eastAsia" w:ascii="宋体" w:hAnsi="宋体" w:cs="宋体"/>
                <w:color w:val="auto"/>
              </w:rPr>
              <w:t>3、电子交易平台客户端里开标一览表录入的投标报价和优惠率与扫描上传的报价文件不一致的，以扫描上传的报价文件为准。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00" w:type="dxa"/>
            <w:vAlign w:val="center"/>
          </w:tcPr>
          <w:p>
            <w:pPr>
              <w:shd w:val="clear"/>
              <w:adjustRightInd w:val="0"/>
              <w:snapToGrid w:val="0"/>
              <w:spacing w:line="440" w:lineRule="exact"/>
              <w:jc w:val="center"/>
              <w:rPr>
                <w:rFonts w:ascii="宋体" w:cs="宋体"/>
                <w:bCs/>
                <w:color w:val="auto"/>
              </w:rPr>
            </w:pPr>
            <w:r>
              <w:rPr>
                <w:rFonts w:hint="eastAsia" w:ascii="宋体" w:cs="宋体"/>
                <w:bCs/>
                <w:color w:val="auto"/>
              </w:rPr>
              <w:t>服务期限</w:t>
            </w:r>
          </w:p>
        </w:tc>
        <w:tc>
          <w:tcPr>
            <w:tcW w:w="7844" w:type="dxa"/>
            <w:vAlign w:val="center"/>
          </w:tcPr>
          <w:p>
            <w:pPr>
              <w:shd w:val="clear"/>
              <w:adjustRightInd w:val="0"/>
              <w:snapToGrid w:val="0"/>
              <w:spacing w:line="440" w:lineRule="exact"/>
              <w:rPr>
                <w:rFonts w:ascii="宋体" w:hAnsi="宋体" w:cs="宋体"/>
                <w:color w:val="auto"/>
              </w:rPr>
            </w:pPr>
            <w:r>
              <w:rPr>
                <w:rFonts w:hint="eastAsia" w:ascii="宋体" w:hAnsi="宋体" w:cs="宋体"/>
                <w:color w:val="auto"/>
              </w:rPr>
              <w:t>合同签订之日起一年（2022年11月10日至2023年11月09日；其中农村其他垃圾清运服务期限为2023年06月01日至2023年11月09日；以上时间为暂定时间，具体以合同签订生效之日起计算）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00" w:type="dxa"/>
            <w:vAlign w:val="center"/>
          </w:tcPr>
          <w:p>
            <w:pPr>
              <w:shd w:val="clear"/>
              <w:adjustRightInd w:val="0"/>
              <w:snapToGrid w:val="0"/>
              <w:spacing w:line="440" w:lineRule="exact"/>
              <w:jc w:val="center"/>
              <w:rPr>
                <w:rFonts w:ascii="宋体" w:cs="宋体"/>
                <w:bCs/>
                <w:color w:val="auto"/>
              </w:rPr>
            </w:pPr>
            <w:r>
              <w:rPr>
                <w:rFonts w:hint="eastAsia" w:ascii="宋体" w:cs="宋体"/>
                <w:bCs/>
                <w:color w:val="auto"/>
              </w:rPr>
              <w:t>履约保证金</w:t>
            </w:r>
          </w:p>
        </w:tc>
        <w:tc>
          <w:tcPr>
            <w:tcW w:w="7844" w:type="dxa"/>
            <w:vAlign w:val="center"/>
          </w:tcPr>
          <w:p>
            <w:pPr>
              <w:shd w:val="clear"/>
              <w:adjustRightInd w:val="0"/>
              <w:snapToGrid w:val="0"/>
              <w:spacing w:line="440" w:lineRule="exact"/>
              <w:rPr>
                <w:rFonts w:ascii="宋体" w:hAnsi="宋体" w:cs="宋体"/>
                <w:color w:val="auto"/>
              </w:rPr>
            </w:pPr>
            <w:r>
              <w:rPr>
                <w:rFonts w:hint="eastAsia" w:ascii="宋体" w:hAnsi="宋体" w:cs="宋体"/>
                <w:color w:val="auto"/>
              </w:rPr>
              <w:t>履约保证金</w:t>
            </w:r>
            <w:r>
              <w:rPr>
                <w:rFonts w:ascii="宋体" w:hAnsi="宋体" w:cs="宋体"/>
                <w:color w:val="auto"/>
              </w:rPr>
              <w:t>形式：</w:t>
            </w:r>
            <w:r>
              <w:rPr>
                <w:rFonts w:hint="eastAsia" w:ascii="宋体" w:hAnsi="宋体" w:cs="宋体"/>
                <w:color w:val="auto"/>
              </w:rPr>
              <w:t>银行转账、电汇、银行保函。</w:t>
            </w:r>
          </w:p>
          <w:p>
            <w:pPr>
              <w:shd w:val="clear"/>
              <w:adjustRightInd w:val="0"/>
              <w:snapToGrid w:val="0"/>
              <w:spacing w:line="440" w:lineRule="exact"/>
              <w:rPr>
                <w:rFonts w:ascii="宋体" w:hAnsi="宋体" w:cs="宋体"/>
                <w:color w:val="auto"/>
              </w:rPr>
            </w:pPr>
            <w:r>
              <w:rPr>
                <w:rFonts w:hint="eastAsia" w:ascii="宋体" w:hAnsi="宋体" w:cs="宋体"/>
                <w:color w:val="auto"/>
              </w:rPr>
              <w:t>履约保证金</w:t>
            </w:r>
            <w:r>
              <w:rPr>
                <w:rFonts w:ascii="宋体" w:hAnsi="宋体" w:cs="宋体"/>
                <w:color w:val="auto"/>
              </w:rPr>
              <w:t>的收取及退还：</w:t>
            </w:r>
            <w:r>
              <w:rPr>
                <w:rFonts w:hint="eastAsia" w:ascii="宋体" w:hAnsi="宋体" w:cs="宋体"/>
                <w:color w:val="auto"/>
              </w:rPr>
              <w:t>合同金额的1%。中标人须在合同签订前向招标人交纳履约保证金，合同履行完毕后10日内无息退还。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00" w:type="dxa"/>
            <w:vAlign w:val="center"/>
          </w:tcPr>
          <w:p>
            <w:pPr>
              <w:shd w:val="clear"/>
              <w:adjustRightInd w:val="0"/>
              <w:snapToGrid w:val="0"/>
              <w:spacing w:line="440" w:lineRule="exact"/>
              <w:jc w:val="center"/>
              <w:rPr>
                <w:rFonts w:ascii="宋体" w:cs="宋体"/>
                <w:bCs/>
                <w:color w:val="auto"/>
              </w:rPr>
            </w:pPr>
            <w:r>
              <w:rPr>
                <w:rFonts w:hint="eastAsia" w:ascii="宋体" w:cs="宋体"/>
                <w:bCs/>
                <w:color w:val="auto"/>
              </w:rPr>
              <w:t>付款方式</w:t>
            </w:r>
          </w:p>
        </w:tc>
        <w:tc>
          <w:tcPr>
            <w:tcW w:w="7844" w:type="dxa"/>
            <w:vAlign w:val="center"/>
          </w:tcPr>
          <w:p>
            <w:pPr>
              <w:shd w:val="clear"/>
              <w:adjustRightInd w:val="0"/>
              <w:snapToGrid w:val="0"/>
              <w:spacing w:line="440" w:lineRule="exact"/>
              <w:rPr>
                <w:rFonts w:ascii="宋体" w:hAnsi="宋体" w:cs="宋体"/>
                <w:color w:val="auto"/>
              </w:rPr>
            </w:pPr>
            <w:r>
              <w:rPr>
                <w:rFonts w:hint="eastAsia"/>
                <w:color w:val="auto"/>
                <w:szCs w:val="21"/>
              </w:rPr>
              <w:t>合同签订生效后7个工作日内支付合同价款的30%，剩余部分根据考核结果，按季平均支付给中标人。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00" w:type="dxa"/>
            <w:vAlign w:val="center"/>
          </w:tcPr>
          <w:p>
            <w:pPr>
              <w:shd w:val="clear"/>
              <w:adjustRightInd w:val="0"/>
              <w:snapToGrid w:val="0"/>
              <w:spacing w:line="440" w:lineRule="exact"/>
              <w:jc w:val="center"/>
              <w:rPr>
                <w:rFonts w:ascii="宋体" w:cs="宋体"/>
                <w:bCs/>
                <w:color w:val="auto"/>
              </w:rPr>
            </w:pPr>
            <w:r>
              <w:rPr>
                <w:rFonts w:hint="eastAsia" w:ascii="宋体" w:cs="宋体"/>
                <w:bCs/>
                <w:color w:val="auto"/>
              </w:rPr>
              <w:t>合同终止</w:t>
            </w:r>
          </w:p>
        </w:tc>
        <w:tc>
          <w:tcPr>
            <w:tcW w:w="7844" w:type="dxa"/>
          </w:tcPr>
          <w:p>
            <w:pPr>
              <w:shd w:val="clear"/>
              <w:adjustRightInd w:val="0"/>
              <w:snapToGrid w:val="0"/>
              <w:spacing w:line="440" w:lineRule="exact"/>
              <w:rPr>
                <w:rFonts w:ascii="宋体" w:hAnsi="宋体" w:cs="宋体"/>
                <w:color w:val="auto"/>
              </w:rPr>
            </w:pPr>
            <w:r>
              <w:rPr>
                <w:rFonts w:hint="eastAsia" w:ascii="宋体" w:hAnsi="宋体" w:cs="宋体"/>
                <w:color w:val="auto"/>
              </w:rPr>
              <w:t>中标人在合同有效期内，不得以任何理由终止合同，确有特殊情况的，须提前2个月向采购人提出书面申请，经采购人同意后，方可终止合同。因中标人不能保证工作质量，或发生重大差错事故的，采购人有权终止协议，中标人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00" w:type="dxa"/>
            <w:vAlign w:val="center"/>
          </w:tcPr>
          <w:p>
            <w:pPr>
              <w:shd w:val="clear"/>
              <w:adjustRightInd w:val="0"/>
              <w:snapToGrid w:val="0"/>
              <w:spacing w:line="440" w:lineRule="exact"/>
              <w:jc w:val="center"/>
              <w:rPr>
                <w:rFonts w:ascii="宋体" w:cs="宋体"/>
                <w:bCs/>
                <w:color w:val="auto"/>
              </w:rPr>
            </w:pPr>
            <w:r>
              <w:rPr>
                <w:rFonts w:hint="eastAsia" w:ascii="宋体" w:cs="宋体"/>
                <w:bCs/>
                <w:color w:val="auto"/>
              </w:rPr>
              <w:t>其他</w:t>
            </w:r>
            <w:r>
              <w:rPr>
                <w:rFonts w:ascii="宋体" w:cs="宋体"/>
                <w:bCs/>
                <w:color w:val="auto"/>
              </w:rPr>
              <w:t>事项</w:t>
            </w:r>
          </w:p>
        </w:tc>
        <w:tc>
          <w:tcPr>
            <w:tcW w:w="7844" w:type="dxa"/>
          </w:tcPr>
          <w:p>
            <w:pPr>
              <w:shd w:val="clear"/>
              <w:adjustRightInd w:val="0"/>
              <w:snapToGrid w:val="0"/>
              <w:spacing w:line="440" w:lineRule="exact"/>
              <w:rPr>
                <w:rFonts w:ascii="宋体" w:hAnsi="宋体" w:cs="宋体"/>
                <w:color w:val="auto"/>
              </w:rPr>
            </w:pPr>
            <w:r>
              <w:rPr>
                <w:rFonts w:ascii="宋体" w:hAnsi="宋体" w:cs="宋体"/>
                <w:color w:val="auto"/>
              </w:rPr>
              <w:t>1</w:t>
            </w:r>
            <w:r>
              <w:rPr>
                <w:rFonts w:hint="eastAsia" w:ascii="宋体" w:hAnsi="宋体" w:cs="宋体"/>
                <w:color w:val="auto"/>
              </w:rPr>
              <w:t>、本次项目由一家中标人单位承包，实行统一管理，综合服务，中标人不得将项目分包或整体转包给任何单位和个人，否则招标人有权即刻终止合同，并要求中标人按中标金额的</w:t>
            </w:r>
            <w:r>
              <w:rPr>
                <w:rFonts w:ascii="宋体" w:hAnsi="宋体" w:cs="宋体"/>
                <w:color w:val="auto"/>
              </w:rPr>
              <w:t>10%</w:t>
            </w:r>
            <w:r>
              <w:rPr>
                <w:rFonts w:hint="eastAsia" w:ascii="宋体" w:hAnsi="宋体" w:cs="宋体"/>
                <w:color w:val="auto"/>
              </w:rPr>
              <w:t>赔偿损失。</w:t>
            </w:r>
          </w:p>
          <w:p>
            <w:pPr>
              <w:shd w:val="clear"/>
              <w:adjustRightInd w:val="0"/>
              <w:snapToGrid w:val="0"/>
              <w:spacing w:line="440" w:lineRule="exact"/>
              <w:rPr>
                <w:rFonts w:ascii="宋体" w:hAnsi="宋体" w:cs="宋体"/>
                <w:color w:val="auto"/>
              </w:rPr>
            </w:pPr>
            <w:r>
              <w:rPr>
                <w:rFonts w:ascii="宋体" w:hAnsi="宋体" w:cs="宋体"/>
                <w:color w:val="auto"/>
              </w:rPr>
              <w:t>2</w:t>
            </w:r>
            <w:r>
              <w:rPr>
                <w:rFonts w:hint="eastAsia" w:ascii="宋体" w:hAnsi="宋体" w:cs="宋体"/>
                <w:color w:val="auto"/>
              </w:rPr>
              <w:t>、人员配置要求：本项目核定人员为不少于105人（全体人员应在中标合同签订后7天内培训完成并上岗；）</w:t>
            </w:r>
          </w:p>
          <w:p>
            <w:pPr>
              <w:shd w:val="clear"/>
              <w:adjustRightInd w:val="0"/>
              <w:snapToGrid w:val="0"/>
              <w:spacing w:line="440" w:lineRule="exact"/>
              <w:rPr>
                <w:rFonts w:ascii="宋体" w:hAnsi="宋体" w:cs="宋体"/>
                <w:color w:val="auto"/>
              </w:rPr>
            </w:pPr>
            <w:r>
              <w:rPr>
                <w:rFonts w:ascii="宋体" w:hAnsi="宋体" w:cs="宋体"/>
                <w:color w:val="auto"/>
              </w:rPr>
              <w:t>3</w:t>
            </w:r>
            <w:r>
              <w:rPr>
                <w:rFonts w:hint="eastAsia" w:ascii="宋体" w:hAnsi="宋体" w:cs="宋体"/>
                <w:color w:val="auto"/>
              </w:rPr>
              <w:t>、服务人员到位后需完成岗前培训等工作，服务费用结算以正式移交接管之日起计。</w:t>
            </w:r>
          </w:p>
          <w:p>
            <w:pPr>
              <w:shd w:val="clear"/>
              <w:adjustRightInd w:val="0"/>
              <w:snapToGrid w:val="0"/>
              <w:spacing w:line="440" w:lineRule="exact"/>
              <w:rPr>
                <w:rFonts w:ascii="宋体" w:hAnsi="宋体" w:cs="宋体"/>
                <w:color w:val="auto"/>
              </w:rPr>
            </w:pPr>
            <w:r>
              <w:rPr>
                <w:rFonts w:ascii="宋体" w:hAnsi="宋体" w:cs="宋体"/>
                <w:color w:val="auto"/>
              </w:rPr>
              <w:t>4</w:t>
            </w:r>
            <w:r>
              <w:rPr>
                <w:rFonts w:hint="eastAsia" w:ascii="宋体" w:hAnsi="宋体" w:cs="宋体"/>
                <w:color w:val="auto"/>
              </w:rPr>
              <w:t>、中标人应认真听取招标人提出的建议和意见，并接受招标人的考核管理规定，对在管理中出现的问题和薄弱环节应立即整改。</w:t>
            </w:r>
          </w:p>
          <w:p>
            <w:pPr>
              <w:shd w:val="clear"/>
              <w:adjustRightInd w:val="0"/>
              <w:snapToGrid w:val="0"/>
              <w:spacing w:line="440" w:lineRule="exact"/>
              <w:rPr>
                <w:rFonts w:ascii="宋体" w:hAnsi="宋体" w:cs="宋体"/>
                <w:color w:val="auto"/>
              </w:rPr>
            </w:pPr>
            <w:r>
              <w:rPr>
                <w:rFonts w:ascii="宋体" w:hAnsi="宋体" w:cs="宋体"/>
                <w:color w:val="auto"/>
              </w:rPr>
              <w:t>5</w:t>
            </w:r>
            <w:r>
              <w:rPr>
                <w:rFonts w:hint="eastAsia" w:ascii="宋体" w:hAnsi="宋体" w:cs="宋体"/>
                <w:color w:val="auto"/>
              </w:rPr>
              <w:t>、中标人应按照国家法律法规给每位员工办理用工手续。</w:t>
            </w:r>
          </w:p>
          <w:p>
            <w:pPr>
              <w:shd w:val="clear"/>
              <w:adjustRightInd w:val="0"/>
              <w:snapToGrid w:val="0"/>
              <w:spacing w:line="440" w:lineRule="exact"/>
              <w:rPr>
                <w:rFonts w:ascii="宋体" w:hAnsi="宋体" w:cs="宋体"/>
                <w:color w:val="auto"/>
              </w:rPr>
            </w:pPr>
            <w:r>
              <w:rPr>
                <w:rFonts w:ascii="宋体" w:hAnsi="宋体" w:cs="宋体"/>
                <w:color w:val="auto"/>
              </w:rPr>
              <w:t>6</w:t>
            </w:r>
            <w:r>
              <w:rPr>
                <w:rFonts w:hint="eastAsia" w:ascii="宋体" w:hAnsi="宋体" w:cs="宋体"/>
                <w:color w:val="auto"/>
              </w:rPr>
              <w:t>、中标人须提供招标人认可的工作标准，遵守招标人的相关规定。</w:t>
            </w:r>
          </w:p>
          <w:p>
            <w:pPr>
              <w:shd w:val="clear"/>
              <w:adjustRightInd w:val="0"/>
              <w:snapToGrid w:val="0"/>
              <w:spacing w:line="440" w:lineRule="exact"/>
              <w:rPr>
                <w:rFonts w:ascii="宋体" w:hAnsi="宋体" w:cs="宋体"/>
                <w:color w:val="auto"/>
              </w:rPr>
            </w:pPr>
            <w:r>
              <w:rPr>
                <w:rFonts w:ascii="宋体" w:hAnsi="宋体" w:cs="宋体"/>
                <w:color w:val="auto"/>
              </w:rPr>
              <w:t>7</w:t>
            </w:r>
            <w:r>
              <w:rPr>
                <w:rFonts w:hint="eastAsia" w:ascii="宋体" w:hAnsi="宋体" w:cs="宋体"/>
                <w:color w:val="auto"/>
              </w:rPr>
              <w:t>、中标人及其员工应主动配合采购人行政管理工作，服从调度，听从指挥，认真听取采购人提出的建议和意见，对在管理中出现问题和薄弱环节立即整改。</w:t>
            </w:r>
          </w:p>
          <w:p>
            <w:pPr>
              <w:shd w:val="clear"/>
              <w:adjustRightInd w:val="0"/>
              <w:snapToGrid w:val="0"/>
              <w:spacing w:line="440" w:lineRule="exact"/>
              <w:rPr>
                <w:rFonts w:ascii="宋体" w:hAnsi="宋体" w:cs="宋体"/>
                <w:color w:val="auto"/>
              </w:rPr>
            </w:pPr>
            <w:r>
              <w:rPr>
                <w:rFonts w:ascii="宋体" w:hAnsi="宋体" w:cs="宋体"/>
                <w:color w:val="auto"/>
              </w:rPr>
              <w:t>8</w:t>
            </w:r>
            <w:r>
              <w:rPr>
                <w:rFonts w:hint="eastAsia" w:ascii="宋体" w:hAnsi="宋体" w:cs="宋体"/>
                <w:color w:val="auto"/>
              </w:rPr>
              <w:t>、所有工作人员应履行保密义务，严守采购人秘密和国家机密。做到不打听、不偷看、不传播、不遗失、不擅自处理保密纸物等。投诉处理率达</w:t>
            </w:r>
            <w:r>
              <w:rPr>
                <w:rFonts w:ascii="宋体" w:hAnsi="宋体" w:cs="宋体"/>
                <w:color w:val="auto"/>
              </w:rPr>
              <w:t>100%</w:t>
            </w:r>
            <w:r>
              <w:rPr>
                <w:rFonts w:hint="eastAsia" w:ascii="宋体" w:hAnsi="宋体" w:cs="宋体"/>
                <w:color w:val="auto"/>
              </w:rPr>
              <w:t>。</w:t>
            </w:r>
          </w:p>
          <w:p>
            <w:pPr>
              <w:shd w:val="clear"/>
              <w:adjustRightInd w:val="0"/>
              <w:snapToGrid w:val="0"/>
              <w:spacing w:line="440" w:lineRule="exact"/>
              <w:rPr>
                <w:rFonts w:ascii="宋体" w:hAnsi="宋体" w:cs="宋体"/>
                <w:color w:val="auto"/>
              </w:rPr>
            </w:pPr>
            <w:r>
              <w:rPr>
                <w:rFonts w:ascii="宋体" w:hAnsi="宋体" w:cs="宋体"/>
                <w:color w:val="auto"/>
              </w:rPr>
              <w:t>9</w:t>
            </w:r>
            <w:r>
              <w:rPr>
                <w:rFonts w:hint="eastAsia" w:ascii="宋体" w:hAnsi="宋体" w:cs="宋体"/>
                <w:color w:val="auto"/>
              </w:rPr>
              <w:t>、捡到物品应及时上交采购人。</w:t>
            </w:r>
          </w:p>
          <w:p>
            <w:pPr>
              <w:shd w:val="clear"/>
              <w:adjustRightInd w:val="0"/>
              <w:snapToGrid w:val="0"/>
              <w:spacing w:line="440" w:lineRule="exact"/>
              <w:rPr>
                <w:rFonts w:ascii="宋体" w:hAnsi="宋体" w:cs="宋体"/>
                <w:color w:val="auto"/>
              </w:rPr>
            </w:pPr>
            <w:r>
              <w:rPr>
                <w:rFonts w:ascii="宋体" w:hAnsi="宋体" w:cs="宋体"/>
                <w:color w:val="auto"/>
              </w:rPr>
              <w:t>10</w:t>
            </w:r>
            <w:r>
              <w:rPr>
                <w:rFonts w:hint="eastAsia" w:ascii="宋体" w:hAnsi="宋体" w:cs="宋体"/>
                <w:color w:val="auto"/>
              </w:rPr>
              <w:t>、采购人与保洁服务人员不发生任何劳动和雇佣关系，保洁服务人员由中标人自行管理。中标人必须按照劳动法规定为员工提供劳动、安全保障，依法办理各类社会保险，按时发放薪酬等。派驻人员应遵守安全操作规章制度，若发生人身伤害等工伤事故与劳资纠纷等，由中标人自行负责与处理，与招标人无涉。</w:t>
            </w:r>
          </w:p>
          <w:p>
            <w:pPr>
              <w:shd w:val="clear"/>
              <w:adjustRightInd w:val="0"/>
              <w:snapToGrid w:val="0"/>
              <w:spacing w:line="440" w:lineRule="exact"/>
              <w:rPr>
                <w:rFonts w:ascii="宋体" w:hAnsi="宋体" w:cs="宋体"/>
                <w:color w:val="auto"/>
              </w:rPr>
            </w:pPr>
            <w:r>
              <w:rPr>
                <w:rFonts w:ascii="宋体" w:hAnsi="宋体" w:cs="宋体"/>
                <w:color w:val="auto"/>
              </w:rPr>
              <w:t>11</w:t>
            </w:r>
            <w:r>
              <w:rPr>
                <w:rFonts w:hint="eastAsia" w:ascii="宋体" w:hAnsi="宋体" w:cs="宋体"/>
                <w:color w:val="auto"/>
              </w:rPr>
              <w:t>、中标人派驻的所有工作人员应遵守国家法律法规、采购人的规章制度，若不服从，中标人应在七个工作日内调换人员。</w:t>
            </w:r>
          </w:p>
        </w:tc>
      </w:tr>
    </w:tbl>
    <w:p>
      <w:pPr>
        <w:pStyle w:val="59"/>
        <w:shd w:val="clear"/>
        <w:tabs>
          <w:tab w:val="left" w:pos="0"/>
        </w:tabs>
        <w:spacing w:line="360" w:lineRule="auto"/>
        <w:ind w:left="717" w:firstLine="0" w:firstLineChars="0"/>
        <w:rPr>
          <w:rFonts w:cs="宋体" w:asciiTheme="minorEastAsia" w:hAnsiTheme="minorEastAsia" w:eastAsiaTheme="minorEastAsia"/>
          <w:b/>
          <w:bCs/>
          <w:color w:val="auto"/>
          <w:szCs w:val="21"/>
        </w:rPr>
      </w:pPr>
    </w:p>
    <w:p>
      <w:pPr>
        <w:shd w:val="clear"/>
        <w:spacing w:line="360" w:lineRule="auto"/>
        <w:rPr>
          <w:rFonts w:asciiTheme="minorEastAsia" w:hAnsiTheme="minorEastAsia" w:eastAsiaTheme="minorEastAsia"/>
          <w:color w:val="auto"/>
          <w:szCs w:val="21"/>
        </w:rPr>
      </w:pPr>
    </w:p>
    <w:p>
      <w:pPr>
        <w:shd w:val="clear"/>
        <w:rPr>
          <w:color w:val="auto"/>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hd w:val="clear"/>
        <w:snapToGrid w:val="0"/>
        <w:spacing w:line="360" w:lineRule="auto"/>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 xml:space="preserve">第四部分   </w:t>
      </w:r>
      <w:bookmarkStart w:id="27" w:name="_Toc184310280"/>
      <w:bookmarkEnd w:id="27"/>
      <w:bookmarkStart w:id="28" w:name="_Toc184310287"/>
      <w:bookmarkEnd w:id="28"/>
      <w:bookmarkStart w:id="29" w:name="_Toc184310335"/>
      <w:bookmarkEnd w:id="29"/>
      <w:bookmarkStart w:id="30" w:name="_Toc184310290"/>
      <w:bookmarkEnd w:id="30"/>
      <w:bookmarkStart w:id="31" w:name="_Toc184310277"/>
      <w:bookmarkEnd w:id="31"/>
      <w:bookmarkStart w:id="32" w:name="_Toc184308041"/>
      <w:bookmarkEnd w:id="32"/>
      <w:bookmarkStart w:id="33" w:name="_Toc184308045"/>
      <w:bookmarkEnd w:id="33"/>
      <w:bookmarkStart w:id="34" w:name="_Toc184308060"/>
      <w:bookmarkEnd w:id="34"/>
      <w:bookmarkStart w:id="35" w:name="_Toc184308044"/>
      <w:bookmarkEnd w:id="35"/>
      <w:bookmarkStart w:id="36" w:name="_Toc184310276"/>
      <w:bookmarkEnd w:id="36"/>
      <w:bookmarkStart w:id="37" w:name="_Toc184312127"/>
      <w:bookmarkEnd w:id="37"/>
      <w:bookmarkStart w:id="38" w:name="_Toc184310279"/>
      <w:bookmarkEnd w:id="38"/>
      <w:bookmarkStart w:id="39" w:name="_Toc184310318"/>
      <w:bookmarkEnd w:id="39"/>
      <w:bookmarkStart w:id="40" w:name="_Toc184310283"/>
      <w:bookmarkEnd w:id="40"/>
      <w:bookmarkStart w:id="41" w:name="_Toc184314469"/>
      <w:bookmarkEnd w:id="41"/>
      <w:bookmarkStart w:id="42" w:name="_Toc184308104"/>
      <w:bookmarkEnd w:id="42"/>
      <w:bookmarkStart w:id="43" w:name="_Toc184310294"/>
      <w:bookmarkEnd w:id="43"/>
      <w:bookmarkStart w:id="44" w:name="_Toc184308084"/>
      <w:bookmarkEnd w:id="44"/>
      <w:bookmarkStart w:id="45" w:name="_Toc184314445"/>
      <w:bookmarkEnd w:id="45"/>
      <w:bookmarkStart w:id="46" w:name="_Toc184312111"/>
      <w:bookmarkEnd w:id="46"/>
      <w:bookmarkStart w:id="47" w:name="_Toc184308108"/>
      <w:bookmarkEnd w:id="47"/>
      <w:bookmarkStart w:id="48" w:name="_Toc184314468"/>
      <w:bookmarkEnd w:id="48"/>
      <w:bookmarkStart w:id="49" w:name="_Toc184314472"/>
      <w:bookmarkEnd w:id="49"/>
      <w:bookmarkStart w:id="50" w:name="_Toc184314414"/>
      <w:bookmarkEnd w:id="50"/>
      <w:bookmarkStart w:id="51" w:name="_Toc184314417"/>
      <w:bookmarkEnd w:id="51"/>
      <w:bookmarkStart w:id="52" w:name="_Toc184310324"/>
      <w:bookmarkEnd w:id="52"/>
      <w:bookmarkStart w:id="53" w:name="_Toc184310278"/>
      <w:bookmarkEnd w:id="53"/>
      <w:bookmarkStart w:id="54" w:name="_Toc184313300"/>
      <w:bookmarkEnd w:id="54"/>
      <w:bookmarkStart w:id="55" w:name="_Toc184310339"/>
      <w:bookmarkEnd w:id="55"/>
      <w:bookmarkStart w:id="56" w:name="_Toc184310286"/>
      <w:bookmarkEnd w:id="56"/>
      <w:bookmarkStart w:id="57" w:name="_Toc184308088"/>
      <w:bookmarkEnd w:id="57"/>
      <w:bookmarkStart w:id="58" w:name="_Toc184308063"/>
      <w:bookmarkEnd w:id="58"/>
      <w:bookmarkStart w:id="59" w:name="_Toc184308062"/>
      <w:bookmarkEnd w:id="59"/>
      <w:bookmarkStart w:id="60" w:name="_Toc184314422"/>
      <w:bookmarkEnd w:id="60"/>
      <w:bookmarkStart w:id="61" w:name="_Toc184313276"/>
      <w:bookmarkEnd w:id="61"/>
      <w:bookmarkStart w:id="62" w:name="_Toc184312075"/>
      <w:bookmarkEnd w:id="62"/>
      <w:bookmarkStart w:id="63" w:name="_Toc184312092"/>
      <w:bookmarkEnd w:id="63"/>
      <w:bookmarkStart w:id="64" w:name="_Toc184312071"/>
      <w:bookmarkEnd w:id="64"/>
      <w:bookmarkStart w:id="65" w:name="_Toc184314474"/>
      <w:bookmarkEnd w:id="65"/>
      <w:bookmarkStart w:id="66" w:name="_Toc184313265"/>
      <w:bookmarkEnd w:id="66"/>
      <w:bookmarkStart w:id="67" w:name="_Toc184314416"/>
      <w:bookmarkEnd w:id="67"/>
      <w:bookmarkStart w:id="68" w:name="_Toc184313244"/>
      <w:bookmarkEnd w:id="68"/>
      <w:bookmarkStart w:id="69" w:name="_Toc184312076"/>
      <w:bookmarkEnd w:id="69"/>
      <w:bookmarkStart w:id="70" w:name="_Toc184313301"/>
      <w:bookmarkEnd w:id="70"/>
      <w:bookmarkStart w:id="71" w:name="_Toc184312108"/>
      <w:bookmarkEnd w:id="71"/>
      <w:bookmarkStart w:id="72" w:name="_Toc184308086"/>
      <w:bookmarkEnd w:id="72"/>
      <w:bookmarkStart w:id="73" w:name="_Toc184313246"/>
      <w:bookmarkEnd w:id="73"/>
      <w:bookmarkStart w:id="74" w:name="_Toc184314436"/>
      <w:bookmarkEnd w:id="74"/>
      <w:bookmarkStart w:id="75" w:name="_Toc184314462"/>
      <w:bookmarkEnd w:id="75"/>
      <w:bookmarkStart w:id="76" w:name="_Toc184314465"/>
      <w:bookmarkEnd w:id="76"/>
      <w:bookmarkStart w:id="77" w:name="_Toc184310342"/>
      <w:bookmarkEnd w:id="77"/>
      <w:bookmarkStart w:id="78" w:name="_Toc184308075"/>
      <w:bookmarkEnd w:id="78"/>
      <w:bookmarkStart w:id="79" w:name="_Toc184312113"/>
      <w:bookmarkEnd w:id="79"/>
      <w:bookmarkStart w:id="80" w:name="_Toc184310327"/>
      <w:bookmarkEnd w:id="80"/>
      <w:bookmarkStart w:id="81" w:name="_Toc184314480"/>
      <w:bookmarkEnd w:id="81"/>
      <w:bookmarkStart w:id="82" w:name="_Toc184314461"/>
      <w:bookmarkEnd w:id="82"/>
      <w:bookmarkStart w:id="83" w:name="_Toc184308105"/>
      <w:bookmarkEnd w:id="83"/>
      <w:bookmarkStart w:id="84" w:name="_Toc184314423"/>
      <w:bookmarkEnd w:id="84"/>
      <w:bookmarkStart w:id="85" w:name="_Toc184312110"/>
      <w:bookmarkEnd w:id="85"/>
      <w:bookmarkStart w:id="86" w:name="_Toc184312072"/>
      <w:bookmarkEnd w:id="86"/>
      <w:bookmarkStart w:id="87" w:name="_Toc184314477"/>
      <w:bookmarkEnd w:id="87"/>
      <w:bookmarkStart w:id="88" w:name="_Toc184313278"/>
      <w:bookmarkEnd w:id="88"/>
      <w:bookmarkStart w:id="89" w:name="_Toc184313264"/>
      <w:bookmarkEnd w:id="89"/>
      <w:bookmarkStart w:id="90" w:name="_Toc184308070"/>
      <w:bookmarkEnd w:id="90"/>
      <w:bookmarkStart w:id="91" w:name="_Toc184310306"/>
      <w:bookmarkEnd w:id="91"/>
      <w:bookmarkStart w:id="92" w:name="_Toc184314464"/>
      <w:bookmarkEnd w:id="92"/>
      <w:bookmarkStart w:id="93" w:name="_Toc184312104"/>
      <w:bookmarkEnd w:id="93"/>
      <w:bookmarkStart w:id="94" w:name="_Toc184308106"/>
      <w:bookmarkEnd w:id="94"/>
      <w:bookmarkStart w:id="95" w:name="_Toc184310344"/>
      <w:bookmarkEnd w:id="95"/>
      <w:bookmarkStart w:id="96" w:name="_Toc184314456"/>
      <w:bookmarkEnd w:id="96"/>
      <w:bookmarkStart w:id="97" w:name="_Toc184310295"/>
      <w:bookmarkEnd w:id="97"/>
      <w:bookmarkStart w:id="98" w:name="_Toc184313290"/>
      <w:bookmarkEnd w:id="98"/>
      <w:bookmarkStart w:id="99" w:name="_Toc184314415"/>
      <w:bookmarkEnd w:id="99"/>
      <w:bookmarkStart w:id="100" w:name="_Toc184308087"/>
      <w:bookmarkEnd w:id="100"/>
      <w:bookmarkStart w:id="101" w:name="_Toc184308100"/>
      <w:bookmarkEnd w:id="101"/>
      <w:bookmarkStart w:id="102" w:name="_Toc184314435"/>
      <w:bookmarkEnd w:id="102"/>
      <w:bookmarkStart w:id="103" w:name="_Toc184310312"/>
      <w:bookmarkEnd w:id="103"/>
      <w:bookmarkStart w:id="104" w:name="_Toc184313282"/>
      <w:bookmarkEnd w:id="104"/>
      <w:bookmarkStart w:id="105" w:name="_Toc184314440"/>
      <w:bookmarkEnd w:id="105"/>
      <w:bookmarkStart w:id="106" w:name="_Toc184310316"/>
      <w:bookmarkEnd w:id="106"/>
      <w:bookmarkStart w:id="107" w:name="_Toc184313260"/>
      <w:bookmarkEnd w:id="107"/>
      <w:bookmarkStart w:id="108" w:name="_Toc184312073"/>
      <w:bookmarkEnd w:id="108"/>
      <w:bookmarkStart w:id="109" w:name="_Toc184310337"/>
      <w:bookmarkEnd w:id="109"/>
      <w:bookmarkStart w:id="110" w:name="_Toc184308072"/>
      <w:bookmarkEnd w:id="110"/>
      <w:bookmarkStart w:id="111" w:name="_Toc184310303"/>
      <w:bookmarkEnd w:id="111"/>
      <w:bookmarkStart w:id="112" w:name="_Toc184312099"/>
      <w:bookmarkEnd w:id="112"/>
      <w:bookmarkStart w:id="113" w:name="_Toc184312078"/>
      <w:bookmarkEnd w:id="113"/>
      <w:bookmarkStart w:id="114" w:name="_Toc184314427"/>
      <w:bookmarkEnd w:id="114"/>
      <w:bookmarkStart w:id="115" w:name="_Toc184310311"/>
      <w:bookmarkEnd w:id="115"/>
      <w:bookmarkStart w:id="116" w:name="_Toc184312138"/>
      <w:bookmarkEnd w:id="116"/>
      <w:bookmarkStart w:id="117" w:name="_Toc184313308"/>
      <w:bookmarkEnd w:id="117"/>
      <w:bookmarkStart w:id="118" w:name="_Toc184313291"/>
      <w:bookmarkEnd w:id="118"/>
      <w:bookmarkStart w:id="119" w:name="_Toc184314451"/>
      <w:bookmarkEnd w:id="119"/>
      <w:bookmarkStart w:id="120" w:name="_Toc184310328"/>
      <w:bookmarkEnd w:id="120"/>
      <w:bookmarkStart w:id="121" w:name="_Toc184308071"/>
      <w:bookmarkEnd w:id="121"/>
      <w:bookmarkStart w:id="122" w:name="_Toc184314411"/>
      <w:bookmarkEnd w:id="122"/>
      <w:bookmarkStart w:id="123" w:name="_Toc184313305"/>
      <w:bookmarkEnd w:id="123"/>
      <w:bookmarkStart w:id="124" w:name="_Toc184308043"/>
      <w:bookmarkEnd w:id="124"/>
      <w:bookmarkStart w:id="125" w:name="_Toc184314471"/>
      <w:bookmarkEnd w:id="125"/>
      <w:bookmarkStart w:id="126" w:name="_Toc184308038"/>
      <w:bookmarkEnd w:id="126"/>
      <w:bookmarkStart w:id="127" w:name="_Toc184308059"/>
      <w:bookmarkEnd w:id="127"/>
      <w:bookmarkStart w:id="128" w:name="_Toc184308096"/>
      <w:bookmarkEnd w:id="128"/>
      <w:bookmarkStart w:id="129" w:name="_Toc184312126"/>
      <w:bookmarkEnd w:id="129"/>
      <w:bookmarkStart w:id="130" w:name="_Toc184314442"/>
      <w:bookmarkEnd w:id="130"/>
      <w:bookmarkStart w:id="131" w:name="_Toc184310309"/>
      <w:bookmarkEnd w:id="131"/>
      <w:bookmarkStart w:id="132" w:name="_Toc184308036"/>
      <w:bookmarkEnd w:id="132"/>
      <w:bookmarkStart w:id="133" w:name="_Toc184310338"/>
      <w:bookmarkEnd w:id="133"/>
      <w:bookmarkStart w:id="134" w:name="_Toc184308042"/>
      <w:bookmarkEnd w:id="134"/>
      <w:bookmarkStart w:id="135" w:name="_Toc184308051"/>
      <w:bookmarkEnd w:id="135"/>
      <w:bookmarkStart w:id="136" w:name="_Toc184314425"/>
      <w:bookmarkEnd w:id="136"/>
      <w:bookmarkStart w:id="137" w:name="_Toc184314421"/>
      <w:bookmarkEnd w:id="137"/>
      <w:bookmarkStart w:id="138" w:name="_Toc184312131"/>
      <w:bookmarkEnd w:id="138"/>
      <w:bookmarkStart w:id="139" w:name="_Toc184313243"/>
      <w:bookmarkEnd w:id="139"/>
      <w:bookmarkStart w:id="140" w:name="_Toc184313261"/>
      <w:bookmarkEnd w:id="140"/>
      <w:bookmarkStart w:id="141" w:name="_Toc184312090"/>
      <w:bookmarkEnd w:id="141"/>
      <w:bookmarkStart w:id="142" w:name="_Toc184313310"/>
      <w:bookmarkEnd w:id="142"/>
      <w:bookmarkStart w:id="143" w:name="_Toc184312089"/>
      <w:bookmarkEnd w:id="143"/>
      <w:bookmarkStart w:id="144" w:name="_Toc184314420"/>
      <w:bookmarkEnd w:id="144"/>
      <w:bookmarkStart w:id="145" w:name="_Toc184312136"/>
      <w:bookmarkEnd w:id="145"/>
      <w:bookmarkStart w:id="146" w:name="_Toc184308073"/>
      <w:bookmarkEnd w:id="146"/>
      <w:bookmarkStart w:id="147" w:name="_Toc184308048"/>
      <w:bookmarkEnd w:id="147"/>
      <w:bookmarkStart w:id="148" w:name="_Toc184313238"/>
      <w:bookmarkEnd w:id="148"/>
      <w:bookmarkStart w:id="149" w:name="_Toc184313295"/>
      <w:bookmarkEnd w:id="149"/>
      <w:bookmarkStart w:id="150" w:name="_Toc184310274"/>
      <w:bookmarkEnd w:id="150"/>
      <w:bookmarkStart w:id="151" w:name="_Toc184310319"/>
      <w:bookmarkEnd w:id="151"/>
      <w:bookmarkStart w:id="152" w:name="_Toc184314444"/>
      <w:bookmarkEnd w:id="152"/>
      <w:bookmarkStart w:id="153" w:name="_Toc184313309"/>
      <w:bookmarkEnd w:id="153"/>
      <w:bookmarkStart w:id="154" w:name="_Toc184314460"/>
      <w:bookmarkEnd w:id="154"/>
      <w:bookmarkStart w:id="155" w:name="_Toc184308094"/>
      <w:bookmarkEnd w:id="155"/>
      <w:bookmarkStart w:id="156" w:name="_Toc184308107"/>
      <w:bookmarkEnd w:id="156"/>
      <w:bookmarkStart w:id="157" w:name="_Toc184312082"/>
      <w:bookmarkEnd w:id="157"/>
      <w:bookmarkStart w:id="158" w:name="_Toc184313298"/>
      <w:bookmarkEnd w:id="158"/>
      <w:bookmarkStart w:id="159" w:name="_Toc184314482"/>
      <w:bookmarkEnd w:id="159"/>
      <w:bookmarkStart w:id="160" w:name="_Toc184308097"/>
      <w:bookmarkEnd w:id="160"/>
      <w:bookmarkStart w:id="161" w:name="_Toc184308050"/>
      <w:bookmarkEnd w:id="161"/>
      <w:bookmarkStart w:id="162" w:name="_Toc184308080"/>
      <w:bookmarkEnd w:id="162"/>
      <w:bookmarkStart w:id="163" w:name="_Toc184312074"/>
      <w:bookmarkEnd w:id="163"/>
      <w:bookmarkStart w:id="164" w:name="_Toc184313302"/>
      <w:bookmarkEnd w:id="164"/>
      <w:bookmarkStart w:id="165" w:name="_Toc184312077"/>
      <w:bookmarkEnd w:id="165"/>
      <w:bookmarkStart w:id="166" w:name="_Toc184314418"/>
      <w:bookmarkEnd w:id="166"/>
      <w:bookmarkStart w:id="167" w:name="_Toc184310272"/>
      <w:bookmarkEnd w:id="167"/>
      <w:bookmarkStart w:id="168" w:name="_Toc184310313"/>
      <w:bookmarkEnd w:id="168"/>
      <w:bookmarkStart w:id="169" w:name="_Toc184313296"/>
      <w:bookmarkEnd w:id="169"/>
      <w:bookmarkStart w:id="170" w:name="_Toc184313293"/>
      <w:bookmarkEnd w:id="170"/>
      <w:bookmarkStart w:id="171" w:name="_Toc184308077"/>
      <w:bookmarkEnd w:id="171"/>
      <w:bookmarkStart w:id="172" w:name="_Toc184314437"/>
      <w:bookmarkEnd w:id="172"/>
      <w:bookmarkStart w:id="173" w:name="_Toc184310321"/>
      <w:bookmarkEnd w:id="173"/>
      <w:bookmarkStart w:id="174" w:name="_Toc184310332"/>
      <w:bookmarkEnd w:id="174"/>
      <w:bookmarkStart w:id="175" w:name="_Toc184314448"/>
      <w:bookmarkEnd w:id="175"/>
      <w:bookmarkStart w:id="176" w:name="_Toc184308079"/>
      <w:bookmarkEnd w:id="176"/>
      <w:bookmarkStart w:id="177" w:name="_Toc184310307"/>
      <w:bookmarkEnd w:id="177"/>
      <w:bookmarkStart w:id="178" w:name="_Toc184313242"/>
      <w:bookmarkEnd w:id="178"/>
      <w:bookmarkStart w:id="179" w:name="_Toc184313274"/>
      <w:bookmarkEnd w:id="179"/>
      <w:bookmarkStart w:id="180" w:name="_Toc184312096"/>
      <w:bookmarkEnd w:id="180"/>
      <w:bookmarkStart w:id="181" w:name="_Toc184313284"/>
      <w:bookmarkEnd w:id="181"/>
      <w:bookmarkStart w:id="182" w:name="_Toc184312079"/>
      <w:bookmarkEnd w:id="182"/>
      <w:bookmarkStart w:id="183" w:name="_Toc184313245"/>
      <w:bookmarkEnd w:id="183"/>
      <w:bookmarkStart w:id="184" w:name="_Toc184314424"/>
      <w:bookmarkEnd w:id="184"/>
      <w:bookmarkStart w:id="185" w:name="_Toc184314479"/>
      <w:bookmarkEnd w:id="185"/>
      <w:bookmarkStart w:id="186" w:name="_Toc184312139"/>
      <w:bookmarkEnd w:id="186"/>
      <w:bookmarkStart w:id="187" w:name="_Toc184312093"/>
      <w:bookmarkEnd w:id="187"/>
      <w:bookmarkStart w:id="188" w:name="_Toc184310320"/>
      <w:bookmarkEnd w:id="188"/>
      <w:bookmarkStart w:id="189" w:name="_Toc184310284"/>
      <w:bookmarkEnd w:id="189"/>
      <w:bookmarkStart w:id="190" w:name="_Toc184314433"/>
      <w:bookmarkEnd w:id="190"/>
      <w:bookmarkStart w:id="191" w:name="_Toc184312080"/>
      <w:bookmarkEnd w:id="191"/>
      <w:bookmarkStart w:id="192" w:name="_Toc184310323"/>
      <w:bookmarkEnd w:id="192"/>
      <w:bookmarkStart w:id="193" w:name="_Toc184310308"/>
      <w:bookmarkEnd w:id="193"/>
      <w:bookmarkStart w:id="194" w:name="_Toc184313262"/>
      <w:bookmarkEnd w:id="194"/>
      <w:bookmarkStart w:id="195" w:name="_Toc184310304"/>
      <w:bookmarkEnd w:id="195"/>
      <w:bookmarkStart w:id="196" w:name="_Toc184313303"/>
      <w:bookmarkEnd w:id="196"/>
      <w:bookmarkStart w:id="197" w:name="_Toc184312070"/>
      <w:bookmarkEnd w:id="197"/>
      <w:bookmarkStart w:id="198" w:name="_Toc184310288"/>
      <w:bookmarkEnd w:id="198"/>
      <w:bookmarkStart w:id="199" w:name="_Toc184313277"/>
      <w:bookmarkEnd w:id="199"/>
      <w:bookmarkStart w:id="200" w:name="_Toc184314430"/>
      <w:bookmarkEnd w:id="200"/>
      <w:bookmarkStart w:id="201" w:name="_Toc184312067"/>
      <w:bookmarkEnd w:id="201"/>
      <w:bookmarkStart w:id="202" w:name="_Toc184313239"/>
      <w:bookmarkEnd w:id="202"/>
      <w:bookmarkStart w:id="203" w:name="_Toc184308069"/>
      <w:bookmarkEnd w:id="203"/>
      <w:bookmarkStart w:id="204" w:name="_Toc184310336"/>
      <w:bookmarkEnd w:id="204"/>
      <w:bookmarkStart w:id="205" w:name="_Toc184313249"/>
      <w:bookmarkEnd w:id="205"/>
      <w:bookmarkStart w:id="206" w:name="_Toc184310273"/>
      <w:bookmarkEnd w:id="206"/>
      <w:bookmarkStart w:id="207" w:name="_Toc184310298"/>
      <w:bookmarkEnd w:id="207"/>
      <w:bookmarkStart w:id="208" w:name="_Toc184310314"/>
      <w:bookmarkEnd w:id="208"/>
      <w:bookmarkStart w:id="209" w:name="_Toc184314454"/>
      <w:bookmarkEnd w:id="209"/>
      <w:bookmarkStart w:id="210" w:name="_Toc184314458"/>
      <w:bookmarkEnd w:id="210"/>
      <w:bookmarkStart w:id="211" w:name="_Toc184312112"/>
      <w:bookmarkEnd w:id="211"/>
      <w:bookmarkStart w:id="212" w:name="_Toc184312098"/>
      <w:bookmarkEnd w:id="212"/>
      <w:bookmarkStart w:id="213" w:name="_Toc184313307"/>
      <w:bookmarkEnd w:id="213"/>
      <w:bookmarkStart w:id="214" w:name="_Toc184308081"/>
      <w:bookmarkEnd w:id="214"/>
      <w:bookmarkStart w:id="215" w:name="_Toc184314429"/>
      <w:bookmarkEnd w:id="215"/>
      <w:bookmarkStart w:id="216" w:name="_Toc184312086"/>
      <w:bookmarkEnd w:id="216"/>
      <w:bookmarkStart w:id="217" w:name="_Toc184308056"/>
      <w:bookmarkEnd w:id="217"/>
      <w:bookmarkStart w:id="218" w:name="_Toc184310292"/>
      <w:bookmarkEnd w:id="218"/>
      <w:bookmarkStart w:id="219" w:name="_Toc184310281"/>
      <w:bookmarkEnd w:id="219"/>
      <w:bookmarkStart w:id="220" w:name="_Toc184312095"/>
      <w:bookmarkEnd w:id="220"/>
      <w:bookmarkStart w:id="221" w:name="_Toc184313292"/>
      <w:bookmarkEnd w:id="221"/>
      <w:bookmarkStart w:id="222" w:name="_Toc184308053"/>
      <w:bookmarkEnd w:id="222"/>
      <w:bookmarkStart w:id="223" w:name="_Toc184314443"/>
      <w:bookmarkEnd w:id="223"/>
      <w:bookmarkStart w:id="224" w:name="_Toc184313251"/>
      <w:bookmarkEnd w:id="224"/>
      <w:bookmarkStart w:id="225" w:name="_Toc184308040"/>
      <w:bookmarkEnd w:id="225"/>
      <w:bookmarkStart w:id="226" w:name="_Toc184310275"/>
      <w:bookmarkEnd w:id="226"/>
      <w:bookmarkStart w:id="227" w:name="_Toc184310341"/>
      <w:bookmarkEnd w:id="227"/>
      <w:bookmarkStart w:id="228" w:name="_Toc184313266"/>
      <w:bookmarkEnd w:id="228"/>
      <w:bookmarkStart w:id="229" w:name="_Toc184314426"/>
      <w:bookmarkEnd w:id="229"/>
      <w:bookmarkStart w:id="230" w:name="_Toc184312088"/>
      <w:bookmarkEnd w:id="230"/>
      <w:bookmarkStart w:id="231" w:name="_Toc184308057"/>
      <w:bookmarkEnd w:id="231"/>
      <w:bookmarkStart w:id="232" w:name="_Toc184313267"/>
      <w:bookmarkEnd w:id="232"/>
      <w:bookmarkStart w:id="233" w:name="_Toc184314447"/>
      <w:bookmarkEnd w:id="233"/>
      <w:bookmarkStart w:id="234" w:name="_Toc184312115"/>
      <w:bookmarkEnd w:id="234"/>
      <w:bookmarkStart w:id="235" w:name="_Toc184308065"/>
      <w:bookmarkEnd w:id="235"/>
      <w:bookmarkStart w:id="236" w:name="_Toc184314473"/>
      <w:bookmarkEnd w:id="236"/>
      <w:bookmarkStart w:id="237" w:name="_Toc184312084"/>
      <w:bookmarkEnd w:id="237"/>
      <w:bookmarkStart w:id="238" w:name="_Toc184313271"/>
      <w:bookmarkEnd w:id="238"/>
      <w:bookmarkStart w:id="239" w:name="_Toc184312106"/>
      <w:bookmarkEnd w:id="239"/>
      <w:bookmarkStart w:id="240" w:name="_Toc184313256"/>
      <w:bookmarkEnd w:id="240"/>
      <w:bookmarkStart w:id="241" w:name="_Toc184313270"/>
      <w:bookmarkEnd w:id="241"/>
      <w:bookmarkStart w:id="242" w:name="_Toc184308064"/>
      <w:bookmarkEnd w:id="242"/>
      <w:bookmarkStart w:id="243" w:name="_Toc184313255"/>
      <w:bookmarkEnd w:id="243"/>
      <w:bookmarkStart w:id="244" w:name="_Toc184313283"/>
      <w:bookmarkEnd w:id="244"/>
      <w:bookmarkStart w:id="245" w:name="_Toc184314446"/>
      <w:bookmarkEnd w:id="245"/>
      <w:bookmarkStart w:id="246" w:name="_Toc184310315"/>
      <w:bookmarkEnd w:id="246"/>
      <w:bookmarkStart w:id="247" w:name="_Toc184312068"/>
      <w:bookmarkEnd w:id="247"/>
      <w:bookmarkStart w:id="248" w:name="_Toc184314432"/>
      <w:bookmarkEnd w:id="248"/>
      <w:bookmarkStart w:id="249" w:name="_Toc184313257"/>
      <w:bookmarkEnd w:id="249"/>
      <w:bookmarkStart w:id="250" w:name="_Toc184310293"/>
      <w:bookmarkEnd w:id="250"/>
      <w:bookmarkStart w:id="251" w:name="_Toc184314475"/>
      <w:bookmarkEnd w:id="251"/>
      <w:bookmarkStart w:id="252" w:name="_Toc184308066"/>
      <w:bookmarkEnd w:id="252"/>
      <w:bookmarkStart w:id="253" w:name="_Toc184308074"/>
      <w:bookmarkEnd w:id="253"/>
      <w:bookmarkStart w:id="254" w:name="_Toc184310291"/>
      <w:bookmarkEnd w:id="254"/>
      <w:bookmarkStart w:id="255" w:name="_Toc184312083"/>
      <w:bookmarkEnd w:id="255"/>
      <w:bookmarkStart w:id="256" w:name="_Toc184314434"/>
      <w:bookmarkEnd w:id="256"/>
      <w:bookmarkStart w:id="257" w:name="_Toc184312097"/>
      <w:bookmarkEnd w:id="257"/>
      <w:bookmarkStart w:id="258" w:name="_Toc184308055"/>
      <w:bookmarkEnd w:id="258"/>
      <w:bookmarkStart w:id="259" w:name="_Toc184308061"/>
      <w:bookmarkEnd w:id="259"/>
      <w:bookmarkStart w:id="260" w:name="_Toc184314438"/>
      <w:bookmarkEnd w:id="260"/>
      <w:bookmarkStart w:id="261" w:name="_Toc184314463"/>
      <w:bookmarkEnd w:id="261"/>
      <w:bookmarkStart w:id="262" w:name="_Toc184313254"/>
      <w:bookmarkEnd w:id="262"/>
      <w:bookmarkStart w:id="263" w:name="_Toc184313248"/>
      <w:bookmarkEnd w:id="263"/>
      <w:bookmarkStart w:id="264" w:name="_Toc184314453"/>
      <w:bookmarkEnd w:id="264"/>
      <w:bookmarkStart w:id="265" w:name="_Toc184312087"/>
      <w:bookmarkEnd w:id="265"/>
      <w:bookmarkStart w:id="266" w:name="_Toc184313259"/>
      <w:bookmarkEnd w:id="266"/>
      <w:bookmarkStart w:id="267" w:name="_Toc184313288"/>
      <w:bookmarkEnd w:id="267"/>
      <w:bookmarkStart w:id="268" w:name="_Toc184312118"/>
      <w:bookmarkEnd w:id="268"/>
      <w:bookmarkStart w:id="269" w:name="_Toc184314481"/>
      <w:bookmarkEnd w:id="269"/>
      <w:bookmarkStart w:id="270" w:name="_Toc184308037"/>
      <w:bookmarkEnd w:id="270"/>
      <w:bookmarkStart w:id="271" w:name="_Toc184313297"/>
      <w:bookmarkEnd w:id="271"/>
      <w:bookmarkStart w:id="272" w:name="_Toc184312123"/>
      <w:bookmarkEnd w:id="272"/>
      <w:bookmarkStart w:id="273" w:name="_Toc184308076"/>
      <w:bookmarkEnd w:id="273"/>
      <w:bookmarkStart w:id="274" w:name="_Toc184312129"/>
      <w:bookmarkEnd w:id="274"/>
      <w:bookmarkStart w:id="275" w:name="_Toc184312119"/>
      <w:bookmarkEnd w:id="275"/>
      <w:bookmarkStart w:id="276" w:name="_Toc184308047"/>
      <w:bookmarkEnd w:id="276"/>
      <w:bookmarkStart w:id="277" w:name="_Toc184314431"/>
      <w:bookmarkEnd w:id="277"/>
      <w:bookmarkStart w:id="278" w:name="_Toc184312128"/>
      <w:bookmarkEnd w:id="278"/>
      <w:bookmarkStart w:id="279" w:name="_Toc184312121"/>
      <w:bookmarkEnd w:id="279"/>
      <w:bookmarkStart w:id="280" w:name="_Toc184313258"/>
      <w:bookmarkEnd w:id="280"/>
      <w:bookmarkStart w:id="281" w:name="_Toc184312109"/>
      <w:bookmarkEnd w:id="281"/>
      <w:bookmarkStart w:id="282" w:name="_Toc184314452"/>
      <w:bookmarkEnd w:id="282"/>
      <w:bookmarkStart w:id="283" w:name="_Toc184312133"/>
      <w:bookmarkEnd w:id="283"/>
      <w:bookmarkStart w:id="284" w:name="_Toc184313289"/>
      <w:bookmarkEnd w:id="284"/>
      <w:bookmarkStart w:id="285" w:name="_Toc184308103"/>
      <w:bookmarkEnd w:id="285"/>
      <w:bookmarkStart w:id="286" w:name="_Toc184312134"/>
      <w:bookmarkEnd w:id="286"/>
      <w:bookmarkStart w:id="287" w:name="_Toc184310333"/>
      <w:bookmarkEnd w:id="287"/>
      <w:bookmarkStart w:id="288" w:name="_Toc184308095"/>
      <w:bookmarkEnd w:id="288"/>
      <w:bookmarkStart w:id="289" w:name="_Toc184314466"/>
      <w:bookmarkEnd w:id="289"/>
      <w:bookmarkStart w:id="290" w:name="_Toc184310330"/>
      <w:bookmarkEnd w:id="290"/>
      <w:bookmarkStart w:id="291" w:name="_Toc184308089"/>
      <w:bookmarkEnd w:id="291"/>
      <w:bookmarkStart w:id="292" w:name="_Toc184313240"/>
      <w:bookmarkEnd w:id="292"/>
      <w:bookmarkStart w:id="293" w:name="_Toc184314470"/>
      <w:bookmarkEnd w:id="293"/>
      <w:bookmarkStart w:id="294" w:name="_Toc184310329"/>
      <w:bookmarkEnd w:id="294"/>
      <w:bookmarkStart w:id="295" w:name="_Toc184312130"/>
      <w:bookmarkEnd w:id="295"/>
      <w:bookmarkStart w:id="296" w:name="_Toc184310302"/>
      <w:bookmarkEnd w:id="296"/>
      <w:bookmarkStart w:id="297" w:name="_Toc184308099"/>
      <w:bookmarkEnd w:id="297"/>
      <w:bookmarkStart w:id="298" w:name="_Toc184313269"/>
      <w:bookmarkEnd w:id="298"/>
      <w:bookmarkStart w:id="299" w:name="_Toc184312102"/>
      <w:bookmarkEnd w:id="299"/>
      <w:bookmarkStart w:id="300" w:name="_Toc184310331"/>
      <w:bookmarkEnd w:id="300"/>
      <w:bookmarkStart w:id="301" w:name="_Toc184308068"/>
      <w:bookmarkEnd w:id="301"/>
      <w:bookmarkStart w:id="302" w:name="_Toc184312132"/>
      <w:bookmarkEnd w:id="302"/>
      <w:bookmarkStart w:id="303" w:name="_Toc184313285"/>
      <w:bookmarkEnd w:id="303"/>
      <w:bookmarkStart w:id="304" w:name="_Toc184314439"/>
      <w:bookmarkEnd w:id="304"/>
      <w:bookmarkStart w:id="305" w:name="_Toc184313273"/>
      <w:bookmarkEnd w:id="305"/>
      <w:bookmarkStart w:id="306" w:name="_Toc184312125"/>
      <w:bookmarkEnd w:id="306"/>
      <w:bookmarkStart w:id="307" w:name="_Toc184314412"/>
      <w:bookmarkEnd w:id="307"/>
      <w:bookmarkStart w:id="308" w:name="_Toc184308091"/>
      <w:bookmarkEnd w:id="308"/>
      <w:bookmarkStart w:id="309" w:name="_Toc184312122"/>
      <w:bookmarkEnd w:id="309"/>
      <w:bookmarkStart w:id="310" w:name="_Toc184308085"/>
      <w:bookmarkEnd w:id="310"/>
      <w:bookmarkStart w:id="311" w:name="_Toc184310340"/>
      <w:bookmarkEnd w:id="311"/>
      <w:bookmarkStart w:id="312" w:name="_Toc184308093"/>
      <w:bookmarkEnd w:id="312"/>
      <w:bookmarkStart w:id="313" w:name="_Toc184313247"/>
      <w:bookmarkEnd w:id="313"/>
      <w:bookmarkStart w:id="314" w:name="_Toc184314450"/>
      <w:bookmarkEnd w:id="314"/>
      <w:bookmarkStart w:id="315" w:name="_Toc184310300"/>
      <w:bookmarkEnd w:id="315"/>
      <w:bookmarkStart w:id="316" w:name="_Toc184314441"/>
      <w:bookmarkEnd w:id="316"/>
      <w:bookmarkStart w:id="317" w:name="_Toc184310310"/>
      <w:bookmarkEnd w:id="317"/>
      <w:bookmarkStart w:id="318" w:name="_Toc184310301"/>
      <w:bookmarkEnd w:id="318"/>
      <w:bookmarkStart w:id="319" w:name="_Toc184313268"/>
      <w:bookmarkEnd w:id="319"/>
      <w:bookmarkStart w:id="320" w:name="_Toc184314410"/>
      <w:bookmarkEnd w:id="320"/>
      <w:bookmarkStart w:id="321" w:name="_Toc184313281"/>
      <w:bookmarkEnd w:id="321"/>
      <w:bookmarkStart w:id="322" w:name="_Toc184314419"/>
      <w:bookmarkEnd w:id="322"/>
      <w:bookmarkStart w:id="323" w:name="_Toc184308083"/>
      <w:bookmarkEnd w:id="323"/>
      <w:bookmarkStart w:id="324" w:name="_Toc184308052"/>
      <w:bookmarkEnd w:id="324"/>
      <w:bookmarkStart w:id="325" w:name="_Toc184308082"/>
      <w:bookmarkEnd w:id="325"/>
      <w:bookmarkStart w:id="326" w:name="_Toc184310305"/>
      <w:bookmarkEnd w:id="326"/>
      <w:bookmarkStart w:id="327" w:name="_Toc184310282"/>
      <w:bookmarkEnd w:id="327"/>
      <w:bookmarkStart w:id="328" w:name="_Toc184312100"/>
      <w:bookmarkEnd w:id="328"/>
      <w:bookmarkStart w:id="329" w:name="_Toc184313279"/>
      <w:bookmarkEnd w:id="329"/>
      <w:bookmarkStart w:id="330" w:name="_Toc184313272"/>
      <w:bookmarkEnd w:id="330"/>
      <w:bookmarkStart w:id="331" w:name="_Toc184312103"/>
      <w:bookmarkEnd w:id="331"/>
      <w:bookmarkStart w:id="332" w:name="_Toc184312101"/>
      <w:bookmarkEnd w:id="332"/>
      <w:bookmarkStart w:id="333" w:name="_Toc184308078"/>
      <w:bookmarkEnd w:id="333"/>
      <w:bookmarkStart w:id="334" w:name="_Toc184310343"/>
      <w:bookmarkEnd w:id="334"/>
      <w:bookmarkStart w:id="335" w:name="_Toc184312081"/>
      <w:bookmarkEnd w:id="335"/>
      <w:bookmarkStart w:id="336" w:name="_Toc184310326"/>
      <w:bookmarkEnd w:id="336"/>
      <w:bookmarkStart w:id="337" w:name="_Toc184310299"/>
      <w:bookmarkEnd w:id="337"/>
      <w:bookmarkStart w:id="338" w:name="_Toc184312085"/>
      <w:bookmarkEnd w:id="338"/>
      <w:bookmarkStart w:id="339" w:name="_Toc184314476"/>
      <w:bookmarkEnd w:id="339"/>
      <w:bookmarkStart w:id="340" w:name="_Toc184308102"/>
      <w:bookmarkEnd w:id="340"/>
      <w:bookmarkStart w:id="341" w:name="_Toc184310297"/>
      <w:bookmarkEnd w:id="341"/>
      <w:bookmarkStart w:id="342" w:name="_Toc184310296"/>
      <w:bookmarkEnd w:id="342"/>
      <w:bookmarkStart w:id="343" w:name="_Toc184308067"/>
      <w:bookmarkEnd w:id="343"/>
      <w:bookmarkStart w:id="344" w:name="_Toc184312135"/>
      <w:bookmarkEnd w:id="344"/>
      <w:bookmarkStart w:id="345" w:name="_Toc184312069"/>
      <w:bookmarkEnd w:id="345"/>
      <w:bookmarkStart w:id="346" w:name="_Toc184314467"/>
      <w:bookmarkEnd w:id="346"/>
      <w:bookmarkStart w:id="347" w:name="_Toc184313304"/>
      <w:bookmarkEnd w:id="347"/>
      <w:bookmarkStart w:id="348" w:name="_Toc184314455"/>
      <w:bookmarkEnd w:id="348"/>
      <w:bookmarkStart w:id="349" w:name="_Toc184313263"/>
      <w:bookmarkEnd w:id="349"/>
      <w:bookmarkStart w:id="350" w:name="_Toc184314459"/>
      <w:bookmarkEnd w:id="350"/>
      <w:bookmarkStart w:id="351" w:name="_Toc184313287"/>
      <w:bookmarkEnd w:id="351"/>
      <w:bookmarkStart w:id="352" w:name="_Toc184308054"/>
      <w:bookmarkEnd w:id="352"/>
      <w:bookmarkStart w:id="353" w:name="_Toc184314413"/>
      <w:bookmarkEnd w:id="353"/>
      <w:bookmarkStart w:id="354" w:name="_Toc184310317"/>
      <w:bookmarkEnd w:id="354"/>
      <w:bookmarkStart w:id="355" w:name="_Toc184308049"/>
      <w:bookmarkEnd w:id="355"/>
      <w:bookmarkStart w:id="356" w:name="_Toc184314449"/>
      <w:bookmarkEnd w:id="356"/>
      <w:bookmarkStart w:id="357" w:name="_Toc184313294"/>
      <w:bookmarkEnd w:id="357"/>
      <w:bookmarkStart w:id="358" w:name="_Toc184308039"/>
      <w:bookmarkEnd w:id="358"/>
      <w:bookmarkStart w:id="359" w:name="_Toc184313253"/>
      <w:bookmarkEnd w:id="359"/>
      <w:bookmarkStart w:id="360" w:name="_Toc184310289"/>
      <w:bookmarkEnd w:id="360"/>
      <w:bookmarkStart w:id="361" w:name="_Toc184313280"/>
      <w:bookmarkEnd w:id="361"/>
      <w:bookmarkStart w:id="362" w:name="_Toc184312116"/>
      <w:bookmarkEnd w:id="362"/>
      <w:bookmarkStart w:id="363" w:name="_Toc184312094"/>
      <w:bookmarkEnd w:id="363"/>
      <w:bookmarkStart w:id="364" w:name="_Toc184313306"/>
      <w:bookmarkEnd w:id="364"/>
      <w:bookmarkStart w:id="365" w:name="_Toc184310322"/>
      <w:bookmarkEnd w:id="365"/>
      <w:bookmarkStart w:id="366" w:name="_Toc184314428"/>
      <w:bookmarkEnd w:id="366"/>
      <w:bookmarkStart w:id="367" w:name="_Toc184313250"/>
      <w:bookmarkEnd w:id="367"/>
      <w:bookmarkStart w:id="368" w:name="_Toc184310334"/>
      <w:bookmarkEnd w:id="368"/>
      <w:bookmarkStart w:id="369" w:name="_Toc184312120"/>
      <w:bookmarkEnd w:id="369"/>
      <w:bookmarkStart w:id="370" w:name="_Toc184312124"/>
      <w:bookmarkEnd w:id="370"/>
      <w:bookmarkStart w:id="371" w:name="_Toc184308046"/>
      <w:bookmarkEnd w:id="371"/>
      <w:bookmarkStart w:id="372" w:name="_Toc184312105"/>
      <w:bookmarkEnd w:id="372"/>
      <w:bookmarkStart w:id="373" w:name="_Toc184308090"/>
      <w:bookmarkEnd w:id="373"/>
      <w:bookmarkStart w:id="374" w:name="_Toc184310285"/>
      <w:bookmarkEnd w:id="374"/>
      <w:bookmarkStart w:id="375" w:name="_Toc184313275"/>
      <w:bookmarkEnd w:id="375"/>
      <w:bookmarkStart w:id="376" w:name="_Toc184312137"/>
      <w:bookmarkEnd w:id="376"/>
      <w:bookmarkStart w:id="377" w:name="_Toc184308058"/>
      <w:bookmarkEnd w:id="377"/>
      <w:bookmarkStart w:id="378" w:name="_Toc184312107"/>
      <w:bookmarkEnd w:id="378"/>
      <w:bookmarkStart w:id="379" w:name="_Toc184313299"/>
      <w:bookmarkEnd w:id="379"/>
      <w:bookmarkStart w:id="380" w:name="_Toc184308092"/>
      <w:bookmarkEnd w:id="380"/>
      <w:bookmarkStart w:id="381" w:name="_Toc184313252"/>
      <w:bookmarkEnd w:id="381"/>
      <w:bookmarkStart w:id="382" w:name="_Toc184312114"/>
      <w:bookmarkEnd w:id="382"/>
      <w:bookmarkStart w:id="383" w:name="_Toc184314478"/>
      <w:bookmarkEnd w:id="383"/>
      <w:bookmarkStart w:id="384" w:name="_Toc184312091"/>
      <w:bookmarkEnd w:id="384"/>
      <w:bookmarkStart w:id="385" w:name="_Toc184313286"/>
      <w:bookmarkEnd w:id="385"/>
      <w:bookmarkStart w:id="386" w:name="_Toc184308101"/>
      <w:bookmarkEnd w:id="386"/>
      <w:bookmarkStart w:id="387" w:name="_Toc184310325"/>
      <w:bookmarkEnd w:id="387"/>
      <w:bookmarkStart w:id="388" w:name="_Toc184313241"/>
      <w:bookmarkEnd w:id="388"/>
      <w:bookmarkStart w:id="389" w:name="_Toc184314457"/>
      <w:bookmarkEnd w:id="389"/>
      <w:bookmarkStart w:id="390" w:name="_Toc184312117"/>
      <w:bookmarkEnd w:id="390"/>
      <w:bookmarkStart w:id="391" w:name="_Toc184308098"/>
      <w:bookmarkEnd w:id="391"/>
      <w:r>
        <w:rPr>
          <w:rFonts w:hint="eastAsia" w:cs="仿宋" w:asciiTheme="majorEastAsia" w:hAnsiTheme="majorEastAsia" w:eastAsiaTheme="majorEastAsia"/>
          <w:b/>
          <w:color w:val="auto"/>
          <w:sz w:val="36"/>
          <w:szCs w:val="36"/>
        </w:rPr>
        <w:t>评标办法</w:t>
      </w:r>
    </w:p>
    <w:p>
      <w:pPr>
        <w:shd w:val="clear"/>
        <w:snapToGrid w:val="0"/>
        <w:spacing w:line="360" w:lineRule="auto"/>
        <w:jc w:val="center"/>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评标办法前附表</w:t>
      </w:r>
    </w:p>
    <w:tbl>
      <w:tblPr>
        <w:tblStyle w:val="32"/>
        <w:tblW w:w="974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92"/>
        <w:gridCol w:w="16"/>
        <w:gridCol w:w="7185"/>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项目</w:t>
            </w:r>
          </w:p>
        </w:tc>
        <w:tc>
          <w:tcPr>
            <w:tcW w:w="8593" w:type="dxa"/>
            <w:gridSpan w:val="3"/>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评分标准</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531" w:type="dxa"/>
            <w:vMerge w:val="restart"/>
            <w:tcBorders>
              <w:top w:val="single" w:color="auto" w:sz="4" w:space="0"/>
              <w:left w:val="single" w:color="auto" w:sz="4" w:space="0"/>
              <w:right w:val="single" w:color="auto" w:sz="4" w:space="0"/>
            </w:tcBorders>
            <w:vAlign w:val="center"/>
          </w:tcPr>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技术</w:t>
            </w:r>
          </w:p>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资信</w:t>
            </w:r>
          </w:p>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分</w:t>
            </w:r>
          </w:p>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（90分）</w:t>
            </w:r>
          </w:p>
        </w:tc>
        <w:tc>
          <w:tcPr>
            <w:tcW w:w="13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一、采购需求响应情况（10分）</w:t>
            </w:r>
          </w:p>
        </w:tc>
        <w:tc>
          <w:tcPr>
            <w:tcW w:w="7201"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完全满足“采购需求”的得10分，服务要求每负偏离1条扣1分，负偏离达10条及以上，作无效投标处理。</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31" w:type="dxa"/>
            <w:vMerge w:val="continue"/>
            <w:tcBorders>
              <w:left w:val="single" w:color="auto" w:sz="4" w:space="0"/>
              <w:right w:val="single" w:color="auto" w:sz="4" w:space="0"/>
            </w:tcBorders>
            <w:vAlign w:val="center"/>
          </w:tcPr>
          <w:p>
            <w:pPr>
              <w:shd w:val="clear"/>
              <w:spacing w:line="360" w:lineRule="auto"/>
              <w:jc w:val="center"/>
              <w:rPr>
                <w:rFonts w:cs="宋体" w:asciiTheme="minorEastAsia" w:hAnsiTheme="minorEastAsia" w:eastAsiaTheme="minorEastAsia"/>
                <w:color w:val="auto"/>
                <w:sz w:val="18"/>
                <w:szCs w:val="18"/>
              </w:rPr>
            </w:pPr>
          </w:p>
        </w:tc>
        <w:tc>
          <w:tcPr>
            <w:tcW w:w="1392" w:type="dxa"/>
            <w:vMerge w:val="restart"/>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二、服务方案（40分）</w:t>
            </w:r>
          </w:p>
        </w:tc>
        <w:tc>
          <w:tcPr>
            <w:tcW w:w="7201"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1、道路保洁方案（6分）：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根据投标人提供的针对本次招标范围内实际情况制定道路保洁（含堆积物清理）方案（提供道路照片）是否详细合理、有创新、具有针对性；保洁人员配备（提供保洁人员名单）及人员管理方案是否详细合理、符合本项目要求；监督管理机制内容是否规范、切合实际；三项内容进行打分，每项内容0-2分，最高得6分。</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7201"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2、重难点区域的保洁方案（4分）：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根据投标人提供的针对重难点保洁服务区域的保洁方案是否详细合理、有创新、具有针对性；解决方法和措施是否具体、合理、高效；二项内容进行打分，每项内容0-2分，最高得4分。</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7201"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3、公厕保洁方案（6分）：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根据投标人提供的公厕保洁方案是否详细合理、有创新、具有针对性；保洁人员配备（提供保洁人员名单）及人员管理方案是否详细合理、符合本项目要求；监督管理机制内容是否规范、切合实际；三项内容进行打分，每项内容0-2分，最高得6分。</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7201"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4、绿化保洁方案（6分）：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根据投标人提供的绿化保洁方案是否详细合理、有创新、具有针对性；保洁人员配备（提供保洁人员名单）及人员管理方案是否详细合理、符合本项目要求；监督管理机制内容是否规范、切合实际；三项内容进行打分，每项内容0-2分，最高得6分。</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7201"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5、生活垃圾分类清运方案（6分）：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根据投标人提供的针对本次招标范围内实际情况制定的生活垃圾分类清运方案是否（包括每日建成区、每个村垃圾清运作业次数、垃圾清运方式、作业时间段安排等）详细合理、有创新、具有针对性；清运人员配备（提供清运人员名单）及人员管理方案是否详细合理、符合本项目要求；监督管理机制内容是否规范、切合实际；三项内容进行打分，每项内容0-2分，最高得6分。</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7201"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6、垃圾桶、果壳箱保洁方案（6分）：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根据投标人提供的保洁方案是否详细合理、有创新、具有针对性；保洁人员配备（提供保洁人员名单）及人员管理方案详细合理、符合本项目要求；监督管理机制内容是否规范、切合实际；三项内容进行打分，每项内容0-2分，最高得6分。</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7201"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7、运输车及运输过程中的防“滴漏洒”方案（4分）：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根据投标人在运输过程中防止滴漏洒的措施、在运输过程中出现防滴漏洒情况的处理方案是否详细合理具有针对性、解决办法是否环保高效进行评议0-4分；</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7201"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8、服务质量保障措施（2分）：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根据投标人服务质量保证措施方案是否合理、高效具有针对性进行评议0-2分；</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三、应急保障措施（6分）</w:t>
            </w:r>
          </w:p>
        </w:tc>
        <w:tc>
          <w:tcPr>
            <w:tcW w:w="7201"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根据投标人提供的针对大型活动、节庆假日、防台防汛期间、创优评优和突击检查等特殊时期的应急保障方案是否详细、规范、合理；应急保障措施是否具体、全面、合理；应急人员配备是否充足；三项内容进行打分，每项内容0-2分，最高得6分。</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四、项目负责人、管理人员、机械车辆驾驶人员（5分）</w:t>
            </w:r>
          </w:p>
        </w:tc>
        <w:tc>
          <w:tcPr>
            <w:tcW w:w="7201" w:type="dxa"/>
            <w:gridSpan w:val="2"/>
            <w:tcBorders>
              <w:top w:val="single" w:color="auto" w:sz="4" w:space="0"/>
              <w:left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根据投标人配备的项目负责人、项目管理人员、机械车辆驾驶人员个人素质、从业经验进行评议0-5分；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注：所配备的人员提供投标人为其缴纳的开标前连续三个月的社保缴纳证明材料。</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tcBorders>
              <w:top w:val="single" w:color="auto" w:sz="4" w:space="0"/>
              <w:left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五、服务车辆、机械配备情况（6分）</w:t>
            </w:r>
          </w:p>
        </w:tc>
        <w:tc>
          <w:tcPr>
            <w:tcW w:w="7201" w:type="dxa"/>
            <w:gridSpan w:val="2"/>
            <w:tcBorders>
              <w:top w:val="single" w:color="auto" w:sz="4" w:space="0"/>
              <w:left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1、投标人具有核定载重量车辆在5吨及以上清扫车的每辆得0.5分，最高得1分；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2、投标人具有核定载重量车辆在8吨及以上洒水车的每辆得0.5分，最高得1分；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3、投标人具有核定载重量车辆在5吨及以上压缩垃圾清运车5辆以上的，每增加1辆得1分，最高得2分；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4、投标人具有车厢可卸式垃圾车的每辆得0.5分，最高得1分；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5、投标人具有专用洗桶设备的得1分。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注：投标文件中车辆须提供具有投标单位名称的年检合格的行驶证、购置发票；专用洗桶设备提供发票复印件；否则不予认可。</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tcBorders>
              <w:left w:val="single" w:color="auto" w:sz="4" w:space="0"/>
              <w:right w:val="single" w:color="auto" w:sz="4" w:space="0"/>
            </w:tcBorders>
            <w:vAlign w:val="center"/>
          </w:tcPr>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六、日常管理办公用房及停车场地情况（3分）</w:t>
            </w:r>
          </w:p>
        </w:tc>
        <w:tc>
          <w:tcPr>
            <w:tcW w:w="7201" w:type="dxa"/>
            <w:gridSpan w:val="2"/>
            <w:tcBorders>
              <w:top w:val="single" w:color="auto" w:sz="4" w:space="0"/>
              <w:left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根据投标人拟投入的办公用房及仓储面积大小、停车场地、地理位置情况进行评议0-3分；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注：投标文件中提供土地证、产权证或租赁证明等相关证明材料和相应的平面图、现场照片复印件。</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七、各类耗料使用方案（2分）</w:t>
            </w:r>
          </w:p>
        </w:tc>
        <w:tc>
          <w:tcPr>
            <w:tcW w:w="7201"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根据投标人提供的各类耗材使用方案是否合理进行评议0-2分；</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八、平稳交接过度方案（4分）</w:t>
            </w:r>
          </w:p>
        </w:tc>
        <w:tc>
          <w:tcPr>
            <w:tcW w:w="7201"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投标人提供的交接过程中存在的风险及控制措施是否合理、可操作；保洁人员人事交接方案是否合理、规范、可操作；二项内容进行打分，每项内容0-2分，最高得4分。</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tcBorders>
              <w:top w:val="single" w:color="auto" w:sz="4" w:space="0"/>
              <w:left w:val="single" w:color="auto" w:sz="4" w:space="0"/>
              <w:right w:val="single" w:color="auto" w:sz="4" w:space="0"/>
            </w:tcBorders>
            <w:vAlign w:val="center"/>
          </w:tcPr>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九、企业管理制度（6分）</w:t>
            </w:r>
          </w:p>
        </w:tc>
        <w:tc>
          <w:tcPr>
            <w:tcW w:w="7201" w:type="dxa"/>
            <w:gridSpan w:val="2"/>
            <w:tcBorders>
              <w:top w:val="single" w:color="auto" w:sz="4" w:space="0"/>
              <w:left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根据投标人内部管理制度描述是否详尽、考虑周全、针对性强；人员考核方案、考核制度是否详细合理、具有针对性；人员激励方案考虑周全、详细合理；三项内容进行打分，每项内容0-2分，最高得6分。</w:t>
            </w:r>
          </w:p>
        </w:tc>
        <w:tc>
          <w:tcPr>
            <w:tcW w:w="625" w:type="dxa"/>
            <w:tcBorders>
              <w:top w:val="single" w:color="auto" w:sz="4" w:space="0"/>
              <w:left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tcBorders>
              <w:top w:val="single" w:color="auto" w:sz="4" w:space="0"/>
              <w:left w:val="single" w:color="auto" w:sz="4" w:space="0"/>
              <w:right w:val="single" w:color="auto" w:sz="4" w:space="0"/>
            </w:tcBorders>
            <w:vAlign w:val="center"/>
          </w:tcPr>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十、企业实力（3分）</w:t>
            </w:r>
          </w:p>
        </w:tc>
        <w:tc>
          <w:tcPr>
            <w:tcW w:w="7201" w:type="dxa"/>
            <w:gridSpan w:val="2"/>
            <w:tcBorders>
              <w:top w:val="single" w:color="auto" w:sz="4" w:space="0"/>
              <w:left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1、投标人同时具有质量管理体系认证、环境管理体系认证、职业健康安全管理体系认证的得1分，缺项不得分。（体系认证范围需覆盖保洁类服务内容）</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2、2019年1月1日以来投标人获得地市级及以上政府部门荣誉的得1分。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3、投标人具有城市生活垃圾经营性清扫、收集、运输服务许可证的得1分。</w:t>
            </w:r>
          </w:p>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注：所有证书须在有效期内，投标文件中提供相关证明材料复印件。</w:t>
            </w:r>
          </w:p>
        </w:tc>
        <w:tc>
          <w:tcPr>
            <w:tcW w:w="625" w:type="dxa"/>
            <w:tcBorders>
              <w:top w:val="single" w:color="auto" w:sz="4" w:space="0"/>
              <w:left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tcBorders>
              <w:left w:val="single" w:color="auto" w:sz="4" w:space="0"/>
              <w:bottom w:val="single" w:color="auto" w:sz="4" w:space="0"/>
              <w:right w:val="single" w:color="auto" w:sz="4" w:space="0"/>
            </w:tcBorders>
            <w:vAlign w:val="center"/>
          </w:tcPr>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十一、业绩（1分）</w:t>
            </w:r>
          </w:p>
        </w:tc>
        <w:tc>
          <w:tcPr>
            <w:tcW w:w="7201"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2019年1月1日（以合同签订时间为准）来承接过同类服务项目（道路保洁或其他垃圾清运或厨余/餐厨垃圾清运）每个得0.25分，最多1分。（投标文件中提供中标通知书、网上公示截图、合同复印件并加盖公章。</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31" w:type="dxa"/>
            <w:vMerge w:val="continue"/>
            <w:tcBorders>
              <w:left w:val="single" w:color="auto" w:sz="4" w:space="0"/>
              <w:right w:val="single" w:color="auto" w:sz="4" w:space="0"/>
            </w:tcBorders>
            <w:vAlign w:val="center"/>
          </w:tcPr>
          <w:p>
            <w:pPr>
              <w:widowControl/>
              <w:shd w:val="clear"/>
              <w:spacing w:line="360" w:lineRule="auto"/>
              <w:jc w:val="left"/>
              <w:rPr>
                <w:rFonts w:cs="宋体" w:asciiTheme="minorEastAsia" w:hAnsiTheme="minorEastAsia" w:eastAsiaTheme="minorEastAsia"/>
                <w:color w:val="auto"/>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十二、合理化建议或承诺（4分）</w:t>
            </w:r>
          </w:p>
        </w:tc>
        <w:tc>
          <w:tcPr>
            <w:tcW w:w="7201"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 xml:space="preserve">根据各投标人提出的针对本项目的合理化、服务承诺是否贴合实际、具有针对性进行评议0-4分。                                                                                                                                                                                                                                                                                                                                                                 </w:t>
            </w:r>
          </w:p>
        </w:tc>
        <w:tc>
          <w:tcPr>
            <w:tcW w:w="62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939" w:type="dxa"/>
            <w:gridSpan w:val="3"/>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报价分（10分）</w:t>
            </w:r>
          </w:p>
        </w:tc>
        <w:tc>
          <w:tcPr>
            <w:tcW w:w="7185" w:type="dxa"/>
            <w:tcBorders>
              <w:top w:val="single" w:color="auto" w:sz="4" w:space="0"/>
              <w:left w:val="single" w:color="auto" w:sz="4" w:space="0"/>
              <w:right w:val="single" w:color="auto" w:sz="4" w:space="0"/>
            </w:tcBorders>
            <w:vAlign w:val="center"/>
          </w:tcPr>
          <w:p>
            <w:pPr>
              <w:shd w:val="clear"/>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满足采购文件要求且参与评审价格最低为评标基准价，其价格分为满分，其余投标人的价格分以下列公式计算：</w:t>
            </w:r>
          </w:p>
          <w:p>
            <w:pPr>
              <w:shd w:val="clear"/>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投标报价得分=（评标基准价/参与评审的价格）×10</w:t>
            </w:r>
          </w:p>
          <w:p>
            <w:pPr>
              <w:shd w:val="clear"/>
              <w:spacing w:line="360" w:lineRule="auto"/>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参与评审价格=投标价格×（1-价格折扣率）</w:t>
            </w:r>
          </w:p>
        </w:tc>
        <w:tc>
          <w:tcPr>
            <w:tcW w:w="625" w:type="dxa"/>
            <w:tcBorders>
              <w:top w:val="single" w:color="auto" w:sz="4" w:space="0"/>
              <w:left w:val="single" w:color="auto" w:sz="4" w:space="0"/>
              <w:right w:val="single" w:color="auto" w:sz="4" w:space="0"/>
            </w:tcBorders>
            <w:vAlign w:val="center"/>
          </w:tcPr>
          <w:p>
            <w:pPr>
              <w:shd w:val="clear"/>
              <w:spacing w:line="360" w:lineRule="auto"/>
              <w:jc w:val="left"/>
              <w:rPr>
                <w:rFonts w:cs="宋体" w:asciiTheme="minorEastAsia" w:hAnsiTheme="minorEastAsia" w:eastAsiaTheme="minorEastAsia"/>
                <w:b/>
                <w:bCs/>
                <w:color w:val="auto"/>
                <w:sz w:val="18"/>
                <w:szCs w:val="18"/>
              </w:rPr>
            </w:pPr>
          </w:p>
        </w:tc>
      </w:tr>
    </w:tbl>
    <w:p>
      <w:pPr>
        <w:shd w:val="clear"/>
        <w:snapToGrid w:val="0"/>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0"/>
          <w:szCs w:val="20"/>
        </w:rPr>
        <w:t> </w:t>
      </w:r>
      <w:r>
        <w:rPr>
          <w:rFonts w:hint="eastAsia" w:cs="仿宋" w:asciiTheme="majorEastAsia" w:hAnsiTheme="majorEastAsia" w:eastAsiaTheme="majorEastAsia"/>
          <w:b/>
          <w:color w:val="auto"/>
          <w:sz w:val="24"/>
        </w:rPr>
        <w:t>备注：</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编制投标文件（商务技术文件部分）时，建议按此目录（序号和内容）提供评标标准相应的商务技术资料。 </w:t>
      </w: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一、评标方法</w:t>
      </w:r>
    </w:p>
    <w:p>
      <w:pPr>
        <w:shd w:val="clear"/>
        <w:spacing w:line="360" w:lineRule="auto"/>
        <w:ind w:firstLine="472" w:firstLineChars="196"/>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1.本项目采用综合评分法。</w:t>
      </w:r>
      <w:r>
        <w:rPr>
          <w:rFonts w:hint="eastAsia" w:cs="仿宋" w:asciiTheme="majorEastAsia" w:hAnsiTheme="majorEastAsia" w:eastAsiaTheme="majorEastAsia"/>
          <w:color w:val="auto"/>
          <w:kern w:val="0"/>
          <w:sz w:val="24"/>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为中标候选人的评标方法。</w:t>
      </w: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二、评标标准</w:t>
      </w:r>
    </w:p>
    <w:p>
      <w:pPr>
        <w:shd w:val="clear"/>
        <w:spacing w:line="360" w:lineRule="auto"/>
        <w:ind w:firstLine="472" w:firstLineChars="196"/>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w:t>
      </w:r>
      <w:r>
        <w:rPr>
          <w:rFonts w:hint="eastAsia" w:cs="仿宋" w:asciiTheme="majorEastAsia" w:hAnsiTheme="majorEastAsia" w:eastAsiaTheme="majorEastAsia"/>
          <w:color w:val="auto"/>
        </w:rPr>
        <w:t xml:space="preserve"> </w:t>
      </w:r>
      <w:r>
        <w:rPr>
          <w:rFonts w:hint="eastAsia" w:cs="仿宋" w:asciiTheme="majorEastAsia" w:hAnsiTheme="majorEastAsia" w:eastAsiaTheme="majorEastAsia"/>
          <w:b/>
          <w:color w:val="auto"/>
          <w:sz w:val="24"/>
        </w:rPr>
        <w:t>评标标准：</w:t>
      </w:r>
      <w:r>
        <w:rPr>
          <w:rFonts w:hint="eastAsia" w:cs="仿宋" w:asciiTheme="majorEastAsia" w:hAnsiTheme="majorEastAsia" w:eastAsiaTheme="majorEastAsia"/>
          <w:color w:val="auto"/>
          <w:kern w:val="0"/>
          <w:sz w:val="24"/>
        </w:rPr>
        <w:t>见评标办法前附表。</w:t>
      </w: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三、评标程序</w:t>
      </w:r>
    </w:p>
    <w:p>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3.1 符合性审查。</w:t>
      </w:r>
      <w:r>
        <w:rPr>
          <w:rFonts w:hint="eastAsia" w:cs="仿宋" w:asciiTheme="majorEastAsia" w:hAnsiTheme="majorEastAsia" w:eastAsiaTheme="majorEastAsia"/>
          <w:color w:val="auto"/>
          <w:kern w:val="0"/>
          <w:sz w:val="24"/>
        </w:rPr>
        <w:t>评标委员会应当对符合资格的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的投标文件进行符合性审查，以确定其是否满足招标文件的实质性要求。不满足招标文件的实质性要求的，投标无效。</w:t>
      </w:r>
    </w:p>
    <w:p>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3.2 商务技术评审。</w:t>
      </w:r>
      <w:r>
        <w:rPr>
          <w:rFonts w:hint="eastAsia" w:cs="仿宋" w:asciiTheme="majorEastAsia" w:hAnsiTheme="majorEastAsia" w:eastAsiaTheme="majorEastAsia"/>
          <w:color w:val="auto"/>
          <w:kern w:val="0"/>
          <w:sz w:val="24"/>
        </w:rPr>
        <w:t>评标委员会应当按照招标文件中规定的评标方法和标准，对符合性审查合格的投标文件进行商务和技术评估。</w:t>
      </w:r>
    </w:p>
    <w:p>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3.3 汇总商务技术得分。</w:t>
      </w:r>
      <w:r>
        <w:rPr>
          <w:rFonts w:hint="eastAsia" w:cs="仿宋" w:asciiTheme="majorEastAsia" w:hAnsiTheme="majorEastAsia" w:eastAsiaTheme="majorEastAsia"/>
          <w:color w:val="auto"/>
          <w:kern w:val="0"/>
          <w:sz w:val="24"/>
        </w:rPr>
        <w:t>评标委员会各成员应当独立对每个</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的商务和技术文件进行评价，并汇总商务技术得分情况。</w:t>
      </w:r>
    </w:p>
    <w:p>
      <w:pPr>
        <w:shd w:val="clear"/>
        <w:spacing w:line="360" w:lineRule="auto"/>
        <w:ind w:firstLine="482" w:firstLineChars="200"/>
        <w:rPr>
          <w:rFonts w:cs="仿宋" w:asciiTheme="majorEastAsia" w:hAnsiTheme="majorEastAsia" w:eastAsiaTheme="majorEastAsia"/>
          <w:b/>
          <w:color w:val="auto"/>
          <w:kern w:val="0"/>
          <w:sz w:val="24"/>
        </w:rPr>
      </w:pPr>
      <w:r>
        <w:rPr>
          <w:rFonts w:hint="eastAsia" w:cs="仿宋" w:asciiTheme="majorEastAsia" w:hAnsiTheme="majorEastAsia" w:eastAsiaTheme="majorEastAsia"/>
          <w:b/>
          <w:color w:val="auto"/>
          <w:kern w:val="0"/>
          <w:sz w:val="24"/>
        </w:rPr>
        <w:t>3.4 报价评审。</w:t>
      </w:r>
    </w:p>
    <w:p>
      <w:pPr>
        <w:pStyle w:val="51"/>
        <w:shd w:val="clear"/>
        <w:spacing w:before="0"/>
        <w:ind w:firstLine="480"/>
        <w:rPr>
          <w:rFonts w:cs="仿宋" w:asciiTheme="majorEastAsia" w:hAnsiTheme="majorEastAsia" w:eastAsiaTheme="majorEastAsia"/>
          <w:color w:val="auto"/>
          <w:kern w:val="0"/>
        </w:rPr>
      </w:pPr>
      <w:r>
        <w:rPr>
          <w:rFonts w:hint="eastAsia" w:cs="仿宋" w:asciiTheme="majorEastAsia" w:hAnsiTheme="majorEastAsia" w:eastAsiaTheme="majorEastAsia"/>
          <w:color w:val="auto"/>
          <w:kern w:val="0"/>
        </w:rPr>
        <w:t>3.4.1投标文件报价出现前后不一致的，按照下列规定修正：</w:t>
      </w:r>
    </w:p>
    <w:p>
      <w:pPr>
        <w:pStyle w:val="51"/>
        <w:shd w:val="clear"/>
        <w:spacing w:before="0"/>
        <w:ind w:firstLine="480"/>
        <w:rPr>
          <w:rFonts w:cs="仿宋" w:asciiTheme="majorEastAsia" w:hAnsiTheme="majorEastAsia" w:eastAsiaTheme="majorEastAsia"/>
          <w:color w:val="auto"/>
          <w:kern w:val="0"/>
        </w:rPr>
      </w:pPr>
      <w:r>
        <w:rPr>
          <w:rFonts w:hint="eastAsia" w:cs="仿宋" w:asciiTheme="majorEastAsia" w:hAnsiTheme="majorEastAsia" w:eastAsiaTheme="majorEastAsia"/>
          <w:color w:val="auto"/>
          <w:kern w:val="0"/>
        </w:rPr>
        <w:t>3.4.1.1电子交易平台生成的开标记录表(报价表)内容与投标文件中开标一览表(报价表)不一致的，以投标文件中开标一览表(报价表)为准；</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3.4.1.2</w:t>
      </w:r>
      <w:r>
        <w:rPr>
          <w:rFonts w:hint="eastAsia" w:cs="仿宋" w:asciiTheme="majorEastAsia" w:hAnsiTheme="majorEastAsia" w:eastAsiaTheme="majorEastAsia"/>
          <w:color w:val="auto"/>
          <w:kern w:val="0"/>
        </w:rPr>
        <w:t>投标文件中开标一览表(报价表)内容与投标文件中相应内容不一致的，以开标一览表(报价表)为准；</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3.4.1.3 大写金额和小写金额不一致的，以大写金额为准;</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3.4.1.4 单价金额小数点或者百分比有明显错位的，以开标一览表的总价为准，并修改单价;</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3.4.1.5 总价金额与按单价汇总金额不一致的，以单价金额计算结果为准；</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确认后产生约束力。</w:t>
      </w:r>
    </w:p>
    <w:p>
      <w:pPr>
        <w:shd w:val="clear"/>
        <w:snapToGrid w:val="0"/>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3.4.2投标文件出现不是唯一的、有选择性投标报价的，投标无效。</w:t>
      </w:r>
    </w:p>
    <w:p>
      <w:pPr>
        <w:shd w:val="clear"/>
        <w:snapToGrid w:val="0"/>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3.4.3投标报价超过招标文件中规定的预算金额或者最高限价的，投标无效。</w:t>
      </w:r>
    </w:p>
    <w:p>
      <w:pPr>
        <w:pStyle w:val="51"/>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3.4.4评标委员会认为</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的报价明显低于其他通过符合性审查</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不能证明其报价合理性的，评标委员会应当将其作为无效投标处理。</w:t>
      </w:r>
    </w:p>
    <w:p>
      <w:pPr>
        <w:pStyle w:val="51"/>
        <w:shd w:val="clear"/>
        <w:spacing w:before="0"/>
        <w:ind w:firstLine="480"/>
        <w:rPr>
          <w:rFonts w:ascii="宋体" w:hAnsi="宋体" w:cs="仿宋"/>
          <w:color w:val="auto"/>
          <w:kern w:val="0"/>
          <w:szCs w:val="24"/>
        </w:rPr>
      </w:pPr>
      <w:r>
        <w:rPr>
          <w:rFonts w:hint="eastAsia" w:ascii="宋体" w:hAnsi="宋体" w:cs="仿宋"/>
          <w:color w:val="auto"/>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3.5编写评标报告。</w:t>
      </w:r>
      <w:r>
        <w:rPr>
          <w:rFonts w:hint="eastAsia" w:cs="仿宋" w:asciiTheme="majorEastAsia" w:hAnsiTheme="majorEastAsia" w:eastAsiaTheme="majorEastAsia"/>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四、评标中的其他事项</w:t>
      </w:r>
    </w:p>
    <w:p>
      <w:pPr>
        <w:pStyle w:val="51"/>
        <w:shd w:val="clear"/>
        <w:spacing w:before="0"/>
        <w:ind w:firstLine="482"/>
        <w:rPr>
          <w:rFonts w:cs="仿宋" w:asciiTheme="majorEastAsia" w:hAnsiTheme="majorEastAsia" w:eastAsiaTheme="majorEastAsia"/>
          <w:color w:val="auto"/>
          <w:kern w:val="0"/>
          <w:szCs w:val="24"/>
        </w:rPr>
      </w:pPr>
      <w:r>
        <w:rPr>
          <w:rFonts w:hint="eastAsia" w:cs="仿宋" w:asciiTheme="majorEastAsia" w:hAnsiTheme="majorEastAsia" w:eastAsiaTheme="majorEastAsia"/>
          <w:b/>
          <w:color w:val="auto"/>
          <w:kern w:val="0"/>
          <w:szCs w:val="24"/>
        </w:rPr>
        <w:t>4.1投标澄清、说明或者补正。</w:t>
      </w:r>
      <w:r>
        <w:rPr>
          <w:rFonts w:hint="eastAsia" w:cs="仿宋" w:asciiTheme="majorEastAsia" w:hAnsiTheme="majorEastAsia" w:eastAsiaTheme="majorEastAsia"/>
          <w:color w:val="auto"/>
          <w:kern w:val="0"/>
          <w:szCs w:val="24"/>
        </w:rPr>
        <w:t>对于投标文件中含义不明确、同类问题表述不一致或者有明显文字和计算错误的内容需要</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作出必要的澄清、说明或者补正的，评标委员会和</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通过电子交易平台交换数据电文，</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提交使用电子签名的相关数据电文或通过平台上传加盖公章的扫描件。给予</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提交澄清、说明或补正的时间不得少于半小时，</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已经明确表示澄清说明或补正完毕的除外。</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的澄清、说明或者补正不得超出投标文件的范围或者改变投标文件的实质性内容。</w:t>
      </w:r>
    </w:p>
    <w:p>
      <w:pPr>
        <w:pStyle w:val="17"/>
        <w:shd w:val="clear"/>
        <w:spacing w:line="360" w:lineRule="auto"/>
        <w:ind w:firstLine="482"/>
        <w:rPr>
          <w:rFonts w:cs="仿宋" w:asciiTheme="majorEastAsia" w:hAnsiTheme="majorEastAsia" w:eastAsiaTheme="majorEastAsia"/>
          <w:color w:val="auto"/>
          <w:szCs w:val="21"/>
        </w:rPr>
      </w:pPr>
      <w:r>
        <w:rPr>
          <w:rFonts w:hint="eastAsia" w:cs="仿宋" w:asciiTheme="majorEastAsia" w:hAnsiTheme="majorEastAsia" w:eastAsiaTheme="majorEastAsia"/>
          <w:b/>
          <w:color w:val="auto"/>
          <w:kern w:val="0"/>
        </w:rPr>
        <w:t>4.2投标无效的情形。</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4.2.1 没有响应招标文件实质性要求的投标将被视为无效投标。</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修改、补正投标文件后，不影响评标委员会对其投标文件所作的评价和评分结果。</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 在电子开评标时，如发现下列情形之一的，将被视为无效投标文件：</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4.2.2.1电子投标文件解密失败的；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4.2.2.2投标文件未按招标文件要求加密、签字、盖章的；（投标文件中加盖</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公章部分均须CA签章。）</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 在资格审查、符合性审查和商务评审时，如发现下列情形之一的，将被视为无效投标文件：</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4.2.3.1 资格证明文件不全的或者不符合招标文件标明的资格要求的；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4.2.3.2 投标文件未按招标文件要求签署、盖章的；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4.2.3.3 投标文件格式不规范、项目不齐全或者内容虚假的；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4.2.3.4 投标文件的实质性内容未使用中文表述、意思表述不明确、前后矛盾或者使用计量单位不符合招标文件要求的（经评标委员会认定并允许其当场更正的笔误除外）；</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4.2.3.5 投标有效期、交货时间、质保期等商务条款不能满足招标文件要求的；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4.2.3.6 带“▲”的条款不能满足招标文件要求、未实质性响应招标文件要求或者投标文件有采购人不能接受的附加条件的；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4.2.3.7 单位负责人为同一人或者存在直接控股、管理关系的不同供应商参加同一合同项下的政府采购活动的；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4.2.3.8 为采购项目提供整体设计、规范编制或者项目管理、监理、检测等服务的供应商参加该采购项目的其他采购活动的；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4.2.3.9 商务技术文件中出现本项目投标报价或单价的。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4.3.在技术评审时，如发现下列情形之一的，将被视为无效投标文件：</w:t>
      </w:r>
    </w:p>
    <w:p>
      <w:pPr>
        <w:shd w:val="clear"/>
        <w:spacing w:line="360" w:lineRule="auto"/>
        <w:ind w:firstLine="480" w:firstLineChars="200"/>
        <w:rPr>
          <w:rFonts w:hint="eastAsia" w:ascii="宋体" w:hAnsi="宋体" w:cs="宋体"/>
          <w:color w:val="auto"/>
          <w:sz w:val="24"/>
        </w:rPr>
      </w:pPr>
      <w:r>
        <w:rPr>
          <w:rFonts w:hint="eastAsia" w:ascii="宋体" w:hAnsi="宋体" w:cs="宋体"/>
          <w:color w:val="auto"/>
          <w:sz w:val="24"/>
        </w:rPr>
        <w:t>4.3.1投标文件标明的响应或偏离与事实不符或虚假投标的；</w:t>
      </w:r>
    </w:p>
    <w:p>
      <w:pPr>
        <w:shd w:val="clear"/>
        <w:spacing w:line="360" w:lineRule="auto"/>
        <w:ind w:firstLine="480" w:firstLineChars="200"/>
        <w:rPr>
          <w:rFonts w:hint="eastAsia" w:ascii="宋体" w:hAnsi="宋体" w:cs="宋体"/>
          <w:color w:val="auto"/>
          <w:sz w:val="24"/>
        </w:rPr>
      </w:pPr>
      <w:r>
        <w:rPr>
          <w:rFonts w:hint="eastAsia" w:ascii="宋体" w:hAnsi="宋体" w:cs="宋体"/>
          <w:color w:val="auto"/>
          <w:sz w:val="24"/>
        </w:rPr>
        <w:t>4.3.2明显不符合采购文件要求的服务要求或服务标准，或者与采购文件中标“▲”的服务条款发生实质性偏离的；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4.3.3 允许偏离的技术、性能指标或辅助功能项目发生负偏离达/项（含）以上的；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4.3.4 投标技术方案不明确，存在一个或一个以上备选（替代）投标方案的；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4.3.5 与其他参加本次投标</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的投标文件（技术文件）的文字表述内容差错相同2处以上的；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 在报价评审时，如发现下列情形之一的，投标文件将被视为无效：</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4.4.1 未采用人民币报价或者未按照招标文件标明的币种报价的；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4.4.2 报价超出最高限价，或者超出采购预算金额的；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4.4.3 投标报价具有选择性的；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4.4.4 投标报价中出现缺项、漏项或被评标委员会认定为有可能影响产品质量或者不能诚信履约的且不能在合理的时间内证明其报价合理性的；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4.4.5供应商对根据修正原则修正后的报价不确认的。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4.5其他无效情形：</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4.5.1 不同</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的投标文件出自同一终端设备或在相同Internet主机分配地址（相同IP地址）进行网上报名、投标的；</w:t>
      </w:r>
    </w:p>
    <w:p>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4.5.2 法律、法规、规章（适用本市的）及省级以上规范性文件（适用本市的）规定的其他无效情形。</w:t>
      </w:r>
    </w:p>
    <w:p>
      <w:pPr>
        <w:pStyle w:val="17"/>
        <w:shd w:val="clear"/>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rPr>
        <w:t>5.废标。</w:t>
      </w:r>
      <w:r>
        <w:rPr>
          <w:rFonts w:hint="eastAsia" w:cs="仿宋" w:asciiTheme="majorEastAsia" w:hAnsiTheme="majorEastAsia" w:eastAsiaTheme="majorEastAsia"/>
          <w:color w:val="auto"/>
        </w:rPr>
        <w:t>根据《中华人民共和国政府采购法》第三十六条之规定，在采购中，出现下列情形之一的，应予废标：</w:t>
      </w:r>
    </w:p>
    <w:p>
      <w:pPr>
        <w:pStyle w:val="17"/>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5.1符合专业条件的供应商或者对招标文件作实质响应的供应商不足3家的；</w:t>
      </w:r>
    </w:p>
    <w:p>
      <w:pPr>
        <w:pStyle w:val="17"/>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5.2出现影响采购公正的违法、违规行为的；</w:t>
      </w:r>
    </w:p>
    <w:p>
      <w:pPr>
        <w:pStyle w:val="17"/>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5.3</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的报价均超过了采购预算，采购人不能支付的；</w:t>
      </w:r>
    </w:p>
    <w:p>
      <w:pPr>
        <w:pStyle w:val="17"/>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5.4因重大变故，采购任务取消的。</w:t>
      </w:r>
    </w:p>
    <w:p>
      <w:pPr>
        <w:pStyle w:val="17"/>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废标后，采购代理机构应当将废标理由通知所有</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w:t>
      </w:r>
    </w:p>
    <w:p>
      <w:pPr>
        <w:pStyle w:val="17"/>
        <w:shd w:val="clear"/>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rPr>
        <w:t>6.修改招标文件，重新组织采购活动。</w:t>
      </w:r>
      <w:r>
        <w:rPr>
          <w:rFonts w:hint="eastAsia" w:cs="仿宋" w:asciiTheme="majorEastAsia" w:hAnsiTheme="majorEastAsia" w:eastAsiaTheme="majorEastAsia"/>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7"/>
        <w:shd w:val="clear"/>
        <w:adjustRightInd w:val="0"/>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kern w:val="0"/>
        </w:rPr>
        <w:t>7.重新开展采购。</w:t>
      </w:r>
      <w:r>
        <w:rPr>
          <w:rFonts w:hint="eastAsia" w:cs="仿宋" w:asciiTheme="majorEastAsia" w:hAnsiTheme="majorEastAsia" w:eastAsiaTheme="majorEastAsia"/>
          <w:color w:val="auto"/>
        </w:rPr>
        <w:t>有政府采购法第七十一条、第七十二条规定的违法行为之一，影响或者可能影响中标、成交结果的，依照下列规定处理：</w:t>
      </w:r>
    </w:p>
    <w:p>
      <w:pPr>
        <w:pStyle w:val="17"/>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7.1未确定中标或者中标人的，终止本次政府采购活动，重新开展政府采购活动。</w:t>
      </w:r>
    </w:p>
    <w:p>
      <w:pPr>
        <w:pStyle w:val="17"/>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7.2已确定中标或者中标人但尚未签订政府采购合同的，中标或者成交结果无效，重新开展政府采购活动。</w:t>
      </w:r>
    </w:p>
    <w:p>
      <w:pPr>
        <w:pStyle w:val="17"/>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7.3政府采购合同已签订但尚未履行的，撤销合同，重新开展政府采购活动。</w:t>
      </w:r>
    </w:p>
    <w:p>
      <w:pPr>
        <w:pStyle w:val="17"/>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7.4政府采购合同已经履行，给采购人、供应商造成损失的，由责任人承担赔偿责任。</w:t>
      </w:r>
    </w:p>
    <w:p>
      <w:pPr>
        <w:pStyle w:val="17"/>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7.5政府采购当事人有其他违反政府采购法</w:t>
      </w:r>
      <w:r>
        <w:rPr>
          <w:rFonts w:hint="eastAsia" w:cs="仿宋" w:asciiTheme="majorEastAsia" w:hAnsiTheme="majorEastAsia" w:eastAsiaTheme="majorEastAsia"/>
          <w:color w:val="auto"/>
          <w:kern w:val="0"/>
        </w:rPr>
        <w:t>或者政府采购法实施条例等法律法规规定</w:t>
      </w:r>
      <w:r>
        <w:rPr>
          <w:rFonts w:hint="eastAsia" w:cs="仿宋" w:asciiTheme="majorEastAsia" w:hAnsiTheme="majorEastAsia" w:eastAsiaTheme="majorEastAsia"/>
          <w:color w:val="auto"/>
        </w:rPr>
        <w:t>的行为，经改正后仍然影响或者可能影响中标、成交结果或者依法被认定为中标、成交无效的，依照7.1-7.4规定处理。</w:t>
      </w:r>
      <w:bookmarkEnd w:id="26"/>
      <w:bookmarkStart w:id="392" w:name="第五部分"/>
      <w:bookmarkStart w:id="393" w:name="_Toc86217003"/>
    </w:p>
    <w:p>
      <w:pPr>
        <w:shd w:val="clear"/>
        <w:spacing w:line="360" w:lineRule="auto"/>
        <w:rPr>
          <w:rFonts w:cs="仿宋" w:asciiTheme="majorEastAsia" w:hAnsiTheme="majorEastAsia" w:eastAsiaTheme="majorEastAsia"/>
          <w:b/>
          <w:color w:val="auto"/>
          <w:sz w:val="36"/>
          <w:szCs w:val="36"/>
        </w:rPr>
      </w:pPr>
    </w:p>
    <w:p>
      <w:pPr>
        <w:pStyle w:val="17"/>
        <w:numPr>
          <w:ilvl w:val="0"/>
          <w:numId w:val="5"/>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br w:type="page"/>
      </w:r>
      <w:r>
        <w:rPr>
          <w:rFonts w:hint="eastAsia" w:cs="仿宋" w:asciiTheme="majorEastAsia" w:hAnsiTheme="majorEastAsia" w:eastAsiaTheme="majorEastAsia"/>
          <w:b/>
          <w:color w:val="auto"/>
          <w:sz w:val="36"/>
          <w:szCs w:val="36"/>
        </w:rPr>
        <w:t>拟签订的合同文本</w:t>
      </w:r>
    </w:p>
    <w:p>
      <w:pPr>
        <w:widowControl/>
        <w:shd w:val="clear"/>
        <w:jc w:val="left"/>
        <w:rPr>
          <w:rFonts w:cs="仿宋" w:asciiTheme="minorEastAsia" w:hAnsiTheme="minorEastAsia" w:eastAsiaTheme="minorEastAsia"/>
          <w:color w:val="auto"/>
          <w:sz w:val="24"/>
          <w:lang w:val="zh-CN"/>
        </w:rPr>
      </w:pPr>
    </w:p>
    <w:p>
      <w:pPr>
        <w:shd w:val="clear"/>
        <w:spacing w:line="360" w:lineRule="auto"/>
        <w:jc w:val="left"/>
        <w:rPr>
          <w:rFonts w:ascii="宋体" w:hAnsi="宋体" w:cs="仿宋"/>
          <w:color w:val="auto"/>
          <w:sz w:val="24"/>
          <w:u w:val="single"/>
        </w:rPr>
      </w:pPr>
      <w:r>
        <w:rPr>
          <w:rFonts w:hint="eastAsia" w:cs="仿宋" w:asciiTheme="minorEastAsia" w:hAnsiTheme="minorEastAsia" w:eastAsiaTheme="minorEastAsia"/>
          <w:color w:val="auto"/>
          <w:sz w:val="24"/>
          <w:lang w:val="zh-CN"/>
        </w:rPr>
        <w:t xml:space="preserve">          </w:t>
      </w:r>
      <w:r>
        <w:rPr>
          <w:rFonts w:hint="eastAsia" w:ascii="宋体" w:hAnsi="宋体" w:cs="仿宋"/>
          <w:color w:val="auto"/>
          <w:sz w:val="24"/>
        </w:rPr>
        <w:t>合同编号：</w:t>
      </w:r>
      <w:r>
        <w:rPr>
          <w:rFonts w:hint="eastAsia" w:ascii="宋体" w:hAnsi="宋体" w:cs="仿宋"/>
          <w:color w:val="auto"/>
          <w:sz w:val="24"/>
          <w:u w:val="single"/>
        </w:rPr>
        <w:t xml:space="preserve">           </w:t>
      </w:r>
    </w:p>
    <w:p>
      <w:pPr>
        <w:shd w:val="clear"/>
        <w:spacing w:line="360" w:lineRule="auto"/>
        <w:jc w:val="center"/>
        <w:rPr>
          <w:rFonts w:ascii="宋体" w:hAnsi="宋体" w:cs="仿宋"/>
          <w:b/>
          <w:color w:val="auto"/>
          <w:sz w:val="28"/>
          <w:szCs w:val="28"/>
        </w:rPr>
      </w:pPr>
    </w:p>
    <w:p>
      <w:pPr>
        <w:shd w:val="clear"/>
        <w:spacing w:line="360" w:lineRule="auto"/>
        <w:jc w:val="center"/>
        <w:rPr>
          <w:rFonts w:ascii="宋体" w:hAnsi="宋体" w:cs="仿宋"/>
          <w:b/>
          <w:color w:val="auto"/>
          <w:sz w:val="24"/>
        </w:rPr>
      </w:pPr>
    </w:p>
    <w:p>
      <w:pPr>
        <w:shd w:val="clear"/>
        <w:spacing w:line="360" w:lineRule="auto"/>
        <w:jc w:val="center"/>
        <w:rPr>
          <w:rFonts w:ascii="宋体" w:hAnsi="宋体" w:cs="仿宋"/>
          <w:b/>
          <w:color w:val="auto"/>
          <w:sz w:val="24"/>
        </w:rPr>
      </w:pPr>
    </w:p>
    <w:p>
      <w:pPr>
        <w:shd w:val="clear"/>
        <w:spacing w:line="360" w:lineRule="auto"/>
        <w:jc w:val="center"/>
        <w:rPr>
          <w:rFonts w:ascii="宋体" w:hAnsi="宋体" w:cs="仿宋"/>
          <w:b/>
          <w:color w:val="auto"/>
          <w:sz w:val="36"/>
          <w:szCs w:val="36"/>
        </w:rPr>
      </w:pPr>
      <w:r>
        <w:rPr>
          <w:rFonts w:hint="eastAsia" w:ascii="宋体" w:hAnsi="宋体" w:cs="仿宋"/>
          <w:b/>
          <w:color w:val="auto"/>
          <w:sz w:val="36"/>
          <w:szCs w:val="36"/>
        </w:rPr>
        <w:t>政府采购合同文本</w:t>
      </w:r>
    </w:p>
    <w:p>
      <w:pPr>
        <w:shd w:val="clear"/>
        <w:spacing w:line="36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52"/>
        <w:shd w:val="clear"/>
        <w:ind w:left="0" w:leftChars="0" w:firstLine="0" w:firstLineChars="0"/>
        <w:rPr>
          <w:rFonts w:ascii="宋体" w:hAnsi="宋体" w:cs="仿宋"/>
          <w:color w:val="auto"/>
          <w:szCs w:val="24"/>
        </w:rPr>
      </w:pPr>
    </w:p>
    <w:p>
      <w:pPr>
        <w:pStyle w:val="52"/>
        <w:shd w:val="clear"/>
        <w:rPr>
          <w:rFonts w:ascii="宋体" w:hAnsi="宋体" w:cs="仿宋"/>
          <w:color w:val="auto"/>
          <w:szCs w:val="24"/>
        </w:rPr>
      </w:pPr>
    </w:p>
    <w:p>
      <w:pPr>
        <w:shd w:val="clear"/>
        <w:spacing w:before="120" w:line="360" w:lineRule="auto"/>
        <w:rPr>
          <w:rFonts w:ascii="宋体" w:hAnsi="宋体" w:cs="仿宋"/>
          <w:color w:val="auto"/>
          <w:sz w:val="24"/>
        </w:rPr>
      </w:pPr>
    </w:p>
    <w:p>
      <w:pPr>
        <w:shd w:val="clear"/>
        <w:spacing w:before="120" w:line="360" w:lineRule="auto"/>
        <w:ind w:left="960" w:firstLine="720" w:firstLineChars="300"/>
        <w:rPr>
          <w:rFonts w:ascii="宋体" w:hAnsi="宋体" w:cs="仿宋"/>
          <w:color w:val="auto"/>
          <w:sz w:val="24"/>
        </w:rPr>
      </w:pPr>
      <w:r>
        <w:rPr>
          <w:rFonts w:hint="eastAsia" w:ascii="宋体" w:hAnsi="宋体" w:cs="仿宋"/>
          <w:color w:val="auto"/>
          <w:sz w:val="24"/>
        </w:rPr>
        <w:t>项目名称：</w:t>
      </w:r>
      <w:r>
        <w:rPr>
          <w:rFonts w:hint="eastAsia" w:ascii="宋体" w:hAnsi="宋体" w:cs="仿宋"/>
          <w:color w:val="auto"/>
          <w:sz w:val="24"/>
          <w:u w:val="single"/>
        </w:rPr>
        <w:t xml:space="preserve">                                   </w:t>
      </w:r>
    </w:p>
    <w:p>
      <w:pPr>
        <w:pStyle w:val="44"/>
        <w:shd w:val="clear"/>
        <w:spacing w:before="120"/>
        <w:rPr>
          <w:rFonts w:ascii="宋体" w:hAnsi="宋体" w:eastAsia="宋体" w:cs="仿宋"/>
          <w:color w:val="auto"/>
          <w:szCs w:val="24"/>
        </w:rPr>
      </w:pPr>
    </w:p>
    <w:p>
      <w:pPr>
        <w:pStyle w:val="44"/>
        <w:shd w:val="clear"/>
        <w:spacing w:before="120"/>
        <w:rPr>
          <w:rFonts w:ascii="宋体" w:hAnsi="宋体" w:eastAsia="宋体" w:cs="仿宋"/>
          <w:color w:val="auto"/>
          <w:szCs w:val="24"/>
        </w:rPr>
      </w:pPr>
    </w:p>
    <w:p>
      <w:pPr>
        <w:shd w:val="clear"/>
        <w:spacing w:line="360" w:lineRule="auto"/>
        <w:rPr>
          <w:rFonts w:ascii="宋体" w:hAnsi="宋体" w:cs="仿宋"/>
          <w:color w:val="auto"/>
          <w:sz w:val="24"/>
        </w:rPr>
      </w:pPr>
    </w:p>
    <w:p>
      <w:pPr>
        <w:shd w:val="clear"/>
        <w:spacing w:before="120" w:line="480" w:lineRule="auto"/>
        <w:ind w:left="960" w:firstLine="720" w:firstLineChars="300"/>
        <w:rPr>
          <w:rFonts w:ascii="宋体" w:hAnsi="宋体" w:cs="仿宋"/>
          <w:color w:val="auto"/>
          <w:sz w:val="24"/>
        </w:rPr>
      </w:pPr>
      <w:r>
        <w:rPr>
          <w:rFonts w:hint="eastAsia" w:ascii="宋体" w:hAnsi="宋体" w:cs="仿宋"/>
          <w:color w:val="auto"/>
          <w:sz w:val="24"/>
        </w:rPr>
        <w:t>甲方：</w:t>
      </w:r>
      <w:r>
        <w:rPr>
          <w:rFonts w:hint="eastAsia" w:ascii="宋体" w:hAnsi="宋体" w:cs="仿宋"/>
          <w:color w:val="auto"/>
          <w:sz w:val="24"/>
          <w:u w:val="single"/>
        </w:rPr>
        <w:t xml:space="preserve">                                       </w:t>
      </w:r>
    </w:p>
    <w:p>
      <w:pPr>
        <w:shd w:val="clear"/>
        <w:spacing w:before="120" w:line="480" w:lineRule="auto"/>
        <w:ind w:left="960" w:firstLine="720" w:firstLineChars="300"/>
        <w:rPr>
          <w:rFonts w:ascii="宋体" w:hAnsi="宋体" w:cs="仿宋"/>
          <w:color w:val="auto"/>
          <w:sz w:val="24"/>
        </w:rPr>
      </w:pPr>
      <w:r>
        <w:rPr>
          <w:rFonts w:hint="eastAsia" w:ascii="宋体" w:hAnsi="宋体" w:cs="仿宋"/>
          <w:color w:val="auto"/>
          <w:sz w:val="24"/>
        </w:rPr>
        <w:t>乙方：</w:t>
      </w:r>
      <w:r>
        <w:rPr>
          <w:rFonts w:hint="eastAsia" w:ascii="宋体" w:hAnsi="宋体" w:cs="仿宋"/>
          <w:color w:val="auto"/>
          <w:sz w:val="24"/>
          <w:u w:val="single"/>
        </w:rPr>
        <w:t xml:space="preserve">                                       </w:t>
      </w:r>
    </w:p>
    <w:p>
      <w:pPr>
        <w:shd w:val="clear"/>
        <w:spacing w:before="120" w:line="480" w:lineRule="auto"/>
        <w:ind w:firstLine="1680" w:firstLineChars="700"/>
        <w:rPr>
          <w:rFonts w:ascii="宋体" w:hAnsi="宋体" w:cs="仿宋"/>
          <w:color w:val="auto"/>
          <w:sz w:val="24"/>
        </w:rPr>
      </w:pPr>
      <w:r>
        <w:rPr>
          <w:rFonts w:hint="eastAsia" w:ascii="宋体" w:hAnsi="宋体" w:cs="仿宋"/>
          <w:color w:val="auto"/>
          <w:sz w:val="24"/>
        </w:rPr>
        <w:t>签订地：</w:t>
      </w:r>
      <w:r>
        <w:rPr>
          <w:rFonts w:hint="eastAsia" w:ascii="宋体" w:hAnsi="宋体" w:cs="仿宋"/>
          <w:color w:val="auto"/>
          <w:sz w:val="24"/>
          <w:u w:val="single"/>
        </w:rPr>
        <w:t xml:space="preserve">                                     </w:t>
      </w:r>
    </w:p>
    <w:p>
      <w:pPr>
        <w:shd w:val="clear"/>
        <w:spacing w:before="120" w:line="480" w:lineRule="auto"/>
        <w:ind w:firstLine="1680" w:firstLineChars="700"/>
        <w:rPr>
          <w:rFonts w:ascii="宋体" w:hAnsi="宋体" w:cs="仿宋"/>
          <w:color w:val="auto"/>
          <w:sz w:val="24"/>
        </w:rPr>
      </w:pPr>
      <w:r>
        <w:rPr>
          <w:rFonts w:hint="eastAsia" w:ascii="宋体" w:hAnsi="宋体" w:cs="仿宋"/>
          <w:color w:val="auto"/>
          <w:sz w:val="24"/>
        </w:rPr>
        <w:t>签订日期：</w:t>
      </w:r>
      <w:r>
        <w:rPr>
          <w:rFonts w:hint="eastAsia" w:ascii="宋体" w:hAnsi="宋体" w:cs="仿宋"/>
          <w:color w:val="auto"/>
          <w:sz w:val="24"/>
          <w:u w:val="single"/>
        </w:rPr>
        <w:t xml:space="preserve">               </w:t>
      </w:r>
      <w:r>
        <w:rPr>
          <w:rFonts w:hint="eastAsia" w:ascii="宋体" w:hAnsi="宋体" w:cs="仿宋"/>
          <w:color w:val="auto"/>
          <w:sz w:val="24"/>
        </w:rPr>
        <w:t>年</w:t>
      </w:r>
      <w:r>
        <w:rPr>
          <w:rFonts w:hint="eastAsia" w:ascii="宋体" w:hAnsi="宋体" w:cs="仿宋"/>
          <w:color w:val="auto"/>
          <w:sz w:val="24"/>
          <w:u w:val="single"/>
        </w:rPr>
        <w:t xml:space="preserve">       </w:t>
      </w:r>
      <w:r>
        <w:rPr>
          <w:rFonts w:hint="eastAsia" w:ascii="宋体" w:hAnsi="宋体" w:cs="仿宋"/>
          <w:color w:val="auto"/>
          <w:sz w:val="24"/>
        </w:rPr>
        <w:t>月</w:t>
      </w:r>
      <w:r>
        <w:rPr>
          <w:rFonts w:hint="eastAsia" w:ascii="宋体" w:hAnsi="宋体" w:cs="仿宋"/>
          <w:color w:val="auto"/>
          <w:sz w:val="24"/>
          <w:u w:val="single"/>
        </w:rPr>
        <w:t xml:space="preserve">       </w:t>
      </w:r>
      <w:r>
        <w:rPr>
          <w:rFonts w:hint="eastAsia" w:ascii="宋体" w:hAnsi="宋体" w:cs="仿宋"/>
          <w:color w:val="auto"/>
          <w:sz w:val="24"/>
        </w:rPr>
        <w:t>日</w:t>
      </w:r>
    </w:p>
    <w:p>
      <w:pPr>
        <w:shd w:val="clear"/>
        <w:spacing w:line="360" w:lineRule="auto"/>
        <w:ind w:firstLine="480" w:firstLineChars="200"/>
        <w:rPr>
          <w:rFonts w:cs="仿宋" w:asciiTheme="majorEastAsia" w:hAnsiTheme="majorEastAsia" w:eastAsiaTheme="majorEastAsia"/>
          <w:color w:val="auto"/>
          <w:sz w:val="24"/>
          <w:lang w:val="zh-CN"/>
        </w:rPr>
      </w:pPr>
      <w:r>
        <w:rPr>
          <w:rFonts w:hint="eastAsia" w:ascii="宋体" w:hAnsi="宋体" w:cs="仿宋"/>
          <w:color w:val="auto"/>
          <w:sz w:val="24"/>
          <w:u w:val="single"/>
          <w:lang w:val="zh-CN"/>
        </w:rPr>
        <w:br w:type="page"/>
      </w:r>
      <w:r>
        <w:rPr>
          <w:rFonts w:hint="eastAsia" w:cs="仿宋" w:asciiTheme="majorEastAsia" w:hAnsiTheme="majorEastAsia" w:eastAsiaTheme="majorEastAsia"/>
          <w:color w:val="auto"/>
          <w:sz w:val="24"/>
          <w:u w:val="single"/>
          <w:lang w:val="zh-CN"/>
        </w:rPr>
        <w:t xml:space="preserve">        </w:t>
      </w:r>
      <w:r>
        <w:rPr>
          <w:rFonts w:hint="eastAsia" w:cs="仿宋" w:asciiTheme="majorEastAsia" w:hAnsiTheme="majorEastAsia" w:eastAsiaTheme="majorEastAsia"/>
          <w:color w:val="auto"/>
          <w:sz w:val="24"/>
          <w:lang w:val="zh-CN"/>
        </w:rPr>
        <w:t>年</w:t>
      </w:r>
      <w:r>
        <w:rPr>
          <w:rFonts w:hint="eastAsia" w:cs="仿宋" w:asciiTheme="majorEastAsia" w:hAnsiTheme="majorEastAsia" w:eastAsiaTheme="majorEastAsia"/>
          <w:color w:val="auto"/>
          <w:sz w:val="24"/>
          <w:u w:val="single"/>
          <w:lang w:val="zh-CN"/>
        </w:rPr>
        <w:t xml:space="preserve">     </w:t>
      </w:r>
      <w:r>
        <w:rPr>
          <w:rFonts w:hint="eastAsia" w:cs="仿宋" w:asciiTheme="majorEastAsia" w:hAnsiTheme="majorEastAsia" w:eastAsiaTheme="majorEastAsia"/>
          <w:color w:val="auto"/>
          <w:sz w:val="24"/>
          <w:lang w:val="zh-CN"/>
        </w:rPr>
        <w:t>月</w:t>
      </w:r>
      <w:r>
        <w:rPr>
          <w:rFonts w:hint="eastAsia" w:cs="仿宋" w:asciiTheme="majorEastAsia" w:hAnsiTheme="majorEastAsia" w:eastAsiaTheme="majorEastAsia"/>
          <w:color w:val="auto"/>
          <w:sz w:val="24"/>
          <w:u w:val="single"/>
          <w:lang w:val="zh-CN"/>
        </w:rPr>
        <w:t xml:space="preserve">     </w:t>
      </w:r>
      <w:r>
        <w:rPr>
          <w:rFonts w:hint="eastAsia" w:cs="仿宋" w:asciiTheme="majorEastAsia" w:hAnsiTheme="majorEastAsia" w:eastAsiaTheme="majorEastAsia"/>
          <w:color w:val="auto"/>
          <w:sz w:val="24"/>
          <w:lang w:val="zh-CN"/>
        </w:rPr>
        <w:t>日，</w:t>
      </w:r>
      <w:r>
        <w:rPr>
          <w:rFonts w:hint="eastAsia" w:cs="仿宋" w:asciiTheme="majorEastAsia" w:hAnsiTheme="majorEastAsia" w:eastAsiaTheme="majorEastAsia"/>
          <w:color w:val="auto"/>
          <w:sz w:val="24"/>
          <w:u w:val="single"/>
          <w:lang w:val="zh-CN"/>
        </w:rPr>
        <w:t xml:space="preserve">   （采购人）   </w:t>
      </w:r>
      <w:r>
        <w:rPr>
          <w:rFonts w:hint="eastAsia" w:cs="仿宋" w:asciiTheme="majorEastAsia" w:hAnsiTheme="majorEastAsia" w:eastAsiaTheme="majorEastAsia"/>
          <w:color w:val="auto"/>
          <w:sz w:val="24"/>
          <w:lang w:val="zh-CN"/>
        </w:rPr>
        <w:t>以</w:t>
      </w:r>
      <w:r>
        <w:rPr>
          <w:rFonts w:hint="eastAsia" w:cs="仿宋" w:asciiTheme="majorEastAsia" w:hAnsiTheme="majorEastAsia" w:eastAsiaTheme="majorEastAsia"/>
          <w:color w:val="auto"/>
          <w:sz w:val="24"/>
          <w:u w:val="single"/>
          <w:lang w:val="zh-CN"/>
        </w:rPr>
        <w:t xml:space="preserve">   （政府采购方式）  </w:t>
      </w:r>
      <w:r>
        <w:rPr>
          <w:rFonts w:hint="eastAsia" w:cs="仿宋" w:asciiTheme="majorEastAsia" w:hAnsiTheme="majorEastAsia" w:eastAsiaTheme="majorEastAsia"/>
          <w:color w:val="auto"/>
          <w:sz w:val="24"/>
          <w:lang w:val="zh-CN"/>
        </w:rPr>
        <w:t>对</w:t>
      </w:r>
      <w:r>
        <w:rPr>
          <w:rFonts w:hint="eastAsia" w:cs="仿宋" w:asciiTheme="majorEastAsia" w:hAnsiTheme="majorEastAsia" w:eastAsiaTheme="majorEastAsia"/>
          <w:color w:val="auto"/>
          <w:sz w:val="24"/>
          <w:u w:val="single"/>
          <w:lang w:val="zh-CN"/>
        </w:rPr>
        <w:t xml:space="preserve">   （同前页项目名称）   </w:t>
      </w:r>
      <w:r>
        <w:rPr>
          <w:rFonts w:hint="eastAsia" w:cs="仿宋" w:asciiTheme="majorEastAsia" w:hAnsiTheme="majorEastAsia" w:eastAsiaTheme="majorEastAsia"/>
          <w:color w:val="auto"/>
          <w:sz w:val="24"/>
          <w:lang w:val="zh-CN"/>
        </w:rPr>
        <w:t>项目进行了采购。经</w:t>
      </w:r>
      <w:r>
        <w:rPr>
          <w:rFonts w:hint="eastAsia" w:cs="仿宋" w:asciiTheme="majorEastAsia" w:hAnsiTheme="majorEastAsia" w:eastAsiaTheme="majorEastAsia"/>
          <w:color w:val="auto"/>
          <w:sz w:val="24"/>
          <w:u w:val="single"/>
          <w:lang w:val="zh-CN"/>
        </w:rPr>
        <w:t xml:space="preserve">   （相关评定主体名称）   </w:t>
      </w:r>
      <w:r>
        <w:rPr>
          <w:rFonts w:hint="eastAsia" w:cs="仿宋" w:asciiTheme="majorEastAsia" w:hAnsiTheme="majorEastAsia" w:eastAsiaTheme="majorEastAsia"/>
          <w:color w:val="auto"/>
          <w:sz w:val="24"/>
          <w:lang w:val="zh-CN"/>
        </w:rPr>
        <w:t>评定，</w:t>
      </w:r>
      <w:r>
        <w:rPr>
          <w:rFonts w:hint="eastAsia" w:cs="仿宋" w:asciiTheme="majorEastAsia" w:hAnsiTheme="majorEastAsia" w:eastAsiaTheme="majorEastAsia"/>
          <w:color w:val="auto"/>
          <w:sz w:val="24"/>
          <w:u w:val="single"/>
          <w:lang w:val="zh-CN"/>
        </w:rPr>
        <w:t xml:space="preserve">   （中标供应商名称）</w:t>
      </w:r>
      <w:r>
        <w:rPr>
          <w:rFonts w:hint="eastAsia" w:cs="仿宋" w:asciiTheme="majorEastAsia" w:hAnsiTheme="majorEastAsia" w:eastAsiaTheme="majorEastAsia"/>
          <w:color w:val="auto"/>
          <w:sz w:val="24"/>
          <w:lang w:val="zh-CN"/>
        </w:rPr>
        <w:t>为该项目中标供应商。现于中标通知书发出之日起三十日内，按照采购文件确定的事项签订本合同。</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lang w:val="zh-CN"/>
        </w:rPr>
        <w:t>根据《中华人民共和国民法典》、《中华人民共和国政府采购法》等相关法律法规之规定，按照平等、自愿、公平、诚实信用和绿色的原则，经</w:t>
      </w:r>
      <w:r>
        <w:rPr>
          <w:rFonts w:hint="eastAsia" w:cs="仿宋" w:asciiTheme="majorEastAsia" w:hAnsiTheme="majorEastAsia" w:eastAsiaTheme="majorEastAsia"/>
          <w:color w:val="auto"/>
          <w:sz w:val="24"/>
          <w:u w:val="single"/>
        </w:rPr>
        <w:t xml:space="preserve">   （采购人）   </w:t>
      </w:r>
      <w:r>
        <w:rPr>
          <w:rFonts w:hint="eastAsia" w:cs="仿宋" w:asciiTheme="majorEastAsia" w:hAnsiTheme="majorEastAsia" w:eastAsiaTheme="majorEastAsia"/>
          <w:color w:val="auto"/>
          <w:sz w:val="24"/>
          <w:lang w:val="zh-CN"/>
        </w:rPr>
        <w:t>(以下简称：甲方)和</w:t>
      </w:r>
      <w:r>
        <w:rPr>
          <w:rFonts w:hint="eastAsia" w:cs="仿宋" w:asciiTheme="majorEastAsia" w:hAnsiTheme="majorEastAsia" w:eastAsiaTheme="majorEastAsia"/>
          <w:color w:val="auto"/>
          <w:sz w:val="24"/>
          <w:u w:val="single"/>
        </w:rPr>
        <w:t xml:space="preserve">   （中标供应商名称）   </w:t>
      </w:r>
      <w:r>
        <w:rPr>
          <w:rFonts w:hint="eastAsia" w:cs="仿宋" w:asciiTheme="majorEastAsia" w:hAnsiTheme="majorEastAsia" w:eastAsiaTheme="majorEastAsia"/>
          <w:color w:val="auto"/>
          <w:sz w:val="24"/>
          <w:lang w:val="zh-CN"/>
        </w:rPr>
        <w:t>(以下简称：乙方)协商一致，约定以下合同</w:t>
      </w:r>
      <w:r>
        <w:rPr>
          <w:rFonts w:hint="eastAsia" w:cs="仿宋" w:asciiTheme="majorEastAsia" w:hAnsiTheme="majorEastAsia" w:eastAsiaTheme="majorEastAsia"/>
          <w:color w:val="auto"/>
          <w:sz w:val="24"/>
        </w:rPr>
        <w:t>条款，以兹共同遵守、全面履行。</w:t>
      </w:r>
    </w:p>
    <w:p>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 定义</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本合同中的下列词语应按以下内容进行解释：</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 “合同”系指采购人和中标供应商签订的载明双方当事人所达成的协议，并包括所有的附件、附录和构成合同的其他文件。</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 “合同价”系指根据合同约定，中标供应商在完全履行合同义务后，采购人应支付给中标供应商的价格。</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 “服务”系指中标供应商根据合同约定应为采购人提供的一切服务。</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 “甲方”系指与中标供应商签署合同的采购人；采购人委托采购代理机构代表其与乙方签订合同的，采购人的授权委托书作为合同附件。</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spacing w:line="360" w:lineRule="auto"/>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4"/>
        </w:rPr>
        <w:t>1.6 “现场”系指合同约定中标供应商为采购人提供服务的地点。</w:t>
      </w:r>
    </w:p>
    <w:p>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 合同组成部分</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 本合同及其附件、补充合同、变更协议；</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 中标通知书；</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 投标文件（含澄清或者说明文件）；</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 招标文件（含澄清或者修改文件）；</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2.5 其他相关采购文件。</w:t>
      </w:r>
    </w:p>
    <w:p>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3 服务内容（与招标文件一致）</w:t>
      </w:r>
    </w:p>
    <w:p>
      <w:pPr>
        <w:shd w:val="clear"/>
        <w:spacing w:line="360" w:lineRule="auto"/>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3.1 服务内容：</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w:t>
      </w:r>
    </w:p>
    <w:p>
      <w:pPr>
        <w:shd w:val="clear"/>
        <w:spacing w:line="360" w:lineRule="auto"/>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3.2 服务要求与标准：</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w:t>
      </w:r>
    </w:p>
    <w:p>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4 价款</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本合同总价为：￥</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元（大写：</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元人民币）。</w:t>
      </w:r>
    </w:p>
    <w:p>
      <w:pPr>
        <w:shd w:val="clear"/>
        <w:spacing w:line="360" w:lineRule="auto"/>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分项价格：</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200"/>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200"/>
              <w:jc w:val="center"/>
              <w:rPr>
                <w:rFonts w:cs="仿宋" w:asciiTheme="majorEastAsia" w:hAnsiTheme="majorEastAsia" w:eastAsiaTheme="majorEastAsia"/>
                <w:color w:val="auto"/>
                <w:kern w:val="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200"/>
              <w:jc w:val="center"/>
              <w:rPr>
                <w:rFonts w:cs="仿宋" w:asciiTheme="majorEastAsia" w:hAnsiTheme="majorEastAsia" w:eastAsiaTheme="majorEastAsia"/>
                <w:color w:val="auto"/>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200"/>
              <w:jc w:val="center"/>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200"/>
              <w:jc w:val="center"/>
              <w:rPr>
                <w:rFonts w:cs="仿宋" w:asciiTheme="majorEastAsia" w:hAnsiTheme="majorEastAsia" w:eastAsiaTheme="majorEastAsia"/>
                <w:color w:val="auto"/>
                <w:kern w:val="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200"/>
              <w:jc w:val="center"/>
              <w:rPr>
                <w:rFonts w:cs="仿宋" w:asciiTheme="majorEastAsia" w:hAnsiTheme="majorEastAsia" w:eastAsiaTheme="majorEastAsia"/>
                <w:color w:val="auto"/>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200"/>
              <w:jc w:val="center"/>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200"/>
              <w:jc w:val="center"/>
              <w:rPr>
                <w:rFonts w:cs="仿宋" w:asciiTheme="majorEastAsia" w:hAnsiTheme="majorEastAsia" w:eastAsiaTheme="majorEastAsia"/>
                <w:color w:val="auto"/>
                <w:kern w:val="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200"/>
              <w:jc w:val="center"/>
              <w:rPr>
                <w:rFonts w:cs="仿宋" w:asciiTheme="majorEastAsia" w:hAnsiTheme="majorEastAsia" w:eastAsiaTheme="majorEastAsia"/>
                <w:color w:val="auto"/>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200"/>
              <w:jc w:val="center"/>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200"/>
              <w:jc w:val="center"/>
              <w:rPr>
                <w:rFonts w:cs="仿宋" w:asciiTheme="majorEastAsia" w:hAnsiTheme="majorEastAsia" w:eastAsiaTheme="majorEastAsia"/>
                <w:color w:val="auto"/>
                <w:kern w:val="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200"/>
              <w:jc w:val="center"/>
              <w:rPr>
                <w:rFonts w:cs="仿宋" w:asciiTheme="majorEastAsia" w:hAnsiTheme="majorEastAsia" w:eastAsiaTheme="majorEastAsia"/>
                <w:color w:val="auto"/>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200"/>
              <w:jc w:val="center"/>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200"/>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200"/>
              <w:jc w:val="center"/>
              <w:rPr>
                <w:rFonts w:cs="仿宋" w:asciiTheme="majorEastAsia" w:hAnsiTheme="majorEastAsia" w:eastAsiaTheme="majorEastAsia"/>
                <w:color w:val="auto"/>
                <w:kern w:val="0"/>
                <w:sz w:val="24"/>
              </w:rPr>
            </w:pPr>
          </w:p>
        </w:tc>
      </w:tr>
    </w:tbl>
    <w:p>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5 付款方式、时间和条件</w:t>
      </w:r>
    </w:p>
    <w:p>
      <w:pPr>
        <w:widowControl/>
        <w:shd w:val="clear"/>
        <w:spacing w:line="360" w:lineRule="auto"/>
        <w:ind w:firstLine="480"/>
        <w:jc w:val="left"/>
        <w:rPr>
          <w:rFonts w:cs="仿宋" w:asciiTheme="majorEastAsia" w:hAnsiTheme="majorEastAsia" w:eastAsiaTheme="majorEastAsia"/>
          <w:b/>
          <w:bCs/>
          <w:i/>
          <w:iCs/>
          <w:color w:val="auto"/>
          <w:sz w:val="24"/>
          <w:u w:val="single"/>
        </w:rPr>
      </w:pPr>
      <w:r>
        <w:rPr>
          <w:rFonts w:hint="eastAsia" w:cs="仿宋" w:asciiTheme="majorEastAsia" w:hAnsiTheme="majorEastAsia" w:eastAsiaTheme="majorEastAsia"/>
          <w:color w:val="auto"/>
          <w:sz w:val="24"/>
        </w:rPr>
        <w:t>5.1 资金支付的方式、时间和条件：</w:t>
      </w:r>
      <w:r>
        <w:rPr>
          <w:rFonts w:hint="eastAsia" w:cs="仿宋" w:asciiTheme="majorEastAsia" w:hAnsiTheme="majorEastAsia" w:eastAsiaTheme="majorEastAsia"/>
          <w:b/>
          <w:bCs/>
          <w:i/>
          <w:iCs/>
          <w:color w:val="auto"/>
          <w:sz w:val="24"/>
          <w:u w:val="single"/>
        </w:rPr>
        <w:t xml:space="preserve">                       </w:t>
      </w:r>
    </w:p>
    <w:p>
      <w:pPr>
        <w:widowControl/>
        <w:shd w:val="clear"/>
        <w:spacing w:line="360" w:lineRule="auto"/>
        <w:ind w:firstLine="48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 乙方收款账户：</w:t>
      </w:r>
    </w:p>
    <w:p>
      <w:pPr>
        <w:shd w:val="clear"/>
        <w:autoSpaceDE w:val="0"/>
        <w:autoSpaceDN w:val="0"/>
        <w:spacing w:line="360" w:lineRule="auto"/>
        <w:ind w:left="1470" w:leftChars="7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开户银行：</w:t>
      </w:r>
      <w:r>
        <w:rPr>
          <w:rFonts w:hint="eastAsia" w:cs="仿宋" w:asciiTheme="majorEastAsia" w:hAnsiTheme="majorEastAsia" w:eastAsiaTheme="majorEastAsia"/>
          <w:b/>
          <w:bCs/>
          <w:i/>
          <w:iCs/>
          <w:color w:val="auto"/>
          <w:sz w:val="24"/>
          <w:u w:val="single"/>
        </w:rPr>
        <w:t xml:space="preserve">                          </w:t>
      </w:r>
      <w:r>
        <w:rPr>
          <w:rFonts w:hint="eastAsia" w:cs="仿宋" w:asciiTheme="majorEastAsia" w:hAnsiTheme="majorEastAsia" w:eastAsiaTheme="majorEastAsia"/>
          <w:color w:val="auto"/>
          <w:sz w:val="24"/>
        </w:rPr>
        <w:t xml:space="preserve">                          </w:t>
      </w:r>
    </w:p>
    <w:p>
      <w:pPr>
        <w:shd w:val="clear"/>
        <w:autoSpaceDE w:val="0"/>
        <w:autoSpaceDN w:val="0"/>
        <w:spacing w:line="360" w:lineRule="auto"/>
        <w:ind w:left="1470" w:leftChars="7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开户名称：</w:t>
      </w:r>
      <w:r>
        <w:rPr>
          <w:rFonts w:hint="eastAsia" w:cs="仿宋" w:asciiTheme="majorEastAsia" w:hAnsiTheme="majorEastAsia" w:eastAsiaTheme="majorEastAsia"/>
          <w:b/>
          <w:bCs/>
          <w:i/>
          <w:iCs/>
          <w:color w:val="auto"/>
          <w:sz w:val="24"/>
          <w:u w:val="single"/>
        </w:rPr>
        <w:t xml:space="preserve">                          </w:t>
      </w:r>
      <w:r>
        <w:rPr>
          <w:rFonts w:hint="eastAsia" w:cs="仿宋" w:asciiTheme="majorEastAsia" w:hAnsiTheme="majorEastAsia" w:eastAsiaTheme="majorEastAsia"/>
          <w:color w:val="auto"/>
          <w:sz w:val="24"/>
        </w:rPr>
        <w:t xml:space="preserve">                             </w:t>
      </w:r>
    </w:p>
    <w:p>
      <w:pPr>
        <w:shd w:val="clear"/>
        <w:autoSpaceDE w:val="0"/>
        <w:autoSpaceDN w:val="0"/>
        <w:spacing w:line="360" w:lineRule="auto"/>
        <w:ind w:left="1470" w:leftChars="7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开户账号：</w:t>
      </w:r>
      <w:r>
        <w:rPr>
          <w:rFonts w:hint="eastAsia" w:cs="仿宋" w:asciiTheme="majorEastAsia" w:hAnsiTheme="majorEastAsia" w:eastAsiaTheme="majorEastAsia"/>
          <w:b/>
          <w:bCs/>
          <w:i/>
          <w:iCs/>
          <w:color w:val="auto"/>
          <w:sz w:val="24"/>
          <w:u w:val="single"/>
        </w:rPr>
        <w:t xml:space="preserve">                          </w:t>
      </w:r>
      <w:r>
        <w:rPr>
          <w:rFonts w:hint="eastAsia" w:cs="仿宋" w:asciiTheme="majorEastAsia" w:hAnsiTheme="majorEastAsia" w:eastAsiaTheme="majorEastAsia"/>
          <w:color w:val="auto"/>
          <w:sz w:val="24"/>
          <w:lang w:val="zh-CN"/>
        </w:rPr>
        <w:t xml:space="preserve">                             </w:t>
      </w:r>
    </w:p>
    <w:p>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6 服务期限、地点和服务人员要求</w:t>
      </w:r>
    </w:p>
    <w:p>
      <w:pPr>
        <w:shd w:val="clear"/>
        <w:adjustRightInd w:val="0"/>
        <w:spacing w:line="360" w:lineRule="auto"/>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6.1 服务期限：</w:t>
      </w:r>
      <w:r>
        <w:rPr>
          <w:rFonts w:hint="eastAsia" w:cs="仿宋" w:asciiTheme="majorEastAsia" w:hAnsiTheme="majorEastAsia" w:eastAsiaTheme="majorEastAsia"/>
          <w:b/>
          <w:i/>
          <w:color w:val="auto"/>
          <w:u w:val="single"/>
        </w:rPr>
        <w:t xml:space="preserve">                   </w:t>
      </w:r>
    </w:p>
    <w:p>
      <w:pPr>
        <w:shd w:val="clear"/>
        <w:adjustRightIn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6.2 服务地点：</w:t>
      </w:r>
      <w:r>
        <w:rPr>
          <w:rFonts w:hint="eastAsia" w:cs="仿宋" w:asciiTheme="majorEastAsia" w:hAnsiTheme="majorEastAsia" w:eastAsiaTheme="majorEastAsia"/>
          <w:b/>
          <w:i/>
          <w:color w:val="auto"/>
          <w:u w:val="single"/>
        </w:rPr>
        <w:t xml:space="preserve">                   </w:t>
      </w:r>
    </w:p>
    <w:p>
      <w:pPr>
        <w:shd w:val="clear"/>
        <w:adjustRightInd w:val="0"/>
        <w:spacing w:line="360" w:lineRule="auto"/>
        <w:ind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6.3 服务人员：</w:t>
      </w:r>
      <w:r>
        <w:rPr>
          <w:rFonts w:hint="eastAsia" w:cs="仿宋" w:asciiTheme="majorEastAsia" w:hAnsiTheme="majorEastAsia" w:eastAsiaTheme="majorEastAsia"/>
          <w:b/>
          <w:i/>
          <w:color w:val="auto"/>
          <w:u w:val="single"/>
        </w:rPr>
        <w:t xml:space="preserve">                   </w:t>
      </w:r>
    </w:p>
    <w:p>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7 技术规范</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 知识产权</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9 包装和装运</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hd w:val="clear"/>
        <w:spacing w:line="360" w:lineRule="auto"/>
        <w:ind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10 履约保证金</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10.1 招标文件要求乙方提交履约保证金的，乙方应按</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方式（可以支票、汇票、本票或者银行保函等非现金形式），在合同签订并生效后</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日内提交不超过合同金额1%的履约保证金。</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10.2  履约保证金在</w:t>
      </w:r>
      <w:r>
        <w:rPr>
          <w:rFonts w:hint="eastAsia" w:cs="仿宋" w:asciiTheme="majorEastAsia" w:hAnsiTheme="majorEastAsia" w:eastAsiaTheme="majorEastAsia"/>
          <w:b/>
          <w:i/>
          <w:color w:val="auto"/>
          <w:u w:val="single"/>
        </w:rPr>
        <w:t xml:space="preserve">              </w:t>
      </w:r>
      <w:r>
        <w:rPr>
          <w:rFonts w:hint="eastAsia" w:cs="仿宋" w:asciiTheme="majorEastAsia" w:hAnsiTheme="majorEastAsia" w:eastAsiaTheme="majorEastAsia"/>
          <w:color w:val="auto"/>
          <w:sz w:val="24"/>
        </w:rPr>
        <w:t>（合同规定的履约时间）内不予退还。乙方在前述约定期间届满前能履行完合同约定义务事项的，甲方在前述约定期间届满之日起</w:t>
      </w:r>
      <w:r>
        <w:rPr>
          <w:rFonts w:hint="eastAsia" w:cs="仿宋" w:asciiTheme="majorEastAsia" w:hAnsiTheme="majorEastAsia" w:eastAsiaTheme="majorEastAsia"/>
          <w:color w:val="auto"/>
          <w:sz w:val="24"/>
          <w:u w:val="single"/>
        </w:rPr>
        <w:t xml:space="preserve"> 5 </w:t>
      </w:r>
      <w:r>
        <w:rPr>
          <w:rFonts w:hint="eastAsia" w:cs="仿宋" w:asciiTheme="majorEastAsia" w:hAnsiTheme="majorEastAsia" w:eastAsiaTheme="majorEastAsia"/>
          <w:color w:val="auto"/>
          <w:sz w:val="24"/>
        </w:rPr>
        <w:t>个工作日内，将履约保证金无息退还乙方。</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11 定期考核和问题反馈</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11.1甲方有权定期对乙方提供的服务履约情况进行检查与考核，以确保乙方所提供的服务能够依约满足甲方之项目需求，但不得因履约检查妨碍乙方的正常工作，乙方应予积极配合；</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11.2 合同履行期间，甲方有权将履行过程中出现的问题反馈给乙方，双方当事人应以书面形式约定需要完善和改进的内容。</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12 项目验收</w:t>
      </w:r>
    </w:p>
    <w:p>
      <w:pPr>
        <w:shd w:val="clear"/>
        <w:tabs>
          <w:tab w:val="left" w:pos="360"/>
          <w:tab w:val="left" w:pos="540"/>
          <w:tab w:val="left" w:pos="1080"/>
        </w:tabs>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12.1合同期满或者履行完毕后，甲方应当组织（包括依法邀请国家认可的质量检测机构参加）对乙方履约的验收，即：按照合同约定的技术、服务、安全标准，组织对每一项技术、服务、安全标准的履约情况的验收，并出具验收书。</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13 技术资料和保密义务</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13.1 乙方有权依据合同约定和项目需要，向甲方了解有关情况，调阅有关资料等，甲方应予积极配合；</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13.2 乙方有义务妥善保管和保护由甲方提供的前款信息和资料等；</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14 质量保证</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14.1 乙方应建立和完善履行合同的内部质量保证体系，并提供相关内部规章制度给甲方，以便甲方进行监督检查；</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14.2 乙方应保证履行合同的人员数量和素质、软件和硬件设备的配置、场地、环境和设施等满足全面履行合同的要求，并应接受甲方的监督检查。</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15 履约的风险负担</w:t>
      </w:r>
    </w:p>
    <w:p>
      <w:pPr>
        <w:shd w:val="clear"/>
        <w:spacing w:line="360" w:lineRule="auto"/>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4"/>
        </w:rPr>
        <w:t>在履行合同时，乙方服务人员及设备的相关风险均由乙方自行承担。</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16 延迟交货</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17 合同变更</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合同继续履行将损害国家利益和社会公共利益的，双方当事人应当以书面形式变更合同。有过错的一方应当承担赔偿责任，双方当事人都有过错的，各自承担相应的责任。</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18 合同转让和分包</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18.2乙方采取分包方式履行合同的，由乙方向分包供应商支付款项，但不得因分包影响履行合同义务。</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19 违约责任</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19.1 除不可抗力外，如果乙方拒绝履行合同，或没有按照本合同约定的期限、标准和成果展现方式完成服务，那么甲方可要求乙方支付违约金，违约金按每日计合同总价的</w:t>
      </w:r>
      <w:r>
        <w:rPr>
          <w:rFonts w:hint="eastAsia" w:cs="仿宋" w:asciiTheme="majorEastAsia" w:hAnsiTheme="majorEastAsia" w:eastAsiaTheme="majorEastAsia"/>
          <w:color w:val="auto"/>
          <w:sz w:val="24"/>
          <w:u w:val="single"/>
        </w:rPr>
        <w:t xml:space="preserve">  0.05  </w:t>
      </w:r>
      <w:r>
        <w:rPr>
          <w:rFonts w:hint="eastAsia" w:cs="仿宋" w:asciiTheme="majorEastAsia" w:hAnsiTheme="majorEastAsia" w:eastAsiaTheme="majorEastAsia"/>
          <w:color w:val="auto"/>
          <w:sz w:val="24"/>
        </w:rPr>
        <w:t>%，最高限额为本合同总价的</w:t>
      </w:r>
      <w:r>
        <w:rPr>
          <w:rFonts w:hint="eastAsia" w:cs="仿宋" w:asciiTheme="majorEastAsia" w:hAnsiTheme="majorEastAsia" w:eastAsiaTheme="majorEastAsia"/>
          <w:color w:val="auto"/>
          <w:sz w:val="24"/>
          <w:u w:val="single"/>
        </w:rPr>
        <w:t xml:space="preserve"> 10  </w:t>
      </w:r>
      <w:r>
        <w:rPr>
          <w:rFonts w:hint="eastAsia" w:cs="仿宋" w:asciiTheme="majorEastAsia" w:hAnsiTheme="majorEastAsia" w:eastAsiaTheme="majorEastAsia"/>
          <w:color w:val="auto"/>
          <w:sz w:val="24"/>
        </w:rPr>
        <w:t>%；迟延完成服务的违约金计算数额达到前述最高限额之日起，甲方有权在要求乙方支付违约金的同时，书面通知乙方解除本合同；</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19.2 除不可抗力外，如果甲方没有按照本合同约定的付款方式付款，那么乙方可要求甲方支付违约金，违约金按每迟延付款一日的应付而未付款的</w:t>
      </w:r>
      <w:r>
        <w:rPr>
          <w:rFonts w:hint="eastAsia" w:cs="仿宋" w:asciiTheme="majorEastAsia" w:hAnsiTheme="majorEastAsia" w:eastAsiaTheme="majorEastAsia"/>
          <w:color w:val="auto"/>
          <w:sz w:val="24"/>
          <w:u w:val="single"/>
        </w:rPr>
        <w:t xml:space="preserve">  0.05  </w:t>
      </w:r>
      <w:r>
        <w:rPr>
          <w:rFonts w:hint="eastAsia" w:cs="仿宋" w:asciiTheme="majorEastAsia" w:hAnsiTheme="majorEastAsia" w:eastAsiaTheme="majorEastAsia"/>
          <w:color w:val="auto"/>
          <w:sz w:val="24"/>
        </w:rPr>
        <w:t>%计算，最高限额为本合同总价的</w:t>
      </w:r>
      <w:r>
        <w:rPr>
          <w:rFonts w:hint="eastAsia" w:cs="仿宋" w:asciiTheme="majorEastAsia" w:hAnsiTheme="majorEastAsia" w:eastAsiaTheme="majorEastAsia"/>
          <w:color w:val="auto"/>
          <w:sz w:val="24"/>
          <w:u w:val="single"/>
        </w:rPr>
        <w:t xml:space="preserve">  10   </w:t>
      </w:r>
      <w:r>
        <w:rPr>
          <w:rFonts w:hint="eastAsia" w:cs="仿宋" w:asciiTheme="majorEastAsia" w:hAnsiTheme="majorEastAsia" w:eastAsiaTheme="majorEastAsia"/>
          <w:color w:val="auto"/>
          <w:sz w:val="24"/>
        </w:rPr>
        <w:t>%；迟延付款的违约金计算数额达到前述最高限额之日起，乙方有权在要求甲方支付违约金的同时，书面通知甲方解除本合同；</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19.6 如果出现政府采购监督管理部门在处理投诉事项期间，书面通知甲方暂停采购活动的情形，或者询问或质疑事项可能影响中标结果的，导致甲方中止履行合同的情形，均不视为甲方违约。</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20 不可抗力</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20.1如果任何一方遭遇法律规定的不可抗力，致使合同履行受阻时，履行合同的期限应予延长，延长的期限应相当于不可抗力所影响的时间；</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20.2 因不可抗力致使不能实现合同目的的，当事人可以解除合同；</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20.3 因不可抗力致使合同有变更必要的，双方当事人应在不可抗力发生后</w:t>
      </w:r>
      <w:r>
        <w:rPr>
          <w:rFonts w:hint="eastAsia" w:cs="仿宋" w:asciiTheme="majorEastAsia" w:hAnsiTheme="majorEastAsia" w:eastAsiaTheme="majorEastAsia"/>
          <w:color w:val="auto"/>
          <w:sz w:val="24"/>
          <w:u w:val="single"/>
        </w:rPr>
        <w:t xml:space="preserve"> 10 </w:t>
      </w:r>
      <w:r>
        <w:rPr>
          <w:rFonts w:hint="eastAsia" w:cs="仿宋" w:asciiTheme="majorEastAsia" w:hAnsiTheme="majorEastAsia" w:eastAsiaTheme="majorEastAsia"/>
          <w:color w:val="auto"/>
          <w:sz w:val="24"/>
        </w:rPr>
        <w:t>日内以书面形式变更合同；</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20.4受不可抗力影响的一方在不可抗力发生后，应在</w:t>
      </w:r>
      <w:r>
        <w:rPr>
          <w:rFonts w:hint="eastAsia" w:cs="仿宋" w:asciiTheme="majorEastAsia" w:hAnsiTheme="majorEastAsia" w:eastAsiaTheme="majorEastAsia"/>
          <w:color w:val="auto"/>
          <w:sz w:val="24"/>
          <w:u w:val="single"/>
        </w:rPr>
        <w:t xml:space="preserve">  5  </w:t>
      </w:r>
      <w:r>
        <w:rPr>
          <w:rFonts w:hint="eastAsia" w:cs="仿宋" w:asciiTheme="majorEastAsia" w:hAnsiTheme="majorEastAsia" w:eastAsiaTheme="majorEastAsia"/>
          <w:color w:val="auto"/>
          <w:sz w:val="24"/>
        </w:rPr>
        <w:t>日内以书面形式通知对方当事人，并在</w:t>
      </w:r>
      <w:r>
        <w:rPr>
          <w:rFonts w:hint="eastAsia" w:cs="仿宋" w:asciiTheme="majorEastAsia" w:hAnsiTheme="majorEastAsia" w:eastAsiaTheme="majorEastAsia"/>
          <w:color w:val="auto"/>
          <w:sz w:val="24"/>
          <w:u w:val="single"/>
        </w:rPr>
        <w:t xml:space="preserve">  15  </w:t>
      </w:r>
      <w:r>
        <w:rPr>
          <w:rFonts w:hint="eastAsia" w:cs="仿宋" w:asciiTheme="majorEastAsia" w:hAnsiTheme="majorEastAsia" w:eastAsiaTheme="majorEastAsia"/>
          <w:color w:val="auto"/>
          <w:sz w:val="24"/>
        </w:rPr>
        <w:t>日内，将有关部门出具的证明文件送达对方当事人。</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21 税费</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与合同有关的一切税费，均按照中华人民共和国法律的相关规定。</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22 乙方破产</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23 合同争议的解决</w:t>
      </w:r>
    </w:p>
    <w:p>
      <w:pPr>
        <w:shd w:val="clear"/>
        <w:adjustRightIn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本合同履行过程中发生的任何争议，双方当事人均可通过和解或者调解解决；不愿和解、调解或者和解、调解不成的，可以向宁波市奉化区人民法院提起诉讼。</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24 合同中止、终止</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24.1 双方当事人不得擅自中止或者终止合同；</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24.2合同继续履行将损害国家利益和社会公共利益的，双方当事人应当中止或者终止合同。有过错的一方应当承担赔偿责任，双方当事人都有过错的，各自承担相应的责任。</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25 通知和送达</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25.1任何一方因履行合同而以合同第一部分尾部所列明的传真或电子邮件 </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发出的所有通知、文件、材料，均视为已向对方当事人送达；任何一方变更上述送达方式或者地址的，应于</w:t>
      </w:r>
      <w:r>
        <w:rPr>
          <w:rFonts w:hint="eastAsia" w:cs="仿宋" w:asciiTheme="majorEastAsia" w:hAnsiTheme="majorEastAsia" w:eastAsiaTheme="majorEastAsia"/>
          <w:color w:val="auto"/>
          <w:sz w:val="24"/>
          <w:u w:val="single"/>
        </w:rPr>
        <w:t>3</w:t>
      </w:r>
      <w:r>
        <w:rPr>
          <w:rFonts w:hint="eastAsia" w:cs="仿宋" w:asciiTheme="majorEastAsia" w:hAnsiTheme="majorEastAsia" w:eastAsiaTheme="majorEastAsia"/>
          <w:color w:val="auto"/>
          <w:sz w:val="24"/>
        </w:rPr>
        <w:t>个工作日内书面通知对方当事人，在对方当事人收到有关变更通知之前，变更前的约定送达方式或者地址仍视为有效。</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25.2以当面交付方式送达的，交付之时视为送达；以电子邮件方式送达的，发出电子邮件之时视为送达；以传真方式送达的，发出传真之时视为送达；以邮寄方式送达的，邮件挂号寄出或者交邮之日之次日视为送达。</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26 计量单位</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除技术规范中另有规定外,合同的计量单位均使用国家法定计量单位。</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27合同使用的文字和适用的法律</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27.1 合同使用汉语书就、变更和解释；</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27.2 合同适用中华人民共和国法律。</w:t>
      </w:r>
    </w:p>
    <w:p>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28合同效力</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本合同一式四份，甲乙双方各两份，每份均具有同等法律效力。本合同自双方当事人盖章或者签字时生效。</w:t>
      </w:r>
    </w:p>
    <w:p>
      <w:pPr>
        <w:shd w:val="clear"/>
        <w:autoSpaceDE w:val="0"/>
        <w:autoSpaceDN w:val="0"/>
        <w:spacing w:line="360" w:lineRule="auto"/>
        <w:rPr>
          <w:rFonts w:cs="仿宋" w:asciiTheme="majorEastAsia" w:hAnsiTheme="majorEastAsia" w:eastAsiaTheme="majorEastAsia"/>
          <w:b/>
          <w:color w:val="auto"/>
          <w:sz w:val="24"/>
          <w:lang w:val="zh-CN"/>
        </w:rPr>
      </w:pPr>
    </w:p>
    <w:p>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b/>
          <w:color w:val="auto"/>
          <w:sz w:val="24"/>
          <w:lang w:val="zh-CN"/>
        </w:rPr>
        <w:t>甲方名称（公章）</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b/>
          <w:color w:val="auto"/>
          <w:sz w:val="24"/>
          <w:lang w:val="zh-CN"/>
        </w:rPr>
        <w:t>乙方名称（公章）</w:t>
      </w:r>
      <w:r>
        <w:rPr>
          <w:rFonts w:hint="eastAsia" w:cs="仿宋" w:asciiTheme="majorEastAsia" w:hAnsiTheme="majorEastAsia" w:eastAsiaTheme="majorEastAsia"/>
          <w:color w:val="auto"/>
          <w:sz w:val="24"/>
          <w:lang w:val="zh-CN"/>
        </w:rPr>
        <w:t>：</w:t>
      </w:r>
    </w:p>
    <w:p>
      <w:pPr>
        <w:shd w:val="clear"/>
        <w:autoSpaceDE w:val="0"/>
        <w:autoSpaceDN w:val="0"/>
        <w:spacing w:line="360" w:lineRule="auto"/>
        <w:rPr>
          <w:rFonts w:cs="仿宋" w:asciiTheme="majorEastAsia" w:hAnsiTheme="majorEastAsia" w:eastAsiaTheme="majorEastAsia"/>
          <w:color w:val="auto"/>
          <w:sz w:val="24"/>
          <w:lang w:val="zh-CN"/>
        </w:rPr>
      </w:pPr>
    </w:p>
    <w:p>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统一社会信用代码：                       统一社会信用代码或身份证号码：</w:t>
      </w:r>
    </w:p>
    <w:p>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住所：                                   住所：</w:t>
      </w:r>
    </w:p>
    <w:p>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 xml:space="preserve">法定代表人或授权代表（签字）：       </w:t>
      </w: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color w:val="auto"/>
          <w:sz w:val="24"/>
          <w:lang w:val="zh-CN"/>
        </w:rPr>
        <w:t xml:space="preserve"> 法定代表人或授权代表（签字）: </w:t>
      </w:r>
    </w:p>
    <w:p>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联系人：                                 联系人：</w:t>
      </w:r>
    </w:p>
    <w:p>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约定送达地址：                           约定送达地址：</w:t>
      </w:r>
    </w:p>
    <w:p>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邮政编码：                               邮政编码：</w:t>
      </w:r>
    </w:p>
    <w:p>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 xml:space="preserve">电话:                                    电话: </w:t>
      </w:r>
    </w:p>
    <w:p>
      <w:pPr>
        <w:shd w:val="clear"/>
        <w:autoSpaceDE w:val="0"/>
        <w:autoSpaceDN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lang w:val="zh-CN"/>
        </w:rPr>
        <w:t>传真:                                    传真:</w:t>
      </w:r>
    </w:p>
    <w:p>
      <w:pPr>
        <w:pStyle w:val="2"/>
        <w:shd w:val="clear"/>
        <w:spacing w:line="360" w:lineRule="auto"/>
        <w:ind w:firstLine="0" w:firstLineChars="0"/>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见证人（公章）：宁波敬信项目管理咨询有限公司</w:t>
      </w:r>
    </w:p>
    <w:p>
      <w:pPr>
        <w:shd w:val="clear"/>
        <w:autoSpaceDE w:val="0"/>
        <w:autoSpaceDN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住所：宁波市奉化区岳林东路商业二</w:t>
      </w:r>
      <w:r>
        <w:rPr>
          <w:rFonts w:cs="仿宋" w:asciiTheme="majorEastAsia" w:hAnsiTheme="majorEastAsia" w:eastAsiaTheme="majorEastAsia"/>
          <w:color w:val="auto"/>
          <w:sz w:val="24"/>
        </w:rPr>
        <w:t>16</w:t>
      </w:r>
      <w:r>
        <w:rPr>
          <w:rFonts w:hint="eastAsia" w:cs="仿宋" w:asciiTheme="majorEastAsia" w:hAnsiTheme="majorEastAsia" w:eastAsiaTheme="majorEastAsia"/>
          <w:color w:val="auto"/>
          <w:sz w:val="24"/>
        </w:rPr>
        <w:t>幢</w:t>
      </w:r>
      <w:r>
        <w:rPr>
          <w:rFonts w:cs="仿宋" w:asciiTheme="majorEastAsia" w:hAnsiTheme="majorEastAsia" w:eastAsiaTheme="majorEastAsia"/>
          <w:color w:val="auto"/>
          <w:sz w:val="24"/>
        </w:rPr>
        <w:t>502</w:t>
      </w:r>
      <w:r>
        <w:rPr>
          <w:rFonts w:hint="eastAsia" w:cs="仿宋" w:asciiTheme="majorEastAsia" w:hAnsiTheme="majorEastAsia" w:eastAsiaTheme="majorEastAsia"/>
          <w:color w:val="auto"/>
          <w:sz w:val="24"/>
        </w:rPr>
        <w:t xml:space="preserve">室（惠政丽都北门）                             </w:t>
      </w:r>
    </w:p>
    <w:p>
      <w:pPr>
        <w:shd w:val="clear"/>
        <w:autoSpaceDE w:val="0"/>
        <w:autoSpaceDN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法定代表人或授权代表（签字）：        </w:t>
      </w:r>
    </w:p>
    <w:p>
      <w:pPr>
        <w:shd w:val="clear"/>
        <w:autoSpaceDE w:val="0"/>
        <w:autoSpaceDN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联系人：罗燕波                                                                    </w:t>
      </w:r>
    </w:p>
    <w:p>
      <w:pPr>
        <w:widowControl/>
        <w:shd w:val="clear"/>
        <w:jc w:val="left"/>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4"/>
        </w:rPr>
        <w:t xml:space="preserve">电话:13858287996  </w:t>
      </w:r>
      <w:r>
        <w:rPr>
          <w:rFonts w:hint="eastAsia" w:cs="仿宋" w:asciiTheme="majorEastAsia" w:hAnsiTheme="majorEastAsia" w:eastAsiaTheme="majorEastAsia"/>
          <w:color w:val="auto"/>
          <w:sz w:val="24"/>
          <w:lang w:val="zh-CN"/>
        </w:rPr>
        <w:t xml:space="preserve">      </w:t>
      </w:r>
      <w:r>
        <w:rPr>
          <w:rFonts w:cs="仿宋" w:asciiTheme="majorEastAsia" w:hAnsiTheme="majorEastAsia" w:eastAsiaTheme="majorEastAsia"/>
          <w:b/>
          <w:color w:val="auto"/>
          <w:sz w:val="24"/>
        </w:rPr>
        <w:br w:type="page"/>
      </w:r>
    </w:p>
    <w:p>
      <w:pPr>
        <w:shd w:val="clear"/>
        <w:spacing w:line="360" w:lineRule="auto"/>
        <w:jc w:val="center"/>
        <w:rPr>
          <w:rFonts w:cs="仿宋" w:asciiTheme="majorEastAsia" w:hAnsiTheme="majorEastAsia" w:eastAsiaTheme="majorEastAsia"/>
          <w:b/>
          <w:color w:val="auto"/>
          <w:sz w:val="24"/>
        </w:rPr>
      </w:pPr>
    </w:p>
    <w:p>
      <w:pPr>
        <w:shd w:val="clear"/>
        <w:spacing w:line="360" w:lineRule="auto"/>
        <w:ind w:left="720" w:firstLine="723" w:firstLineChars="200"/>
        <w:outlineLvl w:val="0"/>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t>第六部分</w:t>
      </w:r>
      <w:bookmarkEnd w:id="392"/>
      <w:r>
        <w:rPr>
          <w:rFonts w:hint="eastAsia" w:cs="仿宋" w:asciiTheme="majorEastAsia" w:hAnsiTheme="majorEastAsia" w:eastAsiaTheme="majorEastAsia"/>
          <w:b/>
          <w:color w:val="auto"/>
          <w:sz w:val="36"/>
          <w:szCs w:val="20"/>
        </w:rPr>
        <w:t xml:space="preserve"> </w:t>
      </w:r>
      <w:bookmarkEnd w:id="393"/>
      <w:r>
        <w:rPr>
          <w:rFonts w:hint="eastAsia" w:cs="仿宋" w:asciiTheme="majorEastAsia" w:hAnsiTheme="majorEastAsia" w:eastAsiaTheme="majorEastAsia"/>
          <w:b/>
          <w:color w:val="auto"/>
          <w:sz w:val="36"/>
          <w:szCs w:val="20"/>
        </w:rPr>
        <w:t>应提交的有关格式范例</w:t>
      </w:r>
    </w:p>
    <w:p>
      <w:pPr>
        <w:shd w:val="clear"/>
        <w:spacing w:line="360" w:lineRule="auto"/>
        <w:jc w:val="center"/>
        <w:outlineLvl w:val="0"/>
        <w:rPr>
          <w:rFonts w:cs="仿宋" w:asciiTheme="majorEastAsia" w:hAnsiTheme="majorEastAsia" w:eastAsiaTheme="majorEastAsia"/>
          <w:b/>
          <w:color w:val="auto"/>
          <w:kern w:val="0"/>
          <w:sz w:val="36"/>
          <w:szCs w:val="36"/>
        </w:rPr>
      </w:pPr>
    </w:p>
    <w:p>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资格文件部分</w:t>
      </w:r>
    </w:p>
    <w:p>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目录</w:t>
      </w:r>
    </w:p>
    <w:p>
      <w:pPr>
        <w:shd w:val="clear"/>
        <w:spacing w:line="360" w:lineRule="auto"/>
        <w:jc w:val="center"/>
        <w:outlineLvl w:val="0"/>
        <w:rPr>
          <w:rFonts w:cs="仿宋" w:asciiTheme="majorEastAsia" w:hAnsiTheme="majorEastAsia" w:eastAsiaTheme="majorEastAsia"/>
          <w:b/>
          <w:color w:val="auto"/>
          <w:kern w:val="0"/>
          <w:sz w:val="36"/>
          <w:szCs w:val="36"/>
        </w:rPr>
      </w:pPr>
    </w:p>
    <w:p>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 有效的企业法人营业执照（或事业法人登记证）、其他组织（个体工商户）的营业执照或者民办非企业单位登记证书；</w:t>
      </w:r>
    </w:p>
    <w:p>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2 符合参加政府采购活动应当具备的一般条件的承诺函；</w:t>
      </w:r>
    </w:p>
    <w:p>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落实政府采购政策需满足的资格要求；</w:t>
      </w:r>
    </w:p>
    <w:p>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4 本项目的特定资格要求。</w:t>
      </w:r>
    </w:p>
    <w:p>
      <w:pPr>
        <w:pStyle w:val="2"/>
        <w:shd w:val="clear"/>
        <w:spacing w:line="360" w:lineRule="auto"/>
        <w:ind w:firstLine="480"/>
        <w:rPr>
          <w:rFonts w:cs="仿宋" w:asciiTheme="majorEastAsia" w:hAnsiTheme="majorEastAsia" w:eastAsiaTheme="majorEastAsia"/>
          <w:color w:val="auto"/>
          <w:sz w:val="24"/>
        </w:rPr>
      </w:pPr>
    </w:p>
    <w:p>
      <w:pPr>
        <w:shd w:val="clear"/>
        <w:spacing w:line="360" w:lineRule="auto"/>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br w:type="page"/>
      </w:r>
    </w:p>
    <w:p>
      <w:pPr>
        <w:shd w:val="clear"/>
        <w:snapToGrid w:val="0"/>
        <w:spacing w:line="360" w:lineRule="auto"/>
        <w:ind w:right="48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一、 符合参加政府采购活动应当具备的一般条件的承诺函</w:t>
      </w:r>
    </w:p>
    <w:p>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（采购人）、（采购代理机构）：</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我方参与（项目名称）【项目编号：            】政府采购活动，郑重承诺：</w:t>
      </w:r>
    </w:p>
    <w:p>
      <w:pPr>
        <w:shd w:val="clear"/>
        <w:snapToGrid w:val="0"/>
        <w:spacing w:line="360" w:lineRule="auto"/>
        <w:ind w:firstLine="360" w:firstLineChars="15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（一）具备《中华人民共和国政府采购法》第二十二条第一款规定的条件：</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1、具有独立承担民事责任的能力；</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2、具有良好的商业信誉和健全的财务会计制度； </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3、具有履行合同所必需的设备和专业技术能力；</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4、有依法缴纳税收和社会保障资金的良好记录；</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5、参加政府采购活动前三年内，在经营活动中没有重大违法记录；</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6、具有法律、行政法规规定的其他条件。</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（二）未被信用中国（www.creditchina.gov.cn)、中国政府采购网（www.ccgp.gov.cn）列入失信被执行人、重大税收违法案件当事人名单、政府采购严重违法失信行为记录名单。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（三）不存在以下情况：</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1、单位负责人为同一人或者存在直接控股、管理关系的不同供应商参加同一合同项下的政府采购活动的；</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2、为采购项目提供整体设计、规范编制或者项目管理、监理、检测等服务后再参加该采购项目的其他采购活动的。</w:t>
      </w:r>
    </w:p>
    <w:p>
      <w:pPr>
        <w:shd w:val="clear"/>
        <w:snapToGrid w:val="0"/>
        <w:spacing w:line="360" w:lineRule="auto"/>
        <w:ind w:firstLine="5520" w:firstLineChars="2300"/>
        <w:rPr>
          <w:rFonts w:cs="仿宋" w:asciiTheme="majorEastAsia" w:hAnsiTheme="majorEastAsia" w:eastAsiaTheme="majorEastAsia"/>
          <w:color w:val="auto"/>
          <w:kern w:val="0"/>
          <w:sz w:val="24"/>
          <w:lang w:val="zh-CN"/>
        </w:rPr>
      </w:pPr>
    </w:p>
    <w:p>
      <w:pPr>
        <w:shd w:val="clear"/>
        <w:snapToGrid w:val="0"/>
        <w:spacing w:line="360" w:lineRule="auto"/>
        <w:ind w:firstLine="5520" w:firstLineChars="2300"/>
        <w:rPr>
          <w:rFonts w:cs="仿宋" w:asciiTheme="majorEastAsia" w:hAnsiTheme="majorEastAsia" w:eastAsiaTheme="majorEastAsia"/>
          <w:color w:val="auto"/>
          <w:kern w:val="0"/>
          <w:sz w:val="24"/>
          <w:lang w:val="zh-CN"/>
        </w:rPr>
      </w:pPr>
    </w:p>
    <w:p>
      <w:pPr>
        <w:shd w:val="clear"/>
        <w:spacing w:line="360" w:lineRule="auto"/>
        <w:ind w:right="420" w:firstLine="5250" w:firstLineChars="2500"/>
        <w:rPr>
          <w:rFonts w:ascii="宋体" w:hAnsi="宋体" w:cs="宋体"/>
          <w:color w:val="auto"/>
        </w:rPr>
      </w:pPr>
      <w:r>
        <w:rPr>
          <w:rFonts w:hint="eastAsia" w:ascii="宋体" w:hAnsi="宋体" w:cs="宋体"/>
          <w:color w:val="auto"/>
        </w:rPr>
        <w:t xml:space="preserve">法定代表人（签名或印章）：     </w:t>
      </w:r>
    </w:p>
    <w:p>
      <w:pPr>
        <w:shd w:val="clear"/>
        <w:spacing w:line="360" w:lineRule="auto"/>
        <w:ind w:right="420" w:firstLine="5460" w:firstLineChars="2600"/>
        <w:rPr>
          <w:rFonts w:ascii="宋体" w:hAnsi="宋体" w:cs="宋体"/>
          <w:color w:val="auto"/>
        </w:rPr>
      </w:pPr>
      <w:r>
        <w:rPr>
          <w:rFonts w:hint="eastAsia" w:ascii="宋体" w:hAnsi="宋体" w:cs="宋体"/>
          <w:color w:val="auto"/>
        </w:rPr>
        <w:t xml:space="preserve">投标人（盖章）：   </w:t>
      </w:r>
    </w:p>
    <w:p>
      <w:pPr>
        <w:shd w:val="clear"/>
        <w:spacing w:line="360" w:lineRule="auto"/>
        <w:ind w:right="420" w:firstLine="5355" w:firstLineChars="2550"/>
        <w:rPr>
          <w:rFonts w:ascii="宋体" w:hAnsi="宋体" w:cs="宋体"/>
          <w:color w:val="auto"/>
        </w:rPr>
      </w:pPr>
      <w:r>
        <w:rPr>
          <w:rFonts w:hint="eastAsia" w:ascii="宋体" w:hAnsi="宋体" w:cs="宋体"/>
          <w:color w:val="auto"/>
        </w:rPr>
        <w:t xml:space="preserve"> 年    月    日</w:t>
      </w: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pacing w:line="360" w:lineRule="auto"/>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br w:type="page"/>
      </w:r>
    </w:p>
    <w:p>
      <w:pPr>
        <w:shd w:val="clear"/>
        <w:snapToGrid w:val="0"/>
        <w:spacing w:line="360" w:lineRule="auto"/>
        <w:ind w:right="48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二、落实政府采购政策需满足的资格要求</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（根据招标公告落实政府采购政策需满足的资格要求选择提供相应的材料；未要求的，无需提供）</w:t>
      </w:r>
    </w:p>
    <w:p>
      <w:pPr>
        <w:shd w:val="clear"/>
        <w:snapToGrid w:val="0"/>
        <w:spacing w:before="50" w:after="50" w:line="360" w:lineRule="auto"/>
        <w:ind w:firstLine="472" w:firstLineChars="196"/>
        <w:jc w:val="lef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A</w:t>
      </w:r>
      <w:r>
        <w:rPr>
          <w:rFonts w:hint="eastAsia" w:cs="仿宋" w:asciiTheme="majorEastAsia" w:hAnsiTheme="majorEastAsia" w:eastAsiaTheme="majorEastAsia"/>
          <w:color w:val="auto"/>
          <w:sz w:val="24"/>
        </w:rPr>
        <w:t xml:space="preserve">.专门面向中小企业，货物全部由符合政策要求的中小企业（或小微企业）制造或者服务全部由符合政策要求的中小企业（或小微企业）承接的，提供相应的中小企业声明函。 </w:t>
      </w:r>
    </w:p>
    <w:p>
      <w:pPr>
        <w:widowControl/>
        <w:shd w:val="clear"/>
        <w:spacing w:line="360" w:lineRule="auto"/>
        <w:ind w:firstLine="480"/>
        <w:jc w:val="left"/>
        <w:rPr>
          <w:rFonts w:cs="仿宋" w:asciiTheme="majorEastAsia" w:hAnsiTheme="majorEastAsia" w:eastAsiaTheme="majorEastAsia"/>
          <w:color w:val="auto"/>
          <w:sz w:val="24"/>
        </w:rPr>
      </w:pPr>
    </w:p>
    <w:p>
      <w:pPr>
        <w:widowControl/>
        <w:shd w:val="clear"/>
        <w:spacing w:line="360" w:lineRule="auto"/>
        <w:ind w:firstLine="472" w:firstLineChars="196"/>
        <w:jc w:val="lef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B.</w:t>
      </w:r>
      <w:r>
        <w:rPr>
          <w:rFonts w:hint="eastAsia" w:cs="仿宋" w:asciiTheme="majorEastAsia" w:hAnsiTheme="majorEastAsia" w:eastAsiaTheme="majorEastAsia"/>
          <w:color w:val="auto"/>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hd w:val="clear"/>
        <w:spacing w:line="360" w:lineRule="auto"/>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rPr>
        <w:t>三、本项目的特定资格要求</w:t>
      </w:r>
    </w:p>
    <w:p>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（根据招标公告本项目的特定资格要求提供相应的材料；未要求的，无需提供）</w:t>
      </w:r>
    </w:p>
    <w:p>
      <w:pPr>
        <w:shd w:val="clear"/>
        <w:spacing w:line="360" w:lineRule="auto"/>
        <w:rPr>
          <w:rFonts w:cs="仿宋" w:asciiTheme="majorEastAsia" w:hAnsiTheme="majorEastAsia" w:eastAsiaTheme="majorEastAsia"/>
          <w:color w:val="auto"/>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pacing w:line="360" w:lineRule="auto"/>
        <w:jc w:val="center"/>
        <w:outlineLvl w:val="0"/>
        <w:rPr>
          <w:rFonts w:cs="仿宋" w:asciiTheme="majorEastAsia" w:hAnsiTheme="majorEastAsia" w:eastAsiaTheme="majorEastAsia"/>
          <w:b/>
          <w:color w:val="auto"/>
          <w:kern w:val="0"/>
          <w:sz w:val="36"/>
          <w:szCs w:val="36"/>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pacing w:line="360" w:lineRule="auto"/>
        <w:jc w:val="center"/>
        <w:outlineLvl w:val="0"/>
        <w:rPr>
          <w:rFonts w:cs="仿宋" w:asciiTheme="majorEastAsia" w:hAnsiTheme="majorEastAsia" w:eastAsiaTheme="majorEastAsia"/>
          <w:b/>
          <w:color w:val="auto"/>
          <w:kern w:val="0"/>
          <w:sz w:val="36"/>
          <w:szCs w:val="36"/>
        </w:rPr>
      </w:pPr>
    </w:p>
    <w:p>
      <w:pPr>
        <w:shd w:val="clear"/>
        <w:snapToGrid w:val="0"/>
        <w:spacing w:line="360" w:lineRule="auto"/>
        <w:ind w:right="480"/>
        <w:jc w:val="center"/>
        <w:rPr>
          <w:rFonts w:cs="仿宋" w:asciiTheme="majorEastAsia" w:hAnsiTheme="majorEastAsia" w:eastAsiaTheme="majorEastAsia"/>
          <w:b/>
          <w:color w:val="auto"/>
          <w:kern w:val="0"/>
          <w:sz w:val="32"/>
          <w:szCs w:val="32"/>
        </w:rPr>
      </w:pPr>
    </w:p>
    <w:p>
      <w:pPr>
        <w:shd w:val="clear"/>
        <w:spacing w:line="360" w:lineRule="auto"/>
        <w:jc w:val="center"/>
        <w:outlineLvl w:val="0"/>
        <w:rPr>
          <w:rFonts w:cs="仿宋" w:asciiTheme="majorEastAsia" w:hAnsiTheme="majorEastAsia" w:eastAsiaTheme="majorEastAsia"/>
          <w:b/>
          <w:color w:val="auto"/>
          <w:kern w:val="0"/>
          <w:sz w:val="36"/>
          <w:szCs w:val="36"/>
        </w:rPr>
      </w:pPr>
    </w:p>
    <w:p>
      <w:pPr>
        <w:shd w:val="clear"/>
        <w:spacing w:line="360" w:lineRule="auto"/>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br w:type="page"/>
      </w:r>
    </w:p>
    <w:p>
      <w:pPr>
        <w:shd w:val="clear"/>
        <w:spacing w:line="360" w:lineRule="auto"/>
        <w:ind w:right="420"/>
        <w:jc w:val="center"/>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商务技术文件部分</w:t>
      </w:r>
    </w:p>
    <w:p>
      <w:pPr>
        <w:shd w:val="clear"/>
        <w:spacing w:line="360" w:lineRule="auto"/>
        <w:jc w:val="center"/>
        <w:outlineLvl w:val="0"/>
        <w:rPr>
          <w:rFonts w:cs="仿宋" w:asciiTheme="majorEastAsia" w:hAnsiTheme="majorEastAsia" w:eastAsiaTheme="majorEastAsia"/>
          <w:b/>
          <w:color w:val="auto"/>
          <w:kern w:val="0"/>
          <w:sz w:val="24"/>
        </w:rPr>
      </w:pPr>
    </w:p>
    <w:p>
      <w:pPr>
        <w:shd w:val="clear"/>
        <w:spacing w:line="360" w:lineRule="auto"/>
        <w:ind w:left="3990" w:leftChars="1900"/>
        <w:outlineLvl w:val="0"/>
        <w:rPr>
          <w:rFonts w:cs="仿宋" w:asciiTheme="majorEastAsia" w:hAnsiTheme="majorEastAsia" w:eastAsiaTheme="majorEastAsia"/>
          <w:b/>
          <w:color w:val="auto"/>
          <w:kern w:val="0"/>
          <w:sz w:val="28"/>
          <w:szCs w:val="28"/>
        </w:rPr>
      </w:pPr>
      <w:r>
        <w:rPr>
          <w:rFonts w:hint="eastAsia" w:cs="仿宋" w:asciiTheme="majorEastAsia" w:hAnsiTheme="majorEastAsia" w:eastAsiaTheme="majorEastAsia"/>
          <w:b/>
          <w:color w:val="auto"/>
          <w:kern w:val="0"/>
          <w:sz w:val="28"/>
          <w:szCs w:val="28"/>
        </w:rPr>
        <w:t>目 录</w:t>
      </w:r>
    </w:p>
    <w:p>
      <w:pPr>
        <w:shd w:val="clear"/>
        <w:snapToGrid w:val="0"/>
        <w:spacing w:line="360" w:lineRule="auto"/>
        <w:ind w:firstLine="960" w:firstLineChars="400"/>
        <w:rPr>
          <w:rFonts w:cs="仿宋" w:asciiTheme="majorEastAsia" w:hAnsiTheme="majorEastAsia" w:eastAsiaTheme="majorEastAsia"/>
          <w:color w:val="auto"/>
          <w:sz w:val="24"/>
        </w:rPr>
      </w:pP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 评分索引表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2 符合性自查表；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投标函；</w:t>
      </w:r>
      <w:r>
        <w:rPr>
          <w:rFonts w:hint="eastAsia" w:cs="仿宋" w:asciiTheme="majorEastAsia" w:hAnsiTheme="majorEastAsia" w:eastAsiaTheme="majorEastAsia"/>
          <w:color w:val="auto"/>
          <w:sz w:val="28"/>
          <w:szCs w:val="28"/>
          <w:lang w:val="zh-CN"/>
        </w:rPr>
        <w:t xml:space="preserve"> </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4 授权委托书或法定代表人（单位负责人、自然人本人）身份证明；</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5 投标人基本情况表；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6 距采购人最近或者能为本项目提供最优服务的网点情况表；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7 评标标准相应的商务技术资料；</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8 商务响应表；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9服务要求响应表；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10 项目实施人员一览表；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11 同类业绩情况一览表；</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lang w:val="zh-CN"/>
        </w:rPr>
      </w:pPr>
      <w:r>
        <w:rPr>
          <w:rFonts w:hint="eastAsia" w:cs="仿宋" w:asciiTheme="majorEastAsia" w:hAnsiTheme="majorEastAsia" w:eastAsiaTheme="majorEastAsia"/>
          <w:color w:val="auto"/>
          <w:sz w:val="28"/>
          <w:szCs w:val="28"/>
        </w:rPr>
        <w:t xml:space="preserve">12 </w:t>
      </w:r>
      <w:r>
        <w:rPr>
          <w:rFonts w:hint="eastAsia" w:cs="仿宋" w:asciiTheme="majorEastAsia" w:hAnsiTheme="majorEastAsia" w:eastAsiaTheme="majorEastAsia"/>
          <w:color w:val="auto"/>
          <w:sz w:val="28"/>
          <w:szCs w:val="28"/>
          <w:lang w:val="zh-CN"/>
        </w:rPr>
        <w:t>政府采购供应商廉洁自律承诺书；</w:t>
      </w:r>
    </w:p>
    <w:p>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13 其他资料。</w:t>
      </w: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color w:val="auto"/>
          <w:kern w:val="0"/>
          <w:sz w:val="24"/>
        </w:rPr>
        <w:br w:type="page"/>
      </w:r>
      <w:r>
        <w:rPr>
          <w:rFonts w:hint="eastAsia" w:cs="仿宋" w:asciiTheme="majorEastAsia" w:hAnsiTheme="majorEastAsia" w:eastAsiaTheme="majorEastAsia"/>
          <w:b/>
          <w:color w:val="auto"/>
          <w:kern w:val="0"/>
          <w:sz w:val="32"/>
          <w:szCs w:val="32"/>
        </w:rPr>
        <w:t>评分索引表</w:t>
      </w:r>
    </w:p>
    <w:p>
      <w:pPr>
        <w:shd w:val="clear"/>
        <w:snapToGrid w:val="0"/>
        <w:spacing w:before="50" w:after="50"/>
        <w:rPr>
          <w:rFonts w:ascii="宋体" w:hAnsi="宋体"/>
          <w:b/>
          <w:color w:val="auto"/>
          <w:sz w:val="24"/>
        </w:rPr>
      </w:pPr>
    </w:p>
    <w:p>
      <w:pPr>
        <w:shd w:val="clear"/>
        <w:snapToGrid w:val="0"/>
        <w:spacing w:before="50" w:after="50" w:line="360" w:lineRule="auto"/>
        <w:rPr>
          <w:rFonts w:ascii="宋体" w:hAnsi="宋体"/>
          <w:b/>
          <w:color w:val="auto"/>
          <w:sz w:val="24"/>
          <w:u w:val="single"/>
        </w:rPr>
      </w:pPr>
      <w:r>
        <w:rPr>
          <w:rFonts w:hint="eastAsia" w:ascii="宋体" w:hAnsi="宋体"/>
          <w:b/>
          <w:color w:val="auto"/>
          <w:sz w:val="24"/>
        </w:rPr>
        <w:t>投标单位名称：</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pStyle w:val="29"/>
              <w:shd w:val="clear"/>
              <w:spacing w:after="0"/>
              <w:ind w:left="0" w:leftChars="0" w:firstLine="482"/>
              <w:jc w:val="center"/>
              <w:rPr>
                <w:rFonts w:ascii="宋体"/>
                <w:b/>
                <w:bCs/>
                <w:color w:val="auto"/>
                <w:sz w:val="24"/>
                <w:szCs w:val="24"/>
              </w:rPr>
            </w:pPr>
            <w:r>
              <w:rPr>
                <w:rFonts w:hint="eastAsia" w:ascii="宋体"/>
                <w:b/>
                <w:bCs/>
                <w:color w:val="auto"/>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pPr>
              <w:pStyle w:val="29"/>
              <w:shd w:val="clear"/>
              <w:spacing w:after="0"/>
              <w:ind w:left="0" w:leftChars="0" w:firstLine="482"/>
              <w:jc w:val="center"/>
              <w:rPr>
                <w:rFonts w:ascii="宋体"/>
                <w:b/>
                <w:bCs/>
                <w:color w:val="auto"/>
                <w:sz w:val="24"/>
                <w:szCs w:val="24"/>
              </w:rPr>
            </w:pPr>
            <w:r>
              <w:rPr>
                <w:rFonts w:hint="eastAsia" w:ascii="宋体"/>
                <w:b/>
                <w:bCs/>
                <w:color w:val="auto"/>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pPr>
              <w:pStyle w:val="29"/>
              <w:shd w:val="clear"/>
              <w:spacing w:after="0"/>
              <w:ind w:left="0" w:leftChars="0" w:firstLine="482"/>
              <w:jc w:val="center"/>
              <w:rPr>
                <w:rFonts w:ascii="宋体"/>
                <w:b/>
                <w:bCs/>
                <w:color w:val="auto"/>
                <w:sz w:val="24"/>
                <w:szCs w:val="24"/>
              </w:rPr>
            </w:pPr>
            <w:r>
              <w:rPr>
                <w:rFonts w:hint="eastAsia" w:ascii="宋体"/>
                <w:b/>
                <w:bCs/>
                <w:color w:val="auto"/>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olor w:val="auto"/>
                <w:sz w:val="24"/>
              </w:rPr>
            </w:pPr>
            <w:r>
              <w:rPr>
                <w:rFonts w:hint="eastAsia" w:ascii="宋体" w:hAnsi="宋体"/>
                <w:color w:val="auto"/>
                <w:sz w:val="24"/>
              </w:rPr>
              <w:t>1</w:t>
            </w:r>
          </w:p>
        </w:tc>
        <w:tc>
          <w:tcPr>
            <w:tcW w:w="5819" w:type="dxa"/>
            <w:tcBorders>
              <w:top w:val="single" w:color="auto" w:sz="4" w:space="0"/>
              <w:left w:val="single" w:color="auto" w:sz="4" w:space="0"/>
              <w:right w:val="single" w:color="auto" w:sz="4" w:space="0"/>
            </w:tcBorders>
            <w:vAlign w:val="center"/>
          </w:tcPr>
          <w:p>
            <w:pPr>
              <w:shd w:val="clear"/>
              <w:jc w:val="center"/>
              <w:rPr>
                <w:rFonts w:ascii="宋体" w:hAnsi="宋体"/>
                <w:color w:val="auto"/>
                <w:sz w:val="24"/>
              </w:rPr>
            </w:pPr>
            <w:r>
              <w:rPr>
                <w:rFonts w:hint="eastAsia" w:ascii="宋体" w:hAnsi="宋体"/>
                <w:color w:val="auto"/>
                <w:sz w:val="24"/>
              </w:rPr>
              <w:t>（报价除外）</w:t>
            </w:r>
          </w:p>
        </w:tc>
        <w:tc>
          <w:tcPr>
            <w:tcW w:w="1627" w:type="dxa"/>
            <w:tcBorders>
              <w:top w:val="single" w:color="auto" w:sz="4" w:space="0"/>
              <w:left w:val="single" w:color="auto" w:sz="4" w:space="0"/>
              <w:right w:val="single" w:color="auto" w:sz="4" w:space="0"/>
            </w:tcBorders>
            <w:vAlign w:val="center"/>
          </w:tcPr>
          <w:p>
            <w:pPr>
              <w:shd w:val="clea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color w:val="auto"/>
                <w:sz w:val="24"/>
              </w:rPr>
            </w:pPr>
            <w:r>
              <w:rPr>
                <w:rFonts w:hint="eastAsia" w:ascii="宋体" w:hAnsi="宋体"/>
                <w:color w:val="auto"/>
                <w:sz w:val="24"/>
              </w:rPr>
              <w:t>2</w:t>
            </w:r>
          </w:p>
        </w:tc>
        <w:tc>
          <w:tcPr>
            <w:tcW w:w="5819" w:type="dxa"/>
            <w:tcBorders>
              <w:top w:val="single" w:color="auto" w:sz="4" w:space="0"/>
              <w:left w:val="single" w:color="auto" w:sz="4" w:space="0"/>
              <w:right w:val="single" w:color="auto" w:sz="4" w:space="0"/>
            </w:tcBorders>
            <w:vAlign w:val="center"/>
          </w:tcPr>
          <w:p>
            <w:pPr>
              <w:widowControl/>
              <w:shd w:val="clear"/>
              <w:jc w:val="center"/>
              <w:rPr>
                <w:rFonts w:ascii="宋体" w:hAnsi="宋体" w:cs="宋体"/>
                <w:color w:val="auto"/>
                <w:kern w:val="0"/>
                <w:sz w:val="24"/>
              </w:rPr>
            </w:pPr>
          </w:p>
        </w:tc>
        <w:tc>
          <w:tcPr>
            <w:tcW w:w="1627" w:type="dxa"/>
            <w:tcBorders>
              <w:top w:val="single" w:color="auto" w:sz="4" w:space="0"/>
              <w:left w:val="single" w:color="auto" w:sz="4" w:space="0"/>
              <w:right w:val="single" w:color="auto" w:sz="4" w:space="0"/>
            </w:tcBorders>
            <w:vAlign w:val="center"/>
          </w:tcPr>
          <w:p>
            <w:pPr>
              <w:shd w:val="clea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ind w:left="55" w:leftChars="26"/>
              <w:rPr>
                <w:rFonts w:ascii="宋体" w:hAnsi="宋体" w:cs="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b/>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pStyle w:val="29"/>
              <w:shd w:val="clear"/>
              <w:ind w:firstLine="422"/>
              <w:rPr>
                <w:rFonts w:ascii="宋体"/>
                <w:b/>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pPr>
              <w:pStyle w:val="29"/>
              <w:shd w:val="clear"/>
              <w:ind w:firstLine="422"/>
              <w:jc w:val="center"/>
              <w:rPr>
                <w:rFonts w:ascii="宋体"/>
                <w:b/>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spacing w:line="320" w:lineRule="exact"/>
              <w:rPr>
                <w:rFonts w:ascii="宋体" w:hAnsi="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pStyle w:val="29"/>
              <w:shd w:val="clear"/>
              <w:ind w:firstLine="420"/>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pStyle w:val="29"/>
              <w:shd w:val="clear"/>
              <w:ind w:firstLine="420"/>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pStyle w:val="29"/>
              <w:shd w:val="clear"/>
              <w:ind w:firstLine="420"/>
              <w:rPr>
                <w:rFonts w:asci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bCs/>
                <w:color w:val="auto"/>
                <w:sz w:val="24"/>
              </w:rPr>
            </w:pPr>
          </w:p>
        </w:tc>
        <w:tc>
          <w:tcPr>
            <w:tcW w:w="1627" w:type="dxa"/>
            <w:tcBorders>
              <w:top w:val="single" w:color="auto" w:sz="4" w:space="0"/>
              <w:left w:val="single" w:color="auto" w:sz="4" w:space="0"/>
              <w:right w:val="single" w:color="auto" w:sz="4" w:space="0"/>
            </w:tcBorders>
            <w:vAlign w:val="center"/>
          </w:tcPr>
          <w:p>
            <w:pPr>
              <w:shd w:val="clear"/>
              <w:jc w:val="center"/>
              <w:rPr>
                <w:rFonts w:ascii="宋体" w:hAnsi="宋体"/>
                <w:bCs/>
                <w:color w:val="auto"/>
                <w:sz w:val="24"/>
              </w:rPr>
            </w:pPr>
          </w:p>
        </w:tc>
      </w:tr>
    </w:tbl>
    <w:p>
      <w:pPr>
        <w:shd w:val="clear"/>
        <w:snapToGrid w:val="0"/>
        <w:spacing w:line="360" w:lineRule="auto"/>
        <w:outlineLvl w:val="0"/>
        <w:rPr>
          <w:rFonts w:cs="仿宋" w:asciiTheme="majorEastAsia" w:hAnsiTheme="majorEastAsia" w:eastAsiaTheme="majorEastAsia"/>
          <w:b/>
          <w:color w:val="auto"/>
          <w:kern w:val="0"/>
          <w:sz w:val="32"/>
          <w:szCs w:val="32"/>
        </w:rPr>
      </w:pPr>
      <w:r>
        <w:rPr>
          <w:rFonts w:cs="仿宋" w:asciiTheme="majorEastAsia" w:hAnsiTheme="majorEastAsia" w:eastAsiaTheme="majorEastAsia"/>
          <w:b/>
          <w:color w:val="auto"/>
          <w:kern w:val="0"/>
          <w:sz w:val="32"/>
          <w:szCs w:val="32"/>
        </w:rPr>
        <w:br w:type="page"/>
      </w: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符合性自查表</w:t>
      </w:r>
    </w:p>
    <w:tbl>
      <w:tblPr>
        <w:tblStyle w:val="32"/>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4103" w:type="dxa"/>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实质性要求</w:t>
            </w:r>
          </w:p>
        </w:tc>
        <w:tc>
          <w:tcPr>
            <w:tcW w:w="2518" w:type="dxa"/>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需要提供的符合性审查资料</w:t>
            </w:r>
          </w:p>
        </w:tc>
        <w:tc>
          <w:tcPr>
            <w:tcW w:w="11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自查结论</w:t>
            </w:r>
          </w:p>
        </w:tc>
        <w:tc>
          <w:tcPr>
            <w:tcW w:w="1785" w:type="dxa"/>
            <w:vAlign w:val="center"/>
          </w:tcPr>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投标文件中的</w:t>
            </w:r>
          </w:p>
          <w:p>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4103"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投标文件按照招标文件要求签署、盖章。</w:t>
            </w:r>
          </w:p>
        </w:tc>
        <w:tc>
          <w:tcPr>
            <w:tcW w:w="2518"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需要使用电子签名或者签字盖章的投标文件的组成部分</w:t>
            </w:r>
          </w:p>
        </w:tc>
        <w:tc>
          <w:tcPr>
            <w:tcW w:w="11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pPr>
              <w:shd w:val="clear"/>
              <w:spacing w:line="360" w:lineRule="auto"/>
              <w:rPr>
                <w:rFonts w:cs="仿宋" w:asciiTheme="majorEastAsia" w:hAnsiTheme="majorEastAsia" w:eastAsiaTheme="majorEastAsia"/>
                <w:color w:val="auto"/>
                <w:sz w:val="24"/>
              </w:rPr>
            </w:pP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4103"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投标文件中承诺的投标有效期不少于招标文件中载明的投标有效期。</w:t>
            </w:r>
          </w:p>
        </w:tc>
        <w:tc>
          <w:tcPr>
            <w:tcW w:w="2518"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投标函</w:t>
            </w:r>
          </w:p>
        </w:tc>
        <w:tc>
          <w:tcPr>
            <w:tcW w:w="11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w:t>
            </w:r>
          </w:p>
        </w:tc>
        <w:tc>
          <w:tcPr>
            <w:tcW w:w="4103"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在符合劳动法律规定前提下，中标人应按照采购文件核定的岗位数为基础，确保员工工作时间、工资报酬等符合法律规定（员工实发工资不能低于奉化区政府部门规定的职工最低工资标准）；由于项目特点，休息日及法定节假日都不得影响本项目的正常保洁服务或降低保洁服务质量。以上所有费用均计入投标总价。</w:t>
            </w:r>
          </w:p>
        </w:tc>
        <w:tc>
          <w:tcPr>
            <w:tcW w:w="2518" w:type="dxa"/>
            <w:vAlign w:val="center"/>
          </w:tcPr>
          <w:p>
            <w:pPr>
              <w:shd w:val="clear"/>
              <w:spacing w:line="360" w:lineRule="auto"/>
              <w:rPr>
                <w:rFonts w:cs="仿宋" w:asciiTheme="majorEastAsia" w:hAnsiTheme="majorEastAsia" w:eastAsiaTheme="majorEastAsia"/>
                <w:color w:val="auto"/>
                <w:kern w:val="0"/>
                <w:sz w:val="24"/>
              </w:rPr>
            </w:pPr>
          </w:p>
        </w:tc>
        <w:tc>
          <w:tcPr>
            <w:tcW w:w="11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w:t>
            </w:r>
          </w:p>
        </w:tc>
        <w:tc>
          <w:tcPr>
            <w:tcW w:w="4103" w:type="dxa"/>
            <w:vAlign w:val="center"/>
          </w:tcPr>
          <w:p>
            <w:pPr>
              <w:shd w:val="clear"/>
              <w:snapToGrid w:val="0"/>
              <w:spacing w:line="360" w:lineRule="auto"/>
              <w:jc w:val="left"/>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投标文件没有招标文件中规定的其它无效投标条款的。</w:t>
            </w:r>
          </w:p>
        </w:tc>
        <w:tc>
          <w:tcPr>
            <w:tcW w:w="2518" w:type="dxa"/>
            <w:vAlign w:val="center"/>
          </w:tcPr>
          <w:p>
            <w:pPr>
              <w:shd w:val="clear"/>
              <w:spacing w:line="360" w:lineRule="auto"/>
              <w:rPr>
                <w:rFonts w:cs="仿宋" w:asciiTheme="majorEastAsia" w:hAnsiTheme="majorEastAsia" w:eastAsiaTheme="majorEastAsia"/>
                <w:color w:val="auto"/>
                <w:kern w:val="0"/>
                <w:sz w:val="24"/>
              </w:rPr>
            </w:pPr>
          </w:p>
        </w:tc>
        <w:tc>
          <w:tcPr>
            <w:tcW w:w="11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p>
        </w:tc>
        <w:tc>
          <w:tcPr>
            <w:tcW w:w="4103" w:type="dxa"/>
            <w:vAlign w:val="center"/>
          </w:tcPr>
          <w:p>
            <w:pPr>
              <w:shd w:val="clear"/>
              <w:snapToGrid w:val="0"/>
              <w:spacing w:line="360" w:lineRule="auto"/>
              <w:jc w:val="left"/>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按有关法律、法规、规章不属于投标无效的。</w:t>
            </w:r>
          </w:p>
        </w:tc>
        <w:tc>
          <w:tcPr>
            <w:tcW w:w="2518" w:type="dxa"/>
            <w:vAlign w:val="center"/>
          </w:tcPr>
          <w:p>
            <w:pPr>
              <w:shd w:val="clear"/>
              <w:spacing w:line="360" w:lineRule="auto"/>
              <w:rPr>
                <w:rFonts w:cs="仿宋" w:asciiTheme="majorEastAsia" w:hAnsiTheme="majorEastAsia" w:eastAsiaTheme="majorEastAsia"/>
                <w:color w:val="auto"/>
                <w:kern w:val="0"/>
                <w:sz w:val="24"/>
              </w:rPr>
            </w:pPr>
          </w:p>
        </w:tc>
        <w:tc>
          <w:tcPr>
            <w:tcW w:w="11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pPr>
              <w:shd w:val="clear"/>
              <w:spacing w:line="360" w:lineRule="auto"/>
              <w:jc w:val="center"/>
              <w:rPr>
                <w:rFonts w:cs="仿宋" w:asciiTheme="majorEastAsia" w:hAnsiTheme="majorEastAsia" w:eastAsiaTheme="majorEastAsia"/>
                <w:color w:val="auto"/>
                <w:sz w:val="24"/>
              </w:rPr>
            </w:pPr>
          </w:p>
        </w:tc>
        <w:tc>
          <w:tcPr>
            <w:tcW w:w="4103" w:type="dxa"/>
            <w:vAlign w:val="center"/>
          </w:tcPr>
          <w:p>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w:t>
            </w:r>
          </w:p>
        </w:tc>
        <w:tc>
          <w:tcPr>
            <w:tcW w:w="2518" w:type="dxa"/>
            <w:vAlign w:val="center"/>
          </w:tcPr>
          <w:p>
            <w:pPr>
              <w:shd w:val="clear"/>
              <w:spacing w:line="360" w:lineRule="auto"/>
              <w:rPr>
                <w:rFonts w:cs="仿宋" w:asciiTheme="majorEastAsia" w:hAnsiTheme="majorEastAsia" w:eastAsiaTheme="majorEastAsia"/>
                <w:color w:val="auto"/>
                <w:kern w:val="0"/>
                <w:sz w:val="24"/>
              </w:rPr>
            </w:pPr>
          </w:p>
        </w:tc>
        <w:tc>
          <w:tcPr>
            <w:tcW w:w="1185" w:type="dxa"/>
          </w:tcPr>
          <w:p>
            <w:pPr>
              <w:shd w:val="clear"/>
              <w:spacing w:line="360" w:lineRule="auto"/>
              <w:rPr>
                <w:rFonts w:cs="仿宋" w:asciiTheme="majorEastAsia" w:hAnsiTheme="majorEastAsia" w:eastAsiaTheme="majorEastAsia"/>
                <w:color w:val="auto"/>
                <w:sz w:val="24"/>
              </w:rPr>
            </w:pPr>
          </w:p>
        </w:tc>
        <w:tc>
          <w:tcPr>
            <w:tcW w:w="1785" w:type="dxa"/>
            <w:vAlign w:val="center"/>
          </w:tcPr>
          <w:p>
            <w:pPr>
              <w:shd w:val="clear"/>
              <w:spacing w:line="360" w:lineRule="auto"/>
              <w:rPr>
                <w:rFonts w:cs="仿宋" w:asciiTheme="majorEastAsia" w:hAnsiTheme="majorEastAsia" w:eastAsiaTheme="majorEastAsia"/>
                <w:color w:val="auto"/>
                <w:sz w:val="24"/>
              </w:rPr>
            </w:pPr>
          </w:p>
        </w:tc>
      </w:tr>
    </w:tbl>
    <w:p>
      <w:pPr>
        <w:shd w:val="clear"/>
        <w:snapToGrid w:val="0"/>
        <w:spacing w:line="360" w:lineRule="auto"/>
        <w:jc w:val="left"/>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pPr>
        <w:numPr>
          <w:ilvl w:val="0"/>
          <w:numId w:val="6"/>
        </w:numPr>
        <w:shd w:val="clear"/>
        <w:snapToGrid w:val="0"/>
        <w:spacing w:line="360" w:lineRule="auto"/>
        <w:jc w:val="center"/>
        <w:outlineLvl w:val="0"/>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kern w:val="0"/>
          <w:sz w:val="32"/>
          <w:szCs w:val="32"/>
        </w:rPr>
        <w:br w:type="page"/>
      </w:r>
      <w:r>
        <w:rPr>
          <w:rFonts w:hint="eastAsia" w:cs="仿宋" w:asciiTheme="majorEastAsia" w:hAnsiTheme="majorEastAsia" w:eastAsiaTheme="majorEastAsia"/>
          <w:b/>
          <w:color w:val="auto"/>
          <w:kern w:val="0"/>
          <w:sz w:val="32"/>
          <w:szCs w:val="32"/>
        </w:rPr>
        <w:t>投标</w:t>
      </w:r>
      <w:r>
        <w:rPr>
          <w:rFonts w:hint="eastAsia" w:cs="仿宋" w:asciiTheme="majorEastAsia" w:hAnsiTheme="majorEastAsia" w:eastAsiaTheme="majorEastAsia"/>
          <w:b/>
          <w:color w:val="auto"/>
          <w:sz w:val="32"/>
          <w:szCs w:val="32"/>
        </w:rPr>
        <w:t>函</w:t>
      </w:r>
    </w:p>
    <w:p>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（采购人）、（采购代理机构）：</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我方参加你方组织的（项目名称）【项目编号：            】招标的有关活动，并对此项目进行投标。为此：</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1、我方承诺投标有效期从提交投标文件的截止之日起</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天（不少于90天）</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sz w:val="24"/>
        </w:rPr>
        <w:t>本投标文件在投标有效期满之前均具有约束力。</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2、我方的投标文件包括以下内容：</w:t>
      </w:r>
    </w:p>
    <w:p>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2.1资格文件：</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2.1.1有效的企业法人营业执照（或事业法人登记证）、其他组织（个体工商户）的营业执照或者民办非企业单位登记证书；</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2.1.2符合参加政府采购活动应当具备的一般条件的承诺函落实政府采购政策需满足的资格要求（如果有）；</w:t>
      </w:r>
    </w:p>
    <w:p>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2.1.3落实政府采购政策需满足的资格要求；</w:t>
      </w:r>
    </w:p>
    <w:p>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2.1.4联合协议（如果有）；</w:t>
      </w:r>
    </w:p>
    <w:p>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2.1.5分包意向协议（如果有）；</w:t>
      </w:r>
    </w:p>
    <w:p>
      <w:pPr>
        <w:shd w:val="clear"/>
        <w:snapToGrid w:val="0"/>
        <w:spacing w:line="360" w:lineRule="auto"/>
        <w:ind w:firstLine="960" w:firstLineChars="4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2.1.6本项目的特定资格要求。</w:t>
      </w:r>
    </w:p>
    <w:p>
      <w:pPr>
        <w:shd w:val="clear"/>
        <w:snapToGrid w:val="0"/>
        <w:spacing w:line="360" w:lineRule="auto"/>
        <w:ind w:left="210" w:leftChars="100"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color w:val="auto"/>
          <w:sz w:val="24"/>
        </w:rPr>
        <w:t>商务技术</w:t>
      </w:r>
      <w:r>
        <w:rPr>
          <w:rFonts w:hint="eastAsia" w:cs="仿宋" w:asciiTheme="majorEastAsia" w:hAnsiTheme="majorEastAsia" w:eastAsiaTheme="majorEastAsia"/>
          <w:color w:val="auto"/>
          <w:sz w:val="24"/>
          <w:lang w:val="zh-CN"/>
        </w:rPr>
        <w:t>文件：</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2.2.1评分索引表</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2.2.2 符合性自查表；</w:t>
      </w:r>
    </w:p>
    <w:p>
      <w:pPr>
        <w:shd w:val="clear"/>
        <w:snapToGrid w:val="0"/>
        <w:spacing w:line="360" w:lineRule="auto"/>
        <w:ind w:left="420" w:leftChars="200" w:firstLine="480" w:firstLineChars="200"/>
        <w:rPr>
          <w:rFonts w:cs="仿宋" w:asciiTheme="majorEastAsia" w:hAnsiTheme="majorEastAsia" w:eastAsiaTheme="majorEastAsia"/>
          <w:color w:val="auto"/>
          <w:lang w:val="zh-CN"/>
        </w:rPr>
      </w:pPr>
      <w:r>
        <w:rPr>
          <w:rFonts w:hint="eastAsia" w:cs="仿宋" w:asciiTheme="majorEastAsia" w:hAnsiTheme="majorEastAsia" w:eastAsiaTheme="majorEastAsia"/>
          <w:color w:val="auto"/>
          <w:sz w:val="24"/>
        </w:rPr>
        <w:t>2.2.3 投标函；</w:t>
      </w:r>
      <w:r>
        <w:rPr>
          <w:rFonts w:hint="eastAsia" w:cs="仿宋" w:asciiTheme="majorEastAsia" w:hAnsiTheme="majorEastAsia" w:eastAsiaTheme="majorEastAsia"/>
          <w:color w:val="auto"/>
          <w:sz w:val="24"/>
          <w:lang w:val="zh-CN"/>
        </w:rPr>
        <w:t xml:space="preserve"> </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2.2.4 授权委托书或法定代表人（单位负责人、自然人本人）身份证明；</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2.2.5 投标人基本情况表；</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2.2.6 距采购人最近或者能为本项目提供最优服务的网点情况表；</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2.2.7 评标标准相应的商务技术资料；</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 xml:space="preserve">8 商务响应表； </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2.2.9 服务要求响应表；</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2.2.10项目实施人员一览表；</w:t>
      </w:r>
    </w:p>
    <w:p>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11 同类业绩情况一览表；</w:t>
      </w:r>
    </w:p>
    <w:p>
      <w:pPr>
        <w:shd w:val="clear"/>
        <w:snapToGrid w:val="0"/>
        <w:spacing w:line="360" w:lineRule="auto"/>
        <w:ind w:left="420" w:leftChars="200"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 xml:space="preserve">2.2.12 </w:t>
      </w:r>
      <w:r>
        <w:rPr>
          <w:rFonts w:hint="eastAsia" w:cs="仿宋" w:asciiTheme="majorEastAsia" w:hAnsiTheme="majorEastAsia" w:eastAsiaTheme="majorEastAsia"/>
          <w:color w:val="auto"/>
          <w:sz w:val="24"/>
          <w:lang w:val="zh-CN"/>
        </w:rPr>
        <w:t>政府采购供应商廉洁自律承诺书；</w:t>
      </w:r>
    </w:p>
    <w:p>
      <w:pPr>
        <w:shd w:val="clear"/>
        <w:snapToGrid w:val="0"/>
        <w:spacing w:line="360" w:lineRule="auto"/>
        <w:ind w:left="420" w:leftChars="200"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2.2.13 其他资料。</w:t>
      </w:r>
    </w:p>
    <w:p>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3报价文件</w:t>
      </w:r>
    </w:p>
    <w:p>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2.3.1 开标一览表；</w:t>
      </w:r>
    </w:p>
    <w:p>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2.3.2投标报价明细表；</w:t>
      </w:r>
    </w:p>
    <w:p>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2.3.3 中小企业声明函（如有）；</w:t>
      </w:r>
    </w:p>
    <w:p>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2.3.4 残疾人福利性单位声明函（如有）；</w:t>
      </w:r>
    </w:p>
    <w:p>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2.3.5 监狱企业的证明文件（如有）；</w:t>
      </w:r>
    </w:p>
    <w:p>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2.3.6 政府采购统计基础信息表。</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3、我方承诺除商务技术响应表列出的偏离外，我方响应招标文件的全部要求。</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4、如我方中标，我方承诺：</w:t>
      </w:r>
    </w:p>
    <w:p>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4.1在收到中标通知书后，在中标通知书规定的期限内与你方签订合同； </w:t>
      </w:r>
    </w:p>
    <w:p>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4.2在签订合同时不向你方提出附加条件； </w:t>
      </w:r>
    </w:p>
    <w:p>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4.3按照招标文件要求提交履约保证金； </w:t>
      </w:r>
    </w:p>
    <w:p>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4.4在合同约定的期限内完成合同规定的全部义务。 </w:t>
      </w:r>
    </w:p>
    <w:p>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5、其他补充说明: </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 xml:space="preserve"> 。</w:t>
      </w:r>
    </w:p>
    <w:p>
      <w:pPr>
        <w:shd w:val="clear"/>
        <w:spacing w:line="360" w:lineRule="auto"/>
        <w:ind w:firstLine="3600" w:firstLineChars="1500"/>
        <w:rPr>
          <w:rFonts w:cs="仿宋" w:asciiTheme="majorEastAsia" w:hAnsiTheme="majorEastAsia" w:eastAsiaTheme="majorEastAsia"/>
          <w:color w:val="auto"/>
          <w:sz w:val="24"/>
        </w:rPr>
      </w:pPr>
    </w:p>
    <w:p>
      <w:pPr>
        <w:shd w:val="clear"/>
        <w:spacing w:line="360" w:lineRule="auto"/>
        <w:ind w:firstLine="3600" w:firstLineChars="1500"/>
        <w:rPr>
          <w:rFonts w:cs="仿宋" w:asciiTheme="majorEastAsia" w:hAnsiTheme="majorEastAsia" w:eastAsiaTheme="majorEastAsia"/>
          <w:color w:val="auto"/>
          <w:sz w:val="24"/>
        </w:rPr>
      </w:pPr>
    </w:p>
    <w:p>
      <w:pPr>
        <w:shd w:val="clear"/>
        <w:spacing w:line="360" w:lineRule="auto"/>
        <w:ind w:right="420" w:firstLine="5250" w:firstLineChars="2500"/>
        <w:rPr>
          <w:rFonts w:ascii="宋体" w:hAnsi="宋体" w:cs="宋体"/>
          <w:color w:val="auto"/>
        </w:rPr>
      </w:pPr>
      <w:r>
        <w:rPr>
          <w:rFonts w:hint="eastAsia" w:ascii="宋体" w:hAnsi="宋体" w:cs="宋体"/>
          <w:color w:val="auto"/>
        </w:rPr>
        <w:t xml:space="preserve">法定代表人（签名或印章）：     </w:t>
      </w:r>
    </w:p>
    <w:p>
      <w:pPr>
        <w:shd w:val="clear"/>
        <w:spacing w:line="360" w:lineRule="auto"/>
        <w:ind w:right="420" w:firstLine="5460" w:firstLineChars="2600"/>
        <w:rPr>
          <w:rFonts w:ascii="宋体" w:hAnsi="宋体" w:cs="宋体"/>
          <w:color w:val="auto"/>
        </w:rPr>
      </w:pPr>
      <w:r>
        <w:rPr>
          <w:rFonts w:hint="eastAsia" w:ascii="宋体" w:hAnsi="宋体" w:cs="宋体"/>
          <w:color w:val="auto"/>
        </w:rPr>
        <w:t xml:space="preserve">投标人（盖章）：   </w:t>
      </w:r>
    </w:p>
    <w:p>
      <w:pPr>
        <w:shd w:val="clear"/>
        <w:spacing w:line="360" w:lineRule="auto"/>
        <w:ind w:right="420" w:firstLine="5355" w:firstLineChars="2550"/>
        <w:rPr>
          <w:rFonts w:ascii="宋体" w:hAnsi="宋体" w:cs="宋体"/>
          <w:color w:val="auto"/>
        </w:rPr>
      </w:pPr>
      <w:r>
        <w:rPr>
          <w:rFonts w:hint="eastAsia" w:ascii="宋体" w:hAnsi="宋体" w:cs="宋体"/>
          <w:color w:val="auto"/>
        </w:rPr>
        <w:t xml:space="preserve"> 年    月    日</w:t>
      </w:r>
    </w:p>
    <w:p>
      <w:pPr>
        <w:shd w:val="clear"/>
        <w:spacing w:line="360" w:lineRule="auto"/>
        <w:jc w:val="center"/>
        <w:rPr>
          <w:rFonts w:cs="仿宋" w:asciiTheme="majorEastAsia" w:hAnsiTheme="majorEastAsia" w:eastAsiaTheme="majorEastAsia"/>
          <w:b/>
          <w:color w:val="auto"/>
          <w:kern w:val="0"/>
          <w:sz w:val="32"/>
          <w:szCs w:val="32"/>
        </w:rPr>
      </w:pPr>
    </w:p>
    <w:p>
      <w:pPr>
        <w:shd w:val="clear"/>
        <w:spacing w:line="360" w:lineRule="auto"/>
        <w:jc w:val="center"/>
        <w:rPr>
          <w:rFonts w:cs="仿宋" w:asciiTheme="majorEastAsia" w:hAnsiTheme="majorEastAsia" w:eastAsiaTheme="majorEastAsia"/>
          <w:b/>
          <w:color w:val="auto"/>
          <w:kern w:val="0"/>
          <w:sz w:val="32"/>
          <w:szCs w:val="32"/>
          <w:lang w:val="zh-CN"/>
        </w:rPr>
      </w:pPr>
    </w:p>
    <w:p>
      <w:pPr>
        <w:shd w:val="clear"/>
        <w:spacing w:line="360" w:lineRule="auto"/>
        <w:rPr>
          <w:rFonts w:cs="仿宋" w:asciiTheme="majorEastAsia" w:hAnsiTheme="majorEastAsia" w:eastAsiaTheme="majorEastAsia"/>
          <w:b/>
          <w:color w:val="auto"/>
          <w:sz w:val="32"/>
          <w:szCs w:val="32"/>
        </w:rPr>
      </w:pPr>
      <w:bookmarkStart w:id="394" w:name="_Toc488936100"/>
      <w:bookmarkStart w:id="395" w:name="_Toc479927873"/>
      <w:bookmarkStart w:id="396" w:name="_Toc14746861"/>
      <w:bookmarkStart w:id="397" w:name="_Toc225223761"/>
      <w:bookmarkStart w:id="398" w:name="_Toc110393361"/>
      <w:bookmarkStart w:id="399" w:name="_Toc483379796"/>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授权委托书或法定代表人（单位负责人、自然人本人）身份证明</w:t>
      </w:r>
    </w:p>
    <w:p>
      <w:pPr>
        <w:shd w:val="clear"/>
        <w:jc w:val="left"/>
        <w:rPr>
          <w:rFonts w:ascii="宋体" w:hAnsi="宋体" w:cs="宋体"/>
          <w:b/>
          <w:color w:val="auto"/>
          <w:sz w:val="32"/>
          <w:szCs w:val="32"/>
        </w:rPr>
      </w:pPr>
      <w:r>
        <w:rPr>
          <w:rFonts w:hint="eastAsia" w:cs="仿宋" w:asciiTheme="majorEastAsia" w:hAnsiTheme="majorEastAsia" w:eastAsiaTheme="majorEastAsia"/>
          <w:color w:val="auto"/>
          <w:sz w:val="24"/>
        </w:rPr>
        <w:t xml:space="preserve">                           </w:t>
      </w:r>
      <w:r>
        <w:rPr>
          <w:rFonts w:hint="eastAsia" w:ascii="宋体" w:hAnsi="宋体" w:cs="宋体"/>
          <w:b/>
          <w:color w:val="auto"/>
          <w:sz w:val="32"/>
          <w:szCs w:val="32"/>
        </w:rPr>
        <w:t>法定代表人授权委托书</w:t>
      </w:r>
    </w:p>
    <w:p>
      <w:pPr>
        <w:shd w:val="clear"/>
        <w:jc w:val="center"/>
        <w:rPr>
          <w:rFonts w:ascii="宋体" w:hAnsi="宋体" w:cs="宋体"/>
          <w:b/>
          <w:color w:val="auto"/>
          <w:sz w:val="32"/>
          <w:szCs w:val="32"/>
        </w:rPr>
      </w:pPr>
      <w:r>
        <w:rPr>
          <w:rFonts w:hint="eastAsia" w:ascii="宋体" w:hAnsi="宋体" w:cs="宋体"/>
          <w:bCs/>
          <w:color w:val="auto"/>
          <w:sz w:val="24"/>
        </w:rPr>
        <w:t>（法定代表人来投标的，此表不用）</w:t>
      </w:r>
    </w:p>
    <w:p>
      <w:pPr>
        <w:shd w:val="clear"/>
        <w:snapToGrid w:val="0"/>
        <w:spacing w:line="360" w:lineRule="auto"/>
        <w:rPr>
          <w:rFonts w:ascii="宋体" w:hAnsi="宋体" w:cs="宋体"/>
          <w:bCs/>
          <w:color w:val="auto"/>
          <w:sz w:val="24"/>
        </w:rPr>
      </w:pPr>
    </w:p>
    <w:p>
      <w:pPr>
        <w:shd w:val="clear"/>
        <w:snapToGrid w:val="0"/>
        <w:spacing w:line="360" w:lineRule="auto"/>
        <w:rPr>
          <w:rFonts w:ascii="宋体" w:hAnsi="宋体" w:cs="宋体"/>
          <w:color w:val="auto"/>
          <w:szCs w:val="21"/>
        </w:rPr>
      </w:pPr>
      <w:r>
        <w:rPr>
          <w:rFonts w:hint="eastAsia" w:ascii="宋体" w:hAnsi="宋体" w:cs="宋体"/>
          <w:bCs/>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（采购单位名称）</w:t>
      </w:r>
      <w:r>
        <w:rPr>
          <w:rFonts w:hint="eastAsia" w:ascii="宋体" w:hAnsi="宋体" w:cs="宋体"/>
          <w:b/>
          <w:bCs/>
          <w:color w:val="auto"/>
          <w:szCs w:val="21"/>
        </w:rPr>
        <w:t xml:space="preserve"> </w:t>
      </w:r>
      <w:r>
        <w:rPr>
          <w:rFonts w:hint="eastAsia" w:ascii="宋体" w:hAnsi="宋体" w:cs="宋体"/>
          <w:color w:val="auto"/>
          <w:szCs w:val="21"/>
        </w:rPr>
        <w:t>：</w:t>
      </w:r>
    </w:p>
    <w:p>
      <w:pPr>
        <w:shd w:val="clea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 xml:space="preserve">（投标人名称）的法定代表人，现授权委托本单位在职职工 </w:t>
      </w:r>
      <w:r>
        <w:rPr>
          <w:rFonts w:hint="eastAsia" w:ascii="宋体" w:hAnsi="宋体" w:cs="宋体"/>
          <w:color w:val="auto"/>
          <w:szCs w:val="21"/>
          <w:u w:val="single"/>
        </w:rPr>
        <w:t xml:space="preserve">           </w:t>
      </w:r>
      <w:r>
        <w:rPr>
          <w:rFonts w:hint="eastAsia" w:ascii="宋体" w:hAnsi="宋体" w:cs="宋体"/>
          <w:color w:val="auto"/>
          <w:szCs w:val="21"/>
        </w:rPr>
        <w:t>（姓名）以我方的名义参加</w:t>
      </w:r>
      <w:r>
        <w:rPr>
          <w:rFonts w:hint="eastAsia" w:ascii="宋体" w:hAnsi="宋体" w:cs="宋体"/>
          <w:color w:val="auto"/>
          <w:szCs w:val="21"/>
          <w:u w:val="single"/>
        </w:rPr>
        <w:t xml:space="preserve">                       政府采购 </w:t>
      </w:r>
      <w:r>
        <w:rPr>
          <w:rFonts w:hint="eastAsia" w:ascii="宋体" w:hAnsi="宋体" w:cs="宋体"/>
          <w:color w:val="auto"/>
          <w:szCs w:val="21"/>
        </w:rPr>
        <w:t>项目的投标活动，并代表我方全权办理针对上述项目的投标、开标、评标、签约等具体事务和签署相关文件。</w:t>
      </w:r>
    </w:p>
    <w:p>
      <w:pPr>
        <w:shd w:val="clea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我方对被授权人的签名事项负全部责任。</w:t>
      </w:r>
    </w:p>
    <w:p>
      <w:pPr>
        <w:shd w:val="clea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在撤销授权的书面通知以前，本授权书一直有效。被授权人在授权书有效期内签署的所有文件不因授权的撤销而失效。</w:t>
      </w:r>
    </w:p>
    <w:p>
      <w:pPr>
        <w:shd w:val="clear"/>
        <w:snapToGrid w:val="0"/>
        <w:spacing w:line="360" w:lineRule="auto"/>
        <w:ind w:firstLine="480"/>
        <w:rPr>
          <w:rFonts w:ascii="宋体" w:hAnsi="宋体" w:cs="宋体"/>
          <w:color w:val="auto"/>
          <w:szCs w:val="21"/>
        </w:rPr>
      </w:pPr>
      <w:r>
        <w:rPr>
          <w:rFonts w:hint="eastAsia" w:ascii="宋体" w:hAnsi="宋体" w:cs="宋体"/>
          <w:color w:val="auto"/>
          <w:szCs w:val="21"/>
        </w:rPr>
        <w:t>被授权人无转委托权，特此委托。</w:t>
      </w:r>
    </w:p>
    <w:p>
      <w:pPr>
        <w:shd w:val="clear"/>
        <w:snapToGrid w:val="0"/>
        <w:spacing w:line="360" w:lineRule="auto"/>
        <w:rPr>
          <w:rFonts w:ascii="宋体" w:hAnsi="宋体" w:cs="宋体"/>
          <w:color w:val="auto"/>
          <w:szCs w:val="21"/>
        </w:rPr>
      </w:pPr>
    </w:p>
    <w:p>
      <w:pPr>
        <w:shd w:val="clear"/>
        <w:snapToGrid w:val="0"/>
        <w:spacing w:line="360" w:lineRule="auto"/>
        <w:rPr>
          <w:rFonts w:ascii="宋体" w:hAnsi="宋体" w:cs="宋体"/>
          <w:color w:val="auto"/>
          <w:szCs w:val="21"/>
        </w:rPr>
      </w:pPr>
    </w:p>
    <w:p>
      <w:pPr>
        <w:shd w:val="clear"/>
        <w:snapToGrid w:val="0"/>
        <w:spacing w:line="360" w:lineRule="auto"/>
        <w:rPr>
          <w:rFonts w:ascii="宋体" w:hAnsi="宋体" w:cs="宋体"/>
          <w:color w:val="auto"/>
          <w:szCs w:val="21"/>
          <w:u w:val="single"/>
        </w:rPr>
      </w:pPr>
      <w:r>
        <w:rPr>
          <w:rFonts w:hint="eastAsia" w:ascii="宋体" w:hAnsi="宋体" w:cs="宋体"/>
          <w:color w:val="auto"/>
          <w:szCs w:val="21"/>
        </w:rPr>
        <w:t>被授权人签名：</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法定代表人签名：</w:t>
      </w:r>
      <w:r>
        <w:rPr>
          <w:rFonts w:hint="eastAsia" w:ascii="宋体" w:hAnsi="宋体" w:cs="宋体"/>
          <w:color w:val="auto"/>
          <w:szCs w:val="21"/>
          <w:u w:val="single"/>
        </w:rPr>
        <w:t xml:space="preserve">          </w:t>
      </w:r>
    </w:p>
    <w:p>
      <w:pPr>
        <w:shd w:val="clea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 xml:space="preserve">                          职务：</w:t>
      </w:r>
      <w:r>
        <w:rPr>
          <w:rFonts w:hint="eastAsia" w:ascii="宋体" w:hAnsi="宋体" w:cs="宋体"/>
          <w:color w:val="auto"/>
          <w:szCs w:val="21"/>
          <w:u w:val="single"/>
        </w:rPr>
        <w:t xml:space="preserve">           </w:t>
      </w:r>
    </w:p>
    <w:p>
      <w:pPr>
        <w:shd w:val="clear"/>
        <w:snapToGrid w:val="0"/>
        <w:spacing w:line="360" w:lineRule="auto"/>
        <w:rPr>
          <w:rFonts w:ascii="宋体" w:hAnsi="宋体" w:cs="宋体"/>
          <w:color w:val="auto"/>
          <w:szCs w:val="21"/>
        </w:rPr>
      </w:pPr>
      <w:r>
        <w:rPr>
          <w:rFonts w:hint="eastAsia" w:ascii="宋体" w:hAnsi="宋体" w:cs="宋体"/>
          <w:color w:val="auto"/>
          <w:szCs w:val="21"/>
        </w:rPr>
        <w:t>被授权人身份证号码：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hd w:val="clear"/>
        <w:snapToGrid w:val="0"/>
        <w:spacing w:line="360" w:lineRule="auto"/>
        <w:rPr>
          <w:rFonts w:ascii="宋体" w:hAnsi="宋体" w:cs="宋体"/>
          <w:color w:val="auto"/>
          <w:szCs w:val="21"/>
        </w:rPr>
      </w:pPr>
      <w:r>
        <w:rPr>
          <w:rFonts w:hint="eastAsia" w:ascii="宋体" w:hAnsi="宋体" w:cs="宋体"/>
          <w:color w:val="auto"/>
          <w:szCs w:val="21"/>
        </w:rPr>
        <w:t xml:space="preserve">                                    </w:t>
      </w:r>
    </w:p>
    <w:p>
      <w:pPr>
        <w:shd w:val="clear"/>
        <w:snapToGrid w:val="0"/>
        <w:spacing w:line="360" w:lineRule="auto"/>
        <w:rPr>
          <w:rFonts w:ascii="宋体" w:hAnsi="宋体" w:cs="宋体"/>
          <w:color w:val="auto"/>
          <w:szCs w:val="21"/>
        </w:rPr>
      </w:pPr>
    </w:p>
    <w:p>
      <w:pPr>
        <w:shd w:val="clear"/>
        <w:spacing w:line="360" w:lineRule="auto"/>
        <w:ind w:firstLine="4830" w:firstLineChars="2300"/>
        <w:rPr>
          <w:rFonts w:ascii="宋体" w:hAnsi="宋体" w:cs="宋体"/>
          <w:color w:val="auto"/>
        </w:rPr>
      </w:pPr>
      <w:r>
        <w:rPr>
          <w:rFonts w:hint="eastAsia" w:ascii="宋体" w:hAnsi="宋体" w:cs="宋体"/>
          <w:color w:val="auto"/>
        </w:rPr>
        <w:t>投标人（盖章）：</w:t>
      </w:r>
    </w:p>
    <w:p>
      <w:pPr>
        <w:shd w:val="clear"/>
        <w:spacing w:line="360" w:lineRule="auto"/>
        <w:ind w:firstLine="1260" w:firstLineChars="600"/>
        <w:rPr>
          <w:rFonts w:ascii="宋体" w:hAnsi="宋体" w:cs="宋体"/>
          <w:color w:val="auto"/>
        </w:rPr>
      </w:pPr>
      <w:r>
        <w:rPr>
          <w:rFonts w:hint="eastAsia" w:ascii="宋体" w:hAnsi="宋体" w:cs="宋体"/>
          <w:color w:val="auto"/>
        </w:rPr>
        <w:t xml:space="preserve">                                  日期：</w:t>
      </w:r>
    </w:p>
    <w:p>
      <w:pPr>
        <w:shd w:val="clear"/>
        <w:spacing w:line="360" w:lineRule="auto"/>
        <w:rPr>
          <w:rFonts w:ascii="宋体" w:hAnsi="宋体" w:cs="宋体"/>
          <w:b/>
          <w:color w:val="auto"/>
          <w:szCs w:val="21"/>
        </w:rPr>
      </w:pPr>
    </w:p>
    <w:p>
      <w:pPr>
        <w:shd w:val="clear"/>
        <w:spacing w:line="360" w:lineRule="auto"/>
        <w:rPr>
          <w:rFonts w:ascii="宋体" w:hAnsi="宋体" w:cs="宋体"/>
          <w:b/>
          <w:color w:val="auto"/>
          <w:szCs w:val="21"/>
        </w:rPr>
      </w:pPr>
    </w:p>
    <w:p>
      <w:pPr>
        <w:shd w:val="clear"/>
        <w:spacing w:line="360" w:lineRule="auto"/>
        <w:rPr>
          <w:rFonts w:ascii="宋体" w:hAnsi="宋体" w:cs="宋体"/>
          <w:b/>
          <w:color w:val="auto"/>
          <w:szCs w:val="21"/>
        </w:rPr>
      </w:pPr>
      <w:r>
        <w:rPr>
          <w:rFonts w:hint="eastAsia" w:ascii="宋体" w:hAnsi="宋体" w:cs="宋体"/>
          <w:b/>
          <w:color w:val="auto"/>
          <w:szCs w:val="21"/>
        </w:rPr>
        <w:t>附：法定代表人身份证复印件（正反面）、授权代表身份证复印件（正反面）：</w:t>
      </w:r>
    </w:p>
    <w:p>
      <w:pPr>
        <w:shd w:val="clear"/>
        <w:snapToGrid w:val="0"/>
        <w:spacing w:line="360" w:lineRule="auto"/>
        <w:rPr>
          <w:rFonts w:cs="仿宋" w:asciiTheme="majorEastAsia" w:hAnsiTheme="majorEastAsia" w:eastAsiaTheme="majorEastAsia"/>
          <w:color w:val="auto"/>
          <w:sz w:val="24"/>
        </w:rPr>
      </w:pPr>
    </w:p>
    <w:p>
      <w:pPr>
        <w:shd w:val="clear"/>
        <w:spacing w:line="360" w:lineRule="auto"/>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b/>
          <w:color w:val="auto"/>
          <w:kern w:val="0"/>
          <w:sz w:val="32"/>
          <w:szCs w:val="32"/>
          <w:lang w:val="zh-CN"/>
        </w:rPr>
        <w:t xml:space="preserve">      </w:t>
      </w:r>
      <w:r>
        <w:rPr>
          <w:rFonts w:hint="eastAsia" w:cs="仿宋" w:asciiTheme="majorEastAsia" w:hAnsiTheme="majorEastAsia" w:eastAsiaTheme="majorEastAsia"/>
          <w:b/>
          <w:color w:val="auto"/>
          <w:kern w:val="0"/>
          <w:sz w:val="32"/>
          <w:szCs w:val="32"/>
        </w:rPr>
        <w:t xml:space="preserve"> </w:t>
      </w:r>
    </w:p>
    <w:p>
      <w:pPr>
        <w:shd w:val="clear"/>
        <w:jc w:val="center"/>
        <w:rPr>
          <w:rFonts w:ascii="宋体" w:hAnsi="宋体" w:cs="宋体"/>
          <w:b/>
          <w:color w:val="auto"/>
          <w:sz w:val="32"/>
          <w:szCs w:val="32"/>
        </w:rPr>
      </w:pPr>
      <w:r>
        <w:rPr>
          <w:rFonts w:hint="eastAsia" w:cs="仿宋" w:asciiTheme="majorEastAsia" w:hAnsiTheme="majorEastAsia" w:eastAsiaTheme="majorEastAsia"/>
          <w:b/>
          <w:color w:val="auto"/>
          <w:kern w:val="0"/>
          <w:sz w:val="32"/>
          <w:szCs w:val="32"/>
          <w:lang w:val="zh-CN"/>
        </w:rPr>
        <w:br w:type="page"/>
      </w:r>
      <w:r>
        <w:rPr>
          <w:rFonts w:hint="eastAsia" w:ascii="宋体" w:hAnsi="宋体" w:cs="宋体"/>
          <w:b/>
          <w:color w:val="auto"/>
          <w:sz w:val="32"/>
          <w:szCs w:val="32"/>
        </w:rPr>
        <w:t>法定代表人身份证明</w:t>
      </w:r>
    </w:p>
    <w:p>
      <w:pPr>
        <w:shd w:val="clear"/>
        <w:spacing w:line="480" w:lineRule="auto"/>
        <w:jc w:val="center"/>
        <w:rPr>
          <w:rFonts w:ascii="宋体" w:hAnsi="宋体" w:cs="宋体"/>
          <w:bCs/>
          <w:color w:val="auto"/>
          <w:sz w:val="24"/>
        </w:rPr>
      </w:pPr>
    </w:p>
    <w:p>
      <w:pPr>
        <w:shd w:val="clear"/>
        <w:spacing w:line="480" w:lineRule="auto"/>
        <w:jc w:val="center"/>
        <w:rPr>
          <w:rFonts w:ascii="宋体" w:hAnsi="宋体" w:cs="宋体"/>
          <w:b/>
          <w:color w:val="auto"/>
          <w:sz w:val="24"/>
        </w:rPr>
      </w:pPr>
      <w:r>
        <w:rPr>
          <w:rFonts w:hint="eastAsia" w:ascii="宋体" w:hAnsi="宋体" w:cs="宋体"/>
          <w:bCs/>
          <w:color w:val="auto"/>
          <w:sz w:val="24"/>
        </w:rPr>
        <w:t>（法定代表人不来投标的，此表不用）</w:t>
      </w:r>
    </w:p>
    <w:p>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 xml:space="preserve">                                      </w:t>
      </w:r>
    </w:p>
    <w:p>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周岁  </w:t>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_</w:t>
      </w:r>
    </w:p>
    <w:p>
      <w:pPr>
        <w:shd w:val="clear"/>
        <w:spacing w:line="480" w:lineRule="auto"/>
        <w:ind w:firstLine="420" w:firstLineChars="200"/>
        <w:rPr>
          <w:rFonts w:ascii="宋体" w:hAnsi="宋体" w:cs="宋体"/>
          <w:color w:val="auto"/>
          <w:szCs w:val="21"/>
          <w:u w:val="single"/>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（投标人名称）的法定代表人。</w:t>
      </w:r>
    </w:p>
    <w:p>
      <w:pPr>
        <w:shd w:val="clear"/>
        <w:spacing w:line="480" w:lineRule="auto"/>
        <w:ind w:firstLine="840" w:firstLineChars="400"/>
        <w:rPr>
          <w:rFonts w:ascii="宋体" w:hAnsi="宋体" w:cs="宋体"/>
          <w:color w:val="auto"/>
          <w:szCs w:val="21"/>
        </w:rPr>
      </w:pPr>
      <w:r>
        <w:rPr>
          <w:rFonts w:hint="eastAsia" w:ascii="宋体" w:hAnsi="宋体" w:cs="宋体"/>
          <w:color w:val="auto"/>
          <w:szCs w:val="21"/>
        </w:rPr>
        <w:t>特此证明。</w:t>
      </w:r>
    </w:p>
    <w:p>
      <w:pPr>
        <w:shd w:val="clear"/>
        <w:spacing w:line="360" w:lineRule="auto"/>
        <w:ind w:firstLine="420" w:firstLineChars="200"/>
        <w:rPr>
          <w:rFonts w:ascii="宋体" w:hAnsi="宋体" w:cs="宋体"/>
          <w:color w:val="auto"/>
          <w:szCs w:val="21"/>
        </w:rPr>
      </w:pPr>
    </w:p>
    <w:p>
      <w:pPr>
        <w:shd w:val="clear"/>
        <w:spacing w:line="360" w:lineRule="auto"/>
        <w:ind w:firstLine="420" w:firstLineChars="200"/>
        <w:rPr>
          <w:rFonts w:ascii="宋体" w:hAnsi="宋体" w:cs="宋体"/>
          <w:color w:val="auto"/>
          <w:szCs w:val="21"/>
        </w:rPr>
      </w:pPr>
    </w:p>
    <w:p>
      <w:pPr>
        <w:shd w:val="clear"/>
        <w:wordWrap w:val="0"/>
        <w:spacing w:line="360" w:lineRule="auto"/>
        <w:jc w:val="right"/>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w:t>
      </w:r>
      <w:r>
        <w:rPr>
          <w:rFonts w:hint="eastAsia" w:ascii="宋体" w:hAnsi="宋体" w:cs="宋体"/>
          <w:color w:val="auto"/>
          <w:szCs w:val="21"/>
        </w:rPr>
        <w:t>（盖单位公章）</w:t>
      </w:r>
    </w:p>
    <w:p>
      <w:pPr>
        <w:shd w:val="clear"/>
        <w:spacing w:line="360" w:lineRule="auto"/>
        <w:ind w:firstLine="4515" w:firstLineChars="2150"/>
        <w:rPr>
          <w:rFonts w:ascii="宋体" w:hAnsi="宋体" w:cs="宋体"/>
          <w:color w:val="auto"/>
          <w:szCs w:val="21"/>
          <w:u w:val="single"/>
        </w:rPr>
      </w:pPr>
    </w:p>
    <w:p>
      <w:pPr>
        <w:shd w:val="clear"/>
        <w:spacing w:line="360" w:lineRule="auto"/>
        <w:ind w:firstLine="3675" w:firstLineChars="175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hd w:val="clear"/>
        <w:spacing w:line="360" w:lineRule="auto"/>
        <w:rPr>
          <w:rFonts w:ascii="宋体" w:hAnsi="宋体" w:cs="宋体"/>
          <w:color w:val="auto"/>
          <w:sz w:val="24"/>
        </w:rPr>
      </w:pPr>
    </w:p>
    <w:p>
      <w:pPr>
        <w:shd w:val="clear"/>
        <w:spacing w:line="360" w:lineRule="auto"/>
        <w:rPr>
          <w:rFonts w:ascii="宋体" w:hAnsi="宋体" w:cs="宋体"/>
          <w:b/>
          <w:color w:val="auto"/>
          <w:szCs w:val="21"/>
        </w:rPr>
      </w:pPr>
    </w:p>
    <w:p>
      <w:pPr>
        <w:shd w:val="clear"/>
        <w:spacing w:line="360" w:lineRule="auto"/>
        <w:rPr>
          <w:rFonts w:ascii="宋体" w:hAnsi="宋体" w:cs="宋体"/>
          <w:b/>
          <w:color w:val="auto"/>
          <w:szCs w:val="21"/>
        </w:rPr>
      </w:pPr>
    </w:p>
    <w:p>
      <w:pPr>
        <w:shd w:val="clear"/>
        <w:spacing w:line="360" w:lineRule="auto"/>
        <w:jc w:val="left"/>
        <w:rPr>
          <w:rFonts w:cs="仿宋" w:asciiTheme="majorEastAsia" w:hAnsiTheme="majorEastAsia" w:eastAsiaTheme="majorEastAsia"/>
          <w:b/>
          <w:color w:val="auto"/>
          <w:kern w:val="0"/>
          <w:sz w:val="32"/>
          <w:szCs w:val="32"/>
          <w:lang w:val="zh-CN"/>
        </w:rPr>
      </w:pPr>
      <w:r>
        <w:rPr>
          <w:rFonts w:hint="eastAsia" w:ascii="宋体" w:hAnsi="宋体" w:cs="宋体"/>
          <w:b/>
          <w:color w:val="auto"/>
          <w:szCs w:val="21"/>
        </w:rPr>
        <w:t>附法定代表人身份证复印件（正反面）：</w:t>
      </w:r>
      <w:r>
        <w:rPr>
          <w:rFonts w:cs="仿宋" w:asciiTheme="majorEastAsia" w:hAnsiTheme="majorEastAsia" w:eastAsiaTheme="majorEastAsia"/>
          <w:b/>
          <w:color w:val="auto"/>
          <w:kern w:val="0"/>
          <w:sz w:val="32"/>
          <w:szCs w:val="32"/>
          <w:lang w:val="zh-CN"/>
        </w:rPr>
        <w:br w:type="page"/>
      </w:r>
    </w:p>
    <w:p>
      <w:pPr>
        <w:pStyle w:val="2"/>
        <w:shd w:val="clear"/>
        <w:ind w:firstLine="588"/>
        <w:rPr>
          <w:color w:val="auto"/>
          <w:lang w:val="zh-CN"/>
        </w:rPr>
      </w:pP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投标人基本情况</w:t>
      </w:r>
      <w:bookmarkEnd w:id="394"/>
      <w:bookmarkEnd w:id="395"/>
      <w:bookmarkEnd w:id="396"/>
      <w:bookmarkEnd w:id="397"/>
      <w:bookmarkEnd w:id="398"/>
      <w:bookmarkEnd w:id="399"/>
      <w:r>
        <w:rPr>
          <w:rFonts w:hint="eastAsia" w:cs="仿宋" w:asciiTheme="majorEastAsia" w:hAnsiTheme="majorEastAsia" w:eastAsiaTheme="majorEastAsia"/>
          <w:b/>
          <w:color w:val="auto"/>
          <w:kern w:val="0"/>
          <w:sz w:val="32"/>
          <w:szCs w:val="32"/>
          <w:lang w:val="zh-CN"/>
        </w:rPr>
        <w:t>表</w:t>
      </w:r>
    </w:p>
    <w:tbl>
      <w:tblPr>
        <w:tblStyle w:val="32"/>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投标人名称</w:t>
            </w:r>
          </w:p>
        </w:tc>
        <w:tc>
          <w:tcPr>
            <w:tcW w:w="7647" w:type="dxa"/>
            <w:gridSpan w:val="5"/>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注册地址</w:t>
            </w:r>
          </w:p>
        </w:tc>
        <w:tc>
          <w:tcPr>
            <w:tcW w:w="2809"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成立时间</w:t>
            </w:r>
          </w:p>
        </w:tc>
        <w:tc>
          <w:tcPr>
            <w:tcW w:w="3052"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统一信用代码</w:t>
            </w:r>
          </w:p>
        </w:tc>
        <w:tc>
          <w:tcPr>
            <w:tcW w:w="2809"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注册资金</w:t>
            </w:r>
          </w:p>
        </w:tc>
        <w:tc>
          <w:tcPr>
            <w:tcW w:w="3052"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投标联系人姓名</w:t>
            </w:r>
          </w:p>
        </w:tc>
        <w:tc>
          <w:tcPr>
            <w:tcW w:w="193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手机</w:t>
            </w:r>
          </w:p>
        </w:tc>
        <w:tc>
          <w:tcPr>
            <w:tcW w:w="1852"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法定代表人姓名</w:t>
            </w:r>
          </w:p>
        </w:tc>
        <w:tc>
          <w:tcPr>
            <w:tcW w:w="193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手机</w:t>
            </w:r>
          </w:p>
        </w:tc>
        <w:tc>
          <w:tcPr>
            <w:tcW w:w="1852"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项目负责人姓名</w:t>
            </w:r>
          </w:p>
        </w:tc>
        <w:tc>
          <w:tcPr>
            <w:tcW w:w="193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技术职称</w:t>
            </w:r>
          </w:p>
        </w:tc>
        <w:tc>
          <w:tcPr>
            <w:tcW w:w="1852"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员工总人数：</w:t>
            </w:r>
          </w:p>
        </w:tc>
        <w:tc>
          <w:tcPr>
            <w:tcW w:w="1936" w:type="dxa"/>
            <w:vMerge w:val="restart"/>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restart"/>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w:t>
            </w: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高级职称</w:t>
            </w:r>
          </w:p>
        </w:tc>
        <w:tc>
          <w:tcPr>
            <w:tcW w:w="3052"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936"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中级职称</w:t>
            </w:r>
          </w:p>
        </w:tc>
        <w:tc>
          <w:tcPr>
            <w:tcW w:w="3052"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936"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continue"/>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各类注册人员</w:t>
            </w:r>
          </w:p>
        </w:tc>
        <w:tc>
          <w:tcPr>
            <w:tcW w:w="3052" w:type="dxa"/>
            <w:gridSpan w:val="2"/>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基本账户开户银行</w:t>
            </w:r>
          </w:p>
        </w:tc>
        <w:tc>
          <w:tcPr>
            <w:tcW w:w="7647" w:type="dxa"/>
            <w:gridSpan w:val="5"/>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基本账户账号</w:t>
            </w:r>
          </w:p>
        </w:tc>
        <w:tc>
          <w:tcPr>
            <w:tcW w:w="7647" w:type="dxa"/>
            <w:gridSpan w:val="5"/>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经营范围</w:t>
            </w:r>
          </w:p>
        </w:tc>
        <w:tc>
          <w:tcPr>
            <w:tcW w:w="7647" w:type="dxa"/>
            <w:gridSpan w:val="5"/>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备注</w:t>
            </w:r>
          </w:p>
        </w:tc>
        <w:tc>
          <w:tcPr>
            <w:tcW w:w="7647" w:type="dxa"/>
            <w:gridSpan w:val="5"/>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bl>
    <w:p>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lang w:val="zh-CN"/>
        </w:rPr>
      </w:pPr>
      <w:r>
        <w:rPr>
          <w:rFonts w:hint="eastAsia" w:cs="仿宋" w:asciiTheme="majorEastAsia" w:hAnsiTheme="majorEastAsia" w:eastAsiaTheme="majorEastAsia"/>
          <w:b/>
          <w:bCs/>
          <w:color w:val="auto"/>
          <w:kern w:val="0"/>
          <w:sz w:val="24"/>
          <w:lang w:val="zh-CN"/>
        </w:rPr>
        <w:t>兹证明上述声明是真实、正确的，并提供了全部能提供的资料和数据，我们同意遵照贵方要求出示有关证明文件。</w:t>
      </w:r>
    </w:p>
    <w:p>
      <w:pPr>
        <w:shd w:val="clear"/>
        <w:adjustRightInd w:val="0"/>
        <w:snapToGrid w:val="0"/>
        <w:spacing w:line="360" w:lineRule="auto"/>
        <w:rPr>
          <w:rFonts w:cs="仿宋" w:asciiTheme="majorEastAsia" w:hAnsiTheme="majorEastAsia" w:eastAsiaTheme="majorEastAsia"/>
          <w:color w:val="auto"/>
          <w:kern w:val="0"/>
          <w:sz w:val="24"/>
          <w:lang w:val="zh-CN"/>
        </w:rPr>
      </w:pPr>
    </w:p>
    <w:p>
      <w:pPr>
        <w:pStyle w:val="2"/>
        <w:shd w:val="clear"/>
        <w:spacing w:line="360" w:lineRule="auto"/>
        <w:ind w:firstLine="560"/>
        <w:rPr>
          <w:rFonts w:cs="仿宋" w:asciiTheme="majorEastAsia" w:hAnsiTheme="majorEastAsia" w:eastAsiaTheme="majorEastAsia"/>
          <w:color w:val="auto"/>
          <w:lang w:val="zh-CN"/>
        </w:rPr>
      </w:pPr>
    </w:p>
    <w:p>
      <w:pPr>
        <w:shd w:val="clear"/>
        <w:adjustRightInd w:val="0"/>
        <w:snapToGrid w:val="0"/>
        <w:spacing w:line="360" w:lineRule="auto"/>
        <w:ind w:firstLine="4080" w:firstLineChars="17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shd w:val="clear"/>
        <w:adjustRightInd w:val="0"/>
        <w:snapToGrid w:val="0"/>
        <w:spacing w:line="360" w:lineRule="auto"/>
        <w:ind w:firstLine="4080" w:firstLineChars="17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shd w:val="clear"/>
        <w:adjustRightInd w:val="0"/>
        <w:snapToGrid w:val="0"/>
        <w:spacing w:line="360" w:lineRule="auto"/>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距采购人最近或者能为本项目提供最优服务的网点情况表</w:t>
      </w:r>
    </w:p>
    <w:p>
      <w:pPr>
        <w:shd w:val="clear"/>
        <w:spacing w:line="360" w:lineRule="auto"/>
        <w:rPr>
          <w:rFonts w:cs="仿宋" w:asciiTheme="majorEastAsia" w:hAnsiTheme="majorEastAsia" w:eastAsiaTheme="majorEastAsia"/>
          <w:color w:val="auto"/>
        </w:rPr>
      </w:pP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pPr>
              <w:shd w:val="clear"/>
              <w:adjustRightInd w:val="0"/>
              <w:snapToGrid w:val="0"/>
              <w:spacing w:line="360" w:lineRule="auto"/>
              <w:rPr>
                <w:rFonts w:cs="仿宋" w:asciiTheme="majorEastAsia" w:hAnsiTheme="majorEastAsia" w:eastAsiaTheme="majorEastAsia"/>
                <w:color w:val="auto"/>
                <w:kern w:val="0"/>
                <w:sz w:val="24"/>
                <w:lang w:val="zh-CN"/>
              </w:rPr>
            </w:pPr>
          </w:p>
        </w:tc>
      </w:tr>
    </w:tbl>
    <w:p>
      <w:pPr>
        <w:shd w:val="clear"/>
        <w:spacing w:line="360" w:lineRule="auto"/>
        <w:rPr>
          <w:rFonts w:cs="仿宋" w:asciiTheme="majorEastAsia" w:hAnsiTheme="majorEastAsia" w:eastAsiaTheme="majorEastAsia"/>
          <w:color w:val="auto"/>
        </w:rPr>
      </w:pPr>
    </w:p>
    <w:p>
      <w:pPr>
        <w:shd w:val="clear"/>
        <w:spacing w:line="360" w:lineRule="auto"/>
        <w:rPr>
          <w:rFonts w:cs="仿宋" w:asciiTheme="majorEastAsia" w:hAnsiTheme="majorEastAsia" w:eastAsiaTheme="majorEastAsia"/>
          <w:color w:val="auto"/>
        </w:rPr>
      </w:pPr>
    </w:p>
    <w:p>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rPr>
        <w:t xml:space="preserve">       </w:t>
      </w:r>
    </w:p>
    <w:p>
      <w:pPr>
        <w:shd w:val="clear"/>
        <w:adjustRightInd w:val="0"/>
        <w:snapToGrid w:val="0"/>
        <w:spacing w:line="360" w:lineRule="auto"/>
        <w:ind w:left="3990" w:leftChars="19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shd w:val="clear"/>
        <w:adjustRightInd w:val="0"/>
        <w:snapToGrid w:val="0"/>
        <w:spacing w:line="360" w:lineRule="auto"/>
        <w:ind w:left="3990" w:leftChars="19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shd w:val="clear"/>
        <w:adjustRightInd w:val="0"/>
        <w:snapToGrid w:val="0"/>
        <w:spacing w:line="360" w:lineRule="auto"/>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评标标准相应的商务技术资料</w:t>
      </w:r>
    </w:p>
    <w:p>
      <w:pPr>
        <w:shd w:val="clear"/>
        <w:snapToGrid w:val="0"/>
        <w:spacing w:line="360" w:lineRule="auto"/>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（按招标文件第四部分评标办法前附表中“投标文件中评标标准相应的商务技术资料目录”提供资料）</w:t>
      </w:r>
    </w:p>
    <w:p>
      <w:pPr>
        <w:pStyle w:val="2"/>
        <w:shd w:val="clear"/>
        <w:ind w:firstLine="560"/>
        <w:rPr>
          <w:rFonts w:asciiTheme="majorEastAsia" w:hAnsiTheme="majorEastAsia" w:eastAsiaTheme="majorEastAsia"/>
          <w:color w:val="auto"/>
          <w:lang w:val="zh-CN"/>
        </w:rPr>
      </w:pP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商务响应表</w:t>
      </w:r>
    </w:p>
    <w:p>
      <w:pPr>
        <w:pStyle w:val="2"/>
        <w:shd w:val="clear"/>
        <w:ind w:firstLine="0" w:firstLineChars="0"/>
        <w:rPr>
          <w:color w:val="auto"/>
          <w:lang w:val="zh-CN"/>
        </w:rPr>
      </w:pPr>
      <w:r>
        <w:rPr>
          <w:rFonts w:hint="eastAsia"/>
          <w:color w:val="auto"/>
          <w:lang w:val="zh-CN"/>
        </w:rPr>
        <w:t>项目名称：</w:t>
      </w:r>
    </w:p>
    <w:tbl>
      <w:tblPr>
        <w:tblStyle w:val="32"/>
        <w:tblW w:w="5000" w:type="pct"/>
        <w:tblInd w:w="0" w:type="dxa"/>
        <w:tblLayout w:type="autofit"/>
        <w:tblCellMar>
          <w:top w:w="0" w:type="dxa"/>
          <w:left w:w="108" w:type="dxa"/>
          <w:bottom w:w="0" w:type="dxa"/>
          <w:right w:w="108" w:type="dxa"/>
        </w:tblCellMar>
      </w:tblPr>
      <w:tblGrid>
        <w:gridCol w:w="739"/>
        <w:gridCol w:w="5943"/>
        <w:gridCol w:w="1233"/>
        <w:gridCol w:w="1371"/>
      </w:tblGrid>
      <w:tr>
        <w:tblPrEx>
          <w:tblCellMar>
            <w:top w:w="0" w:type="dxa"/>
            <w:left w:w="108" w:type="dxa"/>
            <w:bottom w:w="0" w:type="dxa"/>
            <w:right w:w="108" w:type="dxa"/>
          </w:tblCellMar>
        </w:tblPrEx>
        <w:trPr>
          <w:trHeight w:val="281" w:hRule="atLeast"/>
        </w:trPr>
        <w:tc>
          <w:tcPr>
            <w:tcW w:w="398" w:type="pct"/>
            <w:tcBorders>
              <w:top w:val="single" w:color="000000" w:sz="4" w:space="0"/>
              <w:left w:val="single" w:color="000000" w:sz="4" w:space="0"/>
              <w:bottom w:val="single" w:color="000000" w:sz="4" w:space="0"/>
              <w:right w:val="single" w:color="000000" w:sz="4" w:space="0"/>
            </w:tcBorders>
            <w:vAlign w:val="center"/>
          </w:tcPr>
          <w:p>
            <w:pPr>
              <w:shd w:val="clear"/>
              <w:tabs>
                <w:tab w:val="left" w:pos="0"/>
              </w:tabs>
              <w:adjustRightInd w:val="0"/>
              <w:snapToGrid w:val="0"/>
              <w:spacing w:line="360" w:lineRule="auto"/>
              <w:jc w:val="center"/>
              <w:rPr>
                <w:rFonts w:cs="仿宋" w:asciiTheme="majorEastAsia" w:hAnsiTheme="majorEastAsia" w:eastAsiaTheme="majorEastAsia"/>
                <w:b/>
                <w:bCs/>
                <w:color w:val="auto"/>
                <w:kern w:val="0"/>
                <w:sz w:val="24"/>
              </w:rPr>
            </w:pPr>
            <w:r>
              <w:rPr>
                <w:rFonts w:hint="eastAsia" w:cs="仿宋" w:asciiTheme="majorEastAsia" w:hAnsiTheme="majorEastAsia" w:eastAsiaTheme="majorEastAsia"/>
                <w:b/>
                <w:bCs/>
                <w:color w:val="auto"/>
                <w:kern w:val="0"/>
                <w:sz w:val="24"/>
              </w:rPr>
              <w:t>项目</w:t>
            </w:r>
          </w:p>
        </w:tc>
        <w:tc>
          <w:tcPr>
            <w:tcW w:w="3200" w:type="pct"/>
            <w:tcBorders>
              <w:top w:val="single" w:color="000000" w:sz="4" w:space="0"/>
              <w:left w:val="single" w:color="000000" w:sz="4" w:space="0"/>
              <w:bottom w:val="single" w:color="000000" w:sz="4" w:space="0"/>
              <w:right w:val="single" w:color="000000" w:sz="4" w:space="0"/>
            </w:tcBorders>
            <w:vAlign w:val="center"/>
          </w:tcPr>
          <w:p>
            <w:pPr>
              <w:shd w:val="clear"/>
              <w:tabs>
                <w:tab w:val="left" w:pos="0"/>
              </w:tabs>
              <w:adjustRightInd w:val="0"/>
              <w:snapToGrid w:val="0"/>
              <w:spacing w:line="360" w:lineRule="auto"/>
              <w:jc w:val="center"/>
              <w:rPr>
                <w:rFonts w:cs="仿宋" w:asciiTheme="majorEastAsia" w:hAnsiTheme="majorEastAsia" w:eastAsiaTheme="majorEastAsia"/>
                <w:b/>
                <w:bCs/>
                <w:color w:val="auto"/>
                <w:kern w:val="0"/>
                <w:sz w:val="24"/>
              </w:rPr>
            </w:pPr>
            <w:r>
              <w:rPr>
                <w:rFonts w:hint="eastAsia" w:cs="仿宋" w:asciiTheme="majorEastAsia" w:hAnsiTheme="majorEastAsia" w:eastAsiaTheme="majorEastAsia"/>
                <w:b/>
                <w:bCs/>
                <w:color w:val="auto"/>
                <w:kern w:val="0"/>
                <w:sz w:val="24"/>
              </w:rPr>
              <w:t>要 求</w:t>
            </w:r>
          </w:p>
        </w:tc>
        <w:tc>
          <w:tcPr>
            <w:tcW w:w="664" w:type="pct"/>
            <w:tcBorders>
              <w:top w:val="single" w:color="000000" w:sz="4" w:space="0"/>
              <w:left w:val="single" w:color="000000" w:sz="4" w:space="0"/>
              <w:bottom w:val="single" w:color="000000" w:sz="4" w:space="0"/>
              <w:right w:val="single" w:color="000000" w:sz="4" w:space="0"/>
            </w:tcBorders>
            <w:vAlign w:val="center"/>
          </w:tcPr>
          <w:p>
            <w:pPr>
              <w:pStyle w:val="2"/>
              <w:shd w:val="clear"/>
              <w:ind w:firstLine="0" w:firstLineChars="0"/>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偏离情况</w:t>
            </w:r>
          </w:p>
        </w:tc>
        <w:tc>
          <w:tcPr>
            <w:tcW w:w="738" w:type="pct"/>
            <w:tcBorders>
              <w:top w:val="single" w:color="000000" w:sz="4" w:space="0"/>
              <w:left w:val="single" w:color="000000" w:sz="4" w:space="0"/>
              <w:bottom w:val="single" w:color="000000" w:sz="4" w:space="0"/>
              <w:right w:val="single" w:color="000000" w:sz="4" w:space="0"/>
            </w:tcBorders>
            <w:vAlign w:val="center"/>
          </w:tcPr>
          <w:p>
            <w:pPr>
              <w:pStyle w:val="2"/>
              <w:shd w:val="clear"/>
              <w:ind w:firstLine="0" w:firstLineChars="0"/>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投标人承诺或说明</w:t>
            </w:r>
          </w:p>
        </w:tc>
      </w:tr>
      <w:tr>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pPr>
              <w:shd w:val="clear"/>
              <w:tabs>
                <w:tab w:val="left" w:pos="0"/>
              </w:tabs>
              <w:adjustRightInd w:val="0"/>
              <w:snapToGrid w:val="0"/>
              <w:spacing w:line="360" w:lineRule="auto"/>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pPr>
              <w:pStyle w:val="2"/>
              <w:shd w:val="clear"/>
              <w:ind w:firstLine="0" w:firstLineChars="0"/>
              <w:rPr>
                <w:rFonts w:cs="仿宋" w:asciiTheme="majorEastAsia" w:hAnsiTheme="majorEastAsia" w:eastAsiaTheme="majorEastAsia"/>
                <w:color w:val="auto"/>
                <w:kern w:val="0"/>
                <w:sz w:val="24"/>
              </w:rPr>
            </w:pPr>
          </w:p>
        </w:tc>
        <w:tc>
          <w:tcPr>
            <w:tcW w:w="664" w:type="pct"/>
            <w:tcBorders>
              <w:top w:val="single" w:color="000000" w:sz="4" w:space="0"/>
              <w:left w:val="single" w:color="000000" w:sz="4" w:space="0"/>
              <w:bottom w:val="single" w:color="000000" w:sz="4" w:space="0"/>
              <w:right w:val="single" w:color="000000" w:sz="4" w:space="0"/>
            </w:tcBorders>
          </w:tcPr>
          <w:p>
            <w:pPr>
              <w:pStyle w:val="2"/>
              <w:shd w:val="clear"/>
              <w:ind w:firstLine="0" w:firstLineChars="0"/>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pPr>
              <w:pStyle w:val="2"/>
              <w:shd w:val="clear"/>
              <w:ind w:firstLine="0" w:firstLineChars="0"/>
              <w:rPr>
                <w:rFonts w:cs="仿宋" w:asciiTheme="majorEastAsia" w:hAnsiTheme="majorEastAsia" w:eastAsiaTheme="majorEastAsia"/>
                <w:color w:val="auto"/>
                <w:kern w:val="0"/>
                <w:sz w:val="24"/>
              </w:rPr>
            </w:pPr>
          </w:p>
        </w:tc>
      </w:tr>
      <w:tr>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pPr>
              <w:shd w:val="clear"/>
              <w:tabs>
                <w:tab w:val="left" w:pos="0"/>
              </w:tabs>
              <w:adjustRightInd w:val="0"/>
              <w:snapToGrid w:val="0"/>
              <w:spacing w:line="360" w:lineRule="auto"/>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pPr>
              <w:pStyle w:val="2"/>
              <w:shd w:val="clear"/>
              <w:ind w:firstLine="0" w:firstLineChars="0"/>
              <w:rPr>
                <w:color w:val="auto"/>
              </w:rPr>
            </w:pPr>
          </w:p>
        </w:tc>
        <w:tc>
          <w:tcPr>
            <w:tcW w:w="664" w:type="pct"/>
            <w:tcBorders>
              <w:top w:val="single" w:color="000000" w:sz="4" w:space="0"/>
              <w:left w:val="single" w:color="000000" w:sz="4" w:space="0"/>
              <w:bottom w:val="single" w:color="000000" w:sz="4" w:space="0"/>
              <w:right w:val="single" w:color="000000" w:sz="4" w:space="0"/>
            </w:tcBorders>
          </w:tcPr>
          <w:p>
            <w:pPr>
              <w:pStyle w:val="2"/>
              <w:shd w:val="clear"/>
              <w:ind w:firstLine="0" w:firstLineChars="0"/>
              <w:jc w:val="left"/>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pPr>
              <w:pStyle w:val="2"/>
              <w:shd w:val="clear"/>
              <w:ind w:firstLine="0" w:firstLineChars="0"/>
              <w:jc w:val="left"/>
              <w:rPr>
                <w:rFonts w:cs="仿宋" w:asciiTheme="majorEastAsia" w:hAnsiTheme="majorEastAsia" w:eastAsiaTheme="majorEastAsia"/>
                <w:color w:val="auto"/>
                <w:kern w:val="0"/>
                <w:sz w:val="24"/>
              </w:rPr>
            </w:pPr>
          </w:p>
        </w:tc>
      </w:tr>
      <w:tr>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pPr>
              <w:shd w:val="clear"/>
              <w:tabs>
                <w:tab w:val="left" w:pos="0"/>
              </w:tabs>
              <w:adjustRightInd w:val="0"/>
              <w:snapToGrid w:val="0"/>
              <w:spacing w:line="360" w:lineRule="auto"/>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pPr>
              <w:widowControl/>
              <w:shd w:val="clear"/>
              <w:spacing w:line="0" w:lineRule="atLeast"/>
              <w:ind w:left="-108" w:right="-120"/>
              <w:jc w:val="left"/>
              <w:rPr>
                <w:rFonts w:ascii="宋体" w:hAnsi="宋体" w:cs="宋体"/>
                <w:color w:val="auto"/>
                <w:sz w:val="24"/>
              </w:rPr>
            </w:pPr>
          </w:p>
        </w:tc>
        <w:tc>
          <w:tcPr>
            <w:tcW w:w="664" w:type="pct"/>
            <w:tcBorders>
              <w:top w:val="single" w:color="000000" w:sz="4" w:space="0"/>
              <w:left w:val="single" w:color="000000" w:sz="4" w:space="0"/>
              <w:bottom w:val="single" w:color="000000" w:sz="4" w:space="0"/>
              <w:right w:val="single" w:color="000000" w:sz="4" w:space="0"/>
            </w:tcBorders>
          </w:tcPr>
          <w:p>
            <w:pPr>
              <w:widowControl/>
              <w:shd w:val="clear"/>
              <w:spacing w:line="0" w:lineRule="atLeast"/>
              <w:ind w:left="-108" w:right="-120"/>
              <w:jc w:val="left"/>
              <w:rPr>
                <w:rFonts w:ascii="宋体" w:hAnsi="宋体" w:cs="宋体"/>
                <w:color w:val="auto"/>
                <w:sz w:val="24"/>
              </w:rPr>
            </w:pPr>
          </w:p>
        </w:tc>
        <w:tc>
          <w:tcPr>
            <w:tcW w:w="738" w:type="pct"/>
            <w:tcBorders>
              <w:top w:val="single" w:color="000000" w:sz="4" w:space="0"/>
              <w:left w:val="single" w:color="000000" w:sz="4" w:space="0"/>
              <w:bottom w:val="single" w:color="000000" w:sz="4" w:space="0"/>
              <w:right w:val="single" w:color="000000" w:sz="4" w:space="0"/>
            </w:tcBorders>
          </w:tcPr>
          <w:p>
            <w:pPr>
              <w:widowControl/>
              <w:shd w:val="clear"/>
              <w:spacing w:line="0" w:lineRule="atLeast"/>
              <w:ind w:left="-108" w:right="-120"/>
              <w:jc w:val="left"/>
              <w:rPr>
                <w:rFonts w:ascii="宋体" w:hAnsi="宋体" w:cs="宋体"/>
                <w:color w:val="auto"/>
                <w:sz w:val="24"/>
              </w:rPr>
            </w:pPr>
          </w:p>
        </w:tc>
      </w:tr>
      <w:tr>
        <w:tblPrEx>
          <w:tblCellMar>
            <w:top w:w="0" w:type="dxa"/>
            <w:left w:w="108" w:type="dxa"/>
            <w:bottom w:w="0" w:type="dxa"/>
            <w:right w:w="108" w:type="dxa"/>
          </w:tblCellMar>
        </w:tblPrEx>
        <w:trPr>
          <w:trHeight w:val="342" w:hRule="atLeast"/>
        </w:trPr>
        <w:tc>
          <w:tcPr>
            <w:tcW w:w="398" w:type="pct"/>
            <w:tcBorders>
              <w:top w:val="single" w:color="000000" w:sz="4" w:space="0"/>
              <w:left w:val="single" w:color="000000" w:sz="4" w:space="0"/>
              <w:bottom w:val="single" w:color="000000" w:sz="4" w:space="0"/>
              <w:right w:val="single" w:color="000000" w:sz="4" w:space="0"/>
            </w:tcBorders>
            <w:vAlign w:val="center"/>
          </w:tcPr>
          <w:p>
            <w:pPr>
              <w:pStyle w:val="2"/>
              <w:shd w:val="clear"/>
              <w:ind w:firstLine="0" w:firstLineChars="0"/>
              <w:jc w:val="left"/>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pPr>
              <w:pStyle w:val="2"/>
              <w:shd w:val="clear"/>
              <w:ind w:firstLine="0" w:firstLineChars="0"/>
              <w:jc w:val="left"/>
              <w:rPr>
                <w:rFonts w:cs="仿宋" w:asciiTheme="majorEastAsia" w:hAnsiTheme="majorEastAsia" w:eastAsiaTheme="majorEastAsia"/>
                <w:color w:val="auto"/>
                <w:kern w:val="0"/>
                <w:sz w:val="24"/>
              </w:rPr>
            </w:pPr>
          </w:p>
        </w:tc>
        <w:tc>
          <w:tcPr>
            <w:tcW w:w="664" w:type="pct"/>
            <w:tcBorders>
              <w:top w:val="single" w:color="000000" w:sz="4" w:space="0"/>
              <w:left w:val="single" w:color="000000" w:sz="4" w:space="0"/>
              <w:bottom w:val="single" w:color="000000" w:sz="4" w:space="0"/>
              <w:right w:val="single" w:color="000000" w:sz="4" w:space="0"/>
            </w:tcBorders>
          </w:tcPr>
          <w:p>
            <w:pPr>
              <w:pStyle w:val="2"/>
              <w:shd w:val="clear"/>
              <w:ind w:firstLine="0" w:firstLineChars="0"/>
              <w:jc w:val="left"/>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pPr>
              <w:pStyle w:val="2"/>
              <w:shd w:val="clear"/>
              <w:ind w:firstLine="0" w:firstLineChars="0"/>
              <w:jc w:val="left"/>
              <w:rPr>
                <w:rFonts w:cs="仿宋" w:asciiTheme="majorEastAsia" w:hAnsiTheme="majorEastAsia" w:eastAsiaTheme="majorEastAsia"/>
                <w:color w:val="auto"/>
                <w:kern w:val="0"/>
                <w:sz w:val="24"/>
              </w:rPr>
            </w:pPr>
          </w:p>
        </w:tc>
      </w:tr>
      <w:tr>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pPr>
              <w:pStyle w:val="2"/>
              <w:shd w:val="clear"/>
              <w:ind w:firstLine="0" w:firstLineChars="0"/>
              <w:jc w:val="left"/>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pPr>
              <w:pStyle w:val="2"/>
              <w:shd w:val="clear"/>
              <w:ind w:firstLine="0" w:firstLineChars="0"/>
              <w:jc w:val="left"/>
              <w:rPr>
                <w:rFonts w:cs="仿宋" w:asciiTheme="majorEastAsia" w:hAnsiTheme="majorEastAsia" w:eastAsiaTheme="majorEastAsia"/>
                <w:color w:val="auto"/>
                <w:kern w:val="0"/>
                <w:sz w:val="24"/>
              </w:rPr>
            </w:pPr>
          </w:p>
        </w:tc>
        <w:tc>
          <w:tcPr>
            <w:tcW w:w="664" w:type="pct"/>
            <w:tcBorders>
              <w:top w:val="single" w:color="000000" w:sz="4" w:space="0"/>
              <w:left w:val="single" w:color="000000" w:sz="4" w:space="0"/>
              <w:bottom w:val="single" w:color="000000" w:sz="4" w:space="0"/>
              <w:right w:val="single" w:color="000000" w:sz="4" w:space="0"/>
            </w:tcBorders>
          </w:tcPr>
          <w:p>
            <w:pPr>
              <w:pStyle w:val="2"/>
              <w:shd w:val="clear"/>
              <w:ind w:firstLine="0" w:firstLineChars="0"/>
              <w:jc w:val="left"/>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pPr>
              <w:pStyle w:val="2"/>
              <w:shd w:val="clear"/>
              <w:ind w:firstLine="0" w:firstLineChars="0"/>
              <w:jc w:val="left"/>
              <w:rPr>
                <w:rFonts w:cs="仿宋" w:asciiTheme="majorEastAsia" w:hAnsiTheme="majorEastAsia" w:eastAsiaTheme="majorEastAsia"/>
                <w:color w:val="auto"/>
                <w:kern w:val="0"/>
                <w:sz w:val="24"/>
              </w:rPr>
            </w:pPr>
          </w:p>
        </w:tc>
      </w:tr>
      <w:tr>
        <w:tblPrEx>
          <w:tblCellMar>
            <w:top w:w="0" w:type="dxa"/>
            <w:left w:w="108" w:type="dxa"/>
            <w:bottom w:w="0" w:type="dxa"/>
            <w:right w:w="108" w:type="dxa"/>
          </w:tblCellMar>
        </w:tblPrEx>
        <w:trPr>
          <w:trHeight w:val="549" w:hRule="atLeast"/>
        </w:trPr>
        <w:tc>
          <w:tcPr>
            <w:tcW w:w="398" w:type="pct"/>
            <w:tcBorders>
              <w:top w:val="single" w:color="000000" w:sz="4" w:space="0"/>
              <w:left w:val="single" w:color="000000" w:sz="4" w:space="0"/>
              <w:bottom w:val="single" w:color="000000" w:sz="4" w:space="0"/>
              <w:right w:val="single" w:color="000000" w:sz="4" w:space="0"/>
            </w:tcBorders>
            <w:vAlign w:val="center"/>
          </w:tcPr>
          <w:p>
            <w:pPr>
              <w:pStyle w:val="2"/>
              <w:shd w:val="clear"/>
              <w:ind w:firstLine="0" w:firstLineChars="0"/>
              <w:jc w:val="left"/>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pPr>
              <w:pStyle w:val="2"/>
              <w:shd w:val="clear"/>
              <w:ind w:firstLine="0" w:firstLineChars="0"/>
              <w:jc w:val="left"/>
              <w:rPr>
                <w:rFonts w:cs="仿宋" w:asciiTheme="majorEastAsia" w:hAnsiTheme="majorEastAsia" w:eastAsiaTheme="majorEastAsia"/>
                <w:color w:val="auto"/>
                <w:kern w:val="0"/>
                <w:sz w:val="24"/>
              </w:rPr>
            </w:pPr>
          </w:p>
        </w:tc>
        <w:tc>
          <w:tcPr>
            <w:tcW w:w="664" w:type="pct"/>
            <w:tcBorders>
              <w:top w:val="single" w:color="000000" w:sz="4" w:space="0"/>
              <w:left w:val="single" w:color="000000" w:sz="4" w:space="0"/>
              <w:bottom w:val="single" w:color="000000" w:sz="4" w:space="0"/>
              <w:right w:val="single" w:color="000000" w:sz="4" w:space="0"/>
            </w:tcBorders>
          </w:tcPr>
          <w:p>
            <w:pPr>
              <w:pStyle w:val="2"/>
              <w:shd w:val="clear"/>
              <w:ind w:firstLine="0" w:firstLineChars="0"/>
              <w:jc w:val="left"/>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pPr>
              <w:pStyle w:val="2"/>
              <w:shd w:val="clear"/>
              <w:ind w:firstLine="0" w:firstLineChars="0"/>
              <w:jc w:val="left"/>
              <w:rPr>
                <w:rFonts w:cs="仿宋" w:asciiTheme="majorEastAsia" w:hAnsiTheme="majorEastAsia" w:eastAsiaTheme="majorEastAsia"/>
                <w:color w:val="auto"/>
                <w:kern w:val="0"/>
                <w:sz w:val="24"/>
              </w:rPr>
            </w:pPr>
          </w:p>
        </w:tc>
      </w:tr>
      <w:tr>
        <w:tblPrEx>
          <w:tblCellMar>
            <w:top w:w="0" w:type="dxa"/>
            <w:left w:w="108" w:type="dxa"/>
            <w:bottom w:w="0" w:type="dxa"/>
            <w:right w:w="108" w:type="dxa"/>
          </w:tblCellMar>
        </w:tblPrEx>
        <w:trPr>
          <w:trHeight w:val="666" w:hRule="atLeast"/>
        </w:trPr>
        <w:tc>
          <w:tcPr>
            <w:tcW w:w="398" w:type="pct"/>
            <w:tcBorders>
              <w:top w:val="single" w:color="000000" w:sz="4" w:space="0"/>
              <w:left w:val="single" w:color="000000" w:sz="4" w:space="0"/>
              <w:bottom w:val="single" w:color="000000" w:sz="4" w:space="0"/>
              <w:right w:val="single" w:color="000000" w:sz="4" w:space="0"/>
            </w:tcBorders>
            <w:vAlign w:val="center"/>
          </w:tcPr>
          <w:p>
            <w:pPr>
              <w:pStyle w:val="2"/>
              <w:shd w:val="clear"/>
              <w:ind w:firstLine="0" w:firstLineChars="0"/>
              <w:jc w:val="left"/>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pPr>
              <w:pStyle w:val="2"/>
              <w:shd w:val="clear"/>
              <w:ind w:firstLine="0" w:firstLineChars="0"/>
              <w:jc w:val="left"/>
              <w:rPr>
                <w:rFonts w:cs="仿宋" w:asciiTheme="majorEastAsia" w:hAnsiTheme="majorEastAsia" w:eastAsiaTheme="majorEastAsia"/>
                <w:color w:val="auto"/>
                <w:kern w:val="0"/>
                <w:sz w:val="24"/>
              </w:rPr>
            </w:pPr>
          </w:p>
        </w:tc>
        <w:tc>
          <w:tcPr>
            <w:tcW w:w="664" w:type="pct"/>
            <w:tcBorders>
              <w:top w:val="single" w:color="000000" w:sz="4" w:space="0"/>
              <w:left w:val="single" w:color="000000" w:sz="4" w:space="0"/>
              <w:bottom w:val="single" w:color="000000" w:sz="4" w:space="0"/>
              <w:right w:val="single" w:color="000000" w:sz="4" w:space="0"/>
            </w:tcBorders>
          </w:tcPr>
          <w:p>
            <w:pPr>
              <w:pStyle w:val="2"/>
              <w:shd w:val="clear"/>
              <w:ind w:firstLine="0" w:firstLineChars="0"/>
              <w:jc w:val="left"/>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pPr>
              <w:pStyle w:val="2"/>
              <w:shd w:val="clear"/>
              <w:ind w:firstLine="0" w:firstLineChars="0"/>
              <w:jc w:val="left"/>
              <w:rPr>
                <w:rFonts w:cs="仿宋" w:asciiTheme="majorEastAsia" w:hAnsiTheme="majorEastAsia" w:eastAsiaTheme="majorEastAsia"/>
                <w:color w:val="auto"/>
                <w:kern w:val="0"/>
                <w:sz w:val="24"/>
              </w:rPr>
            </w:pPr>
          </w:p>
        </w:tc>
      </w:tr>
      <w:tr>
        <w:tblPrEx>
          <w:tblCellMar>
            <w:top w:w="0" w:type="dxa"/>
            <w:left w:w="108" w:type="dxa"/>
            <w:bottom w:w="0" w:type="dxa"/>
            <w:right w:w="108" w:type="dxa"/>
          </w:tblCellMar>
        </w:tblPrEx>
        <w:tc>
          <w:tcPr>
            <w:tcW w:w="398" w:type="pct"/>
            <w:tcBorders>
              <w:top w:val="single" w:color="000000" w:sz="4" w:space="0"/>
              <w:left w:val="single" w:color="000000" w:sz="4" w:space="0"/>
              <w:bottom w:val="single" w:color="000000" w:sz="4" w:space="0"/>
              <w:right w:val="single" w:color="000000" w:sz="4" w:space="0"/>
            </w:tcBorders>
            <w:vAlign w:val="center"/>
          </w:tcPr>
          <w:p>
            <w:pPr>
              <w:pStyle w:val="2"/>
              <w:shd w:val="clear"/>
              <w:ind w:firstLine="0" w:firstLineChars="0"/>
              <w:jc w:val="left"/>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pPr>
              <w:pStyle w:val="2"/>
              <w:shd w:val="clear"/>
              <w:ind w:firstLine="0" w:firstLineChars="0"/>
              <w:jc w:val="left"/>
              <w:rPr>
                <w:rFonts w:cs="仿宋" w:asciiTheme="majorEastAsia" w:hAnsiTheme="majorEastAsia" w:eastAsiaTheme="majorEastAsia"/>
                <w:color w:val="auto"/>
                <w:kern w:val="0"/>
                <w:sz w:val="24"/>
              </w:rPr>
            </w:pPr>
          </w:p>
        </w:tc>
        <w:tc>
          <w:tcPr>
            <w:tcW w:w="664" w:type="pct"/>
            <w:tcBorders>
              <w:top w:val="single" w:color="000000" w:sz="4" w:space="0"/>
              <w:left w:val="single" w:color="000000" w:sz="4" w:space="0"/>
              <w:bottom w:val="single" w:color="000000" w:sz="4" w:space="0"/>
              <w:right w:val="single" w:color="000000" w:sz="4" w:space="0"/>
            </w:tcBorders>
          </w:tcPr>
          <w:p>
            <w:pPr>
              <w:pStyle w:val="2"/>
              <w:shd w:val="clear"/>
              <w:ind w:firstLine="0" w:firstLineChars="0"/>
              <w:jc w:val="left"/>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pPr>
              <w:pStyle w:val="2"/>
              <w:shd w:val="clear"/>
              <w:ind w:firstLine="0" w:firstLineChars="0"/>
              <w:jc w:val="left"/>
              <w:rPr>
                <w:rFonts w:cs="仿宋" w:asciiTheme="majorEastAsia" w:hAnsiTheme="majorEastAsia" w:eastAsiaTheme="majorEastAsia"/>
                <w:color w:val="auto"/>
                <w:kern w:val="0"/>
                <w:sz w:val="24"/>
              </w:rPr>
            </w:pPr>
          </w:p>
        </w:tc>
      </w:tr>
    </w:tbl>
    <w:p>
      <w:pPr>
        <w:shd w:val="clear"/>
        <w:adjustRightInd w:val="0"/>
        <w:snapToGrid w:val="0"/>
        <w:spacing w:line="360" w:lineRule="auto"/>
        <w:jc w:val="right"/>
        <w:rPr>
          <w:rFonts w:cs="仿宋" w:asciiTheme="majorEastAsia" w:hAnsiTheme="majorEastAsia" w:eastAsiaTheme="majorEastAsia"/>
          <w:color w:val="auto"/>
          <w:kern w:val="0"/>
          <w:sz w:val="24"/>
        </w:rPr>
      </w:pPr>
    </w:p>
    <w:p>
      <w:pPr>
        <w:shd w:val="clear"/>
        <w:adjustRightInd w:val="0"/>
        <w:snapToGrid w:val="0"/>
        <w:spacing w:line="360" w:lineRule="auto"/>
        <w:jc w:val="right"/>
        <w:rPr>
          <w:rFonts w:cs="仿宋" w:asciiTheme="majorEastAsia" w:hAnsiTheme="majorEastAsia" w:eastAsiaTheme="majorEastAsia"/>
          <w:color w:val="auto"/>
          <w:kern w:val="0"/>
          <w:sz w:val="24"/>
        </w:rPr>
      </w:pPr>
    </w:p>
    <w:p>
      <w:pPr>
        <w:shd w:val="clea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shd w:val="clea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pPr>
        <w:widowControl/>
        <w:shd w:val="clear"/>
        <w:jc w:val="left"/>
        <w:rPr>
          <w:rFonts w:asciiTheme="majorEastAsia" w:hAnsiTheme="majorEastAsia" w:eastAsiaTheme="majorEastAsia"/>
          <w:color w:val="auto"/>
          <w:sz w:val="28"/>
          <w:lang w:val="zh-CN"/>
        </w:rPr>
      </w:pPr>
    </w:p>
    <w:p>
      <w:pPr>
        <w:widowControl/>
        <w:shd w:val="clear"/>
        <w:jc w:val="left"/>
        <w:rPr>
          <w:rFonts w:asciiTheme="majorEastAsia" w:hAnsiTheme="majorEastAsia" w:eastAsiaTheme="majorEastAsia"/>
          <w:color w:val="auto"/>
          <w:sz w:val="28"/>
          <w:lang w:val="zh-CN"/>
        </w:rPr>
      </w:pPr>
      <w:r>
        <w:rPr>
          <w:rFonts w:asciiTheme="majorEastAsia" w:hAnsiTheme="majorEastAsia" w:eastAsiaTheme="majorEastAsia"/>
          <w:color w:val="auto"/>
          <w:lang w:val="zh-CN"/>
        </w:rPr>
        <w:br w:type="page"/>
      </w:r>
    </w:p>
    <w:p>
      <w:pPr>
        <w:pStyle w:val="2"/>
        <w:shd w:val="clear"/>
        <w:ind w:firstLine="560"/>
        <w:rPr>
          <w:rFonts w:asciiTheme="majorEastAsia" w:hAnsiTheme="majorEastAsia" w:eastAsiaTheme="majorEastAsia"/>
          <w:color w:val="auto"/>
          <w:lang w:val="zh-CN"/>
        </w:rPr>
      </w:pP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服务要求响应表</w:t>
      </w:r>
    </w:p>
    <w:p>
      <w:pPr>
        <w:shd w:val="clear"/>
        <w:jc w:val="center"/>
        <w:rPr>
          <w:rFonts w:ascii="宋体" w:hAnsi="宋体" w:cs="宋体"/>
          <w:color w:val="auto"/>
        </w:rPr>
      </w:pPr>
    </w:p>
    <w:p>
      <w:pPr>
        <w:shd w:val="clear"/>
        <w:spacing w:line="360" w:lineRule="auto"/>
        <w:jc w:val="center"/>
        <w:rPr>
          <w:rFonts w:ascii="宋体" w:hAnsi="宋体" w:cs="宋体"/>
          <w:color w:val="auto"/>
        </w:rPr>
      </w:pPr>
      <w:r>
        <w:rPr>
          <w:rFonts w:hint="eastAsia" w:ascii="宋体" w:hAnsi="宋体" w:cs="宋体"/>
          <w:b/>
          <w:color w:val="auto"/>
        </w:rPr>
        <w:t>1.带</w:t>
      </w:r>
      <w:r>
        <w:rPr>
          <w:rFonts w:hint="eastAsia" w:cs="仿宋" w:asciiTheme="majorEastAsia" w:hAnsiTheme="majorEastAsia" w:eastAsiaTheme="majorEastAsia"/>
          <w:color w:val="auto"/>
          <w:kern w:val="0"/>
          <w:sz w:val="24"/>
        </w:rPr>
        <w:t>▲</w:t>
      </w:r>
      <w:r>
        <w:rPr>
          <w:rFonts w:hint="eastAsia" w:ascii="宋体" w:hAnsi="宋体" w:cs="宋体"/>
          <w:b/>
          <w:color w:val="auto"/>
        </w:rPr>
        <w:t>条款响应一览表</w:t>
      </w:r>
    </w:p>
    <w:p>
      <w:pPr>
        <w:pStyle w:val="2"/>
        <w:shd w:val="clear"/>
        <w:ind w:firstLine="588"/>
        <w:rPr>
          <w:color w:val="auto"/>
        </w:rPr>
      </w:pPr>
    </w:p>
    <w:p>
      <w:pPr>
        <w:shd w:val="clear"/>
        <w:ind w:firstLine="210" w:firstLineChars="100"/>
        <w:rPr>
          <w:rFonts w:ascii="宋体" w:hAnsi="宋体" w:cs="宋体"/>
          <w:color w:val="auto"/>
        </w:rPr>
      </w:pPr>
      <w:r>
        <w:rPr>
          <w:rFonts w:hint="eastAsia" w:ascii="宋体" w:hAnsi="宋体" w:cs="宋体"/>
          <w:color w:val="auto"/>
        </w:rPr>
        <w:t xml:space="preserve">  项目名称：     </w:t>
      </w:r>
    </w:p>
    <w:p>
      <w:pPr>
        <w:shd w:val="clear"/>
        <w:ind w:firstLine="210" w:firstLineChars="100"/>
        <w:rPr>
          <w:rFonts w:ascii="宋体" w:hAnsi="宋体" w:cs="宋体"/>
          <w:color w:val="auto"/>
        </w:rPr>
      </w:pPr>
      <w:r>
        <w:rPr>
          <w:rFonts w:hint="eastAsia" w:ascii="宋体" w:hAnsi="宋体" w:cs="宋体"/>
          <w:color w:val="auto"/>
        </w:rPr>
        <w:t xml:space="preserve">   </w:t>
      </w:r>
    </w:p>
    <w:tbl>
      <w:tblPr>
        <w:tblStyle w:val="3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hd w:val="clear"/>
              <w:jc w:val="center"/>
              <w:rPr>
                <w:rFonts w:ascii="宋体" w:hAnsi="宋体" w:cs="宋体"/>
                <w:color w:val="auto"/>
                <w:szCs w:val="21"/>
              </w:rPr>
            </w:pPr>
            <w:r>
              <w:rPr>
                <w:rFonts w:hint="eastAsia" w:ascii="宋体" w:hAnsi="宋体" w:cs="宋体"/>
                <w:color w:val="auto"/>
                <w:szCs w:val="21"/>
              </w:rPr>
              <w:t>序号</w:t>
            </w:r>
          </w:p>
        </w:tc>
        <w:tc>
          <w:tcPr>
            <w:tcW w:w="2787" w:type="dxa"/>
            <w:vAlign w:val="center"/>
          </w:tcPr>
          <w:p>
            <w:pPr>
              <w:shd w:val="clear"/>
              <w:ind w:firstLine="210" w:firstLineChars="100"/>
              <w:rPr>
                <w:rFonts w:ascii="宋体" w:hAnsi="宋体" w:cs="宋体"/>
                <w:color w:val="auto"/>
              </w:rPr>
            </w:pPr>
            <w:r>
              <w:rPr>
                <w:rFonts w:hint="eastAsia" w:ascii="宋体" w:hAnsi="宋体" w:cs="宋体"/>
                <w:color w:val="auto"/>
              </w:rPr>
              <w:t>采购文件条款描述</w:t>
            </w:r>
          </w:p>
        </w:tc>
        <w:tc>
          <w:tcPr>
            <w:tcW w:w="2788" w:type="dxa"/>
            <w:vAlign w:val="center"/>
          </w:tcPr>
          <w:p>
            <w:pPr>
              <w:shd w:val="clear"/>
              <w:ind w:left="-78" w:leftChars="-37" w:right="-80" w:rightChars="-38"/>
              <w:jc w:val="center"/>
              <w:rPr>
                <w:rFonts w:ascii="宋体" w:hAnsi="宋体" w:cs="宋体"/>
                <w:color w:val="auto"/>
              </w:rPr>
            </w:pPr>
            <w:r>
              <w:rPr>
                <w:rFonts w:hint="eastAsia" w:ascii="宋体" w:hAnsi="宋体" w:cs="宋体"/>
                <w:color w:val="auto"/>
              </w:rPr>
              <w:t>投标人响应描述</w:t>
            </w:r>
          </w:p>
        </w:tc>
        <w:tc>
          <w:tcPr>
            <w:tcW w:w="2788" w:type="dxa"/>
            <w:vAlign w:val="center"/>
          </w:tcPr>
          <w:p>
            <w:pPr>
              <w:shd w:val="clear"/>
              <w:ind w:left="-78" w:leftChars="-37" w:right="-80" w:rightChars="-38"/>
              <w:jc w:val="center"/>
              <w:rPr>
                <w:rFonts w:ascii="宋体" w:hAnsi="宋体" w:cs="宋体"/>
                <w:color w:val="auto"/>
              </w:rPr>
            </w:pPr>
            <w:r>
              <w:rPr>
                <w:rFonts w:hint="eastAsia" w:ascii="宋体" w:hAnsi="宋体" w:cs="宋体"/>
                <w:color w:val="auto"/>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r>
              <w:rPr>
                <w:rFonts w:hint="eastAsia" w:ascii="宋体" w:hAnsi="宋体" w:cs="宋体"/>
                <w:color w:val="auto"/>
              </w:rPr>
              <w:t>……</w:t>
            </w: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bl>
    <w:p>
      <w:pPr>
        <w:shd w:val="clear"/>
        <w:spacing w:line="360" w:lineRule="auto"/>
        <w:jc w:val="left"/>
        <w:rPr>
          <w:rFonts w:ascii="宋体" w:hAnsi="宋体" w:cs="宋体"/>
          <w:color w:val="auto"/>
        </w:rPr>
      </w:pPr>
      <w:r>
        <w:rPr>
          <w:rFonts w:hint="eastAsia" w:ascii="宋体" w:hAnsi="宋体" w:cs="宋体"/>
          <w:color w:val="auto"/>
        </w:rPr>
        <w:t>注：投标人必须对应采购文件“第三部分 采购需求”带“</w:t>
      </w:r>
      <w:r>
        <w:rPr>
          <w:rFonts w:hint="eastAsia" w:cs="仿宋" w:asciiTheme="majorEastAsia" w:hAnsiTheme="majorEastAsia" w:eastAsiaTheme="majorEastAsia"/>
          <w:color w:val="auto"/>
          <w:kern w:val="0"/>
          <w:sz w:val="24"/>
        </w:rPr>
        <w:t>▲</w:t>
      </w:r>
      <w:r>
        <w:rPr>
          <w:rFonts w:hint="eastAsia" w:ascii="宋体" w:hAnsi="宋体" w:cs="宋体"/>
          <w:color w:val="auto"/>
        </w:rPr>
        <w:t>”的条款逐条应答并按要求填写上表。条款如要求提供的相关证明资料必须一并提供，否则视为不响应。</w:t>
      </w:r>
    </w:p>
    <w:p>
      <w:pPr>
        <w:shd w:val="clear"/>
        <w:spacing w:line="360" w:lineRule="auto"/>
        <w:ind w:firstLine="211" w:firstLineChars="100"/>
        <w:rPr>
          <w:rFonts w:ascii="宋体" w:hAnsi="宋体" w:cs="宋体"/>
          <w:b/>
          <w:color w:val="auto"/>
        </w:rPr>
      </w:pPr>
    </w:p>
    <w:p>
      <w:pPr>
        <w:shd w:val="clear"/>
        <w:spacing w:line="360" w:lineRule="auto"/>
        <w:ind w:firstLine="3360" w:firstLineChars="1600"/>
        <w:rPr>
          <w:rFonts w:ascii="宋体" w:hAnsi="宋体" w:cs="宋体"/>
          <w:color w:val="auto"/>
        </w:rPr>
      </w:pPr>
      <w:r>
        <w:rPr>
          <w:rFonts w:hint="eastAsia" w:ascii="宋体" w:hAnsi="宋体" w:cs="宋体"/>
          <w:color w:val="auto"/>
        </w:rPr>
        <w:t>法定代表人或其授权委托人（签名或印章）：</w:t>
      </w:r>
    </w:p>
    <w:p>
      <w:pPr>
        <w:shd w:val="clear"/>
        <w:spacing w:line="360" w:lineRule="auto"/>
        <w:ind w:firstLine="4830" w:firstLineChars="2300"/>
        <w:rPr>
          <w:rFonts w:ascii="宋体" w:hAnsi="宋体" w:cs="宋体"/>
          <w:color w:val="auto"/>
        </w:rPr>
      </w:pPr>
      <w:r>
        <w:rPr>
          <w:rFonts w:hint="eastAsia" w:ascii="宋体" w:hAnsi="宋体" w:cs="宋体"/>
          <w:color w:val="auto"/>
        </w:rPr>
        <w:t>投标人（盖章）：</w:t>
      </w:r>
    </w:p>
    <w:p>
      <w:pPr>
        <w:shd w:val="clear"/>
        <w:spacing w:line="360" w:lineRule="auto"/>
        <w:rPr>
          <w:rFonts w:ascii="宋体" w:hAnsi="宋体" w:cs="宋体"/>
          <w:color w:val="auto"/>
          <w:sz w:val="24"/>
        </w:rPr>
      </w:pPr>
      <w:r>
        <w:rPr>
          <w:rFonts w:hint="eastAsia" w:ascii="宋体" w:hAnsi="宋体" w:cs="宋体"/>
          <w:color w:val="auto"/>
        </w:rPr>
        <w:t xml:space="preserve">                                              日期：</w:t>
      </w:r>
    </w:p>
    <w:p>
      <w:pPr>
        <w:pStyle w:val="2"/>
        <w:shd w:val="clear"/>
        <w:ind w:firstLine="588"/>
        <w:rPr>
          <w:color w:val="auto"/>
        </w:rPr>
      </w:pPr>
    </w:p>
    <w:p>
      <w:pPr>
        <w:pStyle w:val="59"/>
        <w:shd w:val="clear"/>
        <w:ind w:left="420" w:firstLine="0" w:firstLineChars="0"/>
        <w:jc w:val="center"/>
        <w:rPr>
          <w:rFonts w:ascii="宋体" w:hAnsi="宋体" w:cs="宋体"/>
          <w:color w:val="auto"/>
        </w:rPr>
      </w:pPr>
      <w:r>
        <w:rPr>
          <w:rFonts w:hint="eastAsia" w:ascii="宋体" w:hAnsi="宋体" w:cs="宋体"/>
          <w:b/>
          <w:color w:val="auto"/>
        </w:rPr>
        <w:t>2.一般性条款响应一览表</w:t>
      </w:r>
    </w:p>
    <w:p>
      <w:pPr>
        <w:shd w:val="clear"/>
        <w:ind w:firstLine="420" w:firstLineChars="200"/>
        <w:rPr>
          <w:rFonts w:ascii="宋体" w:hAnsi="宋体" w:cs="宋体"/>
          <w:color w:val="auto"/>
        </w:rPr>
      </w:pPr>
      <w:r>
        <w:rPr>
          <w:rFonts w:hint="eastAsia" w:ascii="宋体" w:hAnsi="宋体" w:cs="宋体"/>
          <w:color w:val="auto"/>
        </w:rPr>
        <w:t xml:space="preserve">项目名称：     </w:t>
      </w:r>
    </w:p>
    <w:p>
      <w:pPr>
        <w:pStyle w:val="59"/>
        <w:shd w:val="clear"/>
        <w:ind w:left="420" w:firstLine="0" w:firstLineChars="0"/>
        <w:rPr>
          <w:rFonts w:ascii="宋体" w:hAnsi="宋体" w:cs="宋体"/>
          <w:color w:val="auto"/>
        </w:rPr>
      </w:pPr>
      <w:r>
        <w:rPr>
          <w:rFonts w:hint="eastAsia" w:ascii="宋体" w:hAnsi="宋体" w:cs="宋体"/>
          <w:color w:val="auto"/>
        </w:rPr>
        <w:t xml:space="preserve">   </w:t>
      </w:r>
    </w:p>
    <w:tbl>
      <w:tblPr>
        <w:tblStyle w:val="3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hd w:val="clear"/>
              <w:jc w:val="center"/>
              <w:rPr>
                <w:rFonts w:ascii="宋体" w:hAnsi="宋体" w:cs="宋体"/>
                <w:color w:val="auto"/>
                <w:szCs w:val="21"/>
              </w:rPr>
            </w:pPr>
            <w:r>
              <w:rPr>
                <w:rFonts w:hint="eastAsia" w:ascii="宋体" w:hAnsi="宋体" w:cs="宋体"/>
                <w:color w:val="auto"/>
                <w:szCs w:val="21"/>
              </w:rPr>
              <w:t>序号</w:t>
            </w:r>
          </w:p>
        </w:tc>
        <w:tc>
          <w:tcPr>
            <w:tcW w:w="2787" w:type="dxa"/>
            <w:vAlign w:val="center"/>
          </w:tcPr>
          <w:p>
            <w:pPr>
              <w:shd w:val="clear"/>
              <w:ind w:firstLine="210" w:firstLineChars="100"/>
              <w:rPr>
                <w:rFonts w:ascii="宋体" w:hAnsi="宋体" w:cs="宋体"/>
                <w:color w:val="auto"/>
              </w:rPr>
            </w:pPr>
            <w:r>
              <w:rPr>
                <w:rFonts w:hint="eastAsia" w:ascii="宋体" w:hAnsi="宋体" w:cs="宋体"/>
                <w:color w:val="auto"/>
              </w:rPr>
              <w:t>采购文件条款描述</w:t>
            </w:r>
          </w:p>
        </w:tc>
        <w:tc>
          <w:tcPr>
            <w:tcW w:w="2788" w:type="dxa"/>
            <w:vAlign w:val="center"/>
          </w:tcPr>
          <w:p>
            <w:pPr>
              <w:shd w:val="clear"/>
              <w:ind w:left="-78" w:leftChars="-37" w:right="-80" w:rightChars="-38"/>
              <w:jc w:val="center"/>
              <w:rPr>
                <w:rFonts w:ascii="宋体" w:hAnsi="宋体" w:cs="宋体"/>
                <w:color w:val="auto"/>
              </w:rPr>
            </w:pPr>
            <w:r>
              <w:rPr>
                <w:rFonts w:hint="eastAsia" w:ascii="宋体" w:hAnsi="宋体" w:cs="宋体"/>
                <w:color w:val="auto"/>
              </w:rPr>
              <w:t>投标人响应描述</w:t>
            </w:r>
          </w:p>
        </w:tc>
        <w:tc>
          <w:tcPr>
            <w:tcW w:w="2788" w:type="dxa"/>
            <w:vAlign w:val="center"/>
          </w:tcPr>
          <w:p>
            <w:pPr>
              <w:shd w:val="clear"/>
              <w:ind w:left="-78" w:leftChars="-37" w:right="-80" w:rightChars="-38"/>
              <w:jc w:val="center"/>
              <w:rPr>
                <w:rFonts w:ascii="宋体" w:hAnsi="宋体" w:cs="宋体"/>
                <w:color w:val="auto"/>
              </w:rPr>
            </w:pPr>
            <w:r>
              <w:rPr>
                <w:rFonts w:hint="eastAsia" w:ascii="宋体" w:hAnsi="宋体" w:cs="宋体"/>
                <w:color w:val="auto"/>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hd w:val="clear"/>
              <w:rPr>
                <w:rFonts w:ascii="宋体" w:hAnsi="宋体" w:cs="宋体"/>
                <w:color w:val="auto"/>
              </w:rPr>
            </w:pPr>
            <w:r>
              <w:rPr>
                <w:rFonts w:hint="eastAsia" w:ascii="宋体" w:hAnsi="宋体" w:cs="宋体"/>
                <w:color w:val="auto"/>
              </w:rPr>
              <w:t>……</w:t>
            </w:r>
          </w:p>
        </w:tc>
        <w:tc>
          <w:tcPr>
            <w:tcW w:w="2787" w:type="dxa"/>
          </w:tcPr>
          <w:p>
            <w:pPr>
              <w:shd w:val="clear"/>
              <w:rPr>
                <w:rFonts w:ascii="宋体" w:hAnsi="宋体" w:cs="宋体"/>
                <w:color w:val="auto"/>
              </w:rPr>
            </w:pPr>
          </w:p>
        </w:tc>
        <w:tc>
          <w:tcPr>
            <w:tcW w:w="2788" w:type="dxa"/>
          </w:tcPr>
          <w:p>
            <w:pPr>
              <w:shd w:val="clear"/>
              <w:rPr>
                <w:rFonts w:ascii="宋体" w:hAnsi="宋体" w:cs="宋体"/>
                <w:color w:val="auto"/>
              </w:rPr>
            </w:pPr>
          </w:p>
        </w:tc>
        <w:tc>
          <w:tcPr>
            <w:tcW w:w="2788" w:type="dxa"/>
          </w:tcPr>
          <w:p>
            <w:pPr>
              <w:shd w:val="clear"/>
              <w:rPr>
                <w:rFonts w:ascii="宋体" w:hAnsi="宋体" w:cs="宋体"/>
                <w:color w:val="auto"/>
              </w:rPr>
            </w:pPr>
          </w:p>
        </w:tc>
      </w:tr>
    </w:tbl>
    <w:p>
      <w:pPr>
        <w:shd w:val="clear"/>
        <w:spacing w:line="360" w:lineRule="auto"/>
        <w:rPr>
          <w:rFonts w:ascii="宋体" w:hAnsi="宋体" w:cs="宋体"/>
          <w:color w:val="auto"/>
        </w:rPr>
      </w:pPr>
      <w:r>
        <w:rPr>
          <w:rFonts w:hint="eastAsia" w:ascii="宋体" w:hAnsi="宋体" w:cs="宋体"/>
          <w:color w:val="auto"/>
        </w:rPr>
        <w:t>注：投标人必须对应采购文件“第三部分 采购需求”一般条款逐条应答并按要求填写上表。条款如要求提供的相关证明资料必须一并提供，否则视为不响应。</w:t>
      </w:r>
    </w:p>
    <w:p>
      <w:pPr>
        <w:shd w:val="clear"/>
        <w:spacing w:line="360" w:lineRule="auto"/>
        <w:rPr>
          <w:rFonts w:ascii="宋体" w:hAnsi="宋体" w:cs="宋体"/>
          <w:color w:val="auto"/>
        </w:rPr>
      </w:pPr>
    </w:p>
    <w:p>
      <w:pPr>
        <w:shd w:val="clear"/>
        <w:spacing w:line="360" w:lineRule="auto"/>
        <w:ind w:firstLine="4410" w:firstLineChars="2100"/>
        <w:rPr>
          <w:rFonts w:ascii="宋体" w:hAnsi="宋体" w:cs="宋体"/>
          <w:color w:val="auto"/>
        </w:rPr>
      </w:pPr>
      <w:r>
        <w:rPr>
          <w:rFonts w:hint="eastAsia" w:ascii="宋体" w:hAnsi="宋体" w:cs="宋体"/>
          <w:color w:val="auto"/>
        </w:rPr>
        <w:t>法定代表人或其授权委托人（签名或印章）：</w:t>
      </w:r>
    </w:p>
    <w:p>
      <w:pPr>
        <w:shd w:val="clear"/>
        <w:spacing w:line="360" w:lineRule="auto"/>
        <w:ind w:firstLine="4410" w:firstLineChars="2100"/>
        <w:rPr>
          <w:rFonts w:ascii="宋体" w:hAnsi="宋体" w:cs="宋体"/>
          <w:color w:val="auto"/>
        </w:rPr>
      </w:pPr>
      <w:r>
        <w:rPr>
          <w:rFonts w:hint="eastAsia" w:ascii="宋体" w:hAnsi="宋体" w:cs="宋体"/>
          <w:color w:val="auto"/>
        </w:rPr>
        <w:t>投标人（盖章）：</w:t>
      </w:r>
    </w:p>
    <w:p>
      <w:pPr>
        <w:shd w:val="clear"/>
        <w:spacing w:line="360" w:lineRule="auto"/>
        <w:rPr>
          <w:rFonts w:ascii="宋体" w:hAnsi="宋体" w:cs="宋体"/>
          <w:color w:val="auto"/>
          <w:sz w:val="24"/>
        </w:rPr>
      </w:pPr>
      <w:r>
        <w:rPr>
          <w:rFonts w:hint="eastAsia" w:ascii="宋体" w:hAnsi="宋体" w:cs="宋体"/>
          <w:color w:val="auto"/>
        </w:rPr>
        <w:t xml:space="preserve">                                           日期：</w:t>
      </w:r>
    </w:p>
    <w:p>
      <w:pPr>
        <w:pStyle w:val="2"/>
        <w:shd w:val="clear"/>
        <w:ind w:firstLine="588"/>
        <w:rPr>
          <w:color w:val="auto"/>
        </w:rPr>
      </w:pP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rPr>
        <w:br w:type="page"/>
      </w:r>
    </w:p>
    <w:p>
      <w:p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十、项目实施人员一览表</w:t>
      </w:r>
    </w:p>
    <w:p>
      <w:pPr>
        <w:pStyle w:val="20"/>
        <w:shd w:val="clear"/>
        <w:ind w:left="632" w:hanging="632" w:hangingChars="300"/>
        <w:rPr>
          <w:rFonts w:hAnsi="宋体"/>
          <w:b/>
          <w:color w:val="auto"/>
        </w:rPr>
      </w:pPr>
      <w:r>
        <w:rPr>
          <w:rFonts w:hint="eastAsia" w:hAnsi="宋体"/>
          <w:b/>
          <w:color w:val="auto"/>
        </w:rPr>
        <w:t>项目名称：                                            项目编号：</w:t>
      </w:r>
    </w:p>
    <w:p>
      <w:pPr>
        <w:shd w:val="clear"/>
        <w:jc w:val="left"/>
        <w:rPr>
          <w:rFonts w:ascii="仿宋_GB2312" w:hAnsi="仿宋" w:eastAsia="仿宋_GB2312" w:cs="仿宋"/>
          <w:b/>
          <w:color w:val="auto"/>
          <w:sz w:val="24"/>
        </w:rPr>
      </w:pPr>
    </w:p>
    <w:p>
      <w:pPr>
        <w:shd w:val="clear"/>
        <w:jc w:val="left"/>
        <w:rPr>
          <w:rFonts w:hAnsi="宋体"/>
          <w:b/>
          <w:color w:val="auto"/>
          <w:szCs w:val="21"/>
        </w:rPr>
      </w:pPr>
      <w:r>
        <w:rPr>
          <w:rFonts w:hint="eastAsia" w:ascii="仿宋_GB2312" w:hAnsi="仿宋" w:eastAsia="仿宋_GB2312" w:cs="仿宋"/>
          <w:b/>
          <w:color w:val="auto"/>
          <w:sz w:val="24"/>
        </w:rPr>
        <w:t>附表A:本项目的项目负责人情况表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pPr>
              <w:pStyle w:val="20"/>
              <w:shd w:val="clear"/>
              <w:ind w:left="630" w:hanging="630" w:hangingChars="300"/>
              <w:jc w:val="center"/>
              <w:rPr>
                <w:rFonts w:hAnsi="宋体"/>
                <w:color w:val="auto"/>
              </w:rPr>
            </w:pPr>
            <w:r>
              <w:rPr>
                <w:rFonts w:hint="eastAsia" w:hAnsi="宋体"/>
                <w:color w:val="auto"/>
              </w:rPr>
              <w:t>姓 名</w:t>
            </w:r>
          </w:p>
        </w:tc>
        <w:tc>
          <w:tcPr>
            <w:tcW w:w="1652" w:type="dxa"/>
            <w:tcBorders>
              <w:top w:val="single" w:color="auto" w:sz="12" w:space="0"/>
              <w:left w:val="single" w:color="auto" w:sz="6" w:space="0"/>
              <w:bottom w:val="single" w:color="auto" w:sz="6" w:space="0"/>
              <w:right w:val="single" w:color="auto" w:sz="6" w:space="0"/>
            </w:tcBorders>
            <w:vAlign w:val="center"/>
          </w:tcPr>
          <w:p>
            <w:pPr>
              <w:pStyle w:val="20"/>
              <w:shd w:val="clear"/>
              <w:ind w:left="630" w:hanging="630" w:hangingChars="300"/>
              <w:jc w:val="center"/>
              <w:rPr>
                <w:rFonts w:hAnsi="宋体"/>
                <w:color w:val="auto"/>
              </w:rPr>
            </w:pPr>
          </w:p>
        </w:tc>
        <w:tc>
          <w:tcPr>
            <w:tcW w:w="1648" w:type="dxa"/>
            <w:tcBorders>
              <w:top w:val="single" w:color="auto" w:sz="12" w:space="0"/>
              <w:left w:val="single" w:color="auto" w:sz="6" w:space="0"/>
              <w:bottom w:val="single" w:color="auto" w:sz="6" w:space="0"/>
              <w:right w:val="single" w:color="auto" w:sz="6" w:space="0"/>
            </w:tcBorders>
            <w:vAlign w:val="center"/>
          </w:tcPr>
          <w:p>
            <w:pPr>
              <w:pStyle w:val="20"/>
              <w:shd w:val="clear"/>
              <w:ind w:left="630" w:hanging="630" w:hangingChars="300"/>
              <w:jc w:val="center"/>
              <w:rPr>
                <w:rFonts w:hAnsi="宋体"/>
                <w:color w:val="auto"/>
              </w:rPr>
            </w:pPr>
            <w:r>
              <w:rPr>
                <w:rFonts w:hint="eastAsia" w:hAnsi="宋体"/>
                <w:color w:val="auto"/>
              </w:rPr>
              <w:t>性 别</w:t>
            </w:r>
          </w:p>
        </w:tc>
        <w:tc>
          <w:tcPr>
            <w:tcW w:w="1761" w:type="dxa"/>
            <w:tcBorders>
              <w:top w:val="single" w:color="auto" w:sz="12" w:space="0"/>
              <w:left w:val="single" w:color="auto" w:sz="6" w:space="0"/>
              <w:bottom w:val="single" w:color="auto" w:sz="6" w:space="0"/>
              <w:right w:val="single" w:color="auto" w:sz="6" w:space="0"/>
            </w:tcBorders>
            <w:vAlign w:val="center"/>
          </w:tcPr>
          <w:p>
            <w:pPr>
              <w:pStyle w:val="20"/>
              <w:shd w:val="clear"/>
              <w:ind w:left="630" w:hanging="630" w:hangingChars="300"/>
              <w:jc w:val="center"/>
              <w:rPr>
                <w:rFonts w:hAnsi="宋体"/>
                <w:color w:val="auto"/>
              </w:rPr>
            </w:pPr>
          </w:p>
        </w:tc>
        <w:tc>
          <w:tcPr>
            <w:tcW w:w="1576" w:type="dxa"/>
            <w:tcBorders>
              <w:top w:val="single" w:color="auto" w:sz="12" w:space="0"/>
              <w:left w:val="single" w:color="auto" w:sz="6" w:space="0"/>
              <w:bottom w:val="single" w:color="auto" w:sz="6" w:space="0"/>
              <w:right w:val="single" w:color="auto" w:sz="6" w:space="0"/>
            </w:tcBorders>
            <w:vAlign w:val="center"/>
          </w:tcPr>
          <w:p>
            <w:pPr>
              <w:pStyle w:val="20"/>
              <w:shd w:val="clear"/>
              <w:ind w:left="630" w:hanging="630" w:hangingChars="300"/>
              <w:jc w:val="center"/>
              <w:rPr>
                <w:rFonts w:hAnsi="宋体"/>
                <w:color w:val="auto"/>
              </w:rPr>
            </w:pPr>
            <w:r>
              <w:rPr>
                <w:rFonts w:hint="eastAsia" w:hAnsi="宋体"/>
                <w:color w:val="auto"/>
              </w:rPr>
              <w:t>年 龄</w:t>
            </w:r>
          </w:p>
        </w:tc>
        <w:tc>
          <w:tcPr>
            <w:tcW w:w="1693" w:type="dxa"/>
            <w:tcBorders>
              <w:top w:val="single" w:color="auto" w:sz="12" w:space="0"/>
              <w:left w:val="single" w:color="auto" w:sz="6" w:space="0"/>
              <w:bottom w:val="single" w:color="auto" w:sz="6" w:space="0"/>
              <w:right w:val="single" w:color="auto" w:sz="12" w:space="0"/>
            </w:tcBorders>
            <w:vAlign w:val="center"/>
          </w:tcPr>
          <w:p>
            <w:pPr>
              <w:pStyle w:val="20"/>
              <w:shd w:val="clear"/>
              <w:ind w:left="630" w:hanging="630" w:hangingChars="300"/>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pPr>
              <w:pStyle w:val="20"/>
              <w:shd w:val="clear"/>
              <w:ind w:left="630" w:hanging="630" w:hangingChars="300"/>
              <w:jc w:val="center"/>
              <w:rPr>
                <w:rFonts w:hAnsi="宋体"/>
                <w:color w:val="auto"/>
              </w:rPr>
            </w:pPr>
            <w:r>
              <w:rPr>
                <w:rFonts w:hint="eastAsia" w:hAnsi="宋体"/>
                <w:color w:val="auto"/>
              </w:rPr>
              <w:t>学 历</w:t>
            </w:r>
          </w:p>
        </w:tc>
        <w:tc>
          <w:tcPr>
            <w:tcW w:w="1652" w:type="dxa"/>
            <w:tcBorders>
              <w:top w:val="single" w:color="auto" w:sz="6" w:space="0"/>
              <w:left w:val="single" w:color="auto" w:sz="6" w:space="0"/>
              <w:bottom w:val="single" w:color="auto" w:sz="6" w:space="0"/>
              <w:right w:val="single" w:color="auto" w:sz="6" w:space="0"/>
            </w:tcBorders>
            <w:vAlign w:val="center"/>
          </w:tcPr>
          <w:p>
            <w:pPr>
              <w:pStyle w:val="20"/>
              <w:shd w:val="clear"/>
              <w:ind w:left="630" w:hanging="630" w:hangingChars="300"/>
              <w:jc w:val="center"/>
              <w:rPr>
                <w:rFonts w:hAnsi="宋体"/>
                <w:color w:val="auto"/>
              </w:rPr>
            </w:pPr>
          </w:p>
        </w:tc>
        <w:tc>
          <w:tcPr>
            <w:tcW w:w="1648" w:type="dxa"/>
            <w:tcBorders>
              <w:top w:val="single" w:color="auto" w:sz="6" w:space="0"/>
              <w:left w:val="single" w:color="auto" w:sz="6" w:space="0"/>
              <w:bottom w:val="single" w:color="auto" w:sz="6" w:space="0"/>
              <w:right w:val="single" w:color="auto" w:sz="6" w:space="0"/>
            </w:tcBorders>
            <w:vAlign w:val="center"/>
          </w:tcPr>
          <w:p>
            <w:pPr>
              <w:pStyle w:val="20"/>
              <w:shd w:val="clear"/>
              <w:ind w:left="630" w:hanging="630" w:hangingChars="300"/>
              <w:jc w:val="center"/>
              <w:rPr>
                <w:rFonts w:hAnsi="宋体"/>
                <w:color w:val="auto"/>
              </w:rPr>
            </w:pPr>
            <w:r>
              <w:rPr>
                <w:rFonts w:hint="eastAsia" w:hAnsi="宋体"/>
                <w:color w:val="auto"/>
              </w:rPr>
              <w:t>职 称</w:t>
            </w:r>
          </w:p>
        </w:tc>
        <w:tc>
          <w:tcPr>
            <w:tcW w:w="1761" w:type="dxa"/>
            <w:tcBorders>
              <w:top w:val="single" w:color="auto" w:sz="6" w:space="0"/>
              <w:left w:val="single" w:color="auto" w:sz="6" w:space="0"/>
              <w:bottom w:val="single" w:color="auto" w:sz="6" w:space="0"/>
              <w:right w:val="single" w:color="auto" w:sz="6" w:space="0"/>
            </w:tcBorders>
            <w:vAlign w:val="center"/>
          </w:tcPr>
          <w:p>
            <w:pPr>
              <w:pStyle w:val="20"/>
              <w:shd w:val="clear"/>
              <w:ind w:left="630" w:hanging="630" w:hangingChars="300"/>
              <w:jc w:val="center"/>
              <w:rPr>
                <w:rFonts w:hAnsi="宋体"/>
                <w:color w:val="auto"/>
              </w:rPr>
            </w:pPr>
          </w:p>
        </w:tc>
        <w:tc>
          <w:tcPr>
            <w:tcW w:w="1576" w:type="dxa"/>
            <w:tcBorders>
              <w:top w:val="single" w:color="auto" w:sz="6" w:space="0"/>
              <w:left w:val="single" w:color="auto" w:sz="6" w:space="0"/>
              <w:bottom w:val="single" w:color="auto" w:sz="6" w:space="0"/>
              <w:right w:val="single" w:color="auto" w:sz="6" w:space="0"/>
            </w:tcBorders>
            <w:vAlign w:val="center"/>
          </w:tcPr>
          <w:p>
            <w:pPr>
              <w:pStyle w:val="20"/>
              <w:shd w:val="clear"/>
              <w:ind w:left="630" w:hanging="630" w:hangingChars="300"/>
              <w:jc w:val="center"/>
              <w:rPr>
                <w:rFonts w:hAnsi="宋体"/>
                <w:color w:val="auto"/>
              </w:rPr>
            </w:pPr>
            <w:r>
              <w:rPr>
                <w:rFonts w:hint="eastAsia" w:hAnsi="宋体"/>
                <w:color w:val="auto"/>
              </w:rPr>
              <w:t>职 务</w:t>
            </w:r>
          </w:p>
        </w:tc>
        <w:tc>
          <w:tcPr>
            <w:tcW w:w="1693" w:type="dxa"/>
            <w:tcBorders>
              <w:top w:val="single" w:color="auto" w:sz="6" w:space="0"/>
              <w:left w:val="single" w:color="auto" w:sz="6" w:space="0"/>
              <w:bottom w:val="single" w:color="auto" w:sz="6" w:space="0"/>
              <w:right w:val="single" w:color="auto" w:sz="12" w:space="0"/>
            </w:tcBorders>
            <w:vAlign w:val="center"/>
          </w:tcPr>
          <w:p>
            <w:pPr>
              <w:pStyle w:val="20"/>
              <w:shd w:val="clear"/>
              <w:ind w:left="630" w:hanging="630" w:hangingChars="300"/>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pPr>
              <w:pStyle w:val="20"/>
              <w:shd w:val="clear"/>
              <w:ind w:left="630" w:hanging="630" w:hangingChars="300"/>
              <w:jc w:val="center"/>
              <w:rPr>
                <w:rFonts w:hAnsi="宋体"/>
                <w:color w:val="auto"/>
              </w:rPr>
            </w:pPr>
            <w:r>
              <w:rPr>
                <w:rFonts w:hint="eastAsia" w:hAnsi="宋体"/>
                <w:color w:val="auto"/>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pPr>
              <w:pStyle w:val="20"/>
              <w:shd w:val="clear"/>
              <w:ind w:left="630" w:hanging="630" w:hangingChars="300"/>
              <w:jc w:val="center"/>
              <w:rPr>
                <w:rFonts w:hAnsi="宋体"/>
                <w:color w:val="auto"/>
              </w:rPr>
            </w:pPr>
          </w:p>
        </w:tc>
        <w:tc>
          <w:tcPr>
            <w:tcW w:w="1761" w:type="dxa"/>
            <w:tcBorders>
              <w:top w:val="single" w:color="auto" w:sz="6" w:space="0"/>
              <w:left w:val="single" w:color="auto" w:sz="6" w:space="0"/>
              <w:bottom w:val="single" w:color="auto" w:sz="6" w:space="0"/>
              <w:right w:val="single" w:color="auto" w:sz="6" w:space="0"/>
            </w:tcBorders>
            <w:vAlign w:val="center"/>
          </w:tcPr>
          <w:p>
            <w:pPr>
              <w:pStyle w:val="20"/>
              <w:shd w:val="clear"/>
              <w:ind w:left="630" w:hanging="630" w:hangingChars="300"/>
              <w:jc w:val="center"/>
              <w:rPr>
                <w:rFonts w:hAnsi="宋体"/>
                <w:color w:val="auto"/>
              </w:rPr>
            </w:pPr>
            <w:r>
              <w:rPr>
                <w:rFonts w:hint="eastAsia" w:hAnsi="宋体"/>
                <w:color w:val="auto"/>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pPr>
              <w:pStyle w:val="20"/>
              <w:shd w:val="clear"/>
              <w:ind w:left="630" w:hanging="630" w:hangingChars="300"/>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pPr>
              <w:pStyle w:val="20"/>
              <w:shd w:val="clear"/>
              <w:spacing w:before="120" w:after="120"/>
              <w:ind w:left="661" w:hanging="630" w:hangingChars="300"/>
              <w:rPr>
                <w:rFonts w:hAnsi="宋体"/>
                <w:color w:val="auto"/>
              </w:rPr>
            </w:pPr>
            <w:r>
              <w:rPr>
                <w:rFonts w:hint="eastAsia" w:ascii="仿宋_GB2312" w:hAnsi="仿宋" w:eastAsia="仿宋_GB2312" w:cs="仿宋"/>
                <w:color w:val="auto"/>
              </w:rPr>
              <w:t>投标截止时间前三年业绩及承担的主要工作情况，曾担任项目负责人的项目应列明细</w:t>
            </w:r>
          </w:p>
        </w:tc>
      </w:tr>
    </w:tbl>
    <w:p>
      <w:pPr>
        <w:pStyle w:val="20"/>
        <w:shd w:val="clear"/>
        <w:spacing w:line="320" w:lineRule="exact"/>
        <w:ind w:left="630" w:hanging="630" w:hangingChars="300"/>
        <w:rPr>
          <w:rFonts w:hAnsi="宋体"/>
          <w:color w:val="auto"/>
        </w:rPr>
      </w:pPr>
      <w:r>
        <w:rPr>
          <w:rFonts w:hint="eastAsia" w:hAnsi="宋体"/>
          <w:color w:val="auto"/>
        </w:rPr>
        <w:t>注:1、与评分有关的证明材料附后。</w:t>
      </w:r>
    </w:p>
    <w:p>
      <w:pPr>
        <w:pStyle w:val="20"/>
        <w:shd w:val="clear"/>
        <w:spacing w:line="320" w:lineRule="exact"/>
        <w:ind w:left="630" w:hanging="630" w:hangingChars="300"/>
        <w:rPr>
          <w:rFonts w:hAnsi="宋体"/>
          <w:color w:val="auto"/>
        </w:rPr>
      </w:pPr>
      <w:r>
        <w:rPr>
          <w:rFonts w:hint="eastAsia" w:hAnsi="宋体"/>
          <w:color w:val="auto"/>
        </w:rPr>
        <w:t>2、不得随意更换项目负责人，如不经采购人同意擅自更换，则招标人有权解除合同</w:t>
      </w:r>
      <w:r>
        <w:rPr>
          <w:rFonts w:hint="eastAsia" w:ascii="仿宋_GB2312" w:hAnsi="仿宋" w:eastAsia="仿宋_GB2312" w:cs="仿宋"/>
          <w:b/>
          <w:color w:val="auto"/>
        </w:rPr>
        <w:t xml:space="preserve">。 </w:t>
      </w:r>
      <w:r>
        <w:rPr>
          <w:rFonts w:hint="eastAsia" w:hAnsi="宋体" w:cs="新宋体"/>
          <w:b/>
          <w:bCs/>
          <w:color w:val="auto"/>
        </w:rPr>
        <w:t xml:space="preserve"> </w:t>
      </w:r>
      <w:r>
        <w:rPr>
          <w:rFonts w:hint="eastAsia" w:hAnsi="宋体"/>
          <w:color w:val="auto"/>
        </w:rPr>
        <w:t xml:space="preserve">      </w:t>
      </w:r>
      <w:bookmarkStart w:id="400" w:name="OLE_LINK9"/>
    </w:p>
    <w:p>
      <w:pPr>
        <w:pStyle w:val="20"/>
        <w:shd w:val="clear"/>
        <w:spacing w:line="340" w:lineRule="exact"/>
        <w:jc w:val="left"/>
        <w:rPr>
          <w:rFonts w:ascii="仿宋_GB2312" w:hAnsi="仿宋" w:eastAsia="仿宋_GB2312" w:cs="仿宋"/>
          <w:b/>
          <w:color w:val="auto"/>
        </w:rPr>
      </w:pPr>
    </w:p>
    <w:p>
      <w:pPr>
        <w:pStyle w:val="20"/>
        <w:shd w:val="clear"/>
        <w:spacing w:line="340" w:lineRule="exact"/>
        <w:jc w:val="left"/>
        <w:rPr>
          <w:rFonts w:ascii="仿宋_GB2312" w:hAnsi="仿宋" w:eastAsia="仿宋_GB2312" w:cs="仿宋"/>
          <w:b/>
          <w:color w:val="auto"/>
        </w:rPr>
      </w:pPr>
    </w:p>
    <w:p>
      <w:pPr>
        <w:pStyle w:val="20"/>
        <w:shd w:val="clear"/>
        <w:spacing w:line="340" w:lineRule="exact"/>
        <w:jc w:val="left"/>
        <w:rPr>
          <w:rFonts w:hAnsi="宋体"/>
          <w:b/>
          <w:color w:val="auto"/>
        </w:rPr>
      </w:pPr>
      <w:r>
        <w:rPr>
          <w:rFonts w:hint="eastAsia" w:ascii="仿宋_GB2312" w:hAnsi="仿宋" w:eastAsia="仿宋_GB2312" w:cs="仿宋"/>
          <w:b/>
          <w:color w:val="auto"/>
        </w:rPr>
        <w:t>附表B:拟入的项目实施人员名单</w:t>
      </w:r>
      <w:bookmarkEnd w:id="400"/>
    </w:p>
    <w:tbl>
      <w:tblPr>
        <w:tblStyle w:val="32"/>
        <w:tblW w:w="95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pPr>
              <w:shd w:val="clear"/>
              <w:spacing w:line="360" w:lineRule="auto"/>
              <w:jc w:val="center"/>
              <w:rPr>
                <w:rFonts w:ascii="宋体" w:hAnsi="宋体"/>
                <w:color w:val="auto"/>
                <w:szCs w:val="21"/>
              </w:rPr>
            </w:pPr>
            <w:r>
              <w:rPr>
                <w:rFonts w:hint="eastAsia" w:ascii="宋体" w:hAnsi="宋体"/>
                <w:color w:val="auto"/>
                <w:szCs w:val="21"/>
              </w:rPr>
              <w:t>序号</w:t>
            </w:r>
          </w:p>
        </w:tc>
        <w:tc>
          <w:tcPr>
            <w:tcW w:w="927" w:type="dxa"/>
            <w:vAlign w:val="center"/>
          </w:tcPr>
          <w:p>
            <w:pPr>
              <w:shd w:val="clear"/>
              <w:spacing w:line="360" w:lineRule="auto"/>
              <w:jc w:val="center"/>
              <w:rPr>
                <w:rFonts w:ascii="宋体" w:hAnsi="宋体"/>
                <w:color w:val="auto"/>
                <w:szCs w:val="21"/>
              </w:rPr>
            </w:pPr>
            <w:r>
              <w:rPr>
                <w:rFonts w:hint="eastAsia" w:ascii="宋体" w:hAnsi="宋体"/>
                <w:color w:val="auto"/>
                <w:szCs w:val="21"/>
              </w:rPr>
              <w:t>姓名</w:t>
            </w:r>
          </w:p>
        </w:tc>
        <w:tc>
          <w:tcPr>
            <w:tcW w:w="927" w:type="dxa"/>
            <w:vAlign w:val="center"/>
          </w:tcPr>
          <w:p>
            <w:pPr>
              <w:shd w:val="clear"/>
              <w:spacing w:line="360" w:lineRule="auto"/>
              <w:jc w:val="center"/>
              <w:rPr>
                <w:rFonts w:ascii="宋体" w:hAnsi="宋体"/>
                <w:color w:val="auto"/>
                <w:szCs w:val="21"/>
              </w:rPr>
            </w:pPr>
            <w:r>
              <w:rPr>
                <w:rFonts w:hint="eastAsia" w:ascii="宋体" w:hAnsi="宋体"/>
                <w:color w:val="auto"/>
                <w:szCs w:val="21"/>
              </w:rPr>
              <w:t>性别</w:t>
            </w:r>
          </w:p>
        </w:tc>
        <w:tc>
          <w:tcPr>
            <w:tcW w:w="742" w:type="dxa"/>
            <w:vAlign w:val="center"/>
          </w:tcPr>
          <w:p>
            <w:pPr>
              <w:shd w:val="clear"/>
              <w:spacing w:line="360" w:lineRule="auto"/>
              <w:jc w:val="center"/>
              <w:rPr>
                <w:rFonts w:ascii="宋体" w:hAnsi="宋体"/>
                <w:color w:val="auto"/>
                <w:szCs w:val="21"/>
              </w:rPr>
            </w:pPr>
            <w:r>
              <w:rPr>
                <w:rFonts w:hint="eastAsia" w:ascii="宋体" w:hAnsi="宋体"/>
                <w:color w:val="auto"/>
                <w:szCs w:val="21"/>
              </w:rPr>
              <w:t>年龄</w:t>
            </w:r>
          </w:p>
        </w:tc>
        <w:tc>
          <w:tcPr>
            <w:tcW w:w="742" w:type="dxa"/>
            <w:vAlign w:val="center"/>
          </w:tcPr>
          <w:p>
            <w:pPr>
              <w:shd w:val="clear"/>
              <w:spacing w:line="360" w:lineRule="auto"/>
              <w:jc w:val="center"/>
              <w:rPr>
                <w:rFonts w:ascii="宋体" w:hAnsi="宋体"/>
                <w:color w:val="auto"/>
                <w:szCs w:val="21"/>
              </w:rPr>
            </w:pPr>
            <w:r>
              <w:rPr>
                <w:rFonts w:hint="eastAsia" w:ascii="宋体" w:hAnsi="宋体"/>
                <w:color w:val="auto"/>
                <w:szCs w:val="21"/>
              </w:rPr>
              <w:t>学历</w:t>
            </w:r>
          </w:p>
        </w:tc>
        <w:tc>
          <w:tcPr>
            <w:tcW w:w="1297" w:type="dxa"/>
            <w:vAlign w:val="center"/>
          </w:tcPr>
          <w:p>
            <w:pPr>
              <w:shd w:val="clear"/>
              <w:spacing w:line="280" w:lineRule="exact"/>
              <w:jc w:val="center"/>
              <w:rPr>
                <w:rFonts w:ascii="宋体" w:hAnsi="宋体"/>
                <w:color w:val="auto"/>
                <w:szCs w:val="21"/>
              </w:rPr>
            </w:pPr>
            <w:r>
              <w:rPr>
                <w:rFonts w:hint="eastAsia" w:ascii="宋体" w:hAnsi="宋体"/>
                <w:color w:val="auto"/>
                <w:szCs w:val="21"/>
              </w:rPr>
              <w:t>职称/职务</w:t>
            </w:r>
          </w:p>
        </w:tc>
        <w:tc>
          <w:tcPr>
            <w:tcW w:w="1284" w:type="dxa"/>
            <w:vAlign w:val="center"/>
          </w:tcPr>
          <w:p>
            <w:pPr>
              <w:shd w:val="clear"/>
              <w:spacing w:line="280" w:lineRule="exact"/>
              <w:jc w:val="center"/>
              <w:rPr>
                <w:rFonts w:ascii="宋体" w:hAnsi="宋体"/>
                <w:color w:val="auto"/>
                <w:szCs w:val="21"/>
              </w:rPr>
            </w:pPr>
            <w:r>
              <w:rPr>
                <w:rFonts w:hint="eastAsia" w:ascii="宋体" w:hAnsi="宋体"/>
                <w:color w:val="auto"/>
                <w:szCs w:val="21"/>
              </w:rPr>
              <w:t>本项目中的岗位</w:t>
            </w:r>
          </w:p>
        </w:tc>
        <w:tc>
          <w:tcPr>
            <w:tcW w:w="1766" w:type="dxa"/>
            <w:vAlign w:val="center"/>
          </w:tcPr>
          <w:p>
            <w:pPr>
              <w:shd w:val="clear"/>
              <w:spacing w:line="360" w:lineRule="auto"/>
              <w:jc w:val="center"/>
              <w:rPr>
                <w:rFonts w:ascii="宋体" w:hAnsi="宋体"/>
                <w:color w:val="auto"/>
                <w:szCs w:val="21"/>
              </w:rPr>
            </w:pPr>
            <w:r>
              <w:rPr>
                <w:rFonts w:hint="eastAsia" w:ascii="宋体" w:hAnsi="宋体"/>
                <w:color w:val="auto"/>
                <w:szCs w:val="21"/>
              </w:rPr>
              <w:t>从事专业年限</w:t>
            </w:r>
          </w:p>
        </w:tc>
        <w:tc>
          <w:tcPr>
            <w:tcW w:w="1112" w:type="dxa"/>
            <w:vAlign w:val="center"/>
          </w:tcPr>
          <w:p>
            <w:pPr>
              <w:shd w:val="clear"/>
              <w:spacing w:line="360" w:lineRule="auto"/>
              <w:jc w:val="center"/>
              <w:rPr>
                <w:rFonts w:ascii="宋体" w:hAnsi="宋体"/>
                <w:color w:val="auto"/>
                <w:szCs w:val="21"/>
              </w:rPr>
            </w:pPr>
            <w:r>
              <w:rPr>
                <w:rFonts w:hint="eastAsia" w:ascii="宋体" w:hAnsi="宋体"/>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1297" w:type="dxa"/>
            <w:vAlign w:val="center"/>
          </w:tcPr>
          <w:p>
            <w:pPr>
              <w:shd w:val="clear"/>
              <w:spacing w:line="360" w:lineRule="auto"/>
              <w:jc w:val="center"/>
              <w:rPr>
                <w:rFonts w:ascii="宋体" w:hAnsi="宋体"/>
                <w:color w:val="auto"/>
                <w:szCs w:val="21"/>
              </w:rPr>
            </w:pPr>
          </w:p>
        </w:tc>
        <w:tc>
          <w:tcPr>
            <w:tcW w:w="1284" w:type="dxa"/>
            <w:vAlign w:val="center"/>
          </w:tcPr>
          <w:p>
            <w:pPr>
              <w:shd w:val="clear"/>
              <w:spacing w:line="360" w:lineRule="auto"/>
              <w:jc w:val="center"/>
              <w:rPr>
                <w:rFonts w:ascii="宋体" w:hAnsi="宋体"/>
                <w:color w:val="auto"/>
                <w:szCs w:val="21"/>
              </w:rPr>
            </w:pPr>
          </w:p>
        </w:tc>
        <w:tc>
          <w:tcPr>
            <w:tcW w:w="1766" w:type="dxa"/>
          </w:tcPr>
          <w:p>
            <w:pPr>
              <w:shd w:val="clear"/>
              <w:spacing w:line="360" w:lineRule="auto"/>
              <w:jc w:val="center"/>
              <w:rPr>
                <w:rFonts w:ascii="宋体" w:hAnsi="宋体"/>
                <w:color w:val="auto"/>
                <w:szCs w:val="21"/>
              </w:rPr>
            </w:pPr>
          </w:p>
        </w:tc>
        <w:tc>
          <w:tcPr>
            <w:tcW w:w="1112" w:type="dxa"/>
            <w:vAlign w:val="center"/>
          </w:tcPr>
          <w:p>
            <w:pPr>
              <w:shd w:val="clear"/>
              <w:spacing w:line="36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1297" w:type="dxa"/>
            <w:vAlign w:val="center"/>
          </w:tcPr>
          <w:p>
            <w:pPr>
              <w:shd w:val="clear"/>
              <w:spacing w:line="360" w:lineRule="auto"/>
              <w:jc w:val="center"/>
              <w:rPr>
                <w:rFonts w:ascii="宋体" w:hAnsi="宋体"/>
                <w:color w:val="auto"/>
                <w:szCs w:val="21"/>
              </w:rPr>
            </w:pPr>
          </w:p>
        </w:tc>
        <w:tc>
          <w:tcPr>
            <w:tcW w:w="1284" w:type="dxa"/>
            <w:vAlign w:val="center"/>
          </w:tcPr>
          <w:p>
            <w:pPr>
              <w:shd w:val="clear"/>
              <w:spacing w:line="360" w:lineRule="auto"/>
              <w:jc w:val="center"/>
              <w:rPr>
                <w:rFonts w:ascii="宋体" w:hAnsi="宋体"/>
                <w:color w:val="auto"/>
                <w:szCs w:val="21"/>
              </w:rPr>
            </w:pPr>
          </w:p>
        </w:tc>
        <w:tc>
          <w:tcPr>
            <w:tcW w:w="1766" w:type="dxa"/>
          </w:tcPr>
          <w:p>
            <w:pPr>
              <w:shd w:val="clear"/>
              <w:spacing w:line="360" w:lineRule="auto"/>
              <w:jc w:val="center"/>
              <w:rPr>
                <w:rFonts w:ascii="宋体" w:hAnsi="宋体"/>
                <w:color w:val="auto"/>
                <w:szCs w:val="21"/>
              </w:rPr>
            </w:pPr>
          </w:p>
        </w:tc>
        <w:tc>
          <w:tcPr>
            <w:tcW w:w="1112" w:type="dxa"/>
            <w:vAlign w:val="center"/>
          </w:tcPr>
          <w:p>
            <w:pPr>
              <w:shd w:val="clear"/>
              <w:spacing w:line="36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1297" w:type="dxa"/>
            <w:vAlign w:val="center"/>
          </w:tcPr>
          <w:p>
            <w:pPr>
              <w:shd w:val="clear"/>
              <w:spacing w:line="360" w:lineRule="auto"/>
              <w:jc w:val="center"/>
              <w:rPr>
                <w:rFonts w:ascii="宋体" w:hAnsi="宋体"/>
                <w:color w:val="auto"/>
                <w:szCs w:val="21"/>
              </w:rPr>
            </w:pPr>
          </w:p>
        </w:tc>
        <w:tc>
          <w:tcPr>
            <w:tcW w:w="1284" w:type="dxa"/>
            <w:vAlign w:val="center"/>
          </w:tcPr>
          <w:p>
            <w:pPr>
              <w:shd w:val="clear"/>
              <w:spacing w:line="360" w:lineRule="auto"/>
              <w:jc w:val="center"/>
              <w:rPr>
                <w:rFonts w:ascii="宋体" w:hAnsi="宋体"/>
                <w:color w:val="auto"/>
                <w:szCs w:val="21"/>
              </w:rPr>
            </w:pPr>
          </w:p>
        </w:tc>
        <w:tc>
          <w:tcPr>
            <w:tcW w:w="1766" w:type="dxa"/>
          </w:tcPr>
          <w:p>
            <w:pPr>
              <w:shd w:val="clear"/>
              <w:spacing w:line="360" w:lineRule="auto"/>
              <w:jc w:val="center"/>
              <w:rPr>
                <w:rFonts w:ascii="宋体" w:hAnsi="宋体"/>
                <w:color w:val="auto"/>
                <w:szCs w:val="21"/>
              </w:rPr>
            </w:pPr>
          </w:p>
        </w:tc>
        <w:tc>
          <w:tcPr>
            <w:tcW w:w="1112" w:type="dxa"/>
            <w:vAlign w:val="center"/>
          </w:tcPr>
          <w:p>
            <w:pPr>
              <w:shd w:val="clear"/>
              <w:spacing w:line="36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1297" w:type="dxa"/>
            <w:vAlign w:val="center"/>
          </w:tcPr>
          <w:p>
            <w:pPr>
              <w:shd w:val="clear"/>
              <w:spacing w:line="360" w:lineRule="auto"/>
              <w:jc w:val="center"/>
              <w:rPr>
                <w:rFonts w:ascii="宋体" w:hAnsi="宋体"/>
                <w:color w:val="auto"/>
                <w:szCs w:val="21"/>
              </w:rPr>
            </w:pPr>
          </w:p>
        </w:tc>
        <w:tc>
          <w:tcPr>
            <w:tcW w:w="1284" w:type="dxa"/>
            <w:vAlign w:val="center"/>
          </w:tcPr>
          <w:p>
            <w:pPr>
              <w:shd w:val="clear"/>
              <w:spacing w:line="360" w:lineRule="auto"/>
              <w:jc w:val="center"/>
              <w:rPr>
                <w:rFonts w:ascii="宋体" w:hAnsi="宋体"/>
                <w:color w:val="auto"/>
                <w:szCs w:val="21"/>
              </w:rPr>
            </w:pPr>
          </w:p>
        </w:tc>
        <w:tc>
          <w:tcPr>
            <w:tcW w:w="1766" w:type="dxa"/>
          </w:tcPr>
          <w:p>
            <w:pPr>
              <w:shd w:val="clear"/>
              <w:spacing w:line="360" w:lineRule="auto"/>
              <w:jc w:val="center"/>
              <w:rPr>
                <w:rFonts w:ascii="宋体" w:hAnsi="宋体"/>
                <w:color w:val="auto"/>
                <w:szCs w:val="21"/>
              </w:rPr>
            </w:pPr>
          </w:p>
        </w:tc>
        <w:tc>
          <w:tcPr>
            <w:tcW w:w="1112" w:type="dxa"/>
            <w:vAlign w:val="center"/>
          </w:tcPr>
          <w:p>
            <w:pPr>
              <w:shd w:val="clear"/>
              <w:spacing w:line="36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927"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742" w:type="dxa"/>
            <w:vAlign w:val="center"/>
          </w:tcPr>
          <w:p>
            <w:pPr>
              <w:shd w:val="clear"/>
              <w:spacing w:line="360" w:lineRule="auto"/>
              <w:jc w:val="center"/>
              <w:rPr>
                <w:rFonts w:ascii="宋体" w:hAnsi="宋体"/>
                <w:color w:val="auto"/>
                <w:szCs w:val="21"/>
              </w:rPr>
            </w:pPr>
          </w:p>
        </w:tc>
        <w:tc>
          <w:tcPr>
            <w:tcW w:w="1297" w:type="dxa"/>
            <w:vAlign w:val="center"/>
          </w:tcPr>
          <w:p>
            <w:pPr>
              <w:shd w:val="clear"/>
              <w:spacing w:line="360" w:lineRule="auto"/>
              <w:jc w:val="center"/>
              <w:rPr>
                <w:rFonts w:ascii="宋体" w:hAnsi="宋体"/>
                <w:color w:val="auto"/>
                <w:szCs w:val="21"/>
              </w:rPr>
            </w:pPr>
          </w:p>
        </w:tc>
        <w:tc>
          <w:tcPr>
            <w:tcW w:w="1284" w:type="dxa"/>
            <w:vAlign w:val="center"/>
          </w:tcPr>
          <w:p>
            <w:pPr>
              <w:shd w:val="clear"/>
              <w:spacing w:line="360" w:lineRule="auto"/>
              <w:jc w:val="center"/>
              <w:rPr>
                <w:rFonts w:ascii="宋体" w:hAnsi="宋体"/>
                <w:color w:val="auto"/>
                <w:szCs w:val="21"/>
              </w:rPr>
            </w:pPr>
          </w:p>
        </w:tc>
        <w:tc>
          <w:tcPr>
            <w:tcW w:w="1766" w:type="dxa"/>
          </w:tcPr>
          <w:p>
            <w:pPr>
              <w:shd w:val="clear"/>
              <w:spacing w:line="360" w:lineRule="auto"/>
              <w:jc w:val="center"/>
              <w:rPr>
                <w:rFonts w:ascii="宋体" w:hAnsi="宋体"/>
                <w:color w:val="auto"/>
                <w:szCs w:val="21"/>
              </w:rPr>
            </w:pPr>
          </w:p>
        </w:tc>
        <w:tc>
          <w:tcPr>
            <w:tcW w:w="1112" w:type="dxa"/>
            <w:vAlign w:val="center"/>
          </w:tcPr>
          <w:p>
            <w:pPr>
              <w:shd w:val="clear"/>
              <w:spacing w:line="360" w:lineRule="auto"/>
              <w:jc w:val="center"/>
              <w:rPr>
                <w:rFonts w:ascii="宋体" w:hAnsi="宋体"/>
                <w:color w:val="auto"/>
                <w:szCs w:val="21"/>
              </w:rPr>
            </w:pPr>
          </w:p>
        </w:tc>
      </w:tr>
    </w:tbl>
    <w:p>
      <w:pPr>
        <w:pStyle w:val="20"/>
        <w:shd w:val="clear"/>
        <w:spacing w:before="120" w:after="120"/>
        <w:ind w:left="630" w:hanging="630" w:hangingChars="300"/>
        <w:rPr>
          <w:rFonts w:hAnsi="宋体"/>
          <w:color w:val="auto"/>
        </w:rPr>
      </w:pPr>
      <w:r>
        <w:rPr>
          <w:rFonts w:hint="eastAsia" w:hAnsi="宋体"/>
          <w:color w:val="auto"/>
        </w:rPr>
        <w:t>注：与评分有关的证明材料附后。</w:t>
      </w:r>
    </w:p>
    <w:p>
      <w:pPr>
        <w:shd w:val="clear"/>
        <w:spacing w:line="400" w:lineRule="exact"/>
        <w:ind w:firstLine="3360" w:firstLineChars="1400"/>
        <w:rPr>
          <w:rFonts w:ascii="宋体" w:hAnsi="宋体"/>
          <w:color w:val="auto"/>
          <w:sz w:val="24"/>
        </w:rPr>
      </w:pPr>
    </w:p>
    <w:p>
      <w:pPr>
        <w:shd w:val="clear"/>
        <w:spacing w:line="400" w:lineRule="exact"/>
        <w:ind w:firstLine="3360" w:firstLineChars="1400"/>
        <w:rPr>
          <w:rFonts w:ascii="宋体" w:hAnsi="宋体"/>
          <w:color w:val="auto"/>
          <w:sz w:val="24"/>
        </w:rPr>
      </w:pPr>
      <w:r>
        <w:rPr>
          <w:rFonts w:hint="eastAsia" w:ascii="宋体" w:hAnsi="宋体"/>
          <w:color w:val="auto"/>
          <w:sz w:val="24"/>
        </w:rPr>
        <w:t>法定代表人或其授权委托人（签名或印章）：</w:t>
      </w:r>
    </w:p>
    <w:p>
      <w:pPr>
        <w:shd w:val="clear"/>
        <w:spacing w:line="400" w:lineRule="exact"/>
        <w:ind w:firstLine="3360" w:firstLineChars="1400"/>
        <w:rPr>
          <w:rFonts w:ascii="宋体" w:hAnsi="宋体"/>
          <w:color w:val="auto"/>
          <w:sz w:val="24"/>
        </w:rPr>
      </w:pPr>
      <w:r>
        <w:rPr>
          <w:rFonts w:hint="eastAsia" w:ascii="宋体" w:hAnsi="宋体"/>
          <w:color w:val="auto"/>
          <w:sz w:val="24"/>
        </w:rPr>
        <w:t>投标人（盖章）：</w:t>
      </w:r>
    </w:p>
    <w:p>
      <w:pPr>
        <w:shd w:val="clear"/>
        <w:rPr>
          <w:color w:val="auto"/>
        </w:rPr>
      </w:pPr>
      <w:r>
        <w:rPr>
          <w:rFonts w:hint="eastAsia" w:ascii="宋体" w:hAnsi="宋体"/>
          <w:color w:val="auto"/>
          <w:sz w:val="24"/>
        </w:rPr>
        <w:t xml:space="preserve">                            日期：</w:t>
      </w:r>
    </w:p>
    <w:p>
      <w:pPr>
        <w:shd w:val="clear"/>
        <w:snapToGrid w:val="0"/>
        <w:spacing w:line="360" w:lineRule="auto"/>
        <w:outlineLvl w:val="0"/>
        <w:rPr>
          <w:rFonts w:cs="仿宋" w:asciiTheme="majorEastAsia" w:hAnsiTheme="majorEastAsia" w:eastAsiaTheme="majorEastAsia"/>
          <w:b/>
          <w:color w:val="auto"/>
          <w:kern w:val="0"/>
          <w:sz w:val="32"/>
          <w:szCs w:val="32"/>
          <w:lang w:val="zh-CN"/>
        </w:rPr>
      </w:pPr>
    </w:p>
    <w:p>
      <w:p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rPr>
        <w:t>十一、同类业绩情况一览表</w:t>
      </w:r>
    </w:p>
    <w:p>
      <w:pPr>
        <w:shd w:val="clear"/>
        <w:spacing w:line="360" w:lineRule="auto"/>
        <w:jc w:val="center"/>
        <w:rPr>
          <w:rFonts w:cs="仿宋" w:asciiTheme="majorEastAsia" w:hAnsiTheme="majorEastAsia" w:eastAsiaTheme="majorEastAsia"/>
          <w:color w:val="auto"/>
        </w:rPr>
      </w:pPr>
    </w:p>
    <w:tbl>
      <w:tblPr>
        <w:tblStyle w:val="32"/>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采购单位名称</w:t>
            </w:r>
          </w:p>
        </w:tc>
        <w:tc>
          <w:tcPr>
            <w:tcW w:w="1732" w:type="dxa"/>
            <w:tcBorders>
              <w:top w:val="single" w:color="auto" w:sz="4" w:space="0"/>
              <w:left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合同金额</w:t>
            </w:r>
          </w:p>
          <w:p>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left"/>
              <w:rPr>
                <w:rFonts w:cs="仿宋" w:asciiTheme="majorEastAsia" w:hAnsiTheme="majorEastAsia" w:eastAsiaTheme="majorEastAsia"/>
                <w:color w:val="auto"/>
                <w:kern w:val="0"/>
                <w:sz w:val="24"/>
              </w:rPr>
            </w:pPr>
          </w:p>
        </w:tc>
      </w:tr>
    </w:tbl>
    <w:p>
      <w:pPr>
        <w:shd w:val="clear"/>
        <w:spacing w:line="360" w:lineRule="auto"/>
        <w:jc w:val="left"/>
        <w:rPr>
          <w:rFonts w:cs="仿宋" w:asciiTheme="majorEastAsia" w:hAnsiTheme="majorEastAsia" w:eastAsiaTheme="majorEastAsia"/>
          <w:color w:val="auto"/>
          <w:kern w:val="0"/>
          <w:sz w:val="24"/>
        </w:rPr>
      </w:pPr>
    </w:p>
    <w:p>
      <w:pPr>
        <w:shd w:val="clear"/>
        <w:spacing w:line="360" w:lineRule="auto"/>
        <w:jc w:val="left"/>
        <w:rPr>
          <w:rFonts w:cs="仿宋" w:asciiTheme="majorEastAsia" w:hAnsiTheme="majorEastAsia" w:eastAsiaTheme="majorEastAsia"/>
          <w:color w:val="auto"/>
          <w:kern w:val="0"/>
          <w:sz w:val="24"/>
        </w:rPr>
      </w:pPr>
    </w:p>
    <w:p>
      <w:pPr>
        <w:shd w:val="clear"/>
        <w:spacing w:line="360" w:lineRule="auto"/>
        <w:jc w:val="left"/>
        <w:rPr>
          <w:rFonts w:cs="仿宋" w:asciiTheme="majorEastAsia" w:hAnsiTheme="majorEastAsia" w:eastAsiaTheme="majorEastAsia"/>
          <w:color w:val="auto"/>
          <w:kern w:val="0"/>
          <w:sz w:val="24"/>
        </w:rPr>
      </w:pPr>
    </w:p>
    <w:p>
      <w:pPr>
        <w:shd w:val="clea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shd w:val="clea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pPr>
        <w:numPr>
          <w:ilvl w:val="0"/>
          <w:numId w:val="6"/>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政府采购供应商廉洁自律承诺书</w:t>
      </w:r>
    </w:p>
    <w:p>
      <w:pPr>
        <w:shd w:val="clear"/>
        <w:snapToGrid w:val="0"/>
        <w:spacing w:line="360" w:lineRule="auto"/>
        <w:rPr>
          <w:rFonts w:cs="仿宋" w:asciiTheme="majorEastAsia" w:hAnsiTheme="majorEastAsia" w:eastAsiaTheme="majorEastAsia"/>
          <w:color w:val="auto"/>
          <w:sz w:val="24"/>
        </w:rPr>
      </w:pPr>
    </w:p>
    <w:p>
      <w:pPr>
        <w:shd w:val="clear"/>
        <w:snapToGrid w:val="0"/>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（采购人）、（采购代理机构）</w:t>
      </w:r>
      <w:r>
        <w:rPr>
          <w:rFonts w:hint="eastAsia" w:cs="仿宋" w:asciiTheme="majorEastAsia" w:hAnsiTheme="majorEastAsia" w:eastAsiaTheme="majorEastAsia"/>
          <w:color w:val="auto"/>
          <w:kern w:val="0"/>
          <w:sz w:val="24"/>
          <w:lang w:val="zh-CN"/>
        </w:rPr>
        <w:t>：</w:t>
      </w:r>
    </w:p>
    <w:p>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我单位响应你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一、不向项目有关人员及部门赠送礼金礼物、有价证券、回扣以及中介费、介绍费、咨询费等好处费； </w:t>
      </w:r>
    </w:p>
    <w:p>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二、不为项目有关人员及部门报销应由你方单位或个人支付的费用； </w:t>
      </w:r>
    </w:p>
    <w:p>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三、不向项目有关人员及部门提供有可能影响公正的宴请和健身娱乐等活动； </w:t>
      </w:r>
    </w:p>
    <w:p>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四、不为项目有关人员及部门出国（境）、旅游等提供方便；</w:t>
      </w:r>
    </w:p>
    <w:p>
      <w:pPr>
        <w:shd w:val="clear"/>
        <w:autoSpaceDE w:val="0"/>
        <w:autoSpaceDN w:val="0"/>
        <w:spacing w:line="360" w:lineRule="auto"/>
        <w:ind w:left="481" w:leftChars="229"/>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五、不为项目有关人员个人装修住房、婚丧嫁娶、配偶子女工作安排等提供</w:t>
      </w:r>
    </w:p>
    <w:p>
      <w:pPr>
        <w:shd w:val="clear"/>
        <w:autoSpaceDE w:val="0"/>
        <w:autoSpaceDN w:val="0"/>
        <w:spacing w:line="360" w:lineRule="auto"/>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好处；</w:t>
      </w:r>
    </w:p>
    <w:p>
      <w:pPr>
        <w:shd w:val="clear"/>
        <w:autoSpaceDE w:val="0"/>
        <w:autoSpaceDN w:val="0"/>
        <w:spacing w:line="360" w:lineRule="auto"/>
        <w:ind w:left="481" w:leftChars="229"/>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六、严格遵守《</w:t>
      </w:r>
      <w:r>
        <w:rPr>
          <w:rFonts w:hint="eastAsia" w:cs="仿宋" w:asciiTheme="majorEastAsia" w:hAnsiTheme="majorEastAsia" w:eastAsiaTheme="majorEastAsia"/>
          <w:color w:val="auto"/>
          <w:sz w:val="24"/>
          <w:lang w:val="zh-CN"/>
        </w:rPr>
        <w:t>中华人民共和国</w:t>
      </w:r>
      <w:r>
        <w:rPr>
          <w:rFonts w:hint="eastAsia" w:cs="仿宋" w:asciiTheme="majorEastAsia" w:hAnsiTheme="majorEastAsia" w:eastAsiaTheme="majorEastAsia"/>
          <w:color w:val="auto"/>
          <w:kern w:val="0"/>
          <w:sz w:val="24"/>
          <w:lang w:val="zh-CN"/>
        </w:rPr>
        <w:t>政府采购法》《</w:t>
      </w:r>
      <w:r>
        <w:rPr>
          <w:rFonts w:hint="eastAsia" w:cs="仿宋" w:asciiTheme="majorEastAsia" w:hAnsiTheme="majorEastAsia" w:eastAsiaTheme="majorEastAsia"/>
          <w:color w:val="auto"/>
          <w:sz w:val="24"/>
          <w:lang w:val="zh-CN"/>
        </w:rPr>
        <w:t>中华人民共和国</w:t>
      </w:r>
      <w:r>
        <w:rPr>
          <w:rFonts w:hint="eastAsia" w:cs="仿宋" w:asciiTheme="majorEastAsia" w:hAnsiTheme="majorEastAsia" w:eastAsiaTheme="majorEastAsia"/>
          <w:color w:val="auto"/>
          <w:kern w:val="0"/>
          <w:sz w:val="24"/>
          <w:lang w:val="zh-CN"/>
        </w:rPr>
        <w:t>招标投标</w:t>
      </w:r>
    </w:p>
    <w:p>
      <w:pPr>
        <w:shd w:val="clear"/>
        <w:autoSpaceDE w:val="0"/>
        <w:autoSpaceDN w:val="0"/>
        <w:spacing w:line="360" w:lineRule="auto"/>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w:t>
      </w:r>
      <w:r>
        <w:rPr>
          <w:rFonts w:hint="eastAsia" w:cs="仿宋" w:asciiTheme="majorEastAsia" w:hAnsiTheme="majorEastAsia" w:eastAsiaTheme="majorEastAsia"/>
          <w:color w:val="auto"/>
          <w:sz w:val="24"/>
          <w:lang w:val="zh-CN"/>
        </w:rPr>
        <w:t>《中华人民共和国民法典》</w:t>
      </w:r>
      <w:r>
        <w:rPr>
          <w:rFonts w:hint="eastAsia" w:cs="仿宋" w:asciiTheme="majorEastAsia" w:hAnsiTheme="majorEastAsia" w:eastAsiaTheme="majorEastAsia"/>
          <w:color w:val="auto"/>
          <w:kern w:val="0"/>
          <w:sz w:val="24"/>
          <w:lang w:val="zh-CN"/>
        </w:rPr>
        <w:t xml:space="preserve">等法律法规，诚实守信，合法经营，坚决抵制各种违法违纪行为。 </w:t>
      </w:r>
    </w:p>
    <w:p>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如违反上述承诺，你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进行项目建设或其他经营活动，并通报市财政局。由此引起的相应损失均由我单位承担。</w:t>
      </w:r>
    </w:p>
    <w:p>
      <w:pPr>
        <w:shd w:val="clear"/>
        <w:autoSpaceDE w:val="0"/>
        <w:autoSpaceDN w:val="0"/>
        <w:spacing w:line="360" w:lineRule="auto"/>
        <w:ind w:left="2"/>
        <w:jc w:val="left"/>
        <w:rPr>
          <w:rFonts w:cs="仿宋" w:asciiTheme="majorEastAsia" w:hAnsiTheme="majorEastAsia" w:eastAsiaTheme="majorEastAsia"/>
          <w:color w:val="auto"/>
          <w:kern w:val="0"/>
          <w:sz w:val="24"/>
          <w:lang w:val="zh-CN"/>
        </w:rPr>
      </w:pPr>
    </w:p>
    <w:p>
      <w:pPr>
        <w:shd w:val="clear"/>
        <w:autoSpaceDE w:val="0"/>
        <w:autoSpaceDN w:val="0"/>
        <w:spacing w:line="360" w:lineRule="auto"/>
        <w:ind w:left="2"/>
        <w:jc w:val="left"/>
        <w:rPr>
          <w:rFonts w:cs="仿宋" w:asciiTheme="majorEastAsia" w:hAnsiTheme="majorEastAsia" w:eastAsiaTheme="majorEastAsia"/>
          <w:color w:val="auto"/>
          <w:kern w:val="0"/>
          <w:sz w:val="24"/>
          <w:lang w:val="zh-CN"/>
        </w:rPr>
      </w:pPr>
    </w:p>
    <w:p>
      <w:pPr>
        <w:shd w:val="clear"/>
        <w:autoSpaceDE w:val="0"/>
        <w:autoSpaceDN w:val="0"/>
        <w:spacing w:line="360" w:lineRule="auto"/>
        <w:ind w:left="2"/>
        <w:jc w:val="left"/>
        <w:rPr>
          <w:rFonts w:cs="仿宋" w:asciiTheme="majorEastAsia" w:hAnsiTheme="majorEastAsia" w:eastAsiaTheme="majorEastAsia"/>
          <w:color w:val="auto"/>
          <w:kern w:val="0"/>
          <w:sz w:val="24"/>
          <w:lang w:val="zh-CN"/>
        </w:rPr>
      </w:pPr>
    </w:p>
    <w:p>
      <w:pPr>
        <w:shd w:val="clea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shd w:val="clea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pPr>
        <w:shd w:val="clear"/>
        <w:spacing w:line="360" w:lineRule="auto"/>
        <w:ind w:left="4620" w:leftChars="2200"/>
        <w:rPr>
          <w:rFonts w:cs="仿宋" w:asciiTheme="majorEastAsia" w:hAnsiTheme="majorEastAsia" w:eastAsiaTheme="majorEastAsia"/>
          <w:color w:val="auto"/>
          <w:sz w:val="24"/>
        </w:rPr>
      </w:pPr>
    </w:p>
    <w:p>
      <w:pPr>
        <w:shd w:val="clear"/>
        <w:spacing w:line="360" w:lineRule="auto"/>
        <w:jc w:val="center"/>
        <w:rPr>
          <w:rFonts w:cs="仿宋" w:asciiTheme="majorEastAsia" w:hAnsiTheme="majorEastAsia" w:eastAsiaTheme="majorEastAsia"/>
          <w:b/>
          <w:bCs/>
          <w:color w:val="auto"/>
          <w:sz w:val="24"/>
        </w:rPr>
      </w:pPr>
    </w:p>
    <w:p>
      <w:pPr>
        <w:shd w:val="clear"/>
        <w:spacing w:line="360" w:lineRule="auto"/>
        <w:jc w:val="center"/>
        <w:rPr>
          <w:rFonts w:cs="仿宋" w:asciiTheme="majorEastAsia" w:hAnsiTheme="majorEastAsia" w:eastAsiaTheme="majorEastAsia"/>
          <w:b/>
          <w:bCs/>
          <w:color w:val="auto"/>
          <w:sz w:val="24"/>
        </w:rPr>
        <w:sectPr>
          <w:pgSz w:w="11906" w:h="16838"/>
          <w:pgMar w:top="1276" w:right="1418" w:bottom="1247" w:left="1418" w:header="851" w:footer="992" w:gutter="0"/>
          <w:cols w:space="720" w:num="1"/>
          <w:titlePg/>
          <w:docGrid w:linePitch="312" w:charSpace="0"/>
        </w:sectPr>
      </w:pPr>
    </w:p>
    <w:p>
      <w:pPr>
        <w:shd w:val="clear"/>
        <w:spacing w:line="360" w:lineRule="auto"/>
        <w:jc w:val="center"/>
        <w:outlineLvl w:val="0"/>
        <w:rPr>
          <w:rFonts w:cs="仿宋" w:asciiTheme="majorEastAsia" w:hAnsiTheme="majorEastAsia" w:eastAsiaTheme="majorEastAsia"/>
          <w:b/>
          <w:color w:val="auto"/>
          <w:kern w:val="0"/>
          <w:sz w:val="36"/>
          <w:szCs w:val="36"/>
        </w:rPr>
      </w:pPr>
    </w:p>
    <w:p>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报价文件部分</w:t>
      </w:r>
    </w:p>
    <w:p>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目录</w:t>
      </w:r>
    </w:p>
    <w:p>
      <w:pPr>
        <w:shd w:val="clear"/>
        <w:snapToGrid w:val="0"/>
        <w:spacing w:line="360" w:lineRule="auto"/>
        <w:ind w:firstLine="480" w:firstLineChars="200"/>
        <w:rPr>
          <w:rFonts w:cs="仿宋" w:asciiTheme="majorEastAsia" w:hAnsiTheme="majorEastAsia" w:eastAsiaTheme="majorEastAsia"/>
          <w:color w:val="auto"/>
          <w:sz w:val="24"/>
          <w:u w:val="single"/>
          <w:lang w:val="zh-CN"/>
        </w:rPr>
      </w:pPr>
      <w:r>
        <w:rPr>
          <w:rFonts w:hint="eastAsia" w:cs="仿宋" w:asciiTheme="majorEastAsia" w:hAnsiTheme="majorEastAsia" w:eastAsiaTheme="majorEastAsia"/>
          <w:color w:val="auto"/>
          <w:sz w:val="24"/>
        </w:rPr>
        <w:t xml:space="preserve"> </w:t>
      </w:r>
    </w:p>
    <w:p>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 开标一览表；</w:t>
      </w:r>
    </w:p>
    <w:p>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2 投标报价明细表；</w:t>
      </w:r>
    </w:p>
    <w:p>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中小企业声明函（如有）；</w:t>
      </w:r>
    </w:p>
    <w:p>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4 残疾人福利性单位声明函（如有）；</w:t>
      </w:r>
    </w:p>
    <w:p>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5 监狱企业的证明文件（如有）；</w:t>
      </w:r>
    </w:p>
    <w:p>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6 政府采购统计基础信息表；</w:t>
      </w:r>
    </w:p>
    <w:p>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7 其他资料（如有）。</w:t>
      </w:r>
    </w:p>
    <w:p>
      <w:pPr>
        <w:shd w:val="clear"/>
        <w:snapToGrid w:val="0"/>
        <w:spacing w:line="360" w:lineRule="auto"/>
        <w:ind w:right="480"/>
        <w:rPr>
          <w:rFonts w:cs="仿宋" w:asciiTheme="majorEastAsia" w:hAnsiTheme="majorEastAsia" w:eastAsiaTheme="majorEastAsia"/>
          <w:b/>
          <w:color w:val="auto"/>
          <w:kern w:val="0"/>
          <w:sz w:val="32"/>
          <w:szCs w:val="32"/>
        </w:rPr>
      </w:pPr>
    </w:p>
    <w:p>
      <w:pPr>
        <w:pStyle w:val="45"/>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45"/>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pPr>
      <w:r>
        <w:rPr>
          <w:rFonts w:hint="eastAsia" w:cs="仿宋" w:asciiTheme="majorEastAsia" w:hAnsiTheme="majorEastAsia" w:eastAsiaTheme="majorEastAsia"/>
          <w:color w:val="auto"/>
          <w:kern w:val="2"/>
          <w:sz w:val="32"/>
          <w:szCs w:val="32"/>
        </w:rPr>
        <w:t>一、开标一览表（报价表）</w:t>
      </w:r>
    </w:p>
    <w:p>
      <w:pPr>
        <w:shd w:val="clear"/>
        <w:snapToGrid w:val="0"/>
        <w:spacing w:line="360" w:lineRule="auto"/>
        <w:rPr>
          <w:rFonts w:ascii="宋体" w:hAnsi="宋体" w:cs="仿宋"/>
          <w:color w:val="auto"/>
          <w:kern w:val="0"/>
          <w:sz w:val="24"/>
          <w:u w:val="single"/>
        </w:rPr>
      </w:pPr>
      <w:r>
        <w:rPr>
          <w:rFonts w:hint="eastAsia" w:cs="仿宋" w:asciiTheme="majorEastAsia" w:hAnsiTheme="majorEastAsia" w:eastAsiaTheme="majorEastAsia"/>
          <w:color w:val="auto"/>
          <w:sz w:val="24"/>
        </w:rPr>
        <w:t>（</w:t>
      </w:r>
      <w:r>
        <w:rPr>
          <w:rFonts w:hint="eastAsia" w:ascii="宋体" w:hAnsi="宋体" w:cs="仿宋"/>
          <w:color w:val="auto"/>
          <w:sz w:val="24"/>
        </w:rPr>
        <w:t>采购人）、（采购代理机构）</w:t>
      </w:r>
      <w:r>
        <w:rPr>
          <w:rFonts w:hint="eastAsia" w:ascii="宋体" w:hAnsi="宋体" w:cs="仿宋"/>
          <w:color w:val="auto"/>
          <w:kern w:val="0"/>
          <w:sz w:val="24"/>
          <w:lang w:val="zh-CN"/>
        </w:rPr>
        <w:t>：</w:t>
      </w:r>
      <w:r>
        <w:rPr>
          <w:rFonts w:hint="eastAsia" w:ascii="宋体" w:hAnsi="宋体" w:cs="仿宋"/>
          <w:color w:val="auto"/>
          <w:kern w:val="0"/>
          <w:sz w:val="24"/>
          <w:u w:val="single"/>
        </w:rPr>
        <w:t xml:space="preserve">                                     </w:t>
      </w:r>
    </w:p>
    <w:p>
      <w:pPr>
        <w:shd w:val="clear"/>
        <w:snapToGrid w:val="0"/>
        <w:spacing w:line="360" w:lineRule="auto"/>
        <w:ind w:firstLine="482"/>
        <w:rPr>
          <w:rFonts w:ascii="宋体" w:hAnsi="宋体" w:cs="仿宋"/>
          <w:color w:val="auto"/>
          <w:kern w:val="0"/>
          <w:sz w:val="24"/>
          <w:lang w:val="zh-CN"/>
        </w:rPr>
      </w:pPr>
      <w:r>
        <w:rPr>
          <w:rFonts w:hint="eastAsia" w:ascii="宋体" w:hAnsi="宋体"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仿宋"/>
          <w:color w:val="auto"/>
          <w:sz w:val="24"/>
        </w:rPr>
        <w:t>（项目名称）</w:t>
      </w:r>
      <w:r>
        <w:rPr>
          <w:rFonts w:hint="eastAsia" w:ascii="宋体" w:hAnsi="宋体" w:cs="仿宋"/>
          <w:color w:val="auto"/>
          <w:kern w:val="0"/>
          <w:sz w:val="24"/>
          <w:lang w:val="zh-CN"/>
        </w:rPr>
        <w:t>【项目编号：</w:t>
      </w:r>
      <w:r>
        <w:rPr>
          <w:rFonts w:hint="eastAsia" w:ascii="宋体" w:hAnsi="宋体" w:cs="仿宋"/>
          <w:color w:val="auto"/>
          <w:sz w:val="24"/>
        </w:rPr>
        <w:t xml:space="preserve">        】的实施</w:t>
      </w:r>
      <w:r>
        <w:rPr>
          <w:rFonts w:hint="eastAsia" w:ascii="宋体" w:hAnsi="宋体" w:cs="仿宋"/>
          <w:color w:val="auto"/>
          <w:kern w:val="0"/>
          <w:sz w:val="24"/>
          <w:lang w:val="zh-CN"/>
        </w:rPr>
        <w:t>。</w:t>
      </w:r>
    </w:p>
    <w:p>
      <w:pPr>
        <w:shd w:val="clear"/>
        <w:spacing w:line="360" w:lineRule="auto"/>
        <w:jc w:val="center"/>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开标一览表（报价表）(单位均为人民币元)</w:t>
      </w:r>
    </w:p>
    <w:tbl>
      <w:tblPr>
        <w:tblStyle w:val="32"/>
        <w:tblpPr w:leftFromText="180" w:rightFromText="180" w:vertAnchor="text" w:tblpX="500"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4"/>
        <w:gridCol w:w="2711"/>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8484" w:type="dxa"/>
            <w:vAlign w:val="center"/>
          </w:tcPr>
          <w:p>
            <w:pPr>
              <w:pStyle w:val="78"/>
              <w:widowControl w:val="0"/>
              <w:shd w:val="clear"/>
              <w:tabs>
                <w:tab w:val="left" w:pos="1200"/>
              </w:tabs>
              <w:spacing w:after="120" w:line="400" w:lineRule="exact"/>
              <w:ind w:firstLine="0"/>
              <w:jc w:val="center"/>
              <w:rPr>
                <w:rFonts w:ascii="宋体" w:hAnsi="宋体"/>
                <w:color w:val="auto"/>
                <w:sz w:val="21"/>
                <w:szCs w:val="21"/>
              </w:rPr>
            </w:pPr>
            <w:r>
              <w:rPr>
                <w:rFonts w:hint="eastAsia" w:ascii="宋体" w:hAnsi="宋体"/>
                <w:color w:val="auto"/>
                <w:sz w:val="21"/>
                <w:szCs w:val="21"/>
              </w:rPr>
              <w:t>项目名称</w:t>
            </w:r>
          </w:p>
        </w:tc>
        <w:tc>
          <w:tcPr>
            <w:tcW w:w="2711" w:type="dxa"/>
            <w:vAlign w:val="center"/>
          </w:tcPr>
          <w:p>
            <w:pPr>
              <w:pStyle w:val="78"/>
              <w:widowControl w:val="0"/>
              <w:shd w:val="clear"/>
              <w:tabs>
                <w:tab w:val="left" w:pos="1200"/>
              </w:tabs>
              <w:spacing w:after="120" w:line="400" w:lineRule="exact"/>
              <w:ind w:firstLine="0"/>
              <w:jc w:val="center"/>
              <w:rPr>
                <w:rFonts w:ascii="宋体" w:hAnsi="宋体"/>
                <w:color w:val="auto"/>
                <w:sz w:val="21"/>
                <w:szCs w:val="21"/>
              </w:rPr>
            </w:pPr>
            <w:r>
              <w:rPr>
                <w:rFonts w:hint="eastAsia" w:ascii="宋体" w:hAnsi="宋体"/>
                <w:color w:val="auto"/>
                <w:sz w:val="21"/>
                <w:szCs w:val="21"/>
              </w:rPr>
              <w:t>投标报价</w:t>
            </w:r>
          </w:p>
        </w:tc>
        <w:tc>
          <w:tcPr>
            <w:tcW w:w="2711" w:type="dxa"/>
            <w:vAlign w:val="center"/>
          </w:tcPr>
          <w:p>
            <w:pPr>
              <w:shd w:val="clear"/>
              <w:spacing w:line="360" w:lineRule="auto"/>
              <w:jc w:val="center"/>
              <w:rPr>
                <w:rFonts w:ascii="宋体" w:hAnsi="宋体"/>
                <w:color w:val="auto"/>
                <w:kern w:val="0"/>
                <w:szCs w:val="21"/>
              </w:rPr>
            </w:pPr>
            <w:r>
              <w:rPr>
                <w:rFonts w:hint="eastAsia" w:ascii="宋体" w:hAnsi="宋体"/>
                <w:color w:val="auto"/>
                <w:kern w:val="0"/>
                <w:szCs w:val="21"/>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484" w:type="dxa"/>
            <w:vAlign w:val="center"/>
          </w:tcPr>
          <w:p>
            <w:pPr>
              <w:pStyle w:val="78"/>
              <w:widowControl w:val="0"/>
              <w:shd w:val="clear"/>
              <w:tabs>
                <w:tab w:val="left" w:pos="1200"/>
              </w:tabs>
              <w:spacing w:after="120" w:line="400" w:lineRule="exact"/>
              <w:ind w:firstLine="0"/>
              <w:jc w:val="center"/>
              <w:rPr>
                <w:rFonts w:ascii="宋体" w:hAnsi="宋体"/>
                <w:color w:val="auto"/>
                <w:sz w:val="21"/>
                <w:szCs w:val="21"/>
              </w:rPr>
            </w:pPr>
          </w:p>
        </w:tc>
        <w:tc>
          <w:tcPr>
            <w:tcW w:w="2711" w:type="dxa"/>
            <w:vAlign w:val="center"/>
          </w:tcPr>
          <w:p>
            <w:pPr>
              <w:pStyle w:val="78"/>
              <w:widowControl w:val="0"/>
              <w:shd w:val="clear"/>
              <w:tabs>
                <w:tab w:val="left" w:pos="1200"/>
              </w:tabs>
              <w:spacing w:after="120" w:line="400" w:lineRule="exact"/>
              <w:ind w:firstLine="0"/>
              <w:jc w:val="right"/>
              <w:rPr>
                <w:rFonts w:ascii="宋体" w:hAnsi="宋体"/>
                <w:color w:val="auto"/>
                <w:sz w:val="21"/>
                <w:szCs w:val="21"/>
              </w:rPr>
            </w:pPr>
            <w:r>
              <w:rPr>
                <w:rFonts w:hint="eastAsia" w:ascii="宋体" w:hAnsi="宋体"/>
                <w:color w:val="auto"/>
                <w:sz w:val="21"/>
                <w:szCs w:val="21"/>
              </w:rPr>
              <w:t>元</w:t>
            </w:r>
          </w:p>
        </w:tc>
        <w:tc>
          <w:tcPr>
            <w:tcW w:w="2711" w:type="dxa"/>
          </w:tcPr>
          <w:p>
            <w:pPr>
              <w:pStyle w:val="78"/>
              <w:widowControl w:val="0"/>
              <w:shd w:val="clear"/>
              <w:tabs>
                <w:tab w:val="left" w:pos="1200"/>
              </w:tabs>
              <w:spacing w:after="120" w:line="400" w:lineRule="exact"/>
              <w:ind w:firstLine="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906" w:type="dxa"/>
            <w:gridSpan w:val="3"/>
          </w:tcPr>
          <w:p>
            <w:pPr>
              <w:shd w:val="clear"/>
              <w:rPr>
                <w:color w:val="auto"/>
              </w:rPr>
            </w:pPr>
            <w:r>
              <w:rPr>
                <w:rFonts w:hint="eastAsia" w:cs="仿宋" w:asciiTheme="majorEastAsia" w:hAnsiTheme="majorEastAsia" w:eastAsiaTheme="majorEastAsia"/>
                <w:b/>
                <w:color w:val="auto"/>
                <w:sz w:val="24"/>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906" w:type="dxa"/>
            <w:gridSpan w:val="3"/>
          </w:tcPr>
          <w:p>
            <w:pPr>
              <w:shd w:val="clear"/>
              <w:rPr>
                <w:color w:val="auto"/>
              </w:rPr>
            </w:pPr>
            <w:r>
              <w:rPr>
                <w:rFonts w:hint="eastAsia" w:cs="仿宋" w:asciiTheme="majorEastAsia" w:hAnsiTheme="majorEastAsia" w:eastAsiaTheme="majorEastAsia"/>
                <w:b/>
                <w:color w:val="auto"/>
                <w:sz w:val="24"/>
              </w:rPr>
              <w:t>投标报价（大写）</w:t>
            </w:r>
          </w:p>
        </w:tc>
      </w:tr>
    </w:tbl>
    <w:p>
      <w:pPr>
        <w:shd w:val="clear"/>
        <w:snapToGrid w:val="0"/>
        <w:spacing w:line="360" w:lineRule="auto"/>
        <w:ind w:left="480"/>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注：</w:t>
      </w:r>
    </w:p>
    <w:p>
      <w:pPr>
        <w:shd w:val="clear"/>
        <w:spacing w:line="360" w:lineRule="auto"/>
        <w:ind w:left="-2" w:leftChars="-1" w:firstLine="480" w:firstLineChars="200"/>
        <w:rPr>
          <w:rFonts w:ascii="宋体" w:hAnsi="宋体" w:cs="仿宋"/>
          <w:color w:val="auto"/>
          <w:kern w:val="0"/>
          <w:sz w:val="24"/>
          <w:lang w:val="zh-CN"/>
        </w:rPr>
      </w:pPr>
      <w:r>
        <w:rPr>
          <w:rFonts w:hint="eastAsia" w:ascii="宋体" w:hAnsi="宋体" w:cs="仿宋"/>
          <w:color w:val="auto"/>
          <w:kern w:val="0"/>
          <w:sz w:val="24"/>
          <w:lang w:val="zh-CN"/>
        </w:rPr>
        <w:t>1、投标人需按本表格式填写，不得自行更改。</w:t>
      </w:r>
    </w:p>
    <w:p>
      <w:pPr>
        <w:shd w:val="clear"/>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2、有关本项目实施所涉及的一切费用均计入报价。</w:t>
      </w:r>
      <w:r>
        <w:rPr>
          <w:rFonts w:hint="eastAsia" w:ascii="宋体" w:hAnsi="宋体" w:cs="仿宋"/>
          <w:b/>
          <w:color w:val="auto"/>
          <w:kern w:val="0"/>
          <w:sz w:val="24"/>
          <w:lang w:val="zh-CN"/>
        </w:rPr>
        <w:t>采购人将以合同形式有偿取得货物或服务，不接受投标人给予的赠品、回扣或者与采购无关的其他商品、服务</w:t>
      </w:r>
      <w:r>
        <w:rPr>
          <w:rFonts w:hint="eastAsia" w:ascii="宋体" w:hAnsi="宋体" w:cs="仿宋"/>
          <w:color w:val="auto"/>
          <w:kern w:val="0"/>
          <w:sz w:val="24"/>
          <w:lang w:val="zh-CN"/>
        </w:rPr>
        <w:t>，</w:t>
      </w:r>
      <w:r>
        <w:rPr>
          <w:rFonts w:hint="eastAsia" w:ascii="宋体" w:hAnsi="宋体" w:cs="仿宋"/>
          <w:b/>
          <w:color w:val="auto"/>
          <w:kern w:val="0"/>
          <w:sz w:val="24"/>
          <w:lang w:val="zh-CN"/>
        </w:rPr>
        <w:t>不得出现“0元”“免费赠送”等形式的无偿报价，</w:t>
      </w:r>
      <w:r>
        <w:rPr>
          <w:rFonts w:hint="eastAsia" w:ascii="宋体" w:hAnsi="宋体" w:cs="仿宋"/>
          <w:b/>
          <w:color w:val="auto"/>
          <w:kern w:val="0"/>
          <w:sz w:val="24"/>
        </w:rPr>
        <w:t>否则视为</w:t>
      </w:r>
      <w:r>
        <w:rPr>
          <w:rFonts w:hint="eastAsia" w:ascii="宋体" w:hAnsi="宋体" w:cs="仿宋"/>
          <w:b/>
          <w:color w:val="auto"/>
          <w:sz w:val="24"/>
        </w:rPr>
        <w:t>投标文件含有采购人不能接受的附加条件的，投标无效</w:t>
      </w:r>
      <w:r>
        <w:rPr>
          <w:rFonts w:hint="eastAsia" w:ascii="宋体" w:hAnsi="宋体" w:cs="仿宋"/>
          <w:b/>
          <w:color w:val="auto"/>
          <w:kern w:val="0"/>
          <w:sz w:val="24"/>
          <w:lang w:val="zh-CN"/>
        </w:rPr>
        <w:t>。</w:t>
      </w:r>
    </w:p>
    <w:p>
      <w:pPr>
        <w:shd w:val="clear"/>
        <w:snapToGrid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3、以上表格要求细分项目及报价，在“规格型号（或具体服务）”一栏中，货物类项目填写规格型号，服务类项目填写具体服务。</w:t>
      </w:r>
    </w:p>
    <w:p>
      <w:pPr>
        <w:shd w:val="clear"/>
        <w:snapToGrid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4、特别提示：采购代理机构将对项目名称和项目编号，中标供应商名称、地址和中标金额，主要中标标的的名称、规格型号、数量、单价、服务要求等予以公示。</w:t>
      </w:r>
    </w:p>
    <w:p>
      <w:pPr>
        <w:shd w:val="clear"/>
        <w:snapToGrid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szCs w:val="22"/>
          <w:lang w:val="zh-CN"/>
        </w:rPr>
        <w:t>5、</w:t>
      </w:r>
      <w:r>
        <w:rPr>
          <w:rFonts w:hint="eastAsia" w:ascii="宋体" w:hAnsi="宋体"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spacing w:line="360" w:lineRule="auto"/>
        <w:ind w:firstLine="3600" w:firstLineChars="1500"/>
        <w:rPr>
          <w:rFonts w:ascii="宋体" w:hAnsi="宋体" w:cs="仿宋"/>
          <w:color w:val="auto"/>
          <w:sz w:val="24"/>
        </w:rPr>
      </w:pPr>
      <w:r>
        <w:rPr>
          <w:rFonts w:hint="eastAsia" w:ascii="宋体" w:hAnsi="宋体" w:cs="仿宋"/>
          <w:color w:val="auto"/>
          <w:sz w:val="24"/>
        </w:rPr>
        <w:t xml:space="preserve">法定代表人或其授权委托人（签名或印章）：        </w:t>
      </w:r>
    </w:p>
    <w:p>
      <w:pPr>
        <w:shd w:val="clear"/>
        <w:spacing w:line="360" w:lineRule="auto"/>
        <w:ind w:firstLine="3600" w:firstLineChars="1500"/>
        <w:rPr>
          <w:rFonts w:ascii="宋体" w:hAnsi="宋体" w:cs="仿宋"/>
          <w:color w:val="auto"/>
          <w:sz w:val="24"/>
        </w:rPr>
      </w:pPr>
      <w:r>
        <w:rPr>
          <w:rFonts w:hint="eastAsia" w:ascii="宋体" w:hAnsi="宋体" w:cs="仿宋"/>
          <w:color w:val="auto"/>
          <w:sz w:val="24"/>
        </w:rPr>
        <w:t xml:space="preserve">投标人（盖章）：         </w:t>
      </w:r>
    </w:p>
    <w:p>
      <w:pPr>
        <w:shd w:val="clear"/>
        <w:snapToGrid w:val="0"/>
        <w:spacing w:line="360" w:lineRule="auto"/>
        <w:rPr>
          <w:rFonts w:asciiTheme="majorEastAsia" w:hAnsiTheme="majorEastAsia" w:eastAsiaTheme="majorEastAsia"/>
          <w:color w:val="auto"/>
        </w:rPr>
        <w:sectPr>
          <w:pgSz w:w="16838" w:h="11906" w:orient="landscape"/>
          <w:pgMar w:top="1418" w:right="1247" w:bottom="1418" w:left="1276" w:header="851" w:footer="992" w:gutter="0"/>
          <w:cols w:space="720" w:num="1"/>
          <w:titlePg/>
          <w:docGrid w:linePitch="312" w:charSpace="0"/>
        </w:sectPr>
      </w:pPr>
      <w:r>
        <w:rPr>
          <w:rFonts w:hint="eastAsia" w:ascii="宋体" w:hAnsi="宋体" w:cs="仿宋"/>
          <w:color w:val="auto"/>
          <w:sz w:val="24"/>
        </w:rPr>
        <w:t xml:space="preserve">                                    日  期：  </w:t>
      </w:r>
    </w:p>
    <w:p>
      <w:pPr>
        <w:pStyle w:val="45"/>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pPr>
      <w:r>
        <w:rPr>
          <w:rFonts w:hint="eastAsia" w:cs="仿宋" w:asciiTheme="majorEastAsia" w:hAnsiTheme="majorEastAsia" w:eastAsiaTheme="majorEastAsia"/>
          <w:color w:val="auto"/>
          <w:kern w:val="2"/>
          <w:sz w:val="32"/>
          <w:szCs w:val="32"/>
        </w:rPr>
        <w:t>二、投标报价明细表</w:t>
      </w:r>
    </w:p>
    <w:p>
      <w:pPr>
        <w:shd w:val="clear"/>
        <w:snapToGrid w:val="0"/>
        <w:spacing w:line="360" w:lineRule="auto"/>
        <w:rPr>
          <w:rFonts w:ascii="宋体" w:hAnsi="宋体" w:cs="仿宋"/>
          <w:color w:val="auto"/>
          <w:sz w:val="24"/>
        </w:rPr>
      </w:pPr>
      <w:r>
        <w:rPr>
          <w:rFonts w:hint="eastAsia" w:ascii="宋体" w:hAnsi="宋体" w:cs="仿宋"/>
          <w:color w:val="auto"/>
          <w:sz w:val="24"/>
        </w:rPr>
        <w:t>投标人名称：</w:t>
      </w:r>
      <w:r>
        <w:rPr>
          <w:rFonts w:hint="eastAsia" w:ascii="宋体" w:hAnsi="宋体" w:cs="仿宋"/>
          <w:color w:val="auto"/>
          <w:kern w:val="0"/>
          <w:sz w:val="24"/>
          <w:u w:val="single"/>
        </w:rPr>
        <w:t xml:space="preserve">                            </w:t>
      </w:r>
    </w:p>
    <w:p>
      <w:pPr>
        <w:shd w:val="clear"/>
        <w:snapToGrid w:val="0"/>
        <w:spacing w:line="360" w:lineRule="auto"/>
        <w:rPr>
          <w:rFonts w:ascii="宋体" w:hAnsi="宋体" w:cs="仿宋"/>
          <w:color w:val="auto"/>
          <w:sz w:val="24"/>
        </w:rPr>
      </w:pPr>
      <w:r>
        <w:rPr>
          <w:rFonts w:hint="eastAsia" w:ascii="宋体" w:hAnsi="宋体" w:cs="仿宋"/>
          <w:color w:val="auto"/>
          <w:sz w:val="24"/>
        </w:rPr>
        <w:t>标    项：</w:t>
      </w:r>
      <w:r>
        <w:rPr>
          <w:rFonts w:hint="eastAsia" w:ascii="宋体" w:hAnsi="宋体" w:cs="仿宋"/>
          <w:color w:val="auto"/>
          <w:kern w:val="0"/>
          <w:sz w:val="24"/>
          <w:u w:val="single"/>
        </w:rPr>
        <w:t xml:space="preserve">                              </w:t>
      </w:r>
    </w:p>
    <w:p>
      <w:pPr>
        <w:shd w:val="clear"/>
        <w:snapToGrid w:val="0"/>
        <w:spacing w:line="360" w:lineRule="auto"/>
        <w:jc w:val="left"/>
        <w:rPr>
          <w:rFonts w:ascii="宋体" w:hAnsi="宋体" w:cs="仿宋"/>
          <w:color w:val="auto"/>
          <w:sz w:val="24"/>
        </w:rPr>
      </w:pPr>
      <w:r>
        <w:rPr>
          <w:rFonts w:hint="eastAsia" w:ascii="宋体" w:hAnsi="宋体" w:cs="仿宋"/>
          <w:color w:val="auto"/>
          <w:sz w:val="24"/>
        </w:rPr>
        <w:t xml:space="preserve">项目编号： </w:t>
      </w:r>
      <w:r>
        <w:rPr>
          <w:rFonts w:hint="eastAsia" w:ascii="宋体" w:hAnsi="宋体" w:cs="仿宋"/>
          <w:color w:val="auto"/>
          <w:kern w:val="0"/>
          <w:sz w:val="24"/>
          <w:u w:val="single"/>
        </w:rPr>
        <w:t xml:space="preserve">                             </w:t>
      </w:r>
      <w:r>
        <w:rPr>
          <w:rFonts w:hint="eastAsia" w:ascii="宋体" w:hAnsi="宋体" w:cs="仿宋"/>
          <w:color w:val="auto"/>
          <w:sz w:val="24"/>
        </w:rPr>
        <w:t xml:space="preserve">         </w:t>
      </w:r>
    </w:p>
    <w:tbl>
      <w:tblPr>
        <w:tblStyle w:val="32"/>
        <w:tblW w:w="95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2693"/>
        <w:gridCol w:w="1590"/>
        <w:gridCol w:w="1954"/>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olor w:val="auto"/>
              </w:rPr>
            </w:pPr>
            <w:r>
              <w:rPr>
                <w:rFonts w:hint="eastAsia" w:ascii="宋体" w:hAnsi="宋体"/>
                <w:color w:val="auto"/>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rPr>
            </w:pPr>
            <w:r>
              <w:rPr>
                <w:rFonts w:hint="eastAsia" w:ascii="宋体" w:hAnsi="宋体"/>
                <w:color w:val="auto"/>
              </w:rPr>
              <w:t>服务内容</w:t>
            </w:r>
          </w:p>
        </w:tc>
        <w:tc>
          <w:tcPr>
            <w:tcW w:w="159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rPr>
            </w:pPr>
            <w:r>
              <w:rPr>
                <w:rFonts w:hint="eastAsia" w:ascii="宋体" w:hAnsi="宋体"/>
                <w:color w:val="auto"/>
              </w:rPr>
              <w:t>数量</w:t>
            </w:r>
          </w:p>
        </w:tc>
        <w:tc>
          <w:tcPr>
            <w:tcW w:w="195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rPr>
            </w:pPr>
            <w:r>
              <w:rPr>
                <w:rFonts w:hint="eastAsia" w:ascii="宋体" w:hAnsi="宋体"/>
                <w:color w:val="auto"/>
              </w:rPr>
              <w:t>单价（元）</w:t>
            </w:r>
          </w:p>
        </w:tc>
        <w:tc>
          <w:tcPr>
            <w:tcW w:w="24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olor w:val="auto"/>
              </w:rPr>
            </w:pPr>
            <w:r>
              <w:rPr>
                <w:rFonts w:hint="eastAsia" w:ascii="宋体" w:hAnsi="宋体"/>
                <w:color w:val="auto"/>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pPr>
              <w:shd w:val="clear"/>
              <w:jc w:val="center"/>
              <w:rPr>
                <w:rFonts w:ascii="宋体" w:hAnsi="宋体"/>
                <w:color w:val="auto"/>
              </w:rPr>
            </w:pPr>
            <w:r>
              <w:rPr>
                <w:rFonts w:hint="eastAsia" w:ascii="宋体" w:hAnsi="宋体"/>
                <w:color w:val="auto"/>
              </w:rPr>
              <w:t>1</w:t>
            </w:r>
          </w:p>
        </w:tc>
        <w:tc>
          <w:tcPr>
            <w:tcW w:w="269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olor w:val="auto"/>
                <w:szCs w:val="21"/>
              </w:rPr>
            </w:pPr>
          </w:p>
        </w:tc>
        <w:tc>
          <w:tcPr>
            <w:tcW w:w="159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1954"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241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pPr>
              <w:shd w:val="clear"/>
              <w:jc w:val="center"/>
              <w:rPr>
                <w:rFonts w:ascii="宋体" w:hAnsi="宋体"/>
                <w:color w:val="auto"/>
              </w:rPr>
            </w:pPr>
            <w:r>
              <w:rPr>
                <w:rFonts w:hint="eastAsia" w:ascii="宋体" w:hAnsi="宋体"/>
                <w:color w:val="auto"/>
              </w:rPr>
              <w:t>2</w:t>
            </w:r>
          </w:p>
        </w:tc>
        <w:tc>
          <w:tcPr>
            <w:tcW w:w="269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olor w:val="auto"/>
                <w:szCs w:val="21"/>
              </w:rPr>
            </w:pPr>
          </w:p>
        </w:tc>
        <w:tc>
          <w:tcPr>
            <w:tcW w:w="159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1954"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241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14" w:type="dxa"/>
            <w:tcBorders>
              <w:top w:val="single" w:color="auto" w:sz="4" w:space="0"/>
              <w:left w:val="single" w:color="auto" w:sz="4" w:space="0"/>
              <w:bottom w:val="single" w:color="auto" w:sz="4" w:space="0"/>
              <w:right w:val="single" w:color="auto" w:sz="4" w:space="0"/>
            </w:tcBorders>
          </w:tcPr>
          <w:p>
            <w:pPr>
              <w:shd w:val="clear"/>
              <w:jc w:val="center"/>
              <w:rPr>
                <w:rFonts w:ascii="宋体" w:hAnsi="宋体"/>
                <w:color w:val="auto"/>
              </w:rPr>
            </w:pPr>
            <w:r>
              <w:rPr>
                <w:rFonts w:hint="eastAsia" w:ascii="宋体" w:hAnsi="宋体"/>
                <w:color w:val="auto"/>
              </w:rPr>
              <w:t>3</w:t>
            </w:r>
          </w:p>
        </w:tc>
        <w:tc>
          <w:tcPr>
            <w:tcW w:w="269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olor w:val="auto"/>
                <w:szCs w:val="21"/>
              </w:rPr>
            </w:pPr>
          </w:p>
        </w:tc>
        <w:tc>
          <w:tcPr>
            <w:tcW w:w="159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1954"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241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pPr>
              <w:shd w:val="clear"/>
              <w:jc w:val="center"/>
              <w:rPr>
                <w:rFonts w:ascii="宋体" w:hAnsi="宋体"/>
                <w:color w:val="auto"/>
              </w:rPr>
            </w:pPr>
            <w:r>
              <w:rPr>
                <w:rFonts w:hint="eastAsia" w:ascii="宋体" w:hAnsi="宋体"/>
                <w:color w:val="auto"/>
              </w:rPr>
              <w:t>4</w:t>
            </w:r>
          </w:p>
        </w:tc>
        <w:tc>
          <w:tcPr>
            <w:tcW w:w="269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olor w:val="auto"/>
                <w:szCs w:val="21"/>
              </w:rPr>
            </w:pPr>
          </w:p>
        </w:tc>
        <w:tc>
          <w:tcPr>
            <w:tcW w:w="159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1954"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241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pPr>
              <w:shd w:val="clear"/>
              <w:jc w:val="center"/>
              <w:rPr>
                <w:rFonts w:ascii="宋体" w:hAnsi="宋体"/>
                <w:color w:val="auto"/>
              </w:rPr>
            </w:pPr>
            <w:r>
              <w:rPr>
                <w:rFonts w:hint="eastAsia" w:ascii="宋体" w:hAnsi="宋体"/>
                <w:color w:val="auto"/>
              </w:rPr>
              <w:t>5</w:t>
            </w:r>
          </w:p>
        </w:tc>
        <w:tc>
          <w:tcPr>
            <w:tcW w:w="269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olor w:val="auto"/>
                <w:szCs w:val="21"/>
              </w:rPr>
            </w:pPr>
          </w:p>
        </w:tc>
        <w:tc>
          <w:tcPr>
            <w:tcW w:w="159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1954"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241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pPr>
              <w:shd w:val="clear"/>
              <w:jc w:val="center"/>
              <w:rPr>
                <w:rFonts w:ascii="宋体" w:hAnsi="宋体"/>
                <w:color w:val="auto"/>
              </w:rPr>
            </w:pPr>
            <w:r>
              <w:rPr>
                <w:rFonts w:hint="eastAsia" w:ascii="宋体" w:hAnsi="宋体"/>
                <w:color w:val="auto"/>
              </w:rPr>
              <w:t>6</w:t>
            </w:r>
          </w:p>
        </w:tc>
        <w:tc>
          <w:tcPr>
            <w:tcW w:w="269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olor w:val="auto"/>
                <w:szCs w:val="21"/>
              </w:rPr>
            </w:pPr>
          </w:p>
        </w:tc>
        <w:tc>
          <w:tcPr>
            <w:tcW w:w="159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1954"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241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14" w:type="dxa"/>
            <w:tcBorders>
              <w:top w:val="single" w:color="auto" w:sz="4" w:space="0"/>
              <w:left w:val="single" w:color="auto" w:sz="4" w:space="0"/>
              <w:bottom w:val="single" w:color="auto" w:sz="4" w:space="0"/>
              <w:right w:val="single" w:color="auto" w:sz="4" w:space="0"/>
            </w:tcBorders>
          </w:tcPr>
          <w:p>
            <w:pPr>
              <w:shd w:val="clear"/>
              <w:jc w:val="center"/>
              <w:rPr>
                <w:rFonts w:ascii="宋体" w:hAnsi="宋体"/>
                <w:color w:val="auto"/>
              </w:rPr>
            </w:pPr>
            <w:r>
              <w:rPr>
                <w:rFonts w:hint="eastAsia" w:ascii="宋体" w:hAnsi="宋体"/>
                <w:color w:val="auto"/>
              </w:rPr>
              <w:t>7</w:t>
            </w:r>
          </w:p>
        </w:tc>
        <w:tc>
          <w:tcPr>
            <w:tcW w:w="269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olor w:val="auto"/>
                <w:szCs w:val="21"/>
              </w:rPr>
            </w:pPr>
          </w:p>
        </w:tc>
        <w:tc>
          <w:tcPr>
            <w:tcW w:w="159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1954"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241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tcPr>
          <w:p>
            <w:pPr>
              <w:shd w:val="clear"/>
              <w:jc w:val="center"/>
              <w:rPr>
                <w:rFonts w:ascii="宋体" w:hAnsi="宋体"/>
                <w:color w:val="auto"/>
              </w:rPr>
            </w:pPr>
            <w:r>
              <w:rPr>
                <w:rFonts w:hint="eastAsia" w:ascii="宋体" w:hAnsi="宋体"/>
                <w:color w:val="auto"/>
              </w:rPr>
              <w:t>8</w:t>
            </w:r>
          </w:p>
        </w:tc>
        <w:tc>
          <w:tcPr>
            <w:tcW w:w="269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olor w:val="auto"/>
                <w:szCs w:val="21"/>
              </w:rPr>
            </w:pPr>
          </w:p>
        </w:tc>
        <w:tc>
          <w:tcPr>
            <w:tcW w:w="159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1954"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241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tcPr>
          <w:p>
            <w:pPr>
              <w:shd w:val="clear"/>
              <w:jc w:val="center"/>
              <w:rPr>
                <w:rFonts w:ascii="宋体" w:hAnsi="宋体"/>
                <w:color w:val="auto"/>
              </w:rPr>
            </w:pPr>
            <w:r>
              <w:rPr>
                <w:rFonts w:hint="eastAsia" w:ascii="宋体" w:hAnsi="宋体"/>
                <w:color w:val="auto"/>
              </w:rPr>
              <w:t>9</w:t>
            </w:r>
          </w:p>
        </w:tc>
        <w:tc>
          <w:tcPr>
            <w:tcW w:w="269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olor w:val="auto"/>
                <w:szCs w:val="21"/>
              </w:rPr>
            </w:pPr>
          </w:p>
        </w:tc>
        <w:tc>
          <w:tcPr>
            <w:tcW w:w="159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1954"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241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tcPr>
          <w:p>
            <w:pPr>
              <w:shd w:val="clear"/>
              <w:jc w:val="center"/>
              <w:rPr>
                <w:rFonts w:ascii="宋体" w:hAnsi="宋体"/>
                <w:color w:val="auto"/>
              </w:rPr>
            </w:pPr>
            <w:r>
              <w:rPr>
                <w:rFonts w:hint="eastAsia" w:ascii="宋体" w:hAnsi="宋体"/>
                <w:color w:val="auto"/>
              </w:rPr>
              <w:t>10</w:t>
            </w:r>
          </w:p>
        </w:tc>
        <w:tc>
          <w:tcPr>
            <w:tcW w:w="269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olor w:val="auto"/>
                <w:szCs w:val="21"/>
              </w:rPr>
            </w:pPr>
          </w:p>
        </w:tc>
        <w:tc>
          <w:tcPr>
            <w:tcW w:w="159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1954"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241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pPr>
              <w:shd w:val="clear"/>
              <w:jc w:val="center"/>
              <w:rPr>
                <w:rFonts w:ascii="宋体" w:hAnsi="宋体"/>
                <w:color w:val="auto"/>
              </w:rPr>
            </w:pPr>
            <w:r>
              <w:rPr>
                <w:rFonts w:hint="eastAsia" w:ascii="宋体" w:hAnsi="宋体"/>
                <w:color w:val="auto"/>
              </w:rPr>
              <w:t>11</w:t>
            </w:r>
          </w:p>
        </w:tc>
        <w:tc>
          <w:tcPr>
            <w:tcW w:w="269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jc w:val="center"/>
              <w:rPr>
                <w:rFonts w:ascii="宋体" w:hAnsi="宋体"/>
                <w:color w:val="auto"/>
                <w:szCs w:val="21"/>
              </w:rPr>
            </w:pPr>
          </w:p>
        </w:tc>
        <w:tc>
          <w:tcPr>
            <w:tcW w:w="159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1954"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241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c>
          <w:tcPr>
            <w:tcW w:w="6237" w:type="dxa"/>
            <w:gridSpan w:val="3"/>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r>
              <w:rPr>
                <w:rFonts w:hint="eastAsia" w:ascii="宋体" w:hAnsi="宋体"/>
                <w:color w:val="auto"/>
              </w:rPr>
              <w:t>投 标 总  价</w:t>
            </w:r>
          </w:p>
        </w:tc>
        <w:tc>
          <w:tcPr>
            <w:tcW w:w="2410" w:type="dxa"/>
            <w:tcBorders>
              <w:top w:val="single" w:color="auto" w:sz="4" w:space="0"/>
              <w:left w:val="single" w:color="auto" w:sz="4" w:space="0"/>
              <w:bottom w:val="single" w:color="auto" w:sz="4" w:space="0"/>
              <w:right w:val="single" w:color="auto" w:sz="4" w:space="0"/>
            </w:tcBorders>
          </w:tcPr>
          <w:p>
            <w:pPr>
              <w:shd w:val="clear"/>
              <w:rPr>
                <w:rFonts w:ascii="宋体" w:hAnsi="宋体"/>
                <w:color w:val="auto"/>
              </w:rPr>
            </w:pPr>
          </w:p>
        </w:tc>
      </w:tr>
    </w:tbl>
    <w:p>
      <w:pPr>
        <w:pStyle w:val="17"/>
        <w:shd w:val="clear"/>
        <w:spacing w:line="360" w:lineRule="auto"/>
        <w:ind w:left="-178" w:leftChars="-85"/>
        <w:rPr>
          <w:rFonts w:cs="仿宋"/>
          <w:color w:val="auto"/>
        </w:rPr>
      </w:pPr>
      <w:r>
        <w:rPr>
          <w:rFonts w:hint="eastAsia" w:cs="仿宋"/>
          <w:color w:val="auto"/>
        </w:rPr>
        <w:t>注：</w:t>
      </w:r>
    </w:p>
    <w:p>
      <w:pPr>
        <w:pStyle w:val="17"/>
        <w:shd w:val="clear"/>
        <w:spacing w:line="360" w:lineRule="auto"/>
        <w:ind w:left="-178" w:leftChars="-85"/>
        <w:rPr>
          <w:rFonts w:cs="仿宋"/>
          <w:color w:val="auto"/>
        </w:rPr>
      </w:pPr>
      <w:r>
        <w:rPr>
          <w:rFonts w:hint="eastAsia" w:cs="仿宋"/>
          <w:color w:val="auto"/>
        </w:rPr>
        <w:t>1.本表格仅供参考，投标人可根据项目实际情况扩展表格。</w:t>
      </w:r>
    </w:p>
    <w:p>
      <w:pPr>
        <w:pStyle w:val="17"/>
        <w:shd w:val="clear"/>
        <w:spacing w:line="360" w:lineRule="auto"/>
        <w:ind w:left="-178" w:leftChars="-85"/>
        <w:rPr>
          <w:rFonts w:cs="仿宋"/>
          <w:color w:val="auto"/>
        </w:rPr>
      </w:pPr>
      <w:r>
        <w:rPr>
          <w:rFonts w:hint="eastAsia" w:cs="仿宋"/>
          <w:color w:val="auto"/>
        </w:rPr>
        <w:t>2.投标总价应与开标一览表的投标报价一致。</w:t>
      </w:r>
    </w:p>
    <w:p>
      <w:pPr>
        <w:shd w:val="clear"/>
        <w:spacing w:line="360" w:lineRule="auto"/>
        <w:rPr>
          <w:rFonts w:ascii="宋体" w:hAnsi="宋体" w:cs="仿宋"/>
          <w:color w:val="auto"/>
          <w:sz w:val="24"/>
        </w:rPr>
      </w:pPr>
    </w:p>
    <w:p>
      <w:pPr>
        <w:shd w:val="clear"/>
        <w:spacing w:line="360" w:lineRule="auto"/>
        <w:ind w:left="3780" w:leftChars="1800"/>
        <w:rPr>
          <w:rFonts w:ascii="宋体" w:hAnsi="宋体" w:cs="仿宋"/>
          <w:color w:val="auto"/>
          <w:sz w:val="24"/>
        </w:rPr>
      </w:pPr>
      <w:r>
        <w:rPr>
          <w:rFonts w:hint="eastAsia" w:ascii="宋体" w:hAnsi="宋体" w:cs="仿宋"/>
          <w:color w:val="auto"/>
          <w:sz w:val="24"/>
        </w:rPr>
        <w:t xml:space="preserve">法定代表人或其授权委托人（签名或印章）：        </w:t>
      </w:r>
    </w:p>
    <w:p>
      <w:pPr>
        <w:shd w:val="clear"/>
        <w:spacing w:line="360" w:lineRule="auto"/>
        <w:ind w:left="3780" w:leftChars="1800"/>
        <w:rPr>
          <w:rFonts w:ascii="宋体" w:hAnsi="宋体" w:cs="仿宋"/>
          <w:color w:val="auto"/>
          <w:sz w:val="24"/>
        </w:rPr>
      </w:pPr>
      <w:r>
        <w:rPr>
          <w:rFonts w:hint="eastAsia" w:ascii="宋体" w:hAnsi="宋体" w:cs="仿宋"/>
          <w:color w:val="auto"/>
          <w:sz w:val="24"/>
        </w:rPr>
        <w:t xml:space="preserve">投标人（盖章）：         </w:t>
      </w:r>
    </w:p>
    <w:p>
      <w:pPr>
        <w:pStyle w:val="45"/>
        <w:keepNext w:val="0"/>
        <w:pageBreakBefore w:val="0"/>
        <w:shd w:val="clear"/>
        <w:tabs>
          <w:tab w:val="clear" w:pos="720"/>
        </w:tabs>
        <w:snapToGrid w:val="0"/>
        <w:spacing w:before="120" w:after="120"/>
        <w:ind w:left="3780" w:leftChars="1800"/>
        <w:jc w:val="both"/>
        <w:outlineLvl w:val="9"/>
        <w:rPr>
          <w:rFonts w:ascii="宋体" w:hAnsi="宋体" w:eastAsia="宋体" w:cs="仿宋"/>
          <w:b w:val="0"/>
          <w:color w:val="auto"/>
          <w:kern w:val="2"/>
          <w:sz w:val="24"/>
          <w:szCs w:val="24"/>
        </w:rPr>
      </w:pPr>
      <w:r>
        <w:rPr>
          <w:rFonts w:hint="eastAsia" w:ascii="宋体" w:hAnsi="宋体" w:eastAsia="宋体" w:cs="仿宋"/>
          <w:b w:val="0"/>
          <w:color w:val="auto"/>
          <w:kern w:val="2"/>
          <w:sz w:val="24"/>
          <w:szCs w:val="24"/>
        </w:rPr>
        <w:t xml:space="preserve">日  期：  </w:t>
      </w:r>
    </w:p>
    <w:p>
      <w:pPr>
        <w:pStyle w:val="45"/>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rPr>
      </w:pPr>
      <w:r>
        <w:rPr>
          <w:rFonts w:hint="eastAsia" w:cs="仿宋" w:asciiTheme="majorEastAsia" w:hAnsiTheme="majorEastAsia" w:eastAsiaTheme="majorEastAsia"/>
          <w:b w:val="0"/>
          <w:color w:val="auto"/>
          <w:kern w:val="2"/>
          <w:sz w:val="24"/>
          <w:szCs w:val="24"/>
        </w:rPr>
        <w:br w:type="page"/>
      </w:r>
      <w:r>
        <w:rPr>
          <w:rFonts w:hint="eastAsia" w:cs="仿宋" w:asciiTheme="majorEastAsia" w:hAnsiTheme="majorEastAsia" w:eastAsiaTheme="majorEastAsia"/>
          <w:color w:val="auto"/>
          <w:kern w:val="2"/>
          <w:sz w:val="32"/>
          <w:szCs w:val="32"/>
        </w:rPr>
        <w:t>三、</w:t>
      </w:r>
      <w:r>
        <w:rPr>
          <w:rFonts w:hint="eastAsia" w:cs="仿宋" w:asciiTheme="majorEastAsia" w:hAnsiTheme="majorEastAsia" w:eastAsiaTheme="majorEastAsia"/>
          <w:color w:val="auto"/>
          <w:sz w:val="32"/>
          <w:szCs w:val="32"/>
        </w:rPr>
        <w:t>中小企业声明函</w:t>
      </w:r>
    </w:p>
    <w:p>
      <w:pPr>
        <w:widowControl/>
        <w:shd w:val="clear"/>
        <w:spacing w:line="360" w:lineRule="auto"/>
        <w:ind w:firstLine="120" w:firstLineChars="50"/>
        <w:jc w:val="left"/>
        <w:rPr>
          <w:rFonts w:ascii="宋体" w:hAnsi="宋体" w:cs="仿宋"/>
          <w:b/>
          <w:color w:val="auto"/>
          <w:sz w:val="24"/>
        </w:rPr>
      </w:pPr>
      <w:r>
        <w:rPr>
          <w:rFonts w:hint="eastAsia" w:ascii="宋体" w:hAnsi="宋体"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hd w:val="clear"/>
        <w:spacing w:line="360" w:lineRule="auto"/>
        <w:jc w:val="center"/>
        <w:rPr>
          <w:rFonts w:ascii="宋体" w:hAnsi="宋体" w:cs="仿宋"/>
          <w:b/>
          <w:color w:val="auto"/>
          <w:sz w:val="28"/>
          <w:szCs w:val="28"/>
        </w:rPr>
      </w:pPr>
      <w:r>
        <w:rPr>
          <w:rFonts w:hint="eastAsia" w:ascii="宋体" w:hAnsi="宋体" w:cs="仿宋"/>
          <w:b/>
          <w:color w:val="auto"/>
          <w:sz w:val="28"/>
          <w:szCs w:val="28"/>
        </w:rPr>
        <w:t>中小企业声明函（服务）</w:t>
      </w:r>
    </w:p>
    <w:p>
      <w:pPr>
        <w:shd w:val="clear"/>
        <w:spacing w:line="360" w:lineRule="auto"/>
        <w:ind w:firstLine="360" w:firstLineChars="15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本公司（联合体）郑重声明，根据《政府采购促进中小企业发展管理办法》（财库﹝2020﹞46 号）的规定，本公司（联合体）参加 </w:t>
      </w:r>
      <w:r>
        <w:rPr>
          <w:rFonts w:hint="eastAsia" w:cs="仿宋" w:asciiTheme="majorEastAsia" w:hAnsiTheme="majorEastAsia" w:eastAsiaTheme="majorEastAsia"/>
          <w:color w:val="auto"/>
          <w:sz w:val="24"/>
          <w:u w:val="single"/>
        </w:rPr>
        <w:t xml:space="preserve">（单位名称） </w:t>
      </w:r>
      <w:r>
        <w:rPr>
          <w:rFonts w:hint="eastAsia" w:cs="仿宋" w:asciiTheme="majorEastAsia" w:hAnsiTheme="majorEastAsia" w:eastAsiaTheme="majorEastAsia"/>
          <w:color w:val="auto"/>
          <w:sz w:val="24"/>
        </w:rPr>
        <w:t xml:space="preserve">的 </w:t>
      </w:r>
      <w:r>
        <w:rPr>
          <w:rFonts w:hint="eastAsia" w:cs="仿宋" w:asciiTheme="majorEastAsia" w:hAnsiTheme="majorEastAsia" w:eastAsiaTheme="majorEastAsia"/>
          <w:color w:val="auto"/>
          <w:sz w:val="24"/>
          <w:u w:val="single"/>
        </w:rPr>
        <w:t xml:space="preserve">（项目名称） </w:t>
      </w:r>
      <w:r>
        <w:rPr>
          <w:rFonts w:hint="eastAsia" w:cs="仿宋" w:asciiTheme="majorEastAsia" w:hAnsiTheme="majorEastAsia" w:eastAsiaTheme="maj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r>
        <w:rPr>
          <w:rFonts w:hint="eastAsia" w:cs="仿宋" w:asciiTheme="majorEastAsia" w:hAnsiTheme="majorEastAsia" w:eastAsiaTheme="majorEastAsia"/>
          <w:color w:val="auto"/>
        </w:rPr>
        <w:t xml:space="preserve"> </w:t>
      </w:r>
      <w:r>
        <w:rPr>
          <w:rFonts w:hint="eastAsia" w:cs="仿宋" w:asciiTheme="majorEastAsia" w:hAnsiTheme="majorEastAsia" w:eastAsiaTheme="majorEastAsia"/>
          <w:color w:val="auto"/>
          <w:sz w:val="24"/>
          <w:u w:val="single"/>
        </w:rPr>
        <w:t>（</w:t>
      </w:r>
      <w:r>
        <w:rPr>
          <w:rFonts w:hint="eastAsia" w:cs="仿宋" w:asciiTheme="majorEastAsia" w:hAnsiTheme="majorEastAsia" w:eastAsiaTheme="majorEastAsia"/>
          <w:snapToGrid w:val="0"/>
          <w:color w:val="auto"/>
          <w:kern w:val="28"/>
          <w:sz w:val="24"/>
          <w:u w:val="single"/>
        </w:rPr>
        <w:t>保洁及垃圾清运</w:t>
      </w:r>
      <w:r>
        <w:rPr>
          <w:rFonts w:hint="eastAsia" w:cs="仿宋" w:asciiTheme="majorEastAsia" w:hAnsiTheme="majorEastAsia" w:eastAsiaTheme="majorEastAsia"/>
          <w:color w:val="auto"/>
          <w:sz w:val="24"/>
          <w:u w:val="single"/>
        </w:rPr>
        <w:t>）</w:t>
      </w:r>
      <w:r>
        <w:rPr>
          <w:rFonts w:hint="eastAsia" w:cs="仿宋" w:asciiTheme="majorEastAsia" w:hAnsiTheme="majorEastAsia" w:eastAsiaTheme="majorEastAsia"/>
          <w:color w:val="auto"/>
          <w:sz w:val="24"/>
        </w:rPr>
        <w:t xml:space="preserve">，属于 </w:t>
      </w:r>
      <w:r>
        <w:rPr>
          <w:rFonts w:hint="eastAsia" w:cs="仿宋" w:asciiTheme="majorEastAsia" w:hAnsiTheme="majorEastAsia" w:eastAsiaTheme="majorEastAsia"/>
          <w:color w:val="auto"/>
          <w:sz w:val="24"/>
          <w:u w:val="single"/>
        </w:rPr>
        <w:t>其他未列明行业</w:t>
      </w:r>
      <w:r>
        <w:rPr>
          <w:rFonts w:hint="eastAsia" w:cs="仿宋" w:asciiTheme="majorEastAsia" w:hAnsiTheme="majorEastAsia" w:eastAsiaTheme="majorEastAsia"/>
          <w:color w:val="auto"/>
          <w:sz w:val="24"/>
        </w:rPr>
        <w:t xml:space="preserve"> ；承建（承接）企业为 </w:t>
      </w:r>
      <w:r>
        <w:rPr>
          <w:rFonts w:hint="eastAsia" w:cs="仿宋" w:asciiTheme="majorEastAsia" w:hAnsiTheme="majorEastAsia" w:eastAsiaTheme="majorEastAsia"/>
          <w:color w:val="auto"/>
          <w:sz w:val="24"/>
          <w:u w:val="single"/>
        </w:rPr>
        <w:t>（企业名称）</w:t>
      </w:r>
      <w:r>
        <w:rPr>
          <w:rFonts w:hint="eastAsia" w:cs="仿宋" w:asciiTheme="majorEastAsia" w:hAnsiTheme="majorEastAsia" w:eastAsiaTheme="majorEastAsia"/>
          <w:color w:val="auto"/>
          <w:sz w:val="24"/>
        </w:rPr>
        <w:t xml:space="preserve"> ，从业人员</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人，营业收入为</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万元，资产总额为</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万元属于</w:t>
      </w:r>
      <w:r>
        <w:rPr>
          <w:rFonts w:hint="eastAsia" w:cs="仿宋" w:asciiTheme="majorEastAsia" w:hAnsiTheme="majorEastAsia" w:eastAsiaTheme="majorEastAsia"/>
          <w:color w:val="auto"/>
          <w:sz w:val="24"/>
          <w:u w:val="single"/>
        </w:rPr>
        <w:t xml:space="preserve"> （中型企业、小型企业、微型企业） </w:t>
      </w:r>
      <w:r>
        <w:rPr>
          <w:rFonts w:hint="eastAsia" w:cs="仿宋" w:asciiTheme="majorEastAsia" w:hAnsiTheme="majorEastAsia" w:eastAsiaTheme="majorEastAsia"/>
          <w:color w:val="auto"/>
          <w:sz w:val="24"/>
        </w:rPr>
        <w:t>；</w:t>
      </w:r>
    </w:p>
    <w:p>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本企业对上述声明内容的真实性负责。如有虚假，将依法承担相应责任。</w:t>
      </w:r>
    </w:p>
    <w:p>
      <w:pPr>
        <w:shd w:val="clear"/>
        <w:spacing w:line="360" w:lineRule="auto"/>
        <w:ind w:right="1760"/>
        <w:jc w:val="right"/>
        <w:rPr>
          <w:rFonts w:cs="仿宋" w:asciiTheme="majorEastAsia" w:hAnsiTheme="majorEastAsia" w:eastAsiaTheme="majorEastAsia"/>
          <w:color w:val="auto"/>
          <w:sz w:val="24"/>
        </w:rPr>
      </w:pPr>
    </w:p>
    <w:p>
      <w:pPr>
        <w:shd w:val="clear"/>
        <w:adjustRightInd w:val="0"/>
        <w:snapToGrid w:val="0"/>
        <w:spacing w:line="360" w:lineRule="auto"/>
        <w:ind w:left="3570" w:leftChars="17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pPr>
        <w:shd w:val="clear"/>
        <w:adjustRightInd w:val="0"/>
        <w:snapToGrid w:val="0"/>
        <w:spacing w:line="360" w:lineRule="auto"/>
        <w:ind w:left="3570" w:leftChars="17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pPr>
        <w:shd w:val="clear"/>
        <w:snapToGrid w:val="0"/>
        <w:spacing w:line="360" w:lineRule="auto"/>
        <w:ind w:firstLine="5160" w:firstLineChars="2150"/>
        <w:rPr>
          <w:rFonts w:ascii="宋体" w:hAnsi="宋体" w:cs="仿宋"/>
          <w:color w:val="auto"/>
          <w:kern w:val="0"/>
          <w:sz w:val="24"/>
          <w:lang w:val="zh-CN"/>
        </w:rPr>
      </w:pPr>
    </w:p>
    <w:p>
      <w:pPr>
        <w:shd w:val="clear"/>
        <w:spacing w:line="360" w:lineRule="auto"/>
        <w:jc w:val="left"/>
        <w:rPr>
          <w:rFonts w:ascii="宋体" w:hAnsi="宋体" w:cs="仿宋"/>
          <w:color w:val="auto"/>
          <w:sz w:val="18"/>
          <w:szCs w:val="18"/>
        </w:rPr>
      </w:pPr>
      <w:r>
        <w:rPr>
          <w:rFonts w:hint="eastAsia" w:ascii="宋体" w:hAnsi="宋体" w:cs="仿宋"/>
          <w:color w:val="auto"/>
          <w:sz w:val="18"/>
          <w:szCs w:val="18"/>
        </w:rPr>
        <w:t>从业人员、营业收入、资产总额填报上一年度数据，无上一年度数据的新成立企业可不填报。</w:t>
      </w:r>
    </w:p>
    <w:p>
      <w:pPr>
        <w:shd w:val="clear"/>
        <w:spacing w:line="360" w:lineRule="auto"/>
        <w:ind w:right="-420" w:rightChars="-200" w:firstLine="480" w:firstLineChars="200"/>
        <w:rPr>
          <w:rFonts w:ascii="宋体" w:hAnsi="宋体" w:cs="仿宋"/>
          <w:color w:val="auto"/>
          <w:sz w:val="24"/>
        </w:rPr>
      </w:pPr>
      <w:r>
        <w:rPr>
          <w:rFonts w:hint="eastAsia" w:ascii="宋体" w:hAnsi="宋体" w:cs="仿宋"/>
          <w:color w:val="auto"/>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shd w:val="clear"/>
        <w:ind w:firstLine="588"/>
        <w:rPr>
          <w:color w:val="auto"/>
        </w:rPr>
        <w:sectPr>
          <w:pgSz w:w="11906" w:h="16838"/>
          <w:pgMar w:top="1440" w:right="1800" w:bottom="1440" w:left="1800" w:header="851" w:footer="992" w:gutter="0"/>
          <w:cols w:space="425" w:num="1"/>
          <w:docGrid w:type="lines" w:linePitch="312" w:charSpace="0"/>
        </w:sectPr>
      </w:pPr>
    </w:p>
    <w:p>
      <w:pPr>
        <w:pStyle w:val="2"/>
        <w:shd w:val="clear"/>
        <w:ind w:firstLine="588"/>
        <w:rPr>
          <w:color w:val="auto"/>
        </w:rPr>
      </w:pPr>
    </w:p>
    <w:tbl>
      <w:tblPr>
        <w:tblStyle w:val="32"/>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pPr>
              <w:widowControl/>
              <w:shd w:val="clear"/>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pPr>
              <w:widowControl/>
              <w:shd w:val="clear"/>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pPr>
              <w:widowControl/>
              <w:shd w:val="clear"/>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pPr>
              <w:widowControl/>
              <w:shd w:val="clear"/>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pPr>
              <w:widowControl/>
              <w:shd w:val="clear"/>
              <w:jc w:val="center"/>
              <w:rPr>
                <w:rFonts w:ascii="宋体" w:hAnsi="宋体" w:cs="宋体"/>
                <w:b/>
                <w:bCs/>
                <w:color w:val="auto"/>
                <w:kern w:val="0"/>
                <w:sz w:val="24"/>
              </w:rPr>
            </w:pPr>
            <w:r>
              <w:rPr>
                <w:rFonts w:hint="eastAsia" w:ascii="宋体" w:hAnsi="宋体" w:cs="宋体"/>
                <w:b/>
                <w:bCs/>
                <w:color w:val="auto"/>
                <w:kern w:val="0"/>
                <w:sz w:val="24"/>
              </w:rPr>
              <w:t>微型企业</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pPr>
              <w:widowControl/>
              <w:shd w:val="clear"/>
              <w:jc w:val="left"/>
              <w:rPr>
                <w:rFonts w:ascii="宋体" w:hAnsi="宋体" w:cs="宋体"/>
                <w:b/>
                <w:bCs/>
                <w:color w:val="auto"/>
                <w:kern w:val="0"/>
                <w:sz w:val="24"/>
              </w:rPr>
            </w:pPr>
          </w:p>
        </w:tc>
        <w:tc>
          <w:tcPr>
            <w:tcW w:w="1498"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763"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营业收入Y</w:t>
            </w:r>
          </w:p>
          <w:p>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660" w:type="dxa"/>
            <w:tcBorders>
              <w:top w:val="nil"/>
              <w:left w:val="nil"/>
              <w:bottom w:val="single" w:color="auto" w:sz="4" w:space="0"/>
              <w:right w:val="single" w:color="auto" w:sz="8"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资产总额Z</w:t>
            </w:r>
          </w:p>
          <w:p>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240"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636"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营业收入Y</w:t>
            </w:r>
          </w:p>
          <w:p>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520" w:type="dxa"/>
            <w:tcBorders>
              <w:top w:val="nil"/>
              <w:left w:val="nil"/>
              <w:bottom w:val="single" w:color="auto" w:sz="4" w:space="0"/>
              <w:right w:val="single" w:color="auto" w:sz="8"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资产总额Z</w:t>
            </w:r>
          </w:p>
          <w:p>
            <w:pPr>
              <w:widowControl/>
              <w:shd w:val="clear"/>
              <w:jc w:val="center"/>
              <w:rPr>
                <w:rFonts w:ascii="宋体" w:hAnsi="宋体" w:cs="宋体"/>
                <w:color w:val="auto"/>
                <w:kern w:val="0"/>
                <w:sz w:val="20"/>
              </w:rPr>
            </w:pPr>
            <w:r>
              <w:rPr>
                <w:rFonts w:hint="eastAsia" w:ascii="宋体" w:hAnsi="宋体" w:cs="宋体"/>
                <w:color w:val="auto"/>
                <w:kern w:val="0"/>
                <w:sz w:val="20"/>
              </w:rPr>
              <w:t>（万元）</w:t>
            </w:r>
          </w:p>
        </w:tc>
        <w:tc>
          <w:tcPr>
            <w:tcW w:w="1285"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275" w:type="dxa"/>
            <w:tcBorders>
              <w:top w:val="nil"/>
              <w:left w:val="nil"/>
              <w:bottom w:val="single" w:color="auto" w:sz="4" w:space="0"/>
              <w:right w:val="single" w:color="auto" w:sz="4"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营业收入Y（万元）</w:t>
            </w:r>
          </w:p>
        </w:tc>
        <w:tc>
          <w:tcPr>
            <w:tcW w:w="1221" w:type="dxa"/>
            <w:tcBorders>
              <w:top w:val="nil"/>
              <w:left w:val="nil"/>
              <w:bottom w:val="single" w:color="auto" w:sz="4" w:space="0"/>
              <w:right w:val="single" w:color="auto" w:sz="8" w:space="0"/>
            </w:tcBorders>
            <w:vAlign w:val="bottom"/>
          </w:tcPr>
          <w:p>
            <w:pPr>
              <w:widowControl/>
              <w:shd w:val="clear"/>
              <w:jc w:val="center"/>
              <w:rPr>
                <w:rFonts w:ascii="宋体" w:hAnsi="宋体" w:cs="宋体"/>
                <w:color w:val="auto"/>
                <w:kern w:val="0"/>
                <w:sz w:val="20"/>
              </w:rPr>
            </w:pPr>
            <w:r>
              <w:rPr>
                <w:rFonts w:hint="eastAsia" w:ascii="宋体" w:hAnsi="宋体" w:cs="宋体"/>
                <w:color w:val="auto"/>
                <w:kern w:val="0"/>
                <w:sz w:val="20"/>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1、农林牧渔业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50≤Y＜500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2、工业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2000≤Y＜40000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300≤Y＜2000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3、建筑业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6000≤Y＜80000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5000≤Z＜80000</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300≤Y＜6000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300≤Z＜5000</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Z＜300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4、批发业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20≤X＜200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5000≤Y＜40000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5≤X＜20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1000≤Y＜5000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X＜5</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5、零售业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50≤X＜300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10≤X＜50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100≤Y＜500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6、交通运输业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3000≤Y＜30000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200≤Y＜3000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V＜200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7、仓储业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100≤X＜200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1000≤Y＜30000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8、邮政业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2000≤Y＜30000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9、住宿业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10、餐饮业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V＜100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11、信息传输业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100≤X＜2000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1000≤Y＜100000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15"/>
              </w:rPr>
              <w:t>12、软件和信息技术服务业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1000≤Y＜10000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50≤Y＜1000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13、房地产开发经营</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1000≤Y＜200000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5000≤Z＜10000</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2000≤Z＜5000</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Z＜2000</w:t>
            </w:r>
          </w:p>
        </w:tc>
      </w:tr>
      <w:tr>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14、物业管理</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1000≤Y＜5000</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500≤Y＜1000</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Y＜500</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r>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18"/>
              </w:rPr>
              <w:t>15、租赁和商务服务业</w:t>
            </w:r>
          </w:p>
        </w:tc>
        <w:tc>
          <w:tcPr>
            <w:tcW w:w="1498"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18"/>
              </w:rPr>
              <w:t>8000≤Z＜120000</w:t>
            </w:r>
          </w:p>
        </w:tc>
        <w:tc>
          <w:tcPr>
            <w:tcW w:w="1240"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xml:space="preserve"> 100≤Z＜8000</w:t>
            </w:r>
          </w:p>
        </w:tc>
        <w:tc>
          <w:tcPr>
            <w:tcW w:w="128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4"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Z＜100</w:t>
            </w:r>
          </w:p>
        </w:tc>
      </w:tr>
      <w:tr>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16、其他未列明行业</w:t>
            </w:r>
          </w:p>
        </w:tc>
        <w:tc>
          <w:tcPr>
            <w:tcW w:w="1498"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8"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8"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8" w:space="0"/>
              <w:right w:val="single" w:color="auto" w:sz="4"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8" w:space="0"/>
              <w:right w:val="single" w:color="auto" w:sz="8" w:space="0"/>
            </w:tcBorders>
            <w:vAlign w:val="bottom"/>
          </w:tcPr>
          <w:p>
            <w:pPr>
              <w:widowControl/>
              <w:shd w:val="clear"/>
              <w:jc w:val="left"/>
              <w:rPr>
                <w:rFonts w:ascii="宋体" w:hAnsi="宋体" w:cs="宋体"/>
                <w:color w:val="auto"/>
                <w:kern w:val="0"/>
                <w:sz w:val="20"/>
              </w:rPr>
            </w:pPr>
            <w:r>
              <w:rPr>
                <w:rFonts w:hint="eastAsia" w:ascii="宋体" w:hAnsi="宋体" w:cs="宋体"/>
                <w:color w:val="auto"/>
                <w:kern w:val="0"/>
                <w:sz w:val="20"/>
              </w:rPr>
              <w:t>　</w:t>
            </w:r>
          </w:p>
        </w:tc>
      </w:tr>
    </w:tbl>
    <w:p>
      <w:pPr>
        <w:pStyle w:val="2"/>
        <w:shd w:val="clear"/>
        <w:ind w:firstLine="588"/>
        <w:rPr>
          <w:color w:val="auto"/>
        </w:rPr>
        <w:sectPr>
          <w:pgSz w:w="16838" w:h="11906" w:orient="landscape"/>
          <w:pgMar w:top="1797" w:right="1440" w:bottom="1797" w:left="1440" w:header="851" w:footer="992" w:gutter="0"/>
          <w:cols w:space="425" w:num="1"/>
          <w:docGrid w:type="linesAndChars" w:linePitch="312" w:charSpace="0"/>
        </w:sectPr>
      </w:pPr>
    </w:p>
    <w:p>
      <w:pPr>
        <w:shd w:val="clear"/>
        <w:spacing w:line="360" w:lineRule="auto"/>
        <w:jc w:val="center"/>
        <w:rPr>
          <w:rFonts w:cs="仿宋" w:asciiTheme="majorEastAsia" w:hAnsiTheme="majorEastAsia" w:eastAsiaTheme="majorEastAsia"/>
          <w:color w:val="auto"/>
          <w:sz w:val="32"/>
          <w:szCs w:val="32"/>
        </w:rPr>
      </w:pPr>
      <w:r>
        <w:rPr>
          <w:rFonts w:hint="eastAsia" w:cs="仿宋" w:asciiTheme="majorEastAsia" w:hAnsiTheme="majorEastAsia" w:eastAsiaTheme="majorEastAsia"/>
          <w:b/>
          <w:bCs/>
          <w:color w:val="auto"/>
          <w:sz w:val="32"/>
          <w:szCs w:val="32"/>
        </w:rPr>
        <w:t>四、残疾人福利性单位声明函</w:t>
      </w:r>
    </w:p>
    <w:p>
      <w:pPr>
        <w:shd w:val="clear"/>
        <w:spacing w:line="360" w:lineRule="auto"/>
        <w:rPr>
          <w:rFonts w:cs="仿宋" w:asciiTheme="majorEastAsia" w:hAnsiTheme="majorEastAsia" w:eastAsiaTheme="majorEastAsia"/>
          <w:b/>
          <w:color w:val="auto"/>
          <w:spacing w:val="6"/>
          <w:sz w:val="30"/>
          <w:szCs w:val="30"/>
        </w:rPr>
      </w:pPr>
    </w:p>
    <w:p>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本单位对上述声明的真实性负责。如有虚假，将依法承担相应责任。</w:t>
      </w:r>
    </w:p>
    <w:p>
      <w:pPr>
        <w:shd w:val="clear"/>
        <w:spacing w:line="360" w:lineRule="auto"/>
        <w:ind w:firstLine="480" w:firstLineChars="200"/>
        <w:jc w:val="left"/>
        <w:rPr>
          <w:rFonts w:cs="仿宋" w:asciiTheme="majorEastAsia" w:hAnsiTheme="majorEastAsia" w:eastAsiaTheme="majorEastAsia"/>
          <w:color w:val="auto"/>
          <w:sz w:val="24"/>
        </w:rPr>
      </w:pPr>
    </w:p>
    <w:p>
      <w:pPr>
        <w:shd w:val="clear"/>
        <w:spacing w:line="360" w:lineRule="auto"/>
        <w:ind w:firstLine="480" w:firstLineChars="200"/>
        <w:jc w:val="left"/>
        <w:rPr>
          <w:rFonts w:cs="仿宋" w:asciiTheme="majorEastAsia" w:hAnsiTheme="majorEastAsia" w:eastAsiaTheme="majorEastAsia"/>
          <w:color w:val="auto"/>
          <w:sz w:val="24"/>
        </w:rPr>
      </w:pPr>
    </w:p>
    <w:p>
      <w:pPr>
        <w:shd w:val="clea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法定代表人或其授权委托人（签名或印章）：</w:t>
      </w:r>
    </w:p>
    <w:p>
      <w:pPr>
        <w:shd w:val="clear"/>
        <w:adjustRightInd w:val="0"/>
        <w:spacing w:line="360" w:lineRule="auto"/>
        <w:ind w:firstLine="3840" w:firstLineChars="16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投标人（盖章）：</w:t>
      </w:r>
    </w:p>
    <w:p>
      <w:pPr>
        <w:shd w:val="clear"/>
        <w:rPr>
          <w:rFonts w:asciiTheme="majorEastAsia" w:hAnsiTheme="majorEastAsia" w:eastAsiaTheme="majorEastAsia"/>
          <w:color w:val="auto"/>
        </w:rPr>
      </w:pPr>
      <w:r>
        <w:rPr>
          <w:rFonts w:hint="eastAsia" w:cs="仿宋" w:asciiTheme="majorEastAsia" w:hAnsiTheme="majorEastAsia" w:eastAsiaTheme="majorEastAsia"/>
          <w:color w:val="auto"/>
          <w:sz w:val="24"/>
        </w:rPr>
        <w:t xml:space="preserve">                                日期：</w:t>
      </w:r>
    </w:p>
    <w:p>
      <w:pPr>
        <w:shd w:val="clear"/>
        <w:spacing w:line="360" w:lineRule="auto"/>
        <w:ind w:firstLine="643" w:firstLineChars="200"/>
        <w:jc w:val="left"/>
        <w:rPr>
          <w:rFonts w:cs="仿宋" w:asciiTheme="majorEastAsia" w:hAnsiTheme="majorEastAsia" w:eastAsiaTheme="majorEastAsia"/>
          <w:b/>
          <w:color w:val="auto"/>
          <w:sz w:val="32"/>
          <w:szCs w:val="32"/>
        </w:rPr>
      </w:pPr>
    </w:p>
    <w:p>
      <w:pPr>
        <w:shd w:val="clear"/>
        <w:spacing w:line="360" w:lineRule="auto"/>
        <w:rPr>
          <w:rFonts w:cs="仿宋" w:asciiTheme="majorEastAsia" w:hAnsiTheme="majorEastAsia" w:eastAsiaTheme="majorEastAsia"/>
          <w:b/>
          <w:color w:val="auto"/>
          <w:sz w:val="32"/>
          <w:szCs w:val="32"/>
        </w:rPr>
      </w:pPr>
    </w:p>
    <w:p>
      <w:pPr>
        <w:numPr>
          <w:ilvl w:val="0"/>
          <w:numId w:val="7"/>
        </w:numPr>
        <w:shd w:val="clear"/>
        <w:spacing w:line="360" w:lineRule="auto"/>
        <w:jc w:val="center"/>
        <w:rPr>
          <w:rFonts w:cs="仿宋" w:asciiTheme="majorEastAsia" w:hAnsiTheme="majorEastAsia" w:eastAsiaTheme="majorEastAsia"/>
          <w:b/>
          <w:color w:val="auto"/>
          <w:spacing w:val="6"/>
          <w:sz w:val="32"/>
          <w:szCs w:val="32"/>
        </w:rPr>
      </w:pPr>
      <w:r>
        <w:rPr>
          <w:rFonts w:hint="eastAsia" w:cs="仿宋" w:asciiTheme="majorEastAsia" w:hAnsiTheme="majorEastAsia" w:eastAsiaTheme="majorEastAsia"/>
          <w:b/>
          <w:color w:val="auto"/>
          <w:spacing w:val="6"/>
          <w:sz w:val="32"/>
          <w:szCs w:val="32"/>
        </w:rPr>
        <w:br w:type="page"/>
      </w:r>
      <w:r>
        <w:rPr>
          <w:rFonts w:hint="eastAsia" w:cs="仿宋" w:asciiTheme="majorEastAsia" w:hAnsiTheme="majorEastAsia" w:eastAsiaTheme="majorEastAsia"/>
          <w:b/>
          <w:color w:val="auto"/>
          <w:spacing w:val="6"/>
          <w:sz w:val="32"/>
          <w:szCs w:val="32"/>
        </w:rPr>
        <w:t>政府采购统计基础信息表</w:t>
      </w:r>
    </w:p>
    <w:p>
      <w:pPr>
        <w:pStyle w:val="2"/>
        <w:shd w:val="clear"/>
        <w:spacing w:line="360" w:lineRule="auto"/>
        <w:ind w:firstLine="0" w:firstLineChars="0"/>
        <w:rPr>
          <w:rFonts w:cs="仿宋" w:asciiTheme="majorEastAsia" w:hAnsiTheme="majorEastAsia" w:eastAsiaTheme="majorEastAsia"/>
          <w:color w:val="auto"/>
        </w:rPr>
      </w:pPr>
    </w:p>
    <w:tbl>
      <w:tblPr>
        <w:tblStyle w:val="32"/>
        <w:tblW w:w="8537" w:type="dxa"/>
        <w:jc w:val="center"/>
        <w:tblLayout w:type="fixed"/>
        <w:tblCellMar>
          <w:top w:w="0" w:type="dxa"/>
          <w:left w:w="108" w:type="dxa"/>
          <w:bottom w:w="0" w:type="dxa"/>
          <w:right w:w="108" w:type="dxa"/>
        </w:tblCellMar>
      </w:tblPr>
      <w:tblGrid>
        <w:gridCol w:w="4998"/>
        <w:gridCol w:w="3539"/>
      </w:tblGrid>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投标单位名称</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投标单位是否为外商投资企业</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投标单位是否为宁波企业</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pPr>
              <w:shd w:val="clear"/>
              <w:spacing w:line="360" w:lineRule="auto"/>
              <w:rPr>
                <w:rFonts w:cs="仿宋" w:asciiTheme="majorEastAsia" w:hAnsiTheme="majorEastAsia" w:eastAsiaTheme="majorEastAsia"/>
                <w:color w:val="auto"/>
              </w:rPr>
            </w:pPr>
          </w:p>
        </w:tc>
      </w:tr>
    </w:tbl>
    <w:p>
      <w:pPr>
        <w:shd w:val="clear"/>
        <w:adjustRightInd w:val="0"/>
        <w:spacing w:line="360" w:lineRule="auto"/>
        <w:jc w:val="left"/>
        <w:rPr>
          <w:rFonts w:cs="仿宋" w:asciiTheme="majorEastAsia" w:hAnsiTheme="majorEastAsia" w:eastAsiaTheme="majorEastAsia"/>
          <w:color w:val="auto"/>
          <w:sz w:val="24"/>
        </w:rPr>
      </w:pPr>
    </w:p>
    <w:p>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备注：请各投标人务必填写此表作为投标文件的组成部分。</w:t>
      </w:r>
    </w:p>
    <w:p>
      <w:pPr>
        <w:shd w:val="clear"/>
        <w:adjustRightInd w:val="0"/>
        <w:spacing w:line="360" w:lineRule="auto"/>
        <w:jc w:val="left"/>
        <w:rPr>
          <w:rFonts w:cs="仿宋" w:asciiTheme="majorEastAsia" w:hAnsiTheme="majorEastAsia" w:eastAsiaTheme="majorEastAsia"/>
          <w:color w:val="auto"/>
          <w:sz w:val="24"/>
        </w:rPr>
      </w:pPr>
    </w:p>
    <w:p>
      <w:pPr>
        <w:shd w:val="clear"/>
        <w:adjustRightInd w:val="0"/>
        <w:spacing w:line="360" w:lineRule="auto"/>
        <w:jc w:val="left"/>
        <w:rPr>
          <w:rFonts w:cs="仿宋" w:asciiTheme="majorEastAsia" w:hAnsiTheme="majorEastAsia" w:eastAsiaTheme="majorEastAsia"/>
          <w:color w:val="auto"/>
          <w:sz w:val="24"/>
        </w:rPr>
      </w:pPr>
    </w:p>
    <w:p>
      <w:pPr>
        <w:shd w:val="clea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法定代表人或其授权委托人（签名或印章）：</w:t>
      </w:r>
    </w:p>
    <w:p>
      <w:pPr>
        <w:shd w:val="clea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投标人（盖章）：</w:t>
      </w:r>
    </w:p>
    <w:p>
      <w:pPr>
        <w:shd w:val="clear"/>
        <w:rPr>
          <w:rFonts w:asciiTheme="majorEastAsia" w:hAnsiTheme="majorEastAsia" w:eastAsiaTheme="majorEastAsia"/>
          <w:color w:val="auto"/>
        </w:rPr>
      </w:pPr>
      <w:r>
        <w:rPr>
          <w:rFonts w:hint="eastAsia" w:cs="仿宋" w:asciiTheme="majorEastAsia" w:hAnsiTheme="majorEastAsia" w:eastAsiaTheme="majorEastAsia"/>
          <w:color w:val="auto"/>
          <w:sz w:val="24"/>
        </w:rPr>
        <w:t xml:space="preserve">                    日期：</w:t>
      </w:r>
    </w:p>
    <w:bookmarkEnd w:id="401"/>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37</w:t>
    </w:r>
    <w:r>
      <w:rPr>
        <w:lang w:val="zh-CN"/>
      </w:rP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BDFF3DE3"/>
    <w:multiLevelType w:val="singleLevel"/>
    <w:tmpl w:val="BDFF3DE3"/>
    <w:lvl w:ilvl="0" w:tentative="0">
      <w:start w:val="1"/>
      <w:numFmt w:val="decimal"/>
      <w:suff w:val="nothing"/>
      <w:lvlText w:val="%1、"/>
      <w:lvlJc w:val="left"/>
    </w:lvl>
  </w:abstractNum>
  <w:abstractNum w:abstractNumId="3">
    <w:nsid w:val="08A10938"/>
    <w:multiLevelType w:val="singleLevel"/>
    <w:tmpl w:val="08A10938"/>
    <w:lvl w:ilvl="0" w:tentative="0">
      <w:start w:val="2"/>
      <w:numFmt w:val="decimal"/>
      <w:suff w:val="nothing"/>
      <w:lvlText w:val="（%1）"/>
      <w:lvlJc w:val="left"/>
    </w:lvl>
  </w:abstractNum>
  <w:abstractNum w:abstractNumId="4">
    <w:nsid w:val="1F5244D0"/>
    <w:multiLevelType w:val="multilevel"/>
    <w:tmpl w:val="1F5244D0"/>
    <w:lvl w:ilvl="0" w:tentative="0">
      <w:start w:val="1"/>
      <w:numFmt w:val="chineseCountingThousand"/>
      <w:lvlText w:val="第%1章"/>
      <w:lvlJc w:val="left"/>
      <w:pPr>
        <w:tabs>
          <w:tab w:val="left" w:pos="567"/>
        </w:tabs>
        <w:ind w:left="425" w:hanging="425"/>
      </w:pPr>
      <w:rPr>
        <w:rFonts w:hint="eastAsia"/>
      </w:rPr>
    </w:lvl>
    <w:lvl w:ilvl="1" w:tentative="0">
      <w:start w:val="1"/>
      <w:numFmt w:val="decimal"/>
      <w:pStyle w:val="77"/>
      <w:isLgl/>
      <w:lvlText w:val="%1.%2"/>
      <w:lvlJc w:val="left"/>
      <w:pPr>
        <w:ind w:left="567" w:hanging="567"/>
      </w:pPr>
      <w:rPr>
        <w:rFonts w:hint="eastAsia"/>
      </w:rPr>
    </w:lvl>
    <w:lvl w:ilvl="2" w:tentative="0">
      <w:start w:val="1"/>
      <w:numFmt w:val="decimal"/>
      <w:isLgl/>
      <w:lvlText w:val="%1.%2.%3"/>
      <w:lvlJc w:val="left"/>
      <w:pPr>
        <w:ind w:left="1418" w:hanging="99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DC53F9C"/>
    <w:multiLevelType w:val="singleLevel"/>
    <w:tmpl w:val="2DC53F9C"/>
    <w:lvl w:ilvl="0" w:tentative="0">
      <w:start w:val="5"/>
      <w:numFmt w:val="chineseCounting"/>
      <w:suff w:val="space"/>
      <w:lvlText w:val="第%1部分"/>
      <w:lvlJc w:val="left"/>
      <w:rPr>
        <w:rFonts w:hint="eastAsia"/>
      </w:rPr>
    </w:lvl>
  </w:abstractNum>
  <w:abstractNum w:abstractNumId="6">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MwZjIwZWYxMjI1ODlmMWQ2NjBlZmJmNGMwY2QxMzgifQ=="/>
  </w:docVars>
  <w:rsids>
    <w:rsidRoot w:val="00982EB4"/>
    <w:rsid w:val="0000220B"/>
    <w:rsid w:val="0000479D"/>
    <w:rsid w:val="000047D3"/>
    <w:rsid w:val="00007472"/>
    <w:rsid w:val="0000780C"/>
    <w:rsid w:val="0001186F"/>
    <w:rsid w:val="00011984"/>
    <w:rsid w:val="0001262C"/>
    <w:rsid w:val="000150EC"/>
    <w:rsid w:val="0001534B"/>
    <w:rsid w:val="00016457"/>
    <w:rsid w:val="000164C3"/>
    <w:rsid w:val="00016734"/>
    <w:rsid w:val="00022BA7"/>
    <w:rsid w:val="00023BE6"/>
    <w:rsid w:val="0002685D"/>
    <w:rsid w:val="00027869"/>
    <w:rsid w:val="00037B29"/>
    <w:rsid w:val="00037CE2"/>
    <w:rsid w:val="000401A5"/>
    <w:rsid w:val="00041DC5"/>
    <w:rsid w:val="00042760"/>
    <w:rsid w:val="00042E4B"/>
    <w:rsid w:val="000432B5"/>
    <w:rsid w:val="000433FE"/>
    <w:rsid w:val="00043ED6"/>
    <w:rsid w:val="00047851"/>
    <w:rsid w:val="000500C0"/>
    <w:rsid w:val="0005229E"/>
    <w:rsid w:val="0005242F"/>
    <w:rsid w:val="00053253"/>
    <w:rsid w:val="0005482E"/>
    <w:rsid w:val="000558F3"/>
    <w:rsid w:val="00057493"/>
    <w:rsid w:val="000603A6"/>
    <w:rsid w:val="000615E7"/>
    <w:rsid w:val="00061B85"/>
    <w:rsid w:val="00062BC2"/>
    <w:rsid w:val="00064291"/>
    <w:rsid w:val="0006698E"/>
    <w:rsid w:val="00070964"/>
    <w:rsid w:val="00070F70"/>
    <w:rsid w:val="00071EA0"/>
    <w:rsid w:val="00075F76"/>
    <w:rsid w:val="000761F7"/>
    <w:rsid w:val="0008118C"/>
    <w:rsid w:val="00082636"/>
    <w:rsid w:val="00083EF5"/>
    <w:rsid w:val="000844E6"/>
    <w:rsid w:val="00086E75"/>
    <w:rsid w:val="00090DBC"/>
    <w:rsid w:val="00093D04"/>
    <w:rsid w:val="000945AD"/>
    <w:rsid w:val="00095D46"/>
    <w:rsid w:val="000970A6"/>
    <w:rsid w:val="0009739A"/>
    <w:rsid w:val="000A001F"/>
    <w:rsid w:val="000A186C"/>
    <w:rsid w:val="000A190A"/>
    <w:rsid w:val="000A1A49"/>
    <w:rsid w:val="000A27C5"/>
    <w:rsid w:val="000A2896"/>
    <w:rsid w:val="000A6B61"/>
    <w:rsid w:val="000A709A"/>
    <w:rsid w:val="000B6E5B"/>
    <w:rsid w:val="000C08F0"/>
    <w:rsid w:val="000C305F"/>
    <w:rsid w:val="000C3575"/>
    <w:rsid w:val="000C3AAB"/>
    <w:rsid w:val="000C500B"/>
    <w:rsid w:val="000C52B7"/>
    <w:rsid w:val="000C7D00"/>
    <w:rsid w:val="000C7DA2"/>
    <w:rsid w:val="000D0B20"/>
    <w:rsid w:val="000D555A"/>
    <w:rsid w:val="000E067D"/>
    <w:rsid w:val="000E0A31"/>
    <w:rsid w:val="000E448A"/>
    <w:rsid w:val="000E4FE4"/>
    <w:rsid w:val="000E6444"/>
    <w:rsid w:val="000E74D3"/>
    <w:rsid w:val="000F1D01"/>
    <w:rsid w:val="000F2CAD"/>
    <w:rsid w:val="000F302F"/>
    <w:rsid w:val="000F6426"/>
    <w:rsid w:val="000F7169"/>
    <w:rsid w:val="000F71A3"/>
    <w:rsid w:val="000F78B4"/>
    <w:rsid w:val="00103254"/>
    <w:rsid w:val="00104811"/>
    <w:rsid w:val="00104D81"/>
    <w:rsid w:val="00104FB0"/>
    <w:rsid w:val="00106EE2"/>
    <w:rsid w:val="0010786D"/>
    <w:rsid w:val="00110B9F"/>
    <w:rsid w:val="0011404C"/>
    <w:rsid w:val="001140E9"/>
    <w:rsid w:val="001179B6"/>
    <w:rsid w:val="001208D7"/>
    <w:rsid w:val="00121011"/>
    <w:rsid w:val="001212C8"/>
    <w:rsid w:val="00121C04"/>
    <w:rsid w:val="00121C41"/>
    <w:rsid w:val="00121EDC"/>
    <w:rsid w:val="00124196"/>
    <w:rsid w:val="0012670C"/>
    <w:rsid w:val="00126D72"/>
    <w:rsid w:val="0012746D"/>
    <w:rsid w:val="001275C6"/>
    <w:rsid w:val="00130442"/>
    <w:rsid w:val="001304F9"/>
    <w:rsid w:val="00131E4C"/>
    <w:rsid w:val="001353D4"/>
    <w:rsid w:val="00135A38"/>
    <w:rsid w:val="001362FD"/>
    <w:rsid w:val="00136D48"/>
    <w:rsid w:val="00140A6B"/>
    <w:rsid w:val="0014136E"/>
    <w:rsid w:val="00141B8D"/>
    <w:rsid w:val="00142F83"/>
    <w:rsid w:val="00143AD2"/>
    <w:rsid w:val="00144EC5"/>
    <w:rsid w:val="00144EF7"/>
    <w:rsid w:val="0014568D"/>
    <w:rsid w:val="0014660E"/>
    <w:rsid w:val="00146AA0"/>
    <w:rsid w:val="001511EA"/>
    <w:rsid w:val="001537FC"/>
    <w:rsid w:val="001553AB"/>
    <w:rsid w:val="0016205D"/>
    <w:rsid w:val="001634BB"/>
    <w:rsid w:val="001675C6"/>
    <w:rsid w:val="00167C34"/>
    <w:rsid w:val="001706C1"/>
    <w:rsid w:val="001716B0"/>
    <w:rsid w:val="00174B9D"/>
    <w:rsid w:val="00181FCD"/>
    <w:rsid w:val="00181FEE"/>
    <w:rsid w:val="00182897"/>
    <w:rsid w:val="0018796E"/>
    <w:rsid w:val="0019166E"/>
    <w:rsid w:val="00192570"/>
    <w:rsid w:val="00193505"/>
    <w:rsid w:val="00194489"/>
    <w:rsid w:val="00194B14"/>
    <w:rsid w:val="001A7089"/>
    <w:rsid w:val="001A7CB9"/>
    <w:rsid w:val="001B2FBB"/>
    <w:rsid w:val="001B43A4"/>
    <w:rsid w:val="001C06D8"/>
    <w:rsid w:val="001C0A37"/>
    <w:rsid w:val="001C0B4B"/>
    <w:rsid w:val="001C1283"/>
    <w:rsid w:val="001C12A0"/>
    <w:rsid w:val="001C4126"/>
    <w:rsid w:val="001C475E"/>
    <w:rsid w:val="001C50DC"/>
    <w:rsid w:val="001C5E09"/>
    <w:rsid w:val="001D127B"/>
    <w:rsid w:val="001D476B"/>
    <w:rsid w:val="001D4D8B"/>
    <w:rsid w:val="001D711D"/>
    <w:rsid w:val="001D7FFC"/>
    <w:rsid w:val="001E0DCC"/>
    <w:rsid w:val="001E3F0C"/>
    <w:rsid w:val="001F0095"/>
    <w:rsid w:val="001F3756"/>
    <w:rsid w:val="001F3EFC"/>
    <w:rsid w:val="001F5A04"/>
    <w:rsid w:val="001F76E5"/>
    <w:rsid w:val="001F7FCC"/>
    <w:rsid w:val="00203EB9"/>
    <w:rsid w:val="00205130"/>
    <w:rsid w:val="00206330"/>
    <w:rsid w:val="00206E4E"/>
    <w:rsid w:val="00210093"/>
    <w:rsid w:val="00210321"/>
    <w:rsid w:val="0021043E"/>
    <w:rsid w:val="002106B9"/>
    <w:rsid w:val="00214888"/>
    <w:rsid w:val="00215716"/>
    <w:rsid w:val="00215736"/>
    <w:rsid w:val="00216C5B"/>
    <w:rsid w:val="00220D33"/>
    <w:rsid w:val="00222975"/>
    <w:rsid w:val="002233B3"/>
    <w:rsid w:val="00223803"/>
    <w:rsid w:val="0022571D"/>
    <w:rsid w:val="002309A3"/>
    <w:rsid w:val="002321F1"/>
    <w:rsid w:val="00233BFD"/>
    <w:rsid w:val="0023454E"/>
    <w:rsid w:val="002371E7"/>
    <w:rsid w:val="00240068"/>
    <w:rsid w:val="0024092E"/>
    <w:rsid w:val="002414F9"/>
    <w:rsid w:val="00242490"/>
    <w:rsid w:val="002435CF"/>
    <w:rsid w:val="00243E11"/>
    <w:rsid w:val="00243F56"/>
    <w:rsid w:val="002449DA"/>
    <w:rsid w:val="0025558C"/>
    <w:rsid w:val="00256CAB"/>
    <w:rsid w:val="0025700D"/>
    <w:rsid w:val="00257FDF"/>
    <w:rsid w:val="00260AEB"/>
    <w:rsid w:val="00261482"/>
    <w:rsid w:val="002636DE"/>
    <w:rsid w:val="002636EB"/>
    <w:rsid w:val="002647FF"/>
    <w:rsid w:val="00264845"/>
    <w:rsid w:val="0026523F"/>
    <w:rsid w:val="002664B0"/>
    <w:rsid w:val="00266995"/>
    <w:rsid w:val="002701A5"/>
    <w:rsid w:val="00270AEF"/>
    <w:rsid w:val="00271393"/>
    <w:rsid w:val="0027141A"/>
    <w:rsid w:val="00274028"/>
    <w:rsid w:val="002741F5"/>
    <w:rsid w:val="002753FC"/>
    <w:rsid w:val="0027772A"/>
    <w:rsid w:val="00285ED2"/>
    <w:rsid w:val="00286DF5"/>
    <w:rsid w:val="002967BD"/>
    <w:rsid w:val="00297918"/>
    <w:rsid w:val="002A064D"/>
    <w:rsid w:val="002A2A6B"/>
    <w:rsid w:val="002A532F"/>
    <w:rsid w:val="002B1A6F"/>
    <w:rsid w:val="002B49FD"/>
    <w:rsid w:val="002B6CFA"/>
    <w:rsid w:val="002B7731"/>
    <w:rsid w:val="002C1367"/>
    <w:rsid w:val="002C3709"/>
    <w:rsid w:val="002C3A91"/>
    <w:rsid w:val="002C5A5E"/>
    <w:rsid w:val="002C6827"/>
    <w:rsid w:val="002C7D5B"/>
    <w:rsid w:val="002C7FF3"/>
    <w:rsid w:val="002D0BAC"/>
    <w:rsid w:val="002D1974"/>
    <w:rsid w:val="002E162D"/>
    <w:rsid w:val="002E2D1B"/>
    <w:rsid w:val="002E494C"/>
    <w:rsid w:val="002E508F"/>
    <w:rsid w:val="002E64A4"/>
    <w:rsid w:val="002F2E6F"/>
    <w:rsid w:val="002F4F00"/>
    <w:rsid w:val="002F7E23"/>
    <w:rsid w:val="00300227"/>
    <w:rsid w:val="00302376"/>
    <w:rsid w:val="00304C5C"/>
    <w:rsid w:val="0030528E"/>
    <w:rsid w:val="003070F7"/>
    <w:rsid w:val="0031166B"/>
    <w:rsid w:val="00313593"/>
    <w:rsid w:val="00314FA4"/>
    <w:rsid w:val="0031582C"/>
    <w:rsid w:val="00316342"/>
    <w:rsid w:val="00320161"/>
    <w:rsid w:val="003202B8"/>
    <w:rsid w:val="00321A31"/>
    <w:rsid w:val="00323513"/>
    <w:rsid w:val="00323BB1"/>
    <w:rsid w:val="00324FFF"/>
    <w:rsid w:val="003263D6"/>
    <w:rsid w:val="00326AAB"/>
    <w:rsid w:val="00327693"/>
    <w:rsid w:val="003277E3"/>
    <w:rsid w:val="0033047C"/>
    <w:rsid w:val="00331A77"/>
    <w:rsid w:val="0033341C"/>
    <w:rsid w:val="00333D87"/>
    <w:rsid w:val="00333EC8"/>
    <w:rsid w:val="0033506C"/>
    <w:rsid w:val="00335CF2"/>
    <w:rsid w:val="0034134E"/>
    <w:rsid w:val="00341E5C"/>
    <w:rsid w:val="003431ED"/>
    <w:rsid w:val="003437A4"/>
    <w:rsid w:val="00344F51"/>
    <w:rsid w:val="0034534A"/>
    <w:rsid w:val="00345729"/>
    <w:rsid w:val="0034589B"/>
    <w:rsid w:val="00347440"/>
    <w:rsid w:val="00347497"/>
    <w:rsid w:val="00350C34"/>
    <w:rsid w:val="003549BF"/>
    <w:rsid w:val="00354BC3"/>
    <w:rsid w:val="00355080"/>
    <w:rsid w:val="00357B7D"/>
    <w:rsid w:val="00360D8F"/>
    <w:rsid w:val="00360DEA"/>
    <w:rsid w:val="00364B5E"/>
    <w:rsid w:val="00367818"/>
    <w:rsid w:val="00367A81"/>
    <w:rsid w:val="00371519"/>
    <w:rsid w:val="003773A8"/>
    <w:rsid w:val="00377B1F"/>
    <w:rsid w:val="003852A9"/>
    <w:rsid w:val="003855CB"/>
    <w:rsid w:val="00392314"/>
    <w:rsid w:val="003947E2"/>
    <w:rsid w:val="00394DEE"/>
    <w:rsid w:val="003954E9"/>
    <w:rsid w:val="003972C7"/>
    <w:rsid w:val="003975AA"/>
    <w:rsid w:val="003A139D"/>
    <w:rsid w:val="003A4A64"/>
    <w:rsid w:val="003A5768"/>
    <w:rsid w:val="003B0659"/>
    <w:rsid w:val="003B0D41"/>
    <w:rsid w:val="003B0FB5"/>
    <w:rsid w:val="003B1426"/>
    <w:rsid w:val="003B62F0"/>
    <w:rsid w:val="003B642E"/>
    <w:rsid w:val="003B7ACD"/>
    <w:rsid w:val="003C0308"/>
    <w:rsid w:val="003C17E3"/>
    <w:rsid w:val="003C33C4"/>
    <w:rsid w:val="003C370A"/>
    <w:rsid w:val="003C4B2D"/>
    <w:rsid w:val="003C590B"/>
    <w:rsid w:val="003C7030"/>
    <w:rsid w:val="003D03D0"/>
    <w:rsid w:val="003D5B95"/>
    <w:rsid w:val="003D5F5D"/>
    <w:rsid w:val="003D63E2"/>
    <w:rsid w:val="003E0297"/>
    <w:rsid w:val="003E2960"/>
    <w:rsid w:val="003E4217"/>
    <w:rsid w:val="003E42B2"/>
    <w:rsid w:val="003E569F"/>
    <w:rsid w:val="003E64E2"/>
    <w:rsid w:val="003E69A2"/>
    <w:rsid w:val="003F3310"/>
    <w:rsid w:val="003F396E"/>
    <w:rsid w:val="003F47A1"/>
    <w:rsid w:val="0040080B"/>
    <w:rsid w:val="0040370E"/>
    <w:rsid w:val="00405773"/>
    <w:rsid w:val="00414BFE"/>
    <w:rsid w:val="00415677"/>
    <w:rsid w:val="004156A0"/>
    <w:rsid w:val="00415E07"/>
    <w:rsid w:val="00416C1A"/>
    <w:rsid w:val="004221CD"/>
    <w:rsid w:val="00422B6D"/>
    <w:rsid w:val="00422CFE"/>
    <w:rsid w:val="00424E7B"/>
    <w:rsid w:val="00425DEB"/>
    <w:rsid w:val="00427632"/>
    <w:rsid w:val="0043035E"/>
    <w:rsid w:val="0043204C"/>
    <w:rsid w:val="0043470C"/>
    <w:rsid w:val="00434975"/>
    <w:rsid w:val="00435AC0"/>
    <w:rsid w:val="00435B2E"/>
    <w:rsid w:val="00436577"/>
    <w:rsid w:val="00445B02"/>
    <w:rsid w:val="00446712"/>
    <w:rsid w:val="00446974"/>
    <w:rsid w:val="00446AFD"/>
    <w:rsid w:val="0044702C"/>
    <w:rsid w:val="004510DA"/>
    <w:rsid w:val="00452882"/>
    <w:rsid w:val="0045309D"/>
    <w:rsid w:val="004534B3"/>
    <w:rsid w:val="004539BA"/>
    <w:rsid w:val="00453B48"/>
    <w:rsid w:val="00456D0E"/>
    <w:rsid w:val="004572C7"/>
    <w:rsid w:val="00457786"/>
    <w:rsid w:val="00461269"/>
    <w:rsid w:val="00462A44"/>
    <w:rsid w:val="00462CE3"/>
    <w:rsid w:val="00462E2C"/>
    <w:rsid w:val="00465485"/>
    <w:rsid w:val="0046658B"/>
    <w:rsid w:val="004704E2"/>
    <w:rsid w:val="00474EA4"/>
    <w:rsid w:val="00476F81"/>
    <w:rsid w:val="00482E66"/>
    <w:rsid w:val="00483055"/>
    <w:rsid w:val="00484371"/>
    <w:rsid w:val="00484C1F"/>
    <w:rsid w:val="004853BA"/>
    <w:rsid w:val="00490178"/>
    <w:rsid w:val="00491E80"/>
    <w:rsid w:val="0049362D"/>
    <w:rsid w:val="004938C1"/>
    <w:rsid w:val="00493F61"/>
    <w:rsid w:val="00494671"/>
    <w:rsid w:val="004954C1"/>
    <w:rsid w:val="0049581D"/>
    <w:rsid w:val="00497A1D"/>
    <w:rsid w:val="004A0491"/>
    <w:rsid w:val="004A2828"/>
    <w:rsid w:val="004A2B10"/>
    <w:rsid w:val="004A4457"/>
    <w:rsid w:val="004A5A55"/>
    <w:rsid w:val="004B0F20"/>
    <w:rsid w:val="004B1B00"/>
    <w:rsid w:val="004B4AEE"/>
    <w:rsid w:val="004B56BB"/>
    <w:rsid w:val="004B59AC"/>
    <w:rsid w:val="004B698D"/>
    <w:rsid w:val="004C046A"/>
    <w:rsid w:val="004C08AD"/>
    <w:rsid w:val="004C0A98"/>
    <w:rsid w:val="004C5DEF"/>
    <w:rsid w:val="004C5F03"/>
    <w:rsid w:val="004C6C07"/>
    <w:rsid w:val="004C7ACD"/>
    <w:rsid w:val="004C7D97"/>
    <w:rsid w:val="004D2157"/>
    <w:rsid w:val="004D3E0B"/>
    <w:rsid w:val="004D4AE7"/>
    <w:rsid w:val="004D7536"/>
    <w:rsid w:val="004D7D80"/>
    <w:rsid w:val="004E23EB"/>
    <w:rsid w:val="004E3895"/>
    <w:rsid w:val="004F1318"/>
    <w:rsid w:val="004F1A5E"/>
    <w:rsid w:val="004F2D6C"/>
    <w:rsid w:val="004F35B2"/>
    <w:rsid w:val="004F39F0"/>
    <w:rsid w:val="004F5A49"/>
    <w:rsid w:val="004F5B09"/>
    <w:rsid w:val="004F6182"/>
    <w:rsid w:val="005015AB"/>
    <w:rsid w:val="0050240B"/>
    <w:rsid w:val="005047BD"/>
    <w:rsid w:val="0050526E"/>
    <w:rsid w:val="00505718"/>
    <w:rsid w:val="00505FF8"/>
    <w:rsid w:val="00507935"/>
    <w:rsid w:val="00507B69"/>
    <w:rsid w:val="0051566C"/>
    <w:rsid w:val="005160EE"/>
    <w:rsid w:val="00516C90"/>
    <w:rsid w:val="00524321"/>
    <w:rsid w:val="00526068"/>
    <w:rsid w:val="00526D1B"/>
    <w:rsid w:val="005270BE"/>
    <w:rsid w:val="00527F0D"/>
    <w:rsid w:val="00530382"/>
    <w:rsid w:val="005354BC"/>
    <w:rsid w:val="00540CC8"/>
    <w:rsid w:val="00541123"/>
    <w:rsid w:val="00542E54"/>
    <w:rsid w:val="005446A5"/>
    <w:rsid w:val="0054537B"/>
    <w:rsid w:val="00545385"/>
    <w:rsid w:val="0054545F"/>
    <w:rsid w:val="00545EB5"/>
    <w:rsid w:val="00550148"/>
    <w:rsid w:val="005503AD"/>
    <w:rsid w:val="00550997"/>
    <w:rsid w:val="00550D0A"/>
    <w:rsid w:val="00550EE6"/>
    <w:rsid w:val="00552A64"/>
    <w:rsid w:val="00552DE7"/>
    <w:rsid w:val="005537BE"/>
    <w:rsid w:val="00555D80"/>
    <w:rsid w:val="00556204"/>
    <w:rsid w:val="0055714E"/>
    <w:rsid w:val="0055756E"/>
    <w:rsid w:val="0056095F"/>
    <w:rsid w:val="00562CCE"/>
    <w:rsid w:val="00565E24"/>
    <w:rsid w:val="00566683"/>
    <w:rsid w:val="00570871"/>
    <w:rsid w:val="00571537"/>
    <w:rsid w:val="00573E0D"/>
    <w:rsid w:val="0057633B"/>
    <w:rsid w:val="005772B0"/>
    <w:rsid w:val="00583690"/>
    <w:rsid w:val="00583E31"/>
    <w:rsid w:val="005843B9"/>
    <w:rsid w:val="00586285"/>
    <w:rsid w:val="005867D7"/>
    <w:rsid w:val="005877F2"/>
    <w:rsid w:val="00587A9F"/>
    <w:rsid w:val="0059234E"/>
    <w:rsid w:val="00596D1F"/>
    <w:rsid w:val="00597032"/>
    <w:rsid w:val="005A2FB2"/>
    <w:rsid w:val="005A3521"/>
    <w:rsid w:val="005A70D0"/>
    <w:rsid w:val="005B0349"/>
    <w:rsid w:val="005B0674"/>
    <w:rsid w:val="005B09B1"/>
    <w:rsid w:val="005B4D28"/>
    <w:rsid w:val="005B4F50"/>
    <w:rsid w:val="005C038A"/>
    <w:rsid w:val="005C1A5A"/>
    <w:rsid w:val="005C1E93"/>
    <w:rsid w:val="005C2224"/>
    <w:rsid w:val="005C3DB3"/>
    <w:rsid w:val="005C5611"/>
    <w:rsid w:val="005C58E6"/>
    <w:rsid w:val="005D0565"/>
    <w:rsid w:val="005D37FA"/>
    <w:rsid w:val="005D40CD"/>
    <w:rsid w:val="005D56B6"/>
    <w:rsid w:val="005D5CC2"/>
    <w:rsid w:val="005D6A62"/>
    <w:rsid w:val="005D7196"/>
    <w:rsid w:val="005E3588"/>
    <w:rsid w:val="005E5158"/>
    <w:rsid w:val="005E584A"/>
    <w:rsid w:val="005E754E"/>
    <w:rsid w:val="005F5713"/>
    <w:rsid w:val="005F595A"/>
    <w:rsid w:val="0060018C"/>
    <w:rsid w:val="006007D7"/>
    <w:rsid w:val="00601668"/>
    <w:rsid w:val="00601F5A"/>
    <w:rsid w:val="00602A12"/>
    <w:rsid w:val="0060435A"/>
    <w:rsid w:val="00607A4C"/>
    <w:rsid w:val="00611470"/>
    <w:rsid w:val="00611CB7"/>
    <w:rsid w:val="0061220A"/>
    <w:rsid w:val="00612E72"/>
    <w:rsid w:val="006147D5"/>
    <w:rsid w:val="0061552D"/>
    <w:rsid w:val="00616348"/>
    <w:rsid w:val="00616488"/>
    <w:rsid w:val="0061728F"/>
    <w:rsid w:val="00617486"/>
    <w:rsid w:val="00621B25"/>
    <w:rsid w:val="006225C9"/>
    <w:rsid w:val="00632D16"/>
    <w:rsid w:val="00633EBC"/>
    <w:rsid w:val="00635F23"/>
    <w:rsid w:val="00635F6C"/>
    <w:rsid w:val="006378D7"/>
    <w:rsid w:val="00641428"/>
    <w:rsid w:val="00642C42"/>
    <w:rsid w:val="0064455F"/>
    <w:rsid w:val="0064602A"/>
    <w:rsid w:val="00646A15"/>
    <w:rsid w:val="00646E6C"/>
    <w:rsid w:val="00647C9C"/>
    <w:rsid w:val="00653019"/>
    <w:rsid w:val="0065305C"/>
    <w:rsid w:val="006533DB"/>
    <w:rsid w:val="00654A7E"/>
    <w:rsid w:val="00655603"/>
    <w:rsid w:val="0065579D"/>
    <w:rsid w:val="006570FD"/>
    <w:rsid w:val="00657DE6"/>
    <w:rsid w:val="00662A82"/>
    <w:rsid w:val="00665D61"/>
    <w:rsid w:val="006660A3"/>
    <w:rsid w:val="006661D1"/>
    <w:rsid w:val="0067081F"/>
    <w:rsid w:val="00671298"/>
    <w:rsid w:val="00673D9C"/>
    <w:rsid w:val="00674603"/>
    <w:rsid w:val="00680A0B"/>
    <w:rsid w:val="00681EA1"/>
    <w:rsid w:val="00682C81"/>
    <w:rsid w:val="00682F32"/>
    <w:rsid w:val="006832EF"/>
    <w:rsid w:val="00684FDB"/>
    <w:rsid w:val="006853B5"/>
    <w:rsid w:val="00685D67"/>
    <w:rsid w:val="00686437"/>
    <w:rsid w:val="00693366"/>
    <w:rsid w:val="00695639"/>
    <w:rsid w:val="006958FE"/>
    <w:rsid w:val="00697268"/>
    <w:rsid w:val="006A0F13"/>
    <w:rsid w:val="006A2512"/>
    <w:rsid w:val="006A2E59"/>
    <w:rsid w:val="006A40E6"/>
    <w:rsid w:val="006B18B7"/>
    <w:rsid w:val="006B2987"/>
    <w:rsid w:val="006B35AE"/>
    <w:rsid w:val="006B37C3"/>
    <w:rsid w:val="006B3A7E"/>
    <w:rsid w:val="006B3F0C"/>
    <w:rsid w:val="006B593D"/>
    <w:rsid w:val="006B6A7A"/>
    <w:rsid w:val="006C0E76"/>
    <w:rsid w:val="006C26F3"/>
    <w:rsid w:val="006C6FE4"/>
    <w:rsid w:val="006D067E"/>
    <w:rsid w:val="006D3614"/>
    <w:rsid w:val="006D41DB"/>
    <w:rsid w:val="006D49F8"/>
    <w:rsid w:val="006D5386"/>
    <w:rsid w:val="006D63C7"/>
    <w:rsid w:val="006E0338"/>
    <w:rsid w:val="006E1D4E"/>
    <w:rsid w:val="006E1EAD"/>
    <w:rsid w:val="006E27BC"/>
    <w:rsid w:val="006E2B52"/>
    <w:rsid w:val="006E3ED8"/>
    <w:rsid w:val="006E65FB"/>
    <w:rsid w:val="006E6940"/>
    <w:rsid w:val="006F10CB"/>
    <w:rsid w:val="006F251A"/>
    <w:rsid w:val="006F2C60"/>
    <w:rsid w:val="006F3180"/>
    <w:rsid w:val="006F395B"/>
    <w:rsid w:val="006F531A"/>
    <w:rsid w:val="006F634B"/>
    <w:rsid w:val="006F71FA"/>
    <w:rsid w:val="00700394"/>
    <w:rsid w:val="00700B46"/>
    <w:rsid w:val="0070241F"/>
    <w:rsid w:val="007026E7"/>
    <w:rsid w:val="007046D7"/>
    <w:rsid w:val="00705D7A"/>
    <w:rsid w:val="00706C27"/>
    <w:rsid w:val="007079F1"/>
    <w:rsid w:val="00710B2D"/>
    <w:rsid w:val="0071227C"/>
    <w:rsid w:val="007148AF"/>
    <w:rsid w:val="00714F43"/>
    <w:rsid w:val="00716417"/>
    <w:rsid w:val="00716A98"/>
    <w:rsid w:val="00721130"/>
    <w:rsid w:val="00723483"/>
    <w:rsid w:val="00724DB1"/>
    <w:rsid w:val="00725F88"/>
    <w:rsid w:val="0072643D"/>
    <w:rsid w:val="00730F63"/>
    <w:rsid w:val="007310F6"/>
    <w:rsid w:val="00733994"/>
    <w:rsid w:val="0073463A"/>
    <w:rsid w:val="00734E4D"/>
    <w:rsid w:val="0073573A"/>
    <w:rsid w:val="007365B4"/>
    <w:rsid w:val="00736F35"/>
    <w:rsid w:val="00737290"/>
    <w:rsid w:val="0074002D"/>
    <w:rsid w:val="00752C28"/>
    <w:rsid w:val="007543A2"/>
    <w:rsid w:val="007562D7"/>
    <w:rsid w:val="00757CA3"/>
    <w:rsid w:val="007646A0"/>
    <w:rsid w:val="007647C2"/>
    <w:rsid w:val="007649C2"/>
    <w:rsid w:val="00764A69"/>
    <w:rsid w:val="007657FB"/>
    <w:rsid w:val="00770339"/>
    <w:rsid w:val="007710E3"/>
    <w:rsid w:val="0077142D"/>
    <w:rsid w:val="0077232E"/>
    <w:rsid w:val="00772C0D"/>
    <w:rsid w:val="00773362"/>
    <w:rsid w:val="00780FC3"/>
    <w:rsid w:val="00780FEB"/>
    <w:rsid w:val="00785DD2"/>
    <w:rsid w:val="007872E9"/>
    <w:rsid w:val="00790C91"/>
    <w:rsid w:val="007915A5"/>
    <w:rsid w:val="00796CC4"/>
    <w:rsid w:val="00797727"/>
    <w:rsid w:val="007A0810"/>
    <w:rsid w:val="007A127C"/>
    <w:rsid w:val="007A2F7F"/>
    <w:rsid w:val="007A31AC"/>
    <w:rsid w:val="007A3CC3"/>
    <w:rsid w:val="007A425B"/>
    <w:rsid w:val="007A6CCF"/>
    <w:rsid w:val="007A7285"/>
    <w:rsid w:val="007B2137"/>
    <w:rsid w:val="007B45CB"/>
    <w:rsid w:val="007B5C85"/>
    <w:rsid w:val="007B79FD"/>
    <w:rsid w:val="007B7F74"/>
    <w:rsid w:val="007C0C77"/>
    <w:rsid w:val="007C10F8"/>
    <w:rsid w:val="007C2E2D"/>
    <w:rsid w:val="007C4B99"/>
    <w:rsid w:val="007C6508"/>
    <w:rsid w:val="007C674C"/>
    <w:rsid w:val="007D02AC"/>
    <w:rsid w:val="007D0BAC"/>
    <w:rsid w:val="007D1086"/>
    <w:rsid w:val="007D1CFB"/>
    <w:rsid w:val="007D5364"/>
    <w:rsid w:val="007D6216"/>
    <w:rsid w:val="007E0193"/>
    <w:rsid w:val="007E026C"/>
    <w:rsid w:val="007E259E"/>
    <w:rsid w:val="007E2665"/>
    <w:rsid w:val="007E4C43"/>
    <w:rsid w:val="007E5A2D"/>
    <w:rsid w:val="007E6BE4"/>
    <w:rsid w:val="007F11F7"/>
    <w:rsid w:val="007F298B"/>
    <w:rsid w:val="007F5812"/>
    <w:rsid w:val="008004B9"/>
    <w:rsid w:val="00800846"/>
    <w:rsid w:val="00802139"/>
    <w:rsid w:val="00803A0E"/>
    <w:rsid w:val="008048CF"/>
    <w:rsid w:val="00804DF5"/>
    <w:rsid w:val="0080665F"/>
    <w:rsid w:val="00813591"/>
    <w:rsid w:val="00815307"/>
    <w:rsid w:val="00822C57"/>
    <w:rsid w:val="008244F0"/>
    <w:rsid w:val="00825814"/>
    <w:rsid w:val="00827ECC"/>
    <w:rsid w:val="008301A3"/>
    <w:rsid w:val="00830622"/>
    <w:rsid w:val="00830884"/>
    <w:rsid w:val="00830E52"/>
    <w:rsid w:val="008325E3"/>
    <w:rsid w:val="00832E83"/>
    <w:rsid w:val="00833CFE"/>
    <w:rsid w:val="00833D2C"/>
    <w:rsid w:val="008349BF"/>
    <w:rsid w:val="0083502E"/>
    <w:rsid w:val="00835B6F"/>
    <w:rsid w:val="00840167"/>
    <w:rsid w:val="008415CB"/>
    <w:rsid w:val="0084243E"/>
    <w:rsid w:val="008440FC"/>
    <w:rsid w:val="00844876"/>
    <w:rsid w:val="008457A9"/>
    <w:rsid w:val="0084622D"/>
    <w:rsid w:val="00847022"/>
    <w:rsid w:val="0085037D"/>
    <w:rsid w:val="00850B5D"/>
    <w:rsid w:val="008513D2"/>
    <w:rsid w:val="00852661"/>
    <w:rsid w:val="0086247D"/>
    <w:rsid w:val="00863988"/>
    <w:rsid w:val="00866588"/>
    <w:rsid w:val="008673CA"/>
    <w:rsid w:val="008720E1"/>
    <w:rsid w:val="00873C8A"/>
    <w:rsid w:val="00876632"/>
    <w:rsid w:val="008805D4"/>
    <w:rsid w:val="00880D24"/>
    <w:rsid w:val="008826E5"/>
    <w:rsid w:val="008837A0"/>
    <w:rsid w:val="00884E37"/>
    <w:rsid w:val="008863C8"/>
    <w:rsid w:val="00886BF0"/>
    <w:rsid w:val="008908E7"/>
    <w:rsid w:val="00890BA0"/>
    <w:rsid w:val="00891409"/>
    <w:rsid w:val="008919E4"/>
    <w:rsid w:val="00893FE7"/>
    <w:rsid w:val="008965A7"/>
    <w:rsid w:val="008A0A8F"/>
    <w:rsid w:val="008A24B2"/>
    <w:rsid w:val="008A24E1"/>
    <w:rsid w:val="008A360B"/>
    <w:rsid w:val="008A5016"/>
    <w:rsid w:val="008A523A"/>
    <w:rsid w:val="008A55EE"/>
    <w:rsid w:val="008A5EE5"/>
    <w:rsid w:val="008A66B8"/>
    <w:rsid w:val="008B0252"/>
    <w:rsid w:val="008B2007"/>
    <w:rsid w:val="008B2091"/>
    <w:rsid w:val="008B25DE"/>
    <w:rsid w:val="008B2BAC"/>
    <w:rsid w:val="008B483C"/>
    <w:rsid w:val="008C13F0"/>
    <w:rsid w:val="008C155E"/>
    <w:rsid w:val="008C2DDE"/>
    <w:rsid w:val="008C3FEF"/>
    <w:rsid w:val="008C40C2"/>
    <w:rsid w:val="008C495F"/>
    <w:rsid w:val="008C7259"/>
    <w:rsid w:val="008D10B7"/>
    <w:rsid w:val="008D1CB7"/>
    <w:rsid w:val="008D245C"/>
    <w:rsid w:val="008D3A8D"/>
    <w:rsid w:val="008E38A4"/>
    <w:rsid w:val="008E41CD"/>
    <w:rsid w:val="008E62C8"/>
    <w:rsid w:val="008E70BA"/>
    <w:rsid w:val="008F1DEA"/>
    <w:rsid w:val="008F4727"/>
    <w:rsid w:val="008F47BA"/>
    <w:rsid w:val="008F6311"/>
    <w:rsid w:val="008F6800"/>
    <w:rsid w:val="008F739E"/>
    <w:rsid w:val="008F745E"/>
    <w:rsid w:val="008F7DBE"/>
    <w:rsid w:val="009024C2"/>
    <w:rsid w:val="009050F9"/>
    <w:rsid w:val="00906F86"/>
    <w:rsid w:val="00907233"/>
    <w:rsid w:val="0091599F"/>
    <w:rsid w:val="00916D8A"/>
    <w:rsid w:val="00917646"/>
    <w:rsid w:val="00920031"/>
    <w:rsid w:val="00921D07"/>
    <w:rsid w:val="009221E7"/>
    <w:rsid w:val="00922CCB"/>
    <w:rsid w:val="00930504"/>
    <w:rsid w:val="00930E0A"/>
    <w:rsid w:val="0093258D"/>
    <w:rsid w:val="00932EA4"/>
    <w:rsid w:val="009446C3"/>
    <w:rsid w:val="00944A90"/>
    <w:rsid w:val="00946737"/>
    <w:rsid w:val="009522DD"/>
    <w:rsid w:val="009534C6"/>
    <w:rsid w:val="00964A64"/>
    <w:rsid w:val="00964FD1"/>
    <w:rsid w:val="0096608D"/>
    <w:rsid w:val="00966B1B"/>
    <w:rsid w:val="009676CD"/>
    <w:rsid w:val="0096773D"/>
    <w:rsid w:val="00967B9A"/>
    <w:rsid w:val="009704EA"/>
    <w:rsid w:val="00970DC6"/>
    <w:rsid w:val="00972EAA"/>
    <w:rsid w:val="009738DB"/>
    <w:rsid w:val="0097530F"/>
    <w:rsid w:val="00977266"/>
    <w:rsid w:val="009802DD"/>
    <w:rsid w:val="009811E5"/>
    <w:rsid w:val="0098171E"/>
    <w:rsid w:val="00982EB4"/>
    <w:rsid w:val="00983CE1"/>
    <w:rsid w:val="00991688"/>
    <w:rsid w:val="00995301"/>
    <w:rsid w:val="009A0E47"/>
    <w:rsid w:val="009A1948"/>
    <w:rsid w:val="009A1F0F"/>
    <w:rsid w:val="009A2C19"/>
    <w:rsid w:val="009A38C3"/>
    <w:rsid w:val="009A3E70"/>
    <w:rsid w:val="009A43B4"/>
    <w:rsid w:val="009A4728"/>
    <w:rsid w:val="009A4E32"/>
    <w:rsid w:val="009A4F18"/>
    <w:rsid w:val="009B1E9D"/>
    <w:rsid w:val="009B274D"/>
    <w:rsid w:val="009B4138"/>
    <w:rsid w:val="009B43E8"/>
    <w:rsid w:val="009B4448"/>
    <w:rsid w:val="009B6442"/>
    <w:rsid w:val="009C34AE"/>
    <w:rsid w:val="009C7882"/>
    <w:rsid w:val="009D1FC8"/>
    <w:rsid w:val="009D2E89"/>
    <w:rsid w:val="009D5190"/>
    <w:rsid w:val="009D7459"/>
    <w:rsid w:val="009E005F"/>
    <w:rsid w:val="009E0D09"/>
    <w:rsid w:val="009E13AB"/>
    <w:rsid w:val="009E6111"/>
    <w:rsid w:val="009E70BD"/>
    <w:rsid w:val="009E7B45"/>
    <w:rsid w:val="009F553E"/>
    <w:rsid w:val="009F5B94"/>
    <w:rsid w:val="009F6271"/>
    <w:rsid w:val="009F7159"/>
    <w:rsid w:val="009F7412"/>
    <w:rsid w:val="00A0178F"/>
    <w:rsid w:val="00A03182"/>
    <w:rsid w:val="00A07F25"/>
    <w:rsid w:val="00A11770"/>
    <w:rsid w:val="00A133FD"/>
    <w:rsid w:val="00A170DB"/>
    <w:rsid w:val="00A17E57"/>
    <w:rsid w:val="00A23418"/>
    <w:rsid w:val="00A235A6"/>
    <w:rsid w:val="00A23DA0"/>
    <w:rsid w:val="00A306BC"/>
    <w:rsid w:val="00A30E52"/>
    <w:rsid w:val="00A330EB"/>
    <w:rsid w:val="00A33543"/>
    <w:rsid w:val="00A370A7"/>
    <w:rsid w:val="00A4156C"/>
    <w:rsid w:val="00A4498E"/>
    <w:rsid w:val="00A5103D"/>
    <w:rsid w:val="00A53756"/>
    <w:rsid w:val="00A57B87"/>
    <w:rsid w:val="00A612F4"/>
    <w:rsid w:val="00A625DC"/>
    <w:rsid w:val="00A62854"/>
    <w:rsid w:val="00A633E7"/>
    <w:rsid w:val="00A64C14"/>
    <w:rsid w:val="00A64C2C"/>
    <w:rsid w:val="00A65723"/>
    <w:rsid w:val="00A65871"/>
    <w:rsid w:val="00A663C1"/>
    <w:rsid w:val="00A67080"/>
    <w:rsid w:val="00A72126"/>
    <w:rsid w:val="00A738A6"/>
    <w:rsid w:val="00A741D5"/>
    <w:rsid w:val="00A74B9F"/>
    <w:rsid w:val="00A74E5E"/>
    <w:rsid w:val="00A759C6"/>
    <w:rsid w:val="00A76058"/>
    <w:rsid w:val="00A765E2"/>
    <w:rsid w:val="00A77B00"/>
    <w:rsid w:val="00A82463"/>
    <w:rsid w:val="00A853D7"/>
    <w:rsid w:val="00A9016E"/>
    <w:rsid w:val="00A904B0"/>
    <w:rsid w:val="00A90EEC"/>
    <w:rsid w:val="00A91833"/>
    <w:rsid w:val="00A92A1C"/>
    <w:rsid w:val="00A943E6"/>
    <w:rsid w:val="00A975C0"/>
    <w:rsid w:val="00A97D7A"/>
    <w:rsid w:val="00AA0906"/>
    <w:rsid w:val="00AA0BAB"/>
    <w:rsid w:val="00AA0DB3"/>
    <w:rsid w:val="00AA4F88"/>
    <w:rsid w:val="00AA73BE"/>
    <w:rsid w:val="00AB189D"/>
    <w:rsid w:val="00AB1D79"/>
    <w:rsid w:val="00AB22BB"/>
    <w:rsid w:val="00AB24A3"/>
    <w:rsid w:val="00AB37B9"/>
    <w:rsid w:val="00AB5D66"/>
    <w:rsid w:val="00AC00F4"/>
    <w:rsid w:val="00AC0937"/>
    <w:rsid w:val="00AC41D7"/>
    <w:rsid w:val="00AC4E01"/>
    <w:rsid w:val="00AC5538"/>
    <w:rsid w:val="00AD0958"/>
    <w:rsid w:val="00AD0DE7"/>
    <w:rsid w:val="00AD1B50"/>
    <w:rsid w:val="00AD2436"/>
    <w:rsid w:val="00AD3AF6"/>
    <w:rsid w:val="00AD3FFB"/>
    <w:rsid w:val="00AD40D2"/>
    <w:rsid w:val="00AD57CA"/>
    <w:rsid w:val="00AE0783"/>
    <w:rsid w:val="00AE4145"/>
    <w:rsid w:val="00AE513D"/>
    <w:rsid w:val="00AE68B2"/>
    <w:rsid w:val="00AF0F63"/>
    <w:rsid w:val="00AF5A42"/>
    <w:rsid w:val="00AF7194"/>
    <w:rsid w:val="00AF71C5"/>
    <w:rsid w:val="00AF78BF"/>
    <w:rsid w:val="00B05B73"/>
    <w:rsid w:val="00B05D49"/>
    <w:rsid w:val="00B0645E"/>
    <w:rsid w:val="00B11703"/>
    <w:rsid w:val="00B11966"/>
    <w:rsid w:val="00B1441B"/>
    <w:rsid w:val="00B206A9"/>
    <w:rsid w:val="00B2153A"/>
    <w:rsid w:val="00B21F83"/>
    <w:rsid w:val="00B2332C"/>
    <w:rsid w:val="00B24F57"/>
    <w:rsid w:val="00B26BF4"/>
    <w:rsid w:val="00B26D97"/>
    <w:rsid w:val="00B27612"/>
    <w:rsid w:val="00B27741"/>
    <w:rsid w:val="00B30F7E"/>
    <w:rsid w:val="00B3184C"/>
    <w:rsid w:val="00B31ADB"/>
    <w:rsid w:val="00B32C26"/>
    <w:rsid w:val="00B3449C"/>
    <w:rsid w:val="00B35B14"/>
    <w:rsid w:val="00B36D89"/>
    <w:rsid w:val="00B3783F"/>
    <w:rsid w:val="00B37D72"/>
    <w:rsid w:val="00B408F1"/>
    <w:rsid w:val="00B417AE"/>
    <w:rsid w:val="00B4197D"/>
    <w:rsid w:val="00B41AFB"/>
    <w:rsid w:val="00B424AA"/>
    <w:rsid w:val="00B424BA"/>
    <w:rsid w:val="00B44C02"/>
    <w:rsid w:val="00B45F54"/>
    <w:rsid w:val="00B52EEB"/>
    <w:rsid w:val="00B53AFB"/>
    <w:rsid w:val="00B57C0B"/>
    <w:rsid w:val="00B60D4C"/>
    <w:rsid w:val="00B61BDD"/>
    <w:rsid w:val="00B66057"/>
    <w:rsid w:val="00B66E37"/>
    <w:rsid w:val="00B67658"/>
    <w:rsid w:val="00B703A2"/>
    <w:rsid w:val="00B71FC7"/>
    <w:rsid w:val="00B72068"/>
    <w:rsid w:val="00B73B4A"/>
    <w:rsid w:val="00B75EAE"/>
    <w:rsid w:val="00B76DB1"/>
    <w:rsid w:val="00B77E03"/>
    <w:rsid w:val="00B80309"/>
    <w:rsid w:val="00B81579"/>
    <w:rsid w:val="00B82443"/>
    <w:rsid w:val="00B84579"/>
    <w:rsid w:val="00B8682F"/>
    <w:rsid w:val="00B9086C"/>
    <w:rsid w:val="00B951E7"/>
    <w:rsid w:val="00B95E28"/>
    <w:rsid w:val="00BA545B"/>
    <w:rsid w:val="00BA5F53"/>
    <w:rsid w:val="00BA7533"/>
    <w:rsid w:val="00BA7F9C"/>
    <w:rsid w:val="00BB176A"/>
    <w:rsid w:val="00BB77E3"/>
    <w:rsid w:val="00BC020E"/>
    <w:rsid w:val="00BC13F7"/>
    <w:rsid w:val="00BC1B52"/>
    <w:rsid w:val="00BC4116"/>
    <w:rsid w:val="00BD1D55"/>
    <w:rsid w:val="00BD1D72"/>
    <w:rsid w:val="00BD639C"/>
    <w:rsid w:val="00BD65C0"/>
    <w:rsid w:val="00BE24D1"/>
    <w:rsid w:val="00BE34AA"/>
    <w:rsid w:val="00BE47F7"/>
    <w:rsid w:val="00BE4B16"/>
    <w:rsid w:val="00BF1BB0"/>
    <w:rsid w:val="00BF31B8"/>
    <w:rsid w:val="00BF3F17"/>
    <w:rsid w:val="00BF4162"/>
    <w:rsid w:val="00BF4D3C"/>
    <w:rsid w:val="00BF59BC"/>
    <w:rsid w:val="00BF605B"/>
    <w:rsid w:val="00BF7292"/>
    <w:rsid w:val="00BF7AA4"/>
    <w:rsid w:val="00C06ED6"/>
    <w:rsid w:val="00C074A6"/>
    <w:rsid w:val="00C076AC"/>
    <w:rsid w:val="00C07A3A"/>
    <w:rsid w:val="00C1119D"/>
    <w:rsid w:val="00C115C4"/>
    <w:rsid w:val="00C2092F"/>
    <w:rsid w:val="00C212D0"/>
    <w:rsid w:val="00C22284"/>
    <w:rsid w:val="00C23CF3"/>
    <w:rsid w:val="00C27AA4"/>
    <w:rsid w:val="00C30016"/>
    <w:rsid w:val="00C30258"/>
    <w:rsid w:val="00C3076F"/>
    <w:rsid w:val="00C30CB3"/>
    <w:rsid w:val="00C33573"/>
    <w:rsid w:val="00C33BE7"/>
    <w:rsid w:val="00C3554F"/>
    <w:rsid w:val="00C409D3"/>
    <w:rsid w:val="00C41AF0"/>
    <w:rsid w:val="00C42685"/>
    <w:rsid w:val="00C42C01"/>
    <w:rsid w:val="00C434CF"/>
    <w:rsid w:val="00C43A91"/>
    <w:rsid w:val="00C44FAB"/>
    <w:rsid w:val="00C45D81"/>
    <w:rsid w:val="00C50439"/>
    <w:rsid w:val="00C51398"/>
    <w:rsid w:val="00C519FA"/>
    <w:rsid w:val="00C51E6D"/>
    <w:rsid w:val="00C526C0"/>
    <w:rsid w:val="00C56A2B"/>
    <w:rsid w:val="00C57A9C"/>
    <w:rsid w:val="00C645D8"/>
    <w:rsid w:val="00C659A1"/>
    <w:rsid w:val="00C673DF"/>
    <w:rsid w:val="00C71564"/>
    <w:rsid w:val="00C73083"/>
    <w:rsid w:val="00C73FD5"/>
    <w:rsid w:val="00C7440E"/>
    <w:rsid w:val="00C77441"/>
    <w:rsid w:val="00C8035C"/>
    <w:rsid w:val="00C82DB4"/>
    <w:rsid w:val="00C82E86"/>
    <w:rsid w:val="00C8451B"/>
    <w:rsid w:val="00C8586C"/>
    <w:rsid w:val="00C85C64"/>
    <w:rsid w:val="00C9206C"/>
    <w:rsid w:val="00C932B4"/>
    <w:rsid w:val="00C948DC"/>
    <w:rsid w:val="00C948F1"/>
    <w:rsid w:val="00C96EB7"/>
    <w:rsid w:val="00CA0869"/>
    <w:rsid w:val="00CA35DC"/>
    <w:rsid w:val="00CA4F93"/>
    <w:rsid w:val="00CB17EC"/>
    <w:rsid w:val="00CB51C4"/>
    <w:rsid w:val="00CC064F"/>
    <w:rsid w:val="00CC63B7"/>
    <w:rsid w:val="00CC7C43"/>
    <w:rsid w:val="00CC7F6F"/>
    <w:rsid w:val="00CD2F54"/>
    <w:rsid w:val="00CD6D9B"/>
    <w:rsid w:val="00CD6E2C"/>
    <w:rsid w:val="00CD6F6B"/>
    <w:rsid w:val="00CE1803"/>
    <w:rsid w:val="00CE26B7"/>
    <w:rsid w:val="00CE36BF"/>
    <w:rsid w:val="00CE4DEA"/>
    <w:rsid w:val="00CE6445"/>
    <w:rsid w:val="00CF2471"/>
    <w:rsid w:val="00CF249B"/>
    <w:rsid w:val="00CF2587"/>
    <w:rsid w:val="00CF374C"/>
    <w:rsid w:val="00CF3E71"/>
    <w:rsid w:val="00CF5C65"/>
    <w:rsid w:val="00CF75C9"/>
    <w:rsid w:val="00D01589"/>
    <w:rsid w:val="00D01C86"/>
    <w:rsid w:val="00D050A9"/>
    <w:rsid w:val="00D06C69"/>
    <w:rsid w:val="00D073D4"/>
    <w:rsid w:val="00D14EEC"/>
    <w:rsid w:val="00D15124"/>
    <w:rsid w:val="00D157C8"/>
    <w:rsid w:val="00D15809"/>
    <w:rsid w:val="00D15D53"/>
    <w:rsid w:val="00D20A8A"/>
    <w:rsid w:val="00D227BE"/>
    <w:rsid w:val="00D22DC0"/>
    <w:rsid w:val="00D249BB"/>
    <w:rsid w:val="00D261FB"/>
    <w:rsid w:val="00D27D0F"/>
    <w:rsid w:val="00D31B97"/>
    <w:rsid w:val="00D32C13"/>
    <w:rsid w:val="00D33912"/>
    <w:rsid w:val="00D3402B"/>
    <w:rsid w:val="00D36023"/>
    <w:rsid w:val="00D3761F"/>
    <w:rsid w:val="00D46088"/>
    <w:rsid w:val="00D46741"/>
    <w:rsid w:val="00D46770"/>
    <w:rsid w:val="00D46AE4"/>
    <w:rsid w:val="00D470A1"/>
    <w:rsid w:val="00D47617"/>
    <w:rsid w:val="00D51497"/>
    <w:rsid w:val="00D54EF2"/>
    <w:rsid w:val="00D55F57"/>
    <w:rsid w:val="00D56C68"/>
    <w:rsid w:val="00D61644"/>
    <w:rsid w:val="00D61903"/>
    <w:rsid w:val="00D62310"/>
    <w:rsid w:val="00D62E92"/>
    <w:rsid w:val="00D62F5D"/>
    <w:rsid w:val="00D63181"/>
    <w:rsid w:val="00D64AE8"/>
    <w:rsid w:val="00D713F4"/>
    <w:rsid w:val="00D735E6"/>
    <w:rsid w:val="00D738AC"/>
    <w:rsid w:val="00D73BF9"/>
    <w:rsid w:val="00D75034"/>
    <w:rsid w:val="00D75AD6"/>
    <w:rsid w:val="00D75BB4"/>
    <w:rsid w:val="00D779D4"/>
    <w:rsid w:val="00D853D5"/>
    <w:rsid w:val="00D92035"/>
    <w:rsid w:val="00D92722"/>
    <w:rsid w:val="00D927CD"/>
    <w:rsid w:val="00D94250"/>
    <w:rsid w:val="00DA24F6"/>
    <w:rsid w:val="00DA5FC4"/>
    <w:rsid w:val="00DA74B3"/>
    <w:rsid w:val="00DA75EE"/>
    <w:rsid w:val="00DA781A"/>
    <w:rsid w:val="00DB0DF6"/>
    <w:rsid w:val="00DB10EB"/>
    <w:rsid w:val="00DB411E"/>
    <w:rsid w:val="00DB5750"/>
    <w:rsid w:val="00DB6B31"/>
    <w:rsid w:val="00DB7067"/>
    <w:rsid w:val="00DC6658"/>
    <w:rsid w:val="00DC7084"/>
    <w:rsid w:val="00DC7C15"/>
    <w:rsid w:val="00DD5865"/>
    <w:rsid w:val="00DD5A2D"/>
    <w:rsid w:val="00DD5DDB"/>
    <w:rsid w:val="00DD5F8C"/>
    <w:rsid w:val="00DD695B"/>
    <w:rsid w:val="00DE0CDD"/>
    <w:rsid w:val="00DE14FF"/>
    <w:rsid w:val="00DE2AC6"/>
    <w:rsid w:val="00DE5748"/>
    <w:rsid w:val="00DE74DC"/>
    <w:rsid w:val="00DF2300"/>
    <w:rsid w:val="00DF6212"/>
    <w:rsid w:val="00DF7B54"/>
    <w:rsid w:val="00DF7BC5"/>
    <w:rsid w:val="00E00C66"/>
    <w:rsid w:val="00E0205B"/>
    <w:rsid w:val="00E105D7"/>
    <w:rsid w:val="00E11C6A"/>
    <w:rsid w:val="00E12F6E"/>
    <w:rsid w:val="00E13DA0"/>
    <w:rsid w:val="00E149D6"/>
    <w:rsid w:val="00E14ABC"/>
    <w:rsid w:val="00E21DE3"/>
    <w:rsid w:val="00E221E5"/>
    <w:rsid w:val="00E2312F"/>
    <w:rsid w:val="00E23AD0"/>
    <w:rsid w:val="00E26A48"/>
    <w:rsid w:val="00E300E0"/>
    <w:rsid w:val="00E31E52"/>
    <w:rsid w:val="00E325C9"/>
    <w:rsid w:val="00E32E7B"/>
    <w:rsid w:val="00E338F8"/>
    <w:rsid w:val="00E346C1"/>
    <w:rsid w:val="00E43D45"/>
    <w:rsid w:val="00E44920"/>
    <w:rsid w:val="00E45C68"/>
    <w:rsid w:val="00E469C7"/>
    <w:rsid w:val="00E50D08"/>
    <w:rsid w:val="00E55C51"/>
    <w:rsid w:val="00E5738A"/>
    <w:rsid w:val="00E60E75"/>
    <w:rsid w:val="00E614D5"/>
    <w:rsid w:val="00E64CDB"/>
    <w:rsid w:val="00E64F13"/>
    <w:rsid w:val="00E7043D"/>
    <w:rsid w:val="00E73AFB"/>
    <w:rsid w:val="00E7476D"/>
    <w:rsid w:val="00E76258"/>
    <w:rsid w:val="00E82219"/>
    <w:rsid w:val="00E8289A"/>
    <w:rsid w:val="00E84C52"/>
    <w:rsid w:val="00E85154"/>
    <w:rsid w:val="00E85943"/>
    <w:rsid w:val="00E859D1"/>
    <w:rsid w:val="00E85FCA"/>
    <w:rsid w:val="00E86175"/>
    <w:rsid w:val="00E87C0E"/>
    <w:rsid w:val="00E90B7D"/>
    <w:rsid w:val="00E91252"/>
    <w:rsid w:val="00E932D5"/>
    <w:rsid w:val="00E93CBE"/>
    <w:rsid w:val="00E94A42"/>
    <w:rsid w:val="00E95953"/>
    <w:rsid w:val="00E96290"/>
    <w:rsid w:val="00E967BA"/>
    <w:rsid w:val="00E96CB5"/>
    <w:rsid w:val="00E96DD7"/>
    <w:rsid w:val="00E97836"/>
    <w:rsid w:val="00EA032E"/>
    <w:rsid w:val="00EA0A15"/>
    <w:rsid w:val="00EA3B8F"/>
    <w:rsid w:val="00EA3EB7"/>
    <w:rsid w:val="00EA6643"/>
    <w:rsid w:val="00EA7769"/>
    <w:rsid w:val="00EB018D"/>
    <w:rsid w:val="00EB2459"/>
    <w:rsid w:val="00EB25A8"/>
    <w:rsid w:val="00EB29CE"/>
    <w:rsid w:val="00EB3EC0"/>
    <w:rsid w:val="00EB6164"/>
    <w:rsid w:val="00EC0820"/>
    <w:rsid w:val="00EC0A62"/>
    <w:rsid w:val="00EC0F47"/>
    <w:rsid w:val="00EC3260"/>
    <w:rsid w:val="00EC3945"/>
    <w:rsid w:val="00EC46C3"/>
    <w:rsid w:val="00EC5ADC"/>
    <w:rsid w:val="00ED3576"/>
    <w:rsid w:val="00ED3628"/>
    <w:rsid w:val="00ED4C41"/>
    <w:rsid w:val="00ED669C"/>
    <w:rsid w:val="00EE2CD2"/>
    <w:rsid w:val="00EE3069"/>
    <w:rsid w:val="00EE4161"/>
    <w:rsid w:val="00EE497E"/>
    <w:rsid w:val="00EE4A8D"/>
    <w:rsid w:val="00EE567E"/>
    <w:rsid w:val="00EE6D09"/>
    <w:rsid w:val="00EE7CFA"/>
    <w:rsid w:val="00EE7FAD"/>
    <w:rsid w:val="00EF1E77"/>
    <w:rsid w:val="00EF5A56"/>
    <w:rsid w:val="00EF5F8D"/>
    <w:rsid w:val="00EF629C"/>
    <w:rsid w:val="00EF686B"/>
    <w:rsid w:val="00EF68FF"/>
    <w:rsid w:val="00EF6DD8"/>
    <w:rsid w:val="00EF6FA6"/>
    <w:rsid w:val="00EF74CC"/>
    <w:rsid w:val="00F02165"/>
    <w:rsid w:val="00F0217B"/>
    <w:rsid w:val="00F03353"/>
    <w:rsid w:val="00F05DFC"/>
    <w:rsid w:val="00F05E8F"/>
    <w:rsid w:val="00F0632D"/>
    <w:rsid w:val="00F07C5E"/>
    <w:rsid w:val="00F10969"/>
    <w:rsid w:val="00F11C43"/>
    <w:rsid w:val="00F128C1"/>
    <w:rsid w:val="00F1611E"/>
    <w:rsid w:val="00F16538"/>
    <w:rsid w:val="00F16740"/>
    <w:rsid w:val="00F16BC6"/>
    <w:rsid w:val="00F2325A"/>
    <w:rsid w:val="00F26E90"/>
    <w:rsid w:val="00F3011D"/>
    <w:rsid w:val="00F310A4"/>
    <w:rsid w:val="00F310D1"/>
    <w:rsid w:val="00F31C3E"/>
    <w:rsid w:val="00F321D7"/>
    <w:rsid w:val="00F33B4D"/>
    <w:rsid w:val="00F33EF0"/>
    <w:rsid w:val="00F3542F"/>
    <w:rsid w:val="00F35BBA"/>
    <w:rsid w:val="00F35BC4"/>
    <w:rsid w:val="00F36900"/>
    <w:rsid w:val="00F37D84"/>
    <w:rsid w:val="00F40E23"/>
    <w:rsid w:val="00F437FB"/>
    <w:rsid w:val="00F46610"/>
    <w:rsid w:val="00F479D6"/>
    <w:rsid w:val="00F51917"/>
    <w:rsid w:val="00F52477"/>
    <w:rsid w:val="00F546D4"/>
    <w:rsid w:val="00F548F9"/>
    <w:rsid w:val="00F60919"/>
    <w:rsid w:val="00F65570"/>
    <w:rsid w:val="00F66A1F"/>
    <w:rsid w:val="00F674B1"/>
    <w:rsid w:val="00F714D2"/>
    <w:rsid w:val="00F72D5C"/>
    <w:rsid w:val="00F762E7"/>
    <w:rsid w:val="00F76661"/>
    <w:rsid w:val="00F77846"/>
    <w:rsid w:val="00F77C4E"/>
    <w:rsid w:val="00F80652"/>
    <w:rsid w:val="00F830E6"/>
    <w:rsid w:val="00F85EC7"/>
    <w:rsid w:val="00F877A5"/>
    <w:rsid w:val="00F90F5C"/>
    <w:rsid w:val="00F9135E"/>
    <w:rsid w:val="00F941BD"/>
    <w:rsid w:val="00F94E31"/>
    <w:rsid w:val="00F96867"/>
    <w:rsid w:val="00F97261"/>
    <w:rsid w:val="00F9754B"/>
    <w:rsid w:val="00FA2AF2"/>
    <w:rsid w:val="00FA422F"/>
    <w:rsid w:val="00FA4A6E"/>
    <w:rsid w:val="00FA7512"/>
    <w:rsid w:val="00FB3306"/>
    <w:rsid w:val="00FB4627"/>
    <w:rsid w:val="00FC03D5"/>
    <w:rsid w:val="00FC244D"/>
    <w:rsid w:val="00FC45CC"/>
    <w:rsid w:val="00FC57BA"/>
    <w:rsid w:val="00FD11C8"/>
    <w:rsid w:val="00FD3961"/>
    <w:rsid w:val="00FD3F44"/>
    <w:rsid w:val="00FD4965"/>
    <w:rsid w:val="00FD5BA6"/>
    <w:rsid w:val="00FD7C75"/>
    <w:rsid w:val="00FE5193"/>
    <w:rsid w:val="00FE6A60"/>
    <w:rsid w:val="00FE7021"/>
    <w:rsid w:val="00FF0C7C"/>
    <w:rsid w:val="00FF271B"/>
    <w:rsid w:val="00FF2980"/>
    <w:rsid w:val="00FF527D"/>
    <w:rsid w:val="00FF5D5E"/>
    <w:rsid w:val="00FF6AAD"/>
    <w:rsid w:val="00FF6BE8"/>
    <w:rsid w:val="00FF710F"/>
    <w:rsid w:val="00FF796A"/>
    <w:rsid w:val="00FF7CD6"/>
    <w:rsid w:val="2E3841DE"/>
    <w:rsid w:val="37517544"/>
    <w:rsid w:val="3B744A44"/>
    <w:rsid w:val="3E815CBA"/>
    <w:rsid w:val="3E93156F"/>
    <w:rsid w:val="427E2BC9"/>
    <w:rsid w:val="42F848B2"/>
    <w:rsid w:val="4A2A33E3"/>
    <w:rsid w:val="708B1D77"/>
    <w:rsid w:val="71AB0B4E"/>
    <w:rsid w:val="748162EF"/>
    <w:rsid w:val="782C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53"/>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5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69"/>
    <w:qFormat/>
    <w:uiPriority w:val="9"/>
    <w:pPr>
      <w:keepNext/>
      <w:keepLines/>
      <w:numPr>
        <w:ilvl w:val="4"/>
        <w:numId w:val="1"/>
      </w:numPr>
      <w:spacing w:before="280" w:after="290" w:line="376" w:lineRule="auto"/>
      <w:outlineLvl w:val="4"/>
    </w:pPr>
    <w:rPr>
      <w:rFonts w:ascii="Times New Roman" w:hAnsi="Times New Roman"/>
      <w:b/>
      <w:bCs/>
      <w:sz w:val="28"/>
      <w:szCs w:val="28"/>
    </w:rPr>
  </w:style>
  <w:style w:type="paragraph" w:styleId="8">
    <w:name w:val="heading 6"/>
    <w:basedOn w:val="1"/>
    <w:next w:val="1"/>
    <w:link w:val="70"/>
    <w:qFormat/>
    <w:uiPriority w:val="9"/>
    <w:pPr>
      <w:keepNext/>
      <w:keepLines/>
      <w:numPr>
        <w:ilvl w:val="5"/>
        <w:numId w:val="1"/>
      </w:numPr>
      <w:spacing w:before="240" w:after="64" w:line="320" w:lineRule="auto"/>
      <w:outlineLvl w:val="5"/>
    </w:pPr>
    <w:rPr>
      <w:rFonts w:ascii="Cambria" w:hAnsi="Cambria"/>
      <w:b/>
      <w:bCs/>
      <w:sz w:val="24"/>
    </w:rPr>
  </w:style>
  <w:style w:type="paragraph" w:styleId="9">
    <w:name w:val="heading 7"/>
    <w:basedOn w:val="1"/>
    <w:next w:val="1"/>
    <w:link w:val="71"/>
    <w:qFormat/>
    <w:uiPriority w:val="9"/>
    <w:pPr>
      <w:keepNext/>
      <w:keepLines/>
      <w:numPr>
        <w:ilvl w:val="6"/>
        <w:numId w:val="1"/>
      </w:numPr>
      <w:spacing w:before="240" w:after="64" w:line="320" w:lineRule="auto"/>
      <w:outlineLvl w:val="6"/>
    </w:pPr>
    <w:rPr>
      <w:rFonts w:ascii="Times New Roman" w:hAnsi="Times New Roman"/>
      <w:b/>
      <w:bCs/>
      <w:sz w:val="24"/>
    </w:rPr>
  </w:style>
  <w:style w:type="paragraph" w:styleId="10">
    <w:name w:val="heading 8"/>
    <w:basedOn w:val="1"/>
    <w:next w:val="1"/>
    <w:link w:val="72"/>
    <w:qFormat/>
    <w:uiPriority w:val="9"/>
    <w:pPr>
      <w:keepNext/>
      <w:keepLines/>
      <w:numPr>
        <w:ilvl w:val="7"/>
        <w:numId w:val="1"/>
      </w:numPr>
      <w:spacing w:before="240" w:after="64" w:line="320" w:lineRule="auto"/>
      <w:outlineLvl w:val="7"/>
    </w:pPr>
    <w:rPr>
      <w:rFonts w:ascii="Cambria" w:hAnsi="Cambria"/>
      <w:sz w:val="24"/>
    </w:rPr>
  </w:style>
  <w:style w:type="paragraph" w:styleId="11">
    <w:name w:val="heading 9"/>
    <w:basedOn w:val="1"/>
    <w:next w:val="1"/>
    <w:link w:val="73"/>
    <w:qFormat/>
    <w:uiPriority w:val="9"/>
    <w:pPr>
      <w:keepNext/>
      <w:keepLines/>
      <w:numPr>
        <w:ilvl w:val="8"/>
        <w:numId w:val="1"/>
      </w:numPr>
      <w:spacing w:before="240" w:after="64" w:line="320" w:lineRule="auto"/>
      <w:outlineLvl w:val="8"/>
    </w:pPr>
    <w:rPr>
      <w:rFonts w:ascii="Cambria" w:hAnsi="Cambria"/>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eastAsia="仿宋_GB2312"/>
      <w:sz w:val="28"/>
    </w:rPr>
  </w:style>
  <w:style w:type="paragraph" w:styleId="12">
    <w:name w:val="toc 7"/>
    <w:basedOn w:val="1"/>
    <w:next w:val="1"/>
    <w:unhideWhenUsed/>
    <w:qFormat/>
    <w:uiPriority w:val="39"/>
    <w:pPr>
      <w:ind w:left="1260"/>
      <w:jc w:val="left"/>
    </w:pPr>
    <w:rPr>
      <w:rFonts w:cs="Calibri"/>
      <w:sz w:val="18"/>
      <w:szCs w:val="18"/>
    </w:rPr>
  </w:style>
  <w:style w:type="paragraph" w:styleId="13">
    <w:name w:val="Normal Indent"/>
    <w:basedOn w:val="1"/>
    <w:link w:val="64"/>
    <w:qFormat/>
    <w:uiPriority w:val="0"/>
    <w:pPr>
      <w:widowControl/>
      <w:snapToGrid w:val="0"/>
      <w:spacing w:line="480" w:lineRule="exact"/>
      <w:ind w:firstLine="567"/>
    </w:pPr>
    <w:rPr>
      <w:rFonts w:ascii="宋体"/>
      <w:snapToGrid w:val="0"/>
      <w:color w:val="000000"/>
      <w:kern w:val="28"/>
      <w:sz w:val="28"/>
      <w:szCs w:val="20"/>
    </w:rPr>
  </w:style>
  <w:style w:type="paragraph" w:styleId="14">
    <w:name w:val="annotation text"/>
    <w:basedOn w:val="1"/>
    <w:link w:val="67"/>
    <w:unhideWhenUsed/>
    <w:qFormat/>
    <w:uiPriority w:val="0"/>
    <w:pPr>
      <w:jc w:val="left"/>
    </w:pPr>
  </w:style>
  <w:style w:type="paragraph" w:styleId="15">
    <w:name w:val="Body Text"/>
    <w:basedOn w:val="1"/>
    <w:next w:val="16"/>
    <w:link w:val="43"/>
    <w:qFormat/>
    <w:uiPriority w:val="0"/>
    <w:pPr>
      <w:autoSpaceDE w:val="0"/>
      <w:autoSpaceDN w:val="0"/>
      <w:spacing w:line="360" w:lineRule="auto"/>
    </w:pPr>
    <w:rPr>
      <w:rFonts w:ascii="宋体" w:hAnsi="Arial" w:cs="Arial"/>
      <w:snapToGrid w:val="0"/>
      <w:sz w:val="24"/>
      <w:szCs w:val="21"/>
      <w:lang w:val="zh-CN"/>
    </w:rPr>
  </w:style>
  <w:style w:type="paragraph" w:styleId="16">
    <w:name w:val="Date"/>
    <w:basedOn w:val="1"/>
    <w:next w:val="1"/>
    <w:link w:val="41"/>
    <w:qFormat/>
    <w:uiPriority w:val="0"/>
    <w:pPr>
      <w:ind w:left="100" w:leftChars="2500"/>
    </w:pPr>
    <w:rPr>
      <w:rFonts w:ascii="宋体"/>
      <w:sz w:val="24"/>
      <w:szCs w:val="21"/>
      <w:lang w:val="zh-CN"/>
    </w:rPr>
  </w:style>
  <w:style w:type="paragraph" w:styleId="17">
    <w:name w:val="Body Text Indent"/>
    <w:basedOn w:val="1"/>
    <w:link w:val="40"/>
    <w:qFormat/>
    <w:uiPriority w:val="0"/>
    <w:pPr>
      <w:spacing w:line="480" w:lineRule="exact"/>
      <w:ind w:firstLine="480" w:firstLineChars="200"/>
    </w:pPr>
    <w:rPr>
      <w:rFonts w:ascii="宋体" w:hAnsi="宋体"/>
      <w:sz w:val="24"/>
    </w:rPr>
  </w:style>
  <w:style w:type="paragraph" w:styleId="18">
    <w:name w:val="toc 5"/>
    <w:basedOn w:val="1"/>
    <w:next w:val="1"/>
    <w:unhideWhenUsed/>
    <w:qFormat/>
    <w:uiPriority w:val="39"/>
    <w:pPr>
      <w:ind w:left="840"/>
      <w:jc w:val="left"/>
    </w:pPr>
    <w:rPr>
      <w:rFonts w:cs="Calibri"/>
      <w:sz w:val="18"/>
      <w:szCs w:val="18"/>
    </w:rPr>
  </w:style>
  <w:style w:type="paragraph" w:styleId="19">
    <w:name w:val="toc 3"/>
    <w:basedOn w:val="1"/>
    <w:next w:val="1"/>
    <w:qFormat/>
    <w:uiPriority w:val="39"/>
    <w:pPr>
      <w:ind w:left="840" w:leftChars="400"/>
    </w:pPr>
    <w:rPr>
      <w:rFonts w:ascii="Times New Roman" w:hAnsi="Times New Roman"/>
    </w:rPr>
  </w:style>
  <w:style w:type="paragraph" w:styleId="20">
    <w:name w:val="Plain Text"/>
    <w:basedOn w:val="1"/>
    <w:link w:val="42"/>
    <w:qFormat/>
    <w:uiPriority w:val="0"/>
    <w:rPr>
      <w:rFonts w:ascii="宋体" w:hAnsi="Courier New" w:cs="Arial"/>
      <w:snapToGrid w:val="0"/>
      <w:szCs w:val="21"/>
    </w:rPr>
  </w:style>
  <w:style w:type="paragraph" w:styleId="21">
    <w:name w:val="toc 8"/>
    <w:basedOn w:val="1"/>
    <w:next w:val="1"/>
    <w:unhideWhenUsed/>
    <w:qFormat/>
    <w:uiPriority w:val="39"/>
    <w:pPr>
      <w:ind w:left="1470"/>
      <w:jc w:val="left"/>
    </w:pPr>
    <w:rPr>
      <w:rFonts w:cs="Calibri"/>
      <w:sz w:val="18"/>
      <w:szCs w:val="18"/>
    </w:rPr>
  </w:style>
  <w:style w:type="paragraph" w:styleId="22">
    <w:name w:val="Balloon Text"/>
    <w:basedOn w:val="1"/>
    <w:link w:val="56"/>
    <w:semiHidden/>
    <w:unhideWhenUsed/>
    <w:qFormat/>
    <w:uiPriority w:val="99"/>
    <w:rPr>
      <w:sz w:val="18"/>
      <w:szCs w:val="18"/>
    </w:rPr>
  </w:style>
  <w:style w:type="paragraph" w:styleId="23">
    <w:name w:val="footer"/>
    <w:basedOn w:val="1"/>
    <w:link w:val="38"/>
    <w:unhideWhenUsed/>
    <w:qFormat/>
    <w:uiPriority w:val="99"/>
    <w:pPr>
      <w:tabs>
        <w:tab w:val="center" w:pos="4153"/>
        <w:tab w:val="right" w:pos="8306"/>
      </w:tabs>
      <w:snapToGrid w:val="0"/>
      <w:jc w:val="left"/>
    </w:pPr>
    <w:rPr>
      <w:sz w:val="18"/>
      <w:szCs w:val="18"/>
    </w:rPr>
  </w:style>
  <w:style w:type="paragraph" w:styleId="24">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toc 4"/>
    <w:basedOn w:val="1"/>
    <w:next w:val="1"/>
    <w:unhideWhenUsed/>
    <w:qFormat/>
    <w:uiPriority w:val="39"/>
    <w:pPr>
      <w:ind w:left="630"/>
      <w:jc w:val="left"/>
    </w:pPr>
    <w:rPr>
      <w:rFonts w:cs="Calibri"/>
      <w:sz w:val="18"/>
      <w:szCs w:val="18"/>
    </w:rPr>
  </w:style>
  <w:style w:type="paragraph" w:styleId="27">
    <w:name w:val="Subtitle"/>
    <w:basedOn w:val="1"/>
    <w:next w:val="1"/>
    <w:link w:val="63"/>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28">
    <w:name w:val="toc 6"/>
    <w:basedOn w:val="1"/>
    <w:next w:val="1"/>
    <w:unhideWhenUsed/>
    <w:qFormat/>
    <w:uiPriority w:val="39"/>
    <w:pPr>
      <w:ind w:left="1050"/>
      <w:jc w:val="left"/>
    </w:pPr>
    <w:rPr>
      <w:rFonts w:cs="Calibri"/>
      <w:sz w:val="18"/>
      <w:szCs w:val="18"/>
    </w:rPr>
  </w:style>
  <w:style w:type="paragraph" w:styleId="29">
    <w:name w:val="Body Text Indent 3"/>
    <w:basedOn w:val="1"/>
    <w:link w:val="62"/>
    <w:qFormat/>
    <w:uiPriority w:val="0"/>
    <w:pPr>
      <w:spacing w:after="120"/>
      <w:ind w:left="420" w:leftChars="200"/>
    </w:pPr>
    <w:rPr>
      <w:rFonts w:ascii="Times New Roman" w:hAnsi="Times New Roman"/>
      <w:sz w:val="16"/>
      <w:szCs w:val="16"/>
    </w:rPr>
  </w:style>
  <w:style w:type="paragraph" w:styleId="30">
    <w:name w:val="toc 2"/>
    <w:basedOn w:val="1"/>
    <w:next w:val="1"/>
    <w:unhideWhenUsed/>
    <w:qFormat/>
    <w:uiPriority w:val="39"/>
    <w:pPr>
      <w:ind w:left="420" w:leftChars="200"/>
    </w:pPr>
  </w:style>
  <w:style w:type="paragraph" w:styleId="31">
    <w:name w:val="toc 9"/>
    <w:basedOn w:val="1"/>
    <w:next w:val="1"/>
    <w:unhideWhenUsed/>
    <w:qFormat/>
    <w:uiPriority w:val="39"/>
    <w:pPr>
      <w:ind w:left="1680"/>
      <w:jc w:val="left"/>
    </w:pPr>
    <w:rPr>
      <w:rFonts w:cs="Calibri"/>
      <w:sz w:val="18"/>
      <w:szCs w:val="18"/>
    </w:rPr>
  </w:style>
  <w:style w:type="table" w:styleId="33">
    <w:name w:val="Table Grid"/>
    <w:basedOn w:val="32"/>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qFormat/>
    <w:uiPriority w:val="0"/>
    <w:rPr>
      <w:rFonts w:ascii="Arial" w:hAnsi="Arial" w:eastAsia="黑体" w:cs="Arial"/>
      <w:snapToGrid w:val="0"/>
      <w:kern w:val="0"/>
      <w:szCs w:val="21"/>
    </w:rPr>
  </w:style>
  <w:style w:type="character" w:styleId="36">
    <w:name w:val="Hyperlink"/>
    <w:qFormat/>
    <w:uiPriority w:val="99"/>
    <w:rPr>
      <w:rFonts w:ascii="Arial" w:hAnsi="Arial" w:eastAsia="黑体" w:cs="Arial"/>
      <w:snapToGrid w:val="0"/>
      <w:color w:val="000000"/>
      <w:kern w:val="0"/>
      <w:sz w:val="18"/>
      <w:szCs w:val="18"/>
      <w:u w:val="none"/>
    </w:rPr>
  </w:style>
  <w:style w:type="character" w:customStyle="1" w:styleId="37">
    <w:name w:val="页眉 Char"/>
    <w:basedOn w:val="34"/>
    <w:link w:val="24"/>
    <w:qFormat/>
    <w:uiPriority w:val="0"/>
    <w:rPr>
      <w:sz w:val="18"/>
      <w:szCs w:val="18"/>
    </w:rPr>
  </w:style>
  <w:style w:type="character" w:customStyle="1" w:styleId="38">
    <w:name w:val="页脚 Char"/>
    <w:basedOn w:val="34"/>
    <w:link w:val="23"/>
    <w:qFormat/>
    <w:uiPriority w:val="99"/>
    <w:rPr>
      <w:sz w:val="18"/>
      <w:szCs w:val="18"/>
    </w:rPr>
  </w:style>
  <w:style w:type="character" w:customStyle="1" w:styleId="39">
    <w:name w:val="标题 2 Char"/>
    <w:basedOn w:val="34"/>
    <w:link w:val="4"/>
    <w:qFormat/>
    <w:uiPriority w:val="0"/>
    <w:rPr>
      <w:rFonts w:ascii="仿宋_GB2312" w:hAnsi="仿宋" w:eastAsia="仿宋_GB2312" w:cs="Times New Roman"/>
      <w:b/>
      <w:bCs/>
      <w:sz w:val="32"/>
      <w:szCs w:val="32"/>
      <w:lang w:val="zh-CN"/>
    </w:rPr>
  </w:style>
  <w:style w:type="character" w:customStyle="1" w:styleId="40">
    <w:name w:val="正文文本缩进 Char"/>
    <w:basedOn w:val="34"/>
    <w:link w:val="17"/>
    <w:qFormat/>
    <w:uiPriority w:val="0"/>
    <w:rPr>
      <w:rFonts w:ascii="宋体" w:hAnsi="宋体" w:eastAsia="宋体" w:cs="Times New Roman"/>
      <w:sz w:val="24"/>
      <w:szCs w:val="24"/>
    </w:rPr>
  </w:style>
  <w:style w:type="character" w:customStyle="1" w:styleId="41">
    <w:name w:val="日期 Char"/>
    <w:basedOn w:val="34"/>
    <w:link w:val="16"/>
    <w:qFormat/>
    <w:uiPriority w:val="0"/>
    <w:rPr>
      <w:rFonts w:ascii="宋体" w:hAnsi="Calibri" w:eastAsia="宋体" w:cs="Times New Roman"/>
      <w:sz w:val="24"/>
      <w:szCs w:val="21"/>
      <w:lang w:val="zh-CN"/>
    </w:rPr>
  </w:style>
  <w:style w:type="character" w:customStyle="1" w:styleId="42">
    <w:name w:val="纯文本 Char"/>
    <w:basedOn w:val="34"/>
    <w:link w:val="20"/>
    <w:qFormat/>
    <w:uiPriority w:val="0"/>
    <w:rPr>
      <w:rFonts w:ascii="宋体" w:hAnsi="Courier New" w:eastAsia="宋体" w:cs="Arial"/>
      <w:snapToGrid w:val="0"/>
      <w:szCs w:val="21"/>
    </w:rPr>
  </w:style>
  <w:style w:type="character" w:customStyle="1" w:styleId="43">
    <w:name w:val="正文文本 Char"/>
    <w:basedOn w:val="34"/>
    <w:link w:val="15"/>
    <w:qFormat/>
    <w:uiPriority w:val="0"/>
    <w:rPr>
      <w:rFonts w:ascii="宋体" w:hAnsi="Arial" w:eastAsia="宋体" w:cs="Arial"/>
      <w:snapToGrid w:val="0"/>
      <w:sz w:val="24"/>
      <w:szCs w:val="21"/>
      <w:lang w:val="zh-CN"/>
    </w:rPr>
  </w:style>
  <w:style w:type="paragraph" w:customStyle="1" w:styleId="44">
    <w:name w:val="索引 11"/>
    <w:basedOn w:val="1"/>
    <w:next w:val="1"/>
    <w:qFormat/>
    <w:uiPriority w:val="99"/>
    <w:pPr>
      <w:spacing w:line="360" w:lineRule="auto"/>
    </w:pPr>
    <w:rPr>
      <w:rFonts w:ascii="仿宋_GB2312" w:eastAsia="仿宋_GB2312"/>
      <w:sz w:val="24"/>
      <w:szCs w:val="20"/>
    </w:rPr>
  </w:style>
  <w:style w:type="paragraph" w:customStyle="1" w:styleId="4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8">
    <w:name w:val="纯文本1"/>
    <w:basedOn w:val="1"/>
    <w:qFormat/>
    <w:uiPriority w:val="0"/>
    <w:rPr>
      <w:rFonts w:ascii="宋体" w:hAnsi="Courier New"/>
      <w:kern w:val="0"/>
      <w:sz w:val="20"/>
      <w:szCs w:val="20"/>
    </w:rPr>
  </w:style>
  <w:style w:type="paragraph" w:customStyle="1" w:styleId="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49"/>
    <w:qFormat/>
    <w:uiPriority w:val="0"/>
    <w:rPr>
      <w:rFonts w:ascii="宋体" w:hAnsi="Courier New"/>
      <w:szCs w:val="21"/>
    </w:rPr>
  </w:style>
  <w:style w:type="paragraph" w:customStyle="1" w:styleId="51">
    <w:name w:val="正文2"/>
    <w:basedOn w:val="1"/>
    <w:qFormat/>
    <w:uiPriority w:val="0"/>
    <w:pPr>
      <w:spacing w:before="156" w:line="360" w:lineRule="auto"/>
      <w:ind w:firstLine="510" w:firstLineChars="200"/>
    </w:pPr>
    <w:rPr>
      <w:sz w:val="24"/>
      <w:szCs w:val="20"/>
    </w:rPr>
  </w:style>
  <w:style w:type="paragraph" w:customStyle="1" w:styleId="52">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3">
    <w:name w:val="标题 3 Char"/>
    <w:basedOn w:val="34"/>
    <w:link w:val="5"/>
    <w:qFormat/>
    <w:uiPriority w:val="0"/>
    <w:rPr>
      <w:rFonts w:ascii="Calibri" w:hAnsi="Calibri" w:eastAsia="宋体" w:cs="Times New Roman"/>
      <w:b/>
      <w:bCs/>
      <w:sz w:val="32"/>
      <w:szCs w:val="32"/>
    </w:rPr>
  </w:style>
  <w:style w:type="character" w:customStyle="1" w:styleId="54">
    <w:name w:val="标题 4 Char"/>
    <w:basedOn w:val="34"/>
    <w:link w:val="6"/>
    <w:semiHidden/>
    <w:qFormat/>
    <w:uiPriority w:val="9"/>
    <w:rPr>
      <w:rFonts w:asciiTheme="majorHAnsi" w:hAnsiTheme="majorHAnsi" w:eastAsiaTheme="majorEastAsia" w:cstheme="majorBidi"/>
      <w:b/>
      <w:bCs/>
      <w:sz w:val="28"/>
      <w:szCs w:val="28"/>
    </w:rPr>
  </w:style>
  <w:style w:type="paragraph" w:customStyle="1" w:styleId="55">
    <w:name w:val="标题4"/>
    <w:basedOn w:val="1"/>
    <w:qFormat/>
    <w:uiPriority w:val="0"/>
    <w:rPr>
      <w:rFonts w:ascii="Times New Roman" w:hAnsi="Times New Roman" w:eastAsia="仿宋_GB2312"/>
      <w:sz w:val="32"/>
      <w:szCs w:val="20"/>
    </w:rPr>
  </w:style>
  <w:style w:type="character" w:customStyle="1" w:styleId="56">
    <w:name w:val="批注框文本 Char"/>
    <w:basedOn w:val="34"/>
    <w:link w:val="22"/>
    <w:semiHidden/>
    <w:qFormat/>
    <w:uiPriority w:val="99"/>
    <w:rPr>
      <w:rFonts w:ascii="Calibri" w:hAnsi="Calibri" w:eastAsia="宋体" w:cs="Times New Roman"/>
      <w:sz w:val="18"/>
      <w:szCs w:val="18"/>
    </w:rPr>
  </w:style>
  <w:style w:type="character" w:customStyle="1" w:styleId="57">
    <w:name w:val="List Paragraph Char"/>
    <w:link w:val="58"/>
    <w:qFormat/>
    <w:locked/>
    <w:uiPriority w:val="0"/>
    <w:rPr>
      <w:rFonts w:ascii="Times New Roman" w:hAnsi="Times New Roman"/>
      <w:szCs w:val="24"/>
    </w:rPr>
  </w:style>
  <w:style w:type="paragraph" w:customStyle="1" w:styleId="58">
    <w:name w:val="列出段落1"/>
    <w:basedOn w:val="1"/>
    <w:link w:val="57"/>
    <w:qFormat/>
    <w:uiPriority w:val="0"/>
    <w:pPr>
      <w:ind w:firstLine="420" w:firstLineChars="200"/>
    </w:pPr>
    <w:rPr>
      <w:rFonts w:ascii="Times New Roman" w:hAnsi="Times New Roman" w:eastAsiaTheme="minorEastAsia" w:cstheme="minorBidi"/>
    </w:rPr>
  </w:style>
  <w:style w:type="paragraph" w:styleId="59">
    <w:name w:val="List Paragraph"/>
    <w:basedOn w:val="1"/>
    <w:qFormat/>
    <w:uiPriority w:val="34"/>
    <w:pPr>
      <w:ind w:firstLine="420" w:firstLineChars="200"/>
    </w:pPr>
    <w:rPr>
      <w:szCs w:val="22"/>
    </w:rPr>
  </w:style>
  <w:style w:type="paragraph" w:customStyle="1" w:styleId="60">
    <w:name w:val="p18"/>
    <w:basedOn w:val="1"/>
    <w:qFormat/>
    <w:uiPriority w:val="0"/>
    <w:pPr>
      <w:widowControl/>
    </w:pPr>
    <w:rPr>
      <w:kern w:val="0"/>
      <w:sz w:val="24"/>
    </w:rPr>
  </w:style>
  <w:style w:type="paragraph" w:customStyle="1" w:styleId="61">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62">
    <w:name w:val="正文文本缩进 3 Char"/>
    <w:basedOn w:val="34"/>
    <w:link w:val="29"/>
    <w:qFormat/>
    <w:uiPriority w:val="0"/>
    <w:rPr>
      <w:rFonts w:ascii="Times New Roman" w:hAnsi="Times New Roman" w:eastAsia="宋体" w:cs="Times New Roman"/>
      <w:kern w:val="2"/>
      <w:sz w:val="16"/>
      <w:szCs w:val="16"/>
    </w:rPr>
  </w:style>
  <w:style w:type="character" w:customStyle="1" w:styleId="63">
    <w:name w:val="副标题 Char"/>
    <w:basedOn w:val="34"/>
    <w:link w:val="27"/>
    <w:qFormat/>
    <w:uiPriority w:val="11"/>
    <w:rPr>
      <w:rFonts w:eastAsia="宋体" w:asciiTheme="majorHAnsi" w:hAnsiTheme="majorHAnsi" w:cstheme="majorBidi"/>
      <w:b/>
      <w:bCs/>
      <w:kern w:val="28"/>
      <w:sz w:val="32"/>
      <w:szCs w:val="32"/>
    </w:rPr>
  </w:style>
  <w:style w:type="character" w:customStyle="1" w:styleId="64">
    <w:name w:val="正文缩进 Char"/>
    <w:link w:val="13"/>
    <w:qFormat/>
    <w:uiPriority w:val="0"/>
    <w:rPr>
      <w:rFonts w:ascii="宋体" w:hAnsi="Calibri" w:eastAsia="宋体" w:cs="Times New Roman"/>
      <w:snapToGrid w:val="0"/>
      <w:color w:val="000000"/>
      <w:kern w:val="28"/>
      <w:sz w:val="28"/>
    </w:rPr>
  </w:style>
  <w:style w:type="paragraph" w:customStyle="1" w:styleId="65">
    <w:name w:val="p0"/>
    <w:basedOn w:val="1"/>
    <w:qFormat/>
    <w:uiPriority w:val="0"/>
    <w:pPr>
      <w:widowControl/>
    </w:pPr>
    <w:rPr>
      <w:rFonts w:ascii="Times New Roman" w:hAnsi="Times New Roman"/>
      <w:kern w:val="0"/>
      <w:szCs w:val="21"/>
    </w:rPr>
  </w:style>
  <w:style w:type="paragraph" w:customStyle="1" w:styleId="66">
    <w:name w:val="p16"/>
    <w:basedOn w:val="1"/>
    <w:qFormat/>
    <w:uiPriority w:val="0"/>
    <w:pPr>
      <w:widowControl/>
      <w:spacing w:after="120"/>
      <w:ind w:firstLine="420"/>
    </w:pPr>
    <w:rPr>
      <w:rFonts w:ascii="Times New Roman" w:hAnsi="Times New Roman"/>
      <w:kern w:val="0"/>
      <w:sz w:val="28"/>
      <w:szCs w:val="28"/>
    </w:rPr>
  </w:style>
  <w:style w:type="character" w:customStyle="1" w:styleId="67">
    <w:name w:val="批注文字 Char"/>
    <w:basedOn w:val="34"/>
    <w:link w:val="14"/>
    <w:qFormat/>
    <w:uiPriority w:val="0"/>
    <w:rPr>
      <w:rFonts w:ascii="Calibri" w:hAnsi="Calibri" w:eastAsia="宋体" w:cs="Times New Roman"/>
      <w:kern w:val="2"/>
      <w:sz w:val="21"/>
      <w:szCs w:val="24"/>
    </w:rPr>
  </w:style>
  <w:style w:type="character" w:customStyle="1" w:styleId="68">
    <w:name w:val="标题 1 Char"/>
    <w:basedOn w:val="34"/>
    <w:link w:val="3"/>
    <w:qFormat/>
    <w:uiPriority w:val="0"/>
    <w:rPr>
      <w:rFonts w:ascii="Calibri" w:hAnsi="Calibri" w:eastAsia="宋体" w:cs="Times New Roman"/>
      <w:b/>
      <w:bCs/>
      <w:kern w:val="44"/>
      <w:sz w:val="44"/>
      <w:szCs w:val="44"/>
    </w:rPr>
  </w:style>
  <w:style w:type="character" w:customStyle="1" w:styleId="69">
    <w:name w:val="标题 5 Char"/>
    <w:basedOn w:val="34"/>
    <w:link w:val="7"/>
    <w:qFormat/>
    <w:uiPriority w:val="9"/>
    <w:rPr>
      <w:rFonts w:ascii="Times New Roman" w:hAnsi="Times New Roman" w:eastAsia="宋体" w:cs="Times New Roman"/>
      <w:b/>
      <w:bCs/>
      <w:kern w:val="2"/>
      <w:sz w:val="28"/>
      <w:szCs w:val="28"/>
    </w:rPr>
  </w:style>
  <w:style w:type="character" w:customStyle="1" w:styleId="70">
    <w:name w:val="标题 6 Char"/>
    <w:basedOn w:val="34"/>
    <w:link w:val="8"/>
    <w:qFormat/>
    <w:uiPriority w:val="9"/>
    <w:rPr>
      <w:rFonts w:ascii="Cambria" w:hAnsi="Cambria" w:eastAsia="宋体" w:cs="Times New Roman"/>
      <w:b/>
      <w:bCs/>
      <w:kern w:val="2"/>
      <w:sz w:val="24"/>
      <w:szCs w:val="24"/>
    </w:rPr>
  </w:style>
  <w:style w:type="character" w:customStyle="1" w:styleId="71">
    <w:name w:val="标题 7 Char"/>
    <w:basedOn w:val="34"/>
    <w:link w:val="9"/>
    <w:qFormat/>
    <w:uiPriority w:val="9"/>
    <w:rPr>
      <w:rFonts w:ascii="Times New Roman" w:hAnsi="Times New Roman" w:eastAsia="宋体" w:cs="Times New Roman"/>
      <w:b/>
      <w:bCs/>
      <w:kern w:val="2"/>
      <w:sz w:val="24"/>
      <w:szCs w:val="24"/>
    </w:rPr>
  </w:style>
  <w:style w:type="character" w:customStyle="1" w:styleId="72">
    <w:name w:val="标题 8 Char"/>
    <w:basedOn w:val="34"/>
    <w:link w:val="10"/>
    <w:qFormat/>
    <w:uiPriority w:val="9"/>
    <w:rPr>
      <w:rFonts w:ascii="Cambria" w:hAnsi="Cambria" w:eastAsia="宋体" w:cs="Times New Roman"/>
      <w:kern w:val="2"/>
      <w:sz w:val="24"/>
      <w:szCs w:val="24"/>
    </w:rPr>
  </w:style>
  <w:style w:type="character" w:customStyle="1" w:styleId="73">
    <w:name w:val="标题 9 Char"/>
    <w:basedOn w:val="34"/>
    <w:link w:val="11"/>
    <w:qFormat/>
    <w:uiPriority w:val="9"/>
    <w:rPr>
      <w:rFonts w:ascii="Cambria" w:hAnsi="Cambria" w:eastAsia="宋体" w:cs="Times New Roman"/>
      <w:kern w:val="2"/>
      <w:sz w:val="21"/>
      <w:szCs w:val="21"/>
    </w:rPr>
  </w:style>
  <w:style w:type="paragraph" w:customStyle="1" w:styleId="74">
    <w:name w:val="ql-align-left"/>
    <w:basedOn w:val="1"/>
    <w:qFormat/>
    <w:uiPriority w:val="0"/>
    <w:pPr>
      <w:widowControl/>
      <w:spacing w:before="100" w:beforeAutospacing="1" w:after="100" w:afterAutospacing="1"/>
      <w:jc w:val="left"/>
    </w:pPr>
    <w:rPr>
      <w:rFonts w:ascii="Times New Roman" w:hAnsi="Times New Roman" w:eastAsia="Times New Roman"/>
      <w:kern w:val="0"/>
      <w:sz w:val="24"/>
    </w:rPr>
  </w:style>
  <w:style w:type="paragraph" w:customStyle="1" w:styleId="75">
    <w:name w:val="ql-align-justify"/>
    <w:basedOn w:val="1"/>
    <w:qFormat/>
    <w:uiPriority w:val="0"/>
    <w:pPr>
      <w:widowControl/>
      <w:spacing w:before="100" w:beforeAutospacing="1" w:after="100" w:afterAutospacing="1"/>
      <w:jc w:val="left"/>
    </w:pPr>
    <w:rPr>
      <w:rFonts w:ascii="Times New Roman" w:hAnsi="Times New Roman" w:eastAsia="Times New Roman"/>
      <w:kern w:val="0"/>
      <w:sz w:val="24"/>
    </w:rPr>
  </w:style>
  <w:style w:type="character" w:customStyle="1" w:styleId="76">
    <w:name w:val="2级标题 Char"/>
    <w:link w:val="77"/>
    <w:qFormat/>
    <w:uiPriority w:val="0"/>
    <w:rPr>
      <w:rFonts w:ascii="Cambria" w:hAnsi="Cambria"/>
      <w:b/>
      <w:bCs/>
      <w:kern w:val="2"/>
      <w:sz w:val="32"/>
      <w:szCs w:val="32"/>
    </w:rPr>
  </w:style>
  <w:style w:type="paragraph" w:customStyle="1" w:styleId="77">
    <w:name w:val="2级标题"/>
    <w:basedOn w:val="4"/>
    <w:link w:val="76"/>
    <w:qFormat/>
    <w:uiPriority w:val="0"/>
    <w:pPr>
      <w:numPr>
        <w:ilvl w:val="1"/>
        <w:numId w:val="2"/>
      </w:numPr>
      <w:tabs>
        <w:tab w:val="left" w:pos="567"/>
        <w:tab w:val="clear" w:pos="432"/>
      </w:tabs>
      <w:spacing w:before="260" w:after="260" w:line="416" w:lineRule="auto"/>
      <w:ind w:right="280" w:rightChars="100"/>
      <w:jc w:val="both"/>
    </w:pPr>
    <w:rPr>
      <w:rFonts w:ascii="Cambria" w:hAnsi="Cambria" w:eastAsiaTheme="minorEastAsia" w:cstheme="minorBidi"/>
      <w:lang w:val="en-US"/>
    </w:rPr>
  </w:style>
  <w:style w:type="paragraph" w:customStyle="1" w:styleId="78">
    <w:name w:val="正文段"/>
    <w:basedOn w:val="1"/>
    <w:qFormat/>
    <w:uiPriority w:val="0"/>
    <w:pPr>
      <w:widowControl/>
      <w:snapToGrid w:val="0"/>
      <w:spacing w:afterLines="50"/>
      <w:ind w:firstLine="400"/>
    </w:pPr>
    <w:rPr>
      <w:rFonts w:ascii="Times New Roman" w:hAnsi="Times New Roman"/>
      <w:kern w:val="0"/>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theme/theme1.xml" Type="http://schemas.openxmlformats.org/officeDocument/2006/relationships/theme"/><Relationship Id="rId14" Target="numbering.xml" Type="http://schemas.openxmlformats.org/officeDocument/2006/relationships/numbering"/><Relationship Id="rId15" Target="../customXml/item1.xml" Type="http://schemas.openxmlformats.org/officeDocument/2006/relationships/customXml"/><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DDA4E-61BE-4D36-A2C7-57F6BFF159D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37668</Words>
  <Characters>40036</Characters>
  <Lines>326</Lines>
  <Paragraphs>91</Paragraphs>
  <TotalTime>7</TotalTime>
  <ScaleCrop>false</ScaleCrop>
  <LinksUpToDate>false</LinksUpToDate>
  <CharactersWithSpaces>43521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2022-06-09T02:40:00Z</dcterms:created>
  <dc:creator>Microsoft</dc:creator>
  <cp:lastModifiedBy>Administrator</cp:lastModifiedBy>
  <cp:lastPrinted>2022-10-13T08:22:00Z</cp:lastPrinted>
  <dcterms:modified xsi:type="dcterms:W3CDTF">2022-10-14T08:35:20Z</dcterms:modified>
  <cp:revision>1184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CA32E1BB9A7F42EBA3C4A2B7040809F8</vt:lpwstr>
  </property>
</Properties>
</file>