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35307">
      <w:pPr>
        <w:spacing w:after="120" w:line="900" w:lineRule="exact"/>
        <w:jc w:val="center"/>
        <w:rPr>
          <w:rFonts w:hint="eastAsia" w:ascii="宋体" w:hAnsi="宋体" w:cs="宋体"/>
          <w:b/>
          <w:color w:val="auto"/>
          <w:sz w:val="44"/>
          <w:szCs w:val="48"/>
          <w:lang w:eastAsia="zh-CN"/>
        </w:rPr>
      </w:pPr>
    </w:p>
    <w:p w14:paraId="3F7112B3">
      <w:pPr>
        <w:spacing w:after="120" w:line="900" w:lineRule="exact"/>
        <w:jc w:val="center"/>
        <w:rPr>
          <w:rFonts w:hint="eastAsia" w:ascii="宋体" w:hAnsi="宋体" w:eastAsia="宋体" w:cs="宋体"/>
          <w:b/>
          <w:color w:val="auto"/>
          <w:sz w:val="52"/>
          <w:szCs w:val="56"/>
          <w:lang w:eastAsia="zh-CN"/>
        </w:rPr>
      </w:pPr>
      <w:r>
        <w:rPr>
          <w:rFonts w:hint="eastAsia" w:ascii="宋体" w:hAnsi="宋体" w:cs="宋体"/>
          <w:b/>
          <w:color w:val="auto"/>
          <w:sz w:val="52"/>
          <w:szCs w:val="56"/>
          <w:lang w:eastAsia="zh-CN"/>
        </w:rPr>
        <w:t>慈溪市交通运输局保安服务项目</w:t>
      </w:r>
    </w:p>
    <w:p w14:paraId="06A87536">
      <w:pPr>
        <w:pStyle w:val="4"/>
        <w:spacing w:before="120" w:after="120"/>
        <w:rPr>
          <w:rFonts w:ascii="宋体" w:hAnsi="宋体" w:cs="宋体"/>
          <w:color w:val="auto"/>
        </w:rPr>
      </w:pPr>
    </w:p>
    <w:p w14:paraId="73FDB53B">
      <w:pPr>
        <w:spacing w:after="120" w:line="900" w:lineRule="exact"/>
        <w:jc w:val="center"/>
        <w:rPr>
          <w:rFonts w:ascii="宋体" w:hAnsi="宋体" w:cs="宋体"/>
          <w:b/>
          <w:color w:val="auto"/>
          <w:sz w:val="46"/>
          <w:szCs w:val="50"/>
        </w:rPr>
      </w:pPr>
      <w:r>
        <w:rPr>
          <w:rFonts w:hint="eastAsia" w:ascii="宋体" w:hAnsi="宋体" w:cs="宋体"/>
          <w:b/>
          <w:color w:val="auto"/>
          <w:sz w:val="46"/>
          <w:szCs w:val="50"/>
        </w:rPr>
        <w:t>政府采购</w:t>
      </w:r>
    </w:p>
    <w:p w14:paraId="336BB83C">
      <w:pPr>
        <w:spacing w:after="120" w:line="400" w:lineRule="exact"/>
        <w:jc w:val="center"/>
        <w:rPr>
          <w:rFonts w:ascii="宋体" w:hAnsi="宋体" w:cs="宋体"/>
          <w:b/>
          <w:color w:val="auto"/>
          <w:sz w:val="32"/>
          <w:szCs w:val="32"/>
        </w:rPr>
      </w:pPr>
    </w:p>
    <w:p w14:paraId="56547640">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公</w:t>
      </w:r>
    </w:p>
    <w:p w14:paraId="4EB906E5">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开</w:t>
      </w:r>
    </w:p>
    <w:p w14:paraId="39E324A1">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招</w:t>
      </w:r>
    </w:p>
    <w:p w14:paraId="01D4D9EC">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标</w:t>
      </w:r>
    </w:p>
    <w:p w14:paraId="7AD46CD8">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文</w:t>
      </w:r>
    </w:p>
    <w:p w14:paraId="0DA154BA">
      <w:pPr>
        <w:spacing w:after="120" w:line="800" w:lineRule="exact"/>
        <w:jc w:val="center"/>
        <w:rPr>
          <w:rFonts w:ascii="宋体" w:hAnsi="宋体" w:cs="宋体"/>
          <w:b/>
          <w:color w:val="auto"/>
          <w:sz w:val="48"/>
          <w:szCs w:val="48"/>
        </w:rPr>
      </w:pPr>
      <w:r>
        <w:rPr>
          <w:rFonts w:hint="eastAsia" w:ascii="宋体" w:hAnsi="宋体" w:cs="宋体"/>
          <w:b/>
          <w:color w:val="auto"/>
          <w:sz w:val="48"/>
          <w:szCs w:val="48"/>
        </w:rPr>
        <w:t>件</w:t>
      </w:r>
    </w:p>
    <w:p w14:paraId="590B9D1C">
      <w:pPr>
        <w:rPr>
          <w:rFonts w:ascii="宋体" w:hAnsi="宋体" w:cs="宋体"/>
          <w:b/>
          <w:color w:val="auto"/>
          <w:sz w:val="36"/>
          <w:szCs w:val="36"/>
        </w:rPr>
      </w:pPr>
    </w:p>
    <w:p w14:paraId="41A7BF01">
      <w:pPr>
        <w:spacing w:line="600" w:lineRule="exact"/>
        <w:rPr>
          <w:rFonts w:ascii="宋体" w:hAnsi="宋体" w:cs="宋体"/>
          <w:b/>
          <w:color w:val="auto"/>
          <w:sz w:val="28"/>
          <w:szCs w:val="28"/>
        </w:rPr>
      </w:pPr>
    </w:p>
    <w:p w14:paraId="2A3E7E5B">
      <w:pPr>
        <w:keepNext w:val="0"/>
        <w:keepLines w:val="0"/>
        <w:pageBreakBefore w:val="0"/>
        <w:widowControl w:val="0"/>
        <w:kinsoku/>
        <w:wordWrap/>
        <w:overflowPunct/>
        <w:topLinePunct w:val="0"/>
        <w:autoSpaceDE/>
        <w:autoSpaceDN/>
        <w:bidi w:val="0"/>
        <w:adjustRightInd/>
        <w:snapToGrid/>
        <w:spacing w:line="700" w:lineRule="exact"/>
        <w:ind w:left="0" w:firstLine="562" w:firstLineChars="200"/>
        <w:textAlignment w:val="auto"/>
        <w:rPr>
          <w:rFonts w:ascii="宋体" w:hAnsi="宋体" w:cs="宋体"/>
          <w:b/>
          <w:color w:val="auto"/>
          <w:sz w:val="28"/>
          <w:szCs w:val="28"/>
        </w:rPr>
      </w:pPr>
      <w:r>
        <w:rPr>
          <w:rFonts w:hint="eastAsia" w:ascii="宋体" w:hAnsi="宋体" w:cs="宋体"/>
          <w:b/>
          <w:color w:val="auto"/>
          <w:sz w:val="28"/>
          <w:szCs w:val="28"/>
        </w:rPr>
        <w:t>项目编号：330282202506004935</w:t>
      </w:r>
      <w:r>
        <w:rPr>
          <w:rFonts w:hint="eastAsia" w:ascii="宋体" w:hAnsi="宋体" w:cs="宋体"/>
          <w:b/>
          <w:color w:val="auto"/>
          <w:sz w:val="28"/>
          <w:szCs w:val="28"/>
          <w:lang w:eastAsia="zh-CN"/>
        </w:rPr>
        <w:t xml:space="preserve">   </w:t>
      </w:r>
      <w:r>
        <w:rPr>
          <w:rFonts w:hint="eastAsia" w:ascii="宋体" w:hAnsi="宋体" w:cs="宋体"/>
          <w:b/>
          <w:color w:val="auto"/>
          <w:sz w:val="28"/>
          <w:szCs w:val="28"/>
        </w:rPr>
        <w:t xml:space="preserve"> </w:t>
      </w:r>
      <w:r>
        <w:rPr>
          <w:color w:val="auto"/>
        </w:rPr>
        <w:fldChar w:fldCharType="begin"/>
      </w:r>
      <w:r>
        <w:rPr>
          <w:color w:val="auto"/>
        </w:rPr>
        <w:instrText xml:space="preserve"> HYPERLINK "https://pay.zcygov.cn/purchaseplan_front/" \l "/plan/list/detail?id=1000000000008565872&amp;encrypt=36fcf61aaf2e03018d9cf477be41b3bb" \t "https://www.zcygov.cn/project-center/purchasePlans/_blank" </w:instrText>
      </w:r>
      <w:r>
        <w:rPr>
          <w:color w:val="auto"/>
        </w:rPr>
        <w:fldChar w:fldCharType="separate"/>
      </w:r>
      <w:r>
        <w:rPr>
          <w:color w:val="auto"/>
        </w:rPr>
        <w:fldChar w:fldCharType="end"/>
      </w:r>
    </w:p>
    <w:p w14:paraId="10AA7FFB">
      <w:pPr>
        <w:keepNext w:val="0"/>
        <w:keepLines w:val="0"/>
        <w:pageBreakBefore w:val="0"/>
        <w:widowControl w:val="0"/>
        <w:kinsoku/>
        <w:wordWrap/>
        <w:overflowPunct/>
        <w:topLinePunct w:val="0"/>
        <w:autoSpaceDE/>
        <w:autoSpaceDN/>
        <w:bidi w:val="0"/>
        <w:adjustRightInd/>
        <w:snapToGrid/>
        <w:spacing w:line="700" w:lineRule="exact"/>
        <w:ind w:left="0" w:firstLine="562" w:firstLineChars="200"/>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采购人：</w:t>
      </w:r>
      <w:r>
        <w:rPr>
          <w:rFonts w:hint="eastAsia" w:ascii="宋体" w:hAnsi="宋体" w:cs="宋体"/>
          <w:b/>
          <w:color w:val="auto"/>
          <w:sz w:val="28"/>
          <w:szCs w:val="28"/>
          <w:lang w:eastAsia="zh-CN"/>
        </w:rPr>
        <w:t>慈溪市交通运输局（慈溪市交通运输行政执法队）</w:t>
      </w:r>
    </w:p>
    <w:p w14:paraId="2B2EE891">
      <w:pPr>
        <w:keepNext w:val="0"/>
        <w:keepLines w:val="0"/>
        <w:pageBreakBefore w:val="0"/>
        <w:widowControl w:val="0"/>
        <w:kinsoku/>
        <w:wordWrap/>
        <w:overflowPunct/>
        <w:topLinePunct w:val="0"/>
        <w:autoSpaceDE/>
        <w:autoSpaceDN/>
        <w:bidi w:val="0"/>
        <w:adjustRightInd/>
        <w:snapToGrid/>
        <w:spacing w:line="700" w:lineRule="exact"/>
        <w:ind w:left="0" w:firstLine="562" w:firstLineChars="200"/>
        <w:textAlignment w:val="auto"/>
        <w:rPr>
          <w:rFonts w:hint="eastAsia" w:ascii="宋体" w:hAnsi="宋体" w:eastAsia="宋体" w:cs="宋体"/>
          <w:b/>
          <w:color w:val="auto"/>
          <w:sz w:val="28"/>
          <w:szCs w:val="28"/>
          <w:lang w:eastAsia="zh-CN"/>
        </w:rPr>
      </w:pPr>
      <w:r>
        <w:rPr>
          <w:rFonts w:hint="eastAsia" w:ascii="宋体" w:hAnsi="宋体" w:cs="宋体"/>
          <w:b/>
          <w:color w:val="auto"/>
          <w:sz w:val="28"/>
          <w:szCs w:val="28"/>
        </w:rPr>
        <w:t>代理机构：</w:t>
      </w:r>
      <w:r>
        <w:rPr>
          <w:rFonts w:hint="eastAsia" w:ascii="宋体" w:hAnsi="宋体" w:cs="宋体"/>
          <w:b/>
          <w:color w:val="auto"/>
          <w:sz w:val="28"/>
          <w:szCs w:val="28"/>
          <w:lang w:eastAsia="zh-CN"/>
        </w:rPr>
        <w:t>宁波能诚工程管理有限公司</w:t>
      </w:r>
    </w:p>
    <w:p w14:paraId="7A97F297">
      <w:pPr>
        <w:keepNext w:val="0"/>
        <w:keepLines w:val="0"/>
        <w:pageBreakBefore w:val="0"/>
        <w:widowControl w:val="0"/>
        <w:kinsoku/>
        <w:wordWrap/>
        <w:overflowPunct/>
        <w:topLinePunct w:val="0"/>
        <w:autoSpaceDE/>
        <w:autoSpaceDN/>
        <w:bidi w:val="0"/>
        <w:adjustRightInd/>
        <w:snapToGrid/>
        <w:spacing w:line="700" w:lineRule="exact"/>
        <w:ind w:left="0" w:firstLine="562" w:firstLineChars="200"/>
        <w:textAlignment w:val="auto"/>
        <w:rPr>
          <w:rFonts w:ascii="宋体" w:hAnsi="宋体" w:cs="宋体"/>
          <w:b/>
          <w:color w:val="auto"/>
          <w:sz w:val="28"/>
          <w:szCs w:val="28"/>
        </w:rPr>
      </w:pPr>
      <w:r>
        <w:rPr>
          <w:rFonts w:hint="eastAsia" w:ascii="宋体" w:hAnsi="宋体" w:cs="宋体"/>
          <w:b/>
          <w:color w:val="auto"/>
          <w:sz w:val="28"/>
          <w:szCs w:val="28"/>
        </w:rPr>
        <w:t>编制日期：</w:t>
      </w:r>
      <w:r>
        <w:rPr>
          <w:rFonts w:hint="eastAsia" w:ascii="宋体" w:hAnsi="宋体" w:cs="宋体"/>
          <w:b/>
          <w:color w:val="auto"/>
          <w:sz w:val="28"/>
          <w:szCs w:val="28"/>
          <w:lang w:eastAsia="zh-CN"/>
        </w:rPr>
        <w:t>2025</w:t>
      </w:r>
      <w:r>
        <w:rPr>
          <w:rFonts w:hint="eastAsia" w:ascii="宋体" w:hAnsi="宋体" w:cs="宋体"/>
          <w:b/>
          <w:color w:val="auto"/>
          <w:sz w:val="28"/>
          <w:szCs w:val="28"/>
        </w:rPr>
        <w:t>年</w:t>
      </w:r>
      <w:r>
        <w:rPr>
          <w:rFonts w:hint="eastAsia" w:ascii="宋体" w:hAnsi="宋体" w:cs="宋体"/>
          <w:b/>
          <w:color w:val="auto"/>
          <w:sz w:val="28"/>
          <w:szCs w:val="28"/>
          <w:lang w:val="en-US" w:eastAsia="zh-CN"/>
        </w:rPr>
        <w:t>7</w:t>
      </w:r>
      <w:r>
        <w:rPr>
          <w:rFonts w:hint="eastAsia" w:ascii="宋体" w:hAnsi="宋体" w:cs="宋体"/>
          <w:b/>
          <w:color w:val="auto"/>
          <w:sz w:val="28"/>
          <w:szCs w:val="28"/>
        </w:rPr>
        <w:t>月</w:t>
      </w:r>
    </w:p>
    <w:p w14:paraId="29E8352B">
      <w:pPr>
        <w:spacing w:line="1200" w:lineRule="exact"/>
        <w:jc w:val="center"/>
        <w:rPr>
          <w:rFonts w:ascii="宋体" w:hAnsi="宋体" w:cs="宋体"/>
          <w:b/>
          <w:color w:val="auto"/>
          <w:sz w:val="72"/>
          <w:szCs w:val="72"/>
        </w:rPr>
      </w:pPr>
      <w:r>
        <w:rPr>
          <w:rFonts w:hint="eastAsia" w:ascii="宋体" w:hAnsi="宋体" w:cs="宋体"/>
          <w:b/>
          <w:color w:val="auto"/>
          <w:sz w:val="28"/>
          <w:szCs w:val="28"/>
        </w:rPr>
        <w:br w:type="page"/>
      </w:r>
      <w:r>
        <w:rPr>
          <w:rFonts w:hint="eastAsia" w:ascii="宋体" w:hAnsi="宋体" w:cs="宋体"/>
          <w:b/>
          <w:color w:val="auto"/>
          <w:sz w:val="72"/>
          <w:szCs w:val="72"/>
        </w:rPr>
        <w:t>温馨提醒</w:t>
      </w:r>
    </w:p>
    <w:p w14:paraId="52FCD51C">
      <w:pPr>
        <w:spacing w:line="1200" w:lineRule="exact"/>
        <w:jc w:val="center"/>
        <w:rPr>
          <w:rFonts w:ascii="宋体" w:hAnsi="宋体" w:cs="宋体"/>
          <w:b/>
          <w:color w:val="auto"/>
          <w:sz w:val="52"/>
          <w:szCs w:val="52"/>
        </w:rPr>
      </w:pPr>
    </w:p>
    <w:p w14:paraId="5D1CE066">
      <w:pPr>
        <w:spacing w:line="1000" w:lineRule="exact"/>
        <w:jc w:val="left"/>
        <w:rPr>
          <w:rFonts w:ascii="宋体" w:hAnsi="宋体" w:cs="宋体"/>
          <w:b/>
          <w:color w:val="auto"/>
          <w:sz w:val="30"/>
          <w:szCs w:val="30"/>
        </w:rPr>
      </w:pPr>
      <w:r>
        <w:rPr>
          <w:rFonts w:hint="eastAsia" w:ascii="宋体" w:hAnsi="宋体" w:cs="宋体"/>
          <w:b/>
          <w:color w:val="auto"/>
          <w:sz w:val="30"/>
          <w:szCs w:val="30"/>
        </w:rPr>
        <w:t>1、投标文件应按招标文件要求将“资格文件”、“商务和技术文件”、“报价文件”分别编制。</w:t>
      </w:r>
    </w:p>
    <w:p w14:paraId="361401CE">
      <w:pPr>
        <w:spacing w:line="1000" w:lineRule="exact"/>
        <w:jc w:val="left"/>
        <w:rPr>
          <w:rFonts w:ascii="宋体" w:hAnsi="宋体" w:cs="宋体"/>
          <w:b/>
          <w:color w:val="auto"/>
          <w:sz w:val="30"/>
          <w:szCs w:val="30"/>
        </w:rPr>
      </w:pPr>
      <w:r>
        <w:rPr>
          <w:rFonts w:hint="eastAsia" w:ascii="宋体" w:hAnsi="宋体" w:cs="宋体"/>
          <w:b/>
          <w:color w:val="auto"/>
          <w:sz w:val="30"/>
          <w:szCs w:val="30"/>
        </w:rPr>
        <w:t>2、“商务和技术文件”中不得出现涉及投标价格的内容，否则作无效标处理。</w:t>
      </w:r>
    </w:p>
    <w:p w14:paraId="254FF7C1">
      <w:pPr>
        <w:spacing w:line="1000" w:lineRule="exact"/>
        <w:jc w:val="left"/>
        <w:rPr>
          <w:rFonts w:ascii="宋体" w:hAnsi="宋体" w:cs="宋体"/>
          <w:b/>
          <w:color w:val="auto"/>
          <w:sz w:val="30"/>
          <w:szCs w:val="30"/>
        </w:rPr>
      </w:pPr>
      <w:r>
        <w:rPr>
          <w:rFonts w:hint="eastAsia" w:ascii="宋体" w:hAnsi="宋体" w:cs="宋体"/>
          <w:b/>
          <w:color w:val="auto"/>
          <w:sz w:val="30"/>
          <w:szCs w:val="30"/>
        </w:rPr>
        <w:t>3、采购人可以对已发出的招标文件进行必要的澄清或者修改，将以“更正公告”的形式发布在政采云平台，供应商应及时登录政采云平台，进行浏览并下载，未及时浏览下载的责任自负。</w:t>
      </w:r>
    </w:p>
    <w:p w14:paraId="210A885C">
      <w:pPr>
        <w:jc w:val="center"/>
        <w:outlineLvl w:val="0"/>
        <w:rPr>
          <w:rFonts w:ascii="宋体" w:hAnsi="宋体" w:cs="宋体"/>
          <w:b/>
          <w:bCs/>
          <w:color w:val="auto"/>
          <w:sz w:val="32"/>
          <w:szCs w:val="32"/>
        </w:rPr>
      </w:pPr>
    </w:p>
    <w:p w14:paraId="1D4AFABF">
      <w:pPr>
        <w:tabs>
          <w:tab w:val="center" w:pos="4365"/>
        </w:tabs>
        <w:spacing w:line="480" w:lineRule="auto"/>
        <w:jc w:val="center"/>
        <w:rPr>
          <w:rFonts w:ascii="宋体" w:hAnsi="宋体" w:cs="宋体"/>
          <w:b/>
          <w:bCs/>
          <w:color w:val="auto"/>
          <w:sz w:val="32"/>
          <w:szCs w:val="32"/>
        </w:rPr>
      </w:pPr>
      <w:r>
        <w:rPr>
          <w:rFonts w:hint="eastAsia" w:ascii="宋体" w:hAnsi="宋体" w:cs="宋体"/>
          <w:b/>
          <w:bCs/>
          <w:color w:val="auto"/>
          <w:sz w:val="32"/>
          <w:szCs w:val="32"/>
        </w:rPr>
        <w:br w:type="page"/>
      </w:r>
    </w:p>
    <w:p w14:paraId="01E79EA5">
      <w:pPr>
        <w:tabs>
          <w:tab w:val="center" w:pos="4365"/>
        </w:tabs>
        <w:spacing w:line="480" w:lineRule="auto"/>
        <w:jc w:val="center"/>
        <w:rPr>
          <w:rFonts w:ascii="宋体" w:hAnsi="宋体" w:cs="宋体"/>
          <w:b/>
          <w:color w:val="auto"/>
          <w:sz w:val="52"/>
          <w:szCs w:val="52"/>
        </w:rPr>
      </w:pPr>
      <w:r>
        <w:rPr>
          <w:rFonts w:hint="eastAsia" w:ascii="宋体" w:hAnsi="宋体" w:cs="宋体"/>
          <w:b/>
          <w:color w:val="auto"/>
          <w:sz w:val="52"/>
          <w:szCs w:val="52"/>
        </w:rPr>
        <w:t>目录</w:t>
      </w:r>
    </w:p>
    <w:p w14:paraId="4A6F76A8">
      <w:pPr>
        <w:pStyle w:val="32"/>
        <w:tabs>
          <w:tab w:val="right" w:leader="dot" w:pos="9747"/>
          <w:tab w:val="clear" w:pos="8721"/>
        </w:tabs>
        <w:rPr>
          <w:color w:val="auto"/>
        </w:rPr>
      </w:pPr>
      <w:r>
        <w:rPr>
          <w:rFonts w:hint="eastAsia" w:cs="宋体"/>
          <w:color w:val="auto"/>
        </w:rPr>
        <w:fldChar w:fldCharType="begin"/>
      </w:r>
      <w:r>
        <w:rPr>
          <w:rFonts w:hint="eastAsia" w:cs="宋体"/>
          <w:color w:val="auto"/>
        </w:rPr>
        <w:instrText xml:space="preserve"> TOC \o "1-3" \h \z \u </w:instrText>
      </w:r>
      <w:r>
        <w:rPr>
          <w:rFonts w:hint="eastAsia" w:cs="宋体"/>
          <w:color w:val="auto"/>
        </w:rPr>
        <w:fldChar w:fldCharType="separate"/>
      </w:r>
      <w:r>
        <w:rPr>
          <w:color w:val="auto"/>
        </w:rPr>
        <w:fldChar w:fldCharType="begin"/>
      </w:r>
      <w:r>
        <w:rPr>
          <w:color w:val="auto"/>
        </w:rPr>
        <w:instrText xml:space="preserve"> HYPERLINK \l "_Toc28636" </w:instrText>
      </w:r>
      <w:r>
        <w:rPr>
          <w:color w:val="auto"/>
        </w:rPr>
        <w:fldChar w:fldCharType="separate"/>
      </w:r>
      <w:r>
        <w:rPr>
          <w:rFonts w:hint="eastAsia" w:cs="宋体"/>
          <w:color w:val="auto"/>
        </w:rPr>
        <w:t>第一章招标公告</w:t>
      </w:r>
      <w:r>
        <w:rPr>
          <w:color w:val="auto"/>
        </w:rPr>
        <w:tab/>
      </w:r>
      <w:r>
        <w:rPr>
          <w:color w:val="auto"/>
        </w:rPr>
        <w:fldChar w:fldCharType="begin"/>
      </w:r>
      <w:r>
        <w:rPr>
          <w:color w:val="auto"/>
        </w:rPr>
        <w:instrText xml:space="preserve"> PAGEREF _Toc28636 \h </w:instrText>
      </w:r>
      <w:r>
        <w:rPr>
          <w:color w:val="auto"/>
        </w:rPr>
        <w:fldChar w:fldCharType="separate"/>
      </w:r>
      <w:r>
        <w:rPr>
          <w:color w:val="auto"/>
        </w:rPr>
        <w:t>4</w:t>
      </w:r>
      <w:r>
        <w:rPr>
          <w:color w:val="auto"/>
        </w:rPr>
        <w:fldChar w:fldCharType="end"/>
      </w:r>
      <w:r>
        <w:rPr>
          <w:color w:val="auto"/>
        </w:rPr>
        <w:fldChar w:fldCharType="end"/>
      </w:r>
    </w:p>
    <w:p w14:paraId="07FCDFA7">
      <w:pPr>
        <w:pStyle w:val="32"/>
        <w:tabs>
          <w:tab w:val="right" w:leader="dot" w:pos="9747"/>
          <w:tab w:val="clear" w:pos="8721"/>
        </w:tabs>
        <w:rPr>
          <w:color w:val="auto"/>
        </w:rPr>
      </w:pPr>
      <w:r>
        <w:rPr>
          <w:color w:val="auto"/>
        </w:rPr>
        <w:fldChar w:fldCharType="begin"/>
      </w:r>
      <w:r>
        <w:rPr>
          <w:color w:val="auto"/>
        </w:rPr>
        <w:instrText xml:space="preserve"> HYPERLINK \l "_Toc4467" </w:instrText>
      </w:r>
      <w:r>
        <w:rPr>
          <w:color w:val="auto"/>
        </w:rPr>
        <w:fldChar w:fldCharType="separate"/>
      </w:r>
      <w:r>
        <w:rPr>
          <w:rFonts w:hint="eastAsia" w:cs="宋体"/>
          <w:color w:val="auto"/>
        </w:rPr>
        <w:t>第二章投标须知</w:t>
      </w:r>
      <w:r>
        <w:rPr>
          <w:color w:val="auto"/>
        </w:rPr>
        <w:tab/>
      </w:r>
      <w:r>
        <w:rPr>
          <w:rFonts w:hint="eastAsia"/>
          <w:color w:val="auto"/>
          <w:lang w:eastAsia="zh-CN"/>
        </w:rPr>
        <w:t>7</w:t>
      </w:r>
      <w:r>
        <w:rPr>
          <w:color w:val="auto"/>
        </w:rPr>
        <w:fldChar w:fldCharType="end"/>
      </w:r>
    </w:p>
    <w:p w14:paraId="3B0B7D6F">
      <w:pPr>
        <w:pStyle w:val="32"/>
        <w:tabs>
          <w:tab w:val="right" w:leader="dot" w:pos="9747"/>
          <w:tab w:val="clear" w:pos="8721"/>
        </w:tabs>
        <w:rPr>
          <w:rFonts w:hint="eastAsia" w:eastAsia="宋体"/>
          <w:color w:val="auto"/>
          <w:lang w:eastAsia="zh-CN"/>
        </w:rPr>
      </w:pPr>
      <w:r>
        <w:rPr>
          <w:color w:val="auto"/>
        </w:rPr>
        <w:fldChar w:fldCharType="begin"/>
      </w:r>
      <w:r>
        <w:rPr>
          <w:color w:val="auto"/>
        </w:rPr>
        <w:instrText xml:space="preserve"> HYPERLINK \l "_Toc23065" </w:instrText>
      </w:r>
      <w:r>
        <w:rPr>
          <w:color w:val="auto"/>
        </w:rPr>
        <w:fldChar w:fldCharType="separate"/>
      </w:r>
      <w:r>
        <w:rPr>
          <w:rFonts w:hint="eastAsia" w:cs="宋体"/>
          <w:color w:val="auto"/>
        </w:rPr>
        <w:t>第三章评标办法及标准</w:t>
      </w:r>
      <w:r>
        <w:rPr>
          <w:color w:val="auto"/>
        </w:rPr>
        <w:tab/>
      </w:r>
      <w:r>
        <w:rPr>
          <w:rFonts w:hint="eastAsia"/>
          <w:color w:val="auto"/>
          <w:lang w:eastAsia="zh-CN"/>
        </w:rPr>
        <w:t>1</w:t>
      </w:r>
      <w:r>
        <w:rPr>
          <w:color w:val="auto"/>
        </w:rPr>
        <w:fldChar w:fldCharType="end"/>
      </w:r>
      <w:r>
        <w:rPr>
          <w:rFonts w:hint="eastAsia"/>
          <w:color w:val="auto"/>
          <w:lang w:eastAsia="zh-CN"/>
        </w:rPr>
        <w:t>6</w:t>
      </w:r>
    </w:p>
    <w:p w14:paraId="17ED182A">
      <w:pPr>
        <w:pStyle w:val="32"/>
        <w:tabs>
          <w:tab w:val="right" w:leader="dot" w:pos="9747"/>
          <w:tab w:val="clear" w:pos="8721"/>
        </w:tabs>
        <w:rPr>
          <w:rFonts w:hint="eastAsia" w:eastAsia="宋体"/>
          <w:color w:val="auto"/>
          <w:lang w:eastAsia="zh-CN"/>
        </w:rPr>
      </w:pPr>
      <w:r>
        <w:rPr>
          <w:color w:val="auto"/>
        </w:rPr>
        <w:fldChar w:fldCharType="begin"/>
      </w:r>
      <w:r>
        <w:rPr>
          <w:color w:val="auto"/>
        </w:rPr>
        <w:instrText xml:space="preserve"> HYPERLINK \l "_Toc6169" </w:instrText>
      </w:r>
      <w:r>
        <w:rPr>
          <w:color w:val="auto"/>
        </w:rPr>
        <w:fldChar w:fldCharType="separate"/>
      </w:r>
      <w:r>
        <w:rPr>
          <w:rFonts w:hint="eastAsia"/>
          <w:color w:val="auto"/>
        </w:rPr>
        <w:t>第四章采购合同样本</w:t>
      </w:r>
      <w:r>
        <w:rPr>
          <w:color w:val="auto"/>
        </w:rPr>
        <w:tab/>
      </w:r>
      <w:r>
        <w:rPr>
          <w:rFonts w:hint="eastAsia"/>
          <w:color w:val="auto"/>
          <w:lang w:eastAsia="zh-CN"/>
        </w:rPr>
        <w:t>2</w:t>
      </w:r>
      <w:r>
        <w:rPr>
          <w:color w:val="auto"/>
        </w:rPr>
        <w:fldChar w:fldCharType="end"/>
      </w:r>
      <w:r>
        <w:rPr>
          <w:rFonts w:hint="eastAsia"/>
          <w:color w:val="auto"/>
          <w:lang w:eastAsia="zh-CN"/>
        </w:rPr>
        <w:t>3</w:t>
      </w:r>
    </w:p>
    <w:p w14:paraId="548A14C0">
      <w:pPr>
        <w:pStyle w:val="32"/>
        <w:tabs>
          <w:tab w:val="right" w:leader="dot" w:pos="9747"/>
          <w:tab w:val="clear" w:pos="8721"/>
        </w:tabs>
        <w:rPr>
          <w:rFonts w:hint="eastAsia" w:eastAsia="宋体"/>
          <w:color w:val="auto"/>
          <w:lang w:eastAsia="zh-CN"/>
        </w:rPr>
      </w:pPr>
      <w:r>
        <w:rPr>
          <w:color w:val="auto"/>
        </w:rPr>
        <w:fldChar w:fldCharType="begin"/>
      </w:r>
      <w:r>
        <w:rPr>
          <w:color w:val="auto"/>
        </w:rPr>
        <w:instrText xml:space="preserve"> HYPERLINK \l "_Toc30133" </w:instrText>
      </w:r>
      <w:r>
        <w:rPr>
          <w:color w:val="auto"/>
        </w:rPr>
        <w:fldChar w:fldCharType="separate"/>
      </w:r>
      <w:r>
        <w:rPr>
          <w:rFonts w:hint="eastAsia"/>
          <w:color w:val="auto"/>
        </w:rPr>
        <w:t>第五章招标内容与技术需求</w:t>
      </w:r>
      <w:r>
        <w:rPr>
          <w:color w:val="auto"/>
        </w:rPr>
        <w:tab/>
      </w:r>
      <w:r>
        <w:rPr>
          <w:rFonts w:hint="eastAsia"/>
          <w:color w:val="auto"/>
          <w:lang w:eastAsia="zh-CN"/>
        </w:rPr>
        <w:t>3</w:t>
      </w:r>
      <w:r>
        <w:rPr>
          <w:color w:val="auto"/>
        </w:rPr>
        <w:fldChar w:fldCharType="end"/>
      </w:r>
      <w:r>
        <w:rPr>
          <w:rFonts w:hint="eastAsia"/>
          <w:color w:val="auto"/>
          <w:lang w:eastAsia="zh-CN"/>
        </w:rPr>
        <w:t>0</w:t>
      </w:r>
    </w:p>
    <w:p w14:paraId="6B114573">
      <w:pPr>
        <w:pStyle w:val="32"/>
        <w:tabs>
          <w:tab w:val="right" w:leader="dot" w:pos="9747"/>
          <w:tab w:val="clear" w:pos="8721"/>
        </w:tabs>
        <w:rPr>
          <w:rFonts w:hint="eastAsia" w:eastAsia="宋体"/>
          <w:color w:val="auto"/>
          <w:lang w:eastAsia="zh-CN"/>
        </w:rPr>
      </w:pPr>
      <w:r>
        <w:rPr>
          <w:color w:val="auto"/>
        </w:rPr>
        <w:fldChar w:fldCharType="begin"/>
      </w:r>
      <w:r>
        <w:rPr>
          <w:color w:val="auto"/>
        </w:rPr>
        <w:instrText xml:space="preserve"> HYPERLINK \l "_Toc28263" </w:instrText>
      </w:r>
      <w:r>
        <w:rPr>
          <w:color w:val="auto"/>
        </w:rPr>
        <w:fldChar w:fldCharType="separate"/>
      </w:r>
      <w:r>
        <w:rPr>
          <w:rFonts w:hint="eastAsia"/>
          <w:color w:val="auto"/>
        </w:rPr>
        <w:t>第六章 商务条款</w:t>
      </w:r>
      <w:r>
        <w:rPr>
          <w:color w:val="auto"/>
        </w:rPr>
        <w:tab/>
      </w:r>
      <w:r>
        <w:rPr>
          <w:rFonts w:hint="eastAsia"/>
          <w:color w:val="auto"/>
          <w:lang w:eastAsia="zh-CN"/>
        </w:rPr>
        <w:t>3</w:t>
      </w:r>
      <w:r>
        <w:rPr>
          <w:color w:val="auto"/>
        </w:rPr>
        <w:fldChar w:fldCharType="end"/>
      </w:r>
      <w:r>
        <w:rPr>
          <w:rFonts w:hint="eastAsia"/>
          <w:color w:val="auto"/>
          <w:lang w:eastAsia="zh-CN"/>
        </w:rPr>
        <w:t>3</w:t>
      </w:r>
    </w:p>
    <w:p w14:paraId="6F4D8C9A">
      <w:pPr>
        <w:pStyle w:val="32"/>
        <w:tabs>
          <w:tab w:val="right" w:leader="dot" w:pos="9747"/>
          <w:tab w:val="clear" w:pos="8721"/>
        </w:tabs>
        <w:rPr>
          <w:color w:val="auto"/>
        </w:rPr>
      </w:pPr>
      <w:r>
        <w:rPr>
          <w:color w:val="auto"/>
        </w:rPr>
        <w:fldChar w:fldCharType="begin"/>
      </w:r>
      <w:r>
        <w:rPr>
          <w:color w:val="auto"/>
        </w:rPr>
        <w:instrText xml:space="preserve"> HYPERLINK \l "_Toc11490" </w:instrText>
      </w:r>
      <w:r>
        <w:rPr>
          <w:color w:val="auto"/>
        </w:rPr>
        <w:fldChar w:fldCharType="separate"/>
      </w:r>
      <w:r>
        <w:rPr>
          <w:rFonts w:hint="eastAsia"/>
          <w:color w:val="auto"/>
        </w:rPr>
        <w:t>第七章附件</w:t>
      </w:r>
      <w:r>
        <w:rPr>
          <w:color w:val="auto"/>
        </w:rPr>
        <w:tab/>
      </w:r>
      <w:r>
        <w:rPr>
          <w:color w:val="auto"/>
        </w:rPr>
        <w:fldChar w:fldCharType="begin"/>
      </w:r>
      <w:r>
        <w:rPr>
          <w:color w:val="auto"/>
        </w:rPr>
        <w:instrText xml:space="preserve"> PAGEREF _Toc11490 \h </w:instrText>
      </w:r>
      <w:r>
        <w:rPr>
          <w:color w:val="auto"/>
        </w:rPr>
        <w:fldChar w:fldCharType="separate"/>
      </w:r>
      <w:r>
        <w:rPr>
          <w:color w:val="auto"/>
        </w:rPr>
        <w:t>34</w:t>
      </w:r>
      <w:r>
        <w:rPr>
          <w:color w:val="auto"/>
        </w:rPr>
        <w:fldChar w:fldCharType="end"/>
      </w:r>
      <w:r>
        <w:rPr>
          <w:color w:val="auto"/>
        </w:rPr>
        <w:fldChar w:fldCharType="end"/>
      </w:r>
    </w:p>
    <w:p w14:paraId="5DDC15E1">
      <w:pPr>
        <w:pStyle w:val="32"/>
        <w:tabs>
          <w:tab w:val="right" w:leader="dot" w:pos="9747"/>
          <w:tab w:val="clear" w:pos="8721"/>
        </w:tabs>
        <w:rPr>
          <w:color w:val="auto"/>
        </w:rPr>
      </w:pPr>
    </w:p>
    <w:p w14:paraId="733C7DA4">
      <w:pPr>
        <w:spacing w:line="1000" w:lineRule="exact"/>
        <w:jc w:val="center"/>
        <w:rPr>
          <w:rFonts w:ascii="宋体" w:hAnsi="宋体" w:cs="宋体"/>
          <w:b/>
          <w:color w:val="auto"/>
          <w:sz w:val="32"/>
        </w:rPr>
      </w:pPr>
      <w:r>
        <w:rPr>
          <w:rFonts w:hint="eastAsia" w:ascii="宋体" w:hAnsi="宋体" w:cs="宋体"/>
          <w:color w:val="auto"/>
          <w:szCs w:val="32"/>
        </w:rPr>
        <w:fldChar w:fldCharType="end"/>
      </w:r>
    </w:p>
    <w:p w14:paraId="2D7A2917">
      <w:pPr>
        <w:spacing w:line="400" w:lineRule="exact"/>
        <w:jc w:val="center"/>
        <w:rPr>
          <w:rFonts w:ascii="宋体" w:hAnsi="宋体" w:cs="宋体"/>
          <w:b/>
          <w:color w:val="auto"/>
          <w:sz w:val="32"/>
        </w:rPr>
        <w:sectPr>
          <w:headerReference r:id="rId3" w:type="default"/>
          <w:footerReference r:id="rId4" w:type="default"/>
          <w:type w:val="nextColumn"/>
          <w:pgSz w:w="11907" w:h="16840"/>
          <w:pgMar w:top="1440" w:right="1080" w:bottom="1440" w:left="1080" w:header="569" w:footer="700" w:gutter="0"/>
          <w:pgNumType w:start="1"/>
          <w:cols w:space="720" w:num="1"/>
          <w:docGrid w:linePitch="285" w:charSpace="0"/>
        </w:sectPr>
      </w:pPr>
    </w:p>
    <w:p w14:paraId="3BD1E476">
      <w:pPr>
        <w:spacing w:line="400" w:lineRule="exact"/>
        <w:jc w:val="center"/>
        <w:outlineLvl w:val="0"/>
        <w:rPr>
          <w:rFonts w:ascii="宋体" w:hAnsi="宋体" w:cs="宋体"/>
          <w:b/>
          <w:color w:val="auto"/>
          <w:sz w:val="32"/>
        </w:rPr>
      </w:pPr>
      <w:bookmarkStart w:id="0" w:name="_Toc28636"/>
      <w:r>
        <w:rPr>
          <w:rFonts w:hint="eastAsia" w:ascii="宋体" w:hAnsi="宋体" w:cs="宋体"/>
          <w:b/>
          <w:color w:val="auto"/>
          <w:sz w:val="32"/>
        </w:rPr>
        <w:t>第一章招标公告</w:t>
      </w:r>
      <w:bookmarkEnd w:id="0"/>
    </w:p>
    <w:p w14:paraId="75290D50">
      <w:pPr>
        <w:spacing w:line="400" w:lineRule="exact"/>
        <w:rPr>
          <w:rFonts w:ascii="宋体" w:hAnsi="宋体" w:cs="宋体"/>
          <w:b/>
          <w:color w:val="auto"/>
        </w:rPr>
      </w:pPr>
      <w:r>
        <w:rPr>
          <w:rFonts w:hint="eastAsia" w:ascii="宋体" w:hAnsi="宋体" w:cs="宋体"/>
          <w:color w:val="auto"/>
          <w:szCs w:val="21"/>
        </w:rPr>
        <w:t>发布日期：</w:t>
      </w:r>
      <w:r>
        <w:rPr>
          <w:rFonts w:hint="eastAsia" w:ascii="宋体" w:hAnsi="宋体" w:cs="宋体"/>
          <w:color w:val="auto"/>
          <w:szCs w:val="21"/>
          <w:lang w:eastAsia="zh-CN"/>
        </w:rPr>
        <w:t>2025</w:t>
      </w:r>
      <w:r>
        <w:rPr>
          <w:rFonts w:hint="eastAsia" w:ascii="宋体" w:hAnsi="宋体" w:cs="宋体"/>
          <w:color w:val="auto"/>
          <w:szCs w:val="21"/>
        </w:rPr>
        <w:t>年</w:t>
      </w:r>
      <w:r>
        <w:rPr>
          <w:rFonts w:hint="eastAsia" w:ascii="宋体" w:hAnsi="宋体" w:cs="宋体"/>
          <w:color w:val="auto"/>
          <w:szCs w:val="21"/>
          <w:lang w:val="en-US" w:eastAsia="zh-CN"/>
        </w:rPr>
        <w:t>7月9日</w:t>
      </w:r>
    </w:p>
    <w:p w14:paraId="1088A285">
      <w:pPr>
        <w:pStyle w:val="42"/>
        <w:spacing w:before="0" w:beforeAutospacing="0" w:after="0" w:afterAutospacing="0" w:line="400" w:lineRule="exact"/>
        <w:rPr>
          <w:b/>
          <w:color w:val="auto"/>
          <w:sz w:val="21"/>
          <w:szCs w:val="21"/>
        </w:rPr>
      </w:pPr>
      <w:r>
        <w:rPr>
          <w:rFonts w:hint="eastAsia"/>
          <w:b/>
          <w:color w:val="auto"/>
          <w:sz w:val="21"/>
          <w:szCs w:val="21"/>
        </w:rPr>
        <w:t>项目概况</w:t>
      </w:r>
    </w:p>
    <w:p w14:paraId="1A7B0825">
      <w:pPr>
        <w:pStyle w:val="42"/>
        <w:spacing w:before="0" w:beforeAutospacing="0" w:after="0" w:afterAutospacing="0" w:line="400" w:lineRule="exact"/>
        <w:ind w:firstLine="420" w:firstLineChars="200"/>
        <w:rPr>
          <w:color w:val="auto"/>
          <w:sz w:val="21"/>
          <w:szCs w:val="21"/>
        </w:rPr>
      </w:pPr>
      <w:r>
        <w:rPr>
          <w:rFonts w:hint="eastAsia"/>
          <w:color w:val="auto"/>
          <w:sz w:val="21"/>
          <w:szCs w:val="21"/>
          <w:lang w:eastAsia="zh-CN"/>
        </w:rPr>
        <w:t>慈溪市交通运输局保安服务项目</w:t>
      </w:r>
      <w:r>
        <w:rPr>
          <w:rFonts w:hint="eastAsia"/>
          <w:color w:val="auto"/>
          <w:sz w:val="21"/>
          <w:szCs w:val="21"/>
        </w:rPr>
        <w:t>的潜在投标人应在政府采购云平台（www.zcygov.cn）获取（下载）招标文件，并于</w:t>
      </w:r>
      <w:r>
        <w:rPr>
          <w:rFonts w:hint="eastAsia"/>
          <w:color w:val="auto"/>
          <w:sz w:val="21"/>
          <w:szCs w:val="21"/>
          <w:lang w:eastAsia="zh-CN"/>
        </w:rPr>
        <w:t>2025</w:t>
      </w:r>
      <w:r>
        <w:rPr>
          <w:rFonts w:hint="eastAsia"/>
          <w:color w:val="auto"/>
          <w:sz w:val="21"/>
          <w:szCs w:val="21"/>
        </w:rPr>
        <w:t>年</w:t>
      </w:r>
      <w:r>
        <w:rPr>
          <w:rFonts w:hint="eastAsia"/>
          <w:color w:val="auto"/>
          <w:sz w:val="21"/>
          <w:szCs w:val="21"/>
          <w:lang w:val="en-US" w:eastAsia="zh-CN"/>
        </w:rPr>
        <w:t>7月31日</w:t>
      </w:r>
      <w:r>
        <w:rPr>
          <w:rFonts w:hint="eastAsia"/>
          <w:color w:val="auto"/>
          <w:sz w:val="21"/>
          <w:szCs w:val="21"/>
          <w:lang w:eastAsia="zh-CN"/>
        </w:rPr>
        <w:t>9：30</w:t>
      </w:r>
      <w:r>
        <w:rPr>
          <w:rFonts w:hint="eastAsia"/>
          <w:color w:val="auto"/>
          <w:sz w:val="21"/>
          <w:szCs w:val="21"/>
        </w:rPr>
        <w:t>（北京时间）前递交（上传）投标文件。</w:t>
      </w:r>
    </w:p>
    <w:p w14:paraId="294D7F4E">
      <w:pPr>
        <w:pStyle w:val="42"/>
        <w:spacing w:before="0" w:beforeAutospacing="0" w:after="0" w:afterAutospacing="0" w:line="400" w:lineRule="exact"/>
        <w:jc w:val="both"/>
        <w:rPr>
          <w:color w:val="auto"/>
          <w:sz w:val="21"/>
          <w:szCs w:val="21"/>
        </w:rPr>
      </w:pPr>
      <w:r>
        <w:rPr>
          <w:rStyle w:val="51"/>
          <w:rFonts w:hint="eastAsia"/>
          <w:color w:val="auto"/>
          <w:sz w:val="21"/>
          <w:szCs w:val="21"/>
        </w:rPr>
        <w:t>一、项目基本情况</w:t>
      </w:r>
    </w:p>
    <w:p w14:paraId="2828B951">
      <w:pPr>
        <w:pStyle w:val="42"/>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 xml:space="preserve">项目编号：330282202506004935    </w:t>
      </w:r>
      <w:r>
        <w:rPr>
          <w:rFonts w:hint="eastAsia"/>
          <w:color w:val="auto"/>
          <w:sz w:val="21"/>
          <w:szCs w:val="21"/>
          <w:lang w:eastAsia="zh-CN"/>
        </w:rPr>
        <w:fldChar w:fldCharType="begin"/>
      </w:r>
      <w:r>
        <w:rPr>
          <w:rFonts w:hint="eastAsia"/>
          <w:color w:val="auto"/>
          <w:sz w:val="21"/>
          <w:szCs w:val="21"/>
          <w:lang w:eastAsia="zh-CN"/>
        </w:rPr>
        <w:instrText xml:space="preserve"> HYPERLINK "https://pay.zcygov.cn/purchaseplan_front/" \l "/plan/list/detail?id=1000000000008565872&amp;encrypt=36fcf61aaf2e03018d9cf477be41b3bb" \t "https://www.zcygov.cn/project-center/purchasePlans/_blank" </w:instrText>
      </w:r>
      <w:r>
        <w:rPr>
          <w:rFonts w:hint="eastAsia"/>
          <w:color w:val="auto"/>
          <w:sz w:val="21"/>
          <w:szCs w:val="21"/>
          <w:lang w:eastAsia="zh-CN"/>
        </w:rPr>
        <w:fldChar w:fldCharType="separate"/>
      </w:r>
      <w:r>
        <w:rPr>
          <w:rFonts w:hint="eastAsia"/>
          <w:color w:val="auto"/>
          <w:sz w:val="21"/>
          <w:szCs w:val="21"/>
          <w:lang w:eastAsia="zh-CN"/>
        </w:rPr>
        <w:fldChar w:fldCharType="end"/>
      </w:r>
    </w:p>
    <w:p w14:paraId="1E14CBDE">
      <w:pPr>
        <w:pStyle w:val="42"/>
        <w:spacing w:before="0" w:beforeAutospacing="0" w:after="0" w:afterAutospacing="0" w:line="400" w:lineRule="exact"/>
        <w:ind w:firstLine="420" w:firstLineChars="200"/>
        <w:rPr>
          <w:rFonts w:hint="eastAsia"/>
          <w:color w:val="auto"/>
          <w:sz w:val="21"/>
          <w:szCs w:val="21"/>
          <w:lang w:eastAsia="zh-CN"/>
        </w:rPr>
      </w:pPr>
      <w:r>
        <w:rPr>
          <w:rFonts w:hint="eastAsia"/>
          <w:color w:val="auto"/>
          <w:sz w:val="21"/>
          <w:szCs w:val="21"/>
          <w:lang w:eastAsia="zh-CN"/>
        </w:rPr>
        <w:t>项目名称：慈溪市交通运输局保安服务项目</w:t>
      </w:r>
    </w:p>
    <w:p w14:paraId="1BC7039B">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预算金额（元）：</w:t>
      </w:r>
      <w:r>
        <w:rPr>
          <w:rFonts w:hint="eastAsia"/>
          <w:color w:val="auto"/>
          <w:sz w:val="21"/>
          <w:szCs w:val="21"/>
          <w:lang w:eastAsia="zh-CN"/>
        </w:rPr>
        <w:t>830000</w:t>
      </w:r>
      <w:r>
        <w:rPr>
          <w:rFonts w:hint="eastAsia"/>
          <w:color w:val="auto"/>
          <w:sz w:val="21"/>
          <w:szCs w:val="21"/>
        </w:rPr>
        <w:t xml:space="preserve"> </w:t>
      </w:r>
    </w:p>
    <w:p w14:paraId="5792C222">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最高限价（元）：</w:t>
      </w:r>
      <w:r>
        <w:rPr>
          <w:rFonts w:hint="eastAsia"/>
          <w:color w:val="auto"/>
          <w:sz w:val="21"/>
          <w:szCs w:val="21"/>
          <w:lang w:eastAsia="zh-CN"/>
        </w:rPr>
        <w:t>825000</w:t>
      </w:r>
      <w:r>
        <w:rPr>
          <w:rFonts w:hint="eastAsia"/>
          <w:color w:val="auto"/>
          <w:sz w:val="21"/>
          <w:szCs w:val="21"/>
        </w:rPr>
        <w:t xml:space="preserve"> </w:t>
      </w:r>
    </w:p>
    <w:p w14:paraId="0057EEEF">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采购需求：</w:t>
      </w:r>
    </w:p>
    <w:p w14:paraId="150F8835">
      <w:pPr>
        <w:pStyle w:val="42"/>
        <w:spacing w:before="0" w:beforeAutospacing="0" w:after="0" w:afterAutospacing="0" w:line="400" w:lineRule="exact"/>
        <w:ind w:firstLine="420" w:firstLineChars="200"/>
        <w:rPr>
          <w:rFonts w:hint="eastAsia" w:eastAsia="宋体"/>
          <w:color w:val="auto"/>
          <w:sz w:val="21"/>
          <w:szCs w:val="21"/>
          <w:lang w:eastAsia="zh-CN"/>
        </w:rPr>
      </w:pPr>
      <w:r>
        <w:rPr>
          <w:rFonts w:hint="eastAsia"/>
          <w:color w:val="auto"/>
          <w:sz w:val="21"/>
          <w:szCs w:val="21"/>
        </w:rPr>
        <w:t>标项名称：</w:t>
      </w:r>
      <w:r>
        <w:rPr>
          <w:rFonts w:hint="eastAsia"/>
          <w:color w:val="auto"/>
          <w:sz w:val="21"/>
          <w:szCs w:val="21"/>
          <w:lang w:eastAsia="zh-CN"/>
        </w:rPr>
        <w:t>慈溪市交通运输局保安服务项目</w:t>
      </w:r>
    </w:p>
    <w:p w14:paraId="6090C235">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数量：1项</w:t>
      </w:r>
    </w:p>
    <w:p w14:paraId="051F2F6E">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简要规格描述或项目基本概况介绍、用途：</w:t>
      </w:r>
      <w:r>
        <w:rPr>
          <w:rFonts w:hint="eastAsia"/>
          <w:color w:val="auto"/>
          <w:sz w:val="21"/>
          <w:szCs w:val="21"/>
          <w:lang w:eastAsia="zh-CN"/>
        </w:rPr>
        <w:t>慈溪市交通运输局保安服务，保安总人数不低于18人</w:t>
      </w:r>
      <w:r>
        <w:rPr>
          <w:rFonts w:hint="eastAsia"/>
          <w:color w:val="auto"/>
          <w:sz w:val="21"/>
          <w:szCs w:val="21"/>
        </w:rPr>
        <w:t>，详细采购需求见招标文件第五章。</w:t>
      </w:r>
    </w:p>
    <w:p w14:paraId="5A6988C6">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合同履约期限：服务期限三年，合同一年一签。第一年度合同期满后，经采购人考核合格，可续签下一年度合同，最多可续签二次。</w:t>
      </w:r>
    </w:p>
    <w:p w14:paraId="3077911B">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本项目不接受联合体投标。</w:t>
      </w:r>
    </w:p>
    <w:p w14:paraId="26C70798">
      <w:pPr>
        <w:pStyle w:val="42"/>
        <w:spacing w:before="0" w:beforeAutospacing="0" w:after="0" w:afterAutospacing="0" w:line="400" w:lineRule="exact"/>
        <w:rPr>
          <w:color w:val="auto"/>
          <w:sz w:val="21"/>
          <w:szCs w:val="21"/>
        </w:rPr>
      </w:pPr>
      <w:r>
        <w:rPr>
          <w:rStyle w:val="51"/>
          <w:rFonts w:hint="eastAsia"/>
          <w:color w:val="auto"/>
          <w:sz w:val="21"/>
          <w:szCs w:val="21"/>
        </w:rPr>
        <w:t>二、申请人的资格要求：</w:t>
      </w:r>
    </w:p>
    <w:p w14:paraId="3607B348">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7EDFB1D">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2.落实政府采购政策需满足的资格要求：本项目为专门面向中小企业采购的项目（监狱企业、残疾人福利性单位视同小型、微型企业）。</w:t>
      </w:r>
    </w:p>
    <w:p w14:paraId="5B25DCEA">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3.本项目的特定资格要求：具有公安机关核发的保安服务许可证。</w:t>
      </w:r>
    </w:p>
    <w:p w14:paraId="1C837A48">
      <w:pPr>
        <w:pStyle w:val="42"/>
        <w:spacing w:before="0" w:beforeAutospacing="0" w:after="0" w:afterAutospacing="0" w:line="400" w:lineRule="exact"/>
        <w:jc w:val="both"/>
        <w:rPr>
          <w:color w:val="auto"/>
          <w:sz w:val="21"/>
          <w:szCs w:val="21"/>
        </w:rPr>
      </w:pPr>
      <w:r>
        <w:rPr>
          <w:rStyle w:val="51"/>
          <w:rFonts w:hint="eastAsia"/>
          <w:color w:val="auto"/>
          <w:sz w:val="21"/>
          <w:szCs w:val="21"/>
        </w:rPr>
        <w:t>三、获取招标文件</w:t>
      </w:r>
    </w:p>
    <w:p w14:paraId="72885389">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时间：公告发出之日起至</w:t>
      </w:r>
      <w:r>
        <w:rPr>
          <w:rFonts w:hint="eastAsia"/>
          <w:color w:val="auto"/>
          <w:sz w:val="21"/>
          <w:szCs w:val="21"/>
          <w:lang w:eastAsia="zh-CN"/>
        </w:rPr>
        <w:t>2025</w:t>
      </w:r>
      <w:r>
        <w:rPr>
          <w:rFonts w:hint="eastAsia"/>
          <w:color w:val="auto"/>
          <w:sz w:val="21"/>
          <w:szCs w:val="21"/>
        </w:rPr>
        <w:t>年</w:t>
      </w:r>
      <w:r>
        <w:rPr>
          <w:rFonts w:hint="eastAsia"/>
          <w:color w:val="auto"/>
          <w:sz w:val="21"/>
          <w:szCs w:val="21"/>
          <w:lang w:val="en-US" w:eastAsia="zh-CN"/>
        </w:rPr>
        <w:t>7月16日</w:t>
      </w:r>
      <w:r>
        <w:rPr>
          <w:rFonts w:hint="eastAsia"/>
          <w:color w:val="auto"/>
          <w:sz w:val="21"/>
          <w:szCs w:val="21"/>
        </w:rPr>
        <w:t>，每天上午00：00至12：00，下午12：00至23：59（北京时间，线上获取法定节假日均可）</w:t>
      </w:r>
    </w:p>
    <w:p w14:paraId="6E6C5AB7">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地点（网址）：政府采购云平台（www.zcygov.cn）</w:t>
      </w:r>
    </w:p>
    <w:p w14:paraId="2D91F123">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方式：（1）供应商登录政府采购云平台（www.zcygov.cn）的注册账号后，进入政采云系统“项目采购”模块“获取采购文件”菜单，进行网上获取招标文件。如有疑问请及时咨询网站客服，咨询电话：</w:t>
      </w:r>
      <w:r>
        <w:rPr>
          <w:rFonts w:hint="eastAsia"/>
          <w:color w:val="auto"/>
          <w:sz w:val="21"/>
          <w:szCs w:val="21"/>
          <w:lang w:eastAsia="zh-CN"/>
        </w:rPr>
        <w:t>95763</w:t>
      </w:r>
      <w:r>
        <w:rPr>
          <w:rFonts w:hint="eastAsia"/>
          <w:color w:val="auto"/>
          <w:sz w:val="21"/>
          <w:szCs w:val="21"/>
        </w:rPr>
        <w:t>。（2）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w:t>
      </w:r>
      <w:r>
        <w:rPr>
          <w:rFonts w:hint="eastAsia"/>
          <w:color w:val="auto"/>
          <w:sz w:val="21"/>
          <w:szCs w:val="21"/>
          <w:lang w:eastAsia="zh-CN"/>
        </w:rPr>
        <w:t>95763</w:t>
      </w:r>
      <w:r>
        <w:rPr>
          <w:rFonts w:hint="eastAsia"/>
          <w:color w:val="auto"/>
          <w:sz w:val="21"/>
          <w:szCs w:val="21"/>
        </w:rPr>
        <w:t>，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53E3C9B7">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售价（元）：0</w:t>
      </w:r>
    </w:p>
    <w:p w14:paraId="097C4732">
      <w:pPr>
        <w:pStyle w:val="42"/>
        <w:spacing w:before="0" w:beforeAutospacing="0" w:after="0" w:afterAutospacing="0" w:line="400" w:lineRule="exact"/>
        <w:jc w:val="both"/>
        <w:rPr>
          <w:color w:val="auto"/>
          <w:sz w:val="21"/>
          <w:szCs w:val="21"/>
        </w:rPr>
      </w:pPr>
      <w:r>
        <w:rPr>
          <w:rStyle w:val="51"/>
          <w:rFonts w:hint="eastAsia"/>
          <w:color w:val="auto"/>
          <w:sz w:val="21"/>
          <w:szCs w:val="21"/>
        </w:rPr>
        <w:t>四、提交投标文件截止时间、开标时间和地点</w:t>
      </w:r>
    </w:p>
    <w:p w14:paraId="56A35BFA">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提交投标文件截止时间：</w:t>
      </w:r>
      <w:r>
        <w:rPr>
          <w:rFonts w:hint="eastAsia"/>
          <w:color w:val="auto"/>
          <w:sz w:val="21"/>
          <w:szCs w:val="21"/>
          <w:lang w:eastAsia="zh-CN"/>
        </w:rPr>
        <w:t>2025</w:t>
      </w:r>
      <w:r>
        <w:rPr>
          <w:rFonts w:hint="eastAsia"/>
          <w:color w:val="auto"/>
          <w:sz w:val="21"/>
          <w:szCs w:val="21"/>
        </w:rPr>
        <w:t>年</w:t>
      </w:r>
      <w:r>
        <w:rPr>
          <w:rFonts w:hint="eastAsia"/>
          <w:color w:val="auto"/>
          <w:sz w:val="21"/>
          <w:szCs w:val="21"/>
          <w:lang w:val="en-US" w:eastAsia="zh-CN"/>
        </w:rPr>
        <w:t>7月31日</w:t>
      </w:r>
      <w:r>
        <w:rPr>
          <w:rFonts w:hint="eastAsia"/>
          <w:color w:val="auto"/>
          <w:sz w:val="21"/>
          <w:szCs w:val="21"/>
          <w:lang w:eastAsia="zh-CN"/>
        </w:rPr>
        <w:t>9：30</w:t>
      </w:r>
      <w:r>
        <w:rPr>
          <w:rFonts w:hint="eastAsia"/>
          <w:color w:val="auto"/>
          <w:sz w:val="21"/>
          <w:szCs w:val="21"/>
        </w:rPr>
        <w:t>（北京时间）</w:t>
      </w:r>
    </w:p>
    <w:p w14:paraId="0B6F6D06">
      <w:pPr>
        <w:pStyle w:val="42"/>
        <w:spacing w:before="0" w:beforeAutospacing="0" w:after="0" w:afterAutospacing="0" w:line="400" w:lineRule="exact"/>
        <w:ind w:firstLine="422" w:firstLineChars="200"/>
        <w:rPr>
          <w:b/>
          <w:bCs/>
          <w:color w:val="auto"/>
          <w:sz w:val="21"/>
          <w:szCs w:val="21"/>
        </w:rPr>
      </w:pPr>
      <w:r>
        <w:rPr>
          <w:rFonts w:hint="eastAsia"/>
          <w:b/>
          <w:bCs/>
          <w:color w:val="auto"/>
          <w:sz w:val="21"/>
          <w:szCs w:val="21"/>
        </w:rPr>
        <w:t>投标地点（网址）：政采云平台开标大厅</w:t>
      </w:r>
    </w:p>
    <w:p w14:paraId="6B931EFB">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开标时间：</w:t>
      </w:r>
      <w:r>
        <w:rPr>
          <w:rFonts w:hint="eastAsia"/>
          <w:color w:val="auto"/>
          <w:sz w:val="21"/>
          <w:szCs w:val="21"/>
          <w:lang w:eastAsia="zh-CN"/>
        </w:rPr>
        <w:t>2025</w:t>
      </w:r>
      <w:r>
        <w:rPr>
          <w:rFonts w:hint="eastAsia"/>
          <w:color w:val="auto"/>
          <w:sz w:val="21"/>
          <w:szCs w:val="21"/>
        </w:rPr>
        <w:t>年</w:t>
      </w:r>
      <w:r>
        <w:rPr>
          <w:rFonts w:hint="eastAsia"/>
          <w:color w:val="auto"/>
          <w:sz w:val="21"/>
          <w:szCs w:val="21"/>
          <w:lang w:val="en-US" w:eastAsia="zh-CN"/>
        </w:rPr>
        <w:t>7月31日</w:t>
      </w:r>
      <w:r>
        <w:rPr>
          <w:rFonts w:hint="eastAsia"/>
          <w:color w:val="auto"/>
          <w:sz w:val="21"/>
          <w:szCs w:val="21"/>
          <w:lang w:eastAsia="zh-CN"/>
        </w:rPr>
        <w:t>9：30</w:t>
      </w:r>
      <w:r>
        <w:rPr>
          <w:rFonts w:hint="eastAsia"/>
          <w:color w:val="auto"/>
          <w:sz w:val="21"/>
          <w:szCs w:val="21"/>
        </w:rPr>
        <w:t>（北京时间）</w:t>
      </w:r>
    </w:p>
    <w:p w14:paraId="49520313">
      <w:pPr>
        <w:pStyle w:val="42"/>
        <w:spacing w:before="0" w:beforeAutospacing="0" w:after="0" w:afterAutospacing="0" w:line="400" w:lineRule="exact"/>
        <w:ind w:firstLine="422" w:firstLineChars="200"/>
        <w:rPr>
          <w:b/>
          <w:bCs/>
          <w:color w:val="auto"/>
          <w:sz w:val="21"/>
          <w:szCs w:val="21"/>
        </w:rPr>
      </w:pPr>
      <w:r>
        <w:rPr>
          <w:rFonts w:hint="eastAsia"/>
          <w:b/>
          <w:bCs/>
          <w:color w:val="auto"/>
          <w:sz w:val="21"/>
          <w:szCs w:val="21"/>
        </w:rPr>
        <w:t>开标地点（网址）：慈溪市公共资源交易中心</w:t>
      </w:r>
      <w:r>
        <w:rPr>
          <w:rFonts w:hint="eastAsia"/>
          <w:b/>
          <w:bCs/>
          <w:color w:val="auto"/>
          <w:sz w:val="21"/>
          <w:szCs w:val="21"/>
          <w:lang w:eastAsia="zh-CN"/>
        </w:rPr>
        <w:t>第四开标室</w:t>
      </w:r>
      <w:r>
        <w:rPr>
          <w:rFonts w:hint="eastAsia"/>
          <w:b/>
          <w:bCs/>
          <w:color w:val="auto"/>
          <w:sz w:val="21"/>
          <w:szCs w:val="21"/>
        </w:rPr>
        <w:t>（政采云平台开标大厅）</w:t>
      </w:r>
    </w:p>
    <w:p w14:paraId="3E9158BA">
      <w:pPr>
        <w:pStyle w:val="42"/>
        <w:spacing w:before="0" w:beforeAutospacing="0" w:after="0" w:afterAutospacing="0" w:line="400" w:lineRule="exact"/>
        <w:jc w:val="both"/>
        <w:rPr>
          <w:color w:val="auto"/>
          <w:sz w:val="21"/>
          <w:szCs w:val="21"/>
        </w:rPr>
      </w:pPr>
      <w:r>
        <w:rPr>
          <w:rStyle w:val="51"/>
          <w:rFonts w:hint="eastAsia"/>
          <w:color w:val="auto"/>
          <w:sz w:val="21"/>
          <w:szCs w:val="21"/>
        </w:rPr>
        <w:t>五、公告期限</w:t>
      </w:r>
    </w:p>
    <w:p w14:paraId="2DBACC16">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自本公告发布之日起5个工作日。</w:t>
      </w:r>
    </w:p>
    <w:p w14:paraId="34E04605">
      <w:pPr>
        <w:pStyle w:val="42"/>
        <w:spacing w:before="0" w:beforeAutospacing="0" w:after="0" w:afterAutospacing="0" w:line="400" w:lineRule="exact"/>
        <w:jc w:val="both"/>
        <w:rPr>
          <w:color w:val="auto"/>
          <w:sz w:val="21"/>
          <w:szCs w:val="21"/>
        </w:rPr>
      </w:pPr>
      <w:r>
        <w:rPr>
          <w:rStyle w:val="51"/>
          <w:rFonts w:hint="eastAsia"/>
          <w:color w:val="auto"/>
          <w:sz w:val="21"/>
          <w:szCs w:val="21"/>
        </w:rPr>
        <w:t>六、其他补充事宜</w:t>
      </w:r>
    </w:p>
    <w:p w14:paraId="4CC1931E">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89F7FF5">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D66C2C">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980EF8">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4.其他事项：</w:t>
      </w:r>
    </w:p>
    <w:p w14:paraId="16009756">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4.1单位负责人为同一人或者存在直接控股、管理关系的不同供应商，不得参加同一标项的投标；</w:t>
      </w:r>
    </w:p>
    <w:p w14:paraId="4CDC7004">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4.2为本项目提供整体设计、规范编制或者项目管理、监理、检测等服务的供应商，不得再参加本项目的投标；</w:t>
      </w:r>
    </w:p>
    <w:p w14:paraId="147DE84B">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4.3公益一类事业单位不属于政府购买服务的承接主体，不得参与承接政府购买服务。</w:t>
      </w:r>
    </w:p>
    <w:p w14:paraId="19BFA46E">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4.4落实政府采购政策：《政府采购促进中小企业发展管理办法》（财库〔2020〕46号）、《关于政府采购支持监狱企业发展有关问题的通知》(财库[2014]68号)、《关于促进残疾人就业政府采购政策的通知》（财库[2017]141号）。</w:t>
      </w:r>
    </w:p>
    <w:p w14:paraId="6AE97C22">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4.5本项目为不见面开评标项目，投标人员无须到场参加现场开标。</w:t>
      </w:r>
    </w:p>
    <w:p w14:paraId="63C71669">
      <w:pPr>
        <w:pStyle w:val="42"/>
        <w:spacing w:before="0" w:beforeAutospacing="0" w:after="0" w:afterAutospacing="0" w:line="400" w:lineRule="exact"/>
        <w:ind w:firstLine="420" w:firstLineChars="200"/>
        <w:rPr>
          <w:rFonts w:hint="eastAsia"/>
          <w:color w:val="auto"/>
          <w:sz w:val="21"/>
          <w:szCs w:val="21"/>
        </w:rPr>
      </w:pPr>
      <w:r>
        <w:rPr>
          <w:rFonts w:hint="eastAsia"/>
          <w:color w:val="auto"/>
          <w:sz w:val="21"/>
          <w:szCs w:val="21"/>
        </w:rPr>
        <w:t>4.6招标文件及更正补充公告请自行登录浙江政府采购网，在招标公告及更正公告页面中下载。</w:t>
      </w:r>
    </w:p>
    <w:p w14:paraId="2C387DC2">
      <w:pPr>
        <w:pStyle w:val="42"/>
        <w:spacing w:before="0" w:beforeAutospacing="0" w:after="0" w:afterAutospacing="0" w:line="400" w:lineRule="exact"/>
        <w:ind w:firstLine="420" w:firstLineChars="200"/>
        <w:rPr>
          <w:color w:val="auto"/>
          <w:sz w:val="21"/>
          <w:szCs w:val="21"/>
        </w:rPr>
      </w:pPr>
      <w:r>
        <w:rPr>
          <w:rFonts w:hint="eastAsia"/>
          <w:color w:val="auto"/>
          <w:sz w:val="21"/>
          <w:szCs w:val="21"/>
        </w:rPr>
        <w:t>4.7未获取招标文件者的投标将被拒绝。</w:t>
      </w:r>
    </w:p>
    <w:p w14:paraId="7BB9D52A">
      <w:pPr>
        <w:pStyle w:val="42"/>
        <w:spacing w:before="0" w:beforeAutospacing="0" w:after="0" w:afterAutospacing="0" w:line="400" w:lineRule="exact"/>
        <w:jc w:val="both"/>
        <w:rPr>
          <w:color w:val="auto"/>
          <w:sz w:val="21"/>
          <w:szCs w:val="21"/>
        </w:rPr>
      </w:pPr>
      <w:r>
        <w:rPr>
          <w:rStyle w:val="51"/>
          <w:rFonts w:hint="eastAsia"/>
          <w:color w:val="auto"/>
          <w:sz w:val="21"/>
          <w:szCs w:val="21"/>
        </w:rPr>
        <w:t>七、对本次采购提出询问、质疑、投诉，请按以下方式联系</w:t>
      </w:r>
    </w:p>
    <w:p w14:paraId="3F2FC472">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1.采购人信息</w:t>
      </w:r>
    </w:p>
    <w:p w14:paraId="3CFF207A">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慈溪市交通运输局（慈溪市交通运输行政执法队）</w:t>
      </w:r>
    </w:p>
    <w:p w14:paraId="315499F8">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慈溪市白沙路街道南二环东路1438号</w:t>
      </w:r>
    </w:p>
    <w:p w14:paraId="6AE32D4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传真：/</w:t>
      </w:r>
    </w:p>
    <w:p w14:paraId="2DDBAC5B">
      <w:pPr>
        <w:widowControl/>
        <w:spacing w:line="40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项目联系人（询问）：韩先生  </w:t>
      </w:r>
    </w:p>
    <w:p w14:paraId="0D8FE57D">
      <w:pPr>
        <w:widowControl/>
        <w:spacing w:line="40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项目联系方式（询问）： 0574-63011195  </w:t>
      </w:r>
    </w:p>
    <w:p w14:paraId="0C973008">
      <w:pPr>
        <w:widowControl/>
        <w:spacing w:line="400" w:lineRule="exact"/>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质疑联系人：陈先生 </w:t>
      </w:r>
    </w:p>
    <w:p w14:paraId="76ED3267">
      <w:pPr>
        <w:widowControl/>
        <w:spacing w:line="40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质疑联系方式：0574-63011195   </w:t>
      </w:r>
    </w:p>
    <w:p w14:paraId="7C933CE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2.采购代理机构信息</w:t>
      </w:r>
    </w:p>
    <w:p w14:paraId="36A3C31D">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宁波能诚工程管理有限公司</w:t>
      </w:r>
    </w:p>
    <w:p w14:paraId="3614765E">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联系人：徐工</w:t>
      </w:r>
    </w:p>
    <w:p w14:paraId="263F4FFB">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联系电话、传真：0574-</w:t>
      </w:r>
      <w:r>
        <w:rPr>
          <w:rFonts w:hint="eastAsia" w:ascii="宋体" w:hAnsi="宋体" w:cs="宋体"/>
          <w:color w:val="auto"/>
          <w:kern w:val="0"/>
          <w:szCs w:val="21"/>
          <w:lang w:eastAsia="zh-CN"/>
        </w:rPr>
        <w:t>58976335</w:t>
      </w:r>
    </w:p>
    <w:p w14:paraId="64BC08DC">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地址：慈溪市古塘街道大发路145号</w:t>
      </w:r>
      <w:r>
        <w:rPr>
          <w:rFonts w:hint="eastAsia" w:ascii="宋体" w:hAnsi="宋体" w:cs="宋体"/>
          <w:color w:val="auto"/>
          <w:kern w:val="0"/>
          <w:szCs w:val="21"/>
          <w:lang w:eastAsia="zh-CN"/>
        </w:rPr>
        <w:t>2号楼3楼</w:t>
      </w:r>
    </w:p>
    <w:p w14:paraId="07928085">
      <w:pPr>
        <w:widowControl/>
        <w:spacing w:line="400" w:lineRule="exact"/>
        <w:ind w:firstLine="420" w:firstLineChars="200"/>
        <w:jc w:val="left"/>
        <w:rPr>
          <w:rFonts w:hint="default" w:ascii="宋体" w:hAnsi="宋体" w:cs="宋体"/>
          <w:color w:val="auto"/>
          <w:kern w:val="0"/>
          <w:szCs w:val="21"/>
          <w:lang w:val="en-US" w:eastAsia="zh-CN"/>
        </w:rPr>
      </w:pPr>
      <w:r>
        <w:rPr>
          <w:rFonts w:hint="eastAsia" w:ascii="宋体" w:hAnsi="宋体" w:cs="宋体"/>
          <w:color w:val="auto"/>
          <w:kern w:val="0"/>
          <w:szCs w:val="21"/>
        </w:rPr>
        <w:t>质疑联系人：</w:t>
      </w:r>
      <w:r>
        <w:rPr>
          <w:rFonts w:hint="eastAsia" w:ascii="宋体" w:hAnsi="宋体" w:cs="宋体"/>
          <w:color w:val="auto"/>
          <w:kern w:val="0"/>
          <w:szCs w:val="21"/>
          <w:lang w:val="en-US" w:eastAsia="zh-CN"/>
        </w:rPr>
        <w:t>陈工</w:t>
      </w:r>
    </w:p>
    <w:p w14:paraId="064C1235">
      <w:pPr>
        <w:widowControl/>
        <w:spacing w:line="400" w:lineRule="exact"/>
        <w:ind w:firstLine="420" w:firstLineChars="200"/>
        <w:jc w:val="left"/>
        <w:rPr>
          <w:rFonts w:hint="eastAsia" w:ascii="宋体" w:hAnsi="宋体" w:cs="宋体"/>
          <w:color w:val="auto"/>
          <w:kern w:val="0"/>
          <w:szCs w:val="21"/>
          <w:lang w:eastAsia="zh-CN"/>
        </w:rPr>
      </w:pPr>
      <w:r>
        <w:rPr>
          <w:rFonts w:hint="eastAsia" w:ascii="宋体" w:hAnsi="宋体" w:cs="宋体"/>
          <w:color w:val="auto"/>
          <w:kern w:val="0"/>
          <w:szCs w:val="21"/>
        </w:rPr>
        <w:t>质疑联系方式：0574-</w:t>
      </w:r>
      <w:r>
        <w:rPr>
          <w:rFonts w:hint="eastAsia" w:ascii="宋体" w:hAnsi="宋体" w:cs="宋体"/>
          <w:color w:val="auto"/>
          <w:kern w:val="0"/>
          <w:szCs w:val="21"/>
          <w:lang w:eastAsia="zh-CN"/>
        </w:rPr>
        <w:t>58976335</w:t>
      </w:r>
    </w:p>
    <w:p w14:paraId="0759A011">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3.同级政府采购监督管理部门</w:t>
      </w:r>
    </w:p>
    <w:p w14:paraId="63DC8384">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名称：慈溪市财政局</w:t>
      </w:r>
    </w:p>
    <w:p w14:paraId="19E40AF5">
      <w:pPr>
        <w:widowControl/>
        <w:spacing w:line="400" w:lineRule="exact"/>
        <w:ind w:firstLine="420" w:firstLineChars="200"/>
        <w:jc w:val="left"/>
        <w:rPr>
          <w:rFonts w:hint="eastAsia" w:ascii="宋体" w:hAnsi="宋体" w:eastAsia="宋体" w:cs="宋体"/>
          <w:color w:val="auto"/>
          <w:kern w:val="0"/>
          <w:szCs w:val="21"/>
          <w:lang w:eastAsia="zh-CN"/>
        </w:rPr>
      </w:pPr>
      <w:r>
        <w:rPr>
          <w:rFonts w:hint="eastAsia" w:ascii="宋体" w:hAnsi="宋体" w:cs="宋体"/>
          <w:color w:val="auto"/>
          <w:kern w:val="0"/>
          <w:szCs w:val="21"/>
        </w:rPr>
        <w:t xml:space="preserve">地址：慈溪市南二环东路1158号6楼619室     </w:t>
      </w:r>
    </w:p>
    <w:p w14:paraId="258D7471">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传真：/            </w:t>
      </w:r>
    </w:p>
    <w:p w14:paraId="194EEE45">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联系人：胡老师           </w:t>
      </w:r>
    </w:p>
    <w:p w14:paraId="0CEBDBDB">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监督投诉电话：0574-63912958</w:t>
      </w:r>
    </w:p>
    <w:p w14:paraId="37B8B745">
      <w:pPr>
        <w:pStyle w:val="2"/>
        <w:rPr>
          <w:rFonts w:hint="eastAsia" w:ascii="宋体" w:hAnsi="宋体" w:cs="宋体"/>
          <w:color w:val="auto"/>
          <w:kern w:val="0"/>
          <w:szCs w:val="21"/>
        </w:rPr>
      </w:pPr>
    </w:p>
    <w:p w14:paraId="495C9514">
      <w:pPr>
        <w:pStyle w:val="2"/>
        <w:rPr>
          <w:rFonts w:hint="eastAsia" w:ascii="宋体" w:hAnsi="宋体" w:cs="宋体"/>
          <w:color w:val="auto"/>
          <w:kern w:val="0"/>
          <w:szCs w:val="21"/>
        </w:rPr>
      </w:pPr>
    </w:p>
    <w:p w14:paraId="1B890496">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特别说明：政采云公司如对电子化开标及评审程序有调整的，按调整后的程序操作。</w:t>
      </w:r>
    </w:p>
    <w:p w14:paraId="2F1AC9A0">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若对项目采购电子交易系统操作有疑问，可登录政采云（https：//www.zcygov.cn/），点击右侧咨询小采，获取采小蜜智能服务管家帮助，或拨打政采云服务热线95763获取热线服务帮助。</w:t>
      </w:r>
    </w:p>
    <w:p w14:paraId="740CAC30">
      <w:pPr>
        <w:widowControl/>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CA问题联系电话（人工）：汇信CA400-888-4636；天谷CA400-087-8198。</w:t>
      </w:r>
    </w:p>
    <w:p w14:paraId="100E4A8D">
      <w:pPr>
        <w:spacing w:line="400" w:lineRule="exact"/>
        <w:ind w:firstLine="420" w:firstLineChars="200"/>
        <w:jc w:val="center"/>
        <w:outlineLvl w:val="0"/>
        <w:rPr>
          <w:rFonts w:ascii="宋体" w:hAnsi="宋体" w:cs="宋体"/>
          <w:b/>
          <w:color w:val="auto"/>
          <w:sz w:val="32"/>
        </w:rPr>
      </w:pPr>
      <w:r>
        <w:rPr>
          <w:rFonts w:hint="eastAsia" w:ascii="宋体" w:hAnsi="宋体" w:cs="宋体"/>
          <w:color w:val="auto"/>
          <w:szCs w:val="21"/>
        </w:rPr>
        <w:br w:type="page"/>
      </w:r>
      <w:bookmarkStart w:id="1" w:name="_Toc4467"/>
      <w:r>
        <w:rPr>
          <w:rFonts w:hint="eastAsia" w:ascii="宋体" w:hAnsi="宋体" w:cs="宋体"/>
          <w:b/>
          <w:color w:val="auto"/>
          <w:sz w:val="32"/>
        </w:rPr>
        <w:t>第二章投标须知</w:t>
      </w:r>
      <w:bookmarkEnd w:id="1"/>
    </w:p>
    <w:p w14:paraId="7719305A">
      <w:pPr>
        <w:spacing w:line="400" w:lineRule="exact"/>
        <w:ind w:firstLine="422" w:firstLineChars="200"/>
        <w:rPr>
          <w:rFonts w:ascii="宋体" w:hAnsi="宋体" w:cs="宋体"/>
          <w:b/>
          <w:color w:val="auto"/>
          <w:szCs w:val="21"/>
        </w:rPr>
      </w:pPr>
      <w:r>
        <w:rPr>
          <w:rFonts w:hint="eastAsia" w:ascii="宋体" w:hAnsi="宋体" w:cs="宋体"/>
          <w:b/>
          <w:color w:val="auto"/>
          <w:szCs w:val="21"/>
        </w:rPr>
        <w:t>一、适用范围</w:t>
      </w:r>
    </w:p>
    <w:p w14:paraId="70C557BE">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本招标文件仅适用于本采购项目所叙述的货物和服务的招标、评标、定标、验收、合同履约、付款等（法律、法规另有规定的，从其规定）。</w:t>
      </w:r>
    </w:p>
    <w:p w14:paraId="48CBD358">
      <w:pPr>
        <w:spacing w:line="400" w:lineRule="exact"/>
        <w:ind w:firstLine="422" w:firstLineChars="200"/>
        <w:rPr>
          <w:rFonts w:ascii="宋体" w:hAnsi="宋体" w:cs="宋体"/>
          <w:b/>
          <w:color w:val="auto"/>
          <w:szCs w:val="21"/>
        </w:rPr>
      </w:pPr>
      <w:r>
        <w:rPr>
          <w:rFonts w:hint="eastAsia" w:ascii="宋体" w:hAnsi="宋体" w:cs="宋体"/>
          <w:b/>
          <w:color w:val="auto"/>
          <w:szCs w:val="21"/>
        </w:rPr>
        <w:t>二、定义</w:t>
      </w:r>
    </w:p>
    <w:p w14:paraId="7D4662FD">
      <w:pPr>
        <w:spacing w:line="400" w:lineRule="exact"/>
        <w:ind w:firstLine="420" w:firstLineChars="200"/>
        <w:rPr>
          <w:rFonts w:ascii="宋体" w:hAnsi="宋体" w:cs="宋体"/>
          <w:color w:val="auto"/>
          <w:szCs w:val="21"/>
        </w:rPr>
      </w:pPr>
      <w:r>
        <w:rPr>
          <w:rFonts w:hint="eastAsia" w:ascii="宋体" w:hAnsi="宋体" w:cs="宋体"/>
          <w:color w:val="auto"/>
          <w:szCs w:val="21"/>
        </w:rPr>
        <w:t>1、“采购人”系指</w:t>
      </w:r>
      <w:r>
        <w:rPr>
          <w:rFonts w:hint="eastAsia" w:ascii="宋体" w:hAnsi="宋体" w:cs="宋体"/>
          <w:color w:val="auto"/>
          <w:szCs w:val="21"/>
          <w:lang w:eastAsia="zh-CN"/>
        </w:rPr>
        <w:t>慈溪市交通运输局（慈溪市交通运输行政执法队）</w:t>
      </w:r>
      <w:r>
        <w:rPr>
          <w:rFonts w:hint="eastAsia" w:ascii="宋体" w:hAnsi="宋体" w:cs="宋体"/>
          <w:color w:val="auto"/>
          <w:szCs w:val="21"/>
        </w:rPr>
        <w:t>。</w:t>
      </w:r>
    </w:p>
    <w:p w14:paraId="11804FEA">
      <w:pPr>
        <w:spacing w:line="400" w:lineRule="exact"/>
        <w:ind w:firstLine="420" w:firstLineChars="200"/>
        <w:rPr>
          <w:rFonts w:ascii="宋体" w:hAnsi="宋体" w:cs="宋体"/>
          <w:color w:val="auto"/>
          <w:szCs w:val="21"/>
        </w:rPr>
      </w:pPr>
      <w:r>
        <w:rPr>
          <w:rFonts w:hint="eastAsia" w:ascii="宋体" w:hAnsi="宋体" w:cs="宋体"/>
          <w:color w:val="auto"/>
          <w:szCs w:val="21"/>
        </w:rPr>
        <w:t>2、“代理机构”系指</w:t>
      </w:r>
      <w:r>
        <w:rPr>
          <w:rFonts w:hint="eastAsia" w:ascii="宋体" w:hAnsi="宋体" w:cs="宋体"/>
          <w:color w:val="auto"/>
          <w:szCs w:val="21"/>
          <w:lang w:eastAsia="zh-CN"/>
        </w:rPr>
        <w:t>宁波能诚工程管理有限公司</w:t>
      </w:r>
      <w:r>
        <w:rPr>
          <w:rFonts w:hint="eastAsia" w:ascii="宋体" w:hAnsi="宋体" w:cs="宋体"/>
          <w:color w:val="auto"/>
          <w:szCs w:val="21"/>
        </w:rPr>
        <w:t>。</w:t>
      </w:r>
    </w:p>
    <w:p w14:paraId="00A5D35A">
      <w:pPr>
        <w:spacing w:line="400" w:lineRule="exact"/>
        <w:ind w:firstLine="420" w:firstLineChars="200"/>
        <w:rPr>
          <w:rFonts w:ascii="宋体" w:hAnsi="宋体" w:cs="宋体"/>
          <w:b/>
          <w:color w:val="auto"/>
          <w:szCs w:val="21"/>
        </w:rPr>
      </w:pPr>
      <w:r>
        <w:rPr>
          <w:rFonts w:hint="eastAsia" w:ascii="宋体" w:hAnsi="宋体" w:cs="宋体"/>
          <w:color w:val="auto"/>
          <w:szCs w:val="21"/>
        </w:rPr>
        <w:t>3、“供应商（投标人）”系指向采购人提交投标文件的供应商。</w:t>
      </w:r>
    </w:p>
    <w:p w14:paraId="10D072C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4、“服务”系指招标文件规定供应商须承担的</w:t>
      </w:r>
      <w:r>
        <w:rPr>
          <w:rFonts w:hint="eastAsia" w:ascii="宋体" w:hAnsi="宋体" w:cs="宋体"/>
          <w:color w:val="auto"/>
          <w:szCs w:val="21"/>
          <w:lang w:eastAsia="zh-CN"/>
        </w:rPr>
        <w:t>保安服务</w:t>
      </w:r>
      <w:r>
        <w:rPr>
          <w:rFonts w:hint="eastAsia" w:ascii="宋体" w:hAnsi="宋体" w:cs="宋体"/>
          <w:color w:val="auto"/>
          <w:szCs w:val="21"/>
        </w:rPr>
        <w:t>以及其他类似的义务。</w:t>
      </w:r>
    </w:p>
    <w:p w14:paraId="336738E3">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5、“同级政府采购监管部门”系指</w:t>
      </w:r>
      <w:r>
        <w:rPr>
          <w:rFonts w:hint="eastAsia" w:ascii="宋体" w:hAnsi="宋体" w:cs="宋体"/>
          <w:color w:val="auto"/>
          <w:kern w:val="10"/>
          <w:szCs w:val="21"/>
          <w:lang w:val="zh-CN"/>
        </w:rPr>
        <w:t>慈溪市财政局。</w:t>
      </w:r>
    </w:p>
    <w:p w14:paraId="707B318B">
      <w:pPr>
        <w:spacing w:line="400" w:lineRule="exact"/>
        <w:ind w:firstLine="420" w:firstLineChars="200"/>
        <w:rPr>
          <w:rFonts w:ascii="宋体" w:hAnsi="宋体" w:cs="宋体"/>
          <w:color w:val="auto"/>
          <w:szCs w:val="21"/>
        </w:rPr>
      </w:pPr>
      <w:r>
        <w:rPr>
          <w:rFonts w:hint="eastAsia" w:ascii="宋体" w:hAnsi="宋体" w:cs="宋体"/>
          <w:color w:val="auto"/>
          <w:szCs w:val="21"/>
        </w:rPr>
        <w:t>6、“▲”系指实质性响应条款。</w:t>
      </w:r>
    </w:p>
    <w:p w14:paraId="766D4BAA">
      <w:pPr>
        <w:spacing w:line="400" w:lineRule="exact"/>
        <w:ind w:firstLine="420" w:firstLineChars="200"/>
        <w:rPr>
          <w:rFonts w:ascii="宋体" w:hAnsi="宋体" w:cs="宋体"/>
          <w:b/>
          <w:color w:val="auto"/>
          <w:szCs w:val="21"/>
        </w:rPr>
      </w:pPr>
      <w:r>
        <w:rPr>
          <w:rFonts w:hint="eastAsia" w:ascii="宋体" w:hAnsi="宋体" w:cs="宋体"/>
          <w:color w:val="auto"/>
          <w:szCs w:val="21"/>
        </w:rPr>
        <w:t>▲</w:t>
      </w:r>
      <w:r>
        <w:rPr>
          <w:rFonts w:hint="eastAsia" w:ascii="宋体" w:hAnsi="宋体" w:cs="宋体"/>
          <w:b/>
          <w:color w:val="auto"/>
          <w:szCs w:val="21"/>
        </w:rPr>
        <w:t>三、供应商的资格要求</w:t>
      </w:r>
    </w:p>
    <w:p w14:paraId="4FF57FE2">
      <w:pPr>
        <w:spacing w:line="400" w:lineRule="exact"/>
        <w:ind w:firstLine="420" w:firstLineChars="200"/>
        <w:rPr>
          <w:rFonts w:ascii="宋体" w:hAnsi="宋体" w:cs="宋体"/>
          <w:color w:val="auto"/>
          <w:szCs w:val="21"/>
        </w:rPr>
      </w:pPr>
      <w:r>
        <w:rPr>
          <w:rFonts w:hint="eastAsia" w:ascii="宋体" w:hAnsi="宋体" w:cs="宋体"/>
          <w:color w:val="auto"/>
          <w:szCs w:val="21"/>
        </w:rPr>
        <w:t>详见招标公告。</w:t>
      </w:r>
    </w:p>
    <w:p w14:paraId="4F67755F">
      <w:pPr>
        <w:spacing w:line="400" w:lineRule="exact"/>
        <w:ind w:firstLine="422" w:firstLineChars="200"/>
        <w:rPr>
          <w:rFonts w:ascii="宋体" w:hAnsi="宋体" w:cs="宋体"/>
          <w:b/>
          <w:color w:val="auto"/>
          <w:szCs w:val="21"/>
        </w:rPr>
      </w:pPr>
      <w:r>
        <w:rPr>
          <w:rFonts w:hint="eastAsia" w:ascii="宋体" w:hAnsi="宋体" w:cs="宋体"/>
          <w:b/>
          <w:color w:val="auto"/>
          <w:szCs w:val="21"/>
        </w:rPr>
        <w:t>四、投标费用</w:t>
      </w:r>
    </w:p>
    <w:p w14:paraId="52E6B3A1">
      <w:pPr>
        <w:spacing w:line="400" w:lineRule="exact"/>
        <w:ind w:firstLine="420" w:firstLineChars="200"/>
        <w:rPr>
          <w:rFonts w:ascii="宋体" w:hAnsi="宋体" w:cs="宋体"/>
          <w:color w:val="auto"/>
          <w:szCs w:val="21"/>
        </w:rPr>
      </w:pPr>
      <w:r>
        <w:rPr>
          <w:rFonts w:hint="eastAsia" w:ascii="宋体" w:hAnsi="宋体" w:cs="宋体"/>
          <w:color w:val="auto"/>
          <w:szCs w:val="21"/>
        </w:rPr>
        <w:t>无论投标过程和结果如何，供应商自行承担与投标有关的全部费用。</w:t>
      </w:r>
    </w:p>
    <w:p w14:paraId="2702FA62">
      <w:pPr>
        <w:spacing w:line="400" w:lineRule="exact"/>
        <w:ind w:firstLine="422" w:firstLineChars="200"/>
        <w:rPr>
          <w:rFonts w:ascii="宋体" w:hAnsi="宋体" w:cs="宋体"/>
          <w:b/>
          <w:color w:val="auto"/>
          <w:szCs w:val="21"/>
        </w:rPr>
      </w:pPr>
      <w:r>
        <w:rPr>
          <w:rFonts w:hint="eastAsia" w:ascii="宋体" w:hAnsi="宋体" w:cs="宋体"/>
          <w:b/>
          <w:color w:val="auto"/>
          <w:szCs w:val="21"/>
        </w:rPr>
        <w:t>五、投标报价</w:t>
      </w:r>
    </w:p>
    <w:p w14:paraId="119BE263">
      <w:pPr>
        <w:spacing w:line="400" w:lineRule="exact"/>
        <w:ind w:firstLine="420" w:firstLineChars="200"/>
        <w:rPr>
          <w:rFonts w:ascii="宋体" w:hAnsi="宋体" w:cs="宋体"/>
          <w:color w:val="auto"/>
          <w:szCs w:val="21"/>
        </w:rPr>
      </w:pPr>
      <w:r>
        <w:rPr>
          <w:rFonts w:hint="eastAsia" w:ascii="宋体" w:hAnsi="宋体" w:cs="宋体"/>
          <w:color w:val="auto"/>
          <w:szCs w:val="21"/>
        </w:rPr>
        <w:t>1、投标报价以人民币为结算货币，含完成本项目服务有关的技术服务、管理费、培训费、利润、税金</w:t>
      </w:r>
      <w:r>
        <w:rPr>
          <w:rFonts w:hint="eastAsia" w:ascii="宋体" w:hAnsi="宋体" w:cs="宋体"/>
          <w:color w:val="auto"/>
          <w:szCs w:val="21"/>
          <w:lang w:eastAsia="zh-CN"/>
        </w:rPr>
        <w:t>、</w:t>
      </w:r>
      <w:r>
        <w:rPr>
          <w:rFonts w:hint="eastAsia" w:ascii="宋体" w:hAnsi="宋体" w:cs="宋体"/>
          <w:color w:val="auto"/>
          <w:szCs w:val="21"/>
        </w:rPr>
        <w:t>合理利润以及政策性文件规定及合同包含的所有风险、责任、其他运营成本等所有费用，即采购人不再另行支付其他任何形式的费用。投标报价为最终报价，除非因特殊原因并经双方协商同意，供应商不得再要求追加任何费用。同时，除非合同条款中另有规定，否则，供应商所报价格在合同实施期间不因市场变化和政策因素而变动。</w:t>
      </w:r>
    </w:p>
    <w:p w14:paraId="58CAF827">
      <w:pPr>
        <w:spacing w:line="400" w:lineRule="exact"/>
        <w:ind w:firstLine="420" w:firstLineChars="200"/>
        <w:rPr>
          <w:rFonts w:ascii="宋体" w:hAnsi="宋体" w:cs="宋体"/>
          <w:color w:val="auto"/>
          <w:szCs w:val="21"/>
        </w:rPr>
      </w:pPr>
      <w:r>
        <w:rPr>
          <w:rFonts w:hint="eastAsia" w:ascii="宋体" w:hAnsi="宋体" w:cs="宋体"/>
          <w:color w:val="auto"/>
          <w:szCs w:val="21"/>
        </w:rPr>
        <w:t>2、投标供应商应按招标文件要求认真填写《开标一览表》。开标时，投标文件中开标一览表内容与投标报价明细表内容不一致的，以开标一览表为准。</w:t>
      </w:r>
    </w:p>
    <w:p w14:paraId="419603B6">
      <w:pPr>
        <w:spacing w:line="400" w:lineRule="exact"/>
        <w:ind w:firstLine="420" w:firstLineChars="200"/>
        <w:rPr>
          <w:rFonts w:ascii="宋体" w:hAnsi="宋体" w:cs="宋体"/>
          <w:color w:val="auto"/>
          <w:szCs w:val="21"/>
        </w:rPr>
      </w:pPr>
      <w:r>
        <w:rPr>
          <w:rFonts w:hint="eastAsia" w:ascii="宋体" w:hAnsi="宋体" w:cs="宋体"/>
          <w:color w:val="auto"/>
          <w:szCs w:val="21"/>
        </w:rPr>
        <w:t>3、投标文件的大写金额和小写金额不一致的，以大写金额为准；总价金额与按单价汇总金额不一致的，以单价金额计算结果为准；单价金额小数点有明显错位的，应以总价为准，并修改单价。</w:t>
      </w:r>
    </w:p>
    <w:p w14:paraId="1A567F07">
      <w:pPr>
        <w:spacing w:line="400" w:lineRule="exact"/>
        <w:ind w:firstLine="422" w:firstLineChars="200"/>
        <w:rPr>
          <w:rFonts w:ascii="宋体" w:hAnsi="宋体" w:cs="宋体"/>
          <w:b/>
          <w:color w:val="auto"/>
          <w:szCs w:val="21"/>
        </w:rPr>
      </w:pPr>
      <w:r>
        <w:rPr>
          <w:rFonts w:hint="eastAsia" w:ascii="宋体" w:hAnsi="宋体" w:cs="宋体"/>
          <w:b/>
          <w:color w:val="auto"/>
          <w:szCs w:val="21"/>
        </w:rPr>
        <w:t>六、投标有效期</w:t>
      </w:r>
    </w:p>
    <w:p w14:paraId="7257D4AE">
      <w:pPr>
        <w:spacing w:line="400" w:lineRule="exact"/>
        <w:ind w:firstLine="210" w:firstLineChars="100"/>
        <w:rPr>
          <w:rFonts w:ascii="宋体" w:hAnsi="宋体" w:cs="宋体"/>
          <w:b/>
          <w:color w:val="auto"/>
          <w:szCs w:val="21"/>
        </w:rPr>
      </w:pPr>
      <w:r>
        <w:rPr>
          <w:rFonts w:hint="eastAsia" w:ascii="宋体" w:hAnsi="宋体" w:cs="宋体"/>
          <w:color w:val="auto"/>
          <w:szCs w:val="21"/>
        </w:rPr>
        <w:t>▲1、投标文件从开标之日起，投标有效期为90个日历日。投标有效期不能小于招标文件的要求。</w:t>
      </w:r>
    </w:p>
    <w:p w14:paraId="0518A13A">
      <w:pPr>
        <w:spacing w:line="400" w:lineRule="exact"/>
        <w:ind w:firstLine="420" w:firstLineChars="200"/>
        <w:rPr>
          <w:rFonts w:ascii="宋体" w:hAnsi="宋体" w:cs="宋体"/>
          <w:b/>
          <w:color w:val="auto"/>
          <w:szCs w:val="21"/>
        </w:rPr>
      </w:pPr>
      <w:r>
        <w:rPr>
          <w:rFonts w:hint="eastAsia" w:ascii="宋体" w:hAnsi="宋体" w:cs="宋体"/>
          <w:color w:val="auto"/>
          <w:szCs w:val="21"/>
        </w:rPr>
        <w:t>2、特殊情况下，采购人可与供应商协商延缓投标文件的有效期，这种要求和答复均以书面形式进行。</w:t>
      </w:r>
    </w:p>
    <w:p w14:paraId="18DDC931">
      <w:pPr>
        <w:spacing w:line="400" w:lineRule="exact"/>
        <w:ind w:firstLine="420" w:firstLineChars="200"/>
        <w:rPr>
          <w:rFonts w:ascii="宋体" w:hAnsi="宋体" w:cs="宋体"/>
          <w:color w:val="auto"/>
          <w:szCs w:val="21"/>
        </w:rPr>
      </w:pPr>
      <w:r>
        <w:rPr>
          <w:rFonts w:hint="eastAsia" w:ascii="宋体" w:hAnsi="宋体" w:cs="宋体"/>
          <w:color w:val="auto"/>
          <w:szCs w:val="21"/>
        </w:rPr>
        <w:t>3、供应商可拒绝接受延期要求。同意延长有效期的供应商不能修改投标文件。</w:t>
      </w:r>
    </w:p>
    <w:p w14:paraId="0E159E53">
      <w:pPr>
        <w:spacing w:line="400" w:lineRule="exact"/>
        <w:ind w:firstLine="422" w:firstLineChars="200"/>
        <w:rPr>
          <w:rFonts w:ascii="宋体" w:hAnsi="宋体" w:cs="宋体"/>
          <w:b/>
          <w:color w:val="auto"/>
          <w:szCs w:val="21"/>
        </w:rPr>
      </w:pPr>
      <w:r>
        <w:rPr>
          <w:rFonts w:hint="eastAsia" w:ascii="宋体" w:hAnsi="宋体" w:cs="宋体"/>
          <w:b/>
          <w:color w:val="auto"/>
          <w:szCs w:val="21"/>
        </w:rPr>
        <w:t>七、投标文件的形式和效力</w:t>
      </w:r>
    </w:p>
    <w:p w14:paraId="3EBDFB80">
      <w:pPr>
        <w:spacing w:line="400" w:lineRule="exact"/>
        <w:ind w:firstLine="420" w:firstLineChars="200"/>
        <w:rPr>
          <w:rFonts w:ascii="宋体" w:hAnsi="宋体" w:cs="宋体"/>
          <w:color w:val="auto"/>
          <w:szCs w:val="21"/>
        </w:rPr>
      </w:pPr>
      <w:r>
        <w:rPr>
          <w:rFonts w:hint="eastAsia" w:ascii="宋体" w:hAnsi="宋体" w:cs="宋体"/>
          <w:color w:val="auto"/>
          <w:szCs w:val="21"/>
        </w:rPr>
        <w:t>1、投标文件分为电子投标文件以及备份投标文件，备份投标文件为以</w:t>
      </w:r>
      <w:r>
        <w:rPr>
          <w:rFonts w:hint="eastAsia" w:ascii="宋体" w:hAnsi="宋体" w:cs="宋体"/>
          <w:color w:val="auto"/>
          <w:kern w:val="0"/>
          <w:szCs w:val="21"/>
        </w:rPr>
        <w:t>U盘或光盘存储的电子</w:t>
      </w:r>
      <w:r>
        <w:rPr>
          <w:rFonts w:hint="eastAsia" w:ascii="宋体" w:hAnsi="宋体" w:cs="宋体"/>
          <w:color w:val="auto"/>
          <w:szCs w:val="21"/>
        </w:rPr>
        <w:t>备份投标文件。</w:t>
      </w:r>
    </w:p>
    <w:p w14:paraId="1C215DD1">
      <w:pPr>
        <w:spacing w:line="400" w:lineRule="exact"/>
        <w:ind w:firstLine="420" w:firstLineChars="200"/>
        <w:rPr>
          <w:rFonts w:ascii="宋体" w:hAnsi="宋体" w:cs="宋体"/>
          <w:color w:val="auto"/>
          <w:szCs w:val="21"/>
        </w:rPr>
      </w:pPr>
      <w:r>
        <w:rPr>
          <w:rFonts w:hint="eastAsia" w:ascii="宋体" w:hAnsi="宋体" w:cs="宋体"/>
          <w:color w:val="auto"/>
          <w:szCs w:val="21"/>
        </w:rPr>
        <w:t>2、电子投标文件，按“项目采购-电子招投标操作指南”及本招标文件要求制作，并加密。</w:t>
      </w:r>
    </w:p>
    <w:p w14:paraId="702EC1DB">
      <w:pPr>
        <w:spacing w:line="400" w:lineRule="exact"/>
        <w:ind w:firstLine="420" w:firstLineChars="200"/>
        <w:rPr>
          <w:rFonts w:ascii="宋体" w:hAnsi="宋体" w:cs="宋体"/>
          <w:color w:val="auto"/>
          <w:szCs w:val="21"/>
        </w:rPr>
      </w:pPr>
      <w:r>
        <w:rPr>
          <w:rFonts w:hint="eastAsia" w:ascii="宋体" w:hAnsi="宋体" w:cs="宋体"/>
          <w:color w:val="auto"/>
          <w:szCs w:val="21"/>
        </w:rPr>
        <w:t>3、以</w:t>
      </w:r>
      <w:r>
        <w:rPr>
          <w:rFonts w:hint="eastAsia" w:ascii="宋体" w:hAnsi="宋体" w:cs="宋体"/>
          <w:color w:val="auto"/>
          <w:kern w:val="0"/>
          <w:szCs w:val="21"/>
        </w:rPr>
        <w:t>U盘或光盘存储的电子</w:t>
      </w:r>
      <w:r>
        <w:rPr>
          <w:rFonts w:hint="eastAsia" w:ascii="宋体" w:hAnsi="宋体" w:cs="宋体"/>
          <w:color w:val="auto"/>
          <w:szCs w:val="21"/>
        </w:rPr>
        <w:t>备份投标文件，按“项目采购-电子招投标操作指南”制作的电子备份文件。</w:t>
      </w:r>
    </w:p>
    <w:p w14:paraId="2B6B62EE">
      <w:pPr>
        <w:spacing w:line="400" w:lineRule="exact"/>
        <w:ind w:firstLine="420" w:firstLineChars="200"/>
        <w:rPr>
          <w:rFonts w:ascii="宋体" w:hAnsi="宋体" w:cs="宋体"/>
          <w:color w:val="auto"/>
          <w:szCs w:val="21"/>
        </w:rPr>
      </w:pPr>
      <w:r>
        <w:rPr>
          <w:rFonts w:hint="eastAsia" w:ascii="宋体" w:hAnsi="宋体" w:cs="宋体"/>
          <w:color w:val="auto"/>
          <w:szCs w:val="21"/>
        </w:rPr>
        <w:t>4、投标文件填写字迹必须清楚、工整，对不同文字文本投标文件的解释发生异议的，以中文文本为准。</w:t>
      </w:r>
    </w:p>
    <w:p w14:paraId="153AAD08">
      <w:pPr>
        <w:spacing w:line="400" w:lineRule="exact"/>
        <w:ind w:firstLine="420" w:firstLineChars="200"/>
        <w:rPr>
          <w:rFonts w:ascii="宋体" w:hAnsi="宋体" w:cs="宋体"/>
          <w:color w:val="auto"/>
          <w:szCs w:val="21"/>
        </w:rPr>
      </w:pPr>
      <w:r>
        <w:rPr>
          <w:rFonts w:hint="eastAsia" w:ascii="宋体" w:hAnsi="宋体" w:cs="宋体"/>
          <w:color w:val="auto"/>
          <w:szCs w:val="21"/>
        </w:rPr>
        <w:t>5、投标文件的效力</w:t>
      </w:r>
    </w:p>
    <w:p w14:paraId="15874991">
      <w:pPr>
        <w:spacing w:line="400" w:lineRule="exact"/>
        <w:ind w:firstLine="420" w:firstLineChars="200"/>
        <w:rPr>
          <w:rFonts w:ascii="宋体" w:hAnsi="宋体" w:cs="宋体"/>
          <w:color w:val="auto"/>
          <w:szCs w:val="21"/>
        </w:rPr>
      </w:pPr>
      <w:r>
        <w:rPr>
          <w:rFonts w:hint="eastAsia" w:ascii="宋体" w:hAnsi="宋体" w:cs="宋体"/>
          <w:color w:val="auto"/>
          <w:szCs w:val="21"/>
        </w:rPr>
        <w:t>投标文件的启用，按先后顺位分别为电子投标文件、以</w:t>
      </w:r>
      <w:r>
        <w:rPr>
          <w:rFonts w:hint="eastAsia" w:ascii="宋体" w:hAnsi="宋体" w:cs="宋体"/>
          <w:color w:val="auto"/>
          <w:kern w:val="0"/>
          <w:szCs w:val="21"/>
        </w:rPr>
        <w:t>U盘或光盘存储的电子</w:t>
      </w:r>
      <w:r>
        <w:rPr>
          <w:rFonts w:hint="eastAsia" w:ascii="宋体" w:hAnsi="宋体" w:cs="宋体"/>
          <w:color w:val="auto"/>
          <w:szCs w:val="21"/>
        </w:rPr>
        <w:t>备份投标文件。在下一顺位的投标文件启用时，前一顺位的投标文件自动失效。</w:t>
      </w:r>
    </w:p>
    <w:p w14:paraId="027EAAC3">
      <w:pPr>
        <w:spacing w:line="400" w:lineRule="exact"/>
        <w:ind w:firstLine="420" w:firstLineChars="200"/>
        <w:rPr>
          <w:rFonts w:ascii="宋体" w:hAnsi="宋体" w:cs="宋体"/>
          <w:color w:val="auto"/>
          <w:szCs w:val="21"/>
        </w:rPr>
      </w:pPr>
      <w:r>
        <w:rPr>
          <w:rFonts w:hint="eastAsia" w:ascii="宋体" w:hAnsi="宋体" w:cs="宋体"/>
          <w:color w:val="auto"/>
          <w:szCs w:val="21"/>
        </w:rPr>
        <w:t>电子投标文件未能按时解密，供应商提供了电子备份投标文件的，以电子备份投标文件作为依据，否则视为投标文件撤回。电子投标文件已按时解密的，电子备份投标文件自动失效。</w:t>
      </w:r>
    </w:p>
    <w:p w14:paraId="4F56B35E">
      <w:pPr>
        <w:spacing w:line="480" w:lineRule="exact"/>
        <w:ind w:firstLine="422" w:firstLineChars="200"/>
        <w:jc w:val="left"/>
        <w:rPr>
          <w:rFonts w:ascii="宋体" w:hAnsi="宋体" w:cs="宋体"/>
          <w:b/>
          <w:bCs/>
          <w:color w:val="auto"/>
          <w:szCs w:val="21"/>
        </w:rPr>
      </w:pPr>
      <w:r>
        <w:rPr>
          <w:rFonts w:hint="eastAsia" w:ascii="宋体" w:hAnsi="宋体" w:cs="宋体"/>
          <w:b/>
          <w:bCs/>
          <w:color w:val="auto"/>
          <w:szCs w:val="21"/>
        </w:rPr>
        <w:t>八、投标文件的组成、份数、制作</w:t>
      </w:r>
      <w:r>
        <w:rPr>
          <w:rFonts w:hint="eastAsia" w:ascii="宋体" w:hAnsi="宋体" w:cs="宋体"/>
          <w:b/>
          <w:color w:val="auto"/>
          <w:szCs w:val="21"/>
        </w:rPr>
        <w:t>（投标文件中电子公章采用CA签章）</w:t>
      </w:r>
    </w:p>
    <w:p w14:paraId="5A50CACD">
      <w:pPr>
        <w:snapToGrid w:val="0"/>
        <w:spacing w:line="400" w:lineRule="exact"/>
        <w:ind w:firstLine="411" w:firstLineChars="196"/>
        <w:rPr>
          <w:rFonts w:ascii="宋体" w:hAnsi="宋体" w:cs="宋体"/>
          <w:color w:val="auto"/>
          <w:szCs w:val="21"/>
        </w:rPr>
      </w:pPr>
      <w:bookmarkStart w:id="2" w:name="_Hlk23150950"/>
      <w:bookmarkStart w:id="3" w:name="_Hlk39154056"/>
      <w:r>
        <w:rPr>
          <w:rFonts w:hint="eastAsia" w:ascii="宋体" w:hAnsi="宋体" w:cs="宋体"/>
          <w:color w:val="auto"/>
          <w:szCs w:val="21"/>
        </w:rPr>
        <w:t>1、投标文件的组成：</w:t>
      </w:r>
    </w:p>
    <w:p w14:paraId="107974A5">
      <w:pPr>
        <w:snapToGrid w:val="0"/>
        <w:spacing w:line="400" w:lineRule="exact"/>
        <w:ind w:firstLine="413" w:firstLineChars="196"/>
        <w:rPr>
          <w:rFonts w:ascii="宋体" w:hAnsi="宋体" w:cs="宋体"/>
          <w:b/>
          <w:color w:val="auto"/>
          <w:szCs w:val="21"/>
        </w:rPr>
      </w:pPr>
      <w:bookmarkStart w:id="4" w:name="_Hlk23147633"/>
      <w:r>
        <w:rPr>
          <w:rFonts w:hint="eastAsia" w:ascii="宋体" w:hAnsi="宋体" w:cs="宋体"/>
          <w:b/>
          <w:color w:val="auto"/>
          <w:szCs w:val="21"/>
        </w:rPr>
        <w:t>A、第一册：资格文件</w:t>
      </w:r>
    </w:p>
    <w:p w14:paraId="666E59A8">
      <w:pPr>
        <w:spacing w:line="400" w:lineRule="exact"/>
        <w:ind w:firstLine="420" w:firstLineChars="200"/>
        <w:rPr>
          <w:rFonts w:ascii="宋体" w:hAnsi="宋体" w:cs="宋体"/>
          <w:color w:val="auto"/>
          <w:szCs w:val="21"/>
        </w:rPr>
      </w:pPr>
      <w:bookmarkStart w:id="5" w:name="_Hlk4309479"/>
      <w:r>
        <w:rPr>
          <w:rFonts w:hint="eastAsia" w:ascii="宋体" w:hAnsi="宋体" w:cs="宋体"/>
          <w:color w:val="auto"/>
          <w:szCs w:val="21"/>
        </w:rPr>
        <w:t>A1、关于资格的承诺函；</w:t>
      </w:r>
    </w:p>
    <w:p w14:paraId="65383D7A">
      <w:pPr>
        <w:spacing w:line="400" w:lineRule="exact"/>
        <w:ind w:firstLine="420" w:firstLineChars="200"/>
        <w:rPr>
          <w:rFonts w:ascii="宋体" w:hAnsi="宋体" w:cs="宋体"/>
          <w:color w:val="auto"/>
          <w:szCs w:val="21"/>
        </w:rPr>
      </w:pPr>
      <w:r>
        <w:rPr>
          <w:rFonts w:hint="eastAsia" w:ascii="宋体" w:hAnsi="宋体" w:cs="宋体"/>
          <w:color w:val="auto"/>
          <w:szCs w:val="21"/>
        </w:rPr>
        <w:t>A2、营业执照（或事业法人登记证或其他登记证明材料）扫描件或电子营业执照加盖供应商公章（供应商如果有名称变更的，应提供由行政主管部门出具的变更证明文件复印件加盖供应商公章）；</w:t>
      </w:r>
    </w:p>
    <w:p w14:paraId="5C591B1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A3</w:t>
      </w:r>
      <w:r>
        <w:rPr>
          <w:rFonts w:hint="eastAsia" w:ascii="宋体" w:hAnsi="宋体" w:cs="宋体"/>
          <w:color w:val="auto"/>
          <w:szCs w:val="21"/>
          <w:lang w:eastAsia="zh-CN"/>
        </w:rPr>
        <w:t>、</w:t>
      </w:r>
      <w:r>
        <w:rPr>
          <w:rFonts w:hint="eastAsia" w:ascii="宋体" w:hAnsi="宋体" w:cs="宋体"/>
          <w:color w:val="auto"/>
          <w:szCs w:val="21"/>
        </w:rPr>
        <w:t>中小企业声明函（格式见附件）；</w:t>
      </w:r>
    </w:p>
    <w:p w14:paraId="02DA768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A4</w:t>
      </w:r>
      <w:r>
        <w:rPr>
          <w:rFonts w:hint="eastAsia" w:ascii="宋体" w:hAnsi="宋体" w:cs="宋体"/>
          <w:color w:val="auto"/>
          <w:szCs w:val="21"/>
          <w:lang w:eastAsia="zh-CN"/>
        </w:rPr>
        <w:t>、</w:t>
      </w:r>
      <w:r>
        <w:rPr>
          <w:rFonts w:hint="eastAsia" w:ascii="宋体" w:hAnsi="宋体" w:cs="宋体"/>
          <w:color w:val="auto"/>
          <w:szCs w:val="21"/>
        </w:rPr>
        <w:t>残疾人福利性单位的：提供残疾人福利性单位声明函（如有需提供）（格式见附件）；</w:t>
      </w:r>
    </w:p>
    <w:p w14:paraId="06DBF16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A5</w:t>
      </w:r>
      <w:r>
        <w:rPr>
          <w:rFonts w:hint="eastAsia" w:ascii="宋体" w:hAnsi="宋体" w:cs="宋体"/>
          <w:color w:val="auto"/>
          <w:szCs w:val="21"/>
          <w:lang w:eastAsia="zh-CN"/>
        </w:rPr>
        <w:t>、</w:t>
      </w:r>
      <w:r>
        <w:rPr>
          <w:rFonts w:hint="eastAsia" w:ascii="宋体" w:hAnsi="宋体" w:cs="宋体"/>
          <w:color w:val="auto"/>
          <w:szCs w:val="21"/>
        </w:rPr>
        <w:t>监狱企业（监狱和戒毒企业）提供自己企业的产品（服务）的：提供由省级以上监狱管理局、戒毒管理局（含新疆生产建设兵团）出具的属于监狱企业的证明文件扫描件（如有需提供）。</w:t>
      </w:r>
    </w:p>
    <w:p w14:paraId="0617A88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A6</w:t>
      </w:r>
      <w:r>
        <w:rPr>
          <w:rFonts w:hint="eastAsia" w:ascii="宋体" w:hAnsi="宋体" w:cs="宋体"/>
          <w:color w:val="auto"/>
          <w:szCs w:val="21"/>
          <w:lang w:eastAsia="zh-CN"/>
        </w:rPr>
        <w:t>、</w:t>
      </w:r>
      <w:r>
        <w:rPr>
          <w:rFonts w:hint="eastAsia" w:ascii="宋体" w:hAnsi="宋体" w:cs="宋体"/>
          <w:color w:val="auto"/>
          <w:szCs w:val="21"/>
        </w:rPr>
        <w:t>公安机关核发的保安服务许可证原件扫描件加盖供应商公章。</w:t>
      </w:r>
    </w:p>
    <w:p w14:paraId="15177A49">
      <w:pPr>
        <w:spacing w:line="400" w:lineRule="exact"/>
        <w:ind w:firstLine="422" w:firstLineChars="200"/>
        <w:rPr>
          <w:rFonts w:ascii="宋体" w:hAnsi="宋体" w:cs="宋体"/>
          <w:b/>
          <w:color w:val="auto"/>
          <w:szCs w:val="21"/>
        </w:rPr>
      </w:pPr>
      <w:r>
        <w:rPr>
          <w:rFonts w:hint="eastAsia" w:ascii="宋体" w:hAnsi="宋体" w:cs="宋体"/>
          <w:b/>
          <w:color w:val="auto"/>
          <w:szCs w:val="21"/>
        </w:rPr>
        <w:t>B、第二册：商务和技术文件</w:t>
      </w:r>
    </w:p>
    <w:bookmarkEnd w:id="5"/>
    <w:p w14:paraId="0DFA0C9C">
      <w:pPr>
        <w:spacing w:line="400" w:lineRule="exact"/>
        <w:ind w:firstLine="420" w:firstLineChars="200"/>
        <w:rPr>
          <w:rFonts w:ascii="宋体" w:hAnsi="宋体" w:cs="宋体"/>
          <w:color w:val="auto"/>
          <w:szCs w:val="21"/>
        </w:rPr>
      </w:pPr>
      <w:r>
        <w:rPr>
          <w:rFonts w:hint="eastAsia" w:ascii="宋体" w:hAnsi="宋体" w:cs="宋体"/>
          <w:color w:val="auto"/>
          <w:szCs w:val="21"/>
        </w:rPr>
        <w:t>B1、投标书；</w:t>
      </w:r>
    </w:p>
    <w:p w14:paraId="012736E9">
      <w:pPr>
        <w:spacing w:line="400" w:lineRule="exact"/>
        <w:ind w:firstLine="420" w:firstLineChars="200"/>
        <w:rPr>
          <w:rFonts w:ascii="宋体" w:hAnsi="宋体" w:cs="宋体"/>
          <w:color w:val="auto"/>
          <w:szCs w:val="21"/>
        </w:rPr>
      </w:pPr>
      <w:r>
        <w:rPr>
          <w:rFonts w:hint="eastAsia" w:ascii="宋体" w:hAnsi="宋体" w:cs="宋体"/>
          <w:color w:val="auto"/>
          <w:szCs w:val="21"/>
        </w:rPr>
        <w:t>B2、法定代表人身份证明；</w:t>
      </w:r>
    </w:p>
    <w:p w14:paraId="35DFB0FA">
      <w:pPr>
        <w:spacing w:line="400" w:lineRule="exact"/>
        <w:ind w:firstLine="420" w:firstLineChars="200"/>
        <w:rPr>
          <w:rFonts w:ascii="宋体" w:hAnsi="宋体" w:cs="宋体"/>
          <w:color w:val="auto"/>
          <w:szCs w:val="21"/>
        </w:rPr>
      </w:pPr>
      <w:r>
        <w:rPr>
          <w:rFonts w:hint="eastAsia" w:ascii="宋体" w:hAnsi="宋体" w:cs="宋体"/>
          <w:color w:val="auto"/>
          <w:szCs w:val="21"/>
        </w:rPr>
        <w:t>B3、法定代表人授权书（投标文件由授权代表签字的须提供）；</w:t>
      </w:r>
    </w:p>
    <w:p w14:paraId="6AB44C02">
      <w:pPr>
        <w:spacing w:line="400" w:lineRule="exact"/>
        <w:ind w:firstLine="420" w:firstLineChars="200"/>
        <w:rPr>
          <w:rFonts w:ascii="宋体" w:hAnsi="宋体" w:cs="宋体"/>
          <w:color w:val="auto"/>
          <w:szCs w:val="21"/>
        </w:rPr>
      </w:pPr>
      <w:r>
        <w:rPr>
          <w:rFonts w:hint="eastAsia" w:ascii="宋体" w:hAnsi="宋体" w:cs="宋体"/>
          <w:color w:val="auto"/>
          <w:szCs w:val="21"/>
        </w:rPr>
        <w:t>B4、供应商一般情况表；</w:t>
      </w:r>
    </w:p>
    <w:p w14:paraId="54175F00">
      <w:pPr>
        <w:spacing w:line="400" w:lineRule="exact"/>
        <w:ind w:firstLine="420" w:firstLineChars="200"/>
        <w:rPr>
          <w:rFonts w:ascii="宋体" w:hAnsi="宋体" w:cs="宋体"/>
          <w:color w:val="auto"/>
          <w:szCs w:val="21"/>
        </w:rPr>
      </w:pPr>
      <w:bookmarkStart w:id="6" w:name="_Hlk37403535"/>
      <w:r>
        <w:rPr>
          <w:rFonts w:hint="eastAsia" w:ascii="宋体" w:hAnsi="宋体" w:cs="宋体"/>
          <w:color w:val="auto"/>
          <w:szCs w:val="21"/>
        </w:rPr>
        <w:t>B5、商务条款响应表；</w:t>
      </w:r>
    </w:p>
    <w:p w14:paraId="2258E0F5">
      <w:pPr>
        <w:spacing w:line="400" w:lineRule="exact"/>
        <w:ind w:firstLine="420" w:firstLineChars="200"/>
        <w:rPr>
          <w:rFonts w:ascii="宋体" w:hAnsi="宋体" w:cs="宋体"/>
          <w:color w:val="auto"/>
          <w:szCs w:val="21"/>
        </w:rPr>
      </w:pPr>
      <w:r>
        <w:rPr>
          <w:rFonts w:hint="eastAsia" w:ascii="宋体" w:hAnsi="宋体" w:cs="宋体"/>
          <w:color w:val="auto"/>
          <w:szCs w:val="21"/>
        </w:rPr>
        <w:t>B6、合同条款响应表；</w:t>
      </w:r>
    </w:p>
    <w:p w14:paraId="7F2A9889">
      <w:pPr>
        <w:spacing w:line="400" w:lineRule="exact"/>
        <w:ind w:firstLine="420" w:firstLineChars="200"/>
        <w:rPr>
          <w:rFonts w:ascii="宋体" w:hAnsi="宋体" w:cs="宋体"/>
          <w:color w:val="auto"/>
          <w:szCs w:val="21"/>
        </w:rPr>
      </w:pPr>
      <w:r>
        <w:rPr>
          <w:rFonts w:hint="eastAsia" w:ascii="宋体" w:hAnsi="宋体" w:cs="宋体"/>
          <w:color w:val="auto"/>
          <w:szCs w:val="21"/>
        </w:rPr>
        <w:t>B7、技术条款响应表；</w:t>
      </w:r>
    </w:p>
    <w:bookmarkEnd w:id="6"/>
    <w:p w14:paraId="7D8FBC9C">
      <w:pPr>
        <w:spacing w:line="400" w:lineRule="exact"/>
        <w:ind w:firstLine="420" w:firstLineChars="200"/>
        <w:rPr>
          <w:rFonts w:ascii="宋体" w:hAnsi="宋体" w:cs="宋体"/>
          <w:color w:val="auto"/>
          <w:szCs w:val="21"/>
        </w:rPr>
      </w:pPr>
      <w:r>
        <w:rPr>
          <w:rFonts w:hint="eastAsia" w:ascii="宋体" w:hAnsi="宋体" w:cs="宋体"/>
          <w:color w:val="auto"/>
          <w:szCs w:val="21"/>
        </w:rPr>
        <w:t>B8、按第五章“招标内容与技术需求”要求做出明确完整的响应性叙述；</w:t>
      </w:r>
    </w:p>
    <w:p w14:paraId="284A44EE">
      <w:pPr>
        <w:spacing w:line="400" w:lineRule="exact"/>
        <w:ind w:firstLine="420" w:firstLineChars="200"/>
        <w:rPr>
          <w:rFonts w:ascii="宋体" w:hAnsi="宋体" w:cs="宋体"/>
          <w:color w:val="auto"/>
          <w:szCs w:val="21"/>
        </w:rPr>
      </w:pPr>
      <w:r>
        <w:rPr>
          <w:rFonts w:hint="eastAsia" w:ascii="宋体" w:hAnsi="宋体" w:cs="宋体"/>
          <w:color w:val="auto"/>
          <w:szCs w:val="21"/>
        </w:rPr>
        <w:t>B9、第三章“评标办法及标准”中“商务和技术评分表”要求提供的资料（如有需提供）；</w:t>
      </w:r>
    </w:p>
    <w:p w14:paraId="52884128">
      <w:pPr>
        <w:spacing w:line="400" w:lineRule="exact"/>
        <w:ind w:firstLine="420" w:firstLineChars="200"/>
        <w:rPr>
          <w:rFonts w:ascii="宋体" w:hAnsi="宋体" w:cs="宋体"/>
          <w:color w:val="auto"/>
          <w:szCs w:val="21"/>
        </w:rPr>
      </w:pPr>
      <w:r>
        <w:rPr>
          <w:rFonts w:hint="eastAsia" w:ascii="宋体" w:hAnsi="宋体" w:cs="宋体"/>
          <w:color w:val="auto"/>
          <w:szCs w:val="21"/>
        </w:rPr>
        <w:t>B10、供应商认为需要的其他资料（如有需提供）。</w:t>
      </w:r>
    </w:p>
    <w:p w14:paraId="5C8EDACF">
      <w:pPr>
        <w:spacing w:line="400" w:lineRule="exact"/>
        <w:ind w:firstLine="420" w:firstLineChars="200"/>
        <w:rPr>
          <w:rFonts w:ascii="宋体" w:hAnsi="宋体" w:cs="宋体"/>
          <w:color w:val="auto"/>
          <w:szCs w:val="21"/>
        </w:rPr>
      </w:pPr>
      <w:r>
        <w:rPr>
          <w:rFonts w:hint="eastAsia" w:ascii="宋体" w:hAnsi="宋体" w:cs="宋体"/>
          <w:color w:val="auto"/>
          <w:szCs w:val="21"/>
        </w:rPr>
        <w:t>▲“商务和技术文件”中不得出现涉及投标价格的内容，否则作无效标处理。</w:t>
      </w:r>
    </w:p>
    <w:bookmarkEnd w:id="4"/>
    <w:p w14:paraId="6250D903">
      <w:pPr>
        <w:spacing w:line="400" w:lineRule="exact"/>
        <w:ind w:firstLine="422" w:firstLineChars="200"/>
        <w:rPr>
          <w:rFonts w:ascii="宋体" w:hAnsi="宋体" w:cs="宋体"/>
          <w:b/>
          <w:color w:val="auto"/>
          <w:szCs w:val="21"/>
        </w:rPr>
      </w:pPr>
      <w:r>
        <w:rPr>
          <w:rFonts w:hint="eastAsia" w:ascii="宋体" w:hAnsi="宋体" w:cs="宋体"/>
          <w:b/>
          <w:color w:val="auto"/>
          <w:szCs w:val="21"/>
        </w:rPr>
        <w:t>C、第三册：报价文件</w:t>
      </w:r>
    </w:p>
    <w:p w14:paraId="2251EF22">
      <w:pPr>
        <w:spacing w:line="400" w:lineRule="exact"/>
        <w:ind w:firstLine="420" w:firstLineChars="200"/>
        <w:rPr>
          <w:rFonts w:ascii="宋体" w:hAnsi="宋体" w:cs="宋体"/>
          <w:color w:val="auto"/>
          <w:szCs w:val="21"/>
        </w:rPr>
      </w:pPr>
      <w:r>
        <w:rPr>
          <w:rFonts w:hint="eastAsia" w:ascii="宋体" w:hAnsi="宋体" w:cs="宋体"/>
          <w:color w:val="auto"/>
          <w:szCs w:val="21"/>
        </w:rPr>
        <w:t>C1、开标一览表；</w:t>
      </w:r>
    </w:p>
    <w:p w14:paraId="6C6BE8EF">
      <w:pPr>
        <w:spacing w:line="400" w:lineRule="exact"/>
        <w:ind w:firstLine="420" w:firstLineChars="200"/>
        <w:rPr>
          <w:rFonts w:ascii="宋体" w:hAnsi="宋体" w:cs="宋体"/>
          <w:color w:val="auto"/>
          <w:szCs w:val="21"/>
        </w:rPr>
      </w:pPr>
      <w:r>
        <w:rPr>
          <w:rFonts w:hint="eastAsia" w:ascii="宋体" w:hAnsi="宋体" w:cs="宋体"/>
          <w:color w:val="auto"/>
          <w:szCs w:val="21"/>
        </w:rPr>
        <w:t>C2、供应商认为需要的其他资料（如有需提供）。</w:t>
      </w:r>
    </w:p>
    <w:bookmarkEnd w:id="2"/>
    <w:bookmarkEnd w:id="3"/>
    <w:p w14:paraId="65B89BD8">
      <w:pPr>
        <w:spacing w:line="400" w:lineRule="exact"/>
        <w:ind w:firstLine="420" w:firstLineChars="200"/>
        <w:rPr>
          <w:rFonts w:ascii="宋体" w:hAnsi="宋体" w:cs="宋体"/>
          <w:color w:val="auto"/>
          <w:szCs w:val="21"/>
        </w:rPr>
      </w:pPr>
      <w:r>
        <w:rPr>
          <w:rFonts w:hint="eastAsia" w:ascii="宋体" w:hAnsi="宋体" w:cs="宋体"/>
          <w:color w:val="auto"/>
          <w:szCs w:val="21"/>
        </w:rPr>
        <w:t>2、投标文件的份数：</w:t>
      </w:r>
    </w:p>
    <w:p w14:paraId="6EF50FF2">
      <w:pPr>
        <w:spacing w:line="400" w:lineRule="exact"/>
        <w:ind w:firstLine="420" w:firstLineChars="200"/>
        <w:rPr>
          <w:rFonts w:ascii="宋体" w:hAnsi="宋体" w:cs="宋体"/>
          <w:color w:val="auto"/>
          <w:szCs w:val="21"/>
        </w:rPr>
      </w:pPr>
      <w:r>
        <w:rPr>
          <w:rFonts w:hint="eastAsia" w:ascii="宋体" w:hAnsi="宋体" w:cs="宋体"/>
          <w:color w:val="auto"/>
          <w:szCs w:val="21"/>
        </w:rPr>
        <w:t>本项目实行网上投标，供应商应准备以下投标文件：</w:t>
      </w:r>
    </w:p>
    <w:p w14:paraId="394524BA">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kern w:val="0"/>
          <w:szCs w:val="21"/>
        </w:rPr>
        <w:t>上传到政府采购云平台的电子投标文件（含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p>
    <w:p w14:paraId="43272AF3">
      <w:pPr>
        <w:spacing w:line="400" w:lineRule="exact"/>
        <w:ind w:firstLine="420" w:firstLineChars="200"/>
        <w:rPr>
          <w:rFonts w:ascii="宋体" w:hAnsi="宋体" w:cs="宋体"/>
          <w:color w:val="auto"/>
          <w:szCs w:val="21"/>
        </w:rPr>
      </w:pPr>
      <w:r>
        <w:rPr>
          <w:rFonts w:hint="eastAsia" w:ascii="宋体" w:hAnsi="宋体" w:cs="宋体"/>
          <w:color w:val="auto"/>
          <w:szCs w:val="21"/>
        </w:rPr>
        <w:t>（2）可</w:t>
      </w:r>
      <w:r>
        <w:rPr>
          <w:rFonts w:hint="eastAsia" w:ascii="宋体" w:hAnsi="宋体" w:cs="宋体"/>
          <w:color w:val="auto"/>
          <w:kern w:val="0"/>
          <w:szCs w:val="21"/>
        </w:rPr>
        <w:t>以U盘或光盘存储的电子备份投标文件（含</w:t>
      </w:r>
      <w:r>
        <w:rPr>
          <w:rFonts w:hint="eastAsia" w:ascii="宋体" w:hAnsi="宋体" w:cs="宋体"/>
          <w:color w:val="auto"/>
          <w:szCs w:val="21"/>
        </w:rPr>
        <w:t>资格文件、商务和技术文件、报价文件）</w:t>
      </w:r>
      <w:r>
        <w:rPr>
          <w:rFonts w:hint="eastAsia" w:ascii="宋体" w:hAnsi="宋体" w:cs="宋体"/>
          <w:color w:val="auto"/>
          <w:kern w:val="0"/>
          <w:szCs w:val="21"/>
        </w:rPr>
        <w:t>1份</w:t>
      </w:r>
      <w:r>
        <w:rPr>
          <w:rFonts w:hint="eastAsia" w:ascii="宋体" w:hAnsi="宋体" w:cs="宋体"/>
          <w:color w:val="auto"/>
          <w:szCs w:val="21"/>
        </w:rPr>
        <w:t>。</w:t>
      </w:r>
    </w:p>
    <w:p w14:paraId="05E689B4">
      <w:pPr>
        <w:spacing w:line="400" w:lineRule="exact"/>
        <w:ind w:firstLine="422" w:firstLineChars="200"/>
        <w:rPr>
          <w:rFonts w:ascii="宋体" w:hAnsi="宋体" w:cs="宋体"/>
          <w:b/>
          <w:color w:val="auto"/>
          <w:szCs w:val="21"/>
        </w:rPr>
      </w:pPr>
      <w:r>
        <w:rPr>
          <w:rFonts w:hint="eastAsia" w:ascii="宋体" w:hAnsi="宋体" w:cs="宋体"/>
          <w:b/>
          <w:color w:val="auto"/>
          <w:szCs w:val="21"/>
        </w:rPr>
        <w:t>供应商应对投标文件编制目录和评分索引表以方便查询。</w:t>
      </w:r>
    </w:p>
    <w:p w14:paraId="532824B4">
      <w:pPr>
        <w:adjustRightInd w:val="0"/>
        <w:snapToGrid w:val="0"/>
        <w:spacing w:line="400" w:lineRule="exact"/>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投标文件制作：</w:t>
      </w:r>
    </w:p>
    <w:p w14:paraId="1767072B">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（1）应按照本项目招标文件和政府采购云平台的要求编制、加密并递交投标文件。供应商在使用系统进行投标的过程中遇到涉及平台使用的任何问题，可致电政府采购云平台技术支持热线咨询，联系方式：</w:t>
      </w:r>
      <w:r>
        <w:rPr>
          <w:rFonts w:hint="eastAsia" w:ascii="宋体" w:hAnsi="宋体" w:cs="宋体"/>
          <w:bCs/>
          <w:color w:val="auto"/>
          <w:szCs w:val="21"/>
          <w:lang w:eastAsia="zh-CN"/>
        </w:rPr>
        <w:t>95763</w:t>
      </w:r>
      <w:r>
        <w:rPr>
          <w:rFonts w:hint="eastAsia" w:ascii="宋体" w:hAnsi="宋体" w:cs="宋体"/>
          <w:bCs/>
          <w:color w:val="auto"/>
          <w:szCs w:val="21"/>
        </w:rPr>
        <w:t>。</w:t>
      </w:r>
    </w:p>
    <w:p w14:paraId="26D0C60A">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（2）供应商通过政府采购云平台电子投标工具制作投标文件。电子投标工具请供应商自行前往浙江政府采购网下载并安装。</w:t>
      </w:r>
    </w:p>
    <w:p w14:paraId="5DA063D5">
      <w:pPr>
        <w:spacing w:line="400" w:lineRule="exact"/>
        <w:ind w:firstLine="420" w:firstLineChars="200"/>
        <w:rPr>
          <w:rFonts w:ascii="宋体" w:hAnsi="宋体" w:cs="宋体"/>
          <w:bCs/>
          <w:color w:val="auto"/>
          <w:szCs w:val="21"/>
        </w:rPr>
      </w:pPr>
      <w:r>
        <w:rPr>
          <w:rFonts w:hint="eastAsia" w:ascii="宋体" w:hAnsi="宋体" w:cs="宋体"/>
          <w:bCs/>
          <w:color w:val="auto"/>
          <w:szCs w:val="21"/>
        </w:rPr>
        <w:t>（3）以U盘或光盘存储的电子备份投标文件1份，即按“项目采购-电子招投标操作指南”制作的电子备份文件，以用于异常情况处理。</w:t>
      </w:r>
    </w:p>
    <w:p w14:paraId="4A04B513">
      <w:pPr>
        <w:spacing w:line="400" w:lineRule="exact"/>
        <w:ind w:firstLine="420" w:firstLineChars="200"/>
        <w:rPr>
          <w:rFonts w:ascii="宋体" w:hAnsi="宋体" w:cs="宋体"/>
          <w:color w:val="auto"/>
          <w:szCs w:val="21"/>
        </w:rPr>
      </w:pPr>
      <w:r>
        <w:rPr>
          <w:rFonts w:hint="eastAsia" w:ascii="宋体" w:hAnsi="宋体" w:cs="宋体"/>
          <w:bCs/>
          <w:color w:val="auto"/>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完成CA数字证书办理预计一周左右，请供应商自行把握时间。</w:t>
      </w:r>
    </w:p>
    <w:p w14:paraId="42E6261B">
      <w:pPr>
        <w:spacing w:line="400" w:lineRule="exact"/>
        <w:ind w:firstLine="420" w:firstLineChars="200"/>
        <w:rPr>
          <w:rFonts w:ascii="宋体" w:hAnsi="宋体" w:cs="宋体"/>
          <w:b/>
          <w:bCs/>
          <w:color w:val="auto"/>
          <w:szCs w:val="21"/>
        </w:rPr>
      </w:pPr>
      <w:r>
        <w:rPr>
          <w:rFonts w:hint="eastAsia" w:ascii="宋体" w:hAnsi="宋体" w:cs="宋体"/>
          <w:color w:val="auto"/>
          <w:szCs w:val="21"/>
        </w:rPr>
        <w:t>▲</w:t>
      </w:r>
      <w:r>
        <w:rPr>
          <w:rFonts w:hint="eastAsia" w:ascii="宋体" w:hAnsi="宋体" w:cs="宋体"/>
          <w:b/>
          <w:bCs/>
          <w:color w:val="auto"/>
          <w:szCs w:val="21"/>
        </w:rPr>
        <w:t>九、投标文件的签署盖章</w:t>
      </w:r>
    </w:p>
    <w:p w14:paraId="395D00B1">
      <w:pPr>
        <w:spacing w:line="400" w:lineRule="exact"/>
        <w:ind w:firstLine="420" w:firstLineChars="200"/>
        <w:rPr>
          <w:rFonts w:ascii="宋体" w:hAnsi="宋体" w:cs="宋体"/>
          <w:color w:val="auto"/>
          <w:szCs w:val="21"/>
        </w:rPr>
      </w:pPr>
      <w:r>
        <w:rPr>
          <w:rFonts w:hint="eastAsia" w:ascii="宋体" w:hAnsi="宋体" w:cs="宋体"/>
          <w:color w:val="auto"/>
          <w:szCs w:val="21"/>
        </w:rPr>
        <w:t>1、招标文件第七章“附件”中标明加盖单位公章或签字的，加盖单位公章部分采用CA签章，签字部分由法定代表人或授权代表签字后扫描上传。授权代表签字的，还应附法定代表人签署的法定代表人授权书。</w:t>
      </w:r>
    </w:p>
    <w:p w14:paraId="6ECD8E22">
      <w:pPr>
        <w:spacing w:line="400" w:lineRule="exact"/>
        <w:ind w:firstLine="422" w:firstLineChars="200"/>
        <w:rPr>
          <w:rFonts w:ascii="宋体" w:hAnsi="宋体" w:cs="宋体"/>
          <w:b/>
          <w:color w:val="auto"/>
          <w:szCs w:val="21"/>
        </w:rPr>
      </w:pPr>
      <w:r>
        <w:rPr>
          <w:rFonts w:hint="eastAsia" w:ascii="宋体" w:hAnsi="宋体" w:cs="宋体"/>
          <w:b/>
          <w:color w:val="auto"/>
          <w:szCs w:val="21"/>
        </w:rPr>
        <w:t>十、投标文件的密封和标记</w:t>
      </w:r>
    </w:p>
    <w:p w14:paraId="562A9BDA">
      <w:pPr>
        <w:spacing w:line="400" w:lineRule="exact"/>
        <w:ind w:firstLine="420" w:firstLineChars="200"/>
        <w:rPr>
          <w:rFonts w:ascii="宋体" w:hAnsi="宋体" w:cs="宋体"/>
          <w:color w:val="auto"/>
          <w:szCs w:val="21"/>
        </w:rPr>
      </w:pPr>
      <w:r>
        <w:rPr>
          <w:rFonts w:hint="eastAsia" w:ascii="宋体" w:hAnsi="宋体" w:cs="宋体"/>
          <w:color w:val="auto"/>
          <w:szCs w:val="21"/>
        </w:rPr>
        <w:t>1、电子投标文件：供应商应根据“项目采购-电子招投标操作指南”及本招标文件规定的格式和顺序编制电子投标文件并进行关联定位。</w:t>
      </w:r>
    </w:p>
    <w:p w14:paraId="2EE22ACE">
      <w:pPr>
        <w:spacing w:line="400" w:lineRule="exact"/>
        <w:ind w:firstLine="420" w:firstLineChars="200"/>
        <w:rPr>
          <w:rFonts w:ascii="宋体" w:hAnsi="宋体" w:cs="宋体"/>
          <w:color w:val="auto"/>
          <w:szCs w:val="21"/>
        </w:rPr>
      </w:pPr>
      <w:r>
        <w:rPr>
          <w:rFonts w:hint="eastAsia" w:ascii="宋体" w:hAnsi="宋体" w:cs="宋体"/>
          <w:color w:val="auto"/>
          <w:szCs w:val="21"/>
        </w:rPr>
        <w:t>2、可</w:t>
      </w:r>
      <w:r>
        <w:rPr>
          <w:rFonts w:hint="eastAsia" w:ascii="宋体" w:hAnsi="宋体" w:cs="宋体"/>
          <w:color w:val="auto"/>
          <w:kern w:val="0"/>
          <w:szCs w:val="21"/>
        </w:rPr>
        <w:t>以U盘或光盘存储的电子备份投标文件</w:t>
      </w:r>
      <w:r>
        <w:rPr>
          <w:rFonts w:hint="eastAsia" w:ascii="宋体" w:hAnsi="宋体" w:cs="宋体"/>
          <w:color w:val="auto"/>
          <w:szCs w:val="21"/>
        </w:rPr>
        <w:t>用封袋密封后递交。</w:t>
      </w:r>
    </w:p>
    <w:p w14:paraId="3C6707DB">
      <w:pPr>
        <w:spacing w:line="400" w:lineRule="exact"/>
        <w:ind w:firstLine="420" w:firstLineChars="200"/>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kern w:val="0"/>
          <w:szCs w:val="21"/>
        </w:rPr>
        <w:t>电子备份投标文件须在</w:t>
      </w:r>
      <w:r>
        <w:rPr>
          <w:rFonts w:hint="eastAsia" w:ascii="宋体" w:hAnsi="宋体" w:cs="宋体"/>
          <w:color w:val="auto"/>
          <w:szCs w:val="21"/>
        </w:rPr>
        <w:t>封袋上分别注明：</w:t>
      </w:r>
    </w:p>
    <w:p w14:paraId="27728543">
      <w:pPr>
        <w:tabs>
          <w:tab w:val="left" w:pos="900"/>
        </w:tabs>
        <w:spacing w:line="400" w:lineRule="exact"/>
        <w:ind w:firstLine="420" w:firstLineChars="200"/>
        <w:rPr>
          <w:rFonts w:ascii="宋体" w:hAnsi="宋体" w:cs="宋体"/>
          <w:color w:val="auto"/>
          <w:szCs w:val="21"/>
          <w:u w:val="single"/>
        </w:rPr>
      </w:pPr>
      <w:r>
        <w:rPr>
          <w:rFonts w:hint="eastAsia" w:ascii="宋体" w:hAnsi="宋体" w:cs="宋体"/>
          <w:color w:val="auto"/>
          <w:szCs w:val="21"/>
        </w:rPr>
        <w:t>（1）注明：</w:t>
      </w:r>
      <w:r>
        <w:rPr>
          <w:rFonts w:hint="eastAsia" w:ascii="宋体" w:hAnsi="宋体" w:cs="宋体"/>
          <w:color w:val="auto"/>
          <w:szCs w:val="21"/>
          <w:u w:val="single"/>
        </w:rPr>
        <w:t>“电子备份投标文件”</w:t>
      </w:r>
      <w:r>
        <w:rPr>
          <w:rFonts w:hint="eastAsia" w:ascii="宋体" w:hAnsi="宋体" w:cs="宋体"/>
          <w:color w:val="auto"/>
          <w:szCs w:val="21"/>
        </w:rPr>
        <w:t>；</w:t>
      </w:r>
    </w:p>
    <w:p w14:paraId="200647BC">
      <w:pPr>
        <w:tabs>
          <w:tab w:val="left" w:pos="900"/>
        </w:tabs>
        <w:spacing w:line="400" w:lineRule="exact"/>
        <w:ind w:firstLine="420" w:firstLineChars="200"/>
        <w:rPr>
          <w:rFonts w:ascii="宋体" w:hAnsi="宋体" w:cs="宋体"/>
          <w:color w:val="auto"/>
          <w:szCs w:val="21"/>
        </w:rPr>
      </w:pPr>
      <w:r>
        <w:rPr>
          <w:rFonts w:hint="eastAsia" w:ascii="宋体" w:hAnsi="宋体" w:cs="宋体"/>
          <w:color w:val="auto"/>
          <w:szCs w:val="21"/>
        </w:rPr>
        <w:t>（2）项目编号：</w:t>
      </w:r>
      <w:r>
        <w:rPr>
          <w:rFonts w:hint="eastAsia" w:ascii="宋体" w:hAnsi="宋体" w:cs="宋体"/>
          <w:color w:val="auto"/>
          <w:szCs w:val="21"/>
          <w:u w:val="single"/>
        </w:rPr>
        <w:t xml:space="preserve">                </w:t>
      </w:r>
      <w:r>
        <w:rPr>
          <w:rFonts w:hint="eastAsia" w:ascii="宋体" w:hAnsi="宋体" w:cs="宋体"/>
          <w:color w:val="auto"/>
          <w:szCs w:val="21"/>
        </w:rPr>
        <w:t>；</w:t>
      </w:r>
    </w:p>
    <w:p w14:paraId="6827ABF5">
      <w:pPr>
        <w:tabs>
          <w:tab w:val="left" w:pos="900"/>
        </w:tabs>
        <w:spacing w:line="400" w:lineRule="exact"/>
        <w:ind w:firstLine="420" w:firstLineChars="200"/>
        <w:rPr>
          <w:rFonts w:ascii="宋体" w:hAnsi="宋体" w:cs="宋体"/>
          <w:color w:val="auto"/>
          <w:szCs w:val="21"/>
        </w:rPr>
      </w:pPr>
      <w:r>
        <w:rPr>
          <w:rFonts w:hint="eastAsia" w:ascii="宋体" w:hAnsi="宋体" w:cs="宋体"/>
          <w:color w:val="auto"/>
          <w:szCs w:val="21"/>
        </w:rPr>
        <w:t>（3）项目名称：</w:t>
      </w:r>
      <w:r>
        <w:rPr>
          <w:rFonts w:hint="eastAsia" w:ascii="宋体" w:hAnsi="宋体" w:cs="宋体"/>
          <w:color w:val="auto"/>
          <w:szCs w:val="21"/>
          <w:u w:val="single"/>
          <w:lang w:eastAsia="zh-CN"/>
        </w:rPr>
        <w:t>慈溪市交通运输局保安服务项目</w:t>
      </w:r>
      <w:r>
        <w:rPr>
          <w:rFonts w:hint="eastAsia" w:ascii="宋体" w:hAnsi="宋体" w:cs="宋体"/>
          <w:color w:val="auto"/>
          <w:szCs w:val="21"/>
        </w:rPr>
        <w:t>；</w:t>
      </w:r>
    </w:p>
    <w:p w14:paraId="79ABB90C">
      <w:pPr>
        <w:tabs>
          <w:tab w:val="left" w:pos="900"/>
        </w:tabs>
        <w:spacing w:line="400" w:lineRule="exact"/>
        <w:ind w:firstLine="420" w:firstLineChars="200"/>
        <w:rPr>
          <w:rFonts w:ascii="宋体" w:hAnsi="宋体" w:cs="宋体"/>
          <w:color w:val="auto"/>
          <w:szCs w:val="21"/>
        </w:rPr>
      </w:pPr>
      <w:r>
        <w:rPr>
          <w:rFonts w:hint="eastAsia" w:ascii="宋体" w:hAnsi="宋体" w:cs="宋体"/>
          <w:color w:val="auto"/>
          <w:szCs w:val="21"/>
        </w:rPr>
        <w:t>（4）所投标项（如有多个标项须填写）：</w:t>
      </w:r>
      <w:r>
        <w:rPr>
          <w:rFonts w:hint="eastAsia" w:ascii="宋体" w:hAnsi="宋体" w:cs="宋体"/>
          <w:color w:val="auto"/>
          <w:szCs w:val="21"/>
          <w:u w:val="single"/>
        </w:rPr>
        <w:t xml:space="preserve">             </w:t>
      </w:r>
      <w:r>
        <w:rPr>
          <w:rFonts w:hint="eastAsia" w:ascii="宋体" w:hAnsi="宋体" w:cs="宋体"/>
          <w:color w:val="auto"/>
          <w:szCs w:val="21"/>
        </w:rPr>
        <w:t>；</w:t>
      </w:r>
    </w:p>
    <w:p w14:paraId="7DF91E78">
      <w:pPr>
        <w:tabs>
          <w:tab w:val="left" w:pos="900"/>
        </w:tabs>
        <w:spacing w:line="400" w:lineRule="exact"/>
        <w:ind w:firstLine="420" w:firstLineChars="200"/>
        <w:rPr>
          <w:rFonts w:ascii="宋体" w:hAnsi="宋体" w:cs="宋体"/>
          <w:color w:val="auto"/>
          <w:szCs w:val="21"/>
        </w:rPr>
      </w:pPr>
      <w:r>
        <w:rPr>
          <w:rFonts w:hint="eastAsia" w:ascii="宋体" w:hAnsi="宋体" w:cs="宋体"/>
          <w:color w:val="auto"/>
          <w:szCs w:val="21"/>
        </w:rPr>
        <w:t>（5）在年月日（规定的开标日期和时间）前不准启封；</w:t>
      </w:r>
    </w:p>
    <w:p w14:paraId="081115D1">
      <w:pPr>
        <w:tabs>
          <w:tab w:val="left" w:pos="900"/>
        </w:tabs>
        <w:spacing w:line="400" w:lineRule="exact"/>
        <w:ind w:firstLine="420" w:firstLineChars="200"/>
        <w:rPr>
          <w:rFonts w:ascii="宋体" w:hAnsi="宋体" w:cs="宋体"/>
          <w:color w:val="auto"/>
          <w:szCs w:val="21"/>
        </w:rPr>
      </w:pPr>
      <w:r>
        <w:rPr>
          <w:rFonts w:hint="eastAsia" w:ascii="宋体" w:hAnsi="宋体" w:cs="宋体"/>
          <w:color w:val="auto"/>
          <w:szCs w:val="21"/>
        </w:rPr>
        <w:t>（6）供应商的名称：</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14:paraId="09FF852E">
      <w:pPr>
        <w:spacing w:line="400" w:lineRule="exact"/>
        <w:ind w:firstLine="420" w:firstLineChars="200"/>
        <w:rPr>
          <w:rFonts w:ascii="宋体" w:hAnsi="宋体" w:cs="宋体"/>
          <w:color w:val="auto"/>
          <w:szCs w:val="21"/>
        </w:rPr>
      </w:pPr>
      <w:r>
        <w:rPr>
          <w:rFonts w:hint="eastAsia" w:ascii="宋体" w:hAnsi="宋体" w:cs="宋体"/>
          <w:color w:val="auto"/>
          <w:szCs w:val="21"/>
        </w:rPr>
        <w:t>供应商须在包封上加盖供应商公章或由其法定代表人（或授权代表）签字。</w:t>
      </w:r>
    </w:p>
    <w:p w14:paraId="6AB6A5F2">
      <w:pPr>
        <w:spacing w:line="400" w:lineRule="exact"/>
        <w:ind w:firstLine="420" w:firstLineChars="200"/>
        <w:rPr>
          <w:rFonts w:ascii="宋体" w:hAnsi="宋体" w:cs="宋体"/>
          <w:color w:val="auto"/>
          <w:szCs w:val="21"/>
        </w:rPr>
      </w:pPr>
      <w:r>
        <w:rPr>
          <w:rFonts w:hint="eastAsia" w:ascii="宋体" w:hAnsi="宋体" w:cs="宋体"/>
          <w:color w:val="auto"/>
          <w:szCs w:val="21"/>
        </w:rPr>
        <w:t>供应商未按上述要求标记的，采购人（代理机构）不承担错放或提前开封的责任。</w:t>
      </w:r>
    </w:p>
    <w:p w14:paraId="2DA4AF9A">
      <w:pPr>
        <w:spacing w:line="400" w:lineRule="exact"/>
        <w:ind w:firstLine="422" w:firstLineChars="200"/>
        <w:rPr>
          <w:rFonts w:ascii="宋体" w:hAnsi="宋体" w:cs="宋体"/>
          <w:b/>
          <w:color w:val="auto"/>
          <w:szCs w:val="21"/>
        </w:rPr>
      </w:pPr>
      <w:r>
        <w:rPr>
          <w:rFonts w:hint="eastAsia" w:ascii="宋体" w:hAnsi="宋体" w:cs="宋体"/>
          <w:b/>
          <w:color w:val="auto"/>
          <w:szCs w:val="21"/>
        </w:rPr>
        <w:t>十一、投标文件的递交</w:t>
      </w:r>
    </w:p>
    <w:p w14:paraId="46141690">
      <w:pPr>
        <w:spacing w:line="400" w:lineRule="exact"/>
        <w:ind w:firstLine="420" w:firstLineChars="200"/>
        <w:rPr>
          <w:rFonts w:ascii="宋体" w:hAnsi="宋体" w:cs="宋体"/>
          <w:color w:val="auto"/>
          <w:szCs w:val="21"/>
        </w:rPr>
      </w:pPr>
      <w:r>
        <w:rPr>
          <w:rFonts w:hint="eastAsia" w:ascii="宋体" w:hAnsi="宋体" w:cs="宋体"/>
          <w:color w:val="auto"/>
          <w:szCs w:val="21"/>
        </w:rPr>
        <w:t>1、投标文件递交的具体要求：</w:t>
      </w:r>
    </w:p>
    <w:p w14:paraId="3CD8D23B">
      <w:pPr>
        <w:spacing w:line="400" w:lineRule="exact"/>
        <w:ind w:firstLine="420" w:firstLineChars="200"/>
        <w:rPr>
          <w:rFonts w:ascii="宋体" w:hAnsi="宋体" w:cs="宋体"/>
          <w:color w:val="auto"/>
          <w:szCs w:val="24"/>
          <w:lang w:val="en"/>
        </w:rPr>
      </w:pPr>
      <w:r>
        <w:rPr>
          <w:rFonts w:ascii="宋体" w:hAnsi="宋体" w:cs="宋体"/>
          <w:color w:val="auto"/>
          <w:szCs w:val="24"/>
          <w:lang w:val="en"/>
        </w:rPr>
        <w:t>（1）供应商应当于提交投标文件截止时间前将电子投标文件上传到政府采购云平台（www.zcygov.cn），并</w:t>
      </w:r>
      <w:r>
        <w:rPr>
          <w:rFonts w:ascii="宋体" w:hAnsi="宋体" w:cs="宋体"/>
          <w:color w:val="auto"/>
          <w:szCs w:val="24"/>
        </w:rPr>
        <w:t>可以</w:t>
      </w:r>
      <w:r>
        <w:rPr>
          <w:rFonts w:ascii="宋体" w:hAnsi="宋体" w:cs="宋体"/>
          <w:color w:val="auto"/>
          <w:szCs w:val="24"/>
          <w:lang w:val="en"/>
        </w:rPr>
        <w:t>于提交投标文件截止时间前，以U盘或光盘存储的电子备份投标文件密封后按以下方式送达。</w:t>
      </w:r>
    </w:p>
    <w:p w14:paraId="2A0AFC90">
      <w:pPr>
        <w:spacing w:line="400" w:lineRule="exact"/>
        <w:ind w:firstLine="420" w:firstLineChars="200"/>
        <w:rPr>
          <w:rFonts w:ascii="宋体" w:hAnsi="宋体" w:cs="宋体"/>
          <w:color w:val="auto"/>
          <w:szCs w:val="24"/>
          <w:lang w:val="en"/>
        </w:rPr>
      </w:pPr>
      <w:r>
        <w:rPr>
          <w:rFonts w:ascii="宋体" w:hAnsi="宋体" w:cs="宋体"/>
          <w:color w:val="auto"/>
          <w:szCs w:val="24"/>
          <w:lang w:val="en"/>
        </w:rPr>
        <w:t>方式一：现场递交方式，供应商可安排法定代表人（或其授权代表）在提交投标文件截止时间前将投标文件送至响应文件开启地点：浙江省宁波市慈溪市公共资源交易中心（浙江省宁波市慈溪市白沙路街道南二环东路1355号</w:t>
      </w:r>
      <w:r>
        <w:rPr>
          <w:rFonts w:ascii="宋体" w:hAnsi="宋体" w:cs="宋体"/>
          <w:color w:val="auto"/>
          <w:szCs w:val="24"/>
        </w:rPr>
        <w:t>二楼</w:t>
      </w:r>
      <w:r>
        <w:rPr>
          <w:rFonts w:ascii="宋体" w:hAnsi="宋体" w:cs="宋体"/>
          <w:color w:val="auto"/>
          <w:szCs w:val="24"/>
          <w:lang w:val="en"/>
        </w:rPr>
        <w:t>）。</w:t>
      </w:r>
    </w:p>
    <w:p w14:paraId="29022A93">
      <w:pPr>
        <w:spacing w:line="400" w:lineRule="exact"/>
        <w:ind w:firstLine="420" w:firstLineChars="200"/>
        <w:rPr>
          <w:rFonts w:ascii="宋体" w:hAnsi="宋体" w:cs="宋体"/>
          <w:color w:val="auto"/>
          <w:szCs w:val="24"/>
          <w:lang w:val="en"/>
        </w:rPr>
      </w:pPr>
      <w:r>
        <w:rPr>
          <w:rFonts w:ascii="宋体" w:hAnsi="宋体" w:cs="宋体"/>
          <w:color w:val="auto"/>
          <w:szCs w:val="24"/>
          <w:lang w:val="en"/>
        </w:rPr>
        <w:t>方式二：</w:t>
      </w:r>
      <w:r>
        <w:rPr>
          <w:rFonts w:ascii="宋体" w:hAnsi="宋体" w:cs="宋体"/>
          <w:color w:val="auto"/>
          <w:szCs w:val="24"/>
        </w:rPr>
        <w:t>邮寄送达，送达地址：</w:t>
      </w:r>
      <w:r>
        <w:rPr>
          <w:rFonts w:hint="eastAsia" w:ascii="宋体" w:hAnsi="宋体" w:cs="宋体"/>
          <w:color w:val="auto"/>
          <w:szCs w:val="24"/>
          <w:lang w:eastAsia="zh-CN"/>
        </w:rPr>
        <w:t>宁波能诚工程管理有限公司</w:t>
      </w:r>
      <w:r>
        <w:rPr>
          <w:rFonts w:ascii="宋体" w:hAnsi="宋体" w:cs="宋体"/>
          <w:color w:val="auto"/>
          <w:szCs w:val="24"/>
        </w:rPr>
        <w:t>（慈溪市大发路145号副楼3楼302室），联系方式：徐工 15888148478。供应商邮寄后将邮件单号发送至代理机构电子邮箱（电子邮箱：597984522@qq.com），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投标文件的密封要求、或邮寄过程中导致电子备份投标文件未能在投标截止时间前送达的，代理机构将拒绝其备份的电子投标文件。各供应商自行考虑邮寄在途时间，投标文件送达时间以代理机构工作人员实际签收时间为准。</w:t>
      </w:r>
    </w:p>
    <w:p w14:paraId="5D2FD978">
      <w:pPr>
        <w:spacing w:line="400" w:lineRule="exact"/>
        <w:ind w:firstLine="422" w:firstLineChars="200"/>
        <w:rPr>
          <w:rFonts w:ascii="宋体" w:hAnsi="宋体" w:cs="宋体"/>
          <w:b/>
          <w:color w:val="auto"/>
          <w:szCs w:val="24"/>
          <w:lang w:val="en"/>
        </w:rPr>
      </w:pPr>
      <w:r>
        <w:rPr>
          <w:rFonts w:ascii="宋体" w:hAnsi="宋体" w:cs="宋体"/>
          <w:b/>
          <w:color w:val="auto"/>
          <w:szCs w:val="24"/>
        </w:rPr>
        <w:t>电子备份投标文件不强制要求提交，但因电子投标文件未能按时解密或解密失败，供应商又未提交电子备份投标文件的，将被视为投标文件撤回，作无效报价处理。</w:t>
      </w:r>
    </w:p>
    <w:p w14:paraId="656A6C5F">
      <w:pPr>
        <w:spacing w:line="400" w:lineRule="exact"/>
        <w:ind w:firstLine="420" w:firstLineChars="200"/>
        <w:rPr>
          <w:rFonts w:ascii="宋体" w:hAnsi="宋体" w:cs="宋体"/>
          <w:color w:val="auto"/>
          <w:szCs w:val="21"/>
        </w:rPr>
      </w:pPr>
      <w:r>
        <w:rPr>
          <w:rFonts w:hint="eastAsia" w:ascii="宋体" w:hAnsi="宋体" w:cs="宋体"/>
          <w:color w:val="auto"/>
          <w:szCs w:val="21"/>
        </w:rPr>
        <w:t>2、供应商未按上述要求密封的电子备份投标文件，代理机构不予受理。</w:t>
      </w:r>
    </w:p>
    <w:p w14:paraId="107891CC">
      <w:pPr>
        <w:spacing w:line="400" w:lineRule="exact"/>
        <w:ind w:firstLine="420" w:firstLineChars="200"/>
        <w:rPr>
          <w:rFonts w:ascii="宋体" w:hAnsi="宋体" w:cs="宋体"/>
          <w:color w:val="auto"/>
          <w:szCs w:val="21"/>
        </w:rPr>
      </w:pPr>
      <w:r>
        <w:rPr>
          <w:rFonts w:hint="eastAsia" w:ascii="宋体" w:hAnsi="宋体" w:cs="宋体"/>
          <w:color w:val="auto"/>
          <w:szCs w:val="21"/>
        </w:rPr>
        <w:t>3、逾期送达的或者未送达指定地点的，代理机构不予受理。</w:t>
      </w:r>
    </w:p>
    <w:p w14:paraId="60D2D0D3">
      <w:pPr>
        <w:spacing w:line="400" w:lineRule="exact"/>
        <w:ind w:firstLine="420" w:firstLineChars="200"/>
        <w:rPr>
          <w:rFonts w:ascii="宋体" w:hAnsi="宋体" w:cs="宋体"/>
          <w:color w:val="auto"/>
          <w:szCs w:val="21"/>
        </w:rPr>
      </w:pPr>
      <w:r>
        <w:rPr>
          <w:rFonts w:hint="eastAsia" w:ascii="宋体" w:hAnsi="宋体" w:cs="宋体"/>
          <w:color w:val="auto"/>
          <w:szCs w:val="21"/>
        </w:rPr>
        <w:t>4、投标文件的补充、修改</w:t>
      </w:r>
    </w:p>
    <w:p w14:paraId="4CB8CC55">
      <w:pPr>
        <w:spacing w:line="400" w:lineRule="exact"/>
        <w:ind w:firstLine="420" w:firstLineChars="200"/>
        <w:rPr>
          <w:rFonts w:ascii="宋体" w:hAnsi="宋体" w:cs="宋体"/>
          <w:color w:val="auto"/>
          <w:szCs w:val="21"/>
        </w:rPr>
      </w:pPr>
      <w:r>
        <w:rPr>
          <w:rFonts w:hint="eastAsia" w:ascii="宋体" w:hAnsi="宋体" w:cs="宋体"/>
          <w:color w:val="auto"/>
          <w:szCs w:val="21"/>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2F5E2AC9">
      <w:pPr>
        <w:spacing w:line="400" w:lineRule="exact"/>
        <w:ind w:firstLine="422" w:firstLineChars="200"/>
        <w:rPr>
          <w:rFonts w:ascii="宋体" w:hAnsi="宋体" w:cs="宋体"/>
          <w:b/>
          <w:color w:val="auto"/>
          <w:szCs w:val="21"/>
        </w:rPr>
      </w:pPr>
      <w:r>
        <w:rPr>
          <w:rFonts w:hint="eastAsia" w:ascii="宋体" w:hAnsi="宋体" w:cs="宋体"/>
          <w:b/>
          <w:color w:val="auto"/>
          <w:szCs w:val="21"/>
        </w:rPr>
        <w:t>十二、开标</w:t>
      </w:r>
    </w:p>
    <w:p w14:paraId="483DFE05">
      <w:pPr>
        <w:spacing w:line="400" w:lineRule="exact"/>
        <w:ind w:firstLine="420" w:firstLineChars="200"/>
        <w:rPr>
          <w:rFonts w:ascii="宋体" w:hAnsi="宋体" w:cs="宋体"/>
          <w:color w:val="auto"/>
          <w:szCs w:val="21"/>
        </w:rPr>
      </w:pPr>
      <w:r>
        <w:rPr>
          <w:rFonts w:hint="eastAsia" w:ascii="宋体" w:hAnsi="宋体" w:cs="宋体"/>
          <w:color w:val="auto"/>
          <w:szCs w:val="21"/>
        </w:rPr>
        <w:t>1、代理机构在招标文件规定的时间和地点公开开标。</w:t>
      </w:r>
    </w:p>
    <w:p w14:paraId="71A6FCFF">
      <w:pPr>
        <w:spacing w:line="400" w:lineRule="exact"/>
        <w:ind w:firstLine="420" w:firstLineChars="200"/>
        <w:rPr>
          <w:rFonts w:ascii="宋体" w:hAnsi="宋体" w:cs="宋体"/>
          <w:color w:val="auto"/>
          <w:szCs w:val="21"/>
        </w:rPr>
      </w:pPr>
      <w:r>
        <w:rPr>
          <w:rFonts w:hint="eastAsia" w:ascii="宋体" w:hAnsi="宋体" w:cs="宋体"/>
          <w:color w:val="auto"/>
          <w:szCs w:val="21"/>
        </w:rPr>
        <w:t>2、电子投标开标及评审程序：分两阶段开标。</w:t>
      </w:r>
    </w:p>
    <w:p w14:paraId="20E19A51">
      <w:pPr>
        <w:spacing w:line="400" w:lineRule="exact"/>
        <w:ind w:firstLine="420" w:firstLineChars="200"/>
        <w:rPr>
          <w:rFonts w:ascii="宋体" w:hAnsi="宋体" w:cs="宋体"/>
          <w:color w:val="auto"/>
          <w:szCs w:val="21"/>
        </w:rPr>
      </w:pPr>
      <w:r>
        <w:rPr>
          <w:rFonts w:hint="eastAsia" w:ascii="宋体" w:hAnsi="宋体" w:cs="宋体"/>
          <w:color w:val="auto"/>
          <w:szCs w:val="21"/>
        </w:rPr>
        <w:t>第一阶段开标（资格文件及商务和技术文件）：</w:t>
      </w:r>
    </w:p>
    <w:p w14:paraId="17299C1C">
      <w:pPr>
        <w:spacing w:line="400" w:lineRule="exact"/>
        <w:ind w:firstLine="420" w:firstLineChars="200"/>
        <w:rPr>
          <w:rFonts w:ascii="宋体" w:hAnsi="宋体" w:cs="宋体"/>
          <w:color w:val="auto"/>
          <w:szCs w:val="21"/>
        </w:rPr>
      </w:pPr>
      <w:r>
        <w:rPr>
          <w:rFonts w:hint="eastAsia" w:ascii="宋体" w:hAnsi="宋体" w:cs="宋体"/>
          <w:color w:val="auto"/>
          <w:szCs w:val="21"/>
        </w:rPr>
        <w:t>（1）宣布开标；</w:t>
      </w:r>
    </w:p>
    <w:p w14:paraId="07658E8E">
      <w:pPr>
        <w:spacing w:line="400" w:lineRule="exact"/>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本项目实行网上投标，采用电子投标文件。若供应商参与投标，自行承担投标一切费用。</w:t>
      </w:r>
      <w:r>
        <w:rPr>
          <w:rFonts w:hint="eastAsia" w:ascii="宋体" w:hAnsi="宋体" w:cs="宋体"/>
          <w:color w:val="auto"/>
          <w:szCs w:val="21"/>
        </w:rPr>
        <w:t>投标截止时间后，供应商登录</w:t>
      </w:r>
      <w:r>
        <w:rPr>
          <w:rFonts w:hint="eastAsia" w:ascii="宋体" w:hAnsi="宋体" w:cs="宋体"/>
          <w:color w:val="auto"/>
          <w:kern w:val="0"/>
          <w:szCs w:val="21"/>
        </w:rPr>
        <w:t>政府采购云平台</w:t>
      </w:r>
      <w:r>
        <w:rPr>
          <w:rFonts w:hint="eastAsia" w:ascii="宋体" w:hAnsi="宋体" w:cs="宋体"/>
          <w:color w:val="auto"/>
          <w:szCs w:val="21"/>
        </w:rPr>
        <w:t>，用“项目采购-开标评标”功能对电子投标文件进行在线解密，在线解密电子投标文件时间为开标时间后半小时内。</w:t>
      </w:r>
      <w:r>
        <w:rPr>
          <w:rFonts w:hint="eastAsia" w:ascii="宋体" w:hAnsi="宋体" w:cs="宋体"/>
          <w:bCs/>
          <w:color w:val="auto"/>
          <w:szCs w:val="21"/>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07A165CE">
      <w:pPr>
        <w:spacing w:line="400" w:lineRule="exact"/>
        <w:ind w:firstLine="420" w:firstLineChars="200"/>
        <w:rPr>
          <w:rFonts w:ascii="宋体" w:hAnsi="宋体" w:cs="宋体"/>
          <w:color w:val="auto"/>
          <w:szCs w:val="21"/>
        </w:rPr>
      </w:pPr>
      <w:r>
        <w:rPr>
          <w:rFonts w:hint="eastAsia" w:ascii="宋体" w:hAnsi="宋体" w:cs="宋体"/>
          <w:color w:val="auto"/>
          <w:szCs w:val="21"/>
        </w:rPr>
        <w:t>（3）介绍开标现场的人员情况；</w:t>
      </w:r>
    </w:p>
    <w:p w14:paraId="4C84FC98">
      <w:pPr>
        <w:spacing w:line="400" w:lineRule="exact"/>
        <w:ind w:firstLine="420" w:firstLineChars="200"/>
        <w:rPr>
          <w:rFonts w:ascii="宋体" w:hAnsi="宋体" w:cs="宋体"/>
          <w:color w:val="auto"/>
          <w:szCs w:val="21"/>
        </w:rPr>
      </w:pPr>
      <w:r>
        <w:rPr>
          <w:rFonts w:hint="eastAsia" w:ascii="宋体" w:hAnsi="宋体" w:cs="宋体"/>
          <w:color w:val="auto"/>
          <w:szCs w:val="21"/>
        </w:rPr>
        <w:t>（4）宣读递交投标文件的供应商名单、开标纪律、应当回避的情形等注意事项；</w:t>
      </w:r>
    </w:p>
    <w:p w14:paraId="16FCD9B5">
      <w:pPr>
        <w:spacing w:line="400" w:lineRule="exact"/>
        <w:ind w:firstLine="420" w:firstLineChars="200"/>
        <w:rPr>
          <w:rFonts w:ascii="宋体" w:hAnsi="宋体" w:cs="宋体"/>
          <w:color w:val="auto"/>
          <w:szCs w:val="21"/>
        </w:rPr>
      </w:pPr>
      <w:r>
        <w:rPr>
          <w:rFonts w:hint="eastAsia" w:ascii="宋体" w:hAnsi="宋体" w:cs="宋体"/>
          <w:color w:val="auto"/>
          <w:szCs w:val="21"/>
        </w:rPr>
        <w:t>（5）按顺序开启“资格文件”、“商务和技术文件”，宣读供应商名称，并做开标记录；</w:t>
      </w:r>
    </w:p>
    <w:p w14:paraId="09FAC35E">
      <w:pPr>
        <w:spacing w:line="400" w:lineRule="exact"/>
        <w:ind w:firstLine="420" w:firstLineChars="200"/>
        <w:rPr>
          <w:rFonts w:ascii="宋体" w:hAnsi="宋体" w:cs="宋体"/>
          <w:color w:val="auto"/>
          <w:szCs w:val="21"/>
        </w:rPr>
      </w:pPr>
      <w:r>
        <w:rPr>
          <w:rFonts w:hint="eastAsia" w:ascii="宋体" w:hAnsi="宋体" w:cs="宋体"/>
          <w:color w:val="auto"/>
          <w:szCs w:val="21"/>
        </w:rPr>
        <w:t>（6）第一阶段开标记录签字确认；</w:t>
      </w:r>
    </w:p>
    <w:p w14:paraId="47E7FDF2">
      <w:pPr>
        <w:spacing w:line="400" w:lineRule="exact"/>
        <w:ind w:firstLine="420" w:firstLineChars="200"/>
        <w:rPr>
          <w:rFonts w:ascii="宋体" w:hAnsi="宋体" w:cs="宋体"/>
          <w:color w:val="auto"/>
          <w:szCs w:val="21"/>
        </w:rPr>
      </w:pPr>
      <w:r>
        <w:rPr>
          <w:rFonts w:hint="eastAsia" w:ascii="宋体" w:hAnsi="宋体" w:cs="宋体"/>
          <w:color w:val="auto"/>
          <w:szCs w:val="21"/>
        </w:rPr>
        <w:t>（7）告知供应商第二阶段开标的有关事宜；</w:t>
      </w:r>
    </w:p>
    <w:p w14:paraId="1798A18B">
      <w:pPr>
        <w:spacing w:line="400" w:lineRule="exact"/>
        <w:ind w:firstLine="420" w:firstLineChars="200"/>
        <w:rPr>
          <w:rFonts w:ascii="宋体" w:hAnsi="宋体" w:cs="宋体"/>
          <w:color w:val="auto"/>
          <w:szCs w:val="21"/>
        </w:rPr>
      </w:pPr>
      <w:r>
        <w:rPr>
          <w:rFonts w:hint="eastAsia" w:ascii="宋体" w:hAnsi="宋体" w:cs="宋体"/>
          <w:color w:val="auto"/>
          <w:szCs w:val="21"/>
        </w:rPr>
        <w:t>（8）第一阶段开标结束。</w:t>
      </w:r>
    </w:p>
    <w:p w14:paraId="53A3D1D0">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休会，评标委员会对“资格文件”、“商务和技术文件”进行评审。</w:t>
      </w:r>
    </w:p>
    <w:p w14:paraId="5D237A54">
      <w:pPr>
        <w:spacing w:line="400" w:lineRule="exact"/>
        <w:ind w:firstLine="420" w:firstLineChars="200"/>
        <w:rPr>
          <w:rFonts w:ascii="宋体" w:hAnsi="宋体" w:cs="宋体"/>
          <w:color w:val="auto"/>
          <w:szCs w:val="21"/>
        </w:rPr>
      </w:pPr>
      <w:r>
        <w:rPr>
          <w:rFonts w:hint="eastAsia" w:ascii="宋体" w:hAnsi="宋体" w:cs="宋体"/>
          <w:color w:val="auto"/>
          <w:szCs w:val="21"/>
        </w:rPr>
        <w:t>第二阶段开标（报价文件）：</w:t>
      </w:r>
    </w:p>
    <w:p w14:paraId="5D82AB21">
      <w:pPr>
        <w:spacing w:line="400" w:lineRule="exact"/>
        <w:ind w:firstLine="420" w:firstLineChars="200"/>
        <w:rPr>
          <w:rFonts w:ascii="宋体" w:hAnsi="宋体" w:cs="宋体"/>
          <w:color w:val="auto"/>
          <w:szCs w:val="21"/>
        </w:rPr>
      </w:pPr>
      <w:r>
        <w:rPr>
          <w:rFonts w:hint="eastAsia" w:ascii="宋体" w:hAnsi="宋体" w:cs="宋体"/>
          <w:color w:val="auto"/>
          <w:szCs w:val="21"/>
        </w:rPr>
        <w:t>（1）在</w:t>
      </w:r>
      <w:r>
        <w:rPr>
          <w:rFonts w:hint="eastAsia" w:ascii="宋体" w:hAnsi="宋体" w:cs="宋体"/>
          <w:color w:val="auto"/>
          <w:kern w:val="0"/>
          <w:szCs w:val="21"/>
        </w:rPr>
        <w:t>政府采购云平台</w:t>
      </w:r>
      <w:r>
        <w:rPr>
          <w:rFonts w:hint="eastAsia" w:ascii="宋体" w:hAnsi="宋体" w:cs="宋体"/>
          <w:color w:val="auto"/>
          <w:szCs w:val="21"/>
        </w:rPr>
        <w:t>宣告第一阶段评审无效供应商名单及理由；</w:t>
      </w:r>
    </w:p>
    <w:p w14:paraId="59BA8653">
      <w:pPr>
        <w:spacing w:line="400" w:lineRule="exact"/>
        <w:ind w:firstLine="420" w:firstLineChars="200"/>
        <w:rPr>
          <w:rFonts w:ascii="宋体" w:hAnsi="宋体" w:cs="宋体"/>
          <w:color w:val="auto"/>
          <w:szCs w:val="21"/>
        </w:rPr>
      </w:pPr>
      <w:r>
        <w:rPr>
          <w:rFonts w:hint="eastAsia" w:ascii="宋体" w:hAnsi="宋体" w:cs="宋体"/>
          <w:color w:val="auto"/>
          <w:szCs w:val="21"/>
        </w:rPr>
        <w:t>（2）公布经第一阶段评审符合招标文件要求的供应商的商务和技术得分情况；</w:t>
      </w:r>
    </w:p>
    <w:p w14:paraId="442700D4">
      <w:pPr>
        <w:spacing w:line="400" w:lineRule="exact"/>
        <w:ind w:firstLine="420" w:firstLineChars="200"/>
        <w:rPr>
          <w:rFonts w:ascii="宋体" w:hAnsi="宋体" w:cs="宋体"/>
          <w:color w:val="auto"/>
          <w:szCs w:val="21"/>
        </w:rPr>
      </w:pPr>
      <w:r>
        <w:rPr>
          <w:rFonts w:hint="eastAsia" w:ascii="宋体" w:hAnsi="宋体" w:cs="宋体"/>
          <w:color w:val="auto"/>
          <w:szCs w:val="21"/>
        </w:rPr>
        <w:t>（3）按第一阶段开标顺序在</w:t>
      </w:r>
      <w:r>
        <w:rPr>
          <w:rFonts w:hint="eastAsia" w:ascii="宋体" w:hAnsi="宋体" w:cs="宋体"/>
          <w:color w:val="auto"/>
          <w:kern w:val="0"/>
          <w:szCs w:val="21"/>
        </w:rPr>
        <w:t>政府采购云平台</w:t>
      </w:r>
      <w:r>
        <w:rPr>
          <w:rFonts w:hint="eastAsia" w:ascii="宋体" w:hAnsi="宋体" w:cs="宋体"/>
          <w:color w:val="auto"/>
          <w:szCs w:val="21"/>
        </w:rPr>
        <w:t>开启除第一阶段无效标外的供应商的“报价文件”，宣读投标文件中“开标一览表”内容，以及采购人认为必要的其他内容与记录，并做开标记录；</w:t>
      </w:r>
    </w:p>
    <w:p w14:paraId="73911F43">
      <w:pPr>
        <w:spacing w:line="400" w:lineRule="exact"/>
        <w:ind w:firstLine="420" w:firstLineChars="200"/>
        <w:rPr>
          <w:rFonts w:ascii="宋体" w:hAnsi="宋体" w:cs="宋体"/>
          <w:color w:val="auto"/>
          <w:szCs w:val="21"/>
        </w:rPr>
      </w:pPr>
      <w:r>
        <w:rPr>
          <w:rFonts w:hint="eastAsia" w:ascii="宋体" w:hAnsi="宋体" w:cs="宋体"/>
          <w:color w:val="auto"/>
          <w:szCs w:val="21"/>
        </w:rPr>
        <w:t>（4）第二阶段开标记录签字确认；</w:t>
      </w:r>
    </w:p>
    <w:p w14:paraId="6039474F">
      <w:pPr>
        <w:spacing w:line="400" w:lineRule="exact"/>
        <w:ind w:firstLine="420" w:firstLineChars="200"/>
        <w:rPr>
          <w:rFonts w:ascii="宋体" w:hAnsi="宋体" w:cs="宋体"/>
          <w:color w:val="auto"/>
          <w:szCs w:val="21"/>
        </w:rPr>
      </w:pPr>
      <w:r>
        <w:rPr>
          <w:rFonts w:hint="eastAsia" w:ascii="宋体" w:hAnsi="宋体" w:cs="宋体"/>
          <w:color w:val="auto"/>
          <w:szCs w:val="21"/>
        </w:rPr>
        <w:t>休会，评标委员会对“报价文件”进行评审。</w:t>
      </w:r>
    </w:p>
    <w:p w14:paraId="30DC990B">
      <w:pPr>
        <w:spacing w:line="400" w:lineRule="exact"/>
        <w:ind w:firstLine="420" w:firstLineChars="200"/>
        <w:rPr>
          <w:rFonts w:ascii="宋体" w:hAnsi="宋体" w:cs="宋体"/>
          <w:color w:val="auto"/>
          <w:szCs w:val="21"/>
        </w:rPr>
      </w:pPr>
      <w:r>
        <w:rPr>
          <w:rFonts w:hint="eastAsia" w:ascii="宋体" w:hAnsi="宋体" w:cs="宋体"/>
          <w:color w:val="auto"/>
          <w:szCs w:val="21"/>
        </w:rPr>
        <w:t>（5）在</w:t>
      </w:r>
      <w:r>
        <w:rPr>
          <w:rFonts w:hint="eastAsia" w:ascii="宋体" w:hAnsi="宋体" w:cs="宋体"/>
          <w:color w:val="auto"/>
          <w:kern w:val="0"/>
          <w:szCs w:val="21"/>
        </w:rPr>
        <w:t>政府采购云平台</w:t>
      </w:r>
      <w:r>
        <w:rPr>
          <w:rFonts w:hint="eastAsia" w:ascii="宋体" w:hAnsi="宋体" w:cs="宋体"/>
          <w:color w:val="auto"/>
          <w:szCs w:val="21"/>
        </w:rPr>
        <w:t>公布中标候选人名单及采购人最终确定中标供应商名单的时间和公告方式等；</w:t>
      </w:r>
    </w:p>
    <w:p w14:paraId="360E3904">
      <w:pPr>
        <w:spacing w:line="400" w:lineRule="exact"/>
        <w:ind w:firstLine="420" w:firstLineChars="200"/>
        <w:rPr>
          <w:rFonts w:ascii="宋体" w:hAnsi="宋体" w:cs="宋体"/>
          <w:color w:val="auto"/>
          <w:szCs w:val="21"/>
        </w:rPr>
      </w:pPr>
      <w:r>
        <w:rPr>
          <w:rFonts w:hint="eastAsia" w:ascii="宋体" w:hAnsi="宋体" w:cs="宋体"/>
          <w:color w:val="auto"/>
          <w:szCs w:val="21"/>
        </w:rPr>
        <w:t>（6）第二阶段开标结束。</w:t>
      </w:r>
    </w:p>
    <w:p w14:paraId="7F03068D">
      <w:pPr>
        <w:spacing w:line="400" w:lineRule="exact"/>
        <w:ind w:firstLine="420" w:firstLineChars="200"/>
        <w:rPr>
          <w:rFonts w:ascii="宋体" w:hAnsi="宋体" w:cs="宋体"/>
          <w:color w:val="auto"/>
          <w:szCs w:val="21"/>
        </w:rPr>
      </w:pPr>
      <w:r>
        <w:rPr>
          <w:rFonts w:hint="eastAsia" w:ascii="宋体" w:hAnsi="宋体" w:cs="宋体"/>
          <w:color w:val="auto"/>
          <w:szCs w:val="21"/>
        </w:rPr>
        <w:t>3、特别说明：</w:t>
      </w:r>
      <w:r>
        <w:rPr>
          <w:rFonts w:hint="eastAsia" w:ascii="宋体" w:hAnsi="宋体" w:cs="宋体"/>
          <w:color w:val="auto"/>
          <w:kern w:val="0"/>
          <w:szCs w:val="21"/>
        </w:rPr>
        <w:t>政府采购云平台</w:t>
      </w:r>
      <w:r>
        <w:rPr>
          <w:rFonts w:hint="eastAsia" w:ascii="宋体" w:hAnsi="宋体" w:cs="宋体"/>
          <w:color w:val="auto"/>
          <w:szCs w:val="21"/>
        </w:rPr>
        <w:t>如对电子化开标及评审程序有调整的，按调整后的程序操作。</w:t>
      </w:r>
    </w:p>
    <w:p w14:paraId="0C02BF98">
      <w:pPr>
        <w:spacing w:line="400" w:lineRule="exact"/>
        <w:ind w:firstLine="420" w:firstLineChars="200"/>
        <w:rPr>
          <w:rFonts w:ascii="宋体" w:hAnsi="宋体" w:cs="宋体"/>
          <w:color w:val="auto"/>
          <w:szCs w:val="21"/>
        </w:rPr>
      </w:pPr>
      <w:r>
        <w:rPr>
          <w:rFonts w:hint="eastAsia" w:ascii="宋体" w:hAnsi="宋体" w:cs="宋体"/>
          <w:color w:val="auto"/>
          <w:szCs w:val="21"/>
        </w:rPr>
        <w:t>本项目原则上采用政采云电子投标开标及评审程序，但有下情形之一的，按以下情况处理：</w:t>
      </w:r>
    </w:p>
    <w:p w14:paraId="5C41095A">
      <w:pPr>
        <w:spacing w:line="400" w:lineRule="exact"/>
        <w:ind w:firstLine="420" w:firstLineChars="200"/>
        <w:rPr>
          <w:rFonts w:ascii="宋体" w:hAnsi="宋体" w:cs="宋体"/>
          <w:color w:val="auto"/>
          <w:szCs w:val="21"/>
        </w:rPr>
      </w:pPr>
      <w:r>
        <w:rPr>
          <w:rFonts w:hint="eastAsia" w:ascii="宋体" w:hAnsi="宋体" w:cs="宋体"/>
          <w:color w:val="auto"/>
          <w:szCs w:val="21"/>
        </w:rPr>
        <w:t>（1）若供应商在规定时间内无法解密或解密失败，代理机构将开启上述供应商递交的</w:t>
      </w:r>
      <w:r>
        <w:rPr>
          <w:rFonts w:hint="eastAsia" w:ascii="宋体" w:hAnsi="宋体" w:cs="宋体"/>
          <w:color w:val="auto"/>
          <w:kern w:val="0"/>
          <w:szCs w:val="21"/>
        </w:rPr>
        <w:t>以U盘或光盘存储的电子备份投标文件</w:t>
      </w:r>
      <w:r>
        <w:rPr>
          <w:rFonts w:hint="eastAsia" w:ascii="宋体" w:hAnsi="宋体" w:cs="宋体"/>
          <w:color w:val="auto"/>
          <w:szCs w:val="21"/>
        </w:rPr>
        <w:t>，上传至政采云平台项目采购模块，以完成开标，电子投标文件自动失效。</w:t>
      </w:r>
    </w:p>
    <w:p w14:paraId="38596F73">
      <w:pPr>
        <w:spacing w:line="400" w:lineRule="exact"/>
        <w:ind w:firstLine="420" w:firstLineChars="200"/>
        <w:rPr>
          <w:rFonts w:ascii="宋体" w:hAnsi="宋体" w:cs="宋体"/>
          <w:color w:val="auto"/>
          <w:szCs w:val="21"/>
        </w:rPr>
      </w:pPr>
      <w:r>
        <w:rPr>
          <w:rFonts w:hint="eastAsia" w:ascii="宋体" w:hAnsi="宋体" w:cs="宋体"/>
          <w:color w:val="auto"/>
          <w:szCs w:val="21"/>
        </w:rPr>
        <w:t>（2）采购过程中出现以下情形，导致电子交易平台无法正常运行，或者无法保证电子交易的公平、公正和安全时，采购人（或代理机构）可中止电子交易活动：</w:t>
      </w:r>
    </w:p>
    <w:p w14:paraId="3C7DD730">
      <w:pPr>
        <w:spacing w:line="400" w:lineRule="exact"/>
        <w:ind w:firstLine="420" w:firstLineChars="200"/>
        <w:rPr>
          <w:rFonts w:ascii="宋体" w:hAnsi="宋体" w:cs="宋体"/>
          <w:color w:val="auto"/>
          <w:szCs w:val="21"/>
        </w:rPr>
      </w:pPr>
      <w:r>
        <w:rPr>
          <w:rFonts w:hint="eastAsia" w:ascii="宋体" w:hAnsi="宋体" w:cs="宋体"/>
          <w:color w:val="auto"/>
          <w:szCs w:val="21"/>
        </w:rPr>
        <w:t>2.1电子交易平台发生故障而无法登录访问的；</w:t>
      </w:r>
    </w:p>
    <w:p w14:paraId="2F788D59">
      <w:pPr>
        <w:spacing w:line="400" w:lineRule="exact"/>
        <w:ind w:firstLine="420" w:firstLineChars="200"/>
        <w:rPr>
          <w:rFonts w:ascii="宋体" w:hAnsi="宋体" w:cs="宋体"/>
          <w:color w:val="auto"/>
          <w:szCs w:val="21"/>
        </w:rPr>
      </w:pPr>
      <w:r>
        <w:rPr>
          <w:rFonts w:hint="eastAsia" w:ascii="宋体" w:hAnsi="宋体" w:cs="宋体"/>
          <w:color w:val="auto"/>
          <w:szCs w:val="21"/>
        </w:rPr>
        <w:t>2.2电子交易平台应用或数据库出现错误，不能进行正常操作的；</w:t>
      </w:r>
    </w:p>
    <w:p w14:paraId="4068218E">
      <w:pPr>
        <w:spacing w:line="400" w:lineRule="exact"/>
        <w:ind w:firstLine="420" w:firstLineChars="200"/>
        <w:rPr>
          <w:rFonts w:ascii="宋体" w:hAnsi="宋体" w:cs="宋体"/>
          <w:color w:val="auto"/>
          <w:szCs w:val="21"/>
        </w:rPr>
      </w:pPr>
      <w:r>
        <w:rPr>
          <w:rFonts w:hint="eastAsia" w:ascii="宋体" w:hAnsi="宋体" w:cs="宋体"/>
          <w:color w:val="auto"/>
          <w:szCs w:val="21"/>
        </w:rPr>
        <w:t>2.3电子交易平台发现严重安全漏洞，有潜在泄密危险的；</w:t>
      </w:r>
    </w:p>
    <w:p w14:paraId="00F3F204">
      <w:pPr>
        <w:spacing w:line="400" w:lineRule="exact"/>
        <w:ind w:firstLine="420" w:firstLineChars="200"/>
        <w:rPr>
          <w:rFonts w:ascii="宋体" w:hAnsi="宋体" w:cs="宋体"/>
          <w:color w:val="auto"/>
          <w:szCs w:val="21"/>
        </w:rPr>
      </w:pPr>
      <w:r>
        <w:rPr>
          <w:rFonts w:hint="eastAsia" w:ascii="宋体" w:hAnsi="宋体" w:cs="宋体"/>
          <w:color w:val="auto"/>
          <w:szCs w:val="21"/>
        </w:rPr>
        <w:t>2.4病毒发作导致不能进行正常操作的；</w:t>
      </w:r>
    </w:p>
    <w:p w14:paraId="7DE99F9A">
      <w:pPr>
        <w:spacing w:line="400" w:lineRule="exact"/>
        <w:ind w:firstLine="420" w:firstLineChars="200"/>
        <w:rPr>
          <w:rFonts w:ascii="宋体" w:hAnsi="宋体" w:cs="宋体"/>
          <w:color w:val="auto"/>
          <w:szCs w:val="21"/>
        </w:rPr>
      </w:pPr>
      <w:r>
        <w:rPr>
          <w:rFonts w:hint="eastAsia" w:ascii="宋体" w:hAnsi="宋体" w:cs="宋体"/>
          <w:color w:val="auto"/>
          <w:szCs w:val="21"/>
        </w:rPr>
        <w:t>2.5其他无法保证电子交易的公平、公正和安全的情况。</w:t>
      </w:r>
    </w:p>
    <w:p w14:paraId="3F70ADDA">
      <w:pPr>
        <w:spacing w:line="400" w:lineRule="exact"/>
        <w:ind w:firstLine="420" w:firstLineChars="200"/>
        <w:rPr>
          <w:rFonts w:ascii="宋体" w:hAnsi="宋体" w:cs="宋体"/>
          <w:color w:val="auto"/>
          <w:szCs w:val="21"/>
        </w:rPr>
      </w:pPr>
      <w:r>
        <w:rPr>
          <w:rFonts w:hint="eastAsia" w:ascii="宋体" w:hAnsi="宋体" w:cs="宋体"/>
          <w:color w:val="auto"/>
          <w:szCs w:val="21"/>
        </w:rPr>
        <w:t>出现前款规定情形，不影响采购公平、公正性的，采购人（或代理机构）可以待上述情形消除后继续组织电子交易活动。</w:t>
      </w:r>
    </w:p>
    <w:p w14:paraId="3AB00E7D">
      <w:pPr>
        <w:spacing w:line="400" w:lineRule="exact"/>
        <w:ind w:firstLine="422" w:firstLineChars="200"/>
        <w:rPr>
          <w:rFonts w:ascii="宋体" w:hAnsi="宋体" w:cs="宋体"/>
          <w:b/>
          <w:color w:val="auto"/>
          <w:szCs w:val="21"/>
        </w:rPr>
      </w:pPr>
      <w:r>
        <w:rPr>
          <w:rFonts w:hint="eastAsia" w:ascii="宋体" w:hAnsi="宋体" w:cs="宋体"/>
          <w:b/>
          <w:color w:val="auto"/>
          <w:szCs w:val="21"/>
        </w:rPr>
        <w:t>十三、评标</w:t>
      </w:r>
    </w:p>
    <w:p w14:paraId="0B665AB7">
      <w:pPr>
        <w:spacing w:line="400" w:lineRule="exact"/>
        <w:ind w:firstLine="420" w:firstLineChars="200"/>
        <w:rPr>
          <w:rFonts w:ascii="宋体" w:hAnsi="宋体" w:cs="宋体"/>
          <w:color w:val="auto"/>
          <w:szCs w:val="21"/>
        </w:rPr>
      </w:pPr>
      <w:r>
        <w:rPr>
          <w:rFonts w:hint="eastAsia" w:ascii="宋体" w:hAnsi="宋体" w:cs="宋体"/>
          <w:color w:val="auto"/>
          <w:szCs w:val="21"/>
        </w:rPr>
        <w:t>1、采购人依据《中华人民共和国政府采购法》、《中华人民共和国政府采购法实施条例》等有关规定组建评标委员会。评标委员会由采购人代表和专家组成，负责本项目的评标工作。</w:t>
      </w:r>
    </w:p>
    <w:p w14:paraId="40F884BE">
      <w:pPr>
        <w:spacing w:line="400" w:lineRule="exact"/>
        <w:ind w:firstLine="420" w:firstLineChars="200"/>
        <w:rPr>
          <w:rFonts w:ascii="宋体" w:hAnsi="宋体" w:cs="宋体"/>
          <w:color w:val="auto"/>
          <w:szCs w:val="21"/>
        </w:rPr>
      </w:pPr>
      <w:r>
        <w:rPr>
          <w:rFonts w:hint="eastAsia" w:ascii="宋体" w:hAnsi="宋体" w:cs="宋体"/>
          <w:color w:val="auto"/>
          <w:szCs w:val="21"/>
        </w:rPr>
        <w:t>2、评标活动遵循公开、公平、公正、科学和择优的原则。</w:t>
      </w:r>
    </w:p>
    <w:p w14:paraId="06A6C70C">
      <w:pPr>
        <w:spacing w:line="400" w:lineRule="exact"/>
        <w:ind w:firstLine="420" w:firstLineChars="200"/>
        <w:rPr>
          <w:rFonts w:ascii="宋体" w:hAnsi="宋体" w:cs="宋体"/>
          <w:color w:val="auto"/>
          <w:szCs w:val="21"/>
        </w:rPr>
      </w:pPr>
      <w:r>
        <w:rPr>
          <w:rFonts w:hint="eastAsia" w:ascii="宋体" w:hAnsi="宋体" w:cs="宋体"/>
          <w:color w:val="auto"/>
          <w:szCs w:val="21"/>
        </w:rPr>
        <w:t>3、评标委员会按照第三章“评标办法及标准”对投标文件进行评审。第三章“评标办法及标准”没有规定的方法、评审因素和标准，不作为评标依据。</w:t>
      </w:r>
    </w:p>
    <w:p w14:paraId="05DDDC22">
      <w:pPr>
        <w:spacing w:line="400" w:lineRule="exact"/>
        <w:ind w:firstLine="422" w:firstLineChars="200"/>
        <w:rPr>
          <w:rFonts w:ascii="宋体" w:hAnsi="宋体" w:cs="宋体"/>
          <w:b/>
          <w:color w:val="auto"/>
          <w:szCs w:val="21"/>
        </w:rPr>
      </w:pPr>
      <w:r>
        <w:rPr>
          <w:rFonts w:hint="eastAsia" w:ascii="宋体" w:hAnsi="宋体" w:cs="宋体"/>
          <w:b/>
          <w:color w:val="auto"/>
          <w:szCs w:val="21"/>
        </w:rPr>
        <w:t>十四、招标文件的澄清和修改</w:t>
      </w:r>
    </w:p>
    <w:p w14:paraId="368DDCB3">
      <w:pPr>
        <w:spacing w:line="400" w:lineRule="exact"/>
        <w:ind w:firstLine="422" w:firstLineChars="200"/>
        <w:rPr>
          <w:rFonts w:ascii="宋体" w:hAnsi="宋体" w:cs="宋体"/>
          <w:color w:val="auto"/>
          <w:szCs w:val="21"/>
        </w:rPr>
      </w:pPr>
      <w:r>
        <w:rPr>
          <w:rFonts w:hint="eastAsia" w:ascii="宋体" w:hAnsi="宋体" w:cs="宋体"/>
          <w:b/>
          <w:bCs/>
          <w:color w:val="auto"/>
          <w:szCs w:val="21"/>
        </w:rPr>
        <w:t>1、采</w:t>
      </w:r>
      <w:r>
        <w:rPr>
          <w:rFonts w:hint="eastAsia" w:ascii="宋体" w:hAnsi="宋体" w:cs="宋体"/>
          <w:b/>
          <w:color w:val="auto"/>
          <w:szCs w:val="21"/>
        </w:rPr>
        <w:t>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color w:val="auto"/>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431D852A">
      <w:pPr>
        <w:spacing w:line="400" w:lineRule="exact"/>
        <w:ind w:firstLine="422" w:firstLineChars="200"/>
        <w:rPr>
          <w:rFonts w:ascii="宋体" w:hAnsi="宋体" w:cs="宋体"/>
          <w:b/>
          <w:color w:val="auto"/>
          <w:szCs w:val="21"/>
        </w:rPr>
      </w:pPr>
      <w:r>
        <w:rPr>
          <w:rFonts w:hint="eastAsia" w:ascii="宋体" w:hAnsi="宋体" w:cs="宋体"/>
          <w:b/>
          <w:color w:val="auto"/>
          <w:szCs w:val="21"/>
        </w:rPr>
        <w:t>十五、质疑</w:t>
      </w:r>
    </w:p>
    <w:p w14:paraId="3B3FBBE1">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或者通过政采云平台在线向采购人和采购代理机构提出质疑。供应商应当在法定质疑期内一次性提出针对采购公告、采购文件、开标评标、采购结果等同一采购程序环节的质疑，第二次提出的质疑视为质疑无效，采购人、采购代理机构将不予受理（对于采购人、采购代理机构作出的澄清或者修改的内容提出质疑的除外）。</w:t>
      </w:r>
    </w:p>
    <w:p w14:paraId="66A2CC76">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382D57EE">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3、供应商提出质疑应当提交质疑函和必要的证明材料，质疑函应当以书面形式或者通过政采云平台在线提出，质疑函格式和内容须符合财政部《质疑函范本》要求，供应商可到浙江政府采购网自行下载财政部《质疑函范本》。</w:t>
      </w:r>
    </w:p>
    <w:p w14:paraId="5B2771F1">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6A48E32B">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5、采购人、采购代理机构接收质疑函的方式：只接收供应商以当面递交、邮寄、传真或电子邮件或者通过政采云平台在线方式提出的质疑函，以其他方式提出的质疑不予接收。</w:t>
      </w:r>
    </w:p>
    <w:p w14:paraId="27ACBEF8">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采取邮寄方式的，提出质疑的时间为质疑函原件交邮的时间（以邮戳时间或快递收件时间为准）。</w:t>
      </w:r>
    </w:p>
    <w:p w14:paraId="6B871700">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采取传真、电子邮件方式的，供应商应当在传真、电子邮件发出后将质疑函原件邮寄给被质疑人，提出质疑的时间为质疑函原件交邮的时间（以邮戳时间或快递收件时间为准）。</w:t>
      </w:r>
    </w:p>
    <w:p w14:paraId="59B0B27F">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采取政采云平台在线方式提出的质疑函，供应商应当在政采云平台在线提出质疑后将质疑函原件邮寄给被质疑人，提出质疑的时间为质疑函原件交邮的时间（以邮戳时间或快递收件时间为准）。</w:t>
      </w:r>
    </w:p>
    <w:p w14:paraId="17FFFE38">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6、采购人、采购代理机构以实际收到质疑函原件之日作为收到质疑函的日期，将在收到质疑函后7个工作日内作出答复。</w:t>
      </w:r>
    </w:p>
    <w:p w14:paraId="7B59C711">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7、采购人、采购代理机构接收质疑函的联系人、联系电话和通讯地址等信息详见采购公告。</w:t>
      </w:r>
    </w:p>
    <w:p w14:paraId="5D766527">
      <w:pPr>
        <w:topLinePunct/>
        <w:spacing w:line="400" w:lineRule="exact"/>
        <w:ind w:firstLine="420" w:firstLineChars="200"/>
        <w:rPr>
          <w:rFonts w:ascii="宋体" w:hAnsi="宋体" w:cs="宋体"/>
          <w:color w:val="auto"/>
          <w:szCs w:val="21"/>
        </w:rPr>
      </w:pPr>
      <w:r>
        <w:rPr>
          <w:rFonts w:hint="eastAsia" w:ascii="宋体" w:hAnsi="宋体" w:cs="宋体"/>
          <w:color w:val="auto"/>
          <w:szCs w:val="21"/>
        </w:rPr>
        <w:t>8、供应商对采购人或采购代理机构的质疑答复不满意或者采购人或采购代理机构未在规定时间内作出答复的，可以在答复期满后十五个工作日内向同级采购监管部门投诉。</w:t>
      </w:r>
    </w:p>
    <w:p w14:paraId="01DBC3B8">
      <w:pPr>
        <w:spacing w:line="400" w:lineRule="exact"/>
        <w:ind w:firstLine="422" w:firstLineChars="200"/>
        <w:rPr>
          <w:rFonts w:ascii="宋体" w:hAnsi="宋体" w:cs="宋体"/>
          <w:color w:val="auto"/>
          <w:szCs w:val="21"/>
        </w:rPr>
      </w:pPr>
      <w:r>
        <w:rPr>
          <w:rFonts w:hint="eastAsia" w:ascii="宋体" w:hAnsi="宋体" w:cs="宋体"/>
          <w:b/>
          <w:color w:val="auto"/>
          <w:szCs w:val="21"/>
        </w:rPr>
        <w:t>▲十六、预算价及招标限价</w:t>
      </w:r>
    </w:p>
    <w:p w14:paraId="53EB013D">
      <w:pPr>
        <w:topLinePunct/>
        <w:spacing w:line="400" w:lineRule="exact"/>
        <w:ind w:firstLine="420" w:firstLineChars="200"/>
        <w:rPr>
          <w:rFonts w:ascii="宋体" w:hAnsi="宋体" w:cs="宋体"/>
          <w:color w:val="auto"/>
          <w:szCs w:val="21"/>
        </w:rPr>
      </w:pPr>
      <w:bookmarkStart w:id="7" w:name="_Hlk37142004"/>
      <w:r>
        <w:rPr>
          <w:rFonts w:hint="eastAsia" w:ascii="宋体" w:hAnsi="宋体" w:cs="宋体"/>
          <w:color w:val="auto"/>
          <w:szCs w:val="21"/>
        </w:rPr>
        <w:t>1、本次公开招标设有最高限价：</w:t>
      </w:r>
      <w:r>
        <w:rPr>
          <w:rFonts w:hint="eastAsia" w:ascii="宋体" w:hAnsi="宋体" w:cs="宋体"/>
          <w:color w:val="auto"/>
          <w:szCs w:val="21"/>
          <w:lang w:eastAsia="zh-CN"/>
        </w:rPr>
        <w:t>825000</w:t>
      </w:r>
      <w:r>
        <w:rPr>
          <w:rFonts w:hint="eastAsia" w:ascii="宋体" w:hAnsi="宋体" w:cs="宋体"/>
          <w:color w:val="auto"/>
          <w:szCs w:val="21"/>
        </w:rPr>
        <w:t>元；投标报价超出对应预算价的投标无效。</w:t>
      </w:r>
    </w:p>
    <w:p w14:paraId="2B8C76B1">
      <w:pPr>
        <w:spacing w:beforeLines="0" w:afterLines="0" w:line="38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十七</w:t>
      </w:r>
      <w:r>
        <w:rPr>
          <w:rFonts w:hint="eastAsia" w:ascii="宋体" w:hAnsi="宋体" w:eastAsia="宋体" w:cs="宋体"/>
          <w:b/>
          <w:sz w:val="21"/>
          <w:szCs w:val="21"/>
        </w:rPr>
        <w:t>、无效投标</w:t>
      </w:r>
    </w:p>
    <w:p w14:paraId="44180DFA">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发生下列情况之一的投标文件被视为无效：</w:t>
      </w:r>
    </w:p>
    <w:p w14:paraId="02F03153">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1、投标文件未按招标文件要求签署、盖章的；</w:t>
      </w:r>
    </w:p>
    <w:p w14:paraId="762CBFAC">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2、不具备招标文件中规定的资格要求的；</w:t>
      </w:r>
    </w:p>
    <w:p w14:paraId="671B6687">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3、报价超过招标文件中规定的预算金额的；</w:t>
      </w:r>
    </w:p>
    <w:p w14:paraId="15BBE4B2">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4、投标文件含有采购人不能接受的附加条件的；</w:t>
      </w:r>
    </w:p>
    <w:p w14:paraId="3B4CD402">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5、标项以赠送方式投标的，对一个标项提供两个投标方案的；</w:t>
      </w:r>
    </w:p>
    <w:p w14:paraId="6DCC5CCF">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6、带“▲”的条款不能满足采购文件要求；</w:t>
      </w:r>
    </w:p>
    <w:p w14:paraId="59FFEB73">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7、投标供应商在投标活动中提供任何虚假材料或从事其他违法活动的；</w:t>
      </w:r>
    </w:p>
    <w:p w14:paraId="4301BD2A">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8、评委会一致认为报价明显不合理的；</w:t>
      </w:r>
    </w:p>
    <w:p w14:paraId="201189B7">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9、违反公平竞争的原则或恶意串通或妨碍其他投标人的竞争行为或损害采购人或者其他投标人的合法权益的；</w:t>
      </w:r>
    </w:p>
    <w:p w14:paraId="0A7A8542">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10、投标文件报价出现前后不一致，经按招标文件规定修正后，投标人对修正后的报价不确认的；</w:t>
      </w:r>
    </w:p>
    <w:p w14:paraId="429DF2C3">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11、未提供招标文件要求的资格证明文件；</w:t>
      </w:r>
    </w:p>
    <w:p w14:paraId="00F27F89">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12、投标人有下列情形之一的视为投标人串通投标，其投标无效：</w:t>
      </w:r>
    </w:p>
    <w:p w14:paraId="7072C4B9">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12.1、不同投标人的投标文件由同一单位或者个人编制；</w:t>
      </w:r>
    </w:p>
    <w:p w14:paraId="394E8236">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12.2、不同投标人委托同一单位或者个人办理投标事宜；</w:t>
      </w:r>
    </w:p>
    <w:p w14:paraId="24D34BDF">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12.3、不同投标人的投标文件载明的项目管理成员或者联系人员为同一人；</w:t>
      </w:r>
    </w:p>
    <w:p w14:paraId="45516427">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12.4、不同投标人的投标文件异常一致或者投标报价呈规律性差异；</w:t>
      </w:r>
    </w:p>
    <w:p w14:paraId="038AA97D">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12.5、不同投标人的投标文件相互混装；</w:t>
      </w:r>
    </w:p>
    <w:p w14:paraId="04FD616B">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13、参与同一个采购包（标段）的投标人存在下列情形之一且无法合理解释的，其投标（响应）文件无效：</w:t>
      </w:r>
    </w:p>
    <w:p w14:paraId="013E080A">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13.1.不同供应商的电子投标（响应）文件上传计算机的网卡MAC地址或硬盘序列号等硬件信息相同的；</w:t>
      </w:r>
    </w:p>
    <w:p w14:paraId="6A6D89D5">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13.2.上传的电子投标（响应）文件若出现使用本项目其他投标（响应）供应商的数字证书加密的，或者加盖本项目其他投标（响应）供应商的电子印章的；</w:t>
      </w:r>
    </w:p>
    <w:p w14:paraId="3230A658">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13.3.不同供应商的投标（响应）文件的内容存在3处（含）以上错误一致的；</w:t>
      </w:r>
    </w:p>
    <w:p w14:paraId="5C02BFBF">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13.4.不同供应商联系人为同一人或不同联系人的联系电话一致的。</w:t>
      </w:r>
    </w:p>
    <w:p w14:paraId="38BC4310">
      <w:pPr>
        <w:spacing w:beforeLines="0" w:afterLines="0"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14、法律、法规和招标文件规定的其他无效情形。</w:t>
      </w:r>
    </w:p>
    <w:p w14:paraId="36227CDE">
      <w:pPr>
        <w:spacing w:beforeLines="0" w:afterLines="0" w:line="400" w:lineRule="exact"/>
        <w:ind w:firstLine="422" w:firstLineChars="200"/>
        <w:jc w:val="left"/>
        <w:rPr>
          <w:rFonts w:hint="eastAsia" w:ascii="宋体" w:hAnsi="宋体" w:eastAsia="宋体" w:cs="宋体"/>
          <w:b/>
          <w:sz w:val="21"/>
          <w:szCs w:val="21"/>
          <w:lang w:bidi="ar"/>
        </w:rPr>
      </w:pPr>
      <w:r>
        <w:rPr>
          <w:rFonts w:hint="eastAsia" w:ascii="宋体" w:hAnsi="宋体" w:eastAsia="宋体" w:cs="宋体"/>
          <w:b/>
          <w:sz w:val="21"/>
          <w:szCs w:val="21"/>
          <w:lang w:val="en-US" w:eastAsia="zh-CN" w:bidi="ar"/>
        </w:rPr>
        <w:t>十八</w:t>
      </w:r>
      <w:r>
        <w:rPr>
          <w:rFonts w:hint="eastAsia" w:ascii="宋体" w:hAnsi="宋体" w:eastAsia="宋体" w:cs="宋体"/>
          <w:b/>
          <w:sz w:val="21"/>
          <w:szCs w:val="21"/>
          <w:lang w:bidi="ar"/>
        </w:rPr>
        <w:t>、合同相关</w:t>
      </w:r>
    </w:p>
    <w:p w14:paraId="005D98B2">
      <w:pPr>
        <w:topLinePunct/>
        <w:spacing w:beforeLines="0" w:afterLines="0"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1、采购人与中标人应当在《中标通知书》发出之日起30日内签订政府采购合同。同时，采购代理机构对合同内容进行鉴证，如发现与采购结果和投标承诺内容不一致的，应予以纠正。</w:t>
      </w:r>
    </w:p>
    <w:p w14:paraId="619DC876">
      <w:pPr>
        <w:topLinePunct/>
        <w:spacing w:beforeLines="0" w:afterLines="0"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4"/>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r>
        <w:rPr>
          <w:rFonts w:hint="eastAsia" w:ascii="宋体" w:hAnsi="宋体" w:eastAsia="宋体" w:cs="宋体"/>
          <w:sz w:val="21"/>
          <w:szCs w:val="21"/>
          <w:lang w:bidi="ar"/>
        </w:rPr>
        <w:t>。</w:t>
      </w:r>
    </w:p>
    <w:p w14:paraId="0F313B01">
      <w:pPr>
        <w:topLinePunct/>
        <w:spacing w:beforeLines="0" w:afterLines="0" w:line="400" w:lineRule="exact"/>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1B671F19">
      <w:pPr>
        <w:spacing w:line="40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十九</w:t>
      </w:r>
      <w:r>
        <w:rPr>
          <w:rFonts w:hint="eastAsia" w:ascii="宋体" w:hAnsi="宋体" w:cs="宋体"/>
          <w:b/>
          <w:color w:val="auto"/>
          <w:szCs w:val="21"/>
        </w:rPr>
        <w:t>、招标代理服务费</w:t>
      </w:r>
    </w:p>
    <w:bookmarkEnd w:id="7"/>
    <w:p w14:paraId="2DB76975">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1、招标代理服务费金额：</w:t>
      </w:r>
      <w:r>
        <w:rPr>
          <w:rFonts w:hint="eastAsia" w:ascii="宋体" w:hAnsi="宋体" w:cs="宋体"/>
          <w:color w:val="auto"/>
          <w:szCs w:val="21"/>
          <w:lang w:val="en-US" w:eastAsia="zh-CN"/>
        </w:rPr>
        <w:t>参照</w:t>
      </w:r>
      <w:r>
        <w:rPr>
          <w:rFonts w:hint="eastAsia" w:ascii="宋体" w:hAnsi="宋体" w:cs="宋体"/>
          <w:color w:val="auto"/>
          <w:szCs w:val="21"/>
        </w:rPr>
        <w:t>《宁波市招标（采购）代理服务收费指导意见》标准计取，由成交供应商支付，按</w:t>
      </w:r>
      <w:r>
        <w:rPr>
          <w:rFonts w:hint="eastAsia" w:ascii="宋体" w:hAnsi="宋体" w:cs="宋体"/>
          <w:color w:val="auto"/>
          <w:szCs w:val="21"/>
          <w:lang w:val="en-US" w:eastAsia="zh-CN"/>
        </w:rPr>
        <w:t>6</w:t>
      </w:r>
      <w:r>
        <w:rPr>
          <w:rFonts w:hint="eastAsia" w:ascii="宋体" w:hAnsi="宋体" w:cs="宋体"/>
          <w:color w:val="auto"/>
          <w:szCs w:val="21"/>
        </w:rPr>
        <w:t>000元计取。</w:t>
      </w:r>
    </w:p>
    <w:p w14:paraId="0070316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2、中标供应商应在代理机构发出中标通知书5个工作日内向本代理机构支付招标代理服务费。</w:t>
      </w:r>
    </w:p>
    <w:p w14:paraId="51EA3710">
      <w:pPr>
        <w:spacing w:line="400" w:lineRule="exact"/>
        <w:ind w:firstLine="420" w:firstLineChars="200"/>
        <w:rPr>
          <w:rFonts w:ascii="宋体" w:hAnsi="宋体" w:cs="宋体"/>
          <w:color w:val="auto"/>
          <w:szCs w:val="21"/>
        </w:rPr>
      </w:pPr>
      <w:r>
        <w:rPr>
          <w:rFonts w:hint="eastAsia" w:ascii="宋体" w:hAnsi="宋体" w:cs="宋体"/>
          <w:color w:val="auto"/>
          <w:szCs w:val="21"/>
        </w:rPr>
        <w:t>3、招标代理服务费</w:t>
      </w:r>
      <w:r>
        <w:rPr>
          <w:rFonts w:hint="eastAsia" w:ascii="宋体" w:hAnsi="宋体" w:cs="宋体"/>
          <w:color w:val="auto"/>
          <w:szCs w:val="21"/>
          <w:lang w:val="en-US" w:eastAsia="zh-CN"/>
        </w:rPr>
        <w:t>以</w:t>
      </w:r>
      <w:r>
        <w:rPr>
          <w:rFonts w:hint="eastAsia" w:ascii="宋体" w:hAnsi="宋体" w:cs="宋体"/>
          <w:color w:val="auto"/>
          <w:szCs w:val="21"/>
        </w:rPr>
        <w:t>银行票汇款、电汇款</w:t>
      </w:r>
      <w:r>
        <w:rPr>
          <w:rFonts w:hint="eastAsia" w:ascii="宋体" w:hAnsi="宋体" w:cs="宋体"/>
          <w:color w:val="auto"/>
          <w:szCs w:val="21"/>
          <w:lang w:val="en-US" w:eastAsia="zh-CN"/>
        </w:rPr>
        <w:t>方式支付</w:t>
      </w:r>
      <w:r>
        <w:rPr>
          <w:rFonts w:hint="eastAsia" w:ascii="宋体" w:hAnsi="宋体" w:cs="宋体"/>
          <w:color w:val="auto"/>
          <w:szCs w:val="21"/>
        </w:rPr>
        <w:t>。</w:t>
      </w:r>
    </w:p>
    <w:p w14:paraId="30642FB5">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账户名称：</w:t>
      </w:r>
      <w:r>
        <w:rPr>
          <w:rFonts w:hint="eastAsia" w:ascii="宋体" w:hAnsi="宋体" w:cs="宋体"/>
          <w:color w:val="auto"/>
          <w:szCs w:val="21"/>
          <w:lang w:eastAsia="zh-CN"/>
        </w:rPr>
        <w:t>宁波能诚工程管理有限公司</w:t>
      </w:r>
    </w:p>
    <w:p w14:paraId="13DC2A6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开户银行：宁波银行股份有限公司坎墩支行</w:t>
      </w:r>
    </w:p>
    <w:p w14:paraId="1FBEFBE1">
      <w:pPr>
        <w:spacing w:line="400" w:lineRule="exact"/>
        <w:ind w:firstLine="420" w:firstLineChars="200"/>
        <w:rPr>
          <w:rFonts w:ascii="宋体" w:hAnsi="宋体" w:cs="宋体"/>
          <w:color w:val="auto"/>
          <w:szCs w:val="21"/>
        </w:rPr>
      </w:pPr>
      <w:r>
        <w:rPr>
          <w:rFonts w:hint="eastAsia" w:ascii="宋体" w:hAnsi="宋体" w:cs="宋体"/>
          <w:color w:val="auto"/>
          <w:szCs w:val="21"/>
        </w:rPr>
        <w:t>银行账号：86021110000227208</w:t>
      </w:r>
    </w:p>
    <w:p w14:paraId="7B725F73">
      <w:pPr>
        <w:spacing w:line="400" w:lineRule="exact"/>
        <w:ind w:firstLine="422" w:firstLineChars="200"/>
        <w:rPr>
          <w:rFonts w:ascii="宋体" w:hAnsi="宋体" w:cs="宋体"/>
          <w:b/>
          <w:color w:val="auto"/>
          <w:szCs w:val="21"/>
        </w:rPr>
      </w:pPr>
      <w:r>
        <w:rPr>
          <w:rFonts w:hint="eastAsia" w:ascii="宋体" w:hAnsi="宋体" w:cs="宋体"/>
          <w:b/>
          <w:color w:val="auto"/>
          <w:szCs w:val="21"/>
          <w:lang w:val="en-US" w:eastAsia="zh-CN"/>
        </w:rPr>
        <w:t>二十</w:t>
      </w:r>
      <w:r>
        <w:rPr>
          <w:rFonts w:hint="eastAsia" w:ascii="宋体" w:hAnsi="宋体" w:cs="宋体"/>
          <w:b/>
          <w:color w:val="auto"/>
          <w:szCs w:val="21"/>
        </w:rPr>
        <w:t>、特别说明</w:t>
      </w:r>
    </w:p>
    <w:p w14:paraId="506CDD9A">
      <w:pPr>
        <w:spacing w:line="400" w:lineRule="exact"/>
        <w:ind w:firstLine="420" w:firstLineChars="200"/>
        <w:rPr>
          <w:rFonts w:ascii="宋体" w:hAnsi="宋体" w:cs="宋体"/>
          <w:color w:val="auto"/>
          <w:szCs w:val="21"/>
        </w:rPr>
      </w:pPr>
      <w:bookmarkStart w:id="8" w:name="_Toc436408700"/>
      <w:bookmarkStart w:id="9" w:name="_Toc441316546"/>
      <w:bookmarkStart w:id="10" w:name="_Toc21541007"/>
      <w:bookmarkStart w:id="11" w:name="_Toc419729150"/>
      <w:r>
        <w:rPr>
          <w:rFonts w:hint="eastAsia" w:ascii="宋体" w:hAnsi="宋体" w:cs="宋体"/>
          <w:color w:val="auto"/>
          <w:szCs w:val="21"/>
        </w:rPr>
        <w:t>1.执行财政部、工业和信息化部《政府采购促进中小企业发展管理办法》（财库〔2020〕46号）。政府采购活动中有关中小企业的相关规定如下：</w:t>
      </w:r>
      <w:bookmarkEnd w:id="8"/>
      <w:bookmarkEnd w:id="9"/>
      <w:bookmarkEnd w:id="10"/>
      <w:bookmarkEnd w:id="11"/>
    </w:p>
    <w:p w14:paraId="7AC704C6">
      <w:pPr>
        <w:spacing w:line="400" w:lineRule="exact"/>
        <w:ind w:firstLine="420" w:firstLineChars="200"/>
        <w:rPr>
          <w:rFonts w:ascii="宋体" w:hAnsi="宋体" w:cs="宋体"/>
          <w:color w:val="auto"/>
          <w:szCs w:val="21"/>
        </w:rPr>
      </w:pPr>
      <w:bookmarkStart w:id="12" w:name="_Toc21541008"/>
      <w:bookmarkStart w:id="13" w:name="_Toc419729151"/>
      <w:bookmarkStart w:id="14" w:name="_Toc436408701"/>
      <w:bookmarkStart w:id="15" w:name="_Toc441316547"/>
      <w:r>
        <w:rPr>
          <w:rFonts w:hint="eastAsia" w:ascii="宋体" w:hAnsi="宋体" w:cs="宋体"/>
          <w:color w:val="auto"/>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bookmarkEnd w:id="12"/>
      <w:bookmarkEnd w:id="13"/>
      <w:bookmarkEnd w:id="14"/>
      <w:bookmarkEnd w:id="15"/>
      <w:r>
        <w:rPr>
          <w:rFonts w:hint="eastAsia" w:ascii="宋体" w:hAnsi="宋体" w:cs="宋体"/>
          <w:color w:val="auto"/>
          <w:szCs w:val="21"/>
        </w:rPr>
        <w:t>。</w:t>
      </w:r>
    </w:p>
    <w:p w14:paraId="43AAFF89">
      <w:pPr>
        <w:spacing w:line="400" w:lineRule="exact"/>
        <w:ind w:firstLine="420" w:firstLineChars="200"/>
        <w:rPr>
          <w:rFonts w:ascii="宋体" w:hAnsi="宋体" w:cs="宋体"/>
          <w:color w:val="auto"/>
          <w:szCs w:val="21"/>
        </w:rPr>
      </w:pPr>
      <w:r>
        <w:rPr>
          <w:rFonts w:hint="eastAsia" w:ascii="宋体" w:hAnsi="宋体" w:cs="宋体"/>
          <w:color w:val="auto"/>
          <w:szCs w:val="21"/>
        </w:rPr>
        <w:t>符合中小企业划分标准的个体工商户，在政府采购活动中视同中小企业。</w:t>
      </w:r>
    </w:p>
    <w:p w14:paraId="4A7095E5">
      <w:pPr>
        <w:spacing w:line="400" w:lineRule="exact"/>
        <w:ind w:firstLine="420" w:firstLineChars="200"/>
        <w:rPr>
          <w:rFonts w:ascii="宋体" w:hAnsi="宋体" w:cs="宋体"/>
          <w:color w:val="auto"/>
          <w:szCs w:val="21"/>
        </w:rPr>
      </w:pPr>
      <w:r>
        <w:rPr>
          <w:rFonts w:hint="eastAsia" w:ascii="宋体" w:hAnsi="宋体" w:cs="宋体"/>
          <w:color w:val="auto"/>
          <w:szCs w:val="21"/>
        </w:rPr>
        <w:t>（2）在政府采购活动中，供应商提供的货物、工程或者服务符合下列情形的，享受《政府采购促进中小企业发展管理办法》规定的中小企业扶持政策：</w:t>
      </w:r>
    </w:p>
    <w:p w14:paraId="5040ED67">
      <w:pPr>
        <w:spacing w:line="400" w:lineRule="exact"/>
        <w:ind w:firstLine="420" w:firstLineChars="200"/>
        <w:rPr>
          <w:rFonts w:ascii="宋体" w:hAnsi="宋体" w:cs="宋体"/>
          <w:color w:val="auto"/>
          <w:szCs w:val="21"/>
        </w:rPr>
      </w:pPr>
      <w:bookmarkStart w:id="16" w:name="_Toc436408702"/>
      <w:bookmarkStart w:id="17" w:name="_Toc21541009"/>
      <w:bookmarkStart w:id="18" w:name="_Toc419729152"/>
      <w:bookmarkStart w:id="19" w:name="_Toc441316548"/>
      <w:r>
        <w:rPr>
          <w:rFonts w:hint="eastAsia" w:ascii="宋体" w:hAnsi="宋体" w:cs="宋体"/>
          <w:color w:val="auto"/>
          <w:szCs w:val="21"/>
        </w:rPr>
        <w:t>①在货物采购项目中，货物由中小企业制造，即货物由中小企业生产且使用该中小企业商号或者注册商标；</w:t>
      </w:r>
      <w:bookmarkEnd w:id="16"/>
      <w:bookmarkEnd w:id="17"/>
      <w:bookmarkEnd w:id="18"/>
      <w:bookmarkEnd w:id="19"/>
    </w:p>
    <w:p w14:paraId="2E816522">
      <w:pPr>
        <w:spacing w:line="400" w:lineRule="exact"/>
        <w:ind w:firstLine="420" w:firstLineChars="200"/>
        <w:rPr>
          <w:rFonts w:ascii="宋体" w:hAnsi="宋体" w:cs="宋体"/>
          <w:color w:val="auto"/>
          <w:szCs w:val="21"/>
        </w:rPr>
      </w:pPr>
      <w:bookmarkStart w:id="20" w:name="_Toc21541010"/>
      <w:bookmarkStart w:id="21" w:name="_Toc441316549"/>
      <w:bookmarkStart w:id="22" w:name="_Toc436408703"/>
      <w:bookmarkStart w:id="23" w:name="_Toc419729153"/>
      <w:r>
        <w:rPr>
          <w:rFonts w:hint="eastAsia" w:ascii="宋体" w:hAnsi="宋体" w:cs="宋体"/>
          <w:color w:val="auto"/>
          <w:szCs w:val="21"/>
        </w:rPr>
        <w:t>②在工程采购项目中，工程由中小企业承建，即工程施工单位为中小企业</w:t>
      </w:r>
      <w:bookmarkEnd w:id="20"/>
      <w:bookmarkEnd w:id="21"/>
      <w:bookmarkEnd w:id="22"/>
      <w:bookmarkEnd w:id="23"/>
      <w:r>
        <w:rPr>
          <w:rFonts w:hint="eastAsia" w:ascii="宋体" w:hAnsi="宋体" w:cs="宋体"/>
          <w:color w:val="auto"/>
          <w:szCs w:val="21"/>
        </w:rPr>
        <w:t>；</w:t>
      </w:r>
    </w:p>
    <w:p w14:paraId="1C370A22">
      <w:pPr>
        <w:spacing w:line="400" w:lineRule="exact"/>
        <w:ind w:firstLine="420" w:firstLineChars="200"/>
        <w:rPr>
          <w:rFonts w:ascii="宋体" w:hAnsi="宋体" w:cs="宋体"/>
          <w:color w:val="auto"/>
          <w:szCs w:val="21"/>
        </w:rPr>
      </w:pPr>
      <w:r>
        <w:rPr>
          <w:rFonts w:hint="eastAsia" w:ascii="宋体" w:hAnsi="宋体" w:cs="宋体"/>
          <w:color w:val="auto"/>
          <w:szCs w:val="21"/>
        </w:rPr>
        <w:t>③在服务采购项目中，服务由中小企业承接，即提供服务的人员为中小企业依照《中华人民共和国劳动民法典》订立劳动合同的从业人员。</w:t>
      </w:r>
    </w:p>
    <w:p w14:paraId="3030865B">
      <w:pPr>
        <w:spacing w:line="400" w:lineRule="exact"/>
        <w:ind w:firstLine="420" w:firstLineChars="200"/>
        <w:rPr>
          <w:rFonts w:ascii="宋体" w:hAnsi="宋体" w:cs="宋体"/>
          <w:color w:val="auto"/>
          <w:szCs w:val="21"/>
        </w:rPr>
      </w:pPr>
      <w:r>
        <w:rPr>
          <w:rFonts w:hint="eastAsia" w:ascii="宋体" w:hAnsi="宋体" w:cs="宋体"/>
          <w:color w:val="auto"/>
          <w:szCs w:val="21"/>
        </w:rPr>
        <w:t>在货物采购项目中，供应商提供的货物既有中小企业制造货物，也有大型企业制造货物的，不享受《政府采购促进中小企业发展管理办法》规定的中小企业扶持政策。</w:t>
      </w:r>
    </w:p>
    <w:p w14:paraId="1AA646C2">
      <w:pPr>
        <w:spacing w:line="400" w:lineRule="exact"/>
        <w:ind w:firstLine="420" w:firstLineChars="200"/>
        <w:rPr>
          <w:rFonts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14:paraId="062FE0CA">
      <w:pPr>
        <w:spacing w:line="400" w:lineRule="exact"/>
        <w:ind w:firstLine="420" w:firstLineChars="200"/>
        <w:rPr>
          <w:rFonts w:ascii="宋体" w:hAnsi="宋体" w:cs="宋体"/>
          <w:color w:val="auto"/>
          <w:szCs w:val="21"/>
        </w:rPr>
      </w:pPr>
      <w:r>
        <w:rPr>
          <w:rFonts w:hint="eastAsia" w:ascii="宋体" w:hAnsi="宋体" w:cs="宋体"/>
          <w:color w:val="auto"/>
          <w:szCs w:val="21"/>
        </w:rPr>
        <w:t>（3）中小企业参加政府采购活动，应当出具《政府采购促进中小企业发展管理办法》规定的《中小企业声明函》（格式见第七章）。</w:t>
      </w:r>
    </w:p>
    <w:p w14:paraId="7E44E0BE">
      <w:pPr>
        <w:spacing w:line="400" w:lineRule="exact"/>
        <w:ind w:firstLine="420" w:firstLineChars="200"/>
        <w:rPr>
          <w:rFonts w:ascii="宋体" w:hAnsi="宋体" w:cs="宋体"/>
          <w:color w:val="auto"/>
          <w:szCs w:val="21"/>
        </w:rPr>
      </w:pPr>
      <w:r>
        <w:rPr>
          <w:rFonts w:hint="eastAsia" w:ascii="宋体" w:hAnsi="宋体" w:cs="宋体"/>
          <w:color w:val="auto"/>
          <w:szCs w:val="21"/>
        </w:rPr>
        <w:t>（4）采购活动过程中，对供应商的“中小企业”资格认定，以供应商提供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615BCA48">
      <w:pPr>
        <w:spacing w:line="400" w:lineRule="exact"/>
        <w:ind w:firstLine="420" w:firstLineChars="200"/>
        <w:rPr>
          <w:rFonts w:ascii="宋体" w:hAnsi="宋体" w:cs="宋体"/>
          <w:color w:val="auto"/>
          <w:szCs w:val="21"/>
        </w:rPr>
      </w:pPr>
      <w:r>
        <w:rPr>
          <w:rFonts w:hint="eastAsia" w:ascii="宋体" w:hAnsi="宋体" w:cs="宋体"/>
          <w:color w:val="auto"/>
          <w:szCs w:val="21"/>
        </w:rPr>
        <w:t>供应商提供声明函内容不实的，属于提供虚假材料谋取中标、成交，依照《中华人民共和国政府采购法》等国家有关规定追究相应责任。</w:t>
      </w:r>
    </w:p>
    <w:p w14:paraId="422B5850">
      <w:pPr>
        <w:spacing w:line="400" w:lineRule="exact"/>
        <w:ind w:firstLine="420" w:firstLineChars="200"/>
        <w:rPr>
          <w:rFonts w:ascii="宋体" w:hAnsi="宋体" w:cs="宋体"/>
          <w:color w:val="auto"/>
          <w:szCs w:val="21"/>
        </w:rPr>
      </w:pPr>
      <w:r>
        <w:rPr>
          <w:rFonts w:hint="eastAsia" w:ascii="宋体" w:hAnsi="宋体" w:cs="宋体"/>
          <w:color w:val="auto"/>
          <w:szCs w:val="21"/>
        </w:rPr>
        <w:t>适用招标投标法的政府采购工程建设项目，供应商提供声明函内容不实的，属于弄虚作假骗取中标，依照《中华人民共和国招标投标法》等国家有关规定追究相应责任。</w:t>
      </w:r>
    </w:p>
    <w:p w14:paraId="6809BBFE">
      <w:pPr>
        <w:spacing w:line="400" w:lineRule="exact"/>
        <w:ind w:firstLine="420" w:firstLineChars="200"/>
        <w:rPr>
          <w:rFonts w:ascii="宋体" w:hAnsi="宋体" w:cs="宋体"/>
          <w:color w:val="auto"/>
          <w:szCs w:val="21"/>
        </w:rPr>
      </w:pPr>
      <w:r>
        <w:rPr>
          <w:rFonts w:hint="eastAsia" w:ascii="宋体" w:hAnsi="宋体" w:cs="宋体"/>
          <w:color w:val="auto"/>
          <w:szCs w:val="21"/>
        </w:rPr>
        <w:t>（5）《中小企业声明函》由参加投标的供应商提交，如供应商为代理商，须自行采集制造商的中小企业划分类型信息填入相应栏目并对其真实性负责。</w:t>
      </w:r>
    </w:p>
    <w:p w14:paraId="71ADF640">
      <w:pPr>
        <w:spacing w:line="400" w:lineRule="exact"/>
        <w:ind w:firstLine="420" w:firstLineChars="200"/>
        <w:rPr>
          <w:rFonts w:ascii="宋体" w:hAnsi="宋体" w:cs="宋体"/>
          <w:color w:val="auto"/>
          <w:szCs w:val="21"/>
        </w:rPr>
      </w:pPr>
      <w:bookmarkStart w:id="24" w:name="_Toc495244277"/>
      <w:bookmarkStart w:id="25" w:name="_Toc21541015"/>
      <w:r>
        <w:rPr>
          <w:rFonts w:hint="eastAsia" w:ascii="宋体" w:hAnsi="宋体" w:cs="宋体"/>
          <w:color w:val="auto"/>
          <w:szCs w:val="21"/>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24"/>
      <w:bookmarkEnd w:id="25"/>
    </w:p>
    <w:p w14:paraId="0F6A86EA">
      <w:pPr>
        <w:spacing w:line="400" w:lineRule="exact"/>
        <w:ind w:firstLine="420" w:firstLineChars="200"/>
        <w:rPr>
          <w:rFonts w:ascii="宋体" w:hAnsi="宋体" w:cs="宋体"/>
          <w:color w:val="auto"/>
          <w:szCs w:val="21"/>
        </w:rPr>
      </w:pPr>
      <w:bookmarkStart w:id="26" w:name="_Toc21541016"/>
      <w:r>
        <w:rPr>
          <w:rFonts w:hint="eastAsia" w:ascii="宋体" w:hAnsi="宋体" w:cs="宋体"/>
          <w:color w:val="auto"/>
          <w:szCs w:val="21"/>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26"/>
    </w:p>
    <w:p w14:paraId="7B7F067C">
      <w:pPr>
        <w:spacing w:line="400" w:lineRule="exact"/>
        <w:ind w:firstLine="420" w:firstLineChars="200"/>
        <w:rPr>
          <w:rFonts w:ascii="宋体" w:hAnsi="宋体" w:cs="宋体"/>
          <w:color w:val="auto"/>
          <w:szCs w:val="21"/>
        </w:rPr>
      </w:pPr>
      <w:bookmarkStart w:id="27" w:name="_Toc21541017"/>
      <w:bookmarkStart w:id="28" w:name="_Toc419729158"/>
      <w:r>
        <w:rPr>
          <w:rFonts w:hint="eastAsia" w:ascii="宋体" w:hAnsi="宋体" w:cs="宋体"/>
          <w:color w:val="auto"/>
          <w:szCs w:val="21"/>
        </w:rPr>
        <w:t>4.本项目不组织潜在供应商现场考察或者召开开标前答疑。</w:t>
      </w:r>
      <w:bookmarkEnd w:id="27"/>
    </w:p>
    <w:p w14:paraId="087F3C78">
      <w:pPr>
        <w:spacing w:line="400" w:lineRule="exact"/>
        <w:ind w:firstLine="420" w:firstLineChars="200"/>
        <w:rPr>
          <w:rFonts w:ascii="宋体" w:hAnsi="宋体" w:cs="宋体"/>
          <w:color w:val="auto"/>
          <w:szCs w:val="21"/>
        </w:rPr>
      </w:pPr>
      <w:bookmarkStart w:id="29" w:name="_Toc21541018"/>
      <w:r>
        <w:rPr>
          <w:rFonts w:hint="eastAsia" w:ascii="宋体" w:hAnsi="宋体" w:cs="宋体"/>
          <w:color w:val="auto"/>
          <w:szCs w:val="21"/>
        </w:rPr>
        <w:t>5.本文件未及事项，在签订合同时供需及使用方友好商定。</w:t>
      </w:r>
      <w:bookmarkEnd w:id="28"/>
      <w:bookmarkEnd w:id="29"/>
    </w:p>
    <w:p w14:paraId="2256C954">
      <w:pPr>
        <w:spacing w:line="400" w:lineRule="exact"/>
        <w:ind w:firstLine="420" w:firstLineChars="200"/>
        <w:rPr>
          <w:rFonts w:ascii="宋体" w:hAnsi="宋体" w:cs="宋体"/>
          <w:b/>
          <w:color w:val="auto"/>
          <w:szCs w:val="21"/>
        </w:rPr>
      </w:pPr>
      <w:bookmarkStart w:id="30" w:name="_Toc419729159"/>
      <w:r>
        <w:rPr>
          <w:rFonts w:hint="eastAsia" w:ascii="宋体" w:hAnsi="宋体" w:cs="宋体"/>
          <w:color w:val="auto"/>
          <w:szCs w:val="21"/>
        </w:rPr>
        <w:t>6.本招标文件解释权归采购人。</w:t>
      </w:r>
      <w:bookmarkEnd w:id="30"/>
    </w:p>
    <w:p w14:paraId="6C7983F8">
      <w:pPr>
        <w:spacing w:line="400" w:lineRule="exact"/>
        <w:ind w:firstLine="422" w:firstLineChars="200"/>
        <w:rPr>
          <w:rFonts w:ascii="宋体" w:hAnsi="宋体" w:cs="宋体"/>
          <w:b/>
          <w:color w:val="auto"/>
          <w:szCs w:val="21"/>
        </w:rPr>
        <w:sectPr>
          <w:footerReference r:id="rId5" w:type="default"/>
          <w:pgSz w:w="11907" w:h="16840"/>
          <w:pgMar w:top="1440" w:right="1080" w:bottom="1440" w:left="1080" w:header="285" w:footer="442" w:gutter="0"/>
          <w:cols w:space="720" w:num="1"/>
          <w:docGrid w:linePitch="285" w:charSpace="0"/>
        </w:sectPr>
      </w:pPr>
    </w:p>
    <w:p w14:paraId="20AD094D">
      <w:pPr>
        <w:spacing w:line="400" w:lineRule="exact"/>
        <w:jc w:val="center"/>
        <w:outlineLvl w:val="0"/>
        <w:rPr>
          <w:rFonts w:ascii="宋体" w:hAnsi="宋体" w:cs="宋体"/>
          <w:b/>
          <w:color w:val="auto"/>
          <w:sz w:val="32"/>
        </w:rPr>
      </w:pPr>
      <w:bookmarkStart w:id="31" w:name="_Toc23065"/>
      <w:r>
        <w:rPr>
          <w:rFonts w:hint="eastAsia" w:ascii="宋体" w:hAnsi="宋体" w:cs="宋体"/>
          <w:b/>
          <w:color w:val="auto"/>
          <w:sz w:val="32"/>
        </w:rPr>
        <w:t>第三章评标办法及标准</w:t>
      </w:r>
      <w:bookmarkEnd w:id="31"/>
    </w:p>
    <w:p w14:paraId="501A2D1E">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一、评标办法</w:t>
      </w:r>
    </w:p>
    <w:p w14:paraId="6DAFF73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1.1本项目评标采用综合评分法。</w:t>
      </w:r>
    </w:p>
    <w:p w14:paraId="3B09653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1.2综合评分法：采用百分制，总分100分。供应商的综合得分为商务和技术得分与报价得分之和。按综合得分由高到低的排序，推荐中标候选人。若供应商的综合得分相等，则投标报价低者列前；若投标报价也相同时，采取随机抽签的方式确定排序。</w:t>
      </w:r>
    </w:p>
    <w:p w14:paraId="4DFACD1C">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1.3</w:t>
      </w:r>
      <w:r>
        <w:rPr>
          <w:rFonts w:hint="eastAsia" w:ascii="宋体" w:hAnsi="宋体" w:cs="宋体"/>
          <w:color w:val="auto"/>
          <w:szCs w:val="24"/>
        </w:rPr>
        <w:t>本项目需要落实的政府采购政策：《关于促进残疾人就业政府采购政策的通知》（财库[2017]141号）、《政府采购促进中小企业发展管理办法》（财库〔2020〕46号）、《关于政府采购支持监狱企业发展有关问题的通知》（财库[2014]68号）。</w:t>
      </w:r>
    </w:p>
    <w:p w14:paraId="4241828B">
      <w:pPr>
        <w:spacing w:line="400" w:lineRule="exact"/>
        <w:ind w:firstLine="420" w:firstLineChars="200"/>
        <w:jc w:val="left"/>
        <w:rPr>
          <w:rFonts w:ascii="宋体" w:hAnsi="宋体" w:cs="宋体"/>
          <w:b/>
          <w:bCs/>
          <w:color w:val="auto"/>
          <w:szCs w:val="21"/>
          <w:u w:val="single"/>
        </w:rPr>
      </w:pPr>
      <w:r>
        <w:rPr>
          <w:rFonts w:hint="eastAsia" w:ascii="宋体" w:hAnsi="宋体" w:cs="宋体"/>
          <w:color w:val="auto"/>
          <w:szCs w:val="21"/>
        </w:rPr>
        <w:t>1.4</w:t>
      </w:r>
      <w:r>
        <w:rPr>
          <w:rFonts w:hint="eastAsia" w:ascii="宋体" w:hAnsi="宋体" w:cs="宋体"/>
          <w:b/>
          <w:color w:val="auto"/>
          <w:szCs w:val="21"/>
        </w:rPr>
        <w:t>本次采购为专门面向中小企业</w:t>
      </w:r>
      <w:r>
        <w:rPr>
          <w:rFonts w:hint="eastAsia" w:ascii="宋体" w:hAnsi="宋体" w:cs="宋体"/>
          <w:color w:val="auto"/>
          <w:szCs w:val="21"/>
        </w:rPr>
        <w:t>，采购标的对应的中小企业划分标准所属行业：</w:t>
      </w:r>
      <w:r>
        <w:rPr>
          <w:rFonts w:hint="eastAsia" w:ascii="宋体" w:hAnsi="宋体" w:cs="宋体"/>
          <w:b/>
          <w:bCs/>
          <w:color w:val="auto"/>
          <w:szCs w:val="21"/>
          <w:u w:val="single"/>
        </w:rPr>
        <w:t>租赁和商务服务业。</w:t>
      </w:r>
    </w:p>
    <w:p w14:paraId="27EE3C9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1.5评标委员会成员对需要共同认定的事项存在争议的，应当按照少数服从多数的原则作出结论。</w:t>
      </w:r>
    </w:p>
    <w:p w14:paraId="7E7164FB">
      <w:pPr>
        <w:spacing w:line="400" w:lineRule="exact"/>
        <w:ind w:firstLine="420" w:firstLineChars="200"/>
        <w:jc w:val="left"/>
        <w:rPr>
          <w:rFonts w:ascii="宋体" w:hAnsi="宋体" w:cs="宋体"/>
          <w:b/>
          <w:bCs/>
          <w:color w:val="auto"/>
          <w:szCs w:val="21"/>
        </w:rPr>
      </w:pPr>
      <w:r>
        <w:rPr>
          <w:rFonts w:hint="eastAsia" w:ascii="宋体" w:hAnsi="宋体" w:cs="宋体"/>
          <w:color w:val="auto"/>
          <w:szCs w:val="21"/>
        </w:rPr>
        <w:t>二、</w:t>
      </w:r>
      <w:r>
        <w:rPr>
          <w:rFonts w:hint="eastAsia" w:ascii="宋体" w:hAnsi="宋体" w:cs="宋体"/>
          <w:b/>
          <w:bCs/>
          <w:color w:val="auto"/>
          <w:szCs w:val="21"/>
        </w:rPr>
        <w:t>评标程序</w:t>
      </w:r>
    </w:p>
    <w:p w14:paraId="03CF8C3C">
      <w:pPr>
        <w:spacing w:line="400" w:lineRule="exact"/>
        <w:ind w:firstLine="422" w:firstLineChars="200"/>
        <w:rPr>
          <w:rFonts w:ascii="宋体" w:hAnsi="宋体" w:cs="宋体"/>
          <w:b/>
          <w:color w:val="auto"/>
          <w:szCs w:val="21"/>
        </w:rPr>
      </w:pPr>
      <w:r>
        <w:rPr>
          <w:rFonts w:hint="eastAsia" w:ascii="宋体" w:hAnsi="宋体" w:cs="宋体"/>
          <w:b/>
          <w:color w:val="auto"/>
          <w:szCs w:val="21"/>
        </w:rPr>
        <w:t>2.1第一阶段评审</w:t>
      </w:r>
    </w:p>
    <w:p w14:paraId="6B729ED9">
      <w:pPr>
        <w:spacing w:line="400" w:lineRule="exact"/>
        <w:ind w:firstLine="420" w:firstLineChars="200"/>
        <w:rPr>
          <w:rFonts w:ascii="宋体" w:hAnsi="宋体" w:cs="宋体"/>
          <w:b/>
          <w:color w:val="auto"/>
          <w:szCs w:val="21"/>
        </w:rPr>
      </w:pPr>
      <w:r>
        <w:rPr>
          <w:rFonts w:hint="eastAsia" w:ascii="宋体" w:hAnsi="宋体" w:cs="宋体"/>
          <w:color w:val="auto"/>
          <w:szCs w:val="21"/>
        </w:rPr>
        <w:t>2.1.1资格文件、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color w:val="auto"/>
          <w:szCs w:val="21"/>
        </w:rPr>
        <w:t>资格性审查和符合性审查中，有任意一项审查结论不合格的，作无效标处理。</w:t>
      </w:r>
    </w:p>
    <w:p w14:paraId="5599843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2.1.2</w:t>
      </w:r>
      <w:r>
        <w:rPr>
          <w:rFonts w:hint="eastAsia" w:ascii="宋体" w:hAnsi="宋体" w:cs="宋体"/>
          <w:color w:val="auto"/>
          <w:szCs w:val="21"/>
          <w:lang w:val="zh-CN"/>
        </w:rPr>
        <w:t>比较与评价：</w:t>
      </w:r>
      <w:r>
        <w:rPr>
          <w:rFonts w:hint="eastAsia" w:ascii="宋体" w:hAnsi="宋体" w:cs="宋体"/>
          <w:color w:val="auto"/>
          <w:szCs w:val="21"/>
        </w:rPr>
        <w:t>评标委员会根据“附表3商务和技术评分表”的要求，</w:t>
      </w:r>
      <w:r>
        <w:rPr>
          <w:rFonts w:hint="eastAsia" w:ascii="宋体" w:hAnsi="宋体" w:cs="宋体"/>
          <w:color w:val="auto"/>
          <w:szCs w:val="21"/>
          <w:lang w:val="zh-CN"/>
        </w:rPr>
        <w:t>对照投标文件的应答进行比较，判定其偏差性质和程度，</w:t>
      </w:r>
      <w:r>
        <w:rPr>
          <w:rFonts w:hint="eastAsia" w:ascii="宋体" w:hAnsi="宋体" w:cs="宋体"/>
          <w:color w:val="auto"/>
          <w:szCs w:val="21"/>
        </w:rPr>
        <w:t>由评标委员会成员在分值范围内自行评分。供应商商务和技术得分为各评标委员会成员有效评分的算术平均值（小数点后保留二位数）。</w:t>
      </w:r>
    </w:p>
    <w:p w14:paraId="497374DD">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2.2第二阶段评审</w:t>
      </w:r>
    </w:p>
    <w:p w14:paraId="5265C7C8">
      <w:pPr>
        <w:spacing w:line="400" w:lineRule="exact"/>
        <w:ind w:firstLine="420" w:firstLineChars="200"/>
        <w:jc w:val="left"/>
        <w:rPr>
          <w:rFonts w:ascii="宋体" w:hAnsi="宋体" w:cs="宋体"/>
          <w:b/>
          <w:color w:val="auto"/>
          <w:szCs w:val="21"/>
        </w:rPr>
      </w:pPr>
      <w:r>
        <w:rPr>
          <w:rFonts w:hint="eastAsia" w:ascii="宋体" w:hAnsi="宋体" w:cs="宋体"/>
          <w:color w:val="auto"/>
          <w:szCs w:val="21"/>
        </w:rPr>
        <w:t>2.2.1报价文件初步审查：报价文件初步审查是指评标委员会根据“附表4初步审查表”的要求对投标文件逐一进行评审。</w:t>
      </w:r>
      <w:r>
        <w:rPr>
          <w:rFonts w:hint="eastAsia" w:ascii="宋体" w:hAnsi="宋体" w:cs="宋体"/>
          <w:b/>
          <w:color w:val="auto"/>
          <w:szCs w:val="21"/>
        </w:rPr>
        <w:t>初步审查中，审查结论不合格的，作无效标处理。</w:t>
      </w:r>
    </w:p>
    <w:p w14:paraId="25E12316">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2.2.2在评标过程中，发现的价格计算错误按下述原则修正：</w:t>
      </w:r>
    </w:p>
    <w:p w14:paraId="028319A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（1）投标文件中开标一览表内容与政采云系统“开标一览表”中录入的内容不一致的，以投标文件中开标一览表为准；</w:t>
      </w:r>
    </w:p>
    <w:p w14:paraId="2E7F65C0">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（2）投标文件中开标一览表内容与投标文件中相应内容不一致的，以开标一览表为准；</w:t>
      </w:r>
    </w:p>
    <w:p w14:paraId="0FEADC05">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（3）大写金额和小写金额不一致的，以大写金额为准；</w:t>
      </w:r>
    </w:p>
    <w:p w14:paraId="2A10854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（4）单价金额小数点或者百分比有明显错位的，以开标一览表的总价为准，并修改单价；</w:t>
      </w:r>
    </w:p>
    <w:p w14:paraId="01FF8D96">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（5）总价金额与按单价汇总金额不一致的，以单价金额计算结果为准。</w:t>
      </w:r>
    </w:p>
    <w:p w14:paraId="6AA48304">
      <w:pPr>
        <w:spacing w:line="400" w:lineRule="exact"/>
        <w:ind w:firstLine="420" w:firstLineChars="200"/>
        <w:jc w:val="left"/>
        <w:rPr>
          <w:rFonts w:ascii="宋体" w:hAnsi="宋体" w:cs="宋体"/>
          <w:color w:val="auto"/>
        </w:rPr>
      </w:pPr>
      <w:r>
        <w:rPr>
          <w:rFonts w:hint="eastAsia" w:ascii="宋体" w:hAnsi="宋体" w:cs="宋体"/>
          <w:color w:val="auto"/>
          <w:szCs w:val="21"/>
        </w:rPr>
        <w:t>同时出现两种以上不一致的，按照前款规定的顺序修正。修正后的报价经供应商确认后产生约束力，供应商不确认的，其投标无效。</w:t>
      </w:r>
    </w:p>
    <w:p w14:paraId="3DC22962">
      <w:pPr>
        <w:spacing w:line="400" w:lineRule="exact"/>
        <w:ind w:firstLine="420" w:firstLineChars="200"/>
        <w:jc w:val="left"/>
        <w:rPr>
          <w:rFonts w:ascii="宋体" w:hAnsi="宋体" w:cs="宋体"/>
          <w:color w:val="auto"/>
        </w:rPr>
      </w:pPr>
      <w:r>
        <w:rPr>
          <w:rFonts w:hint="eastAsia" w:ascii="宋体" w:hAnsi="宋体" w:cs="宋体"/>
          <w:color w:val="auto"/>
          <w:szCs w:val="21"/>
        </w:rPr>
        <w:t>2.2.3</w:t>
      </w:r>
      <w:r>
        <w:rPr>
          <w:rFonts w:hint="eastAsia" w:ascii="宋体" w:hAnsi="宋体" w:cs="宋体"/>
          <w:color w:val="auto"/>
        </w:rPr>
        <w:t>提供相同品牌产品且通过资格性审查、符合性审查的不同供应商参加同一标项投标的，按一家供应商计算，评审后综合得分最高的同品牌供应商获得中标</w:t>
      </w:r>
      <w:r>
        <w:rPr>
          <w:rFonts w:hint="eastAsia" w:ascii="宋体" w:hAnsi="宋体" w:cs="宋体"/>
          <w:color w:val="auto"/>
          <w:szCs w:val="21"/>
        </w:rPr>
        <w:t>候选</w:t>
      </w:r>
      <w:r>
        <w:rPr>
          <w:rFonts w:hint="eastAsia" w:ascii="宋体" w:hAnsi="宋体" w:cs="宋体"/>
          <w:color w:val="auto"/>
        </w:rPr>
        <w:t>人推荐资格；综合得分相同的，由评标委员会采取随机抽取方式确定，其他同品牌供应商不作为中标候选人。</w:t>
      </w:r>
    </w:p>
    <w:p w14:paraId="08A3910B">
      <w:pPr>
        <w:spacing w:line="400" w:lineRule="exact"/>
        <w:ind w:firstLine="420" w:firstLineChars="200"/>
        <w:jc w:val="left"/>
        <w:rPr>
          <w:rFonts w:ascii="宋体" w:hAnsi="宋体" w:cs="宋体"/>
          <w:color w:val="auto"/>
          <w:szCs w:val="21"/>
        </w:rPr>
      </w:pPr>
      <w:r>
        <w:rPr>
          <w:rFonts w:hint="eastAsia" w:ascii="宋体" w:hAnsi="宋体" w:cs="宋体"/>
          <w:color w:val="auto"/>
        </w:rPr>
        <w:t>非单一产品采购项目，多家供应商提供的核心产品品牌相同的，按上述规定处理。</w:t>
      </w:r>
    </w:p>
    <w:p w14:paraId="26B1E62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2.2.4评标委员会根据“附表5价格评分表”的规定，计算供应商报价得分（小数点后保留二位数）。</w:t>
      </w:r>
    </w:p>
    <w:p w14:paraId="2C91061F">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2.2.5综合评估：供应商的综合得分为商务和技术得分与报价得分之和。</w:t>
      </w:r>
    </w:p>
    <w:p w14:paraId="2422238E">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2.2.6推荐中标候选人：按综合得分由高到低的排序，推荐中标候选人。若供应商的综合得分相等，则投标报价低者列前；若投标报价也相同时，采取随机抽签的方式确定排序。</w:t>
      </w:r>
    </w:p>
    <w:p w14:paraId="73F71A55">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2.3确定中标供应商</w:t>
      </w:r>
    </w:p>
    <w:p w14:paraId="43239C5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按顺序确定1名中标供应商。中标供应商因不可抗力或者自身原因不能履行政府采购合同的，采购人可以按照评审报告推荐的下一中标候选人为中标供应商或重新招标。</w:t>
      </w:r>
    </w:p>
    <w:p w14:paraId="3FEF934F">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三、投标的澄清</w:t>
      </w:r>
    </w:p>
    <w:p w14:paraId="12BD47B6">
      <w:pPr>
        <w:spacing w:line="400" w:lineRule="exact"/>
        <w:ind w:firstLine="420" w:firstLineChars="200"/>
        <w:rPr>
          <w:rFonts w:ascii="宋体" w:hAnsi="宋体" w:cs="宋体"/>
          <w:color w:val="auto"/>
        </w:rPr>
      </w:pPr>
      <w:r>
        <w:rPr>
          <w:rFonts w:hint="eastAsia" w:ascii="宋体" w:hAnsi="宋体" w:cs="宋体"/>
          <w:color w:val="auto"/>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4CD3E9DB">
      <w:pPr>
        <w:spacing w:line="400" w:lineRule="exact"/>
        <w:ind w:firstLine="420" w:firstLineChars="200"/>
        <w:rPr>
          <w:rFonts w:ascii="宋体" w:hAnsi="宋体" w:cs="宋体"/>
          <w:color w:val="auto"/>
        </w:rPr>
      </w:pPr>
      <w:r>
        <w:rPr>
          <w:rFonts w:hint="eastAsia" w:ascii="宋体" w:hAnsi="宋体" w:cs="宋体"/>
          <w:color w:val="auto"/>
        </w:rPr>
        <w:t>3.2政采云具体操作如下：</w:t>
      </w:r>
    </w:p>
    <w:p w14:paraId="27F19BFE">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59C1E1A">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196865CB">
      <w:pPr>
        <w:spacing w:line="400" w:lineRule="exact"/>
        <w:ind w:firstLine="420" w:firstLineChars="200"/>
        <w:rPr>
          <w:rFonts w:ascii="宋体" w:hAnsi="宋体" w:cs="宋体"/>
          <w:color w:val="auto"/>
        </w:rPr>
      </w:pPr>
      <w:r>
        <w:rPr>
          <w:rFonts w:hint="eastAsia" w:ascii="宋体" w:hAnsi="宋体" w:cs="宋体"/>
          <w:color w:val="auto"/>
        </w:rPr>
        <w:t>（1）政采云平台通过待办事项和短信提醒供应商在截止时间前完成澄清。</w:t>
      </w:r>
    </w:p>
    <w:p w14:paraId="45FF9143">
      <w:pPr>
        <w:spacing w:line="400" w:lineRule="exact"/>
        <w:ind w:firstLine="420" w:firstLineChars="200"/>
        <w:rPr>
          <w:rFonts w:ascii="宋体" w:hAnsi="宋体" w:cs="宋体"/>
          <w:color w:val="auto"/>
        </w:rPr>
      </w:pPr>
      <w:r>
        <w:rPr>
          <w:rFonts w:hint="eastAsia" w:ascii="宋体" w:hAnsi="宋体" w:cs="宋体"/>
          <w:color w:val="auto"/>
        </w:rPr>
        <w:t>（2）供应商在“询标澄清-待办理”标签页下选择状态为“待澄清”的项目，点击操作栏【澄清】。</w:t>
      </w:r>
    </w:p>
    <w:p w14:paraId="1663F5D8">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3227F8F8">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（4）签章完成，文件名称处显示“已签章”，供应商可“撤回签章”修改澄清函和“查看文件”。</w:t>
      </w:r>
    </w:p>
    <w:p w14:paraId="1BCA8890">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01F831B">
      <w:pPr>
        <w:spacing w:line="400" w:lineRule="exact"/>
        <w:ind w:firstLine="420" w:firstLineChars="200"/>
        <w:rPr>
          <w:rFonts w:ascii="宋体" w:hAnsi="宋体" w:cs="宋体"/>
          <w:color w:val="auto"/>
        </w:rPr>
      </w:pPr>
      <w:r>
        <w:rPr>
          <w:rFonts w:hint="eastAsia" w:ascii="宋体" w:hAnsi="宋体" w:cs="宋体"/>
          <w:color w:val="auto"/>
        </w:rPr>
        <w:t>（6）完成状态：供应商澄清文件提交成功后，在“询标澄清-全部”标签页下显示状态为“已澄清”。</w:t>
      </w:r>
    </w:p>
    <w:p w14:paraId="526180CE">
      <w:pPr>
        <w:spacing w:line="400" w:lineRule="exact"/>
        <w:ind w:firstLine="420" w:firstLineChars="200"/>
        <w:jc w:val="left"/>
        <w:rPr>
          <w:rFonts w:ascii="宋体" w:hAnsi="宋体" w:cs="宋体"/>
          <w:color w:val="auto"/>
        </w:rPr>
      </w:pPr>
      <w:r>
        <w:rPr>
          <w:rFonts w:hint="eastAsia" w:ascii="宋体" w:hAnsi="宋体" w:cs="宋体"/>
          <w:color w:val="auto"/>
        </w:rPr>
        <w:t>3.3供应商未在截止时间前完成澄清，将被视作自动放弃。</w:t>
      </w:r>
    </w:p>
    <w:p w14:paraId="5EF3CBAD">
      <w:pPr>
        <w:spacing w:line="400" w:lineRule="exact"/>
        <w:ind w:firstLine="422" w:firstLineChars="200"/>
        <w:jc w:val="left"/>
        <w:rPr>
          <w:rFonts w:ascii="宋体" w:hAnsi="宋体" w:cs="宋体"/>
          <w:color w:val="auto"/>
          <w:szCs w:val="21"/>
        </w:rPr>
      </w:pPr>
      <w:r>
        <w:rPr>
          <w:rFonts w:hint="eastAsia" w:ascii="宋体" w:hAnsi="宋体" w:cs="宋体"/>
          <w:b/>
          <w:color w:val="auto"/>
          <w:szCs w:val="21"/>
        </w:rPr>
        <w:t>四、特别声明：价格是评标的重要因素之一，但最低价不是中标的唯一依据。</w:t>
      </w:r>
    </w:p>
    <w:p w14:paraId="02FCB951">
      <w:pPr>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五、重新招标</w:t>
      </w:r>
    </w:p>
    <w:p w14:paraId="5BA33047">
      <w:pPr>
        <w:spacing w:line="400" w:lineRule="exact"/>
        <w:ind w:firstLine="420" w:firstLineChars="200"/>
        <w:rPr>
          <w:rFonts w:ascii="宋体" w:hAnsi="宋体" w:cs="宋体"/>
          <w:color w:val="auto"/>
          <w:szCs w:val="21"/>
        </w:rPr>
      </w:pPr>
      <w:r>
        <w:rPr>
          <w:rFonts w:hint="eastAsia" w:ascii="宋体" w:hAnsi="宋体" w:cs="宋体"/>
          <w:color w:val="auto"/>
          <w:szCs w:val="21"/>
        </w:rPr>
        <w:t>有下列情形之一的，采购人将重新招标：</w:t>
      </w:r>
    </w:p>
    <w:p w14:paraId="619238D0">
      <w:pPr>
        <w:spacing w:line="400" w:lineRule="exact"/>
        <w:ind w:firstLine="420" w:firstLineChars="200"/>
        <w:rPr>
          <w:rFonts w:ascii="宋体" w:hAnsi="宋体" w:cs="宋体"/>
          <w:color w:val="auto"/>
          <w:szCs w:val="21"/>
        </w:rPr>
      </w:pPr>
      <w:r>
        <w:rPr>
          <w:rFonts w:hint="eastAsia" w:ascii="宋体" w:hAnsi="宋体" w:cs="宋体"/>
          <w:color w:val="auto"/>
          <w:szCs w:val="21"/>
        </w:rPr>
        <w:t>5.1投标截止时间止，供应商少于3个的；</w:t>
      </w:r>
    </w:p>
    <w:p w14:paraId="243FCF4D">
      <w:pPr>
        <w:spacing w:line="400" w:lineRule="exact"/>
        <w:ind w:firstLine="420" w:firstLineChars="200"/>
        <w:rPr>
          <w:rFonts w:ascii="宋体" w:hAnsi="宋体" w:cs="宋体"/>
          <w:color w:val="auto"/>
          <w:szCs w:val="21"/>
        </w:rPr>
      </w:pPr>
      <w:r>
        <w:rPr>
          <w:rFonts w:hint="eastAsia" w:ascii="宋体" w:hAnsi="宋体" w:cs="宋体"/>
          <w:color w:val="auto"/>
          <w:szCs w:val="21"/>
        </w:rPr>
        <w:t>5.2评标委员会评标过程中，有效供应商少于3个的；</w:t>
      </w:r>
    </w:p>
    <w:p w14:paraId="74F5EC5A">
      <w:pPr>
        <w:widowControl/>
        <w:spacing w:line="400" w:lineRule="exact"/>
        <w:ind w:firstLine="420" w:firstLineChars="200"/>
        <w:jc w:val="left"/>
        <w:rPr>
          <w:rFonts w:ascii="宋体" w:hAnsi="宋体" w:cs="宋体"/>
          <w:color w:val="auto"/>
          <w:szCs w:val="21"/>
        </w:rPr>
      </w:pPr>
      <w:r>
        <w:rPr>
          <w:rFonts w:hint="eastAsia" w:ascii="宋体" w:hAnsi="宋体" w:cs="宋体"/>
          <w:color w:val="auto"/>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38935CF">
      <w:pPr>
        <w:spacing w:line="400" w:lineRule="exact"/>
        <w:rPr>
          <w:rFonts w:ascii="宋体" w:hAnsi="宋体" w:cs="宋体"/>
          <w:color w:val="auto"/>
          <w:szCs w:val="21"/>
        </w:rPr>
      </w:pPr>
      <w:r>
        <w:rPr>
          <w:rFonts w:hint="eastAsia" w:ascii="宋体" w:hAnsi="宋体" w:cs="宋体"/>
          <w:color w:val="auto"/>
          <w:sz w:val="24"/>
          <w:szCs w:val="24"/>
        </w:rPr>
        <w:br w:type="page"/>
      </w:r>
      <w:r>
        <w:rPr>
          <w:rFonts w:hint="eastAsia" w:ascii="宋体" w:hAnsi="宋体" w:cs="宋体"/>
          <w:color w:val="auto"/>
          <w:szCs w:val="21"/>
        </w:rPr>
        <w:t>附表1：</w:t>
      </w:r>
    </w:p>
    <w:p w14:paraId="59A52A0D">
      <w:pPr>
        <w:spacing w:line="400" w:lineRule="exact"/>
        <w:jc w:val="center"/>
        <w:rPr>
          <w:rFonts w:ascii="宋体" w:hAnsi="宋体" w:cs="宋体"/>
          <w:b/>
          <w:color w:val="auto"/>
          <w:szCs w:val="21"/>
        </w:rPr>
      </w:pPr>
      <w:r>
        <w:rPr>
          <w:rFonts w:hint="eastAsia" w:ascii="宋体" w:hAnsi="宋体" w:cs="宋体"/>
          <w:b/>
          <w:color w:val="auto"/>
          <w:szCs w:val="21"/>
        </w:rPr>
        <w:t>资格性审查表</w:t>
      </w:r>
    </w:p>
    <w:tbl>
      <w:tblPr>
        <w:tblStyle w:val="48"/>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899"/>
        <w:gridCol w:w="5469"/>
      </w:tblGrid>
      <w:tr w14:paraId="0A80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299867C">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3899" w:type="dxa"/>
            <w:tcBorders>
              <w:top w:val="single" w:color="auto" w:sz="4" w:space="0"/>
              <w:left w:val="single" w:color="auto" w:sz="4" w:space="0"/>
              <w:bottom w:val="single" w:color="auto" w:sz="4" w:space="0"/>
              <w:right w:val="single" w:color="auto" w:sz="4" w:space="0"/>
              <w:tl2br w:val="nil"/>
              <w:tr2bl w:val="nil"/>
            </w:tcBorders>
            <w:vAlign w:val="center"/>
          </w:tcPr>
          <w:p w14:paraId="73D6B3DC">
            <w:pPr>
              <w:spacing w:line="400" w:lineRule="exact"/>
              <w:jc w:val="center"/>
              <w:rPr>
                <w:rFonts w:ascii="宋体" w:hAnsi="宋体" w:cs="宋体"/>
                <w:b/>
                <w:color w:val="auto"/>
                <w:szCs w:val="21"/>
              </w:rPr>
            </w:pPr>
            <w:r>
              <w:rPr>
                <w:rFonts w:hint="eastAsia" w:ascii="宋体" w:hAnsi="宋体" w:cs="宋体"/>
                <w:b/>
                <w:color w:val="auto"/>
                <w:szCs w:val="21"/>
              </w:rPr>
              <w:t>要求说明</w:t>
            </w:r>
          </w:p>
        </w:tc>
        <w:tc>
          <w:tcPr>
            <w:tcW w:w="5469" w:type="dxa"/>
            <w:tcBorders>
              <w:top w:val="single" w:color="auto" w:sz="4" w:space="0"/>
              <w:left w:val="single" w:color="auto" w:sz="4" w:space="0"/>
              <w:bottom w:val="single" w:color="auto" w:sz="4" w:space="0"/>
              <w:right w:val="single" w:color="auto" w:sz="4" w:space="0"/>
              <w:tl2br w:val="nil"/>
              <w:tr2bl w:val="nil"/>
            </w:tcBorders>
            <w:vAlign w:val="center"/>
          </w:tcPr>
          <w:p w14:paraId="1555E5E2">
            <w:pPr>
              <w:spacing w:line="400" w:lineRule="exact"/>
              <w:jc w:val="center"/>
              <w:rPr>
                <w:rFonts w:ascii="宋体" w:hAnsi="宋体" w:cs="宋体"/>
                <w:b/>
                <w:color w:val="auto"/>
                <w:szCs w:val="21"/>
              </w:rPr>
            </w:pPr>
            <w:r>
              <w:rPr>
                <w:rFonts w:hint="eastAsia" w:ascii="宋体" w:hAnsi="宋体" w:cs="宋体"/>
                <w:b/>
                <w:color w:val="auto"/>
                <w:szCs w:val="21"/>
              </w:rPr>
              <w:t>审查要求</w:t>
            </w:r>
          </w:p>
        </w:tc>
      </w:tr>
      <w:tr w14:paraId="4EB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635720D1">
            <w:pPr>
              <w:spacing w:line="400" w:lineRule="exact"/>
              <w:jc w:val="center"/>
              <w:rPr>
                <w:rFonts w:ascii="宋体" w:hAnsi="宋体" w:cs="宋体"/>
                <w:color w:val="auto"/>
                <w:szCs w:val="21"/>
              </w:rPr>
            </w:pPr>
            <w:r>
              <w:rPr>
                <w:rFonts w:hint="eastAsia" w:ascii="宋体" w:hAnsi="宋体" w:cs="宋体"/>
                <w:color w:val="auto"/>
                <w:szCs w:val="21"/>
              </w:rPr>
              <w:t>1</w:t>
            </w:r>
          </w:p>
        </w:tc>
        <w:tc>
          <w:tcPr>
            <w:tcW w:w="3899" w:type="dxa"/>
            <w:tcBorders>
              <w:top w:val="single" w:color="auto" w:sz="4" w:space="0"/>
              <w:left w:val="single" w:color="auto" w:sz="4" w:space="0"/>
              <w:bottom w:val="single" w:color="auto" w:sz="4" w:space="0"/>
              <w:right w:val="single" w:color="auto" w:sz="4" w:space="0"/>
              <w:tl2br w:val="nil"/>
              <w:tr2bl w:val="nil"/>
            </w:tcBorders>
            <w:vAlign w:val="center"/>
          </w:tcPr>
          <w:p w14:paraId="650A723F">
            <w:pPr>
              <w:spacing w:line="400" w:lineRule="exact"/>
              <w:rPr>
                <w:rFonts w:ascii="宋体" w:hAnsi="宋体" w:cs="宋体"/>
                <w:color w:val="auto"/>
                <w:szCs w:val="21"/>
              </w:rPr>
            </w:pPr>
            <w:r>
              <w:rPr>
                <w:rFonts w:hint="eastAsia" w:ascii="宋体" w:hAnsi="宋体" w:cs="宋体"/>
                <w:color w:val="auto"/>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5469" w:type="dxa"/>
            <w:tcBorders>
              <w:top w:val="single" w:color="auto" w:sz="4" w:space="0"/>
              <w:left w:val="single" w:color="auto" w:sz="4" w:space="0"/>
              <w:bottom w:val="single" w:color="auto" w:sz="4" w:space="0"/>
              <w:right w:val="single" w:color="auto" w:sz="4" w:space="0"/>
              <w:tl2br w:val="nil"/>
              <w:tr2bl w:val="nil"/>
            </w:tcBorders>
            <w:vAlign w:val="center"/>
          </w:tcPr>
          <w:p w14:paraId="4D0E6CA6">
            <w:pPr>
              <w:spacing w:line="400" w:lineRule="exact"/>
              <w:rPr>
                <w:rFonts w:ascii="宋体" w:hAnsi="宋体" w:cs="宋体"/>
                <w:color w:val="auto"/>
                <w:szCs w:val="21"/>
              </w:rPr>
            </w:pPr>
            <w:r>
              <w:rPr>
                <w:rFonts w:hint="eastAsia" w:ascii="宋体" w:hAnsi="宋体" w:cs="宋体"/>
                <w:color w:val="auto"/>
                <w:szCs w:val="21"/>
              </w:rPr>
              <w:t>A1、关于资格的承诺函；</w:t>
            </w:r>
          </w:p>
          <w:p w14:paraId="7FDF0824">
            <w:pPr>
              <w:spacing w:line="400" w:lineRule="exact"/>
              <w:rPr>
                <w:rFonts w:ascii="宋体" w:hAnsi="宋体" w:cs="宋体"/>
                <w:color w:val="auto"/>
                <w:szCs w:val="21"/>
              </w:rPr>
            </w:pPr>
            <w:r>
              <w:rPr>
                <w:rFonts w:hint="eastAsia" w:ascii="宋体" w:hAnsi="宋体" w:cs="宋体"/>
                <w:color w:val="auto"/>
                <w:szCs w:val="21"/>
              </w:rPr>
              <w:t>A2、营业执照（或事业法人登记证或其他登记证明材料）扫描件或电子营业执照加盖供应商公章（供应商如果有名称变更的，应提供由行政主管部门出具的变更证明文件扫描件加盖供应商公章）；</w:t>
            </w:r>
          </w:p>
        </w:tc>
      </w:tr>
      <w:tr w14:paraId="5E2F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1C8D942F">
            <w:pPr>
              <w:spacing w:line="400" w:lineRule="exact"/>
              <w:jc w:val="center"/>
              <w:rPr>
                <w:rFonts w:ascii="宋体" w:hAnsi="宋体" w:cs="宋体"/>
                <w:color w:val="auto"/>
                <w:szCs w:val="21"/>
              </w:rPr>
            </w:pPr>
            <w:r>
              <w:rPr>
                <w:rFonts w:hint="eastAsia" w:ascii="宋体" w:hAnsi="宋体" w:cs="宋体"/>
                <w:color w:val="auto"/>
                <w:szCs w:val="21"/>
              </w:rPr>
              <w:t>2</w:t>
            </w:r>
          </w:p>
        </w:tc>
        <w:tc>
          <w:tcPr>
            <w:tcW w:w="3899" w:type="dxa"/>
            <w:tcBorders>
              <w:top w:val="single" w:color="auto" w:sz="4" w:space="0"/>
              <w:left w:val="single" w:color="auto" w:sz="4" w:space="0"/>
              <w:bottom w:val="single" w:color="auto" w:sz="4" w:space="0"/>
              <w:right w:val="single" w:color="auto" w:sz="4" w:space="0"/>
              <w:tl2br w:val="nil"/>
              <w:tr2bl w:val="nil"/>
            </w:tcBorders>
            <w:vAlign w:val="center"/>
          </w:tcPr>
          <w:p w14:paraId="59774AC6">
            <w:pPr>
              <w:spacing w:line="400" w:lineRule="exact"/>
              <w:rPr>
                <w:rFonts w:ascii="宋体" w:hAnsi="宋体" w:cs="宋体"/>
                <w:color w:val="auto"/>
                <w:szCs w:val="21"/>
              </w:rPr>
            </w:pPr>
            <w:r>
              <w:rPr>
                <w:rFonts w:hint="eastAsia" w:ascii="宋体" w:hAnsi="宋体" w:cs="宋体"/>
                <w:color w:val="auto"/>
                <w:szCs w:val="21"/>
              </w:rPr>
              <w:t>落实政府采购政策需满足的资格要求：本项目为专门面向中小企业采购的项目（监狱企业、残疾人福利性单位视同小型、微型企业）。</w:t>
            </w:r>
          </w:p>
        </w:tc>
        <w:tc>
          <w:tcPr>
            <w:tcW w:w="5469" w:type="dxa"/>
            <w:tcBorders>
              <w:top w:val="single" w:color="auto" w:sz="4" w:space="0"/>
              <w:left w:val="single" w:color="auto" w:sz="4" w:space="0"/>
              <w:bottom w:val="single" w:color="auto" w:sz="4" w:space="0"/>
              <w:right w:val="single" w:color="auto" w:sz="4" w:space="0"/>
              <w:tl2br w:val="nil"/>
              <w:tr2bl w:val="nil"/>
            </w:tcBorders>
            <w:vAlign w:val="center"/>
          </w:tcPr>
          <w:p w14:paraId="235540FC">
            <w:pPr>
              <w:spacing w:line="400" w:lineRule="exact"/>
              <w:rPr>
                <w:rFonts w:ascii="宋体" w:hAnsi="宋体" w:cs="宋体"/>
                <w:color w:val="auto"/>
                <w:szCs w:val="21"/>
              </w:rPr>
            </w:pPr>
            <w:r>
              <w:rPr>
                <w:rFonts w:hint="eastAsia" w:ascii="宋体" w:hAnsi="宋体" w:cs="宋体"/>
                <w:color w:val="auto"/>
                <w:szCs w:val="21"/>
              </w:rPr>
              <w:t>1、中小企业声明函；</w:t>
            </w:r>
          </w:p>
          <w:p w14:paraId="53BABE06">
            <w:pPr>
              <w:spacing w:line="400" w:lineRule="exact"/>
              <w:rPr>
                <w:rFonts w:ascii="宋体" w:hAnsi="宋体" w:cs="宋体"/>
                <w:color w:val="auto"/>
                <w:szCs w:val="21"/>
              </w:rPr>
            </w:pPr>
            <w:r>
              <w:rPr>
                <w:rFonts w:hint="eastAsia" w:ascii="宋体" w:hAnsi="宋体" w:cs="宋体"/>
                <w:color w:val="auto"/>
                <w:szCs w:val="21"/>
              </w:rPr>
              <w:t>2、残疾人福利性单位的：提供残疾人福利性单位声明函（如有需提供）；</w:t>
            </w:r>
          </w:p>
          <w:p w14:paraId="2CC1C40F">
            <w:pPr>
              <w:spacing w:line="400" w:lineRule="exact"/>
              <w:rPr>
                <w:rFonts w:ascii="宋体" w:hAnsi="宋体" w:cs="宋体"/>
                <w:color w:val="auto"/>
                <w:szCs w:val="21"/>
              </w:rPr>
            </w:pPr>
            <w:r>
              <w:rPr>
                <w:rFonts w:hint="eastAsia" w:ascii="宋体" w:hAnsi="宋体" w:cs="宋体"/>
                <w:color w:val="auto"/>
                <w:szCs w:val="21"/>
              </w:rPr>
              <w:t>3、监狱企业（监狱和戒毒企业）提供自己企业的产品（服务）的：提供由省级以上监狱管理局、戒毒管理局（含新疆生产建设兵团）出具的属于监狱企业的证明文件扫描件（如有需提供）。</w:t>
            </w:r>
          </w:p>
        </w:tc>
      </w:tr>
      <w:tr w14:paraId="7218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14:paraId="2036E193">
            <w:p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3899" w:type="dxa"/>
            <w:tcBorders>
              <w:top w:val="single" w:color="auto" w:sz="4" w:space="0"/>
              <w:left w:val="single" w:color="auto" w:sz="4" w:space="0"/>
              <w:bottom w:val="single" w:color="auto" w:sz="4" w:space="0"/>
              <w:right w:val="single" w:color="auto" w:sz="4" w:space="0"/>
              <w:tl2br w:val="nil"/>
              <w:tr2bl w:val="nil"/>
            </w:tcBorders>
            <w:vAlign w:val="center"/>
          </w:tcPr>
          <w:p w14:paraId="0D2A424F">
            <w:pPr>
              <w:spacing w:beforeLines="0" w:afterLines="0" w:line="340" w:lineRule="exact"/>
              <w:rPr>
                <w:rFonts w:hint="eastAsia" w:ascii="宋体" w:hAnsi="宋体" w:cs="宋体"/>
                <w:color w:val="auto"/>
                <w:szCs w:val="21"/>
              </w:rPr>
            </w:pPr>
            <w:r>
              <w:rPr>
                <w:rFonts w:hint="eastAsia" w:ascii="宋体" w:hAnsi="宋体" w:eastAsia="宋体" w:cs="宋体"/>
                <w:sz w:val="21"/>
                <w:szCs w:val="21"/>
                <w:lang w:bidi="ar"/>
              </w:rPr>
              <w:t>供应商具有公安机关核发的保安服务许可证。</w:t>
            </w:r>
          </w:p>
        </w:tc>
        <w:tc>
          <w:tcPr>
            <w:tcW w:w="5469" w:type="dxa"/>
            <w:tcBorders>
              <w:top w:val="single" w:color="auto" w:sz="4" w:space="0"/>
              <w:left w:val="single" w:color="auto" w:sz="4" w:space="0"/>
              <w:bottom w:val="single" w:color="auto" w:sz="4" w:space="0"/>
              <w:right w:val="single" w:color="auto" w:sz="4" w:space="0"/>
              <w:tl2br w:val="nil"/>
              <w:tr2bl w:val="nil"/>
            </w:tcBorders>
            <w:vAlign w:val="center"/>
          </w:tcPr>
          <w:p w14:paraId="2B883E5A">
            <w:pPr>
              <w:spacing w:beforeLines="0" w:afterLines="0" w:line="340" w:lineRule="exact"/>
              <w:rPr>
                <w:rFonts w:hint="eastAsia" w:ascii="宋体" w:hAnsi="宋体" w:eastAsia="宋体" w:cs="宋体"/>
                <w:color w:val="auto"/>
                <w:szCs w:val="21"/>
                <w:lang w:val="en-US" w:eastAsia="zh-CN"/>
              </w:rPr>
            </w:pPr>
            <w:r>
              <w:rPr>
                <w:rFonts w:hint="eastAsia" w:ascii="宋体" w:hAnsi="宋体" w:eastAsia="宋体" w:cs="宋体"/>
                <w:sz w:val="21"/>
                <w:szCs w:val="21"/>
                <w:lang w:bidi="ar"/>
              </w:rPr>
              <w:t>提供公安机关核发的保安服务许可证原件扫描件加盖供应商公章。</w:t>
            </w:r>
          </w:p>
        </w:tc>
      </w:tr>
      <w:tr w14:paraId="419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7FCCD1D">
            <w:pPr>
              <w:spacing w:line="400" w:lineRule="exact"/>
              <w:jc w:val="center"/>
              <w:rPr>
                <w:rFonts w:ascii="宋体" w:hAnsi="宋体" w:cs="宋体"/>
                <w:color w:val="auto"/>
              </w:rPr>
            </w:pPr>
            <w:r>
              <w:rPr>
                <w:rFonts w:hint="eastAsia" w:ascii="宋体" w:hAnsi="宋体" w:cs="宋体"/>
                <w:b/>
                <w:color w:val="auto"/>
                <w:szCs w:val="21"/>
              </w:rPr>
              <w:t>资格性审查结论</w:t>
            </w:r>
          </w:p>
        </w:tc>
        <w:tc>
          <w:tcPr>
            <w:tcW w:w="5469" w:type="dxa"/>
            <w:tcBorders>
              <w:top w:val="single" w:color="auto" w:sz="4" w:space="0"/>
              <w:left w:val="single" w:color="auto" w:sz="4" w:space="0"/>
              <w:bottom w:val="single" w:color="auto" w:sz="4" w:space="0"/>
              <w:right w:val="single" w:color="auto" w:sz="4" w:space="0"/>
              <w:tl2br w:val="nil"/>
              <w:tr2bl w:val="nil"/>
            </w:tcBorders>
            <w:vAlign w:val="center"/>
          </w:tcPr>
          <w:p w14:paraId="238EF971">
            <w:pPr>
              <w:spacing w:line="400" w:lineRule="exact"/>
              <w:jc w:val="center"/>
              <w:rPr>
                <w:rFonts w:ascii="宋体" w:hAnsi="宋体" w:cs="宋体"/>
                <w:color w:val="auto"/>
                <w:szCs w:val="21"/>
              </w:rPr>
            </w:pPr>
          </w:p>
        </w:tc>
      </w:tr>
    </w:tbl>
    <w:p w14:paraId="67B400BC">
      <w:pPr>
        <w:spacing w:line="340" w:lineRule="exact"/>
        <w:rPr>
          <w:rFonts w:ascii="宋体" w:hAnsi="宋体" w:cs="宋体"/>
          <w:b/>
          <w:color w:val="auto"/>
        </w:rPr>
      </w:pPr>
      <w:r>
        <w:rPr>
          <w:rFonts w:hint="eastAsia" w:ascii="宋体" w:hAnsi="宋体" w:cs="宋体"/>
          <w:b/>
          <w:color w:val="auto"/>
        </w:rPr>
        <w:t>注：1、上述资格证明文件未按招标文件要求附入投标文件中的，资格性审查不合格。</w:t>
      </w:r>
    </w:p>
    <w:p w14:paraId="4C99C5AF">
      <w:pPr>
        <w:spacing w:line="340" w:lineRule="exact"/>
        <w:ind w:firstLine="422" w:firstLineChars="200"/>
        <w:rPr>
          <w:rFonts w:ascii="宋体" w:hAnsi="宋体" w:cs="宋体"/>
          <w:b/>
          <w:color w:val="auto"/>
        </w:rPr>
      </w:pPr>
      <w:r>
        <w:rPr>
          <w:rFonts w:hint="eastAsia" w:ascii="宋体" w:hAnsi="宋体" w:cs="宋体"/>
          <w:b/>
          <w:color w:val="auto"/>
        </w:rPr>
        <w:t>2、上述审查项目中，任意一项不符合的，资格性审查不合格。</w:t>
      </w:r>
    </w:p>
    <w:p w14:paraId="1E468644">
      <w:pPr>
        <w:spacing w:line="340" w:lineRule="exact"/>
        <w:ind w:firstLine="422" w:firstLineChars="200"/>
        <w:rPr>
          <w:rFonts w:ascii="宋体" w:hAnsi="宋体" w:cs="宋体"/>
          <w:b/>
          <w:color w:val="auto"/>
        </w:rPr>
      </w:pPr>
      <w:r>
        <w:rPr>
          <w:rFonts w:hint="eastAsia" w:ascii="宋体" w:hAnsi="宋体" w:cs="宋体"/>
          <w:b/>
          <w:color w:val="auto"/>
        </w:rPr>
        <w:t>3、采购人、代理机构将于开标当天通过“信用中国”网站查询供应商失信被执行人、重大税收违法案件当事人信用记录，通过中国政府采购网查询供应商政府采购严重违法失信行为信用记录。若供应商被列入失信被执行人、重大税收违法案件当事人名单、政府采购严重违法失信行为记录名单，其资格审查为不合格，其投标将被认定为无效投标。</w:t>
      </w:r>
    </w:p>
    <w:p w14:paraId="18836045">
      <w:pPr>
        <w:spacing w:line="340" w:lineRule="exact"/>
        <w:ind w:firstLine="422" w:firstLineChars="200"/>
        <w:rPr>
          <w:rFonts w:ascii="宋体" w:hAnsi="宋体" w:cs="宋体"/>
          <w:b/>
          <w:color w:val="auto"/>
        </w:rPr>
      </w:pPr>
      <w:r>
        <w:rPr>
          <w:rFonts w:hint="eastAsia" w:ascii="宋体" w:hAnsi="宋体" w:cs="宋体"/>
          <w:b/>
          <w:color w:val="auto"/>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p w14:paraId="21B1DEA1">
      <w:pPr>
        <w:spacing w:line="400" w:lineRule="exact"/>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附表2：</w:t>
      </w:r>
    </w:p>
    <w:p w14:paraId="51340E43">
      <w:pPr>
        <w:widowControl/>
        <w:snapToGrid w:val="0"/>
        <w:spacing w:line="560" w:lineRule="exact"/>
        <w:jc w:val="center"/>
        <w:rPr>
          <w:rFonts w:ascii="宋体" w:hAnsi="宋体" w:cs="宋体"/>
          <w:b/>
          <w:color w:val="auto"/>
          <w:szCs w:val="21"/>
        </w:rPr>
      </w:pPr>
      <w:r>
        <w:rPr>
          <w:rFonts w:hint="eastAsia" w:ascii="宋体" w:hAnsi="宋体" w:cs="宋体"/>
          <w:b/>
          <w:color w:val="auto"/>
          <w:szCs w:val="21"/>
        </w:rPr>
        <w:t>符合性审查表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14E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67824A6D">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4782" w:type="dxa"/>
            <w:vAlign w:val="center"/>
          </w:tcPr>
          <w:p w14:paraId="469ADF20">
            <w:pPr>
              <w:spacing w:line="360" w:lineRule="exact"/>
              <w:jc w:val="center"/>
              <w:rPr>
                <w:rFonts w:ascii="宋体" w:hAnsi="宋体" w:cs="宋体"/>
                <w:b/>
                <w:color w:val="auto"/>
                <w:szCs w:val="21"/>
              </w:rPr>
            </w:pPr>
            <w:r>
              <w:rPr>
                <w:rFonts w:hint="eastAsia" w:ascii="宋体" w:hAnsi="宋体" w:cs="宋体"/>
                <w:b/>
                <w:color w:val="auto"/>
                <w:szCs w:val="21"/>
              </w:rPr>
              <w:t>要求说明</w:t>
            </w:r>
          </w:p>
        </w:tc>
        <w:tc>
          <w:tcPr>
            <w:tcW w:w="3913" w:type="dxa"/>
            <w:vAlign w:val="center"/>
          </w:tcPr>
          <w:p w14:paraId="4C845F16">
            <w:pPr>
              <w:spacing w:line="360" w:lineRule="exact"/>
              <w:jc w:val="center"/>
              <w:rPr>
                <w:rFonts w:ascii="宋体" w:hAnsi="宋体" w:cs="宋体"/>
                <w:b/>
                <w:color w:val="auto"/>
                <w:szCs w:val="21"/>
              </w:rPr>
            </w:pPr>
            <w:r>
              <w:rPr>
                <w:rFonts w:hint="eastAsia" w:ascii="宋体" w:hAnsi="宋体" w:cs="宋体"/>
                <w:b/>
                <w:color w:val="auto"/>
                <w:szCs w:val="21"/>
              </w:rPr>
              <w:t>审查要求</w:t>
            </w:r>
          </w:p>
        </w:tc>
      </w:tr>
      <w:tr w14:paraId="367D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82490D2">
            <w:pPr>
              <w:spacing w:line="400" w:lineRule="exact"/>
              <w:jc w:val="center"/>
              <w:rPr>
                <w:rFonts w:ascii="宋体" w:hAnsi="宋体" w:cs="宋体"/>
                <w:color w:val="auto"/>
                <w:szCs w:val="21"/>
              </w:rPr>
            </w:pPr>
            <w:r>
              <w:rPr>
                <w:rFonts w:hint="eastAsia" w:ascii="宋体" w:hAnsi="宋体" w:cs="宋体"/>
                <w:color w:val="auto"/>
                <w:szCs w:val="21"/>
              </w:rPr>
              <w:t>1</w:t>
            </w:r>
          </w:p>
        </w:tc>
        <w:tc>
          <w:tcPr>
            <w:tcW w:w="4782" w:type="dxa"/>
            <w:vAlign w:val="center"/>
          </w:tcPr>
          <w:p w14:paraId="190DE441">
            <w:pPr>
              <w:snapToGrid w:val="0"/>
              <w:spacing w:line="360" w:lineRule="exact"/>
              <w:rPr>
                <w:rFonts w:ascii="宋体" w:hAnsi="宋体" w:cs="宋体"/>
                <w:color w:val="auto"/>
                <w:szCs w:val="21"/>
              </w:rPr>
            </w:pPr>
            <w:r>
              <w:rPr>
                <w:rFonts w:hint="eastAsia" w:ascii="宋体" w:hAnsi="宋体" w:cs="宋体"/>
                <w:color w:val="auto"/>
                <w:szCs w:val="21"/>
              </w:rPr>
              <w:t>投标有效期：符合第二章“投标须知”第六、1条的要求。</w:t>
            </w:r>
          </w:p>
        </w:tc>
        <w:tc>
          <w:tcPr>
            <w:tcW w:w="3913" w:type="dxa"/>
            <w:vAlign w:val="center"/>
          </w:tcPr>
          <w:p w14:paraId="10B23D2A">
            <w:pPr>
              <w:snapToGrid w:val="0"/>
              <w:spacing w:line="360" w:lineRule="exact"/>
              <w:rPr>
                <w:rFonts w:ascii="宋体" w:hAnsi="宋体" w:cs="宋体"/>
                <w:color w:val="auto"/>
                <w:szCs w:val="21"/>
              </w:rPr>
            </w:pPr>
            <w:r>
              <w:rPr>
                <w:rFonts w:hint="eastAsia" w:ascii="宋体" w:hAnsi="宋体" w:cs="宋体"/>
                <w:color w:val="auto"/>
                <w:szCs w:val="21"/>
              </w:rPr>
              <w:t>提供“投标书”。</w:t>
            </w:r>
          </w:p>
        </w:tc>
      </w:tr>
      <w:tr w14:paraId="0F5B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B17104D">
            <w:pPr>
              <w:spacing w:line="400" w:lineRule="exact"/>
              <w:jc w:val="center"/>
              <w:rPr>
                <w:rFonts w:ascii="宋体" w:hAnsi="宋体" w:cs="宋体"/>
                <w:color w:val="auto"/>
                <w:szCs w:val="21"/>
              </w:rPr>
            </w:pPr>
            <w:r>
              <w:rPr>
                <w:rFonts w:hint="eastAsia" w:ascii="宋体" w:hAnsi="宋体" w:cs="宋体"/>
                <w:color w:val="auto"/>
                <w:szCs w:val="21"/>
              </w:rPr>
              <w:t>2</w:t>
            </w:r>
          </w:p>
        </w:tc>
        <w:tc>
          <w:tcPr>
            <w:tcW w:w="4782" w:type="dxa"/>
            <w:vAlign w:val="center"/>
          </w:tcPr>
          <w:p w14:paraId="6A318C46">
            <w:pPr>
              <w:snapToGrid w:val="0"/>
              <w:spacing w:line="360" w:lineRule="exact"/>
              <w:rPr>
                <w:rFonts w:ascii="宋体" w:hAnsi="宋体" w:cs="宋体"/>
                <w:color w:val="auto"/>
                <w:szCs w:val="21"/>
              </w:rPr>
            </w:pPr>
            <w:r>
              <w:rPr>
                <w:rFonts w:hint="eastAsia" w:ascii="宋体" w:hAnsi="宋体" w:cs="宋体"/>
                <w:color w:val="auto"/>
                <w:szCs w:val="21"/>
              </w:rPr>
              <w:t>法定代表人身份证明、法定代表人授权书。</w:t>
            </w:r>
          </w:p>
        </w:tc>
        <w:tc>
          <w:tcPr>
            <w:tcW w:w="3913" w:type="dxa"/>
            <w:vAlign w:val="center"/>
          </w:tcPr>
          <w:p w14:paraId="11591478">
            <w:pPr>
              <w:snapToGrid w:val="0"/>
              <w:spacing w:line="360" w:lineRule="exact"/>
              <w:rPr>
                <w:rFonts w:ascii="宋体" w:hAnsi="宋体" w:cs="宋体"/>
                <w:color w:val="auto"/>
                <w:szCs w:val="21"/>
              </w:rPr>
            </w:pPr>
            <w:r>
              <w:rPr>
                <w:rFonts w:hint="eastAsia" w:ascii="宋体" w:hAnsi="宋体" w:cs="宋体"/>
                <w:color w:val="auto"/>
                <w:szCs w:val="21"/>
              </w:rPr>
              <w:t>（1）投标文件由法定代表人签字的，提供“法定代表人身份证明”。</w:t>
            </w:r>
          </w:p>
          <w:p w14:paraId="28D349C0">
            <w:pPr>
              <w:snapToGrid w:val="0"/>
              <w:spacing w:line="360" w:lineRule="exact"/>
              <w:rPr>
                <w:rFonts w:ascii="宋体" w:hAnsi="宋体" w:cs="宋体"/>
                <w:color w:val="auto"/>
                <w:szCs w:val="21"/>
              </w:rPr>
            </w:pPr>
            <w:r>
              <w:rPr>
                <w:rFonts w:hint="eastAsia" w:ascii="宋体" w:hAnsi="宋体" w:cs="宋体"/>
                <w:color w:val="auto"/>
                <w:szCs w:val="21"/>
              </w:rPr>
              <w:t>（2）投标文件由授权代表签字的，提供“法定代表人身份证明”和“法定代表人授权书”</w:t>
            </w:r>
          </w:p>
        </w:tc>
      </w:tr>
      <w:tr w14:paraId="325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084BE5">
            <w:pPr>
              <w:spacing w:line="400" w:lineRule="exact"/>
              <w:jc w:val="center"/>
              <w:rPr>
                <w:rFonts w:ascii="宋体" w:hAnsi="宋体" w:cs="宋体"/>
                <w:color w:val="auto"/>
                <w:szCs w:val="21"/>
              </w:rPr>
            </w:pPr>
            <w:r>
              <w:rPr>
                <w:rFonts w:hint="eastAsia" w:ascii="宋体" w:hAnsi="宋体" w:cs="宋体"/>
                <w:color w:val="auto"/>
                <w:szCs w:val="21"/>
              </w:rPr>
              <w:t>3</w:t>
            </w:r>
          </w:p>
        </w:tc>
        <w:tc>
          <w:tcPr>
            <w:tcW w:w="4782" w:type="dxa"/>
            <w:vAlign w:val="center"/>
          </w:tcPr>
          <w:p w14:paraId="5FF4CF4A">
            <w:pPr>
              <w:snapToGrid w:val="0"/>
              <w:spacing w:line="360" w:lineRule="exact"/>
              <w:rPr>
                <w:rFonts w:ascii="宋体" w:hAnsi="宋体" w:cs="宋体"/>
                <w:color w:val="auto"/>
                <w:szCs w:val="21"/>
              </w:rPr>
            </w:pPr>
            <w:r>
              <w:rPr>
                <w:rFonts w:hint="eastAsia" w:ascii="宋体" w:hAnsi="宋体" w:cs="宋体"/>
                <w:color w:val="auto"/>
                <w:szCs w:val="21"/>
              </w:rPr>
              <w:t>符合第二章“投标须知”第九、1条的要求。</w:t>
            </w:r>
          </w:p>
        </w:tc>
        <w:tc>
          <w:tcPr>
            <w:tcW w:w="3913" w:type="dxa"/>
            <w:vAlign w:val="center"/>
          </w:tcPr>
          <w:p w14:paraId="4D3F8B6B">
            <w:pPr>
              <w:snapToGrid w:val="0"/>
              <w:spacing w:line="360" w:lineRule="exact"/>
              <w:rPr>
                <w:rFonts w:ascii="宋体" w:hAnsi="宋体" w:cs="宋体"/>
                <w:color w:val="auto"/>
                <w:szCs w:val="21"/>
              </w:rPr>
            </w:pPr>
            <w:r>
              <w:rPr>
                <w:rFonts w:hint="eastAsia" w:ascii="宋体" w:hAnsi="宋体" w:cs="宋体"/>
                <w:color w:val="auto"/>
                <w:szCs w:val="21"/>
              </w:rPr>
              <w:t>投标文件的签署盖章符合所述要求。</w:t>
            </w:r>
          </w:p>
        </w:tc>
      </w:tr>
      <w:tr w14:paraId="253E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EE048EB">
            <w:pPr>
              <w:spacing w:line="400" w:lineRule="exact"/>
              <w:jc w:val="center"/>
              <w:rPr>
                <w:rFonts w:ascii="宋体" w:hAnsi="宋体" w:cs="宋体"/>
                <w:color w:val="auto"/>
                <w:szCs w:val="21"/>
              </w:rPr>
            </w:pPr>
            <w:r>
              <w:rPr>
                <w:rFonts w:hint="eastAsia" w:ascii="宋体" w:hAnsi="宋体" w:cs="宋体"/>
                <w:color w:val="auto"/>
                <w:szCs w:val="21"/>
              </w:rPr>
              <w:t>4</w:t>
            </w:r>
          </w:p>
        </w:tc>
        <w:tc>
          <w:tcPr>
            <w:tcW w:w="4782" w:type="dxa"/>
            <w:vAlign w:val="center"/>
          </w:tcPr>
          <w:p w14:paraId="0C90D2F6">
            <w:pPr>
              <w:snapToGrid w:val="0"/>
              <w:spacing w:line="360" w:lineRule="exact"/>
              <w:rPr>
                <w:rFonts w:ascii="宋体" w:hAnsi="宋体" w:cs="宋体"/>
                <w:color w:val="auto"/>
                <w:szCs w:val="21"/>
              </w:rPr>
            </w:pPr>
            <w:r>
              <w:rPr>
                <w:rFonts w:hint="eastAsia" w:ascii="宋体" w:hAnsi="宋体" w:cs="宋体"/>
                <w:color w:val="auto"/>
                <w:szCs w:val="21"/>
              </w:rPr>
              <w:t>商务和技术文件中不得出现涉及投标价格的内容。</w:t>
            </w:r>
          </w:p>
        </w:tc>
        <w:tc>
          <w:tcPr>
            <w:tcW w:w="3913" w:type="dxa"/>
            <w:vAlign w:val="center"/>
          </w:tcPr>
          <w:p w14:paraId="446E1204">
            <w:pPr>
              <w:snapToGrid w:val="0"/>
              <w:spacing w:line="360" w:lineRule="exact"/>
              <w:rPr>
                <w:rFonts w:ascii="宋体" w:hAnsi="宋体" w:cs="宋体"/>
                <w:color w:val="auto"/>
                <w:szCs w:val="21"/>
              </w:rPr>
            </w:pPr>
            <w:r>
              <w:rPr>
                <w:rFonts w:hint="eastAsia" w:ascii="宋体" w:hAnsi="宋体" w:cs="宋体"/>
                <w:color w:val="auto"/>
                <w:szCs w:val="21"/>
              </w:rPr>
              <w:t>商务和技术文件中是否出现涉及投标价格的内容。</w:t>
            </w:r>
          </w:p>
        </w:tc>
      </w:tr>
      <w:tr w14:paraId="6DF3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2A325ED">
            <w:pPr>
              <w:spacing w:line="400" w:lineRule="exact"/>
              <w:jc w:val="center"/>
              <w:rPr>
                <w:rFonts w:ascii="宋体" w:hAnsi="宋体" w:cs="宋体"/>
                <w:color w:val="auto"/>
                <w:szCs w:val="21"/>
              </w:rPr>
            </w:pPr>
            <w:r>
              <w:rPr>
                <w:rFonts w:hint="eastAsia" w:ascii="宋体" w:hAnsi="宋体" w:cs="宋体"/>
                <w:color w:val="auto"/>
                <w:szCs w:val="21"/>
              </w:rPr>
              <w:t>5</w:t>
            </w:r>
          </w:p>
        </w:tc>
        <w:tc>
          <w:tcPr>
            <w:tcW w:w="4782" w:type="dxa"/>
            <w:vAlign w:val="center"/>
          </w:tcPr>
          <w:p w14:paraId="40E2E736">
            <w:pPr>
              <w:snapToGrid w:val="0"/>
              <w:spacing w:line="360" w:lineRule="exact"/>
              <w:rPr>
                <w:rFonts w:ascii="宋体" w:hAnsi="宋体" w:cs="宋体"/>
                <w:color w:val="auto"/>
                <w:szCs w:val="21"/>
              </w:rPr>
            </w:pPr>
            <w:r>
              <w:rPr>
                <w:rFonts w:hint="eastAsia" w:ascii="宋体" w:hAnsi="宋体" w:cs="宋体"/>
                <w:color w:val="auto"/>
                <w:szCs w:val="21"/>
              </w:rPr>
              <w:t>对同个标项不允许提供两个投标方案。</w:t>
            </w:r>
          </w:p>
        </w:tc>
        <w:tc>
          <w:tcPr>
            <w:tcW w:w="3913" w:type="dxa"/>
            <w:vAlign w:val="center"/>
          </w:tcPr>
          <w:p w14:paraId="2D7D4A94">
            <w:pPr>
              <w:snapToGrid w:val="0"/>
              <w:spacing w:line="360" w:lineRule="exact"/>
              <w:rPr>
                <w:rFonts w:ascii="宋体" w:hAnsi="宋体" w:cs="宋体"/>
                <w:color w:val="auto"/>
                <w:szCs w:val="21"/>
              </w:rPr>
            </w:pPr>
            <w:r>
              <w:rPr>
                <w:rFonts w:hint="eastAsia" w:ascii="宋体" w:hAnsi="宋体" w:cs="宋体"/>
                <w:color w:val="auto"/>
                <w:szCs w:val="21"/>
              </w:rPr>
              <w:t>是否有两个投标方案。</w:t>
            </w:r>
          </w:p>
        </w:tc>
      </w:tr>
      <w:tr w14:paraId="19DF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D5E24C7">
            <w:pPr>
              <w:spacing w:line="400" w:lineRule="exact"/>
              <w:jc w:val="center"/>
              <w:rPr>
                <w:rFonts w:ascii="宋体" w:hAnsi="宋体" w:cs="宋体"/>
                <w:color w:val="auto"/>
                <w:szCs w:val="21"/>
              </w:rPr>
            </w:pPr>
            <w:r>
              <w:rPr>
                <w:rFonts w:hint="eastAsia" w:ascii="宋体" w:hAnsi="宋体" w:cs="宋体"/>
                <w:color w:val="auto"/>
                <w:szCs w:val="21"/>
              </w:rPr>
              <w:t>6</w:t>
            </w:r>
          </w:p>
        </w:tc>
        <w:tc>
          <w:tcPr>
            <w:tcW w:w="4782" w:type="dxa"/>
            <w:vAlign w:val="center"/>
          </w:tcPr>
          <w:p w14:paraId="37CCEC90">
            <w:pPr>
              <w:snapToGrid w:val="0"/>
              <w:spacing w:line="360" w:lineRule="exact"/>
              <w:rPr>
                <w:rFonts w:ascii="宋体" w:hAnsi="宋体" w:cs="宋体"/>
                <w:color w:val="auto"/>
                <w:szCs w:val="21"/>
              </w:rPr>
            </w:pPr>
            <w:r>
              <w:rPr>
                <w:rFonts w:hint="eastAsia" w:ascii="宋体" w:hAnsi="宋体" w:cs="宋体"/>
                <w:color w:val="auto"/>
                <w:szCs w:val="21"/>
              </w:rPr>
              <w:t>供应商不得在投标活动中提供任何虚假材料或从事其他违法活动的。</w:t>
            </w:r>
          </w:p>
        </w:tc>
        <w:tc>
          <w:tcPr>
            <w:tcW w:w="3913" w:type="dxa"/>
            <w:vAlign w:val="center"/>
          </w:tcPr>
          <w:p w14:paraId="54036717">
            <w:pPr>
              <w:snapToGrid w:val="0"/>
              <w:spacing w:line="360" w:lineRule="exact"/>
              <w:rPr>
                <w:rFonts w:ascii="宋体" w:hAnsi="宋体" w:cs="宋体"/>
                <w:color w:val="auto"/>
                <w:szCs w:val="21"/>
              </w:rPr>
            </w:pPr>
            <w:r>
              <w:rPr>
                <w:rFonts w:hint="eastAsia" w:ascii="宋体" w:hAnsi="宋体" w:cs="宋体"/>
                <w:color w:val="auto"/>
                <w:szCs w:val="21"/>
              </w:rPr>
              <w:t>不得提供任何虚假材料或从事其他违法活动。</w:t>
            </w:r>
          </w:p>
        </w:tc>
      </w:tr>
      <w:tr w14:paraId="4FEB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A678011">
            <w:pPr>
              <w:spacing w:line="400" w:lineRule="exact"/>
              <w:jc w:val="center"/>
              <w:rPr>
                <w:rFonts w:ascii="宋体" w:hAnsi="宋体" w:cs="宋体"/>
                <w:color w:val="auto"/>
                <w:szCs w:val="21"/>
              </w:rPr>
            </w:pPr>
            <w:r>
              <w:rPr>
                <w:rFonts w:hint="eastAsia" w:ascii="宋体" w:hAnsi="宋体" w:cs="宋体"/>
                <w:color w:val="auto"/>
                <w:szCs w:val="21"/>
              </w:rPr>
              <w:t>7</w:t>
            </w:r>
          </w:p>
        </w:tc>
        <w:tc>
          <w:tcPr>
            <w:tcW w:w="4782" w:type="dxa"/>
            <w:vAlign w:val="center"/>
          </w:tcPr>
          <w:p w14:paraId="1336B7BC">
            <w:pPr>
              <w:snapToGrid w:val="0"/>
              <w:spacing w:line="360" w:lineRule="exact"/>
              <w:rPr>
                <w:rFonts w:ascii="宋体" w:hAnsi="宋体" w:cs="宋体"/>
                <w:color w:val="auto"/>
                <w:szCs w:val="21"/>
              </w:rPr>
            </w:pPr>
            <w:r>
              <w:rPr>
                <w:rFonts w:hint="eastAsia" w:ascii="宋体" w:hAnsi="宋体" w:cs="宋体"/>
                <w:color w:val="auto"/>
                <w:szCs w:val="21"/>
              </w:rPr>
              <w:t>评标委员会经过审查，认定供应商虚假应标、串通投标的，有下列情形之一的，视为供应商串通投标：</w:t>
            </w:r>
          </w:p>
          <w:p w14:paraId="1E257D7A">
            <w:pPr>
              <w:widowControl/>
              <w:snapToGrid w:val="0"/>
              <w:spacing w:line="360" w:lineRule="exact"/>
              <w:jc w:val="left"/>
              <w:rPr>
                <w:rFonts w:ascii="宋体" w:hAnsi="宋体" w:cs="宋体"/>
                <w:color w:val="auto"/>
                <w:szCs w:val="21"/>
              </w:rPr>
            </w:pPr>
            <w:r>
              <w:rPr>
                <w:rFonts w:hint="eastAsia" w:ascii="宋体" w:hAnsi="宋体" w:cs="宋体"/>
                <w:color w:val="auto"/>
                <w:szCs w:val="21"/>
              </w:rPr>
              <w:t>（1）不同供应商的投标文件由同一单位或者个人编制；</w:t>
            </w:r>
          </w:p>
          <w:p w14:paraId="5AAAA9EB">
            <w:pPr>
              <w:widowControl/>
              <w:snapToGrid w:val="0"/>
              <w:spacing w:line="360" w:lineRule="exact"/>
              <w:jc w:val="left"/>
              <w:rPr>
                <w:rFonts w:ascii="宋体" w:hAnsi="宋体" w:cs="宋体"/>
                <w:color w:val="auto"/>
                <w:szCs w:val="21"/>
              </w:rPr>
            </w:pPr>
            <w:r>
              <w:rPr>
                <w:rFonts w:hint="eastAsia" w:ascii="宋体" w:hAnsi="宋体" w:cs="宋体"/>
                <w:color w:val="auto"/>
                <w:szCs w:val="21"/>
              </w:rPr>
              <w:t>（2）不同供应商委托同一单位或者个人办理投标事宜；</w:t>
            </w:r>
          </w:p>
          <w:p w14:paraId="37135823">
            <w:pPr>
              <w:widowControl/>
              <w:snapToGrid w:val="0"/>
              <w:spacing w:line="360" w:lineRule="exact"/>
              <w:jc w:val="left"/>
              <w:rPr>
                <w:rFonts w:ascii="宋体" w:hAnsi="宋体" w:cs="宋体"/>
                <w:color w:val="auto"/>
                <w:szCs w:val="21"/>
              </w:rPr>
            </w:pPr>
            <w:r>
              <w:rPr>
                <w:rFonts w:hint="eastAsia" w:ascii="宋体" w:hAnsi="宋体" w:cs="宋体"/>
                <w:color w:val="auto"/>
                <w:szCs w:val="21"/>
              </w:rPr>
              <w:t>（3）不同供应商的投标文件载明的项目管理成员或者联系人员为同一人；</w:t>
            </w:r>
          </w:p>
          <w:p w14:paraId="28FBC01F">
            <w:pPr>
              <w:widowControl/>
              <w:snapToGrid w:val="0"/>
              <w:spacing w:line="360" w:lineRule="exact"/>
              <w:jc w:val="left"/>
              <w:rPr>
                <w:rFonts w:ascii="宋体" w:hAnsi="宋体" w:cs="宋体"/>
                <w:color w:val="auto"/>
                <w:szCs w:val="21"/>
              </w:rPr>
            </w:pPr>
            <w:r>
              <w:rPr>
                <w:rFonts w:hint="eastAsia" w:ascii="宋体" w:hAnsi="宋体" w:cs="宋体"/>
                <w:color w:val="auto"/>
                <w:szCs w:val="21"/>
              </w:rPr>
              <w:t>（4）不同供应商的投标文件异常一致或者投标报价呈规律性差异；</w:t>
            </w:r>
          </w:p>
          <w:p w14:paraId="465A0F9C">
            <w:pPr>
              <w:widowControl/>
              <w:snapToGrid w:val="0"/>
              <w:spacing w:line="360" w:lineRule="exact"/>
              <w:jc w:val="left"/>
              <w:rPr>
                <w:rFonts w:ascii="宋体" w:hAnsi="宋体" w:cs="宋体"/>
                <w:color w:val="auto"/>
                <w:szCs w:val="21"/>
              </w:rPr>
            </w:pPr>
            <w:r>
              <w:rPr>
                <w:rFonts w:hint="eastAsia" w:ascii="宋体" w:hAnsi="宋体" w:cs="宋体"/>
                <w:color w:val="auto"/>
                <w:szCs w:val="21"/>
              </w:rPr>
              <w:t>（5）不同供应商的投标文件相互混装。</w:t>
            </w:r>
          </w:p>
        </w:tc>
        <w:tc>
          <w:tcPr>
            <w:tcW w:w="3913" w:type="dxa"/>
            <w:vAlign w:val="center"/>
          </w:tcPr>
          <w:p w14:paraId="6EB3CD65">
            <w:pPr>
              <w:snapToGrid w:val="0"/>
              <w:spacing w:line="360" w:lineRule="exact"/>
              <w:rPr>
                <w:rFonts w:ascii="宋体" w:hAnsi="宋体" w:cs="宋体"/>
                <w:color w:val="auto"/>
                <w:szCs w:val="21"/>
              </w:rPr>
            </w:pPr>
            <w:r>
              <w:rPr>
                <w:rFonts w:hint="eastAsia" w:ascii="宋体" w:hAnsi="宋体" w:cs="宋体"/>
                <w:color w:val="auto"/>
                <w:szCs w:val="21"/>
              </w:rPr>
              <w:t>不得有所述情形。</w:t>
            </w:r>
          </w:p>
        </w:tc>
      </w:tr>
      <w:tr w14:paraId="0E9D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17E83A1">
            <w:pPr>
              <w:spacing w:line="400" w:lineRule="exact"/>
              <w:jc w:val="center"/>
              <w:rPr>
                <w:rFonts w:ascii="宋体" w:hAnsi="宋体" w:cs="宋体"/>
                <w:color w:val="auto"/>
                <w:szCs w:val="21"/>
              </w:rPr>
            </w:pPr>
            <w:r>
              <w:rPr>
                <w:rFonts w:hint="eastAsia" w:ascii="宋体" w:hAnsi="宋体" w:cs="宋体"/>
                <w:color w:val="auto"/>
                <w:szCs w:val="21"/>
              </w:rPr>
              <w:t>8</w:t>
            </w:r>
          </w:p>
        </w:tc>
        <w:tc>
          <w:tcPr>
            <w:tcW w:w="4782" w:type="dxa"/>
            <w:vAlign w:val="center"/>
          </w:tcPr>
          <w:p w14:paraId="7449074E">
            <w:pPr>
              <w:snapToGrid w:val="0"/>
              <w:spacing w:line="360" w:lineRule="exact"/>
              <w:rPr>
                <w:rFonts w:ascii="宋体" w:hAnsi="宋体" w:cs="宋体"/>
                <w:color w:val="auto"/>
                <w:szCs w:val="21"/>
              </w:rPr>
            </w:pPr>
            <w:r>
              <w:rPr>
                <w:rFonts w:hint="eastAsia" w:ascii="宋体" w:hAnsi="宋体" w:cs="宋体"/>
                <w:color w:val="auto"/>
                <w:szCs w:val="21"/>
              </w:rPr>
              <w:t>符合法律、法规和招标文件中规定的其他实质性要求（实质性要求招标文件中“</w:t>
            </w:r>
            <w:r>
              <w:rPr>
                <w:rFonts w:hint="eastAsia" w:ascii="宋体" w:hAnsi="宋体" w:cs="宋体"/>
                <w:b/>
                <w:color w:val="auto"/>
                <w:sz w:val="24"/>
              </w:rPr>
              <w:t>▲</w:t>
            </w:r>
            <w:r>
              <w:rPr>
                <w:rFonts w:hint="eastAsia" w:ascii="宋体" w:hAnsi="宋体" w:cs="宋体"/>
                <w:color w:val="auto"/>
                <w:szCs w:val="21"/>
              </w:rPr>
              <w:t>”标记）。</w:t>
            </w:r>
          </w:p>
        </w:tc>
        <w:tc>
          <w:tcPr>
            <w:tcW w:w="3913" w:type="dxa"/>
            <w:vAlign w:val="center"/>
          </w:tcPr>
          <w:p w14:paraId="30A2F301">
            <w:pPr>
              <w:snapToGrid w:val="0"/>
              <w:spacing w:line="360" w:lineRule="exact"/>
              <w:rPr>
                <w:rFonts w:ascii="宋体" w:hAnsi="宋体" w:cs="宋体"/>
                <w:color w:val="auto"/>
                <w:szCs w:val="21"/>
              </w:rPr>
            </w:pPr>
            <w:r>
              <w:rPr>
                <w:rFonts w:hint="eastAsia" w:ascii="宋体" w:hAnsi="宋体" w:cs="宋体"/>
                <w:color w:val="auto"/>
                <w:szCs w:val="21"/>
              </w:rPr>
              <w:t>符合所述要求。</w:t>
            </w:r>
          </w:p>
        </w:tc>
      </w:tr>
      <w:tr w14:paraId="2B23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AB9D799">
            <w:pPr>
              <w:spacing w:line="400" w:lineRule="exact"/>
              <w:jc w:val="center"/>
              <w:rPr>
                <w:rFonts w:ascii="宋体" w:hAnsi="宋体" w:cs="宋体"/>
                <w:color w:val="auto"/>
                <w:szCs w:val="21"/>
              </w:rPr>
            </w:pPr>
            <w:r>
              <w:rPr>
                <w:rFonts w:hint="eastAsia" w:ascii="宋体" w:hAnsi="宋体" w:cs="宋体"/>
                <w:color w:val="auto"/>
                <w:szCs w:val="21"/>
              </w:rPr>
              <w:t>9</w:t>
            </w:r>
          </w:p>
        </w:tc>
        <w:tc>
          <w:tcPr>
            <w:tcW w:w="4782" w:type="dxa"/>
            <w:vAlign w:val="center"/>
          </w:tcPr>
          <w:p w14:paraId="2EA5CFBA">
            <w:pPr>
              <w:snapToGrid w:val="0"/>
              <w:spacing w:line="360" w:lineRule="exact"/>
              <w:rPr>
                <w:rFonts w:ascii="宋体" w:hAnsi="宋体" w:cs="宋体"/>
                <w:color w:val="auto"/>
                <w:szCs w:val="21"/>
              </w:rPr>
            </w:pPr>
            <w:r>
              <w:rPr>
                <w:rFonts w:hint="eastAsia" w:ascii="宋体" w:hAnsi="宋体" w:cs="宋体"/>
                <w:color w:val="auto"/>
                <w:szCs w:val="21"/>
              </w:rPr>
              <w:t>本项目不接受联合体投标。</w:t>
            </w:r>
          </w:p>
        </w:tc>
        <w:tc>
          <w:tcPr>
            <w:tcW w:w="3913" w:type="dxa"/>
            <w:vAlign w:val="center"/>
          </w:tcPr>
          <w:p w14:paraId="5F0E8897">
            <w:pPr>
              <w:snapToGrid w:val="0"/>
              <w:spacing w:line="360" w:lineRule="exact"/>
              <w:rPr>
                <w:rFonts w:ascii="宋体" w:hAnsi="宋体" w:cs="宋体"/>
                <w:color w:val="auto"/>
                <w:szCs w:val="21"/>
              </w:rPr>
            </w:pPr>
            <w:r>
              <w:rPr>
                <w:rFonts w:hint="eastAsia" w:ascii="宋体" w:hAnsi="宋体" w:cs="宋体"/>
                <w:color w:val="auto"/>
                <w:szCs w:val="21"/>
              </w:rPr>
              <w:t>供应商非联合体。</w:t>
            </w:r>
          </w:p>
        </w:tc>
      </w:tr>
      <w:tr w14:paraId="70B9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1643CC9A">
            <w:pPr>
              <w:spacing w:line="400" w:lineRule="exact"/>
              <w:jc w:val="center"/>
              <w:rPr>
                <w:rFonts w:ascii="宋体" w:hAnsi="宋体" w:cs="宋体"/>
                <w:color w:val="auto"/>
                <w:szCs w:val="21"/>
              </w:rPr>
            </w:pPr>
            <w:r>
              <w:rPr>
                <w:rFonts w:hint="eastAsia" w:ascii="宋体" w:hAnsi="宋体" w:cs="宋体"/>
                <w:b/>
                <w:color w:val="auto"/>
                <w:szCs w:val="21"/>
              </w:rPr>
              <w:t>符合性审查结论</w:t>
            </w:r>
          </w:p>
        </w:tc>
        <w:tc>
          <w:tcPr>
            <w:tcW w:w="3913" w:type="dxa"/>
            <w:vAlign w:val="center"/>
          </w:tcPr>
          <w:p w14:paraId="24A2C1D7">
            <w:pPr>
              <w:spacing w:line="400" w:lineRule="exact"/>
              <w:rPr>
                <w:rFonts w:ascii="宋体" w:hAnsi="宋体" w:cs="宋体"/>
                <w:color w:val="auto"/>
                <w:szCs w:val="21"/>
              </w:rPr>
            </w:pPr>
          </w:p>
        </w:tc>
      </w:tr>
    </w:tbl>
    <w:p w14:paraId="4B8191E4">
      <w:pPr>
        <w:spacing w:line="400" w:lineRule="exact"/>
        <w:rPr>
          <w:rFonts w:ascii="宋体" w:hAnsi="宋体" w:cs="宋体"/>
          <w:b/>
          <w:color w:val="auto"/>
        </w:rPr>
      </w:pPr>
      <w:r>
        <w:rPr>
          <w:rFonts w:hint="eastAsia" w:ascii="宋体" w:hAnsi="宋体" w:cs="宋体"/>
          <w:b/>
          <w:color w:val="auto"/>
        </w:rPr>
        <w:t>注：1、上述审查项目中，任意一项不符合的，符合性审查不合格。</w:t>
      </w:r>
    </w:p>
    <w:p w14:paraId="70C7293F">
      <w:pPr>
        <w:spacing w:line="400" w:lineRule="exact"/>
        <w:rPr>
          <w:rFonts w:ascii="宋体" w:hAnsi="宋体" w:cs="宋体"/>
          <w:color w:val="auto"/>
          <w:szCs w:val="21"/>
        </w:rPr>
      </w:pPr>
      <w:r>
        <w:rPr>
          <w:rFonts w:hint="eastAsia" w:ascii="宋体" w:hAnsi="宋体" w:cs="宋体"/>
          <w:b/>
          <w:color w:val="auto"/>
        </w:rPr>
        <w:t xml:space="preserve">    2、序号3-序号9在政采云上无须添加关联点。</w:t>
      </w:r>
    </w:p>
    <w:p w14:paraId="791EE82D">
      <w:pPr>
        <w:spacing w:line="400" w:lineRule="exact"/>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附表3：</w:t>
      </w:r>
    </w:p>
    <w:p w14:paraId="3D8F7DDB">
      <w:pPr>
        <w:spacing w:line="400" w:lineRule="exact"/>
        <w:jc w:val="center"/>
        <w:rPr>
          <w:rFonts w:ascii="宋体" w:hAnsi="宋体" w:cs="宋体"/>
          <w:b/>
          <w:color w:val="auto"/>
          <w:szCs w:val="21"/>
        </w:rPr>
      </w:pPr>
      <w:r>
        <w:rPr>
          <w:rFonts w:hint="eastAsia" w:ascii="宋体" w:hAnsi="宋体" w:cs="宋体"/>
          <w:b/>
          <w:color w:val="auto"/>
          <w:szCs w:val="21"/>
        </w:rPr>
        <w:t>商务和技术评分表</w:t>
      </w:r>
    </w:p>
    <w:tbl>
      <w:tblPr>
        <w:tblStyle w:val="48"/>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930"/>
        <w:gridCol w:w="793"/>
      </w:tblGrid>
      <w:tr w14:paraId="5DB7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46CAD">
            <w:pPr>
              <w:widowControl/>
              <w:snapToGrid w:val="0"/>
              <w:spacing w:beforeLines="0" w:afterLines="0"/>
              <w:jc w:val="center"/>
              <w:rPr>
                <w:rFonts w:hint="eastAsia" w:ascii="宋体" w:hAnsi="宋体" w:eastAsia="宋体" w:cs="宋体"/>
                <w:kern w:val="0"/>
                <w:sz w:val="21"/>
                <w:szCs w:val="21"/>
              </w:rPr>
            </w:pPr>
            <w:r>
              <w:rPr>
                <w:rFonts w:hint="eastAsia" w:ascii="宋体" w:hAnsi="宋体" w:eastAsia="宋体" w:cs="宋体"/>
                <w:kern w:val="0"/>
                <w:sz w:val="21"/>
                <w:szCs w:val="21"/>
              </w:rPr>
              <w:t>分项</w:t>
            </w: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592471">
            <w:pPr>
              <w:snapToGrid w:val="0"/>
              <w:spacing w:beforeLines="0" w:afterLines="0"/>
              <w:jc w:val="center"/>
              <w:rPr>
                <w:rFonts w:hint="eastAsia" w:ascii="宋体" w:hAnsi="宋体" w:eastAsia="宋体" w:cs="宋体"/>
                <w:kern w:val="0"/>
                <w:sz w:val="21"/>
                <w:szCs w:val="21"/>
              </w:rPr>
            </w:pPr>
            <w:r>
              <w:rPr>
                <w:rFonts w:hint="eastAsia" w:ascii="宋体" w:hAnsi="宋体" w:eastAsia="宋体" w:cs="宋体"/>
                <w:kern w:val="0"/>
                <w:sz w:val="21"/>
                <w:szCs w:val="21"/>
              </w:rPr>
              <w:t>评分内容</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BC21A9">
            <w:pPr>
              <w:widowControl/>
              <w:snapToGrid w:val="0"/>
              <w:spacing w:beforeLines="0" w:afterLines="0"/>
              <w:jc w:val="center"/>
              <w:rPr>
                <w:rFonts w:hint="eastAsia" w:ascii="宋体" w:hAnsi="宋体" w:eastAsia="宋体" w:cs="宋体"/>
                <w:kern w:val="0"/>
                <w:sz w:val="21"/>
                <w:szCs w:val="21"/>
              </w:rPr>
            </w:pPr>
            <w:r>
              <w:rPr>
                <w:rFonts w:hint="eastAsia" w:ascii="宋体" w:hAnsi="宋体" w:eastAsia="宋体" w:cs="宋体"/>
                <w:kern w:val="0"/>
                <w:sz w:val="21"/>
                <w:szCs w:val="21"/>
              </w:rPr>
              <w:t>分值</w:t>
            </w:r>
          </w:p>
        </w:tc>
      </w:tr>
      <w:tr w14:paraId="52D1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14" w:type="dxa"/>
            <w:vMerge w:val="restart"/>
            <w:tcBorders>
              <w:top w:val="single" w:color="auto" w:sz="4" w:space="0"/>
              <w:left w:val="single" w:color="auto" w:sz="4" w:space="0"/>
              <w:right w:val="single" w:color="auto" w:sz="4" w:space="0"/>
              <w:tl2br w:val="nil"/>
              <w:tr2bl w:val="nil"/>
            </w:tcBorders>
            <w:noWrap w:val="0"/>
            <w:vAlign w:val="center"/>
          </w:tcPr>
          <w:p w14:paraId="4B4A14FB">
            <w:pPr>
              <w:widowControl/>
              <w:snapToGrid w:val="0"/>
              <w:spacing w:beforeLines="0" w:afterLine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商务技术分</w:t>
            </w:r>
          </w:p>
          <w:p w14:paraId="41B916F6">
            <w:pPr>
              <w:pStyle w:val="2"/>
              <w:jc w:val="center"/>
              <w:rPr>
                <w:rFonts w:hint="eastAsia" w:ascii="宋体" w:hAnsi="宋体" w:eastAsia="宋体" w:cs="宋体"/>
                <w:lang w:val="en-US" w:eastAsia="zh-CN"/>
              </w:rPr>
            </w:pPr>
            <w:r>
              <w:rPr>
                <w:rFonts w:hint="eastAsia" w:ascii="宋体" w:hAnsi="宋体" w:eastAsia="宋体" w:cs="宋体"/>
                <w:kern w:val="0"/>
                <w:sz w:val="21"/>
                <w:szCs w:val="21"/>
                <w:lang w:val="en-US" w:eastAsia="zh-CN"/>
              </w:rPr>
              <w:t>80分</w:t>
            </w: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E87FB">
            <w:pPr>
              <w:spacing w:beforeLines="0" w:afterLines="0" w:line="300" w:lineRule="exact"/>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年1月1日（以合同签订日期为准）至今的具有保安服务业绩合同，每提供一个合同得1分，最高得2分。同一业主多个合同不累计得分，按一个计。</w:t>
            </w:r>
          </w:p>
          <w:p w14:paraId="14F04209">
            <w:pPr>
              <w:spacing w:beforeLines="0" w:afterLines="0" w:line="300" w:lineRule="exact"/>
              <w:rPr>
                <w:rFonts w:hint="eastAsia" w:ascii="宋体" w:hAnsi="宋体" w:eastAsia="宋体" w:cs="宋体"/>
                <w:sz w:val="21"/>
                <w:szCs w:val="21"/>
                <w:lang w:val="en-US" w:eastAsia="zh-CN"/>
              </w:rPr>
            </w:pPr>
            <w:r>
              <w:rPr>
                <w:rFonts w:hint="eastAsia" w:ascii="宋体" w:hAnsi="宋体" w:eastAsia="宋体" w:cs="宋体"/>
                <w:sz w:val="21"/>
                <w:szCs w:val="21"/>
              </w:rPr>
              <w:t>备注：投标文件中提供业绩合同原件扫描件</w:t>
            </w:r>
            <w:r>
              <w:rPr>
                <w:rFonts w:hint="eastAsia" w:ascii="宋体" w:hAnsi="宋体" w:eastAsia="宋体" w:cs="宋体"/>
                <w:sz w:val="21"/>
                <w:szCs w:val="21"/>
                <w:lang w:val="en-US" w:eastAsia="zh-CN"/>
              </w:rPr>
              <w:t>或复印件加盖供应商公章。</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2CECE">
            <w:pPr>
              <w:widowControl/>
              <w:snapToGrid w:val="0"/>
              <w:spacing w:beforeLines="0" w:afterLines="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r>
      <w:tr w14:paraId="1C8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714" w:type="dxa"/>
            <w:vMerge w:val="continue"/>
            <w:tcBorders>
              <w:left w:val="single" w:color="auto" w:sz="4" w:space="0"/>
              <w:right w:val="single" w:color="auto" w:sz="4" w:space="0"/>
              <w:tl2br w:val="nil"/>
              <w:tr2bl w:val="nil"/>
            </w:tcBorders>
            <w:noWrap w:val="0"/>
            <w:vAlign w:val="center"/>
          </w:tcPr>
          <w:p w14:paraId="0D8ACAC8">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F991E">
            <w:pPr>
              <w:spacing w:beforeLines="0" w:afterLines="0" w:line="300" w:lineRule="exact"/>
              <w:rPr>
                <w:rFonts w:hint="eastAsia" w:ascii="宋体" w:hAnsi="宋体" w:eastAsia="宋体" w:cs="宋体"/>
                <w:sz w:val="21"/>
                <w:szCs w:val="21"/>
              </w:rPr>
            </w:pPr>
            <w:r>
              <w:rPr>
                <w:rFonts w:hint="eastAsia" w:ascii="宋体" w:hAnsi="宋体" w:eastAsia="宋体" w:cs="宋体"/>
              </w:rPr>
              <w:t>投标人具有有效的质量管理体系认证证书得 1 分，具有有效的环境管理体系认证证书得 1 分，具有有效的职业健康安全管理体系认证证书得 1 分，且以上认证必须在开标当天经“全国认证认可信息公共服务平台http://cx.cnca.cn/”查询证书状态为“有效”，投标文件中提供有效期内的证书复印件加盖供应商公章，及国家认监委网站查询截图，否则不得分。</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D2EAA9">
            <w:pPr>
              <w:widowControl/>
              <w:snapToGrid w:val="0"/>
              <w:spacing w:beforeLines="0" w:afterLines="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3</w:t>
            </w:r>
          </w:p>
        </w:tc>
      </w:tr>
      <w:tr w14:paraId="3DC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14" w:type="dxa"/>
            <w:vMerge w:val="continue"/>
            <w:tcBorders>
              <w:left w:val="single" w:color="auto" w:sz="4" w:space="0"/>
              <w:right w:val="single" w:color="auto" w:sz="4" w:space="0"/>
              <w:tl2br w:val="nil"/>
              <w:tr2bl w:val="nil"/>
            </w:tcBorders>
            <w:noWrap w:val="0"/>
            <w:vAlign w:val="center"/>
          </w:tcPr>
          <w:p w14:paraId="0F44AE51">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E98642">
            <w:pPr>
              <w:spacing w:beforeLines="0" w:afterLines="0"/>
              <w:rPr>
                <w:rFonts w:hint="eastAsia" w:ascii="宋体" w:hAnsi="宋体" w:eastAsia="宋体" w:cs="宋体"/>
                <w:sz w:val="21"/>
                <w:szCs w:val="21"/>
              </w:rPr>
            </w:pPr>
            <w:r>
              <w:rPr>
                <w:rFonts w:hint="eastAsia" w:ascii="宋体" w:hAnsi="宋体" w:eastAsia="宋体" w:cs="宋体"/>
                <w:sz w:val="21"/>
                <w:szCs w:val="21"/>
                <w:lang w:val="en-US" w:eastAsia="zh-CN"/>
              </w:rPr>
              <w:t>保安</w:t>
            </w:r>
            <w:r>
              <w:rPr>
                <w:rFonts w:hint="eastAsia" w:ascii="宋体" w:hAnsi="宋体" w:eastAsia="宋体" w:cs="宋体"/>
                <w:sz w:val="21"/>
                <w:szCs w:val="21"/>
              </w:rPr>
              <w:t>队长：拟派安保队长具有退伍军人证的得 1 分，具有人社或公安部门颁发的二级（含）以上保安员（师）资格证书的得2 分</w:t>
            </w:r>
            <w:r>
              <w:rPr>
                <w:rFonts w:hint="eastAsia" w:ascii="宋体" w:hAnsi="宋体" w:cs="宋体"/>
                <w:sz w:val="21"/>
                <w:szCs w:val="21"/>
                <w:lang w:eastAsia="zh-CN"/>
              </w:rPr>
              <w:t>，</w:t>
            </w:r>
            <w:r>
              <w:rPr>
                <w:rFonts w:hint="eastAsia" w:ascii="宋体" w:hAnsi="宋体" w:eastAsia="宋体" w:cs="宋体"/>
                <w:sz w:val="21"/>
                <w:szCs w:val="21"/>
              </w:rPr>
              <w:t>具有本科及以上学历的得 1 分，以上得分可累计，最高得 4 分。</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8A365A">
            <w:pPr>
              <w:widowControl/>
              <w:snapToGrid w:val="0"/>
              <w:spacing w:beforeLines="0" w:afterLines="0"/>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r>
      <w:tr w14:paraId="0AC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14" w:type="dxa"/>
            <w:vMerge w:val="continue"/>
            <w:tcBorders>
              <w:left w:val="single" w:color="auto" w:sz="4" w:space="0"/>
              <w:right w:val="single" w:color="auto" w:sz="4" w:space="0"/>
              <w:tl2br w:val="nil"/>
              <w:tr2bl w:val="nil"/>
            </w:tcBorders>
            <w:noWrap w:val="0"/>
            <w:vAlign w:val="center"/>
          </w:tcPr>
          <w:p w14:paraId="3EBC339A">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068D9">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服务管理整体设想及策划：针对本项目详细说明整体保障措施、专业化管理及规范的管理手段进行评定，合理科学的得</w:t>
            </w:r>
            <w:r>
              <w:rPr>
                <w:rFonts w:hint="eastAsia" w:ascii="宋体" w:hAnsi="宋体" w:cs="宋体"/>
                <w:sz w:val="21"/>
                <w:szCs w:val="24"/>
                <w:lang w:val="en-US" w:eastAsia="zh-CN"/>
              </w:rPr>
              <w:t>10</w:t>
            </w:r>
            <w:r>
              <w:rPr>
                <w:rFonts w:hint="eastAsia" w:ascii="宋体" w:hAnsi="宋体" w:eastAsia="宋体" w:cs="宋体"/>
                <w:sz w:val="21"/>
                <w:szCs w:val="24"/>
              </w:rPr>
              <w:t>分，基本合理的得</w:t>
            </w:r>
            <w:r>
              <w:rPr>
                <w:rFonts w:hint="eastAsia" w:ascii="宋体" w:hAnsi="宋体" w:cs="宋体"/>
                <w:sz w:val="21"/>
                <w:szCs w:val="24"/>
                <w:lang w:val="en-US" w:eastAsia="zh-CN"/>
              </w:rPr>
              <w:t>8</w:t>
            </w:r>
            <w:r>
              <w:rPr>
                <w:rFonts w:hint="eastAsia" w:ascii="宋体" w:hAnsi="宋体" w:eastAsia="宋体" w:cs="宋体"/>
                <w:sz w:val="21"/>
                <w:szCs w:val="24"/>
              </w:rPr>
              <w:t>分，存在缺陷的</w:t>
            </w:r>
            <w:r>
              <w:rPr>
                <w:rFonts w:hint="eastAsia" w:ascii="宋体" w:hAnsi="宋体" w:cs="宋体"/>
                <w:sz w:val="21"/>
                <w:szCs w:val="24"/>
                <w:lang w:val="en-US" w:eastAsia="zh-CN"/>
              </w:rPr>
              <w:t>5</w:t>
            </w:r>
            <w:r>
              <w:rPr>
                <w:rFonts w:hint="eastAsia" w:ascii="宋体" w:hAnsi="宋体" w:eastAsia="宋体" w:cs="宋体"/>
                <w:sz w:val="21"/>
                <w:szCs w:val="24"/>
              </w:rPr>
              <w:t>分，</w:t>
            </w:r>
            <w:r>
              <w:rPr>
                <w:rFonts w:hint="eastAsia" w:ascii="宋体" w:hAnsi="宋体" w:eastAsia="宋体" w:cs="宋体"/>
                <w:sz w:val="21"/>
                <w:szCs w:val="24"/>
                <w:lang w:val="en-US" w:eastAsia="zh-CN"/>
              </w:rPr>
              <w:t>未提供</w:t>
            </w:r>
            <w:r>
              <w:rPr>
                <w:rFonts w:hint="eastAsia" w:ascii="宋体" w:hAnsi="宋体" w:eastAsia="宋体" w:cs="宋体"/>
                <w:sz w:val="21"/>
                <w:szCs w:val="24"/>
              </w:rPr>
              <w:t>不得分。</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E531F">
            <w:pPr>
              <w:spacing w:beforeLines="0" w:afterLines="0"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3157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14" w:type="dxa"/>
            <w:vMerge w:val="continue"/>
            <w:tcBorders>
              <w:left w:val="single" w:color="auto" w:sz="4" w:space="0"/>
              <w:right w:val="single" w:color="auto" w:sz="4" w:space="0"/>
              <w:tl2br w:val="nil"/>
              <w:tr2bl w:val="nil"/>
            </w:tcBorders>
            <w:noWrap w:val="0"/>
            <w:vAlign w:val="center"/>
          </w:tcPr>
          <w:p w14:paraId="36E1326D">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788860">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项目分析及解决方案： 针对本项目的重点、特点、难点分析到位，解决方案可行的得</w:t>
            </w:r>
            <w:r>
              <w:rPr>
                <w:rFonts w:hint="eastAsia" w:ascii="宋体" w:hAnsi="宋体" w:cs="宋体"/>
                <w:sz w:val="21"/>
                <w:szCs w:val="24"/>
                <w:lang w:val="en-US" w:eastAsia="zh-CN"/>
              </w:rPr>
              <w:t>12</w:t>
            </w:r>
            <w:r>
              <w:rPr>
                <w:rFonts w:hint="eastAsia" w:ascii="宋体" w:hAnsi="宋体" w:eastAsia="宋体" w:cs="宋体"/>
                <w:sz w:val="21"/>
                <w:szCs w:val="24"/>
              </w:rPr>
              <w:t>分，针对本项目的重点、特点、难点分析基本到位，解决方案基本可行的得</w:t>
            </w:r>
            <w:r>
              <w:rPr>
                <w:rFonts w:hint="eastAsia" w:ascii="宋体" w:hAnsi="宋体" w:cs="宋体"/>
                <w:sz w:val="21"/>
                <w:szCs w:val="24"/>
                <w:lang w:val="en-US" w:eastAsia="zh-CN"/>
              </w:rPr>
              <w:t>9</w:t>
            </w:r>
            <w:r>
              <w:rPr>
                <w:rFonts w:hint="eastAsia" w:ascii="宋体" w:hAnsi="宋体" w:eastAsia="宋体" w:cs="宋体"/>
                <w:sz w:val="21"/>
                <w:szCs w:val="24"/>
              </w:rPr>
              <w:t>分，针对本项目的重点、特点、难点分析欠到位，解决方案欠可行的得</w:t>
            </w:r>
            <w:r>
              <w:rPr>
                <w:rFonts w:hint="eastAsia" w:ascii="宋体" w:hAnsi="宋体" w:cs="宋体"/>
                <w:sz w:val="21"/>
                <w:szCs w:val="24"/>
                <w:lang w:val="en-US" w:eastAsia="zh-CN"/>
              </w:rPr>
              <w:t>6</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720F14">
            <w:pPr>
              <w:spacing w:beforeLines="0" w:afterLines="0"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r>
      <w:tr w14:paraId="1522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14" w:type="dxa"/>
            <w:vMerge w:val="continue"/>
            <w:tcBorders>
              <w:left w:val="single" w:color="auto" w:sz="4" w:space="0"/>
              <w:right w:val="single" w:color="auto" w:sz="4" w:space="0"/>
              <w:tl2br w:val="nil"/>
              <w:tr2bl w:val="nil"/>
            </w:tcBorders>
            <w:noWrap w:val="0"/>
            <w:vAlign w:val="center"/>
          </w:tcPr>
          <w:p w14:paraId="6F1CC0EA">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103927">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人员的配置（包括年龄、职称（如有）、文化程度、工作经历、岗位证书等）、培训与管理措施；针对本项目详细说明项目的整体人员配置的合理性及优越性进行评定</w:t>
            </w:r>
            <w:r>
              <w:rPr>
                <w:rFonts w:hint="eastAsia" w:ascii="宋体" w:hAnsi="宋体" w:cs="宋体"/>
                <w:sz w:val="21"/>
                <w:szCs w:val="24"/>
                <w:lang w:eastAsia="zh-CN"/>
              </w:rPr>
              <w:t>，</w:t>
            </w:r>
            <w:r>
              <w:rPr>
                <w:rFonts w:hint="eastAsia" w:ascii="宋体" w:hAnsi="宋体" w:eastAsia="宋体" w:cs="宋体"/>
                <w:sz w:val="21"/>
                <w:szCs w:val="24"/>
              </w:rPr>
              <w:t>人员配置优越、培训与管理措施合理的得</w:t>
            </w:r>
            <w:r>
              <w:rPr>
                <w:rFonts w:hint="eastAsia" w:ascii="宋体" w:hAnsi="宋体" w:cs="宋体"/>
                <w:sz w:val="21"/>
                <w:szCs w:val="24"/>
                <w:lang w:val="en-US" w:eastAsia="zh-CN"/>
              </w:rPr>
              <w:t>12</w:t>
            </w:r>
            <w:r>
              <w:rPr>
                <w:rFonts w:hint="eastAsia" w:ascii="宋体" w:hAnsi="宋体" w:eastAsia="宋体" w:cs="宋体"/>
                <w:sz w:val="21"/>
                <w:szCs w:val="24"/>
              </w:rPr>
              <w:t>分，人员配置、培训与管理措施基本合理的得</w:t>
            </w:r>
            <w:r>
              <w:rPr>
                <w:rFonts w:hint="eastAsia" w:ascii="宋体" w:hAnsi="宋体" w:cs="宋体"/>
                <w:sz w:val="21"/>
                <w:szCs w:val="24"/>
                <w:lang w:val="en-US" w:eastAsia="zh-CN"/>
              </w:rPr>
              <w:t>9</w:t>
            </w:r>
            <w:r>
              <w:rPr>
                <w:rFonts w:hint="eastAsia" w:ascii="宋体" w:hAnsi="宋体" w:eastAsia="宋体" w:cs="宋体"/>
                <w:sz w:val="21"/>
                <w:szCs w:val="24"/>
              </w:rPr>
              <w:t>分，人员配置、培训与管理措施欠合理的得</w:t>
            </w:r>
            <w:r>
              <w:rPr>
                <w:rFonts w:hint="eastAsia" w:ascii="宋体" w:hAnsi="宋体" w:cs="宋体"/>
                <w:sz w:val="21"/>
                <w:szCs w:val="24"/>
                <w:lang w:val="en-US" w:eastAsia="zh-CN"/>
              </w:rPr>
              <w:t>6</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27855">
            <w:pPr>
              <w:spacing w:beforeLines="0" w:afterLines="0"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r>
      <w:tr w14:paraId="20AC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 w:hRule="atLeast"/>
          <w:jc w:val="center"/>
        </w:trPr>
        <w:tc>
          <w:tcPr>
            <w:tcW w:w="714" w:type="dxa"/>
            <w:vMerge w:val="continue"/>
            <w:tcBorders>
              <w:left w:val="single" w:color="auto" w:sz="4" w:space="0"/>
              <w:right w:val="single" w:color="auto" w:sz="4" w:space="0"/>
              <w:tl2br w:val="nil"/>
              <w:tr2bl w:val="nil"/>
            </w:tcBorders>
            <w:noWrap w:val="0"/>
            <w:vAlign w:val="center"/>
          </w:tcPr>
          <w:p w14:paraId="0A8FD44F">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E1D8A5">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设备装备计划：针对本项目的整体项目物资配置的合理性进行评定</w:t>
            </w:r>
            <w:r>
              <w:rPr>
                <w:rFonts w:hint="eastAsia" w:ascii="宋体" w:hAnsi="宋体" w:cs="宋体"/>
                <w:sz w:val="21"/>
                <w:szCs w:val="24"/>
                <w:lang w:eastAsia="zh-CN"/>
              </w:rPr>
              <w:t>，</w:t>
            </w:r>
            <w:r>
              <w:rPr>
                <w:rFonts w:hint="eastAsia" w:ascii="宋体" w:hAnsi="宋体" w:eastAsia="宋体" w:cs="宋体"/>
                <w:sz w:val="21"/>
                <w:szCs w:val="24"/>
              </w:rPr>
              <w:t>配置合理，物资齐备得</w:t>
            </w:r>
            <w:r>
              <w:rPr>
                <w:rFonts w:hint="eastAsia" w:ascii="宋体" w:hAnsi="宋体" w:cs="宋体"/>
                <w:sz w:val="21"/>
                <w:szCs w:val="24"/>
                <w:lang w:val="en-US" w:eastAsia="zh-CN"/>
              </w:rPr>
              <w:t>9</w:t>
            </w:r>
            <w:r>
              <w:rPr>
                <w:rFonts w:hint="eastAsia" w:ascii="宋体" w:hAnsi="宋体" w:eastAsia="宋体" w:cs="宋体"/>
                <w:sz w:val="21"/>
                <w:szCs w:val="24"/>
              </w:rPr>
              <w:t>分</w:t>
            </w:r>
            <w:r>
              <w:rPr>
                <w:rFonts w:hint="eastAsia" w:ascii="宋体" w:hAnsi="宋体" w:cs="宋体"/>
                <w:sz w:val="21"/>
                <w:szCs w:val="24"/>
                <w:lang w:eastAsia="zh-CN"/>
              </w:rPr>
              <w:t>，</w:t>
            </w:r>
            <w:r>
              <w:rPr>
                <w:rFonts w:hint="eastAsia" w:ascii="宋体" w:hAnsi="宋体" w:eastAsia="宋体" w:cs="宋体"/>
                <w:sz w:val="21"/>
                <w:szCs w:val="24"/>
              </w:rPr>
              <w:t>配置基本合理</w:t>
            </w:r>
            <w:r>
              <w:rPr>
                <w:rFonts w:hint="eastAsia" w:ascii="宋体" w:hAnsi="宋体" w:cs="宋体"/>
                <w:sz w:val="21"/>
                <w:szCs w:val="24"/>
                <w:lang w:eastAsia="zh-CN"/>
              </w:rPr>
              <w:t>、</w:t>
            </w:r>
            <w:r>
              <w:rPr>
                <w:rFonts w:hint="eastAsia" w:ascii="宋体" w:hAnsi="宋体" w:eastAsia="宋体" w:cs="宋体"/>
                <w:sz w:val="21"/>
                <w:szCs w:val="24"/>
              </w:rPr>
              <w:t>物资基本齐备得</w:t>
            </w:r>
            <w:r>
              <w:rPr>
                <w:rFonts w:hint="eastAsia" w:ascii="宋体" w:hAnsi="宋体" w:cs="宋体"/>
                <w:sz w:val="21"/>
                <w:szCs w:val="24"/>
                <w:lang w:val="en-US" w:eastAsia="zh-CN"/>
              </w:rPr>
              <w:t>7</w:t>
            </w:r>
            <w:r>
              <w:rPr>
                <w:rFonts w:hint="eastAsia" w:ascii="宋体" w:hAnsi="宋体" w:eastAsia="宋体" w:cs="宋体"/>
                <w:sz w:val="21"/>
                <w:szCs w:val="24"/>
              </w:rPr>
              <w:t>分</w:t>
            </w:r>
            <w:r>
              <w:rPr>
                <w:rFonts w:hint="eastAsia" w:ascii="宋体" w:hAnsi="宋体" w:cs="宋体"/>
                <w:sz w:val="21"/>
                <w:szCs w:val="24"/>
                <w:lang w:eastAsia="zh-CN"/>
              </w:rPr>
              <w:t>，</w:t>
            </w:r>
            <w:r>
              <w:rPr>
                <w:rFonts w:hint="eastAsia" w:ascii="宋体" w:hAnsi="宋体" w:eastAsia="宋体" w:cs="宋体"/>
                <w:sz w:val="21"/>
                <w:szCs w:val="24"/>
              </w:rPr>
              <w:t>配置不够合理</w:t>
            </w:r>
            <w:r>
              <w:rPr>
                <w:rFonts w:hint="eastAsia" w:ascii="宋体" w:hAnsi="宋体" w:cs="宋体"/>
                <w:sz w:val="21"/>
                <w:szCs w:val="24"/>
                <w:lang w:eastAsia="zh-CN"/>
              </w:rPr>
              <w:t>、</w:t>
            </w:r>
            <w:r>
              <w:rPr>
                <w:rFonts w:hint="eastAsia" w:ascii="宋体" w:hAnsi="宋体" w:eastAsia="宋体" w:cs="宋体"/>
                <w:sz w:val="21"/>
                <w:szCs w:val="24"/>
              </w:rPr>
              <w:t>物资未齐备得</w:t>
            </w:r>
            <w:r>
              <w:rPr>
                <w:rFonts w:hint="eastAsia" w:ascii="宋体" w:hAnsi="宋体" w:cs="宋体"/>
                <w:sz w:val="21"/>
                <w:szCs w:val="24"/>
                <w:lang w:val="en-US" w:eastAsia="zh-CN"/>
              </w:rPr>
              <w:t>4</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BB830">
            <w:pPr>
              <w:spacing w:beforeLines="0" w:afterLines="0"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r>
      <w:tr w14:paraId="7C68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714" w:type="dxa"/>
            <w:vMerge w:val="continue"/>
            <w:tcBorders>
              <w:left w:val="single" w:color="auto" w:sz="4" w:space="0"/>
              <w:right w:val="single" w:color="auto" w:sz="4" w:space="0"/>
              <w:tl2br w:val="nil"/>
              <w:tr2bl w:val="nil"/>
            </w:tcBorders>
            <w:noWrap w:val="0"/>
            <w:vAlign w:val="center"/>
          </w:tcPr>
          <w:p w14:paraId="4792FAB1">
            <w:pPr>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D2F49">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制度和档案的建立与管理：针对本项目说明各服务管理制度的完善性及可操作性进行评定；管理制度完善且可操作性强的得</w:t>
            </w:r>
            <w:r>
              <w:rPr>
                <w:rFonts w:hint="eastAsia" w:ascii="宋体" w:hAnsi="宋体" w:cs="宋体"/>
                <w:sz w:val="21"/>
                <w:szCs w:val="24"/>
                <w:lang w:val="en-US" w:eastAsia="zh-CN"/>
              </w:rPr>
              <w:t>9</w:t>
            </w:r>
            <w:r>
              <w:rPr>
                <w:rFonts w:hint="eastAsia" w:ascii="宋体" w:hAnsi="宋体" w:eastAsia="宋体" w:cs="宋体"/>
                <w:sz w:val="21"/>
                <w:szCs w:val="24"/>
              </w:rPr>
              <w:t>分；管理制度基本完善且具有可操作性的得</w:t>
            </w:r>
            <w:r>
              <w:rPr>
                <w:rFonts w:hint="eastAsia" w:ascii="宋体" w:hAnsi="宋体" w:cs="宋体"/>
                <w:sz w:val="21"/>
                <w:szCs w:val="24"/>
                <w:lang w:val="en-US" w:eastAsia="zh-CN"/>
              </w:rPr>
              <w:t>7</w:t>
            </w:r>
            <w:r>
              <w:rPr>
                <w:rFonts w:hint="eastAsia" w:ascii="宋体" w:hAnsi="宋体" w:eastAsia="宋体" w:cs="宋体"/>
                <w:sz w:val="21"/>
                <w:szCs w:val="24"/>
              </w:rPr>
              <w:t>分；管理制度欠完善且可操作性欠缺的得</w:t>
            </w:r>
            <w:r>
              <w:rPr>
                <w:rFonts w:hint="eastAsia" w:ascii="宋体" w:hAnsi="宋体" w:cs="宋体"/>
                <w:sz w:val="21"/>
                <w:szCs w:val="24"/>
                <w:lang w:val="en-US" w:eastAsia="zh-CN"/>
              </w:rPr>
              <w:t>4</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885C9E">
            <w:pPr>
              <w:spacing w:beforeLines="0" w:afterLines="0"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r>
      <w:tr w14:paraId="4353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14" w:type="dxa"/>
            <w:vMerge w:val="continue"/>
            <w:tcBorders>
              <w:left w:val="single" w:color="auto" w:sz="4" w:space="0"/>
              <w:right w:val="single" w:color="auto" w:sz="4" w:space="0"/>
              <w:tl2br w:val="nil"/>
              <w:tr2bl w:val="nil"/>
            </w:tcBorders>
            <w:noWrap w:val="0"/>
            <w:vAlign w:val="center"/>
          </w:tcPr>
          <w:p w14:paraId="666AFFCE">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9FEEC">
            <w:pPr>
              <w:widowControl/>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运作流程、质量过程控制及协调机制：根据管理服务组织机构设置（附组织机构图）、运作流程（附流程图）、激励机制、监督机制、自我约束机制和信息反馈机制等进行评审</w:t>
            </w:r>
            <w:r>
              <w:rPr>
                <w:rFonts w:hint="eastAsia" w:ascii="宋体" w:hAnsi="宋体" w:cs="宋体"/>
                <w:sz w:val="21"/>
                <w:szCs w:val="24"/>
                <w:lang w:eastAsia="zh-CN"/>
              </w:rPr>
              <w:t>，</w:t>
            </w:r>
            <w:r>
              <w:rPr>
                <w:rFonts w:hint="eastAsia" w:ascii="宋体" w:hAnsi="宋体" w:eastAsia="宋体" w:cs="宋体"/>
                <w:sz w:val="21"/>
                <w:szCs w:val="24"/>
              </w:rPr>
              <w:t>运作流程及协调机制可行性强的得</w:t>
            </w:r>
            <w:r>
              <w:rPr>
                <w:rFonts w:hint="eastAsia" w:ascii="宋体" w:hAnsi="宋体" w:cs="宋体"/>
                <w:sz w:val="21"/>
                <w:szCs w:val="24"/>
                <w:lang w:val="en-US" w:eastAsia="zh-CN"/>
              </w:rPr>
              <w:t>9</w:t>
            </w:r>
            <w:r>
              <w:rPr>
                <w:rFonts w:hint="eastAsia" w:ascii="宋体" w:hAnsi="宋体" w:eastAsia="宋体" w:cs="宋体"/>
                <w:sz w:val="21"/>
                <w:szCs w:val="24"/>
              </w:rPr>
              <w:t>分，运作流程及协调机制可行性具有可操作性的得</w:t>
            </w:r>
            <w:r>
              <w:rPr>
                <w:rFonts w:hint="eastAsia" w:ascii="宋体" w:hAnsi="宋体" w:cs="宋体"/>
                <w:sz w:val="21"/>
                <w:szCs w:val="24"/>
                <w:lang w:val="en-US" w:eastAsia="zh-CN"/>
              </w:rPr>
              <w:t>7</w:t>
            </w:r>
            <w:r>
              <w:rPr>
                <w:rFonts w:hint="eastAsia" w:ascii="宋体" w:hAnsi="宋体" w:eastAsia="宋体" w:cs="宋体"/>
                <w:sz w:val="21"/>
                <w:szCs w:val="24"/>
              </w:rPr>
              <w:t>分，运作流程及协调机制可行性欠缺的得</w:t>
            </w:r>
            <w:r>
              <w:rPr>
                <w:rFonts w:hint="eastAsia" w:ascii="宋体" w:hAnsi="宋体" w:cs="宋体"/>
                <w:sz w:val="21"/>
                <w:szCs w:val="24"/>
                <w:lang w:val="en-US" w:eastAsia="zh-CN"/>
              </w:rPr>
              <w:t>4</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21920">
            <w:pPr>
              <w:spacing w:beforeLines="0" w:afterLines="0"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r>
      <w:tr w14:paraId="7E5C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714" w:type="dxa"/>
            <w:vMerge w:val="continue"/>
            <w:tcBorders>
              <w:left w:val="single" w:color="auto" w:sz="4" w:space="0"/>
              <w:right w:val="single" w:color="auto" w:sz="4" w:space="0"/>
              <w:tl2br w:val="nil"/>
              <w:tr2bl w:val="nil"/>
            </w:tcBorders>
            <w:noWrap w:val="0"/>
            <w:vAlign w:val="center"/>
          </w:tcPr>
          <w:p w14:paraId="0ADB2D3F">
            <w:pPr>
              <w:widowControl/>
              <w:snapToGrid w:val="0"/>
              <w:spacing w:beforeLines="0" w:afterLines="0"/>
              <w:jc w:val="center"/>
              <w:rPr>
                <w:rFonts w:hint="eastAsia" w:ascii="宋体" w:hAnsi="宋体" w:eastAsia="宋体" w:cs="宋体"/>
                <w:kern w:val="0"/>
                <w:sz w:val="21"/>
                <w:szCs w:val="21"/>
              </w:rPr>
            </w:pPr>
          </w:p>
        </w:tc>
        <w:tc>
          <w:tcPr>
            <w:tcW w:w="89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64C65">
            <w:pPr>
              <w:spacing w:beforeLines="0" w:afterLines="0" w:line="320" w:lineRule="exact"/>
              <w:rPr>
                <w:rFonts w:hint="eastAsia" w:ascii="宋体" w:hAnsi="宋体" w:eastAsia="宋体" w:cs="宋体"/>
                <w:sz w:val="21"/>
                <w:szCs w:val="21"/>
              </w:rPr>
            </w:pPr>
            <w:r>
              <w:rPr>
                <w:rFonts w:hint="eastAsia" w:ascii="宋体" w:hAnsi="宋体" w:eastAsia="宋体" w:cs="宋体"/>
                <w:sz w:val="21"/>
                <w:szCs w:val="24"/>
              </w:rPr>
              <w:t>突发事件应急处理措施：针对本项目的特性及针对本行业制订的紧急预案与配备的应急响应装备，并具有可操作性进行评定</w:t>
            </w:r>
            <w:r>
              <w:rPr>
                <w:rFonts w:hint="eastAsia" w:ascii="宋体" w:hAnsi="宋体" w:cs="宋体"/>
                <w:sz w:val="21"/>
                <w:szCs w:val="24"/>
                <w:lang w:eastAsia="zh-CN"/>
              </w:rPr>
              <w:t>，</w:t>
            </w:r>
            <w:r>
              <w:rPr>
                <w:rFonts w:hint="eastAsia" w:ascii="宋体" w:hAnsi="宋体" w:eastAsia="宋体" w:cs="宋体"/>
                <w:sz w:val="21"/>
                <w:szCs w:val="24"/>
              </w:rPr>
              <w:t>紧急预案可操作性强</w:t>
            </w:r>
            <w:r>
              <w:rPr>
                <w:rFonts w:hint="eastAsia" w:ascii="宋体" w:hAnsi="宋体" w:cs="宋体"/>
                <w:sz w:val="21"/>
                <w:szCs w:val="24"/>
                <w:lang w:eastAsia="zh-CN"/>
              </w:rPr>
              <w:t>、</w:t>
            </w:r>
            <w:r>
              <w:rPr>
                <w:rFonts w:hint="eastAsia" w:ascii="宋体" w:hAnsi="宋体" w:eastAsia="宋体" w:cs="宋体"/>
                <w:sz w:val="21"/>
                <w:szCs w:val="24"/>
              </w:rPr>
              <w:t>配备的应急响应装备齐备得</w:t>
            </w:r>
            <w:r>
              <w:rPr>
                <w:rFonts w:hint="eastAsia" w:ascii="宋体" w:hAnsi="宋体" w:cs="宋体"/>
                <w:sz w:val="21"/>
                <w:szCs w:val="24"/>
                <w:lang w:val="en-US" w:eastAsia="zh-CN"/>
              </w:rPr>
              <w:t>10</w:t>
            </w:r>
            <w:r>
              <w:rPr>
                <w:rFonts w:hint="eastAsia" w:ascii="宋体" w:hAnsi="宋体" w:eastAsia="宋体" w:cs="宋体"/>
                <w:sz w:val="21"/>
                <w:szCs w:val="24"/>
              </w:rPr>
              <w:t>分</w:t>
            </w:r>
            <w:r>
              <w:rPr>
                <w:rFonts w:hint="eastAsia" w:ascii="宋体" w:hAnsi="宋体" w:cs="宋体"/>
                <w:sz w:val="21"/>
                <w:szCs w:val="24"/>
                <w:lang w:eastAsia="zh-CN"/>
              </w:rPr>
              <w:t>，</w:t>
            </w:r>
            <w:r>
              <w:rPr>
                <w:rFonts w:hint="eastAsia" w:ascii="宋体" w:hAnsi="宋体" w:eastAsia="宋体" w:cs="宋体"/>
                <w:sz w:val="21"/>
                <w:szCs w:val="24"/>
              </w:rPr>
              <w:t>紧急预案基本具有可操作性</w:t>
            </w:r>
            <w:r>
              <w:rPr>
                <w:rFonts w:hint="eastAsia" w:ascii="宋体" w:hAnsi="宋体" w:cs="宋体"/>
                <w:sz w:val="21"/>
                <w:szCs w:val="24"/>
                <w:lang w:eastAsia="zh-CN"/>
              </w:rPr>
              <w:t>、</w:t>
            </w:r>
            <w:r>
              <w:rPr>
                <w:rFonts w:hint="eastAsia" w:ascii="宋体" w:hAnsi="宋体" w:eastAsia="宋体" w:cs="宋体"/>
                <w:sz w:val="21"/>
                <w:szCs w:val="24"/>
              </w:rPr>
              <w:t>配备的应急响应装备基本齐备得</w:t>
            </w:r>
            <w:r>
              <w:rPr>
                <w:rFonts w:hint="eastAsia" w:ascii="宋体" w:hAnsi="宋体" w:cs="宋体"/>
                <w:sz w:val="21"/>
                <w:szCs w:val="24"/>
                <w:lang w:val="en-US" w:eastAsia="zh-CN"/>
              </w:rPr>
              <w:t>8</w:t>
            </w:r>
            <w:r>
              <w:rPr>
                <w:rFonts w:hint="eastAsia" w:ascii="宋体" w:hAnsi="宋体" w:eastAsia="宋体" w:cs="宋体"/>
                <w:sz w:val="21"/>
                <w:szCs w:val="24"/>
              </w:rPr>
              <w:t>分</w:t>
            </w:r>
            <w:r>
              <w:rPr>
                <w:rFonts w:hint="eastAsia" w:ascii="宋体" w:hAnsi="宋体" w:cs="宋体"/>
                <w:sz w:val="21"/>
                <w:szCs w:val="24"/>
                <w:lang w:eastAsia="zh-CN"/>
              </w:rPr>
              <w:t>，</w:t>
            </w:r>
            <w:r>
              <w:rPr>
                <w:rFonts w:hint="eastAsia" w:ascii="宋体" w:hAnsi="宋体" w:eastAsia="宋体" w:cs="宋体"/>
                <w:sz w:val="21"/>
                <w:szCs w:val="24"/>
              </w:rPr>
              <w:t>紧急预案操作性欠缺</w:t>
            </w:r>
            <w:r>
              <w:rPr>
                <w:rFonts w:hint="eastAsia" w:ascii="宋体" w:hAnsi="宋体" w:cs="宋体"/>
                <w:sz w:val="21"/>
                <w:szCs w:val="24"/>
                <w:lang w:eastAsia="zh-CN"/>
              </w:rPr>
              <w:t>、</w:t>
            </w:r>
            <w:r>
              <w:rPr>
                <w:rFonts w:hint="eastAsia" w:ascii="宋体" w:hAnsi="宋体" w:eastAsia="宋体" w:cs="宋体"/>
                <w:sz w:val="21"/>
                <w:szCs w:val="24"/>
              </w:rPr>
              <w:t>配备的应急响应装备未齐备得</w:t>
            </w:r>
            <w:r>
              <w:rPr>
                <w:rFonts w:hint="eastAsia" w:ascii="宋体" w:hAnsi="宋体" w:cs="宋体"/>
                <w:sz w:val="21"/>
                <w:szCs w:val="24"/>
                <w:lang w:val="en-US" w:eastAsia="zh-CN"/>
              </w:rPr>
              <w:t>5</w:t>
            </w:r>
            <w:r>
              <w:rPr>
                <w:rFonts w:hint="eastAsia" w:ascii="宋体" w:hAnsi="宋体" w:eastAsia="宋体" w:cs="宋体"/>
                <w:sz w:val="21"/>
                <w:szCs w:val="24"/>
              </w:rPr>
              <w:t>分，</w:t>
            </w:r>
            <w:r>
              <w:rPr>
                <w:rFonts w:hint="eastAsia" w:ascii="宋体" w:hAnsi="宋体" w:eastAsia="宋体" w:cs="宋体"/>
                <w:sz w:val="21"/>
                <w:szCs w:val="24"/>
                <w:lang w:eastAsia="zh-CN"/>
              </w:rPr>
              <w:t>未提供不得分</w:t>
            </w:r>
            <w:r>
              <w:rPr>
                <w:rFonts w:hint="eastAsia" w:ascii="宋体" w:hAnsi="宋体" w:eastAsia="宋体" w:cs="宋体"/>
                <w:sz w:val="21"/>
                <w:szCs w:val="24"/>
              </w:rPr>
              <w:t>。</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FF6C9B">
            <w:pPr>
              <w:spacing w:beforeLines="0" w:afterLines="0" w:line="3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r>
      <w:tr w14:paraId="54CF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9644" w:type="dxa"/>
            <w:gridSpan w:val="2"/>
            <w:tcBorders>
              <w:left w:val="single" w:color="auto" w:sz="4" w:space="0"/>
              <w:right w:val="single" w:color="auto" w:sz="4" w:space="0"/>
              <w:tl2br w:val="nil"/>
              <w:tr2bl w:val="nil"/>
            </w:tcBorders>
            <w:noWrap w:val="0"/>
            <w:vAlign w:val="center"/>
          </w:tcPr>
          <w:p w14:paraId="656DE07B">
            <w:pPr>
              <w:spacing w:beforeLines="0" w:afterLines="0" w:line="320" w:lineRule="exact"/>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合计</w:t>
            </w:r>
          </w:p>
        </w:tc>
        <w:tc>
          <w:tcPr>
            <w:tcW w:w="7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1D444">
            <w:pPr>
              <w:spacing w:beforeLines="0" w:afterLines="0"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r>
    </w:tbl>
    <w:p w14:paraId="58716493">
      <w:pPr>
        <w:rPr>
          <w:rFonts w:ascii="宋体" w:hAnsi="宋体" w:cs="宋体"/>
          <w:color w:val="auto"/>
          <w:szCs w:val="21"/>
        </w:rPr>
      </w:pPr>
      <w:r>
        <w:rPr>
          <w:rFonts w:hint="eastAsia" w:ascii="宋体" w:hAnsi="宋体" w:cs="宋体"/>
          <w:color w:val="auto"/>
          <w:szCs w:val="21"/>
        </w:rPr>
        <w:t>评委签名：</w:t>
      </w:r>
      <w:r>
        <w:rPr>
          <w:rFonts w:hint="eastAsia" w:ascii="宋体" w:hAnsi="宋体" w:cs="宋体"/>
          <w:color w:val="auto"/>
          <w:szCs w:val="21"/>
          <w:lang w:val="en-US" w:eastAsia="zh-CN"/>
        </w:rPr>
        <w:t xml:space="preserve">                                                                       </w:t>
      </w:r>
      <w:r>
        <w:rPr>
          <w:rFonts w:hint="eastAsia" w:ascii="宋体" w:hAnsi="宋体" w:cs="宋体"/>
          <w:color w:val="auto"/>
          <w:szCs w:val="21"/>
        </w:rPr>
        <w:t>年 月 日</w:t>
      </w:r>
    </w:p>
    <w:p w14:paraId="7BD345CA">
      <w:pPr>
        <w:rPr>
          <w:rFonts w:ascii="宋体" w:hAnsi="宋体" w:cs="宋体"/>
          <w:color w:val="auto"/>
          <w:szCs w:val="21"/>
        </w:rPr>
      </w:pPr>
      <w:r>
        <w:rPr>
          <w:rFonts w:hint="eastAsia" w:ascii="宋体" w:hAnsi="宋体" w:cs="宋体"/>
          <w:color w:val="auto"/>
          <w:szCs w:val="21"/>
        </w:rPr>
        <w:br w:type="page"/>
      </w:r>
    </w:p>
    <w:p w14:paraId="3734EB9D">
      <w:pPr>
        <w:spacing w:line="400" w:lineRule="exact"/>
        <w:rPr>
          <w:rFonts w:ascii="宋体" w:hAnsi="宋体" w:cs="宋体"/>
          <w:color w:val="auto"/>
          <w:szCs w:val="21"/>
        </w:rPr>
      </w:pPr>
      <w:r>
        <w:rPr>
          <w:rFonts w:hint="eastAsia" w:ascii="宋体" w:hAnsi="宋体" w:cs="宋体"/>
          <w:color w:val="auto"/>
          <w:szCs w:val="21"/>
        </w:rPr>
        <w:t>附表4</w:t>
      </w:r>
    </w:p>
    <w:p w14:paraId="5627625C">
      <w:pPr>
        <w:widowControl/>
        <w:snapToGrid w:val="0"/>
        <w:spacing w:line="560" w:lineRule="exact"/>
        <w:jc w:val="center"/>
        <w:rPr>
          <w:rFonts w:ascii="宋体" w:hAnsi="宋体" w:cs="宋体"/>
          <w:b/>
          <w:color w:val="auto"/>
          <w:szCs w:val="21"/>
        </w:rPr>
      </w:pPr>
      <w:r>
        <w:rPr>
          <w:rFonts w:hint="eastAsia" w:ascii="宋体" w:hAnsi="宋体" w:cs="宋体"/>
          <w:b/>
          <w:color w:val="auto"/>
          <w:szCs w:val="21"/>
        </w:rPr>
        <w:t>初步审查表</w:t>
      </w:r>
    </w:p>
    <w:tbl>
      <w:tblPr>
        <w:tblStyle w:val="48"/>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836"/>
      </w:tblGrid>
      <w:tr w14:paraId="2EB1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82DCFD">
            <w:pPr>
              <w:jc w:val="center"/>
              <w:rPr>
                <w:rFonts w:ascii="宋体" w:hAnsi="宋体" w:cs="宋体"/>
                <w:color w:val="auto"/>
              </w:rPr>
            </w:pPr>
            <w:r>
              <w:rPr>
                <w:rFonts w:hint="eastAsia" w:ascii="宋体" w:hAnsi="宋体" w:cs="宋体"/>
                <w:color w:val="auto"/>
              </w:rPr>
              <w:t>序号</w:t>
            </w:r>
          </w:p>
        </w:tc>
        <w:tc>
          <w:tcPr>
            <w:tcW w:w="5859" w:type="dxa"/>
            <w:vAlign w:val="center"/>
          </w:tcPr>
          <w:p w14:paraId="60E5AD8D">
            <w:pPr>
              <w:jc w:val="center"/>
              <w:rPr>
                <w:rFonts w:ascii="宋体" w:hAnsi="宋体" w:cs="宋体"/>
                <w:color w:val="auto"/>
              </w:rPr>
            </w:pPr>
            <w:r>
              <w:rPr>
                <w:rFonts w:hint="eastAsia" w:ascii="宋体" w:hAnsi="宋体" w:cs="宋体"/>
                <w:color w:val="auto"/>
              </w:rPr>
              <w:t>要求说明</w:t>
            </w:r>
          </w:p>
        </w:tc>
        <w:tc>
          <w:tcPr>
            <w:tcW w:w="2836" w:type="dxa"/>
            <w:vAlign w:val="center"/>
          </w:tcPr>
          <w:p w14:paraId="479688DB">
            <w:pPr>
              <w:jc w:val="center"/>
              <w:rPr>
                <w:rFonts w:ascii="宋体" w:hAnsi="宋体" w:cs="宋体"/>
                <w:color w:val="auto"/>
              </w:rPr>
            </w:pPr>
            <w:r>
              <w:rPr>
                <w:rFonts w:hint="eastAsia" w:ascii="宋体" w:hAnsi="宋体" w:cs="宋体"/>
                <w:color w:val="auto"/>
              </w:rPr>
              <w:t>审查要求</w:t>
            </w:r>
          </w:p>
        </w:tc>
      </w:tr>
      <w:tr w14:paraId="55A6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418AB9">
            <w:pPr>
              <w:jc w:val="center"/>
              <w:rPr>
                <w:rFonts w:ascii="宋体" w:hAnsi="宋体" w:cs="宋体"/>
                <w:color w:val="auto"/>
              </w:rPr>
            </w:pPr>
            <w:r>
              <w:rPr>
                <w:rFonts w:hint="eastAsia" w:ascii="宋体" w:hAnsi="宋体" w:cs="宋体"/>
                <w:color w:val="auto"/>
              </w:rPr>
              <w:t>1</w:t>
            </w:r>
          </w:p>
        </w:tc>
        <w:tc>
          <w:tcPr>
            <w:tcW w:w="5859" w:type="dxa"/>
            <w:vAlign w:val="center"/>
          </w:tcPr>
          <w:p w14:paraId="48B6AC37">
            <w:pPr>
              <w:spacing w:line="400" w:lineRule="exact"/>
              <w:rPr>
                <w:rFonts w:ascii="宋体" w:hAnsi="宋体" w:cs="宋体"/>
                <w:color w:val="auto"/>
                <w:szCs w:val="21"/>
              </w:rPr>
            </w:pPr>
            <w:r>
              <w:rPr>
                <w:rFonts w:hint="eastAsia" w:ascii="宋体" w:hAnsi="宋体" w:cs="宋体"/>
                <w:color w:val="auto"/>
                <w:szCs w:val="21"/>
              </w:rPr>
              <w:t>本次公开招标设有</w:t>
            </w:r>
            <w:r>
              <w:rPr>
                <w:rFonts w:hint="eastAsia" w:ascii="宋体" w:hAnsi="宋体" w:cs="宋体"/>
                <w:color w:val="auto"/>
                <w:szCs w:val="21"/>
                <w:lang w:eastAsia="zh-CN"/>
              </w:rPr>
              <w:t>最高投标限价</w:t>
            </w:r>
            <w:r>
              <w:rPr>
                <w:rFonts w:hint="eastAsia" w:ascii="宋体" w:hAnsi="宋体" w:cs="宋体"/>
                <w:color w:val="auto"/>
                <w:szCs w:val="21"/>
                <w:lang w:val="en-US" w:eastAsia="zh-CN"/>
              </w:rPr>
              <w:t>:825000元</w:t>
            </w:r>
            <w:r>
              <w:rPr>
                <w:rFonts w:hint="eastAsia" w:ascii="宋体" w:hAnsi="宋体" w:cs="宋体"/>
                <w:color w:val="auto"/>
                <w:szCs w:val="21"/>
              </w:rPr>
              <w:t>，投标报价超过预算价的按无效标处理。</w:t>
            </w:r>
          </w:p>
        </w:tc>
        <w:tc>
          <w:tcPr>
            <w:tcW w:w="2836" w:type="dxa"/>
            <w:vAlign w:val="center"/>
          </w:tcPr>
          <w:p w14:paraId="6A3442B1">
            <w:pPr>
              <w:rPr>
                <w:rFonts w:ascii="宋体" w:hAnsi="宋体" w:cs="宋体"/>
                <w:color w:val="auto"/>
              </w:rPr>
            </w:pPr>
            <w:r>
              <w:rPr>
                <w:rFonts w:hint="eastAsia" w:ascii="宋体" w:hAnsi="宋体" w:cs="宋体"/>
                <w:color w:val="auto"/>
              </w:rPr>
              <w:t>提供“开标一览表”。</w:t>
            </w:r>
          </w:p>
        </w:tc>
      </w:tr>
      <w:tr w14:paraId="27F1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0" w:type="dxa"/>
            <w:vAlign w:val="center"/>
          </w:tcPr>
          <w:p w14:paraId="7E146B40">
            <w:pPr>
              <w:jc w:val="center"/>
              <w:rPr>
                <w:rFonts w:ascii="宋体" w:hAnsi="宋体" w:cs="宋体"/>
                <w:color w:val="auto"/>
              </w:rPr>
            </w:pPr>
            <w:r>
              <w:rPr>
                <w:rFonts w:hint="eastAsia" w:ascii="宋体" w:hAnsi="宋体" w:cs="宋体"/>
                <w:color w:val="auto"/>
              </w:rPr>
              <w:t>2</w:t>
            </w:r>
          </w:p>
        </w:tc>
        <w:tc>
          <w:tcPr>
            <w:tcW w:w="5859" w:type="dxa"/>
            <w:vAlign w:val="center"/>
          </w:tcPr>
          <w:p w14:paraId="2691E8C6">
            <w:pPr>
              <w:spacing w:line="400" w:lineRule="exact"/>
              <w:rPr>
                <w:rFonts w:ascii="宋体" w:hAnsi="宋体" w:cs="宋体"/>
                <w:color w:val="auto"/>
                <w:szCs w:val="21"/>
              </w:rPr>
            </w:pPr>
            <w:r>
              <w:rPr>
                <w:rFonts w:hint="eastAsia" w:ascii="宋体" w:hAnsi="宋体" w:cs="宋体"/>
                <w:color w:val="auto"/>
                <w:szCs w:val="21"/>
              </w:rPr>
              <w:t>符合第二章“投标须知”第九、1条的要求。</w:t>
            </w:r>
          </w:p>
        </w:tc>
        <w:tc>
          <w:tcPr>
            <w:tcW w:w="2836" w:type="dxa"/>
            <w:vAlign w:val="center"/>
          </w:tcPr>
          <w:p w14:paraId="54389B6C">
            <w:pPr>
              <w:rPr>
                <w:rFonts w:ascii="宋体" w:hAnsi="宋体" w:cs="宋体"/>
                <w:color w:val="auto"/>
              </w:rPr>
            </w:pPr>
            <w:r>
              <w:rPr>
                <w:rFonts w:hint="eastAsia" w:ascii="宋体" w:hAnsi="宋体" w:cs="宋体"/>
                <w:color w:val="auto"/>
              </w:rPr>
              <w:t>投标文件的签署盖章符合所述要求。</w:t>
            </w:r>
          </w:p>
        </w:tc>
      </w:tr>
      <w:tr w14:paraId="39CE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D67D518">
            <w:pPr>
              <w:jc w:val="center"/>
              <w:rPr>
                <w:rFonts w:ascii="宋体" w:hAnsi="宋体" w:cs="宋体"/>
                <w:color w:val="auto"/>
              </w:rPr>
            </w:pPr>
            <w:r>
              <w:rPr>
                <w:rFonts w:hint="eastAsia" w:ascii="宋体" w:hAnsi="宋体" w:cs="宋体"/>
                <w:color w:val="auto"/>
              </w:rPr>
              <w:t>3</w:t>
            </w:r>
          </w:p>
        </w:tc>
        <w:tc>
          <w:tcPr>
            <w:tcW w:w="5859" w:type="dxa"/>
            <w:vAlign w:val="center"/>
          </w:tcPr>
          <w:p w14:paraId="00B50B73">
            <w:pPr>
              <w:spacing w:line="400" w:lineRule="exact"/>
              <w:rPr>
                <w:rFonts w:ascii="宋体" w:hAnsi="宋体" w:cs="宋体"/>
                <w:color w:val="auto"/>
                <w:szCs w:val="21"/>
              </w:rPr>
            </w:pPr>
            <w:r>
              <w:rPr>
                <w:rFonts w:hint="eastAsia" w:ascii="宋体" w:hAnsi="宋体" w:cs="宋体"/>
                <w:color w:val="auto"/>
                <w:szCs w:val="21"/>
              </w:rPr>
              <w:t>评标委员会认为供应商的报价明显低于其他通过第一阶段评审供应商的报价，有可能影响服务质量或者不能诚信履约的，应当要求其在评标现场合理的时间内提供说明，必要时提交相关证明材料；供应商不能证明其报价合理性的，评标委员会应当将其作为无效投标处理。</w:t>
            </w:r>
          </w:p>
        </w:tc>
        <w:tc>
          <w:tcPr>
            <w:tcW w:w="2836" w:type="dxa"/>
            <w:vAlign w:val="center"/>
          </w:tcPr>
          <w:p w14:paraId="6C2AAEE3">
            <w:pPr>
              <w:rPr>
                <w:rFonts w:ascii="宋体" w:hAnsi="宋体" w:cs="宋体"/>
                <w:color w:val="auto"/>
              </w:rPr>
            </w:pPr>
            <w:r>
              <w:rPr>
                <w:rFonts w:hint="eastAsia" w:ascii="宋体" w:hAnsi="宋体" w:cs="宋体"/>
                <w:color w:val="auto"/>
              </w:rPr>
              <w:t>符合所述要求。</w:t>
            </w:r>
          </w:p>
        </w:tc>
      </w:tr>
      <w:tr w14:paraId="555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11150BE">
            <w:pPr>
              <w:spacing w:line="400" w:lineRule="exact"/>
              <w:jc w:val="center"/>
              <w:rPr>
                <w:rFonts w:ascii="宋体" w:hAnsi="宋体" w:cs="宋体"/>
                <w:color w:val="auto"/>
                <w:szCs w:val="21"/>
              </w:rPr>
            </w:pPr>
            <w:r>
              <w:rPr>
                <w:rFonts w:hint="eastAsia" w:ascii="宋体" w:hAnsi="宋体" w:cs="宋体"/>
                <w:color w:val="auto"/>
                <w:szCs w:val="21"/>
              </w:rPr>
              <w:t>4</w:t>
            </w:r>
          </w:p>
        </w:tc>
        <w:tc>
          <w:tcPr>
            <w:tcW w:w="5859" w:type="dxa"/>
            <w:vAlign w:val="center"/>
          </w:tcPr>
          <w:p w14:paraId="7931A32D">
            <w:pPr>
              <w:spacing w:line="400" w:lineRule="exact"/>
              <w:rPr>
                <w:rFonts w:ascii="宋体" w:hAnsi="宋体" w:cs="宋体"/>
                <w:color w:val="auto"/>
                <w:szCs w:val="21"/>
              </w:rPr>
            </w:pPr>
            <w:r>
              <w:rPr>
                <w:rFonts w:hint="eastAsia" w:ascii="宋体" w:hAnsi="宋体" w:cs="宋体"/>
                <w:color w:val="auto"/>
                <w:szCs w:val="21"/>
              </w:rPr>
              <w:t>符合法律、法规和招标文件中规定的其他实质性要求（实质性要求招标文件中“▲”标记）</w:t>
            </w:r>
          </w:p>
        </w:tc>
        <w:tc>
          <w:tcPr>
            <w:tcW w:w="2836" w:type="dxa"/>
            <w:vAlign w:val="center"/>
          </w:tcPr>
          <w:p w14:paraId="3345D2B1">
            <w:pPr>
              <w:spacing w:line="400" w:lineRule="exact"/>
              <w:rPr>
                <w:rFonts w:ascii="宋体" w:hAnsi="宋体" w:cs="宋体"/>
                <w:color w:val="auto"/>
                <w:szCs w:val="21"/>
              </w:rPr>
            </w:pPr>
            <w:r>
              <w:rPr>
                <w:rFonts w:hint="eastAsia" w:ascii="宋体" w:hAnsi="宋体" w:cs="宋体"/>
                <w:color w:val="auto"/>
                <w:szCs w:val="21"/>
              </w:rPr>
              <w:t>符合所述要求。</w:t>
            </w:r>
          </w:p>
        </w:tc>
      </w:tr>
      <w:tr w14:paraId="4CB8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469F2AC4">
            <w:pPr>
              <w:spacing w:line="400" w:lineRule="exact"/>
              <w:jc w:val="center"/>
              <w:rPr>
                <w:rFonts w:ascii="宋体" w:hAnsi="宋体" w:cs="宋体"/>
                <w:color w:val="auto"/>
                <w:szCs w:val="21"/>
              </w:rPr>
            </w:pPr>
            <w:r>
              <w:rPr>
                <w:rFonts w:hint="eastAsia" w:ascii="宋体" w:hAnsi="宋体" w:cs="宋体"/>
                <w:b/>
                <w:color w:val="auto"/>
                <w:szCs w:val="21"/>
              </w:rPr>
              <w:t>初步审查结论</w:t>
            </w:r>
          </w:p>
        </w:tc>
        <w:tc>
          <w:tcPr>
            <w:tcW w:w="2836" w:type="dxa"/>
            <w:vAlign w:val="center"/>
          </w:tcPr>
          <w:p w14:paraId="292DF605">
            <w:pPr>
              <w:spacing w:line="400" w:lineRule="exact"/>
              <w:rPr>
                <w:rFonts w:ascii="宋体" w:hAnsi="宋体" w:cs="宋体"/>
                <w:color w:val="auto"/>
                <w:szCs w:val="21"/>
              </w:rPr>
            </w:pPr>
          </w:p>
        </w:tc>
      </w:tr>
    </w:tbl>
    <w:p w14:paraId="7E9F5B67">
      <w:pPr>
        <w:spacing w:line="400" w:lineRule="exact"/>
        <w:rPr>
          <w:rFonts w:ascii="宋体" w:hAnsi="宋体" w:cs="宋体"/>
          <w:color w:val="auto"/>
          <w:szCs w:val="21"/>
        </w:rPr>
      </w:pPr>
      <w:r>
        <w:rPr>
          <w:rFonts w:hint="eastAsia" w:ascii="宋体" w:hAnsi="宋体" w:cs="宋体"/>
          <w:b/>
          <w:color w:val="auto"/>
        </w:rPr>
        <w:t>注：1、上述审查项目中，任意一项不符合的，初步审查不合格。</w:t>
      </w:r>
    </w:p>
    <w:p w14:paraId="1050A3EA">
      <w:pPr>
        <w:spacing w:line="400" w:lineRule="exact"/>
        <w:rPr>
          <w:rFonts w:ascii="宋体" w:hAnsi="宋体" w:cs="宋体"/>
          <w:color w:val="auto"/>
          <w:szCs w:val="21"/>
        </w:rPr>
      </w:pPr>
      <w:r>
        <w:rPr>
          <w:rFonts w:hint="eastAsia" w:ascii="宋体" w:hAnsi="宋体" w:cs="宋体"/>
          <w:b/>
          <w:color w:val="auto"/>
        </w:rPr>
        <w:t xml:space="preserve">    2、序号2-序号4在政采云上无须添加关联点。</w:t>
      </w:r>
    </w:p>
    <w:p w14:paraId="58D1CCCD">
      <w:pPr>
        <w:spacing w:line="400" w:lineRule="exact"/>
        <w:rPr>
          <w:rFonts w:ascii="宋体" w:hAnsi="宋体" w:cs="宋体"/>
          <w:color w:val="auto"/>
          <w:szCs w:val="21"/>
        </w:rPr>
      </w:pPr>
    </w:p>
    <w:p w14:paraId="71CE40E4">
      <w:pPr>
        <w:rPr>
          <w:rFonts w:ascii="宋体" w:hAnsi="宋体" w:cs="宋体"/>
          <w:color w:val="auto"/>
          <w:szCs w:val="21"/>
        </w:rPr>
      </w:pPr>
      <w:r>
        <w:rPr>
          <w:rFonts w:hint="eastAsia" w:ascii="宋体" w:hAnsi="宋体" w:cs="宋体"/>
          <w:color w:val="auto"/>
          <w:szCs w:val="21"/>
        </w:rPr>
        <w:t>附表5</w:t>
      </w:r>
    </w:p>
    <w:p w14:paraId="698B8854">
      <w:pPr>
        <w:widowControl/>
        <w:snapToGrid w:val="0"/>
        <w:spacing w:line="560" w:lineRule="exact"/>
        <w:jc w:val="center"/>
        <w:rPr>
          <w:rFonts w:ascii="宋体" w:hAnsi="宋体" w:cs="宋体"/>
          <w:b/>
          <w:color w:val="auto"/>
          <w:szCs w:val="21"/>
        </w:rPr>
      </w:pPr>
      <w:r>
        <w:rPr>
          <w:rFonts w:hint="eastAsia" w:ascii="宋体" w:hAnsi="宋体" w:cs="宋体"/>
          <w:b/>
          <w:color w:val="auto"/>
          <w:szCs w:val="21"/>
        </w:rPr>
        <w:t>价格评分表</w:t>
      </w:r>
    </w:p>
    <w:p w14:paraId="7FC77084">
      <w:pPr>
        <w:spacing w:line="320" w:lineRule="exact"/>
        <w:rPr>
          <w:rFonts w:ascii="宋体" w:hAnsi="宋体" w:cs="宋体"/>
          <w:b/>
          <w:color w:val="auto"/>
          <w:szCs w:val="21"/>
        </w:rPr>
      </w:pPr>
      <w:r>
        <w:rPr>
          <w:rFonts w:hint="eastAsia" w:ascii="宋体" w:hAnsi="宋体" w:cs="宋体"/>
          <w:b/>
          <w:color w:val="auto"/>
          <w:szCs w:val="21"/>
        </w:rPr>
        <w:t>项目编号：</w:t>
      </w:r>
    </w:p>
    <w:tbl>
      <w:tblPr>
        <w:tblStyle w:val="48"/>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7317"/>
        <w:gridCol w:w="1145"/>
      </w:tblGrid>
      <w:tr w14:paraId="7988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nil"/>
              <w:tr2bl w:val="nil"/>
            </w:tcBorders>
          </w:tcPr>
          <w:p w14:paraId="3A2DF974">
            <w:pPr>
              <w:spacing w:line="320" w:lineRule="exact"/>
              <w:jc w:val="center"/>
              <w:rPr>
                <w:rFonts w:hint="eastAsia" w:ascii="宋体" w:hAnsi="宋体" w:eastAsia="宋体" w:cs="宋体"/>
                <w:color w:val="auto"/>
                <w:szCs w:val="21"/>
                <w:lang w:val="ru-RU" w:eastAsia="zh-CN"/>
              </w:rPr>
            </w:pPr>
            <w:r>
              <w:rPr>
                <w:rFonts w:hint="eastAsia" w:ascii="宋体" w:hAnsi="宋体" w:cs="宋体"/>
                <w:color w:val="auto"/>
                <w:szCs w:val="21"/>
                <w:lang w:eastAsia="zh-CN"/>
              </w:rPr>
              <w:t>评审内容</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14:paraId="63DD84CC">
            <w:pPr>
              <w:spacing w:line="320" w:lineRule="exact"/>
              <w:jc w:val="center"/>
              <w:rPr>
                <w:rFonts w:hint="eastAsia" w:ascii="宋体" w:hAnsi="宋体" w:eastAsia="宋体" w:cs="宋体"/>
                <w:color w:val="auto"/>
                <w:szCs w:val="21"/>
                <w:lang w:val="ru-RU" w:eastAsia="zh-CN"/>
              </w:rPr>
            </w:pPr>
            <w:r>
              <w:rPr>
                <w:rFonts w:hint="eastAsia" w:ascii="宋体" w:hAnsi="宋体" w:cs="宋体"/>
                <w:color w:val="auto"/>
                <w:szCs w:val="21"/>
                <w:lang w:val="ru-RU" w:eastAsia="zh-CN"/>
              </w:rPr>
              <w:t>分值</w:t>
            </w:r>
          </w:p>
        </w:tc>
      </w:tr>
      <w:tr w14:paraId="1157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62" w:type="dxa"/>
            <w:tcBorders>
              <w:top w:val="single" w:color="auto" w:sz="4" w:space="0"/>
              <w:left w:val="single" w:color="auto" w:sz="4" w:space="0"/>
              <w:bottom w:val="single" w:color="auto" w:sz="4" w:space="0"/>
              <w:right w:val="single" w:color="auto" w:sz="4" w:space="0"/>
              <w:tl2br w:val="nil"/>
              <w:tr2bl w:val="nil"/>
            </w:tcBorders>
            <w:vAlign w:val="center"/>
          </w:tcPr>
          <w:p w14:paraId="4DF30CD4">
            <w:pPr>
              <w:spacing w:line="340" w:lineRule="exact"/>
              <w:jc w:val="center"/>
              <w:rPr>
                <w:rFonts w:ascii="宋体" w:hAnsi="宋体" w:cs="宋体"/>
                <w:color w:val="auto"/>
                <w:szCs w:val="21"/>
              </w:rPr>
            </w:pPr>
            <w:r>
              <w:rPr>
                <w:rFonts w:hint="eastAsia" w:ascii="宋体" w:hAnsi="宋体" w:cs="宋体"/>
                <w:color w:val="auto"/>
                <w:szCs w:val="21"/>
              </w:rPr>
              <w:t>价格分20分</w:t>
            </w:r>
          </w:p>
        </w:tc>
        <w:tc>
          <w:tcPr>
            <w:tcW w:w="7317" w:type="dxa"/>
            <w:tcBorders>
              <w:top w:val="single" w:color="auto" w:sz="4" w:space="0"/>
              <w:left w:val="single" w:color="auto" w:sz="4" w:space="0"/>
              <w:bottom w:val="single" w:color="auto" w:sz="4" w:space="0"/>
              <w:right w:val="single" w:color="auto" w:sz="4" w:space="0"/>
              <w:tl2br w:val="nil"/>
              <w:tr2bl w:val="nil"/>
            </w:tcBorders>
            <w:vAlign w:val="center"/>
          </w:tcPr>
          <w:p w14:paraId="77B84F40">
            <w:pPr>
              <w:spacing w:line="340" w:lineRule="exact"/>
              <w:rPr>
                <w:rFonts w:ascii="宋体" w:hAnsi="宋体" w:cs="宋体"/>
                <w:color w:val="auto"/>
                <w:szCs w:val="21"/>
              </w:rPr>
            </w:pPr>
            <w:r>
              <w:rPr>
                <w:rFonts w:hint="eastAsia" w:ascii="宋体" w:hAnsi="宋体" w:cs="宋体"/>
                <w:color w:val="auto"/>
                <w:szCs w:val="21"/>
              </w:rPr>
              <w:t>评标基准价=满足招标文件要求且“参与评审的价格”中最低的价格为评标基准价</w:t>
            </w:r>
          </w:p>
          <w:p w14:paraId="6E6D81D9">
            <w:pPr>
              <w:spacing w:line="340" w:lineRule="exact"/>
              <w:rPr>
                <w:rFonts w:ascii="宋体" w:hAnsi="宋体" w:cs="宋体"/>
                <w:color w:val="auto"/>
                <w:szCs w:val="21"/>
              </w:rPr>
            </w:pPr>
            <w:r>
              <w:rPr>
                <w:rFonts w:hint="eastAsia" w:ascii="宋体" w:hAnsi="宋体" w:cs="宋体"/>
                <w:color w:val="auto"/>
                <w:szCs w:val="21"/>
              </w:rPr>
              <w:t>基准价得分为满分20分，其他供应商报价得分计算公式如下：</w:t>
            </w:r>
          </w:p>
          <w:p w14:paraId="582248DF">
            <w:pPr>
              <w:spacing w:line="340" w:lineRule="exact"/>
              <w:rPr>
                <w:rFonts w:ascii="宋体" w:hAnsi="宋体" w:cs="宋体"/>
                <w:color w:val="auto"/>
                <w:szCs w:val="21"/>
              </w:rPr>
            </w:pPr>
            <w:r>
              <w:rPr>
                <w:rFonts w:hint="eastAsia" w:ascii="宋体" w:hAnsi="宋体" w:cs="宋体"/>
                <w:color w:val="auto"/>
                <w:szCs w:val="21"/>
              </w:rPr>
              <w:t>其他供应商报价得分=（评标基准价/参与评审的价格）×20</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14:paraId="39C667DC">
            <w:pPr>
              <w:spacing w:line="320" w:lineRule="exact"/>
              <w:jc w:val="center"/>
              <w:rPr>
                <w:rFonts w:ascii="宋体" w:hAnsi="宋体" w:cs="宋体"/>
                <w:color w:val="auto"/>
                <w:szCs w:val="21"/>
              </w:rPr>
            </w:pPr>
            <w:r>
              <w:rPr>
                <w:rFonts w:hint="eastAsia" w:ascii="宋体" w:hAnsi="宋体" w:cs="宋体"/>
                <w:color w:val="auto"/>
                <w:szCs w:val="21"/>
              </w:rPr>
              <w:t>20</w:t>
            </w:r>
          </w:p>
        </w:tc>
      </w:tr>
      <w:tr w14:paraId="7864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14DD4C">
            <w:pPr>
              <w:spacing w:line="320" w:lineRule="exact"/>
              <w:jc w:val="center"/>
              <w:rPr>
                <w:rFonts w:ascii="宋体" w:hAnsi="宋体" w:cs="宋体"/>
                <w:color w:val="auto"/>
                <w:szCs w:val="21"/>
              </w:rPr>
            </w:pPr>
            <w:r>
              <w:rPr>
                <w:rFonts w:hint="eastAsia" w:ascii="宋体" w:hAnsi="宋体" w:cs="宋体"/>
                <w:b/>
                <w:color w:val="auto"/>
                <w:szCs w:val="21"/>
              </w:rPr>
              <w:t>报价得分（20分）</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14:paraId="31F873A6">
            <w:pPr>
              <w:spacing w:line="320" w:lineRule="exact"/>
              <w:jc w:val="center"/>
              <w:rPr>
                <w:rFonts w:ascii="宋体" w:hAnsi="宋体" w:cs="宋体"/>
                <w:color w:val="auto"/>
                <w:szCs w:val="21"/>
              </w:rPr>
            </w:pPr>
          </w:p>
        </w:tc>
      </w:tr>
    </w:tbl>
    <w:p w14:paraId="0B05259C">
      <w:pPr>
        <w:spacing w:line="320" w:lineRule="exact"/>
        <w:rPr>
          <w:rFonts w:ascii="宋体" w:hAnsi="宋体"/>
          <w:color w:val="auto"/>
          <w:sz w:val="28"/>
          <w:szCs w:val="28"/>
        </w:rPr>
      </w:pPr>
    </w:p>
    <w:p w14:paraId="0431D871">
      <w:pPr>
        <w:ind w:right="-1226" w:rightChars="-584"/>
        <w:jc w:val="left"/>
        <w:rPr>
          <w:rFonts w:ascii="宋体" w:hAnsi="宋体"/>
          <w:color w:val="auto"/>
          <w:sz w:val="28"/>
          <w:szCs w:val="28"/>
        </w:rPr>
      </w:pPr>
    </w:p>
    <w:p w14:paraId="5D835395">
      <w:pPr>
        <w:ind w:right="-1226" w:rightChars="-584"/>
        <w:jc w:val="center"/>
        <w:rPr>
          <w:rFonts w:ascii="宋体" w:hAnsi="宋体"/>
          <w:color w:val="auto"/>
          <w:sz w:val="28"/>
          <w:szCs w:val="28"/>
        </w:rPr>
        <w:sectPr>
          <w:headerReference r:id="rId6" w:type="default"/>
          <w:footerReference r:id="rId7" w:type="default"/>
          <w:type w:val="nextColumn"/>
          <w:pgSz w:w="11907" w:h="16840"/>
          <w:pgMar w:top="1440" w:right="1080" w:bottom="1440" w:left="1080" w:header="285" w:footer="616" w:gutter="0"/>
          <w:cols w:space="720" w:num="1"/>
          <w:docGrid w:linePitch="285" w:charSpace="0"/>
        </w:sectPr>
      </w:pPr>
    </w:p>
    <w:p w14:paraId="5F84A9B7">
      <w:pPr>
        <w:spacing w:line="400" w:lineRule="exact"/>
        <w:jc w:val="center"/>
        <w:outlineLvl w:val="0"/>
        <w:rPr>
          <w:rFonts w:ascii="宋体" w:hAnsi="宋体"/>
          <w:b/>
          <w:color w:val="auto"/>
          <w:sz w:val="32"/>
        </w:rPr>
      </w:pPr>
      <w:bookmarkStart w:id="32" w:name="_Toc6169"/>
      <w:r>
        <w:rPr>
          <w:rFonts w:hint="eastAsia" w:ascii="宋体" w:hAnsi="宋体"/>
          <w:b/>
          <w:color w:val="auto"/>
          <w:sz w:val="32"/>
        </w:rPr>
        <w:t>第四章采购合同样本</w:t>
      </w:r>
      <w:bookmarkEnd w:id="32"/>
    </w:p>
    <w:p w14:paraId="0C822901">
      <w:pPr>
        <w:pStyle w:val="258"/>
        <w:widowControl/>
        <w:ind w:firstLine="0" w:firstLineChars="0"/>
        <w:rPr>
          <w:rFonts w:cs="宋体"/>
          <w:color w:val="auto"/>
        </w:rPr>
      </w:pPr>
      <w:bookmarkStart w:id="33" w:name="_Toc216662965"/>
    </w:p>
    <w:p w14:paraId="5991DC6D">
      <w:pPr>
        <w:pStyle w:val="24"/>
        <w:snapToGrid w:val="0"/>
        <w:spacing w:beforeLines="0" w:afterLines="0" w:line="400" w:lineRule="exact"/>
        <w:jc w:val="center"/>
        <w:rPr>
          <w:rFonts w:hint="eastAsia" w:ascii="黑体" w:eastAsia="黑体"/>
          <w:b/>
          <w:sz w:val="30"/>
          <w:szCs w:val="24"/>
        </w:rPr>
      </w:pPr>
      <w:bookmarkStart w:id="34" w:name="_Toc30133"/>
      <w:r>
        <w:rPr>
          <w:rFonts w:hint="eastAsia" w:ascii="黑体" w:eastAsia="黑体"/>
          <w:b/>
          <w:sz w:val="30"/>
          <w:szCs w:val="24"/>
        </w:rPr>
        <w:t>（本合同为合同样稿，最终稿由甲乙双方协商后确定）</w:t>
      </w:r>
    </w:p>
    <w:p w14:paraId="451B351D">
      <w:pPr>
        <w:pStyle w:val="24"/>
        <w:snapToGrid w:val="0"/>
        <w:spacing w:beforeLines="0" w:afterLines="0" w:line="360" w:lineRule="auto"/>
        <w:jc w:val="center"/>
        <w:rPr>
          <w:rFonts w:hint="eastAsia"/>
          <w:b/>
          <w:sz w:val="44"/>
          <w:szCs w:val="44"/>
        </w:rPr>
      </w:pPr>
    </w:p>
    <w:p w14:paraId="60F369F3">
      <w:pPr>
        <w:pStyle w:val="24"/>
        <w:snapToGrid w:val="0"/>
        <w:spacing w:beforeLines="0" w:afterLines="0" w:line="360" w:lineRule="auto"/>
        <w:jc w:val="center"/>
        <w:rPr>
          <w:rFonts w:hint="eastAsia" w:eastAsia="宋体"/>
          <w:b/>
          <w:sz w:val="26"/>
          <w:szCs w:val="44"/>
          <w:lang w:eastAsia="zh-CN"/>
        </w:rPr>
      </w:pPr>
      <w:r>
        <w:rPr>
          <w:rFonts w:hint="eastAsia"/>
          <w:b/>
          <w:sz w:val="26"/>
          <w:szCs w:val="44"/>
          <w:lang w:eastAsia="zh-CN"/>
        </w:rPr>
        <w:t>慈溪市交通运输局保安服务项目</w:t>
      </w:r>
    </w:p>
    <w:p w14:paraId="7B01695B">
      <w:pPr>
        <w:pStyle w:val="24"/>
        <w:snapToGrid w:val="0"/>
        <w:spacing w:beforeLines="0" w:afterLines="0" w:line="360" w:lineRule="auto"/>
        <w:jc w:val="center"/>
        <w:rPr>
          <w:rFonts w:hint="eastAsia"/>
          <w:b/>
          <w:sz w:val="38"/>
          <w:szCs w:val="44"/>
        </w:rPr>
      </w:pPr>
      <w:r>
        <w:rPr>
          <w:rFonts w:hint="eastAsia"/>
          <w:b/>
          <w:sz w:val="38"/>
          <w:szCs w:val="44"/>
        </w:rPr>
        <w:t>合 同</w:t>
      </w:r>
    </w:p>
    <w:p w14:paraId="622A6254">
      <w:pPr>
        <w:pStyle w:val="24"/>
        <w:snapToGrid w:val="0"/>
        <w:spacing w:beforeLines="0" w:afterLines="0" w:line="360" w:lineRule="auto"/>
        <w:jc w:val="center"/>
        <w:rPr>
          <w:rFonts w:hint="eastAsia"/>
          <w:b/>
          <w:sz w:val="44"/>
          <w:szCs w:val="44"/>
        </w:rPr>
      </w:pPr>
    </w:p>
    <w:p w14:paraId="1F02BC3F">
      <w:pPr>
        <w:pStyle w:val="24"/>
        <w:snapToGrid w:val="0"/>
        <w:spacing w:beforeLines="0" w:afterLines="0" w:line="360" w:lineRule="auto"/>
        <w:jc w:val="center"/>
        <w:rPr>
          <w:rFonts w:hint="eastAsia"/>
          <w:b/>
          <w:sz w:val="44"/>
          <w:szCs w:val="44"/>
        </w:rPr>
      </w:pPr>
    </w:p>
    <w:p w14:paraId="336C1DD8">
      <w:pPr>
        <w:pStyle w:val="24"/>
        <w:snapToGrid w:val="0"/>
        <w:spacing w:beforeLines="0" w:afterLines="0" w:line="360" w:lineRule="auto"/>
        <w:jc w:val="center"/>
        <w:rPr>
          <w:rFonts w:hint="eastAsia"/>
          <w:b/>
          <w:sz w:val="44"/>
          <w:szCs w:val="44"/>
        </w:rPr>
      </w:pPr>
    </w:p>
    <w:p w14:paraId="5AF105B1">
      <w:pPr>
        <w:spacing w:beforeLines="0" w:afterLines="0" w:line="360" w:lineRule="auto"/>
        <w:ind w:firstLine="700" w:firstLineChars="250"/>
        <w:rPr>
          <w:rFonts w:hint="eastAsia" w:ascii="宋体" w:hAnsi="宋体"/>
          <w:sz w:val="28"/>
          <w:szCs w:val="28"/>
        </w:rPr>
      </w:pPr>
      <w:r>
        <w:rPr>
          <w:rFonts w:hint="eastAsia" w:ascii="宋体" w:hAnsi="宋体"/>
          <w:sz w:val="28"/>
          <w:szCs w:val="28"/>
        </w:rPr>
        <w:t xml:space="preserve">甲方：            </w:t>
      </w:r>
    </w:p>
    <w:p w14:paraId="59604DE0">
      <w:pPr>
        <w:spacing w:beforeLines="0" w:afterLines="0" w:line="360" w:lineRule="auto"/>
        <w:rPr>
          <w:rFonts w:hint="eastAsia" w:ascii="宋体" w:hAnsi="宋体"/>
          <w:sz w:val="28"/>
          <w:szCs w:val="28"/>
        </w:rPr>
      </w:pPr>
    </w:p>
    <w:p w14:paraId="1AECDDC1">
      <w:pPr>
        <w:spacing w:beforeLines="0" w:afterLines="0" w:line="360" w:lineRule="auto"/>
        <w:ind w:firstLine="700" w:firstLineChars="250"/>
        <w:rPr>
          <w:rFonts w:hint="eastAsia" w:ascii="宋体" w:hAnsi="宋体"/>
          <w:sz w:val="28"/>
          <w:szCs w:val="28"/>
        </w:rPr>
      </w:pPr>
      <w:r>
        <w:rPr>
          <w:rFonts w:hint="eastAsia" w:ascii="宋体" w:hAnsi="宋体"/>
          <w:sz w:val="28"/>
          <w:szCs w:val="28"/>
        </w:rPr>
        <w:t>乙方：</w:t>
      </w:r>
    </w:p>
    <w:p w14:paraId="18890CCC">
      <w:pPr>
        <w:spacing w:beforeLines="0" w:afterLines="0" w:line="360" w:lineRule="auto"/>
        <w:rPr>
          <w:rFonts w:hint="eastAsia" w:ascii="宋体" w:hAnsi="宋体"/>
          <w:sz w:val="28"/>
          <w:szCs w:val="28"/>
        </w:rPr>
      </w:pPr>
    </w:p>
    <w:p w14:paraId="02B8F30C">
      <w:pPr>
        <w:spacing w:beforeLines="0" w:afterLines="0" w:line="360" w:lineRule="auto"/>
        <w:ind w:firstLine="700" w:firstLineChars="250"/>
        <w:rPr>
          <w:rFonts w:hint="eastAsia" w:ascii="宋体" w:hAnsi="宋体"/>
          <w:sz w:val="28"/>
          <w:szCs w:val="28"/>
        </w:rPr>
      </w:pPr>
      <w:r>
        <w:rPr>
          <w:rFonts w:hint="eastAsia" w:ascii="宋体" w:hAnsi="宋体"/>
          <w:sz w:val="28"/>
          <w:szCs w:val="28"/>
        </w:rPr>
        <w:t>签署日期：    年  月  日</w:t>
      </w:r>
    </w:p>
    <w:p w14:paraId="63028FCD">
      <w:pPr>
        <w:spacing w:beforeLines="0" w:afterLines="0" w:line="360" w:lineRule="auto"/>
        <w:ind w:firstLine="700" w:firstLineChars="250"/>
        <w:rPr>
          <w:rFonts w:hint="eastAsia" w:ascii="宋体" w:hAnsi="宋体"/>
          <w:sz w:val="28"/>
          <w:szCs w:val="28"/>
        </w:rPr>
      </w:pPr>
    </w:p>
    <w:p w14:paraId="318FCDF9">
      <w:pPr>
        <w:spacing w:beforeLines="0" w:afterLines="0" w:line="360" w:lineRule="auto"/>
        <w:ind w:firstLine="700" w:firstLineChars="250"/>
        <w:rPr>
          <w:rFonts w:hint="eastAsia" w:ascii="宋体" w:hAnsi="宋体"/>
          <w:sz w:val="28"/>
          <w:szCs w:val="28"/>
        </w:rPr>
      </w:pPr>
      <w:r>
        <w:rPr>
          <w:rFonts w:hint="eastAsia" w:ascii="宋体" w:hAnsi="宋体"/>
          <w:sz w:val="28"/>
          <w:szCs w:val="28"/>
        </w:rPr>
        <w:t>签署地点：</w:t>
      </w:r>
    </w:p>
    <w:p w14:paraId="40B3F289">
      <w:pPr>
        <w:spacing w:beforeLines="0" w:afterLines="0" w:line="340" w:lineRule="exact"/>
        <w:rPr>
          <w:rFonts w:hint="default"/>
          <w:b/>
          <w:sz w:val="44"/>
          <w:szCs w:val="44"/>
        </w:rPr>
      </w:pPr>
      <w:r>
        <w:rPr>
          <w:rFonts w:hint="default"/>
          <w:b/>
          <w:sz w:val="44"/>
          <w:szCs w:val="44"/>
        </w:rPr>
        <w:br w:type="page"/>
      </w:r>
    </w:p>
    <w:p w14:paraId="3267A136">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甲方：（招标方）</w:t>
      </w:r>
    </w:p>
    <w:p w14:paraId="6FD3382F">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乙方：（中标方）</w:t>
      </w:r>
    </w:p>
    <w:p w14:paraId="6DB5583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经过公开招标，确定</w:t>
      </w:r>
      <w:r>
        <w:rPr>
          <w:rFonts w:hint="eastAsia" w:ascii="宋体" w:hAnsi="宋体" w:cs="宋体"/>
          <w:sz w:val="21"/>
          <w:szCs w:val="21"/>
          <w:u w:val="single"/>
        </w:rPr>
        <w:t xml:space="preserve">  （乙方）</w:t>
      </w:r>
      <w:r>
        <w:rPr>
          <w:rFonts w:hint="eastAsia" w:ascii="宋体" w:hAnsi="宋体" w:cs="宋体"/>
          <w:sz w:val="21"/>
          <w:szCs w:val="21"/>
        </w:rPr>
        <w:t>为</w:t>
      </w:r>
      <w:r>
        <w:rPr>
          <w:rFonts w:hint="eastAsia" w:ascii="宋体" w:hAnsi="宋体" w:cs="宋体"/>
          <w:sz w:val="21"/>
          <w:szCs w:val="21"/>
          <w:u w:val="single"/>
        </w:rPr>
        <w:t xml:space="preserve">  （项目名称）</w:t>
      </w:r>
      <w:r>
        <w:rPr>
          <w:rFonts w:hint="eastAsia" w:ascii="宋体" w:hAnsi="宋体" w:cs="宋体"/>
          <w:sz w:val="21"/>
          <w:szCs w:val="21"/>
          <w:u w:val="single"/>
          <w:lang w:val="en-US" w:eastAsia="zh-CN"/>
        </w:rPr>
        <w:t xml:space="preserve"> </w:t>
      </w:r>
      <w:r>
        <w:rPr>
          <w:rFonts w:hint="eastAsia" w:ascii="宋体" w:hAnsi="宋体" w:cs="宋体"/>
          <w:sz w:val="21"/>
          <w:szCs w:val="21"/>
        </w:rPr>
        <w:t>的中标方，双方在自愿、平等、协商一致的基础上，特订立本合同。</w:t>
      </w:r>
    </w:p>
    <w:p w14:paraId="395328D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第一条  合同事项</w:t>
      </w:r>
    </w:p>
    <w:p w14:paraId="1BDDB006">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本合同就甲方委托乙方管理的事项仅做如下简要说明，具体详见甲方发出的“</w:t>
      </w:r>
      <w:r>
        <w:rPr>
          <w:rFonts w:hint="eastAsia" w:ascii="宋体" w:hAnsi="宋体" w:cs="宋体"/>
          <w:sz w:val="21"/>
          <w:szCs w:val="21"/>
          <w:u w:val="single"/>
        </w:rPr>
        <w:t xml:space="preserve">           </w:t>
      </w:r>
      <w:r>
        <w:rPr>
          <w:rFonts w:hint="eastAsia" w:ascii="宋体" w:hAnsi="宋体" w:cs="宋体"/>
          <w:sz w:val="21"/>
          <w:szCs w:val="21"/>
        </w:rPr>
        <w:t>”招标文件及乙方针对本项目的投标文件。</w:t>
      </w:r>
    </w:p>
    <w:p w14:paraId="0586B837">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第二条  合同文件组成及解释顺序</w:t>
      </w:r>
    </w:p>
    <w:p w14:paraId="129A022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1、下列文件一起组成本合同文件：</w:t>
      </w:r>
    </w:p>
    <w:p w14:paraId="61100EDB">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（1）本采购合同及其补充协议（如有）；</w:t>
      </w:r>
    </w:p>
    <w:p w14:paraId="751FED6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（2）中标通知书；</w:t>
      </w:r>
    </w:p>
    <w:p w14:paraId="68E44DE9">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（3）招标文件及其修改、补充文件（如有）；</w:t>
      </w:r>
    </w:p>
    <w:p w14:paraId="0A50C41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（4）询标承诺、询疑答复；</w:t>
      </w:r>
    </w:p>
    <w:p w14:paraId="190C49AB">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（5）投标文件及其补充文件；</w:t>
      </w:r>
    </w:p>
    <w:p w14:paraId="43B1C64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（6）双方来函</w:t>
      </w:r>
    </w:p>
    <w:p w14:paraId="673ED886">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4BC68CFA">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第三条 内容及服务期限</w:t>
      </w:r>
    </w:p>
    <w:p w14:paraId="619BA12F">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1、内容：</w:t>
      </w:r>
    </w:p>
    <w:p w14:paraId="3384DAF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2、服务期限为壹年，自</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日至</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日止。</w:t>
      </w:r>
    </w:p>
    <w:p w14:paraId="0A9ECF28">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第四条  合同金额及费用支付</w:t>
      </w:r>
    </w:p>
    <w:p w14:paraId="7FEE514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1、合同金额：本合同金额为</w:t>
      </w:r>
      <w:r>
        <w:rPr>
          <w:rFonts w:hint="eastAsia" w:ascii="宋体" w:hAnsi="宋体" w:cs="宋体"/>
          <w:sz w:val="21"/>
          <w:szCs w:val="21"/>
          <w:u w:val="single"/>
        </w:rPr>
        <w:t xml:space="preserve">      </w:t>
      </w:r>
      <w:r>
        <w:rPr>
          <w:rFonts w:hint="eastAsia" w:ascii="宋体" w:hAnsi="宋体" w:cs="宋体"/>
          <w:sz w:val="21"/>
          <w:szCs w:val="21"/>
        </w:rPr>
        <w:t xml:space="preserve">元/年。 </w:t>
      </w:r>
    </w:p>
    <w:p w14:paraId="7B6E9C0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sz w:val="21"/>
          <w:szCs w:val="21"/>
        </w:rPr>
        <w:t>项目费用中不仅限于完成本项目一年期的保安服务人员的工资，</w:t>
      </w:r>
      <w:r>
        <w:rPr>
          <w:rFonts w:hint="eastAsia" w:ascii="宋体" w:hAnsi="宋体"/>
          <w:b/>
          <w:sz w:val="21"/>
          <w:szCs w:val="21"/>
        </w:rPr>
        <w:t>包括人工工资、社会保险</w:t>
      </w:r>
      <w:r>
        <w:rPr>
          <w:rFonts w:hint="eastAsia" w:ascii="宋体" w:hAnsi="宋体"/>
          <w:b/>
          <w:sz w:val="21"/>
          <w:szCs w:val="21"/>
          <w:lang w:val="en-US" w:eastAsia="zh-CN"/>
        </w:rPr>
        <w:t>或商业险</w:t>
      </w:r>
      <w:r>
        <w:rPr>
          <w:rFonts w:hint="eastAsia" w:ascii="宋体" w:hAnsi="宋体"/>
          <w:b/>
          <w:sz w:val="21"/>
          <w:szCs w:val="21"/>
        </w:rPr>
        <w:t>、餐费</w:t>
      </w:r>
      <w:r>
        <w:rPr>
          <w:rFonts w:hint="eastAsia" w:ascii="宋体" w:hAnsi="宋体"/>
          <w:b/>
          <w:sz w:val="21"/>
          <w:szCs w:val="21"/>
          <w:lang w:eastAsia="zh-CN"/>
        </w:rPr>
        <w:t>、</w:t>
      </w:r>
      <w:r>
        <w:rPr>
          <w:rFonts w:hint="eastAsia" w:ascii="宋体" w:hAnsi="宋体"/>
          <w:b/>
          <w:sz w:val="21"/>
          <w:szCs w:val="21"/>
        </w:rPr>
        <w:t>保安人员福利费（节日福利）、服装费、值班加班费、高温补贴、企业管理费、税金等一切为完成本项目所需的费用（以上涉及员工的费用均要发放到员工）</w:t>
      </w:r>
      <w:r>
        <w:rPr>
          <w:rFonts w:hint="eastAsia" w:ascii="宋体" w:hAnsi="宋体"/>
          <w:sz w:val="21"/>
          <w:szCs w:val="21"/>
        </w:rPr>
        <w:t>。乙方不得再要求追加任何费用。</w:t>
      </w:r>
    </w:p>
    <w:p w14:paraId="59B691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cs="宋体"/>
          <w:color w:val="000000"/>
          <w:sz w:val="21"/>
          <w:szCs w:val="21"/>
        </w:rPr>
        <w:t>付款方式：在合同生效以及具备实施条件后支付</w:t>
      </w:r>
      <w:r>
        <w:rPr>
          <w:rFonts w:hint="eastAsia" w:ascii="宋体" w:hAnsi="宋体" w:cs="宋体"/>
          <w:color w:val="000000"/>
          <w:sz w:val="21"/>
          <w:szCs w:val="21"/>
          <w:lang w:val="zh-CN"/>
        </w:rPr>
        <w:t xml:space="preserve">合同价40%的预付款（乙方需提交银行、保险公司等金融机构出具的预付款保函或其他担保措施。乙方在签订合同时，表示无需预付款可不适用本条款。乙方主动要求降低预付款比例的，担保费用同比例降低）； </w:t>
      </w:r>
    </w:p>
    <w:p w14:paraId="37B4B8E9">
      <w:pPr>
        <w:spacing w:beforeLines="0" w:afterLines="0" w:line="420" w:lineRule="exact"/>
        <w:ind w:firstLine="420" w:firstLineChars="200"/>
        <w:jc w:val="left"/>
        <w:rPr>
          <w:rFonts w:hint="eastAsia" w:ascii="宋体" w:hAnsi="宋体"/>
          <w:sz w:val="21"/>
          <w:szCs w:val="21"/>
        </w:rPr>
      </w:pPr>
      <w:r>
        <w:rPr>
          <w:rFonts w:hint="eastAsia" w:ascii="宋体" w:hAnsi="宋体" w:cs="宋体"/>
          <w:color w:val="000000"/>
          <w:sz w:val="21"/>
          <w:szCs w:val="21"/>
          <w:lang w:val="en-US" w:eastAsia="zh-CN"/>
        </w:rPr>
        <w:t>服务期满半年</w:t>
      </w:r>
      <w:r>
        <w:rPr>
          <w:rFonts w:hint="eastAsia" w:ascii="宋体" w:hAnsi="宋体" w:cs="宋体"/>
          <w:color w:val="000000"/>
          <w:sz w:val="21"/>
          <w:szCs w:val="21"/>
          <w:lang w:val="zh-CN"/>
        </w:rPr>
        <w:t>后，十个工作日内支付</w:t>
      </w:r>
      <w:r>
        <w:rPr>
          <w:rFonts w:hint="eastAsia" w:ascii="宋体" w:hAnsi="宋体" w:cs="宋体"/>
          <w:color w:val="000000"/>
          <w:sz w:val="21"/>
          <w:szCs w:val="21"/>
          <w:lang w:val="en-US" w:eastAsia="zh-CN"/>
        </w:rPr>
        <w:t>合同金额的30%，服务期满一年后，</w:t>
      </w:r>
      <w:r>
        <w:rPr>
          <w:rFonts w:hint="eastAsia" w:ascii="宋体" w:hAnsi="宋体" w:cs="宋体"/>
          <w:color w:val="000000"/>
          <w:sz w:val="21"/>
          <w:szCs w:val="21"/>
          <w:lang w:val="zh-CN"/>
        </w:rPr>
        <w:t>经采购人审核无误后，中标人提交考核结果及有效正规税务发票给采购人作为付款凭据后30天内</w:t>
      </w:r>
      <w:r>
        <w:rPr>
          <w:rFonts w:hint="eastAsia" w:ascii="宋体" w:hAnsi="宋体" w:cs="宋体"/>
          <w:color w:val="000000"/>
          <w:sz w:val="21"/>
          <w:szCs w:val="21"/>
          <w:lang w:val="en-US" w:eastAsia="zh-CN"/>
        </w:rPr>
        <w:t>支付剩余款项</w:t>
      </w:r>
      <w:r>
        <w:rPr>
          <w:rFonts w:hint="eastAsia" w:ascii="宋体" w:hAnsi="宋体" w:cs="宋体"/>
          <w:color w:val="000000"/>
          <w:sz w:val="21"/>
          <w:szCs w:val="21"/>
          <w:lang w:val="zh-CN"/>
        </w:rPr>
        <w:t>（考核中扣罚的款项及违约金、赔偿金等在支付服务费时扣除）。</w:t>
      </w:r>
    </w:p>
    <w:p w14:paraId="64E8A07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第五条  履约保证</w:t>
      </w:r>
    </w:p>
    <w:p w14:paraId="05A33BB6">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本合同履约保证金为合同总价的1%，计￥</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sz w:val="21"/>
          <w:szCs w:val="21"/>
        </w:rPr>
        <w:t>履约保证金有效期到乙方按合同要求完成合同义务后终止，履约保证金于有效期止后30天内无息退还；但如果存在合同履行争议且尚未解决，则履约保证金有效期等争议最终解决且理赔完毕后终止。</w:t>
      </w:r>
    </w:p>
    <w:p w14:paraId="3BA9F188">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第六条  甲、乙双方的权利和义务</w:t>
      </w:r>
    </w:p>
    <w:p w14:paraId="4F5CDD2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1、甲方的权利和义务</w:t>
      </w:r>
    </w:p>
    <w:p w14:paraId="6B35D7C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（1）甲方制订本项目规章制度，监督职工和外来人员遵守该制度；</w:t>
      </w:r>
    </w:p>
    <w:p w14:paraId="568E6F2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（2）监督本项目内员工遵守服务制度；</w:t>
      </w:r>
    </w:p>
    <w:p w14:paraId="3B2B746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（3）代表和维护甲方的合法权益；审定乙方制定的管理服务方案、制度；</w:t>
      </w:r>
    </w:p>
    <w:p w14:paraId="090C7A0A">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（4）检查监督乙方根据招标文件、投标文件及管理方案的实施和制度的实行情况；</w:t>
      </w:r>
    </w:p>
    <w:p w14:paraId="6D5B99A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（5）审议乙方制订的服务年度计划等；</w:t>
      </w:r>
    </w:p>
    <w:p w14:paraId="5CACD29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（6）按本合同的规定支付费用，并按有关规定提供给乙方必要的管理用房；</w:t>
      </w:r>
    </w:p>
    <w:p w14:paraId="72C3C7A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（7）负责对乙方执行日常工作的监督及乙方派驻现场的工作人员的监督；</w:t>
      </w:r>
    </w:p>
    <w:p w14:paraId="2CD520D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（8）协助乙方做好服务工作和服务的宣传工作；</w:t>
      </w:r>
    </w:p>
    <w:p w14:paraId="52DB3D6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（9）处理合同期间在管理服务工作中需甲方出面协调的问题；</w:t>
      </w:r>
    </w:p>
    <w:p w14:paraId="25FCC4E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（10）配合乙方共同协调处理相关问题；</w:t>
      </w:r>
    </w:p>
    <w:p w14:paraId="5BFFF98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（11）对乙方违反法规、规章的行为，提请有关部门处理；</w:t>
      </w:r>
    </w:p>
    <w:p w14:paraId="5BCD4D5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（12）负责对乙方管理服务工作质量的考核，考核标准详见招标文件。</w:t>
      </w:r>
    </w:p>
    <w:p w14:paraId="7A7075DE">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2、乙方权利和义务</w:t>
      </w:r>
    </w:p>
    <w:p w14:paraId="036847FF">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14:paraId="2A52237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（2）需建立健全项目管理档案资料，如安保工作记录以及其他需要记录在案的文档，并做好各项保密工作；</w:t>
      </w:r>
    </w:p>
    <w:p w14:paraId="68ED433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（3）应认真听取甲方提出的建议和意见，并接受甲方的考核管理规定，对在服务管理中出现的问题和薄弱环节应立即整改；</w:t>
      </w:r>
    </w:p>
    <w:p w14:paraId="79FD2DE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（4）对服务人员违反法规、规章的行为，根据情节轻重，采取批评、规劝、警告、制止等措施或提请有关部门处理；</w:t>
      </w:r>
    </w:p>
    <w:p w14:paraId="1BD7677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（5）加强治安形势教育和加强内部管理，根据项目开展的工作进度适时调整管理办法；</w:t>
      </w:r>
    </w:p>
    <w:p w14:paraId="11532029">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（6）负责编制服务年度计划、费用收支情况及时报甲方；</w:t>
      </w:r>
    </w:p>
    <w:p w14:paraId="4AFB746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（7）进入甲方工作的相关人员必须经严格培训，经考核合格后上岗，要求身体健康，无犯罪等不良记录；</w:t>
      </w:r>
    </w:p>
    <w:p w14:paraId="3810F27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（8）协助处理日常工作，接受甲方提出特约服务并收取适当费用；</w:t>
      </w:r>
    </w:p>
    <w:p w14:paraId="6E52808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（9）乙方应按照甲方要求做好日常节能工作；</w:t>
      </w:r>
    </w:p>
    <w:p w14:paraId="004C7704">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（10）本合同终止时，乙方必须向甲方移交全部管理用房、甲方资产及全部的管理档案资料；</w:t>
      </w:r>
    </w:p>
    <w:p w14:paraId="728F369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（11）乙方不得将整体或部分管理责任及利益对外转让或发包，不得将未征得甲方同意的服务业务对外分包或转包。</w:t>
      </w:r>
    </w:p>
    <w:p w14:paraId="06A9054F">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第七条  甲、乙双方责任限定</w:t>
      </w:r>
    </w:p>
    <w:p w14:paraId="5905CDC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1、乙方工作人员在服务过程中，因其工作失职造成甲方损失的．乙方应承担相应的经济赔偿。</w:t>
      </w:r>
    </w:p>
    <w:p w14:paraId="7848B59A">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2、甲方禁止安排乙方工作人员参与其他违反法律规定及工作职责以外的活动，违者由甲方承担法律和经济责任。</w:t>
      </w:r>
    </w:p>
    <w:p w14:paraId="04450C7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3、乙方派遣至甲方的所有工作人员，其食宿、着装、社会保险、意外伤害保险、培训等各类费用及发生的各种工伤事故和意外事故均由乙方承担，与甲方无涉。</w:t>
      </w:r>
    </w:p>
    <w:p w14:paraId="56C8C27A">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4、乙方在服务期间如遇招工困难，造成项目人员数量配置不足，应在5个工作日内及时补齐，并扣除缺岗人员的所有费用。缺岗人数累加超过10人次的，甲方有权终止合同，并罚没其履约保证金。</w:t>
      </w:r>
    </w:p>
    <w:p w14:paraId="5A951F37">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第八条  合同的变更、终止及违约责任</w:t>
      </w:r>
    </w:p>
    <w:p w14:paraId="66442AD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1、甲方在乙方存在如下违约情况时，有权单方面终止全部或部分合同，乙方所交的履约保证金不予退还，并保留进一步追究乙方责任的权利（包括经济赔偿）。</w:t>
      </w:r>
    </w:p>
    <w:p w14:paraId="3F87BAA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（1）乙方未能履行合同规定的义务；</w:t>
      </w:r>
    </w:p>
    <w:p w14:paraId="7F8231B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（2）有严重影响项目正常工作及甲方形象；</w:t>
      </w:r>
    </w:p>
    <w:p w14:paraId="1D7B7E9E">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（3）乙方存在与招标文件不符合的做法，或不履行其响应文件的承诺；</w:t>
      </w:r>
    </w:p>
    <w:p w14:paraId="658275D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（4）乙方存在其他违约行为经甲方书面催告后仍不改正的；</w:t>
      </w:r>
    </w:p>
    <w:p w14:paraId="15C11C54">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（5）在合同有效期内，对本合同范围内的工作内容乙方擅自委托或转包给其它单位或个人。</w:t>
      </w:r>
    </w:p>
    <w:p w14:paraId="7F26E46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2、乙方如要提前中止合同，需提前3个月，并征得甲方同意，否则按合同执行。</w:t>
      </w:r>
    </w:p>
    <w:p w14:paraId="3ED089AB">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14:paraId="0F30040B">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（1）乙方不能履行合同义务，应按未履行部分合同价格的10%向甲方偿付违约金，同时履约保证金不予退还。</w:t>
      </w:r>
    </w:p>
    <w:p w14:paraId="7AC3EA3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（2）如乙方未能履行合同规定的任何一项义务，甲方均有权从履约保证金中得到补偿。</w:t>
      </w:r>
    </w:p>
    <w:p w14:paraId="50A40DA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（3）经双方协商可终止部分或全部合同的，无须承担违约责任。</w:t>
      </w:r>
    </w:p>
    <w:p w14:paraId="235D3B5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4、乙方因工作疏忽而造成甲方财产损失的，乙方应按损失的价值照价赔偿。</w:t>
      </w:r>
    </w:p>
    <w:p w14:paraId="2EC7F7D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14:paraId="540666A4">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、其他违约情形：</w:t>
      </w:r>
    </w:p>
    <w:p w14:paraId="3AE6E08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（1）乙方未确保响应承诺的人员到位，或人员素质不符合招标文件要求，或与响应承诺不一致的，按实际缺席天数扣除人员费用，一周后仍没到位，加扣当月服务费的50%。</w:t>
      </w:r>
    </w:p>
    <w:p w14:paraId="4A954BD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（2）甲方要求乙方变动或更换人员，乙方未在规定时间内变动或更换的，每人次扣1000元。</w:t>
      </w:r>
    </w:p>
    <w:p w14:paraId="6DF9564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（3）乙方未按招标文件要求支付工资、加班薪资，缴纳各种社会保险的，每人次扣1000元。</w:t>
      </w:r>
    </w:p>
    <w:p w14:paraId="6D96ABA4">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（4）乙方未按投标文件承诺配置设备及耗材的，或配置设备及耗材质量、数量不能满足日常需要的，每次扣1000元。</w:t>
      </w:r>
    </w:p>
    <w:p w14:paraId="0475F194">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w:t>
      </w:r>
      <w:r>
        <w:rPr>
          <w:rFonts w:hint="eastAsia" w:ascii="宋体" w:hAnsi="宋体" w:cs="宋体"/>
          <w:sz w:val="21"/>
          <w:szCs w:val="21"/>
          <w:lang w:val="en-US" w:eastAsia="zh-CN"/>
        </w:rPr>
        <w:t>九</w:t>
      </w:r>
      <w:r>
        <w:rPr>
          <w:rFonts w:hint="eastAsia" w:ascii="宋体" w:hAnsi="宋体" w:cs="宋体"/>
          <w:sz w:val="21"/>
          <w:szCs w:val="21"/>
        </w:rPr>
        <w:t>条  考核标准</w:t>
      </w:r>
    </w:p>
    <w:p w14:paraId="075F52F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具体按以下标准进行考核：</w:t>
      </w:r>
    </w:p>
    <w:tbl>
      <w:tblPr>
        <w:tblStyle w:val="48"/>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60"/>
        <w:gridCol w:w="1154"/>
        <w:gridCol w:w="5210"/>
        <w:gridCol w:w="1059"/>
        <w:gridCol w:w="674"/>
      </w:tblGrid>
      <w:tr w14:paraId="4FC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5FED81">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序号</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47EB87">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项目</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F3B846">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标准内容</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E13343">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扣分依据</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270EA2">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检查结果</w:t>
            </w: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0857D2">
            <w:pPr>
              <w:spacing w:line="360" w:lineRule="exact"/>
              <w:jc w:val="center"/>
              <w:rPr>
                <w:rFonts w:hint="default" w:ascii="宋体" w:hAnsi="宋体" w:eastAsia="宋体" w:cs="宋体"/>
                <w:b/>
                <w:sz w:val="21"/>
                <w:szCs w:val="21"/>
              </w:rPr>
            </w:pPr>
            <w:r>
              <w:rPr>
                <w:rFonts w:hint="default" w:ascii="宋体" w:hAnsi="宋体" w:eastAsia="宋体" w:cs="宋体"/>
                <w:b/>
                <w:sz w:val="21"/>
                <w:szCs w:val="21"/>
              </w:rPr>
              <w:t>得分</w:t>
            </w:r>
          </w:p>
        </w:tc>
      </w:tr>
      <w:tr w14:paraId="22F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D0D9CCE">
            <w:pPr>
              <w:spacing w:line="360" w:lineRule="exact"/>
              <w:jc w:val="center"/>
              <w:rPr>
                <w:rFonts w:hint="default" w:ascii="宋体" w:hAnsi="宋体" w:eastAsia="宋体" w:cs="宋体"/>
                <w:sz w:val="21"/>
                <w:szCs w:val="21"/>
              </w:rPr>
            </w:pPr>
            <w:r>
              <w:rPr>
                <w:rFonts w:hint="default" w:ascii="宋体" w:hAnsi="宋体" w:eastAsia="宋体" w:cs="宋体"/>
                <w:sz w:val="21"/>
                <w:szCs w:val="21"/>
              </w:rPr>
              <w:t>1</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B894F4">
            <w:pPr>
              <w:spacing w:line="360" w:lineRule="exact"/>
              <w:jc w:val="center"/>
              <w:rPr>
                <w:rFonts w:hint="default" w:ascii="宋体" w:hAnsi="宋体" w:eastAsia="宋体" w:cs="宋体"/>
                <w:sz w:val="21"/>
                <w:szCs w:val="21"/>
              </w:rPr>
            </w:pPr>
            <w:r>
              <w:rPr>
                <w:rFonts w:hint="default" w:ascii="宋体" w:hAnsi="宋体" w:eastAsia="宋体" w:cs="宋体"/>
                <w:sz w:val="21"/>
                <w:szCs w:val="21"/>
              </w:rPr>
              <w:t>员工管理（10分）</w:t>
            </w:r>
          </w:p>
        </w:tc>
        <w:tc>
          <w:tcPr>
            <w:tcW w:w="58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4946BB3">
            <w:pPr>
              <w:spacing w:line="360" w:lineRule="exact"/>
              <w:jc w:val="center"/>
              <w:rPr>
                <w:rFonts w:hint="default" w:ascii="宋体" w:hAnsi="宋体" w:eastAsia="宋体" w:cs="宋体"/>
                <w:sz w:val="21"/>
                <w:szCs w:val="21"/>
              </w:rPr>
            </w:pPr>
            <w:r>
              <w:rPr>
                <w:rFonts w:hint="default" w:ascii="宋体" w:hAnsi="宋体" w:eastAsia="宋体" w:cs="宋体"/>
                <w:sz w:val="21"/>
                <w:szCs w:val="21"/>
              </w:rPr>
              <w:t>仪表仪容</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AD5E6A">
            <w:pPr>
              <w:spacing w:line="360" w:lineRule="exact"/>
              <w:jc w:val="left"/>
              <w:rPr>
                <w:rFonts w:hint="eastAsia" w:ascii="宋体" w:hAnsi="宋体" w:eastAsia="宋体" w:cs="宋体"/>
                <w:sz w:val="21"/>
                <w:szCs w:val="21"/>
                <w:lang w:eastAsia="zh-CN"/>
              </w:rPr>
            </w:pPr>
            <w:r>
              <w:rPr>
                <w:rFonts w:hint="default" w:ascii="宋体" w:hAnsi="宋体" w:eastAsia="宋体" w:cs="宋体"/>
                <w:sz w:val="21"/>
                <w:szCs w:val="21"/>
              </w:rPr>
              <w:t>1.</w:t>
            </w:r>
            <w:r>
              <w:rPr>
                <w:rFonts w:hint="eastAsia" w:ascii="宋体" w:hAnsi="宋体" w:cs="宋体"/>
                <w:sz w:val="21"/>
                <w:szCs w:val="21"/>
                <w:lang w:eastAsia="zh-CN"/>
              </w:rPr>
              <w:t>上班时间不按要求穿戴或不穿工作服的，每人次扣0.5分。</w:t>
            </w:r>
          </w:p>
        </w:tc>
        <w:tc>
          <w:tcPr>
            <w:tcW w:w="53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FD31E0">
            <w:pPr>
              <w:numPr>
                <w:ilvl w:val="0"/>
                <w:numId w:val="0"/>
              </w:numPr>
              <w:spacing w:line="360" w:lineRule="exact"/>
              <w:jc w:val="center"/>
              <w:rPr>
                <w:rFonts w:hint="default" w:ascii="宋体" w:hAnsi="宋体" w:eastAsia="宋体" w:cs="宋体"/>
                <w:sz w:val="21"/>
                <w:szCs w:val="21"/>
              </w:rPr>
            </w:pPr>
          </w:p>
        </w:tc>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3709D1A">
            <w:pPr>
              <w:spacing w:line="360" w:lineRule="exact"/>
              <w:jc w:val="center"/>
              <w:rPr>
                <w:rFonts w:hint="default" w:ascii="宋体" w:hAnsi="宋体" w:eastAsia="宋体" w:cs="宋体"/>
                <w:sz w:val="21"/>
                <w:szCs w:val="21"/>
              </w:rPr>
            </w:pPr>
          </w:p>
        </w:tc>
      </w:tr>
      <w:tr w14:paraId="498E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51970B">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61FEF1">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9C15D4">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68553AF">
            <w:pPr>
              <w:spacing w:line="360" w:lineRule="exact"/>
              <w:jc w:val="left"/>
              <w:rPr>
                <w:rFonts w:hint="default" w:ascii="宋体" w:hAnsi="宋体" w:eastAsia="宋体" w:cs="宋体"/>
                <w:sz w:val="21"/>
                <w:szCs w:val="21"/>
              </w:rPr>
            </w:pPr>
            <w:r>
              <w:rPr>
                <w:rFonts w:hint="default" w:ascii="宋体" w:hAnsi="宋体" w:eastAsia="宋体" w:cs="宋体"/>
                <w:sz w:val="21"/>
                <w:szCs w:val="21"/>
              </w:rPr>
              <w:t>2.对形象差、工作不力，经教育后仍不改正的保安工作人员，甲方要求更换或辞退，乙方未执行的，每次扣5分。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9E39F3">
            <w:pPr>
              <w:numPr>
                <w:ilvl w:val="0"/>
                <w:numId w:val="0"/>
              </w:num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EA2EB4">
            <w:pPr>
              <w:spacing w:line="360" w:lineRule="exact"/>
              <w:jc w:val="center"/>
              <w:rPr>
                <w:rFonts w:hint="default" w:ascii="宋体" w:hAnsi="宋体" w:eastAsia="宋体" w:cs="宋体"/>
                <w:sz w:val="21"/>
                <w:szCs w:val="21"/>
              </w:rPr>
            </w:pPr>
          </w:p>
        </w:tc>
      </w:tr>
      <w:tr w14:paraId="2A5F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DB7C42">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76C6B8">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1465AF">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3AD310A">
            <w:pPr>
              <w:spacing w:line="360" w:lineRule="exact"/>
              <w:jc w:val="left"/>
              <w:rPr>
                <w:rFonts w:hint="default" w:ascii="宋体" w:hAnsi="宋体" w:eastAsia="宋体" w:cs="宋体"/>
                <w:sz w:val="21"/>
                <w:szCs w:val="21"/>
              </w:rPr>
            </w:pPr>
            <w:r>
              <w:rPr>
                <w:rFonts w:hint="default" w:ascii="宋体" w:hAnsi="宋体" w:eastAsia="宋体" w:cs="宋体"/>
                <w:sz w:val="21"/>
                <w:szCs w:val="21"/>
              </w:rPr>
              <w:t>3.办公地点环境脏乱，东西摆放杂乱，每次扣1分；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3B9BAA">
            <w:pPr>
              <w:numPr>
                <w:ilvl w:val="0"/>
                <w:numId w:val="0"/>
              </w:num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D1EC72D">
            <w:pPr>
              <w:spacing w:line="360" w:lineRule="exact"/>
              <w:jc w:val="center"/>
              <w:rPr>
                <w:rFonts w:hint="default" w:ascii="宋体" w:hAnsi="宋体" w:eastAsia="宋体" w:cs="宋体"/>
                <w:sz w:val="21"/>
                <w:szCs w:val="21"/>
              </w:rPr>
            </w:pPr>
          </w:p>
        </w:tc>
      </w:tr>
      <w:tr w14:paraId="3ED4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C8677F">
            <w:pPr>
              <w:spacing w:line="360" w:lineRule="exact"/>
              <w:jc w:val="center"/>
              <w:rPr>
                <w:rFonts w:hint="default" w:ascii="宋体" w:hAnsi="宋体" w:eastAsia="宋体" w:cs="宋体"/>
                <w:sz w:val="21"/>
                <w:szCs w:val="21"/>
              </w:rPr>
            </w:pPr>
            <w:r>
              <w:rPr>
                <w:rFonts w:hint="default" w:ascii="宋体" w:hAnsi="宋体" w:eastAsia="宋体" w:cs="宋体"/>
                <w:sz w:val="21"/>
                <w:szCs w:val="21"/>
              </w:rPr>
              <w:t>2</w:t>
            </w: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A7EFB4">
            <w:pPr>
              <w:spacing w:line="360" w:lineRule="exact"/>
              <w:jc w:val="center"/>
              <w:rPr>
                <w:rFonts w:hint="default" w:ascii="宋体" w:hAnsi="宋体" w:eastAsia="宋体" w:cs="宋体"/>
                <w:sz w:val="21"/>
                <w:szCs w:val="21"/>
              </w:rPr>
            </w:pPr>
          </w:p>
        </w:tc>
        <w:tc>
          <w:tcPr>
            <w:tcW w:w="58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A73C23D">
            <w:pPr>
              <w:spacing w:line="360" w:lineRule="exact"/>
              <w:jc w:val="center"/>
              <w:rPr>
                <w:rFonts w:hint="default" w:ascii="宋体" w:hAnsi="宋体" w:eastAsia="宋体" w:cs="宋体"/>
                <w:sz w:val="21"/>
                <w:szCs w:val="21"/>
              </w:rPr>
            </w:pPr>
            <w:r>
              <w:rPr>
                <w:rFonts w:hint="default" w:ascii="宋体" w:hAnsi="宋体" w:eastAsia="宋体" w:cs="宋体"/>
                <w:sz w:val="21"/>
                <w:szCs w:val="21"/>
              </w:rPr>
              <w:t>遵守劳动纪律</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167A72">
            <w:pPr>
              <w:spacing w:line="360" w:lineRule="exact"/>
              <w:jc w:val="left"/>
              <w:rPr>
                <w:rFonts w:hint="default" w:ascii="宋体" w:hAnsi="宋体" w:eastAsia="宋体" w:cs="宋体"/>
                <w:sz w:val="21"/>
                <w:szCs w:val="21"/>
              </w:rPr>
            </w:pPr>
            <w:r>
              <w:rPr>
                <w:rFonts w:hint="default" w:ascii="宋体" w:hAnsi="宋体" w:eastAsia="宋体" w:cs="宋体"/>
                <w:sz w:val="21"/>
                <w:szCs w:val="21"/>
              </w:rPr>
              <w:t>1.遵守各类工作制度，按规定完成工作职责，一处不符扣0.5分。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E11650">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D03B5C">
            <w:pPr>
              <w:spacing w:line="360" w:lineRule="exact"/>
              <w:jc w:val="center"/>
              <w:rPr>
                <w:rFonts w:hint="default" w:ascii="宋体" w:hAnsi="宋体" w:eastAsia="宋体" w:cs="宋体"/>
                <w:sz w:val="21"/>
                <w:szCs w:val="21"/>
              </w:rPr>
            </w:pPr>
          </w:p>
        </w:tc>
      </w:tr>
      <w:tr w14:paraId="534B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DF5255">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E75C3C">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7D9797">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1702F8">
            <w:pPr>
              <w:spacing w:line="360" w:lineRule="exact"/>
              <w:jc w:val="left"/>
              <w:rPr>
                <w:rFonts w:hint="default" w:ascii="宋体" w:hAnsi="宋体" w:eastAsia="宋体" w:cs="宋体"/>
                <w:sz w:val="21"/>
                <w:szCs w:val="21"/>
              </w:rPr>
            </w:pPr>
            <w:r>
              <w:rPr>
                <w:rFonts w:hint="default" w:ascii="宋体" w:hAnsi="宋体" w:eastAsia="宋体" w:cs="宋体"/>
                <w:sz w:val="21"/>
                <w:szCs w:val="21"/>
              </w:rPr>
              <w:t>2.不迟到早退，不串岗。迟到、早退、串岗每人次扣0.5分。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E90F7C7">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381C1E">
            <w:pPr>
              <w:spacing w:line="360" w:lineRule="exact"/>
              <w:jc w:val="center"/>
              <w:rPr>
                <w:rFonts w:hint="default" w:ascii="宋体" w:hAnsi="宋体" w:eastAsia="宋体" w:cs="宋体"/>
                <w:sz w:val="21"/>
                <w:szCs w:val="21"/>
              </w:rPr>
            </w:pPr>
          </w:p>
        </w:tc>
      </w:tr>
      <w:tr w14:paraId="6935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308A31">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9FB44B9">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D5918F">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7A5ADE">
            <w:pPr>
              <w:spacing w:line="360" w:lineRule="exact"/>
              <w:jc w:val="left"/>
              <w:rPr>
                <w:rFonts w:hint="default" w:ascii="宋体" w:hAnsi="宋体" w:eastAsia="宋体" w:cs="宋体"/>
                <w:sz w:val="21"/>
                <w:szCs w:val="21"/>
              </w:rPr>
            </w:pPr>
            <w:r>
              <w:rPr>
                <w:rFonts w:hint="default" w:ascii="宋体" w:hAnsi="宋体" w:eastAsia="宋体" w:cs="宋体"/>
                <w:sz w:val="21"/>
                <w:szCs w:val="21"/>
              </w:rPr>
              <w:t>3.上班时间干私活每人次扣1分。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06EBA5">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4517F8">
            <w:pPr>
              <w:spacing w:line="360" w:lineRule="exact"/>
              <w:jc w:val="center"/>
              <w:rPr>
                <w:rFonts w:hint="default" w:ascii="宋体" w:hAnsi="宋体" w:eastAsia="宋体" w:cs="宋体"/>
                <w:sz w:val="21"/>
                <w:szCs w:val="21"/>
              </w:rPr>
            </w:pPr>
          </w:p>
        </w:tc>
      </w:tr>
      <w:tr w14:paraId="4DCA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ED581E">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896735">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A12220">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1C45E5">
            <w:pPr>
              <w:spacing w:line="360" w:lineRule="exact"/>
              <w:jc w:val="left"/>
              <w:rPr>
                <w:rFonts w:hint="default" w:ascii="宋体" w:hAnsi="宋体" w:eastAsia="宋体" w:cs="宋体"/>
                <w:sz w:val="21"/>
                <w:szCs w:val="21"/>
              </w:rPr>
            </w:pPr>
            <w:r>
              <w:rPr>
                <w:rFonts w:hint="default" w:ascii="宋体" w:hAnsi="宋体" w:eastAsia="宋体" w:cs="宋体"/>
                <w:sz w:val="21"/>
                <w:szCs w:val="21"/>
              </w:rPr>
              <w:t>4.故意损坏公共财物，每人次扣1分并按实价赔偿。</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DF7DD7">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2207B8">
            <w:pPr>
              <w:spacing w:line="360" w:lineRule="exact"/>
              <w:jc w:val="center"/>
              <w:rPr>
                <w:rFonts w:hint="default" w:ascii="宋体" w:hAnsi="宋体" w:eastAsia="宋体" w:cs="宋体"/>
                <w:sz w:val="21"/>
                <w:szCs w:val="21"/>
              </w:rPr>
            </w:pPr>
          </w:p>
        </w:tc>
      </w:tr>
      <w:tr w14:paraId="15FA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6B38FE1">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70C7DB">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CA163F">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1B7534">
            <w:pPr>
              <w:spacing w:line="360" w:lineRule="exact"/>
              <w:jc w:val="left"/>
              <w:rPr>
                <w:rFonts w:hint="default" w:ascii="宋体" w:hAnsi="宋体" w:eastAsia="宋体" w:cs="宋体"/>
                <w:sz w:val="21"/>
                <w:szCs w:val="21"/>
              </w:rPr>
            </w:pPr>
            <w:r>
              <w:rPr>
                <w:rFonts w:hint="default" w:ascii="宋体" w:hAnsi="宋体" w:eastAsia="宋体" w:cs="宋体"/>
                <w:sz w:val="21"/>
                <w:szCs w:val="21"/>
              </w:rPr>
              <w:t>5.在岗期间不嬉笑，打闹，闲聊，吸烟，玩手机，打游戏，看电子媒体，每人次扣2分。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58C49A">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7F0908">
            <w:pPr>
              <w:spacing w:line="360" w:lineRule="exact"/>
              <w:jc w:val="center"/>
              <w:rPr>
                <w:rFonts w:hint="default" w:ascii="宋体" w:hAnsi="宋体" w:eastAsia="宋体" w:cs="宋体"/>
                <w:sz w:val="21"/>
                <w:szCs w:val="21"/>
              </w:rPr>
            </w:pPr>
          </w:p>
        </w:tc>
      </w:tr>
      <w:tr w14:paraId="1985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1726C95">
            <w:pPr>
              <w:spacing w:line="360" w:lineRule="exact"/>
              <w:jc w:val="center"/>
              <w:rPr>
                <w:rFonts w:hint="default" w:ascii="宋体" w:hAnsi="宋体" w:eastAsia="宋体" w:cs="宋体"/>
                <w:sz w:val="21"/>
                <w:szCs w:val="21"/>
              </w:rPr>
            </w:pPr>
            <w:r>
              <w:rPr>
                <w:rFonts w:hint="default" w:ascii="宋体" w:hAnsi="宋体" w:eastAsia="宋体" w:cs="宋体"/>
                <w:sz w:val="21"/>
                <w:szCs w:val="21"/>
              </w:rPr>
              <w:t>3</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687A2C">
            <w:pPr>
              <w:spacing w:line="360" w:lineRule="exact"/>
              <w:jc w:val="center"/>
              <w:rPr>
                <w:rFonts w:hint="default" w:ascii="宋体" w:hAnsi="宋体" w:eastAsia="宋体" w:cs="宋体"/>
                <w:sz w:val="21"/>
                <w:szCs w:val="21"/>
              </w:rPr>
            </w:pPr>
            <w:r>
              <w:rPr>
                <w:rFonts w:hint="default" w:ascii="宋体" w:hAnsi="宋体" w:eastAsia="宋体" w:cs="宋体"/>
                <w:sz w:val="21"/>
                <w:szCs w:val="21"/>
              </w:rPr>
              <w:t>治安管理（40分）</w:t>
            </w:r>
          </w:p>
        </w:tc>
        <w:tc>
          <w:tcPr>
            <w:tcW w:w="58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236986">
            <w:pPr>
              <w:spacing w:line="360" w:lineRule="exact"/>
              <w:jc w:val="center"/>
              <w:rPr>
                <w:rFonts w:hint="default" w:ascii="宋体" w:hAnsi="宋体" w:eastAsia="宋体" w:cs="宋体"/>
                <w:sz w:val="21"/>
                <w:szCs w:val="21"/>
              </w:rPr>
            </w:pPr>
            <w:r>
              <w:rPr>
                <w:rFonts w:hint="default" w:ascii="宋体" w:hAnsi="宋体" w:eastAsia="宋体" w:cs="宋体"/>
                <w:sz w:val="21"/>
                <w:szCs w:val="21"/>
              </w:rPr>
              <w:t>治安管理、秩序维护</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EC3FD9C">
            <w:pPr>
              <w:spacing w:line="360" w:lineRule="exact"/>
              <w:jc w:val="left"/>
              <w:rPr>
                <w:rFonts w:hint="default" w:ascii="宋体" w:hAnsi="宋体" w:eastAsia="宋体" w:cs="宋体"/>
                <w:sz w:val="21"/>
                <w:szCs w:val="21"/>
              </w:rPr>
            </w:pPr>
            <w:r>
              <w:rPr>
                <w:rFonts w:hint="default" w:ascii="宋体" w:hAnsi="宋体" w:eastAsia="宋体" w:cs="宋体"/>
                <w:sz w:val="21"/>
                <w:szCs w:val="21"/>
              </w:rPr>
              <w:t>1.维护岗亭设施设备及物资安全，发生1例事故扣2分。</w:t>
            </w:r>
          </w:p>
        </w:tc>
        <w:tc>
          <w:tcPr>
            <w:tcW w:w="53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897C04">
            <w:pPr>
              <w:spacing w:line="360" w:lineRule="exact"/>
              <w:jc w:val="center"/>
              <w:rPr>
                <w:rFonts w:hint="default" w:ascii="宋体" w:hAnsi="宋体" w:eastAsia="宋体" w:cs="宋体"/>
                <w:sz w:val="21"/>
                <w:szCs w:val="21"/>
              </w:rPr>
            </w:pPr>
          </w:p>
        </w:tc>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4002115">
            <w:pPr>
              <w:spacing w:line="360" w:lineRule="exact"/>
              <w:jc w:val="center"/>
              <w:rPr>
                <w:rFonts w:hint="default" w:ascii="宋体" w:hAnsi="宋体" w:eastAsia="宋体" w:cs="宋体"/>
                <w:sz w:val="21"/>
                <w:szCs w:val="21"/>
              </w:rPr>
            </w:pPr>
          </w:p>
        </w:tc>
      </w:tr>
      <w:tr w14:paraId="72B0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86871D">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641B0E">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3CADCA">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0B386D">
            <w:pPr>
              <w:spacing w:line="360" w:lineRule="exact"/>
              <w:jc w:val="left"/>
              <w:rPr>
                <w:rFonts w:hint="default" w:ascii="宋体" w:hAnsi="宋体" w:eastAsia="宋体" w:cs="宋体"/>
                <w:sz w:val="21"/>
                <w:szCs w:val="21"/>
              </w:rPr>
            </w:pPr>
            <w:r>
              <w:rPr>
                <w:rFonts w:hint="default" w:ascii="宋体" w:hAnsi="宋体" w:eastAsia="宋体" w:cs="宋体"/>
                <w:sz w:val="21"/>
                <w:szCs w:val="21"/>
              </w:rPr>
              <w:t>2.维护管理区域秩序，对群众提供引导服务。发现1例不符要求扣1分。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01E8FB">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C6475C">
            <w:pPr>
              <w:spacing w:line="360" w:lineRule="exact"/>
              <w:jc w:val="center"/>
              <w:rPr>
                <w:rFonts w:hint="default" w:ascii="宋体" w:hAnsi="宋体" w:eastAsia="宋体" w:cs="宋体"/>
                <w:sz w:val="21"/>
                <w:szCs w:val="21"/>
              </w:rPr>
            </w:pPr>
          </w:p>
        </w:tc>
      </w:tr>
      <w:tr w14:paraId="7A89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7C6CF7">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3921EC">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87981">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288B43">
            <w:pPr>
              <w:spacing w:line="360" w:lineRule="exact"/>
              <w:jc w:val="left"/>
              <w:rPr>
                <w:rFonts w:hint="default" w:ascii="宋体" w:hAnsi="宋体" w:eastAsia="宋体" w:cs="宋体"/>
                <w:sz w:val="21"/>
                <w:szCs w:val="21"/>
              </w:rPr>
            </w:pPr>
            <w:r>
              <w:rPr>
                <w:rFonts w:hint="default" w:ascii="宋体" w:hAnsi="宋体" w:eastAsia="宋体" w:cs="宋体"/>
                <w:sz w:val="21"/>
                <w:szCs w:val="21"/>
              </w:rPr>
              <w:t>3.发现纠纷和火警，应在5分钟内到达现场，采取适当措施处理，如故意躲避造成后果。发现1例扣2分。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A8B226">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EEBE47">
            <w:pPr>
              <w:spacing w:line="360" w:lineRule="exact"/>
              <w:jc w:val="center"/>
              <w:rPr>
                <w:rFonts w:hint="default" w:ascii="宋体" w:hAnsi="宋体" w:eastAsia="宋体" w:cs="宋体"/>
                <w:sz w:val="21"/>
                <w:szCs w:val="21"/>
              </w:rPr>
            </w:pPr>
          </w:p>
        </w:tc>
      </w:tr>
      <w:tr w14:paraId="0B03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E3606B">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C69F46">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097F42">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56D6494">
            <w:pPr>
              <w:spacing w:line="360" w:lineRule="exact"/>
              <w:jc w:val="left"/>
              <w:rPr>
                <w:rFonts w:hint="default" w:ascii="宋体" w:hAnsi="宋体" w:eastAsia="宋体" w:cs="宋体"/>
                <w:sz w:val="21"/>
                <w:szCs w:val="21"/>
              </w:rPr>
            </w:pPr>
            <w:r>
              <w:rPr>
                <w:rFonts w:hint="default" w:ascii="宋体" w:hAnsi="宋体" w:eastAsia="宋体" w:cs="宋体"/>
                <w:sz w:val="21"/>
                <w:szCs w:val="21"/>
              </w:rPr>
              <w:t>4.物品出入不检查、不控制，导致物品流失，发生1例扣1分。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D7C6D6">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2DF2F1">
            <w:pPr>
              <w:spacing w:line="360" w:lineRule="exact"/>
              <w:jc w:val="center"/>
              <w:rPr>
                <w:rFonts w:hint="default" w:ascii="宋体" w:hAnsi="宋体" w:eastAsia="宋体" w:cs="宋体"/>
                <w:sz w:val="21"/>
                <w:szCs w:val="21"/>
              </w:rPr>
            </w:pPr>
          </w:p>
        </w:tc>
      </w:tr>
      <w:tr w14:paraId="6FC7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46D25EB">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469512E">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AA134E4">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57B39A">
            <w:pPr>
              <w:spacing w:line="360" w:lineRule="exact"/>
              <w:jc w:val="left"/>
              <w:rPr>
                <w:rFonts w:hint="default" w:ascii="宋体" w:hAnsi="宋体" w:eastAsia="宋体" w:cs="宋体"/>
                <w:sz w:val="21"/>
                <w:szCs w:val="21"/>
              </w:rPr>
            </w:pPr>
            <w:r>
              <w:rPr>
                <w:rFonts w:hint="default" w:ascii="宋体" w:hAnsi="宋体" w:eastAsia="宋体" w:cs="宋体"/>
                <w:sz w:val="21"/>
                <w:szCs w:val="21"/>
              </w:rPr>
              <w:t>5.不按规定巡逻或巡逻无记录，重大事件不汇报，发生1例扣3分。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882F99">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906ACC">
            <w:pPr>
              <w:spacing w:line="360" w:lineRule="exact"/>
              <w:jc w:val="center"/>
              <w:rPr>
                <w:rFonts w:hint="default" w:ascii="宋体" w:hAnsi="宋体" w:eastAsia="宋体" w:cs="宋体"/>
                <w:sz w:val="21"/>
                <w:szCs w:val="21"/>
              </w:rPr>
            </w:pPr>
          </w:p>
        </w:tc>
      </w:tr>
      <w:tr w14:paraId="3B0F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E09420">
            <w:pPr>
              <w:spacing w:line="360" w:lineRule="exact"/>
              <w:jc w:val="center"/>
              <w:rPr>
                <w:rFonts w:hint="default" w:ascii="宋体" w:hAnsi="宋体" w:eastAsia="宋体" w:cs="宋体"/>
                <w:sz w:val="21"/>
                <w:szCs w:val="21"/>
              </w:rPr>
            </w:pPr>
            <w:r>
              <w:rPr>
                <w:rFonts w:hint="default" w:ascii="宋体" w:eastAsia="宋体"/>
                <w:sz w:val="21"/>
                <w:szCs w:val="24"/>
              </w:rPr>
              <w:t>每月定期检查楼内的各类水电、消防设施和设备，定期上交检查结果，设备设施损坏和缺损如实汇报，发现安全隐患及时处理和汇报</w:t>
            </w: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3791760">
            <w:pPr>
              <w:spacing w:line="360" w:lineRule="exact"/>
              <w:jc w:val="center"/>
              <w:rPr>
                <w:rFonts w:hint="default" w:ascii="宋体" w:hAnsi="宋体" w:eastAsia="宋体" w:cs="宋体"/>
                <w:sz w:val="21"/>
                <w:szCs w:val="21"/>
              </w:rPr>
            </w:pPr>
            <w:r>
              <w:rPr>
                <w:rFonts w:hint="default" w:ascii="宋体" w:eastAsia="宋体"/>
                <w:sz w:val="21"/>
                <w:szCs w:val="24"/>
              </w:rPr>
              <w:t>每月定期检查楼内的各类水电、消防设施和设备，定期上交检查结果，设备设施损坏和缺损如实汇报，发现安全隐患及时处理和汇报</w:t>
            </w: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28D5E">
            <w:pPr>
              <w:spacing w:line="360" w:lineRule="exact"/>
              <w:jc w:val="center"/>
              <w:rPr>
                <w:rFonts w:hint="default" w:ascii="宋体" w:hAnsi="宋体" w:eastAsia="宋体" w:cs="宋体"/>
                <w:sz w:val="21"/>
                <w:szCs w:val="21"/>
              </w:rPr>
            </w:pPr>
            <w:r>
              <w:rPr>
                <w:rFonts w:hint="default" w:ascii="宋体" w:eastAsia="宋体"/>
                <w:sz w:val="21"/>
                <w:szCs w:val="24"/>
              </w:rPr>
              <w:t>每月定期检查楼内的各类水电、消防设施和设备，定期上交检查结果，设备设施损坏和缺损如实汇报，发现安全隐患及时处理和汇报</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233C10">
            <w:pPr>
              <w:spacing w:line="360" w:lineRule="exact"/>
              <w:jc w:val="left"/>
              <w:rPr>
                <w:rFonts w:hint="default" w:ascii="宋体" w:hAnsi="宋体" w:eastAsia="宋体" w:cs="宋体"/>
                <w:sz w:val="21"/>
                <w:szCs w:val="21"/>
              </w:rPr>
            </w:pPr>
            <w:r>
              <w:rPr>
                <w:rFonts w:hint="default" w:ascii="宋体" w:hAnsi="宋体" w:eastAsia="宋体" w:cs="宋体"/>
                <w:sz w:val="21"/>
                <w:szCs w:val="21"/>
              </w:rPr>
              <w:t>6.每月定期检查楼内的各类水电、消防设施和设备，定期上交检查结果，设备设施损坏和缺损如实汇报，发现安全隐患及时处理和汇报，发现1例扣2分。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29DAEF">
            <w:pPr>
              <w:spacing w:line="360" w:lineRule="exact"/>
              <w:jc w:val="center"/>
              <w:rPr>
                <w:rFonts w:hint="default" w:ascii="宋体" w:hAnsi="宋体" w:eastAsia="宋体" w:cs="宋体"/>
                <w:sz w:val="21"/>
                <w:szCs w:val="21"/>
              </w:rPr>
            </w:pPr>
            <w:r>
              <w:rPr>
                <w:rFonts w:hint="default" w:ascii="宋体" w:eastAsia="宋体"/>
                <w:sz w:val="21"/>
                <w:szCs w:val="24"/>
              </w:rPr>
              <w:t>每月定期检查楼内的各类水电、消防设施和设备，定期上交检查结果，设备设施损坏和缺损如实汇报，发现安全隐患及时处理和汇报</w:t>
            </w: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BA2B52E">
            <w:pPr>
              <w:spacing w:line="360" w:lineRule="exact"/>
              <w:jc w:val="center"/>
              <w:rPr>
                <w:rFonts w:hint="default" w:ascii="宋体" w:hAnsi="宋体" w:eastAsia="宋体" w:cs="宋体"/>
                <w:sz w:val="21"/>
                <w:szCs w:val="21"/>
              </w:rPr>
            </w:pPr>
            <w:r>
              <w:rPr>
                <w:rFonts w:hint="default" w:ascii="宋体" w:eastAsia="宋体"/>
                <w:sz w:val="21"/>
                <w:szCs w:val="24"/>
              </w:rPr>
              <w:t>每月定期检查楼内的各类水电、消防设施和设备，定期上交检查结果，设备设施损坏和缺损如实汇报，发现安全隐患及时处理和汇报</w:t>
            </w:r>
          </w:p>
        </w:tc>
      </w:tr>
      <w:tr w14:paraId="1124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CF6017F">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FC7F71">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A8C4016">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951967B">
            <w:pPr>
              <w:spacing w:line="360" w:lineRule="exact"/>
              <w:jc w:val="left"/>
              <w:rPr>
                <w:rFonts w:hint="default" w:ascii="宋体" w:hAnsi="宋体" w:eastAsia="宋体" w:cs="宋体"/>
                <w:sz w:val="21"/>
                <w:szCs w:val="21"/>
              </w:rPr>
            </w:pPr>
            <w:r>
              <w:rPr>
                <w:rFonts w:hint="default" w:ascii="宋体" w:hAnsi="宋体" w:eastAsia="宋体" w:cs="宋体"/>
                <w:sz w:val="21"/>
                <w:szCs w:val="21"/>
              </w:rPr>
              <w:t>7.发生盗窃，发生1例扣3分。</w:t>
            </w:r>
          </w:p>
        </w:tc>
        <w:tc>
          <w:tcPr>
            <w:tcW w:w="53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8C7536">
            <w:pPr>
              <w:spacing w:line="360" w:lineRule="exact"/>
              <w:jc w:val="center"/>
              <w:rPr>
                <w:rFonts w:hint="default" w:ascii="宋体" w:hAnsi="宋体" w:eastAsia="宋体" w:cs="宋体"/>
                <w:sz w:val="21"/>
                <w:szCs w:val="21"/>
              </w:rPr>
            </w:pPr>
          </w:p>
        </w:tc>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3B019A7">
            <w:pPr>
              <w:spacing w:line="360" w:lineRule="exact"/>
              <w:jc w:val="center"/>
              <w:rPr>
                <w:rFonts w:hint="default" w:ascii="宋体" w:hAnsi="宋体" w:eastAsia="宋体" w:cs="宋体"/>
                <w:sz w:val="21"/>
                <w:szCs w:val="21"/>
              </w:rPr>
            </w:pPr>
          </w:p>
        </w:tc>
      </w:tr>
      <w:tr w14:paraId="3231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AC406E">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AB6849">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6D7616">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A11416">
            <w:pPr>
              <w:spacing w:line="360" w:lineRule="exact"/>
              <w:jc w:val="left"/>
              <w:rPr>
                <w:rFonts w:hint="default" w:ascii="宋体" w:hAnsi="宋体" w:eastAsia="宋体" w:cs="宋体"/>
                <w:sz w:val="21"/>
                <w:szCs w:val="21"/>
              </w:rPr>
            </w:pPr>
            <w:r>
              <w:rPr>
                <w:rFonts w:hint="default" w:ascii="宋体" w:hAnsi="宋体" w:eastAsia="宋体" w:cs="宋体"/>
                <w:sz w:val="21"/>
                <w:szCs w:val="21"/>
              </w:rPr>
              <w:t>8.严禁在管理范围内发生非法经营活动（包括倒号、小商品贩卖、送餐等违规活动），发生一例次扣2分。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0350845">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ACEA74">
            <w:pPr>
              <w:spacing w:line="360" w:lineRule="exact"/>
              <w:jc w:val="center"/>
              <w:rPr>
                <w:rFonts w:hint="default" w:ascii="宋体" w:hAnsi="宋体" w:eastAsia="宋体" w:cs="宋体"/>
                <w:sz w:val="21"/>
                <w:szCs w:val="21"/>
              </w:rPr>
            </w:pPr>
          </w:p>
        </w:tc>
      </w:tr>
      <w:tr w14:paraId="06A8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617493">
            <w:pPr>
              <w:spacing w:line="360" w:lineRule="exact"/>
              <w:jc w:val="center"/>
              <w:rPr>
                <w:rFonts w:hint="default" w:ascii="宋体" w:hAnsi="宋体" w:eastAsia="宋体" w:cs="宋体"/>
                <w:sz w:val="21"/>
                <w:szCs w:val="21"/>
              </w:rPr>
            </w:pPr>
            <w:r>
              <w:rPr>
                <w:rFonts w:hint="default" w:ascii="宋体" w:hAnsi="宋体" w:eastAsia="宋体" w:cs="宋体"/>
                <w:sz w:val="21"/>
                <w:szCs w:val="21"/>
              </w:rPr>
              <w:t>4</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6195506">
            <w:pPr>
              <w:spacing w:line="360" w:lineRule="exact"/>
              <w:jc w:val="center"/>
              <w:rPr>
                <w:rFonts w:hint="default" w:ascii="宋体" w:hAnsi="宋体" w:eastAsia="宋体" w:cs="宋体"/>
                <w:sz w:val="21"/>
                <w:szCs w:val="21"/>
              </w:rPr>
            </w:pPr>
            <w:r>
              <w:rPr>
                <w:rFonts w:hint="default" w:ascii="宋体" w:hAnsi="宋体" w:eastAsia="宋体" w:cs="宋体"/>
                <w:sz w:val="21"/>
                <w:szCs w:val="21"/>
              </w:rPr>
              <w:t>车辆管理（20分）</w:t>
            </w:r>
          </w:p>
        </w:tc>
        <w:tc>
          <w:tcPr>
            <w:tcW w:w="58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A9E2F58">
            <w:pPr>
              <w:spacing w:line="360" w:lineRule="exact"/>
              <w:jc w:val="center"/>
              <w:rPr>
                <w:rFonts w:hint="default" w:ascii="宋体" w:hAnsi="宋体" w:eastAsia="宋体" w:cs="宋体"/>
                <w:sz w:val="21"/>
                <w:szCs w:val="21"/>
              </w:rPr>
            </w:pPr>
            <w:r>
              <w:rPr>
                <w:rFonts w:hint="default" w:ascii="宋体" w:hAnsi="宋体" w:eastAsia="宋体" w:cs="宋体"/>
                <w:sz w:val="21"/>
                <w:szCs w:val="21"/>
              </w:rPr>
              <w:t>车辆管理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535784E">
            <w:pPr>
              <w:spacing w:line="400" w:lineRule="exact"/>
              <w:rPr>
                <w:rFonts w:hint="default" w:ascii="宋体" w:hAnsi="宋体" w:eastAsia="宋体" w:cs="宋体"/>
                <w:sz w:val="21"/>
                <w:szCs w:val="21"/>
              </w:rPr>
            </w:pPr>
            <w:r>
              <w:rPr>
                <w:rFonts w:hint="default" w:ascii="宋体" w:hAnsi="宋体" w:eastAsia="宋体" w:cs="宋体"/>
                <w:sz w:val="21"/>
                <w:szCs w:val="21"/>
              </w:rPr>
              <w:t>1.大门、闸口、或者停车区域车发现阻挡正常通行，发现后每车次扣1分。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7C0653B">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3EEC9C">
            <w:pPr>
              <w:spacing w:line="360" w:lineRule="exact"/>
              <w:jc w:val="center"/>
              <w:rPr>
                <w:rFonts w:hint="default" w:ascii="宋体" w:hAnsi="宋体" w:eastAsia="宋体" w:cs="宋体"/>
                <w:sz w:val="21"/>
                <w:szCs w:val="21"/>
              </w:rPr>
            </w:pPr>
          </w:p>
        </w:tc>
      </w:tr>
      <w:tr w14:paraId="4C9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A19DA3">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8A1108">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D369E9">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65A8D0">
            <w:pPr>
              <w:spacing w:line="400" w:lineRule="exact"/>
              <w:rPr>
                <w:rFonts w:hint="default" w:ascii="宋体" w:hAnsi="宋体" w:eastAsia="宋体" w:cs="宋体"/>
                <w:sz w:val="21"/>
                <w:szCs w:val="21"/>
              </w:rPr>
            </w:pPr>
            <w:r>
              <w:rPr>
                <w:rFonts w:hint="default" w:ascii="宋体" w:hAnsi="宋体" w:eastAsia="宋体" w:cs="宋体"/>
                <w:sz w:val="21"/>
                <w:szCs w:val="21"/>
              </w:rPr>
              <w:t>2.停车区域非机动车随意乱放影响正常通行，未及时拖离的，发现后每车次扣0.5分。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7873E3B">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47C34E7">
            <w:pPr>
              <w:spacing w:line="360" w:lineRule="exact"/>
              <w:jc w:val="center"/>
              <w:rPr>
                <w:rFonts w:hint="default" w:ascii="宋体" w:hAnsi="宋体" w:eastAsia="宋体" w:cs="宋体"/>
                <w:sz w:val="21"/>
                <w:szCs w:val="21"/>
              </w:rPr>
            </w:pPr>
          </w:p>
        </w:tc>
      </w:tr>
      <w:tr w14:paraId="75B3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E9E3C98">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21AD63">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A58E141">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E3CBAD">
            <w:pPr>
              <w:spacing w:line="400" w:lineRule="exact"/>
              <w:rPr>
                <w:rFonts w:hint="default" w:ascii="宋体" w:hAnsi="宋体" w:eastAsia="宋体" w:cs="宋体"/>
                <w:sz w:val="21"/>
                <w:szCs w:val="21"/>
              </w:rPr>
            </w:pPr>
            <w:r>
              <w:rPr>
                <w:rFonts w:hint="default" w:ascii="宋体" w:hAnsi="宋体" w:eastAsia="宋体" w:cs="宋体"/>
                <w:sz w:val="21"/>
                <w:szCs w:val="21"/>
              </w:rPr>
              <w:t>3.道路堵塞，未在半小时内疏通的，发生1例扣3分。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3EA15E">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FDA858">
            <w:pPr>
              <w:spacing w:line="360" w:lineRule="exact"/>
              <w:jc w:val="center"/>
              <w:rPr>
                <w:rFonts w:hint="default" w:ascii="宋体" w:hAnsi="宋体" w:eastAsia="宋体" w:cs="宋体"/>
                <w:sz w:val="21"/>
                <w:szCs w:val="21"/>
              </w:rPr>
            </w:pPr>
          </w:p>
        </w:tc>
      </w:tr>
      <w:tr w14:paraId="27F4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03F6F7">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3ED2E5">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43CBB4D">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AD69A9">
            <w:pPr>
              <w:spacing w:line="400" w:lineRule="exact"/>
              <w:rPr>
                <w:rFonts w:hint="default" w:ascii="宋体" w:hAnsi="宋体" w:eastAsia="宋体" w:cs="宋体"/>
                <w:sz w:val="21"/>
                <w:szCs w:val="21"/>
              </w:rPr>
            </w:pPr>
            <w:r>
              <w:rPr>
                <w:rFonts w:hint="default" w:ascii="宋体" w:hAnsi="宋体" w:eastAsia="宋体" w:cs="宋体"/>
                <w:sz w:val="21"/>
                <w:szCs w:val="21"/>
              </w:rPr>
              <w:t>4.对消防通道通畅情况，发现1例次不符要求扣3分。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184C0D">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35C705">
            <w:pPr>
              <w:spacing w:line="360" w:lineRule="exact"/>
              <w:jc w:val="center"/>
              <w:rPr>
                <w:rFonts w:hint="default" w:ascii="宋体" w:hAnsi="宋体" w:eastAsia="宋体" w:cs="宋体"/>
                <w:sz w:val="21"/>
                <w:szCs w:val="21"/>
              </w:rPr>
            </w:pPr>
          </w:p>
        </w:tc>
      </w:tr>
      <w:tr w14:paraId="4B1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481540">
            <w:pPr>
              <w:spacing w:line="360" w:lineRule="exact"/>
              <w:jc w:val="center"/>
              <w:rPr>
                <w:rFonts w:hint="default" w:ascii="宋体" w:hAnsi="宋体" w:eastAsia="宋体" w:cs="宋体"/>
                <w:sz w:val="21"/>
                <w:szCs w:val="21"/>
              </w:rPr>
            </w:pPr>
            <w:r>
              <w:rPr>
                <w:rFonts w:hint="default" w:ascii="宋体" w:hAnsi="宋体" w:eastAsia="宋体" w:cs="宋体"/>
                <w:sz w:val="21"/>
                <w:szCs w:val="21"/>
              </w:rPr>
              <w:t>5</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119094">
            <w:pPr>
              <w:spacing w:line="360" w:lineRule="exact"/>
              <w:jc w:val="center"/>
              <w:rPr>
                <w:rFonts w:hint="default" w:ascii="宋体" w:hAnsi="宋体" w:eastAsia="宋体" w:cs="宋体"/>
                <w:sz w:val="21"/>
                <w:szCs w:val="21"/>
              </w:rPr>
            </w:pPr>
            <w:r>
              <w:rPr>
                <w:rFonts w:hint="default" w:ascii="宋体" w:hAnsi="宋体" w:eastAsia="宋体" w:cs="宋体"/>
                <w:sz w:val="21"/>
                <w:szCs w:val="21"/>
              </w:rPr>
              <w:t>人员管理</w:t>
            </w:r>
          </w:p>
          <w:p w14:paraId="261D8651">
            <w:pPr>
              <w:spacing w:line="360" w:lineRule="exact"/>
              <w:jc w:val="center"/>
              <w:rPr>
                <w:rFonts w:hint="default" w:ascii="宋体" w:hAnsi="宋体" w:eastAsia="宋体" w:cs="宋体"/>
                <w:sz w:val="21"/>
                <w:szCs w:val="21"/>
              </w:rPr>
            </w:pPr>
            <w:r>
              <w:rPr>
                <w:rFonts w:hint="default" w:ascii="宋体" w:hAnsi="宋体" w:eastAsia="宋体" w:cs="宋体"/>
                <w:sz w:val="21"/>
                <w:szCs w:val="21"/>
              </w:rPr>
              <w:t>（10分）</w:t>
            </w:r>
          </w:p>
        </w:tc>
        <w:tc>
          <w:tcPr>
            <w:tcW w:w="581"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FB69403">
            <w:pPr>
              <w:spacing w:line="360" w:lineRule="exact"/>
              <w:jc w:val="center"/>
              <w:rPr>
                <w:rFonts w:hint="default" w:ascii="宋体" w:hAnsi="宋体" w:eastAsia="宋体" w:cs="宋体"/>
                <w:sz w:val="21"/>
                <w:szCs w:val="21"/>
              </w:rPr>
            </w:pPr>
            <w:r>
              <w:rPr>
                <w:rFonts w:hint="default" w:ascii="宋体" w:hAnsi="宋体" w:eastAsia="宋体" w:cs="宋体"/>
                <w:sz w:val="21"/>
                <w:szCs w:val="21"/>
              </w:rPr>
              <w:t>人员管理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EAA4570">
            <w:pPr>
              <w:spacing w:line="360" w:lineRule="exact"/>
              <w:jc w:val="left"/>
              <w:rPr>
                <w:rFonts w:hint="default" w:ascii="宋体" w:hAnsi="宋体" w:eastAsia="宋体" w:cs="宋体"/>
                <w:sz w:val="21"/>
                <w:szCs w:val="21"/>
              </w:rPr>
            </w:pPr>
            <w:r>
              <w:rPr>
                <w:rFonts w:hint="default" w:ascii="宋体" w:hAnsi="宋体" w:eastAsia="宋体" w:cs="宋体"/>
                <w:sz w:val="21"/>
                <w:szCs w:val="21"/>
              </w:rPr>
              <w:t>工作人员频繁非合理原因换人，发现1例扣2分。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42FB16F">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7913E9">
            <w:pPr>
              <w:spacing w:line="360" w:lineRule="exact"/>
              <w:jc w:val="center"/>
              <w:rPr>
                <w:rFonts w:hint="default" w:ascii="宋体" w:hAnsi="宋体" w:eastAsia="宋体" w:cs="宋体"/>
                <w:sz w:val="21"/>
                <w:szCs w:val="21"/>
              </w:rPr>
            </w:pPr>
          </w:p>
        </w:tc>
      </w:tr>
      <w:tr w14:paraId="4566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9E3AF3">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8E167">
            <w:pPr>
              <w:spacing w:line="360" w:lineRule="exact"/>
              <w:jc w:val="center"/>
              <w:rPr>
                <w:rFonts w:hint="default" w:ascii="宋体" w:hAnsi="宋体" w:eastAsia="宋体" w:cs="宋体"/>
                <w:sz w:val="21"/>
                <w:szCs w:val="21"/>
              </w:rPr>
            </w:pPr>
          </w:p>
        </w:tc>
        <w:tc>
          <w:tcPr>
            <w:tcW w:w="581"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1663E9">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FBF39AD">
            <w:pPr>
              <w:spacing w:line="360" w:lineRule="exact"/>
              <w:jc w:val="left"/>
              <w:rPr>
                <w:rFonts w:hint="default" w:ascii="宋体" w:hAnsi="宋体" w:eastAsia="宋体" w:cs="宋体"/>
                <w:sz w:val="21"/>
                <w:szCs w:val="21"/>
              </w:rPr>
            </w:pPr>
            <w:r>
              <w:rPr>
                <w:rFonts w:hint="default" w:ascii="宋体" w:hAnsi="宋体" w:eastAsia="宋体" w:cs="宋体"/>
                <w:sz w:val="21"/>
                <w:szCs w:val="21"/>
              </w:rPr>
              <w:t>建立并实施专业技术人员的人员管理、培训制度，因人员管理，培训不到位导致意外或事故的，发生1例扣2分。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BF77551">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522F31A">
            <w:pPr>
              <w:spacing w:line="360" w:lineRule="exact"/>
              <w:jc w:val="center"/>
              <w:rPr>
                <w:rFonts w:hint="default" w:ascii="宋体" w:hAnsi="宋体" w:eastAsia="宋体" w:cs="宋体"/>
                <w:sz w:val="21"/>
                <w:szCs w:val="21"/>
              </w:rPr>
            </w:pPr>
          </w:p>
        </w:tc>
      </w:tr>
      <w:tr w14:paraId="5A4A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EBCE2A7">
            <w:pPr>
              <w:spacing w:line="360" w:lineRule="exact"/>
              <w:jc w:val="center"/>
              <w:rPr>
                <w:rFonts w:hint="default" w:ascii="宋体" w:hAnsi="宋体" w:eastAsia="宋体" w:cs="宋体"/>
                <w:sz w:val="21"/>
                <w:szCs w:val="21"/>
              </w:rPr>
            </w:pPr>
            <w:r>
              <w:rPr>
                <w:rFonts w:hint="default" w:ascii="宋体" w:hAnsi="宋体" w:eastAsia="宋体" w:cs="宋体"/>
                <w:sz w:val="21"/>
                <w:szCs w:val="21"/>
              </w:rPr>
              <w:t>6</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03A1D7">
            <w:pPr>
              <w:spacing w:line="360" w:lineRule="exact"/>
              <w:jc w:val="center"/>
              <w:rPr>
                <w:rFonts w:hint="default" w:ascii="宋体" w:hAnsi="宋体" w:eastAsia="宋体" w:cs="宋体"/>
                <w:sz w:val="21"/>
                <w:szCs w:val="21"/>
              </w:rPr>
            </w:pPr>
            <w:r>
              <w:rPr>
                <w:rFonts w:hint="default" w:ascii="宋体" w:hAnsi="宋体" w:eastAsia="宋体" w:cs="宋体"/>
                <w:sz w:val="21"/>
                <w:szCs w:val="21"/>
              </w:rPr>
              <w:t>应急管理、上级检查</w:t>
            </w:r>
          </w:p>
          <w:p w14:paraId="535AA168">
            <w:pPr>
              <w:pStyle w:val="47"/>
              <w:spacing w:beforeLines="0" w:afterLines="0"/>
              <w:ind w:firstLine="0" w:firstLineChars="0"/>
              <w:rPr>
                <w:rFonts w:hint="eastAsia" w:eastAsia="方正书宋简体"/>
                <w:sz w:val="24"/>
                <w:szCs w:val="24"/>
              </w:rPr>
            </w:pPr>
            <w:r>
              <w:rPr>
                <w:rFonts w:hint="eastAsia" w:ascii="宋体" w:hAnsi="宋体" w:eastAsia="方正书宋简体" w:cs="宋体"/>
                <w:sz w:val="21"/>
                <w:szCs w:val="21"/>
              </w:rPr>
              <w:t>（20分）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945283">
            <w:pPr>
              <w:spacing w:line="360" w:lineRule="exact"/>
              <w:jc w:val="center"/>
              <w:rPr>
                <w:rFonts w:hint="default" w:ascii="宋体" w:hAnsi="宋体" w:eastAsia="宋体" w:cs="宋体"/>
                <w:sz w:val="21"/>
                <w:szCs w:val="21"/>
              </w:rPr>
            </w:pPr>
            <w:r>
              <w:rPr>
                <w:rFonts w:hint="default" w:ascii="宋体" w:hAnsi="宋体" w:eastAsia="宋体" w:cs="宋体"/>
                <w:sz w:val="21"/>
                <w:szCs w:val="21"/>
              </w:rPr>
              <w:t>应急管理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4C87A80">
            <w:pPr>
              <w:spacing w:line="360" w:lineRule="exact"/>
              <w:jc w:val="left"/>
              <w:rPr>
                <w:rFonts w:hint="default" w:ascii="宋体" w:hAnsi="宋体" w:eastAsia="宋体" w:cs="宋体"/>
                <w:sz w:val="21"/>
                <w:szCs w:val="21"/>
              </w:rPr>
            </w:pPr>
            <w:r>
              <w:rPr>
                <w:rFonts w:hint="default" w:ascii="宋体" w:hAnsi="宋体" w:eastAsia="宋体" w:cs="宋体"/>
                <w:sz w:val="21"/>
                <w:szCs w:val="21"/>
              </w:rPr>
              <w:t>有危害招标方工作人员及其他人员安全事件苗头时，接通知15分钟未到场，每迟到1分钟扣1分。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A67ACF">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D1DAF5F">
            <w:pPr>
              <w:spacing w:line="360" w:lineRule="exact"/>
              <w:jc w:val="center"/>
              <w:rPr>
                <w:rFonts w:hint="default" w:ascii="宋体" w:hAnsi="宋体" w:eastAsia="宋体" w:cs="宋体"/>
                <w:sz w:val="21"/>
                <w:szCs w:val="21"/>
              </w:rPr>
            </w:pPr>
          </w:p>
        </w:tc>
      </w:tr>
      <w:tr w14:paraId="3194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C6D3FC">
            <w:pPr>
              <w:spacing w:line="360" w:lineRule="exact"/>
              <w:jc w:val="center"/>
              <w:rPr>
                <w:rFonts w:hint="default"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039E83">
            <w:pPr>
              <w:spacing w:line="360" w:lineRule="exact"/>
              <w:jc w:val="center"/>
              <w:rPr>
                <w:rFonts w:hint="default" w:ascii="宋体" w:hAnsi="宋体" w:eastAsia="宋体" w:cs="宋体"/>
                <w:sz w:val="21"/>
                <w:szCs w:val="21"/>
              </w:rPr>
            </w:pP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B0479D">
            <w:pPr>
              <w:spacing w:line="360" w:lineRule="exact"/>
              <w:jc w:val="center"/>
              <w:rPr>
                <w:rFonts w:hint="default" w:ascii="宋体" w:hAnsi="宋体" w:eastAsia="宋体" w:cs="宋体"/>
                <w:sz w:val="21"/>
                <w:szCs w:val="21"/>
              </w:rPr>
            </w:pPr>
            <w:r>
              <w:rPr>
                <w:rFonts w:hint="default" w:ascii="宋体" w:hAnsi="宋体" w:eastAsia="宋体" w:cs="宋体"/>
                <w:sz w:val="21"/>
                <w:szCs w:val="21"/>
              </w:rPr>
              <w:t>上级检查</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A52C22">
            <w:pPr>
              <w:spacing w:line="360" w:lineRule="exact"/>
              <w:jc w:val="left"/>
              <w:rPr>
                <w:rFonts w:hint="default" w:ascii="宋体" w:hAnsi="宋体" w:eastAsia="宋体" w:cs="宋体"/>
                <w:sz w:val="21"/>
                <w:szCs w:val="21"/>
              </w:rPr>
            </w:pPr>
            <w:r>
              <w:rPr>
                <w:rFonts w:hint="default" w:ascii="宋体" w:hAnsi="宋体" w:eastAsia="宋体" w:cs="宋体"/>
                <w:sz w:val="21"/>
                <w:szCs w:val="21"/>
              </w:rPr>
              <w:t>受到上级部门通报批评（因供应商过错）。出现一例扣20分。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622F9DE">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7C6AD9">
            <w:pPr>
              <w:spacing w:line="360" w:lineRule="exact"/>
              <w:jc w:val="center"/>
              <w:rPr>
                <w:rFonts w:hint="default" w:ascii="宋体" w:hAnsi="宋体" w:eastAsia="宋体" w:cs="宋体"/>
                <w:sz w:val="21"/>
                <w:szCs w:val="21"/>
              </w:rPr>
            </w:pPr>
          </w:p>
        </w:tc>
      </w:tr>
      <w:tr w14:paraId="22B8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B432B3">
            <w:pPr>
              <w:spacing w:line="360" w:lineRule="exact"/>
              <w:jc w:val="center"/>
              <w:rPr>
                <w:rFonts w:hint="default" w:ascii="宋体" w:hAnsi="宋体" w:eastAsia="宋体" w:cs="宋体"/>
                <w:sz w:val="21"/>
                <w:szCs w:val="21"/>
              </w:rPr>
            </w:pPr>
            <w:r>
              <w:rPr>
                <w:rFonts w:hint="default" w:ascii="宋体" w:hAnsi="宋体" w:eastAsia="宋体" w:cs="宋体"/>
                <w:sz w:val="21"/>
                <w:szCs w:val="21"/>
              </w:rPr>
              <w:t>合计</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55E944">
            <w:pPr>
              <w:spacing w:line="360" w:lineRule="exact"/>
              <w:jc w:val="center"/>
              <w:rPr>
                <w:rFonts w:hint="default" w:ascii="宋体" w:hAnsi="宋体" w:eastAsia="宋体" w:cs="宋体"/>
                <w:sz w:val="21"/>
                <w:szCs w:val="21"/>
              </w:rPr>
            </w:pPr>
            <w:r>
              <w:rPr>
                <w:rFonts w:hint="default" w:ascii="宋体" w:hAnsi="宋体" w:eastAsia="宋体" w:cs="宋体"/>
                <w:sz w:val="21"/>
                <w:szCs w:val="21"/>
              </w:rPr>
              <w:t>100分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62C7472">
            <w:pPr>
              <w:spacing w:line="360" w:lineRule="exact"/>
              <w:jc w:val="center"/>
              <w:rPr>
                <w:rFonts w:hint="default"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D2B21B">
            <w:pPr>
              <w:spacing w:line="360" w:lineRule="exact"/>
              <w:jc w:val="center"/>
              <w:rPr>
                <w:rFonts w:hint="default" w:ascii="宋体" w:hAnsi="宋体" w:eastAsia="宋体" w:cs="宋体"/>
                <w:sz w:val="21"/>
                <w:szCs w:val="21"/>
              </w:rPr>
            </w:pP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F947A0">
            <w:pPr>
              <w:spacing w:line="360" w:lineRule="exact"/>
              <w:jc w:val="center"/>
              <w:rPr>
                <w:rFonts w:hint="default"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13FCAB">
            <w:pPr>
              <w:spacing w:line="360" w:lineRule="exact"/>
              <w:jc w:val="center"/>
              <w:rPr>
                <w:rFonts w:hint="default" w:ascii="宋体" w:hAnsi="宋体" w:eastAsia="宋体" w:cs="宋体"/>
                <w:sz w:val="21"/>
                <w:szCs w:val="21"/>
              </w:rPr>
            </w:pPr>
          </w:p>
        </w:tc>
      </w:tr>
    </w:tbl>
    <w:p w14:paraId="0CA02F26">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供应商要无条件接受招标方定期或不定期检查监督。每月考核一次。考核满分100分，考核内容详见附表。考核分数≥90分，考核合格。</w:t>
      </w:r>
      <w:r>
        <w:rPr>
          <w:rFonts w:hint="eastAsia" w:ascii="宋体" w:hAnsi="宋体" w:cs="宋体"/>
          <w:sz w:val="21"/>
          <w:szCs w:val="21"/>
          <w:lang w:eastAsia="zh-CN"/>
        </w:rPr>
        <w:t>考核分数＜90分，从100分起算，每减少1分扣100元</w:t>
      </w:r>
      <w:r>
        <w:rPr>
          <w:rFonts w:hint="eastAsia" w:ascii="宋体" w:hAnsi="宋体" w:cs="宋体"/>
          <w:sz w:val="21"/>
          <w:szCs w:val="21"/>
        </w:rPr>
        <w:t>，每月所扣款项在支付服务费时一并扣减，同时视为当月考核不合格，一年内出现第3次考核不合格，甲方有权单方终止合同。</w:t>
      </w:r>
    </w:p>
    <w:p w14:paraId="5A43E72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w:t>
      </w:r>
      <w:r>
        <w:rPr>
          <w:rFonts w:hint="eastAsia" w:ascii="宋体" w:hAnsi="宋体" w:cs="宋体"/>
          <w:sz w:val="21"/>
          <w:szCs w:val="21"/>
          <w:lang w:val="en-US" w:eastAsia="zh-CN"/>
        </w:rPr>
        <w:t>十</w:t>
      </w:r>
      <w:r>
        <w:rPr>
          <w:rFonts w:hint="eastAsia" w:ascii="宋体" w:hAnsi="宋体" w:cs="宋体"/>
          <w:sz w:val="21"/>
          <w:szCs w:val="21"/>
        </w:rPr>
        <w:t>条  不可抗力事件处理</w:t>
      </w:r>
    </w:p>
    <w:p w14:paraId="25BE5A00">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1、在合同有效期内，任何一方因不可抗力事件导致不能履行合同，则合同履行期可延长，其延长期与不可抗力影响期相同。</w:t>
      </w:r>
    </w:p>
    <w:p w14:paraId="17F2B048">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2、不可抗力事件发生后，应立即通知对方，并寄送有关权威机构出具的证明。</w:t>
      </w:r>
    </w:p>
    <w:p w14:paraId="0FC16647">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3、不可抗力事件延续10天及以上，双方应通过友好协商，确定是否继续履行合同。</w:t>
      </w:r>
    </w:p>
    <w:p w14:paraId="05D3EFF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第十条  其他事项</w:t>
      </w:r>
    </w:p>
    <w:p w14:paraId="18C39AB7">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1、自本合同生效之日起15个自然日内，根据甲方委托管理事项，办理完交接验收手续。</w:t>
      </w:r>
    </w:p>
    <w:p w14:paraId="4722AE31">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2、甲、乙方对《招标文件》以外的服务项目，可根据实际情况另行签订补充协议。补充协议和本合同的附件与本合同具有同等效力。</w:t>
      </w:r>
    </w:p>
    <w:p w14:paraId="2168EDC9">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3、本合同在履行过程中发生争议时，当事人双方应及时协调解决。协商不成时，由甲方所在地仲裁委员会仲裁。</w:t>
      </w:r>
    </w:p>
    <w:p w14:paraId="42466D6C">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4、如遇突发或重大事件，乙方管理人员应在第一时间报告甲方有关部门，乙方相关负责人应在第一时间到达现场，适时处理或协助处理有关问题；甲方如认为情况危及到内部人员的安定管理，乙方应无条件同意甲方直接调配乙方资源直至危机结束。</w:t>
      </w:r>
    </w:p>
    <w:p w14:paraId="2C89E63F">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5、由于乙方原因而损坏设施设备的，由乙方负责赔偿。</w:t>
      </w:r>
    </w:p>
    <w:p w14:paraId="52869977">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6、如因政策性调整，乙方在服务期间因国家相关政策调整致使中途服务停止，乙方不得提出任何索赔。</w:t>
      </w:r>
    </w:p>
    <w:p w14:paraId="3B9C326B">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7、乙方在履行合同过程中，如遇国家社保基数的政策调整，经乙方向甲方提出书面补偿申请，双方协商一致后，甲方根据实际情况可以向乙方提供适当补助。</w:t>
      </w:r>
    </w:p>
    <w:p w14:paraId="7D9E51A8">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第十一条保安服务考核办法：</w:t>
      </w:r>
    </w:p>
    <w:p w14:paraId="397D0C12">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第十额条  合同生效及其他</w:t>
      </w:r>
    </w:p>
    <w:p w14:paraId="14BB9D65">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1、合同经双方法定代表人或授权代表签字加盖单位公章，且乙方提交履约保证金后生效。</w:t>
      </w:r>
    </w:p>
    <w:p w14:paraId="6F9D945D">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2、本合同未尽事宜，经双方协商一致，签订补充协议，补充协议与本协议书具有同等效力。</w:t>
      </w:r>
    </w:p>
    <w:p w14:paraId="5374C3B3">
      <w:pPr>
        <w:spacing w:beforeLines="0" w:afterLines="0" w:line="420" w:lineRule="exact"/>
        <w:ind w:firstLine="420" w:firstLineChars="200"/>
        <w:rPr>
          <w:rFonts w:hint="eastAsia" w:ascii="宋体" w:hAnsi="宋体" w:cs="宋体"/>
          <w:sz w:val="21"/>
          <w:szCs w:val="21"/>
        </w:rPr>
      </w:pPr>
      <w:r>
        <w:rPr>
          <w:rFonts w:hint="eastAsia" w:ascii="宋体" w:hAnsi="宋体" w:cs="宋体"/>
          <w:sz w:val="21"/>
          <w:szCs w:val="21"/>
        </w:rPr>
        <w:t>3、本合同一式六份，甲、乙双方各执三份，均具有同等效力。</w:t>
      </w:r>
    </w:p>
    <w:p w14:paraId="5F441FD5">
      <w:pPr>
        <w:spacing w:beforeLines="0" w:afterLines="0" w:line="420" w:lineRule="exact"/>
        <w:ind w:firstLine="420" w:firstLineChars="200"/>
        <w:rPr>
          <w:rFonts w:hint="eastAsia" w:ascii="宋体" w:hAnsi="宋体" w:cs="宋体"/>
          <w:sz w:val="21"/>
          <w:szCs w:val="21"/>
        </w:rPr>
      </w:pPr>
    </w:p>
    <w:tbl>
      <w:tblPr>
        <w:tblStyle w:val="4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3120"/>
        <w:gridCol w:w="1559"/>
        <w:gridCol w:w="3084"/>
      </w:tblGrid>
      <w:tr w14:paraId="74F6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526" w:type="dxa"/>
            <w:tcBorders>
              <w:top w:val="nil"/>
              <w:left w:val="nil"/>
              <w:bottom w:val="nil"/>
              <w:right w:val="nil"/>
              <w:tl2br w:val="nil"/>
              <w:tr2bl w:val="nil"/>
            </w:tcBorders>
            <w:noWrap w:val="0"/>
            <w:vAlign w:val="top"/>
          </w:tcPr>
          <w:p w14:paraId="5175CC4E">
            <w:pPr>
              <w:spacing w:beforeLines="0" w:afterLines="0" w:line="520" w:lineRule="exact"/>
              <w:jc w:val="left"/>
              <w:rPr>
                <w:rFonts w:hint="eastAsia" w:ascii="宋体" w:hAnsi="宋体" w:cs="宋体"/>
                <w:sz w:val="21"/>
                <w:szCs w:val="21"/>
              </w:rPr>
            </w:pPr>
            <w:r>
              <w:rPr>
                <w:rFonts w:hint="eastAsia" w:ascii="宋体" w:hAnsi="宋体" w:cs="宋体"/>
                <w:sz w:val="21"/>
                <w:szCs w:val="21"/>
              </w:rPr>
              <w:t>甲  方</w:t>
            </w:r>
          </w:p>
        </w:tc>
        <w:tc>
          <w:tcPr>
            <w:tcW w:w="3120" w:type="dxa"/>
            <w:tcBorders>
              <w:top w:val="nil"/>
              <w:left w:val="nil"/>
              <w:bottom w:val="nil"/>
              <w:right w:val="nil"/>
              <w:tl2br w:val="nil"/>
              <w:tr2bl w:val="nil"/>
            </w:tcBorders>
            <w:noWrap w:val="0"/>
            <w:vAlign w:val="center"/>
          </w:tcPr>
          <w:p w14:paraId="6F139CA9">
            <w:pPr>
              <w:spacing w:beforeLines="0" w:afterLines="0" w:line="520" w:lineRule="exact"/>
              <w:jc w:val="left"/>
              <w:rPr>
                <w:rFonts w:hint="eastAsia" w:ascii="宋体" w:hAnsi="宋体" w:cs="宋体"/>
                <w:sz w:val="21"/>
                <w:szCs w:val="21"/>
              </w:rPr>
            </w:pPr>
            <w:r>
              <w:rPr>
                <w:rFonts w:hint="eastAsia" w:ascii="宋体" w:hAnsi="宋体" w:cs="宋体"/>
                <w:sz w:val="21"/>
                <w:szCs w:val="21"/>
              </w:rPr>
              <w:t>（盖章）</w:t>
            </w:r>
          </w:p>
        </w:tc>
        <w:tc>
          <w:tcPr>
            <w:tcW w:w="1559" w:type="dxa"/>
            <w:tcBorders>
              <w:top w:val="nil"/>
              <w:left w:val="nil"/>
              <w:bottom w:val="nil"/>
              <w:right w:val="nil"/>
              <w:tl2br w:val="nil"/>
              <w:tr2bl w:val="nil"/>
            </w:tcBorders>
            <w:noWrap w:val="0"/>
            <w:vAlign w:val="top"/>
          </w:tcPr>
          <w:p w14:paraId="19DE2B80">
            <w:pPr>
              <w:spacing w:beforeLines="0" w:afterLines="0" w:line="520" w:lineRule="exact"/>
              <w:jc w:val="left"/>
              <w:rPr>
                <w:rFonts w:hint="eastAsia" w:ascii="宋体" w:hAnsi="宋体" w:cs="宋体"/>
                <w:sz w:val="21"/>
                <w:szCs w:val="21"/>
              </w:rPr>
            </w:pPr>
            <w:r>
              <w:rPr>
                <w:rFonts w:hint="eastAsia" w:ascii="宋体" w:hAnsi="宋体" w:cs="宋体"/>
                <w:sz w:val="21"/>
                <w:szCs w:val="21"/>
              </w:rPr>
              <w:t>乙  方</w:t>
            </w:r>
          </w:p>
        </w:tc>
        <w:tc>
          <w:tcPr>
            <w:tcW w:w="3084" w:type="dxa"/>
            <w:tcBorders>
              <w:top w:val="nil"/>
              <w:left w:val="nil"/>
              <w:bottom w:val="nil"/>
              <w:right w:val="nil"/>
              <w:tl2br w:val="nil"/>
              <w:tr2bl w:val="nil"/>
            </w:tcBorders>
            <w:noWrap w:val="0"/>
            <w:vAlign w:val="center"/>
          </w:tcPr>
          <w:p w14:paraId="16D4EB17">
            <w:pPr>
              <w:spacing w:beforeLines="0" w:afterLines="0" w:line="520" w:lineRule="exact"/>
              <w:jc w:val="left"/>
              <w:rPr>
                <w:rFonts w:hint="eastAsia" w:ascii="宋体" w:hAnsi="宋体" w:cs="宋体"/>
                <w:sz w:val="21"/>
                <w:szCs w:val="21"/>
              </w:rPr>
            </w:pPr>
            <w:r>
              <w:rPr>
                <w:rFonts w:hint="eastAsia" w:ascii="宋体" w:hAnsi="宋体" w:cs="宋体"/>
                <w:sz w:val="21"/>
                <w:szCs w:val="21"/>
              </w:rPr>
              <w:t>（盖章）</w:t>
            </w:r>
          </w:p>
        </w:tc>
      </w:tr>
      <w:tr w14:paraId="43109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657FAC04">
            <w:pPr>
              <w:spacing w:beforeLines="0" w:afterLines="0" w:line="520" w:lineRule="exact"/>
              <w:jc w:val="left"/>
              <w:rPr>
                <w:rFonts w:hint="eastAsia" w:ascii="宋体" w:hAnsi="宋体" w:cs="宋体"/>
                <w:sz w:val="21"/>
                <w:szCs w:val="21"/>
              </w:rPr>
            </w:pPr>
            <w:r>
              <w:rPr>
                <w:rFonts w:hint="eastAsia" w:ascii="宋体" w:hAnsi="宋体" w:cs="宋体"/>
                <w:sz w:val="21"/>
                <w:szCs w:val="21"/>
              </w:rPr>
              <w:t>法定代表人</w:t>
            </w:r>
          </w:p>
        </w:tc>
        <w:tc>
          <w:tcPr>
            <w:tcW w:w="3120" w:type="dxa"/>
            <w:vMerge w:val="restart"/>
            <w:tcBorders>
              <w:top w:val="nil"/>
              <w:left w:val="nil"/>
              <w:bottom w:val="nil"/>
              <w:right w:val="nil"/>
              <w:tl2br w:val="nil"/>
              <w:tr2bl w:val="nil"/>
            </w:tcBorders>
            <w:noWrap w:val="0"/>
            <w:vAlign w:val="center"/>
          </w:tcPr>
          <w:p w14:paraId="40352F7A">
            <w:pPr>
              <w:spacing w:beforeLines="0" w:afterLines="0" w:line="520" w:lineRule="exact"/>
              <w:jc w:val="left"/>
              <w:rPr>
                <w:rFonts w:hint="eastAsia" w:ascii="宋体" w:hAnsi="宋体" w:cs="宋体"/>
                <w:sz w:val="21"/>
                <w:szCs w:val="21"/>
              </w:rPr>
            </w:pPr>
            <w:r>
              <w:rPr>
                <w:rFonts w:hint="eastAsia" w:ascii="宋体" w:hAnsi="宋体" w:cs="宋体"/>
                <w:sz w:val="21"/>
                <w:szCs w:val="21"/>
              </w:rPr>
              <w:t>（签字）</w:t>
            </w:r>
          </w:p>
        </w:tc>
        <w:tc>
          <w:tcPr>
            <w:tcW w:w="1559" w:type="dxa"/>
            <w:tcBorders>
              <w:top w:val="nil"/>
              <w:left w:val="nil"/>
              <w:bottom w:val="nil"/>
              <w:right w:val="nil"/>
              <w:tl2br w:val="nil"/>
              <w:tr2bl w:val="nil"/>
            </w:tcBorders>
            <w:noWrap w:val="0"/>
            <w:vAlign w:val="top"/>
          </w:tcPr>
          <w:p w14:paraId="716D3449">
            <w:pPr>
              <w:spacing w:beforeLines="0" w:afterLines="0" w:line="520" w:lineRule="exact"/>
              <w:jc w:val="left"/>
              <w:rPr>
                <w:rFonts w:hint="eastAsia" w:ascii="宋体" w:hAnsi="宋体" w:cs="宋体"/>
                <w:sz w:val="21"/>
                <w:szCs w:val="21"/>
              </w:rPr>
            </w:pPr>
            <w:r>
              <w:rPr>
                <w:rFonts w:hint="eastAsia" w:ascii="宋体" w:hAnsi="宋体" w:cs="宋体"/>
                <w:sz w:val="21"/>
                <w:szCs w:val="21"/>
              </w:rPr>
              <w:t>法定代表人</w:t>
            </w:r>
          </w:p>
        </w:tc>
        <w:tc>
          <w:tcPr>
            <w:tcW w:w="3084" w:type="dxa"/>
            <w:vMerge w:val="restart"/>
            <w:tcBorders>
              <w:top w:val="nil"/>
              <w:left w:val="nil"/>
              <w:bottom w:val="nil"/>
              <w:right w:val="nil"/>
              <w:tl2br w:val="nil"/>
              <w:tr2bl w:val="nil"/>
            </w:tcBorders>
            <w:noWrap w:val="0"/>
            <w:vAlign w:val="center"/>
          </w:tcPr>
          <w:p w14:paraId="14F20D3E">
            <w:pPr>
              <w:spacing w:beforeLines="0" w:afterLines="0" w:line="520" w:lineRule="exact"/>
              <w:jc w:val="left"/>
              <w:rPr>
                <w:rFonts w:hint="eastAsia" w:ascii="宋体" w:hAnsi="宋体" w:cs="宋体"/>
                <w:sz w:val="21"/>
                <w:szCs w:val="21"/>
              </w:rPr>
            </w:pPr>
            <w:r>
              <w:rPr>
                <w:rFonts w:hint="eastAsia" w:ascii="宋体" w:hAnsi="宋体" w:cs="宋体"/>
                <w:sz w:val="21"/>
                <w:szCs w:val="21"/>
              </w:rPr>
              <w:t>（签字）</w:t>
            </w:r>
          </w:p>
        </w:tc>
      </w:tr>
      <w:tr w14:paraId="37AA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11EDA44A">
            <w:pPr>
              <w:spacing w:beforeLines="0" w:afterLines="0" w:line="520" w:lineRule="exact"/>
              <w:jc w:val="left"/>
              <w:rPr>
                <w:rFonts w:hint="eastAsia" w:ascii="宋体" w:hAnsi="宋体" w:cs="宋体"/>
                <w:sz w:val="21"/>
                <w:szCs w:val="21"/>
              </w:rPr>
            </w:pPr>
            <w:r>
              <w:rPr>
                <w:rFonts w:hint="eastAsia" w:ascii="宋体" w:hAnsi="宋体" w:cs="宋体"/>
                <w:sz w:val="21"/>
                <w:szCs w:val="21"/>
              </w:rPr>
              <w:t>或受委托人</w:t>
            </w:r>
          </w:p>
        </w:tc>
        <w:tc>
          <w:tcPr>
            <w:tcW w:w="3120" w:type="dxa"/>
            <w:vMerge w:val="continue"/>
            <w:tcBorders>
              <w:top w:val="nil"/>
              <w:left w:val="nil"/>
              <w:bottom w:val="nil"/>
              <w:right w:val="nil"/>
              <w:tl2br w:val="nil"/>
              <w:tr2bl w:val="nil"/>
            </w:tcBorders>
            <w:noWrap w:val="0"/>
            <w:vAlign w:val="top"/>
          </w:tcPr>
          <w:p w14:paraId="6FA8C12D">
            <w:pPr>
              <w:spacing w:beforeLines="0" w:afterLines="0" w:line="520" w:lineRule="exact"/>
              <w:ind w:firstLine="420" w:firstLineChars="200"/>
              <w:jc w:val="left"/>
              <w:rPr>
                <w:rFonts w:hint="eastAsia" w:ascii="宋体" w:hAnsi="宋体" w:cs="宋体"/>
                <w:sz w:val="21"/>
                <w:szCs w:val="21"/>
              </w:rPr>
            </w:pPr>
          </w:p>
        </w:tc>
        <w:tc>
          <w:tcPr>
            <w:tcW w:w="1559" w:type="dxa"/>
            <w:tcBorders>
              <w:top w:val="nil"/>
              <w:left w:val="nil"/>
              <w:bottom w:val="nil"/>
              <w:right w:val="nil"/>
              <w:tl2br w:val="nil"/>
              <w:tr2bl w:val="nil"/>
            </w:tcBorders>
            <w:noWrap w:val="0"/>
            <w:vAlign w:val="top"/>
          </w:tcPr>
          <w:p w14:paraId="3185F29D">
            <w:pPr>
              <w:spacing w:beforeLines="0" w:afterLines="0" w:line="520" w:lineRule="exact"/>
              <w:jc w:val="left"/>
              <w:rPr>
                <w:rFonts w:hint="eastAsia" w:ascii="宋体" w:hAnsi="宋体" w:cs="宋体"/>
                <w:sz w:val="21"/>
                <w:szCs w:val="21"/>
              </w:rPr>
            </w:pPr>
            <w:r>
              <w:rPr>
                <w:rFonts w:hint="eastAsia" w:ascii="宋体" w:hAnsi="宋体" w:cs="宋体"/>
                <w:sz w:val="21"/>
                <w:szCs w:val="21"/>
              </w:rPr>
              <w:t>或受委托人</w:t>
            </w:r>
          </w:p>
        </w:tc>
        <w:tc>
          <w:tcPr>
            <w:tcW w:w="3084" w:type="dxa"/>
            <w:vMerge w:val="continue"/>
            <w:tcBorders>
              <w:top w:val="nil"/>
              <w:left w:val="nil"/>
              <w:bottom w:val="nil"/>
              <w:right w:val="nil"/>
              <w:tl2br w:val="nil"/>
              <w:tr2bl w:val="nil"/>
            </w:tcBorders>
            <w:noWrap w:val="0"/>
            <w:vAlign w:val="top"/>
          </w:tcPr>
          <w:p w14:paraId="12839310">
            <w:pPr>
              <w:spacing w:beforeLines="0" w:afterLines="0" w:line="520" w:lineRule="exact"/>
              <w:ind w:firstLine="420" w:firstLineChars="200"/>
              <w:jc w:val="left"/>
              <w:rPr>
                <w:rFonts w:hint="eastAsia" w:ascii="宋体" w:hAnsi="宋体" w:cs="宋体"/>
                <w:sz w:val="21"/>
                <w:szCs w:val="21"/>
              </w:rPr>
            </w:pPr>
          </w:p>
        </w:tc>
      </w:tr>
      <w:tr w14:paraId="5BEA3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70199428">
            <w:pPr>
              <w:spacing w:beforeLines="0" w:afterLines="0" w:line="520" w:lineRule="exact"/>
              <w:jc w:val="left"/>
              <w:rPr>
                <w:rFonts w:hint="eastAsia" w:ascii="宋体" w:hAnsi="宋体" w:cs="宋体"/>
                <w:sz w:val="21"/>
                <w:szCs w:val="21"/>
              </w:rPr>
            </w:pPr>
            <w:r>
              <w:rPr>
                <w:rFonts w:hint="eastAsia" w:ascii="宋体" w:hAnsi="宋体" w:cs="宋体"/>
                <w:sz w:val="21"/>
                <w:szCs w:val="21"/>
              </w:rPr>
              <w:t>地  址：</w:t>
            </w:r>
          </w:p>
        </w:tc>
        <w:tc>
          <w:tcPr>
            <w:tcW w:w="3120" w:type="dxa"/>
            <w:tcBorders>
              <w:top w:val="nil"/>
              <w:left w:val="nil"/>
              <w:bottom w:val="nil"/>
              <w:right w:val="nil"/>
              <w:tl2br w:val="nil"/>
              <w:tr2bl w:val="nil"/>
            </w:tcBorders>
            <w:noWrap w:val="0"/>
            <w:vAlign w:val="top"/>
          </w:tcPr>
          <w:p w14:paraId="4ACB0925">
            <w:pPr>
              <w:spacing w:beforeLines="0" w:afterLines="0" w:line="520" w:lineRule="exact"/>
              <w:jc w:val="left"/>
              <w:rPr>
                <w:rFonts w:hint="eastAsia" w:ascii="宋体" w:hAnsi="宋体" w:cs="宋体"/>
                <w:sz w:val="21"/>
                <w:szCs w:val="21"/>
              </w:rPr>
            </w:pPr>
          </w:p>
        </w:tc>
        <w:tc>
          <w:tcPr>
            <w:tcW w:w="1559" w:type="dxa"/>
            <w:tcBorders>
              <w:top w:val="nil"/>
              <w:left w:val="nil"/>
              <w:bottom w:val="nil"/>
              <w:right w:val="nil"/>
              <w:tl2br w:val="nil"/>
              <w:tr2bl w:val="nil"/>
            </w:tcBorders>
            <w:noWrap w:val="0"/>
            <w:vAlign w:val="top"/>
          </w:tcPr>
          <w:p w14:paraId="420C4064">
            <w:pPr>
              <w:spacing w:beforeLines="0" w:afterLines="0" w:line="520" w:lineRule="exact"/>
              <w:jc w:val="left"/>
              <w:rPr>
                <w:rFonts w:hint="eastAsia" w:ascii="宋体" w:hAnsi="宋体" w:cs="宋体"/>
                <w:sz w:val="21"/>
                <w:szCs w:val="21"/>
              </w:rPr>
            </w:pPr>
            <w:r>
              <w:rPr>
                <w:rFonts w:hint="eastAsia" w:ascii="宋体" w:hAnsi="宋体" w:cs="宋体"/>
                <w:sz w:val="21"/>
                <w:szCs w:val="21"/>
              </w:rPr>
              <w:t>地 址：</w:t>
            </w:r>
          </w:p>
        </w:tc>
        <w:tc>
          <w:tcPr>
            <w:tcW w:w="3084" w:type="dxa"/>
            <w:tcBorders>
              <w:top w:val="nil"/>
              <w:left w:val="nil"/>
              <w:bottom w:val="nil"/>
              <w:right w:val="nil"/>
              <w:tl2br w:val="nil"/>
              <w:tr2bl w:val="nil"/>
            </w:tcBorders>
            <w:noWrap w:val="0"/>
            <w:vAlign w:val="top"/>
          </w:tcPr>
          <w:p w14:paraId="7927685A">
            <w:pPr>
              <w:spacing w:beforeLines="0" w:afterLines="0" w:line="520" w:lineRule="exact"/>
              <w:jc w:val="left"/>
              <w:rPr>
                <w:rFonts w:hint="eastAsia" w:ascii="宋体" w:hAnsi="宋体" w:cs="宋体"/>
                <w:sz w:val="21"/>
                <w:szCs w:val="21"/>
              </w:rPr>
            </w:pPr>
          </w:p>
        </w:tc>
      </w:tr>
      <w:tr w14:paraId="4733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201CB54B">
            <w:pPr>
              <w:spacing w:beforeLines="0" w:afterLines="0" w:line="520" w:lineRule="exact"/>
              <w:jc w:val="left"/>
              <w:rPr>
                <w:rFonts w:hint="eastAsia" w:ascii="宋体" w:hAnsi="宋体" w:cs="宋体"/>
                <w:sz w:val="21"/>
                <w:szCs w:val="21"/>
              </w:rPr>
            </w:pPr>
            <w:r>
              <w:rPr>
                <w:rFonts w:hint="eastAsia" w:ascii="宋体" w:hAnsi="宋体" w:cs="宋体"/>
                <w:sz w:val="21"/>
                <w:szCs w:val="21"/>
              </w:rPr>
              <w:t>电  话：</w:t>
            </w:r>
          </w:p>
        </w:tc>
        <w:tc>
          <w:tcPr>
            <w:tcW w:w="3120" w:type="dxa"/>
            <w:tcBorders>
              <w:top w:val="nil"/>
              <w:left w:val="nil"/>
              <w:bottom w:val="nil"/>
              <w:right w:val="nil"/>
              <w:tl2br w:val="nil"/>
              <w:tr2bl w:val="nil"/>
            </w:tcBorders>
            <w:noWrap w:val="0"/>
            <w:vAlign w:val="top"/>
          </w:tcPr>
          <w:p w14:paraId="4D03383B">
            <w:pPr>
              <w:spacing w:beforeLines="0" w:afterLines="0" w:line="520" w:lineRule="exact"/>
              <w:jc w:val="left"/>
              <w:rPr>
                <w:rFonts w:hint="eastAsia" w:ascii="宋体" w:hAnsi="宋体" w:cs="宋体"/>
                <w:sz w:val="21"/>
                <w:szCs w:val="21"/>
              </w:rPr>
            </w:pPr>
          </w:p>
        </w:tc>
        <w:tc>
          <w:tcPr>
            <w:tcW w:w="1559" w:type="dxa"/>
            <w:tcBorders>
              <w:top w:val="nil"/>
              <w:left w:val="nil"/>
              <w:bottom w:val="nil"/>
              <w:right w:val="nil"/>
              <w:tl2br w:val="nil"/>
              <w:tr2bl w:val="nil"/>
            </w:tcBorders>
            <w:noWrap w:val="0"/>
            <w:vAlign w:val="top"/>
          </w:tcPr>
          <w:p w14:paraId="14FA97B3">
            <w:pPr>
              <w:spacing w:beforeLines="0" w:afterLines="0" w:line="520" w:lineRule="exact"/>
              <w:jc w:val="left"/>
              <w:rPr>
                <w:rFonts w:hint="eastAsia" w:ascii="宋体" w:hAnsi="宋体" w:cs="宋体"/>
                <w:sz w:val="21"/>
                <w:szCs w:val="21"/>
              </w:rPr>
            </w:pPr>
            <w:r>
              <w:rPr>
                <w:rFonts w:hint="eastAsia" w:ascii="宋体" w:hAnsi="宋体" w:cs="宋体"/>
                <w:sz w:val="21"/>
                <w:szCs w:val="21"/>
              </w:rPr>
              <w:t>电  话：</w:t>
            </w:r>
          </w:p>
        </w:tc>
        <w:tc>
          <w:tcPr>
            <w:tcW w:w="3084" w:type="dxa"/>
            <w:tcBorders>
              <w:top w:val="nil"/>
              <w:left w:val="nil"/>
              <w:bottom w:val="nil"/>
              <w:right w:val="nil"/>
              <w:tl2br w:val="nil"/>
              <w:tr2bl w:val="nil"/>
            </w:tcBorders>
            <w:noWrap w:val="0"/>
            <w:vAlign w:val="top"/>
          </w:tcPr>
          <w:p w14:paraId="5A966DBC">
            <w:pPr>
              <w:spacing w:beforeLines="0" w:afterLines="0" w:line="520" w:lineRule="exact"/>
              <w:jc w:val="left"/>
              <w:rPr>
                <w:rFonts w:hint="eastAsia" w:ascii="宋体" w:hAnsi="宋体" w:cs="宋体"/>
                <w:sz w:val="21"/>
                <w:szCs w:val="21"/>
              </w:rPr>
            </w:pPr>
          </w:p>
        </w:tc>
      </w:tr>
      <w:tr w14:paraId="44F8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62CB7A08">
            <w:pPr>
              <w:spacing w:beforeLines="0" w:afterLines="0" w:line="520" w:lineRule="exact"/>
              <w:jc w:val="left"/>
              <w:rPr>
                <w:rFonts w:hint="eastAsia" w:ascii="宋体" w:hAnsi="宋体" w:cs="宋体"/>
                <w:sz w:val="21"/>
                <w:szCs w:val="21"/>
              </w:rPr>
            </w:pPr>
            <w:r>
              <w:rPr>
                <w:rFonts w:hint="eastAsia" w:ascii="宋体" w:hAnsi="宋体" w:cs="宋体"/>
                <w:sz w:val="21"/>
                <w:szCs w:val="21"/>
              </w:rPr>
              <w:t>开户银行：</w:t>
            </w:r>
          </w:p>
        </w:tc>
        <w:tc>
          <w:tcPr>
            <w:tcW w:w="3120" w:type="dxa"/>
            <w:tcBorders>
              <w:top w:val="nil"/>
              <w:left w:val="nil"/>
              <w:bottom w:val="nil"/>
              <w:right w:val="nil"/>
              <w:tl2br w:val="nil"/>
              <w:tr2bl w:val="nil"/>
            </w:tcBorders>
            <w:noWrap w:val="0"/>
            <w:vAlign w:val="top"/>
          </w:tcPr>
          <w:p w14:paraId="46B5B38E">
            <w:pPr>
              <w:spacing w:beforeLines="0" w:afterLines="0" w:line="520" w:lineRule="exact"/>
              <w:jc w:val="left"/>
              <w:rPr>
                <w:rFonts w:hint="eastAsia" w:ascii="宋体" w:hAnsi="宋体" w:cs="宋体"/>
                <w:sz w:val="21"/>
                <w:szCs w:val="21"/>
              </w:rPr>
            </w:pPr>
          </w:p>
        </w:tc>
        <w:tc>
          <w:tcPr>
            <w:tcW w:w="1559" w:type="dxa"/>
            <w:tcBorders>
              <w:top w:val="nil"/>
              <w:left w:val="nil"/>
              <w:bottom w:val="nil"/>
              <w:right w:val="nil"/>
              <w:tl2br w:val="nil"/>
              <w:tr2bl w:val="nil"/>
            </w:tcBorders>
            <w:noWrap w:val="0"/>
            <w:vAlign w:val="top"/>
          </w:tcPr>
          <w:p w14:paraId="7C5BD4D0">
            <w:pPr>
              <w:spacing w:beforeLines="0" w:afterLines="0" w:line="520" w:lineRule="exact"/>
              <w:jc w:val="left"/>
              <w:rPr>
                <w:rFonts w:hint="eastAsia" w:ascii="宋体" w:hAnsi="宋体" w:cs="宋体"/>
                <w:sz w:val="21"/>
                <w:szCs w:val="21"/>
              </w:rPr>
            </w:pPr>
            <w:r>
              <w:rPr>
                <w:rFonts w:hint="eastAsia" w:ascii="宋体" w:hAnsi="宋体" w:cs="宋体"/>
                <w:sz w:val="21"/>
                <w:szCs w:val="21"/>
              </w:rPr>
              <w:t>开户银行：</w:t>
            </w:r>
          </w:p>
        </w:tc>
        <w:tc>
          <w:tcPr>
            <w:tcW w:w="3084" w:type="dxa"/>
            <w:tcBorders>
              <w:top w:val="nil"/>
              <w:left w:val="nil"/>
              <w:bottom w:val="nil"/>
              <w:right w:val="nil"/>
              <w:tl2br w:val="nil"/>
              <w:tr2bl w:val="nil"/>
            </w:tcBorders>
            <w:noWrap w:val="0"/>
            <w:vAlign w:val="top"/>
          </w:tcPr>
          <w:p w14:paraId="35844159">
            <w:pPr>
              <w:spacing w:beforeLines="0" w:afterLines="0" w:line="520" w:lineRule="exact"/>
              <w:jc w:val="left"/>
              <w:rPr>
                <w:rFonts w:hint="eastAsia" w:ascii="宋体" w:hAnsi="宋体" w:cs="宋体"/>
                <w:sz w:val="21"/>
                <w:szCs w:val="21"/>
              </w:rPr>
            </w:pPr>
          </w:p>
        </w:tc>
      </w:tr>
      <w:tr w14:paraId="2F6D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26" w:type="dxa"/>
            <w:tcBorders>
              <w:top w:val="nil"/>
              <w:left w:val="nil"/>
              <w:bottom w:val="nil"/>
              <w:right w:val="nil"/>
              <w:tl2br w:val="nil"/>
              <w:tr2bl w:val="nil"/>
            </w:tcBorders>
            <w:noWrap w:val="0"/>
            <w:vAlign w:val="top"/>
          </w:tcPr>
          <w:p w14:paraId="593D2A1D">
            <w:pPr>
              <w:spacing w:beforeLines="0" w:afterLines="0" w:line="520" w:lineRule="exact"/>
              <w:jc w:val="left"/>
              <w:rPr>
                <w:rFonts w:hint="eastAsia" w:ascii="宋体" w:hAnsi="宋体" w:cs="宋体"/>
                <w:sz w:val="21"/>
                <w:szCs w:val="21"/>
              </w:rPr>
            </w:pPr>
            <w:r>
              <w:rPr>
                <w:rFonts w:hint="eastAsia" w:ascii="宋体" w:hAnsi="宋体" w:cs="宋体"/>
                <w:sz w:val="21"/>
                <w:szCs w:val="21"/>
              </w:rPr>
              <w:t>帐  号：</w:t>
            </w:r>
          </w:p>
        </w:tc>
        <w:tc>
          <w:tcPr>
            <w:tcW w:w="3120" w:type="dxa"/>
            <w:tcBorders>
              <w:top w:val="nil"/>
              <w:left w:val="nil"/>
              <w:bottom w:val="nil"/>
              <w:right w:val="nil"/>
              <w:tl2br w:val="nil"/>
              <w:tr2bl w:val="nil"/>
            </w:tcBorders>
            <w:noWrap w:val="0"/>
            <w:vAlign w:val="top"/>
          </w:tcPr>
          <w:p w14:paraId="633C57CF">
            <w:pPr>
              <w:spacing w:beforeLines="0" w:afterLines="0" w:line="520" w:lineRule="exact"/>
              <w:jc w:val="left"/>
              <w:rPr>
                <w:rFonts w:hint="eastAsia" w:ascii="宋体" w:hAnsi="宋体" w:cs="宋体"/>
                <w:sz w:val="21"/>
                <w:szCs w:val="21"/>
              </w:rPr>
            </w:pPr>
          </w:p>
        </w:tc>
        <w:tc>
          <w:tcPr>
            <w:tcW w:w="1559" w:type="dxa"/>
            <w:tcBorders>
              <w:top w:val="nil"/>
              <w:left w:val="nil"/>
              <w:bottom w:val="nil"/>
              <w:right w:val="nil"/>
              <w:tl2br w:val="nil"/>
              <w:tr2bl w:val="nil"/>
            </w:tcBorders>
            <w:noWrap w:val="0"/>
            <w:vAlign w:val="top"/>
          </w:tcPr>
          <w:p w14:paraId="538A02CC">
            <w:pPr>
              <w:spacing w:beforeLines="0" w:afterLines="0" w:line="520" w:lineRule="exact"/>
              <w:jc w:val="left"/>
              <w:rPr>
                <w:rFonts w:hint="eastAsia" w:ascii="宋体" w:hAnsi="宋体" w:cs="宋体"/>
                <w:sz w:val="21"/>
                <w:szCs w:val="21"/>
              </w:rPr>
            </w:pPr>
            <w:r>
              <w:rPr>
                <w:rFonts w:hint="eastAsia" w:ascii="宋体" w:hAnsi="宋体" w:cs="宋体"/>
                <w:sz w:val="21"/>
                <w:szCs w:val="21"/>
              </w:rPr>
              <w:t>帐  号：</w:t>
            </w:r>
          </w:p>
        </w:tc>
        <w:tc>
          <w:tcPr>
            <w:tcW w:w="3084" w:type="dxa"/>
            <w:tcBorders>
              <w:top w:val="nil"/>
              <w:left w:val="nil"/>
              <w:bottom w:val="nil"/>
              <w:right w:val="nil"/>
              <w:tl2br w:val="nil"/>
              <w:tr2bl w:val="nil"/>
            </w:tcBorders>
            <w:noWrap w:val="0"/>
            <w:vAlign w:val="top"/>
          </w:tcPr>
          <w:p w14:paraId="2F07FBA6">
            <w:pPr>
              <w:spacing w:beforeLines="0" w:afterLines="0" w:line="520" w:lineRule="exact"/>
              <w:jc w:val="left"/>
              <w:rPr>
                <w:rFonts w:hint="eastAsia" w:ascii="宋体" w:hAnsi="宋体" w:cs="宋体"/>
                <w:sz w:val="21"/>
                <w:szCs w:val="21"/>
              </w:rPr>
            </w:pPr>
          </w:p>
        </w:tc>
      </w:tr>
    </w:tbl>
    <w:p w14:paraId="0D7D9970">
      <w:pPr>
        <w:rPr>
          <w:rFonts w:hint="eastAsia" w:ascii="宋体" w:hAnsi="宋体"/>
          <w:b/>
          <w:color w:val="auto"/>
          <w:sz w:val="32"/>
        </w:rPr>
      </w:pPr>
      <w:r>
        <w:rPr>
          <w:rFonts w:hint="eastAsia" w:ascii="宋体" w:hAnsi="宋体"/>
          <w:b/>
          <w:color w:val="auto"/>
          <w:sz w:val="32"/>
        </w:rPr>
        <w:br w:type="page"/>
      </w:r>
    </w:p>
    <w:p w14:paraId="485F80DE">
      <w:pPr>
        <w:spacing w:line="400" w:lineRule="exact"/>
        <w:jc w:val="center"/>
        <w:outlineLvl w:val="0"/>
        <w:rPr>
          <w:rFonts w:ascii="宋体" w:hAnsi="宋体"/>
          <w:b/>
          <w:color w:val="auto"/>
          <w:sz w:val="32"/>
        </w:rPr>
      </w:pPr>
      <w:r>
        <w:rPr>
          <w:rFonts w:hint="eastAsia" w:ascii="宋体" w:hAnsi="宋体"/>
          <w:b/>
          <w:color w:val="auto"/>
          <w:sz w:val="32"/>
        </w:rPr>
        <w:t>第五章招标内容与技术需求</w:t>
      </w:r>
      <w:bookmarkEnd w:id="34"/>
    </w:p>
    <w:p w14:paraId="75331F8E">
      <w:pPr>
        <w:pStyle w:val="24"/>
        <w:widowControl w:val="0"/>
        <w:autoSpaceDE w:val="0"/>
        <w:snapToGrid w:val="0"/>
        <w:spacing w:before="0" w:beforeAutospacing="0" w:after="0" w:afterAutospacing="0" w:line="360" w:lineRule="auto"/>
        <w:ind w:firstLine="420" w:firstLineChars="200"/>
        <w:rPr>
          <w:rFonts w:hAnsi="宋体" w:cs="宋体"/>
          <w:color w:val="auto"/>
          <w:sz w:val="21"/>
          <w:szCs w:val="21"/>
        </w:rPr>
      </w:pPr>
    </w:p>
    <w:p w14:paraId="496A7F5D">
      <w:pPr>
        <w:adjustRightInd w:val="0"/>
        <w:snapToGrid w:val="0"/>
        <w:spacing w:beforeLines="0" w:afterLines="0" w:line="360" w:lineRule="auto"/>
        <w:ind w:firstLine="422" w:firstLineChars="200"/>
        <w:jc w:val="left"/>
        <w:rPr>
          <w:rFonts w:hint="eastAsia" w:ascii="宋体" w:hAnsi="宋体"/>
          <w:b/>
          <w:bCs/>
          <w:sz w:val="21"/>
          <w:szCs w:val="21"/>
        </w:rPr>
      </w:pPr>
      <w:r>
        <w:rPr>
          <w:rFonts w:hint="eastAsia" w:ascii="宋体" w:hAnsi="宋体"/>
          <w:b/>
          <w:bCs/>
          <w:sz w:val="21"/>
          <w:szCs w:val="21"/>
        </w:rPr>
        <w:t>一、保安人员的基本条件</w:t>
      </w:r>
    </w:p>
    <w:p w14:paraId="2EB08640">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1、保安人员共18人。保安队长</w:t>
      </w:r>
      <w:r>
        <w:rPr>
          <w:rFonts w:hint="eastAsia" w:ascii="宋体" w:hAnsi="宋体"/>
          <w:sz w:val="21"/>
          <w:szCs w:val="21"/>
          <w:lang w:val="en-US" w:eastAsia="zh-CN"/>
        </w:rPr>
        <w:t>1</w:t>
      </w:r>
      <w:r>
        <w:rPr>
          <w:rFonts w:hint="eastAsia" w:ascii="宋体" w:hAnsi="宋体"/>
          <w:sz w:val="21"/>
          <w:szCs w:val="21"/>
        </w:rPr>
        <w:t>人</w:t>
      </w:r>
      <w:r>
        <w:rPr>
          <w:rFonts w:hint="eastAsia" w:ascii="宋体" w:hAnsi="宋体"/>
          <w:sz w:val="21"/>
          <w:szCs w:val="21"/>
          <w:lang w:eastAsia="zh-CN"/>
        </w:rPr>
        <w:t>，</w:t>
      </w:r>
      <w:r>
        <w:rPr>
          <w:rFonts w:hint="eastAsia" w:ascii="宋体" w:hAnsi="宋体"/>
          <w:sz w:val="21"/>
          <w:szCs w:val="21"/>
          <w:lang w:val="en-US" w:eastAsia="zh-CN"/>
        </w:rPr>
        <w:t>副队长2人</w:t>
      </w:r>
      <w:r>
        <w:rPr>
          <w:rFonts w:hint="eastAsia" w:ascii="宋体" w:hAnsi="宋体"/>
          <w:sz w:val="21"/>
          <w:szCs w:val="21"/>
        </w:rPr>
        <w:t>；保安员1</w:t>
      </w:r>
      <w:r>
        <w:rPr>
          <w:rFonts w:hint="eastAsia" w:ascii="宋体" w:hAnsi="宋体"/>
          <w:sz w:val="21"/>
          <w:szCs w:val="21"/>
          <w:lang w:val="en-US" w:eastAsia="zh-CN"/>
        </w:rPr>
        <w:t>5</w:t>
      </w:r>
      <w:r>
        <w:rPr>
          <w:rFonts w:hint="eastAsia" w:ascii="宋体" w:hAnsi="宋体"/>
          <w:sz w:val="21"/>
          <w:szCs w:val="21"/>
        </w:rPr>
        <w:t>人。</w:t>
      </w:r>
    </w:p>
    <w:p w14:paraId="730C46D7">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保安队长</w:t>
      </w:r>
      <w:r>
        <w:rPr>
          <w:rFonts w:hint="eastAsia" w:ascii="宋体" w:hAnsi="宋体"/>
          <w:sz w:val="21"/>
          <w:szCs w:val="21"/>
          <w:lang w:val="en-US" w:eastAsia="zh-CN"/>
        </w:rPr>
        <w:t>及副队长</w:t>
      </w:r>
      <w:r>
        <w:rPr>
          <w:rFonts w:hint="eastAsia" w:ascii="宋体" w:hAnsi="宋体"/>
          <w:sz w:val="21"/>
          <w:szCs w:val="21"/>
        </w:rPr>
        <w:t>要求（</w:t>
      </w:r>
      <w:r>
        <w:rPr>
          <w:rFonts w:hint="eastAsia" w:ascii="宋体" w:hAnsi="宋体"/>
          <w:sz w:val="21"/>
          <w:szCs w:val="21"/>
          <w:lang w:val="en-US" w:eastAsia="zh-CN"/>
        </w:rPr>
        <w:t>3</w:t>
      </w:r>
      <w:r>
        <w:rPr>
          <w:rFonts w:hint="eastAsia" w:ascii="宋体" w:hAnsi="宋体"/>
          <w:sz w:val="21"/>
          <w:szCs w:val="21"/>
        </w:rPr>
        <w:t>人）：身体健康、相貌端正、仪表大方、无残疾，初中以上文化程度，能熟练使用手机等。年龄不超过50周岁，能操作电脑办公系统，持有保安人员上岗证为优，具有较强队伍管理与工作协调能力。</w:t>
      </w:r>
    </w:p>
    <w:p w14:paraId="262C7D2E">
      <w:pPr>
        <w:adjustRightInd w:val="0"/>
        <w:snapToGrid w:val="0"/>
        <w:spacing w:beforeLines="0" w:afterLines="0"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保安员要求（</w:t>
      </w:r>
      <w:r>
        <w:rPr>
          <w:rFonts w:hint="eastAsia" w:ascii="宋体" w:hAnsi="宋体"/>
          <w:sz w:val="21"/>
          <w:szCs w:val="21"/>
          <w:lang w:val="en-US" w:eastAsia="zh-CN"/>
        </w:rPr>
        <w:t>15</w:t>
      </w:r>
      <w:r>
        <w:rPr>
          <w:rFonts w:hint="eastAsia" w:ascii="宋体" w:hAnsi="宋体"/>
          <w:sz w:val="21"/>
          <w:szCs w:val="21"/>
        </w:rPr>
        <w:t>人）：身体健康、相貌端正、仪表大方、无残疾，能熟练使用手机等</w:t>
      </w:r>
      <w:r>
        <w:rPr>
          <w:rFonts w:hint="eastAsia" w:ascii="宋体" w:hAnsi="宋体"/>
          <w:sz w:val="21"/>
          <w:szCs w:val="21"/>
          <w:lang w:eastAsia="zh-CN"/>
        </w:rPr>
        <w:t>，</w:t>
      </w:r>
      <w:r>
        <w:rPr>
          <w:rFonts w:hint="eastAsia" w:ascii="宋体" w:hAnsi="宋体"/>
          <w:sz w:val="21"/>
          <w:szCs w:val="21"/>
        </w:rPr>
        <w:t>年龄符合用工规定</w:t>
      </w:r>
      <w:r>
        <w:rPr>
          <w:rFonts w:hint="eastAsia" w:ascii="宋体" w:hAnsi="宋体"/>
          <w:sz w:val="21"/>
          <w:szCs w:val="21"/>
          <w:lang w:eastAsia="zh-CN"/>
        </w:rPr>
        <w:t>。</w:t>
      </w:r>
    </w:p>
    <w:p w14:paraId="54BBA005">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2、保安人员必须遵纪守法，品行良好，上岗前必须经过公安部门复查无犯罪或不良好行为记录才能录用。</w:t>
      </w:r>
    </w:p>
    <w:p w14:paraId="11031D6F">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3、所有保安入职前时应将个人档案及培训档案交甲方审核并存档，对保安队长入职前应经甲方面试，以上人员不符合要求时，甲方有权提出调配意见，投标供应商应及时予以调配。</w:t>
      </w:r>
    </w:p>
    <w:p w14:paraId="3FF1AAE6">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4、所有保安的食宿有中标单位承担，若需要在招标人处搭伙食的，由中标单位承担相应的费用</w:t>
      </w:r>
      <w:r>
        <w:rPr>
          <w:rFonts w:hint="eastAsia" w:ascii="宋体" w:hAnsi="宋体"/>
          <w:sz w:val="21"/>
          <w:szCs w:val="21"/>
          <w:lang w:eastAsia="zh-CN"/>
        </w:rPr>
        <w:t>，</w:t>
      </w:r>
      <w:r>
        <w:rPr>
          <w:rFonts w:hint="eastAsia" w:ascii="宋体" w:hAnsi="宋体"/>
          <w:sz w:val="21"/>
          <w:szCs w:val="21"/>
          <w:lang w:val="en-US" w:eastAsia="zh-CN"/>
        </w:rPr>
        <w:t>已经考虑在投标报价中</w:t>
      </w:r>
      <w:r>
        <w:rPr>
          <w:rFonts w:hint="eastAsia" w:ascii="宋体" w:hAnsi="宋体"/>
          <w:sz w:val="21"/>
          <w:szCs w:val="21"/>
        </w:rPr>
        <w:t>。</w:t>
      </w:r>
    </w:p>
    <w:p w14:paraId="1AF766D4">
      <w:pPr>
        <w:adjustRightInd w:val="0"/>
        <w:snapToGrid w:val="0"/>
        <w:spacing w:beforeLines="0" w:afterLines="0" w:line="360" w:lineRule="auto"/>
        <w:ind w:firstLine="422" w:firstLineChars="200"/>
        <w:jc w:val="left"/>
        <w:rPr>
          <w:rFonts w:hint="eastAsia" w:ascii="宋体" w:hAnsi="宋体"/>
          <w:b/>
          <w:bCs/>
          <w:sz w:val="21"/>
          <w:szCs w:val="21"/>
        </w:rPr>
      </w:pPr>
      <w:r>
        <w:rPr>
          <w:rFonts w:hint="eastAsia" w:ascii="宋体" w:hAnsi="宋体"/>
          <w:b/>
          <w:bCs/>
          <w:sz w:val="21"/>
          <w:szCs w:val="21"/>
        </w:rPr>
        <w:t>二、保安工作内容</w:t>
      </w:r>
    </w:p>
    <w:p w14:paraId="00435D74">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1、 保安队长</w:t>
      </w:r>
      <w:r>
        <w:rPr>
          <w:rFonts w:hint="eastAsia" w:ascii="宋体" w:hAnsi="宋体"/>
          <w:sz w:val="21"/>
          <w:szCs w:val="21"/>
          <w:lang w:val="en-US" w:eastAsia="zh-CN"/>
        </w:rPr>
        <w:t>及副队长</w:t>
      </w:r>
      <w:r>
        <w:rPr>
          <w:rFonts w:hint="eastAsia" w:ascii="宋体" w:hAnsi="宋体"/>
          <w:sz w:val="21"/>
          <w:szCs w:val="21"/>
        </w:rPr>
        <w:t>主要从事交通执法一线现场秩序维护、车辆人员稳控等工作，协助应急事件现场处置等，年龄要求50岁以内，持有保安人员上岗证为优。</w:t>
      </w:r>
    </w:p>
    <w:p w14:paraId="28A8A6D5">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2、保安员主要负责指定场所的日常门岗管理、防疫检测、场地巡查及视频监控管理等工作，身体健康、责任心强，胜任车辆管控及人员登记等工作，有相应经验）。</w:t>
      </w:r>
    </w:p>
    <w:p w14:paraId="1DE30225">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3．负责巡查安保工作，视频监控管理，防火防盗等。</w:t>
      </w:r>
    </w:p>
    <w:p w14:paraId="6EB5A97D">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4．配合公安机关，打击安全保卫服务范围违法犯罪现象或行为。</w:t>
      </w:r>
    </w:p>
    <w:p w14:paraId="01DCE6FB">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eastAsia" w:ascii="宋体" w:hAnsi="宋体"/>
          <w:sz w:val="21"/>
          <w:szCs w:val="21"/>
        </w:rPr>
      </w:pPr>
      <w:r>
        <w:rPr>
          <w:rFonts w:hint="eastAsia" w:ascii="宋体" w:hAnsi="宋体"/>
          <w:sz w:val="21"/>
          <w:szCs w:val="21"/>
        </w:rPr>
        <w:t>5. 管理坚持原则、慎密严谨；服务以人为本、主动热情；处理问题高度警惕、有理有节。</w:t>
      </w:r>
    </w:p>
    <w:p w14:paraId="42DB1832">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eastAsia" w:ascii="宋体" w:hAnsi="宋体"/>
          <w:sz w:val="21"/>
          <w:szCs w:val="21"/>
        </w:rPr>
      </w:pPr>
      <w:r>
        <w:rPr>
          <w:rFonts w:hint="eastAsia" w:ascii="宋体" w:hAnsi="宋体"/>
          <w:sz w:val="21"/>
          <w:szCs w:val="21"/>
        </w:rPr>
        <w:t>6. 上岗人员必须严格统一着装，穿戴干净整齐，</w:t>
      </w:r>
      <w:r>
        <w:rPr>
          <w:rFonts w:hint="eastAsia" w:ascii="宋体" w:hAnsi="宋体"/>
          <w:sz w:val="21"/>
          <w:szCs w:val="21"/>
          <w:lang w:eastAsia="zh-CN"/>
        </w:rPr>
        <w:t>有必要上岗装备</w:t>
      </w:r>
      <w:r>
        <w:rPr>
          <w:rFonts w:hint="eastAsia" w:ascii="宋体" w:hAnsi="宋体"/>
          <w:sz w:val="21"/>
          <w:szCs w:val="21"/>
        </w:rPr>
        <w:t>，业务操作规范，熟悉公共管理规范等各项规章制度，待人文明礼貌，保持岗位卫生整洁，秉持从业道德规范。</w:t>
      </w:r>
    </w:p>
    <w:p w14:paraId="046E7C8E">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eastAsia" w:ascii="宋体" w:hAnsi="宋体"/>
          <w:sz w:val="21"/>
          <w:szCs w:val="21"/>
        </w:rPr>
      </w:pPr>
      <w:r>
        <w:rPr>
          <w:rFonts w:hint="eastAsia" w:ascii="宋体" w:hAnsi="宋体"/>
          <w:sz w:val="21"/>
          <w:szCs w:val="21"/>
        </w:rPr>
        <w:t>7．依法办事，文明执勤。对安全保卫职责范围内的事务有求必应，有险情必出。杜绝与群众发生冲突，禁止出手伤及群众人身安全。</w:t>
      </w:r>
    </w:p>
    <w:p w14:paraId="1788D09D">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eastAsia" w:ascii="宋体" w:hAnsi="宋体"/>
          <w:sz w:val="21"/>
          <w:szCs w:val="21"/>
        </w:rPr>
      </w:pPr>
      <w:r>
        <w:rPr>
          <w:rFonts w:hint="eastAsia" w:ascii="宋体" w:hAnsi="宋体"/>
          <w:sz w:val="21"/>
          <w:szCs w:val="21"/>
        </w:rPr>
        <w:t>8．坚决制止安全保卫服务范围各种不文明行为或者现象，切实履行好前述安全保卫服务各项职责。对突发事件或者正在发生的违法犯罪行为，在确保自身安全的情况下，机智勇敢地与违法违纪犯罪分子作斗争，维护治安安全、财物安全和正常秩序。</w:t>
      </w:r>
    </w:p>
    <w:p w14:paraId="5447D39F">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eastAsia" w:ascii="宋体" w:hAnsi="宋体"/>
          <w:sz w:val="21"/>
          <w:szCs w:val="21"/>
        </w:rPr>
      </w:pPr>
      <w:r>
        <w:rPr>
          <w:rFonts w:hint="eastAsia" w:ascii="宋体" w:hAnsi="宋体"/>
          <w:sz w:val="21"/>
          <w:szCs w:val="21"/>
        </w:rPr>
        <w:t>9. 积极完成采购人交给的其他工作任务。</w:t>
      </w:r>
    </w:p>
    <w:p w14:paraId="094EA3DC">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2" w:firstLineChars="200"/>
        <w:jc w:val="left"/>
        <w:textAlignment w:val="auto"/>
        <w:rPr>
          <w:rFonts w:hint="eastAsia" w:ascii="宋体" w:hAnsi="宋体"/>
          <w:b/>
          <w:bCs/>
          <w:sz w:val="21"/>
          <w:szCs w:val="21"/>
        </w:rPr>
      </w:pPr>
      <w:r>
        <w:rPr>
          <w:rFonts w:hint="eastAsia" w:ascii="宋体" w:hAnsi="宋体"/>
          <w:b/>
          <w:bCs/>
          <w:sz w:val="21"/>
          <w:szCs w:val="21"/>
          <w:lang w:val="en-US" w:eastAsia="zh-CN"/>
        </w:rPr>
        <w:t>三</w:t>
      </w:r>
      <w:r>
        <w:rPr>
          <w:rFonts w:hint="eastAsia" w:ascii="宋体" w:hAnsi="宋体"/>
          <w:b/>
          <w:bCs/>
          <w:sz w:val="21"/>
          <w:szCs w:val="21"/>
        </w:rPr>
        <w:t>、保安服务基本要求（具体由投标方据此要求进一步优化）</w:t>
      </w:r>
    </w:p>
    <w:p w14:paraId="7E437507">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firstLine="420" w:firstLineChars="200"/>
        <w:jc w:val="left"/>
        <w:textAlignment w:val="auto"/>
        <w:rPr>
          <w:rFonts w:hint="default" w:ascii="宋体" w:hAnsi="宋体"/>
          <w:sz w:val="21"/>
          <w:szCs w:val="21"/>
          <w:lang w:val="en-US" w:eastAsia="zh-CN"/>
        </w:rPr>
      </w:pPr>
      <w:r>
        <w:rPr>
          <w:rFonts w:hint="eastAsia" w:ascii="宋体" w:hAnsi="宋体"/>
          <w:sz w:val="21"/>
          <w:szCs w:val="21"/>
        </w:rPr>
        <w:t>1、保安人员必须着装统一，作风严谨，文明执勤。各服务区域内保安巡查每2小时一次，及时掌握治安消防动态，建立保安立岗机制。</w:t>
      </w:r>
      <w:r>
        <w:rPr>
          <w:rFonts w:hint="eastAsia" w:ascii="宋体" w:hAnsi="宋体"/>
          <w:sz w:val="21"/>
          <w:szCs w:val="21"/>
          <w:lang w:val="en-US" w:eastAsia="zh-CN"/>
        </w:rPr>
        <w:t>其中四中队保安员4人，观海卫所保安员2人，周巷所保安员2人，宏坚停车场保安员2人，治超停车场保安员2人，机动保安员3人。</w:t>
      </w:r>
    </w:p>
    <w:p w14:paraId="6CAA27A3">
      <w:pPr>
        <w:adjustRightInd w:val="0"/>
        <w:snapToGrid w:val="0"/>
        <w:spacing w:beforeLines="0" w:afterLines="0" w:line="360" w:lineRule="auto"/>
        <w:ind w:firstLine="420" w:firstLineChars="200"/>
        <w:jc w:val="left"/>
        <w:rPr>
          <w:rFonts w:hint="eastAsia" w:ascii="宋体" w:hAnsi="宋体"/>
          <w:sz w:val="21"/>
          <w:szCs w:val="21"/>
        </w:rPr>
      </w:pPr>
    </w:p>
    <w:p w14:paraId="33C58708">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2、保安人员应听从甲方领导和后勤</w:t>
      </w:r>
      <w:r>
        <w:rPr>
          <w:rFonts w:hint="eastAsia" w:ascii="宋体" w:hAnsi="宋体"/>
          <w:sz w:val="21"/>
          <w:szCs w:val="21"/>
          <w:lang w:val="en-US" w:eastAsia="zh-CN"/>
        </w:rPr>
        <w:t>科或执法部门</w:t>
      </w:r>
      <w:r>
        <w:rPr>
          <w:rFonts w:hint="eastAsia" w:ascii="宋体" w:hAnsi="宋体"/>
          <w:sz w:val="21"/>
          <w:szCs w:val="21"/>
        </w:rPr>
        <w:t>的统一管理，负责甲方治安保卫工作，并虚心接受甲方的指导和建议；保安人员的内部管理、训练由投标供应商自行负责。</w:t>
      </w:r>
    </w:p>
    <w:p w14:paraId="56A18A39">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保安队长及副队长</w:t>
      </w:r>
      <w:r>
        <w:rPr>
          <w:rFonts w:hint="eastAsia" w:ascii="宋体" w:hAnsi="宋体"/>
          <w:sz w:val="21"/>
          <w:szCs w:val="21"/>
        </w:rPr>
        <w:t>负责保安队伍日常管理、负责甲乙双方的日常工作沟通、负责具体保安任务的落实。根据保安业务工作实际，制订完善日常工作纪律、管理规定、台帐和应急预案。</w:t>
      </w:r>
    </w:p>
    <w:p w14:paraId="6260F42A">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4、全体保安队员为义务消防员，投标供应商应对保安队员进行岗前培训，特别是消防技能培训；投标供应商必须每年定期有计划、有步骤、有重点的组织进行各类业务培训。培训记录向甲方备案。</w:t>
      </w:r>
    </w:p>
    <w:p w14:paraId="2D9A5376">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5、投标供应商须设立24小时支援与服务电话，及时提供服务和处理有关事宜，保证遇到应急状况时，能满足甲方的要求。遇到突发事件、紧急状况时，保安人员必须服从甲方统一调度。</w:t>
      </w:r>
    </w:p>
    <w:p w14:paraId="75AD500E">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6、甲方如认为投标供应商保安人员不称职，可将实际情况以书面形式向投标供应商提出撤换要求，投标供应商应在接到撤换要求书后三个工作日内做出答复。</w:t>
      </w:r>
    </w:p>
    <w:p w14:paraId="0E1D160D">
      <w:pPr>
        <w:adjustRightInd w:val="0"/>
        <w:snapToGrid w:val="0"/>
        <w:spacing w:beforeLines="0" w:afterLines="0" w:line="360" w:lineRule="auto"/>
        <w:ind w:firstLine="422" w:firstLineChars="200"/>
        <w:jc w:val="left"/>
        <w:rPr>
          <w:rFonts w:hint="eastAsia" w:ascii="宋体" w:hAnsi="宋体"/>
          <w:sz w:val="21"/>
          <w:szCs w:val="21"/>
        </w:rPr>
      </w:pPr>
      <w:r>
        <w:rPr>
          <w:rFonts w:hint="eastAsia" w:ascii="宋体" w:hAnsi="宋体"/>
          <w:b/>
          <w:bCs/>
          <w:sz w:val="21"/>
          <w:szCs w:val="21"/>
          <w:lang w:val="en-US" w:eastAsia="zh-CN"/>
        </w:rPr>
        <w:t>四、采购人考核标准</w:t>
      </w:r>
    </w:p>
    <w:tbl>
      <w:tblPr>
        <w:tblStyle w:val="48"/>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60"/>
        <w:gridCol w:w="1154"/>
        <w:gridCol w:w="5210"/>
        <w:gridCol w:w="1059"/>
        <w:gridCol w:w="674"/>
      </w:tblGrid>
      <w:tr w14:paraId="094B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C157A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3E22E5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项目</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9477AF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标准内容</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D46B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扣分依据</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9BE4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检查结果</w:t>
            </w: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4987A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得分</w:t>
            </w:r>
          </w:p>
        </w:tc>
      </w:tr>
      <w:tr w14:paraId="4111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39" w:type="pct"/>
            <w:vMerge w:val="restart"/>
            <w:tcBorders>
              <w:top w:val="single" w:color="auto" w:sz="4" w:space="0"/>
              <w:left w:val="single" w:color="auto" w:sz="4" w:space="0"/>
              <w:right w:val="single" w:color="auto" w:sz="4" w:space="0"/>
              <w:tl2br w:val="nil"/>
              <w:tr2bl w:val="nil"/>
            </w:tcBorders>
            <w:noWrap w:val="0"/>
            <w:vAlign w:val="center"/>
          </w:tcPr>
          <w:p w14:paraId="2BDF2E2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8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2BE18E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员工管理（10分）</w:t>
            </w:r>
          </w:p>
        </w:tc>
        <w:tc>
          <w:tcPr>
            <w:tcW w:w="581" w:type="pct"/>
            <w:vMerge w:val="restart"/>
            <w:tcBorders>
              <w:top w:val="single" w:color="auto" w:sz="4" w:space="0"/>
              <w:left w:val="single" w:color="auto" w:sz="4" w:space="0"/>
              <w:right w:val="single" w:color="auto" w:sz="4" w:space="0"/>
              <w:tl2br w:val="nil"/>
              <w:tr2bl w:val="nil"/>
            </w:tcBorders>
            <w:noWrap w:val="0"/>
            <w:vAlign w:val="center"/>
          </w:tcPr>
          <w:p w14:paraId="43CED1D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仪表仪容</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994319">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lang w:eastAsia="zh-CN"/>
              </w:rPr>
              <w:t>上班时间不按要求穿戴或不穿工作服的，每人次扣0.5分。</w:t>
            </w:r>
          </w:p>
        </w:tc>
        <w:tc>
          <w:tcPr>
            <w:tcW w:w="533" w:type="pct"/>
            <w:vMerge w:val="restart"/>
            <w:tcBorders>
              <w:top w:val="single" w:color="auto" w:sz="4" w:space="0"/>
              <w:left w:val="single" w:color="auto" w:sz="4" w:space="0"/>
              <w:right w:val="single" w:color="auto" w:sz="4" w:space="0"/>
              <w:tl2br w:val="nil"/>
              <w:tr2bl w:val="nil"/>
            </w:tcBorders>
            <w:noWrap w:val="0"/>
            <w:vAlign w:val="center"/>
          </w:tcPr>
          <w:p w14:paraId="6DCDB57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restart"/>
            <w:tcBorders>
              <w:top w:val="single" w:color="auto" w:sz="4" w:space="0"/>
              <w:left w:val="single" w:color="auto" w:sz="4" w:space="0"/>
              <w:right w:val="single" w:color="auto" w:sz="4" w:space="0"/>
              <w:tl2br w:val="nil"/>
              <w:tr2bl w:val="nil"/>
            </w:tcBorders>
            <w:noWrap w:val="0"/>
            <w:vAlign w:val="center"/>
          </w:tcPr>
          <w:p w14:paraId="49AF555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2DA4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39" w:type="pct"/>
            <w:vMerge w:val="continue"/>
            <w:tcBorders>
              <w:left w:val="single" w:color="auto" w:sz="4" w:space="0"/>
              <w:right w:val="single" w:color="auto" w:sz="4" w:space="0"/>
              <w:tl2br w:val="nil"/>
              <w:tr2bl w:val="nil"/>
            </w:tcBorders>
            <w:noWrap w:val="0"/>
            <w:vAlign w:val="center"/>
          </w:tcPr>
          <w:p w14:paraId="229510E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415906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4C7C32B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BA0E9D">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rPr>
              <w:t>对形象差、工作不力，经教育后仍不改正的保安工作人员，甲方要求更换或辞退，乙方未执行</w:t>
            </w:r>
            <w:r>
              <w:rPr>
                <w:rFonts w:hint="eastAsia" w:ascii="宋体" w:hAnsi="宋体" w:cs="宋体"/>
                <w:sz w:val="21"/>
                <w:szCs w:val="21"/>
                <w:lang w:val="en-US" w:eastAsia="zh-CN"/>
              </w:rPr>
              <w:t>的，每次扣5分。</w:t>
            </w:r>
          </w:p>
        </w:tc>
        <w:tc>
          <w:tcPr>
            <w:tcW w:w="533" w:type="pct"/>
            <w:vMerge w:val="continue"/>
            <w:tcBorders>
              <w:left w:val="single" w:color="auto" w:sz="4" w:space="0"/>
              <w:right w:val="single" w:color="auto" w:sz="4" w:space="0"/>
              <w:tl2br w:val="nil"/>
              <w:tr2bl w:val="nil"/>
            </w:tcBorders>
            <w:noWrap w:val="0"/>
            <w:vAlign w:val="center"/>
          </w:tcPr>
          <w:p w14:paraId="0503843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3ABBF1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7B7C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3F90F2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4BF09C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bottom w:val="single" w:color="auto" w:sz="4" w:space="0"/>
              <w:right w:val="single" w:color="auto" w:sz="4" w:space="0"/>
              <w:tl2br w:val="nil"/>
              <w:tr2bl w:val="nil"/>
            </w:tcBorders>
            <w:noWrap w:val="0"/>
            <w:vAlign w:val="center"/>
          </w:tcPr>
          <w:p w14:paraId="42F46E2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ABB37E">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3.办公地点环境脏乱，东西摆放杂乱，每次扣1分；</w:t>
            </w:r>
          </w:p>
        </w:tc>
        <w:tc>
          <w:tcPr>
            <w:tcW w:w="533" w:type="pct"/>
            <w:vMerge w:val="continue"/>
            <w:tcBorders>
              <w:left w:val="single" w:color="auto" w:sz="4" w:space="0"/>
              <w:right w:val="single" w:color="auto" w:sz="4" w:space="0"/>
              <w:tl2br w:val="nil"/>
              <w:tr2bl w:val="nil"/>
            </w:tcBorders>
            <w:noWrap w:val="0"/>
            <w:vAlign w:val="center"/>
          </w:tcPr>
          <w:p w14:paraId="6614FC2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17B26F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779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tcBorders>
              <w:top w:val="single" w:color="auto" w:sz="4" w:space="0"/>
              <w:left w:val="single" w:color="auto" w:sz="4" w:space="0"/>
              <w:right w:val="single" w:color="auto" w:sz="4" w:space="0"/>
              <w:tl2br w:val="nil"/>
              <w:tr2bl w:val="nil"/>
            </w:tcBorders>
            <w:noWrap w:val="0"/>
            <w:vAlign w:val="center"/>
          </w:tcPr>
          <w:p w14:paraId="19A06C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F8DD7E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restart"/>
            <w:tcBorders>
              <w:top w:val="single" w:color="auto" w:sz="4" w:space="0"/>
              <w:left w:val="single" w:color="auto" w:sz="4" w:space="0"/>
              <w:right w:val="single" w:color="auto" w:sz="4" w:space="0"/>
              <w:tl2br w:val="nil"/>
              <w:tr2bl w:val="nil"/>
            </w:tcBorders>
            <w:noWrap w:val="0"/>
            <w:vAlign w:val="center"/>
          </w:tcPr>
          <w:p w14:paraId="6AA405F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遵守劳动纪律</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BAC6CCD">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遵守各类工作制度，按规定完成工作职责，一处不符扣0.5分。</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7D862F0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42496C4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28D8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051813D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0A386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403AE1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8DD74A">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2.不迟到早退，不串岗。迟到、早退、串岗每人次扣0.5分。</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1C7A596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067C149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28FC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79B2B6B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D7B0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43F0BDE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C65FB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3.上班时间干私活每人次扣1分。</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060AAF6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6369EDB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515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630AFAE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81DB7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47348C4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C3602B0">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4.故意损坏公共财物，每人次扣1分并按实价赔偿。</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4F427C3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3B0821E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44BE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456773A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bottom w:val="single" w:color="auto" w:sz="4" w:space="0"/>
              <w:right w:val="single" w:color="auto" w:sz="4" w:space="0"/>
              <w:tl2br w:val="nil"/>
              <w:tr2bl w:val="nil"/>
            </w:tcBorders>
            <w:noWrap w:val="0"/>
            <w:vAlign w:val="center"/>
          </w:tcPr>
          <w:p w14:paraId="27E3818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bottom w:val="single" w:color="auto" w:sz="4" w:space="0"/>
              <w:right w:val="single" w:color="auto" w:sz="4" w:space="0"/>
              <w:tl2br w:val="nil"/>
              <w:tr2bl w:val="nil"/>
            </w:tcBorders>
            <w:noWrap w:val="0"/>
            <w:vAlign w:val="center"/>
          </w:tcPr>
          <w:p w14:paraId="5D307B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08BF7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5.在岗期间不嬉笑，打闹，闲聊，吸烟，玩手机，打游戏，看电子媒体，每人次扣2分。</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4EE4135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01FE189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4323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restart"/>
            <w:tcBorders>
              <w:top w:val="single" w:color="auto" w:sz="4" w:space="0"/>
              <w:left w:val="single" w:color="auto" w:sz="4" w:space="0"/>
              <w:right w:val="single" w:color="auto" w:sz="4" w:space="0"/>
              <w:tl2br w:val="nil"/>
              <w:tr2bl w:val="nil"/>
            </w:tcBorders>
            <w:noWrap w:val="0"/>
            <w:vAlign w:val="center"/>
          </w:tcPr>
          <w:p w14:paraId="21BB25D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84" w:type="pct"/>
            <w:vMerge w:val="restart"/>
            <w:tcBorders>
              <w:top w:val="single" w:color="auto" w:sz="4" w:space="0"/>
              <w:left w:val="single" w:color="auto" w:sz="4" w:space="0"/>
              <w:right w:val="single" w:color="auto" w:sz="4" w:space="0"/>
              <w:tl2br w:val="nil"/>
              <w:tr2bl w:val="nil"/>
            </w:tcBorders>
            <w:noWrap w:val="0"/>
            <w:vAlign w:val="center"/>
          </w:tcPr>
          <w:p w14:paraId="0A0936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治安管理（</w:t>
            </w:r>
            <w:r>
              <w:rPr>
                <w:rFonts w:hint="eastAsia" w:ascii="宋体" w:hAnsi="宋体" w:cs="宋体"/>
                <w:sz w:val="21"/>
                <w:szCs w:val="21"/>
                <w:lang w:val="en-US" w:eastAsia="zh-CN"/>
              </w:rPr>
              <w:t>40</w:t>
            </w:r>
            <w:r>
              <w:rPr>
                <w:rFonts w:hint="eastAsia" w:ascii="宋体" w:hAnsi="宋体" w:eastAsia="宋体" w:cs="宋体"/>
                <w:sz w:val="21"/>
                <w:szCs w:val="21"/>
              </w:rPr>
              <w:t>分）</w:t>
            </w:r>
          </w:p>
        </w:tc>
        <w:tc>
          <w:tcPr>
            <w:tcW w:w="581" w:type="pct"/>
            <w:vMerge w:val="restart"/>
            <w:tcBorders>
              <w:top w:val="single" w:color="auto" w:sz="4" w:space="0"/>
              <w:left w:val="single" w:color="auto" w:sz="4" w:space="0"/>
              <w:right w:val="single" w:color="auto" w:sz="4" w:space="0"/>
              <w:tl2br w:val="nil"/>
              <w:tr2bl w:val="nil"/>
            </w:tcBorders>
            <w:noWrap w:val="0"/>
            <w:vAlign w:val="center"/>
          </w:tcPr>
          <w:p w14:paraId="5A02869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治安管理、秩序维护</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47A1BF">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1.维护岗亭设施设备及物资安全，发生1</w:t>
            </w:r>
            <w:r>
              <w:rPr>
                <w:rFonts w:hint="eastAsia" w:ascii="宋体" w:hAnsi="宋体" w:cs="宋体"/>
                <w:sz w:val="21"/>
                <w:szCs w:val="21"/>
                <w:lang w:eastAsia="zh-CN"/>
              </w:rPr>
              <w:t>例</w:t>
            </w:r>
            <w:r>
              <w:rPr>
                <w:rFonts w:hint="eastAsia" w:ascii="宋体" w:hAnsi="宋体" w:eastAsia="宋体" w:cs="宋体"/>
                <w:sz w:val="21"/>
                <w:szCs w:val="21"/>
              </w:rPr>
              <w:t>事故扣2分。</w:t>
            </w:r>
          </w:p>
        </w:tc>
        <w:tc>
          <w:tcPr>
            <w:tcW w:w="533" w:type="pct"/>
            <w:vMerge w:val="restart"/>
            <w:tcBorders>
              <w:top w:val="single" w:color="auto" w:sz="4" w:space="0"/>
              <w:left w:val="single" w:color="auto" w:sz="4" w:space="0"/>
              <w:right w:val="single" w:color="auto" w:sz="4" w:space="0"/>
              <w:tl2br w:val="nil"/>
              <w:tr2bl w:val="nil"/>
            </w:tcBorders>
            <w:noWrap w:val="0"/>
            <w:vAlign w:val="center"/>
          </w:tcPr>
          <w:p w14:paraId="3EFF8C1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restart"/>
            <w:tcBorders>
              <w:top w:val="single" w:color="auto" w:sz="4" w:space="0"/>
              <w:left w:val="single" w:color="auto" w:sz="4" w:space="0"/>
              <w:right w:val="single" w:color="auto" w:sz="4" w:space="0"/>
              <w:tl2br w:val="nil"/>
              <w:tr2bl w:val="nil"/>
            </w:tcBorders>
            <w:noWrap w:val="0"/>
            <w:vAlign w:val="center"/>
          </w:tcPr>
          <w:p w14:paraId="360869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17E0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5B5BC86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3336DA8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48F681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327D38">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2.维护管理区域秩序，对群众提供引导服务。发现1</w:t>
            </w:r>
            <w:r>
              <w:rPr>
                <w:rFonts w:hint="eastAsia" w:ascii="宋体" w:hAnsi="宋体" w:cs="宋体"/>
                <w:sz w:val="21"/>
                <w:szCs w:val="21"/>
                <w:lang w:eastAsia="zh-CN"/>
              </w:rPr>
              <w:t>例</w:t>
            </w:r>
            <w:r>
              <w:rPr>
                <w:rFonts w:hint="eastAsia" w:ascii="宋体" w:hAnsi="宋体" w:eastAsia="宋体" w:cs="宋体"/>
                <w:sz w:val="21"/>
                <w:szCs w:val="21"/>
              </w:rPr>
              <w:t>不符要求扣1分。</w:t>
            </w:r>
          </w:p>
        </w:tc>
        <w:tc>
          <w:tcPr>
            <w:tcW w:w="533" w:type="pct"/>
            <w:vMerge w:val="continue"/>
            <w:tcBorders>
              <w:left w:val="single" w:color="auto" w:sz="4" w:space="0"/>
              <w:right w:val="single" w:color="auto" w:sz="4" w:space="0"/>
              <w:tl2br w:val="nil"/>
              <w:tr2bl w:val="nil"/>
            </w:tcBorders>
            <w:noWrap w:val="0"/>
            <w:vAlign w:val="center"/>
          </w:tcPr>
          <w:p w14:paraId="722F4CE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3F54D9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2FB1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09676E5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22EDB56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383591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87C747">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3.发现纠纷和火警，应在5分钟内到达现场，采取适当措施处理，如故意躲避造成后果。发现1</w:t>
            </w:r>
            <w:r>
              <w:rPr>
                <w:rFonts w:hint="eastAsia" w:ascii="宋体" w:hAnsi="宋体" w:cs="宋体"/>
                <w:sz w:val="21"/>
                <w:szCs w:val="21"/>
                <w:lang w:eastAsia="zh-CN"/>
              </w:rPr>
              <w:t>例</w:t>
            </w:r>
            <w:r>
              <w:rPr>
                <w:rFonts w:hint="eastAsia" w:ascii="宋体" w:hAnsi="宋体" w:eastAsia="宋体" w:cs="宋体"/>
                <w:sz w:val="21"/>
                <w:szCs w:val="21"/>
              </w:rPr>
              <w:t>扣2分。</w:t>
            </w:r>
          </w:p>
        </w:tc>
        <w:tc>
          <w:tcPr>
            <w:tcW w:w="533" w:type="pct"/>
            <w:vMerge w:val="continue"/>
            <w:tcBorders>
              <w:left w:val="single" w:color="auto" w:sz="4" w:space="0"/>
              <w:right w:val="single" w:color="auto" w:sz="4" w:space="0"/>
              <w:tl2br w:val="nil"/>
              <w:tr2bl w:val="nil"/>
            </w:tcBorders>
            <w:noWrap w:val="0"/>
            <w:vAlign w:val="center"/>
          </w:tcPr>
          <w:p w14:paraId="4741277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7D916E0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52D0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0DD8A4F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70E5445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237A957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2309513">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物品出入不检查、不控制，导致物品流失</w:t>
            </w:r>
            <w:r>
              <w:rPr>
                <w:rFonts w:hint="eastAsia" w:ascii="宋体" w:hAnsi="宋体" w:cs="宋体"/>
                <w:sz w:val="21"/>
                <w:szCs w:val="21"/>
                <w:lang w:eastAsia="zh-CN"/>
              </w:rPr>
              <w:t>，发生1例扣</w:t>
            </w:r>
            <w:r>
              <w:rPr>
                <w:rFonts w:hint="eastAsia" w:ascii="宋体" w:hAnsi="宋体" w:cs="宋体"/>
                <w:sz w:val="21"/>
                <w:szCs w:val="21"/>
                <w:lang w:val="en-US" w:eastAsia="zh-CN"/>
              </w:rPr>
              <w:t>1</w:t>
            </w:r>
            <w:r>
              <w:rPr>
                <w:rFonts w:hint="eastAsia" w:ascii="宋体" w:hAnsi="宋体" w:cs="宋体"/>
                <w:sz w:val="21"/>
                <w:szCs w:val="21"/>
                <w:lang w:eastAsia="zh-CN"/>
              </w:rPr>
              <w:t>分。</w:t>
            </w:r>
          </w:p>
        </w:tc>
        <w:tc>
          <w:tcPr>
            <w:tcW w:w="533" w:type="pct"/>
            <w:vMerge w:val="continue"/>
            <w:tcBorders>
              <w:left w:val="single" w:color="auto" w:sz="4" w:space="0"/>
              <w:right w:val="single" w:color="auto" w:sz="4" w:space="0"/>
              <w:tl2br w:val="nil"/>
              <w:tr2bl w:val="nil"/>
            </w:tcBorders>
            <w:noWrap w:val="0"/>
            <w:vAlign w:val="center"/>
          </w:tcPr>
          <w:p w14:paraId="26D1F33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3011525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42F1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6E78AB1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right w:val="single" w:color="auto" w:sz="4" w:space="0"/>
              <w:tl2br w:val="nil"/>
              <w:tr2bl w:val="nil"/>
            </w:tcBorders>
            <w:noWrap w:val="0"/>
            <w:vAlign w:val="center"/>
          </w:tcPr>
          <w:p w14:paraId="570CBE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right w:val="single" w:color="auto" w:sz="4" w:space="0"/>
              <w:tl2br w:val="nil"/>
              <w:tr2bl w:val="nil"/>
            </w:tcBorders>
            <w:noWrap w:val="0"/>
            <w:vAlign w:val="center"/>
          </w:tcPr>
          <w:p w14:paraId="7B1CD68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41BCF6">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不按规定巡逻或巡逻无记录，重大事件不汇报</w:t>
            </w:r>
            <w:r>
              <w:rPr>
                <w:rFonts w:hint="eastAsia" w:ascii="宋体" w:hAnsi="宋体" w:cs="宋体"/>
                <w:sz w:val="21"/>
                <w:szCs w:val="21"/>
                <w:lang w:eastAsia="zh-CN"/>
              </w:rPr>
              <w:t>，发生1例扣</w:t>
            </w:r>
            <w:r>
              <w:rPr>
                <w:rFonts w:hint="eastAsia" w:ascii="宋体" w:hAnsi="宋体" w:cs="宋体"/>
                <w:sz w:val="21"/>
                <w:szCs w:val="21"/>
                <w:lang w:val="en-US" w:eastAsia="zh-CN"/>
              </w:rPr>
              <w:t>3</w:t>
            </w:r>
            <w:r>
              <w:rPr>
                <w:rFonts w:hint="eastAsia" w:ascii="宋体" w:hAnsi="宋体" w:cs="宋体"/>
                <w:sz w:val="21"/>
                <w:szCs w:val="21"/>
                <w:lang w:eastAsia="zh-CN"/>
              </w:rPr>
              <w:t>分。</w:t>
            </w:r>
          </w:p>
        </w:tc>
        <w:tc>
          <w:tcPr>
            <w:tcW w:w="533" w:type="pct"/>
            <w:vMerge w:val="continue"/>
            <w:tcBorders>
              <w:left w:val="single" w:color="auto" w:sz="4" w:space="0"/>
              <w:right w:val="single" w:color="auto" w:sz="4" w:space="0"/>
              <w:tl2br w:val="nil"/>
              <w:tr2bl w:val="nil"/>
            </w:tcBorders>
            <w:noWrap w:val="0"/>
            <w:vAlign w:val="center"/>
          </w:tcPr>
          <w:p w14:paraId="1DF1FC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right w:val="single" w:color="auto" w:sz="4" w:space="0"/>
              <w:tl2br w:val="nil"/>
              <w:tr2bl w:val="nil"/>
            </w:tcBorders>
            <w:noWrap w:val="0"/>
            <w:vAlign w:val="center"/>
          </w:tcPr>
          <w:p w14:paraId="2F0CBD4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5E20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9" w:type="pct"/>
            <w:vMerge w:val="continue"/>
            <w:tcBorders>
              <w:left w:val="single" w:color="auto" w:sz="4" w:space="0"/>
              <w:right w:val="single" w:color="auto" w:sz="4" w:space="0"/>
              <w:tl2br w:val="nil"/>
              <w:tr2bl w:val="nil"/>
            </w:tcBorders>
            <w:noWrap w:val="0"/>
            <w:vAlign w:val="center"/>
          </w:tcPr>
          <w:p w14:paraId="0E6F8BD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rPr>
              <w:t>每月定期检查楼内的各类水电、消防设施和设备，定期上交检查结果，设备设施损坏和缺损如实汇报，发现安全隐患及时处理和汇报</w:t>
            </w:r>
          </w:p>
        </w:tc>
        <w:tc>
          <w:tcPr>
            <w:tcW w:w="584" w:type="pct"/>
            <w:vMerge w:val="continue"/>
            <w:tcBorders>
              <w:left w:val="single" w:color="auto" w:sz="4" w:space="0"/>
              <w:right w:val="single" w:color="auto" w:sz="4" w:space="0"/>
              <w:tl2br w:val="nil"/>
              <w:tr2bl w:val="nil"/>
            </w:tcBorders>
            <w:noWrap w:val="0"/>
            <w:vAlign w:val="center"/>
          </w:tcPr>
          <w:p w14:paraId="2AF312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rPr>
              <w:t>每月定期检查楼内的各类水电、消防设施和设备，定期上交检查结果，设备设施损坏和缺损如实汇报，发现安全隐患及时处理和汇报</w:t>
            </w:r>
          </w:p>
        </w:tc>
        <w:tc>
          <w:tcPr>
            <w:tcW w:w="581" w:type="pct"/>
            <w:vMerge w:val="continue"/>
            <w:tcBorders>
              <w:left w:val="single" w:color="auto" w:sz="4" w:space="0"/>
              <w:right w:val="single" w:color="auto" w:sz="4" w:space="0"/>
              <w:tl2br w:val="nil"/>
              <w:tr2bl w:val="nil"/>
            </w:tcBorders>
            <w:noWrap w:val="0"/>
            <w:vAlign w:val="center"/>
          </w:tcPr>
          <w:p w14:paraId="1596DD3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rPr>
              <w:t>每月定期检查楼内的各类水电、消防设施和设备，定期上交检查结果，设备设施损坏和缺损如实汇报，发现安全隐患及时处理和汇报</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A11A69">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每月定期检查楼内的各类水电、消防设施和设备，定期上交检查结果，设备设施损坏和缺损如实汇报，发现安全隐患及时处理和汇报</w:t>
            </w:r>
            <w:r>
              <w:rPr>
                <w:rFonts w:hint="eastAsia" w:ascii="宋体" w:hAnsi="宋体" w:cs="宋体"/>
                <w:sz w:val="21"/>
                <w:szCs w:val="21"/>
                <w:lang w:eastAsia="zh-CN"/>
              </w:rPr>
              <w:t>，发现1例扣2分。</w:t>
            </w:r>
          </w:p>
        </w:tc>
        <w:tc>
          <w:tcPr>
            <w:tcW w:w="533" w:type="pct"/>
            <w:vMerge w:val="continue"/>
            <w:tcBorders>
              <w:left w:val="single" w:color="auto" w:sz="4" w:space="0"/>
              <w:right w:val="single" w:color="auto" w:sz="4" w:space="0"/>
              <w:tl2br w:val="nil"/>
              <w:tr2bl w:val="nil"/>
            </w:tcBorders>
            <w:noWrap w:val="0"/>
            <w:vAlign w:val="center"/>
          </w:tcPr>
          <w:p w14:paraId="685CA36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rPr>
              <w:t>每月定期检查楼内的各类水电、消防设施和设备，定期上交检查结果，设备设施损坏和缺损如实汇报，发现安全隐患及时处理和汇报</w:t>
            </w:r>
          </w:p>
        </w:tc>
        <w:tc>
          <w:tcPr>
            <w:tcW w:w="339" w:type="pct"/>
            <w:vMerge w:val="continue"/>
            <w:tcBorders>
              <w:left w:val="single" w:color="auto" w:sz="4" w:space="0"/>
              <w:right w:val="single" w:color="auto" w:sz="4" w:space="0"/>
              <w:tl2br w:val="nil"/>
              <w:tr2bl w:val="nil"/>
            </w:tcBorders>
            <w:noWrap w:val="0"/>
            <w:vAlign w:val="center"/>
          </w:tcPr>
          <w:p w14:paraId="6AED281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rPr>
              <w:t>每月定期检查楼内的各类水电、消防设施和设备，定期上交检查结果，设备设施损坏和缺损如实汇报，发现安全隐患及时处理和汇报</w:t>
            </w:r>
          </w:p>
        </w:tc>
      </w:tr>
      <w:tr w14:paraId="07A7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2068451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bottom w:val="single" w:color="auto" w:sz="4" w:space="0"/>
              <w:right w:val="single" w:color="auto" w:sz="4" w:space="0"/>
              <w:tl2br w:val="nil"/>
              <w:tr2bl w:val="nil"/>
            </w:tcBorders>
            <w:noWrap w:val="0"/>
            <w:vAlign w:val="center"/>
          </w:tcPr>
          <w:p w14:paraId="473FC88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bottom w:val="single" w:color="auto" w:sz="4" w:space="0"/>
              <w:right w:val="single" w:color="auto" w:sz="4" w:space="0"/>
              <w:tl2br w:val="nil"/>
              <w:tr2bl w:val="nil"/>
            </w:tcBorders>
            <w:noWrap w:val="0"/>
            <w:vAlign w:val="center"/>
          </w:tcPr>
          <w:p w14:paraId="7CD7AC5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140242">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7.发生盗窃</w:t>
            </w:r>
            <w:r>
              <w:rPr>
                <w:rFonts w:hint="eastAsia" w:ascii="宋体" w:hAnsi="宋体" w:cs="宋体"/>
                <w:sz w:val="21"/>
                <w:szCs w:val="21"/>
                <w:lang w:val="en-US" w:eastAsia="zh-CN"/>
              </w:rPr>
              <w:t>，发生1例扣3分。</w:t>
            </w:r>
          </w:p>
        </w:tc>
        <w:tc>
          <w:tcPr>
            <w:tcW w:w="533" w:type="pct"/>
            <w:vMerge w:val="continue"/>
            <w:tcBorders>
              <w:left w:val="single" w:color="auto" w:sz="4" w:space="0"/>
              <w:bottom w:val="single" w:color="auto" w:sz="4" w:space="0"/>
              <w:right w:val="single" w:color="auto" w:sz="4" w:space="0"/>
              <w:tl2br w:val="nil"/>
              <w:tr2bl w:val="nil"/>
            </w:tcBorders>
            <w:noWrap w:val="0"/>
            <w:vAlign w:val="center"/>
          </w:tcPr>
          <w:p w14:paraId="0608CFA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6EABBC0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309F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3B03F3B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4" w:type="pct"/>
            <w:vMerge w:val="continue"/>
            <w:tcBorders>
              <w:left w:val="single" w:color="auto" w:sz="4" w:space="0"/>
              <w:bottom w:val="single" w:color="auto" w:sz="4" w:space="0"/>
              <w:right w:val="single" w:color="auto" w:sz="4" w:space="0"/>
              <w:tl2br w:val="nil"/>
              <w:tr2bl w:val="nil"/>
            </w:tcBorders>
            <w:noWrap w:val="0"/>
            <w:vAlign w:val="center"/>
          </w:tcPr>
          <w:p w14:paraId="49DCFC1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vMerge w:val="continue"/>
            <w:tcBorders>
              <w:left w:val="single" w:color="auto" w:sz="4" w:space="0"/>
              <w:bottom w:val="single" w:color="auto" w:sz="4" w:space="0"/>
              <w:right w:val="single" w:color="auto" w:sz="4" w:space="0"/>
              <w:tl2br w:val="nil"/>
              <w:tr2bl w:val="nil"/>
            </w:tcBorders>
            <w:noWrap w:val="0"/>
            <w:vAlign w:val="center"/>
          </w:tcPr>
          <w:p w14:paraId="552EE4D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5D31461">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严禁在</w:t>
            </w:r>
            <w:r>
              <w:rPr>
                <w:rFonts w:hint="eastAsia" w:ascii="宋体" w:hAnsi="宋体" w:cs="宋体"/>
                <w:sz w:val="21"/>
                <w:szCs w:val="21"/>
                <w:lang w:val="en-US" w:eastAsia="zh-CN"/>
              </w:rPr>
              <w:t>管理范围内发生</w:t>
            </w:r>
            <w:r>
              <w:rPr>
                <w:rFonts w:hint="eastAsia" w:ascii="宋体" w:hAnsi="宋体" w:eastAsia="宋体" w:cs="宋体"/>
                <w:sz w:val="21"/>
                <w:szCs w:val="21"/>
                <w:lang w:val="en-US" w:eastAsia="zh-CN"/>
              </w:rPr>
              <w:t>非法经营活动（包括倒号、小商品贩卖、送餐等违规活动），发生一例次扣</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p>
        </w:tc>
        <w:tc>
          <w:tcPr>
            <w:tcW w:w="533" w:type="pct"/>
            <w:tcBorders>
              <w:left w:val="single" w:color="auto" w:sz="4" w:space="0"/>
              <w:bottom w:val="single" w:color="auto" w:sz="4" w:space="0"/>
              <w:right w:val="single" w:color="auto" w:sz="4" w:space="0"/>
              <w:tl2br w:val="nil"/>
              <w:tr2bl w:val="nil"/>
            </w:tcBorders>
            <w:noWrap w:val="0"/>
            <w:vAlign w:val="center"/>
          </w:tcPr>
          <w:p w14:paraId="6F3CDDE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06EA07C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2AF6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39" w:type="pct"/>
            <w:vMerge w:val="restart"/>
            <w:tcBorders>
              <w:left w:val="single" w:color="auto" w:sz="4" w:space="0"/>
              <w:right w:val="single" w:color="auto" w:sz="4" w:space="0"/>
              <w:tl2br w:val="nil"/>
              <w:tr2bl w:val="nil"/>
            </w:tcBorders>
            <w:noWrap w:val="0"/>
            <w:vAlign w:val="center"/>
          </w:tcPr>
          <w:p w14:paraId="3FFFCF5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584" w:type="pct"/>
            <w:vMerge w:val="restart"/>
            <w:tcBorders>
              <w:left w:val="single" w:color="auto" w:sz="4" w:space="0"/>
              <w:right w:val="single" w:color="auto" w:sz="4" w:space="0"/>
              <w:tl2br w:val="nil"/>
              <w:tr2bl w:val="nil"/>
            </w:tcBorders>
            <w:noWrap w:val="0"/>
            <w:vAlign w:val="center"/>
          </w:tcPr>
          <w:p w14:paraId="6A98C1A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车辆管理</w:t>
            </w:r>
            <w:r>
              <w:rPr>
                <w:rFonts w:hint="eastAsia" w:ascii="宋体" w:hAnsi="宋体" w:cs="宋体"/>
                <w:sz w:val="21"/>
                <w:szCs w:val="21"/>
                <w:lang w:val="en-US" w:eastAsia="zh-CN"/>
              </w:rPr>
              <w:t>（20分）</w:t>
            </w:r>
          </w:p>
        </w:tc>
        <w:tc>
          <w:tcPr>
            <w:tcW w:w="581" w:type="pct"/>
            <w:vMerge w:val="restart"/>
            <w:tcBorders>
              <w:left w:val="single" w:color="auto" w:sz="4" w:space="0"/>
              <w:right w:val="single" w:color="auto" w:sz="4" w:space="0"/>
              <w:tl2br w:val="nil"/>
              <w:tr2bl w:val="nil"/>
            </w:tcBorders>
            <w:noWrap w:val="0"/>
            <w:vAlign w:val="center"/>
          </w:tcPr>
          <w:p w14:paraId="52D6686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车辆管理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5B8137">
            <w:pPr>
              <w:spacing w:beforeLines="0" w:afterLines="0"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1.大门、闸口、或者</w:t>
            </w:r>
            <w:r>
              <w:rPr>
                <w:rFonts w:hint="eastAsia" w:ascii="宋体" w:hAnsi="宋体" w:cs="宋体"/>
                <w:sz w:val="21"/>
                <w:szCs w:val="21"/>
              </w:rPr>
              <w:t>停车区域车发现阻挡正常通行，</w:t>
            </w:r>
            <w:r>
              <w:rPr>
                <w:rFonts w:hint="eastAsia" w:ascii="宋体" w:hAnsi="宋体" w:cs="宋体"/>
                <w:sz w:val="21"/>
                <w:szCs w:val="21"/>
                <w:lang w:val="en-US" w:eastAsia="zh-CN"/>
              </w:rPr>
              <w:t>发现后每车次扣1分</w:t>
            </w:r>
            <w:r>
              <w:rPr>
                <w:rFonts w:hint="eastAsia" w:ascii="宋体" w:hAnsi="宋体" w:cs="宋体"/>
                <w:sz w:val="21"/>
                <w:szCs w:val="21"/>
              </w:rPr>
              <w:t>。</w:t>
            </w:r>
          </w:p>
        </w:tc>
        <w:tc>
          <w:tcPr>
            <w:tcW w:w="533" w:type="pct"/>
            <w:tcBorders>
              <w:left w:val="single" w:color="auto" w:sz="4" w:space="0"/>
              <w:bottom w:val="single" w:color="auto" w:sz="4" w:space="0"/>
              <w:right w:val="single" w:color="auto" w:sz="4" w:space="0"/>
              <w:tl2br w:val="nil"/>
              <w:tr2bl w:val="nil"/>
            </w:tcBorders>
            <w:noWrap w:val="0"/>
            <w:vAlign w:val="center"/>
          </w:tcPr>
          <w:p w14:paraId="352BB89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132D3C7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076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39" w:type="pct"/>
            <w:vMerge w:val="continue"/>
            <w:tcBorders>
              <w:left w:val="single" w:color="auto" w:sz="4" w:space="0"/>
              <w:right w:val="single" w:color="auto" w:sz="4" w:space="0"/>
              <w:tl2br w:val="nil"/>
              <w:tr2bl w:val="nil"/>
            </w:tcBorders>
            <w:noWrap w:val="0"/>
            <w:vAlign w:val="center"/>
          </w:tcPr>
          <w:p w14:paraId="1FB80C9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584" w:type="pct"/>
            <w:vMerge w:val="continue"/>
            <w:tcBorders>
              <w:left w:val="single" w:color="auto" w:sz="4" w:space="0"/>
              <w:right w:val="single" w:color="auto" w:sz="4" w:space="0"/>
              <w:tl2br w:val="nil"/>
              <w:tr2bl w:val="nil"/>
            </w:tcBorders>
            <w:noWrap w:val="0"/>
            <w:vAlign w:val="center"/>
          </w:tcPr>
          <w:p w14:paraId="380D33A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p>
        </w:tc>
        <w:tc>
          <w:tcPr>
            <w:tcW w:w="581" w:type="pct"/>
            <w:vMerge w:val="continue"/>
            <w:tcBorders>
              <w:left w:val="single" w:color="auto" w:sz="4" w:space="0"/>
              <w:right w:val="single" w:color="auto" w:sz="4" w:space="0"/>
              <w:tl2br w:val="nil"/>
              <w:tr2bl w:val="nil"/>
            </w:tcBorders>
            <w:noWrap w:val="0"/>
            <w:vAlign w:val="center"/>
          </w:tcPr>
          <w:p w14:paraId="761BCC7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E42E93">
            <w:pPr>
              <w:spacing w:beforeLines="0" w:afterLines="0"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cs="宋体"/>
                <w:sz w:val="21"/>
                <w:szCs w:val="21"/>
              </w:rPr>
              <w:t>停车区域非机动车随意乱放</w:t>
            </w:r>
            <w:r>
              <w:rPr>
                <w:rFonts w:hint="eastAsia" w:ascii="宋体" w:hAnsi="宋体" w:cs="宋体"/>
                <w:sz w:val="21"/>
                <w:szCs w:val="21"/>
                <w:lang w:val="en-US" w:eastAsia="zh-CN"/>
              </w:rPr>
              <w:t>影响正常通行，</w:t>
            </w:r>
            <w:r>
              <w:rPr>
                <w:rFonts w:hint="eastAsia" w:ascii="宋体" w:hAnsi="宋体" w:cs="宋体"/>
                <w:sz w:val="21"/>
                <w:szCs w:val="21"/>
              </w:rPr>
              <w:t>未及时拖离的，发现</w:t>
            </w:r>
            <w:r>
              <w:rPr>
                <w:rFonts w:hint="eastAsia" w:ascii="宋体" w:hAnsi="宋体" w:cs="宋体"/>
                <w:sz w:val="21"/>
                <w:szCs w:val="21"/>
                <w:lang w:val="en-US" w:eastAsia="zh-CN"/>
              </w:rPr>
              <w:t>后每车次扣0.5</w:t>
            </w:r>
            <w:r>
              <w:rPr>
                <w:rFonts w:hint="eastAsia" w:ascii="宋体" w:hAnsi="宋体" w:cs="宋体"/>
                <w:sz w:val="21"/>
                <w:szCs w:val="21"/>
              </w:rPr>
              <w:t>分。</w:t>
            </w:r>
          </w:p>
        </w:tc>
        <w:tc>
          <w:tcPr>
            <w:tcW w:w="533" w:type="pct"/>
            <w:tcBorders>
              <w:left w:val="single" w:color="auto" w:sz="4" w:space="0"/>
              <w:bottom w:val="single" w:color="auto" w:sz="4" w:space="0"/>
              <w:right w:val="single" w:color="auto" w:sz="4" w:space="0"/>
              <w:tl2br w:val="nil"/>
              <w:tr2bl w:val="nil"/>
            </w:tcBorders>
            <w:noWrap w:val="0"/>
            <w:vAlign w:val="center"/>
          </w:tcPr>
          <w:p w14:paraId="40595B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798A000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5E46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39" w:type="pct"/>
            <w:vMerge w:val="continue"/>
            <w:tcBorders>
              <w:left w:val="single" w:color="auto" w:sz="4" w:space="0"/>
              <w:right w:val="single" w:color="auto" w:sz="4" w:space="0"/>
              <w:tl2br w:val="nil"/>
              <w:tr2bl w:val="nil"/>
            </w:tcBorders>
            <w:noWrap w:val="0"/>
            <w:vAlign w:val="center"/>
          </w:tcPr>
          <w:p w14:paraId="69789D6B">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584" w:type="pct"/>
            <w:vMerge w:val="continue"/>
            <w:tcBorders>
              <w:left w:val="single" w:color="auto" w:sz="4" w:space="0"/>
              <w:right w:val="single" w:color="auto" w:sz="4" w:space="0"/>
              <w:tl2br w:val="nil"/>
              <w:tr2bl w:val="nil"/>
            </w:tcBorders>
            <w:noWrap w:val="0"/>
            <w:vAlign w:val="center"/>
          </w:tcPr>
          <w:p w14:paraId="3A6E4C7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p>
        </w:tc>
        <w:tc>
          <w:tcPr>
            <w:tcW w:w="581" w:type="pct"/>
            <w:vMerge w:val="continue"/>
            <w:tcBorders>
              <w:left w:val="single" w:color="auto" w:sz="4" w:space="0"/>
              <w:right w:val="single" w:color="auto" w:sz="4" w:space="0"/>
              <w:tl2br w:val="nil"/>
              <w:tr2bl w:val="nil"/>
            </w:tcBorders>
            <w:noWrap w:val="0"/>
            <w:vAlign w:val="center"/>
          </w:tcPr>
          <w:p w14:paraId="463760A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A8F7F4">
            <w:pPr>
              <w:spacing w:beforeLines="0" w:afterLines="0"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道路堵塞，未在半小时内疏通的，发生1例扣</w:t>
            </w:r>
            <w:r>
              <w:rPr>
                <w:rFonts w:hint="eastAsia" w:ascii="宋体" w:hAnsi="宋体" w:cs="宋体"/>
                <w:sz w:val="21"/>
                <w:szCs w:val="21"/>
                <w:lang w:val="en-US" w:eastAsia="zh-CN"/>
              </w:rPr>
              <w:t>3</w:t>
            </w:r>
            <w:r>
              <w:rPr>
                <w:rFonts w:hint="eastAsia" w:ascii="宋体" w:hAnsi="宋体" w:cs="宋体"/>
                <w:sz w:val="21"/>
                <w:szCs w:val="21"/>
              </w:rPr>
              <w:t>分。</w:t>
            </w:r>
          </w:p>
        </w:tc>
        <w:tc>
          <w:tcPr>
            <w:tcW w:w="533" w:type="pct"/>
            <w:tcBorders>
              <w:left w:val="single" w:color="auto" w:sz="4" w:space="0"/>
              <w:bottom w:val="single" w:color="auto" w:sz="4" w:space="0"/>
              <w:right w:val="single" w:color="auto" w:sz="4" w:space="0"/>
              <w:tl2br w:val="nil"/>
              <w:tr2bl w:val="nil"/>
            </w:tcBorders>
            <w:noWrap w:val="0"/>
            <w:vAlign w:val="center"/>
          </w:tcPr>
          <w:p w14:paraId="1FA80ED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205DF07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1826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39" w:type="pct"/>
            <w:vMerge w:val="continue"/>
            <w:tcBorders>
              <w:left w:val="single" w:color="auto" w:sz="4" w:space="0"/>
              <w:right w:val="single" w:color="auto" w:sz="4" w:space="0"/>
              <w:tl2br w:val="nil"/>
              <w:tr2bl w:val="nil"/>
            </w:tcBorders>
            <w:noWrap w:val="0"/>
            <w:vAlign w:val="center"/>
          </w:tcPr>
          <w:p w14:paraId="0503EEF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584" w:type="pct"/>
            <w:vMerge w:val="continue"/>
            <w:tcBorders>
              <w:left w:val="single" w:color="auto" w:sz="4" w:space="0"/>
              <w:right w:val="single" w:color="auto" w:sz="4" w:space="0"/>
              <w:tl2br w:val="nil"/>
              <w:tr2bl w:val="nil"/>
            </w:tcBorders>
            <w:noWrap w:val="0"/>
            <w:vAlign w:val="center"/>
          </w:tcPr>
          <w:p w14:paraId="088F3F9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p>
        </w:tc>
        <w:tc>
          <w:tcPr>
            <w:tcW w:w="581" w:type="pct"/>
            <w:vMerge w:val="continue"/>
            <w:tcBorders>
              <w:left w:val="single" w:color="auto" w:sz="4" w:space="0"/>
              <w:right w:val="single" w:color="auto" w:sz="4" w:space="0"/>
              <w:tl2br w:val="nil"/>
              <w:tr2bl w:val="nil"/>
            </w:tcBorders>
            <w:noWrap w:val="0"/>
            <w:vAlign w:val="center"/>
          </w:tcPr>
          <w:p w14:paraId="6EFEE5B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4A5C22">
            <w:pPr>
              <w:spacing w:beforeLines="0" w:afterLines="0" w:line="40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对消防通道通畅情况，发现1例次不符要求扣</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533" w:type="pct"/>
            <w:tcBorders>
              <w:left w:val="single" w:color="auto" w:sz="4" w:space="0"/>
              <w:bottom w:val="single" w:color="auto" w:sz="4" w:space="0"/>
              <w:right w:val="single" w:color="auto" w:sz="4" w:space="0"/>
              <w:tl2br w:val="nil"/>
              <w:tr2bl w:val="nil"/>
            </w:tcBorders>
            <w:noWrap w:val="0"/>
            <w:vAlign w:val="center"/>
          </w:tcPr>
          <w:p w14:paraId="7C1945D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2231486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528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39" w:type="pct"/>
            <w:vMerge w:val="restart"/>
            <w:tcBorders>
              <w:left w:val="single" w:color="auto" w:sz="4" w:space="0"/>
              <w:right w:val="single" w:color="auto" w:sz="4" w:space="0"/>
              <w:tl2br w:val="nil"/>
              <w:tr2bl w:val="nil"/>
            </w:tcBorders>
            <w:noWrap w:val="0"/>
            <w:vAlign w:val="center"/>
          </w:tcPr>
          <w:p w14:paraId="3A2535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584" w:type="pct"/>
            <w:vMerge w:val="restart"/>
            <w:tcBorders>
              <w:left w:val="single" w:color="auto" w:sz="4" w:space="0"/>
              <w:right w:val="single" w:color="auto" w:sz="4" w:space="0"/>
              <w:tl2br w:val="nil"/>
              <w:tr2bl w:val="nil"/>
            </w:tcBorders>
            <w:noWrap w:val="0"/>
            <w:vAlign w:val="center"/>
          </w:tcPr>
          <w:p w14:paraId="2D99ADF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人员管理</w:t>
            </w:r>
          </w:p>
          <w:p w14:paraId="08E71F8C">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w:t>
            </w:r>
            <w:r>
              <w:rPr>
                <w:rFonts w:hint="eastAsia" w:ascii="宋体" w:hAnsi="宋体" w:cs="宋体"/>
                <w:sz w:val="21"/>
                <w:szCs w:val="21"/>
                <w:lang w:val="en-US" w:eastAsia="zh-CN"/>
              </w:rPr>
              <w:t>1</w:t>
            </w:r>
            <w:r>
              <w:rPr>
                <w:rFonts w:hint="default" w:ascii="宋体" w:hAnsi="宋体" w:eastAsia="宋体" w:cs="宋体"/>
                <w:sz w:val="21"/>
                <w:szCs w:val="21"/>
                <w:lang w:val="en-US" w:eastAsia="zh-CN"/>
              </w:rPr>
              <w:t>0分）</w:t>
            </w:r>
          </w:p>
        </w:tc>
        <w:tc>
          <w:tcPr>
            <w:tcW w:w="581" w:type="pct"/>
            <w:vMerge w:val="restart"/>
            <w:tcBorders>
              <w:left w:val="single" w:color="auto" w:sz="4" w:space="0"/>
              <w:right w:val="single" w:color="auto" w:sz="4" w:space="0"/>
              <w:tl2br w:val="nil"/>
              <w:tr2bl w:val="nil"/>
            </w:tcBorders>
            <w:noWrap w:val="0"/>
            <w:vAlign w:val="center"/>
          </w:tcPr>
          <w:p w14:paraId="443F127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人员</w:t>
            </w:r>
            <w:r>
              <w:rPr>
                <w:rFonts w:hint="eastAsia" w:ascii="宋体" w:hAnsi="宋体" w:eastAsia="宋体" w:cs="宋体"/>
                <w:sz w:val="21"/>
                <w:szCs w:val="21"/>
              </w:rPr>
              <w:t>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1B82620">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工作人员频繁非合理原因换人</w:t>
            </w:r>
            <w:r>
              <w:rPr>
                <w:rFonts w:hint="eastAsia" w:ascii="宋体" w:hAnsi="宋体" w:cs="宋体"/>
                <w:sz w:val="21"/>
                <w:szCs w:val="21"/>
                <w:lang w:val="en-US" w:eastAsia="zh-CN"/>
              </w:rPr>
              <w:t>，发现1例扣2分。</w:t>
            </w:r>
          </w:p>
        </w:tc>
        <w:tc>
          <w:tcPr>
            <w:tcW w:w="533" w:type="pct"/>
            <w:tcBorders>
              <w:left w:val="single" w:color="auto" w:sz="4" w:space="0"/>
              <w:bottom w:val="single" w:color="auto" w:sz="4" w:space="0"/>
              <w:right w:val="single" w:color="auto" w:sz="4" w:space="0"/>
              <w:tl2br w:val="nil"/>
              <w:tr2bl w:val="nil"/>
            </w:tcBorders>
            <w:noWrap w:val="0"/>
            <w:vAlign w:val="center"/>
          </w:tcPr>
          <w:p w14:paraId="41EBF58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641ED44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1E68E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587C469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584" w:type="pct"/>
            <w:vMerge w:val="continue"/>
            <w:tcBorders>
              <w:left w:val="single" w:color="auto" w:sz="4" w:space="0"/>
              <w:bottom w:val="single" w:color="auto" w:sz="4" w:space="0"/>
              <w:right w:val="single" w:color="auto" w:sz="4" w:space="0"/>
              <w:tl2br w:val="nil"/>
              <w:tr2bl w:val="nil"/>
            </w:tcBorders>
            <w:noWrap w:val="0"/>
            <w:vAlign w:val="center"/>
          </w:tcPr>
          <w:p w14:paraId="5719273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p>
        </w:tc>
        <w:tc>
          <w:tcPr>
            <w:tcW w:w="581" w:type="pct"/>
            <w:vMerge w:val="continue"/>
            <w:tcBorders>
              <w:left w:val="single" w:color="auto" w:sz="4" w:space="0"/>
              <w:bottom w:val="single" w:color="auto" w:sz="4" w:space="0"/>
              <w:right w:val="single" w:color="auto" w:sz="4" w:space="0"/>
              <w:tl2br w:val="nil"/>
              <w:tr2bl w:val="nil"/>
            </w:tcBorders>
            <w:noWrap w:val="0"/>
            <w:vAlign w:val="center"/>
          </w:tcPr>
          <w:p w14:paraId="3628C8C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val="en-US" w:eastAsia="zh-CN"/>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BA37DAD">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建立并实施专业技术人员的人员管理、培训制度</w:t>
            </w:r>
            <w:r>
              <w:rPr>
                <w:rFonts w:hint="eastAsia" w:ascii="宋体" w:hAnsi="宋体" w:cs="宋体"/>
                <w:sz w:val="21"/>
                <w:szCs w:val="21"/>
                <w:lang w:val="en-US" w:eastAsia="zh-CN"/>
              </w:rPr>
              <w:t>，因人员管理，培训不到位导致意外或事故的，发生1例扣2分。</w:t>
            </w:r>
          </w:p>
        </w:tc>
        <w:tc>
          <w:tcPr>
            <w:tcW w:w="533" w:type="pct"/>
            <w:tcBorders>
              <w:left w:val="single" w:color="auto" w:sz="4" w:space="0"/>
              <w:bottom w:val="single" w:color="auto" w:sz="4" w:space="0"/>
              <w:right w:val="single" w:color="auto" w:sz="4" w:space="0"/>
              <w:tl2br w:val="nil"/>
              <w:tr2bl w:val="nil"/>
            </w:tcBorders>
            <w:noWrap w:val="0"/>
            <w:vAlign w:val="center"/>
          </w:tcPr>
          <w:p w14:paraId="1CE43A0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left w:val="single" w:color="auto" w:sz="4" w:space="0"/>
              <w:bottom w:val="single" w:color="auto" w:sz="4" w:space="0"/>
              <w:right w:val="single" w:color="auto" w:sz="4" w:space="0"/>
              <w:tl2br w:val="nil"/>
              <w:tr2bl w:val="nil"/>
            </w:tcBorders>
            <w:noWrap w:val="0"/>
            <w:vAlign w:val="center"/>
          </w:tcPr>
          <w:p w14:paraId="04CD997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1534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Merge w:val="restart"/>
            <w:tcBorders>
              <w:top w:val="single" w:color="auto" w:sz="4" w:space="0"/>
              <w:left w:val="single" w:color="auto" w:sz="4" w:space="0"/>
              <w:right w:val="single" w:color="auto" w:sz="4" w:space="0"/>
              <w:tl2br w:val="nil"/>
              <w:tr2bl w:val="nil"/>
            </w:tcBorders>
            <w:noWrap w:val="0"/>
            <w:vAlign w:val="center"/>
          </w:tcPr>
          <w:p w14:paraId="3F32CE8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584" w:type="pct"/>
            <w:vMerge w:val="restart"/>
            <w:tcBorders>
              <w:top w:val="single" w:color="auto" w:sz="4" w:space="0"/>
              <w:left w:val="single" w:color="auto" w:sz="4" w:space="0"/>
              <w:right w:val="single" w:color="auto" w:sz="4" w:space="0"/>
              <w:tl2br w:val="nil"/>
              <w:tr2bl w:val="nil"/>
            </w:tcBorders>
            <w:noWrap w:val="0"/>
            <w:vAlign w:val="center"/>
          </w:tcPr>
          <w:p w14:paraId="180C144D">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cs="宋体"/>
                <w:sz w:val="21"/>
                <w:szCs w:val="21"/>
                <w:lang w:eastAsia="zh-CN"/>
              </w:rPr>
            </w:pPr>
            <w:r>
              <w:rPr>
                <w:rFonts w:hint="eastAsia" w:ascii="宋体" w:hAnsi="宋体" w:eastAsia="宋体" w:cs="宋体"/>
                <w:sz w:val="21"/>
                <w:szCs w:val="21"/>
              </w:rPr>
              <w:t>应急管理</w:t>
            </w:r>
            <w:r>
              <w:rPr>
                <w:rFonts w:hint="eastAsia" w:ascii="宋体" w:hAnsi="宋体" w:cs="宋体"/>
                <w:sz w:val="21"/>
                <w:szCs w:val="21"/>
                <w:lang w:eastAsia="zh-CN"/>
              </w:rPr>
              <w:t>、上级检查</w:t>
            </w:r>
          </w:p>
          <w:p w14:paraId="0CF0E5C3">
            <w:pPr>
              <w:pStyle w:val="47"/>
              <w:ind w:left="0" w:leftChars="0" w:firstLine="0" w:firstLineChars="0"/>
              <w:rPr>
                <w:rFonts w:hint="eastAsia"/>
              </w:rPr>
            </w:pPr>
            <w:r>
              <w:rPr>
                <w:rFonts w:hint="eastAsia" w:ascii="宋体" w:hAnsi="宋体" w:cs="宋体"/>
                <w:sz w:val="21"/>
                <w:szCs w:val="21"/>
                <w:lang w:eastAsia="zh-CN"/>
              </w:rPr>
              <w:t>（</w:t>
            </w:r>
            <w:r>
              <w:rPr>
                <w:rFonts w:hint="eastAsia" w:ascii="宋体" w:hAnsi="宋体" w:cs="宋体"/>
                <w:sz w:val="21"/>
                <w:szCs w:val="21"/>
                <w:lang w:val="en-US" w:eastAsia="zh-CN"/>
              </w:rPr>
              <w:t>20分</w:t>
            </w:r>
            <w:r>
              <w:rPr>
                <w:rFonts w:hint="eastAsia" w:ascii="宋体" w:hAnsi="宋体" w:cs="宋体"/>
                <w:sz w:val="21"/>
                <w:szCs w:val="21"/>
                <w:lang w:eastAsia="zh-CN"/>
              </w:rPr>
              <w:t>）</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6B0CF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应急管理</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B05A6C6">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有危害招标方工作人员及其他人员安全事件苗头时，接通知15分钟未到场，每迟到1分钟扣1分。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7B545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9D3889">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7D93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9" w:type="pct"/>
            <w:vMerge w:val="continue"/>
            <w:tcBorders>
              <w:left w:val="single" w:color="auto" w:sz="4" w:space="0"/>
              <w:bottom w:val="single" w:color="auto" w:sz="4" w:space="0"/>
              <w:right w:val="single" w:color="auto" w:sz="4" w:space="0"/>
              <w:tl2br w:val="nil"/>
              <w:tr2bl w:val="nil"/>
            </w:tcBorders>
            <w:noWrap w:val="0"/>
            <w:vAlign w:val="center"/>
          </w:tcPr>
          <w:p w14:paraId="640DFDC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lang w:eastAsia="zh-CN"/>
              </w:rPr>
            </w:pPr>
          </w:p>
        </w:tc>
        <w:tc>
          <w:tcPr>
            <w:tcW w:w="584" w:type="pct"/>
            <w:vMerge w:val="continue"/>
            <w:tcBorders>
              <w:left w:val="single" w:color="auto" w:sz="4" w:space="0"/>
              <w:bottom w:val="single" w:color="auto" w:sz="4" w:space="0"/>
              <w:right w:val="single" w:color="auto" w:sz="4" w:space="0"/>
              <w:tl2br w:val="nil"/>
              <w:tr2bl w:val="nil"/>
            </w:tcBorders>
            <w:noWrap w:val="0"/>
            <w:vAlign w:val="center"/>
          </w:tcPr>
          <w:p w14:paraId="7FF53C7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A3FD12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上级检查</w:t>
            </w: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3938695">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受到上级部门通报批评（因供应商过错）。出现一</w:t>
            </w:r>
            <w:r>
              <w:rPr>
                <w:rFonts w:hint="eastAsia" w:ascii="宋体" w:hAnsi="宋体" w:eastAsia="宋体" w:cs="宋体"/>
                <w:sz w:val="21"/>
                <w:szCs w:val="21"/>
                <w:lang w:eastAsia="zh-CN"/>
              </w:rPr>
              <w:t>例</w:t>
            </w:r>
            <w:r>
              <w:rPr>
                <w:rFonts w:hint="eastAsia" w:ascii="宋体" w:hAnsi="宋体" w:eastAsia="宋体" w:cs="宋体"/>
                <w:sz w:val="21"/>
                <w:szCs w:val="21"/>
              </w:rPr>
              <w:t>扣20分。</w:t>
            </w: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95C6A2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C639CD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r w14:paraId="3EBB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BB2C0C8">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58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3D1A40">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100分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B3E047">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26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64244E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533"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D83415">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c>
          <w:tcPr>
            <w:tcW w:w="3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1C0FB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sz w:val="21"/>
                <w:szCs w:val="21"/>
              </w:rPr>
            </w:pPr>
          </w:p>
        </w:tc>
      </w:tr>
    </w:tbl>
    <w:p w14:paraId="3AD57904">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供应商要无条件接受招标方定期或不定期检查监督。每月考核一次。考核满分100分，考核内容详见附表。考核分数≥90分，考核合格。</w:t>
      </w:r>
      <w:r>
        <w:rPr>
          <w:rFonts w:hint="eastAsia" w:ascii="宋体" w:hAnsi="宋体"/>
          <w:sz w:val="21"/>
          <w:szCs w:val="21"/>
          <w:lang w:eastAsia="zh-CN"/>
        </w:rPr>
        <w:t>考核分数＜90分，从100分起算，每减少1分扣100元</w:t>
      </w:r>
      <w:r>
        <w:rPr>
          <w:rFonts w:hint="eastAsia" w:ascii="宋体" w:hAnsi="宋体"/>
          <w:sz w:val="21"/>
          <w:szCs w:val="21"/>
        </w:rPr>
        <w:t>，每月所扣款项在支付服务费时一并扣减，同时视为当月考核不合格，一年内出现第3次考核不合格，甲方有权单方终止合同。</w:t>
      </w:r>
    </w:p>
    <w:p w14:paraId="15B9A366">
      <w:pPr>
        <w:adjustRightInd w:val="0"/>
        <w:snapToGrid w:val="0"/>
        <w:spacing w:beforeLines="0" w:afterLines="0" w:line="360" w:lineRule="auto"/>
        <w:ind w:firstLine="422" w:firstLineChars="200"/>
        <w:jc w:val="left"/>
        <w:rPr>
          <w:rFonts w:hint="eastAsia" w:ascii="宋体" w:hAnsi="宋体"/>
          <w:b/>
          <w:bCs/>
          <w:sz w:val="21"/>
          <w:szCs w:val="21"/>
          <w:lang w:val="en-US" w:eastAsia="zh-CN"/>
        </w:rPr>
      </w:pPr>
      <w:r>
        <w:rPr>
          <w:rFonts w:hint="eastAsia" w:ascii="宋体" w:hAnsi="宋体"/>
          <w:b/>
          <w:bCs/>
          <w:sz w:val="21"/>
          <w:szCs w:val="21"/>
          <w:lang w:val="en-US" w:eastAsia="zh-CN"/>
        </w:rPr>
        <w:t>五、其他违约情形</w:t>
      </w:r>
    </w:p>
    <w:p w14:paraId="39B27833">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（1）中标单位未确保响应承诺的人员到位，或人员素质不符合采购文件要求，或与响应承诺不一致的，按实际缺席天数扣除人员费用，一周后仍没到位，加扣当月服务费的50%。</w:t>
      </w:r>
    </w:p>
    <w:p w14:paraId="21DE06D0">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（2）采购人要求中标单位变动或更换人员，中标单位未在规定时间内变动或更换的，每人次扣1000元。</w:t>
      </w:r>
    </w:p>
    <w:p w14:paraId="1A36CB1B">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（3）中标单位未按招标文件要求支付工资、加班薪资，缴纳各种社会保险的，每人次扣1000元。</w:t>
      </w:r>
    </w:p>
    <w:p w14:paraId="63C42276">
      <w:pPr>
        <w:adjustRightInd w:val="0"/>
        <w:snapToGrid w:val="0"/>
        <w:spacing w:beforeLines="0" w:afterLines="0" w:line="360" w:lineRule="auto"/>
        <w:ind w:firstLine="420" w:firstLineChars="200"/>
        <w:jc w:val="left"/>
        <w:rPr>
          <w:rFonts w:hint="eastAsia" w:ascii="宋体" w:hAnsi="宋体"/>
          <w:sz w:val="21"/>
          <w:szCs w:val="21"/>
        </w:rPr>
      </w:pPr>
      <w:r>
        <w:rPr>
          <w:rFonts w:hint="eastAsia" w:ascii="宋体" w:hAnsi="宋体"/>
          <w:sz w:val="21"/>
          <w:szCs w:val="21"/>
        </w:rPr>
        <w:t>（4）中标单位未按投标文件承诺配置设备及耗材的，或配置设备及耗材质量、数量不能满足日常需要的，每次扣1000元。</w:t>
      </w:r>
    </w:p>
    <w:p w14:paraId="2563D061">
      <w:pPr>
        <w:rPr>
          <w:rFonts w:ascii="宋体" w:hAnsi="宋体"/>
          <w:b/>
          <w:color w:val="auto"/>
          <w:sz w:val="32"/>
        </w:rPr>
      </w:pPr>
      <w:r>
        <w:rPr>
          <w:rFonts w:hint="eastAsia" w:ascii="宋体" w:hAnsi="宋体"/>
          <w:b/>
          <w:color w:val="auto"/>
          <w:sz w:val="32"/>
        </w:rPr>
        <w:br w:type="page"/>
      </w:r>
    </w:p>
    <w:p w14:paraId="0EE541E8">
      <w:pPr>
        <w:spacing w:line="400" w:lineRule="exact"/>
        <w:jc w:val="center"/>
        <w:outlineLvl w:val="0"/>
        <w:rPr>
          <w:rFonts w:ascii="宋体" w:hAnsi="宋体"/>
          <w:b/>
          <w:color w:val="auto"/>
          <w:sz w:val="32"/>
        </w:rPr>
      </w:pPr>
      <w:bookmarkStart w:id="35" w:name="_Toc28263"/>
      <w:r>
        <w:rPr>
          <w:rFonts w:hint="eastAsia" w:ascii="宋体" w:hAnsi="宋体"/>
          <w:b/>
          <w:color w:val="auto"/>
          <w:sz w:val="32"/>
        </w:rPr>
        <w:t>第六章 商务条款</w:t>
      </w:r>
      <w:bookmarkEnd w:id="35"/>
    </w:p>
    <w:p w14:paraId="2D219508">
      <w:pPr>
        <w:spacing w:line="360" w:lineRule="auto"/>
        <w:ind w:firstLine="420" w:firstLineChars="200"/>
        <w:rPr>
          <w:rFonts w:hint="eastAsia" w:ascii="宋体" w:hAnsi="宋体" w:cs="宋体"/>
          <w:color w:val="auto"/>
          <w:szCs w:val="21"/>
        </w:rPr>
      </w:pPr>
    </w:p>
    <w:p w14:paraId="394CF0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sz w:val="21"/>
          <w:szCs w:val="21"/>
        </w:rPr>
        <w:t>一、</w:t>
      </w:r>
      <w:r>
        <w:rPr>
          <w:rFonts w:hint="eastAsia" w:ascii="宋体" w:hAnsi="宋体" w:cs="宋体"/>
          <w:color w:val="000000"/>
          <w:sz w:val="21"/>
          <w:szCs w:val="21"/>
        </w:rPr>
        <w:t>付款方式：在合同生效以及具备实施条件后支付</w:t>
      </w:r>
      <w:r>
        <w:rPr>
          <w:rFonts w:hint="eastAsia" w:ascii="宋体" w:hAnsi="宋体" w:cs="宋体"/>
          <w:color w:val="000000"/>
          <w:sz w:val="21"/>
          <w:szCs w:val="21"/>
          <w:lang w:val="zh-CN"/>
        </w:rPr>
        <w:t xml:space="preserve">合同价40%的预付款（乙方需提交银行、保险公司等金融机构出具的预付款保函或其他担保措施。乙方在签订合同时，表示无需预付款可不适用本条款。乙方主动要求降低预付款比例的，担保费用同比例降低）； </w:t>
      </w:r>
    </w:p>
    <w:p w14:paraId="0E967B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color w:val="000000"/>
          <w:sz w:val="21"/>
          <w:szCs w:val="21"/>
          <w:lang w:val="en-US" w:eastAsia="zh-CN"/>
        </w:rPr>
        <w:t>服务期满半年</w:t>
      </w:r>
      <w:r>
        <w:rPr>
          <w:rFonts w:hint="eastAsia" w:ascii="宋体" w:hAnsi="宋体" w:cs="宋体"/>
          <w:color w:val="000000"/>
          <w:sz w:val="21"/>
          <w:szCs w:val="21"/>
          <w:lang w:val="zh-CN"/>
        </w:rPr>
        <w:t>后，十个工作日内支付</w:t>
      </w:r>
      <w:r>
        <w:rPr>
          <w:rFonts w:hint="eastAsia" w:ascii="宋体" w:hAnsi="宋体" w:cs="宋体"/>
          <w:color w:val="000000"/>
          <w:sz w:val="21"/>
          <w:szCs w:val="21"/>
          <w:lang w:val="en-US" w:eastAsia="zh-CN"/>
        </w:rPr>
        <w:t>合同金额的30%，服务期满一年后，</w:t>
      </w:r>
      <w:r>
        <w:rPr>
          <w:rFonts w:hint="eastAsia" w:ascii="宋体" w:hAnsi="宋体" w:cs="宋体"/>
          <w:color w:val="000000"/>
          <w:sz w:val="21"/>
          <w:szCs w:val="21"/>
          <w:lang w:val="zh-CN"/>
        </w:rPr>
        <w:t>经采购人审核无误后，中标人提交考核结果及有效正规税务发票给采购人作为付款凭据后30天内</w:t>
      </w:r>
      <w:r>
        <w:rPr>
          <w:rFonts w:hint="eastAsia" w:ascii="宋体" w:hAnsi="宋体" w:cs="宋体"/>
          <w:color w:val="000000"/>
          <w:sz w:val="21"/>
          <w:szCs w:val="21"/>
          <w:lang w:val="en-US" w:eastAsia="zh-CN"/>
        </w:rPr>
        <w:t>支付剩余款项</w:t>
      </w:r>
      <w:r>
        <w:rPr>
          <w:rFonts w:hint="eastAsia" w:ascii="宋体" w:hAnsi="宋体" w:cs="宋体"/>
          <w:color w:val="000000"/>
          <w:sz w:val="21"/>
          <w:szCs w:val="21"/>
          <w:lang w:val="zh-CN"/>
        </w:rPr>
        <w:t>（考核中扣罚的款项及违约金、赔偿金等在支付服务费时扣除）。</w:t>
      </w:r>
    </w:p>
    <w:p w14:paraId="449688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color w:val="000000"/>
          <w:sz w:val="21"/>
          <w:szCs w:val="21"/>
        </w:rPr>
        <w:t>二、</w:t>
      </w:r>
      <w:r>
        <w:rPr>
          <w:rFonts w:hint="eastAsia" w:ascii="宋体" w:hAnsi="宋体" w:cs="宋体"/>
          <w:color w:val="000000"/>
          <w:sz w:val="21"/>
          <w:szCs w:val="21"/>
          <w:lang w:val="zh-CN"/>
        </w:rPr>
        <w:t>履约保证金：本合同履约保证金为合同总价的1%（可以采用银行保函、保险保单、担保公司担保等方式），中标供应商在签订合同后7个工作日内提交。</w:t>
      </w:r>
    </w:p>
    <w:p w14:paraId="6C3B6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color w:val="000000"/>
          <w:sz w:val="21"/>
          <w:szCs w:val="21"/>
        </w:rPr>
        <w:t>三、</w:t>
      </w:r>
      <w:r>
        <w:rPr>
          <w:rFonts w:hint="eastAsia" w:ascii="宋体" w:hAnsi="宋体" w:cs="宋体"/>
          <w:color w:val="000000"/>
          <w:sz w:val="21"/>
          <w:szCs w:val="21"/>
          <w:lang w:val="zh-CN"/>
        </w:rPr>
        <w:t>服务期限：服务期限三年，合同一年一签。第一年度合同期满后，经采购人考核合格，可续签下一年度合同，最多可续签二次。</w:t>
      </w:r>
    </w:p>
    <w:p w14:paraId="09C4B8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四、其他</w:t>
      </w:r>
    </w:p>
    <w:p w14:paraId="2D43DD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sz w:val="21"/>
          <w:szCs w:val="21"/>
          <w:lang w:val="zh-CN"/>
        </w:rPr>
      </w:pPr>
      <w:r>
        <w:rPr>
          <w:rFonts w:hint="eastAsia" w:ascii="宋体" w:hAnsi="宋体" w:cs="宋体"/>
          <w:color w:val="000000"/>
          <w:sz w:val="21"/>
          <w:szCs w:val="21"/>
          <w:lang w:val="zh-CN"/>
        </w:rPr>
        <w:t>1、在中标通知书发出后30天内，中标人与采购人签订合同，否则采购人有权取消中标人的中标资格。</w:t>
      </w:r>
    </w:p>
    <w:p w14:paraId="499DA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ascii="宋体" w:hAnsi="宋体"/>
          <w:bCs/>
          <w:color w:val="auto"/>
          <w:sz w:val="24"/>
        </w:rPr>
      </w:pPr>
      <w:r>
        <w:rPr>
          <w:rFonts w:hint="eastAsia" w:ascii="宋体" w:hAnsi="宋体" w:cs="宋体"/>
          <w:color w:val="000000"/>
          <w:sz w:val="21"/>
          <w:szCs w:val="21"/>
          <w:lang w:val="zh-CN"/>
        </w:rPr>
        <w:t>2、中标人不得将本项目转包或分包，否则采购人视中标人单方面违约，单方面终止合同，中标人承担违约赔偿责任，并没收履约保证金。</w:t>
      </w:r>
    </w:p>
    <w:bookmarkEnd w:id="33"/>
    <w:p w14:paraId="7B77C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b/>
          <w:color w:val="auto"/>
          <w:sz w:val="32"/>
        </w:rPr>
      </w:pPr>
      <w:r>
        <w:rPr>
          <w:rFonts w:hint="eastAsia" w:ascii="宋体" w:hAnsi="宋体"/>
          <w:b/>
          <w:color w:val="auto"/>
          <w:sz w:val="32"/>
        </w:rPr>
        <w:br w:type="page"/>
      </w:r>
    </w:p>
    <w:p w14:paraId="00E53533">
      <w:pPr>
        <w:spacing w:line="400" w:lineRule="exact"/>
        <w:jc w:val="center"/>
        <w:outlineLvl w:val="0"/>
        <w:rPr>
          <w:rFonts w:ascii="宋体" w:hAnsi="宋体"/>
          <w:b/>
          <w:color w:val="auto"/>
          <w:sz w:val="32"/>
        </w:rPr>
      </w:pPr>
      <w:bookmarkStart w:id="36" w:name="_Toc11490"/>
      <w:r>
        <w:rPr>
          <w:rFonts w:hint="eastAsia" w:ascii="宋体" w:hAnsi="宋体"/>
          <w:b/>
          <w:color w:val="auto"/>
          <w:sz w:val="32"/>
        </w:rPr>
        <w:t>第七章附件</w:t>
      </w:r>
      <w:bookmarkEnd w:id="36"/>
    </w:p>
    <w:p w14:paraId="49FB9867">
      <w:pPr>
        <w:autoSpaceDE w:val="0"/>
        <w:autoSpaceDN w:val="0"/>
        <w:adjustRightInd w:val="0"/>
        <w:spacing w:before="960" w:beforeLines="400" w:line="420" w:lineRule="exact"/>
        <w:jc w:val="center"/>
        <w:rPr>
          <w:rStyle w:val="171"/>
          <w:rFonts w:ascii="宋体" w:hAnsi="宋体"/>
          <w:color w:val="auto"/>
          <w:sz w:val="32"/>
          <w:szCs w:val="32"/>
        </w:rPr>
      </w:pPr>
      <w:r>
        <w:rPr>
          <w:rStyle w:val="171"/>
          <w:rFonts w:ascii="宋体" w:hAnsi="宋体"/>
          <w:color w:val="auto"/>
          <w:sz w:val="32"/>
          <w:szCs w:val="32"/>
        </w:rPr>
        <w:t>A.</w:t>
      </w:r>
      <w:r>
        <w:rPr>
          <w:rStyle w:val="171"/>
          <w:rFonts w:hint="eastAsia" w:ascii="宋体" w:hAnsi="宋体"/>
          <w:color w:val="auto"/>
          <w:sz w:val="32"/>
          <w:szCs w:val="32"/>
        </w:rPr>
        <w:t>资格文件</w:t>
      </w:r>
    </w:p>
    <w:p w14:paraId="7F56C172">
      <w:pPr>
        <w:spacing w:line="360" w:lineRule="auto"/>
        <w:ind w:firstLine="1120" w:firstLineChars="400"/>
        <w:rPr>
          <w:rFonts w:ascii="宋体" w:hAnsi="宋体"/>
          <w:color w:val="auto"/>
          <w:sz w:val="28"/>
        </w:rPr>
      </w:pPr>
    </w:p>
    <w:p w14:paraId="192A777A">
      <w:pPr>
        <w:spacing w:line="360" w:lineRule="auto"/>
        <w:rPr>
          <w:rFonts w:ascii="宋体" w:hAnsi="宋体"/>
          <w:b/>
          <w:color w:val="auto"/>
          <w:sz w:val="32"/>
          <w:szCs w:val="32"/>
        </w:rPr>
      </w:pPr>
      <w:r>
        <w:rPr>
          <w:rFonts w:ascii="宋体" w:hAnsi="宋体"/>
          <w:color w:val="auto"/>
          <w:sz w:val="28"/>
        </w:rPr>
        <w:br w:type="page"/>
      </w:r>
      <w:r>
        <w:rPr>
          <w:rFonts w:hint="eastAsia" w:ascii="宋体" w:hAnsi="宋体"/>
          <w:b/>
          <w:color w:val="auto"/>
          <w:sz w:val="32"/>
          <w:szCs w:val="32"/>
        </w:rPr>
        <w:t>封面</w:t>
      </w:r>
    </w:p>
    <w:p w14:paraId="74B220F3">
      <w:pPr>
        <w:spacing w:line="360" w:lineRule="auto"/>
        <w:rPr>
          <w:rFonts w:ascii="宋体" w:hAnsi="宋体"/>
          <w:color w:val="auto"/>
          <w:sz w:val="28"/>
          <w:szCs w:val="28"/>
        </w:rPr>
      </w:pPr>
    </w:p>
    <w:p w14:paraId="5D174CA6">
      <w:pPr>
        <w:pStyle w:val="60"/>
        <w:rPr>
          <w:color w:val="auto"/>
        </w:rPr>
      </w:pPr>
    </w:p>
    <w:p w14:paraId="23CEEB45">
      <w:pPr>
        <w:spacing w:line="360" w:lineRule="auto"/>
        <w:jc w:val="center"/>
        <w:rPr>
          <w:rFonts w:hint="eastAsia" w:ascii="宋体" w:hAnsi="宋体" w:eastAsia="宋体"/>
          <w:color w:val="auto"/>
          <w:sz w:val="40"/>
          <w:szCs w:val="48"/>
          <w:lang w:eastAsia="zh-CN"/>
        </w:rPr>
      </w:pPr>
      <w:r>
        <w:rPr>
          <w:rFonts w:hint="eastAsia" w:ascii="宋体" w:hAnsi="宋体"/>
          <w:b/>
          <w:color w:val="auto"/>
          <w:sz w:val="40"/>
          <w:szCs w:val="48"/>
          <w:lang w:eastAsia="zh-CN"/>
        </w:rPr>
        <w:t>慈溪市交通运输局保安服务项目</w:t>
      </w:r>
    </w:p>
    <w:p w14:paraId="4E10CBFC">
      <w:pPr>
        <w:spacing w:line="360" w:lineRule="auto"/>
        <w:jc w:val="center"/>
        <w:rPr>
          <w:rFonts w:ascii="宋体" w:hAnsi="宋体"/>
          <w:color w:val="auto"/>
          <w:sz w:val="36"/>
          <w:szCs w:val="36"/>
        </w:rPr>
      </w:pPr>
    </w:p>
    <w:p w14:paraId="5D7591A8">
      <w:pPr>
        <w:spacing w:line="360" w:lineRule="auto"/>
        <w:ind w:firstLine="2160" w:firstLineChars="600"/>
        <w:rPr>
          <w:rFonts w:ascii="宋体" w:hAnsi="宋体"/>
          <w:color w:val="auto"/>
          <w:sz w:val="36"/>
          <w:szCs w:val="36"/>
        </w:rPr>
      </w:pPr>
      <w:r>
        <w:rPr>
          <w:rFonts w:hint="eastAsia" w:ascii="宋体" w:hAnsi="宋体"/>
          <w:color w:val="auto"/>
          <w:sz w:val="36"/>
          <w:szCs w:val="36"/>
        </w:rPr>
        <w:t>项目编号：</w:t>
      </w:r>
    </w:p>
    <w:p w14:paraId="1F3CEC91">
      <w:pPr>
        <w:spacing w:line="360" w:lineRule="auto"/>
        <w:jc w:val="center"/>
        <w:rPr>
          <w:rFonts w:ascii="宋体" w:hAnsi="宋体"/>
          <w:color w:val="auto"/>
          <w:sz w:val="36"/>
          <w:szCs w:val="36"/>
        </w:rPr>
      </w:pPr>
      <w:r>
        <w:rPr>
          <w:rFonts w:hint="eastAsia" w:ascii="宋体" w:hAnsi="宋体"/>
          <w:color w:val="auto"/>
          <w:sz w:val="36"/>
          <w:szCs w:val="36"/>
        </w:rPr>
        <w:t>标项：</w:t>
      </w:r>
      <w:r>
        <w:rPr>
          <w:rFonts w:hint="eastAsia" w:ascii="宋体" w:hAnsi="宋体"/>
          <w:color w:val="auto"/>
          <w:sz w:val="36"/>
          <w:szCs w:val="36"/>
          <w:u w:val="single"/>
        </w:rPr>
        <w:t>（如有多个标项）</w:t>
      </w:r>
    </w:p>
    <w:p w14:paraId="061C92A3">
      <w:pPr>
        <w:rPr>
          <w:rFonts w:ascii="宋体" w:hAnsi="宋体"/>
          <w:color w:val="auto"/>
          <w:sz w:val="28"/>
          <w:szCs w:val="28"/>
        </w:rPr>
      </w:pPr>
    </w:p>
    <w:p w14:paraId="46B12DE9">
      <w:pPr>
        <w:spacing w:line="360" w:lineRule="auto"/>
        <w:jc w:val="center"/>
        <w:rPr>
          <w:rFonts w:ascii="宋体" w:hAnsi="宋体"/>
          <w:color w:val="auto"/>
          <w:sz w:val="36"/>
          <w:szCs w:val="36"/>
        </w:rPr>
      </w:pPr>
      <w:r>
        <w:rPr>
          <w:rFonts w:hint="eastAsia" w:ascii="宋体" w:hAnsi="宋体"/>
          <w:color w:val="auto"/>
          <w:sz w:val="36"/>
          <w:szCs w:val="36"/>
        </w:rPr>
        <w:t>（资格文件）</w:t>
      </w:r>
    </w:p>
    <w:p w14:paraId="04C686E5">
      <w:pPr>
        <w:jc w:val="center"/>
        <w:rPr>
          <w:rFonts w:ascii="宋体" w:hAnsi="宋体"/>
          <w:color w:val="auto"/>
          <w:sz w:val="28"/>
          <w:szCs w:val="28"/>
        </w:rPr>
      </w:pPr>
    </w:p>
    <w:p w14:paraId="080B2FAC">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4C37B15D">
      <w:pPr>
        <w:spacing w:line="360" w:lineRule="auto"/>
        <w:jc w:val="center"/>
        <w:rPr>
          <w:rFonts w:ascii="宋体" w:hAnsi="宋体"/>
          <w:color w:val="auto"/>
          <w:sz w:val="36"/>
          <w:szCs w:val="36"/>
        </w:rPr>
      </w:pPr>
    </w:p>
    <w:p w14:paraId="6175FF86">
      <w:pPr>
        <w:spacing w:line="360" w:lineRule="auto"/>
        <w:jc w:val="center"/>
        <w:rPr>
          <w:rFonts w:ascii="宋体" w:hAnsi="宋体"/>
          <w:color w:val="auto"/>
          <w:sz w:val="36"/>
          <w:szCs w:val="36"/>
        </w:rPr>
      </w:pPr>
    </w:p>
    <w:p w14:paraId="234D0384">
      <w:pPr>
        <w:spacing w:line="360" w:lineRule="auto"/>
        <w:jc w:val="center"/>
        <w:rPr>
          <w:rFonts w:ascii="宋体" w:hAnsi="宋体"/>
          <w:color w:val="auto"/>
          <w:sz w:val="36"/>
          <w:szCs w:val="36"/>
        </w:rPr>
      </w:pPr>
    </w:p>
    <w:p w14:paraId="1E62C78D">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75D12356">
      <w:pPr>
        <w:pStyle w:val="26"/>
        <w:ind w:left="101" w:leftChars="48" w:firstLine="1920" w:firstLineChars="800"/>
        <w:jc w:val="left"/>
        <w:rPr>
          <w:rFonts w:hAnsi="宋体"/>
          <w:color w:val="auto"/>
          <w:kern w:val="2"/>
          <w:szCs w:val="28"/>
          <w:u w:val="single"/>
        </w:rPr>
      </w:pPr>
    </w:p>
    <w:p w14:paraId="78381BE4">
      <w:pPr>
        <w:spacing w:line="360" w:lineRule="auto"/>
        <w:jc w:val="center"/>
        <w:rPr>
          <w:rFonts w:ascii="宋体" w:hAnsi="宋体"/>
          <w:color w:val="auto"/>
          <w:sz w:val="36"/>
          <w:szCs w:val="36"/>
        </w:rPr>
      </w:pPr>
      <w:r>
        <w:rPr>
          <w:rFonts w:hint="eastAsia" w:ascii="宋体" w:hAnsi="宋体"/>
          <w:color w:val="auto"/>
          <w:sz w:val="36"/>
          <w:szCs w:val="36"/>
        </w:rPr>
        <w:t>年月日</w:t>
      </w:r>
    </w:p>
    <w:p w14:paraId="4B50FC38">
      <w:pPr>
        <w:spacing w:line="360" w:lineRule="auto"/>
        <w:rPr>
          <w:rStyle w:val="171"/>
          <w:rFonts w:ascii="宋体" w:hAnsi="宋体"/>
          <w:color w:val="auto"/>
          <w:sz w:val="21"/>
          <w:szCs w:val="21"/>
        </w:rPr>
      </w:pPr>
      <w:r>
        <w:rPr>
          <w:rStyle w:val="171"/>
          <w:rFonts w:ascii="宋体" w:hAnsi="宋体"/>
          <w:color w:val="auto"/>
          <w:sz w:val="21"/>
          <w:szCs w:val="21"/>
        </w:rPr>
        <w:br w:type="page"/>
      </w:r>
    </w:p>
    <w:p w14:paraId="379E79CE">
      <w:pPr>
        <w:spacing w:line="400" w:lineRule="exact"/>
        <w:jc w:val="center"/>
        <w:rPr>
          <w:rFonts w:ascii="宋体" w:hAnsi="宋体"/>
          <w:b/>
          <w:color w:val="auto"/>
          <w:szCs w:val="21"/>
        </w:rPr>
      </w:pPr>
      <w:r>
        <w:rPr>
          <w:rFonts w:hint="eastAsia" w:ascii="宋体" w:hAnsi="宋体"/>
          <w:b/>
          <w:color w:val="auto"/>
          <w:szCs w:val="21"/>
        </w:rPr>
        <w:t>A1关于资格的承诺函</w:t>
      </w:r>
    </w:p>
    <w:p w14:paraId="772DD9D5">
      <w:pPr>
        <w:spacing w:line="400" w:lineRule="exact"/>
        <w:ind w:left="540" w:firstLine="30"/>
        <w:jc w:val="center"/>
        <w:rPr>
          <w:rFonts w:ascii="宋体" w:hAnsi="宋体"/>
          <w:b/>
          <w:color w:val="auto"/>
          <w:szCs w:val="21"/>
        </w:rPr>
      </w:pPr>
    </w:p>
    <w:p w14:paraId="75A2FE02">
      <w:pPr>
        <w:spacing w:line="400" w:lineRule="exact"/>
        <w:rPr>
          <w:rFonts w:ascii="宋体" w:hAnsi="宋体"/>
          <w:b/>
          <w:color w:val="auto"/>
          <w:szCs w:val="21"/>
        </w:rPr>
      </w:pPr>
      <w:r>
        <w:rPr>
          <w:rFonts w:hint="eastAsia" w:ascii="宋体" w:hAnsi="宋体"/>
          <w:color w:val="auto"/>
          <w:szCs w:val="21"/>
        </w:rPr>
        <w:t>致：采购人</w:t>
      </w:r>
    </w:p>
    <w:p w14:paraId="57075E19">
      <w:pPr>
        <w:spacing w:line="400" w:lineRule="exact"/>
        <w:ind w:firstLine="420" w:firstLineChars="200"/>
        <w:rPr>
          <w:rFonts w:ascii="宋体" w:hAnsi="宋体"/>
          <w:color w:val="auto"/>
          <w:szCs w:val="21"/>
        </w:rPr>
      </w:pPr>
      <w:r>
        <w:rPr>
          <w:rFonts w:hint="eastAsia" w:ascii="宋体" w:hAnsi="宋体"/>
          <w:bCs/>
          <w:color w:val="auto"/>
          <w:szCs w:val="21"/>
        </w:rPr>
        <w:t>我单位承诺：</w:t>
      </w:r>
    </w:p>
    <w:p w14:paraId="294000E5">
      <w:pPr>
        <w:spacing w:line="400" w:lineRule="exact"/>
        <w:ind w:firstLine="420" w:firstLineChars="200"/>
        <w:rPr>
          <w:rFonts w:ascii="宋体" w:hAnsi="宋体"/>
          <w:color w:val="auto"/>
          <w:szCs w:val="21"/>
        </w:rPr>
      </w:pPr>
      <w:r>
        <w:rPr>
          <w:rFonts w:hint="eastAsia" w:ascii="宋体" w:hAnsi="宋体"/>
          <w:color w:val="auto"/>
          <w:szCs w:val="21"/>
        </w:rPr>
        <w:t>我单位满足《中华人民共和国政府采购法》第二十二条供应商参加政府采购活动应当具备的下列条件：</w:t>
      </w:r>
    </w:p>
    <w:p w14:paraId="5976CFF7">
      <w:pPr>
        <w:spacing w:line="400" w:lineRule="exact"/>
        <w:ind w:firstLine="420" w:firstLineChars="200"/>
        <w:rPr>
          <w:rFonts w:ascii="宋体" w:hAnsi="宋体"/>
          <w:color w:val="auto"/>
          <w:szCs w:val="21"/>
        </w:rPr>
      </w:pPr>
      <w:r>
        <w:rPr>
          <w:rFonts w:hint="eastAsia" w:ascii="宋体" w:hAnsi="宋体"/>
          <w:color w:val="auto"/>
          <w:szCs w:val="21"/>
        </w:rPr>
        <w:t>（一）具有独立承担民事责任的能力；</w:t>
      </w:r>
    </w:p>
    <w:p w14:paraId="19FD7747">
      <w:pPr>
        <w:spacing w:line="400" w:lineRule="exact"/>
        <w:ind w:firstLine="420" w:firstLineChars="200"/>
        <w:rPr>
          <w:rFonts w:ascii="宋体" w:hAnsi="宋体"/>
          <w:color w:val="auto"/>
          <w:szCs w:val="21"/>
        </w:rPr>
      </w:pPr>
      <w:r>
        <w:rPr>
          <w:rFonts w:hint="eastAsia" w:ascii="宋体" w:hAnsi="宋体"/>
          <w:color w:val="auto"/>
          <w:szCs w:val="21"/>
        </w:rPr>
        <w:t>（二）具有良好的商业信誉和健全的财务会计制度；</w:t>
      </w:r>
    </w:p>
    <w:p w14:paraId="0F6CB152">
      <w:pPr>
        <w:spacing w:line="400" w:lineRule="exact"/>
        <w:ind w:firstLine="420" w:firstLineChars="200"/>
        <w:rPr>
          <w:rFonts w:ascii="宋体" w:hAnsi="宋体"/>
          <w:color w:val="auto"/>
          <w:szCs w:val="21"/>
        </w:rPr>
      </w:pPr>
      <w:r>
        <w:rPr>
          <w:rFonts w:hint="eastAsia" w:ascii="宋体" w:hAnsi="宋体"/>
          <w:color w:val="auto"/>
          <w:szCs w:val="21"/>
        </w:rPr>
        <w:t>（三）具有履行合同所必需的设备和专业技术能力；</w:t>
      </w:r>
    </w:p>
    <w:p w14:paraId="505F80F2">
      <w:pPr>
        <w:spacing w:line="400" w:lineRule="exact"/>
        <w:ind w:firstLine="420" w:firstLineChars="200"/>
        <w:rPr>
          <w:rFonts w:ascii="宋体" w:hAnsi="宋体"/>
          <w:color w:val="auto"/>
          <w:szCs w:val="21"/>
        </w:rPr>
      </w:pPr>
      <w:r>
        <w:rPr>
          <w:rFonts w:hint="eastAsia" w:ascii="宋体" w:hAnsi="宋体"/>
          <w:color w:val="auto"/>
          <w:szCs w:val="21"/>
        </w:rPr>
        <w:t>（四）有依法缴纳税收和社会保障资金的良好记录；</w:t>
      </w:r>
    </w:p>
    <w:p w14:paraId="337E28F2">
      <w:pPr>
        <w:spacing w:line="400" w:lineRule="exact"/>
        <w:ind w:firstLine="420" w:firstLineChars="200"/>
        <w:rPr>
          <w:rFonts w:ascii="宋体" w:hAnsi="宋体"/>
          <w:color w:val="auto"/>
          <w:szCs w:val="21"/>
        </w:rPr>
      </w:pPr>
      <w:r>
        <w:rPr>
          <w:rFonts w:hint="eastAsia" w:ascii="宋体" w:hAnsi="宋体"/>
          <w:color w:val="auto"/>
          <w:szCs w:val="21"/>
        </w:rPr>
        <w:t>（五）参加政府采购活动前三年内，在经营活动中没有重大违法记录；</w:t>
      </w:r>
    </w:p>
    <w:p w14:paraId="79034361">
      <w:pPr>
        <w:spacing w:line="400" w:lineRule="exact"/>
        <w:ind w:firstLine="420" w:firstLineChars="200"/>
        <w:rPr>
          <w:rFonts w:ascii="宋体" w:hAnsi="宋体"/>
          <w:b/>
          <w:color w:val="auto"/>
          <w:szCs w:val="21"/>
        </w:rPr>
      </w:pPr>
      <w:r>
        <w:rPr>
          <w:rFonts w:hint="eastAsia" w:ascii="宋体" w:hAnsi="宋体"/>
          <w:color w:val="auto"/>
          <w:szCs w:val="21"/>
        </w:rPr>
        <w:t>（六）法律、行政法规规定的其他条件。</w:t>
      </w:r>
    </w:p>
    <w:p w14:paraId="53F5E9BC">
      <w:pPr>
        <w:spacing w:line="400" w:lineRule="exact"/>
        <w:ind w:firstLine="420" w:firstLineChars="200"/>
        <w:rPr>
          <w:rFonts w:ascii="宋体" w:hAnsi="宋体"/>
          <w:color w:val="auto"/>
          <w:szCs w:val="21"/>
        </w:rPr>
      </w:pPr>
      <w:r>
        <w:rPr>
          <w:rFonts w:hint="eastAsia" w:ascii="宋体" w:hAnsi="宋体"/>
          <w:color w:val="auto"/>
          <w:szCs w:val="21"/>
        </w:rPr>
        <w:t>特此承诺。</w:t>
      </w:r>
    </w:p>
    <w:p w14:paraId="05875C6B">
      <w:pPr>
        <w:pStyle w:val="42"/>
        <w:spacing w:before="0" w:beforeAutospacing="0" w:after="0" w:afterAutospacing="0" w:line="400" w:lineRule="exact"/>
        <w:ind w:right="159" w:firstLine="660"/>
        <w:jc w:val="both"/>
        <w:rPr>
          <w:bCs/>
          <w:color w:val="auto"/>
          <w:sz w:val="21"/>
          <w:szCs w:val="21"/>
        </w:rPr>
      </w:pPr>
    </w:p>
    <w:p w14:paraId="7BA1C48A">
      <w:pPr>
        <w:pStyle w:val="42"/>
        <w:spacing w:before="0" w:beforeAutospacing="0" w:after="0" w:afterAutospacing="0" w:line="400" w:lineRule="exact"/>
        <w:ind w:right="159" w:firstLine="660"/>
        <w:jc w:val="both"/>
        <w:rPr>
          <w:bCs/>
          <w:color w:val="auto"/>
          <w:sz w:val="21"/>
          <w:szCs w:val="21"/>
        </w:rPr>
      </w:pPr>
    </w:p>
    <w:p w14:paraId="4797C2D6">
      <w:pPr>
        <w:spacing w:line="400" w:lineRule="exact"/>
        <w:rPr>
          <w:bCs/>
          <w:color w:val="auto"/>
          <w:szCs w:val="21"/>
        </w:rPr>
      </w:pPr>
      <w:r>
        <w:rPr>
          <w:rFonts w:hint="eastAsia" w:ascii="宋体" w:hAnsi="宋体"/>
          <w:bCs/>
          <w:color w:val="auto"/>
          <w:szCs w:val="21"/>
        </w:rPr>
        <w:t>注：</w:t>
      </w:r>
      <w:r>
        <w:rPr>
          <w:rFonts w:hint="eastAsia"/>
          <w:bCs/>
          <w:color w:val="auto"/>
          <w:szCs w:val="21"/>
        </w:rPr>
        <w:t>政府采购法所称重大违法记录：是指供应商因违法经营受到刑事处罚或者责令停产停业、吊销许可证或者执照、较大数额罚款等行政处罚。</w:t>
      </w:r>
    </w:p>
    <w:p w14:paraId="5E47771A">
      <w:pPr>
        <w:spacing w:line="400" w:lineRule="exact"/>
        <w:ind w:firstLine="420" w:firstLineChars="200"/>
        <w:rPr>
          <w:rFonts w:ascii="宋体" w:hAnsi="宋体"/>
          <w:color w:val="auto"/>
          <w:szCs w:val="21"/>
        </w:rPr>
      </w:pPr>
    </w:p>
    <w:p w14:paraId="5DD3EDC9">
      <w:pPr>
        <w:spacing w:line="400" w:lineRule="exact"/>
        <w:rPr>
          <w:rFonts w:ascii="宋体" w:hAnsi="宋体"/>
          <w:color w:val="auto"/>
          <w:kern w:val="0"/>
          <w:szCs w:val="21"/>
        </w:rPr>
      </w:pPr>
    </w:p>
    <w:p w14:paraId="125DBF7E">
      <w:pPr>
        <w:spacing w:line="400" w:lineRule="exact"/>
        <w:rPr>
          <w:rFonts w:ascii="宋体" w:hAnsi="宋体"/>
          <w:color w:val="auto"/>
          <w:kern w:val="0"/>
          <w:szCs w:val="21"/>
        </w:rPr>
      </w:pPr>
    </w:p>
    <w:p w14:paraId="47554AB6">
      <w:pPr>
        <w:spacing w:line="400" w:lineRule="exact"/>
        <w:rPr>
          <w:rFonts w:ascii="宋体" w:hAnsi="宋体"/>
          <w:color w:val="auto"/>
          <w:kern w:val="0"/>
          <w:szCs w:val="21"/>
        </w:rPr>
      </w:pPr>
    </w:p>
    <w:p w14:paraId="4C7CE7CF">
      <w:pPr>
        <w:spacing w:line="400" w:lineRule="atLeast"/>
        <w:jc w:val="left"/>
        <w:rPr>
          <w:rFonts w:ascii="宋体" w:hAnsi="宋体"/>
          <w:color w:val="auto"/>
          <w:szCs w:val="21"/>
        </w:rPr>
      </w:pPr>
      <w:r>
        <w:rPr>
          <w:rFonts w:hint="eastAsia" w:ascii="宋体" w:hAnsi="宋体"/>
          <w:color w:val="auto"/>
          <w:szCs w:val="21"/>
        </w:rPr>
        <w:t>供应商（盖章）：</w:t>
      </w:r>
    </w:p>
    <w:p w14:paraId="63823F6E">
      <w:pPr>
        <w:spacing w:line="400" w:lineRule="atLeast"/>
        <w:rPr>
          <w:rFonts w:ascii="宋体" w:hAnsi="宋体"/>
          <w:color w:val="auto"/>
          <w:szCs w:val="21"/>
          <w:u w:val="single"/>
        </w:rPr>
      </w:pPr>
      <w:r>
        <w:rPr>
          <w:rFonts w:hint="eastAsia" w:ascii="宋体" w:hAnsi="宋体"/>
          <w:color w:val="auto"/>
          <w:szCs w:val="21"/>
        </w:rPr>
        <w:t>日期：</w:t>
      </w:r>
    </w:p>
    <w:p w14:paraId="41C4C4F6">
      <w:pPr>
        <w:spacing w:line="400" w:lineRule="exact"/>
        <w:jc w:val="center"/>
        <w:rPr>
          <w:rFonts w:ascii="宋体" w:hAnsi="宋体"/>
          <w:b/>
          <w:color w:val="auto"/>
          <w:szCs w:val="21"/>
        </w:rPr>
      </w:pPr>
    </w:p>
    <w:p w14:paraId="195C0091">
      <w:pPr>
        <w:spacing w:line="400" w:lineRule="exact"/>
        <w:jc w:val="center"/>
        <w:rPr>
          <w:rFonts w:ascii="宋体" w:hAnsi="宋体"/>
          <w:b/>
          <w:color w:val="auto"/>
          <w:szCs w:val="21"/>
        </w:rPr>
      </w:pPr>
      <w:r>
        <w:rPr>
          <w:rStyle w:val="171"/>
          <w:rFonts w:ascii="宋体" w:hAnsi="宋体"/>
          <w:color w:val="auto"/>
          <w:sz w:val="21"/>
          <w:szCs w:val="21"/>
        </w:rPr>
        <w:br w:type="page"/>
      </w:r>
      <w:r>
        <w:rPr>
          <w:rFonts w:hint="eastAsia" w:ascii="宋体" w:hAnsi="宋体"/>
          <w:b/>
          <w:color w:val="auto"/>
          <w:szCs w:val="21"/>
        </w:rPr>
        <w:t>A2、营业执照（或事业法人登记证或其他登记证明材料）复印件或电子营业执照扫描件加盖供应商公章（供应商如果有名称变更的，应提供由行政主管部门出具的变更证明文件复印件加盖供应商公章）；</w:t>
      </w:r>
    </w:p>
    <w:p w14:paraId="1864BBD6">
      <w:pPr>
        <w:spacing w:line="400" w:lineRule="exact"/>
        <w:jc w:val="left"/>
        <w:rPr>
          <w:rStyle w:val="171"/>
          <w:rFonts w:ascii="宋体" w:hAnsi="宋体"/>
          <w:color w:val="auto"/>
          <w:sz w:val="21"/>
          <w:szCs w:val="21"/>
        </w:rPr>
      </w:pPr>
    </w:p>
    <w:p w14:paraId="3A9A1370">
      <w:pPr>
        <w:spacing w:line="400" w:lineRule="exact"/>
        <w:rPr>
          <w:rStyle w:val="171"/>
          <w:rFonts w:ascii="宋体" w:hAnsi="宋体"/>
          <w:color w:val="auto"/>
          <w:sz w:val="28"/>
          <w:szCs w:val="28"/>
        </w:rPr>
      </w:pPr>
      <w:r>
        <w:rPr>
          <w:rStyle w:val="171"/>
          <w:rFonts w:ascii="宋体" w:hAnsi="宋体"/>
          <w:color w:val="auto"/>
          <w:sz w:val="21"/>
          <w:szCs w:val="21"/>
        </w:rPr>
        <w:br w:type="page"/>
      </w:r>
    </w:p>
    <w:p w14:paraId="65C8BF56">
      <w:pPr>
        <w:autoSpaceDE w:val="0"/>
        <w:autoSpaceDN w:val="0"/>
        <w:adjustRightInd w:val="0"/>
        <w:spacing w:before="960" w:beforeLines="400" w:line="420" w:lineRule="exact"/>
        <w:jc w:val="center"/>
        <w:rPr>
          <w:rStyle w:val="171"/>
          <w:rFonts w:ascii="宋体" w:hAnsi="宋体"/>
          <w:color w:val="auto"/>
          <w:sz w:val="32"/>
          <w:szCs w:val="32"/>
        </w:rPr>
      </w:pPr>
      <w:bookmarkStart w:id="37" w:name="_Toc74987429"/>
      <w:bookmarkStart w:id="38" w:name="_Toc74987461"/>
      <w:bookmarkStart w:id="39" w:name="_Toc21541026"/>
      <w:r>
        <w:rPr>
          <w:rStyle w:val="171"/>
          <w:rFonts w:ascii="宋体" w:hAnsi="宋体"/>
          <w:color w:val="auto"/>
          <w:sz w:val="32"/>
          <w:szCs w:val="32"/>
        </w:rPr>
        <w:t>B.</w:t>
      </w:r>
      <w:r>
        <w:rPr>
          <w:rStyle w:val="171"/>
          <w:rFonts w:hint="eastAsia" w:ascii="宋体" w:hAnsi="宋体"/>
          <w:color w:val="auto"/>
          <w:sz w:val="32"/>
          <w:szCs w:val="32"/>
        </w:rPr>
        <w:t>商务和技术文件</w:t>
      </w:r>
      <w:bookmarkEnd w:id="37"/>
      <w:bookmarkEnd w:id="38"/>
      <w:bookmarkEnd w:id="39"/>
    </w:p>
    <w:p w14:paraId="1D9A415E">
      <w:pPr>
        <w:autoSpaceDE w:val="0"/>
        <w:autoSpaceDN w:val="0"/>
        <w:adjustRightInd w:val="0"/>
        <w:spacing w:line="420" w:lineRule="exact"/>
        <w:rPr>
          <w:rStyle w:val="171"/>
          <w:rFonts w:ascii="宋体" w:hAnsi="宋体"/>
          <w:b w:val="0"/>
          <w:color w:val="auto"/>
          <w:lang w:val="zh-CN"/>
        </w:rPr>
      </w:pPr>
      <w:r>
        <w:rPr>
          <w:rStyle w:val="171"/>
          <w:rFonts w:ascii="宋体" w:hAnsi="宋体"/>
          <w:color w:val="auto"/>
          <w:sz w:val="32"/>
          <w:szCs w:val="32"/>
        </w:rPr>
        <w:br w:type="page"/>
      </w:r>
      <w:r>
        <w:rPr>
          <w:rStyle w:val="171"/>
          <w:rFonts w:hint="eastAsia" w:ascii="宋体" w:hAnsi="宋体"/>
          <w:color w:val="auto"/>
          <w:sz w:val="21"/>
          <w:szCs w:val="21"/>
        </w:rPr>
        <w:t>封面</w:t>
      </w:r>
    </w:p>
    <w:p w14:paraId="263D1EE3">
      <w:pPr>
        <w:spacing w:line="360" w:lineRule="auto"/>
        <w:rPr>
          <w:rFonts w:ascii="宋体" w:hAnsi="宋体"/>
          <w:color w:val="auto"/>
          <w:sz w:val="28"/>
          <w:szCs w:val="28"/>
        </w:rPr>
      </w:pPr>
    </w:p>
    <w:p w14:paraId="64F5AD7C">
      <w:pPr>
        <w:pStyle w:val="60"/>
        <w:rPr>
          <w:color w:val="auto"/>
        </w:rPr>
      </w:pPr>
    </w:p>
    <w:p w14:paraId="7724F4E9">
      <w:pPr>
        <w:spacing w:line="360" w:lineRule="auto"/>
        <w:jc w:val="center"/>
        <w:rPr>
          <w:rFonts w:hint="eastAsia" w:ascii="宋体" w:hAnsi="宋体" w:eastAsia="宋体"/>
          <w:color w:val="auto"/>
          <w:sz w:val="40"/>
          <w:szCs w:val="48"/>
          <w:u w:val="single"/>
          <w:lang w:eastAsia="zh-CN"/>
        </w:rPr>
      </w:pPr>
      <w:r>
        <w:rPr>
          <w:rFonts w:hint="eastAsia" w:ascii="宋体" w:hAnsi="宋体"/>
          <w:b/>
          <w:color w:val="auto"/>
          <w:sz w:val="40"/>
          <w:szCs w:val="48"/>
          <w:lang w:eastAsia="zh-CN"/>
        </w:rPr>
        <w:t>慈溪市交通运输局保安服务项目</w:t>
      </w:r>
    </w:p>
    <w:p w14:paraId="35C5FC7B">
      <w:pPr>
        <w:spacing w:line="360" w:lineRule="auto"/>
        <w:ind w:firstLine="2520" w:firstLineChars="700"/>
        <w:rPr>
          <w:rFonts w:ascii="宋体" w:hAnsi="宋体"/>
          <w:color w:val="auto"/>
          <w:sz w:val="36"/>
          <w:szCs w:val="36"/>
          <w:u w:val="single"/>
        </w:rPr>
      </w:pPr>
      <w:r>
        <w:rPr>
          <w:rFonts w:hint="eastAsia" w:ascii="宋体" w:hAnsi="宋体"/>
          <w:color w:val="auto"/>
          <w:sz w:val="36"/>
          <w:szCs w:val="36"/>
          <w:u w:val="single"/>
        </w:rPr>
        <w:t xml:space="preserve">项目编号：            </w:t>
      </w:r>
    </w:p>
    <w:p w14:paraId="0383F355">
      <w:pPr>
        <w:spacing w:line="360" w:lineRule="auto"/>
        <w:ind w:firstLine="2700" w:firstLineChars="750"/>
        <w:rPr>
          <w:rFonts w:ascii="宋体" w:hAnsi="宋体"/>
          <w:color w:val="auto"/>
          <w:sz w:val="36"/>
          <w:szCs w:val="36"/>
        </w:rPr>
      </w:pPr>
      <w:r>
        <w:rPr>
          <w:rFonts w:hint="eastAsia" w:ascii="宋体" w:hAnsi="宋体"/>
          <w:color w:val="auto"/>
          <w:sz w:val="36"/>
          <w:szCs w:val="36"/>
          <w:u w:val="single"/>
        </w:rPr>
        <w:t>标项：（如有多个标项）</w:t>
      </w:r>
    </w:p>
    <w:p w14:paraId="5B6A78A5">
      <w:pPr>
        <w:rPr>
          <w:rFonts w:ascii="宋体" w:hAnsi="宋体"/>
          <w:color w:val="auto"/>
          <w:sz w:val="28"/>
          <w:szCs w:val="28"/>
        </w:rPr>
      </w:pPr>
    </w:p>
    <w:p w14:paraId="6A3EF250">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1A7400F0">
      <w:pPr>
        <w:jc w:val="center"/>
        <w:rPr>
          <w:rFonts w:ascii="宋体" w:hAnsi="宋体"/>
          <w:color w:val="auto"/>
          <w:sz w:val="28"/>
          <w:szCs w:val="28"/>
        </w:rPr>
      </w:pPr>
    </w:p>
    <w:p w14:paraId="006216FE">
      <w:pPr>
        <w:spacing w:line="360" w:lineRule="auto"/>
        <w:jc w:val="center"/>
        <w:rPr>
          <w:rFonts w:ascii="宋体" w:hAnsi="宋体"/>
          <w:b/>
          <w:color w:val="auto"/>
          <w:sz w:val="72"/>
          <w:szCs w:val="72"/>
        </w:rPr>
      </w:pPr>
    </w:p>
    <w:p w14:paraId="24319B9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45FA063A">
      <w:pPr>
        <w:spacing w:line="360" w:lineRule="auto"/>
        <w:jc w:val="center"/>
        <w:rPr>
          <w:rFonts w:ascii="宋体" w:hAnsi="宋体"/>
          <w:color w:val="auto"/>
          <w:sz w:val="36"/>
          <w:szCs w:val="36"/>
        </w:rPr>
      </w:pPr>
    </w:p>
    <w:p w14:paraId="74A147DD">
      <w:pPr>
        <w:spacing w:line="360" w:lineRule="auto"/>
        <w:jc w:val="center"/>
        <w:rPr>
          <w:rFonts w:ascii="宋体" w:hAnsi="宋体"/>
          <w:color w:val="auto"/>
          <w:sz w:val="36"/>
          <w:szCs w:val="36"/>
        </w:rPr>
      </w:pPr>
    </w:p>
    <w:p w14:paraId="537FCEC0">
      <w:pPr>
        <w:spacing w:line="360" w:lineRule="auto"/>
        <w:jc w:val="center"/>
        <w:rPr>
          <w:rFonts w:ascii="宋体" w:hAnsi="宋体"/>
          <w:color w:val="auto"/>
          <w:sz w:val="36"/>
          <w:szCs w:val="36"/>
        </w:rPr>
      </w:pPr>
    </w:p>
    <w:p w14:paraId="29E80598">
      <w:pPr>
        <w:spacing w:line="360" w:lineRule="auto"/>
        <w:jc w:val="center"/>
        <w:rPr>
          <w:rFonts w:ascii="宋体" w:hAnsi="宋体"/>
          <w:color w:val="auto"/>
          <w:sz w:val="36"/>
          <w:szCs w:val="36"/>
        </w:rPr>
      </w:pPr>
    </w:p>
    <w:p w14:paraId="6C37681E">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49C70713">
      <w:pPr>
        <w:pStyle w:val="26"/>
        <w:ind w:left="101" w:leftChars="48" w:firstLine="1920" w:firstLineChars="800"/>
        <w:jc w:val="left"/>
        <w:rPr>
          <w:rFonts w:hAnsi="宋体"/>
          <w:color w:val="auto"/>
          <w:kern w:val="2"/>
          <w:szCs w:val="28"/>
          <w:u w:val="single"/>
        </w:rPr>
      </w:pPr>
    </w:p>
    <w:p w14:paraId="62AB1713">
      <w:pPr>
        <w:autoSpaceDE w:val="0"/>
        <w:autoSpaceDN w:val="0"/>
        <w:adjustRightInd w:val="0"/>
        <w:spacing w:line="400" w:lineRule="exact"/>
        <w:jc w:val="center"/>
        <w:outlineLvl w:val="0"/>
        <w:rPr>
          <w:rStyle w:val="171"/>
          <w:rFonts w:ascii="宋体" w:hAnsi="宋体"/>
          <w:color w:val="auto"/>
          <w:sz w:val="28"/>
          <w:szCs w:val="28"/>
        </w:rPr>
      </w:pPr>
      <w:bookmarkStart w:id="40" w:name="_Toc21541027"/>
      <w:bookmarkStart w:id="41" w:name="_Toc85732608"/>
      <w:bookmarkStart w:id="42" w:name="_Toc6520"/>
      <w:bookmarkStart w:id="43" w:name="_Toc27777"/>
      <w:bookmarkStart w:id="44" w:name="_Toc74987561"/>
      <w:bookmarkStart w:id="45" w:name="_Toc32080"/>
      <w:bookmarkStart w:id="46" w:name="_Toc74987462"/>
      <w:bookmarkStart w:id="47" w:name="_Toc74987430"/>
      <w:r>
        <w:rPr>
          <w:rFonts w:hint="eastAsia" w:ascii="宋体" w:hAnsi="宋体"/>
          <w:color w:val="auto"/>
          <w:sz w:val="36"/>
          <w:szCs w:val="36"/>
        </w:rPr>
        <w:t>年月日</w:t>
      </w:r>
      <w:bookmarkEnd w:id="40"/>
      <w:bookmarkEnd w:id="41"/>
      <w:bookmarkEnd w:id="42"/>
      <w:bookmarkEnd w:id="43"/>
      <w:bookmarkEnd w:id="44"/>
      <w:bookmarkEnd w:id="45"/>
      <w:bookmarkEnd w:id="46"/>
      <w:bookmarkEnd w:id="47"/>
    </w:p>
    <w:p w14:paraId="2A319D33">
      <w:pPr>
        <w:spacing w:line="360" w:lineRule="auto"/>
        <w:ind w:firstLine="4200" w:firstLineChars="2000"/>
        <w:jc w:val="left"/>
        <w:rPr>
          <w:rFonts w:ascii="宋体" w:hAnsi="宋体"/>
          <w:color w:val="auto"/>
          <w:szCs w:val="21"/>
        </w:rPr>
      </w:pPr>
    </w:p>
    <w:p w14:paraId="0E78D240">
      <w:pPr>
        <w:spacing w:line="360" w:lineRule="auto"/>
        <w:jc w:val="center"/>
        <w:rPr>
          <w:rFonts w:ascii="宋体" w:hAnsi="宋体"/>
          <w:b/>
          <w:color w:val="auto"/>
          <w:szCs w:val="21"/>
        </w:rPr>
      </w:pPr>
      <w:r>
        <w:rPr>
          <w:rStyle w:val="171"/>
          <w:rFonts w:ascii="宋体" w:hAnsi="宋体"/>
          <w:color w:val="auto"/>
          <w:sz w:val="21"/>
          <w:szCs w:val="21"/>
        </w:rPr>
        <w:br w:type="page"/>
      </w:r>
      <w:r>
        <w:rPr>
          <w:rFonts w:hint="eastAsia" w:ascii="宋体" w:hAnsi="宋体"/>
          <w:b/>
          <w:color w:val="auto"/>
          <w:szCs w:val="21"/>
        </w:rPr>
        <w:t>B1投标书</w:t>
      </w:r>
    </w:p>
    <w:p w14:paraId="4E2DB4B1">
      <w:pPr>
        <w:spacing w:line="400" w:lineRule="exact"/>
        <w:rPr>
          <w:rFonts w:hint="eastAsia" w:ascii="宋体" w:hAnsi="宋体" w:eastAsia="宋体"/>
          <w:color w:val="auto"/>
          <w:szCs w:val="21"/>
          <w:lang w:eastAsia="zh-CN"/>
        </w:rPr>
      </w:pPr>
      <w:r>
        <w:rPr>
          <w:rFonts w:hint="eastAsia" w:ascii="宋体" w:hAnsi="宋体"/>
          <w:color w:val="auto"/>
          <w:szCs w:val="21"/>
        </w:rPr>
        <w:t>致：</w:t>
      </w:r>
      <w:r>
        <w:rPr>
          <w:rFonts w:hint="eastAsia" w:ascii="宋体" w:hAnsi="宋体"/>
          <w:color w:val="auto"/>
          <w:szCs w:val="21"/>
          <w:lang w:eastAsia="zh-CN"/>
        </w:rPr>
        <w:t>宁波能诚工程管理有限公司</w:t>
      </w:r>
    </w:p>
    <w:p w14:paraId="69983E92">
      <w:pPr>
        <w:spacing w:line="400" w:lineRule="exact"/>
        <w:ind w:firstLine="420" w:firstLineChars="200"/>
        <w:rPr>
          <w:rFonts w:ascii="宋体" w:hAnsi="宋体"/>
          <w:color w:val="auto"/>
          <w:szCs w:val="21"/>
        </w:rPr>
      </w:pPr>
      <w:r>
        <w:rPr>
          <w:rFonts w:hint="eastAsia" w:ascii="宋体" w:hAnsi="宋体"/>
          <w:color w:val="auto"/>
          <w:szCs w:val="21"/>
          <w:u w:val="single"/>
        </w:rPr>
        <w:t>（供应商全称）　</w:t>
      </w:r>
      <w:r>
        <w:rPr>
          <w:rFonts w:hint="eastAsia" w:ascii="宋体" w:hAnsi="宋体"/>
          <w:color w:val="auto"/>
          <w:szCs w:val="21"/>
        </w:rPr>
        <w:t>授权</w:t>
      </w:r>
      <w:r>
        <w:rPr>
          <w:rFonts w:hint="eastAsia" w:ascii="宋体" w:hAnsi="宋体"/>
          <w:color w:val="auto"/>
          <w:szCs w:val="21"/>
          <w:u w:val="single"/>
        </w:rPr>
        <w:t>（全名、职务）</w:t>
      </w:r>
      <w:r>
        <w:rPr>
          <w:rFonts w:hint="eastAsia" w:ascii="宋体" w:hAnsi="宋体"/>
          <w:color w:val="auto"/>
          <w:szCs w:val="21"/>
        </w:rPr>
        <w:t>为全权代表，参加贵方组织的</w:t>
      </w:r>
      <w:r>
        <w:rPr>
          <w:rFonts w:hint="eastAsia" w:ascii="宋体" w:hAnsi="宋体"/>
          <w:color w:val="auto"/>
          <w:szCs w:val="21"/>
          <w:u w:val="single"/>
          <w:lang w:eastAsia="zh-CN"/>
        </w:rPr>
        <w:t>慈溪市交通运输局保安服务项目</w:t>
      </w:r>
      <w:r>
        <w:rPr>
          <w:rFonts w:hint="eastAsia" w:ascii="宋体" w:hAnsi="宋体"/>
          <w:color w:val="auto"/>
          <w:szCs w:val="21"/>
        </w:rPr>
        <w:t>（项目编号：</w:t>
      </w:r>
      <w:r>
        <w:rPr>
          <w:rFonts w:hint="eastAsia" w:ascii="宋体" w:hAnsi="宋体"/>
          <w:color w:val="auto"/>
          <w:szCs w:val="21"/>
          <w:lang w:val="en-US" w:eastAsia="zh-CN"/>
        </w:rPr>
        <w:t xml:space="preserve">      </w:t>
      </w:r>
      <w:r>
        <w:rPr>
          <w:rFonts w:hint="eastAsia" w:ascii="宋体" w:hAnsi="宋体"/>
          <w:color w:val="auto"/>
          <w:szCs w:val="21"/>
        </w:rPr>
        <w:t>）招标活动并投标，为便于采购人公正、择优地确定中标供应商及其服务，我方就本次投标有关事项郑重声明如下：</w:t>
      </w:r>
    </w:p>
    <w:p w14:paraId="1031B19F">
      <w:pPr>
        <w:snapToGrid w:val="0"/>
        <w:spacing w:line="400" w:lineRule="exact"/>
        <w:ind w:firstLine="420" w:firstLineChars="200"/>
        <w:rPr>
          <w:rFonts w:ascii="宋体" w:hAnsi="宋体"/>
          <w:color w:val="auto"/>
          <w:szCs w:val="21"/>
        </w:rPr>
      </w:pPr>
      <w:r>
        <w:rPr>
          <w:rFonts w:hint="eastAsia" w:ascii="宋体" w:hAnsi="宋体"/>
          <w:color w:val="auto"/>
          <w:szCs w:val="21"/>
        </w:rPr>
        <w:t>1、我方提供的所有投标文件、资料都是准确的和真实的。如有虚假或隐瞒，我方愿意承担一切后果，并不再寻求任何旨在减轻或免除法律责任的辩解。</w:t>
      </w:r>
    </w:p>
    <w:p w14:paraId="7FA71112">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2、我方不是为本项目提供整体设计、规范编制或者项目管理、监理、检测等服务的供应商。</w:t>
      </w:r>
    </w:p>
    <w:p w14:paraId="5DF8EF4E">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4B0FEF18">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color w:val="auto"/>
        </w:rPr>
        <w:t>保证遵守招标文件有关条款规定。</w:t>
      </w:r>
    </w:p>
    <w:p w14:paraId="582FF8A5">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6F2920EB">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37370634">
      <w:pPr>
        <w:spacing w:line="400" w:lineRule="exact"/>
        <w:ind w:firstLine="420" w:firstLineChars="200"/>
        <w:jc w:val="left"/>
        <w:rPr>
          <w:rFonts w:ascii="宋体"/>
          <w:color w:val="auto"/>
        </w:rPr>
      </w:pPr>
      <w:r>
        <w:rPr>
          <w:rFonts w:ascii="宋体" w:hAnsi="宋体"/>
          <w:color w:val="auto"/>
          <w:szCs w:val="21"/>
        </w:rPr>
        <w:t>7</w:t>
      </w:r>
      <w:r>
        <w:rPr>
          <w:rFonts w:hint="eastAsia" w:ascii="宋体" w:hAnsi="宋体"/>
          <w:color w:val="auto"/>
          <w:szCs w:val="21"/>
        </w:rPr>
        <w:t>、</w:t>
      </w:r>
      <w:r>
        <w:rPr>
          <w:rFonts w:hint="eastAsia" w:ascii="宋体"/>
          <w:color w:val="auto"/>
        </w:rPr>
        <w:t>保证在中标后忠实地执行与采购人所签署的合同，并承担合同规定的责任义务。</w:t>
      </w:r>
    </w:p>
    <w:p w14:paraId="52D090F9">
      <w:pPr>
        <w:spacing w:line="400" w:lineRule="exact"/>
        <w:ind w:firstLine="420" w:firstLineChars="200"/>
        <w:jc w:val="left"/>
        <w:rPr>
          <w:rFonts w:ascii="宋体"/>
          <w:color w:val="auto"/>
        </w:rPr>
      </w:pPr>
      <w:r>
        <w:rPr>
          <w:rFonts w:hint="eastAsia" w:asci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6AD6F281">
      <w:pPr>
        <w:spacing w:line="400" w:lineRule="exact"/>
        <w:ind w:firstLine="420" w:firstLineChars="200"/>
        <w:jc w:val="left"/>
        <w:rPr>
          <w:rFonts w:ascii="宋体" w:hAnsi="宋体"/>
          <w:color w:val="auto"/>
          <w:szCs w:val="21"/>
        </w:rPr>
      </w:pPr>
      <w:r>
        <w:rPr>
          <w:rFonts w:hint="eastAsia" w:ascii="宋体" w:hAnsi="宋体"/>
          <w:color w:val="auto"/>
        </w:rPr>
        <w:t>9、</w:t>
      </w:r>
      <w:r>
        <w:rPr>
          <w:rFonts w:hint="eastAsia"/>
          <w:color w:val="auto"/>
        </w:rPr>
        <w:t>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B2E2B46">
      <w:pPr>
        <w:spacing w:line="400" w:lineRule="exact"/>
        <w:ind w:firstLine="420" w:firstLineChars="200"/>
        <w:jc w:val="left"/>
        <w:rPr>
          <w:rFonts w:ascii="宋体" w:hAnsi="宋体"/>
          <w:color w:val="auto"/>
          <w:szCs w:val="21"/>
        </w:rPr>
      </w:pPr>
      <w:r>
        <w:rPr>
          <w:rFonts w:hint="eastAsia" w:ascii="宋体" w:hAnsi="宋体"/>
          <w:color w:val="auto"/>
          <w:szCs w:val="21"/>
        </w:rPr>
        <w:t>10、与本投标有关的一切正式来往通讯请寄：</w:t>
      </w:r>
    </w:p>
    <w:p w14:paraId="73AEBB18">
      <w:pPr>
        <w:spacing w:line="400" w:lineRule="exact"/>
        <w:ind w:firstLine="420" w:firstLineChars="200"/>
        <w:jc w:val="left"/>
        <w:rPr>
          <w:rFonts w:ascii="宋体" w:hAnsi="宋体"/>
          <w:color w:val="auto"/>
          <w:szCs w:val="21"/>
        </w:rPr>
      </w:pPr>
      <w:r>
        <w:rPr>
          <w:rFonts w:hint="eastAsia" w:ascii="宋体" w:hAnsi="宋体"/>
          <w:color w:val="auto"/>
          <w:szCs w:val="21"/>
        </w:rPr>
        <w:t>地址：邮编：。</w:t>
      </w:r>
    </w:p>
    <w:p w14:paraId="47562B8F">
      <w:pPr>
        <w:spacing w:line="400" w:lineRule="exact"/>
        <w:ind w:firstLine="420" w:firstLineChars="200"/>
        <w:jc w:val="left"/>
        <w:rPr>
          <w:rFonts w:ascii="宋体" w:hAnsi="宋体"/>
          <w:color w:val="auto"/>
          <w:szCs w:val="21"/>
        </w:rPr>
      </w:pPr>
      <w:r>
        <w:rPr>
          <w:rFonts w:hint="eastAsia" w:ascii="宋体" w:hAnsi="宋体"/>
          <w:color w:val="auto"/>
          <w:szCs w:val="21"/>
        </w:rPr>
        <w:t>电话：传真：。</w:t>
      </w:r>
    </w:p>
    <w:p w14:paraId="7C1DA57C">
      <w:pPr>
        <w:spacing w:line="400" w:lineRule="exact"/>
        <w:ind w:left="540" w:firstLine="30"/>
        <w:jc w:val="left"/>
        <w:rPr>
          <w:rFonts w:ascii="宋体" w:hAnsi="宋体"/>
          <w:color w:val="auto"/>
          <w:szCs w:val="21"/>
        </w:rPr>
      </w:pPr>
    </w:p>
    <w:p w14:paraId="42C375E2">
      <w:pPr>
        <w:spacing w:line="400" w:lineRule="exact"/>
        <w:jc w:val="left"/>
        <w:rPr>
          <w:rFonts w:ascii="宋体" w:hAnsi="宋体"/>
          <w:color w:val="auto"/>
          <w:szCs w:val="21"/>
        </w:rPr>
      </w:pPr>
    </w:p>
    <w:p w14:paraId="000BB41B">
      <w:pPr>
        <w:spacing w:line="400" w:lineRule="atLeast"/>
        <w:jc w:val="left"/>
        <w:rPr>
          <w:rFonts w:ascii="宋体" w:hAnsi="宋体"/>
          <w:color w:val="auto"/>
          <w:szCs w:val="21"/>
        </w:rPr>
      </w:pPr>
      <w:r>
        <w:rPr>
          <w:rFonts w:hint="eastAsia" w:ascii="宋体" w:hAnsi="宋体"/>
          <w:color w:val="auto"/>
          <w:szCs w:val="21"/>
        </w:rPr>
        <w:t>供应商（盖章）：</w:t>
      </w:r>
    </w:p>
    <w:p w14:paraId="7E58E725">
      <w:pPr>
        <w:spacing w:line="400" w:lineRule="atLeast"/>
        <w:jc w:val="left"/>
        <w:rPr>
          <w:rFonts w:ascii="宋体" w:hAnsi="宋体"/>
          <w:color w:val="auto"/>
          <w:szCs w:val="21"/>
        </w:rPr>
      </w:pPr>
      <w:r>
        <w:rPr>
          <w:rFonts w:hint="eastAsia" w:ascii="宋体" w:hAnsi="宋体"/>
          <w:color w:val="auto"/>
          <w:szCs w:val="21"/>
        </w:rPr>
        <w:t>法定代表人（签字或盖章）：</w:t>
      </w:r>
    </w:p>
    <w:p w14:paraId="6B811DC9">
      <w:pPr>
        <w:spacing w:line="400" w:lineRule="atLeast"/>
        <w:jc w:val="left"/>
        <w:rPr>
          <w:rFonts w:ascii="宋体" w:hAnsi="宋体"/>
          <w:color w:val="auto"/>
          <w:szCs w:val="21"/>
        </w:rPr>
      </w:pPr>
      <w:r>
        <w:rPr>
          <w:rFonts w:hint="eastAsia" w:ascii="宋体" w:hAnsi="宋体"/>
          <w:color w:val="auto"/>
          <w:szCs w:val="21"/>
        </w:rPr>
        <w:t>日期：</w:t>
      </w:r>
    </w:p>
    <w:p w14:paraId="1312DB63">
      <w:pPr>
        <w:spacing w:line="360" w:lineRule="auto"/>
        <w:jc w:val="center"/>
        <w:rPr>
          <w:rFonts w:ascii="宋体" w:hAnsi="宋体"/>
          <w:b/>
          <w:color w:val="auto"/>
          <w:szCs w:val="21"/>
        </w:rPr>
      </w:pPr>
      <w:r>
        <w:rPr>
          <w:rStyle w:val="171"/>
          <w:rFonts w:ascii="宋体" w:hAnsi="宋体"/>
          <w:color w:val="auto"/>
          <w:sz w:val="21"/>
          <w:szCs w:val="21"/>
        </w:rPr>
        <w:br w:type="page"/>
      </w:r>
      <w:r>
        <w:rPr>
          <w:rStyle w:val="171"/>
          <w:rFonts w:hint="eastAsia" w:ascii="宋体" w:hAnsi="宋体"/>
          <w:color w:val="auto"/>
          <w:sz w:val="21"/>
          <w:szCs w:val="21"/>
        </w:rPr>
        <w:t>B</w:t>
      </w:r>
      <w:r>
        <w:rPr>
          <w:rFonts w:ascii="宋体" w:hAnsi="宋体"/>
          <w:b/>
          <w:color w:val="auto"/>
          <w:szCs w:val="21"/>
        </w:rPr>
        <w:t>2</w:t>
      </w:r>
      <w:r>
        <w:rPr>
          <w:rFonts w:hint="eastAsia" w:ascii="宋体" w:hAnsi="宋体"/>
          <w:b/>
          <w:color w:val="auto"/>
          <w:szCs w:val="21"/>
        </w:rPr>
        <w:t>法定代表人身份证明</w:t>
      </w:r>
    </w:p>
    <w:p w14:paraId="2864901D">
      <w:pPr>
        <w:spacing w:after="120" w:afterLines="50" w:line="400" w:lineRule="exact"/>
        <w:rPr>
          <w:rFonts w:ascii="宋体" w:hAnsi="宋体"/>
          <w:color w:val="auto"/>
          <w:szCs w:val="21"/>
          <w:u w:val="single"/>
        </w:rPr>
      </w:pPr>
      <w:r>
        <w:rPr>
          <w:rFonts w:hint="eastAsia" w:ascii="宋体" w:hAnsi="宋体"/>
          <w:color w:val="auto"/>
          <w:szCs w:val="21"/>
        </w:rPr>
        <w:t>供应商名称：</w:t>
      </w:r>
    </w:p>
    <w:p w14:paraId="19DD2F75">
      <w:pPr>
        <w:spacing w:after="120" w:afterLines="50" w:line="400" w:lineRule="exact"/>
        <w:rPr>
          <w:rFonts w:ascii="宋体" w:hAnsi="宋体"/>
          <w:color w:val="auto"/>
          <w:szCs w:val="21"/>
          <w:u w:val="single"/>
        </w:rPr>
      </w:pPr>
      <w:r>
        <w:rPr>
          <w:rFonts w:hint="eastAsia" w:ascii="宋体" w:hAnsi="宋体"/>
          <w:color w:val="auto"/>
          <w:szCs w:val="21"/>
        </w:rPr>
        <w:t>单位性质：</w:t>
      </w:r>
    </w:p>
    <w:p w14:paraId="2346415F">
      <w:pPr>
        <w:spacing w:after="120" w:afterLines="50" w:line="400" w:lineRule="exact"/>
        <w:rPr>
          <w:rFonts w:ascii="宋体" w:hAnsi="宋体"/>
          <w:color w:val="auto"/>
          <w:szCs w:val="21"/>
          <w:u w:val="single"/>
        </w:rPr>
      </w:pPr>
      <w:r>
        <w:rPr>
          <w:rFonts w:hint="eastAsia" w:ascii="宋体" w:hAnsi="宋体"/>
          <w:color w:val="auto"/>
          <w:szCs w:val="21"/>
        </w:rPr>
        <w:t>地址：</w:t>
      </w:r>
    </w:p>
    <w:p w14:paraId="543CF7BA">
      <w:pPr>
        <w:spacing w:after="120" w:afterLines="50" w:line="400" w:lineRule="exact"/>
        <w:rPr>
          <w:rFonts w:ascii="宋体" w:hAnsi="宋体"/>
          <w:color w:val="auto"/>
          <w:szCs w:val="21"/>
          <w:u w:val="single"/>
        </w:rPr>
      </w:pPr>
      <w:r>
        <w:rPr>
          <w:rFonts w:hint="eastAsia" w:ascii="宋体" w:hAnsi="宋体"/>
          <w:color w:val="auto"/>
          <w:szCs w:val="21"/>
        </w:rPr>
        <w:t>成立时间：年月日</w:t>
      </w:r>
    </w:p>
    <w:p w14:paraId="49723894">
      <w:pPr>
        <w:spacing w:after="120" w:afterLines="50" w:line="400" w:lineRule="exact"/>
        <w:rPr>
          <w:rFonts w:ascii="宋体" w:hAnsi="宋体"/>
          <w:color w:val="auto"/>
          <w:szCs w:val="21"/>
          <w:u w:val="single"/>
        </w:rPr>
      </w:pPr>
      <w:r>
        <w:rPr>
          <w:rFonts w:hint="eastAsia" w:ascii="宋体" w:hAnsi="宋体"/>
          <w:color w:val="auto"/>
          <w:szCs w:val="21"/>
        </w:rPr>
        <w:t>经营期限：</w:t>
      </w:r>
    </w:p>
    <w:p w14:paraId="4ADD95A8">
      <w:pPr>
        <w:spacing w:after="120" w:afterLines="50" w:line="400" w:lineRule="exact"/>
        <w:rPr>
          <w:rFonts w:ascii="宋体" w:hAnsi="宋体"/>
          <w:color w:val="auto"/>
          <w:szCs w:val="21"/>
          <w:u w:val="single"/>
        </w:rPr>
      </w:pPr>
      <w:r>
        <w:rPr>
          <w:rFonts w:hint="eastAsia" w:ascii="宋体" w:hAnsi="宋体"/>
          <w:color w:val="auto"/>
          <w:szCs w:val="21"/>
        </w:rPr>
        <w:t>姓名：性别：年龄：职务：</w:t>
      </w:r>
    </w:p>
    <w:p w14:paraId="6730F2E6">
      <w:pPr>
        <w:spacing w:after="120" w:afterLines="50" w:line="400" w:lineRule="exact"/>
        <w:rPr>
          <w:rFonts w:ascii="宋体" w:hAnsi="宋体"/>
          <w:color w:val="auto"/>
          <w:szCs w:val="21"/>
          <w:u w:val="single"/>
        </w:rPr>
      </w:pPr>
      <w:r>
        <w:rPr>
          <w:rFonts w:hint="eastAsia" w:ascii="宋体" w:hAnsi="宋体"/>
          <w:color w:val="auto"/>
          <w:szCs w:val="21"/>
        </w:rPr>
        <w:t>身份证号码：</w:t>
      </w:r>
    </w:p>
    <w:p w14:paraId="3577F656">
      <w:pPr>
        <w:spacing w:line="400" w:lineRule="exact"/>
        <w:ind w:firstLine="560"/>
        <w:rPr>
          <w:rFonts w:ascii="宋体" w:hAnsi="宋体"/>
          <w:color w:val="auto"/>
          <w:szCs w:val="21"/>
        </w:rPr>
      </w:pPr>
    </w:p>
    <w:p w14:paraId="6FCA510F">
      <w:pPr>
        <w:spacing w:line="400" w:lineRule="exact"/>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w:t>
      </w:r>
    </w:p>
    <w:p w14:paraId="791A0F2C">
      <w:pPr>
        <w:spacing w:line="400" w:lineRule="exact"/>
        <w:ind w:firstLine="560"/>
        <w:rPr>
          <w:rFonts w:ascii="宋体" w:hAnsi="宋体"/>
          <w:color w:val="auto"/>
          <w:szCs w:val="21"/>
        </w:rPr>
      </w:pPr>
    </w:p>
    <w:p w14:paraId="7F6EA282">
      <w:pPr>
        <w:spacing w:line="400" w:lineRule="exact"/>
        <w:rPr>
          <w:rFonts w:ascii="宋体" w:hAnsi="宋体"/>
          <w:color w:val="auto"/>
          <w:szCs w:val="21"/>
        </w:rPr>
      </w:pPr>
      <w:r>
        <w:rPr>
          <w:rFonts w:hint="eastAsia" w:ascii="宋体" w:hAnsi="宋体"/>
          <w:color w:val="auto"/>
          <w:szCs w:val="21"/>
        </w:rPr>
        <w:t>特此证明。</w:t>
      </w:r>
    </w:p>
    <w:p w14:paraId="2192603E">
      <w:pPr>
        <w:spacing w:line="400" w:lineRule="exact"/>
        <w:rPr>
          <w:rFonts w:ascii="宋体" w:hAnsi="宋体"/>
          <w:color w:val="auto"/>
          <w:szCs w:val="21"/>
        </w:rPr>
      </w:pPr>
    </w:p>
    <w:p w14:paraId="28BF02EB">
      <w:pPr>
        <w:spacing w:line="400" w:lineRule="atLeast"/>
        <w:jc w:val="left"/>
        <w:rPr>
          <w:rFonts w:ascii="宋体" w:hAnsi="宋体"/>
          <w:color w:val="auto"/>
          <w:szCs w:val="21"/>
        </w:rPr>
      </w:pPr>
      <w:r>
        <w:rPr>
          <w:rFonts w:hint="eastAsia" w:ascii="宋体" w:hAnsi="宋体"/>
          <w:color w:val="auto"/>
          <w:szCs w:val="21"/>
        </w:rPr>
        <w:t>供应商（盖章）：</w:t>
      </w:r>
    </w:p>
    <w:p w14:paraId="17586258">
      <w:pPr>
        <w:spacing w:line="400" w:lineRule="atLeast"/>
        <w:rPr>
          <w:rFonts w:ascii="宋体" w:hAnsi="宋体"/>
          <w:color w:val="auto"/>
          <w:szCs w:val="21"/>
          <w:u w:val="single"/>
        </w:rPr>
      </w:pPr>
      <w:r>
        <w:rPr>
          <w:rFonts w:hint="eastAsia" w:ascii="宋体" w:hAnsi="宋体"/>
          <w:color w:val="auto"/>
          <w:szCs w:val="21"/>
        </w:rPr>
        <w:t>日期：</w:t>
      </w:r>
    </w:p>
    <w:p w14:paraId="4C895344">
      <w:pPr>
        <w:spacing w:line="400" w:lineRule="atLeast"/>
        <w:rPr>
          <w:rFonts w:ascii="宋体" w:hAnsi="宋体"/>
          <w:color w:val="auto"/>
          <w:szCs w:val="21"/>
          <w:u w:val="single"/>
        </w:rPr>
      </w:pPr>
    </w:p>
    <w:p w14:paraId="63CCE464">
      <w:pPr>
        <w:spacing w:line="400" w:lineRule="atLeast"/>
        <w:rPr>
          <w:rFonts w:ascii="宋体" w:hAnsi="宋体"/>
          <w:color w:val="auto"/>
          <w:szCs w:val="21"/>
          <w:u w:val="single"/>
        </w:rPr>
      </w:pPr>
    </w:p>
    <w:p w14:paraId="1BB91A2A">
      <w:pPr>
        <w:spacing w:line="360" w:lineRule="auto"/>
        <w:rPr>
          <w:rFonts w:ascii="宋体" w:hAnsi="宋体"/>
          <w:color w:val="auto"/>
          <w:szCs w:val="21"/>
        </w:rPr>
      </w:pPr>
    </w:p>
    <w:p w14:paraId="4DF07D27">
      <w:pPr>
        <w:spacing w:line="360" w:lineRule="auto"/>
        <w:rPr>
          <w:rFonts w:ascii="宋体" w:hAnsi="宋体"/>
          <w:color w:val="auto"/>
          <w:szCs w:val="21"/>
        </w:rPr>
      </w:pPr>
      <w:r>
        <w:rPr>
          <w:rFonts w:hint="eastAsia" w:ascii="宋体" w:hAnsi="宋体"/>
          <w:color w:val="auto"/>
          <w:szCs w:val="21"/>
        </w:rPr>
        <w:t>后附：法定代表人身份证复印件（不同页的须加盖供应商公章）。</w:t>
      </w:r>
    </w:p>
    <w:p w14:paraId="1BBF6431">
      <w:pPr>
        <w:spacing w:line="400" w:lineRule="atLeast"/>
        <w:rPr>
          <w:rFonts w:ascii="宋体" w:hAnsi="宋体"/>
          <w:color w:val="auto"/>
          <w:szCs w:val="21"/>
          <w:u w:val="single"/>
        </w:rPr>
      </w:pPr>
    </w:p>
    <w:p w14:paraId="6883A657">
      <w:pPr>
        <w:spacing w:line="400" w:lineRule="exact"/>
        <w:jc w:val="center"/>
        <w:rPr>
          <w:rFonts w:ascii="宋体" w:hAnsi="宋体"/>
          <w:b/>
          <w:color w:val="auto"/>
          <w:szCs w:val="21"/>
        </w:rPr>
      </w:pPr>
      <w:r>
        <w:rPr>
          <w:rStyle w:val="171"/>
          <w:rFonts w:ascii="宋体" w:hAnsi="宋体"/>
          <w:color w:val="auto"/>
          <w:sz w:val="21"/>
          <w:szCs w:val="21"/>
        </w:rPr>
        <w:br w:type="page"/>
      </w:r>
      <w:r>
        <w:rPr>
          <w:rFonts w:hint="eastAsia" w:ascii="宋体" w:hAnsi="宋体"/>
          <w:b/>
          <w:color w:val="auto"/>
          <w:szCs w:val="21"/>
        </w:rPr>
        <w:t>B</w:t>
      </w:r>
      <w:r>
        <w:rPr>
          <w:rFonts w:ascii="宋体" w:hAnsi="宋体"/>
          <w:b/>
          <w:color w:val="auto"/>
          <w:szCs w:val="21"/>
        </w:rPr>
        <w:t>3</w:t>
      </w:r>
      <w:r>
        <w:rPr>
          <w:rFonts w:hint="eastAsia" w:ascii="宋体" w:hAnsi="宋体"/>
          <w:b/>
          <w:color w:val="auto"/>
          <w:szCs w:val="21"/>
        </w:rPr>
        <w:t>法定代表人授权书</w:t>
      </w:r>
    </w:p>
    <w:p w14:paraId="2FE5FDA4">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27334E11">
      <w:pPr>
        <w:spacing w:line="360" w:lineRule="auto"/>
        <w:rPr>
          <w:rFonts w:ascii="宋体" w:hAnsi="宋体"/>
          <w:color w:val="auto"/>
          <w:szCs w:val="21"/>
        </w:rPr>
      </w:pPr>
      <w:r>
        <w:rPr>
          <w:rFonts w:hint="eastAsia" w:ascii="宋体" w:hAnsi="宋体"/>
          <w:color w:val="auto"/>
          <w:szCs w:val="21"/>
        </w:rPr>
        <w:t>致：采购人</w:t>
      </w:r>
    </w:p>
    <w:p w14:paraId="37BD546F">
      <w:pPr>
        <w:spacing w:line="360" w:lineRule="auto"/>
        <w:ind w:firstLine="420" w:firstLineChars="200"/>
        <w:rPr>
          <w:rFonts w:ascii="宋体" w:hAnsi="宋体"/>
          <w:color w:val="auto"/>
          <w:szCs w:val="21"/>
        </w:rPr>
      </w:pPr>
      <w:r>
        <w:rPr>
          <w:rFonts w:hint="eastAsia" w:ascii="宋体" w:hAnsi="宋体"/>
          <w:color w:val="auto"/>
          <w:szCs w:val="21"/>
          <w:u w:val="single"/>
        </w:rPr>
        <w:t>（供应商全称）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慈溪市交通运输局保安服务项目</w:t>
      </w:r>
      <w:r>
        <w:rPr>
          <w:rFonts w:hint="eastAsia" w:ascii="宋体" w:hAnsi="宋体"/>
          <w:color w:val="auto"/>
          <w:szCs w:val="21"/>
        </w:rPr>
        <w:t>，项目编号为</w:t>
      </w:r>
      <w:r>
        <w:rPr>
          <w:rFonts w:hint="eastAsia" w:ascii="宋体" w:hAnsi="宋体"/>
          <w:color w:val="auto"/>
          <w:szCs w:val="21"/>
          <w:u w:val="single"/>
        </w:rPr>
        <w:t xml:space="preserve">         </w:t>
      </w:r>
      <w:r>
        <w:rPr>
          <w:rFonts w:hint="eastAsia" w:ascii="宋体" w:hAnsi="宋体"/>
          <w:color w:val="auto"/>
          <w:szCs w:val="21"/>
        </w:rPr>
        <w:t>，其在招投标活动中的一切活动本公司均予承认。</w:t>
      </w:r>
    </w:p>
    <w:p w14:paraId="45B67E74">
      <w:pPr>
        <w:spacing w:line="400" w:lineRule="atLeast"/>
        <w:jc w:val="left"/>
        <w:rPr>
          <w:rFonts w:ascii="宋体" w:hAnsi="宋体"/>
          <w:color w:val="auto"/>
          <w:szCs w:val="21"/>
        </w:rPr>
      </w:pPr>
    </w:p>
    <w:p w14:paraId="43B66C87">
      <w:pPr>
        <w:spacing w:line="400" w:lineRule="atLeast"/>
        <w:jc w:val="left"/>
        <w:rPr>
          <w:rFonts w:ascii="宋体" w:hAnsi="宋体"/>
          <w:color w:val="auto"/>
          <w:szCs w:val="21"/>
        </w:rPr>
      </w:pPr>
      <w:r>
        <w:rPr>
          <w:rFonts w:hint="eastAsia" w:ascii="宋体" w:hAnsi="宋体"/>
          <w:color w:val="auto"/>
          <w:szCs w:val="21"/>
        </w:rPr>
        <w:t>供应商（盖章）：</w:t>
      </w:r>
    </w:p>
    <w:p w14:paraId="27C9A16B">
      <w:pPr>
        <w:spacing w:line="400" w:lineRule="atLeast"/>
        <w:jc w:val="left"/>
        <w:rPr>
          <w:rFonts w:ascii="宋体" w:hAnsi="宋体"/>
          <w:color w:val="auto"/>
          <w:szCs w:val="21"/>
        </w:rPr>
      </w:pPr>
      <w:r>
        <w:rPr>
          <w:rFonts w:hint="eastAsia" w:ascii="宋体" w:hAnsi="宋体"/>
          <w:color w:val="auto"/>
          <w:szCs w:val="21"/>
        </w:rPr>
        <w:t>法定代表人（签字或盖章）：</w:t>
      </w:r>
    </w:p>
    <w:p w14:paraId="49B6C9F7">
      <w:pPr>
        <w:spacing w:line="400" w:lineRule="atLeast"/>
        <w:rPr>
          <w:rFonts w:ascii="宋体" w:hAnsi="宋体"/>
          <w:color w:val="auto"/>
          <w:szCs w:val="21"/>
          <w:u w:val="single"/>
        </w:rPr>
      </w:pPr>
      <w:r>
        <w:rPr>
          <w:rFonts w:hint="eastAsia" w:ascii="宋体" w:hAnsi="宋体"/>
          <w:color w:val="auto"/>
          <w:szCs w:val="21"/>
        </w:rPr>
        <w:t>日期：</w:t>
      </w:r>
    </w:p>
    <w:p w14:paraId="7751CA8C">
      <w:pPr>
        <w:spacing w:line="360" w:lineRule="auto"/>
        <w:rPr>
          <w:rFonts w:ascii="宋体" w:hAnsi="宋体"/>
          <w:color w:val="auto"/>
          <w:szCs w:val="21"/>
        </w:rPr>
      </w:pPr>
    </w:p>
    <w:p w14:paraId="3A7FC933">
      <w:pPr>
        <w:spacing w:line="360" w:lineRule="auto"/>
        <w:rPr>
          <w:rFonts w:ascii="宋体" w:hAnsi="宋体"/>
          <w:color w:val="auto"/>
          <w:szCs w:val="21"/>
        </w:rPr>
      </w:pPr>
    </w:p>
    <w:p w14:paraId="1174B6BE">
      <w:pPr>
        <w:spacing w:line="360" w:lineRule="auto"/>
        <w:rPr>
          <w:rFonts w:ascii="宋体" w:hAnsi="宋体"/>
          <w:color w:val="auto"/>
          <w:szCs w:val="21"/>
        </w:rPr>
      </w:pPr>
      <w:r>
        <w:rPr>
          <w:rFonts w:hint="eastAsia" w:ascii="宋体" w:hAnsi="宋体"/>
          <w:color w:val="auto"/>
          <w:szCs w:val="21"/>
        </w:rPr>
        <w:t>附：</w:t>
      </w:r>
    </w:p>
    <w:p w14:paraId="134E3CF3">
      <w:pPr>
        <w:spacing w:line="360" w:lineRule="auto"/>
        <w:ind w:firstLine="555"/>
        <w:rPr>
          <w:rFonts w:ascii="宋体" w:hAnsi="宋体"/>
          <w:color w:val="auto"/>
          <w:szCs w:val="21"/>
          <w:u w:val="single"/>
        </w:rPr>
      </w:pPr>
      <w:r>
        <w:rPr>
          <w:rFonts w:hint="eastAsia" w:ascii="宋体" w:hAnsi="宋体"/>
          <w:color w:val="auto"/>
          <w:szCs w:val="21"/>
        </w:rPr>
        <w:t>授权代表姓名：</w:t>
      </w:r>
    </w:p>
    <w:p w14:paraId="652E3EA6">
      <w:pPr>
        <w:spacing w:line="360" w:lineRule="auto"/>
        <w:ind w:firstLine="555"/>
        <w:rPr>
          <w:rFonts w:ascii="宋体" w:hAnsi="宋体"/>
          <w:color w:val="auto"/>
          <w:szCs w:val="21"/>
          <w:u w:val="single"/>
        </w:rPr>
      </w:pPr>
      <w:r>
        <w:rPr>
          <w:rFonts w:hint="eastAsia" w:ascii="宋体" w:hAnsi="宋体"/>
          <w:color w:val="auto"/>
          <w:szCs w:val="21"/>
        </w:rPr>
        <w:t>授权代表身份证号码：</w:t>
      </w:r>
    </w:p>
    <w:p w14:paraId="3DB50785">
      <w:pPr>
        <w:spacing w:line="360" w:lineRule="auto"/>
        <w:ind w:firstLine="555"/>
        <w:rPr>
          <w:rFonts w:ascii="宋体" w:hAnsi="宋体"/>
          <w:color w:val="auto"/>
          <w:szCs w:val="21"/>
          <w:u w:val="single"/>
        </w:rPr>
      </w:pPr>
      <w:r>
        <w:rPr>
          <w:rFonts w:hint="eastAsia" w:ascii="宋体" w:hAnsi="宋体"/>
          <w:color w:val="auto"/>
          <w:szCs w:val="21"/>
        </w:rPr>
        <w:t>职务：</w:t>
      </w:r>
    </w:p>
    <w:p w14:paraId="16D79EE8">
      <w:pPr>
        <w:spacing w:line="360" w:lineRule="auto"/>
        <w:ind w:firstLine="555"/>
        <w:rPr>
          <w:rFonts w:ascii="宋体" w:hAnsi="宋体"/>
          <w:color w:val="auto"/>
          <w:szCs w:val="21"/>
          <w:u w:val="single"/>
        </w:rPr>
      </w:pPr>
      <w:r>
        <w:rPr>
          <w:rFonts w:hint="eastAsia" w:ascii="宋体" w:hAnsi="宋体"/>
          <w:color w:val="auto"/>
          <w:szCs w:val="21"/>
        </w:rPr>
        <w:t>详细通讯地址：</w:t>
      </w:r>
    </w:p>
    <w:p w14:paraId="1AAB9C59">
      <w:pPr>
        <w:spacing w:line="360" w:lineRule="auto"/>
        <w:ind w:firstLine="555"/>
        <w:rPr>
          <w:rFonts w:ascii="宋体" w:hAnsi="宋体"/>
          <w:color w:val="auto"/>
          <w:szCs w:val="21"/>
        </w:rPr>
      </w:pPr>
      <w:r>
        <w:rPr>
          <w:rFonts w:hint="eastAsia" w:ascii="宋体" w:hAnsi="宋体"/>
          <w:color w:val="auto"/>
          <w:szCs w:val="21"/>
        </w:rPr>
        <w:t>电话：</w:t>
      </w:r>
    </w:p>
    <w:p w14:paraId="11B14CDC">
      <w:pPr>
        <w:spacing w:line="360" w:lineRule="auto"/>
        <w:ind w:firstLine="555"/>
        <w:rPr>
          <w:rFonts w:ascii="宋体" w:hAnsi="宋体"/>
          <w:color w:val="auto"/>
          <w:szCs w:val="21"/>
          <w:u w:val="single"/>
        </w:rPr>
      </w:pPr>
      <w:r>
        <w:rPr>
          <w:rFonts w:hint="eastAsia" w:ascii="宋体" w:hAnsi="宋体"/>
          <w:color w:val="auto"/>
          <w:szCs w:val="21"/>
        </w:rPr>
        <w:t>传真：</w:t>
      </w:r>
    </w:p>
    <w:p w14:paraId="7D5CCABE">
      <w:pPr>
        <w:spacing w:line="360" w:lineRule="auto"/>
        <w:ind w:firstLine="525" w:firstLineChars="250"/>
        <w:rPr>
          <w:rFonts w:ascii="宋体" w:hAnsi="宋体"/>
          <w:color w:val="auto"/>
          <w:szCs w:val="21"/>
          <w:u w:val="single"/>
        </w:rPr>
      </w:pPr>
    </w:p>
    <w:p w14:paraId="31ACE6D5">
      <w:pPr>
        <w:spacing w:line="360" w:lineRule="auto"/>
        <w:ind w:firstLine="525" w:firstLineChars="250"/>
        <w:rPr>
          <w:rFonts w:ascii="宋体" w:hAnsi="宋体"/>
          <w:color w:val="auto"/>
          <w:szCs w:val="21"/>
          <w:u w:val="single"/>
        </w:rPr>
      </w:pPr>
    </w:p>
    <w:p w14:paraId="04B2B103">
      <w:pPr>
        <w:spacing w:line="360" w:lineRule="auto"/>
        <w:ind w:firstLine="525" w:firstLineChars="250"/>
        <w:rPr>
          <w:rFonts w:ascii="宋体" w:hAnsi="宋体"/>
          <w:color w:val="auto"/>
          <w:szCs w:val="21"/>
          <w:u w:val="single"/>
        </w:rPr>
      </w:pPr>
    </w:p>
    <w:p w14:paraId="2164D108">
      <w:pPr>
        <w:spacing w:line="360" w:lineRule="auto"/>
        <w:ind w:firstLine="525" w:firstLineChars="250"/>
        <w:rPr>
          <w:rFonts w:ascii="宋体" w:hAnsi="宋体"/>
          <w:color w:val="auto"/>
          <w:szCs w:val="21"/>
        </w:rPr>
      </w:pPr>
      <w:r>
        <w:rPr>
          <w:rFonts w:hint="eastAsia" w:ascii="宋体" w:hAnsi="宋体"/>
          <w:color w:val="auto"/>
          <w:szCs w:val="21"/>
        </w:rPr>
        <w:t>后附：</w:t>
      </w:r>
    </w:p>
    <w:p w14:paraId="52FD6FC5">
      <w:pPr>
        <w:spacing w:line="360" w:lineRule="auto"/>
        <w:ind w:firstLine="525" w:firstLineChars="250"/>
        <w:rPr>
          <w:rFonts w:ascii="宋体" w:hAnsi="宋体"/>
          <w:color w:val="auto"/>
          <w:szCs w:val="21"/>
        </w:rPr>
      </w:pPr>
      <w:r>
        <w:rPr>
          <w:rFonts w:ascii="宋体" w:hAnsi="宋体"/>
          <w:color w:val="auto"/>
          <w:szCs w:val="21"/>
        </w:rPr>
        <w:t>1</w:t>
      </w:r>
      <w:r>
        <w:rPr>
          <w:rFonts w:hint="eastAsia" w:ascii="宋体" w:hAnsi="宋体"/>
          <w:color w:val="auto"/>
          <w:szCs w:val="21"/>
        </w:rPr>
        <w:t>、授权代表身份证复印件（不同页的须加盖供应商公章）；</w:t>
      </w:r>
    </w:p>
    <w:p w14:paraId="0CDF35FD">
      <w:pPr>
        <w:spacing w:line="360" w:lineRule="auto"/>
        <w:ind w:firstLine="517" w:firstLineChars="250"/>
        <w:jc w:val="center"/>
        <w:rPr>
          <w:rFonts w:ascii="宋体" w:hAnsi="宋体"/>
          <w:b/>
          <w:color w:val="auto"/>
          <w:szCs w:val="21"/>
        </w:rPr>
      </w:pPr>
      <w:r>
        <w:rPr>
          <w:rStyle w:val="171"/>
          <w:rFonts w:ascii="宋体" w:hAnsi="宋体"/>
          <w:color w:val="auto"/>
          <w:sz w:val="21"/>
          <w:szCs w:val="21"/>
        </w:rPr>
        <w:br w:type="page"/>
      </w:r>
    </w:p>
    <w:p w14:paraId="1AD220F2">
      <w:pPr>
        <w:spacing w:line="440" w:lineRule="exact"/>
        <w:jc w:val="center"/>
        <w:rPr>
          <w:rFonts w:ascii="宋体" w:hAnsi="宋体"/>
          <w:b/>
          <w:color w:val="auto"/>
          <w:szCs w:val="21"/>
        </w:rPr>
      </w:pPr>
      <w:r>
        <w:rPr>
          <w:rFonts w:hint="eastAsia" w:ascii="宋体" w:hAnsi="宋体"/>
          <w:b/>
          <w:color w:val="auto"/>
          <w:szCs w:val="21"/>
        </w:rPr>
        <w:t>B</w:t>
      </w:r>
      <w:r>
        <w:rPr>
          <w:rFonts w:ascii="宋体" w:hAnsi="宋体"/>
          <w:b/>
          <w:color w:val="auto"/>
          <w:szCs w:val="21"/>
        </w:rPr>
        <w:t>4</w:t>
      </w:r>
      <w:r>
        <w:rPr>
          <w:rFonts w:hint="eastAsia" w:ascii="宋体" w:hAnsi="宋体"/>
          <w:b/>
          <w:color w:val="auto"/>
          <w:szCs w:val="21"/>
        </w:rPr>
        <w:t>供应商一般情况</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C05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3856A2A">
            <w:pPr>
              <w:spacing w:line="400" w:lineRule="exact"/>
              <w:jc w:val="center"/>
              <w:rPr>
                <w:rFonts w:ascii="宋体" w:hAnsi="宋体"/>
                <w:color w:val="auto"/>
                <w:szCs w:val="21"/>
              </w:rPr>
            </w:pPr>
            <w:r>
              <w:rPr>
                <w:rFonts w:ascii="宋体" w:hAnsi="宋体"/>
                <w:color w:val="auto"/>
                <w:szCs w:val="21"/>
              </w:rPr>
              <w:t>1</w:t>
            </w:r>
          </w:p>
        </w:tc>
        <w:tc>
          <w:tcPr>
            <w:tcW w:w="8147" w:type="dxa"/>
            <w:gridSpan w:val="3"/>
            <w:vAlign w:val="center"/>
          </w:tcPr>
          <w:p w14:paraId="0DAEC412">
            <w:pPr>
              <w:spacing w:line="400" w:lineRule="exact"/>
              <w:rPr>
                <w:rFonts w:ascii="宋体" w:hAnsi="宋体"/>
                <w:color w:val="auto"/>
                <w:szCs w:val="21"/>
              </w:rPr>
            </w:pPr>
            <w:r>
              <w:rPr>
                <w:rFonts w:hint="eastAsia" w:ascii="宋体" w:hAnsi="宋体"/>
                <w:color w:val="auto"/>
                <w:szCs w:val="21"/>
              </w:rPr>
              <w:t>单位名称：</w:t>
            </w:r>
          </w:p>
        </w:tc>
      </w:tr>
      <w:tr w14:paraId="302F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386788B">
            <w:pPr>
              <w:spacing w:line="400" w:lineRule="exact"/>
              <w:jc w:val="center"/>
              <w:rPr>
                <w:rFonts w:ascii="宋体" w:hAnsi="宋体"/>
                <w:color w:val="auto"/>
                <w:szCs w:val="21"/>
              </w:rPr>
            </w:pPr>
            <w:r>
              <w:rPr>
                <w:rFonts w:ascii="宋体" w:hAnsi="宋体"/>
                <w:color w:val="auto"/>
                <w:szCs w:val="21"/>
              </w:rPr>
              <w:t>2</w:t>
            </w:r>
          </w:p>
        </w:tc>
        <w:tc>
          <w:tcPr>
            <w:tcW w:w="8147" w:type="dxa"/>
            <w:gridSpan w:val="3"/>
            <w:vAlign w:val="center"/>
          </w:tcPr>
          <w:p w14:paraId="3B8FD66A">
            <w:pPr>
              <w:spacing w:line="400" w:lineRule="exact"/>
              <w:rPr>
                <w:rFonts w:ascii="宋体" w:hAnsi="宋体"/>
                <w:color w:val="auto"/>
                <w:szCs w:val="21"/>
              </w:rPr>
            </w:pPr>
            <w:r>
              <w:rPr>
                <w:rFonts w:hint="eastAsia" w:ascii="宋体" w:hAnsi="宋体"/>
                <w:color w:val="auto"/>
                <w:szCs w:val="21"/>
              </w:rPr>
              <w:t>总部地址：</w:t>
            </w:r>
          </w:p>
        </w:tc>
      </w:tr>
      <w:tr w14:paraId="1FA1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C74070">
            <w:pPr>
              <w:spacing w:line="400" w:lineRule="exact"/>
              <w:jc w:val="center"/>
              <w:rPr>
                <w:rFonts w:ascii="宋体" w:hAnsi="宋体"/>
                <w:color w:val="auto"/>
                <w:szCs w:val="21"/>
              </w:rPr>
            </w:pPr>
            <w:r>
              <w:rPr>
                <w:rFonts w:ascii="宋体" w:hAnsi="宋体"/>
                <w:color w:val="auto"/>
                <w:szCs w:val="21"/>
              </w:rPr>
              <w:t>3</w:t>
            </w:r>
          </w:p>
        </w:tc>
        <w:tc>
          <w:tcPr>
            <w:tcW w:w="8147" w:type="dxa"/>
            <w:gridSpan w:val="3"/>
            <w:vAlign w:val="center"/>
          </w:tcPr>
          <w:p w14:paraId="5FCB9C7F">
            <w:pPr>
              <w:spacing w:line="400" w:lineRule="exact"/>
              <w:rPr>
                <w:rFonts w:ascii="宋体" w:hAnsi="宋体"/>
                <w:color w:val="auto"/>
                <w:szCs w:val="21"/>
              </w:rPr>
            </w:pPr>
            <w:r>
              <w:rPr>
                <w:rFonts w:hint="eastAsia" w:ascii="宋体" w:hAnsi="宋体"/>
                <w:color w:val="auto"/>
                <w:szCs w:val="21"/>
              </w:rPr>
              <w:t>当地代表处地址：</w:t>
            </w:r>
          </w:p>
        </w:tc>
      </w:tr>
      <w:tr w14:paraId="1639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25E2DA9">
            <w:pPr>
              <w:spacing w:line="400" w:lineRule="exact"/>
              <w:jc w:val="center"/>
              <w:rPr>
                <w:rFonts w:ascii="宋体" w:hAnsi="宋体"/>
                <w:color w:val="auto"/>
                <w:szCs w:val="21"/>
              </w:rPr>
            </w:pPr>
            <w:r>
              <w:rPr>
                <w:rFonts w:ascii="宋体" w:hAnsi="宋体"/>
                <w:color w:val="auto"/>
                <w:szCs w:val="21"/>
              </w:rPr>
              <w:t>4</w:t>
            </w:r>
          </w:p>
        </w:tc>
        <w:tc>
          <w:tcPr>
            <w:tcW w:w="4305" w:type="dxa"/>
            <w:vAlign w:val="center"/>
          </w:tcPr>
          <w:p w14:paraId="0002E10E">
            <w:pPr>
              <w:spacing w:line="400" w:lineRule="exact"/>
              <w:rPr>
                <w:rFonts w:ascii="宋体" w:hAnsi="宋体"/>
                <w:color w:val="auto"/>
                <w:szCs w:val="21"/>
              </w:rPr>
            </w:pPr>
            <w:r>
              <w:rPr>
                <w:rFonts w:hint="eastAsia" w:ascii="宋体" w:hAnsi="宋体"/>
                <w:color w:val="auto"/>
                <w:szCs w:val="21"/>
              </w:rPr>
              <w:t>电话：</w:t>
            </w:r>
          </w:p>
        </w:tc>
        <w:tc>
          <w:tcPr>
            <w:tcW w:w="3842" w:type="dxa"/>
            <w:gridSpan w:val="2"/>
            <w:vAlign w:val="center"/>
          </w:tcPr>
          <w:p w14:paraId="5B5022AE">
            <w:pPr>
              <w:spacing w:line="400" w:lineRule="exact"/>
              <w:rPr>
                <w:rFonts w:ascii="宋体" w:hAnsi="宋体"/>
                <w:color w:val="auto"/>
                <w:szCs w:val="21"/>
              </w:rPr>
            </w:pPr>
            <w:r>
              <w:rPr>
                <w:rFonts w:hint="eastAsia" w:ascii="宋体" w:hAnsi="宋体"/>
                <w:color w:val="auto"/>
                <w:szCs w:val="21"/>
              </w:rPr>
              <w:t>联系人：</w:t>
            </w:r>
          </w:p>
        </w:tc>
      </w:tr>
      <w:tr w14:paraId="2FF7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DD37850">
            <w:pPr>
              <w:spacing w:line="400" w:lineRule="exact"/>
              <w:jc w:val="center"/>
              <w:rPr>
                <w:rFonts w:ascii="宋体" w:hAnsi="宋体"/>
                <w:color w:val="auto"/>
                <w:szCs w:val="21"/>
              </w:rPr>
            </w:pPr>
            <w:r>
              <w:rPr>
                <w:rFonts w:ascii="宋体" w:hAnsi="宋体"/>
                <w:color w:val="auto"/>
                <w:szCs w:val="21"/>
              </w:rPr>
              <w:t>5</w:t>
            </w:r>
          </w:p>
        </w:tc>
        <w:tc>
          <w:tcPr>
            <w:tcW w:w="4305" w:type="dxa"/>
            <w:vAlign w:val="center"/>
          </w:tcPr>
          <w:p w14:paraId="48495AB6">
            <w:pPr>
              <w:spacing w:line="400" w:lineRule="exact"/>
              <w:rPr>
                <w:rFonts w:ascii="宋体" w:hAnsi="宋体"/>
                <w:color w:val="auto"/>
                <w:szCs w:val="21"/>
              </w:rPr>
            </w:pPr>
            <w:r>
              <w:rPr>
                <w:rFonts w:hint="eastAsia" w:ascii="宋体" w:hAnsi="宋体"/>
                <w:color w:val="auto"/>
                <w:szCs w:val="21"/>
              </w:rPr>
              <w:t>传真：</w:t>
            </w:r>
          </w:p>
        </w:tc>
        <w:tc>
          <w:tcPr>
            <w:tcW w:w="3842" w:type="dxa"/>
            <w:gridSpan w:val="2"/>
            <w:vAlign w:val="center"/>
          </w:tcPr>
          <w:p w14:paraId="5B2D7A62">
            <w:pPr>
              <w:spacing w:line="400" w:lineRule="exact"/>
              <w:rPr>
                <w:rFonts w:ascii="宋体" w:hAnsi="宋体"/>
                <w:color w:val="auto"/>
                <w:szCs w:val="21"/>
              </w:rPr>
            </w:pPr>
            <w:r>
              <w:rPr>
                <w:rFonts w:hint="eastAsia" w:ascii="宋体" w:hAnsi="宋体"/>
                <w:color w:val="auto"/>
                <w:szCs w:val="21"/>
              </w:rPr>
              <w:t>电子信箱：</w:t>
            </w:r>
          </w:p>
        </w:tc>
      </w:tr>
      <w:tr w14:paraId="0711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D42D759">
            <w:pPr>
              <w:spacing w:line="400" w:lineRule="exact"/>
              <w:jc w:val="center"/>
              <w:rPr>
                <w:rFonts w:ascii="宋体" w:hAnsi="宋体"/>
                <w:color w:val="auto"/>
                <w:szCs w:val="21"/>
              </w:rPr>
            </w:pPr>
            <w:r>
              <w:rPr>
                <w:rFonts w:ascii="宋体" w:hAnsi="宋体"/>
                <w:color w:val="auto"/>
                <w:szCs w:val="21"/>
              </w:rPr>
              <w:t>6</w:t>
            </w:r>
          </w:p>
        </w:tc>
        <w:tc>
          <w:tcPr>
            <w:tcW w:w="4305" w:type="dxa"/>
            <w:vAlign w:val="center"/>
          </w:tcPr>
          <w:p w14:paraId="167AB0C7">
            <w:pPr>
              <w:spacing w:line="400" w:lineRule="exact"/>
              <w:rPr>
                <w:rFonts w:ascii="宋体" w:hAnsi="宋体"/>
                <w:color w:val="auto"/>
                <w:szCs w:val="21"/>
              </w:rPr>
            </w:pPr>
            <w:r>
              <w:rPr>
                <w:rFonts w:hint="eastAsia" w:ascii="宋体" w:hAnsi="宋体"/>
                <w:color w:val="auto"/>
                <w:szCs w:val="21"/>
              </w:rPr>
              <w:t>注册地：</w:t>
            </w:r>
          </w:p>
        </w:tc>
        <w:tc>
          <w:tcPr>
            <w:tcW w:w="3842" w:type="dxa"/>
            <w:gridSpan w:val="2"/>
            <w:vAlign w:val="center"/>
          </w:tcPr>
          <w:p w14:paraId="68AB6F74">
            <w:pPr>
              <w:spacing w:line="400" w:lineRule="exact"/>
              <w:rPr>
                <w:rFonts w:ascii="宋体" w:hAnsi="宋体"/>
                <w:color w:val="auto"/>
                <w:szCs w:val="21"/>
              </w:rPr>
            </w:pPr>
            <w:r>
              <w:rPr>
                <w:rFonts w:hint="eastAsia" w:ascii="宋体" w:hAnsi="宋体"/>
                <w:color w:val="auto"/>
                <w:szCs w:val="21"/>
              </w:rPr>
              <w:t>注册年份：</w:t>
            </w:r>
          </w:p>
        </w:tc>
      </w:tr>
      <w:tr w14:paraId="319A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6DE58D0">
            <w:pPr>
              <w:spacing w:line="400" w:lineRule="exact"/>
              <w:jc w:val="center"/>
              <w:rPr>
                <w:rFonts w:ascii="宋体" w:hAnsi="宋体"/>
                <w:color w:val="auto"/>
                <w:szCs w:val="21"/>
              </w:rPr>
            </w:pPr>
            <w:r>
              <w:rPr>
                <w:rFonts w:ascii="宋体" w:hAnsi="宋体"/>
                <w:color w:val="auto"/>
                <w:szCs w:val="21"/>
              </w:rPr>
              <w:t>7</w:t>
            </w:r>
          </w:p>
        </w:tc>
        <w:tc>
          <w:tcPr>
            <w:tcW w:w="8147" w:type="dxa"/>
            <w:gridSpan w:val="3"/>
            <w:vAlign w:val="center"/>
          </w:tcPr>
          <w:p w14:paraId="3A8ABB63">
            <w:pPr>
              <w:spacing w:line="400" w:lineRule="exact"/>
              <w:rPr>
                <w:rFonts w:ascii="宋体" w:hAnsi="宋体"/>
                <w:color w:val="auto"/>
                <w:szCs w:val="21"/>
              </w:rPr>
            </w:pPr>
            <w:r>
              <w:rPr>
                <w:rFonts w:hint="eastAsia" w:ascii="宋体" w:hAnsi="宋体"/>
                <w:color w:val="auto"/>
                <w:szCs w:val="21"/>
              </w:rPr>
              <w:t>公司的资质等级（请附上有关证书的复印件）</w:t>
            </w:r>
          </w:p>
        </w:tc>
      </w:tr>
      <w:tr w14:paraId="3BAF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EE9B415">
            <w:pPr>
              <w:spacing w:line="400" w:lineRule="exact"/>
              <w:jc w:val="center"/>
              <w:rPr>
                <w:rFonts w:ascii="宋体" w:hAnsi="宋体"/>
                <w:color w:val="auto"/>
                <w:szCs w:val="21"/>
              </w:rPr>
            </w:pPr>
            <w:r>
              <w:rPr>
                <w:rFonts w:ascii="宋体" w:hAnsi="宋体"/>
                <w:color w:val="auto"/>
                <w:szCs w:val="21"/>
              </w:rPr>
              <w:t>8</w:t>
            </w:r>
          </w:p>
        </w:tc>
        <w:tc>
          <w:tcPr>
            <w:tcW w:w="8147" w:type="dxa"/>
            <w:gridSpan w:val="3"/>
            <w:vAlign w:val="center"/>
          </w:tcPr>
          <w:p w14:paraId="25C0E6A0">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公司（是否通过，何种）质量保证体系认证（如通过请附相关证书复印件，提供认证机构年审监督报告）</w:t>
            </w:r>
          </w:p>
        </w:tc>
      </w:tr>
      <w:tr w14:paraId="74CD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1A85FC7">
            <w:pPr>
              <w:spacing w:line="400" w:lineRule="exact"/>
              <w:jc w:val="center"/>
              <w:rPr>
                <w:rFonts w:ascii="宋体" w:hAnsi="宋体"/>
                <w:color w:val="auto"/>
                <w:szCs w:val="21"/>
              </w:rPr>
            </w:pPr>
            <w:r>
              <w:rPr>
                <w:rFonts w:ascii="宋体" w:hAnsi="宋体"/>
                <w:color w:val="auto"/>
                <w:szCs w:val="21"/>
              </w:rPr>
              <w:t>9</w:t>
            </w:r>
          </w:p>
        </w:tc>
        <w:tc>
          <w:tcPr>
            <w:tcW w:w="4314" w:type="dxa"/>
            <w:gridSpan w:val="2"/>
            <w:vAlign w:val="center"/>
          </w:tcPr>
          <w:p w14:paraId="44F098D8">
            <w:pPr>
              <w:spacing w:line="400" w:lineRule="exact"/>
              <w:rPr>
                <w:rFonts w:ascii="宋体" w:hAnsi="宋体"/>
                <w:color w:val="auto"/>
                <w:szCs w:val="21"/>
              </w:rPr>
            </w:pPr>
            <w:r>
              <w:rPr>
                <w:rFonts w:hint="eastAsia" w:ascii="宋体" w:hAnsi="宋体"/>
                <w:color w:val="auto"/>
                <w:szCs w:val="21"/>
              </w:rPr>
              <w:t>从业人员数量</w:t>
            </w:r>
          </w:p>
        </w:tc>
        <w:tc>
          <w:tcPr>
            <w:tcW w:w="3833" w:type="dxa"/>
            <w:vAlign w:val="center"/>
          </w:tcPr>
          <w:p w14:paraId="217DBC2E">
            <w:pPr>
              <w:spacing w:line="400" w:lineRule="exact"/>
              <w:rPr>
                <w:rFonts w:ascii="宋体" w:hAnsi="宋体"/>
                <w:color w:val="auto"/>
                <w:szCs w:val="21"/>
              </w:rPr>
            </w:pPr>
          </w:p>
        </w:tc>
      </w:tr>
      <w:tr w14:paraId="571E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CA794D1">
            <w:pPr>
              <w:spacing w:line="400" w:lineRule="exact"/>
              <w:jc w:val="center"/>
              <w:rPr>
                <w:rFonts w:ascii="宋体" w:hAnsi="宋体"/>
                <w:color w:val="auto"/>
                <w:szCs w:val="21"/>
              </w:rPr>
            </w:pPr>
            <w:r>
              <w:rPr>
                <w:rFonts w:ascii="宋体" w:hAnsi="宋体"/>
                <w:color w:val="auto"/>
                <w:szCs w:val="21"/>
              </w:rPr>
              <w:t>10</w:t>
            </w:r>
          </w:p>
        </w:tc>
        <w:tc>
          <w:tcPr>
            <w:tcW w:w="4314" w:type="dxa"/>
            <w:gridSpan w:val="2"/>
            <w:vAlign w:val="center"/>
          </w:tcPr>
          <w:p w14:paraId="7806DB74">
            <w:pPr>
              <w:spacing w:line="400" w:lineRule="exact"/>
              <w:rPr>
                <w:rFonts w:ascii="宋体" w:hAnsi="宋体"/>
                <w:color w:val="auto"/>
                <w:szCs w:val="21"/>
              </w:rPr>
            </w:pPr>
            <w:r>
              <w:rPr>
                <w:rFonts w:hint="eastAsia" w:ascii="宋体" w:hAnsi="宋体"/>
                <w:color w:val="auto"/>
                <w:szCs w:val="21"/>
              </w:rPr>
              <w:t>营业收入</w:t>
            </w:r>
          </w:p>
        </w:tc>
        <w:tc>
          <w:tcPr>
            <w:tcW w:w="3833" w:type="dxa"/>
            <w:vAlign w:val="center"/>
          </w:tcPr>
          <w:p w14:paraId="5C9536EA">
            <w:pPr>
              <w:spacing w:line="400" w:lineRule="exact"/>
              <w:rPr>
                <w:rFonts w:ascii="宋体" w:hAnsi="宋体"/>
                <w:color w:val="auto"/>
                <w:szCs w:val="21"/>
              </w:rPr>
            </w:pPr>
          </w:p>
        </w:tc>
      </w:tr>
      <w:tr w14:paraId="1E4A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640FAFE">
            <w:pPr>
              <w:spacing w:line="400" w:lineRule="exact"/>
              <w:jc w:val="center"/>
              <w:rPr>
                <w:rFonts w:ascii="宋体" w:hAnsi="宋体"/>
                <w:color w:val="auto"/>
                <w:szCs w:val="21"/>
              </w:rPr>
            </w:pPr>
            <w:r>
              <w:rPr>
                <w:rFonts w:ascii="宋体" w:hAnsi="宋体"/>
                <w:color w:val="auto"/>
                <w:szCs w:val="21"/>
              </w:rPr>
              <w:t>11</w:t>
            </w:r>
          </w:p>
        </w:tc>
        <w:tc>
          <w:tcPr>
            <w:tcW w:w="4314" w:type="dxa"/>
            <w:gridSpan w:val="2"/>
            <w:vAlign w:val="center"/>
          </w:tcPr>
          <w:p w14:paraId="2C3D1286">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vAlign w:val="center"/>
          </w:tcPr>
          <w:p w14:paraId="7AA5F8E0">
            <w:pPr>
              <w:spacing w:line="400" w:lineRule="exact"/>
              <w:rPr>
                <w:rFonts w:ascii="宋体" w:hAnsi="宋体"/>
                <w:color w:val="auto"/>
                <w:szCs w:val="21"/>
              </w:rPr>
            </w:pPr>
          </w:p>
        </w:tc>
      </w:tr>
    </w:tbl>
    <w:p w14:paraId="25E77526">
      <w:pPr>
        <w:spacing w:line="400" w:lineRule="atLeast"/>
        <w:jc w:val="left"/>
        <w:rPr>
          <w:rFonts w:ascii="宋体" w:hAnsi="宋体"/>
          <w:color w:val="auto"/>
          <w:szCs w:val="21"/>
        </w:rPr>
      </w:pPr>
    </w:p>
    <w:p w14:paraId="75AFFE80">
      <w:pPr>
        <w:spacing w:line="400" w:lineRule="atLeast"/>
        <w:jc w:val="left"/>
        <w:rPr>
          <w:rFonts w:ascii="宋体" w:hAnsi="宋体"/>
          <w:color w:val="auto"/>
          <w:szCs w:val="21"/>
        </w:rPr>
      </w:pPr>
    </w:p>
    <w:p w14:paraId="183E59A0">
      <w:pPr>
        <w:spacing w:line="400" w:lineRule="atLeast"/>
        <w:jc w:val="left"/>
        <w:rPr>
          <w:rFonts w:ascii="宋体" w:hAnsi="宋体"/>
          <w:color w:val="auto"/>
          <w:szCs w:val="21"/>
        </w:rPr>
      </w:pPr>
      <w:r>
        <w:rPr>
          <w:rFonts w:hint="eastAsia" w:ascii="宋体" w:hAnsi="宋体"/>
          <w:color w:val="auto"/>
          <w:szCs w:val="21"/>
        </w:rPr>
        <w:t>供应商（盖章）：</w:t>
      </w:r>
    </w:p>
    <w:p w14:paraId="0AF9568D">
      <w:pPr>
        <w:spacing w:line="400" w:lineRule="atLeast"/>
        <w:rPr>
          <w:rFonts w:ascii="宋体" w:hAnsi="宋体"/>
          <w:color w:val="auto"/>
          <w:szCs w:val="21"/>
          <w:u w:val="single"/>
        </w:rPr>
      </w:pPr>
      <w:r>
        <w:rPr>
          <w:rFonts w:hint="eastAsia" w:ascii="宋体" w:hAnsi="宋体"/>
          <w:color w:val="auto"/>
          <w:szCs w:val="21"/>
        </w:rPr>
        <w:t>日期：</w:t>
      </w:r>
    </w:p>
    <w:p w14:paraId="514F925C">
      <w:pPr>
        <w:spacing w:line="360" w:lineRule="auto"/>
        <w:rPr>
          <w:rStyle w:val="171"/>
          <w:rFonts w:ascii="宋体" w:hAnsi="宋体"/>
          <w:color w:val="auto"/>
          <w:sz w:val="21"/>
          <w:szCs w:val="21"/>
        </w:rPr>
      </w:pPr>
      <w:r>
        <w:rPr>
          <w:rFonts w:ascii="宋体" w:hAnsi="宋体"/>
          <w:color w:val="auto"/>
          <w:szCs w:val="21"/>
        </w:rPr>
        <w:br w:type="page"/>
      </w:r>
    </w:p>
    <w:p w14:paraId="52BF7948">
      <w:pPr>
        <w:spacing w:line="400" w:lineRule="exact"/>
        <w:jc w:val="center"/>
        <w:rPr>
          <w:rFonts w:ascii="宋体" w:hAnsi="宋体"/>
          <w:b/>
          <w:color w:val="auto"/>
          <w:szCs w:val="21"/>
        </w:rPr>
      </w:pPr>
      <w:r>
        <w:rPr>
          <w:rFonts w:ascii="宋体" w:hAnsi="宋体"/>
          <w:b/>
          <w:color w:val="auto"/>
          <w:szCs w:val="21"/>
        </w:rPr>
        <w:t>B5</w:t>
      </w:r>
      <w:r>
        <w:rPr>
          <w:rFonts w:hint="eastAsia" w:ascii="宋体" w:hAnsi="宋体"/>
          <w:b/>
          <w:color w:val="auto"/>
          <w:szCs w:val="21"/>
        </w:rPr>
        <w:t>商务条款响应表</w:t>
      </w:r>
    </w:p>
    <w:p w14:paraId="1790F4C5">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慈溪市交通运输局保安服务项目</w:t>
      </w:r>
    </w:p>
    <w:p w14:paraId="47B3F347">
      <w:pPr>
        <w:adjustRightInd w:val="0"/>
        <w:snapToGrid w:val="0"/>
        <w:spacing w:line="360" w:lineRule="auto"/>
        <w:rPr>
          <w:rFonts w:ascii="宋体" w:hAnsi="宋体"/>
          <w:color w:val="auto"/>
          <w:szCs w:val="21"/>
          <w:u w:val="single"/>
        </w:rPr>
      </w:pPr>
      <w:r>
        <w:rPr>
          <w:rFonts w:hint="eastAsia" w:ascii="宋体" w:hAnsi="宋体"/>
          <w:color w:val="auto"/>
          <w:szCs w:val="21"/>
        </w:rPr>
        <w:t>项目编号：</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41AD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F0B486D">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3169EA10">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05FC253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vAlign w:val="center"/>
          </w:tcPr>
          <w:p w14:paraId="37EC808F">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49DB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2245CFB">
            <w:pPr>
              <w:adjustRightInd w:val="0"/>
              <w:snapToGrid w:val="0"/>
              <w:spacing w:line="400" w:lineRule="exact"/>
              <w:jc w:val="center"/>
              <w:rPr>
                <w:rFonts w:ascii="宋体" w:hAnsi="宋体"/>
                <w:color w:val="auto"/>
                <w:szCs w:val="21"/>
              </w:rPr>
            </w:pPr>
          </w:p>
        </w:tc>
        <w:tc>
          <w:tcPr>
            <w:tcW w:w="2824" w:type="dxa"/>
            <w:vAlign w:val="center"/>
          </w:tcPr>
          <w:p w14:paraId="21D82D28">
            <w:pPr>
              <w:adjustRightInd w:val="0"/>
              <w:snapToGrid w:val="0"/>
              <w:spacing w:line="400" w:lineRule="exact"/>
              <w:jc w:val="center"/>
              <w:rPr>
                <w:rFonts w:ascii="宋体" w:hAnsi="宋体"/>
                <w:color w:val="auto"/>
                <w:szCs w:val="21"/>
              </w:rPr>
            </w:pPr>
          </w:p>
        </w:tc>
        <w:tc>
          <w:tcPr>
            <w:tcW w:w="2835" w:type="dxa"/>
            <w:vAlign w:val="center"/>
          </w:tcPr>
          <w:p w14:paraId="696C8303">
            <w:pPr>
              <w:adjustRightInd w:val="0"/>
              <w:snapToGrid w:val="0"/>
              <w:spacing w:line="400" w:lineRule="exact"/>
              <w:jc w:val="center"/>
              <w:rPr>
                <w:rFonts w:ascii="宋体" w:hAnsi="宋体"/>
                <w:color w:val="auto"/>
                <w:szCs w:val="21"/>
              </w:rPr>
            </w:pPr>
          </w:p>
        </w:tc>
        <w:tc>
          <w:tcPr>
            <w:tcW w:w="2369" w:type="dxa"/>
            <w:vAlign w:val="center"/>
          </w:tcPr>
          <w:p w14:paraId="6491985B">
            <w:pPr>
              <w:adjustRightInd w:val="0"/>
              <w:snapToGrid w:val="0"/>
              <w:spacing w:line="400" w:lineRule="exact"/>
              <w:jc w:val="center"/>
              <w:rPr>
                <w:rFonts w:ascii="宋体" w:hAnsi="宋体"/>
                <w:color w:val="auto"/>
                <w:szCs w:val="21"/>
              </w:rPr>
            </w:pPr>
          </w:p>
        </w:tc>
      </w:tr>
      <w:tr w14:paraId="2856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51D45D60">
            <w:pPr>
              <w:adjustRightInd w:val="0"/>
              <w:snapToGrid w:val="0"/>
              <w:spacing w:line="400" w:lineRule="exact"/>
              <w:jc w:val="center"/>
              <w:rPr>
                <w:rFonts w:ascii="宋体" w:hAnsi="宋体"/>
                <w:color w:val="auto"/>
                <w:szCs w:val="21"/>
              </w:rPr>
            </w:pPr>
          </w:p>
        </w:tc>
        <w:tc>
          <w:tcPr>
            <w:tcW w:w="2824" w:type="dxa"/>
            <w:vAlign w:val="center"/>
          </w:tcPr>
          <w:p w14:paraId="2365BC1A">
            <w:pPr>
              <w:adjustRightInd w:val="0"/>
              <w:snapToGrid w:val="0"/>
              <w:spacing w:line="400" w:lineRule="exact"/>
              <w:jc w:val="center"/>
              <w:rPr>
                <w:rFonts w:ascii="宋体" w:hAnsi="宋体"/>
                <w:color w:val="auto"/>
                <w:szCs w:val="21"/>
              </w:rPr>
            </w:pPr>
          </w:p>
        </w:tc>
        <w:tc>
          <w:tcPr>
            <w:tcW w:w="2835" w:type="dxa"/>
            <w:vAlign w:val="center"/>
          </w:tcPr>
          <w:p w14:paraId="05203A9B">
            <w:pPr>
              <w:adjustRightInd w:val="0"/>
              <w:snapToGrid w:val="0"/>
              <w:spacing w:line="400" w:lineRule="exact"/>
              <w:jc w:val="center"/>
              <w:rPr>
                <w:rFonts w:ascii="宋体" w:hAnsi="宋体"/>
                <w:color w:val="auto"/>
                <w:szCs w:val="21"/>
              </w:rPr>
            </w:pPr>
          </w:p>
        </w:tc>
        <w:tc>
          <w:tcPr>
            <w:tcW w:w="2369" w:type="dxa"/>
            <w:vAlign w:val="center"/>
          </w:tcPr>
          <w:p w14:paraId="11F02408">
            <w:pPr>
              <w:adjustRightInd w:val="0"/>
              <w:snapToGrid w:val="0"/>
              <w:spacing w:line="400" w:lineRule="exact"/>
              <w:jc w:val="center"/>
              <w:rPr>
                <w:rFonts w:ascii="宋体" w:hAnsi="宋体"/>
                <w:color w:val="auto"/>
                <w:szCs w:val="21"/>
              </w:rPr>
            </w:pPr>
          </w:p>
        </w:tc>
      </w:tr>
      <w:tr w14:paraId="35C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8803F3F">
            <w:pPr>
              <w:adjustRightInd w:val="0"/>
              <w:snapToGrid w:val="0"/>
              <w:spacing w:line="400" w:lineRule="exact"/>
              <w:jc w:val="center"/>
              <w:rPr>
                <w:rFonts w:ascii="宋体" w:hAnsi="宋体"/>
                <w:color w:val="auto"/>
                <w:szCs w:val="21"/>
              </w:rPr>
            </w:pPr>
          </w:p>
        </w:tc>
        <w:tc>
          <w:tcPr>
            <w:tcW w:w="2824" w:type="dxa"/>
            <w:vAlign w:val="center"/>
          </w:tcPr>
          <w:p w14:paraId="3F53F5E7">
            <w:pPr>
              <w:adjustRightInd w:val="0"/>
              <w:snapToGrid w:val="0"/>
              <w:spacing w:line="400" w:lineRule="exact"/>
              <w:jc w:val="center"/>
              <w:rPr>
                <w:rFonts w:ascii="宋体" w:hAnsi="宋体"/>
                <w:color w:val="auto"/>
                <w:szCs w:val="21"/>
              </w:rPr>
            </w:pPr>
          </w:p>
        </w:tc>
        <w:tc>
          <w:tcPr>
            <w:tcW w:w="2835" w:type="dxa"/>
            <w:vAlign w:val="center"/>
          </w:tcPr>
          <w:p w14:paraId="16FD68A3">
            <w:pPr>
              <w:adjustRightInd w:val="0"/>
              <w:snapToGrid w:val="0"/>
              <w:spacing w:line="400" w:lineRule="exact"/>
              <w:jc w:val="center"/>
              <w:rPr>
                <w:rFonts w:ascii="宋体" w:hAnsi="宋体"/>
                <w:color w:val="auto"/>
                <w:szCs w:val="21"/>
              </w:rPr>
            </w:pPr>
          </w:p>
        </w:tc>
        <w:tc>
          <w:tcPr>
            <w:tcW w:w="2369" w:type="dxa"/>
            <w:vAlign w:val="center"/>
          </w:tcPr>
          <w:p w14:paraId="361EA71E">
            <w:pPr>
              <w:adjustRightInd w:val="0"/>
              <w:snapToGrid w:val="0"/>
              <w:spacing w:line="400" w:lineRule="exact"/>
              <w:jc w:val="center"/>
              <w:rPr>
                <w:rFonts w:ascii="宋体" w:hAnsi="宋体"/>
                <w:color w:val="auto"/>
                <w:szCs w:val="21"/>
              </w:rPr>
            </w:pPr>
          </w:p>
        </w:tc>
      </w:tr>
      <w:tr w14:paraId="537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9A66525">
            <w:pPr>
              <w:adjustRightInd w:val="0"/>
              <w:snapToGrid w:val="0"/>
              <w:spacing w:line="400" w:lineRule="exact"/>
              <w:jc w:val="center"/>
              <w:rPr>
                <w:rFonts w:ascii="宋体" w:hAnsi="宋体"/>
                <w:color w:val="auto"/>
                <w:szCs w:val="21"/>
              </w:rPr>
            </w:pPr>
          </w:p>
        </w:tc>
        <w:tc>
          <w:tcPr>
            <w:tcW w:w="2824" w:type="dxa"/>
            <w:vAlign w:val="center"/>
          </w:tcPr>
          <w:p w14:paraId="32C4647B">
            <w:pPr>
              <w:adjustRightInd w:val="0"/>
              <w:snapToGrid w:val="0"/>
              <w:spacing w:line="400" w:lineRule="exact"/>
              <w:jc w:val="center"/>
              <w:rPr>
                <w:rFonts w:ascii="宋体" w:hAnsi="宋体"/>
                <w:color w:val="auto"/>
                <w:szCs w:val="21"/>
              </w:rPr>
            </w:pPr>
          </w:p>
        </w:tc>
        <w:tc>
          <w:tcPr>
            <w:tcW w:w="2835" w:type="dxa"/>
            <w:vAlign w:val="center"/>
          </w:tcPr>
          <w:p w14:paraId="3C7EB580">
            <w:pPr>
              <w:adjustRightInd w:val="0"/>
              <w:snapToGrid w:val="0"/>
              <w:spacing w:line="400" w:lineRule="exact"/>
              <w:jc w:val="center"/>
              <w:rPr>
                <w:rFonts w:ascii="宋体" w:hAnsi="宋体"/>
                <w:color w:val="auto"/>
                <w:szCs w:val="21"/>
              </w:rPr>
            </w:pPr>
          </w:p>
        </w:tc>
        <w:tc>
          <w:tcPr>
            <w:tcW w:w="2369" w:type="dxa"/>
            <w:vAlign w:val="center"/>
          </w:tcPr>
          <w:p w14:paraId="14D70036">
            <w:pPr>
              <w:adjustRightInd w:val="0"/>
              <w:snapToGrid w:val="0"/>
              <w:spacing w:line="400" w:lineRule="exact"/>
              <w:jc w:val="center"/>
              <w:rPr>
                <w:rFonts w:ascii="宋体" w:hAnsi="宋体"/>
                <w:color w:val="auto"/>
                <w:szCs w:val="21"/>
              </w:rPr>
            </w:pPr>
          </w:p>
        </w:tc>
      </w:tr>
      <w:tr w14:paraId="4DE6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6843902B">
            <w:pPr>
              <w:adjustRightInd w:val="0"/>
              <w:snapToGrid w:val="0"/>
              <w:spacing w:line="400" w:lineRule="exact"/>
              <w:jc w:val="center"/>
              <w:rPr>
                <w:rFonts w:ascii="宋体" w:hAnsi="宋体"/>
                <w:color w:val="auto"/>
                <w:szCs w:val="21"/>
              </w:rPr>
            </w:pPr>
          </w:p>
        </w:tc>
        <w:tc>
          <w:tcPr>
            <w:tcW w:w="2824" w:type="dxa"/>
            <w:vAlign w:val="center"/>
          </w:tcPr>
          <w:p w14:paraId="7CB3B161">
            <w:pPr>
              <w:adjustRightInd w:val="0"/>
              <w:snapToGrid w:val="0"/>
              <w:spacing w:line="400" w:lineRule="exact"/>
              <w:jc w:val="center"/>
              <w:rPr>
                <w:rFonts w:ascii="宋体" w:hAnsi="宋体"/>
                <w:color w:val="auto"/>
                <w:szCs w:val="21"/>
              </w:rPr>
            </w:pPr>
          </w:p>
        </w:tc>
        <w:tc>
          <w:tcPr>
            <w:tcW w:w="2835" w:type="dxa"/>
            <w:vAlign w:val="center"/>
          </w:tcPr>
          <w:p w14:paraId="5AB619C9">
            <w:pPr>
              <w:adjustRightInd w:val="0"/>
              <w:snapToGrid w:val="0"/>
              <w:spacing w:line="400" w:lineRule="exact"/>
              <w:jc w:val="center"/>
              <w:rPr>
                <w:rFonts w:ascii="宋体" w:hAnsi="宋体"/>
                <w:color w:val="auto"/>
                <w:szCs w:val="21"/>
              </w:rPr>
            </w:pPr>
          </w:p>
        </w:tc>
        <w:tc>
          <w:tcPr>
            <w:tcW w:w="2369" w:type="dxa"/>
            <w:vAlign w:val="center"/>
          </w:tcPr>
          <w:p w14:paraId="545605F8">
            <w:pPr>
              <w:adjustRightInd w:val="0"/>
              <w:snapToGrid w:val="0"/>
              <w:spacing w:line="400" w:lineRule="exact"/>
              <w:jc w:val="center"/>
              <w:rPr>
                <w:rFonts w:ascii="宋体" w:hAnsi="宋体"/>
                <w:color w:val="auto"/>
                <w:szCs w:val="21"/>
              </w:rPr>
            </w:pPr>
          </w:p>
        </w:tc>
      </w:tr>
    </w:tbl>
    <w:p w14:paraId="7FA62960">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注：须与商务条款逐项比较填写。</w:t>
      </w:r>
    </w:p>
    <w:p w14:paraId="2303301D">
      <w:pPr>
        <w:adjustRightInd w:val="0"/>
        <w:snapToGrid w:val="0"/>
        <w:spacing w:line="360" w:lineRule="auto"/>
        <w:rPr>
          <w:rFonts w:ascii="宋体" w:hAnsi="宋体"/>
          <w:color w:val="auto"/>
          <w:szCs w:val="21"/>
        </w:rPr>
      </w:pPr>
    </w:p>
    <w:p w14:paraId="2B8B6264">
      <w:pPr>
        <w:adjustRightInd w:val="0"/>
        <w:snapToGrid w:val="0"/>
        <w:spacing w:line="360" w:lineRule="auto"/>
        <w:rPr>
          <w:rFonts w:ascii="宋体" w:hAnsi="宋体"/>
          <w:color w:val="auto"/>
          <w:szCs w:val="21"/>
        </w:rPr>
      </w:pPr>
    </w:p>
    <w:p w14:paraId="7480B17C">
      <w:pPr>
        <w:spacing w:line="400" w:lineRule="atLeast"/>
        <w:jc w:val="left"/>
        <w:rPr>
          <w:rFonts w:ascii="宋体" w:hAnsi="宋体"/>
          <w:color w:val="auto"/>
          <w:szCs w:val="21"/>
        </w:rPr>
      </w:pPr>
      <w:bookmarkStart w:id="48" w:name="_Toc436408720"/>
      <w:bookmarkStart w:id="49" w:name="_Toc441316563"/>
      <w:r>
        <w:rPr>
          <w:rFonts w:hint="eastAsia" w:ascii="宋体" w:hAnsi="宋体"/>
          <w:color w:val="auto"/>
          <w:szCs w:val="21"/>
        </w:rPr>
        <w:t>供应商（盖章）：</w:t>
      </w:r>
    </w:p>
    <w:p w14:paraId="2E2327BC">
      <w:pPr>
        <w:spacing w:line="400" w:lineRule="atLeast"/>
        <w:rPr>
          <w:rFonts w:ascii="宋体" w:hAnsi="宋体"/>
          <w:color w:val="auto"/>
          <w:szCs w:val="21"/>
        </w:rPr>
      </w:pPr>
      <w:r>
        <w:rPr>
          <w:rFonts w:hint="eastAsia" w:ascii="宋体" w:hAnsi="宋体"/>
          <w:color w:val="auto"/>
          <w:szCs w:val="21"/>
        </w:rPr>
        <w:t>日期：</w:t>
      </w:r>
    </w:p>
    <w:p w14:paraId="31D200B5">
      <w:pPr>
        <w:spacing w:line="360" w:lineRule="auto"/>
        <w:jc w:val="center"/>
        <w:rPr>
          <w:rFonts w:ascii="宋体" w:hAnsi="宋体"/>
          <w:b/>
          <w:color w:val="auto"/>
          <w:szCs w:val="21"/>
        </w:rPr>
      </w:pPr>
      <w:r>
        <w:rPr>
          <w:rFonts w:ascii="宋体" w:hAnsi="宋体"/>
          <w:color w:val="auto"/>
          <w:szCs w:val="21"/>
        </w:rPr>
        <w:br w:type="page"/>
      </w:r>
      <w:bookmarkEnd w:id="48"/>
      <w:bookmarkStart w:id="50" w:name="_Toc441316564"/>
    </w:p>
    <w:p w14:paraId="649E58BC">
      <w:pPr>
        <w:spacing w:line="360" w:lineRule="auto"/>
        <w:jc w:val="center"/>
        <w:rPr>
          <w:rFonts w:ascii="宋体" w:hAnsi="宋体"/>
          <w:b/>
          <w:color w:val="auto"/>
          <w:szCs w:val="21"/>
        </w:rPr>
      </w:pPr>
      <w:r>
        <w:rPr>
          <w:rFonts w:ascii="宋体" w:hAnsi="宋体"/>
          <w:b/>
          <w:color w:val="auto"/>
          <w:szCs w:val="21"/>
        </w:rPr>
        <w:t>B</w:t>
      </w:r>
      <w:r>
        <w:rPr>
          <w:rFonts w:hint="eastAsia" w:ascii="宋体" w:hAnsi="宋体"/>
          <w:b/>
          <w:color w:val="auto"/>
          <w:szCs w:val="21"/>
        </w:rPr>
        <w:t>6</w:t>
      </w:r>
      <w:r>
        <w:rPr>
          <w:rFonts w:hint="eastAsia" w:ascii="宋体" w:hAnsi="宋体"/>
          <w:b/>
          <w:bCs/>
          <w:color w:val="auto"/>
          <w:szCs w:val="21"/>
        </w:rPr>
        <w:t>合同条款响应表</w:t>
      </w:r>
    </w:p>
    <w:p w14:paraId="0D5A544A">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慈溪市交通运输局保安服务项目</w:t>
      </w:r>
    </w:p>
    <w:p w14:paraId="7FF3BC2D">
      <w:pPr>
        <w:adjustRightInd w:val="0"/>
        <w:snapToGrid w:val="0"/>
        <w:spacing w:line="360" w:lineRule="auto"/>
        <w:rPr>
          <w:rFonts w:ascii="宋体" w:hAnsi="宋体"/>
          <w:b/>
          <w:bCs/>
          <w:color w:val="auto"/>
          <w:szCs w:val="21"/>
        </w:rPr>
      </w:pPr>
      <w:r>
        <w:rPr>
          <w:rFonts w:hint="eastAsia" w:ascii="宋体" w:hAnsi="宋体"/>
          <w:color w:val="auto"/>
          <w:szCs w:val="21"/>
        </w:rPr>
        <w:t>项目编号：</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6BA6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F1206B9">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33EE036C">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7F1343C8">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533" w:type="dxa"/>
            <w:vAlign w:val="center"/>
          </w:tcPr>
          <w:p w14:paraId="7E2B04E9">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4BB6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4FB11D7">
            <w:pPr>
              <w:adjustRightInd w:val="0"/>
              <w:snapToGrid w:val="0"/>
              <w:spacing w:line="400" w:lineRule="exact"/>
              <w:jc w:val="center"/>
              <w:rPr>
                <w:rFonts w:ascii="宋体" w:hAnsi="宋体"/>
                <w:color w:val="auto"/>
                <w:szCs w:val="21"/>
              </w:rPr>
            </w:pPr>
          </w:p>
        </w:tc>
        <w:tc>
          <w:tcPr>
            <w:tcW w:w="2824" w:type="dxa"/>
            <w:vAlign w:val="center"/>
          </w:tcPr>
          <w:p w14:paraId="75A754B3">
            <w:pPr>
              <w:adjustRightInd w:val="0"/>
              <w:snapToGrid w:val="0"/>
              <w:spacing w:line="400" w:lineRule="exact"/>
              <w:jc w:val="center"/>
              <w:rPr>
                <w:rFonts w:ascii="宋体" w:hAnsi="宋体"/>
                <w:color w:val="auto"/>
                <w:szCs w:val="21"/>
              </w:rPr>
            </w:pPr>
          </w:p>
        </w:tc>
        <w:tc>
          <w:tcPr>
            <w:tcW w:w="2835" w:type="dxa"/>
            <w:vAlign w:val="center"/>
          </w:tcPr>
          <w:p w14:paraId="55A2559F">
            <w:pPr>
              <w:adjustRightInd w:val="0"/>
              <w:snapToGrid w:val="0"/>
              <w:spacing w:line="400" w:lineRule="exact"/>
              <w:jc w:val="center"/>
              <w:rPr>
                <w:rFonts w:ascii="宋体" w:hAnsi="宋体"/>
                <w:color w:val="auto"/>
                <w:szCs w:val="21"/>
              </w:rPr>
            </w:pPr>
          </w:p>
        </w:tc>
        <w:tc>
          <w:tcPr>
            <w:tcW w:w="2533" w:type="dxa"/>
            <w:vAlign w:val="center"/>
          </w:tcPr>
          <w:p w14:paraId="7621FEBB">
            <w:pPr>
              <w:adjustRightInd w:val="0"/>
              <w:snapToGrid w:val="0"/>
              <w:spacing w:line="400" w:lineRule="exact"/>
              <w:jc w:val="center"/>
              <w:rPr>
                <w:rFonts w:ascii="宋体" w:hAnsi="宋体"/>
                <w:color w:val="auto"/>
                <w:szCs w:val="21"/>
              </w:rPr>
            </w:pPr>
          </w:p>
        </w:tc>
      </w:tr>
      <w:tr w14:paraId="5BF4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CE68389">
            <w:pPr>
              <w:adjustRightInd w:val="0"/>
              <w:snapToGrid w:val="0"/>
              <w:spacing w:line="400" w:lineRule="exact"/>
              <w:jc w:val="center"/>
              <w:rPr>
                <w:rFonts w:ascii="宋体" w:hAnsi="宋体"/>
                <w:color w:val="auto"/>
                <w:szCs w:val="21"/>
              </w:rPr>
            </w:pPr>
          </w:p>
        </w:tc>
        <w:tc>
          <w:tcPr>
            <w:tcW w:w="2824" w:type="dxa"/>
            <w:vAlign w:val="center"/>
          </w:tcPr>
          <w:p w14:paraId="15FBE5F1">
            <w:pPr>
              <w:adjustRightInd w:val="0"/>
              <w:snapToGrid w:val="0"/>
              <w:spacing w:line="400" w:lineRule="exact"/>
              <w:jc w:val="center"/>
              <w:rPr>
                <w:rFonts w:ascii="宋体" w:hAnsi="宋体"/>
                <w:color w:val="auto"/>
                <w:szCs w:val="21"/>
              </w:rPr>
            </w:pPr>
          </w:p>
        </w:tc>
        <w:tc>
          <w:tcPr>
            <w:tcW w:w="2835" w:type="dxa"/>
            <w:vAlign w:val="center"/>
          </w:tcPr>
          <w:p w14:paraId="352DD2B8">
            <w:pPr>
              <w:adjustRightInd w:val="0"/>
              <w:snapToGrid w:val="0"/>
              <w:spacing w:line="400" w:lineRule="exact"/>
              <w:jc w:val="center"/>
              <w:rPr>
                <w:rFonts w:ascii="宋体" w:hAnsi="宋体"/>
                <w:color w:val="auto"/>
                <w:szCs w:val="21"/>
              </w:rPr>
            </w:pPr>
          </w:p>
        </w:tc>
        <w:tc>
          <w:tcPr>
            <w:tcW w:w="2533" w:type="dxa"/>
            <w:vAlign w:val="center"/>
          </w:tcPr>
          <w:p w14:paraId="2F6DC551">
            <w:pPr>
              <w:adjustRightInd w:val="0"/>
              <w:snapToGrid w:val="0"/>
              <w:spacing w:line="400" w:lineRule="exact"/>
              <w:jc w:val="center"/>
              <w:rPr>
                <w:rFonts w:ascii="宋体" w:hAnsi="宋体"/>
                <w:color w:val="auto"/>
                <w:szCs w:val="21"/>
              </w:rPr>
            </w:pPr>
          </w:p>
        </w:tc>
      </w:tr>
      <w:tr w14:paraId="056E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1853BAD">
            <w:pPr>
              <w:adjustRightInd w:val="0"/>
              <w:snapToGrid w:val="0"/>
              <w:spacing w:line="400" w:lineRule="exact"/>
              <w:jc w:val="center"/>
              <w:rPr>
                <w:rFonts w:ascii="宋体" w:hAnsi="宋体"/>
                <w:color w:val="auto"/>
                <w:szCs w:val="21"/>
              </w:rPr>
            </w:pPr>
          </w:p>
        </w:tc>
        <w:tc>
          <w:tcPr>
            <w:tcW w:w="2824" w:type="dxa"/>
            <w:vAlign w:val="center"/>
          </w:tcPr>
          <w:p w14:paraId="5DC97DC4">
            <w:pPr>
              <w:adjustRightInd w:val="0"/>
              <w:snapToGrid w:val="0"/>
              <w:spacing w:line="400" w:lineRule="exact"/>
              <w:jc w:val="center"/>
              <w:rPr>
                <w:rFonts w:ascii="宋体" w:hAnsi="宋体"/>
                <w:color w:val="auto"/>
                <w:szCs w:val="21"/>
              </w:rPr>
            </w:pPr>
          </w:p>
        </w:tc>
        <w:tc>
          <w:tcPr>
            <w:tcW w:w="2835" w:type="dxa"/>
            <w:vAlign w:val="center"/>
          </w:tcPr>
          <w:p w14:paraId="01BA4D70">
            <w:pPr>
              <w:adjustRightInd w:val="0"/>
              <w:snapToGrid w:val="0"/>
              <w:spacing w:line="400" w:lineRule="exact"/>
              <w:jc w:val="center"/>
              <w:rPr>
                <w:rFonts w:ascii="宋体" w:hAnsi="宋体"/>
                <w:color w:val="auto"/>
                <w:szCs w:val="21"/>
              </w:rPr>
            </w:pPr>
          </w:p>
        </w:tc>
        <w:tc>
          <w:tcPr>
            <w:tcW w:w="2533" w:type="dxa"/>
            <w:vAlign w:val="center"/>
          </w:tcPr>
          <w:p w14:paraId="6C83DC45">
            <w:pPr>
              <w:adjustRightInd w:val="0"/>
              <w:snapToGrid w:val="0"/>
              <w:spacing w:line="400" w:lineRule="exact"/>
              <w:jc w:val="center"/>
              <w:rPr>
                <w:rFonts w:ascii="宋体" w:hAnsi="宋体"/>
                <w:color w:val="auto"/>
                <w:szCs w:val="21"/>
              </w:rPr>
            </w:pPr>
          </w:p>
        </w:tc>
      </w:tr>
      <w:tr w14:paraId="4A2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69C0A9D">
            <w:pPr>
              <w:adjustRightInd w:val="0"/>
              <w:snapToGrid w:val="0"/>
              <w:spacing w:line="400" w:lineRule="exact"/>
              <w:jc w:val="center"/>
              <w:rPr>
                <w:rFonts w:ascii="宋体" w:hAnsi="宋体"/>
                <w:color w:val="auto"/>
                <w:szCs w:val="21"/>
              </w:rPr>
            </w:pPr>
          </w:p>
        </w:tc>
        <w:tc>
          <w:tcPr>
            <w:tcW w:w="2824" w:type="dxa"/>
            <w:vAlign w:val="center"/>
          </w:tcPr>
          <w:p w14:paraId="05BD4D66">
            <w:pPr>
              <w:adjustRightInd w:val="0"/>
              <w:snapToGrid w:val="0"/>
              <w:spacing w:line="400" w:lineRule="exact"/>
              <w:jc w:val="center"/>
              <w:rPr>
                <w:rFonts w:ascii="宋体" w:hAnsi="宋体"/>
                <w:color w:val="auto"/>
                <w:szCs w:val="21"/>
              </w:rPr>
            </w:pPr>
          </w:p>
        </w:tc>
        <w:tc>
          <w:tcPr>
            <w:tcW w:w="2835" w:type="dxa"/>
            <w:vAlign w:val="center"/>
          </w:tcPr>
          <w:p w14:paraId="4DFCE53D">
            <w:pPr>
              <w:adjustRightInd w:val="0"/>
              <w:snapToGrid w:val="0"/>
              <w:spacing w:line="400" w:lineRule="exact"/>
              <w:jc w:val="center"/>
              <w:rPr>
                <w:rFonts w:ascii="宋体" w:hAnsi="宋体"/>
                <w:color w:val="auto"/>
                <w:szCs w:val="21"/>
              </w:rPr>
            </w:pPr>
          </w:p>
        </w:tc>
        <w:tc>
          <w:tcPr>
            <w:tcW w:w="2533" w:type="dxa"/>
            <w:vAlign w:val="center"/>
          </w:tcPr>
          <w:p w14:paraId="7BF66D36">
            <w:pPr>
              <w:adjustRightInd w:val="0"/>
              <w:snapToGrid w:val="0"/>
              <w:spacing w:line="400" w:lineRule="exact"/>
              <w:jc w:val="center"/>
              <w:rPr>
                <w:rFonts w:ascii="宋体" w:hAnsi="宋体"/>
                <w:color w:val="auto"/>
                <w:szCs w:val="21"/>
              </w:rPr>
            </w:pPr>
          </w:p>
        </w:tc>
      </w:tr>
    </w:tbl>
    <w:p w14:paraId="5563512A">
      <w:pPr>
        <w:adjustRightInd w:val="0"/>
        <w:snapToGrid w:val="0"/>
        <w:spacing w:line="440" w:lineRule="exact"/>
        <w:ind w:left="210" w:hanging="210" w:hangingChars="100"/>
        <w:rPr>
          <w:rFonts w:ascii="宋体" w:hAnsi="宋体"/>
          <w:color w:val="auto"/>
          <w:szCs w:val="21"/>
        </w:rPr>
      </w:pPr>
      <w:r>
        <w:rPr>
          <w:rFonts w:hint="eastAsia" w:ascii="宋体" w:hAnsi="宋体"/>
          <w:color w:val="auto"/>
          <w:szCs w:val="21"/>
        </w:rPr>
        <w:t>注：须与“第四章采购合同样本”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4544082B">
      <w:pPr>
        <w:adjustRightInd w:val="0"/>
        <w:snapToGrid w:val="0"/>
        <w:spacing w:line="360" w:lineRule="auto"/>
        <w:rPr>
          <w:rFonts w:ascii="宋体" w:hAnsi="宋体"/>
          <w:color w:val="auto"/>
          <w:szCs w:val="21"/>
        </w:rPr>
      </w:pPr>
    </w:p>
    <w:p w14:paraId="7B8F4D79">
      <w:pPr>
        <w:adjustRightInd w:val="0"/>
        <w:snapToGrid w:val="0"/>
        <w:spacing w:line="360" w:lineRule="auto"/>
        <w:rPr>
          <w:rFonts w:ascii="宋体" w:hAnsi="宋体"/>
          <w:color w:val="auto"/>
          <w:szCs w:val="21"/>
        </w:rPr>
      </w:pPr>
    </w:p>
    <w:p w14:paraId="199BADB9">
      <w:pPr>
        <w:adjustRightInd w:val="0"/>
        <w:snapToGrid w:val="0"/>
        <w:spacing w:line="360" w:lineRule="auto"/>
        <w:rPr>
          <w:rFonts w:ascii="宋体" w:hAnsi="宋体"/>
          <w:color w:val="auto"/>
          <w:szCs w:val="21"/>
        </w:rPr>
      </w:pPr>
    </w:p>
    <w:p w14:paraId="11570C60">
      <w:pPr>
        <w:spacing w:line="400" w:lineRule="atLeast"/>
        <w:jc w:val="left"/>
        <w:rPr>
          <w:rFonts w:ascii="宋体" w:hAnsi="宋体"/>
          <w:color w:val="auto"/>
          <w:szCs w:val="21"/>
        </w:rPr>
      </w:pPr>
      <w:r>
        <w:rPr>
          <w:rFonts w:hint="eastAsia" w:ascii="宋体" w:hAnsi="宋体"/>
          <w:color w:val="auto"/>
          <w:szCs w:val="21"/>
        </w:rPr>
        <w:t>供应商（盖章）：</w:t>
      </w:r>
    </w:p>
    <w:p w14:paraId="43547ABD">
      <w:pPr>
        <w:spacing w:line="400" w:lineRule="atLeast"/>
        <w:rPr>
          <w:rFonts w:ascii="宋体" w:hAnsi="宋体"/>
          <w:color w:val="auto"/>
          <w:szCs w:val="21"/>
        </w:rPr>
      </w:pPr>
      <w:r>
        <w:rPr>
          <w:rFonts w:hint="eastAsia" w:ascii="宋体" w:hAnsi="宋体"/>
          <w:color w:val="auto"/>
          <w:szCs w:val="21"/>
        </w:rPr>
        <w:t>日期：</w:t>
      </w:r>
    </w:p>
    <w:p w14:paraId="4D02E539">
      <w:pPr>
        <w:spacing w:line="360" w:lineRule="auto"/>
        <w:jc w:val="center"/>
        <w:rPr>
          <w:rFonts w:ascii="宋体" w:hAnsi="宋体"/>
          <w:b/>
          <w:color w:val="auto"/>
          <w:szCs w:val="21"/>
        </w:rPr>
      </w:pPr>
      <w:r>
        <w:rPr>
          <w:rFonts w:ascii="宋体" w:hAnsi="宋体"/>
          <w:color w:val="auto"/>
          <w:szCs w:val="21"/>
        </w:rPr>
        <w:br w:type="page"/>
      </w:r>
      <w:r>
        <w:rPr>
          <w:rFonts w:ascii="宋体" w:hAnsi="宋体"/>
          <w:b/>
          <w:color w:val="auto"/>
          <w:szCs w:val="21"/>
        </w:rPr>
        <w:t>B7</w:t>
      </w:r>
      <w:r>
        <w:rPr>
          <w:rFonts w:hint="eastAsia" w:ascii="宋体" w:hAnsi="宋体"/>
          <w:b/>
          <w:bCs/>
          <w:color w:val="auto"/>
          <w:szCs w:val="21"/>
        </w:rPr>
        <w:t>技术条款响应表</w:t>
      </w:r>
    </w:p>
    <w:p w14:paraId="2EBDDA3E">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rPr>
        <w:t>项目名称：</w:t>
      </w:r>
      <w:r>
        <w:rPr>
          <w:rFonts w:hint="eastAsia" w:ascii="宋体" w:hAnsi="宋体"/>
          <w:color w:val="auto"/>
          <w:szCs w:val="21"/>
          <w:u w:val="single"/>
          <w:lang w:eastAsia="zh-CN"/>
        </w:rPr>
        <w:t>慈溪市交通运输局保安服务项目</w:t>
      </w:r>
    </w:p>
    <w:p w14:paraId="6CA191AF">
      <w:pPr>
        <w:adjustRightInd w:val="0"/>
        <w:snapToGrid w:val="0"/>
        <w:spacing w:line="360" w:lineRule="auto"/>
        <w:rPr>
          <w:rFonts w:ascii="宋体" w:hAnsi="宋体"/>
          <w:b/>
          <w:bCs/>
          <w:color w:val="auto"/>
          <w:szCs w:val="21"/>
        </w:rPr>
      </w:pPr>
      <w:r>
        <w:rPr>
          <w:rFonts w:hint="eastAsia" w:ascii="宋体" w:hAnsi="宋体"/>
          <w:color w:val="auto"/>
          <w:szCs w:val="21"/>
        </w:rPr>
        <w:t>项目编号：</w:t>
      </w:r>
    </w:p>
    <w:tbl>
      <w:tblPr>
        <w:tblStyle w:val="4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9A7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F1426A8">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vAlign w:val="center"/>
          </w:tcPr>
          <w:p w14:paraId="7FD39D74">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vAlign w:val="center"/>
          </w:tcPr>
          <w:p w14:paraId="02E1D875">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533" w:type="dxa"/>
            <w:vAlign w:val="center"/>
          </w:tcPr>
          <w:p w14:paraId="7A766CF6">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4EED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A63AE0F">
            <w:pPr>
              <w:adjustRightInd w:val="0"/>
              <w:snapToGrid w:val="0"/>
              <w:spacing w:line="400" w:lineRule="exact"/>
              <w:jc w:val="center"/>
              <w:rPr>
                <w:rFonts w:ascii="宋体" w:hAnsi="宋体"/>
                <w:color w:val="auto"/>
                <w:szCs w:val="21"/>
              </w:rPr>
            </w:pPr>
          </w:p>
        </w:tc>
        <w:tc>
          <w:tcPr>
            <w:tcW w:w="2824" w:type="dxa"/>
            <w:vAlign w:val="center"/>
          </w:tcPr>
          <w:p w14:paraId="2410A47C">
            <w:pPr>
              <w:adjustRightInd w:val="0"/>
              <w:snapToGrid w:val="0"/>
              <w:spacing w:line="400" w:lineRule="exact"/>
              <w:jc w:val="center"/>
              <w:rPr>
                <w:rFonts w:ascii="宋体" w:hAnsi="宋体"/>
                <w:color w:val="auto"/>
                <w:szCs w:val="21"/>
              </w:rPr>
            </w:pPr>
          </w:p>
        </w:tc>
        <w:tc>
          <w:tcPr>
            <w:tcW w:w="2835" w:type="dxa"/>
            <w:vAlign w:val="center"/>
          </w:tcPr>
          <w:p w14:paraId="48018731">
            <w:pPr>
              <w:adjustRightInd w:val="0"/>
              <w:snapToGrid w:val="0"/>
              <w:spacing w:line="400" w:lineRule="exact"/>
              <w:jc w:val="center"/>
              <w:rPr>
                <w:rFonts w:ascii="宋体" w:hAnsi="宋体"/>
                <w:color w:val="auto"/>
                <w:szCs w:val="21"/>
              </w:rPr>
            </w:pPr>
          </w:p>
        </w:tc>
        <w:tc>
          <w:tcPr>
            <w:tcW w:w="2533" w:type="dxa"/>
            <w:vAlign w:val="center"/>
          </w:tcPr>
          <w:p w14:paraId="6C9ED59B">
            <w:pPr>
              <w:adjustRightInd w:val="0"/>
              <w:snapToGrid w:val="0"/>
              <w:spacing w:line="400" w:lineRule="exact"/>
              <w:jc w:val="center"/>
              <w:rPr>
                <w:rFonts w:ascii="宋体" w:hAnsi="宋体"/>
                <w:color w:val="auto"/>
                <w:szCs w:val="21"/>
              </w:rPr>
            </w:pPr>
          </w:p>
        </w:tc>
      </w:tr>
      <w:tr w14:paraId="6FE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57C647D">
            <w:pPr>
              <w:adjustRightInd w:val="0"/>
              <w:snapToGrid w:val="0"/>
              <w:spacing w:line="400" w:lineRule="exact"/>
              <w:jc w:val="center"/>
              <w:rPr>
                <w:rFonts w:ascii="宋体" w:hAnsi="宋体"/>
                <w:color w:val="auto"/>
                <w:szCs w:val="21"/>
              </w:rPr>
            </w:pPr>
          </w:p>
        </w:tc>
        <w:tc>
          <w:tcPr>
            <w:tcW w:w="2824" w:type="dxa"/>
            <w:vAlign w:val="center"/>
          </w:tcPr>
          <w:p w14:paraId="58BAC69C">
            <w:pPr>
              <w:adjustRightInd w:val="0"/>
              <w:snapToGrid w:val="0"/>
              <w:spacing w:line="400" w:lineRule="exact"/>
              <w:jc w:val="center"/>
              <w:rPr>
                <w:rFonts w:ascii="宋体" w:hAnsi="宋体"/>
                <w:color w:val="auto"/>
                <w:szCs w:val="21"/>
              </w:rPr>
            </w:pPr>
          </w:p>
        </w:tc>
        <w:tc>
          <w:tcPr>
            <w:tcW w:w="2835" w:type="dxa"/>
            <w:vAlign w:val="center"/>
          </w:tcPr>
          <w:p w14:paraId="2DD4FFEA">
            <w:pPr>
              <w:adjustRightInd w:val="0"/>
              <w:snapToGrid w:val="0"/>
              <w:spacing w:line="400" w:lineRule="exact"/>
              <w:jc w:val="center"/>
              <w:rPr>
                <w:rFonts w:ascii="宋体" w:hAnsi="宋体"/>
                <w:color w:val="auto"/>
                <w:szCs w:val="21"/>
              </w:rPr>
            </w:pPr>
          </w:p>
        </w:tc>
        <w:tc>
          <w:tcPr>
            <w:tcW w:w="2533" w:type="dxa"/>
            <w:vAlign w:val="center"/>
          </w:tcPr>
          <w:p w14:paraId="6FD33319">
            <w:pPr>
              <w:adjustRightInd w:val="0"/>
              <w:snapToGrid w:val="0"/>
              <w:spacing w:line="400" w:lineRule="exact"/>
              <w:jc w:val="center"/>
              <w:rPr>
                <w:rFonts w:ascii="宋体" w:hAnsi="宋体"/>
                <w:color w:val="auto"/>
                <w:szCs w:val="21"/>
              </w:rPr>
            </w:pPr>
          </w:p>
        </w:tc>
      </w:tr>
      <w:tr w14:paraId="002D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3408213">
            <w:pPr>
              <w:adjustRightInd w:val="0"/>
              <w:snapToGrid w:val="0"/>
              <w:spacing w:line="400" w:lineRule="exact"/>
              <w:jc w:val="center"/>
              <w:rPr>
                <w:rFonts w:ascii="宋体" w:hAnsi="宋体"/>
                <w:color w:val="auto"/>
                <w:szCs w:val="21"/>
              </w:rPr>
            </w:pPr>
          </w:p>
        </w:tc>
        <w:tc>
          <w:tcPr>
            <w:tcW w:w="2824" w:type="dxa"/>
            <w:vAlign w:val="center"/>
          </w:tcPr>
          <w:p w14:paraId="0A863DAE">
            <w:pPr>
              <w:adjustRightInd w:val="0"/>
              <w:snapToGrid w:val="0"/>
              <w:spacing w:line="400" w:lineRule="exact"/>
              <w:jc w:val="center"/>
              <w:rPr>
                <w:rFonts w:ascii="宋体" w:hAnsi="宋体"/>
                <w:color w:val="auto"/>
                <w:szCs w:val="21"/>
              </w:rPr>
            </w:pPr>
          </w:p>
        </w:tc>
        <w:tc>
          <w:tcPr>
            <w:tcW w:w="2835" w:type="dxa"/>
            <w:vAlign w:val="center"/>
          </w:tcPr>
          <w:p w14:paraId="1BBF00AC">
            <w:pPr>
              <w:adjustRightInd w:val="0"/>
              <w:snapToGrid w:val="0"/>
              <w:spacing w:line="400" w:lineRule="exact"/>
              <w:jc w:val="center"/>
              <w:rPr>
                <w:rFonts w:ascii="宋体" w:hAnsi="宋体"/>
                <w:color w:val="auto"/>
                <w:szCs w:val="21"/>
              </w:rPr>
            </w:pPr>
          </w:p>
        </w:tc>
        <w:tc>
          <w:tcPr>
            <w:tcW w:w="2533" w:type="dxa"/>
            <w:vAlign w:val="center"/>
          </w:tcPr>
          <w:p w14:paraId="6DE8E212">
            <w:pPr>
              <w:adjustRightInd w:val="0"/>
              <w:snapToGrid w:val="0"/>
              <w:spacing w:line="400" w:lineRule="exact"/>
              <w:jc w:val="center"/>
              <w:rPr>
                <w:rFonts w:ascii="宋体" w:hAnsi="宋体"/>
                <w:color w:val="auto"/>
                <w:szCs w:val="21"/>
              </w:rPr>
            </w:pPr>
          </w:p>
        </w:tc>
      </w:tr>
      <w:tr w14:paraId="3593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CCD4B3C">
            <w:pPr>
              <w:adjustRightInd w:val="0"/>
              <w:snapToGrid w:val="0"/>
              <w:spacing w:line="400" w:lineRule="exact"/>
              <w:jc w:val="center"/>
              <w:rPr>
                <w:rFonts w:ascii="宋体" w:hAnsi="宋体"/>
                <w:color w:val="auto"/>
                <w:szCs w:val="21"/>
              </w:rPr>
            </w:pPr>
          </w:p>
        </w:tc>
        <w:tc>
          <w:tcPr>
            <w:tcW w:w="2824" w:type="dxa"/>
            <w:vAlign w:val="center"/>
          </w:tcPr>
          <w:p w14:paraId="673847E7">
            <w:pPr>
              <w:adjustRightInd w:val="0"/>
              <w:snapToGrid w:val="0"/>
              <w:spacing w:line="400" w:lineRule="exact"/>
              <w:jc w:val="center"/>
              <w:rPr>
                <w:rFonts w:ascii="宋体" w:hAnsi="宋体"/>
                <w:color w:val="auto"/>
                <w:szCs w:val="21"/>
              </w:rPr>
            </w:pPr>
          </w:p>
        </w:tc>
        <w:tc>
          <w:tcPr>
            <w:tcW w:w="2835" w:type="dxa"/>
            <w:vAlign w:val="center"/>
          </w:tcPr>
          <w:p w14:paraId="4BBA4311">
            <w:pPr>
              <w:adjustRightInd w:val="0"/>
              <w:snapToGrid w:val="0"/>
              <w:spacing w:line="400" w:lineRule="exact"/>
              <w:jc w:val="center"/>
              <w:rPr>
                <w:rFonts w:ascii="宋体" w:hAnsi="宋体"/>
                <w:color w:val="auto"/>
                <w:szCs w:val="21"/>
              </w:rPr>
            </w:pPr>
          </w:p>
        </w:tc>
        <w:tc>
          <w:tcPr>
            <w:tcW w:w="2533" w:type="dxa"/>
            <w:vAlign w:val="center"/>
          </w:tcPr>
          <w:p w14:paraId="6D941D0A">
            <w:pPr>
              <w:adjustRightInd w:val="0"/>
              <w:snapToGrid w:val="0"/>
              <w:spacing w:line="400" w:lineRule="exact"/>
              <w:jc w:val="center"/>
              <w:rPr>
                <w:rFonts w:ascii="宋体" w:hAnsi="宋体"/>
                <w:color w:val="auto"/>
                <w:szCs w:val="21"/>
              </w:rPr>
            </w:pPr>
          </w:p>
        </w:tc>
      </w:tr>
    </w:tbl>
    <w:p w14:paraId="1CACD4DF">
      <w:pPr>
        <w:adjustRightInd w:val="0"/>
        <w:snapToGrid w:val="0"/>
        <w:spacing w:line="440" w:lineRule="exact"/>
        <w:ind w:left="210" w:hanging="210" w:hangingChars="100"/>
        <w:rPr>
          <w:rFonts w:ascii="宋体" w:hAnsi="宋体"/>
          <w:color w:val="auto"/>
          <w:szCs w:val="21"/>
        </w:rPr>
      </w:pPr>
      <w:r>
        <w:rPr>
          <w:rFonts w:hint="eastAsia" w:ascii="宋体" w:hAnsi="宋体"/>
          <w:color w:val="auto"/>
          <w:szCs w:val="21"/>
        </w:rPr>
        <w:t>注：须与“第五章招标内容与技术需求”逐项比较，如有偏离的，须在本表中列明，并提供详细的偏离说明。如供应商未在本表中列出偏离说明，即使其在投标文件的其他部分说明与招标文件要求有所不同或回避不答，亦视为完全符合招标文件中所要求的最佳值并写入合同。若中标供应商不履行合同签订手续及执行合同，则视作其放弃中标资格。</w:t>
      </w:r>
    </w:p>
    <w:p w14:paraId="59290778">
      <w:pPr>
        <w:adjustRightInd w:val="0"/>
        <w:snapToGrid w:val="0"/>
        <w:spacing w:line="360" w:lineRule="auto"/>
        <w:rPr>
          <w:rFonts w:ascii="宋体" w:hAnsi="宋体"/>
          <w:color w:val="auto"/>
          <w:szCs w:val="21"/>
        </w:rPr>
      </w:pPr>
    </w:p>
    <w:p w14:paraId="4DCBEA89">
      <w:pPr>
        <w:adjustRightInd w:val="0"/>
        <w:snapToGrid w:val="0"/>
        <w:spacing w:line="360" w:lineRule="auto"/>
        <w:rPr>
          <w:rFonts w:ascii="宋体" w:hAnsi="宋体"/>
          <w:color w:val="auto"/>
          <w:szCs w:val="21"/>
        </w:rPr>
      </w:pPr>
    </w:p>
    <w:p w14:paraId="6C583F0D">
      <w:pPr>
        <w:adjustRightInd w:val="0"/>
        <w:snapToGrid w:val="0"/>
        <w:spacing w:line="360" w:lineRule="auto"/>
        <w:rPr>
          <w:rFonts w:ascii="宋体" w:hAnsi="宋体"/>
          <w:color w:val="auto"/>
          <w:szCs w:val="21"/>
        </w:rPr>
      </w:pPr>
    </w:p>
    <w:p w14:paraId="79CB797A">
      <w:pPr>
        <w:spacing w:line="400" w:lineRule="atLeast"/>
        <w:jc w:val="left"/>
        <w:rPr>
          <w:rFonts w:ascii="宋体" w:hAnsi="宋体"/>
          <w:color w:val="auto"/>
          <w:szCs w:val="21"/>
        </w:rPr>
      </w:pPr>
      <w:r>
        <w:rPr>
          <w:rFonts w:hint="eastAsia" w:ascii="宋体" w:hAnsi="宋体"/>
          <w:color w:val="auto"/>
          <w:szCs w:val="21"/>
        </w:rPr>
        <w:t>供应商（盖章）：</w:t>
      </w:r>
    </w:p>
    <w:p w14:paraId="607A547F">
      <w:pPr>
        <w:spacing w:line="400" w:lineRule="atLeast"/>
        <w:rPr>
          <w:rFonts w:ascii="宋体" w:hAnsi="宋体"/>
          <w:color w:val="auto"/>
          <w:szCs w:val="21"/>
          <w:u w:val="single"/>
        </w:rPr>
      </w:pPr>
      <w:r>
        <w:rPr>
          <w:rFonts w:hint="eastAsia" w:ascii="宋体" w:hAnsi="宋体"/>
          <w:color w:val="auto"/>
          <w:szCs w:val="21"/>
        </w:rPr>
        <w:t>日期：</w:t>
      </w:r>
    </w:p>
    <w:p w14:paraId="2311B0F0">
      <w:pPr>
        <w:spacing w:line="400" w:lineRule="atLeast"/>
        <w:rPr>
          <w:rFonts w:ascii="宋体" w:hAnsi="宋体"/>
          <w:color w:val="auto"/>
          <w:szCs w:val="21"/>
          <w:u w:val="single"/>
        </w:rPr>
      </w:pPr>
    </w:p>
    <w:p w14:paraId="7B071AB7">
      <w:pPr>
        <w:spacing w:line="400" w:lineRule="exact"/>
        <w:rPr>
          <w:rStyle w:val="171"/>
          <w:rFonts w:ascii="宋体" w:hAnsi="宋体"/>
          <w:color w:val="auto"/>
          <w:sz w:val="21"/>
          <w:szCs w:val="21"/>
        </w:rPr>
      </w:pPr>
      <w:r>
        <w:rPr>
          <w:rStyle w:val="171"/>
          <w:rFonts w:ascii="宋体" w:hAnsi="宋体"/>
          <w:color w:val="auto"/>
          <w:sz w:val="21"/>
          <w:szCs w:val="21"/>
        </w:rPr>
        <w:br w:type="page"/>
      </w:r>
    </w:p>
    <w:p w14:paraId="2437D7FC">
      <w:pPr>
        <w:pBdr>
          <w:bottom w:val="single" w:color="auto" w:sz="6" w:space="1"/>
        </w:pBdr>
        <w:spacing w:line="400" w:lineRule="exact"/>
        <w:rPr>
          <w:rStyle w:val="171"/>
          <w:rFonts w:ascii="宋体" w:hAnsi="宋体"/>
          <w:color w:val="auto"/>
          <w:sz w:val="21"/>
          <w:szCs w:val="21"/>
        </w:rPr>
      </w:pPr>
    </w:p>
    <w:p w14:paraId="638C9C29">
      <w:pPr>
        <w:pBdr>
          <w:bottom w:val="single" w:color="auto" w:sz="6" w:space="1"/>
        </w:pBdr>
        <w:spacing w:line="400" w:lineRule="exact"/>
        <w:rPr>
          <w:rStyle w:val="171"/>
          <w:rFonts w:ascii="宋体" w:hAnsi="宋体"/>
          <w:color w:val="auto"/>
          <w:sz w:val="21"/>
          <w:szCs w:val="21"/>
        </w:rPr>
      </w:pPr>
      <w:r>
        <w:rPr>
          <w:rStyle w:val="171"/>
          <w:rFonts w:hint="eastAsia" w:ascii="宋体" w:hAnsi="宋体"/>
          <w:color w:val="auto"/>
          <w:sz w:val="21"/>
          <w:szCs w:val="21"/>
        </w:rPr>
        <w:t>B8、按第五章“招标内容与技术需求”要求做出明确完整的响应性叙述；</w:t>
      </w:r>
    </w:p>
    <w:p w14:paraId="38D6BE6A">
      <w:pPr>
        <w:pBdr>
          <w:bottom w:val="single" w:color="auto" w:sz="6" w:space="1"/>
        </w:pBdr>
        <w:spacing w:line="400" w:lineRule="exact"/>
        <w:rPr>
          <w:rStyle w:val="171"/>
          <w:rFonts w:ascii="宋体" w:hAnsi="宋体"/>
          <w:color w:val="auto"/>
          <w:sz w:val="21"/>
          <w:szCs w:val="21"/>
        </w:rPr>
      </w:pPr>
      <w:r>
        <w:rPr>
          <w:rStyle w:val="171"/>
          <w:rFonts w:hint="eastAsia" w:ascii="宋体" w:hAnsi="宋体"/>
          <w:color w:val="auto"/>
          <w:sz w:val="21"/>
          <w:szCs w:val="21"/>
        </w:rPr>
        <w:t>B9、第三章“评标办法及标准”中“</w:t>
      </w:r>
      <w:r>
        <w:rPr>
          <w:rFonts w:hint="eastAsia" w:ascii="宋体" w:hAnsi="宋体" w:cs="宋体"/>
          <w:b/>
          <w:color w:val="auto"/>
          <w:szCs w:val="21"/>
        </w:rPr>
        <w:t>商务和技术评分表</w:t>
      </w:r>
      <w:r>
        <w:rPr>
          <w:rStyle w:val="171"/>
          <w:rFonts w:hint="eastAsia" w:ascii="宋体" w:hAnsi="宋体"/>
          <w:color w:val="auto"/>
          <w:sz w:val="21"/>
          <w:szCs w:val="21"/>
        </w:rPr>
        <w:t>”要求提供的资料（如有需提供）；</w:t>
      </w:r>
    </w:p>
    <w:p w14:paraId="291E99F1">
      <w:pPr>
        <w:pBdr>
          <w:bottom w:val="single" w:color="auto" w:sz="6" w:space="1"/>
        </w:pBdr>
        <w:spacing w:line="400" w:lineRule="exact"/>
        <w:rPr>
          <w:rStyle w:val="171"/>
          <w:rFonts w:ascii="宋体" w:hAnsi="宋体"/>
          <w:color w:val="auto"/>
          <w:sz w:val="21"/>
          <w:szCs w:val="21"/>
        </w:rPr>
      </w:pPr>
      <w:r>
        <w:rPr>
          <w:rStyle w:val="171"/>
          <w:rFonts w:hint="eastAsia" w:ascii="宋体" w:hAnsi="宋体"/>
          <w:color w:val="auto"/>
          <w:sz w:val="21"/>
          <w:szCs w:val="21"/>
        </w:rPr>
        <w:t>B10、供应商认为需要的其他资料（如有需提供）。</w:t>
      </w:r>
    </w:p>
    <w:p w14:paraId="1BCE66CE">
      <w:pPr>
        <w:pStyle w:val="24"/>
        <w:adjustRightInd w:val="0"/>
        <w:snapToGrid w:val="0"/>
        <w:spacing w:line="400" w:lineRule="exact"/>
        <w:rPr>
          <w:rStyle w:val="171"/>
          <w:rFonts w:hAnsi="宋体"/>
          <w:color w:val="auto"/>
          <w:sz w:val="21"/>
          <w:szCs w:val="21"/>
        </w:rPr>
      </w:pPr>
    </w:p>
    <w:p w14:paraId="2C16A411">
      <w:pPr>
        <w:pStyle w:val="24"/>
        <w:adjustRightInd w:val="0"/>
        <w:snapToGrid w:val="0"/>
        <w:spacing w:line="400" w:lineRule="exact"/>
        <w:rPr>
          <w:rStyle w:val="171"/>
          <w:rFonts w:hAnsi="宋体"/>
          <w:color w:val="auto"/>
          <w:sz w:val="21"/>
          <w:szCs w:val="21"/>
        </w:rPr>
      </w:pPr>
    </w:p>
    <w:p w14:paraId="61957409">
      <w:pPr>
        <w:pStyle w:val="24"/>
        <w:adjustRightInd w:val="0"/>
        <w:snapToGrid w:val="0"/>
        <w:spacing w:line="400" w:lineRule="exact"/>
        <w:rPr>
          <w:rStyle w:val="171"/>
          <w:rFonts w:hAnsi="宋体"/>
          <w:color w:val="auto"/>
          <w:sz w:val="21"/>
          <w:szCs w:val="21"/>
        </w:rPr>
      </w:pPr>
    </w:p>
    <w:p w14:paraId="29C3EFBA">
      <w:pPr>
        <w:pStyle w:val="24"/>
        <w:adjustRightInd w:val="0"/>
        <w:snapToGrid w:val="0"/>
        <w:spacing w:line="400" w:lineRule="exact"/>
        <w:rPr>
          <w:rStyle w:val="171"/>
          <w:rFonts w:hAnsi="宋体"/>
          <w:color w:val="auto"/>
          <w:sz w:val="21"/>
          <w:szCs w:val="21"/>
        </w:rPr>
      </w:pPr>
    </w:p>
    <w:p w14:paraId="42B21495">
      <w:pPr>
        <w:pStyle w:val="24"/>
        <w:adjustRightInd w:val="0"/>
        <w:snapToGrid w:val="0"/>
        <w:spacing w:line="400" w:lineRule="exact"/>
        <w:rPr>
          <w:rStyle w:val="171"/>
          <w:rFonts w:hAnsi="宋体"/>
          <w:color w:val="auto"/>
          <w:sz w:val="21"/>
          <w:szCs w:val="21"/>
        </w:rPr>
      </w:pPr>
    </w:p>
    <w:p w14:paraId="61F76AC2">
      <w:pPr>
        <w:spacing w:line="400" w:lineRule="exact"/>
        <w:rPr>
          <w:rFonts w:ascii="宋体" w:hAnsi="宋体"/>
          <w:b/>
          <w:color w:val="auto"/>
          <w:szCs w:val="21"/>
        </w:rPr>
      </w:pPr>
    </w:p>
    <w:p w14:paraId="024EE66C">
      <w:pPr>
        <w:spacing w:line="400" w:lineRule="exact"/>
        <w:rPr>
          <w:rFonts w:ascii="宋体" w:hAnsi="宋体"/>
          <w:b/>
          <w:color w:val="auto"/>
          <w:szCs w:val="21"/>
        </w:rPr>
      </w:pPr>
    </w:p>
    <w:p w14:paraId="647189CC">
      <w:pPr>
        <w:spacing w:line="400" w:lineRule="exact"/>
        <w:rPr>
          <w:rFonts w:ascii="宋体" w:hAnsi="宋体"/>
          <w:b/>
          <w:color w:val="auto"/>
          <w:szCs w:val="21"/>
        </w:rPr>
      </w:pPr>
    </w:p>
    <w:p w14:paraId="175C93D0">
      <w:pPr>
        <w:spacing w:line="400" w:lineRule="exact"/>
        <w:rPr>
          <w:rFonts w:ascii="宋体" w:hAnsi="宋体"/>
          <w:b/>
          <w:color w:val="auto"/>
          <w:szCs w:val="21"/>
        </w:rPr>
      </w:pPr>
    </w:p>
    <w:p w14:paraId="403679C2">
      <w:pPr>
        <w:autoSpaceDE w:val="0"/>
        <w:autoSpaceDN w:val="0"/>
        <w:adjustRightInd w:val="0"/>
        <w:spacing w:before="960" w:beforeLines="400" w:line="420" w:lineRule="exact"/>
        <w:jc w:val="center"/>
        <w:rPr>
          <w:rStyle w:val="171"/>
          <w:rFonts w:ascii="宋体" w:hAnsi="宋体"/>
          <w:color w:val="auto"/>
          <w:sz w:val="32"/>
          <w:szCs w:val="32"/>
        </w:rPr>
      </w:pPr>
      <w:bookmarkStart w:id="51" w:name="_Toc74987431"/>
      <w:bookmarkStart w:id="52" w:name="_Toc74987463"/>
      <w:bookmarkStart w:id="53" w:name="_Toc443468293"/>
      <w:bookmarkStart w:id="54" w:name="_Toc21541028"/>
      <w:r>
        <w:rPr>
          <w:rStyle w:val="171"/>
          <w:rFonts w:ascii="宋体" w:hAnsi="宋体"/>
          <w:color w:val="auto"/>
          <w:sz w:val="32"/>
          <w:szCs w:val="32"/>
        </w:rPr>
        <w:t>C.</w:t>
      </w:r>
      <w:r>
        <w:rPr>
          <w:rStyle w:val="171"/>
          <w:rFonts w:hint="eastAsia" w:ascii="宋体" w:hAnsi="宋体"/>
          <w:color w:val="auto"/>
          <w:sz w:val="32"/>
          <w:szCs w:val="32"/>
        </w:rPr>
        <w:t>报价文件</w:t>
      </w:r>
      <w:bookmarkEnd w:id="51"/>
      <w:bookmarkEnd w:id="52"/>
      <w:bookmarkEnd w:id="53"/>
      <w:bookmarkEnd w:id="54"/>
    </w:p>
    <w:p w14:paraId="5E155190">
      <w:pPr>
        <w:autoSpaceDE w:val="0"/>
        <w:autoSpaceDN w:val="0"/>
        <w:adjustRightInd w:val="0"/>
        <w:spacing w:line="420" w:lineRule="exact"/>
        <w:rPr>
          <w:rStyle w:val="171"/>
          <w:rFonts w:ascii="宋体" w:hAnsi="宋体"/>
          <w:b w:val="0"/>
          <w:color w:val="auto"/>
          <w:lang w:val="zh-CN"/>
        </w:rPr>
      </w:pPr>
      <w:r>
        <w:rPr>
          <w:rStyle w:val="171"/>
          <w:rFonts w:ascii="宋体" w:hAnsi="宋体"/>
          <w:color w:val="auto"/>
          <w:sz w:val="32"/>
          <w:szCs w:val="32"/>
        </w:rPr>
        <w:br w:type="page"/>
      </w:r>
      <w:r>
        <w:rPr>
          <w:rStyle w:val="171"/>
          <w:rFonts w:hint="eastAsia" w:ascii="宋体" w:hAnsi="宋体"/>
          <w:color w:val="auto"/>
          <w:sz w:val="21"/>
          <w:szCs w:val="21"/>
        </w:rPr>
        <w:t>封面</w:t>
      </w:r>
    </w:p>
    <w:p w14:paraId="0B804B3B">
      <w:pPr>
        <w:spacing w:line="360" w:lineRule="auto"/>
        <w:rPr>
          <w:rFonts w:ascii="宋体" w:hAnsi="宋体"/>
          <w:color w:val="auto"/>
          <w:sz w:val="28"/>
          <w:szCs w:val="28"/>
        </w:rPr>
      </w:pPr>
    </w:p>
    <w:p w14:paraId="6340520C">
      <w:pPr>
        <w:pStyle w:val="60"/>
        <w:rPr>
          <w:color w:val="auto"/>
        </w:rPr>
      </w:pPr>
    </w:p>
    <w:p w14:paraId="4328EF3C">
      <w:pPr>
        <w:spacing w:line="360" w:lineRule="auto"/>
        <w:jc w:val="center"/>
        <w:rPr>
          <w:rFonts w:hint="eastAsia" w:ascii="宋体" w:hAnsi="宋体" w:eastAsia="宋体"/>
          <w:color w:val="auto"/>
          <w:sz w:val="40"/>
          <w:szCs w:val="48"/>
          <w:u w:val="single"/>
          <w:lang w:eastAsia="zh-CN"/>
        </w:rPr>
      </w:pPr>
      <w:r>
        <w:rPr>
          <w:rFonts w:hint="eastAsia" w:ascii="宋体" w:hAnsi="宋体"/>
          <w:b/>
          <w:color w:val="auto"/>
          <w:sz w:val="40"/>
          <w:szCs w:val="48"/>
          <w:lang w:eastAsia="zh-CN"/>
        </w:rPr>
        <w:t>慈溪市交通运输局保安服务项目</w:t>
      </w:r>
    </w:p>
    <w:p w14:paraId="6CEAA265">
      <w:pPr>
        <w:spacing w:line="360" w:lineRule="auto"/>
        <w:jc w:val="center"/>
        <w:rPr>
          <w:rFonts w:ascii="宋体" w:hAnsi="宋体"/>
          <w:color w:val="auto"/>
          <w:sz w:val="36"/>
          <w:szCs w:val="36"/>
          <w:u w:val="single"/>
        </w:rPr>
      </w:pPr>
    </w:p>
    <w:p w14:paraId="4D07E445">
      <w:pPr>
        <w:spacing w:line="360" w:lineRule="auto"/>
        <w:ind w:firstLine="2160" w:firstLineChars="600"/>
        <w:rPr>
          <w:rFonts w:ascii="宋体" w:hAnsi="宋体"/>
          <w:color w:val="auto"/>
          <w:sz w:val="36"/>
          <w:szCs w:val="36"/>
          <w:u w:val="single"/>
        </w:rPr>
      </w:pPr>
      <w:r>
        <w:rPr>
          <w:rFonts w:hint="eastAsia" w:ascii="宋体" w:hAnsi="宋体"/>
          <w:color w:val="auto"/>
          <w:sz w:val="36"/>
          <w:szCs w:val="36"/>
          <w:u w:val="single"/>
        </w:rPr>
        <w:t>项目编号：</w:t>
      </w:r>
    </w:p>
    <w:p w14:paraId="63678BE8">
      <w:pPr>
        <w:spacing w:line="360" w:lineRule="auto"/>
        <w:ind w:firstLine="2340" w:firstLineChars="650"/>
        <w:rPr>
          <w:rFonts w:ascii="宋体" w:hAnsi="宋体"/>
          <w:color w:val="auto"/>
          <w:sz w:val="36"/>
          <w:szCs w:val="36"/>
        </w:rPr>
      </w:pPr>
      <w:r>
        <w:rPr>
          <w:rFonts w:hint="eastAsia" w:ascii="宋体" w:hAnsi="宋体"/>
          <w:color w:val="auto"/>
          <w:sz w:val="36"/>
          <w:szCs w:val="36"/>
          <w:u w:val="single"/>
        </w:rPr>
        <w:t>标项：（如有多个标项）</w:t>
      </w:r>
    </w:p>
    <w:p w14:paraId="41DD884F">
      <w:pPr>
        <w:rPr>
          <w:rFonts w:ascii="宋体" w:hAnsi="宋体"/>
          <w:color w:val="auto"/>
          <w:sz w:val="28"/>
          <w:szCs w:val="28"/>
        </w:rPr>
      </w:pPr>
    </w:p>
    <w:p w14:paraId="1167DBBB">
      <w:pPr>
        <w:spacing w:line="360" w:lineRule="auto"/>
        <w:jc w:val="center"/>
        <w:rPr>
          <w:rFonts w:ascii="宋体" w:hAnsi="宋体"/>
          <w:color w:val="auto"/>
          <w:sz w:val="36"/>
          <w:szCs w:val="36"/>
        </w:rPr>
      </w:pPr>
      <w:r>
        <w:rPr>
          <w:rFonts w:hint="eastAsia" w:ascii="宋体" w:hAnsi="宋体"/>
          <w:color w:val="auto"/>
          <w:sz w:val="36"/>
          <w:szCs w:val="36"/>
        </w:rPr>
        <w:t>（报价文件）</w:t>
      </w:r>
    </w:p>
    <w:p w14:paraId="60213BB9">
      <w:pPr>
        <w:jc w:val="center"/>
        <w:rPr>
          <w:rFonts w:ascii="宋体" w:hAnsi="宋体"/>
          <w:color w:val="auto"/>
          <w:sz w:val="28"/>
          <w:szCs w:val="28"/>
        </w:rPr>
      </w:pPr>
    </w:p>
    <w:p w14:paraId="72D89CD8">
      <w:pPr>
        <w:spacing w:line="360" w:lineRule="auto"/>
        <w:jc w:val="center"/>
        <w:rPr>
          <w:rFonts w:ascii="宋体" w:hAnsi="宋体"/>
          <w:b/>
          <w:color w:val="auto"/>
          <w:sz w:val="72"/>
          <w:szCs w:val="72"/>
        </w:rPr>
      </w:pPr>
    </w:p>
    <w:p w14:paraId="40EA7596">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2140EC2B">
      <w:pPr>
        <w:spacing w:line="360" w:lineRule="auto"/>
        <w:jc w:val="center"/>
        <w:rPr>
          <w:rFonts w:ascii="宋体" w:hAnsi="宋体"/>
          <w:color w:val="auto"/>
          <w:sz w:val="36"/>
          <w:szCs w:val="36"/>
        </w:rPr>
      </w:pPr>
    </w:p>
    <w:p w14:paraId="41BFB188">
      <w:pPr>
        <w:spacing w:line="360" w:lineRule="auto"/>
        <w:jc w:val="center"/>
        <w:rPr>
          <w:rFonts w:ascii="宋体" w:hAnsi="宋体"/>
          <w:color w:val="auto"/>
          <w:sz w:val="36"/>
          <w:szCs w:val="36"/>
        </w:rPr>
      </w:pPr>
    </w:p>
    <w:p w14:paraId="3F19B9DA">
      <w:pPr>
        <w:spacing w:line="360" w:lineRule="auto"/>
        <w:jc w:val="center"/>
        <w:rPr>
          <w:rFonts w:ascii="宋体" w:hAnsi="宋体"/>
          <w:color w:val="auto"/>
          <w:sz w:val="36"/>
          <w:szCs w:val="36"/>
        </w:rPr>
      </w:pPr>
    </w:p>
    <w:p w14:paraId="08C04015">
      <w:pPr>
        <w:spacing w:line="360" w:lineRule="auto"/>
        <w:jc w:val="center"/>
        <w:rPr>
          <w:rFonts w:ascii="宋体" w:hAnsi="宋体"/>
          <w:color w:val="auto"/>
          <w:sz w:val="36"/>
          <w:szCs w:val="36"/>
        </w:rPr>
      </w:pPr>
    </w:p>
    <w:p w14:paraId="06F123D8">
      <w:pPr>
        <w:spacing w:line="360" w:lineRule="auto"/>
        <w:jc w:val="center"/>
        <w:rPr>
          <w:rFonts w:ascii="宋体" w:hAnsi="宋体"/>
          <w:color w:val="auto"/>
          <w:sz w:val="36"/>
          <w:szCs w:val="36"/>
          <w:u w:val="single"/>
        </w:rPr>
      </w:pPr>
      <w:r>
        <w:rPr>
          <w:rFonts w:hint="eastAsia" w:ascii="宋体" w:hAnsi="宋体"/>
          <w:color w:val="auto"/>
          <w:sz w:val="36"/>
          <w:szCs w:val="36"/>
        </w:rPr>
        <w:t>供应商全称：</w:t>
      </w:r>
      <w:r>
        <w:rPr>
          <w:rFonts w:hint="eastAsia" w:ascii="宋体" w:hAnsi="宋体"/>
          <w:color w:val="auto"/>
          <w:sz w:val="36"/>
          <w:szCs w:val="36"/>
          <w:u w:val="single"/>
        </w:rPr>
        <w:t>（加盖单位公章）</w:t>
      </w:r>
    </w:p>
    <w:p w14:paraId="455A767D">
      <w:pPr>
        <w:pStyle w:val="26"/>
        <w:ind w:left="101" w:leftChars="48" w:firstLine="1920" w:firstLineChars="800"/>
        <w:jc w:val="left"/>
        <w:rPr>
          <w:rFonts w:hAnsi="宋体"/>
          <w:color w:val="auto"/>
          <w:kern w:val="2"/>
          <w:szCs w:val="28"/>
          <w:u w:val="single"/>
        </w:rPr>
      </w:pPr>
    </w:p>
    <w:p w14:paraId="6EB11169">
      <w:pPr>
        <w:autoSpaceDE w:val="0"/>
        <w:autoSpaceDN w:val="0"/>
        <w:adjustRightInd w:val="0"/>
        <w:spacing w:line="400" w:lineRule="exact"/>
        <w:jc w:val="center"/>
        <w:outlineLvl w:val="0"/>
        <w:rPr>
          <w:rStyle w:val="171"/>
          <w:rFonts w:ascii="宋体" w:hAnsi="宋体"/>
          <w:color w:val="auto"/>
          <w:sz w:val="28"/>
          <w:szCs w:val="28"/>
        </w:rPr>
      </w:pPr>
      <w:bookmarkStart w:id="55" w:name="_Toc74987464"/>
      <w:bookmarkStart w:id="56" w:name="_Toc21541029"/>
      <w:bookmarkStart w:id="57" w:name="_Toc85732609"/>
      <w:bookmarkStart w:id="58" w:name="_Toc1675"/>
      <w:bookmarkStart w:id="59" w:name="_Toc443468294"/>
      <w:bookmarkStart w:id="60" w:name="_Toc745"/>
      <w:bookmarkStart w:id="61" w:name="_Toc9840"/>
      <w:bookmarkStart w:id="62" w:name="_Toc74987432"/>
      <w:bookmarkStart w:id="63" w:name="_Toc74987562"/>
      <w:r>
        <w:rPr>
          <w:rFonts w:hint="eastAsia" w:ascii="宋体" w:hAnsi="宋体"/>
          <w:color w:val="auto"/>
          <w:sz w:val="36"/>
          <w:szCs w:val="36"/>
        </w:rPr>
        <w:t>年月日</w:t>
      </w:r>
      <w:bookmarkEnd w:id="55"/>
      <w:bookmarkEnd w:id="56"/>
      <w:bookmarkEnd w:id="57"/>
      <w:bookmarkEnd w:id="58"/>
      <w:bookmarkEnd w:id="59"/>
      <w:bookmarkEnd w:id="60"/>
      <w:bookmarkEnd w:id="61"/>
      <w:bookmarkEnd w:id="62"/>
      <w:bookmarkEnd w:id="63"/>
    </w:p>
    <w:p w14:paraId="57B256BB">
      <w:pPr>
        <w:autoSpaceDE w:val="0"/>
        <w:autoSpaceDN w:val="0"/>
        <w:adjustRightInd w:val="0"/>
        <w:spacing w:line="400" w:lineRule="exact"/>
        <w:jc w:val="center"/>
        <w:outlineLvl w:val="0"/>
        <w:rPr>
          <w:rStyle w:val="171"/>
          <w:rFonts w:ascii="宋体" w:hAnsi="宋体"/>
          <w:color w:val="auto"/>
          <w:sz w:val="28"/>
          <w:szCs w:val="28"/>
        </w:rPr>
      </w:pPr>
    </w:p>
    <w:p w14:paraId="181FC088">
      <w:pPr>
        <w:spacing w:line="360" w:lineRule="auto"/>
        <w:jc w:val="center"/>
        <w:rPr>
          <w:rFonts w:ascii="宋体" w:hAnsi="宋体"/>
          <w:b/>
          <w:color w:val="auto"/>
          <w:szCs w:val="21"/>
        </w:rPr>
      </w:pPr>
      <w:r>
        <w:rPr>
          <w:rStyle w:val="171"/>
          <w:rFonts w:ascii="宋体" w:hAnsi="宋体"/>
          <w:color w:val="auto"/>
          <w:sz w:val="28"/>
          <w:szCs w:val="28"/>
        </w:rPr>
        <w:br w:type="page"/>
      </w:r>
      <w:bookmarkEnd w:id="49"/>
      <w:bookmarkEnd w:id="50"/>
      <w:bookmarkStart w:id="64" w:name="_Toc74987465"/>
      <w:bookmarkStart w:id="65" w:name="_Toc74987433"/>
      <w:bookmarkStart w:id="66" w:name="_Toc21541030"/>
      <w:r>
        <w:rPr>
          <w:rFonts w:ascii="宋体" w:hAnsi="宋体"/>
          <w:b/>
          <w:color w:val="auto"/>
          <w:szCs w:val="21"/>
        </w:rPr>
        <w:t>C1</w:t>
      </w:r>
      <w:r>
        <w:rPr>
          <w:rFonts w:hint="eastAsia" w:ascii="宋体" w:hAnsi="宋体"/>
          <w:b/>
          <w:color w:val="auto"/>
          <w:szCs w:val="21"/>
        </w:rPr>
        <w:t>开标一览表</w:t>
      </w:r>
      <w:bookmarkEnd w:id="64"/>
      <w:bookmarkEnd w:id="65"/>
      <w:bookmarkEnd w:id="66"/>
    </w:p>
    <w:p w14:paraId="412B6F93">
      <w:pPr>
        <w:pStyle w:val="20"/>
        <w:spacing w:line="400" w:lineRule="exact"/>
        <w:ind w:firstLine="0"/>
        <w:rPr>
          <w:rFonts w:hint="eastAsia" w:ascii="宋体" w:hAnsi="宋体" w:eastAsia="宋体"/>
          <w:color w:val="auto"/>
          <w:sz w:val="21"/>
          <w:szCs w:val="21"/>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慈溪市交通运输局保安服务项目</w:t>
      </w:r>
    </w:p>
    <w:p w14:paraId="2D9BD751">
      <w:pPr>
        <w:pStyle w:val="20"/>
        <w:spacing w:line="400" w:lineRule="exact"/>
        <w:ind w:firstLine="0"/>
        <w:rPr>
          <w:rFonts w:ascii="宋体" w:hAnsi="宋体" w:eastAsia="宋体"/>
          <w:color w:val="auto"/>
          <w:sz w:val="21"/>
          <w:szCs w:val="21"/>
        </w:rPr>
      </w:pPr>
      <w:r>
        <w:rPr>
          <w:rFonts w:hint="eastAsia" w:ascii="宋体" w:hAnsi="宋体" w:eastAsia="宋体"/>
          <w:color w:val="auto"/>
          <w:sz w:val="21"/>
          <w:szCs w:val="21"/>
        </w:rPr>
        <w:t>项目编号：</w:t>
      </w:r>
    </w:p>
    <w:p w14:paraId="2146C141">
      <w:pPr>
        <w:pStyle w:val="30"/>
        <w:rPr>
          <w:color w:val="auto"/>
        </w:rPr>
      </w:pPr>
    </w:p>
    <w:tbl>
      <w:tblPr>
        <w:tblStyle w:val="4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4116"/>
        <w:gridCol w:w="2747"/>
        <w:gridCol w:w="2389"/>
      </w:tblGrid>
      <w:tr w14:paraId="1DB1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5" w:type="pct"/>
            <w:vAlign w:val="center"/>
          </w:tcPr>
          <w:p w14:paraId="592DAD33">
            <w:pPr>
              <w:snapToGrid w:val="0"/>
              <w:spacing w:line="400" w:lineRule="exact"/>
              <w:jc w:val="center"/>
              <w:rPr>
                <w:rFonts w:ascii="宋体" w:hAnsi="宋体"/>
                <w:color w:val="auto"/>
                <w:szCs w:val="21"/>
              </w:rPr>
            </w:pPr>
            <w:r>
              <w:rPr>
                <w:rFonts w:hint="eastAsia" w:ascii="宋体" w:hAnsi="宋体"/>
                <w:color w:val="auto"/>
                <w:szCs w:val="21"/>
              </w:rPr>
              <w:t>标项</w:t>
            </w:r>
          </w:p>
        </w:tc>
        <w:tc>
          <w:tcPr>
            <w:tcW w:w="2065" w:type="pct"/>
            <w:vAlign w:val="center"/>
          </w:tcPr>
          <w:p w14:paraId="71EDBE9B">
            <w:pPr>
              <w:snapToGrid w:val="0"/>
              <w:spacing w:line="400" w:lineRule="exact"/>
              <w:jc w:val="center"/>
              <w:rPr>
                <w:rFonts w:ascii="宋体" w:hAnsi="宋体"/>
                <w:color w:val="auto"/>
                <w:szCs w:val="21"/>
              </w:rPr>
            </w:pPr>
            <w:r>
              <w:rPr>
                <w:rFonts w:hint="eastAsia" w:ascii="宋体" w:hAnsi="宋体"/>
                <w:color w:val="auto"/>
                <w:szCs w:val="21"/>
              </w:rPr>
              <w:t>项目名称</w:t>
            </w:r>
          </w:p>
        </w:tc>
        <w:tc>
          <w:tcPr>
            <w:tcW w:w="1379" w:type="pct"/>
            <w:vAlign w:val="center"/>
          </w:tcPr>
          <w:p w14:paraId="0822D1BA">
            <w:pPr>
              <w:snapToGrid w:val="0"/>
              <w:spacing w:line="400" w:lineRule="exact"/>
              <w:jc w:val="center"/>
              <w:rPr>
                <w:rFonts w:ascii="宋体" w:hAnsi="宋体"/>
                <w:color w:val="auto"/>
                <w:szCs w:val="21"/>
              </w:rPr>
            </w:pPr>
            <w:r>
              <w:rPr>
                <w:rFonts w:hint="eastAsia" w:ascii="宋体" w:hAnsi="宋体"/>
                <w:color w:val="auto"/>
                <w:szCs w:val="21"/>
              </w:rPr>
              <w:t>投标报价（元）</w:t>
            </w:r>
          </w:p>
        </w:tc>
        <w:tc>
          <w:tcPr>
            <w:tcW w:w="1199" w:type="pct"/>
            <w:vAlign w:val="center"/>
          </w:tcPr>
          <w:p w14:paraId="4D1E5414">
            <w:pPr>
              <w:snapToGrid w:val="0"/>
              <w:spacing w:line="400" w:lineRule="exact"/>
              <w:jc w:val="center"/>
              <w:rPr>
                <w:rFonts w:ascii="宋体" w:hAnsi="宋体"/>
                <w:color w:val="auto"/>
                <w:szCs w:val="21"/>
              </w:rPr>
            </w:pPr>
            <w:r>
              <w:rPr>
                <w:rFonts w:hint="eastAsia" w:ascii="宋体" w:hAnsi="宋体"/>
                <w:color w:val="auto"/>
                <w:szCs w:val="21"/>
              </w:rPr>
              <w:t>服务期限</w:t>
            </w:r>
          </w:p>
        </w:tc>
      </w:tr>
      <w:tr w14:paraId="2B78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55" w:type="pct"/>
            <w:vAlign w:val="center"/>
          </w:tcPr>
          <w:p w14:paraId="1B1DE7D1">
            <w:pPr>
              <w:snapToGrid w:val="0"/>
              <w:spacing w:line="400" w:lineRule="exact"/>
              <w:jc w:val="center"/>
              <w:rPr>
                <w:rFonts w:ascii="宋体" w:hAnsi="宋体"/>
                <w:color w:val="auto"/>
                <w:szCs w:val="21"/>
              </w:rPr>
            </w:pPr>
            <w:r>
              <w:rPr>
                <w:rFonts w:hint="eastAsia" w:ascii="宋体" w:hAnsi="宋体"/>
                <w:color w:val="auto"/>
                <w:szCs w:val="21"/>
              </w:rPr>
              <w:t>一</w:t>
            </w:r>
          </w:p>
        </w:tc>
        <w:tc>
          <w:tcPr>
            <w:tcW w:w="2065" w:type="pct"/>
            <w:vAlign w:val="center"/>
          </w:tcPr>
          <w:p w14:paraId="49EB84D9">
            <w:pPr>
              <w:snapToGrid w:val="0"/>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慈溪市交通运输局保安服务项目</w:t>
            </w:r>
          </w:p>
        </w:tc>
        <w:tc>
          <w:tcPr>
            <w:tcW w:w="1379" w:type="pct"/>
            <w:vAlign w:val="center"/>
          </w:tcPr>
          <w:p w14:paraId="30E078FA">
            <w:pPr>
              <w:snapToGrid w:val="0"/>
              <w:spacing w:line="400" w:lineRule="exact"/>
              <w:rPr>
                <w:color w:val="auto"/>
              </w:rPr>
            </w:pPr>
            <w:r>
              <w:rPr>
                <w:rFonts w:hint="eastAsia"/>
                <w:color w:val="auto"/>
              </w:rPr>
              <w:t>大写：</w:t>
            </w:r>
          </w:p>
          <w:p w14:paraId="02B66F0D">
            <w:pPr>
              <w:pStyle w:val="4"/>
              <w:spacing w:before="120" w:after="120"/>
              <w:outlineLvl w:val="1"/>
              <w:rPr>
                <w:color w:val="auto"/>
              </w:rPr>
            </w:pPr>
            <w:bookmarkStart w:id="67" w:name="_Toc12034"/>
            <w:r>
              <w:rPr>
                <w:rFonts w:hint="eastAsia" w:ascii="宋体" w:hAnsi="宋体"/>
                <w:color w:val="auto"/>
              </w:rPr>
              <w:t>小写：</w:t>
            </w:r>
            <w:bookmarkEnd w:id="67"/>
          </w:p>
        </w:tc>
        <w:tc>
          <w:tcPr>
            <w:tcW w:w="1199" w:type="pct"/>
            <w:vMerge w:val="restart"/>
            <w:vAlign w:val="center"/>
          </w:tcPr>
          <w:p w14:paraId="0FDA2F7C">
            <w:pPr>
              <w:snapToGrid w:val="0"/>
              <w:spacing w:line="400" w:lineRule="exact"/>
              <w:jc w:val="center"/>
              <w:rPr>
                <w:rFonts w:ascii="宋体" w:hAnsi="宋体"/>
                <w:color w:val="auto"/>
                <w:szCs w:val="21"/>
              </w:rPr>
            </w:pPr>
          </w:p>
        </w:tc>
      </w:tr>
      <w:tr w14:paraId="3F31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421" w:type="pct"/>
            <w:gridSpan w:val="2"/>
            <w:vAlign w:val="center"/>
          </w:tcPr>
          <w:p w14:paraId="1337FDA3">
            <w:pPr>
              <w:snapToGrid w:val="0"/>
              <w:spacing w:line="400" w:lineRule="exact"/>
              <w:jc w:val="center"/>
              <w:rPr>
                <w:color w:val="auto"/>
              </w:rPr>
            </w:pPr>
            <w:r>
              <w:rPr>
                <w:rFonts w:hint="eastAsia"/>
                <w:color w:val="auto"/>
              </w:rPr>
              <w:t>合计：投标报价</w:t>
            </w:r>
          </w:p>
        </w:tc>
        <w:tc>
          <w:tcPr>
            <w:tcW w:w="1379" w:type="pct"/>
            <w:vAlign w:val="center"/>
          </w:tcPr>
          <w:p w14:paraId="5D673FE8">
            <w:pPr>
              <w:snapToGrid w:val="0"/>
              <w:spacing w:line="400" w:lineRule="exact"/>
              <w:jc w:val="center"/>
              <w:rPr>
                <w:rFonts w:ascii="宋体" w:hAnsi="宋体"/>
                <w:color w:val="auto"/>
                <w:szCs w:val="21"/>
              </w:rPr>
            </w:pPr>
          </w:p>
        </w:tc>
        <w:tc>
          <w:tcPr>
            <w:tcW w:w="1199" w:type="pct"/>
            <w:vMerge w:val="continue"/>
            <w:vAlign w:val="center"/>
          </w:tcPr>
          <w:p w14:paraId="4DF3C5E5">
            <w:pPr>
              <w:snapToGrid w:val="0"/>
              <w:spacing w:line="400" w:lineRule="exact"/>
              <w:jc w:val="center"/>
              <w:rPr>
                <w:color w:val="auto"/>
              </w:rPr>
            </w:pPr>
          </w:p>
        </w:tc>
      </w:tr>
    </w:tbl>
    <w:p w14:paraId="65340E9A">
      <w:pPr>
        <w:spacing w:line="400" w:lineRule="atLeast"/>
        <w:jc w:val="left"/>
        <w:rPr>
          <w:rFonts w:ascii="宋体" w:hAnsi="宋体"/>
          <w:color w:val="auto"/>
          <w:szCs w:val="21"/>
        </w:rPr>
      </w:pPr>
      <w:r>
        <w:rPr>
          <w:rFonts w:hint="eastAsia" w:ascii="宋体" w:hAnsi="宋体"/>
          <w:color w:val="auto"/>
          <w:szCs w:val="21"/>
        </w:rPr>
        <w:t>备注：1、投标报价以人民币为结算单位，投标总价超出采购预算价无效。</w:t>
      </w:r>
    </w:p>
    <w:p w14:paraId="6A05D38E">
      <w:pPr>
        <w:spacing w:line="400" w:lineRule="atLeast"/>
        <w:jc w:val="left"/>
        <w:rPr>
          <w:rFonts w:ascii="宋体" w:hAnsi="宋体"/>
          <w:color w:val="auto"/>
          <w:szCs w:val="21"/>
        </w:rPr>
      </w:pPr>
      <w:r>
        <w:rPr>
          <w:rFonts w:hint="eastAsia" w:ascii="宋体" w:hAnsi="宋体"/>
          <w:color w:val="auto"/>
          <w:szCs w:val="21"/>
        </w:rPr>
        <w:t>2、此表在不改变格式内容时，可自行制作。</w:t>
      </w:r>
    </w:p>
    <w:p w14:paraId="7D69E8E1">
      <w:pPr>
        <w:spacing w:line="400" w:lineRule="atLeast"/>
        <w:jc w:val="left"/>
        <w:rPr>
          <w:rFonts w:ascii="宋体" w:hAnsi="宋体"/>
          <w:color w:val="auto"/>
          <w:szCs w:val="21"/>
        </w:rPr>
      </w:pPr>
      <w:r>
        <w:rPr>
          <w:rFonts w:hint="eastAsia" w:ascii="宋体" w:hAnsi="宋体"/>
          <w:color w:val="auto"/>
          <w:szCs w:val="21"/>
        </w:rPr>
        <w:t>3、投标报价金额必须与C2 《分项报价表》投标报价中的金额一致。</w:t>
      </w:r>
    </w:p>
    <w:p w14:paraId="4447BBDA">
      <w:pPr>
        <w:spacing w:line="400" w:lineRule="atLeast"/>
        <w:jc w:val="left"/>
        <w:rPr>
          <w:rFonts w:ascii="宋体" w:hAnsi="宋体"/>
          <w:color w:val="auto"/>
          <w:szCs w:val="21"/>
        </w:rPr>
      </w:pPr>
      <w:r>
        <w:rPr>
          <w:rFonts w:hint="eastAsia" w:ascii="宋体" w:hAnsi="宋体"/>
          <w:color w:val="auto"/>
          <w:szCs w:val="21"/>
        </w:rPr>
        <w:t>4、公开招标实行一次性报价，投标价即为最终有效价。</w:t>
      </w:r>
    </w:p>
    <w:p w14:paraId="0DB6D18A">
      <w:pPr>
        <w:spacing w:line="400" w:lineRule="atLeast"/>
        <w:jc w:val="left"/>
        <w:rPr>
          <w:rFonts w:ascii="宋体" w:hAnsi="宋体"/>
          <w:color w:val="auto"/>
          <w:szCs w:val="21"/>
        </w:rPr>
      </w:pPr>
    </w:p>
    <w:p w14:paraId="726D9E71">
      <w:pPr>
        <w:spacing w:line="400" w:lineRule="atLeast"/>
        <w:jc w:val="left"/>
        <w:rPr>
          <w:rFonts w:ascii="宋体" w:hAnsi="宋体"/>
          <w:color w:val="auto"/>
          <w:szCs w:val="21"/>
        </w:rPr>
      </w:pPr>
    </w:p>
    <w:p w14:paraId="5C57AD0E">
      <w:pPr>
        <w:spacing w:line="400" w:lineRule="atLeast"/>
        <w:jc w:val="left"/>
        <w:rPr>
          <w:rFonts w:ascii="宋体" w:hAnsi="宋体"/>
          <w:color w:val="auto"/>
          <w:szCs w:val="21"/>
        </w:rPr>
      </w:pPr>
      <w:r>
        <w:rPr>
          <w:rFonts w:hint="eastAsia" w:ascii="宋体" w:hAnsi="宋体"/>
          <w:color w:val="auto"/>
          <w:szCs w:val="21"/>
        </w:rPr>
        <w:t>投标人（盖章）：</w:t>
      </w:r>
    </w:p>
    <w:p w14:paraId="1975DA6F">
      <w:pPr>
        <w:spacing w:line="400" w:lineRule="atLeast"/>
        <w:rPr>
          <w:rFonts w:ascii="宋体" w:hAnsi="宋体" w:cs="宋体"/>
          <w:color w:val="auto"/>
          <w:szCs w:val="21"/>
        </w:rPr>
      </w:pPr>
      <w:r>
        <w:rPr>
          <w:rFonts w:hint="eastAsia" w:ascii="宋体" w:hAnsi="宋体"/>
          <w:color w:val="auto"/>
          <w:szCs w:val="21"/>
        </w:rPr>
        <w:t>日期：</w:t>
      </w:r>
    </w:p>
    <w:p w14:paraId="54914C8E">
      <w:pPr>
        <w:rPr>
          <w:rFonts w:ascii="宋体" w:hAnsi="宋体"/>
          <w:color w:val="auto"/>
          <w:szCs w:val="21"/>
        </w:rPr>
      </w:pPr>
    </w:p>
    <w:p w14:paraId="74265F76">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br w:type="page"/>
      </w:r>
      <w:bookmarkStart w:id="68" w:name="_Toc63587390"/>
      <w:bookmarkStart w:id="69" w:name="_Toc19324"/>
      <w:bookmarkStart w:id="70" w:name="_Toc77694049"/>
      <w:bookmarkStart w:id="71" w:name="_Toc63587452"/>
      <w:r>
        <w:rPr>
          <w:rFonts w:hint="eastAsia" w:ascii="宋体" w:hAnsi="宋体"/>
          <w:b/>
          <w:color w:val="auto"/>
          <w:szCs w:val="21"/>
        </w:rPr>
        <w:t>C2分项报价表</w:t>
      </w:r>
      <w:bookmarkEnd w:id="68"/>
      <w:bookmarkEnd w:id="69"/>
      <w:bookmarkEnd w:id="70"/>
      <w:bookmarkEnd w:id="71"/>
    </w:p>
    <w:p w14:paraId="19AD5F7D">
      <w:pPr>
        <w:snapToGrid w:val="0"/>
        <w:spacing w:line="440" w:lineRule="exact"/>
        <w:rPr>
          <w:rFonts w:ascii="宋体" w:hAnsi="宋体" w:cs="宋体"/>
          <w:color w:val="auto"/>
          <w:szCs w:val="21"/>
          <w:u w:val="single"/>
        </w:rPr>
      </w:pPr>
      <w:r>
        <w:rPr>
          <w:rFonts w:hint="eastAsia" w:ascii="宋体" w:hAnsi="宋体" w:cs="宋体"/>
          <w:color w:val="auto"/>
          <w:szCs w:val="21"/>
        </w:rPr>
        <w:t>项目编号：</w:t>
      </w:r>
    </w:p>
    <w:p w14:paraId="377DBF9B">
      <w:pPr>
        <w:snapToGrid w:val="0"/>
        <w:spacing w:line="440" w:lineRule="exact"/>
        <w:rPr>
          <w:rFonts w:ascii="宋体" w:hAnsi="宋体" w:cs="宋体"/>
          <w:color w:val="auto"/>
          <w:szCs w:val="21"/>
        </w:rPr>
      </w:pPr>
      <w:r>
        <w:rPr>
          <w:rFonts w:hint="eastAsia" w:ascii="宋体" w:hAnsi="宋体" w:cs="宋体"/>
          <w:color w:val="auto"/>
          <w:szCs w:val="21"/>
        </w:rPr>
        <w:t>项目名称：</w:t>
      </w:r>
    </w:p>
    <w:p w14:paraId="01E0FB76">
      <w:pPr>
        <w:snapToGrid w:val="0"/>
        <w:spacing w:line="440" w:lineRule="exact"/>
        <w:jc w:val="right"/>
        <w:rPr>
          <w:rFonts w:ascii="宋体" w:hAnsi="宋体" w:cs="宋体"/>
          <w:color w:val="auto"/>
          <w:szCs w:val="21"/>
        </w:rPr>
      </w:pPr>
      <w:r>
        <w:rPr>
          <w:rFonts w:hint="eastAsia" w:ascii="宋体" w:hAnsi="宋体" w:cs="宋体"/>
          <w:color w:val="auto"/>
          <w:szCs w:val="21"/>
        </w:rPr>
        <w:t>货币单位：人民币（元）</w:t>
      </w:r>
    </w:p>
    <w:tbl>
      <w:tblPr>
        <w:tblStyle w:val="48"/>
        <w:tblW w:w="94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
        <w:gridCol w:w="785"/>
        <w:gridCol w:w="1031"/>
        <w:gridCol w:w="626"/>
        <w:gridCol w:w="1140"/>
        <w:gridCol w:w="1768"/>
        <w:gridCol w:w="885"/>
        <w:gridCol w:w="1227"/>
        <w:gridCol w:w="1362"/>
      </w:tblGrid>
      <w:tr w14:paraId="6F75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7A51FC11">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785" w:type="dxa"/>
            <w:tcBorders>
              <w:top w:val="single" w:color="000000" w:sz="8" w:space="0"/>
              <w:left w:val="nil"/>
              <w:bottom w:val="single" w:color="000000" w:sz="8" w:space="0"/>
              <w:right w:val="single" w:color="000000" w:sz="8" w:space="0"/>
              <w:tl2br w:val="nil"/>
              <w:tr2bl w:val="nil"/>
            </w:tcBorders>
            <w:noWrap w:val="0"/>
            <w:vAlign w:val="center"/>
          </w:tcPr>
          <w:p w14:paraId="3B8C2B0D">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项目</w:t>
            </w:r>
          </w:p>
        </w:tc>
        <w:tc>
          <w:tcPr>
            <w:tcW w:w="1031" w:type="dxa"/>
            <w:tcBorders>
              <w:top w:val="single" w:color="000000" w:sz="8" w:space="0"/>
              <w:left w:val="nil"/>
              <w:bottom w:val="single" w:color="000000" w:sz="8" w:space="0"/>
              <w:right w:val="single" w:color="000000" w:sz="8" w:space="0"/>
              <w:tl2br w:val="nil"/>
              <w:tr2bl w:val="nil"/>
            </w:tcBorders>
            <w:noWrap w:val="0"/>
            <w:vAlign w:val="center"/>
          </w:tcPr>
          <w:p w14:paraId="72075454">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明细</w:t>
            </w:r>
          </w:p>
        </w:tc>
        <w:tc>
          <w:tcPr>
            <w:tcW w:w="626" w:type="dxa"/>
            <w:tcBorders>
              <w:top w:val="single" w:color="000000" w:sz="8" w:space="0"/>
              <w:left w:val="nil"/>
              <w:bottom w:val="single" w:color="000000" w:sz="8" w:space="0"/>
              <w:right w:val="single" w:color="000000" w:sz="8" w:space="0"/>
              <w:tl2br w:val="nil"/>
              <w:tr2bl w:val="nil"/>
            </w:tcBorders>
            <w:noWrap w:val="0"/>
            <w:vAlign w:val="center"/>
          </w:tcPr>
          <w:p w14:paraId="521585B7">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人数</w:t>
            </w:r>
          </w:p>
        </w:tc>
        <w:tc>
          <w:tcPr>
            <w:tcW w:w="1140" w:type="dxa"/>
            <w:tcBorders>
              <w:top w:val="single" w:color="000000" w:sz="8" w:space="0"/>
              <w:left w:val="nil"/>
              <w:bottom w:val="single" w:color="000000" w:sz="8" w:space="0"/>
              <w:right w:val="single" w:color="000000" w:sz="8" w:space="0"/>
              <w:tl2br w:val="nil"/>
              <w:tr2bl w:val="nil"/>
            </w:tcBorders>
            <w:noWrap w:val="0"/>
            <w:vAlign w:val="center"/>
          </w:tcPr>
          <w:p w14:paraId="2FAC15E7">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月基本工资</w:t>
            </w:r>
          </w:p>
        </w:tc>
        <w:tc>
          <w:tcPr>
            <w:tcW w:w="1768" w:type="dxa"/>
            <w:tcBorders>
              <w:top w:val="single" w:color="000000" w:sz="8" w:space="0"/>
              <w:left w:val="nil"/>
              <w:bottom w:val="single" w:color="000000" w:sz="8" w:space="0"/>
              <w:right w:val="single" w:color="000000" w:sz="8" w:space="0"/>
              <w:tl2br w:val="nil"/>
              <w:tr2bl w:val="nil"/>
            </w:tcBorders>
            <w:noWrap w:val="0"/>
            <w:vAlign w:val="center"/>
          </w:tcPr>
          <w:p w14:paraId="05262314">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岗位工资（含双休加班工资、加班费）</w:t>
            </w:r>
          </w:p>
        </w:tc>
        <w:tc>
          <w:tcPr>
            <w:tcW w:w="885" w:type="dxa"/>
            <w:tcBorders>
              <w:top w:val="single" w:color="000000" w:sz="8" w:space="0"/>
              <w:left w:val="nil"/>
              <w:bottom w:val="single" w:color="000000" w:sz="8" w:space="0"/>
              <w:right w:val="single" w:color="000000" w:sz="8" w:space="0"/>
              <w:tl2br w:val="nil"/>
              <w:tr2bl w:val="nil"/>
            </w:tcBorders>
            <w:noWrap w:val="0"/>
            <w:vAlign w:val="center"/>
          </w:tcPr>
          <w:p w14:paraId="7B91B609">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月数</w:t>
            </w:r>
          </w:p>
        </w:tc>
        <w:tc>
          <w:tcPr>
            <w:tcW w:w="1227" w:type="dxa"/>
            <w:tcBorders>
              <w:top w:val="single" w:color="000000" w:sz="8" w:space="0"/>
              <w:left w:val="nil"/>
              <w:bottom w:val="single" w:color="000000" w:sz="8" w:space="0"/>
              <w:right w:val="single" w:color="000000" w:sz="8" w:space="0"/>
              <w:tl2br w:val="nil"/>
              <w:tr2bl w:val="nil"/>
            </w:tcBorders>
            <w:noWrap w:val="0"/>
            <w:vAlign w:val="center"/>
          </w:tcPr>
          <w:p w14:paraId="68FB8BDF">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1362" w:type="dxa"/>
            <w:tcBorders>
              <w:top w:val="single" w:color="000000" w:sz="8" w:space="0"/>
              <w:left w:val="nil"/>
              <w:bottom w:val="single" w:color="000000" w:sz="8" w:space="0"/>
              <w:right w:val="single" w:color="000000" w:sz="8" w:space="0"/>
              <w:tl2br w:val="nil"/>
              <w:tr2bl w:val="nil"/>
            </w:tcBorders>
            <w:noWrap w:val="0"/>
            <w:vAlign w:val="center"/>
          </w:tcPr>
          <w:p w14:paraId="43445E61">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备注</w:t>
            </w:r>
          </w:p>
        </w:tc>
      </w:tr>
      <w:tr w14:paraId="3CA4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restart"/>
            <w:tcBorders>
              <w:top w:val="nil"/>
              <w:left w:val="single" w:color="000000" w:sz="8" w:space="0"/>
              <w:bottom w:val="single" w:color="000000" w:sz="8" w:space="0"/>
              <w:right w:val="single" w:color="000000" w:sz="8" w:space="0"/>
              <w:tl2br w:val="nil"/>
              <w:tr2bl w:val="nil"/>
            </w:tcBorders>
            <w:noWrap w:val="0"/>
            <w:vAlign w:val="center"/>
          </w:tcPr>
          <w:p w14:paraId="45B6C611">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一</w:t>
            </w:r>
          </w:p>
        </w:tc>
        <w:tc>
          <w:tcPr>
            <w:tcW w:w="785" w:type="dxa"/>
            <w:vMerge w:val="restart"/>
            <w:tcBorders>
              <w:top w:val="nil"/>
              <w:left w:val="nil"/>
              <w:bottom w:val="single" w:color="000000" w:sz="8" w:space="0"/>
              <w:right w:val="single" w:color="000000" w:sz="8" w:space="0"/>
              <w:tl2br w:val="nil"/>
              <w:tr2bl w:val="nil"/>
            </w:tcBorders>
            <w:noWrap w:val="0"/>
            <w:vAlign w:val="center"/>
          </w:tcPr>
          <w:p w14:paraId="1AF5BCED">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人员工资</w:t>
            </w:r>
          </w:p>
        </w:tc>
        <w:tc>
          <w:tcPr>
            <w:tcW w:w="1031" w:type="dxa"/>
            <w:tcBorders>
              <w:top w:val="nil"/>
              <w:left w:val="nil"/>
              <w:bottom w:val="single" w:color="000000" w:sz="8" w:space="0"/>
              <w:right w:val="single" w:color="000000" w:sz="8" w:space="0"/>
              <w:tl2br w:val="nil"/>
              <w:tr2bl w:val="nil"/>
            </w:tcBorders>
            <w:noWrap w:val="0"/>
            <w:vAlign w:val="center"/>
          </w:tcPr>
          <w:p w14:paraId="02D49D55">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保安队长</w:t>
            </w:r>
          </w:p>
        </w:tc>
        <w:tc>
          <w:tcPr>
            <w:tcW w:w="626" w:type="dxa"/>
            <w:tcBorders>
              <w:top w:val="nil"/>
              <w:left w:val="nil"/>
              <w:bottom w:val="single" w:color="000000" w:sz="8" w:space="0"/>
              <w:right w:val="single" w:color="000000" w:sz="8" w:space="0"/>
              <w:tl2br w:val="nil"/>
              <w:tr2bl w:val="nil"/>
            </w:tcBorders>
            <w:noWrap w:val="0"/>
            <w:vAlign w:val="center"/>
          </w:tcPr>
          <w:p w14:paraId="3C9E7918">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140" w:type="dxa"/>
            <w:tcBorders>
              <w:top w:val="nil"/>
              <w:left w:val="nil"/>
              <w:bottom w:val="single" w:color="000000" w:sz="8" w:space="0"/>
              <w:right w:val="single" w:color="000000" w:sz="8" w:space="0"/>
              <w:tl2br w:val="nil"/>
              <w:tr2bl w:val="nil"/>
            </w:tcBorders>
            <w:noWrap w:val="0"/>
            <w:vAlign w:val="center"/>
          </w:tcPr>
          <w:p w14:paraId="30834A30">
            <w:pPr>
              <w:widowControl/>
              <w:spacing w:beforeLines="0" w:afterLines="0"/>
              <w:jc w:val="center"/>
              <w:rPr>
                <w:rFonts w:hint="eastAsia" w:ascii="宋体" w:hAnsi="宋体" w:eastAsia="宋体" w:cs="宋体"/>
                <w:kern w:val="0"/>
                <w:sz w:val="18"/>
                <w:szCs w:val="18"/>
              </w:rPr>
            </w:pPr>
          </w:p>
        </w:tc>
        <w:tc>
          <w:tcPr>
            <w:tcW w:w="1768" w:type="dxa"/>
            <w:tcBorders>
              <w:top w:val="nil"/>
              <w:left w:val="nil"/>
              <w:bottom w:val="single" w:color="000000" w:sz="8" w:space="0"/>
              <w:right w:val="single" w:color="000000" w:sz="8" w:space="0"/>
              <w:tl2br w:val="nil"/>
              <w:tr2bl w:val="nil"/>
            </w:tcBorders>
            <w:noWrap w:val="0"/>
            <w:vAlign w:val="center"/>
          </w:tcPr>
          <w:p w14:paraId="2FBE786E">
            <w:pPr>
              <w:widowControl/>
              <w:spacing w:beforeLines="0" w:afterLines="0"/>
              <w:jc w:val="center"/>
              <w:rPr>
                <w:rFonts w:hint="eastAsia" w:ascii="宋体" w:hAnsi="宋体" w:eastAsia="宋体" w:cs="宋体"/>
                <w:kern w:val="0"/>
                <w:sz w:val="18"/>
                <w:szCs w:val="18"/>
              </w:rPr>
            </w:pPr>
          </w:p>
        </w:tc>
        <w:tc>
          <w:tcPr>
            <w:tcW w:w="885" w:type="dxa"/>
            <w:tcBorders>
              <w:top w:val="nil"/>
              <w:left w:val="nil"/>
              <w:bottom w:val="single" w:color="000000" w:sz="8" w:space="0"/>
              <w:right w:val="single" w:color="000000" w:sz="8" w:space="0"/>
              <w:tl2br w:val="nil"/>
              <w:tr2bl w:val="nil"/>
            </w:tcBorders>
            <w:noWrap w:val="0"/>
            <w:vAlign w:val="center"/>
          </w:tcPr>
          <w:p w14:paraId="79652480">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227" w:type="dxa"/>
            <w:tcBorders>
              <w:top w:val="nil"/>
              <w:left w:val="nil"/>
              <w:bottom w:val="single" w:color="000000" w:sz="8" w:space="0"/>
              <w:right w:val="single" w:color="000000" w:sz="8" w:space="0"/>
              <w:tl2br w:val="nil"/>
              <w:tr2bl w:val="nil"/>
            </w:tcBorders>
            <w:noWrap w:val="0"/>
            <w:vAlign w:val="center"/>
          </w:tcPr>
          <w:p w14:paraId="6B73DFEA">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117BED54">
            <w:pPr>
              <w:widowControl/>
              <w:spacing w:beforeLines="0" w:afterLines="0"/>
              <w:jc w:val="center"/>
              <w:rPr>
                <w:rFonts w:hint="eastAsia" w:ascii="宋体" w:hAnsi="宋体" w:eastAsia="宋体" w:cs="宋体"/>
                <w:kern w:val="0"/>
                <w:sz w:val="18"/>
                <w:szCs w:val="18"/>
              </w:rPr>
            </w:pPr>
          </w:p>
        </w:tc>
      </w:tr>
      <w:tr w14:paraId="1280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left w:val="single" w:color="000000" w:sz="8" w:space="0"/>
              <w:right w:val="single" w:color="000000" w:sz="8" w:space="0"/>
              <w:tl2br w:val="nil"/>
              <w:tr2bl w:val="nil"/>
            </w:tcBorders>
            <w:noWrap w:val="0"/>
            <w:vAlign w:val="center"/>
          </w:tcPr>
          <w:p w14:paraId="3D49E8F5">
            <w:pPr>
              <w:widowControl/>
              <w:spacing w:beforeLines="0" w:afterLines="0"/>
              <w:jc w:val="center"/>
              <w:rPr>
                <w:rFonts w:hint="eastAsia" w:ascii="宋体" w:hAnsi="宋体" w:eastAsia="宋体" w:cs="宋体"/>
                <w:kern w:val="0"/>
                <w:sz w:val="18"/>
                <w:szCs w:val="18"/>
              </w:rPr>
            </w:pPr>
          </w:p>
        </w:tc>
        <w:tc>
          <w:tcPr>
            <w:tcW w:w="785" w:type="dxa"/>
            <w:vMerge w:val="continue"/>
            <w:tcBorders>
              <w:left w:val="nil"/>
              <w:right w:val="single" w:color="000000" w:sz="8" w:space="0"/>
              <w:tl2br w:val="nil"/>
              <w:tr2bl w:val="nil"/>
            </w:tcBorders>
            <w:noWrap w:val="0"/>
            <w:vAlign w:val="center"/>
          </w:tcPr>
          <w:p w14:paraId="61BDC9EE">
            <w:pPr>
              <w:widowControl/>
              <w:spacing w:beforeLines="0" w:afterLines="0"/>
              <w:jc w:val="center"/>
              <w:rPr>
                <w:rFonts w:hint="eastAsia" w:ascii="宋体" w:hAnsi="宋体" w:eastAsia="宋体" w:cs="宋体"/>
                <w:kern w:val="0"/>
                <w:sz w:val="18"/>
                <w:szCs w:val="18"/>
              </w:rPr>
            </w:pPr>
          </w:p>
        </w:tc>
        <w:tc>
          <w:tcPr>
            <w:tcW w:w="1031" w:type="dxa"/>
            <w:tcBorders>
              <w:top w:val="nil"/>
              <w:left w:val="nil"/>
              <w:bottom w:val="single" w:color="000000" w:sz="8" w:space="0"/>
              <w:right w:val="single" w:color="000000" w:sz="8" w:space="0"/>
              <w:tl2br w:val="nil"/>
              <w:tr2bl w:val="nil"/>
            </w:tcBorders>
            <w:noWrap w:val="0"/>
            <w:vAlign w:val="center"/>
          </w:tcPr>
          <w:p w14:paraId="64B010EB">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保安副队长</w:t>
            </w:r>
          </w:p>
        </w:tc>
        <w:tc>
          <w:tcPr>
            <w:tcW w:w="626" w:type="dxa"/>
            <w:tcBorders>
              <w:top w:val="nil"/>
              <w:left w:val="nil"/>
              <w:bottom w:val="single" w:color="000000" w:sz="8" w:space="0"/>
              <w:right w:val="single" w:color="000000" w:sz="8" w:space="0"/>
              <w:tl2br w:val="nil"/>
              <w:tr2bl w:val="nil"/>
            </w:tcBorders>
            <w:noWrap w:val="0"/>
            <w:vAlign w:val="center"/>
          </w:tcPr>
          <w:p w14:paraId="7CB2C838">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140" w:type="dxa"/>
            <w:tcBorders>
              <w:top w:val="nil"/>
              <w:left w:val="nil"/>
              <w:bottom w:val="single" w:color="000000" w:sz="8" w:space="0"/>
              <w:right w:val="single" w:color="000000" w:sz="8" w:space="0"/>
              <w:tl2br w:val="nil"/>
              <w:tr2bl w:val="nil"/>
            </w:tcBorders>
            <w:noWrap w:val="0"/>
            <w:vAlign w:val="center"/>
          </w:tcPr>
          <w:p w14:paraId="7A21CAF2">
            <w:pPr>
              <w:widowControl/>
              <w:spacing w:beforeLines="0" w:afterLines="0"/>
              <w:jc w:val="center"/>
              <w:rPr>
                <w:rFonts w:hint="eastAsia" w:ascii="宋体" w:hAnsi="宋体" w:eastAsia="宋体" w:cs="宋体"/>
                <w:kern w:val="0"/>
                <w:sz w:val="18"/>
                <w:szCs w:val="18"/>
              </w:rPr>
            </w:pPr>
          </w:p>
        </w:tc>
        <w:tc>
          <w:tcPr>
            <w:tcW w:w="1768" w:type="dxa"/>
            <w:tcBorders>
              <w:top w:val="nil"/>
              <w:left w:val="nil"/>
              <w:bottom w:val="single" w:color="000000" w:sz="8" w:space="0"/>
              <w:right w:val="single" w:color="000000" w:sz="8" w:space="0"/>
              <w:tl2br w:val="nil"/>
              <w:tr2bl w:val="nil"/>
            </w:tcBorders>
            <w:noWrap w:val="0"/>
            <w:vAlign w:val="center"/>
          </w:tcPr>
          <w:p w14:paraId="2036816F">
            <w:pPr>
              <w:widowControl/>
              <w:spacing w:beforeLines="0" w:afterLines="0"/>
              <w:jc w:val="center"/>
              <w:rPr>
                <w:rFonts w:hint="eastAsia" w:ascii="宋体" w:hAnsi="宋体" w:eastAsia="宋体" w:cs="宋体"/>
                <w:kern w:val="0"/>
                <w:sz w:val="18"/>
                <w:szCs w:val="18"/>
              </w:rPr>
            </w:pPr>
          </w:p>
        </w:tc>
        <w:tc>
          <w:tcPr>
            <w:tcW w:w="885" w:type="dxa"/>
            <w:tcBorders>
              <w:top w:val="nil"/>
              <w:left w:val="nil"/>
              <w:bottom w:val="single" w:color="000000" w:sz="8" w:space="0"/>
              <w:right w:val="single" w:color="000000" w:sz="8" w:space="0"/>
              <w:tl2br w:val="nil"/>
              <w:tr2bl w:val="nil"/>
            </w:tcBorders>
            <w:noWrap w:val="0"/>
            <w:vAlign w:val="center"/>
          </w:tcPr>
          <w:p w14:paraId="7AA5E726">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227" w:type="dxa"/>
            <w:tcBorders>
              <w:top w:val="nil"/>
              <w:left w:val="nil"/>
              <w:bottom w:val="single" w:color="000000" w:sz="8" w:space="0"/>
              <w:right w:val="single" w:color="000000" w:sz="8" w:space="0"/>
              <w:tl2br w:val="nil"/>
              <w:tr2bl w:val="nil"/>
            </w:tcBorders>
            <w:noWrap w:val="0"/>
            <w:vAlign w:val="center"/>
          </w:tcPr>
          <w:p w14:paraId="740F22BF">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43D50371">
            <w:pPr>
              <w:widowControl/>
              <w:spacing w:beforeLines="0" w:afterLines="0"/>
              <w:jc w:val="center"/>
              <w:rPr>
                <w:rFonts w:hint="eastAsia" w:ascii="宋体" w:hAnsi="宋体" w:eastAsia="宋体" w:cs="宋体"/>
                <w:kern w:val="0"/>
                <w:sz w:val="18"/>
                <w:szCs w:val="18"/>
              </w:rPr>
            </w:pPr>
          </w:p>
        </w:tc>
      </w:tr>
      <w:tr w14:paraId="21B7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24" w:type="dxa"/>
            <w:vMerge w:val="continue"/>
            <w:tcBorders>
              <w:top w:val="nil"/>
              <w:left w:val="single" w:color="000000" w:sz="8" w:space="0"/>
              <w:bottom w:val="single" w:color="000000" w:sz="8" w:space="0"/>
              <w:right w:val="single" w:color="000000" w:sz="8" w:space="0"/>
              <w:tl2br w:val="nil"/>
              <w:tr2bl w:val="nil"/>
            </w:tcBorders>
            <w:noWrap w:val="0"/>
            <w:vAlign w:val="center"/>
          </w:tcPr>
          <w:p w14:paraId="2F6B83E0">
            <w:pPr>
              <w:widowControl/>
              <w:spacing w:beforeLines="0" w:afterLines="0"/>
              <w:jc w:val="left"/>
              <w:rPr>
                <w:rFonts w:hint="eastAsia" w:ascii="宋体" w:hAnsi="宋体" w:eastAsia="宋体" w:cs="宋体"/>
                <w:kern w:val="0"/>
                <w:sz w:val="18"/>
                <w:szCs w:val="18"/>
              </w:rPr>
            </w:pPr>
          </w:p>
        </w:tc>
        <w:tc>
          <w:tcPr>
            <w:tcW w:w="785" w:type="dxa"/>
            <w:vMerge w:val="continue"/>
            <w:tcBorders>
              <w:top w:val="nil"/>
              <w:left w:val="nil"/>
              <w:bottom w:val="single" w:color="000000" w:sz="8" w:space="0"/>
              <w:right w:val="single" w:color="000000" w:sz="8" w:space="0"/>
              <w:tl2br w:val="nil"/>
              <w:tr2bl w:val="nil"/>
            </w:tcBorders>
            <w:noWrap w:val="0"/>
            <w:vAlign w:val="center"/>
          </w:tcPr>
          <w:p w14:paraId="6C9C85A9">
            <w:pPr>
              <w:widowControl/>
              <w:spacing w:beforeLines="0" w:afterLines="0"/>
              <w:jc w:val="left"/>
              <w:rPr>
                <w:rFonts w:hint="eastAsia" w:ascii="宋体" w:hAnsi="宋体" w:eastAsia="宋体" w:cs="宋体"/>
                <w:kern w:val="0"/>
                <w:sz w:val="18"/>
                <w:szCs w:val="18"/>
              </w:rPr>
            </w:pPr>
          </w:p>
        </w:tc>
        <w:tc>
          <w:tcPr>
            <w:tcW w:w="1031" w:type="dxa"/>
            <w:tcBorders>
              <w:top w:val="nil"/>
              <w:left w:val="nil"/>
              <w:bottom w:val="single" w:color="000000" w:sz="8" w:space="0"/>
              <w:right w:val="single" w:color="000000" w:sz="8" w:space="0"/>
              <w:tl2br w:val="nil"/>
              <w:tr2bl w:val="nil"/>
            </w:tcBorders>
            <w:noWrap w:val="0"/>
            <w:vAlign w:val="center"/>
          </w:tcPr>
          <w:p w14:paraId="4F311B55">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安保员</w:t>
            </w:r>
          </w:p>
        </w:tc>
        <w:tc>
          <w:tcPr>
            <w:tcW w:w="626" w:type="dxa"/>
            <w:tcBorders>
              <w:top w:val="nil"/>
              <w:left w:val="nil"/>
              <w:bottom w:val="single" w:color="000000" w:sz="8" w:space="0"/>
              <w:right w:val="single" w:color="000000" w:sz="8" w:space="0"/>
              <w:tl2br w:val="nil"/>
              <w:tr2bl w:val="nil"/>
            </w:tcBorders>
            <w:noWrap w:val="0"/>
            <w:vAlign w:val="center"/>
          </w:tcPr>
          <w:p w14:paraId="03165F6D">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140" w:type="dxa"/>
            <w:tcBorders>
              <w:top w:val="nil"/>
              <w:left w:val="nil"/>
              <w:bottom w:val="single" w:color="000000" w:sz="8" w:space="0"/>
              <w:right w:val="single" w:color="000000" w:sz="8" w:space="0"/>
              <w:tl2br w:val="nil"/>
              <w:tr2bl w:val="nil"/>
            </w:tcBorders>
            <w:noWrap w:val="0"/>
            <w:vAlign w:val="center"/>
          </w:tcPr>
          <w:p w14:paraId="3C8C95BE">
            <w:pPr>
              <w:widowControl/>
              <w:spacing w:beforeLines="0" w:afterLines="0"/>
              <w:jc w:val="center"/>
              <w:rPr>
                <w:rFonts w:hint="eastAsia" w:ascii="宋体" w:hAnsi="宋体" w:eastAsia="宋体" w:cs="宋体"/>
                <w:kern w:val="0"/>
                <w:sz w:val="18"/>
                <w:szCs w:val="18"/>
              </w:rPr>
            </w:pPr>
          </w:p>
        </w:tc>
        <w:tc>
          <w:tcPr>
            <w:tcW w:w="1768" w:type="dxa"/>
            <w:tcBorders>
              <w:top w:val="nil"/>
              <w:left w:val="nil"/>
              <w:bottom w:val="single" w:color="000000" w:sz="8" w:space="0"/>
              <w:right w:val="single" w:color="000000" w:sz="8" w:space="0"/>
              <w:tl2br w:val="nil"/>
              <w:tr2bl w:val="nil"/>
            </w:tcBorders>
            <w:noWrap w:val="0"/>
            <w:vAlign w:val="center"/>
          </w:tcPr>
          <w:p w14:paraId="23A26957">
            <w:pPr>
              <w:widowControl/>
              <w:spacing w:beforeLines="0" w:afterLines="0"/>
              <w:jc w:val="center"/>
              <w:rPr>
                <w:rFonts w:hint="eastAsia" w:ascii="宋体" w:hAnsi="宋体" w:eastAsia="宋体" w:cs="宋体"/>
                <w:kern w:val="0"/>
                <w:sz w:val="18"/>
                <w:szCs w:val="18"/>
              </w:rPr>
            </w:pPr>
          </w:p>
        </w:tc>
        <w:tc>
          <w:tcPr>
            <w:tcW w:w="885" w:type="dxa"/>
            <w:tcBorders>
              <w:top w:val="nil"/>
              <w:left w:val="nil"/>
              <w:bottom w:val="single" w:color="000000" w:sz="8" w:space="0"/>
              <w:right w:val="single" w:color="000000" w:sz="8" w:space="0"/>
              <w:tl2br w:val="nil"/>
              <w:tr2bl w:val="nil"/>
            </w:tcBorders>
            <w:noWrap w:val="0"/>
            <w:vAlign w:val="center"/>
          </w:tcPr>
          <w:p w14:paraId="0F034343">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227" w:type="dxa"/>
            <w:tcBorders>
              <w:top w:val="nil"/>
              <w:left w:val="nil"/>
              <w:bottom w:val="single" w:color="000000" w:sz="8" w:space="0"/>
              <w:right w:val="single" w:color="000000" w:sz="8" w:space="0"/>
              <w:tl2br w:val="nil"/>
              <w:tr2bl w:val="nil"/>
            </w:tcBorders>
            <w:noWrap w:val="0"/>
            <w:vAlign w:val="center"/>
          </w:tcPr>
          <w:p w14:paraId="36826B81">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424BE88E">
            <w:pPr>
              <w:widowControl/>
              <w:spacing w:beforeLines="0" w:afterLines="0"/>
              <w:jc w:val="center"/>
              <w:rPr>
                <w:rFonts w:hint="eastAsia" w:ascii="宋体" w:hAnsi="宋体" w:eastAsia="宋体" w:cs="宋体"/>
                <w:kern w:val="0"/>
                <w:sz w:val="18"/>
                <w:szCs w:val="18"/>
              </w:rPr>
            </w:pPr>
          </w:p>
        </w:tc>
      </w:tr>
      <w:tr w14:paraId="42E0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000000" w:sz="8" w:space="0"/>
              <w:tl2br w:val="nil"/>
              <w:tr2bl w:val="nil"/>
            </w:tcBorders>
            <w:noWrap w:val="0"/>
            <w:vAlign w:val="center"/>
          </w:tcPr>
          <w:p w14:paraId="09922C44">
            <w:pPr>
              <w:widowControl/>
              <w:spacing w:beforeLines="0" w:afterLines="0"/>
              <w:jc w:val="left"/>
              <w:rPr>
                <w:rFonts w:hint="eastAsia" w:ascii="宋体" w:hAnsi="宋体" w:eastAsia="宋体" w:cs="宋体"/>
                <w:kern w:val="0"/>
                <w:sz w:val="18"/>
                <w:szCs w:val="18"/>
              </w:rPr>
            </w:pPr>
          </w:p>
        </w:tc>
        <w:tc>
          <w:tcPr>
            <w:tcW w:w="6235" w:type="dxa"/>
            <w:gridSpan w:val="6"/>
            <w:tcBorders>
              <w:top w:val="nil"/>
              <w:left w:val="nil"/>
              <w:bottom w:val="single" w:color="000000" w:sz="8" w:space="0"/>
              <w:right w:val="single" w:color="000000" w:sz="8" w:space="0"/>
              <w:tl2br w:val="nil"/>
              <w:tr2bl w:val="nil"/>
            </w:tcBorders>
            <w:noWrap w:val="0"/>
            <w:vAlign w:val="center"/>
          </w:tcPr>
          <w:p w14:paraId="1539C191">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人员工资合计</w:t>
            </w:r>
          </w:p>
        </w:tc>
        <w:tc>
          <w:tcPr>
            <w:tcW w:w="1227" w:type="dxa"/>
            <w:tcBorders>
              <w:top w:val="nil"/>
              <w:left w:val="nil"/>
              <w:bottom w:val="single" w:color="000000" w:sz="8" w:space="0"/>
              <w:right w:val="single" w:color="000000" w:sz="8" w:space="0"/>
              <w:tl2br w:val="nil"/>
              <w:tr2bl w:val="nil"/>
            </w:tcBorders>
            <w:noWrap w:val="0"/>
            <w:vAlign w:val="center"/>
          </w:tcPr>
          <w:p w14:paraId="7D11822E">
            <w:pPr>
              <w:widowControl/>
              <w:spacing w:beforeLines="0" w:afterLines="0"/>
              <w:jc w:val="center"/>
              <w:rPr>
                <w:rFonts w:hint="eastAsia" w:ascii="宋体" w:hAnsi="宋体" w:eastAsia="宋体" w:cs="宋体"/>
                <w:b/>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3D046ADB">
            <w:pPr>
              <w:widowControl/>
              <w:spacing w:beforeLines="0" w:afterLines="0"/>
              <w:jc w:val="center"/>
              <w:rPr>
                <w:rFonts w:hint="eastAsia" w:ascii="宋体" w:hAnsi="宋体" w:eastAsia="宋体" w:cs="宋体"/>
                <w:b/>
                <w:kern w:val="0"/>
                <w:sz w:val="18"/>
                <w:szCs w:val="18"/>
              </w:rPr>
            </w:pPr>
          </w:p>
        </w:tc>
      </w:tr>
      <w:tr w14:paraId="40A6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24" w:type="dxa"/>
            <w:vMerge w:val="restart"/>
            <w:tcBorders>
              <w:top w:val="nil"/>
              <w:left w:val="single" w:color="000000" w:sz="8" w:space="0"/>
              <w:bottom w:val="single" w:color="000000" w:sz="8" w:space="0"/>
              <w:right w:val="single" w:color="auto" w:sz="4" w:space="0"/>
              <w:tl2br w:val="nil"/>
              <w:tr2bl w:val="nil"/>
            </w:tcBorders>
            <w:noWrap w:val="0"/>
            <w:vAlign w:val="center"/>
          </w:tcPr>
          <w:p w14:paraId="1E38946B">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二</w:t>
            </w:r>
          </w:p>
        </w:tc>
        <w:tc>
          <w:tcPr>
            <w:tcW w:w="785" w:type="dxa"/>
            <w:vMerge w:val="restart"/>
            <w:tcBorders>
              <w:top w:val="nil"/>
              <w:left w:val="single" w:color="auto" w:sz="4" w:space="0"/>
              <w:bottom w:val="single" w:color="000000" w:sz="8" w:space="0"/>
              <w:right w:val="single" w:color="000000" w:sz="8" w:space="0"/>
              <w:tl2br w:val="nil"/>
              <w:tr2bl w:val="nil"/>
            </w:tcBorders>
            <w:noWrap w:val="0"/>
            <w:vAlign w:val="center"/>
          </w:tcPr>
          <w:p w14:paraId="4D030B5B">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社保福利</w:t>
            </w:r>
          </w:p>
        </w:tc>
        <w:tc>
          <w:tcPr>
            <w:tcW w:w="1031" w:type="dxa"/>
            <w:tcBorders>
              <w:top w:val="nil"/>
              <w:left w:val="nil"/>
              <w:bottom w:val="single" w:color="000000" w:sz="8" w:space="0"/>
              <w:right w:val="single" w:color="000000" w:sz="8" w:space="0"/>
              <w:tl2br w:val="nil"/>
              <w:tr2bl w:val="nil"/>
            </w:tcBorders>
            <w:noWrap w:val="0"/>
            <w:vAlign w:val="center"/>
          </w:tcPr>
          <w:p w14:paraId="101ADAA6">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社会保险</w:t>
            </w:r>
          </w:p>
        </w:tc>
        <w:tc>
          <w:tcPr>
            <w:tcW w:w="626" w:type="dxa"/>
            <w:tcBorders>
              <w:top w:val="nil"/>
              <w:left w:val="nil"/>
              <w:bottom w:val="single" w:color="000000" w:sz="8" w:space="0"/>
              <w:right w:val="single" w:color="000000" w:sz="8" w:space="0"/>
              <w:tl2br w:val="nil"/>
              <w:tr2bl w:val="nil"/>
            </w:tcBorders>
            <w:noWrap w:val="0"/>
            <w:vAlign w:val="center"/>
          </w:tcPr>
          <w:p w14:paraId="24F72D64">
            <w:pPr>
              <w:widowControl/>
              <w:spacing w:beforeLines="0" w:afterLines="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2908" w:type="dxa"/>
            <w:gridSpan w:val="2"/>
            <w:tcBorders>
              <w:top w:val="single" w:color="000000" w:sz="8" w:space="0"/>
              <w:left w:val="nil"/>
              <w:bottom w:val="single" w:color="000000" w:sz="8" w:space="0"/>
              <w:right w:val="single" w:color="000000" w:sz="8" w:space="0"/>
              <w:tl2br w:val="nil"/>
              <w:tr2bl w:val="nil"/>
            </w:tcBorders>
            <w:noWrap w:val="0"/>
            <w:vAlign w:val="center"/>
          </w:tcPr>
          <w:p w14:paraId="152D63BF">
            <w:pPr>
              <w:widowControl/>
              <w:spacing w:beforeLines="0" w:afterLines="0"/>
              <w:jc w:val="center"/>
              <w:rPr>
                <w:rFonts w:hint="eastAsia" w:ascii="宋体" w:hAnsi="宋体" w:eastAsia="宋体" w:cs="宋体"/>
                <w:kern w:val="0"/>
                <w:sz w:val="18"/>
                <w:szCs w:val="18"/>
              </w:rPr>
            </w:pPr>
          </w:p>
        </w:tc>
        <w:tc>
          <w:tcPr>
            <w:tcW w:w="885" w:type="dxa"/>
            <w:tcBorders>
              <w:top w:val="nil"/>
              <w:left w:val="nil"/>
              <w:bottom w:val="single" w:color="000000" w:sz="8" w:space="0"/>
              <w:right w:val="single" w:color="000000" w:sz="8" w:space="0"/>
              <w:tl2br w:val="nil"/>
              <w:tr2bl w:val="nil"/>
            </w:tcBorders>
            <w:noWrap w:val="0"/>
            <w:vAlign w:val="center"/>
          </w:tcPr>
          <w:p w14:paraId="2562F618">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227" w:type="dxa"/>
            <w:tcBorders>
              <w:top w:val="nil"/>
              <w:left w:val="nil"/>
              <w:bottom w:val="single" w:color="000000" w:sz="8" w:space="0"/>
              <w:right w:val="single" w:color="000000" w:sz="8" w:space="0"/>
              <w:tl2br w:val="nil"/>
              <w:tr2bl w:val="nil"/>
            </w:tcBorders>
            <w:noWrap w:val="0"/>
            <w:vAlign w:val="center"/>
          </w:tcPr>
          <w:p w14:paraId="736503F3">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16636395">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仅公司承担部分，个人承担部分包含在人员工资中</w:t>
            </w:r>
          </w:p>
        </w:tc>
      </w:tr>
      <w:tr w14:paraId="0E59D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auto" w:sz="4" w:space="0"/>
              <w:tl2br w:val="nil"/>
              <w:tr2bl w:val="nil"/>
            </w:tcBorders>
            <w:noWrap w:val="0"/>
            <w:vAlign w:val="center"/>
          </w:tcPr>
          <w:p w14:paraId="25258286">
            <w:pPr>
              <w:widowControl/>
              <w:spacing w:beforeLines="0" w:afterLines="0"/>
              <w:jc w:val="left"/>
              <w:rPr>
                <w:rFonts w:hint="eastAsia" w:ascii="宋体" w:hAnsi="宋体" w:eastAsia="宋体" w:cs="宋体"/>
                <w:kern w:val="0"/>
                <w:sz w:val="18"/>
                <w:szCs w:val="18"/>
              </w:rPr>
            </w:pPr>
          </w:p>
        </w:tc>
        <w:tc>
          <w:tcPr>
            <w:tcW w:w="785" w:type="dxa"/>
            <w:vMerge w:val="continue"/>
            <w:tcBorders>
              <w:top w:val="nil"/>
              <w:left w:val="single" w:color="auto" w:sz="4" w:space="0"/>
              <w:bottom w:val="single" w:color="auto" w:sz="4" w:space="0"/>
              <w:right w:val="single" w:color="000000" w:sz="8" w:space="0"/>
              <w:tl2br w:val="nil"/>
              <w:tr2bl w:val="nil"/>
            </w:tcBorders>
            <w:noWrap w:val="0"/>
            <w:vAlign w:val="center"/>
          </w:tcPr>
          <w:p w14:paraId="6D5B9937">
            <w:pPr>
              <w:widowControl/>
              <w:spacing w:beforeLines="0" w:afterLines="0"/>
              <w:jc w:val="left"/>
              <w:rPr>
                <w:rFonts w:hint="eastAsia" w:ascii="宋体" w:hAnsi="宋体" w:eastAsia="宋体" w:cs="宋体"/>
                <w:kern w:val="0"/>
                <w:sz w:val="18"/>
                <w:szCs w:val="18"/>
              </w:rPr>
            </w:pPr>
          </w:p>
        </w:tc>
        <w:tc>
          <w:tcPr>
            <w:tcW w:w="1031" w:type="dxa"/>
            <w:tcBorders>
              <w:top w:val="nil"/>
              <w:left w:val="nil"/>
              <w:bottom w:val="single" w:color="auto" w:sz="4" w:space="0"/>
              <w:right w:val="single" w:color="000000" w:sz="8" w:space="0"/>
              <w:tl2br w:val="nil"/>
              <w:tr2bl w:val="nil"/>
            </w:tcBorders>
            <w:noWrap w:val="0"/>
            <w:vAlign w:val="center"/>
          </w:tcPr>
          <w:p w14:paraId="0D75F884">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商业保险</w:t>
            </w:r>
          </w:p>
        </w:tc>
        <w:tc>
          <w:tcPr>
            <w:tcW w:w="626" w:type="dxa"/>
            <w:tcBorders>
              <w:top w:val="nil"/>
              <w:left w:val="nil"/>
              <w:bottom w:val="single" w:color="auto" w:sz="4" w:space="0"/>
              <w:right w:val="single" w:color="000000" w:sz="8" w:space="0"/>
              <w:tl2br w:val="nil"/>
              <w:tr2bl w:val="nil"/>
            </w:tcBorders>
            <w:noWrap w:val="0"/>
            <w:vAlign w:val="center"/>
          </w:tcPr>
          <w:p w14:paraId="1ADD0F27">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2908" w:type="dxa"/>
            <w:gridSpan w:val="2"/>
            <w:tcBorders>
              <w:top w:val="nil"/>
              <w:left w:val="nil"/>
              <w:bottom w:val="single" w:color="auto" w:sz="4" w:space="0"/>
              <w:right w:val="single" w:color="000000" w:sz="8" w:space="0"/>
              <w:tl2br w:val="nil"/>
              <w:tr2bl w:val="nil"/>
            </w:tcBorders>
            <w:noWrap w:val="0"/>
            <w:vAlign w:val="center"/>
          </w:tcPr>
          <w:p w14:paraId="0176F523">
            <w:pPr>
              <w:widowControl/>
              <w:spacing w:beforeLines="0" w:afterLines="0"/>
              <w:jc w:val="center"/>
              <w:rPr>
                <w:rFonts w:hint="eastAsia" w:ascii="宋体" w:hAnsi="宋体" w:eastAsia="宋体" w:cs="宋体"/>
                <w:kern w:val="0"/>
                <w:sz w:val="18"/>
                <w:szCs w:val="18"/>
              </w:rPr>
            </w:pPr>
          </w:p>
        </w:tc>
        <w:tc>
          <w:tcPr>
            <w:tcW w:w="885" w:type="dxa"/>
            <w:tcBorders>
              <w:top w:val="nil"/>
              <w:left w:val="nil"/>
              <w:bottom w:val="single" w:color="000000" w:sz="8" w:space="0"/>
              <w:right w:val="single" w:color="000000" w:sz="8" w:space="0"/>
              <w:tl2br w:val="nil"/>
              <w:tr2bl w:val="nil"/>
            </w:tcBorders>
            <w:noWrap w:val="0"/>
            <w:vAlign w:val="center"/>
          </w:tcPr>
          <w:p w14:paraId="6433C498">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1年</w:t>
            </w:r>
          </w:p>
        </w:tc>
        <w:tc>
          <w:tcPr>
            <w:tcW w:w="1227" w:type="dxa"/>
            <w:tcBorders>
              <w:top w:val="nil"/>
              <w:left w:val="nil"/>
              <w:bottom w:val="single" w:color="000000" w:sz="8" w:space="0"/>
              <w:right w:val="single" w:color="000000" w:sz="8" w:space="0"/>
              <w:tl2br w:val="nil"/>
              <w:tr2bl w:val="nil"/>
            </w:tcBorders>
            <w:noWrap w:val="0"/>
            <w:vAlign w:val="center"/>
          </w:tcPr>
          <w:p w14:paraId="4EC745CF">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19AD0D70">
            <w:pPr>
              <w:widowControl/>
              <w:spacing w:beforeLines="0" w:afterLines="0"/>
              <w:jc w:val="center"/>
              <w:rPr>
                <w:rFonts w:hint="eastAsia" w:ascii="宋体" w:hAnsi="宋体" w:eastAsia="宋体" w:cs="宋体"/>
                <w:kern w:val="0"/>
                <w:sz w:val="18"/>
                <w:szCs w:val="18"/>
              </w:rPr>
            </w:pPr>
          </w:p>
        </w:tc>
      </w:tr>
      <w:tr w14:paraId="7D18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auto" w:sz="4" w:space="0"/>
              <w:tl2br w:val="nil"/>
              <w:tr2bl w:val="nil"/>
            </w:tcBorders>
            <w:noWrap w:val="0"/>
            <w:vAlign w:val="center"/>
          </w:tcPr>
          <w:p w14:paraId="0778DCE0">
            <w:pPr>
              <w:widowControl/>
              <w:spacing w:beforeLines="0" w:afterLines="0"/>
              <w:jc w:val="left"/>
              <w:rPr>
                <w:rFonts w:hint="eastAsia" w:ascii="宋体" w:hAnsi="宋体" w:eastAsia="宋体" w:cs="宋体"/>
                <w:kern w:val="0"/>
                <w:sz w:val="18"/>
                <w:szCs w:val="18"/>
              </w:rPr>
            </w:pPr>
          </w:p>
        </w:tc>
        <w:tc>
          <w:tcPr>
            <w:tcW w:w="785" w:type="dxa"/>
            <w:vMerge w:val="continue"/>
            <w:tcBorders>
              <w:top w:val="single" w:color="auto" w:sz="4" w:space="0"/>
              <w:left w:val="single" w:color="auto" w:sz="4" w:space="0"/>
              <w:bottom w:val="single" w:color="000000" w:sz="8" w:space="0"/>
              <w:right w:val="single" w:color="000000" w:sz="8" w:space="0"/>
              <w:tl2br w:val="nil"/>
              <w:tr2bl w:val="nil"/>
            </w:tcBorders>
            <w:noWrap w:val="0"/>
            <w:vAlign w:val="center"/>
          </w:tcPr>
          <w:p w14:paraId="59F01FBF">
            <w:pPr>
              <w:widowControl/>
              <w:spacing w:beforeLines="0" w:afterLines="0"/>
              <w:jc w:val="left"/>
              <w:rPr>
                <w:rFonts w:hint="eastAsia" w:ascii="宋体" w:hAnsi="宋体" w:eastAsia="宋体" w:cs="宋体"/>
                <w:kern w:val="0"/>
                <w:sz w:val="18"/>
                <w:szCs w:val="18"/>
              </w:rPr>
            </w:pPr>
          </w:p>
        </w:tc>
        <w:tc>
          <w:tcPr>
            <w:tcW w:w="1031" w:type="dxa"/>
            <w:tcBorders>
              <w:top w:val="single" w:color="auto" w:sz="4" w:space="0"/>
              <w:left w:val="nil"/>
              <w:bottom w:val="single" w:color="000000" w:sz="8" w:space="0"/>
              <w:right w:val="single" w:color="000000" w:sz="8" w:space="0"/>
              <w:tl2br w:val="nil"/>
              <w:tr2bl w:val="nil"/>
            </w:tcBorders>
            <w:noWrap w:val="0"/>
            <w:vAlign w:val="center"/>
          </w:tcPr>
          <w:p w14:paraId="1A590140">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高温费</w:t>
            </w:r>
          </w:p>
        </w:tc>
        <w:tc>
          <w:tcPr>
            <w:tcW w:w="626" w:type="dxa"/>
            <w:tcBorders>
              <w:top w:val="single" w:color="auto" w:sz="4" w:space="0"/>
              <w:left w:val="nil"/>
              <w:bottom w:val="single" w:color="000000" w:sz="8" w:space="0"/>
              <w:right w:val="single" w:color="000000" w:sz="8" w:space="0"/>
              <w:tl2br w:val="nil"/>
              <w:tr2bl w:val="nil"/>
            </w:tcBorders>
            <w:noWrap w:val="0"/>
            <w:vAlign w:val="center"/>
          </w:tcPr>
          <w:p w14:paraId="5EBD65D7">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2908" w:type="dxa"/>
            <w:gridSpan w:val="2"/>
            <w:tcBorders>
              <w:top w:val="single" w:color="auto" w:sz="4" w:space="0"/>
              <w:left w:val="nil"/>
              <w:bottom w:val="single" w:color="000000" w:sz="8" w:space="0"/>
              <w:right w:val="single" w:color="auto" w:sz="4" w:space="0"/>
              <w:tl2br w:val="nil"/>
              <w:tr2bl w:val="nil"/>
            </w:tcBorders>
            <w:noWrap w:val="0"/>
            <w:vAlign w:val="center"/>
          </w:tcPr>
          <w:p w14:paraId="75676BCA">
            <w:pPr>
              <w:widowControl/>
              <w:spacing w:beforeLines="0" w:afterLines="0"/>
              <w:jc w:val="center"/>
              <w:rPr>
                <w:rFonts w:hint="eastAsia" w:ascii="宋体" w:hAnsi="宋体" w:eastAsia="宋体" w:cs="宋体"/>
                <w:kern w:val="0"/>
                <w:sz w:val="18"/>
                <w:szCs w:val="18"/>
              </w:rPr>
            </w:pPr>
          </w:p>
        </w:tc>
        <w:tc>
          <w:tcPr>
            <w:tcW w:w="885" w:type="dxa"/>
            <w:tcBorders>
              <w:top w:val="nil"/>
              <w:left w:val="single" w:color="auto" w:sz="4" w:space="0"/>
              <w:bottom w:val="single" w:color="000000" w:sz="8" w:space="0"/>
              <w:right w:val="single" w:color="000000" w:sz="8" w:space="0"/>
              <w:tl2br w:val="nil"/>
              <w:tr2bl w:val="nil"/>
            </w:tcBorders>
            <w:noWrap w:val="0"/>
            <w:vAlign w:val="center"/>
          </w:tcPr>
          <w:p w14:paraId="4C4699A4">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1227" w:type="dxa"/>
            <w:tcBorders>
              <w:top w:val="nil"/>
              <w:left w:val="nil"/>
              <w:bottom w:val="single" w:color="000000" w:sz="8" w:space="0"/>
              <w:right w:val="single" w:color="000000" w:sz="8" w:space="0"/>
              <w:tl2br w:val="nil"/>
              <w:tr2bl w:val="nil"/>
            </w:tcBorders>
            <w:noWrap w:val="0"/>
            <w:vAlign w:val="center"/>
          </w:tcPr>
          <w:p w14:paraId="6A6791E3">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46476788">
            <w:pPr>
              <w:widowControl/>
              <w:spacing w:beforeLines="0" w:afterLines="0"/>
              <w:jc w:val="center"/>
              <w:rPr>
                <w:rFonts w:hint="eastAsia" w:ascii="宋体" w:hAnsi="宋体" w:eastAsia="宋体" w:cs="宋体"/>
                <w:kern w:val="0"/>
                <w:sz w:val="18"/>
                <w:szCs w:val="18"/>
              </w:rPr>
            </w:pPr>
          </w:p>
        </w:tc>
      </w:tr>
      <w:tr w14:paraId="0763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auto" w:sz="4" w:space="0"/>
              <w:tl2br w:val="nil"/>
              <w:tr2bl w:val="nil"/>
            </w:tcBorders>
            <w:noWrap w:val="0"/>
            <w:vAlign w:val="center"/>
          </w:tcPr>
          <w:p w14:paraId="5071D6F4">
            <w:pPr>
              <w:widowControl/>
              <w:spacing w:beforeLines="0" w:afterLines="0"/>
              <w:jc w:val="left"/>
              <w:rPr>
                <w:rFonts w:hint="eastAsia" w:ascii="宋体" w:hAnsi="宋体" w:eastAsia="宋体" w:cs="宋体"/>
                <w:kern w:val="0"/>
                <w:sz w:val="18"/>
                <w:szCs w:val="18"/>
              </w:rPr>
            </w:pPr>
          </w:p>
        </w:tc>
        <w:tc>
          <w:tcPr>
            <w:tcW w:w="785" w:type="dxa"/>
            <w:vMerge w:val="continue"/>
            <w:tcBorders>
              <w:top w:val="nil"/>
              <w:left w:val="single" w:color="auto" w:sz="4" w:space="0"/>
              <w:bottom w:val="single" w:color="000000" w:sz="8" w:space="0"/>
              <w:right w:val="single" w:color="000000" w:sz="8" w:space="0"/>
              <w:tl2br w:val="nil"/>
              <w:tr2bl w:val="nil"/>
            </w:tcBorders>
            <w:noWrap w:val="0"/>
            <w:vAlign w:val="center"/>
          </w:tcPr>
          <w:p w14:paraId="2FA26206">
            <w:pPr>
              <w:widowControl/>
              <w:spacing w:beforeLines="0" w:afterLines="0"/>
              <w:jc w:val="left"/>
              <w:rPr>
                <w:rFonts w:hint="eastAsia" w:ascii="宋体" w:hAnsi="宋体" w:eastAsia="宋体" w:cs="宋体"/>
                <w:kern w:val="0"/>
                <w:sz w:val="18"/>
                <w:szCs w:val="18"/>
              </w:rPr>
            </w:pPr>
          </w:p>
        </w:tc>
        <w:tc>
          <w:tcPr>
            <w:tcW w:w="1031" w:type="dxa"/>
            <w:tcBorders>
              <w:top w:val="nil"/>
              <w:left w:val="nil"/>
              <w:bottom w:val="single" w:color="000000" w:sz="8" w:space="0"/>
              <w:right w:val="single" w:color="000000" w:sz="8" w:space="0"/>
              <w:tl2br w:val="nil"/>
              <w:tr2bl w:val="nil"/>
            </w:tcBorders>
            <w:noWrap w:val="0"/>
            <w:vAlign w:val="center"/>
          </w:tcPr>
          <w:p w14:paraId="1F855203">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福利费</w:t>
            </w:r>
          </w:p>
        </w:tc>
        <w:tc>
          <w:tcPr>
            <w:tcW w:w="626" w:type="dxa"/>
            <w:tcBorders>
              <w:top w:val="nil"/>
              <w:left w:val="nil"/>
              <w:bottom w:val="single" w:color="000000" w:sz="8" w:space="0"/>
              <w:right w:val="single" w:color="000000" w:sz="8" w:space="0"/>
              <w:tl2br w:val="nil"/>
              <w:tr2bl w:val="nil"/>
            </w:tcBorders>
            <w:noWrap w:val="0"/>
            <w:vAlign w:val="center"/>
          </w:tcPr>
          <w:p w14:paraId="1F033B35">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2908" w:type="dxa"/>
            <w:gridSpan w:val="2"/>
            <w:tcBorders>
              <w:top w:val="nil"/>
              <w:left w:val="nil"/>
              <w:bottom w:val="single" w:color="000000" w:sz="8" w:space="0"/>
              <w:right w:val="single" w:color="auto" w:sz="4" w:space="0"/>
              <w:tl2br w:val="nil"/>
              <w:tr2bl w:val="nil"/>
            </w:tcBorders>
            <w:noWrap w:val="0"/>
            <w:vAlign w:val="center"/>
          </w:tcPr>
          <w:p w14:paraId="56A90AEF">
            <w:pPr>
              <w:widowControl/>
              <w:spacing w:beforeLines="0" w:afterLines="0"/>
              <w:jc w:val="center"/>
              <w:rPr>
                <w:rFonts w:hint="eastAsia" w:ascii="宋体" w:hAnsi="宋体" w:eastAsia="宋体" w:cs="宋体"/>
                <w:kern w:val="0"/>
                <w:sz w:val="18"/>
                <w:szCs w:val="18"/>
              </w:rPr>
            </w:pPr>
          </w:p>
        </w:tc>
        <w:tc>
          <w:tcPr>
            <w:tcW w:w="885" w:type="dxa"/>
            <w:tcBorders>
              <w:top w:val="nil"/>
              <w:left w:val="single" w:color="auto" w:sz="4" w:space="0"/>
              <w:bottom w:val="single" w:color="000000" w:sz="8" w:space="0"/>
              <w:right w:val="single" w:color="000000" w:sz="8" w:space="0"/>
              <w:tl2br w:val="nil"/>
              <w:tr2bl w:val="nil"/>
            </w:tcBorders>
            <w:noWrap w:val="0"/>
            <w:vAlign w:val="center"/>
          </w:tcPr>
          <w:p w14:paraId="76FF0B2F">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1227" w:type="dxa"/>
            <w:tcBorders>
              <w:top w:val="nil"/>
              <w:left w:val="nil"/>
              <w:bottom w:val="single" w:color="000000" w:sz="8" w:space="0"/>
              <w:right w:val="single" w:color="000000" w:sz="8" w:space="0"/>
              <w:tl2br w:val="nil"/>
              <w:tr2bl w:val="nil"/>
            </w:tcBorders>
            <w:noWrap w:val="0"/>
            <w:vAlign w:val="center"/>
          </w:tcPr>
          <w:p w14:paraId="54E818CB">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284FFA4C">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一年</w:t>
            </w:r>
          </w:p>
        </w:tc>
      </w:tr>
      <w:tr w14:paraId="23A5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auto" w:sz="4" w:space="0"/>
              <w:tl2br w:val="nil"/>
              <w:tr2bl w:val="nil"/>
            </w:tcBorders>
            <w:noWrap w:val="0"/>
            <w:vAlign w:val="center"/>
          </w:tcPr>
          <w:p w14:paraId="0DF78E6D">
            <w:pPr>
              <w:widowControl/>
              <w:spacing w:beforeLines="0" w:afterLines="0"/>
              <w:jc w:val="left"/>
              <w:rPr>
                <w:rFonts w:hint="eastAsia" w:ascii="宋体" w:hAnsi="宋体" w:eastAsia="宋体" w:cs="宋体"/>
                <w:kern w:val="0"/>
                <w:sz w:val="18"/>
                <w:szCs w:val="18"/>
              </w:rPr>
            </w:pPr>
          </w:p>
        </w:tc>
        <w:tc>
          <w:tcPr>
            <w:tcW w:w="6235" w:type="dxa"/>
            <w:gridSpan w:val="6"/>
            <w:tcBorders>
              <w:top w:val="nil"/>
              <w:left w:val="single" w:color="auto" w:sz="4" w:space="0"/>
              <w:bottom w:val="single" w:color="000000" w:sz="8" w:space="0"/>
              <w:right w:val="single" w:color="auto" w:sz="4" w:space="0"/>
              <w:tl2br w:val="nil"/>
              <w:tr2bl w:val="nil"/>
            </w:tcBorders>
            <w:noWrap w:val="0"/>
            <w:vAlign w:val="center"/>
          </w:tcPr>
          <w:p w14:paraId="785B505B">
            <w:pPr>
              <w:widowControl/>
              <w:spacing w:beforeLines="0" w:afterLines="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保险</w:t>
            </w:r>
            <w:r>
              <w:rPr>
                <w:rFonts w:hint="eastAsia" w:ascii="宋体" w:hAnsi="宋体" w:eastAsia="宋体" w:cs="宋体"/>
                <w:kern w:val="0"/>
                <w:sz w:val="18"/>
                <w:szCs w:val="18"/>
              </w:rPr>
              <w:t>福利合计</w:t>
            </w:r>
          </w:p>
        </w:tc>
        <w:tc>
          <w:tcPr>
            <w:tcW w:w="1227" w:type="dxa"/>
            <w:tcBorders>
              <w:top w:val="nil"/>
              <w:left w:val="single" w:color="auto" w:sz="4" w:space="0"/>
              <w:bottom w:val="single" w:color="000000" w:sz="8" w:space="0"/>
              <w:right w:val="single" w:color="000000" w:sz="8" w:space="0"/>
              <w:tl2br w:val="nil"/>
              <w:tr2bl w:val="nil"/>
            </w:tcBorders>
            <w:noWrap w:val="0"/>
            <w:vAlign w:val="center"/>
          </w:tcPr>
          <w:p w14:paraId="6CA295B5">
            <w:pPr>
              <w:widowControl/>
              <w:spacing w:beforeLines="0" w:afterLines="0"/>
              <w:jc w:val="center"/>
              <w:rPr>
                <w:rFonts w:hint="eastAsia" w:ascii="宋体" w:hAnsi="宋体" w:eastAsia="宋体" w:cs="宋体"/>
                <w:b/>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5333B4F0">
            <w:pPr>
              <w:widowControl/>
              <w:spacing w:beforeLines="0" w:afterLines="0"/>
              <w:jc w:val="center"/>
              <w:rPr>
                <w:rFonts w:hint="eastAsia" w:ascii="宋体" w:hAnsi="宋体" w:eastAsia="宋体" w:cs="宋体"/>
                <w:b/>
                <w:kern w:val="0"/>
                <w:sz w:val="18"/>
                <w:szCs w:val="18"/>
              </w:rPr>
            </w:pPr>
          </w:p>
        </w:tc>
      </w:tr>
      <w:tr w14:paraId="0D1B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24" w:type="dxa"/>
            <w:vMerge w:val="restart"/>
            <w:tcBorders>
              <w:top w:val="nil"/>
              <w:left w:val="single" w:color="000000" w:sz="8" w:space="0"/>
              <w:bottom w:val="single" w:color="000000" w:sz="8" w:space="0"/>
              <w:right w:val="single" w:color="auto" w:sz="4" w:space="0"/>
              <w:tl2br w:val="nil"/>
              <w:tr2bl w:val="nil"/>
            </w:tcBorders>
            <w:noWrap w:val="0"/>
            <w:vAlign w:val="center"/>
          </w:tcPr>
          <w:p w14:paraId="60577A7C">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三</w:t>
            </w:r>
          </w:p>
        </w:tc>
        <w:tc>
          <w:tcPr>
            <w:tcW w:w="785" w:type="dxa"/>
            <w:tcBorders>
              <w:top w:val="nil"/>
              <w:left w:val="single" w:color="auto" w:sz="4" w:space="0"/>
              <w:bottom w:val="single" w:color="auto" w:sz="4" w:space="0"/>
              <w:right w:val="single" w:color="000000" w:sz="8" w:space="0"/>
              <w:tl2br w:val="nil"/>
              <w:tr2bl w:val="nil"/>
            </w:tcBorders>
            <w:noWrap w:val="0"/>
            <w:vAlign w:val="center"/>
          </w:tcPr>
          <w:p w14:paraId="68D6456F">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设备工具</w:t>
            </w:r>
          </w:p>
        </w:tc>
        <w:tc>
          <w:tcPr>
            <w:tcW w:w="5450" w:type="dxa"/>
            <w:gridSpan w:val="5"/>
            <w:tcBorders>
              <w:top w:val="nil"/>
              <w:left w:val="nil"/>
              <w:bottom w:val="single" w:color="auto" w:sz="4" w:space="0"/>
              <w:right w:val="single" w:color="auto" w:sz="4" w:space="0"/>
              <w:tl2br w:val="nil"/>
              <w:tr2bl w:val="nil"/>
            </w:tcBorders>
            <w:noWrap w:val="0"/>
            <w:vAlign w:val="center"/>
          </w:tcPr>
          <w:p w14:paraId="4AC0DA1D">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服务所需的必要的</w:t>
            </w:r>
            <w:r>
              <w:rPr>
                <w:rFonts w:hint="eastAsia" w:ascii="宋体" w:hAnsi="宋体" w:eastAsia="宋体" w:cs="宋体"/>
                <w:kern w:val="0"/>
                <w:sz w:val="18"/>
                <w:szCs w:val="18"/>
              </w:rPr>
              <w:t>保安设备</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器材</w:t>
            </w:r>
          </w:p>
        </w:tc>
        <w:tc>
          <w:tcPr>
            <w:tcW w:w="1227" w:type="dxa"/>
            <w:tcBorders>
              <w:top w:val="nil"/>
              <w:left w:val="single" w:color="auto" w:sz="4" w:space="0"/>
              <w:bottom w:val="single" w:color="000000" w:sz="8" w:space="0"/>
              <w:right w:val="single" w:color="000000" w:sz="8" w:space="0"/>
              <w:tl2br w:val="nil"/>
              <w:tr2bl w:val="nil"/>
            </w:tcBorders>
            <w:noWrap w:val="0"/>
            <w:vAlign w:val="center"/>
          </w:tcPr>
          <w:p w14:paraId="78E47D87">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483310D6">
            <w:pPr>
              <w:widowControl/>
              <w:spacing w:beforeLines="0" w:afterLines="0"/>
              <w:jc w:val="center"/>
              <w:rPr>
                <w:rFonts w:hint="eastAsia" w:ascii="宋体" w:hAnsi="宋体" w:eastAsia="宋体" w:cs="宋体"/>
                <w:kern w:val="0"/>
                <w:sz w:val="18"/>
                <w:szCs w:val="18"/>
              </w:rPr>
            </w:pPr>
          </w:p>
        </w:tc>
      </w:tr>
      <w:tr w14:paraId="4A98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000000" w:sz="8" w:space="0"/>
              <w:tl2br w:val="nil"/>
              <w:tr2bl w:val="nil"/>
            </w:tcBorders>
            <w:noWrap w:val="0"/>
            <w:vAlign w:val="center"/>
          </w:tcPr>
          <w:p w14:paraId="1DD9FE01">
            <w:pPr>
              <w:widowControl/>
              <w:spacing w:beforeLines="0" w:afterLines="0"/>
              <w:jc w:val="left"/>
              <w:rPr>
                <w:rFonts w:hint="eastAsia" w:ascii="宋体" w:hAnsi="宋体" w:eastAsia="宋体" w:cs="宋体"/>
                <w:kern w:val="0"/>
                <w:sz w:val="18"/>
                <w:szCs w:val="18"/>
              </w:rPr>
            </w:pPr>
          </w:p>
        </w:tc>
        <w:tc>
          <w:tcPr>
            <w:tcW w:w="6235" w:type="dxa"/>
            <w:gridSpan w:val="6"/>
            <w:tcBorders>
              <w:top w:val="single" w:color="auto" w:sz="4" w:space="0"/>
              <w:left w:val="nil"/>
              <w:bottom w:val="single" w:color="000000" w:sz="8" w:space="0"/>
              <w:right w:val="single" w:color="000000" w:sz="8" w:space="0"/>
              <w:tl2br w:val="nil"/>
              <w:tr2bl w:val="nil"/>
            </w:tcBorders>
            <w:noWrap w:val="0"/>
            <w:vAlign w:val="center"/>
          </w:tcPr>
          <w:p w14:paraId="2F50FC2C">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设备工具费合计</w:t>
            </w:r>
          </w:p>
        </w:tc>
        <w:tc>
          <w:tcPr>
            <w:tcW w:w="1227" w:type="dxa"/>
            <w:tcBorders>
              <w:top w:val="nil"/>
              <w:left w:val="nil"/>
              <w:bottom w:val="single" w:color="000000" w:sz="8" w:space="0"/>
              <w:right w:val="single" w:color="000000" w:sz="8" w:space="0"/>
              <w:tl2br w:val="nil"/>
              <w:tr2bl w:val="nil"/>
            </w:tcBorders>
            <w:noWrap w:val="0"/>
            <w:vAlign w:val="center"/>
          </w:tcPr>
          <w:p w14:paraId="0FE4CEF5">
            <w:pPr>
              <w:widowControl/>
              <w:spacing w:beforeLines="0" w:afterLines="0"/>
              <w:jc w:val="center"/>
              <w:rPr>
                <w:rFonts w:hint="eastAsia" w:ascii="宋体" w:hAnsi="宋体" w:eastAsia="宋体" w:cs="宋体"/>
                <w:b/>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7CE00CC7">
            <w:pPr>
              <w:widowControl/>
              <w:spacing w:beforeLines="0" w:afterLines="0"/>
              <w:jc w:val="center"/>
              <w:rPr>
                <w:rFonts w:hint="eastAsia" w:ascii="宋体" w:hAnsi="宋体" w:eastAsia="宋体" w:cs="宋体"/>
                <w:b/>
                <w:kern w:val="0"/>
                <w:sz w:val="18"/>
                <w:szCs w:val="18"/>
              </w:rPr>
            </w:pPr>
          </w:p>
        </w:tc>
      </w:tr>
      <w:tr w14:paraId="5EBE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restart"/>
            <w:tcBorders>
              <w:top w:val="nil"/>
              <w:left w:val="single" w:color="000000" w:sz="8" w:space="0"/>
              <w:bottom w:val="single" w:color="000000" w:sz="8" w:space="0"/>
              <w:right w:val="single" w:color="000000" w:sz="8" w:space="0"/>
              <w:tl2br w:val="nil"/>
              <w:tr2bl w:val="nil"/>
            </w:tcBorders>
            <w:noWrap w:val="0"/>
            <w:vAlign w:val="center"/>
          </w:tcPr>
          <w:p w14:paraId="73709653">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四</w:t>
            </w:r>
          </w:p>
        </w:tc>
        <w:tc>
          <w:tcPr>
            <w:tcW w:w="1816" w:type="dxa"/>
            <w:gridSpan w:val="2"/>
            <w:tcBorders>
              <w:top w:val="nil"/>
              <w:left w:val="nil"/>
              <w:bottom w:val="single" w:color="000000" w:sz="8" w:space="0"/>
              <w:right w:val="single" w:color="000000" w:sz="8" w:space="0"/>
              <w:tl2br w:val="nil"/>
              <w:tr2bl w:val="nil"/>
            </w:tcBorders>
            <w:noWrap w:val="0"/>
            <w:vAlign w:val="center"/>
          </w:tcPr>
          <w:p w14:paraId="2CA71E8A">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人员服装费</w:t>
            </w:r>
          </w:p>
        </w:tc>
        <w:tc>
          <w:tcPr>
            <w:tcW w:w="626" w:type="dxa"/>
            <w:tcBorders>
              <w:top w:val="nil"/>
              <w:left w:val="nil"/>
              <w:bottom w:val="single" w:color="000000" w:sz="8" w:space="0"/>
              <w:right w:val="single" w:color="000000" w:sz="8" w:space="0"/>
              <w:tl2br w:val="nil"/>
              <w:tr2bl w:val="nil"/>
            </w:tcBorders>
            <w:noWrap w:val="0"/>
            <w:vAlign w:val="center"/>
          </w:tcPr>
          <w:p w14:paraId="49A7880F">
            <w:pPr>
              <w:widowControl/>
              <w:spacing w:beforeLines="0" w:afterLine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3793" w:type="dxa"/>
            <w:gridSpan w:val="3"/>
            <w:tcBorders>
              <w:top w:val="nil"/>
              <w:left w:val="nil"/>
              <w:bottom w:val="single" w:color="000000" w:sz="8" w:space="0"/>
              <w:right w:val="single" w:color="000000" w:sz="8" w:space="0"/>
              <w:tl2br w:val="nil"/>
              <w:tr2bl w:val="nil"/>
            </w:tcBorders>
            <w:noWrap w:val="0"/>
            <w:vAlign w:val="center"/>
          </w:tcPr>
          <w:p w14:paraId="7DAE4826">
            <w:pPr>
              <w:widowControl/>
              <w:spacing w:beforeLines="0" w:afterLines="0"/>
              <w:jc w:val="center"/>
              <w:rPr>
                <w:rFonts w:hint="eastAsia" w:ascii="宋体" w:hAnsi="宋体" w:eastAsia="宋体" w:cs="宋体"/>
                <w:kern w:val="0"/>
                <w:sz w:val="18"/>
                <w:szCs w:val="18"/>
              </w:rPr>
            </w:pPr>
          </w:p>
        </w:tc>
        <w:tc>
          <w:tcPr>
            <w:tcW w:w="1227" w:type="dxa"/>
            <w:tcBorders>
              <w:top w:val="nil"/>
              <w:left w:val="nil"/>
              <w:bottom w:val="single" w:color="000000" w:sz="8" w:space="0"/>
              <w:right w:val="single" w:color="000000" w:sz="8" w:space="0"/>
              <w:tl2br w:val="nil"/>
              <w:tr2bl w:val="nil"/>
            </w:tcBorders>
            <w:noWrap w:val="0"/>
            <w:vAlign w:val="center"/>
          </w:tcPr>
          <w:p w14:paraId="529B6F02">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781AFA19">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全年</w:t>
            </w:r>
          </w:p>
        </w:tc>
      </w:tr>
      <w:tr w14:paraId="38F6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vMerge w:val="continue"/>
            <w:tcBorders>
              <w:top w:val="nil"/>
              <w:left w:val="single" w:color="000000" w:sz="8" w:space="0"/>
              <w:bottom w:val="single" w:color="000000" w:sz="8" w:space="0"/>
              <w:right w:val="single" w:color="000000" w:sz="8" w:space="0"/>
              <w:tl2br w:val="nil"/>
              <w:tr2bl w:val="nil"/>
            </w:tcBorders>
            <w:noWrap w:val="0"/>
            <w:vAlign w:val="center"/>
          </w:tcPr>
          <w:p w14:paraId="6988CBCC">
            <w:pPr>
              <w:widowControl/>
              <w:spacing w:beforeLines="0" w:afterLines="0"/>
              <w:jc w:val="left"/>
              <w:rPr>
                <w:rFonts w:hint="eastAsia" w:ascii="宋体" w:hAnsi="宋体" w:eastAsia="宋体" w:cs="宋体"/>
                <w:kern w:val="0"/>
                <w:sz w:val="18"/>
                <w:szCs w:val="18"/>
              </w:rPr>
            </w:pPr>
          </w:p>
        </w:tc>
        <w:tc>
          <w:tcPr>
            <w:tcW w:w="6235" w:type="dxa"/>
            <w:gridSpan w:val="6"/>
            <w:tcBorders>
              <w:top w:val="nil"/>
              <w:left w:val="nil"/>
              <w:bottom w:val="single" w:color="000000" w:sz="8" w:space="0"/>
              <w:right w:val="single" w:color="000000" w:sz="8" w:space="0"/>
              <w:tl2br w:val="nil"/>
              <w:tr2bl w:val="nil"/>
            </w:tcBorders>
            <w:noWrap w:val="0"/>
            <w:vAlign w:val="center"/>
          </w:tcPr>
          <w:p w14:paraId="42C4082F">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人员服装合计</w:t>
            </w:r>
          </w:p>
        </w:tc>
        <w:tc>
          <w:tcPr>
            <w:tcW w:w="1227" w:type="dxa"/>
            <w:tcBorders>
              <w:top w:val="nil"/>
              <w:left w:val="nil"/>
              <w:bottom w:val="single" w:color="000000" w:sz="8" w:space="0"/>
              <w:right w:val="single" w:color="000000" w:sz="8" w:space="0"/>
              <w:tl2br w:val="nil"/>
              <w:tr2bl w:val="nil"/>
            </w:tcBorders>
            <w:noWrap w:val="0"/>
            <w:vAlign w:val="center"/>
          </w:tcPr>
          <w:p w14:paraId="14AF0F44">
            <w:pPr>
              <w:widowControl/>
              <w:spacing w:beforeLines="0" w:afterLines="0"/>
              <w:jc w:val="center"/>
              <w:rPr>
                <w:rFonts w:hint="eastAsia" w:ascii="宋体" w:hAnsi="宋体" w:eastAsia="宋体" w:cs="宋体"/>
                <w:b/>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56B65B61">
            <w:pPr>
              <w:widowControl/>
              <w:spacing w:beforeLines="0" w:afterLines="0"/>
              <w:jc w:val="center"/>
              <w:rPr>
                <w:rFonts w:hint="eastAsia" w:ascii="宋体" w:hAnsi="宋体" w:eastAsia="宋体" w:cs="宋体"/>
                <w:b/>
                <w:kern w:val="0"/>
                <w:sz w:val="18"/>
                <w:szCs w:val="18"/>
              </w:rPr>
            </w:pPr>
          </w:p>
        </w:tc>
      </w:tr>
      <w:tr w14:paraId="41A9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tcBorders>
              <w:top w:val="nil"/>
              <w:left w:val="single" w:color="000000" w:sz="8" w:space="0"/>
              <w:bottom w:val="single" w:color="000000" w:sz="8" w:space="0"/>
              <w:right w:val="single" w:color="000000" w:sz="8" w:space="0"/>
              <w:tl2br w:val="nil"/>
              <w:tr2bl w:val="nil"/>
            </w:tcBorders>
            <w:noWrap w:val="0"/>
            <w:vAlign w:val="center"/>
          </w:tcPr>
          <w:p w14:paraId="5F88EA35">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五</w:t>
            </w:r>
          </w:p>
        </w:tc>
        <w:tc>
          <w:tcPr>
            <w:tcW w:w="6235" w:type="dxa"/>
            <w:gridSpan w:val="6"/>
            <w:tcBorders>
              <w:top w:val="nil"/>
              <w:left w:val="nil"/>
              <w:bottom w:val="single" w:color="000000" w:sz="8" w:space="0"/>
              <w:right w:val="single" w:color="000000" w:sz="8" w:space="0"/>
              <w:tl2br w:val="nil"/>
              <w:tr2bl w:val="nil"/>
            </w:tcBorders>
            <w:noWrap w:val="0"/>
            <w:vAlign w:val="center"/>
          </w:tcPr>
          <w:p w14:paraId="35EF3B7B">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以上费用合计</w:t>
            </w:r>
          </w:p>
        </w:tc>
        <w:tc>
          <w:tcPr>
            <w:tcW w:w="1227" w:type="dxa"/>
            <w:tcBorders>
              <w:top w:val="nil"/>
              <w:left w:val="nil"/>
              <w:bottom w:val="single" w:color="000000" w:sz="8" w:space="0"/>
              <w:right w:val="single" w:color="000000" w:sz="8" w:space="0"/>
              <w:tl2br w:val="nil"/>
              <w:tr2bl w:val="nil"/>
            </w:tcBorders>
            <w:noWrap w:val="0"/>
            <w:vAlign w:val="center"/>
          </w:tcPr>
          <w:p w14:paraId="4E2BF7E7">
            <w:pPr>
              <w:widowControl/>
              <w:spacing w:beforeLines="0" w:afterLines="0"/>
              <w:jc w:val="center"/>
              <w:rPr>
                <w:rFonts w:hint="eastAsia" w:ascii="宋体" w:hAnsi="宋体" w:eastAsia="宋体" w:cs="宋体"/>
                <w:b/>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3C6ADF98">
            <w:pPr>
              <w:widowControl/>
              <w:spacing w:beforeLines="0" w:afterLines="0"/>
              <w:jc w:val="center"/>
              <w:rPr>
                <w:rFonts w:hint="eastAsia" w:ascii="宋体" w:hAnsi="宋体" w:eastAsia="宋体" w:cs="宋体"/>
                <w:b/>
                <w:kern w:val="0"/>
                <w:sz w:val="18"/>
                <w:szCs w:val="18"/>
              </w:rPr>
            </w:pPr>
          </w:p>
        </w:tc>
      </w:tr>
      <w:tr w14:paraId="6E50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tcBorders>
              <w:top w:val="nil"/>
              <w:left w:val="single" w:color="000000" w:sz="8" w:space="0"/>
              <w:bottom w:val="single" w:color="000000" w:sz="8" w:space="0"/>
              <w:right w:val="single" w:color="000000" w:sz="8" w:space="0"/>
              <w:tl2br w:val="nil"/>
              <w:tr2bl w:val="nil"/>
            </w:tcBorders>
            <w:noWrap w:val="0"/>
            <w:vAlign w:val="center"/>
          </w:tcPr>
          <w:p w14:paraId="69CCB58B">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六</w:t>
            </w:r>
          </w:p>
        </w:tc>
        <w:tc>
          <w:tcPr>
            <w:tcW w:w="1816" w:type="dxa"/>
            <w:gridSpan w:val="2"/>
            <w:tcBorders>
              <w:top w:val="nil"/>
              <w:left w:val="nil"/>
              <w:bottom w:val="single" w:color="000000" w:sz="8" w:space="0"/>
              <w:right w:val="single" w:color="000000" w:sz="8" w:space="0"/>
              <w:tl2br w:val="nil"/>
              <w:tr2bl w:val="nil"/>
            </w:tcBorders>
            <w:noWrap w:val="0"/>
            <w:vAlign w:val="center"/>
          </w:tcPr>
          <w:p w14:paraId="23CC1226">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管理费</w:t>
            </w:r>
          </w:p>
        </w:tc>
        <w:tc>
          <w:tcPr>
            <w:tcW w:w="3534" w:type="dxa"/>
            <w:gridSpan w:val="3"/>
            <w:tcBorders>
              <w:top w:val="nil"/>
              <w:left w:val="nil"/>
              <w:bottom w:val="single" w:color="000000" w:sz="8" w:space="0"/>
              <w:right w:val="single" w:color="000000" w:sz="8" w:space="0"/>
              <w:tl2br w:val="nil"/>
              <w:tr2bl w:val="nil"/>
            </w:tcBorders>
            <w:noWrap w:val="0"/>
            <w:vAlign w:val="center"/>
          </w:tcPr>
          <w:p w14:paraId="05564FEE">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以上费用合计的 %</w:t>
            </w:r>
          </w:p>
        </w:tc>
        <w:tc>
          <w:tcPr>
            <w:tcW w:w="885" w:type="dxa"/>
            <w:tcBorders>
              <w:top w:val="nil"/>
              <w:left w:val="nil"/>
              <w:bottom w:val="single" w:color="000000" w:sz="8" w:space="0"/>
              <w:right w:val="single" w:color="000000" w:sz="8" w:space="0"/>
              <w:tl2br w:val="nil"/>
              <w:tr2bl w:val="nil"/>
            </w:tcBorders>
            <w:noWrap w:val="0"/>
            <w:vAlign w:val="center"/>
          </w:tcPr>
          <w:p w14:paraId="031EB77F">
            <w:pPr>
              <w:widowControl/>
              <w:spacing w:beforeLines="0" w:afterLines="0"/>
              <w:jc w:val="center"/>
              <w:rPr>
                <w:rFonts w:hint="eastAsia" w:ascii="宋体" w:hAnsi="宋体" w:eastAsia="宋体" w:cs="宋体"/>
                <w:kern w:val="0"/>
                <w:sz w:val="18"/>
                <w:szCs w:val="18"/>
              </w:rPr>
            </w:pPr>
          </w:p>
        </w:tc>
        <w:tc>
          <w:tcPr>
            <w:tcW w:w="1227" w:type="dxa"/>
            <w:tcBorders>
              <w:top w:val="nil"/>
              <w:left w:val="nil"/>
              <w:bottom w:val="single" w:color="000000" w:sz="8" w:space="0"/>
              <w:right w:val="single" w:color="000000" w:sz="8" w:space="0"/>
              <w:tl2br w:val="nil"/>
              <w:tr2bl w:val="nil"/>
            </w:tcBorders>
            <w:noWrap w:val="0"/>
            <w:vAlign w:val="center"/>
          </w:tcPr>
          <w:p w14:paraId="7EB6ED1B">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79DE791B">
            <w:pPr>
              <w:widowControl/>
              <w:spacing w:beforeLines="0" w:afterLines="0"/>
              <w:jc w:val="center"/>
              <w:rPr>
                <w:rFonts w:hint="eastAsia" w:ascii="宋体" w:hAnsi="宋体" w:eastAsia="宋体" w:cs="宋体"/>
                <w:kern w:val="0"/>
                <w:sz w:val="18"/>
                <w:szCs w:val="18"/>
              </w:rPr>
            </w:pPr>
          </w:p>
        </w:tc>
      </w:tr>
      <w:tr w14:paraId="690F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tcBorders>
              <w:top w:val="nil"/>
              <w:left w:val="single" w:color="000000" w:sz="8" w:space="0"/>
              <w:bottom w:val="single" w:color="000000" w:sz="8" w:space="0"/>
              <w:right w:val="single" w:color="000000" w:sz="8" w:space="0"/>
              <w:tl2br w:val="nil"/>
              <w:tr2bl w:val="nil"/>
            </w:tcBorders>
            <w:noWrap w:val="0"/>
            <w:vAlign w:val="center"/>
          </w:tcPr>
          <w:p w14:paraId="02EB6D81">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七</w:t>
            </w:r>
          </w:p>
        </w:tc>
        <w:tc>
          <w:tcPr>
            <w:tcW w:w="1816" w:type="dxa"/>
            <w:gridSpan w:val="2"/>
            <w:tcBorders>
              <w:top w:val="nil"/>
              <w:left w:val="nil"/>
              <w:bottom w:val="single" w:color="000000" w:sz="8" w:space="0"/>
              <w:right w:val="single" w:color="000000" w:sz="8" w:space="0"/>
              <w:tl2br w:val="nil"/>
              <w:tr2bl w:val="nil"/>
            </w:tcBorders>
            <w:noWrap w:val="0"/>
            <w:vAlign w:val="center"/>
          </w:tcPr>
          <w:p w14:paraId="5EDD07FD">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税金</w:t>
            </w:r>
          </w:p>
        </w:tc>
        <w:tc>
          <w:tcPr>
            <w:tcW w:w="3534" w:type="dxa"/>
            <w:gridSpan w:val="3"/>
            <w:tcBorders>
              <w:top w:val="nil"/>
              <w:left w:val="nil"/>
              <w:bottom w:val="single" w:color="000000" w:sz="8" w:space="0"/>
              <w:right w:val="single" w:color="000000" w:sz="8" w:space="0"/>
              <w:tl2br w:val="nil"/>
              <w:tr2bl w:val="nil"/>
            </w:tcBorders>
            <w:noWrap w:val="0"/>
            <w:vAlign w:val="center"/>
          </w:tcPr>
          <w:p w14:paraId="041C7D60">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以上费用合计的  %</w:t>
            </w:r>
          </w:p>
        </w:tc>
        <w:tc>
          <w:tcPr>
            <w:tcW w:w="885" w:type="dxa"/>
            <w:tcBorders>
              <w:top w:val="nil"/>
              <w:left w:val="nil"/>
              <w:bottom w:val="single" w:color="000000" w:sz="8" w:space="0"/>
              <w:right w:val="single" w:color="000000" w:sz="8" w:space="0"/>
              <w:tl2br w:val="nil"/>
              <w:tr2bl w:val="nil"/>
            </w:tcBorders>
            <w:noWrap w:val="0"/>
            <w:vAlign w:val="center"/>
          </w:tcPr>
          <w:p w14:paraId="33F975CA">
            <w:pPr>
              <w:widowControl/>
              <w:spacing w:beforeLines="0" w:afterLines="0"/>
              <w:jc w:val="center"/>
              <w:rPr>
                <w:rFonts w:hint="eastAsia" w:ascii="宋体" w:hAnsi="宋体" w:eastAsia="宋体" w:cs="宋体"/>
                <w:kern w:val="0"/>
                <w:sz w:val="18"/>
                <w:szCs w:val="18"/>
              </w:rPr>
            </w:pPr>
          </w:p>
        </w:tc>
        <w:tc>
          <w:tcPr>
            <w:tcW w:w="1227" w:type="dxa"/>
            <w:tcBorders>
              <w:top w:val="nil"/>
              <w:left w:val="nil"/>
              <w:bottom w:val="single" w:color="000000" w:sz="8" w:space="0"/>
              <w:right w:val="single" w:color="000000" w:sz="8" w:space="0"/>
              <w:tl2br w:val="nil"/>
              <w:tr2bl w:val="nil"/>
            </w:tcBorders>
            <w:noWrap w:val="0"/>
            <w:vAlign w:val="center"/>
          </w:tcPr>
          <w:p w14:paraId="031EAFCA">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7A0EB2CB">
            <w:pPr>
              <w:widowControl/>
              <w:spacing w:beforeLines="0" w:afterLines="0"/>
              <w:jc w:val="center"/>
              <w:rPr>
                <w:rFonts w:hint="eastAsia" w:ascii="宋体" w:hAnsi="宋体" w:eastAsia="宋体" w:cs="宋体"/>
                <w:kern w:val="0"/>
                <w:sz w:val="18"/>
                <w:szCs w:val="18"/>
              </w:rPr>
            </w:pPr>
          </w:p>
        </w:tc>
      </w:tr>
      <w:tr w14:paraId="74E33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24" w:type="dxa"/>
            <w:tcBorders>
              <w:top w:val="nil"/>
              <w:left w:val="single" w:color="000000" w:sz="8" w:space="0"/>
              <w:bottom w:val="single" w:color="000000" w:sz="8" w:space="0"/>
              <w:right w:val="single" w:color="000000" w:sz="8" w:space="0"/>
              <w:tl2br w:val="nil"/>
              <w:tr2bl w:val="nil"/>
            </w:tcBorders>
            <w:noWrap w:val="0"/>
            <w:vAlign w:val="center"/>
          </w:tcPr>
          <w:p w14:paraId="19EE6F2E">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八</w:t>
            </w:r>
          </w:p>
        </w:tc>
        <w:tc>
          <w:tcPr>
            <w:tcW w:w="6235" w:type="dxa"/>
            <w:gridSpan w:val="6"/>
            <w:tcBorders>
              <w:top w:val="nil"/>
              <w:left w:val="nil"/>
              <w:bottom w:val="single" w:color="000000" w:sz="8" w:space="0"/>
              <w:right w:val="single" w:color="000000" w:sz="8" w:space="0"/>
              <w:tl2br w:val="nil"/>
              <w:tr2bl w:val="nil"/>
            </w:tcBorders>
            <w:noWrap w:val="0"/>
            <w:vAlign w:val="center"/>
          </w:tcPr>
          <w:p w14:paraId="1378BE99">
            <w:pPr>
              <w:widowControl/>
              <w:spacing w:beforeLines="0" w:afterLines="0"/>
              <w:jc w:val="center"/>
              <w:rPr>
                <w:rFonts w:hint="eastAsia" w:ascii="宋体" w:hAnsi="宋体" w:eastAsia="宋体" w:cs="宋体"/>
                <w:kern w:val="0"/>
                <w:sz w:val="18"/>
                <w:szCs w:val="18"/>
              </w:rPr>
            </w:pPr>
            <w:r>
              <w:rPr>
                <w:rFonts w:hint="eastAsia" w:ascii="宋体" w:hAnsi="宋体" w:eastAsia="宋体" w:cs="宋体"/>
                <w:kern w:val="0"/>
                <w:sz w:val="18"/>
                <w:szCs w:val="18"/>
              </w:rPr>
              <w:t>总计</w:t>
            </w:r>
          </w:p>
        </w:tc>
        <w:tc>
          <w:tcPr>
            <w:tcW w:w="1227" w:type="dxa"/>
            <w:tcBorders>
              <w:top w:val="nil"/>
              <w:left w:val="nil"/>
              <w:bottom w:val="single" w:color="000000" w:sz="8" w:space="0"/>
              <w:right w:val="single" w:color="000000" w:sz="8" w:space="0"/>
              <w:tl2br w:val="nil"/>
              <w:tr2bl w:val="nil"/>
            </w:tcBorders>
            <w:noWrap w:val="0"/>
            <w:vAlign w:val="center"/>
          </w:tcPr>
          <w:p w14:paraId="7CBFEE0A">
            <w:pPr>
              <w:widowControl/>
              <w:spacing w:beforeLines="0" w:afterLines="0"/>
              <w:jc w:val="center"/>
              <w:rPr>
                <w:rFonts w:hint="eastAsia" w:ascii="宋体" w:hAnsi="宋体" w:eastAsia="宋体" w:cs="宋体"/>
                <w:kern w:val="0"/>
                <w:sz w:val="18"/>
                <w:szCs w:val="18"/>
              </w:rPr>
            </w:pPr>
          </w:p>
        </w:tc>
        <w:tc>
          <w:tcPr>
            <w:tcW w:w="1362" w:type="dxa"/>
            <w:tcBorders>
              <w:top w:val="nil"/>
              <w:left w:val="nil"/>
              <w:bottom w:val="single" w:color="000000" w:sz="8" w:space="0"/>
              <w:right w:val="single" w:color="000000" w:sz="8" w:space="0"/>
              <w:tl2br w:val="nil"/>
              <w:tr2bl w:val="nil"/>
            </w:tcBorders>
            <w:noWrap w:val="0"/>
            <w:vAlign w:val="center"/>
          </w:tcPr>
          <w:p w14:paraId="40FF2020">
            <w:pPr>
              <w:widowControl/>
              <w:spacing w:beforeLines="0" w:afterLines="0"/>
              <w:jc w:val="center"/>
              <w:rPr>
                <w:rFonts w:hint="eastAsia" w:ascii="宋体" w:hAnsi="宋体" w:eastAsia="宋体" w:cs="宋体"/>
                <w:kern w:val="0"/>
                <w:sz w:val="18"/>
                <w:szCs w:val="18"/>
              </w:rPr>
            </w:pPr>
          </w:p>
        </w:tc>
      </w:tr>
    </w:tbl>
    <w:p w14:paraId="5A11C1F5">
      <w:pPr>
        <w:spacing w:line="440" w:lineRule="exact"/>
        <w:ind w:firstLine="420"/>
        <w:rPr>
          <w:rFonts w:hint="eastAsia" w:ascii="宋体" w:hAnsi="宋体" w:cs="宋体"/>
          <w:color w:val="auto"/>
          <w:szCs w:val="21"/>
          <w:lang w:bidi="ar"/>
        </w:rPr>
      </w:pPr>
    </w:p>
    <w:p w14:paraId="22ADC440">
      <w:pPr>
        <w:spacing w:line="440" w:lineRule="exact"/>
        <w:ind w:firstLine="420"/>
        <w:rPr>
          <w:rFonts w:ascii="宋体" w:hAnsi="宋体" w:cs="宋体"/>
          <w:color w:val="auto"/>
          <w:szCs w:val="21"/>
          <w:lang w:bidi="ar"/>
        </w:rPr>
      </w:pPr>
      <w:r>
        <w:rPr>
          <w:rFonts w:hint="eastAsia" w:ascii="宋体" w:hAnsi="宋体" w:cs="宋体"/>
          <w:color w:val="auto"/>
          <w:szCs w:val="21"/>
          <w:lang w:bidi="ar"/>
        </w:rPr>
        <w:t>注：1.投标人应详细列出招标文件规定的所有费用的明细表，本表“投标价合计”应与“开标一览表”中的“投标总价”保持一致。</w:t>
      </w:r>
    </w:p>
    <w:p w14:paraId="5A29DA91">
      <w:pPr>
        <w:spacing w:line="440" w:lineRule="exact"/>
        <w:ind w:firstLine="420"/>
        <w:rPr>
          <w:rFonts w:ascii="宋体" w:hAnsi="宋体" w:cs="宋体"/>
          <w:color w:val="auto"/>
          <w:szCs w:val="21"/>
          <w:lang w:bidi="ar"/>
        </w:rPr>
      </w:pPr>
      <w:r>
        <w:rPr>
          <w:rFonts w:hint="eastAsia" w:ascii="宋体" w:hAnsi="宋体" w:cs="宋体"/>
          <w:color w:val="auto"/>
          <w:szCs w:val="21"/>
          <w:lang w:bidi="ar"/>
        </w:rPr>
        <w:t>2.投标人所报价应综合考虑完成本项工作所需的以上投标报价费用已综合考虑了包括人工工资、社保</w:t>
      </w:r>
      <w:r>
        <w:rPr>
          <w:rFonts w:hint="eastAsia" w:ascii="宋体" w:hAnsi="宋体" w:cs="宋体"/>
          <w:color w:val="auto"/>
          <w:szCs w:val="21"/>
          <w:lang w:val="en-US" w:eastAsia="zh-CN" w:bidi="ar"/>
        </w:rPr>
        <w:t>或商业险</w:t>
      </w:r>
      <w:r>
        <w:rPr>
          <w:rFonts w:hint="eastAsia" w:ascii="宋体" w:hAnsi="宋体" w:cs="宋体"/>
          <w:color w:val="auto"/>
          <w:szCs w:val="21"/>
          <w:lang w:bidi="ar"/>
        </w:rPr>
        <w:t>等社会福利费、企业管理费、税金等各类费用。</w:t>
      </w:r>
    </w:p>
    <w:p w14:paraId="6C34E3E4">
      <w:pPr>
        <w:spacing w:line="400" w:lineRule="atLeast"/>
        <w:jc w:val="left"/>
        <w:rPr>
          <w:rFonts w:ascii="宋体" w:hAnsi="宋体" w:cs="宋体"/>
          <w:color w:val="auto"/>
          <w:szCs w:val="21"/>
        </w:rPr>
      </w:pPr>
    </w:p>
    <w:p w14:paraId="337BAFE7">
      <w:pPr>
        <w:spacing w:line="400" w:lineRule="atLeast"/>
        <w:jc w:val="left"/>
        <w:rPr>
          <w:rFonts w:ascii="宋体" w:hAnsi="宋体" w:cs="宋体"/>
          <w:color w:val="auto"/>
          <w:szCs w:val="21"/>
        </w:rPr>
      </w:pPr>
      <w:r>
        <w:rPr>
          <w:rFonts w:hint="eastAsia" w:ascii="宋体" w:hAnsi="宋体" w:cs="宋体"/>
          <w:color w:val="auto"/>
          <w:szCs w:val="21"/>
        </w:rPr>
        <w:t>供应商（盖章）：</w:t>
      </w:r>
    </w:p>
    <w:p w14:paraId="72F35A55">
      <w:pPr>
        <w:spacing w:line="400" w:lineRule="atLeast"/>
        <w:jc w:val="left"/>
        <w:rPr>
          <w:rFonts w:ascii="宋体" w:hAnsi="宋体" w:cs="宋体"/>
          <w:color w:val="auto"/>
          <w:szCs w:val="21"/>
        </w:rPr>
      </w:pPr>
      <w:r>
        <w:rPr>
          <w:rFonts w:hint="eastAsia" w:ascii="宋体" w:hAnsi="宋体" w:cs="宋体"/>
          <w:color w:val="auto"/>
          <w:szCs w:val="21"/>
        </w:rPr>
        <w:t>日期：</w:t>
      </w:r>
    </w:p>
    <w:p w14:paraId="0CF4C54B">
      <w:pPr>
        <w:spacing w:line="400" w:lineRule="atLeast"/>
        <w:jc w:val="left"/>
        <w:rPr>
          <w:rFonts w:ascii="宋体" w:hAnsi="宋体" w:cs="宋体"/>
          <w:color w:val="auto"/>
          <w:szCs w:val="21"/>
        </w:rPr>
      </w:pPr>
      <w:r>
        <w:rPr>
          <w:rFonts w:hint="eastAsia" w:ascii="宋体" w:hAnsi="宋体" w:cs="宋体"/>
          <w:color w:val="auto"/>
          <w:szCs w:val="21"/>
          <w:lang w:bidi="ar"/>
        </w:rPr>
        <w:t>注：总计金额需与开标一览表中投标报价一致。</w:t>
      </w:r>
    </w:p>
    <w:p w14:paraId="6DE010FA">
      <w:pPr>
        <w:rPr>
          <w:color w:val="auto"/>
        </w:rPr>
      </w:pPr>
    </w:p>
    <w:p w14:paraId="01BA6FF0">
      <w:pPr>
        <w:rPr>
          <w:rFonts w:ascii="宋体" w:hAnsi="宋体"/>
          <w:b/>
          <w:color w:val="auto"/>
          <w:szCs w:val="21"/>
        </w:rPr>
      </w:pPr>
      <w:r>
        <w:rPr>
          <w:rFonts w:hint="eastAsia" w:ascii="宋体" w:hAnsi="宋体"/>
          <w:b/>
          <w:color w:val="auto"/>
          <w:szCs w:val="21"/>
        </w:rPr>
        <w:br w:type="page"/>
      </w:r>
    </w:p>
    <w:p w14:paraId="3050236A">
      <w:pPr>
        <w:spacing w:line="360" w:lineRule="auto"/>
        <w:jc w:val="center"/>
        <w:rPr>
          <w:rFonts w:ascii="宋体" w:hAnsi="宋体"/>
          <w:b/>
          <w:color w:val="auto"/>
          <w:szCs w:val="21"/>
        </w:rPr>
      </w:pPr>
      <w:r>
        <w:rPr>
          <w:rFonts w:hint="eastAsia" w:ascii="宋体" w:hAnsi="宋体"/>
          <w:b/>
          <w:color w:val="auto"/>
          <w:szCs w:val="21"/>
        </w:rPr>
        <w:t>中小企业声明函（工程、服务）</w:t>
      </w:r>
    </w:p>
    <w:p w14:paraId="73F9E87E">
      <w:pPr>
        <w:spacing w:line="400" w:lineRule="exact"/>
        <w:rPr>
          <w:rFonts w:ascii="宋体" w:hAnsi="宋体"/>
          <w:b/>
          <w:color w:val="auto"/>
          <w:spacing w:val="6"/>
          <w:szCs w:val="21"/>
        </w:rPr>
      </w:pPr>
    </w:p>
    <w:p w14:paraId="46313C69">
      <w:pPr>
        <w:pStyle w:val="2"/>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 号）的规定，本公司（联合体）参加</w:t>
      </w:r>
      <w:r>
        <w:rPr>
          <w:rFonts w:hint="eastAsia" w:cs="宋体"/>
          <w:i/>
          <w:iCs/>
          <w:color w:val="auto"/>
          <w:sz w:val="21"/>
          <w:szCs w:val="21"/>
          <w:u w:val="single"/>
        </w:rPr>
        <w:t>（单位名称）</w:t>
      </w:r>
      <w:r>
        <w:rPr>
          <w:rFonts w:hint="eastAsia" w:cs="宋体"/>
          <w:color w:val="auto"/>
          <w:sz w:val="21"/>
          <w:szCs w:val="21"/>
        </w:rPr>
        <w:t>的</w:t>
      </w:r>
      <w:r>
        <w:rPr>
          <w:rFonts w:hint="eastAsia" w:cs="宋体"/>
          <w:i/>
          <w:iCs/>
          <w:color w:val="auto"/>
          <w:sz w:val="21"/>
          <w:szCs w:val="21"/>
          <w:u w:val="single"/>
        </w:rPr>
        <w:t>（项目名称）</w:t>
      </w:r>
      <w:r>
        <w:rPr>
          <w:rFonts w:hint="eastAsia"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9CB0708">
      <w:pPr>
        <w:pStyle w:val="2"/>
        <w:spacing w:line="400" w:lineRule="exact"/>
        <w:ind w:firstLine="420" w:firstLineChars="200"/>
        <w:rPr>
          <w:rFonts w:cs="宋体"/>
          <w:color w:val="auto"/>
          <w:sz w:val="21"/>
          <w:szCs w:val="21"/>
        </w:rPr>
      </w:pPr>
      <w:r>
        <w:rPr>
          <w:rFonts w:hint="eastAsia" w:cs="宋体"/>
          <w:color w:val="auto"/>
          <w:sz w:val="21"/>
          <w:szCs w:val="21"/>
        </w:rPr>
        <w:t>1.</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，从业人员人，营业收入为万元，资产总额为万元</w:t>
      </w:r>
      <w:r>
        <w:rPr>
          <w:rFonts w:hint="eastAsia" w:cs="宋体"/>
          <w:color w:val="auto"/>
          <w:sz w:val="21"/>
          <w:szCs w:val="21"/>
          <w:vertAlign w:val="superscript"/>
        </w:rPr>
        <w:t>1</w:t>
      </w:r>
      <w:r>
        <w:rPr>
          <w:rFonts w:hint="eastAsia" w:cs="宋体"/>
          <w:color w:val="auto"/>
          <w:sz w:val="21"/>
          <w:szCs w:val="21"/>
        </w:rPr>
        <w:t>，属于</w:t>
      </w:r>
      <w:r>
        <w:rPr>
          <w:rFonts w:hint="eastAsia" w:cs="宋体"/>
          <w:i/>
          <w:iCs/>
          <w:color w:val="auto"/>
          <w:sz w:val="21"/>
          <w:szCs w:val="21"/>
          <w:u w:val="single"/>
        </w:rPr>
        <w:t>（中型企业、小型企业、微型企业）</w:t>
      </w:r>
      <w:r>
        <w:rPr>
          <w:rFonts w:hint="eastAsia" w:cs="宋体"/>
          <w:color w:val="auto"/>
          <w:sz w:val="21"/>
          <w:szCs w:val="21"/>
        </w:rPr>
        <w:t>；</w:t>
      </w:r>
    </w:p>
    <w:p w14:paraId="4CF6F0AB">
      <w:pPr>
        <w:pStyle w:val="2"/>
        <w:spacing w:line="400" w:lineRule="exact"/>
        <w:ind w:firstLine="420" w:firstLineChars="200"/>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；承建（承接）企业为</w:t>
      </w:r>
      <w:r>
        <w:rPr>
          <w:rFonts w:hint="eastAsia" w:cs="宋体"/>
          <w:i/>
          <w:iCs/>
          <w:color w:val="auto"/>
          <w:sz w:val="21"/>
          <w:szCs w:val="21"/>
          <w:u w:val="single"/>
        </w:rPr>
        <w:t>（企业名称）</w:t>
      </w:r>
      <w:r>
        <w:rPr>
          <w:rFonts w:hint="eastAsia" w:cs="宋体"/>
          <w:color w:val="auto"/>
          <w:sz w:val="21"/>
          <w:szCs w:val="21"/>
        </w:rPr>
        <w:t>，从业人员人，营业收入为万元，资产总额为万元，属于</w:t>
      </w:r>
      <w:r>
        <w:rPr>
          <w:rFonts w:hint="eastAsia" w:cs="宋体"/>
          <w:i/>
          <w:iCs/>
          <w:color w:val="auto"/>
          <w:sz w:val="21"/>
          <w:szCs w:val="21"/>
          <w:u w:val="single"/>
        </w:rPr>
        <w:t>（中型企业、小型企业、微型企业）</w:t>
      </w:r>
      <w:r>
        <w:rPr>
          <w:rFonts w:hint="eastAsia" w:cs="宋体"/>
          <w:color w:val="auto"/>
          <w:sz w:val="21"/>
          <w:szCs w:val="21"/>
        </w:rPr>
        <w:t>；</w:t>
      </w:r>
    </w:p>
    <w:p w14:paraId="7B16640B">
      <w:pPr>
        <w:pStyle w:val="2"/>
        <w:spacing w:line="400" w:lineRule="exact"/>
        <w:ind w:firstLine="420" w:firstLineChars="200"/>
        <w:rPr>
          <w:rFonts w:cs="宋体"/>
          <w:color w:val="auto"/>
          <w:sz w:val="21"/>
          <w:szCs w:val="21"/>
        </w:rPr>
      </w:pPr>
      <w:r>
        <w:rPr>
          <w:rFonts w:hint="eastAsia" w:cs="宋体"/>
          <w:color w:val="auto"/>
          <w:sz w:val="21"/>
          <w:szCs w:val="21"/>
        </w:rPr>
        <w:t>……</w:t>
      </w:r>
    </w:p>
    <w:p w14:paraId="44BC15E6">
      <w:pPr>
        <w:pStyle w:val="2"/>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59CCDAFC">
      <w:pPr>
        <w:pStyle w:val="2"/>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748DB8FF">
      <w:pPr>
        <w:pStyle w:val="2"/>
        <w:spacing w:line="400" w:lineRule="exact"/>
        <w:ind w:firstLine="3360" w:firstLineChars="1600"/>
        <w:jc w:val="left"/>
        <w:rPr>
          <w:rFonts w:cs="宋体"/>
          <w:color w:val="auto"/>
          <w:sz w:val="21"/>
          <w:szCs w:val="21"/>
        </w:rPr>
      </w:pPr>
    </w:p>
    <w:p w14:paraId="43CD70F3">
      <w:pPr>
        <w:pStyle w:val="2"/>
        <w:spacing w:line="400" w:lineRule="exact"/>
        <w:ind w:firstLine="4095" w:firstLineChars="1950"/>
        <w:jc w:val="left"/>
        <w:rPr>
          <w:rFonts w:cs="宋体"/>
          <w:color w:val="auto"/>
          <w:sz w:val="21"/>
          <w:szCs w:val="21"/>
        </w:rPr>
      </w:pPr>
      <w:r>
        <w:rPr>
          <w:rFonts w:hint="eastAsia" w:cs="宋体"/>
          <w:color w:val="auto"/>
          <w:sz w:val="21"/>
          <w:szCs w:val="21"/>
        </w:rPr>
        <w:t>企业名称（盖章）：</w:t>
      </w:r>
    </w:p>
    <w:p w14:paraId="03C444CE">
      <w:pPr>
        <w:pStyle w:val="20"/>
        <w:spacing w:line="400" w:lineRule="exact"/>
        <w:ind w:firstLine="4095" w:firstLineChars="1950"/>
        <w:rPr>
          <w:rFonts w:ascii="宋体" w:hAnsi="宋体" w:eastAsia="宋体"/>
          <w:color w:val="auto"/>
          <w:sz w:val="21"/>
          <w:szCs w:val="21"/>
        </w:rPr>
      </w:pPr>
      <w:r>
        <w:rPr>
          <w:rFonts w:hint="eastAsia" w:ascii="宋体" w:hAnsi="宋体" w:eastAsia="宋体" w:cs="宋体"/>
          <w:color w:val="auto"/>
          <w:sz w:val="21"/>
          <w:szCs w:val="21"/>
        </w:rPr>
        <w:t>日期：</w:t>
      </w:r>
    </w:p>
    <w:p w14:paraId="7D694A17">
      <w:pPr>
        <w:spacing w:line="400" w:lineRule="exact"/>
        <w:jc w:val="center"/>
        <w:rPr>
          <w:rFonts w:ascii="宋体" w:hAnsi="宋体"/>
          <w:b/>
          <w:color w:val="auto"/>
          <w:szCs w:val="21"/>
        </w:rPr>
      </w:pPr>
    </w:p>
    <w:p w14:paraId="62C09815">
      <w:pPr>
        <w:spacing w:line="400" w:lineRule="exact"/>
        <w:jc w:val="center"/>
        <w:rPr>
          <w:rFonts w:ascii="宋体" w:hAnsi="宋体"/>
          <w:b/>
          <w:color w:val="auto"/>
          <w:szCs w:val="21"/>
        </w:rPr>
      </w:pPr>
    </w:p>
    <w:p w14:paraId="559C2E3B">
      <w:pPr>
        <w:spacing w:line="400" w:lineRule="exact"/>
        <w:jc w:val="center"/>
        <w:rPr>
          <w:rFonts w:ascii="宋体" w:hAnsi="宋体" w:cs="宋体"/>
          <w:color w:val="auto"/>
          <w:szCs w:val="21"/>
        </w:rPr>
      </w:pPr>
    </w:p>
    <w:p w14:paraId="3D6E3188">
      <w:pPr>
        <w:spacing w:line="400" w:lineRule="exact"/>
        <w:jc w:val="center"/>
        <w:rPr>
          <w:rFonts w:ascii="宋体" w:hAnsi="宋体" w:cs="宋体"/>
          <w:color w:val="auto"/>
          <w:szCs w:val="21"/>
        </w:rPr>
      </w:pPr>
    </w:p>
    <w:p w14:paraId="2BE25DBB">
      <w:pPr>
        <w:spacing w:line="400" w:lineRule="exact"/>
        <w:jc w:val="center"/>
        <w:rPr>
          <w:rFonts w:ascii="宋体" w:hAnsi="宋体" w:cs="宋体"/>
          <w:color w:val="auto"/>
          <w:szCs w:val="21"/>
        </w:rPr>
      </w:pPr>
    </w:p>
    <w:p w14:paraId="37CCD6EB">
      <w:pPr>
        <w:spacing w:line="400" w:lineRule="exact"/>
        <w:jc w:val="center"/>
        <w:rPr>
          <w:rFonts w:ascii="宋体" w:hAnsi="宋体" w:cs="宋体"/>
          <w:color w:val="auto"/>
          <w:szCs w:val="21"/>
        </w:rPr>
      </w:pPr>
    </w:p>
    <w:p w14:paraId="76811730">
      <w:pPr>
        <w:spacing w:line="400" w:lineRule="exact"/>
        <w:ind w:firstLine="3780" w:firstLineChars="1800"/>
        <w:rPr>
          <w:rFonts w:ascii="宋体" w:hAnsi="宋体"/>
          <w:color w:val="auto"/>
          <w:szCs w:val="21"/>
        </w:rPr>
      </w:pPr>
    </w:p>
    <w:p w14:paraId="0CA11369">
      <w:pPr>
        <w:numPr>
          <w:ilvl w:val="0"/>
          <w:numId w:val="3"/>
        </w:numPr>
        <w:spacing w:line="588" w:lineRule="exact"/>
        <w:jc w:val="center"/>
        <w:rPr>
          <w:rFonts w:ascii="宋体" w:hAnsi="宋体"/>
          <w:color w:val="auto"/>
          <w:szCs w:val="21"/>
        </w:rPr>
      </w:pPr>
      <w:r>
        <w:rPr>
          <w:rFonts w:ascii="宋体" w:hAnsi="宋体"/>
          <w:color w:val="auto"/>
          <w:szCs w:val="21"/>
        </w:rPr>
        <w:t>从业人员、营业收入、资产总额填报上一年度数据，无上一年度数据的新成立企业可不填报。</w:t>
      </w:r>
    </w:p>
    <w:p w14:paraId="402009BB">
      <w:pPr>
        <w:numPr>
          <w:ilvl w:val="0"/>
          <w:numId w:val="3"/>
        </w:numPr>
        <w:spacing w:line="588" w:lineRule="exact"/>
        <w:rPr>
          <w:rFonts w:ascii="宋体" w:hAnsi="宋体"/>
          <w:color w:val="auto"/>
          <w:szCs w:val="21"/>
        </w:rPr>
      </w:pPr>
      <w:r>
        <w:rPr>
          <w:rFonts w:hint="eastAsia" w:ascii="宋体" w:hAnsi="宋体"/>
          <w:color w:val="auto"/>
          <w:szCs w:val="21"/>
        </w:rPr>
        <w:t>采购文件中明确的所属行业：详见招标文件第三章。</w:t>
      </w:r>
    </w:p>
    <w:p w14:paraId="79165B02">
      <w:pPr>
        <w:spacing w:line="400" w:lineRule="exact"/>
        <w:ind w:firstLine="420" w:firstLineChars="200"/>
        <w:jc w:val="center"/>
        <w:rPr>
          <w:rFonts w:ascii="宋体" w:hAnsi="宋体"/>
          <w:color w:val="auto"/>
          <w:szCs w:val="21"/>
        </w:rPr>
      </w:pPr>
    </w:p>
    <w:p w14:paraId="52CF56CB">
      <w:pPr>
        <w:spacing w:line="360" w:lineRule="auto"/>
        <w:jc w:val="center"/>
        <w:rPr>
          <w:rFonts w:ascii="宋体" w:hAnsi="宋体"/>
          <w:b/>
          <w:color w:val="auto"/>
          <w:szCs w:val="21"/>
        </w:rPr>
      </w:pPr>
      <w:r>
        <w:rPr>
          <w:rFonts w:ascii="宋体" w:hAnsi="宋体"/>
          <w:color w:val="auto"/>
          <w:szCs w:val="21"/>
        </w:rPr>
        <w:br w:type="page"/>
      </w:r>
      <w:r>
        <w:rPr>
          <w:rFonts w:hint="eastAsia" w:ascii="宋体" w:hAnsi="宋体"/>
          <w:b/>
          <w:color w:val="auto"/>
          <w:szCs w:val="21"/>
        </w:rPr>
        <w:t>残疾人福利性单位声明函（如有需提供）</w:t>
      </w:r>
    </w:p>
    <w:p w14:paraId="1B1917D4">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本单位郑重声明，根据《财政部民政部中国残疾人联合会关于促进残疾人就业政府采购政策的通知》（财库〔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18939B13">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1BBB450E">
      <w:pPr>
        <w:spacing w:line="588" w:lineRule="exact"/>
        <w:ind w:firstLine="420" w:firstLineChars="200"/>
        <w:rPr>
          <w:rFonts w:ascii="宋体" w:hAnsi="宋体"/>
          <w:color w:val="auto"/>
          <w:szCs w:val="21"/>
        </w:rPr>
      </w:pPr>
    </w:p>
    <w:p w14:paraId="208F5983">
      <w:pPr>
        <w:spacing w:line="588" w:lineRule="exact"/>
        <w:ind w:firstLine="420" w:firstLineChars="200"/>
        <w:rPr>
          <w:rFonts w:ascii="宋体" w:hAnsi="宋体"/>
          <w:color w:val="auto"/>
          <w:szCs w:val="21"/>
        </w:rPr>
      </w:pPr>
    </w:p>
    <w:p w14:paraId="0B2A6838">
      <w:pPr>
        <w:tabs>
          <w:tab w:val="left" w:pos="4860"/>
        </w:tabs>
        <w:spacing w:line="588" w:lineRule="exact"/>
        <w:ind w:right="1560" w:firstLine="420" w:firstLineChars="200"/>
        <w:jc w:val="center"/>
        <w:rPr>
          <w:rFonts w:ascii="宋体" w:hAnsi="宋体"/>
          <w:color w:val="auto"/>
          <w:szCs w:val="21"/>
        </w:rPr>
      </w:pPr>
      <w:r>
        <w:rPr>
          <w:rFonts w:hint="eastAsia" w:ascii="宋体" w:hAnsi="宋体"/>
          <w:color w:val="auto"/>
          <w:szCs w:val="21"/>
        </w:rPr>
        <w:t>单位名称（盖章）：</w:t>
      </w:r>
    </w:p>
    <w:p w14:paraId="5D58B811">
      <w:pPr>
        <w:tabs>
          <w:tab w:val="left" w:pos="4860"/>
        </w:tabs>
        <w:spacing w:line="588" w:lineRule="exact"/>
        <w:ind w:right="1560" w:firstLine="420" w:firstLineChars="200"/>
        <w:jc w:val="center"/>
        <w:rPr>
          <w:rFonts w:ascii="宋体" w:hAnsi="宋体"/>
          <w:color w:val="auto"/>
          <w:szCs w:val="21"/>
        </w:rPr>
      </w:pPr>
      <w:r>
        <w:rPr>
          <w:rFonts w:hint="eastAsia" w:ascii="宋体" w:hAnsi="宋体"/>
          <w:color w:val="auto"/>
          <w:szCs w:val="21"/>
        </w:rPr>
        <w:t>日期：</w:t>
      </w:r>
    </w:p>
    <w:p w14:paraId="22B95C9C">
      <w:pPr>
        <w:spacing w:line="400" w:lineRule="exact"/>
        <w:ind w:firstLine="422" w:firstLineChars="200"/>
        <w:rPr>
          <w:rFonts w:ascii="宋体" w:hAnsi="宋体"/>
          <w:b/>
          <w:color w:val="auto"/>
          <w:szCs w:val="21"/>
        </w:rPr>
      </w:pPr>
    </w:p>
    <w:p w14:paraId="7BBBBCC5">
      <w:pPr>
        <w:spacing w:line="400" w:lineRule="exact"/>
        <w:ind w:firstLine="420" w:firstLineChars="200"/>
        <w:rPr>
          <w:rFonts w:ascii="宋体" w:hAnsi="宋体"/>
          <w:color w:val="auto"/>
          <w:szCs w:val="21"/>
        </w:rPr>
      </w:pPr>
      <w:r>
        <w:rPr>
          <w:rFonts w:hint="eastAsia" w:ascii="宋体" w:hAnsi="宋体"/>
          <w:color w:val="auto"/>
          <w:szCs w:val="21"/>
        </w:rPr>
        <w:t>注：</w:t>
      </w:r>
    </w:p>
    <w:p w14:paraId="16231A17">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4FC4A8F4">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0936CB28">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4F65BADC">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380F2292">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549DBCEF">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27C95670">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63058E19">
      <w:pPr>
        <w:autoSpaceDE w:val="0"/>
        <w:autoSpaceDN w:val="0"/>
        <w:adjustRightInd w:val="0"/>
        <w:spacing w:line="400" w:lineRule="exact"/>
        <w:outlineLvl w:val="0"/>
        <w:rPr>
          <w:rFonts w:ascii="宋体" w:hAnsi="宋体"/>
          <w:color w:val="auto"/>
          <w:sz w:val="44"/>
          <w:szCs w:val="44"/>
        </w:rPr>
      </w:pPr>
    </w:p>
    <w:p w14:paraId="1F404731">
      <w:pPr>
        <w:spacing w:line="360" w:lineRule="auto"/>
        <w:jc w:val="center"/>
        <w:rPr>
          <w:rFonts w:ascii="宋体" w:hAnsi="宋体"/>
          <w:b/>
          <w:color w:val="auto"/>
          <w:szCs w:val="21"/>
        </w:rPr>
      </w:pPr>
      <w:r>
        <w:rPr>
          <w:rStyle w:val="171"/>
          <w:rFonts w:ascii="宋体" w:hAnsi="宋体"/>
          <w:color w:val="auto"/>
          <w:sz w:val="21"/>
          <w:szCs w:val="21"/>
        </w:rPr>
        <w:br w:type="page"/>
      </w:r>
      <w:bookmarkStart w:id="72" w:name="_Toc74987436"/>
      <w:bookmarkStart w:id="73" w:name="_Toc74987468"/>
      <w:r>
        <w:rPr>
          <w:rFonts w:hint="eastAsia" w:ascii="宋体" w:hAnsi="宋体"/>
          <w:b/>
          <w:color w:val="auto"/>
          <w:szCs w:val="21"/>
        </w:rPr>
        <w:t>政府采购活动现场确认声明书</w:t>
      </w:r>
      <w:bookmarkEnd w:id="72"/>
      <w:bookmarkEnd w:id="73"/>
    </w:p>
    <w:p w14:paraId="10B5ED34">
      <w:pPr>
        <w:pStyle w:val="139"/>
        <w:snapToGrid w:val="0"/>
        <w:spacing w:line="400" w:lineRule="exact"/>
        <w:rPr>
          <w:rFonts w:hAnsi="宋体"/>
          <w:color w:val="auto"/>
          <w:szCs w:val="21"/>
        </w:rPr>
      </w:pPr>
      <w:r>
        <w:rPr>
          <w:rFonts w:hint="eastAsia" w:hAnsi="宋体"/>
          <w:color w:val="auto"/>
          <w:szCs w:val="21"/>
        </w:rPr>
        <w:t>致：采购人</w:t>
      </w:r>
    </w:p>
    <w:p w14:paraId="2748ED4D">
      <w:pPr>
        <w:pStyle w:val="139"/>
        <w:snapToGrid w:val="0"/>
        <w:spacing w:line="400" w:lineRule="exact"/>
        <w:ind w:firstLine="420" w:firstLineChars="200"/>
        <w:rPr>
          <w:rFonts w:hAnsi="宋体"/>
          <w:color w:val="auto"/>
          <w:szCs w:val="21"/>
        </w:rPr>
      </w:pPr>
      <w:r>
        <w:rPr>
          <w:rFonts w:hint="eastAsia" w:hAnsi="宋体"/>
          <w:color w:val="auto"/>
          <w:szCs w:val="21"/>
        </w:rPr>
        <w:t>本人经由</w:t>
      </w:r>
      <w:r>
        <w:rPr>
          <w:rFonts w:hint="eastAsia" w:hAnsi="宋体" w:cs="宋体"/>
          <w:color w:val="auto"/>
          <w:szCs w:val="21"/>
          <w:u w:val="single"/>
        </w:rPr>
        <w:t>（供应商名称）</w:t>
      </w:r>
      <w:r>
        <w:rPr>
          <w:rFonts w:hint="eastAsia" w:hAnsi="宋体"/>
          <w:color w:val="auto"/>
          <w:szCs w:val="21"/>
        </w:rPr>
        <w:t>法人代表（负责人）</w:t>
      </w:r>
      <w:r>
        <w:rPr>
          <w:rFonts w:hint="eastAsia" w:hAnsi="宋体"/>
          <w:color w:val="auto"/>
          <w:szCs w:val="21"/>
          <w:u w:val="single"/>
        </w:rPr>
        <w:t>（姓名）</w:t>
      </w:r>
      <w:r>
        <w:rPr>
          <w:rFonts w:hint="eastAsia" w:hAnsi="宋体"/>
          <w:color w:val="auto"/>
          <w:szCs w:val="21"/>
        </w:rPr>
        <w:t>合法授权参加</w:t>
      </w:r>
      <w:r>
        <w:rPr>
          <w:rFonts w:hint="eastAsia" w:hAnsi="宋体"/>
          <w:color w:val="auto"/>
          <w:szCs w:val="21"/>
          <w:u w:val="single"/>
          <w:lang w:eastAsia="zh-CN"/>
        </w:rPr>
        <w:t>慈溪市交通运输局保安服务项目</w:t>
      </w:r>
      <w:r>
        <w:rPr>
          <w:rFonts w:hint="eastAsia" w:hAnsi="宋体"/>
          <w:color w:val="auto"/>
          <w:szCs w:val="21"/>
        </w:rPr>
        <w:t>（项目编号：</w:t>
      </w:r>
      <w:r>
        <w:rPr>
          <w:rFonts w:hint="eastAsia" w:hAnsi="宋体"/>
          <w:color w:val="auto"/>
          <w:szCs w:val="21"/>
          <w:u w:val="single"/>
        </w:rPr>
        <w:t xml:space="preserve">        </w:t>
      </w:r>
      <w:r>
        <w:rPr>
          <w:rFonts w:hint="eastAsia" w:hAnsi="宋体"/>
          <w:color w:val="auto"/>
          <w:szCs w:val="21"/>
        </w:rPr>
        <w:t>）政府采购活动，经与本单位法人代表（负责人）联系确认，现就有关公平竞争事项郑重声明如下：</w:t>
      </w:r>
    </w:p>
    <w:p w14:paraId="322F600E">
      <w:pPr>
        <w:pStyle w:val="140"/>
        <w:widowControl/>
        <w:numPr>
          <w:ilvl w:val="0"/>
          <w:numId w:val="4"/>
        </w:numPr>
        <w:snapToGrid w:val="0"/>
        <w:spacing w:line="400" w:lineRule="exact"/>
        <w:ind w:firstLine="396" w:firstLineChars="189"/>
        <w:rPr>
          <w:rFonts w:ascii="宋体" w:hAnsi="宋体"/>
          <w:color w:val="auto"/>
          <w:szCs w:val="21"/>
        </w:rPr>
      </w:pPr>
      <w:r>
        <w:rPr>
          <w:rFonts w:hint="eastAsia" w:ascii="宋体" w:hAnsi="宋体"/>
          <w:color w:val="auto"/>
          <w:szCs w:val="21"/>
        </w:rPr>
        <w:t>本单位与采购人之间</w:t>
      </w:r>
    </w:p>
    <w:p w14:paraId="792EE8E2">
      <w:pPr>
        <w:pStyle w:val="140"/>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不存在利害关系</w:t>
      </w:r>
    </w:p>
    <w:p w14:paraId="6714F3EF">
      <w:pPr>
        <w:pStyle w:val="140"/>
        <w:widowControl/>
        <w:snapToGrid w:val="0"/>
        <w:spacing w:line="400" w:lineRule="exact"/>
        <w:ind w:firstLine="425"/>
        <w:rPr>
          <w:rFonts w:ascii="宋体" w:hAnsi="宋体"/>
          <w:color w:val="auto"/>
          <w:szCs w:val="21"/>
        </w:rPr>
      </w:pPr>
      <w:r>
        <w:rPr>
          <w:rFonts w:hint="eastAsia" w:ascii="宋体" w:hAnsi="宋体" w:cs="宋体"/>
          <w:color w:val="auto"/>
          <w:szCs w:val="21"/>
        </w:rPr>
        <w:t>□</w:t>
      </w:r>
      <w:r>
        <w:rPr>
          <w:rFonts w:hint="eastAsia" w:ascii="宋体" w:hAnsi="宋体"/>
          <w:color w:val="auto"/>
          <w:szCs w:val="21"/>
        </w:rPr>
        <w:t>存在下列利害关系：</w:t>
      </w:r>
    </w:p>
    <w:p w14:paraId="5088695E">
      <w:pPr>
        <w:pStyle w:val="140"/>
        <w:widowControl/>
        <w:snapToGrid w:val="0"/>
        <w:spacing w:line="400" w:lineRule="exact"/>
        <w:ind w:left="397" w:firstLine="28"/>
        <w:rPr>
          <w:rFonts w:ascii="宋体" w:hAnsi="宋体"/>
          <w:color w:val="auto"/>
          <w:szCs w:val="21"/>
        </w:rPr>
      </w:pPr>
      <w:r>
        <w:rPr>
          <w:rFonts w:ascii="宋体" w:hAnsi="宋体"/>
          <w:color w:val="auto"/>
          <w:szCs w:val="21"/>
        </w:rPr>
        <w:t>A.</w:t>
      </w:r>
      <w:r>
        <w:rPr>
          <w:rFonts w:hint="eastAsia" w:ascii="宋体" w:hAnsi="宋体"/>
          <w:color w:val="auto"/>
          <w:szCs w:val="21"/>
        </w:rPr>
        <w:t>投资关系</w:t>
      </w:r>
      <w:r>
        <w:rPr>
          <w:rFonts w:ascii="宋体" w:hAnsi="宋体"/>
          <w:color w:val="auto"/>
          <w:szCs w:val="21"/>
        </w:rPr>
        <w:t xml:space="preserve">    B.</w:t>
      </w:r>
      <w:r>
        <w:rPr>
          <w:rFonts w:hint="eastAsia" w:ascii="宋体" w:hAnsi="宋体"/>
          <w:color w:val="auto"/>
          <w:szCs w:val="21"/>
        </w:rPr>
        <w:t>行政隶属关系</w:t>
      </w:r>
      <w:r>
        <w:rPr>
          <w:rFonts w:ascii="宋体" w:hAnsi="宋体"/>
          <w:color w:val="auto"/>
          <w:szCs w:val="21"/>
        </w:rPr>
        <w:t xml:space="preserve">    C.</w:t>
      </w:r>
      <w:r>
        <w:rPr>
          <w:rFonts w:hint="eastAsia" w:ascii="宋体" w:hAnsi="宋体"/>
          <w:color w:val="auto"/>
          <w:szCs w:val="21"/>
        </w:rPr>
        <w:t>业务指导关系</w:t>
      </w:r>
    </w:p>
    <w:p w14:paraId="4E2739B2">
      <w:pPr>
        <w:pStyle w:val="140"/>
        <w:widowControl/>
        <w:snapToGrid w:val="0"/>
        <w:spacing w:line="400" w:lineRule="exact"/>
        <w:ind w:left="397" w:firstLine="23"/>
        <w:rPr>
          <w:rFonts w:ascii="宋体" w:hAnsi="宋体"/>
          <w:color w:val="auto"/>
          <w:szCs w:val="21"/>
        </w:rPr>
      </w:pPr>
      <w:r>
        <w:rPr>
          <w:rFonts w:ascii="宋体" w:hAnsi="宋体"/>
          <w:color w:val="auto"/>
          <w:szCs w:val="21"/>
        </w:rPr>
        <w:t>D.</w:t>
      </w:r>
      <w:r>
        <w:rPr>
          <w:rFonts w:hint="eastAsia" w:ascii="宋体" w:hAnsi="宋体"/>
          <w:color w:val="auto"/>
          <w:szCs w:val="21"/>
        </w:rPr>
        <w:t>其他可能影响采购公正的利害关系</w:t>
      </w:r>
      <w:r>
        <w:rPr>
          <w:rFonts w:hint="eastAsia" w:ascii="宋体" w:hAnsi="宋体"/>
          <w:color w:val="auto"/>
          <w:szCs w:val="21"/>
          <w:u w:val="single"/>
        </w:rPr>
        <w:t>（如有，请如实说明）</w:t>
      </w:r>
      <w:r>
        <w:rPr>
          <w:rFonts w:hint="eastAsia" w:ascii="宋体" w:hAnsi="宋体"/>
          <w:color w:val="auto"/>
          <w:szCs w:val="21"/>
        </w:rPr>
        <w:t>。</w:t>
      </w:r>
    </w:p>
    <w:p w14:paraId="1CA19E21">
      <w:pPr>
        <w:pStyle w:val="140"/>
        <w:widowControl/>
        <w:snapToGrid w:val="0"/>
        <w:spacing w:line="400" w:lineRule="exact"/>
        <w:ind w:firstLine="420" w:firstLineChars="200"/>
        <w:rPr>
          <w:rFonts w:ascii="宋体" w:hAnsi="宋体"/>
          <w:color w:val="auto"/>
          <w:szCs w:val="21"/>
        </w:rPr>
      </w:pPr>
      <w:r>
        <w:rPr>
          <w:rFonts w:hint="eastAsia" w:ascii="宋体" w:hAnsi="宋体"/>
          <w:color w:val="auto"/>
          <w:szCs w:val="21"/>
        </w:rPr>
        <w:t>二、现已清楚知道参加本项目采购活动的其他所有供应商名称，本单位</w:t>
      </w:r>
    </w:p>
    <w:p w14:paraId="6D99D294">
      <w:pPr>
        <w:pStyle w:val="140"/>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□与其他所有供应商之间均</w:t>
      </w:r>
      <w:r>
        <w:rPr>
          <w:rFonts w:hint="eastAsia" w:ascii="宋体" w:hAnsi="宋体"/>
          <w:color w:val="auto"/>
          <w:szCs w:val="21"/>
        </w:rPr>
        <w:t>不存在利害关系</w:t>
      </w:r>
    </w:p>
    <w:p w14:paraId="3D446153">
      <w:pPr>
        <w:pStyle w:val="140"/>
        <w:widowControl/>
        <w:snapToGrid w:val="0"/>
        <w:spacing w:line="400" w:lineRule="exact"/>
        <w:ind w:firstLine="420" w:firstLineChars="200"/>
        <w:rPr>
          <w:rFonts w:ascii="宋体" w:hAnsi="宋体"/>
          <w:color w:val="auto"/>
          <w:szCs w:val="21"/>
        </w:rPr>
      </w:pPr>
      <w:r>
        <w:rPr>
          <w:rFonts w:hint="eastAsia" w:ascii="宋体" w:hAnsi="宋体" w:cs="宋体"/>
          <w:color w:val="auto"/>
          <w:szCs w:val="21"/>
        </w:rPr>
        <w:t>□与</w:t>
      </w:r>
      <w:r>
        <w:rPr>
          <w:rFonts w:hint="eastAsia" w:ascii="宋体" w:hAnsi="宋体" w:cs="宋体"/>
          <w:color w:val="auto"/>
          <w:szCs w:val="21"/>
          <w:u w:val="single"/>
        </w:rPr>
        <w:t>（供应商名称）</w:t>
      </w:r>
      <w:r>
        <w:rPr>
          <w:rFonts w:hint="eastAsia" w:ascii="宋体" w:hAnsi="宋体" w:cs="宋体"/>
          <w:color w:val="auto"/>
          <w:szCs w:val="21"/>
        </w:rPr>
        <w:t>之间</w:t>
      </w:r>
      <w:r>
        <w:rPr>
          <w:rFonts w:hint="eastAsia" w:ascii="宋体" w:hAnsi="宋体"/>
          <w:color w:val="auto"/>
          <w:szCs w:val="21"/>
        </w:rPr>
        <w:t>存在下列利害关系：</w:t>
      </w:r>
    </w:p>
    <w:p w14:paraId="79C42CE0">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法定代表人或负责人或实际控制人是同一人</w:t>
      </w:r>
    </w:p>
    <w:p w14:paraId="1041C610">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法定代表人或负责人或实际控制人是夫妻关系</w:t>
      </w:r>
    </w:p>
    <w:p w14:paraId="403E861E">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法定代表人或负责人或实际控制人是直系血亲关系</w:t>
      </w:r>
    </w:p>
    <w:p w14:paraId="73F5DE83">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D.</w:t>
      </w:r>
      <w:r>
        <w:rPr>
          <w:rFonts w:hint="eastAsia" w:ascii="宋体" w:hAnsi="宋体"/>
          <w:color w:val="auto"/>
          <w:szCs w:val="21"/>
        </w:rPr>
        <w:t>法定代表人或负责人或实际控制人存在三代以内旁系血亲关系</w:t>
      </w:r>
    </w:p>
    <w:p w14:paraId="540BFF3D">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E.</w:t>
      </w:r>
      <w:r>
        <w:rPr>
          <w:rFonts w:hint="eastAsia" w:ascii="宋体" w:hAnsi="宋体"/>
          <w:color w:val="auto"/>
          <w:szCs w:val="21"/>
        </w:rPr>
        <w:t>法定代表人或负责人或实际控制人存在近姻亲关系</w:t>
      </w:r>
    </w:p>
    <w:p w14:paraId="0845EF48">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F.</w:t>
      </w:r>
      <w:r>
        <w:rPr>
          <w:rFonts w:hint="eastAsia" w:ascii="宋体" w:hAnsi="宋体"/>
          <w:color w:val="auto"/>
          <w:szCs w:val="21"/>
        </w:rPr>
        <w:t>法定代表人或负责人或实际控制人存在股份控制或实际控制关系</w:t>
      </w:r>
    </w:p>
    <w:p w14:paraId="60FB5547">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G.</w:t>
      </w:r>
      <w:r>
        <w:rPr>
          <w:rFonts w:hint="eastAsia" w:ascii="宋体" w:hAnsi="宋体"/>
          <w:color w:val="auto"/>
          <w:szCs w:val="21"/>
        </w:rPr>
        <w:t>存在共同直接或间接投资设立子公司、联营企业和合营企业情况</w:t>
      </w:r>
    </w:p>
    <w:p w14:paraId="3A520BBD">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H.</w:t>
      </w:r>
      <w:r>
        <w:rPr>
          <w:rFonts w:hint="eastAsia" w:ascii="宋体" w:hAnsi="宋体"/>
          <w:color w:val="auto"/>
          <w:szCs w:val="21"/>
        </w:rPr>
        <w:t>存在分级代理或代销关系、同一生产制造商关系、管理关系、重要业务（占主营业务收入</w:t>
      </w:r>
      <w:r>
        <w:rPr>
          <w:rFonts w:ascii="宋体" w:hAnsi="宋体"/>
          <w:color w:val="auto"/>
          <w:szCs w:val="21"/>
        </w:rPr>
        <w:t>50%</w:t>
      </w:r>
      <w:r>
        <w:rPr>
          <w:rFonts w:hint="eastAsia" w:ascii="宋体" w:hAnsi="宋体"/>
          <w:color w:val="auto"/>
          <w:szCs w:val="21"/>
        </w:rPr>
        <w:t>以上）或重要财务往来关系（如融资）等其他实质性控制关系</w:t>
      </w:r>
    </w:p>
    <w:p w14:paraId="0CB89CEF">
      <w:pPr>
        <w:pStyle w:val="140"/>
        <w:widowControl/>
        <w:snapToGrid w:val="0"/>
        <w:spacing w:line="400" w:lineRule="exact"/>
        <w:ind w:firstLine="420" w:firstLineChars="200"/>
        <w:rPr>
          <w:rFonts w:ascii="宋体" w:hAnsi="宋体"/>
          <w:color w:val="auto"/>
          <w:szCs w:val="21"/>
        </w:rPr>
      </w:pPr>
      <w:r>
        <w:rPr>
          <w:rFonts w:ascii="宋体" w:hAnsi="宋体"/>
          <w:color w:val="auto"/>
          <w:szCs w:val="21"/>
        </w:rPr>
        <w:t>I.</w:t>
      </w:r>
      <w:r>
        <w:rPr>
          <w:rFonts w:hint="eastAsia" w:ascii="宋体" w:hAnsi="宋体"/>
          <w:color w:val="auto"/>
          <w:szCs w:val="21"/>
        </w:rPr>
        <w:t>其他利害关系情况。</w:t>
      </w:r>
    </w:p>
    <w:p w14:paraId="0E87A702">
      <w:pPr>
        <w:pStyle w:val="140"/>
        <w:widowControl/>
        <w:numPr>
          <w:ilvl w:val="0"/>
          <w:numId w:val="5"/>
        </w:numPr>
        <w:snapToGrid w:val="0"/>
        <w:spacing w:line="400" w:lineRule="exact"/>
        <w:ind w:firstLine="396" w:firstLineChars="189"/>
        <w:rPr>
          <w:rFonts w:ascii="宋体" w:hAnsi="宋体"/>
          <w:color w:val="auto"/>
          <w:szCs w:val="21"/>
        </w:rPr>
      </w:pPr>
      <w:r>
        <w:rPr>
          <w:rFonts w:hint="eastAsia" w:ascii="宋体" w:hAnsi="宋体"/>
          <w:color w:val="auto"/>
          <w:szCs w:val="21"/>
        </w:rPr>
        <w:t>现已清楚知道并严格遵守政府采购法律法规和现场纪律。</w:t>
      </w:r>
    </w:p>
    <w:p w14:paraId="3696499A">
      <w:pPr>
        <w:pStyle w:val="140"/>
        <w:widowControl/>
        <w:numPr>
          <w:ilvl w:val="0"/>
          <w:numId w:val="5"/>
        </w:numPr>
        <w:snapToGrid w:val="0"/>
        <w:spacing w:line="400" w:lineRule="exact"/>
        <w:ind w:firstLine="396" w:firstLineChars="189"/>
        <w:rPr>
          <w:rFonts w:ascii="宋体" w:hAnsi="宋体"/>
          <w:color w:val="auto"/>
          <w:szCs w:val="21"/>
        </w:rPr>
      </w:pPr>
      <w:r>
        <w:rPr>
          <w:rFonts w:hint="eastAsia" w:ascii="宋体" w:hAnsi="宋体"/>
          <w:color w:val="auto"/>
          <w:szCs w:val="21"/>
        </w:rPr>
        <w:t>我发现</w:t>
      </w:r>
      <w:r>
        <w:rPr>
          <w:rFonts w:hint="eastAsia" w:ascii="宋体" w:hAnsi="宋体"/>
          <w:color w:val="auto"/>
          <w:szCs w:val="21"/>
          <w:u w:val="single"/>
        </w:rPr>
        <w:t>供应商</w:t>
      </w:r>
      <w:r>
        <w:rPr>
          <w:rFonts w:hint="eastAsia" w:ascii="宋体" w:hAnsi="宋体"/>
          <w:color w:val="auto"/>
          <w:szCs w:val="21"/>
        </w:rPr>
        <w:t>之间存在或可能存在上述第二条第项利害关系。</w:t>
      </w:r>
    </w:p>
    <w:p w14:paraId="6819F195">
      <w:pPr>
        <w:pStyle w:val="139"/>
        <w:snapToGrid w:val="0"/>
        <w:spacing w:line="400" w:lineRule="exact"/>
        <w:ind w:firstLine="420" w:firstLineChars="200"/>
        <w:rPr>
          <w:rFonts w:hAnsi="宋体"/>
          <w:color w:val="auto"/>
          <w:szCs w:val="21"/>
        </w:rPr>
      </w:pPr>
    </w:p>
    <w:p w14:paraId="4E7B2338">
      <w:pPr>
        <w:pStyle w:val="139"/>
        <w:snapToGrid w:val="0"/>
        <w:spacing w:line="400" w:lineRule="exact"/>
        <w:ind w:firstLine="1365" w:firstLineChars="650"/>
        <w:rPr>
          <w:rFonts w:hAnsi="宋体"/>
          <w:color w:val="auto"/>
          <w:szCs w:val="21"/>
        </w:rPr>
      </w:pPr>
      <w:r>
        <w:rPr>
          <w:rFonts w:hint="eastAsia" w:hAnsi="宋体"/>
          <w:color w:val="auto"/>
          <w:szCs w:val="21"/>
        </w:rPr>
        <w:t>（供应商代表签名）</w:t>
      </w:r>
    </w:p>
    <w:p w14:paraId="102E4C00">
      <w:pPr>
        <w:spacing w:line="400" w:lineRule="exact"/>
        <w:ind w:firstLine="1318" w:firstLineChars="628"/>
        <w:rPr>
          <w:rFonts w:ascii="宋体" w:hAnsi="宋体"/>
          <w:color w:val="auto"/>
          <w:szCs w:val="21"/>
        </w:rPr>
      </w:pPr>
      <w:r>
        <w:rPr>
          <w:rFonts w:hint="eastAsia" w:ascii="宋体" w:hAnsi="宋体"/>
          <w:color w:val="auto"/>
          <w:szCs w:val="21"/>
        </w:rPr>
        <w:t>年月日</w:t>
      </w:r>
    </w:p>
    <w:p w14:paraId="60DF1B55">
      <w:pPr>
        <w:spacing w:line="400" w:lineRule="exact"/>
        <w:rPr>
          <w:rFonts w:ascii="宋体" w:hAnsi="宋体"/>
          <w:color w:val="auto"/>
          <w:szCs w:val="21"/>
        </w:rPr>
      </w:pPr>
    </w:p>
    <w:p w14:paraId="02778D6D">
      <w:pPr>
        <w:spacing w:line="400" w:lineRule="exact"/>
        <w:rPr>
          <w:rFonts w:ascii="宋体" w:hAnsi="宋体"/>
          <w:color w:val="auto"/>
          <w:szCs w:val="21"/>
        </w:rPr>
      </w:pPr>
    </w:p>
    <w:p w14:paraId="50D771C2">
      <w:pPr>
        <w:spacing w:line="500" w:lineRule="exact"/>
        <w:rPr>
          <w:rFonts w:ascii="宋体" w:hAnsi="宋体"/>
          <w:b/>
          <w:color w:val="auto"/>
          <w:sz w:val="28"/>
          <w:szCs w:val="28"/>
        </w:rPr>
      </w:pPr>
      <w:r>
        <w:rPr>
          <w:rFonts w:hint="eastAsia" w:ascii="宋体" w:hAnsi="宋体"/>
          <w:b/>
          <w:color w:val="auto"/>
          <w:sz w:val="28"/>
          <w:szCs w:val="28"/>
        </w:rPr>
        <w:t>注：</w:t>
      </w:r>
      <w:r>
        <w:rPr>
          <w:rFonts w:ascii="宋体" w:hAnsi="宋体"/>
          <w:b/>
          <w:color w:val="auto"/>
          <w:sz w:val="28"/>
          <w:szCs w:val="28"/>
        </w:rPr>
        <w:t>1</w:t>
      </w:r>
      <w:r>
        <w:rPr>
          <w:rFonts w:hint="eastAsia" w:ascii="宋体" w:hAnsi="宋体"/>
          <w:b/>
          <w:color w:val="auto"/>
          <w:sz w:val="28"/>
          <w:szCs w:val="28"/>
        </w:rPr>
        <w:t>、本表非投标文件的组成内容，不须在投标文件中提供。</w:t>
      </w:r>
    </w:p>
    <w:p w14:paraId="1D54BE22">
      <w:pPr>
        <w:spacing w:line="360" w:lineRule="auto"/>
        <w:jc w:val="center"/>
        <w:rPr>
          <w:rFonts w:ascii="宋体" w:hAnsi="宋体"/>
          <w:b/>
          <w:color w:val="auto"/>
          <w:szCs w:val="21"/>
        </w:rPr>
      </w:pPr>
      <w:r>
        <w:rPr>
          <w:rFonts w:ascii="宋体" w:hAnsi="宋体"/>
          <w:b/>
          <w:color w:val="auto"/>
          <w:sz w:val="28"/>
          <w:szCs w:val="28"/>
        </w:rPr>
        <w:br w:type="page"/>
      </w:r>
      <w:bookmarkStart w:id="74" w:name="_Toc74987437"/>
      <w:bookmarkStart w:id="75" w:name="_Toc74987469"/>
      <w:r>
        <w:rPr>
          <w:rFonts w:hint="eastAsia" w:ascii="宋体" w:hAnsi="宋体"/>
          <w:b/>
          <w:color w:val="auto"/>
          <w:szCs w:val="21"/>
        </w:rPr>
        <w:t>评分索引表（建议放在目录之前）</w:t>
      </w:r>
      <w:bookmarkEnd w:id="74"/>
      <w:bookmarkEnd w:id="75"/>
    </w:p>
    <w:tbl>
      <w:tblPr>
        <w:tblStyle w:val="4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12D9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C129CC9">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23C957B0">
            <w:pPr>
              <w:spacing w:line="300" w:lineRule="exact"/>
              <w:rPr>
                <w:rFonts w:ascii="宋体" w:hAnsi="宋体"/>
                <w:color w:val="auto"/>
                <w:szCs w:val="21"/>
                <w:lang w:val="ru-RU"/>
              </w:rPr>
            </w:pPr>
            <w:r>
              <w:rPr>
                <w:rFonts w:hint="eastAsia" w:ascii="宋体" w:hAnsi="宋体"/>
                <w:color w:val="auto"/>
                <w:szCs w:val="21"/>
              </w:rPr>
              <w:t>分值</w:t>
            </w:r>
          </w:p>
        </w:tc>
        <w:tc>
          <w:tcPr>
            <w:tcW w:w="1715" w:type="dxa"/>
            <w:tcBorders>
              <w:top w:val="single" w:color="auto" w:sz="4" w:space="0"/>
            </w:tcBorders>
            <w:vAlign w:val="center"/>
          </w:tcPr>
          <w:p w14:paraId="2E22C6BB">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18D053EA">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36AB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7A3E7C7">
            <w:pPr>
              <w:spacing w:line="400" w:lineRule="exact"/>
              <w:rPr>
                <w:rFonts w:ascii="宋体" w:hAnsi="宋体"/>
                <w:color w:val="auto"/>
                <w:szCs w:val="21"/>
              </w:rPr>
            </w:pPr>
          </w:p>
        </w:tc>
        <w:tc>
          <w:tcPr>
            <w:tcW w:w="1715" w:type="dxa"/>
            <w:vAlign w:val="center"/>
          </w:tcPr>
          <w:p w14:paraId="30D0304B">
            <w:pPr>
              <w:spacing w:line="400" w:lineRule="exact"/>
              <w:jc w:val="center"/>
              <w:rPr>
                <w:rFonts w:ascii="宋体" w:hAnsi="宋体"/>
                <w:color w:val="auto"/>
                <w:szCs w:val="21"/>
              </w:rPr>
            </w:pPr>
          </w:p>
        </w:tc>
        <w:tc>
          <w:tcPr>
            <w:tcW w:w="1716" w:type="dxa"/>
            <w:vAlign w:val="center"/>
          </w:tcPr>
          <w:p w14:paraId="012B159A">
            <w:pPr>
              <w:spacing w:line="400" w:lineRule="exact"/>
              <w:jc w:val="center"/>
              <w:rPr>
                <w:rFonts w:ascii="宋体" w:hAnsi="宋体"/>
                <w:color w:val="auto"/>
                <w:szCs w:val="21"/>
              </w:rPr>
            </w:pPr>
          </w:p>
        </w:tc>
      </w:tr>
      <w:tr w14:paraId="60A0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989FA47">
            <w:pPr>
              <w:spacing w:line="400" w:lineRule="exact"/>
              <w:rPr>
                <w:rFonts w:ascii="宋体" w:hAnsi="宋体"/>
                <w:color w:val="auto"/>
                <w:szCs w:val="21"/>
              </w:rPr>
            </w:pPr>
          </w:p>
        </w:tc>
        <w:tc>
          <w:tcPr>
            <w:tcW w:w="1715" w:type="dxa"/>
            <w:vAlign w:val="center"/>
          </w:tcPr>
          <w:p w14:paraId="1A15EEB5">
            <w:pPr>
              <w:spacing w:line="400" w:lineRule="exact"/>
              <w:jc w:val="center"/>
              <w:rPr>
                <w:rFonts w:ascii="宋体" w:hAnsi="宋体"/>
                <w:color w:val="auto"/>
                <w:szCs w:val="21"/>
              </w:rPr>
            </w:pPr>
          </w:p>
        </w:tc>
        <w:tc>
          <w:tcPr>
            <w:tcW w:w="1716" w:type="dxa"/>
            <w:vAlign w:val="center"/>
          </w:tcPr>
          <w:p w14:paraId="4B3E9C1A">
            <w:pPr>
              <w:spacing w:line="400" w:lineRule="exact"/>
              <w:jc w:val="center"/>
              <w:rPr>
                <w:rFonts w:ascii="宋体" w:hAnsi="宋体"/>
                <w:color w:val="auto"/>
                <w:szCs w:val="21"/>
              </w:rPr>
            </w:pPr>
          </w:p>
        </w:tc>
      </w:tr>
      <w:tr w14:paraId="7B17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306C968">
            <w:pPr>
              <w:spacing w:line="400" w:lineRule="exact"/>
              <w:rPr>
                <w:rFonts w:ascii="宋体" w:hAnsi="宋体"/>
                <w:color w:val="auto"/>
                <w:szCs w:val="21"/>
              </w:rPr>
            </w:pPr>
          </w:p>
        </w:tc>
        <w:tc>
          <w:tcPr>
            <w:tcW w:w="1715" w:type="dxa"/>
            <w:vAlign w:val="center"/>
          </w:tcPr>
          <w:p w14:paraId="3A607830">
            <w:pPr>
              <w:spacing w:line="400" w:lineRule="exact"/>
              <w:jc w:val="center"/>
              <w:rPr>
                <w:rFonts w:ascii="宋体" w:hAnsi="宋体"/>
                <w:color w:val="auto"/>
                <w:szCs w:val="21"/>
              </w:rPr>
            </w:pPr>
          </w:p>
        </w:tc>
        <w:tc>
          <w:tcPr>
            <w:tcW w:w="1716" w:type="dxa"/>
            <w:vAlign w:val="center"/>
          </w:tcPr>
          <w:p w14:paraId="65B0DE8A">
            <w:pPr>
              <w:spacing w:line="400" w:lineRule="exact"/>
              <w:jc w:val="center"/>
              <w:rPr>
                <w:rFonts w:ascii="宋体" w:hAnsi="宋体"/>
                <w:color w:val="auto"/>
                <w:szCs w:val="21"/>
              </w:rPr>
            </w:pPr>
          </w:p>
        </w:tc>
      </w:tr>
      <w:tr w14:paraId="3787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B10495">
            <w:pPr>
              <w:spacing w:line="400" w:lineRule="exact"/>
              <w:rPr>
                <w:rFonts w:ascii="宋体" w:hAnsi="宋体"/>
                <w:color w:val="auto"/>
                <w:szCs w:val="21"/>
              </w:rPr>
            </w:pPr>
          </w:p>
        </w:tc>
        <w:tc>
          <w:tcPr>
            <w:tcW w:w="1715" w:type="dxa"/>
            <w:vAlign w:val="center"/>
          </w:tcPr>
          <w:p w14:paraId="6003378D">
            <w:pPr>
              <w:spacing w:line="400" w:lineRule="exact"/>
              <w:jc w:val="center"/>
              <w:rPr>
                <w:rFonts w:ascii="宋体" w:hAnsi="宋体"/>
                <w:color w:val="auto"/>
                <w:szCs w:val="21"/>
              </w:rPr>
            </w:pPr>
          </w:p>
        </w:tc>
        <w:tc>
          <w:tcPr>
            <w:tcW w:w="1716" w:type="dxa"/>
            <w:vAlign w:val="center"/>
          </w:tcPr>
          <w:p w14:paraId="1BD79A2D">
            <w:pPr>
              <w:spacing w:line="400" w:lineRule="exact"/>
              <w:jc w:val="center"/>
              <w:rPr>
                <w:rFonts w:ascii="宋体" w:hAnsi="宋体"/>
                <w:color w:val="auto"/>
                <w:szCs w:val="21"/>
              </w:rPr>
            </w:pPr>
          </w:p>
        </w:tc>
      </w:tr>
      <w:tr w14:paraId="6DEC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9F4F31E">
            <w:pPr>
              <w:spacing w:line="400" w:lineRule="exact"/>
              <w:rPr>
                <w:rFonts w:ascii="宋体" w:hAnsi="宋体"/>
                <w:color w:val="auto"/>
                <w:szCs w:val="21"/>
              </w:rPr>
            </w:pPr>
          </w:p>
        </w:tc>
        <w:tc>
          <w:tcPr>
            <w:tcW w:w="1715" w:type="dxa"/>
            <w:vAlign w:val="center"/>
          </w:tcPr>
          <w:p w14:paraId="2A8876A4">
            <w:pPr>
              <w:spacing w:line="400" w:lineRule="exact"/>
              <w:jc w:val="center"/>
              <w:rPr>
                <w:rFonts w:ascii="宋体" w:hAnsi="宋体"/>
                <w:color w:val="auto"/>
                <w:szCs w:val="21"/>
              </w:rPr>
            </w:pPr>
          </w:p>
        </w:tc>
        <w:tc>
          <w:tcPr>
            <w:tcW w:w="1716" w:type="dxa"/>
            <w:vAlign w:val="center"/>
          </w:tcPr>
          <w:p w14:paraId="45454334">
            <w:pPr>
              <w:spacing w:line="400" w:lineRule="exact"/>
              <w:jc w:val="center"/>
              <w:rPr>
                <w:rFonts w:ascii="宋体" w:hAnsi="宋体"/>
                <w:color w:val="auto"/>
                <w:szCs w:val="21"/>
              </w:rPr>
            </w:pPr>
          </w:p>
        </w:tc>
      </w:tr>
      <w:tr w14:paraId="6CAA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3763C09">
            <w:pPr>
              <w:spacing w:line="400" w:lineRule="exact"/>
              <w:rPr>
                <w:rFonts w:ascii="宋体" w:hAnsi="宋体"/>
                <w:color w:val="auto"/>
                <w:szCs w:val="21"/>
              </w:rPr>
            </w:pPr>
          </w:p>
        </w:tc>
        <w:tc>
          <w:tcPr>
            <w:tcW w:w="1715" w:type="dxa"/>
            <w:vAlign w:val="center"/>
          </w:tcPr>
          <w:p w14:paraId="67F9B365">
            <w:pPr>
              <w:spacing w:line="400" w:lineRule="exact"/>
              <w:jc w:val="center"/>
              <w:rPr>
                <w:rFonts w:ascii="宋体" w:hAnsi="宋体"/>
                <w:color w:val="auto"/>
                <w:szCs w:val="21"/>
              </w:rPr>
            </w:pPr>
          </w:p>
        </w:tc>
        <w:tc>
          <w:tcPr>
            <w:tcW w:w="1716" w:type="dxa"/>
            <w:vAlign w:val="center"/>
          </w:tcPr>
          <w:p w14:paraId="4456866A">
            <w:pPr>
              <w:spacing w:line="400" w:lineRule="exact"/>
              <w:jc w:val="center"/>
              <w:rPr>
                <w:rFonts w:ascii="宋体" w:hAnsi="宋体"/>
                <w:color w:val="auto"/>
                <w:szCs w:val="21"/>
              </w:rPr>
            </w:pPr>
          </w:p>
        </w:tc>
      </w:tr>
      <w:tr w14:paraId="5718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7E2C1DC">
            <w:pPr>
              <w:spacing w:line="400" w:lineRule="exact"/>
              <w:rPr>
                <w:rFonts w:ascii="宋体" w:hAnsi="宋体"/>
                <w:color w:val="auto"/>
                <w:szCs w:val="21"/>
              </w:rPr>
            </w:pPr>
          </w:p>
        </w:tc>
        <w:tc>
          <w:tcPr>
            <w:tcW w:w="1715" w:type="dxa"/>
            <w:vAlign w:val="center"/>
          </w:tcPr>
          <w:p w14:paraId="6913680C">
            <w:pPr>
              <w:spacing w:line="400" w:lineRule="exact"/>
              <w:jc w:val="center"/>
              <w:rPr>
                <w:rFonts w:ascii="宋体" w:hAnsi="宋体"/>
                <w:color w:val="auto"/>
                <w:szCs w:val="21"/>
              </w:rPr>
            </w:pPr>
          </w:p>
        </w:tc>
        <w:tc>
          <w:tcPr>
            <w:tcW w:w="1716" w:type="dxa"/>
            <w:vAlign w:val="center"/>
          </w:tcPr>
          <w:p w14:paraId="7E64F009">
            <w:pPr>
              <w:spacing w:line="400" w:lineRule="exact"/>
              <w:jc w:val="center"/>
              <w:rPr>
                <w:rFonts w:ascii="宋体" w:hAnsi="宋体"/>
                <w:color w:val="auto"/>
                <w:szCs w:val="21"/>
              </w:rPr>
            </w:pPr>
          </w:p>
        </w:tc>
      </w:tr>
      <w:tr w14:paraId="2741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7DA8999">
            <w:pPr>
              <w:spacing w:line="400" w:lineRule="exact"/>
              <w:rPr>
                <w:rFonts w:ascii="宋体" w:hAnsi="宋体"/>
                <w:color w:val="auto"/>
                <w:szCs w:val="21"/>
              </w:rPr>
            </w:pPr>
          </w:p>
        </w:tc>
        <w:tc>
          <w:tcPr>
            <w:tcW w:w="1715" w:type="dxa"/>
            <w:vAlign w:val="center"/>
          </w:tcPr>
          <w:p w14:paraId="65E52517">
            <w:pPr>
              <w:spacing w:line="400" w:lineRule="exact"/>
              <w:jc w:val="center"/>
              <w:rPr>
                <w:rFonts w:ascii="宋体" w:hAnsi="宋体"/>
                <w:color w:val="auto"/>
                <w:szCs w:val="21"/>
              </w:rPr>
            </w:pPr>
          </w:p>
        </w:tc>
        <w:tc>
          <w:tcPr>
            <w:tcW w:w="1716" w:type="dxa"/>
            <w:vAlign w:val="center"/>
          </w:tcPr>
          <w:p w14:paraId="6EE76DF3">
            <w:pPr>
              <w:spacing w:line="400" w:lineRule="exact"/>
              <w:jc w:val="center"/>
              <w:rPr>
                <w:rFonts w:ascii="宋体" w:hAnsi="宋体"/>
                <w:color w:val="auto"/>
                <w:szCs w:val="21"/>
              </w:rPr>
            </w:pPr>
          </w:p>
        </w:tc>
      </w:tr>
      <w:tr w14:paraId="177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DB6B6E">
            <w:pPr>
              <w:spacing w:line="400" w:lineRule="exact"/>
              <w:rPr>
                <w:rFonts w:ascii="宋体" w:hAnsi="宋体"/>
                <w:color w:val="auto"/>
                <w:szCs w:val="21"/>
              </w:rPr>
            </w:pPr>
          </w:p>
        </w:tc>
        <w:tc>
          <w:tcPr>
            <w:tcW w:w="1715" w:type="dxa"/>
            <w:vAlign w:val="center"/>
          </w:tcPr>
          <w:p w14:paraId="508D2E6B">
            <w:pPr>
              <w:spacing w:line="400" w:lineRule="exact"/>
              <w:jc w:val="center"/>
              <w:rPr>
                <w:rFonts w:ascii="宋体" w:hAnsi="宋体"/>
                <w:color w:val="auto"/>
                <w:szCs w:val="21"/>
              </w:rPr>
            </w:pPr>
          </w:p>
        </w:tc>
        <w:tc>
          <w:tcPr>
            <w:tcW w:w="1716" w:type="dxa"/>
            <w:vAlign w:val="center"/>
          </w:tcPr>
          <w:p w14:paraId="48F8F1E2">
            <w:pPr>
              <w:spacing w:line="400" w:lineRule="exact"/>
              <w:jc w:val="center"/>
              <w:rPr>
                <w:rFonts w:ascii="宋体" w:hAnsi="宋体"/>
                <w:color w:val="auto"/>
                <w:szCs w:val="21"/>
              </w:rPr>
            </w:pPr>
          </w:p>
        </w:tc>
      </w:tr>
      <w:tr w14:paraId="32FF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2396AC4">
            <w:pPr>
              <w:spacing w:line="400" w:lineRule="exact"/>
              <w:rPr>
                <w:rFonts w:ascii="宋体" w:hAnsi="宋体"/>
                <w:color w:val="auto"/>
                <w:szCs w:val="21"/>
              </w:rPr>
            </w:pPr>
          </w:p>
        </w:tc>
        <w:tc>
          <w:tcPr>
            <w:tcW w:w="1715" w:type="dxa"/>
            <w:vAlign w:val="center"/>
          </w:tcPr>
          <w:p w14:paraId="2A0A1373">
            <w:pPr>
              <w:spacing w:line="400" w:lineRule="exact"/>
              <w:jc w:val="center"/>
              <w:rPr>
                <w:rFonts w:ascii="宋体" w:hAnsi="宋体"/>
                <w:color w:val="auto"/>
                <w:szCs w:val="21"/>
              </w:rPr>
            </w:pPr>
          </w:p>
        </w:tc>
        <w:tc>
          <w:tcPr>
            <w:tcW w:w="1716" w:type="dxa"/>
            <w:vAlign w:val="center"/>
          </w:tcPr>
          <w:p w14:paraId="0CE8D064">
            <w:pPr>
              <w:spacing w:line="400" w:lineRule="exact"/>
              <w:jc w:val="center"/>
              <w:rPr>
                <w:rFonts w:ascii="宋体" w:hAnsi="宋体"/>
                <w:color w:val="auto"/>
                <w:szCs w:val="21"/>
              </w:rPr>
            </w:pPr>
          </w:p>
        </w:tc>
      </w:tr>
      <w:tr w14:paraId="6BB1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5BE09B0">
            <w:pPr>
              <w:spacing w:line="400" w:lineRule="exact"/>
              <w:rPr>
                <w:rFonts w:ascii="宋体" w:hAnsi="宋体"/>
                <w:color w:val="auto"/>
                <w:szCs w:val="21"/>
              </w:rPr>
            </w:pPr>
          </w:p>
        </w:tc>
        <w:tc>
          <w:tcPr>
            <w:tcW w:w="1715" w:type="dxa"/>
            <w:vAlign w:val="center"/>
          </w:tcPr>
          <w:p w14:paraId="5FBECA82">
            <w:pPr>
              <w:spacing w:line="400" w:lineRule="exact"/>
              <w:jc w:val="center"/>
              <w:rPr>
                <w:rFonts w:ascii="宋体" w:hAnsi="宋体"/>
                <w:color w:val="auto"/>
                <w:szCs w:val="21"/>
              </w:rPr>
            </w:pPr>
          </w:p>
        </w:tc>
        <w:tc>
          <w:tcPr>
            <w:tcW w:w="1716" w:type="dxa"/>
            <w:vAlign w:val="center"/>
          </w:tcPr>
          <w:p w14:paraId="307EA664">
            <w:pPr>
              <w:spacing w:line="400" w:lineRule="exact"/>
              <w:jc w:val="center"/>
              <w:rPr>
                <w:rFonts w:ascii="宋体" w:hAnsi="宋体"/>
                <w:color w:val="auto"/>
                <w:szCs w:val="21"/>
              </w:rPr>
            </w:pPr>
          </w:p>
        </w:tc>
      </w:tr>
    </w:tbl>
    <w:p w14:paraId="1B16BCD5">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531EFFF8">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附表3“商务和技术评分表”。</w:t>
      </w:r>
    </w:p>
    <w:p w14:paraId="6557BDD0">
      <w:pPr>
        <w:spacing w:line="400" w:lineRule="exact"/>
        <w:rPr>
          <w:rFonts w:ascii="宋体" w:hAnsi="宋体"/>
          <w:b/>
          <w:color w:val="auto"/>
          <w:sz w:val="28"/>
          <w:szCs w:val="28"/>
        </w:rPr>
      </w:pPr>
    </w:p>
    <w:p w14:paraId="69A7A91D">
      <w:pPr>
        <w:spacing w:line="500" w:lineRule="exact"/>
        <w:rPr>
          <w:rFonts w:ascii="宋体" w:hAnsi="宋体"/>
          <w:b/>
          <w:color w:val="auto"/>
          <w:sz w:val="28"/>
          <w:szCs w:val="28"/>
        </w:rPr>
      </w:pPr>
    </w:p>
    <w:p w14:paraId="52464499">
      <w:pPr>
        <w:pStyle w:val="26"/>
        <w:spacing w:line="360" w:lineRule="auto"/>
        <w:ind w:left="101" w:leftChars="48" w:firstLine="2880" w:firstLineChars="800"/>
        <w:jc w:val="left"/>
        <w:rPr>
          <w:rFonts w:hAnsi="宋体"/>
          <w:color w:val="auto"/>
          <w:sz w:val="36"/>
          <w:szCs w:val="36"/>
        </w:rPr>
        <w:sectPr>
          <w:footerReference r:id="rId8" w:type="default"/>
          <w:pgSz w:w="11907" w:h="16840"/>
          <w:pgMar w:top="1440" w:right="1080" w:bottom="1440" w:left="1080" w:header="285" w:footer="990" w:gutter="0"/>
          <w:cols w:space="720" w:num="1"/>
          <w:docGrid w:linePitch="285" w:charSpace="0"/>
        </w:sectPr>
      </w:pPr>
    </w:p>
    <w:tbl>
      <w:tblPr>
        <w:tblStyle w:val="48"/>
        <w:tblW w:w="15077" w:type="dxa"/>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784E6317">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18DAA289">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67615F5A">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09E6658B">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68" w:type="dxa"/>
            <w:gridSpan w:val="3"/>
            <w:tcBorders>
              <w:top w:val="single" w:color="auto" w:sz="8" w:space="0"/>
              <w:left w:val="nil"/>
              <w:bottom w:val="single" w:color="auto" w:sz="4" w:space="0"/>
              <w:right w:val="single" w:color="000000" w:sz="8" w:space="0"/>
            </w:tcBorders>
            <w:vAlign w:val="bottom"/>
          </w:tcPr>
          <w:p w14:paraId="2833ABA5">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76E26408">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0450136D">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6B7B7043">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5AC44D34">
            <w:pPr>
              <w:widowControl/>
              <w:jc w:val="left"/>
              <w:rPr>
                <w:rFonts w:ascii="宋体" w:hAnsi="宋体" w:cs="宋体"/>
                <w:b/>
                <w:bCs/>
                <w:color w:val="auto"/>
                <w:kern w:val="0"/>
                <w:sz w:val="24"/>
              </w:rPr>
            </w:pPr>
          </w:p>
        </w:tc>
        <w:tc>
          <w:tcPr>
            <w:tcW w:w="1512" w:type="dxa"/>
            <w:tcBorders>
              <w:top w:val="nil"/>
              <w:left w:val="nil"/>
              <w:bottom w:val="single" w:color="auto" w:sz="4" w:space="0"/>
              <w:right w:val="single" w:color="auto" w:sz="4" w:space="0"/>
            </w:tcBorders>
            <w:vAlign w:val="bottom"/>
          </w:tcPr>
          <w:p w14:paraId="14A4BD45">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79" w:type="dxa"/>
            <w:tcBorders>
              <w:top w:val="nil"/>
              <w:left w:val="nil"/>
              <w:bottom w:val="single" w:color="auto" w:sz="4" w:space="0"/>
              <w:right w:val="single" w:color="auto" w:sz="4" w:space="0"/>
            </w:tcBorders>
            <w:vAlign w:val="bottom"/>
          </w:tcPr>
          <w:p w14:paraId="486CCDD8">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0AA490DF">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77" w:type="dxa"/>
            <w:tcBorders>
              <w:top w:val="nil"/>
              <w:left w:val="nil"/>
              <w:bottom w:val="single" w:color="auto" w:sz="4" w:space="0"/>
              <w:right w:val="single" w:color="auto" w:sz="8" w:space="0"/>
            </w:tcBorders>
            <w:vAlign w:val="bottom"/>
          </w:tcPr>
          <w:p w14:paraId="49FEF44A">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38A9DFB">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2" w:type="dxa"/>
            <w:tcBorders>
              <w:top w:val="nil"/>
              <w:left w:val="nil"/>
              <w:bottom w:val="single" w:color="auto" w:sz="4" w:space="0"/>
              <w:right w:val="single" w:color="auto" w:sz="4" w:space="0"/>
            </w:tcBorders>
            <w:vAlign w:val="bottom"/>
          </w:tcPr>
          <w:p w14:paraId="5E722922">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4" w:type="dxa"/>
            <w:tcBorders>
              <w:top w:val="nil"/>
              <w:left w:val="nil"/>
              <w:bottom w:val="single" w:color="auto" w:sz="4" w:space="0"/>
              <w:right w:val="single" w:color="auto" w:sz="4" w:space="0"/>
            </w:tcBorders>
            <w:vAlign w:val="bottom"/>
          </w:tcPr>
          <w:p w14:paraId="5AA25E29">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2BF28FBF">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6" w:type="dxa"/>
            <w:tcBorders>
              <w:top w:val="nil"/>
              <w:left w:val="nil"/>
              <w:bottom w:val="single" w:color="auto" w:sz="4" w:space="0"/>
              <w:right w:val="single" w:color="auto" w:sz="8" w:space="0"/>
            </w:tcBorders>
            <w:vAlign w:val="bottom"/>
          </w:tcPr>
          <w:p w14:paraId="6ED7C3ED">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3075EDCB">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7" w:type="dxa"/>
            <w:tcBorders>
              <w:top w:val="nil"/>
              <w:left w:val="nil"/>
              <w:bottom w:val="single" w:color="auto" w:sz="4" w:space="0"/>
              <w:right w:val="single" w:color="auto" w:sz="4" w:space="0"/>
            </w:tcBorders>
            <w:vAlign w:val="bottom"/>
          </w:tcPr>
          <w:p w14:paraId="4CE3D4E0">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7" w:type="dxa"/>
            <w:tcBorders>
              <w:top w:val="nil"/>
              <w:left w:val="nil"/>
              <w:bottom w:val="single" w:color="auto" w:sz="4" w:space="0"/>
              <w:right w:val="single" w:color="auto" w:sz="4" w:space="0"/>
            </w:tcBorders>
            <w:vAlign w:val="bottom"/>
          </w:tcPr>
          <w:p w14:paraId="1824703E">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4" w:type="dxa"/>
            <w:tcBorders>
              <w:top w:val="nil"/>
              <w:left w:val="nil"/>
              <w:bottom w:val="single" w:color="auto" w:sz="4" w:space="0"/>
              <w:right w:val="single" w:color="auto" w:sz="8" w:space="0"/>
            </w:tcBorders>
            <w:vAlign w:val="bottom"/>
          </w:tcPr>
          <w:p w14:paraId="0A94F8B8">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43EA102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D8A3F34">
            <w:pPr>
              <w:widowControl/>
              <w:jc w:val="left"/>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2" w:type="dxa"/>
            <w:tcBorders>
              <w:top w:val="nil"/>
              <w:left w:val="nil"/>
              <w:bottom w:val="single" w:color="auto" w:sz="4" w:space="0"/>
              <w:right w:val="single" w:color="auto" w:sz="4" w:space="0"/>
            </w:tcBorders>
            <w:vAlign w:val="center"/>
          </w:tcPr>
          <w:p w14:paraId="6A64CD93">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14:paraId="368A0D94">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vAlign w:val="center"/>
          </w:tcPr>
          <w:p w14:paraId="1F392383">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02DC36D3">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14:paraId="348FBE5D">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vAlign w:val="center"/>
          </w:tcPr>
          <w:p w14:paraId="3BD57572">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6EF861B7">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14:paraId="4CE828B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vAlign w:val="center"/>
          </w:tcPr>
          <w:p w14:paraId="43990013">
            <w:pPr>
              <w:widowControl/>
              <w:rPr>
                <w:rFonts w:ascii="宋体" w:hAnsi="宋体" w:cs="宋体"/>
                <w:color w:val="auto"/>
                <w:kern w:val="0"/>
                <w:sz w:val="20"/>
              </w:rPr>
            </w:pPr>
            <w:r>
              <w:rPr>
                <w:rFonts w:hint="eastAsia" w:ascii="宋体" w:hAnsi="宋体" w:cs="宋体"/>
                <w:color w:val="auto"/>
                <w:kern w:val="0"/>
                <w:sz w:val="20"/>
              </w:rPr>
              <w:t>　</w:t>
            </w:r>
          </w:p>
        </w:tc>
      </w:tr>
      <w:tr w14:paraId="2D9275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3DBB5A6">
            <w:pPr>
              <w:widowControl/>
              <w:jc w:val="left"/>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2" w:type="dxa"/>
            <w:tcBorders>
              <w:top w:val="nil"/>
              <w:left w:val="nil"/>
              <w:bottom w:val="single" w:color="auto" w:sz="4" w:space="0"/>
              <w:right w:val="single" w:color="auto" w:sz="4" w:space="0"/>
            </w:tcBorders>
            <w:vAlign w:val="center"/>
          </w:tcPr>
          <w:p w14:paraId="7D08E06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14:paraId="42F63930">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vAlign w:val="center"/>
          </w:tcPr>
          <w:p w14:paraId="1494A92E">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6792942C">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14:paraId="021C7DCD">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14:paraId="24373902">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1BF3F53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14:paraId="6EDB646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vAlign w:val="center"/>
          </w:tcPr>
          <w:p w14:paraId="53E79CCA">
            <w:pPr>
              <w:widowControl/>
              <w:rPr>
                <w:rFonts w:ascii="宋体" w:hAnsi="宋体" w:cs="宋体"/>
                <w:color w:val="auto"/>
                <w:kern w:val="0"/>
                <w:sz w:val="20"/>
              </w:rPr>
            </w:pPr>
            <w:r>
              <w:rPr>
                <w:rFonts w:hint="eastAsia" w:ascii="宋体" w:hAnsi="宋体" w:cs="宋体"/>
                <w:color w:val="auto"/>
                <w:kern w:val="0"/>
                <w:sz w:val="20"/>
              </w:rPr>
              <w:t>　</w:t>
            </w:r>
          </w:p>
        </w:tc>
      </w:tr>
      <w:tr w14:paraId="716CB19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78D7F81">
            <w:pPr>
              <w:widowControl/>
              <w:jc w:val="left"/>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2" w:type="dxa"/>
            <w:tcBorders>
              <w:top w:val="nil"/>
              <w:left w:val="nil"/>
              <w:bottom w:val="single" w:color="auto" w:sz="4" w:space="0"/>
              <w:right w:val="single" w:color="auto" w:sz="4" w:space="0"/>
            </w:tcBorders>
            <w:vAlign w:val="center"/>
          </w:tcPr>
          <w:p w14:paraId="68B2C39D">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14:paraId="53241D7C">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77" w:type="dxa"/>
            <w:tcBorders>
              <w:top w:val="nil"/>
              <w:left w:val="nil"/>
              <w:bottom w:val="single" w:color="auto" w:sz="4" w:space="0"/>
              <w:right w:val="single" w:color="auto" w:sz="8" w:space="0"/>
            </w:tcBorders>
            <w:vAlign w:val="center"/>
          </w:tcPr>
          <w:p w14:paraId="7E87A10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2" w:type="dxa"/>
            <w:tcBorders>
              <w:top w:val="nil"/>
              <w:left w:val="nil"/>
              <w:bottom w:val="single" w:color="auto" w:sz="4" w:space="0"/>
              <w:right w:val="single" w:color="auto" w:sz="4" w:space="0"/>
            </w:tcBorders>
            <w:vAlign w:val="center"/>
          </w:tcPr>
          <w:p w14:paraId="0CB3D66A">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14:paraId="1C1E79AD">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6" w:type="dxa"/>
            <w:tcBorders>
              <w:top w:val="nil"/>
              <w:left w:val="nil"/>
              <w:bottom w:val="single" w:color="auto" w:sz="4" w:space="0"/>
              <w:right w:val="single" w:color="auto" w:sz="8" w:space="0"/>
            </w:tcBorders>
            <w:vAlign w:val="center"/>
          </w:tcPr>
          <w:p w14:paraId="5088F200">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vAlign w:val="center"/>
          </w:tcPr>
          <w:p w14:paraId="75C1B4FE">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14:paraId="30ABF62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4" w:type="dxa"/>
            <w:tcBorders>
              <w:top w:val="nil"/>
              <w:left w:val="nil"/>
              <w:bottom w:val="single" w:color="auto" w:sz="4" w:space="0"/>
              <w:right w:val="single" w:color="auto" w:sz="8" w:space="0"/>
            </w:tcBorders>
            <w:vAlign w:val="center"/>
          </w:tcPr>
          <w:p w14:paraId="55C04FC9">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192711E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2D075ED">
            <w:pPr>
              <w:widowControl/>
              <w:jc w:val="left"/>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2" w:type="dxa"/>
            <w:tcBorders>
              <w:top w:val="nil"/>
              <w:left w:val="nil"/>
              <w:bottom w:val="single" w:color="auto" w:sz="4" w:space="0"/>
              <w:right w:val="single" w:color="auto" w:sz="4" w:space="0"/>
            </w:tcBorders>
            <w:vAlign w:val="center"/>
          </w:tcPr>
          <w:p w14:paraId="43547FB2">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vAlign w:val="center"/>
          </w:tcPr>
          <w:p w14:paraId="290AA1C4">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77" w:type="dxa"/>
            <w:tcBorders>
              <w:top w:val="nil"/>
              <w:left w:val="nil"/>
              <w:bottom w:val="single" w:color="auto" w:sz="4" w:space="0"/>
              <w:right w:val="single" w:color="auto" w:sz="8" w:space="0"/>
            </w:tcBorders>
            <w:vAlign w:val="center"/>
          </w:tcPr>
          <w:p w14:paraId="2B41C710">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3F407E79">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4" w:type="dxa"/>
            <w:tcBorders>
              <w:top w:val="nil"/>
              <w:left w:val="nil"/>
              <w:bottom w:val="single" w:color="auto" w:sz="4" w:space="0"/>
              <w:right w:val="single" w:color="auto" w:sz="4" w:space="0"/>
            </w:tcBorders>
            <w:vAlign w:val="center"/>
          </w:tcPr>
          <w:p w14:paraId="7407731E">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6" w:type="dxa"/>
            <w:tcBorders>
              <w:top w:val="nil"/>
              <w:left w:val="nil"/>
              <w:bottom w:val="single" w:color="auto" w:sz="4" w:space="0"/>
              <w:right w:val="single" w:color="auto" w:sz="8" w:space="0"/>
            </w:tcBorders>
            <w:vAlign w:val="center"/>
          </w:tcPr>
          <w:p w14:paraId="104BAFFD">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79EECE7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7" w:type="dxa"/>
            <w:tcBorders>
              <w:top w:val="nil"/>
              <w:left w:val="nil"/>
              <w:bottom w:val="single" w:color="auto" w:sz="4" w:space="0"/>
              <w:right w:val="single" w:color="auto" w:sz="4" w:space="0"/>
            </w:tcBorders>
            <w:vAlign w:val="center"/>
          </w:tcPr>
          <w:p w14:paraId="1ED4301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4" w:type="dxa"/>
            <w:tcBorders>
              <w:top w:val="nil"/>
              <w:left w:val="nil"/>
              <w:bottom w:val="single" w:color="auto" w:sz="4" w:space="0"/>
              <w:right w:val="single" w:color="auto" w:sz="8" w:space="0"/>
            </w:tcBorders>
            <w:vAlign w:val="center"/>
          </w:tcPr>
          <w:p w14:paraId="2B25AD1D">
            <w:pPr>
              <w:widowControl/>
              <w:rPr>
                <w:rFonts w:ascii="宋体" w:hAnsi="宋体" w:cs="宋体"/>
                <w:color w:val="auto"/>
                <w:kern w:val="0"/>
                <w:sz w:val="20"/>
              </w:rPr>
            </w:pPr>
            <w:r>
              <w:rPr>
                <w:rFonts w:hint="eastAsia" w:ascii="宋体" w:hAnsi="宋体" w:cs="宋体"/>
                <w:color w:val="auto"/>
                <w:kern w:val="0"/>
                <w:sz w:val="20"/>
              </w:rPr>
              <w:t>　</w:t>
            </w:r>
          </w:p>
        </w:tc>
      </w:tr>
      <w:tr w14:paraId="4CB2787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77F3429">
            <w:pPr>
              <w:widowControl/>
              <w:jc w:val="left"/>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2" w:type="dxa"/>
            <w:tcBorders>
              <w:top w:val="nil"/>
              <w:left w:val="nil"/>
              <w:bottom w:val="single" w:color="auto" w:sz="4" w:space="0"/>
              <w:right w:val="single" w:color="auto" w:sz="4" w:space="0"/>
            </w:tcBorders>
            <w:vAlign w:val="center"/>
          </w:tcPr>
          <w:p w14:paraId="653A571E">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14:paraId="530955F9">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77" w:type="dxa"/>
            <w:tcBorders>
              <w:top w:val="nil"/>
              <w:left w:val="nil"/>
              <w:bottom w:val="single" w:color="auto" w:sz="4" w:space="0"/>
              <w:right w:val="single" w:color="auto" w:sz="8" w:space="0"/>
            </w:tcBorders>
            <w:vAlign w:val="center"/>
          </w:tcPr>
          <w:p w14:paraId="7F7B24ED">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1D1DD34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4" w:type="dxa"/>
            <w:tcBorders>
              <w:top w:val="nil"/>
              <w:left w:val="nil"/>
              <w:bottom w:val="single" w:color="auto" w:sz="4" w:space="0"/>
              <w:right w:val="single" w:color="auto" w:sz="4" w:space="0"/>
            </w:tcBorders>
            <w:vAlign w:val="center"/>
          </w:tcPr>
          <w:p w14:paraId="5957F9C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6" w:type="dxa"/>
            <w:tcBorders>
              <w:top w:val="nil"/>
              <w:left w:val="nil"/>
              <w:bottom w:val="single" w:color="auto" w:sz="4" w:space="0"/>
              <w:right w:val="single" w:color="auto" w:sz="8" w:space="0"/>
            </w:tcBorders>
            <w:vAlign w:val="center"/>
          </w:tcPr>
          <w:p w14:paraId="3A55FF0B">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7D92D5E8">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258DAAF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107C6E63">
            <w:pPr>
              <w:widowControl/>
              <w:rPr>
                <w:rFonts w:ascii="宋体" w:hAnsi="宋体" w:cs="宋体"/>
                <w:color w:val="auto"/>
                <w:kern w:val="0"/>
                <w:sz w:val="20"/>
              </w:rPr>
            </w:pPr>
            <w:r>
              <w:rPr>
                <w:rFonts w:hint="eastAsia" w:ascii="宋体" w:hAnsi="宋体" w:cs="宋体"/>
                <w:color w:val="auto"/>
                <w:kern w:val="0"/>
                <w:sz w:val="20"/>
              </w:rPr>
              <w:t>　</w:t>
            </w:r>
          </w:p>
        </w:tc>
      </w:tr>
      <w:tr w14:paraId="4D986FC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67908F1">
            <w:pPr>
              <w:widowControl/>
              <w:jc w:val="left"/>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2" w:type="dxa"/>
            <w:tcBorders>
              <w:top w:val="nil"/>
              <w:left w:val="nil"/>
              <w:bottom w:val="single" w:color="auto" w:sz="4" w:space="0"/>
              <w:right w:val="single" w:color="auto" w:sz="4" w:space="0"/>
            </w:tcBorders>
            <w:vAlign w:val="center"/>
          </w:tcPr>
          <w:p w14:paraId="1E137B65">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14:paraId="27906B5D">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14:paraId="0A8E0E19">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485BFA00">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14:paraId="3B5B5B5E">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6" w:type="dxa"/>
            <w:tcBorders>
              <w:top w:val="nil"/>
              <w:left w:val="nil"/>
              <w:bottom w:val="single" w:color="auto" w:sz="4" w:space="0"/>
              <w:right w:val="single" w:color="auto" w:sz="8" w:space="0"/>
            </w:tcBorders>
            <w:vAlign w:val="center"/>
          </w:tcPr>
          <w:p w14:paraId="2FB3C338">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19B2FFD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14:paraId="16A1ED6A">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4" w:type="dxa"/>
            <w:tcBorders>
              <w:top w:val="nil"/>
              <w:left w:val="nil"/>
              <w:bottom w:val="single" w:color="auto" w:sz="4" w:space="0"/>
              <w:right w:val="single" w:color="auto" w:sz="8" w:space="0"/>
            </w:tcBorders>
            <w:vAlign w:val="center"/>
          </w:tcPr>
          <w:p w14:paraId="502974A6">
            <w:pPr>
              <w:widowControl/>
              <w:rPr>
                <w:rFonts w:ascii="宋体" w:hAnsi="宋体" w:cs="宋体"/>
                <w:color w:val="auto"/>
                <w:kern w:val="0"/>
                <w:sz w:val="20"/>
              </w:rPr>
            </w:pPr>
            <w:r>
              <w:rPr>
                <w:rFonts w:hint="eastAsia" w:ascii="宋体" w:hAnsi="宋体" w:cs="宋体"/>
                <w:color w:val="auto"/>
                <w:kern w:val="0"/>
                <w:sz w:val="20"/>
              </w:rPr>
              <w:t>　</w:t>
            </w:r>
          </w:p>
        </w:tc>
      </w:tr>
      <w:tr w14:paraId="28697BF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759C096">
            <w:pPr>
              <w:widowControl/>
              <w:jc w:val="left"/>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2" w:type="dxa"/>
            <w:tcBorders>
              <w:top w:val="nil"/>
              <w:left w:val="nil"/>
              <w:bottom w:val="single" w:color="auto" w:sz="4" w:space="0"/>
              <w:right w:val="single" w:color="auto" w:sz="4" w:space="0"/>
            </w:tcBorders>
            <w:vAlign w:val="center"/>
          </w:tcPr>
          <w:p w14:paraId="077172E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79" w:type="dxa"/>
            <w:tcBorders>
              <w:top w:val="nil"/>
              <w:left w:val="nil"/>
              <w:bottom w:val="single" w:color="auto" w:sz="4" w:space="0"/>
              <w:right w:val="single" w:color="auto" w:sz="4" w:space="0"/>
            </w:tcBorders>
            <w:vAlign w:val="center"/>
          </w:tcPr>
          <w:p w14:paraId="6DC04936">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14:paraId="3687AA51">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3CF324B0">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07EEFF3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14:paraId="39163511">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22851B05">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14:paraId="0E80C5A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773C5BDE">
            <w:pPr>
              <w:widowControl/>
              <w:rPr>
                <w:rFonts w:ascii="宋体" w:hAnsi="宋体" w:cs="宋体"/>
                <w:color w:val="auto"/>
                <w:kern w:val="0"/>
                <w:sz w:val="20"/>
              </w:rPr>
            </w:pPr>
            <w:r>
              <w:rPr>
                <w:rFonts w:hint="eastAsia" w:ascii="宋体" w:hAnsi="宋体" w:cs="宋体"/>
                <w:color w:val="auto"/>
                <w:kern w:val="0"/>
                <w:sz w:val="20"/>
              </w:rPr>
              <w:t>　</w:t>
            </w:r>
          </w:p>
        </w:tc>
      </w:tr>
      <w:tr w14:paraId="4350C58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0B2450B">
            <w:pPr>
              <w:widowControl/>
              <w:jc w:val="left"/>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2" w:type="dxa"/>
            <w:tcBorders>
              <w:top w:val="nil"/>
              <w:left w:val="nil"/>
              <w:bottom w:val="single" w:color="auto" w:sz="4" w:space="0"/>
              <w:right w:val="single" w:color="auto" w:sz="4" w:space="0"/>
            </w:tcBorders>
            <w:vAlign w:val="center"/>
          </w:tcPr>
          <w:p w14:paraId="0ACFFC2A">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14:paraId="139BF9AA">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77" w:type="dxa"/>
            <w:tcBorders>
              <w:top w:val="nil"/>
              <w:left w:val="nil"/>
              <w:bottom w:val="single" w:color="auto" w:sz="4" w:space="0"/>
              <w:right w:val="single" w:color="auto" w:sz="8" w:space="0"/>
            </w:tcBorders>
            <w:vAlign w:val="center"/>
          </w:tcPr>
          <w:p w14:paraId="45B6D378">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2934B095">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14:paraId="09D63E5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14:paraId="7BDF6014">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6D63937B">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7" w:type="dxa"/>
            <w:tcBorders>
              <w:top w:val="nil"/>
              <w:left w:val="nil"/>
              <w:bottom w:val="single" w:color="auto" w:sz="4" w:space="0"/>
              <w:right w:val="single" w:color="auto" w:sz="4" w:space="0"/>
            </w:tcBorders>
            <w:vAlign w:val="center"/>
          </w:tcPr>
          <w:p w14:paraId="50BD461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680C6250">
            <w:pPr>
              <w:widowControl/>
              <w:rPr>
                <w:rFonts w:ascii="宋体" w:hAnsi="宋体" w:cs="宋体"/>
                <w:color w:val="auto"/>
                <w:kern w:val="0"/>
                <w:sz w:val="20"/>
              </w:rPr>
            </w:pPr>
            <w:r>
              <w:rPr>
                <w:rFonts w:hint="eastAsia" w:ascii="宋体" w:hAnsi="宋体" w:cs="宋体"/>
                <w:color w:val="auto"/>
                <w:kern w:val="0"/>
                <w:sz w:val="20"/>
              </w:rPr>
              <w:t>　</w:t>
            </w:r>
          </w:p>
        </w:tc>
      </w:tr>
      <w:tr w14:paraId="58E6C2E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F2B60F8">
            <w:pPr>
              <w:widowControl/>
              <w:jc w:val="left"/>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2" w:type="dxa"/>
            <w:tcBorders>
              <w:top w:val="nil"/>
              <w:left w:val="nil"/>
              <w:bottom w:val="single" w:color="auto" w:sz="4" w:space="0"/>
              <w:right w:val="single" w:color="auto" w:sz="4" w:space="0"/>
            </w:tcBorders>
            <w:vAlign w:val="center"/>
          </w:tcPr>
          <w:p w14:paraId="039AA92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14:paraId="0D2C75DD">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14:paraId="2472B1B8">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51AA4F3D">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7F5AD7A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14:paraId="2ADAE022">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282D959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1277DBAC">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35E258F4">
            <w:pPr>
              <w:widowControl/>
              <w:rPr>
                <w:rFonts w:ascii="宋体" w:hAnsi="宋体" w:cs="宋体"/>
                <w:color w:val="auto"/>
                <w:kern w:val="0"/>
                <w:sz w:val="20"/>
              </w:rPr>
            </w:pPr>
            <w:r>
              <w:rPr>
                <w:rFonts w:hint="eastAsia" w:ascii="宋体" w:hAnsi="宋体" w:cs="宋体"/>
                <w:color w:val="auto"/>
                <w:kern w:val="0"/>
                <w:sz w:val="20"/>
              </w:rPr>
              <w:t>　</w:t>
            </w:r>
          </w:p>
        </w:tc>
      </w:tr>
      <w:tr w14:paraId="6B8EA4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128387F">
            <w:pPr>
              <w:widowControl/>
              <w:jc w:val="left"/>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2" w:type="dxa"/>
            <w:tcBorders>
              <w:top w:val="nil"/>
              <w:left w:val="nil"/>
              <w:bottom w:val="single" w:color="auto" w:sz="4" w:space="0"/>
              <w:right w:val="single" w:color="auto" w:sz="4" w:space="0"/>
            </w:tcBorders>
            <w:vAlign w:val="center"/>
          </w:tcPr>
          <w:p w14:paraId="2A2063E8">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14:paraId="0B12B954">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14:paraId="3532F53A">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15CA7029">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17ECD96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6" w:type="dxa"/>
            <w:tcBorders>
              <w:top w:val="nil"/>
              <w:left w:val="nil"/>
              <w:bottom w:val="single" w:color="auto" w:sz="4" w:space="0"/>
              <w:right w:val="single" w:color="auto" w:sz="8" w:space="0"/>
            </w:tcBorders>
            <w:vAlign w:val="center"/>
          </w:tcPr>
          <w:p w14:paraId="3F8E79E3">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282D477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5897DA08">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7A854855">
            <w:pPr>
              <w:widowControl/>
              <w:rPr>
                <w:rFonts w:ascii="宋体" w:hAnsi="宋体" w:cs="宋体"/>
                <w:color w:val="auto"/>
                <w:kern w:val="0"/>
                <w:sz w:val="20"/>
              </w:rPr>
            </w:pPr>
            <w:r>
              <w:rPr>
                <w:rFonts w:hint="eastAsia" w:ascii="宋体" w:hAnsi="宋体" w:cs="宋体"/>
                <w:color w:val="auto"/>
                <w:kern w:val="0"/>
                <w:sz w:val="20"/>
              </w:rPr>
              <w:t>　</w:t>
            </w:r>
          </w:p>
        </w:tc>
      </w:tr>
      <w:tr w14:paraId="7C7FA7A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6386FFA">
            <w:pPr>
              <w:widowControl/>
              <w:jc w:val="left"/>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2" w:type="dxa"/>
            <w:tcBorders>
              <w:top w:val="nil"/>
              <w:left w:val="nil"/>
              <w:bottom w:val="single" w:color="auto" w:sz="4" w:space="0"/>
              <w:right w:val="single" w:color="auto" w:sz="4" w:space="0"/>
            </w:tcBorders>
            <w:vAlign w:val="center"/>
          </w:tcPr>
          <w:p w14:paraId="4169D1C6">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79" w:type="dxa"/>
            <w:tcBorders>
              <w:top w:val="nil"/>
              <w:left w:val="nil"/>
              <w:bottom w:val="single" w:color="auto" w:sz="4" w:space="0"/>
              <w:right w:val="single" w:color="auto" w:sz="4" w:space="0"/>
            </w:tcBorders>
            <w:vAlign w:val="center"/>
          </w:tcPr>
          <w:p w14:paraId="520DADDE">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77" w:type="dxa"/>
            <w:tcBorders>
              <w:top w:val="nil"/>
              <w:left w:val="nil"/>
              <w:bottom w:val="single" w:color="auto" w:sz="4" w:space="0"/>
              <w:right w:val="single" w:color="auto" w:sz="8" w:space="0"/>
            </w:tcBorders>
            <w:vAlign w:val="center"/>
          </w:tcPr>
          <w:p w14:paraId="3BAA11A4">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368FB587">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0CD1D2CE">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14:paraId="4C2A29ED">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41B32E1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50291224">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5615743B">
            <w:pPr>
              <w:widowControl/>
              <w:rPr>
                <w:rFonts w:ascii="宋体" w:hAnsi="宋体" w:cs="宋体"/>
                <w:color w:val="auto"/>
                <w:kern w:val="0"/>
                <w:sz w:val="20"/>
              </w:rPr>
            </w:pPr>
            <w:r>
              <w:rPr>
                <w:rFonts w:hint="eastAsia" w:ascii="宋体" w:hAnsi="宋体" w:cs="宋体"/>
                <w:color w:val="auto"/>
                <w:kern w:val="0"/>
                <w:sz w:val="20"/>
              </w:rPr>
              <w:t>　</w:t>
            </w:r>
          </w:p>
        </w:tc>
      </w:tr>
      <w:tr w14:paraId="3E7F6B6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F0A720D">
            <w:pPr>
              <w:widowControl/>
              <w:jc w:val="left"/>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2" w:type="dxa"/>
            <w:tcBorders>
              <w:top w:val="nil"/>
              <w:left w:val="nil"/>
              <w:bottom w:val="single" w:color="auto" w:sz="4" w:space="0"/>
              <w:right w:val="single" w:color="auto" w:sz="4" w:space="0"/>
            </w:tcBorders>
            <w:vAlign w:val="center"/>
          </w:tcPr>
          <w:p w14:paraId="58A8F7C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14:paraId="58072B66">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77" w:type="dxa"/>
            <w:tcBorders>
              <w:top w:val="nil"/>
              <w:left w:val="nil"/>
              <w:bottom w:val="single" w:color="auto" w:sz="4" w:space="0"/>
              <w:right w:val="single" w:color="auto" w:sz="8" w:space="0"/>
            </w:tcBorders>
            <w:vAlign w:val="center"/>
          </w:tcPr>
          <w:p w14:paraId="3643E42E">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65144579">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77109FA2">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14:paraId="52729635">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65A00B40">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49C599F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4" w:type="dxa"/>
            <w:tcBorders>
              <w:top w:val="nil"/>
              <w:left w:val="nil"/>
              <w:bottom w:val="single" w:color="auto" w:sz="4" w:space="0"/>
              <w:right w:val="single" w:color="auto" w:sz="8" w:space="0"/>
            </w:tcBorders>
            <w:vAlign w:val="center"/>
          </w:tcPr>
          <w:p w14:paraId="3E1251DB">
            <w:pPr>
              <w:widowControl/>
              <w:rPr>
                <w:rFonts w:ascii="宋体" w:hAnsi="宋体" w:cs="宋体"/>
                <w:color w:val="auto"/>
                <w:kern w:val="0"/>
                <w:sz w:val="20"/>
              </w:rPr>
            </w:pPr>
            <w:r>
              <w:rPr>
                <w:rFonts w:hint="eastAsia" w:ascii="宋体" w:hAnsi="宋体" w:cs="宋体"/>
                <w:color w:val="auto"/>
                <w:kern w:val="0"/>
                <w:sz w:val="20"/>
              </w:rPr>
              <w:t>　</w:t>
            </w:r>
          </w:p>
        </w:tc>
      </w:tr>
      <w:tr w14:paraId="1C54AA5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723C1F5">
            <w:pPr>
              <w:widowControl/>
              <w:jc w:val="left"/>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2" w:type="dxa"/>
            <w:tcBorders>
              <w:top w:val="nil"/>
              <w:left w:val="nil"/>
              <w:bottom w:val="single" w:color="auto" w:sz="4" w:space="0"/>
              <w:right w:val="single" w:color="auto" w:sz="4" w:space="0"/>
            </w:tcBorders>
            <w:vAlign w:val="center"/>
          </w:tcPr>
          <w:p w14:paraId="197CDEC2">
            <w:pPr>
              <w:widowControl/>
              <w:rPr>
                <w:rFonts w:ascii="宋体" w:hAnsi="宋体" w:cs="宋体"/>
                <w:color w:val="auto"/>
                <w:kern w:val="0"/>
                <w:sz w:val="20"/>
              </w:rPr>
            </w:pPr>
            <w:r>
              <w:rPr>
                <w:rFonts w:hint="eastAsia" w:ascii="宋体" w:hAnsi="宋体" w:cs="宋体"/>
                <w:color w:val="auto"/>
                <w:kern w:val="0"/>
                <w:sz w:val="20"/>
              </w:rPr>
              <w:t>　</w:t>
            </w:r>
          </w:p>
        </w:tc>
        <w:tc>
          <w:tcPr>
            <w:tcW w:w="1779" w:type="dxa"/>
            <w:tcBorders>
              <w:top w:val="nil"/>
              <w:left w:val="nil"/>
              <w:bottom w:val="single" w:color="auto" w:sz="4" w:space="0"/>
              <w:right w:val="single" w:color="auto" w:sz="4" w:space="0"/>
            </w:tcBorders>
            <w:vAlign w:val="center"/>
          </w:tcPr>
          <w:p w14:paraId="045EA8E1">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77" w:type="dxa"/>
            <w:tcBorders>
              <w:top w:val="nil"/>
              <w:left w:val="nil"/>
              <w:bottom w:val="single" w:color="auto" w:sz="4" w:space="0"/>
              <w:right w:val="single" w:color="auto" w:sz="8" w:space="0"/>
            </w:tcBorders>
            <w:vAlign w:val="center"/>
          </w:tcPr>
          <w:p w14:paraId="098F4C8C">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2" w:type="dxa"/>
            <w:tcBorders>
              <w:top w:val="nil"/>
              <w:left w:val="nil"/>
              <w:bottom w:val="single" w:color="auto" w:sz="4" w:space="0"/>
              <w:right w:val="single" w:color="auto" w:sz="4" w:space="0"/>
            </w:tcBorders>
            <w:vAlign w:val="center"/>
          </w:tcPr>
          <w:p w14:paraId="021664F4">
            <w:pPr>
              <w:widowControl/>
              <w:rPr>
                <w:rFonts w:ascii="宋体" w:hAnsi="宋体" w:cs="宋体"/>
                <w:color w:val="auto"/>
                <w:kern w:val="0"/>
                <w:sz w:val="20"/>
              </w:rPr>
            </w:pPr>
            <w:r>
              <w:rPr>
                <w:rFonts w:hint="eastAsia" w:ascii="宋体" w:hAnsi="宋体" w:cs="宋体"/>
                <w:color w:val="auto"/>
                <w:kern w:val="0"/>
                <w:sz w:val="20"/>
              </w:rPr>
              <w:t>　</w:t>
            </w:r>
          </w:p>
        </w:tc>
        <w:tc>
          <w:tcPr>
            <w:tcW w:w="1494" w:type="dxa"/>
            <w:tcBorders>
              <w:top w:val="nil"/>
              <w:left w:val="nil"/>
              <w:bottom w:val="single" w:color="auto" w:sz="4" w:space="0"/>
              <w:right w:val="single" w:color="auto" w:sz="4" w:space="0"/>
            </w:tcBorders>
            <w:vAlign w:val="center"/>
          </w:tcPr>
          <w:p w14:paraId="4B3D1FD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14:paraId="70B3721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7" w:type="dxa"/>
            <w:tcBorders>
              <w:top w:val="nil"/>
              <w:left w:val="nil"/>
              <w:bottom w:val="single" w:color="auto" w:sz="4" w:space="0"/>
              <w:right w:val="single" w:color="auto" w:sz="4" w:space="0"/>
            </w:tcBorders>
            <w:vAlign w:val="center"/>
          </w:tcPr>
          <w:p w14:paraId="0A0C0EAF">
            <w:pPr>
              <w:widowControl/>
              <w:rPr>
                <w:rFonts w:ascii="宋体" w:hAnsi="宋体" w:cs="宋体"/>
                <w:color w:val="auto"/>
                <w:kern w:val="0"/>
                <w:sz w:val="20"/>
              </w:rPr>
            </w:pPr>
            <w:r>
              <w:rPr>
                <w:rFonts w:hint="eastAsia" w:ascii="宋体" w:hAnsi="宋体" w:cs="宋体"/>
                <w:color w:val="auto"/>
                <w:kern w:val="0"/>
                <w:sz w:val="20"/>
              </w:rPr>
              <w:t>　</w:t>
            </w:r>
          </w:p>
        </w:tc>
        <w:tc>
          <w:tcPr>
            <w:tcW w:w="1287" w:type="dxa"/>
            <w:tcBorders>
              <w:top w:val="nil"/>
              <w:left w:val="nil"/>
              <w:bottom w:val="single" w:color="auto" w:sz="4" w:space="0"/>
              <w:right w:val="single" w:color="auto" w:sz="4" w:space="0"/>
            </w:tcBorders>
            <w:vAlign w:val="center"/>
          </w:tcPr>
          <w:p w14:paraId="2E5B7A1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4" w:type="dxa"/>
            <w:tcBorders>
              <w:top w:val="nil"/>
              <w:left w:val="nil"/>
              <w:bottom w:val="single" w:color="auto" w:sz="4" w:space="0"/>
              <w:right w:val="single" w:color="auto" w:sz="8" w:space="0"/>
            </w:tcBorders>
            <w:vAlign w:val="center"/>
          </w:tcPr>
          <w:p w14:paraId="750C2BE5">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683CE2F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E6B8BFA">
            <w:pPr>
              <w:widowControl/>
              <w:jc w:val="left"/>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、管理</w:t>
            </w:r>
          </w:p>
        </w:tc>
        <w:tc>
          <w:tcPr>
            <w:tcW w:w="1512" w:type="dxa"/>
            <w:tcBorders>
              <w:top w:val="nil"/>
              <w:left w:val="nil"/>
              <w:bottom w:val="single" w:color="auto" w:sz="4" w:space="0"/>
              <w:right w:val="single" w:color="auto" w:sz="4" w:space="0"/>
            </w:tcBorders>
            <w:vAlign w:val="center"/>
          </w:tcPr>
          <w:p w14:paraId="03E674AB">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79" w:type="dxa"/>
            <w:tcBorders>
              <w:top w:val="nil"/>
              <w:left w:val="nil"/>
              <w:bottom w:val="single" w:color="auto" w:sz="4" w:space="0"/>
              <w:right w:val="single" w:color="auto" w:sz="4" w:space="0"/>
            </w:tcBorders>
            <w:vAlign w:val="center"/>
          </w:tcPr>
          <w:p w14:paraId="7DFF5655">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77" w:type="dxa"/>
            <w:tcBorders>
              <w:top w:val="nil"/>
              <w:left w:val="nil"/>
              <w:bottom w:val="single" w:color="auto" w:sz="4" w:space="0"/>
              <w:right w:val="single" w:color="auto" w:sz="8" w:space="0"/>
            </w:tcBorders>
            <w:vAlign w:val="center"/>
          </w:tcPr>
          <w:p w14:paraId="3474B017">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4" w:space="0"/>
              <w:right w:val="single" w:color="auto" w:sz="4" w:space="0"/>
            </w:tcBorders>
            <w:vAlign w:val="center"/>
          </w:tcPr>
          <w:p w14:paraId="1AAA46F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4" w:type="dxa"/>
            <w:tcBorders>
              <w:top w:val="nil"/>
              <w:left w:val="nil"/>
              <w:bottom w:val="single" w:color="auto" w:sz="4" w:space="0"/>
              <w:right w:val="single" w:color="auto" w:sz="4" w:space="0"/>
            </w:tcBorders>
            <w:vAlign w:val="center"/>
          </w:tcPr>
          <w:p w14:paraId="00247485">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6" w:type="dxa"/>
            <w:tcBorders>
              <w:top w:val="nil"/>
              <w:left w:val="nil"/>
              <w:bottom w:val="single" w:color="auto" w:sz="4" w:space="0"/>
              <w:right w:val="single" w:color="auto" w:sz="8" w:space="0"/>
            </w:tcBorders>
            <w:vAlign w:val="center"/>
          </w:tcPr>
          <w:p w14:paraId="4CEB8BCA">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4" w:space="0"/>
              <w:right w:val="single" w:color="auto" w:sz="4" w:space="0"/>
            </w:tcBorders>
            <w:vAlign w:val="center"/>
          </w:tcPr>
          <w:p w14:paraId="0377DF1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7" w:type="dxa"/>
            <w:tcBorders>
              <w:top w:val="nil"/>
              <w:left w:val="nil"/>
              <w:bottom w:val="single" w:color="auto" w:sz="4" w:space="0"/>
              <w:right w:val="single" w:color="auto" w:sz="4" w:space="0"/>
            </w:tcBorders>
            <w:vAlign w:val="center"/>
          </w:tcPr>
          <w:p w14:paraId="300DC06D">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4" w:type="dxa"/>
            <w:tcBorders>
              <w:top w:val="nil"/>
              <w:left w:val="nil"/>
              <w:bottom w:val="single" w:color="auto" w:sz="4" w:space="0"/>
              <w:right w:val="single" w:color="auto" w:sz="8" w:space="0"/>
            </w:tcBorders>
            <w:vAlign w:val="center"/>
          </w:tcPr>
          <w:p w14:paraId="599F74FA">
            <w:pPr>
              <w:widowControl/>
              <w:rPr>
                <w:rFonts w:ascii="宋体" w:hAnsi="宋体" w:cs="宋体"/>
                <w:color w:val="auto"/>
                <w:kern w:val="0"/>
                <w:sz w:val="20"/>
              </w:rPr>
            </w:pPr>
            <w:r>
              <w:rPr>
                <w:rFonts w:hint="eastAsia" w:ascii="宋体" w:hAnsi="宋体" w:cs="宋体"/>
                <w:color w:val="auto"/>
                <w:kern w:val="0"/>
                <w:sz w:val="20"/>
              </w:rPr>
              <w:t>　</w:t>
            </w:r>
          </w:p>
        </w:tc>
      </w:tr>
      <w:tr w14:paraId="0B2AEA7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B40BEA4">
            <w:pPr>
              <w:widowControl/>
              <w:jc w:val="left"/>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2" w:type="dxa"/>
            <w:tcBorders>
              <w:top w:val="nil"/>
              <w:left w:val="nil"/>
              <w:bottom w:val="single" w:color="auto" w:sz="4" w:space="0"/>
              <w:right w:val="single" w:color="auto" w:sz="4" w:space="0"/>
            </w:tcBorders>
            <w:vAlign w:val="center"/>
          </w:tcPr>
          <w:p w14:paraId="4486E437">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4" w:space="0"/>
              <w:right w:val="single" w:color="auto" w:sz="4" w:space="0"/>
            </w:tcBorders>
            <w:vAlign w:val="center"/>
          </w:tcPr>
          <w:p w14:paraId="6C53BDD4">
            <w:pPr>
              <w:widowControl/>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4" w:space="0"/>
              <w:right w:val="single" w:color="auto" w:sz="8" w:space="0"/>
            </w:tcBorders>
            <w:vAlign w:val="center"/>
          </w:tcPr>
          <w:p w14:paraId="4B1C2DC5">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2" w:type="dxa"/>
            <w:tcBorders>
              <w:top w:val="nil"/>
              <w:left w:val="nil"/>
              <w:bottom w:val="single" w:color="auto" w:sz="4" w:space="0"/>
              <w:right w:val="single" w:color="auto" w:sz="4" w:space="0"/>
            </w:tcBorders>
            <w:vAlign w:val="center"/>
          </w:tcPr>
          <w:p w14:paraId="6BB5D44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4" w:space="0"/>
              <w:right w:val="single" w:color="auto" w:sz="4" w:space="0"/>
            </w:tcBorders>
            <w:vAlign w:val="center"/>
          </w:tcPr>
          <w:p w14:paraId="7EAD67BA">
            <w:pPr>
              <w:widowControl/>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4" w:space="0"/>
              <w:right w:val="single" w:color="auto" w:sz="8" w:space="0"/>
            </w:tcBorders>
            <w:vAlign w:val="center"/>
          </w:tcPr>
          <w:p w14:paraId="45D16EAA">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7" w:type="dxa"/>
            <w:tcBorders>
              <w:top w:val="nil"/>
              <w:left w:val="nil"/>
              <w:bottom w:val="single" w:color="auto" w:sz="4" w:space="0"/>
              <w:right w:val="single" w:color="auto" w:sz="4" w:space="0"/>
            </w:tcBorders>
            <w:vAlign w:val="center"/>
          </w:tcPr>
          <w:p w14:paraId="132B9971">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4" w:space="0"/>
              <w:right w:val="single" w:color="auto" w:sz="4" w:space="0"/>
            </w:tcBorders>
            <w:vAlign w:val="center"/>
          </w:tcPr>
          <w:p w14:paraId="4F565631">
            <w:pPr>
              <w:widowControl/>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4" w:space="0"/>
              <w:right w:val="single" w:color="auto" w:sz="8" w:space="0"/>
            </w:tcBorders>
            <w:vAlign w:val="center"/>
          </w:tcPr>
          <w:p w14:paraId="25AE5168">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1413C7E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0E0A8F06">
            <w:pPr>
              <w:widowControl/>
              <w:jc w:val="left"/>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、其他未列明行业</w:t>
            </w:r>
          </w:p>
        </w:tc>
        <w:tc>
          <w:tcPr>
            <w:tcW w:w="1512" w:type="dxa"/>
            <w:tcBorders>
              <w:top w:val="nil"/>
              <w:left w:val="nil"/>
              <w:bottom w:val="single" w:color="auto" w:sz="8" w:space="0"/>
              <w:right w:val="single" w:color="auto" w:sz="4" w:space="0"/>
            </w:tcBorders>
            <w:vAlign w:val="center"/>
          </w:tcPr>
          <w:p w14:paraId="240DFEF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79" w:type="dxa"/>
            <w:tcBorders>
              <w:top w:val="nil"/>
              <w:left w:val="nil"/>
              <w:bottom w:val="single" w:color="auto" w:sz="8" w:space="0"/>
              <w:right w:val="single" w:color="auto" w:sz="4" w:space="0"/>
            </w:tcBorders>
            <w:vAlign w:val="center"/>
          </w:tcPr>
          <w:p w14:paraId="1BD578C4">
            <w:pPr>
              <w:widowControl/>
              <w:rPr>
                <w:rFonts w:ascii="宋体" w:hAnsi="宋体" w:cs="宋体"/>
                <w:color w:val="auto"/>
                <w:kern w:val="0"/>
                <w:sz w:val="20"/>
              </w:rPr>
            </w:pPr>
            <w:r>
              <w:rPr>
                <w:rFonts w:hint="eastAsia" w:ascii="宋体" w:hAnsi="宋体" w:cs="宋体"/>
                <w:color w:val="auto"/>
                <w:kern w:val="0"/>
                <w:sz w:val="20"/>
              </w:rPr>
              <w:t>　</w:t>
            </w:r>
          </w:p>
        </w:tc>
        <w:tc>
          <w:tcPr>
            <w:tcW w:w="1677" w:type="dxa"/>
            <w:tcBorders>
              <w:top w:val="nil"/>
              <w:left w:val="nil"/>
              <w:bottom w:val="single" w:color="auto" w:sz="8" w:space="0"/>
              <w:right w:val="single" w:color="auto" w:sz="8" w:space="0"/>
            </w:tcBorders>
            <w:vAlign w:val="center"/>
          </w:tcPr>
          <w:p w14:paraId="61CF0922">
            <w:pPr>
              <w:widowControl/>
              <w:rPr>
                <w:rFonts w:ascii="宋体" w:hAnsi="宋体" w:cs="宋体"/>
                <w:color w:val="auto"/>
                <w:kern w:val="0"/>
                <w:sz w:val="20"/>
              </w:rPr>
            </w:pPr>
            <w:r>
              <w:rPr>
                <w:rFonts w:hint="eastAsia" w:ascii="宋体" w:hAnsi="宋体" w:cs="宋体"/>
                <w:color w:val="auto"/>
                <w:kern w:val="0"/>
                <w:sz w:val="20"/>
              </w:rPr>
              <w:t>　</w:t>
            </w:r>
          </w:p>
        </w:tc>
        <w:tc>
          <w:tcPr>
            <w:tcW w:w="1252" w:type="dxa"/>
            <w:tcBorders>
              <w:top w:val="nil"/>
              <w:left w:val="nil"/>
              <w:bottom w:val="single" w:color="auto" w:sz="8" w:space="0"/>
              <w:right w:val="single" w:color="auto" w:sz="4" w:space="0"/>
            </w:tcBorders>
            <w:vAlign w:val="center"/>
          </w:tcPr>
          <w:p w14:paraId="56435278">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4" w:type="dxa"/>
            <w:tcBorders>
              <w:top w:val="nil"/>
              <w:left w:val="nil"/>
              <w:bottom w:val="single" w:color="auto" w:sz="8" w:space="0"/>
              <w:right w:val="single" w:color="auto" w:sz="4" w:space="0"/>
            </w:tcBorders>
            <w:vAlign w:val="center"/>
          </w:tcPr>
          <w:p w14:paraId="04DA0A65">
            <w:pPr>
              <w:widowControl/>
              <w:rPr>
                <w:rFonts w:ascii="宋体" w:hAnsi="宋体" w:cs="宋体"/>
                <w:color w:val="auto"/>
                <w:kern w:val="0"/>
                <w:sz w:val="20"/>
              </w:rPr>
            </w:pPr>
            <w:r>
              <w:rPr>
                <w:rFonts w:hint="eastAsia" w:ascii="宋体" w:hAnsi="宋体" w:cs="宋体"/>
                <w:color w:val="auto"/>
                <w:kern w:val="0"/>
                <w:sz w:val="20"/>
              </w:rPr>
              <w:t>　</w:t>
            </w:r>
          </w:p>
        </w:tc>
        <w:tc>
          <w:tcPr>
            <w:tcW w:w="1536" w:type="dxa"/>
            <w:tcBorders>
              <w:top w:val="nil"/>
              <w:left w:val="nil"/>
              <w:bottom w:val="single" w:color="auto" w:sz="8" w:space="0"/>
              <w:right w:val="single" w:color="auto" w:sz="8" w:space="0"/>
            </w:tcBorders>
            <w:vAlign w:val="center"/>
          </w:tcPr>
          <w:p w14:paraId="5C5C4AE8">
            <w:pPr>
              <w:widowControl/>
              <w:rPr>
                <w:rFonts w:ascii="宋体" w:hAnsi="宋体" w:cs="宋体"/>
                <w:color w:val="auto"/>
                <w:kern w:val="0"/>
                <w:sz w:val="20"/>
              </w:rPr>
            </w:pPr>
            <w:r>
              <w:rPr>
                <w:rFonts w:hint="eastAsia" w:ascii="宋体" w:hAnsi="宋体" w:cs="宋体"/>
                <w:color w:val="auto"/>
                <w:kern w:val="0"/>
                <w:sz w:val="20"/>
              </w:rPr>
              <w:t>　</w:t>
            </w:r>
          </w:p>
        </w:tc>
        <w:tc>
          <w:tcPr>
            <w:tcW w:w="1297" w:type="dxa"/>
            <w:tcBorders>
              <w:top w:val="nil"/>
              <w:left w:val="nil"/>
              <w:bottom w:val="single" w:color="auto" w:sz="8" w:space="0"/>
              <w:right w:val="single" w:color="auto" w:sz="4" w:space="0"/>
            </w:tcBorders>
            <w:vAlign w:val="center"/>
          </w:tcPr>
          <w:p w14:paraId="3460692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7" w:type="dxa"/>
            <w:tcBorders>
              <w:top w:val="nil"/>
              <w:left w:val="nil"/>
              <w:bottom w:val="single" w:color="auto" w:sz="8" w:space="0"/>
              <w:right w:val="single" w:color="auto" w:sz="4" w:space="0"/>
            </w:tcBorders>
            <w:vAlign w:val="center"/>
          </w:tcPr>
          <w:p w14:paraId="5929DD31">
            <w:pPr>
              <w:widowControl/>
              <w:rPr>
                <w:rFonts w:ascii="宋体" w:hAnsi="宋体" w:cs="宋体"/>
                <w:color w:val="auto"/>
                <w:kern w:val="0"/>
                <w:sz w:val="20"/>
              </w:rPr>
            </w:pPr>
            <w:r>
              <w:rPr>
                <w:rFonts w:hint="eastAsia" w:ascii="宋体" w:hAnsi="宋体" w:cs="宋体"/>
                <w:color w:val="auto"/>
                <w:kern w:val="0"/>
                <w:sz w:val="20"/>
              </w:rPr>
              <w:t>　</w:t>
            </w:r>
          </w:p>
        </w:tc>
        <w:tc>
          <w:tcPr>
            <w:tcW w:w="1234" w:type="dxa"/>
            <w:tcBorders>
              <w:top w:val="nil"/>
              <w:left w:val="nil"/>
              <w:bottom w:val="single" w:color="auto" w:sz="8" w:space="0"/>
              <w:right w:val="single" w:color="auto" w:sz="8" w:space="0"/>
            </w:tcBorders>
            <w:vAlign w:val="center"/>
          </w:tcPr>
          <w:p w14:paraId="3EE12384">
            <w:pPr>
              <w:widowControl/>
              <w:rPr>
                <w:rFonts w:ascii="宋体" w:hAnsi="宋体" w:cs="宋体"/>
                <w:color w:val="auto"/>
                <w:kern w:val="0"/>
                <w:sz w:val="20"/>
              </w:rPr>
            </w:pPr>
            <w:r>
              <w:rPr>
                <w:rFonts w:hint="eastAsia" w:ascii="宋体" w:hAnsi="宋体" w:cs="宋体"/>
                <w:color w:val="auto"/>
                <w:kern w:val="0"/>
                <w:sz w:val="20"/>
              </w:rPr>
              <w:t>　</w:t>
            </w:r>
          </w:p>
        </w:tc>
      </w:tr>
      <w:tr w14:paraId="779AA0A9">
        <w:tblPrEx>
          <w:tblCellMar>
            <w:top w:w="0" w:type="dxa"/>
            <w:left w:w="108" w:type="dxa"/>
            <w:bottom w:w="0" w:type="dxa"/>
            <w:right w:w="108" w:type="dxa"/>
          </w:tblCellMar>
        </w:tblPrEx>
        <w:trPr>
          <w:trHeight w:val="961" w:hRule="atLeast"/>
        </w:trPr>
        <w:tc>
          <w:tcPr>
            <w:tcW w:w="15077" w:type="dxa"/>
            <w:gridSpan w:val="11"/>
            <w:tcBorders>
              <w:top w:val="nil"/>
              <w:left w:val="nil"/>
              <w:bottom w:val="nil"/>
              <w:right w:val="nil"/>
            </w:tcBorders>
            <w:vAlign w:val="bottom"/>
          </w:tcPr>
          <w:p w14:paraId="27D267A1">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662ACE3F">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328C85A">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5EAE89E6">
      <w:pPr>
        <w:pStyle w:val="26"/>
        <w:tabs>
          <w:tab w:val="left" w:pos="811"/>
        </w:tabs>
        <w:spacing w:line="360" w:lineRule="auto"/>
        <w:jc w:val="left"/>
        <w:rPr>
          <w:rFonts w:hAnsi="宋体"/>
          <w:color w:val="auto"/>
          <w:sz w:val="36"/>
          <w:szCs w:val="36"/>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5FDA">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6E1B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96E1B4">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DC2D3">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D599">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3BD599">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35A9">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5D0D4">
                          <w:pPr>
                            <w:pStyle w:val="2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D5D0D4">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46D6">
    <w:pPr>
      <w:spacing w:line="174" w:lineRule="auto"/>
      <w:ind w:left="5272"/>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D3A71">
                          <w:pPr>
                            <w:pStyle w:val="2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0D3A71">
                    <w:pPr>
                      <w:pStyle w:val="2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8BB3B">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AF63">
    <w:pPr>
      <w:pStyle w:val="3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2E750"/>
    <w:multiLevelType w:val="singleLevel"/>
    <w:tmpl w:val="E372E750"/>
    <w:lvl w:ilvl="0" w:tentative="0">
      <w:start w:val="1"/>
      <w:numFmt w:val="decimal"/>
      <w:lvlText w:val="%1."/>
      <w:lvlJc w:val="left"/>
      <w:pPr>
        <w:tabs>
          <w:tab w:val="left" w:pos="312"/>
        </w:tabs>
      </w:pPr>
    </w:lvl>
  </w:abstractNum>
  <w:abstractNum w:abstractNumId="1">
    <w:nsid w:val="00000005"/>
    <w:multiLevelType w:val="multilevel"/>
    <w:tmpl w:val="00000005"/>
    <w:lvl w:ilvl="0" w:tentative="0">
      <w:start w:val="1"/>
      <w:numFmt w:val="decimal"/>
      <w:pStyle w:val="44"/>
      <w:lvlText w:val="第%1章"/>
      <w:lvlJc w:val="left"/>
      <w:pPr>
        <w:tabs>
          <w:tab w:val="left" w:pos="1440"/>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1080"/>
        </w:tabs>
        <w:ind w:left="720" w:hanging="720"/>
      </w:pPr>
      <w:rPr>
        <w:rFonts w:hint="eastAsia"/>
        <w:color w:val="auto"/>
      </w:rPr>
    </w:lvl>
    <w:lvl w:ilvl="3" w:tentative="0">
      <w:start w:val="1"/>
      <w:numFmt w:val="decimal"/>
      <w:lvlText w:val="%1.%2.%3.%4"/>
      <w:lvlJc w:val="left"/>
      <w:pPr>
        <w:tabs>
          <w:tab w:val="left" w:pos="1440"/>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4F403B5"/>
    <w:multiLevelType w:val="singleLevel"/>
    <w:tmpl w:val="54F403B5"/>
    <w:lvl w:ilvl="0" w:tentative="0">
      <w:start w:val="1"/>
      <w:numFmt w:val="chineseCounting"/>
      <w:suff w:val="nothing"/>
      <w:lvlText w:val="%1、"/>
      <w:lvlJc w:val="left"/>
      <w:rPr>
        <w:rFonts w:cs="Times New Roman"/>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abstractNum w:abstractNumId="4">
    <w:nsid w:val="57A74C8F"/>
    <w:multiLevelType w:val="singleLevel"/>
    <w:tmpl w:val="57A74C8F"/>
    <w:lvl w:ilvl="0" w:tentative="0">
      <w:start w:val="1"/>
      <w:numFmt w:val="chineseCounting"/>
      <w:pStyle w:val="194"/>
      <w:suff w:val="nothing"/>
      <w:lvlText w:val="%1、"/>
      <w:lvlJc w:val="left"/>
      <w:rPr>
        <w:rFonts w:hint="eastAsia"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MTI1NjhmYTExYjY0MTVmM2FiMzI2MGM0MjU4MGYifQ=="/>
  </w:docVars>
  <w:rsids>
    <w:rsidRoot w:val="00172A27"/>
    <w:rsid w:val="0000018E"/>
    <w:rsid w:val="00001A82"/>
    <w:rsid w:val="00002288"/>
    <w:rsid w:val="00002B25"/>
    <w:rsid w:val="00003757"/>
    <w:rsid w:val="0000377D"/>
    <w:rsid w:val="000037AD"/>
    <w:rsid w:val="0000380B"/>
    <w:rsid w:val="00003965"/>
    <w:rsid w:val="000039EB"/>
    <w:rsid w:val="00003E11"/>
    <w:rsid w:val="0000545F"/>
    <w:rsid w:val="00005AD2"/>
    <w:rsid w:val="00006469"/>
    <w:rsid w:val="00007D74"/>
    <w:rsid w:val="00007FB4"/>
    <w:rsid w:val="00011313"/>
    <w:rsid w:val="000117A8"/>
    <w:rsid w:val="00012585"/>
    <w:rsid w:val="00013D65"/>
    <w:rsid w:val="0001464E"/>
    <w:rsid w:val="0001475D"/>
    <w:rsid w:val="00014763"/>
    <w:rsid w:val="000147A6"/>
    <w:rsid w:val="000147E2"/>
    <w:rsid w:val="00017165"/>
    <w:rsid w:val="000171FF"/>
    <w:rsid w:val="000212AE"/>
    <w:rsid w:val="000217E4"/>
    <w:rsid w:val="00022DC6"/>
    <w:rsid w:val="00023D2D"/>
    <w:rsid w:val="00024548"/>
    <w:rsid w:val="0002570D"/>
    <w:rsid w:val="00026033"/>
    <w:rsid w:val="00026061"/>
    <w:rsid w:val="00026627"/>
    <w:rsid w:val="0002795F"/>
    <w:rsid w:val="00030242"/>
    <w:rsid w:val="00031274"/>
    <w:rsid w:val="00032826"/>
    <w:rsid w:val="000328FE"/>
    <w:rsid w:val="0003306F"/>
    <w:rsid w:val="00034204"/>
    <w:rsid w:val="000344B9"/>
    <w:rsid w:val="00035959"/>
    <w:rsid w:val="00036257"/>
    <w:rsid w:val="0003725C"/>
    <w:rsid w:val="000378FE"/>
    <w:rsid w:val="00037CE4"/>
    <w:rsid w:val="000414C4"/>
    <w:rsid w:val="00041A39"/>
    <w:rsid w:val="00041B3B"/>
    <w:rsid w:val="00043099"/>
    <w:rsid w:val="00043143"/>
    <w:rsid w:val="00043490"/>
    <w:rsid w:val="00043715"/>
    <w:rsid w:val="000437D4"/>
    <w:rsid w:val="00044435"/>
    <w:rsid w:val="00045CE3"/>
    <w:rsid w:val="00046F89"/>
    <w:rsid w:val="00047990"/>
    <w:rsid w:val="00050357"/>
    <w:rsid w:val="000509A8"/>
    <w:rsid w:val="000510EC"/>
    <w:rsid w:val="00051226"/>
    <w:rsid w:val="00052035"/>
    <w:rsid w:val="00052187"/>
    <w:rsid w:val="000546E4"/>
    <w:rsid w:val="00054AD8"/>
    <w:rsid w:val="00054D7E"/>
    <w:rsid w:val="000557F0"/>
    <w:rsid w:val="00055A3D"/>
    <w:rsid w:val="00056048"/>
    <w:rsid w:val="000564BB"/>
    <w:rsid w:val="00056B01"/>
    <w:rsid w:val="00056DC8"/>
    <w:rsid w:val="00056E86"/>
    <w:rsid w:val="00056F94"/>
    <w:rsid w:val="00057D5B"/>
    <w:rsid w:val="00060FB1"/>
    <w:rsid w:val="000613FD"/>
    <w:rsid w:val="000617D3"/>
    <w:rsid w:val="00061A87"/>
    <w:rsid w:val="00063327"/>
    <w:rsid w:val="00064121"/>
    <w:rsid w:val="00064AF3"/>
    <w:rsid w:val="00065622"/>
    <w:rsid w:val="00065626"/>
    <w:rsid w:val="0006615F"/>
    <w:rsid w:val="00066294"/>
    <w:rsid w:val="000675B4"/>
    <w:rsid w:val="00070231"/>
    <w:rsid w:val="0007088F"/>
    <w:rsid w:val="0007129B"/>
    <w:rsid w:val="00071AB2"/>
    <w:rsid w:val="000726A2"/>
    <w:rsid w:val="00074517"/>
    <w:rsid w:val="00074FCC"/>
    <w:rsid w:val="000766AD"/>
    <w:rsid w:val="00076EAC"/>
    <w:rsid w:val="000770AD"/>
    <w:rsid w:val="00077765"/>
    <w:rsid w:val="00077864"/>
    <w:rsid w:val="00077C69"/>
    <w:rsid w:val="00077F66"/>
    <w:rsid w:val="00077FAF"/>
    <w:rsid w:val="000816EB"/>
    <w:rsid w:val="00081DAC"/>
    <w:rsid w:val="0008275C"/>
    <w:rsid w:val="00083095"/>
    <w:rsid w:val="00083641"/>
    <w:rsid w:val="00083CA0"/>
    <w:rsid w:val="0008426D"/>
    <w:rsid w:val="000846B2"/>
    <w:rsid w:val="00085B76"/>
    <w:rsid w:val="0008644B"/>
    <w:rsid w:val="00086CB0"/>
    <w:rsid w:val="000876CB"/>
    <w:rsid w:val="00087BC6"/>
    <w:rsid w:val="00087E79"/>
    <w:rsid w:val="0009066F"/>
    <w:rsid w:val="00090836"/>
    <w:rsid w:val="000912BA"/>
    <w:rsid w:val="00091A35"/>
    <w:rsid w:val="000941D6"/>
    <w:rsid w:val="000945F2"/>
    <w:rsid w:val="00096587"/>
    <w:rsid w:val="00096C6C"/>
    <w:rsid w:val="000A01C4"/>
    <w:rsid w:val="000A0A04"/>
    <w:rsid w:val="000A0A41"/>
    <w:rsid w:val="000A0F83"/>
    <w:rsid w:val="000A2586"/>
    <w:rsid w:val="000A387A"/>
    <w:rsid w:val="000A3CD8"/>
    <w:rsid w:val="000A3FDD"/>
    <w:rsid w:val="000A497F"/>
    <w:rsid w:val="000A5C01"/>
    <w:rsid w:val="000A7976"/>
    <w:rsid w:val="000B1619"/>
    <w:rsid w:val="000B1B5F"/>
    <w:rsid w:val="000B2117"/>
    <w:rsid w:val="000B2A80"/>
    <w:rsid w:val="000B33CA"/>
    <w:rsid w:val="000B494B"/>
    <w:rsid w:val="000B4B81"/>
    <w:rsid w:val="000B4BE2"/>
    <w:rsid w:val="000B53C9"/>
    <w:rsid w:val="000B5C0C"/>
    <w:rsid w:val="000B5D68"/>
    <w:rsid w:val="000B6717"/>
    <w:rsid w:val="000B7341"/>
    <w:rsid w:val="000B7791"/>
    <w:rsid w:val="000B7DD4"/>
    <w:rsid w:val="000C07E7"/>
    <w:rsid w:val="000C1770"/>
    <w:rsid w:val="000C1A07"/>
    <w:rsid w:val="000C1EB3"/>
    <w:rsid w:val="000C27D4"/>
    <w:rsid w:val="000C28B3"/>
    <w:rsid w:val="000C29B6"/>
    <w:rsid w:val="000C30FE"/>
    <w:rsid w:val="000C3200"/>
    <w:rsid w:val="000C3334"/>
    <w:rsid w:val="000C3E16"/>
    <w:rsid w:val="000C509A"/>
    <w:rsid w:val="000C596C"/>
    <w:rsid w:val="000C59C2"/>
    <w:rsid w:val="000C5BAF"/>
    <w:rsid w:val="000C7792"/>
    <w:rsid w:val="000D190D"/>
    <w:rsid w:val="000D24F3"/>
    <w:rsid w:val="000D2D36"/>
    <w:rsid w:val="000D3592"/>
    <w:rsid w:val="000D5612"/>
    <w:rsid w:val="000D5E11"/>
    <w:rsid w:val="000D5F1A"/>
    <w:rsid w:val="000D6E5C"/>
    <w:rsid w:val="000D766C"/>
    <w:rsid w:val="000D7EB0"/>
    <w:rsid w:val="000E07CB"/>
    <w:rsid w:val="000E1172"/>
    <w:rsid w:val="000E16EE"/>
    <w:rsid w:val="000E1D05"/>
    <w:rsid w:val="000E22A0"/>
    <w:rsid w:val="000E2E16"/>
    <w:rsid w:val="000E2E7D"/>
    <w:rsid w:val="000E2FFC"/>
    <w:rsid w:val="000E3656"/>
    <w:rsid w:val="000E3836"/>
    <w:rsid w:val="000E3906"/>
    <w:rsid w:val="000E4D1F"/>
    <w:rsid w:val="000E77CE"/>
    <w:rsid w:val="000E7D4D"/>
    <w:rsid w:val="000F03E6"/>
    <w:rsid w:val="000F0F1E"/>
    <w:rsid w:val="000F22BF"/>
    <w:rsid w:val="000F3E53"/>
    <w:rsid w:val="000F52F1"/>
    <w:rsid w:val="000F5C44"/>
    <w:rsid w:val="000F5E59"/>
    <w:rsid w:val="000F6493"/>
    <w:rsid w:val="000F6CBF"/>
    <w:rsid w:val="000F76B2"/>
    <w:rsid w:val="000F7B7C"/>
    <w:rsid w:val="00102729"/>
    <w:rsid w:val="00102A0A"/>
    <w:rsid w:val="00104558"/>
    <w:rsid w:val="001054A8"/>
    <w:rsid w:val="0010552B"/>
    <w:rsid w:val="00106100"/>
    <w:rsid w:val="001062FF"/>
    <w:rsid w:val="00106308"/>
    <w:rsid w:val="00110480"/>
    <w:rsid w:val="00110FE8"/>
    <w:rsid w:val="0011238B"/>
    <w:rsid w:val="00112DEA"/>
    <w:rsid w:val="00113033"/>
    <w:rsid w:val="0011397C"/>
    <w:rsid w:val="0011637E"/>
    <w:rsid w:val="001178EF"/>
    <w:rsid w:val="00117BF7"/>
    <w:rsid w:val="00117C5C"/>
    <w:rsid w:val="00121861"/>
    <w:rsid w:val="00123213"/>
    <w:rsid w:val="001234A0"/>
    <w:rsid w:val="00123E67"/>
    <w:rsid w:val="00124275"/>
    <w:rsid w:val="0012455A"/>
    <w:rsid w:val="00124569"/>
    <w:rsid w:val="00124F2B"/>
    <w:rsid w:val="00125836"/>
    <w:rsid w:val="00125DA2"/>
    <w:rsid w:val="00125DFE"/>
    <w:rsid w:val="00126A2B"/>
    <w:rsid w:val="00130106"/>
    <w:rsid w:val="001305AF"/>
    <w:rsid w:val="001310CF"/>
    <w:rsid w:val="0013128B"/>
    <w:rsid w:val="00131C09"/>
    <w:rsid w:val="00131EEB"/>
    <w:rsid w:val="0013209A"/>
    <w:rsid w:val="001321AC"/>
    <w:rsid w:val="00133AAC"/>
    <w:rsid w:val="00133F6B"/>
    <w:rsid w:val="0013482F"/>
    <w:rsid w:val="001352F5"/>
    <w:rsid w:val="001358BE"/>
    <w:rsid w:val="00135B1C"/>
    <w:rsid w:val="00135D87"/>
    <w:rsid w:val="00136713"/>
    <w:rsid w:val="00137933"/>
    <w:rsid w:val="001412B3"/>
    <w:rsid w:val="00141A3D"/>
    <w:rsid w:val="00141DA4"/>
    <w:rsid w:val="00141E26"/>
    <w:rsid w:val="001420AC"/>
    <w:rsid w:val="0014220A"/>
    <w:rsid w:val="00143987"/>
    <w:rsid w:val="00143E4E"/>
    <w:rsid w:val="0014627F"/>
    <w:rsid w:val="0014669B"/>
    <w:rsid w:val="0014709C"/>
    <w:rsid w:val="001474EC"/>
    <w:rsid w:val="0015014F"/>
    <w:rsid w:val="001511A8"/>
    <w:rsid w:val="001514DF"/>
    <w:rsid w:val="001515A3"/>
    <w:rsid w:val="0015242E"/>
    <w:rsid w:val="00152A25"/>
    <w:rsid w:val="00152BFA"/>
    <w:rsid w:val="00152D09"/>
    <w:rsid w:val="0015323D"/>
    <w:rsid w:val="00153474"/>
    <w:rsid w:val="00155DD1"/>
    <w:rsid w:val="0015656F"/>
    <w:rsid w:val="00157814"/>
    <w:rsid w:val="00157AC5"/>
    <w:rsid w:val="00160AEE"/>
    <w:rsid w:val="001611B9"/>
    <w:rsid w:val="0016197A"/>
    <w:rsid w:val="00162216"/>
    <w:rsid w:val="001622DD"/>
    <w:rsid w:val="00162340"/>
    <w:rsid w:val="00162D8C"/>
    <w:rsid w:val="001635BE"/>
    <w:rsid w:val="00164368"/>
    <w:rsid w:val="0016437F"/>
    <w:rsid w:val="00164BD5"/>
    <w:rsid w:val="00165710"/>
    <w:rsid w:val="001657E4"/>
    <w:rsid w:val="001659BA"/>
    <w:rsid w:val="00165F65"/>
    <w:rsid w:val="001660EB"/>
    <w:rsid w:val="00167C68"/>
    <w:rsid w:val="00170FC3"/>
    <w:rsid w:val="0017189E"/>
    <w:rsid w:val="00171CC9"/>
    <w:rsid w:val="001728DE"/>
    <w:rsid w:val="00172A27"/>
    <w:rsid w:val="00172D38"/>
    <w:rsid w:val="00172D6A"/>
    <w:rsid w:val="00172F64"/>
    <w:rsid w:val="00173821"/>
    <w:rsid w:val="00173A5D"/>
    <w:rsid w:val="00173E29"/>
    <w:rsid w:val="00174277"/>
    <w:rsid w:val="001743E0"/>
    <w:rsid w:val="00174EFC"/>
    <w:rsid w:val="0017524D"/>
    <w:rsid w:val="00175A54"/>
    <w:rsid w:val="00175F46"/>
    <w:rsid w:val="00176341"/>
    <w:rsid w:val="00176CA5"/>
    <w:rsid w:val="00176F31"/>
    <w:rsid w:val="00181422"/>
    <w:rsid w:val="00181450"/>
    <w:rsid w:val="00181697"/>
    <w:rsid w:val="001819B0"/>
    <w:rsid w:val="00181B60"/>
    <w:rsid w:val="00181D25"/>
    <w:rsid w:val="00182B02"/>
    <w:rsid w:val="00182BB0"/>
    <w:rsid w:val="0018342B"/>
    <w:rsid w:val="001837F7"/>
    <w:rsid w:val="00183839"/>
    <w:rsid w:val="001843A4"/>
    <w:rsid w:val="00184CCA"/>
    <w:rsid w:val="00184DDF"/>
    <w:rsid w:val="0018503F"/>
    <w:rsid w:val="001854F3"/>
    <w:rsid w:val="001854FC"/>
    <w:rsid w:val="00185801"/>
    <w:rsid w:val="0018608B"/>
    <w:rsid w:val="0018614A"/>
    <w:rsid w:val="001868CB"/>
    <w:rsid w:val="00186970"/>
    <w:rsid w:val="00186DA3"/>
    <w:rsid w:val="00187189"/>
    <w:rsid w:val="00187636"/>
    <w:rsid w:val="00187B3F"/>
    <w:rsid w:val="001916F9"/>
    <w:rsid w:val="00191B43"/>
    <w:rsid w:val="00192116"/>
    <w:rsid w:val="001929D2"/>
    <w:rsid w:val="00193506"/>
    <w:rsid w:val="001945DD"/>
    <w:rsid w:val="00194FA2"/>
    <w:rsid w:val="0019657D"/>
    <w:rsid w:val="001967E0"/>
    <w:rsid w:val="00196C38"/>
    <w:rsid w:val="0019734D"/>
    <w:rsid w:val="00197B19"/>
    <w:rsid w:val="001A2482"/>
    <w:rsid w:val="001A263B"/>
    <w:rsid w:val="001A2952"/>
    <w:rsid w:val="001A2E73"/>
    <w:rsid w:val="001A2EF7"/>
    <w:rsid w:val="001A3122"/>
    <w:rsid w:val="001A3306"/>
    <w:rsid w:val="001A3428"/>
    <w:rsid w:val="001A34EA"/>
    <w:rsid w:val="001A4B78"/>
    <w:rsid w:val="001A5CE4"/>
    <w:rsid w:val="001A68D5"/>
    <w:rsid w:val="001A6B7B"/>
    <w:rsid w:val="001A6DE5"/>
    <w:rsid w:val="001A6EF8"/>
    <w:rsid w:val="001A71F6"/>
    <w:rsid w:val="001A7276"/>
    <w:rsid w:val="001A7B64"/>
    <w:rsid w:val="001B0193"/>
    <w:rsid w:val="001B03A6"/>
    <w:rsid w:val="001B2042"/>
    <w:rsid w:val="001B20C1"/>
    <w:rsid w:val="001B21AC"/>
    <w:rsid w:val="001B2E12"/>
    <w:rsid w:val="001B3B78"/>
    <w:rsid w:val="001B4088"/>
    <w:rsid w:val="001B4173"/>
    <w:rsid w:val="001B41E6"/>
    <w:rsid w:val="001B543E"/>
    <w:rsid w:val="001B5E56"/>
    <w:rsid w:val="001B6C9B"/>
    <w:rsid w:val="001B6EE2"/>
    <w:rsid w:val="001C0372"/>
    <w:rsid w:val="001C040D"/>
    <w:rsid w:val="001C0919"/>
    <w:rsid w:val="001C0C3C"/>
    <w:rsid w:val="001C0D00"/>
    <w:rsid w:val="001C12A0"/>
    <w:rsid w:val="001C1322"/>
    <w:rsid w:val="001C1364"/>
    <w:rsid w:val="001C2294"/>
    <w:rsid w:val="001C27EC"/>
    <w:rsid w:val="001C3086"/>
    <w:rsid w:val="001C3F9C"/>
    <w:rsid w:val="001C4A57"/>
    <w:rsid w:val="001C4FDF"/>
    <w:rsid w:val="001C520B"/>
    <w:rsid w:val="001C5777"/>
    <w:rsid w:val="001C5E59"/>
    <w:rsid w:val="001C66C4"/>
    <w:rsid w:val="001C711E"/>
    <w:rsid w:val="001C7864"/>
    <w:rsid w:val="001C7BA9"/>
    <w:rsid w:val="001D0098"/>
    <w:rsid w:val="001D00EE"/>
    <w:rsid w:val="001D0795"/>
    <w:rsid w:val="001D08E4"/>
    <w:rsid w:val="001D17B4"/>
    <w:rsid w:val="001D26E1"/>
    <w:rsid w:val="001D2D73"/>
    <w:rsid w:val="001D2F9B"/>
    <w:rsid w:val="001D4289"/>
    <w:rsid w:val="001D501E"/>
    <w:rsid w:val="001D50A0"/>
    <w:rsid w:val="001D523E"/>
    <w:rsid w:val="001D6DA4"/>
    <w:rsid w:val="001D7120"/>
    <w:rsid w:val="001D7126"/>
    <w:rsid w:val="001D7202"/>
    <w:rsid w:val="001D799D"/>
    <w:rsid w:val="001D79FA"/>
    <w:rsid w:val="001E1055"/>
    <w:rsid w:val="001E383A"/>
    <w:rsid w:val="001E47D7"/>
    <w:rsid w:val="001E4B3F"/>
    <w:rsid w:val="001E4B42"/>
    <w:rsid w:val="001E5B5D"/>
    <w:rsid w:val="001E6DA3"/>
    <w:rsid w:val="001E7BBF"/>
    <w:rsid w:val="001E7BC3"/>
    <w:rsid w:val="001F0428"/>
    <w:rsid w:val="001F1090"/>
    <w:rsid w:val="001F17B7"/>
    <w:rsid w:val="001F183C"/>
    <w:rsid w:val="001F1CF9"/>
    <w:rsid w:val="001F216C"/>
    <w:rsid w:val="001F2619"/>
    <w:rsid w:val="001F261C"/>
    <w:rsid w:val="001F3379"/>
    <w:rsid w:val="001F3C7A"/>
    <w:rsid w:val="001F3FD4"/>
    <w:rsid w:val="001F41D3"/>
    <w:rsid w:val="001F44E5"/>
    <w:rsid w:val="001F5D5D"/>
    <w:rsid w:val="001F708B"/>
    <w:rsid w:val="001F7226"/>
    <w:rsid w:val="001F7322"/>
    <w:rsid w:val="001F743C"/>
    <w:rsid w:val="00201011"/>
    <w:rsid w:val="0020120B"/>
    <w:rsid w:val="0020244F"/>
    <w:rsid w:val="00203AAB"/>
    <w:rsid w:val="00204CB4"/>
    <w:rsid w:val="0020582A"/>
    <w:rsid w:val="00205CA2"/>
    <w:rsid w:val="002069A1"/>
    <w:rsid w:val="0020709F"/>
    <w:rsid w:val="0020744E"/>
    <w:rsid w:val="00207AD7"/>
    <w:rsid w:val="00207B01"/>
    <w:rsid w:val="00210108"/>
    <w:rsid w:val="002110F1"/>
    <w:rsid w:val="002113AD"/>
    <w:rsid w:val="00211625"/>
    <w:rsid w:val="00211AFC"/>
    <w:rsid w:val="00211FB8"/>
    <w:rsid w:val="00212BC1"/>
    <w:rsid w:val="0021494E"/>
    <w:rsid w:val="0021517E"/>
    <w:rsid w:val="00215858"/>
    <w:rsid w:val="00215884"/>
    <w:rsid w:val="00216684"/>
    <w:rsid w:val="00216ACC"/>
    <w:rsid w:val="00217322"/>
    <w:rsid w:val="002212F0"/>
    <w:rsid w:val="00221718"/>
    <w:rsid w:val="002218F2"/>
    <w:rsid w:val="00222606"/>
    <w:rsid w:val="00222719"/>
    <w:rsid w:val="00222769"/>
    <w:rsid w:val="002227A2"/>
    <w:rsid w:val="00222C1B"/>
    <w:rsid w:val="002234A0"/>
    <w:rsid w:val="00223D32"/>
    <w:rsid w:val="00224483"/>
    <w:rsid w:val="00224993"/>
    <w:rsid w:val="00225714"/>
    <w:rsid w:val="0022684E"/>
    <w:rsid w:val="00227126"/>
    <w:rsid w:val="0022733D"/>
    <w:rsid w:val="00227372"/>
    <w:rsid w:val="002305FF"/>
    <w:rsid w:val="00230F5B"/>
    <w:rsid w:val="00231710"/>
    <w:rsid w:val="002327D0"/>
    <w:rsid w:val="002329AA"/>
    <w:rsid w:val="00233995"/>
    <w:rsid w:val="00234379"/>
    <w:rsid w:val="002347FB"/>
    <w:rsid w:val="00235203"/>
    <w:rsid w:val="002353FD"/>
    <w:rsid w:val="00235EBA"/>
    <w:rsid w:val="002361D9"/>
    <w:rsid w:val="002364FF"/>
    <w:rsid w:val="0023679F"/>
    <w:rsid w:val="00237752"/>
    <w:rsid w:val="0023775B"/>
    <w:rsid w:val="00237F21"/>
    <w:rsid w:val="0024153F"/>
    <w:rsid w:val="00242F73"/>
    <w:rsid w:val="002430F9"/>
    <w:rsid w:val="00243185"/>
    <w:rsid w:val="00243560"/>
    <w:rsid w:val="00243AF1"/>
    <w:rsid w:val="00244AF8"/>
    <w:rsid w:val="00244BEC"/>
    <w:rsid w:val="00245374"/>
    <w:rsid w:val="0024539B"/>
    <w:rsid w:val="00246E6A"/>
    <w:rsid w:val="00247521"/>
    <w:rsid w:val="00247835"/>
    <w:rsid w:val="002502BB"/>
    <w:rsid w:val="002506A1"/>
    <w:rsid w:val="00250C28"/>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7B77"/>
    <w:rsid w:val="00257DA9"/>
    <w:rsid w:val="00261030"/>
    <w:rsid w:val="0026256B"/>
    <w:rsid w:val="00263008"/>
    <w:rsid w:val="0026311C"/>
    <w:rsid w:val="0026320F"/>
    <w:rsid w:val="002635B0"/>
    <w:rsid w:val="002638DB"/>
    <w:rsid w:val="00263B99"/>
    <w:rsid w:val="0026559A"/>
    <w:rsid w:val="002659F2"/>
    <w:rsid w:val="00265A13"/>
    <w:rsid w:val="00265F60"/>
    <w:rsid w:val="002663E7"/>
    <w:rsid w:val="002677FC"/>
    <w:rsid w:val="00267A1C"/>
    <w:rsid w:val="00272284"/>
    <w:rsid w:val="00272827"/>
    <w:rsid w:val="00272DD0"/>
    <w:rsid w:val="002739A0"/>
    <w:rsid w:val="00273BF6"/>
    <w:rsid w:val="002741E9"/>
    <w:rsid w:val="0027508F"/>
    <w:rsid w:val="00275AC4"/>
    <w:rsid w:val="002761E0"/>
    <w:rsid w:val="002765CF"/>
    <w:rsid w:val="002779BA"/>
    <w:rsid w:val="00277C3C"/>
    <w:rsid w:val="002804F4"/>
    <w:rsid w:val="002807FE"/>
    <w:rsid w:val="00281E4A"/>
    <w:rsid w:val="00281E7F"/>
    <w:rsid w:val="002823A4"/>
    <w:rsid w:val="00282E77"/>
    <w:rsid w:val="002835E1"/>
    <w:rsid w:val="002837B8"/>
    <w:rsid w:val="00285089"/>
    <w:rsid w:val="00285374"/>
    <w:rsid w:val="002856F1"/>
    <w:rsid w:val="00286910"/>
    <w:rsid w:val="002878A8"/>
    <w:rsid w:val="00287D44"/>
    <w:rsid w:val="002909BC"/>
    <w:rsid w:val="00291376"/>
    <w:rsid w:val="0029226B"/>
    <w:rsid w:val="00292750"/>
    <w:rsid w:val="00292947"/>
    <w:rsid w:val="00293373"/>
    <w:rsid w:val="002937BE"/>
    <w:rsid w:val="002951E1"/>
    <w:rsid w:val="0029533D"/>
    <w:rsid w:val="00295D6D"/>
    <w:rsid w:val="002963A6"/>
    <w:rsid w:val="00296B76"/>
    <w:rsid w:val="00297B92"/>
    <w:rsid w:val="00297E19"/>
    <w:rsid w:val="002A07FF"/>
    <w:rsid w:val="002A0FC3"/>
    <w:rsid w:val="002A13D8"/>
    <w:rsid w:val="002A1D3C"/>
    <w:rsid w:val="002A3898"/>
    <w:rsid w:val="002A51E1"/>
    <w:rsid w:val="002A5301"/>
    <w:rsid w:val="002A65DA"/>
    <w:rsid w:val="002A74CF"/>
    <w:rsid w:val="002B0267"/>
    <w:rsid w:val="002B10A6"/>
    <w:rsid w:val="002B2BC5"/>
    <w:rsid w:val="002B2C36"/>
    <w:rsid w:val="002B37E3"/>
    <w:rsid w:val="002B4DA2"/>
    <w:rsid w:val="002B5CF2"/>
    <w:rsid w:val="002B65D6"/>
    <w:rsid w:val="002B66A7"/>
    <w:rsid w:val="002B6E8B"/>
    <w:rsid w:val="002B768D"/>
    <w:rsid w:val="002B7A93"/>
    <w:rsid w:val="002B7B2C"/>
    <w:rsid w:val="002B7E3F"/>
    <w:rsid w:val="002C00F0"/>
    <w:rsid w:val="002C01B1"/>
    <w:rsid w:val="002C0E7C"/>
    <w:rsid w:val="002C0EF0"/>
    <w:rsid w:val="002C0FEA"/>
    <w:rsid w:val="002C1D99"/>
    <w:rsid w:val="002C2A7F"/>
    <w:rsid w:val="002C2AA9"/>
    <w:rsid w:val="002C2B1E"/>
    <w:rsid w:val="002C31FB"/>
    <w:rsid w:val="002C4F35"/>
    <w:rsid w:val="002C5234"/>
    <w:rsid w:val="002C5956"/>
    <w:rsid w:val="002C5EF9"/>
    <w:rsid w:val="002C6C35"/>
    <w:rsid w:val="002D0266"/>
    <w:rsid w:val="002D0A70"/>
    <w:rsid w:val="002D11FE"/>
    <w:rsid w:val="002D14AA"/>
    <w:rsid w:val="002D1651"/>
    <w:rsid w:val="002D1C15"/>
    <w:rsid w:val="002D3091"/>
    <w:rsid w:val="002D4263"/>
    <w:rsid w:val="002D4657"/>
    <w:rsid w:val="002D4757"/>
    <w:rsid w:val="002D4CB6"/>
    <w:rsid w:val="002D4D0A"/>
    <w:rsid w:val="002D5305"/>
    <w:rsid w:val="002D5563"/>
    <w:rsid w:val="002D601D"/>
    <w:rsid w:val="002D7543"/>
    <w:rsid w:val="002D7D14"/>
    <w:rsid w:val="002E08A2"/>
    <w:rsid w:val="002E0904"/>
    <w:rsid w:val="002E0C8C"/>
    <w:rsid w:val="002E0F62"/>
    <w:rsid w:val="002E1645"/>
    <w:rsid w:val="002E1747"/>
    <w:rsid w:val="002E174E"/>
    <w:rsid w:val="002E1BC9"/>
    <w:rsid w:val="002E1CC2"/>
    <w:rsid w:val="002E2D83"/>
    <w:rsid w:val="002E3CA2"/>
    <w:rsid w:val="002E5A91"/>
    <w:rsid w:val="002E6A87"/>
    <w:rsid w:val="002E6D25"/>
    <w:rsid w:val="002E7DD7"/>
    <w:rsid w:val="002F0A9A"/>
    <w:rsid w:val="002F0C9C"/>
    <w:rsid w:val="002F125E"/>
    <w:rsid w:val="002F12B2"/>
    <w:rsid w:val="002F1CCB"/>
    <w:rsid w:val="002F37D5"/>
    <w:rsid w:val="002F4187"/>
    <w:rsid w:val="002F4337"/>
    <w:rsid w:val="002F46C6"/>
    <w:rsid w:val="002F4E75"/>
    <w:rsid w:val="002F5F0F"/>
    <w:rsid w:val="002F62A3"/>
    <w:rsid w:val="003006C0"/>
    <w:rsid w:val="00300E6D"/>
    <w:rsid w:val="003012C8"/>
    <w:rsid w:val="00302055"/>
    <w:rsid w:val="00302955"/>
    <w:rsid w:val="00302C4D"/>
    <w:rsid w:val="003036FD"/>
    <w:rsid w:val="00303BD2"/>
    <w:rsid w:val="00303C59"/>
    <w:rsid w:val="00304CC5"/>
    <w:rsid w:val="00304D01"/>
    <w:rsid w:val="00304D6F"/>
    <w:rsid w:val="00306467"/>
    <w:rsid w:val="003073BF"/>
    <w:rsid w:val="003074F4"/>
    <w:rsid w:val="00307990"/>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6D5"/>
    <w:rsid w:val="003214B7"/>
    <w:rsid w:val="00322145"/>
    <w:rsid w:val="00322215"/>
    <w:rsid w:val="00322470"/>
    <w:rsid w:val="00322624"/>
    <w:rsid w:val="003236DB"/>
    <w:rsid w:val="00324461"/>
    <w:rsid w:val="00326F26"/>
    <w:rsid w:val="00327F40"/>
    <w:rsid w:val="0033119C"/>
    <w:rsid w:val="00331721"/>
    <w:rsid w:val="003317AA"/>
    <w:rsid w:val="00331E6E"/>
    <w:rsid w:val="0033339D"/>
    <w:rsid w:val="00333E87"/>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68ED"/>
    <w:rsid w:val="0035057D"/>
    <w:rsid w:val="00350A2D"/>
    <w:rsid w:val="00351E59"/>
    <w:rsid w:val="00352D19"/>
    <w:rsid w:val="00353461"/>
    <w:rsid w:val="00354A7F"/>
    <w:rsid w:val="00355752"/>
    <w:rsid w:val="00355C7E"/>
    <w:rsid w:val="00355F9F"/>
    <w:rsid w:val="003563F4"/>
    <w:rsid w:val="003569B8"/>
    <w:rsid w:val="00357508"/>
    <w:rsid w:val="003605F2"/>
    <w:rsid w:val="003619CE"/>
    <w:rsid w:val="00361E3B"/>
    <w:rsid w:val="0036202A"/>
    <w:rsid w:val="0036223C"/>
    <w:rsid w:val="00362DE0"/>
    <w:rsid w:val="00363343"/>
    <w:rsid w:val="003634BD"/>
    <w:rsid w:val="00364098"/>
    <w:rsid w:val="00364211"/>
    <w:rsid w:val="00364836"/>
    <w:rsid w:val="003648B6"/>
    <w:rsid w:val="00366A1A"/>
    <w:rsid w:val="00367609"/>
    <w:rsid w:val="00367C97"/>
    <w:rsid w:val="00370043"/>
    <w:rsid w:val="0037007E"/>
    <w:rsid w:val="00370D87"/>
    <w:rsid w:val="00370E83"/>
    <w:rsid w:val="00372DB9"/>
    <w:rsid w:val="0037373D"/>
    <w:rsid w:val="00373AB6"/>
    <w:rsid w:val="00373C35"/>
    <w:rsid w:val="00373F34"/>
    <w:rsid w:val="00374082"/>
    <w:rsid w:val="0037468C"/>
    <w:rsid w:val="00374F02"/>
    <w:rsid w:val="0037594D"/>
    <w:rsid w:val="00376B09"/>
    <w:rsid w:val="00376F95"/>
    <w:rsid w:val="003777DC"/>
    <w:rsid w:val="003779B8"/>
    <w:rsid w:val="00377C39"/>
    <w:rsid w:val="003806D3"/>
    <w:rsid w:val="00380C50"/>
    <w:rsid w:val="00381439"/>
    <w:rsid w:val="00381E97"/>
    <w:rsid w:val="00381ED9"/>
    <w:rsid w:val="0038229E"/>
    <w:rsid w:val="00384555"/>
    <w:rsid w:val="003848F8"/>
    <w:rsid w:val="00384C6D"/>
    <w:rsid w:val="003852D9"/>
    <w:rsid w:val="0038624A"/>
    <w:rsid w:val="00386529"/>
    <w:rsid w:val="00386DD4"/>
    <w:rsid w:val="00387FEE"/>
    <w:rsid w:val="00390BF4"/>
    <w:rsid w:val="003913E8"/>
    <w:rsid w:val="003914BE"/>
    <w:rsid w:val="003914CA"/>
    <w:rsid w:val="003927CB"/>
    <w:rsid w:val="003927F9"/>
    <w:rsid w:val="00392FA6"/>
    <w:rsid w:val="003933C7"/>
    <w:rsid w:val="00394ACB"/>
    <w:rsid w:val="00395DF9"/>
    <w:rsid w:val="00396096"/>
    <w:rsid w:val="00396692"/>
    <w:rsid w:val="00396C65"/>
    <w:rsid w:val="003A0A88"/>
    <w:rsid w:val="003A238A"/>
    <w:rsid w:val="003A249A"/>
    <w:rsid w:val="003A24CE"/>
    <w:rsid w:val="003A2CB3"/>
    <w:rsid w:val="003A435E"/>
    <w:rsid w:val="003A4466"/>
    <w:rsid w:val="003A4734"/>
    <w:rsid w:val="003A4F30"/>
    <w:rsid w:val="003A64A9"/>
    <w:rsid w:val="003A6B0D"/>
    <w:rsid w:val="003A728C"/>
    <w:rsid w:val="003A7FC2"/>
    <w:rsid w:val="003B10C4"/>
    <w:rsid w:val="003B1E93"/>
    <w:rsid w:val="003B2345"/>
    <w:rsid w:val="003B26FD"/>
    <w:rsid w:val="003B3E34"/>
    <w:rsid w:val="003B430C"/>
    <w:rsid w:val="003B4547"/>
    <w:rsid w:val="003B58C2"/>
    <w:rsid w:val="003B5C8A"/>
    <w:rsid w:val="003B7092"/>
    <w:rsid w:val="003B7B18"/>
    <w:rsid w:val="003C1064"/>
    <w:rsid w:val="003C109F"/>
    <w:rsid w:val="003C1669"/>
    <w:rsid w:val="003C1F05"/>
    <w:rsid w:val="003C21AE"/>
    <w:rsid w:val="003C221A"/>
    <w:rsid w:val="003C22E8"/>
    <w:rsid w:val="003C23B0"/>
    <w:rsid w:val="003C5618"/>
    <w:rsid w:val="003C5E1D"/>
    <w:rsid w:val="003C6DB3"/>
    <w:rsid w:val="003C6EAD"/>
    <w:rsid w:val="003C72D1"/>
    <w:rsid w:val="003C7532"/>
    <w:rsid w:val="003D1A6C"/>
    <w:rsid w:val="003D1B33"/>
    <w:rsid w:val="003D26B5"/>
    <w:rsid w:val="003D273C"/>
    <w:rsid w:val="003D29C1"/>
    <w:rsid w:val="003D2BB6"/>
    <w:rsid w:val="003D2F2D"/>
    <w:rsid w:val="003D313D"/>
    <w:rsid w:val="003D4367"/>
    <w:rsid w:val="003D52A8"/>
    <w:rsid w:val="003D5CA9"/>
    <w:rsid w:val="003D5DC9"/>
    <w:rsid w:val="003D5F48"/>
    <w:rsid w:val="003D6A63"/>
    <w:rsid w:val="003D7A7A"/>
    <w:rsid w:val="003D7D66"/>
    <w:rsid w:val="003E07A9"/>
    <w:rsid w:val="003E1590"/>
    <w:rsid w:val="003E1D1E"/>
    <w:rsid w:val="003E1D20"/>
    <w:rsid w:val="003E1E8E"/>
    <w:rsid w:val="003E21FC"/>
    <w:rsid w:val="003E2574"/>
    <w:rsid w:val="003E2CA0"/>
    <w:rsid w:val="003E3731"/>
    <w:rsid w:val="003E3BE0"/>
    <w:rsid w:val="003E5461"/>
    <w:rsid w:val="003E5954"/>
    <w:rsid w:val="003E5F37"/>
    <w:rsid w:val="003E649C"/>
    <w:rsid w:val="003E6E5E"/>
    <w:rsid w:val="003F04D7"/>
    <w:rsid w:val="003F0AEF"/>
    <w:rsid w:val="003F2594"/>
    <w:rsid w:val="003F25DC"/>
    <w:rsid w:val="003F2D13"/>
    <w:rsid w:val="003F2EB2"/>
    <w:rsid w:val="003F2FB9"/>
    <w:rsid w:val="003F2FDF"/>
    <w:rsid w:val="003F370D"/>
    <w:rsid w:val="003F3D6B"/>
    <w:rsid w:val="003F4306"/>
    <w:rsid w:val="003F4AF6"/>
    <w:rsid w:val="003F505D"/>
    <w:rsid w:val="003F50FC"/>
    <w:rsid w:val="003F6A89"/>
    <w:rsid w:val="003F6C5B"/>
    <w:rsid w:val="003F7510"/>
    <w:rsid w:val="003F7600"/>
    <w:rsid w:val="003F79C5"/>
    <w:rsid w:val="00400C77"/>
    <w:rsid w:val="00402D1D"/>
    <w:rsid w:val="00403024"/>
    <w:rsid w:val="00405901"/>
    <w:rsid w:val="00406392"/>
    <w:rsid w:val="00406C01"/>
    <w:rsid w:val="0040787F"/>
    <w:rsid w:val="0041058F"/>
    <w:rsid w:val="0041070C"/>
    <w:rsid w:val="0041188A"/>
    <w:rsid w:val="0041219E"/>
    <w:rsid w:val="00412704"/>
    <w:rsid w:val="00412AAE"/>
    <w:rsid w:val="00412F00"/>
    <w:rsid w:val="0041398D"/>
    <w:rsid w:val="00413993"/>
    <w:rsid w:val="00413C17"/>
    <w:rsid w:val="00414C9A"/>
    <w:rsid w:val="00414E3D"/>
    <w:rsid w:val="00414F6B"/>
    <w:rsid w:val="00415189"/>
    <w:rsid w:val="0041524D"/>
    <w:rsid w:val="00415957"/>
    <w:rsid w:val="00416BE2"/>
    <w:rsid w:val="00417ED4"/>
    <w:rsid w:val="00420F3A"/>
    <w:rsid w:val="0042278D"/>
    <w:rsid w:val="00422BF8"/>
    <w:rsid w:val="004234FB"/>
    <w:rsid w:val="004239FB"/>
    <w:rsid w:val="00423A70"/>
    <w:rsid w:val="00423C4E"/>
    <w:rsid w:val="00424F58"/>
    <w:rsid w:val="0042503D"/>
    <w:rsid w:val="0042564D"/>
    <w:rsid w:val="00425CB8"/>
    <w:rsid w:val="0042622A"/>
    <w:rsid w:val="0042640A"/>
    <w:rsid w:val="00426536"/>
    <w:rsid w:val="00427636"/>
    <w:rsid w:val="00427669"/>
    <w:rsid w:val="004278C1"/>
    <w:rsid w:val="00427E8A"/>
    <w:rsid w:val="00427F4F"/>
    <w:rsid w:val="0043067D"/>
    <w:rsid w:val="00430868"/>
    <w:rsid w:val="00431051"/>
    <w:rsid w:val="00431E07"/>
    <w:rsid w:val="00431F15"/>
    <w:rsid w:val="00432954"/>
    <w:rsid w:val="004339E5"/>
    <w:rsid w:val="004341F7"/>
    <w:rsid w:val="00434287"/>
    <w:rsid w:val="00435142"/>
    <w:rsid w:val="00435B9F"/>
    <w:rsid w:val="004364F1"/>
    <w:rsid w:val="00436A31"/>
    <w:rsid w:val="004375C6"/>
    <w:rsid w:val="00440340"/>
    <w:rsid w:val="004410E9"/>
    <w:rsid w:val="00441703"/>
    <w:rsid w:val="00441DDA"/>
    <w:rsid w:val="00441FBA"/>
    <w:rsid w:val="00442E01"/>
    <w:rsid w:val="00443374"/>
    <w:rsid w:val="00445448"/>
    <w:rsid w:val="00446870"/>
    <w:rsid w:val="00446C56"/>
    <w:rsid w:val="00446CE9"/>
    <w:rsid w:val="00450C96"/>
    <w:rsid w:val="00451782"/>
    <w:rsid w:val="00451850"/>
    <w:rsid w:val="00452121"/>
    <w:rsid w:val="004526A4"/>
    <w:rsid w:val="00452E92"/>
    <w:rsid w:val="0045336C"/>
    <w:rsid w:val="0045385F"/>
    <w:rsid w:val="00453AB9"/>
    <w:rsid w:val="00456370"/>
    <w:rsid w:val="00457097"/>
    <w:rsid w:val="00457244"/>
    <w:rsid w:val="00457759"/>
    <w:rsid w:val="0046045F"/>
    <w:rsid w:val="00461101"/>
    <w:rsid w:val="004622CB"/>
    <w:rsid w:val="004636DA"/>
    <w:rsid w:val="00463CEB"/>
    <w:rsid w:val="00464178"/>
    <w:rsid w:val="004644D4"/>
    <w:rsid w:val="00464A94"/>
    <w:rsid w:val="00464DC3"/>
    <w:rsid w:val="00464E89"/>
    <w:rsid w:val="0046641E"/>
    <w:rsid w:val="00467873"/>
    <w:rsid w:val="0047014A"/>
    <w:rsid w:val="00470570"/>
    <w:rsid w:val="00470C7E"/>
    <w:rsid w:val="00470CD8"/>
    <w:rsid w:val="00471197"/>
    <w:rsid w:val="004713E2"/>
    <w:rsid w:val="00471B5B"/>
    <w:rsid w:val="00472DBD"/>
    <w:rsid w:val="00472E0F"/>
    <w:rsid w:val="004730F6"/>
    <w:rsid w:val="00473A1E"/>
    <w:rsid w:val="00473AB1"/>
    <w:rsid w:val="00473CC3"/>
    <w:rsid w:val="004749A2"/>
    <w:rsid w:val="0047563C"/>
    <w:rsid w:val="00475BB1"/>
    <w:rsid w:val="00476259"/>
    <w:rsid w:val="00480924"/>
    <w:rsid w:val="00481546"/>
    <w:rsid w:val="004818CC"/>
    <w:rsid w:val="004819A2"/>
    <w:rsid w:val="00482425"/>
    <w:rsid w:val="00482AF9"/>
    <w:rsid w:val="00483016"/>
    <w:rsid w:val="004836A3"/>
    <w:rsid w:val="00483CA2"/>
    <w:rsid w:val="00484E4A"/>
    <w:rsid w:val="00485283"/>
    <w:rsid w:val="00486DBE"/>
    <w:rsid w:val="004874D1"/>
    <w:rsid w:val="004879D6"/>
    <w:rsid w:val="00490828"/>
    <w:rsid w:val="00490F5A"/>
    <w:rsid w:val="00490FB3"/>
    <w:rsid w:val="004916A6"/>
    <w:rsid w:val="004917C1"/>
    <w:rsid w:val="00491DA3"/>
    <w:rsid w:val="004927F7"/>
    <w:rsid w:val="00492C5A"/>
    <w:rsid w:val="00493C1D"/>
    <w:rsid w:val="00494293"/>
    <w:rsid w:val="00494355"/>
    <w:rsid w:val="00494D49"/>
    <w:rsid w:val="00495173"/>
    <w:rsid w:val="004966B6"/>
    <w:rsid w:val="00497E63"/>
    <w:rsid w:val="004A06AD"/>
    <w:rsid w:val="004A09A8"/>
    <w:rsid w:val="004A2126"/>
    <w:rsid w:val="004A2FF5"/>
    <w:rsid w:val="004A35EE"/>
    <w:rsid w:val="004A3856"/>
    <w:rsid w:val="004A49E7"/>
    <w:rsid w:val="004A509D"/>
    <w:rsid w:val="004A51E1"/>
    <w:rsid w:val="004A5AF5"/>
    <w:rsid w:val="004A5D2C"/>
    <w:rsid w:val="004A68C6"/>
    <w:rsid w:val="004A6A5A"/>
    <w:rsid w:val="004A7C61"/>
    <w:rsid w:val="004A7D67"/>
    <w:rsid w:val="004B03C1"/>
    <w:rsid w:val="004B13D7"/>
    <w:rsid w:val="004B313D"/>
    <w:rsid w:val="004B3B24"/>
    <w:rsid w:val="004B3D1A"/>
    <w:rsid w:val="004B4832"/>
    <w:rsid w:val="004B5279"/>
    <w:rsid w:val="004B56DC"/>
    <w:rsid w:val="004B61EC"/>
    <w:rsid w:val="004B6A92"/>
    <w:rsid w:val="004B73C7"/>
    <w:rsid w:val="004B7928"/>
    <w:rsid w:val="004B7CD9"/>
    <w:rsid w:val="004C0059"/>
    <w:rsid w:val="004C1B89"/>
    <w:rsid w:val="004C22AA"/>
    <w:rsid w:val="004C2946"/>
    <w:rsid w:val="004C2BE9"/>
    <w:rsid w:val="004C3A00"/>
    <w:rsid w:val="004C3FAC"/>
    <w:rsid w:val="004C427B"/>
    <w:rsid w:val="004C47DC"/>
    <w:rsid w:val="004C4840"/>
    <w:rsid w:val="004C4887"/>
    <w:rsid w:val="004C59CB"/>
    <w:rsid w:val="004C5A71"/>
    <w:rsid w:val="004C6878"/>
    <w:rsid w:val="004C6A78"/>
    <w:rsid w:val="004C7A29"/>
    <w:rsid w:val="004D0179"/>
    <w:rsid w:val="004D0EF2"/>
    <w:rsid w:val="004D0FD2"/>
    <w:rsid w:val="004D27CA"/>
    <w:rsid w:val="004D29B1"/>
    <w:rsid w:val="004D3210"/>
    <w:rsid w:val="004D3217"/>
    <w:rsid w:val="004D3248"/>
    <w:rsid w:val="004D362D"/>
    <w:rsid w:val="004D4CFE"/>
    <w:rsid w:val="004D5661"/>
    <w:rsid w:val="004D5876"/>
    <w:rsid w:val="004D5EEF"/>
    <w:rsid w:val="004D637F"/>
    <w:rsid w:val="004D67B3"/>
    <w:rsid w:val="004D7F55"/>
    <w:rsid w:val="004E01A1"/>
    <w:rsid w:val="004E0C8E"/>
    <w:rsid w:val="004E1662"/>
    <w:rsid w:val="004E24AC"/>
    <w:rsid w:val="004E2983"/>
    <w:rsid w:val="004E2DE0"/>
    <w:rsid w:val="004E4EE5"/>
    <w:rsid w:val="004E66A2"/>
    <w:rsid w:val="004E6D19"/>
    <w:rsid w:val="004E7592"/>
    <w:rsid w:val="004E75A9"/>
    <w:rsid w:val="004E7D78"/>
    <w:rsid w:val="004F03ED"/>
    <w:rsid w:val="004F0416"/>
    <w:rsid w:val="004F0BA4"/>
    <w:rsid w:val="004F1A80"/>
    <w:rsid w:val="004F1A98"/>
    <w:rsid w:val="004F1CE0"/>
    <w:rsid w:val="004F40DF"/>
    <w:rsid w:val="004F4478"/>
    <w:rsid w:val="004F4C0A"/>
    <w:rsid w:val="004F4D2E"/>
    <w:rsid w:val="004F5EE7"/>
    <w:rsid w:val="004F5F21"/>
    <w:rsid w:val="004F607A"/>
    <w:rsid w:val="004F63DF"/>
    <w:rsid w:val="004F64AE"/>
    <w:rsid w:val="004F6C06"/>
    <w:rsid w:val="004F6C6B"/>
    <w:rsid w:val="004F7612"/>
    <w:rsid w:val="004F766B"/>
    <w:rsid w:val="004F7871"/>
    <w:rsid w:val="004F7EBD"/>
    <w:rsid w:val="005009E2"/>
    <w:rsid w:val="00500A26"/>
    <w:rsid w:val="00500B26"/>
    <w:rsid w:val="00501195"/>
    <w:rsid w:val="005018B1"/>
    <w:rsid w:val="00501C0E"/>
    <w:rsid w:val="00502379"/>
    <w:rsid w:val="005027CE"/>
    <w:rsid w:val="00505225"/>
    <w:rsid w:val="00505FA4"/>
    <w:rsid w:val="00507499"/>
    <w:rsid w:val="0051108B"/>
    <w:rsid w:val="00511A26"/>
    <w:rsid w:val="005129A5"/>
    <w:rsid w:val="005131E8"/>
    <w:rsid w:val="00514972"/>
    <w:rsid w:val="00515537"/>
    <w:rsid w:val="00515B04"/>
    <w:rsid w:val="00515CDD"/>
    <w:rsid w:val="005160EB"/>
    <w:rsid w:val="005172FF"/>
    <w:rsid w:val="00517EAD"/>
    <w:rsid w:val="00517FF6"/>
    <w:rsid w:val="00520CD4"/>
    <w:rsid w:val="005217C7"/>
    <w:rsid w:val="00521F1C"/>
    <w:rsid w:val="00522F1F"/>
    <w:rsid w:val="00524515"/>
    <w:rsid w:val="00524BE9"/>
    <w:rsid w:val="00525023"/>
    <w:rsid w:val="0052699B"/>
    <w:rsid w:val="00527101"/>
    <w:rsid w:val="005272DA"/>
    <w:rsid w:val="0052745D"/>
    <w:rsid w:val="00527F8E"/>
    <w:rsid w:val="00530680"/>
    <w:rsid w:val="00530800"/>
    <w:rsid w:val="0053088E"/>
    <w:rsid w:val="005309E2"/>
    <w:rsid w:val="005310D8"/>
    <w:rsid w:val="00531D6D"/>
    <w:rsid w:val="00531D8A"/>
    <w:rsid w:val="00532CD0"/>
    <w:rsid w:val="00533516"/>
    <w:rsid w:val="00533BA2"/>
    <w:rsid w:val="00533E41"/>
    <w:rsid w:val="005340A2"/>
    <w:rsid w:val="00534D6D"/>
    <w:rsid w:val="00536ADD"/>
    <w:rsid w:val="00537229"/>
    <w:rsid w:val="00537DC6"/>
    <w:rsid w:val="005406DA"/>
    <w:rsid w:val="00540B79"/>
    <w:rsid w:val="00540C21"/>
    <w:rsid w:val="00541F2F"/>
    <w:rsid w:val="00541FD1"/>
    <w:rsid w:val="00542D58"/>
    <w:rsid w:val="00543382"/>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1357"/>
    <w:rsid w:val="0055223F"/>
    <w:rsid w:val="00552AA8"/>
    <w:rsid w:val="00553C61"/>
    <w:rsid w:val="00553D1A"/>
    <w:rsid w:val="00553ECC"/>
    <w:rsid w:val="00556401"/>
    <w:rsid w:val="0056056A"/>
    <w:rsid w:val="00560B7C"/>
    <w:rsid w:val="00560F5E"/>
    <w:rsid w:val="005610A9"/>
    <w:rsid w:val="00561255"/>
    <w:rsid w:val="00562CEC"/>
    <w:rsid w:val="005632CA"/>
    <w:rsid w:val="00563A9C"/>
    <w:rsid w:val="00563AB9"/>
    <w:rsid w:val="00563F9F"/>
    <w:rsid w:val="0056467F"/>
    <w:rsid w:val="00564990"/>
    <w:rsid w:val="005649A9"/>
    <w:rsid w:val="00564E8F"/>
    <w:rsid w:val="0056501F"/>
    <w:rsid w:val="00565536"/>
    <w:rsid w:val="005660BA"/>
    <w:rsid w:val="005663F0"/>
    <w:rsid w:val="00566AFE"/>
    <w:rsid w:val="005672FE"/>
    <w:rsid w:val="00567D95"/>
    <w:rsid w:val="00567D99"/>
    <w:rsid w:val="00567F7C"/>
    <w:rsid w:val="0057069D"/>
    <w:rsid w:val="00571E51"/>
    <w:rsid w:val="00571F04"/>
    <w:rsid w:val="00572065"/>
    <w:rsid w:val="00572655"/>
    <w:rsid w:val="00572B4E"/>
    <w:rsid w:val="005732CA"/>
    <w:rsid w:val="00573E77"/>
    <w:rsid w:val="00574BC7"/>
    <w:rsid w:val="00574C35"/>
    <w:rsid w:val="0058066E"/>
    <w:rsid w:val="00580676"/>
    <w:rsid w:val="00580FE1"/>
    <w:rsid w:val="00581806"/>
    <w:rsid w:val="00582D0B"/>
    <w:rsid w:val="00583263"/>
    <w:rsid w:val="00583416"/>
    <w:rsid w:val="00583726"/>
    <w:rsid w:val="00583938"/>
    <w:rsid w:val="00584620"/>
    <w:rsid w:val="005847B0"/>
    <w:rsid w:val="005849D1"/>
    <w:rsid w:val="00584ABA"/>
    <w:rsid w:val="00586232"/>
    <w:rsid w:val="005863B7"/>
    <w:rsid w:val="005871EE"/>
    <w:rsid w:val="00590455"/>
    <w:rsid w:val="00590B28"/>
    <w:rsid w:val="00591C52"/>
    <w:rsid w:val="005926DC"/>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87"/>
    <w:rsid w:val="00596D93"/>
    <w:rsid w:val="005979FA"/>
    <w:rsid w:val="00597AE7"/>
    <w:rsid w:val="00597B5B"/>
    <w:rsid w:val="00597D4B"/>
    <w:rsid w:val="005A0004"/>
    <w:rsid w:val="005A00D4"/>
    <w:rsid w:val="005A0186"/>
    <w:rsid w:val="005A1291"/>
    <w:rsid w:val="005A1E11"/>
    <w:rsid w:val="005A2304"/>
    <w:rsid w:val="005A2919"/>
    <w:rsid w:val="005A2F39"/>
    <w:rsid w:val="005A335A"/>
    <w:rsid w:val="005A39A4"/>
    <w:rsid w:val="005A3BD8"/>
    <w:rsid w:val="005A3E1C"/>
    <w:rsid w:val="005A3F44"/>
    <w:rsid w:val="005A4495"/>
    <w:rsid w:val="005A46CA"/>
    <w:rsid w:val="005A63AC"/>
    <w:rsid w:val="005A6432"/>
    <w:rsid w:val="005A6765"/>
    <w:rsid w:val="005A6D17"/>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C041C"/>
    <w:rsid w:val="005C18E6"/>
    <w:rsid w:val="005C23EB"/>
    <w:rsid w:val="005C2424"/>
    <w:rsid w:val="005C29C4"/>
    <w:rsid w:val="005C4432"/>
    <w:rsid w:val="005C5B9C"/>
    <w:rsid w:val="005C5DD2"/>
    <w:rsid w:val="005C5E64"/>
    <w:rsid w:val="005C5F9B"/>
    <w:rsid w:val="005C6A0B"/>
    <w:rsid w:val="005C77AE"/>
    <w:rsid w:val="005C7F37"/>
    <w:rsid w:val="005D101E"/>
    <w:rsid w:val="005D15DA"/>
    <w:rsid w:val="005D1A91"/>
    <w:rsid w:val="005D1AA4"/>
    <w:rsid w:val="005D1AE8"/>
    <w:rsid w:val="005D1CED"/>
    <w:rsid w:val="005D4599"/>
    <w:rsid w:val="005D579D"/>
    <w:rsid w:val="005D5C81"/>
    <w:rsid w:val="005D6408"/>
    <w:rsid w:val="005D6C41"/>
    <w:rsid w:val="005D7C18"/>
    <w:rsid w:val="005E07E5"/>
    <w:rsid w:val="005E0B69"/>
    <w:rsid w:val="005E1214"/>
    <w:rsid w:val="005E2397"/>
    <w:rsid w:val="005E2CC6"/>
    <w:rsid w:val="005E336B"/>
    <w:rsid w:val="005E3538"/>
    <w:rsid w:val="005E3906"/>
    <w:rsid w:val="005E3B01"/>
    <w:rsid w:val="005E3D61"/>
    <w:rsid w:val="005E4745"/>
    <w:rsid w:val="005E4E92"/>
    <w:rsid w:val="005E6E4B"/>
    <w:rsid w:val="005E6EC4"/>
    <w:rsid w:val="005E7604"/>
    <w:rsid w:val="005E7AFC"/>
    <w:rsid w:val="005F0341"/>
    <w:rsid w:val="005F1614"/>
    <w:rsid w:val="005F27F0"/>
    <w:rsid w:val="005F39F0"/>
    <w:rsid w:val="005F4429"/>
    <w:rsid w:val="005F4897"/>
    <w:rsid w:val="005F51AC"/>
    <w:rsid w:val="005F5253"/>
    <w:rsid w:val="005F5A7A"/>
    <w:rsid w:val="005F6C32"/>
    <w:rsid w:val="005F75D0"/>
    <w:rsid w:val="005F7C26"/>
    <w:rsid w:val="005F7C9A"/>
    <w:rsid w:val="0060065B"/>
    <w:rsid w:val="00600A45"/>
    <w:rsid w:val="00600E96"/>
    <w:rsid w:val="00600F2D"/>
    <w:rsid w:val="00601DB3"/>
    <w:rsid w:val="00601E67"/>
    <w:rsid w:val="00601F52"/>
    <w:rsid w:val="00602549"/>
    <w:rsid w:val="00602DD9"/>
    <w:rsid w:val="006038CB"/>
    <w:rsid w:val="00603FA3"/>
    <w:rsid w:val="00604092"/>
    <w:rsid w:val="00604B23"/>
    <w:rsid w:val="00604E11"/>
    <w:rsid w:val="00605749"/>
    <w:rsid w:val="00605FCC"/>
    <w:rsid w:val="006060A9"/>
    <w:rsid w:val="00607945"/>
    <w:rsid w:val="006105B6"/>
    <w:rsid w:val="006108A1"/>
    <w:rsid w:val="00610B93"/>
    <w:rsid w:val="00610C19"/>
    <w:rsid w:val="00611D7A"/>
    <w:rsid w:val="006125AA"/>
    <w:rsid w:val="006130DB"/>
    <w:rsid w:val="0061392A"/>
    <w:rsid w:val="00614969"/>
    <w:rsid w:val="00615788"/>
    <w:rsid w:val="0061654E"/>
    <w:rsid w:val="006203AD"/>
    <w:rsid w:val="0062122B"/>
    <w:rsid w:val="00621442"/>
    <w:rsid w:val="00622408"/>
    <w:rsid w:val="00622FD3"/>
    <w:rsid w:val="00625E96"/>
    <w:rsid w:val="00626815"/>
    <w:rsid w:val="00626E3D"/>
    <w:rsid w:val="00627C66"/>
    <w:rsid w:val="00630500"/>
    <w:rsid w:val="006309D3"/>
    <w:rsid w:val="0063190B"/>
    <w:rsid w:val="0063287B"/>
    <w:rsid w:val="00632BD2"/>
    <w:rsid w:val="006334E3"/>
    <w:rsid w:val="0063362B"/>
    <w:rsid w:val="00635353"/>
    <w:rsid w:val="00636535"/>
    <w:rsid w:val="00640052"/>
    <w:rsid w:val="00640068"/>
    <w:rsid w:val="00640168"/>
    <w:rsid w:val="00640994"/>
    <w:rsid w:val="00641624"/>
    <w:rsid w:val="00641B3A"/>
    <w:rsid w:val="00642920"/>
    <w:rsid w:val="006433DB"/>
    <w:rsid w:val="006455B4"/>
    <w:rsid w:val="00645758"/>
    <w:rsid w:val="00645DDE"/>
    <w:rsid w:val="00647B4C"/>
    <w:rsid w:val="00647BA9"/>
    <w:rsid w:val="00647DC0"/>
    <w:rsid w:val="006501DF"/>
    <w:rsid w:val="00650490"/>
    <w:rsid w:val="00650C16"/>
    <w:rsid w:val="0065119D"/>
    <w:rsid w:val="006513B5"/>
    <w:rsid w:val="00651463"/>
    <w:rsid w:val="0065146D"/>
    <w:rsid w:val="00651595"/>
    <w:rsid w:val="006528AA"/>
    <w:rsid w:val="00652C88"/>
    <w:rsid w:val="00653C4A"/>
    <w:rsid w:val="00653DDC"/>
    <w:rsid w:val="0065461F"/>
    <w:rsid w:val="00654D85"/>
    <w:rsid w:val="00655D0B"/>
    <w:rsid w:val="00656ACB"/>
    <w:rsid w:val="00656D8A"/>
    <w:rsid w:val="00657D80"/>
    <w:rsid w:val="0066117E"/>
    <w:rsid w:val="006613F6"/>
    <w:rsid w:val="00661C60"/>
    <w:rsid w:val="006620BB"/>
    <w:rsid w:val="00662470"/>
    <w:rsid w:val="00663289"/>
    <w:rsid w:val="00663B10"/>
    <w:rsid w:val="00663D54"/>
    <w:rsid w:val="00666630"/>
    <w:rsid w:val="00666806"/>
    <w:rsid w:val="00666F7A"/>
    <w:rsid w:val="006678BA"/>
    <w:rsid w:val="00667C02"/>
    <w:rsid w:val="00670113"/>
    <w:rsid w:val="00670124"/>
    <w:rsid w:val="00671E4A"/>
    <w:rsid w:val="0067314B"/>
    <w:rsid w:val="00673F68"/>
    <w:rsid w:val="006740E1"/>
    <w:rsid w:val="006741E7"/>
    <w:rsid w:val="006743E0"/>
    <w:rsid w:val="00674C12"/>
    <w:rsid w:val="006757CE"/>
    <w:rsid w:val="00676063"/>
    <w:rsid w:val="00676AFF"/>
    <w:rsid w:val="0067702D"/>
    <w:rsid w:val="0067710C"/>
    <w:rsid w:val="00677F71"/>
    <w:rsid w:val="00680569"/>
    <w:rsid w:val="00680A8F"/>
    <w:rsid w:val="00680F9E"/>
    <w:rsid w:val="00680FAC"/>
    <w:rsid w:val="0068217A"/>
    <w:rsid w:val="0068246A"/>
    <w:rsid w:val="00684B8C"/>
    <w:rsid w:val="0068619D"/>
    <w:rsid w:val="006864DE"/>
    <w:rsid w:val="00687121"/>
    <w:rsid w:val="00690A97"/>
    <w:rsid w:val="00691B5E"/>
    <w:rsid w:val="00691FC7"/>
    <w:rsid w:val="00692386"/>
    <w:rsid w:val="00692693"/>
    <w:rsid w:val="00692FA7"/>
    <w:rsid w:val="006934B8"/>
    <w:rsid w:val="00693CCD"/>
    <w:rsid w:val="00694B73"/>
    <w:rsid w:val="0069514E"/>
    <w:rsid w:val="00695F1C"/>
    <w:rsid w:val="00696E8B"/>
    <w:rsid w:val="006970E6"/>
    <w:rsid w:val="00697AC4"/>
    <w:rsid w:val="006A0671"/>
    <w:rsid w:val="006A1366"/>
    <w:rsid w:val="006A1808"/>
    <w:rsid w:val="006A187B"/>
    <w:rsid w:val="006A191B"/>
    <w:rsid w:val="006A1DD0"/>
    <w:rsid w:val="006A2703"/>
    <w:rsid w:val="006A29FE"/>
    <w:rsid w:val="006A3FD6"/>
    <w:rsid w:val="006A4FD8"/>
    <w:rsid w:val="006A5303"/>
    <w:rsid w:val="006A56B6"/>
    <w:rsid w:val="006A5B07"/>
    <w:rsid w:val="006A5DBD"/>
    <w:rsid w:val="006A5DC0"/>
    <w:rsid w:val="006A6644"/>
    <w:rsid w:val="006A6B75"/>
    <w:rsid w:val="006A6BDC"/>
    <w:rsid w:val="006A6BE6"/>
    <w:rsid w:val="006A72D8"/>
    <w:rsid w:val="006A766B"/>
    <w:rsid w:val="006A769B"/>
    <w:rsid w:val="006B032A"/>
    <w:rsid w:val="006B0AE0"/>
    <w:rsid w:val="006B198E"/>
    <w:rsid w:val="006B2315"/>
    <w:rsid w:val="006B269D"/>
    <w:rsid w:val="006B2D05"/>
    <w:rsid w:val="006B2E11"/>
    <w:rsid w:val="006B31ED"/>
    <w:rsid w:val="006B3261"/>
    <w:rsid w:val="006B3600"/>
    <w:rsid w:val="006B3B0B"/>
    <w:rsid w:val="006B3D9C"/>
    <w:rsid w:val="006B45E9"/>
    <w:rsid w:val="006B4924"/>
    <w:rsid w:val="006B4AD5"/>
    <w:rsid w:val="006B682C"/>
    <w:rsid w:val="006B738C"/>
    <w:rsid w:val="006C080F"/>
    <w:rsid w:val="006C1812"/>
    <w:rsid w:val="006C198D"/>
    <w:rsid w:val="006C25D1"/>
    <w:rsid w:val="006C270A"/>
    <w:rsid w:val="006C2BA3"/>
    <w:rsid w:val="006C3528"/>
    <w:rsid w:val="006C3826"/>
    <w:rsid w:val="006C5400"/>
    <w:rsid w:val="006C5548"/>
    <w:rsid w:val="006C558D"/>
    <w:rsid w:val="006C69E1"/>
    <w:rsid w:val="006C6E28"/>
    <w:rsid w:val="006C7061"/>
    <w:rsid w:val="006C737B"/>
    <w:rsid w:val="006D0B78"/>
    <w:rsid w:val="006D0E11"/>
    <w:rsid w:val="006D1930"/>
    <w:rsid w:val="006D2C91"/>
    <w:rsid w:val="006D2E3E"/>
    <w:rsid w:val="006D4107"/>
    <w:rsid w:val="006D7986"/>
    <w:rsid w:val="006D7FF5"/>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6BA"/>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3D03"/>
    <w:rsid w:val="006F450E"/>
    <w:rsid w:val="006F47EB"/>
    <w:rsid w:val="006F4E58"/>
    <w:rsid w:val="006F52C0"/>
    <w:rsid w:val="006F651E"/>
    <w:rsid w:val="006F6B67"/>
    <w:rsid w:val="006F7EA9"/>
    <w:rsid w:val="00701C06"/>
    <w:rsid w:val="00702463"/>
    <w:rsid w:val="00702B71"/>
    <w:rsid w:val="00703084"/>
    <w:rsid w:val="0070347F"/>
    <w:rsid w:val="00705561"/>
    <w:rsid w:val="007055A2"/>
    <w:rsid w:val="00706457"/>
    <w:rsid w:val="00706554"/>
    <w:rsid w:val="00706D20"/>
    <w:rsid w:val="00707AA6"/>
    <w:rsid w:val="00710B0E"/>
    <w:rsid w:val="00710B6E"/>
    <w:rsid w:val="00711055"/>
    <w:rsid w:val="007114DB"/>
    <w:rsid w:val="00712CBE"/>
    <w:rsid w:val="00714794"/>
    <w:rsid w:val="007159E8"/>
    <w:rsid w:val="00715E99"/>
    <w:rsid w:val="007163B4"/>
    <w:rsid w:val="0071675A"/>
    <w:rsid w:val="00716AB7"/>
    <w:rsid w:val="00717276"/>
    <w:rsid w:val="007212CC"/>
    <w:rsid w:val="00721F96"/>
    <w:rsid w:val="007224A1"/>
    <w:rsid w:val="00722C0C"/>
    <w:rsid w:val="00723528"/>
    <w:rsid w:val="00723566"/>
    <w:rsid w:val="00724372"/>
    <w:rsid w:val="00724F6F"/>
    <w:rsid w:val="007255FC"/>
    <w:rsid w:val="0072592D"/>
    <w:rsid w:val="00726DC8"/>
    <w:rsid w:val="007307CE"/>
    <w:rsid w:val="00731667"/>
    <w:rsid w:val="007316BE"/>
    <w:rsid w:val="00732E79"/>
    <w:rsid w:val="00733949"/>
    <w:rsid w:val="00734265"/>
    <w:rsid w:val="00734CC7"/>
    <w:rsid w:val="007357E1"/>
    <w:rsid w:val="007359E9"/>
    <w:rsid w:val="00735EFF"/>
    <w:rsid w:val="00735FA7"/>
    <w:rsid w:val="00736605"/>
    <w:rsid w:val="00737738"/>
    <w:rsid w:val="00740DDE"/>
    <w:rsid w:val="007420A7"/>
    <w:rsid w:val="007427F5"/>
    <w:rsid w:val="007428AC"/>
    <w:rsid w:val="00742FFB"/>
    <w:rsid w:val="00743A4C"/>
    <w:rsid w:val="00744211"/>
    <w:rsid w:val="00744607"/>
    <w:rsid w:val="0074566A"/>
    <w:rsid w:val="007459CE"/>
    <w:rsid w:val="007459EE"/>
    <w:rsid w:val="00745B64"/>
    <w:rsid w:val="00746CBC"/>
    <w:rsid w:val="00746DAF"/>
    <w:rsid w:val="00746E87"/>
    <w:rsid w:val="0074764D"/>
    <w:rsid w:val="00747791"/>
    <w:rsid w:val="0075047B"/>
    <w:rsid w:val="007507C4"/>
    <w:rsid w:val="0075118D"/>
    <w:rsid w:val="00751571"/>
    <w:rsid w:val="00751B1C"/>
    <w:rsid w:val="00752A29"/>
    <w:rsid w:val="00753534"/>
    <w:rsid w:val="00753639"/>
    <w:rsid w:val="00753E05"/>
    <w:rsid w:val="007568C7"/>
    <w:rsid w:val="00756A2A"/>
    <w:rsid w:val="00756EE3"/>
    <w:rsid w:val="00757270"/>
    <w:rsid w:val="00757359"/>
    <w:rsid w:val="007579D2"/>
    <w:rsid w:val="00760437"/>
    <w:rsid w:val="00760495"/>
    <w:rsid w:val="00760ADF"/>
    <w:rsid w:val="00760F4E"/>
    <w:rsid w:val="00761AC8"/>
    <w:rsid w:val="00764784"/>
    <w:rsid w:val="00770726"/>
    <w:rsid w:val="00770DC0"/>
    <w:rsid w:val="00771068"/>
    <w:rsid w:val="007727A7"/>
    <w:rsid w:val="00772D8F"/>
    <w:rsid w:val="00773721"/>
    <w:rsid w:val="00774EC3"/>
    <w:rsid w:val="00775E38"/>
    <w:rsid w:val="007760F9"/>
    <w:rsid w:val="00776811"/>
    <w:rsid w:val="007768B8"/>
    <w:rsid w:val="00777F0D"/>
    <w:rsid w:val="0078064D"/>
    <w:rsid w:val="00781423"/>
    <w:rsid w:val="00781BDA"/>
    <w:rsid w:val="0078256A"/>
    <w:rsid w:val="00782855"/>
    <w:rsid w:val="00782EF9"/>
    <w:rsid w:val="007836A4"/>
    <w:rsid w:val="007837ED"/>
    <w:rsid w:val="00784042"/>
    <w:rsid w:val="0078433B"/>
    <w:rsid w:val="00784C74"/>
    <w:rsid w:val="007856C8"/>
    <w:rsid w:val="0078583C"/>
    <w:rsid w:val="00785879"/>
    <w:rsid w:val="00785A23"/>
    <w:rsid w:val="0078657C"/>
    <w:rsid w:val="00786B2C"/>
    <w:rsid w:val="007872A6"/>
    <w:rsid w:val="00787367"/>
    <w:rsid w:val="00787487"/>
    <w:rsid w:val="00787E26"/>
    <w:rsid w:val="00790052"/>
    <w:rsid w:val="00791498"/>
    <w:rsid w:val="00792248"/>
    <w:rsid w:val="00793D94"/>
    <w:rsid w:val="00794A98"/>
    <w:rsid w:val="00795175"/>
    <w:rsid w:val="007953EE"/>
    <w:rsid w:val="00795672"/>
    <w:rsid w:val="00795C2F"/>
    <w:rsid w:val="00796586"/>
    <w:rsid w:val="007973D5"/>
    <w:rsid w:val="0079789F"/>
    <w:rsid w:val="007978FF"/>
    <w:rsid w:val="00797CBA"/>
    <w:rsid w:val="00797FC1"/>
    <w:rsid w:val="007A21DD"/>
    <w:rsid w:val="007A22D1"/>
    <w:rsid w:val="007A2ABE"/>
    <w:rsid w:val="007A2BC3"/>
    <w:rsid w:val="007A2C9E"/>
    <w:rsid w:val="007A322F"/>
    <w:rsid w:val="007A3BEB"/>
    <w:rsid w:val="007A418C"/>
    <w:rsid w:val="007A4437"/>
    <w:rsid w:val="007A4641"/>
    <w:rsid w:val="007A4D16"/>
    <w:rsid w:val="007A5B21"/>
    <w:rsid w:val="007A5EBB"/>
    <w:rsid w:val="007A603B"/>
    <w:rsid w:val="007A6CE5"/>
    <w:rsid w:val="007A6FDB"/>
    <w:rsid w:val="007A714D"/>
    <w:rsid w:val="007B055B"/>
    <w:rsid w:val="007B13CE"/>
    <w:rsid w:val="007B14EE"/>
    <w:rsid w:val="007B32DB"/>
    <w:rsid w:val="007B3F50"/>
    <w:rsid w:val="007B548B"/>
    <w:rsid w:val="007B5B21"/>
    <w:rsid w:val="007B629A"/>
    <w:rsid w:val="007B6FC1"/>
    <w:rsid w:val="007B7897"/>
    <w:rsid w:val="007B7903"/>
    <w:rsid w:val="007B7D60"/>
    <w:rsid w:val="007B7EA4"/>
    <w:rsid w:val="007C02D3"/>
    <w:rsid w:val="007C0568"/>
    <w:rsid w:val="007C0A4E"/>
    <w:rsid w:val="007C1025"/>
    <w:rsid w:val="007C1536"/>
    <w:rsid w:val="007C193F"/>
    <w:rsid w:val="007C1A74"/>
    <w:rsid w:val="007C2386"/>
    <w:rsid w:val="007C268C"/>
    <w:rsid w:val="007C28BF"/>
    <w:rsid w:val="007C2E96"/>
    <w:rsid w:val="007C33D7"/>
    <w:rsid w:val="007C3719"/>
    <w:rsid w:val="007C374A"/>
    <w:rsid w:val="007C3BAD"/>
    <w:rsid w:val="007C5CFB"/>
    <w:rsid w:val="007C5F2F"/>
    <w:rsid w:val="007C64E6"/>
    <w:rsid w:val="007C7C36"/>
    <w:rsid w:val="007C7DCB"/>
    <w:rsid w:val="007D0679"/>
    <w:rsid w:val="007D0E7B"/>
    <w:rsid w:val="007D1BF2"/>
    <w:rsid w:val="007D1D31"/>
    <w:rsid w:val="007D29BB"/>
    <w:rsid w:val="007D2AD3"/>
    <w:rsid w:val="007D3845"/>
    <w:rsid w:val="007D3AD2"/>
    <w:rsid w:val="007D44AC"/>
    <w:rsid w:val="007D514A"/>
    <w:rsid w:val="007D5311"/>
    <w:rsid w:val="007D5A1E"/>
    <w:rsid w:val="007D5ADD"/>
    <w:rsid w:val="007D6335"/>
    <w:rsid w:val="007D67BA"/>
    <w:rsid w:val="007D79AB"/>
    <w:rsid w:val="007D7C54"/>
    <w:rsid w:val="007E0D20"/>
    <w:rsid w:val="007E12DD"/>
    <w:rsid w:val="007E16BF"/>
    <w:rsid w:val="007E1EE6"/>
    <w:rsid w:val="007E1FFB"/>
    <w:rsid w:val="007E2285"/>
    <w:rsid w:val="007E2903"/>
    <w:rsid w:val="007E293B"/>
    <w:rsid w:val="007E3BA2"/>
    <w:rsid w:val="007E43AF"/>
    <w:rsid w:val="007E4C62"/>
    <w:rsid w:val="007E5D42"/>
    <w:rsid w:val="007E5DAF"/>
    <w:rsid w:val="007E637A"/>
    <w:rsid w:val="007F0EEE"/>
    <w:rsid w:val="007F216A"/>
    <w:rsid w:val="007F2467"/>
    <w:rsid w:val="007F2DF2"/>
    <w:rsid w:val="007F3DD9"/>
    <w:rsid w:val="007F44DF"/>
    <w:rsid w:val="007F571F"/>
    <w:rsid w:val="007F5E61"/>
    <w:rsid w:val="007F7770"/>
    <w:rsid w:val="007F783A"/>
    <w:rsid w:val="007F7B56"/>
    <w:rsid w:val="007F7BA5"/>
    <w:rsid w:val="0080015F"/>
    <w:rsid w:val="008002BA"/>
    <w:rsid w:val="00800BEC"/>
    <w:rsid w:val="0080162A"/>
    <w:rsid w:val="008017DE"/>
    <w:rsid w:val="00801ADE"/>
    <w:rsid w:val="00801CF4"/>
    <w:rsid w:val="00801DF3"/>
    <w:rsid w:val="00801EBA"/>
    <w:rsid w:val="0080292D"/>
    <w:rsid w:val="00804EC3"/>
    <w:rsid w:val="00805517"/>
    <w:rsid w:val="00805603"/>
    <w:rsid w:val="00807BC1"/>
    <w:rsid w:val="00807C5A"/>
    <w:rsid w:val="008106EE"/>
    <w:rsid w:val="008110C3"/>
    <w:rsid w:val="008114AA"/>
    <w:rsid w:val="008122FD"/>
    <w:rsid w:val="00814B71"/>
    <w:rsid w:val="00814F1E"/>
    <w:rsid w:val="0081566C"/>
    <w:rsid w:val="00817233"/>
    <w:rsid w:val="008173DD"/>
    <w:rsid w:val="008177D8"/>
    <w:rsid w:val="00817A9B"/>
    <w:rsid w:val="00820EBF"/>
    <w:rsid w:val="008219F9"/>
    <w:rsid w:val="00821EED"/>
    <w:rsid w:val="00822327"/>
    <w:rsid w:val="00822A3E"/>
    <w:rsid w:val="00822B95"/>
    <w:rsid w:val="00822BEF"/>
    <w:rsid w:val="00824794"/>
    <w:rsid w:val="00824900"/>
    <w:rsid w:val="00824DB5"/>
    <w:rsid w:val="00824FC2"/>
    <w:rsid w:val="008252EA"/>
    <w:rsid w:val="00825CF0"/>
    <w:rsid w:val="00825DD2"/>
    <w:rsid w:val="00826652"/>
    <w:rsid w:val="00830E8A"/>
    <w:rsid w:val="00831067"/>
    <w:rsid w:val="00831183"/>
    <w:rsid w:val="00831647"/>
    <w:rsid w:val="00831817"/>
    <w:rsid w:val="008319B5"/>
    <w:rsid w:val="00831F82"/>
    <w:rsid w:val="00832304"/>
    <w:rsid w:val="008324BE"/>
    <w:rsid w:val="0083281F"/>
    <w:rsid w:val="008333F9"/>
    <w:rsid w:val="00833ADF"/>
    <w:rsid w:val="00834261"/>
    <w:rsid w:val="008342CE"/>
    <w:rsid w:val="0083431C"/>
    <w:rsid w:val="00834CCF"/>
    <w:rsid w:val="0083532A"/>
    <w:rsid w:val="00835575"/>
    <w:rsid w:val="0083622F"/>
    <w:rsid w:val="00836B62"/>
    <w:rsid w:val="0083732F"/>
    <w:rsid w:val="008376C3"/>
    <w:rsid w:val="00837A21"/>
    <w:rsid w:val="008412F8"/>
    <w:rsid w:val="0084242F"/>
    <w:rsid w:val="00842467"/>
    <w:rsid w:val="008425DA"/>
    <w:rsid w:val="008435BB"/>
    <w:rsid w:val="00844BC0"/>
    <w:rsid w:val="0084510B"/>
    <w:rsid w:val="00845AF3"/>
    <w:rsid w:val="00845E89"/>
    <w:rsid w:val="00846712"/>
    <w:rsid w:val="00846731"/>
    <w:rsid w:val="008468A4"/>
    <w:rsid w:val="008468CD"/>
    <w:rsid w:val="008469C3"/>
    <w:rsid w:val="00846B20"/>
    <w:rsid w:val="008477D7"/>
    <w:rsid w:val="00847EEB"/>
    <w:rsid w:val="008501EF"/>
    <w:rsid w:val="0085060F"/>
    <w:rsid w:val="0085112B"/>
    <w:rsid w:val="0085168A"/>
    <w:rsid w:val="00851779"/>
    <w:rsid w:val="00851C40"/>
    <w:rsid w:val="00852677"/>
    <w:rsid w:val="00852DC8"/>
    <w:rsid w:val="008533A2"/>
    <w:rsid w:val="0085357A"/>
    <w:rsid w:val="008537AA"/>
    <w:rsid w:val="00854BB7"/>
    <w:rsid w:val="00854C8D"/>
    <w:rsid w:val="00855429"/>
    <w:rsid w:val="0085682F"/>
    <w:rsid w:val="00856904"/>
    <w:rsid w:val="008570C8"/>
    <w:rsid w:val="00857957"/>
    <w:rsid w:val="00860CBB"/>
    <w:rsid w:val="00860E63"/>
    <w:rsid w:val="00860E6D"/>
    <w:rsid w:val="00860F35"/>
    <w:rsid w:val="00862E95"/>
    <w:rsid w:val="00864F1E"/>
    <w:rsid w:val="00865870"/>
    <w:rsid w:val="00867143"/>
    <w:rsid w:val="0086742B"/>
    <w:rsid w:val="00870140"/>
    <w:rsid w:val="00870528"/>
    <w:rsid w:val="008706DF"/>
    <w:rsid w:val="008708E1"/>
    <w:rsid w:val="00870F31"/>
    <w:rsid w:val="008710DC"/>
    <w:rsid w:val="00871E04"/>
    <w:rsid w:val="00871F97"/>
    <w:rsid w:val="008735D6"/>
    <w:rsid w:val="0087371F"/>
    <w:rsid w:val="00873A7D"/>
    <w:rsid w:val="00873DCA"/>
    <w:rsid w:val="00874157"/>
    <w:rsid w:val="008758C8"/>
    <w:rsid w:val="00875D89"/>
    <w:rsid w:val="00875EA8"/>
    <w:rsid w:val="008770C8"/>
    <w:rsid w:val="0087780A"/>
    <w:rsid w:val="00877B36"/>
    <w:rsid w:val="00880B5A"/>
    <w:rsid w:val="00880F8A"/>
    <w:rsid w:val="00881619"/>
    <w:rsid w:val="00881AA1"/>
    <w:rsid w:val="00881CDA"/>
    <w:rsid w:val="00883375"/>
    <w:rsid w:val="00884644"/>
    <w:rsid w:val="00884C8C"/>
    <w:rsid w:val="00885189"/>
    <w:rsid w:val="00885803"/>
    <w:rsid w:val="008861AF"/>
    <w:rsid w:val="008862E0"/>
    <w:rsid w:val="00887821"/>
    <w:rsid w:val="00887A9A"/>
    <w:rsid w:val="00887D35"/>
    <w:rsid w:val="00891E1D"/>
    <w:rsid w:val="00891F7F"/>
    <w:rsid w:val="008927E8"/>
    <w:rsid w:val="00893892"/>
    <w:rsid w:val="00893D31"/>
    <w:rsid w:val="00894C87"/>
    <w:rsid w:val="00894DE8"/>
    <w:rsid w:val="00895D7E"/>
    <w:rsid w:val="0089683D"/>
    <w:rsid w:val="00897DD4"/>
    <w:rsid w:val="008A137C"/>
    <w:rsid w:val="008A26B3"/>
    <w:rsid w:val="008A2B1A"/>
    <w:rsid w:val="008A2DA3"/>
    <w:rsid w:val="008A3023"/>
    <w:rsid w:val="008A33B1"/>
    <w:rsid w:val="008A5C4D"/>
    <w:rsid w:val="008A63D7"/>
    <w:rsid w:val="008A67B7"/>
    <w:rsid w:val="008A6D51"/>
    <w:rsid w:val="008A6DA8"/>
    <w:rsid w:val="008A7D00"/>
    <w:rsid w:val="008B0F3C"/>
    <w:rsid w:val="008B178D"/>
    <w:rsid w:val="008B1800"/>
    <w:rsid w:val="008B1A7D"/>
    <w:rsid w:val="008B1F3A"/>
    <w:rsid w:val="008B205D"/>
    <w:rsid w:val="008B2534"/>
    <w:rsid w:val="008B2575"/>
    <w:rsid w:val="008B2AC6"/>
    <w:rsid w:val="008B2BC7"/>
    <w:rsid w:val="008B2CB7"/>
    <w:rsid w:val="008B2D61"/>
    <w:rsid w:val="008B3735"/>
    <w:rsid w:val="008B3C3B"/>
    <w:rsid w:val="008B4AC2"/>
    <w:rsid w:val="008B5586"/>
    <w:rsid w:val="008B5686"/>
    <w:rsid w:val="008B5D27"/>
    <w:rsid w:val="008B6751"/>
    <w:rsid w:val="008B6C87"/>
    <w:rsid w:val="008B6D46"/>
    <w:rsid w:val="008B702E"/>
    <w:rsid w:val="008B72E8"/>
    <w:rsid w:val="008B73C3"/>
    <w:rsid w:val="008C01F9"/>
    <w:rsid w:val="008C0EBA"/>
    <w:rsid w:val="008C0F6E"/>
    <w:rsid w:val="008C117F"/>
    <w:rsid w:val="008C11D0"/>
    <w:rsid w:val="008C1FDA"/>
    <w:rsid w:val="008C2C2C"/>
    <w:rsid w:val="008C3283"/>
    <w:rsid w:val="008C381D"/>
    <w:rsid w:val="008C4081"/>
    <w:rsid w:val="008C509D"/>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5134"/>
    <w:rsid w:val="008E5BE0"/>
    <w:rsid w:val="008E63C7"/>
    <w:rsid w:val="008E7940"/>
    <w:rsid w:val="008E7F9D"/>
    <w:rsid w:val="008F0293"/>
    <w:rsid w:val="008F256B"/>
    <w:rsid w:val="008F2684"/>
    <w:rsid w:val="008F2D71"/>
    <w:rsid w:val="008F336E"/>
    <w:rsid w:val="008F3BB2"/>
    <w:rsid w:val="008F441E"/>
    <w:rsid w:val="008F4866"/>
    <w:rsid w:val="008F4912"/>
    <w:rsid w:val="008F5358"/>
    <w:rsid w:val="008F538B"/>
    <w:rsid w:val="008F597E"/>
    <w:rsid w:val="008F5BEC"/>
    <w:rsid w:val="008F6211"/>
    <w:rsid w:val="008F709B"/>
    <w:rsid w:val="008F7E22"/>
    <w:rsid w:val="00902364"/>
    <w:rsid w:val="00902FB2"/>
    <w:rsid w:val="00904BAF"/>
    <w:rsid w:val="00904BB5"/>
    <w:rsid w:val="00905548"/>
    <w:rsid w:val="0090674A"/>
    <w:rsid w:val="009072BC"/>
    <w:rsid w:val="00907D16"/>
    <w:rsid w:val="00907F3C"/>
    <w:rsid w:val="00910BBC"/>
    <w:rsid w:val="00910C40"/>
    <w:rsid w:val="00910EAC"/>
    <w:rsid w:val="00912219"/>
    <w:rsid w:val="00912579"/>
    <w:rsid w:val="00912864"/>
    <w:rsid w:val="00912970"/>
    <w:rsid w:val="00913134"/>
    <w:rsid w:val="009133EB"/>
    <w:rsid w:val="00914847"/>
    <w:rsid w:val="0091499B"/>
    <w:rsid w:val="00914ADD"/>
    <w:rsid w:val="00915149"/>
    <w:rsid w:val="0091517B"/>
    <w:rsid w:val="00915812"/>
    <w:rsid w:val="00916487"/>
    <w:rsid w:val="009169F8"/>
    <w:rsid w:val="00917957"/>
    <w:rsid w:val="0092083E"/>
    <w:rsid w:val="00920B36"/>
    <w:rsid w:val="00921A6F"/>
    <w:rsid w:val="00921F2B"/>
    <w:rsid w:val="00922058"/>
    <w:rsid w:val="0092283F"/>
    <w:rsid w:val="00923638"/>
    <w:rsid w:val="009244EE"/>
    <w:rsid w:val="00924DF4"/>
    <w:rsid w:val="00925095"/>
    <w:rsid w:val="009252BA"/>
    <w:rsid w:val="00925C18"/>
    <w:rsid w:val="0092728E"/>
    <w:rsid w:val="00927713"/>
    <w:rsid w:val="0093150A"/>
    <w:rsid w:val="00931613"/>
    <w:rsid w:val="00931776"/>
    <w:rsid w:val="00932FB6"/>
    <w:rsid w:val="0093374B"/>
    <w:rsid w:val="00934DB6"/>
    <w:rsid w:val="00935041"/>
    <w:rsid w:val="009353B0"/>
    <w:rsid w:val="00935928"/>
    <w:rsid w:val="00936631"/>
    <w:rsid w:val="00936AD0"/>
    <w:rsid w:val="00936BB4"/>
    <w:rsid w:val="00936C0A"/>
    <w:rsid w:val="00936CB6"/>
    <w:rsid w:val="00936CBC"/>
    <w:rsid w:val="009371B3"/>
    <w:rsid w:val="009375FC"/>
    <w:rsid w:val="00937735"/>
    <w:rsid w:val="009405DA"/>
    <w:rsid w:val="00941234"/>
    <w:rsid w:val="009415EF"/>
    <w:rsid w:val="00941FF7"/>
    <w:rsid w:val="00942B10"/>
    <w:rsid w:val="00943048"/>
    <w:rsid w:val="00943A78"/>
    <w:rsid w:val="00943E32"/>
    <w:rsid w:val="00944306"/>
    <w:rsid w:val="009443B2"/>
    <w:rsid w:val="00944AB3"/>
    <w:rsid w:val="0094502F"/>
    <w:rsid w:val="0094523F"/>
    <w:rsid w:val="00945686"/>
    <w:rsid w:val="009464A5"/>
    <w:rsid w:val="00946CEE"/>
    <w:rsid w:val="00947409"/>
    <w:rsid w:val="00950609"/>
    <w:rsid w:val="00950839"/>
    <w:rsid w:val="0095209D"/>
    <w:rsid w:val="00952811"/>
    <w:rsid w:val="009535E3"/>
    <w:rsid w:val="00953602"/>
    <w:rsid w:val="009545A3"/>
    <w:rsid w:val="009551F2"/>
    <w:rsid w:val="00955245"/>
    <w:rsid w:val="00955846"/>
    <w:rsid w:val="00957370"/>
    <w:rsid w:val="009573CA"/>
    <w:rsid w:val="00957C24"/>
    <w:rsid w:val="00957F15"/>
    <w:rsid w:val="00957F30"/>
    <w:rsid w:val="00960C07"/>
    <w:rsid w:val="00960C10"/>
    <w:rsid w:val="00960D7D"/>
    <w:rsid w:val="00960DD2"/>
    <w:rsid w:val="009614F8"/>
    <w:rsid w:val="00963072"/>
    <w:rsid w:val="009631F5"/>
    <w:rsid w:val="00963AD3"/>
    <w:rsid w:val="00963D08"/>
    <w:rsid w:val="00963E42"/>
    <w:rsid w:val="00964554"/>
    <w:rsid w:val="00964ADF"/>
    <w:rsid w:val="009659EC"/>
    <w:rsid w:val="009661BD"/>
    <w:rsid w:val="0096620C"/>
    <w:rsid w:val="00967234"/>
    <w:rsid w:val="00967279"/>
    <w:rsid w:val="00967580"/>
    <w:rsid w:val="0096766C"/>
    <w:rsid w:val="00970BAB"/>
    <w:rsid w:val="0097131F"/>
    <w:rsid w:val="00971553"/>
    <w:rsid w:val="00972EA4"/>
    <w:rsid w:val="00973172"/>
    <w:rsid w:val="00973FA3"/>
    <w:rsid w:val="009740AE"/>
    <w:rsid w:val="00974361"/>
    <w:rsid w:val="009743F4"/>
    <w:rsid w:val="0097618F"/>
    <w:rsid w:val="0097722D"/>
    <w:rsid w:val="009804C1"/>
    <w:rsid w:val="00980705"/>
    <w:rsid w:val="00980DF8"/>
    <w:rsid w:val="00980FE1"/>
    <w:rsid w:val="00981256"/>
    <w:rsid w:val="009816B2"/>
    <w:rsid w:val="0098170D"/>
    <w:rsid w:val="009826DC"/>
    <w:rsid w:val="00982FAC"/>
    <w:rsid w:val="009834A0"/>
    <w:rsid w:val="00983E39"/>
    <w:rsid w:val="00984DD5"/>
    <w:rsid w:val="0098532F"/>
    <w:rsid w:val="009858CF"/>
    <w:rsid w:val="00985B92"/>
    <w:rsid w:val="00985D19"/>
    <w:rsid w:val="00986FC9"/>
    <w:rsid w:val="00987B4E"/>
    <w:rsid w:val="0099020D"/>
    <w:rsid w:val="0099073D"/>
    <w:rsid w:val="00991B3D"/>
    <w:rsid w:val="00992DBB"/>
    <w:rsid w:val="00993BB9"/>
    <w:rsid w:val="00994462"/>
    <w:rsid w:val="00994ACD"/>
    <w:rsid w:val="00996FF7"/>
    <w:rsid w:val="009A0165"/>
    <w:rsid w:val="009A01F5"/>
    <w:rsid w:val="009A020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5EBE"/>
    <w:rsid w:val="009A6307"/>
    <w:rsid w:val="009A63F9"/>
    <w:rsid w:val="009A6AA5"/>
    <w:rsid w:val="009A7892"/>
    <w:rsid w:val="009B1232"/>
    <w:rsid w:val="009B1C49"/>
    <w:rsid w:val="009B39B1"/>
    <w:rsid w:val="009B48E8"/>
    <w:rsid w:val="009B49D6"/>
    <w:rsid w:val="009B5E15"/>
    <w:rsid w:val="009B7FEA"/>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A20"/>
    <w:rsid w:val="009C6400"/>
    <w:rsid w:val="009C64D4"/>
    <w:rsid w:val="009C6662"/>
    <w:rsid w:val="009C6E84"/>
    <w:rsid w:val="009C7877"/>
    <w:rsid w:val="009D0490"/>
    <w:rsid w:val="009D0A06"/>
    <w:rsid w:val="009D0B1E"/>
    <w:rsid w:val="009D153F"/>
    <w:rsid w:val="009D2585"/>
    <w:rsid w:val="009D2C02"/>
    <w:rsid w:val="009D30F3"/>
    <w:rsid w:val="009D337F"/>
    <w:rsid w:val="009D3685"/>
    <w:rsid w:val="009D3735"/>
    <w:rsid w:val="009D4DF1"/>
    <w:rsid w:val="009D57CA"/>
    <w:rsid w:val="009D738D"/>
    <w:rsid w:val="009D73C4"/>
    <w:rsid w:val="009D7594"/>
    <w:rsid w:val="009D7C10"/>
    <w:rsid w:val="009E09F6"/>
    <w:rsid w:val="009E10CA"/>
    <w:rsid w:val="009E160D"/>
    <w:rsid w:val="009E2377"/>
    <w:rsid w:val="009E4701"/>
    <w:rsid w:val="009E4CF7"/>
    <w:rsid w:val="009E5195"/>
    <w:rsid w:val="009E5332"/>
    <w:rsid w:val="009E5BBD"/>
    <w:rsid w:val="009E5DBB"/>
    <w:rsid w:val="009E6BEA"/>
    <w:rsid w:val="009E6CB3"/>
    <w:rsid w:val="009E6D31"/>
    <w:rsid w:val="009E7509"/>
    <w:rsid w:val="009E7955"/>
    <w:rsid w:val="009F0646"/>
    <w:rsid w:val="009F1492"/>
    <w:rsid w:val="009F2548"/>
    <w:rsid w:val="009F27D9"/>
    <w:rsid w:val="009F2B33"/>
    <w:rsid w:val="009F3529"/>
    <w:rsid w:val="009F3A7D"/>
    <w:rsid w:val="009F4D04"/>
    <w:rsid w:val="009F523B"/>
    <w:rsid w:val="009F56F4"/>
    <w:rsid w:val="009F5E18"/>
    <w:rsid w:val="009F649C"/>
    <w:rsid w:val="009F68C7"/>
    <w:rsid w:val="009F700A"/>
    <w:rsid w:val="009F709D"/>
    <w:rsid w:val="009F7D19"/>
    <w:rsid w:val="00A006D8"/>
    <w:rsid w:val="00A00E28"/>
    <w:rsid w:val="00A00E8E"/>
    <w:rsid w:val="00A01091"/>
    <w:rsid w:val="00A016DA"/>
    <w:rsid w:val="00A018DB"/>
    <w:rsid w:val="00A01DAD"/>
    <w:rsid w:val="00A01DFD"/>
    <w:rsid w:val="00A02130"/>
    <w:rsid w:val="00A02350"/>
    <w:rsid w:val="00A025A0"/>
    <w:rsid w:val="00A02DBB"/>
    <w:rsid w:val="00A02EC0"/>
    <w:rsid w:val="00A03175"/>
    <w:rsid w:val="00A0470C"/>
    <w:rsid w:val="00A0493F"/>
    <w:rsid w:val="00A051A8"/>
    <w:rsid w:val="00A05868"/>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456"/>
    <w:rsid w:val="00A17868"/>
    <w:rsid w:val="00A17A96"/>
    <w:rsid w:val="00A17C12"/>
    <w:rsid w:val="00A203AE"/>
    <w:rsid w:val="00A20D8B"/>
    <w:rsid w:val="00A20E47"/>
    <w:rsid w:val="00A21658"/>
    <w:rsid w:val="00A21BBE"/>
    <w:rsid w:val="00A221B0"/>
    <w:rsid w:val="00A224E3"/>
    <w:rsid w:val="00A225A5"/>
    <w:rsid w:val="00A23979"/>
    <w:rsid w:val="00A23B7E"/>
    <w:rsid w:val="00A2422B"/>
    <w:rsid w:val="00A24622"/>
    <w:rsid w:val="00A247F6"/>
    <w:rsid w:val="00A24BD8"/>
    <w:rsid w:val="00A24DA0"/>
    <w:rsid w:val="00A24E80"/>
    <w:rsid w:val="00A26811"/>
    <w:rsid w:val="00A27303"/>
    <w:rsid w:val="00A27629"/>
    <w:rsid w:val="00A27BDD"/>
    <w:rsid w:val="00A300A6"/>
    <w:rsid w:val="00A30524"/>
    <w:rsid w:val="00A316FD"/>
    <w:rsid w:val="00A31B3C"/>
    <w:rsid w:val="00A31DB4"/>
    <w:rsid w:val="00A3282B"/>
    <w:rsid w:val="00A3383E"/>
    <w:rsid w:val="00A33C91"/>
    <w:rsid w:val="00A33CEC"/>
    <w:rsid w:val="00A34046"/>
    <w:rsid w:val="00A3510D"/>
    <w:rsid w:val="00A357EF"/>
    <w:rsid w:val="00A35C15"/>
    <w:rsid w:val="00A36E32"/>
    <w:rsid w:val="00A37E36"/>
    <w:rsid w:val="00A40023"/>
    <w:rsid w:val="00A41403"/>
    <w:rsid w:val="00A43AD4"/>
    <w:rsid w:val="00A44207"/>
    <w:rsid w:val="00A44394"/>
    <w:rsid w:val="00A444E7"/>
    <w:rsid w:val="00A44AB0"/>
    <w:rsid w:val="00A45429"/>
    <w:rsid w:val="00A4581E"/>
    <w:rsid w:val="00A46C1C"/>
    <w:rsid w:val="00A47559"/>
    <w:rsid w:val="00A47A1E"/>
    <w:rsid w:val="00A47C7E"/>
    <w:rsid w:val="00A47DCB"/>
    <w:rsid w:val="00A50203"/>
    <w:rsid w:val="00A503EA"/>
    <w:rsid w:val="00A50BCF"/>
    <w:rsid w:val="00A50D1E"/>
    <w:rsid w:val="00A50E3B"/>
    <w:rsid w:val="00A50E95"/>
    <w:rsid w:val="00A51898"/>
    <w:rsid w:val="00A526C6"/>
    <w:rsid w:val="00A52C68"/>
    <w:rsid w:val="00A5434E"/>
    <w:rsid w:val="00A5475B"/>
    <w:rsid w:val="00A54A27"/>
    <w:rsid w:val="00A54A39"/>
    <w:rsid w:val="00A550D5"/>
    <w:rsid w:val="00A55169"/>
    <w:rsid w:val="00A551DD"/>
    <w:rsid w:val="00A55ACC"/>
    <w:rsid w:val="00A56399"/>
    <w:rsid w:val="00A5672F"/>
    <w:rsid w:val="00A567D4"/>
    <w:rsid w:val="00A56AB9"/>
    <w:rsid w:val="00A57246"/>
    <w:rsid w:val="00A57DFA"/>
    <w:rsid w:val="00A60E07"/>
    <w:rsid w:val="00A60F0B"/>
    <w:rsid w:val="00A61BB0"/>
    <w:rsid w:val="00A62B12"/>
    <w:rsid w:val="00A631C3"/>
    <w:rsid w:val="00A63248"/>
    <w:rsid w:val="00A6371C"/>
    <w:rsid w:val="00A642B4"/>
    <w:rsid w:val="00A64FBC"/>
    <w:rsid w:val="00A66291"/>
    <w:rsid w:val="00A66F40"/>
    <w:rsid w:val="00A66FF4"/>
    <w:rsid w:val="00A67789"/>
    <w:rsid w:val="00A6791D"/>
    <w:rsid w:val="00A7015E"/>
    <w:rsid w:val="00A7027F"/>
    <w:rsid w:val="00A7064D"/>
    <w:rsid w:val="00A7249D"/>
    <w:rsid w:val="00A72579"/>
    <w:rsid w:val="00A72AB3"/>
    <w:rsid w:val="00A72CB3"/>
    <w:rsid w:val="00A72FE5"/>
    <w:rsid w:val="00A734C0"/>
    <w:rsid w:val="00A74A1B"/>
    <w:rsid w:val="00A74C7E"/>
    <w:rsid w:val="00A806F1"/>
    <w:rsid w:val="00A80BB5"/>
    <w:rsid w:val="00A818A9"/>
    <w:rsid w:val="00A81C9B"/>
    <w:rsid w:val="00A81D07"/>
    <w:rsid w:val="00A83204"/>
    <w:rsid w:val="00A83CD9"/>
    <w:rsid w:val="00A83FB5"/>
    <w:rsid w:val="00A847E6"/>
    <w:rsid w:val="00A8496C"/>
    <w:rsid w:val="00A87C75"/>
    <w:rsid w:val="00A9060A"/>
    <w:rsid w:val="00A91447"/>
    <w:rsid w:val="00A91456"/>
    <w:rsid w:val="00A91E31"/>
    <w:rsid w:val="00A92265"/>
    <w:rsid w:val="00A92624"/>
    <w:rsid w:val="00A92B1A"/>
    <w:rsid w:val="00A946B4"/>
    <w:rsid w:val="00A95799"/>
    <w:rsid w:val="00A95B04"/>
    <w:rsid w:val="00A95FB7"/>
    <w:rsid w:val="00A96117"/>
    <w:rsid w:val="00A96296"/>
    <w:rsid w:val="00A964D5"/>
    <w:rsid w:val="00A96540"/>
    <w:rsid w:val="00AA041B"/>
    <w:rsid w:val="00AA06C9"/>
    <w:rsid w:val="00AA08E1"/>
    <w:rsid w:val="00AA1D75"/>
    <w:rsid w:val="00AA2097"/>
    <w:rsid w:val="00AA3B00"/>
    <w:rsid w:val="00AA3CEF"/>
    <w:rsid w:val="00AA41C1"/>
    <w:rsid w:val="00AA436D"/>
    <w:rsid w:val="00AA53F9"/>
    <w:rsid w:val="00AA5C16"/>
    <w:rsid w:val="00AA73CD"/>
    <w:rsid w:val="00AA7499"/>
    <w:rsid w:val="00AA79E3"/>
    <w:rsid w:val="00AA7B6B"/>
    <w:rsid w:val="00AB020B"/>
    <w:rsid w:val="00AB0938"/>
    <w:rsid w:val="00AB1423"/>
    <w:rsid w:val="00AB1AC2"/>
    <w:rsid w:val="00AB1DEF"/>
    <w:rsid w:val="00AB2333"/>
    <w:rsid w:val="00AB28F6"/>
    <w:rsid w:val="00AB2F0D"/>
    <w:rsid w:val="00AB31D2"/>
    <w:rsid w:val="00AB4076"/>
    <w:rsid w:val="00AB465D"/>
    <w:rsid w:val="00AB4822"/>
    <w:rsid w:val="00AB51DC"/>
    <w:rsid w:val="00AB5520"/>
    <w:rsid w:val="00AB58AE"/>
    <w:rsid w:val="00AB5931"/>
    <w:rsid w:val="00AB74B3"/>
    <w:rsid w:val="00AB7851"/>
    <w:rsid w:val="00AC1A3C"/>
    <w:rsid w:val="00AC233A"/>
    <w:rsid w:val="00AC37FA"/>
    <w:rsid w:val="00AC3DCB"/>
    <w:rsid w:val="00AC4026"/>
    <w:rsid w:val="00AC4072"/>
    <w:rsid w:val="00AC4288"/>
    <w:rsid w:val="00AC48E4"/>
    <w:rsid w:val="00AC64B2"/>
    <w:rsid w:val="00AC65B1"/>
    <w:rsid w:val="00AC7193"/>
    <w:rsid w:val="00AC76F8"/>
    <w:rsid w:val="00AC7A65"/>
    <w:rsid w:val="00AC7F97"/>
    <w:rsid w:val="00AD0B48"/>
    <w:rsid w:val="00AD0EC4"/>
    <w:rsid w:val="00AD172B"/>
    <w:rsid w:val="00AD1B27"/>
    <w:rsid w:val="00AD1C38"/>
    <w:rsid w:val="00AD2572"/>
    <w:rsid w:val="00AD2733"/>
    <w:rsid w:val="00AD2776"/>
    <w:rsid w:val="00AD2A4A"/>
    <w:rsid w:val="00AD2ECF"/>
    <w:rsid w:val="00AD355A"/>
    <w:rsid w:val="00AD39CE"/>
    <w:rsid w:val="00AD3A72"/>
    <w:rsid w:val="00AD4185"/>
    <w:rsid w:val="00AD433F"/>
    <w:rsid w:val="00AD46B5"/>
    <w:rsid w:val="00AD4F47"/>
    <w:rsid w:val="00AD6508"/>
    <w:rsid w:val="00AD68EF"/>
    <w:rsid w:val="00AD69F5"/>
    <w:rsid w:val="00AD6FFF"/>
    <w:rsid w:val="00AD7E6C"/>
    <w:rsid w:val="00AE0214"/>
    <w:rsid w:val="00AE0389"/>
    <w:rsid w:val="00AE0BB2"/>
    <w:rsid w:val="00AE10F5"/>
    <w:rsid w:val="00AE11DC"/>
    <w:rsid w:val="00AE14B2"/>
    <w:rsid w:val="00AE268E"/>
    <w:rsid w:val="00AE39A1"/>
    <w:rsid w:val="00AE4C00"/>
    <w:rsid w:val="00AE5B8E"/>
    <w:rsid w:val="00AE695E"/>
    <w:rsid w:val="00AE69EE"/>
    <w:rsid w:val="00AE6D5F"/>
    <w:rsid w:val="00AE6E7D"/>
    <w:rsid w:val="00AE778D"/>
    <w:rsid w:val="00AE7C3D"/>
    <w:rsid w:val="00AE7FF1"/>
    <w:rsid w:val="00AF03C1"/>
    <w:rsid w:val="00AF0674"/>
    <w:rsid w:val="00AF14FB"/>
    <w:rsid w:val="00AF2467"/>
    <w:rsid w:val="00AF2E56"/>
    <w:rsid w:val="00AF35F8"/>
    <w:rsid w:val="00AF4074"/>
    <w:rsid w:val="00AF437E"/>
    <w:rsid w:val="00AF5981"/>
    <w:rsid w:val="00AF6545"/>
    <w:rsid w:val="00AF66B4"/>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7D39"/>
    <w:rsid w:val="00B10760"/>
    <w:rsid w:val="00B10DF2"/>
    <w:rsid w:val="00B12355"/>
    <w:rsid w:val="00B12B95"/>
    <w:rsid w:val="00B133B6"/>
    <w:rsid w:val="00B138EA"/>
    <w:rsid w:val="00B13AB9"/>
    <w:rsid w:val="00B13E03"/>
    <w:rsid w:val="00B13E92"/>
    <w:rsid w:val="00B146D5"/>
    <w:rsid w:val="00B1504F"/>
    <w:rsid w:val="00B15653"/>
    <w:rsid w:val="00B15782"/>
    <w:rsid w:val="00B1588A"/>
    <w:rsid w:val="00B15980"/>
    <w:rsid w:val="00B1623C"/>
    <w:rsid w:val="00B162F8"/>
    <w:rsid w:val="00B1737E"/>
    <w:rsid w:val="00B201C0"/>
    <w:rsid w:val="00B23168"/>
    <w:rsid w:val="00B236E8"/>
    <w:rsid w:val="00B239A9"/>
    <w:rsid w:val="00B2490E"/>
    <w:rsid w:val="00B24AD1"/>
    <w:rsid w:val="00B24B34"/>
    <w:rsid w:val="00B253A6"/>
    <w:rsid w:val="00B256A6"/>
    <w:rsid w:val="00B256A7"/>
    <w:rsid w:val="00B263D3"/>
    <w:rsid w:val="00B27668"/>
    <w:rsid w:val="00B3005F"/>
    <w:rsid w:val="00B30124"/>
    <w:rsid w:val="00B319AA"/>
    <w:rsid w:val="00B3275A"/>
    <w:rsid w:val="00B3368E"/>
    <w:rsid w:val="00B33693"/>
    <w:rsid w:val="00B340EF"/>
    <w:rsid w:val="00B34638"/>
    <w:rsid w:val="00B34998"/>
    <w:rsid w:val="00B34F1B"/>
    <w:rsid w:val="00B36563"/>
    <w:rsid w:val="00B37695"/>
    <w:rsid w:val="00B3776B"/>
    <w:rsid w:val="00B37A99"/>
    <w:rsid w:val="00B404DD"/>
    <w:rsid w:val="00B4119E"/>
    <w:rsid w:val="00B427BD"/>
    <w:rsid w:val="00B429C1"/>
    <w:rsid w:val="00B42BCF"/>
    <w:rsid w:val="00B42D82"/>
    <w:rsid w:val="00B433CD"/>
    <w:rsid w:val="00B437D5"/>
    <w:rsid w:val="00B43C00"/>
    <w:rsid w:val="00B43D3F"/>
    <w:rsid w:val="00B455BE"/>
    <w:rsid w:val="00B46CD3"/>
    <w:rsid w:val="00B46F3E"/>
    <w:rsid w:val="00B4727B"/>
    <w:rsid w:val="00B479B2"/>
    <w:rsid w:val="00B50A08"/>
    <w:rsid w:val="00B50AFD"/>
    <w:rsid w:val="00B5196E"/>
    <w:rsid w:val="00B51B6A"/>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4F6"/>
    <w:rsid w:val="00B64006"/>
    <w:rsid w:val="00B64650"/>
    <w:rsid w:val="00B646A5"/>
    <w:rsid w:val="00B64E05"/>
    <w:rsid w:val="00B64F46"/>
    <w:rsid w:val="00B64F92"/>
    <w:rsid w:val="00B64FC1"/>
    <w:rsid w:val="00B665B8"/>
    <w:rsid w:val="00B702B1"/>
    <w:rsid w:val="00B70C16"/>
    <w:rsid w:val="00B71FFF"/>
    <w:rsid w:val="00B72D45"/>
    <w:rsid w:val="00B73273"/>
    <w:rsid w:val="00B737F9"/>
    <w:rsid w:val="00B7541E"/>
    <w:rsid w:val="00B75B22"/>
    <w:rsid w:val="00B7615C"/>
    <w:rsid w:val="00B767F5"/>
    <w:rsid w:val="00B7680F"/>
    <w:rsid w:val="00B801DD"/>
    <w:rsid w:val="00B8047F"/>
    <w:rsid w:val="00B8067E"/>
    <w:rsid w:val="00B812CC"/>
    <w:rsid w:val="00B816F4"/>
    <w:rsid w:val="00B819B9"/>
    <w:rsid w:val="00B82860"/>
    <w:rsid w:val="00B82E71"/>
    <w:rsid w:val="00B83E21"/>
    <w:rsid w:val="00B8411E"/>
    <w:rsid w:val="00B84427"/>
    <w:rsid w:val="00B85BE3"/>
    <w:rsid w:val="00B86086"/>
    <w:rsid w:val="00B86626"/>
    <w:rsid w:val="00B8686E"/>
    <w:rsid w:val="00B86B2F"/>
    <w:rsid w:val="00B90EA1"/>
    <w:rsid w:val="00B91436"/>
    <w:rsid w:val="00B91782"/>
    <w:rsid w:val="00B921E7"/>
    <w:rsid w:val="00B92943"/>
    <w:rsid w:val="00B92E2F"/>
    <w:rsid w:val="00B9354F"/>
    <w:rsid w:val="00B9357E"/>
    <w:rsid w:val="00B9487E"/>
    <w:rsid w:val="00B94979"/>
    <w:rsid w:val="00B952DC"/>
    <w:rsid w:val="00B9755C"/>
    <w:rsid w:val="00B978D2"/>
    <w:rsid w:val="00BA09FE"/>
    <w:rsid w:val="00BA147B"/>
    <w:rsid w:val="00BA21A6"/>
    <w:rsid w:val="00BA3A5C"/>
    <w:rsid w:val="00BA4BEA"/>
    <w:rsid w:val="00BA4E0A"/>
    <w:rsid w:val="00BA6950"/>
    <w:rsid w:val="00BA6CF3"/>
    <w:rsid w:val="00BA762E"/>
    <w:rsid w:val="00BA7D7B"/>
    <w:rsid w:val="00BB06C9"/>
    <w:rsid w:val="00BB090D"/>
    <w:rsid w:val="00BB09C3"/>
    <w:rsid w:val="00BB0EEF"/>
    <w:rsid w:val="00BB0FAE"/>
    <w:rsid w:val="00BB1914"/>
    <w:rsid w:val="00BB2294"/>
    <w:rsid w:val="00BB2BD9"/>
    <w:rsid w:val="00BB316A"/>
    <w:rsid w:val="00BB3C2D"/>
    <w:rsid w:val="00BB714A"/>
    <w:rsid w:val="00BB7CE7"/>
    <w:rsid w:val="00BC0F69"/>
    <w:rsid w:val="00BC1037"/>
    <w:rsid w:val="00BC2CD0"/>
    <w:rsid w:val="00BC365C"/>
    <w:rsid w:val="00BC4C4D"/>
    <w:rsid w:val="00BC4DAF"/>
    <w:rsid w:val="00BC5005"/>
    <w:rsid w:val="00BC6022"/>
    <w:rsid w:val="00BC637B"/>
    <w:rsid w:val="00BC75DB"/>
    <w:rsid w:val="00BC7F01"/>
    <w:rsid w:val="00BD0F15"/>
    <w:rsid w:val="00BD113F"/>
    <w:rsid w:val="00BD216D"/>
    <w:rsid w:val="00BD2506"/>
    <w:rsid w:val="00BD2FEE"/>
    <w:rsid w:val="00BD477B"/>
    <w:rsid w:val="00BD4844"/>
    <w:rsid w:val="00BD488C"/>
    <w:rsid w:val="00BD4CB9"/>
    <w:rsid w:val="00BD4E3B"/>
    <w:rsid w:val="00BD538B"/>
    <w:rsid w:val="00BD68EF"/>
    <w:rsid w:val="00BD73E6"/>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DB4"/>
    <w:rsid w:val="00BF3E1B"/>
    <w:rsid w:val="00BF4F6E"/>
    <w:rsid w:val="00BF52D6"/>
    <w:rsid w:val="00BF6210"/>
    <w:rsid w:val="00BF7044"/>
    <w:rsid w:val="00BF7202"/>
    <w:rsid w:val="00C00DD2"/>
    <w:rsid w:val="00C02164"/>
    <w:rsid w:val="00C02B6B"/>
    <w:rsid w:val="00C0314F"/>
    <w:rsid w:val="00C034FE"/>
    <w:rsid w:val="00C039C6"/>
    <w:rsid w:val="00C04005"/>
    <w:rsid w:val="00C045DE"/>
    <w:rsid w:val="00C04F94"/>
    <w:rsid w:val="00C05027"/>
    <w:rsid w:val="00C05148"/>
    <w:rsid w:val="00C051D1"/>
    <w:rsid w:val="00C056CA"/>
    <w:rsid w:val="00C069B4"/>
    <w:rsid w:val="00C071B9"/>
    <w:rsid w:val="00C0737C"/>
    <w:rsid w:val="00C076D1"/>
    <w:rsid w:val="00C07CD7"/>
    <w:rsid w:val="00C103E7"/>
    <w:rsid w:val="00C10601"/>
    <w:rsid w:val="00C11103"/>
    <w:rsid w:val="00C116F0"/>
    <w:rsid w:val="00C117C5"/>
    <w:rsid w:val="00C11EE2"/>
    <w:rsid w:val="00C12120"/>
    <w:rsid w:val="00C13F6C"/>
    <w:rsid w:val="00C14D95"/>
    <w:rsid w:val="00C15E70"/>
    <w:rsid w:val="00C161B7"/>
    <w:rsid w:val="00C17BB0"/>
    <w:rsid w:val="00C17D29"/>
    <w:rsid w:val="00C2011C"/>
    <w:rsid w:val="00C205D4"/>
    <w:rsid w:val="00C2366F"/>
    <w:rsid w:val="00C244DE"/>
    <w:rsid w:val="00C2475B"/>
    <w:rsid w:val="00C24C62"/>
    <w:rsid w:val="00C2587B"/>
    <w:rsid w:val="00C25DF8"/>
    <w:rsid w:val="00C26A67"/>
    <w:rsid w:val="00C27C89"/>
    <w:rsid w:val="00C27E35"/>
    <w:rsid w:val="00C3052F"/>
    <w:rsid w:val="00C31E6E"/>
    <w:rsid w:val="00C332B3"/>
    <w:rsid w:val="00C33C90"/>
    <w:rsid w:val="00C3540A"/>
    <w:rsid w:val="00C357E6"/>
    <w:rsid w:val="00C36090"/>
    <w:rsid w:val="00C368E7"/>
    <w:rsid w:val="00C36AAB"/>
    <w:rsid w:val="00C36D89"/>
    <w:rsid w:val="00C37103"/>
    <w:rsid w:val="00C37D3E"/>
    <w:rsid w:val="00C407E5"/>
    <w:rsid w:val="00C412CC"/>
    <w:rsid w:val="00C41A04"/>
    <w:rsid w:val="00C432C2"/>
    <w:rsid w:val="00C43CCF"/>
    <w:rsid w:val="00C4433A"/>
    <w:rsid w:val="00C44CAE"/>
    <w:rsid w:val="00C44D29"/>
    <w:rsid w:val="00C44FDC"/>
    <w:rsid w:val="00C46508"/>
    <w:rsid w:val="00C47021"/>
    <w:rsid w:val="00C47C92"/>
    <w:rsid w:val="00C47DB5"/>
    <w:rsid w:val="00C507CD"/>
    <w:rsid w:val="00C50C71"/>
    <w:rsid w:val="00C51B0C"/>
    <w:rsid w:val="00C526E0"/>
    <w:rsid w:val="00C551C4"/>
    <w:rsid w:val="00C554BC"/>
    <w:rsid w:val="00C55E57"/>
    <w:rsid w:val="00C56CED"/>
    <w:rsid w:val="00C56D00"/>
    <w:rsid w:val="00C57896"/>
    <w:rsid w:val="00C57CF3"/>
    <w:rsid w:val="00C6142B"/>
    <w:rsid w:val="00C62193"/>
    <w:rsid w:val="00C62A10"/>
    <w:rsid w:val="00C62FBD"/>
    <w:rsid w:val="00C6464A"/>
    <w:rsid w:val="00C65432"/>
    <w:rsid w:val="00C6632D"/>
    <w:rsid w:val="00C667B5"/>
    <w:rsid w:val="00C703F6"/>
    <w:rsid w:val="00C71DCC"/>
    <w:rsid w:val="00C73E70"/>
    <w:rsid w:val="00C73FD0"/>
    <w:rsid w:val="00C74C8E"/>
    <w:rsid w:val="00C750C4"/>
    <w:rsid w:val="00C751FB"/>
    <w:rsid w:val="00C75272"/>
    <w:rsid w:val="00C759CF"/>
    <w:rsid w:val="00C75D46"/>
    <w:rsid w:val="00C77136"/>
    <w:rsid w:val="00C778AE"/>
    <w:rsid w:val="00C77959"/>
    <w:rsid w:val="00C80E8B"/>
    <w:rsid w:val="00C81A64"/>
    <w:rsid w:val="00C82073"/>
    <w:rsid w:val="00C8228E"/>
    <w:rsid w:val="00C82540"/>
    <w:rsid w:val="00C829C8"/>
    <w:rsid w:val="00C82C9C"/>
    <w:rsid w:val="00C83210"/>
    <w:rsid w:val="00C833C8"/>
    <w:rsid w:val="00C83693"/>
    <w:rsid w:val="00C83D6A"/>
    <w:rsid w:val="00C847D6"/>
    <w:rsid w:val="00C849D6"/>
    <w:rsid w:val="00C84B25"/>
    <w:rsid w:val="00C84EE8"/>
    <w:rsid w:val="00C85716"/>
    <w:rsid w:val="00C86F06"/>
    <w:rsid w:val="00C870C6"/>
    <w:rsid w:val="00C87866"/>
    <w:rsid w:val="00C87B96"/>
    <w:rsid w:val="00C87CE5"/>
    <w:rsid w:val="00C90090"/>
    <w:rsid w:val="00C9022C"/>
    <w:rsid w:val="00C903A8"/>
    <w:rsid w:val="00C91702"/>
    <w:rsid w:val="00C9183A"/>
    <w:rsid w:val="00C91E57"/>
    <w:rsid w:val="00C9213E"/>
    <w:rsid w:val="00C921AA"/>
    <w:rsid w:val="00C92380"/>
    <w:rsid w:val="00C92CF0"/>
    <w:rsid w:val="00C9323E"/>
    <w:rsid w:val="00C936F8"/>
    <w:rsid w:val="00C93DF9"/>
    <w:rsid w:val="00C9436F"/>
    <w:rsid w:val="00C94CE5"/>
    <w:rsid w:val="00C95AE9"/>
    <w:rsid w:val="00C9684D"/>
    <w:rsid w:val="00C97AB4"/>
    <w:rsid w:val="00CA0173"/>
    <w:rsid w:val="00CA0325"/>
    <w:rsid w:val="00CA07D5"/>
    <w:rsid w:val="00CA09C1"/>
    <w:rsid w:val="00CA0B22"/>
    <w:rsid w:val="00CA0CA1"/>
    <w:rsid w:val="00CA105A"/>
    <w:rsid w:val="00CA1B7D"/>
    <w:rsid w:val="00CA21F4"/>
    <w:rsid w:val="00CA3732"/>
    <w:rsid w:val="00CA37B4"/>
    <w:rsid w:val="00CA37C4"/>
    <w:rsid w:val="00CA44B3"/>
    <w:rsid w:val="00CA5032"/>
    <w:rsid w:val="00CA54E5"/>
    <w:rsid w:val="00CA67E5"/>
    <w:rsid w:val="00CB06BD"/>
    <w:rsid w:val="00CB07E7"/>
    <w:rsid w:val="00CB0DD9"/>
    <w:rsid w:val="00CB1285"/>
    <w:rsid w:val="00CB1495"/>
    <w:rsid w:val="00CB1ACA"/>
    <w:rsid w:val="00CB26EA"/>
    <w:rsid w:val="00CB3B59"/>
    <w:rsid w:val="00CB44C3"/>
    <w:rsid w:val="00CB4672"/>
    <w:rsid w:val="00CB4B94"/>
    <w:rsid w:val="00CB4CD5"/>
    <w:rsid w:val="00CB530D"/>
    <w:rsid w:val="00CB56B8"/>
    <w:rsid w:val="00CB61CC"/>
    <w:rsid w:val="00CB691B"/>
    <w:rsid w:val="00CB6C30"/>
    <w:rsid w:val="00CB6DA2"/>
    <w:rsid w:val="00CB7191"/>
    <w:rsid w:val="00CC03D9"/>
    <w:rsid w:val="00CC161C"/>
    <w:rsid w:val="00CC1F65"/>
    <w:rsid w:val="00CC28BF"/>
    <w:rsid w:val="00CC28C3"/>
    <w:rsid w:val="00CC2BD8"/>
    <w:rsid w:val="00CC307C"/>
    <w:rsid w:val="00CC32F6"/>
    <w:rsid w:val="00CC4B00"/>
    <w:rsid w:val="00CC5C4C"/>
    <w:rsid w:val="00CC723A"/>
    <w:rsid w:val="00CC723C"/>
    <w:rsid w:val="00CD15D6"/>
    <w:rsid w:val="00CD16F8"/>
    <w:rsid w:val="00CD174C"/>
    <w:rsid w:val="00CD1BD8"/>
    <w:rsid w:val="00CD2FBC"/>
    <w:rsid w:val="00CD32A6"/>
    <w:rsid w:val="00CD3479"/>
    <w:rsid w:val="00CD3F01"/>
    <w:rsid w:val="00CD5159"/>
    <w:rsid w:val="00CD51F7"/>
    <w:rsid w:val="00CD67C4"/>
    <w:rsid w:val="00CD6C10"/>
    <w:rsid w:val="00CD71B4"/>
    <w:rsid w:val="00CD7766"/>
    <w:rsid w:val="00CD7B89"/>
    <w:rsid w:val="00CE0DE1"/>
    <w:rsid w:val="00CE1D5E"/>
    <w:rsid w:val="00CE3F47"/>
    <w:rsid w:val="00CE6AE0"/>
    <w:rsid w:val="00CE72FD"/>
    <w:rsid w:val="00CE7678"/>
    <w:rsid w:val="00CE792A"/>
    <w:rsid w:val="00CE7C23"/>
    <w:rsid w:val="00CF06E5"/>
    <w:rsid w:val="00CF07F5"/>
    <w:rsid w:val="00CF0D08"/>
    <w:rsid w:val="00CF14F8"/>
    <w:rsid w:val="00CF243E"/>
    <w:rsid w:val="00CF2721"/>
    <w:rsid w:val="00CF2C4F"/>
    <w:rsid w:val="00CF3779"/>
    <w:rsid w:val="00CF3C14"/>
    <w:rsid w:val="00CF3F32"/>
    <w:rsid w:val="00CF5ACA"/>
    <w:rsid w:val="00CF60E1"/>
    <w:rsid w:val="00CF621E"/>
    <w:rsid w:val="00CF7800"/>
    <w:rsid w:val="00D00776"/>
    <w:rsid w:val="00D02389"/>
    <w:rsid w:val="00D0247C"/>
    <w:rsid w:val="00D03918"/>
    <w:rsid w:val="00D039CA"/>
    <w:rsid w:val="00D0423A"/>
    <w:rsid w:val="00D047C9"/>
    <w:rsid w:val="00D070FE"/>
    <w:rsid w:val="00D072EC"/>
    <w:rsid w:val="00D07D9A"/>
    <w:rsid w:val="00D104E8"/>
    <w:rsid w:val="00D1056B"/>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34FF"/>
    <w:rsid w:val="00D23E5C"/>
    <w:rsid w:val="00D2477B"/>
    <w:rsid w:val="00D25077"/>
    <w:rsid w:val="00D25B9A"/>
    <w:rsid w:val="00D264D7"/>
    <w:rsid w:val="00D268A6"/>
    <w:rsid w:val="00D26E9E"/>
    <w:rsid w:val="00D27604"/>
    <w:rsid w:val="00D27990"/>
    <w:rsid w:val="00D31AC7"/>
    <w:rsid w:val="00D31DA5"/>
    <w:rsid w:val="00D31F94"/>
    <w:rsid w:val="00D3206E"/>
    <w:rsid w:val="00D32E89"/>
    <w:rsid w:val="00D343BE"/>
    <w:rsid w:val="00D34D8E"/>
    <w:rsid w:val="00D35497"/>
    <w:rsid w:val="00D35795"/>
    <w:rsid w:val="00D35BB2"/>
    <w:rsid w:val="00D3639F"/>
    <w:rsid w:val="00D369A6"/>
    <w:rsid w:val="00D37703"/>
    <w:rsid w:val="00D40A33"/>
    <w:rsid w:val="00D40AED"/>
    <w:rsid w:val="00D4165C"/>
    <w:rsid w:val="00D419C6"/>
    <w:rsid w:val="00D4262E"/>
    <w:rsid w:val="00D43CB3"/>
    <w:rsid w:val="00D448A5"/>
    <w:rsid w:val="00D44B89"/>
    <w:rsid w:val="00D44EAC"/>
    <w:rsid w:val="00D45D31"/>
    <w:rsid w:val="00D46F90"/>
    <w:rsid w:val="00D47DF7"/>
    <w:rsid w:val="00D5009B"/>
    <w:rsid w:val="00D5017F"/>
    <w:rsid w:val="00D504A5"/>
    <w:rsid w:val="00D50F41"/>
    <w:rsid w:val="00D5156D"/>
    <w:rsid w:val="00D517EC"/>
    <w:rsid w:val="00D52A67"/>
    <w:rsid w:val="00D53031"/>
    <w:rsid w:val="00D5377A"/>
    <w:rsid w:val="00D53E68"/>
    <w:rsid w:val="00D541F0"/>
    <w:rsid w:val="00D5420E"/>
    <w:rsid w:val="00D550AB"/>
    <w:rsid w:val="00D552CE"/>
    <w:rsid w:val="00D5596C"/>
    <w:rsid w:val="00D56A27"/>
    <w:rsid w:val="00D5739A"/>
    <w:rsid w:val="00D57771"/>
    <w:rsid w:val="00D617F1"/>
    <w:rsid w:val="00D61CF9"/>
    <w:rsid w:val="00D62B3D"/>
    <w:rsid w:val="00D630DD"/>
    <w:rsid w:val="00D6313F"/>
    <w:rsid w:val="00D63B66"/>
    <w:rsid w:val="00D64005"/>
    <w:rsid w:val="00D64054"/>
    <w:rsid w:val="00D654D0"/>
    <w:rsid w:val="00D665CB"/>
    <w:rsid w:val="00D66740"/>
    <w:rsid w:val="00D66B84"/>
    <w:rsid w:val="00D7066C"/>
    <w:rsid w:val="00D70D6E"/>
    <w:rsid w:val="00D7197D"/>
    <w:rsid w:val="00D719E6"/>
    <w:rsid w:val="00D71EC2"/>
    <w:rsid w:val="00D72381"/>
    <w:rsid w:val="00D72984"/>
    <w:rsid w:val="00D7357C"/>
    <w:rsid w:val="00D74DD0"/>
    <w:rsid w:val="00D7567F"/>
    <w:rsid w:val="00D75FB8"/>
    <w:rsid w:val="00D76732"/>
    <w:rsid w:val="00D76C89"/>
    <w:rsid w:val="00D76EC5"/>
    <w:rsid w:val="00D770D9"/>
    <w:rsid w:val="00D77F45"/>
    <w:rsid w:val="00D80A1F"/>
    <w:rsid w:val="00D813C3"/>
    <w:rsid w:val="00D81657"/>
    <w:rsid w:val="00D81C4F"/>
    <w:rsid w:val="00D8257B"/>
    <w:rsid w:val="00D82591"/>
    <w:rsid w:val="00D84F7E"/>
    <w:rsid w:val="00D851EE"/>
    <w:rsid w:val="00D85A35"/>
    <w:rsid w:val="00D85DAF"/>
    <w:rsid w:val="00D87C38"/>
    <w:rsid w:val="00D91101"/>
    <w:rsid w:val="00D922FE"/>
    <w:rsid w:val="00D93200"/>
    <w:rsid w:val="00D9454F"/>
    <w:rsid w:val="00D95C91"/>
    <w:rsid w:val="00D95EC6"/>
    <w:rsid w:val="00D95F09"/>
    <w:rsid w:val="00D95F4B"/>
    <w:rsid w:val="00D95F84"/>
    <w:rsid w:val="00D964D2"/>
    <w:rsid w:val="00D96820"/>
    <w:rsid w:val="00D979E2"/>
    <w:rsid w:val="00DA0374"/>
    <w:rsid w:val="00DA2939"/>
    <w:rsid w:val="00DA2CCF"/>
    <w:rsid w:val="00DA2E20"/>
    <w:rsid w:val="00DA314B"/>
    <w:rsid w:val="00DA3581"/>
    <w:rsid w:val="00DA3D94"/>
    <w:rsid w:val="00DA3E7E"/>
    <w:rsid w:val="00DA568D"/>
    <w:rsid w:val="00DA5787"/>
    <w:rsid w:val="00DA5AA6"/>
    <w:rsid w:val="00DA5E83"/>
    <w:rsid w:val="00DA6141"/>
    <w:rsid w:val="00DA61CB"/>
    <w:rsid w:val="00DA6798"/>
    <w:rsid w:val="00DA6B8E"/>
    <w:rsid w:val="00DA6C3C"/>
    <w:rsid w:val="00DA70CD"/>
    <w:rsid w:val="00DA76F0"/>
    <w:rsid w:val="00DA77BA"/>
    <w:rsid w:val="00DB0067"/>
    <w:rsid w:val="00DB0362"/>
    <w:rsid w:val="00DB0ABB"/>
    <w:rsid w:val="00DB0F71"/>
    <w:rsid w:val="00DB11A3"/>
    <w:rsid w:val="00DB1369"/>
    <w:rsid w:val="00DB1F53"/>
    <w:rsid w:val="00DB278E"/>
    <w:rsid w:val="00DB2E93"/>
    <w:rsid w:val="00DB30DD"/>
    <w:rsid w:val="00DB368A"/>
    <w:rsid w:val="00DB4BBE"/>
    <w:rsid w:val="00DB5644"/>
    <w:rsid w:val="00DB594F"/>
    <w:rsid w:val="00DB595B"/>
    <w:rsid w:val="00DB5D7B"/>
    <w:rsid w:val="00DB6659"/>
    <w:rsid w:val="00DB6CB1"/>
    <w:rsid w:val="00DB7A59"/>
    <w:rsid w:val="00DC088D"/>
    <w:rsid w:val="00DC2873"/>
    <w:rsid w:val="00DC2B8A"/>
    <w:rsid w:val="00DC2F67"/>
    <w:rsid w:val="00DC3421"/>
    <w:rsid w:val="00DC35A7"/>
    <w:rsid w:val="00DC37C2"/>
    <w:rsid w:val="00DC3D2E"/>
    <w:rsid w:val="00DC3E43"/>
    <w:rsid w:val="00DC4C0B"/>
    <w:rsid w:val="00DC4CF3"/>
    <w:rsid w:val="00DC6652"/>
    <w:rsid w:val="00DC7266"/>
    <w:rsid w:val="00DD01A5"/>
    <w:rsid w:val="00DD110A"/>
    <w:rsid w:val="00DD1A4C"/>
    <w:rsid w:val="00DD2BDE"/>
    <w:rsid w:val="00DD313A"/>
    <w:rsid w:val="00DD3311"/>
    <w:rsid w:val="00DD35C9"/>
    <w:rsid w:val="00DD3E7C"/>
    <w:rsid w:val="00DD460A"/>
    <w:rsid w:val="00DD4AE0"/>
    <w:rsid w:val="00DD56F6"/>
    <w:rsid w:val="00DD5897"/>
    <w:rsid w:val="00DD60B7"/>
    <w:rsid w:val="00DD65F1"/>
    <w:rsid w:val="00DD73AA"/>
    <w:rsid w:val="00DD7A43"/>
    <w:rsid w:val="00DD7FDC"/>
    <w:rsid w:val="00DE0919"/>
    <w:rsid w:val="00DE11DC"/>
    <w:rsid w:val="00DE1BD7"/>
    <w:rsid w:val="00DE2460"/>
    <w:rsid w:val="00DE5B1F"/>
    <w:rsid w:val="00DE5DA0"/>
    <w:rsid w:val="00DE6371"/>
    <w:rsid w:val="00DE68CD"/>
    <w:rsid w:val="00DE695E"/>
    <w:rsid w:val="00DE7821"/>
    <w:rsid w:val="00DF00D6"/>
    <w:rsid w:val="00DF0577"/>
    <w:rsid w:val="00DF0709"/>
    <w:rsid w:val="00DF0A6C"/>
    <w:rsid w:val="00DF0C06"/>
    <w:rsid w:val="00DF14B0"/>
    <w:rsid w:val="00DF1D64"/>
    <w:rsid w:val="00DF31CF"/>
    <w:rsid w:val="00DF344B"/>
    <w:rsid w:val="00DF4277"/>
    <w:rsid w:val="00DF43DF"/>
    <w:rsid w:val="00DF46AB"/>
    <w:rsid w:val="00DF4E7F"/>
    <w:rsid w:val="00DF5F90"/>
    <w:rsid w:val="00DF65B6"/>
    <w:rsid w:val="00DF7350"/>
    <w:rsid w:val="00DF7DDB"/>
    <w:rsid w:val="00E00FC2"/>
    <w:rsid w:val="00E0102C"/>
    <w:rsid w:val="00E03036"/>
    <w:rsid w:val="00E036D4"/>
    <w:rsid w:val="00E03E74"/>
    <w:rsid w:val="00E03E9E"/>
    <w:rsid w:val="00E042B1"/>
    <w:rsid w:val="00E049CC"/>
    <w:rsid w:val="00E04AD1"/>
    <w:rsid w:val="00E054EF"/>
    <w:rsid w:val="00E0597B"/>
    <w:rsid w:val="00E06551"/>
    <w:rsid w:val="00E06F8C"/>
    <w:rsid w:val="00E07C1B"/>
    <w:rsid w:val="00E10760"/>
    <w:rsid w:val="00E11476"/>
    <w:rsid w:val="00E11E8F"/>
    <w:rsid w:val="00E12845"/>
    <w:rsid w:val="00E12A43"/>
    <w:rsid w:val="00E13A3B"/>
    <w:rsid w:val="00E1423A"/>
    <w:rsid w:val="00E14C73"/>
    <w:rsid w:val="00E15E54"/>
    <w:rsid w:val="00E160B5"/>
    <w:rsid w:val="00E16257"/>
    <w:rsid w:val="00E167C8"/>
    <w:rsid w:val="00E16CC5"/>
    <w:rsid w:val="00E20157"/>
    <w:rsid w:val="00E205B1"/>
    <w:rsid w:val="00E215AE"/>
    <w:rsid w:val="00E216B7"/>
    <w:rsid w:val="00E21765"/>
    <w:rsid w:val="00E21939"/>
    <w:rsid w:val="00E222F5"/>
    <w:rsid w:val="00E2268B"/>
    <w:rsid w:val="00E251E2"/>
    <w:rsid w:val="00E251EF"/>
    <w:rsid w:val="00E256EB"/>
    <w:rsid w:val="00E25848"/>
    <w:rsid w:val="00E26E3C"/>
    <w:rsid w:val="00E2734F"/>
    <w:rsid w:val="00E27AA5"/>
    <w:rsid w:val="00E27ACD"/>
    <w:rsid w:val="00E27B6E"/>
    <w:rsid w:val="00E303B2"/>
    <w:rsid w:val="00E30D22"/>
    <w:rsid w:val="00E315A9"/>
    <w:rsid w:val="00E31E80"/>
    <w:rsid w:val="00E325EC"/>
    <w:rsid w:val="00E32ED8"/>
    <w:rsid w:val="00E340C8"/>
    <w:rsid w:val="00E34B7D"/>
    <w:rsid w:val="00E37096"/>
    <w:rsid w:val="00E375D4"/>
    <w:rsid w:val="00E403DC"/>
    <w:rsid w:val="00E40AD6"/>
    <w:rsid w:val="00E40DF4"/>
    <w:rsid w:val="00E40E58"/>
    <w:rsid w:val="00E40F43"/>
    <w:rsid w:val="00E41637"/>
    <w:rsid w:val="00E41A90"/>
    <w:rsid w:val="00E43594"/>
    <w:rsid w:val="00E449F5"/>
    <w:rsid w:val="00E44F52"/>
    <w:rsid w:val="00E4566B"/>
    <w:rsid w:val="00E45C16"/>
    <w:rsid w:val="00E4621D"/>
    <w:rsid w:val="00E46FE7"/>
    <w:rsid w:val="00E471C4"/>
    <w:rsid w:val="00E478F3"/>
    <w:rsid w:val="00E501CF"/>
    <w:rsid w:val="00E5062E"/>
    <w:rsid w:val="00E507A5"/>
    <w:rsid w:val="00E522E9"/>
    <w:rsid w:val="00E53AC7"/>
    <w:rsid w:val="00E53E54"/>
    <w:rsid w:val="00E53F28"/>
    <w:rsid w:val="00E5418E"/>
    <w:rsid w:val="00E5603B"/>
    <w:rsid w:val="00E560A5"/>
    <w:rsid w:val="00E57CB4"/>
    <w:rsid w:val="00E60C57"/>
    <w:rsid w:val="00E61391"/>
    <w:rsid w:val="00E61689"/>
    <w:rsid w:val="00E62D6E"/>
    <w:rsid w:val="00E63034"/>
    <w:rsid w:val="00E63B5A"/>
    <w:rsid w:val="00E648A2"/>
    <w:rsid w:val="00E66714"/>
    <w:rsid w:val="00E66CC8"/>
    <w:rsid w:val="00E67D89"/>
    <w:rsid w:val="00E7032B"/>
    <w:rsid w:val="00E704DC"/>
    <w:rsid w:val="00E70B68"/>
    <w:rsid w:val="00E70CE9"/>
    <w:rsid w:val="00E72987"/>
    <w:rsid w:val="00E734DB"/>
    <w:rsid w:val="00E735A8"/>
    <w:rsid w:val="00E73681"/>
    <w:rsid w:val="00E759CF"/>
    <w:rsid w:val="00E76A2A"/>
    <w:rsid w:val="00E8037B"/>
    <w:rsid w:val="00E80BEB"/>
    <w:rsid w:val="00E8201A"/>
    <w:rsid w:val="00E822CA"/>
    <w:rsid w:val="00E82AC7"/>
    <w:rsid w:val="00E82B99"/>
    <w:rsid w:val="00E82C8A"/>
    <w:rsid w:val="00E83CF7"/>
    <w:rsid w:val="00E84907"/>
    <w:rsid w:val="00E84E31"/>
    <w:rsid w:val="00E8500B"/>
    <w:rsid w:val="00E859DF"/>
    <w:rsid w:val="00E87465"/>
    <w:rsid w:val="00E8791B"/>
    <w:rsid w:val="00E90936"/>
    <w:rsid w:val="00E9120B"/>
    <w:rsid w:val="00E91697"/>
    <w:rsid w:val="00E9225C"/>
    <w:rsid w:val="00E935D3"/>
    <w:rsid w:val="00E93F63"/>
    <w:rsid w:val="00E941F0"/>
    <w:rsid w:val="00E9422F"/>
    <w:rsid w:val="00E94255"/>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339"/>
    <w:rsid w:val="00EA5688"/>
    <w:rsid w:val="00EA5D4F"/>
    <w:rsid w:val="00EA7BD2"/>
    <w:rsid w:val="00EA7C9C"/>
    <w:rsid w:val="00EA7CA5"/>
    <w:rsid w:val="00EB0C9B"/>
    <w:rsid w:val="00EB2280"/>
    <w:rsid w:val="00EB24B9"/>
    <w:rsid w:val="00EB29A3"/>
    <w:rsid w:val="00EB29AD"/>
    <w:rsid w:val="00EB2A6B"/>
    <w:rsid w:val="00EB2BC2"/>
    <w:rsid w:val="00EB2E9D"/>
    <w:rsid w:val="00EB398A"/>
    <w:rsid w:val="00EB3A1A"/>
    <w:rsid w:val="00EB3AAB"/>
    <w:rsid w:val="00EB3E63"/>
    <w:rsid w:val="00EB5062"/>
    <w:rsid w:val="00EB5A6E"/>
    <w:rsid w:val="00EB61F9"/>
    <w:rsid w:val="00EB63B2"/>
    <w:rsid w:val="00EB6630"/>
    <w:rsid w:val="00EB67FB"/>
    <w:rsid w:val="00EB6967"/>
    <w:rsid w:val="00EB6ADD"/>
    <w:rsid w:val="00EB6D2B"/>
    <w:rsid w:val="00EB709C"/>
    <w:rsid w:val="00EC0C29"/>
    <w:rsid w:val="00EC13B2"/>
    <w:rsid w:val="00EC13BA"/>
    <w:rsid w:val="00EC2099"/>
    <w:rsid w:val="00EC2732"/>
    <w:rsid w:val="00EC2C02"/>
    <w:rsid w:val="00EC3910"/>
    <w:rsid w:val="00EC3A3B"/>
    <w:rsid w:val="00EC3DA1"/>
    <w:rsid w:val="00EC47C3"/>
    <w:rsid w:val="00EC498E"/>
    <w:rsid w:val="00EC51A7"/>
    <w:rsid w:val="00EC558E"/>
    <w:rsid w:val="00EC5964"/>
    <w:rsid w:val="00EC5CEE"/>
    <w:rsid w:val="00EC61F5"/>
    <w:rsid w:val="00EC6772"/>
    <w:rsid w:val="00ED033D"/>
    <w:rsid w:val="00ED0D3D"/>
    <w:rsid w:val="00ED0FEF"/>
    <w:rsid w:val="00ED139A"/>
    <w:rsid w:val="00ED1C5C"/>
    <w:rsid w:val="00ED290A"/>
    <w:rsid w:val="00ED2DE4"/>
    <w:rsid w:val="00ED2F50"/>
    <w:rsid w:val="00ED2F7E"/>
    <w:rsid w:val="00ED3776"/>
    <w:rsid w:val="00ED39B0"/>
    <w:rsid w:val="00ED4A24"/>
    <w:rsid w:val="00ED4F49"/>
    <w:rsid w:val="00ED501D"/>
    <w:rsid w:val="00ED501F"/>
    <w:rsid w:val="00ED58E8"/>
    <w:rsid w:val="00ED5C30"/>
    <w:rsid w:val="00ED5E09"/>
    <w:rsid w:val="00ED5E98"/>
    <w:rsid w:val="00ED5F3F"/>
    <w:rsid w:val="00ED6362"/>
    <w:rsid w:val="00ED6485"/>
    <w:rsid w:val="00ED6BEC"/>
    <w:rsid w:val="00ED6CDA"/>
    <w:rsid w:val="00ED71B4"/>
    <w:rsid w:val="00ED7887"/>
    <w:rsid w:val="00ED797B"/>
    <w:rsid w:val="00ED7D81"/>
    <w:rsid w:val="00ED7E95"/>
    <w:rsid w:val="00EE10F0"/>
    <w:rsid w:val="00EE21B5"/>
    <w:rsid w:val="00EE2D0F"/>
    <w:rsid w:val="00EE302A"/>
    <w:rsid w:val="00EE34CD"/>
    <w:rsid w:val="00EE3557"/>
    <w:rsid w:val="00EE3651"/>
    <w:rsid w:val="00EE370E"/>
    <w:rsid w:val="00EE3C21"/>
    <w:rsid w:val="00EE4F8D"/>
    <w:rsid w:val="00EE523A"/>
    <w:rsid w:val="00EE59B1"/>
    <w:rsid w:val="00EE618F"/>
    <w:rsid w:val="00EE6857"/>
    <w:rsid w:val="00EE7B08"/>
    <w:rsid w:val="00EF0149"/>
    <w:rsid w:val="00EF01D6"/>
    <w:rsid w:val="00EF042C"/>
    <w:rsid w:val="00EF0980"/>
    <w:rsid w:val="00EF09E6"/>
    <w:rsid w:val="00EF0B99"/>
    <w:rsid w:val="00EF11F7"/>
    <w:rsid w:val="00EF317F"/>
    <w:rsid w:val="00EF32A3"/>
    <w:rsid w:val="00EF3775"/>
    <w:rsid w:val="00EF3CD1"/>
    <w:rsid w:val="00EF405B"/>
    <w:rsid w:val="00EF5CD4"/>
    <w:rsid w:val="00EF7B69"/>
    <w:rsid w:val="00EF7C1C"/>
    <w:rsid w:val="00F0038C"/>
    <w:rsid w:val="00F00881"/>
    <w:rsid w:val="00F0122C"/>
    <w:rsid w:val="00F01D89"/>
    <w:rsid w:val="00F021F3"/>
    <w:rsid w:val="00F03293"/>
    <w:rsid w:val="00F03AA9"/>
    <w:rsid w:val="00F03C02"/>
    <w:rsid w:val="00F043BC"/>
    <w:rsid w:val="00F057D5"/>
    <w:rsid w:val="00F05F5E"/>
    <w:rsid w:val="00F066FD"/>
    <w:rsid w:val="00F06AA6"/>
    <w:rsid w:val="00F06DB4"/>
    <w:rsid w:val="00F0716D"/>
    <w:rsid w:val="00F071C6"/>
    <w:rsid w:val="00F073A9"/>
    <w:rsid w:val="00F1031D"/>
    <w:rsid w:val="00F10691"/>
    <w:rsid w:val="00F110A0"/>
    <w:rsid w:val="00F110DF"/>
    <w:rsid w:val="00F12010"/>
    <w:rsid w:val="00F13ADA"/>
    <w:rsid w:val="00F14531"/>
    <w:rsid w:val="00F1475C"/>
    <w:rsid w:val="00F147AF"/>
    <w:rsid w:val="00F14893"/>
    <w:rsid w:val="00F14FF5"/>
    <w:rsid w:val="00F15D5E"/>
    <w:rsid w:val="00F16021"/>
    <w:rsid w:val="00F163C8"/>
    <w:rsid w:val="00F1666B"/>
    <w:rsid w:val="00F166C2"/>
    <w:rsid w:val="00F16875"/>
    <w:rsid w:val="00F1732B"/>
    <w:rsid w:val="00F173CE"/>
    <w:rsid w:val="00F17BC8"/>
    <w:rsid w:val="00F20206"/>
    <w:rsid w:val="00F2088A"/>
    <w:rsid w:val="00F20DA0"/>
    <w:rsid w:val="00F21214"/>
    <w:rsid w:val="00F21CEC"/>
    <w:rsid w:val="00F21D94"/>
    <w:rsid w:val="00F21DAF"/>
    <w:rsid w:val="00F22599"/>
    <w:rsid w:val="00F22727"/>
    <w:rsid w:val="00F22837"/>
    <w:rsid w:val="00F2348D"/>
    <w:rsid w:val="00F238BB"/>
    <w:rsid w:val="00F239B9"/>
    <w:rsid w:val="00F23F47"/>
    <w:rsid w:val="00F24260"/>
    <w:rsid w:val="00F2443F"/>
    <w:rsid w:val="00F24EB7"/>
    <w:rsid w:val="00F250AF"/>
    <w:rsid w:val="00F25324"/>
    <w:rsid w:val="00F27ABA"/>
    <w:rsid w:val="00F32088"/>
    <w:rsid w:val="00F32AFA"/>
    <w:rsid w:val="00F334B9"/>
    <w:rsid w:val="00F33B4D"/>
    <w:rsid w:val="00F33FEB"/>
    <w:rsid w:val="00F34AB8"/>
    <w:rsid w:val="00F34E0E"/>
    <w:rsid w:val="00F350D3"/>
    <w:rsid w:val="00F35A2F"/>
    <w:rsid w:val="00F362C9"/>
    <w:rsid w:val="00F379EB"/>
    <w:rsid w:val="00F407F0"/>
    <w:rsid w:val="00F40B11"/>
    <w:rsid w:val="00F41A9B"/>
    <w:rsid w:val="00F41F44"/>
    <w:rsid w:val="00F42792"/>
    <w:rsid w:val="00F43303"/>
    <w:rsid w:val="00F433B9"/>
    <w:rsid w:val="00F434E0"/>
    <w:rsid w:val="00F43C65"/>
    <w:rsid w:val="00F45394"/>
    <w:rsid w:val="00F453B8"/>
    <w:rsid w:val="00F45737"/>
    <w:rsid w:val="00F45ACA"/>
    <w:rsid w:val="00F45EE1"/>
    <w:rsid w:val="00F4659B"/>
    <w:rsid w:val="00F4706D"/>
    <w:rsid w:val="00F51AC0"/>
    <w:rsid w:val="00F51F41"/>
    <w:rsid w:val="00F52105"/>
    <w:rsid w:val="00F52C82"/>
    <w:rsid w:val="00F5337F"/>
    <w:rsid w:val="00F53AEA"/>
    <w:rsid w:val="00F53D5F"/>
    <w:rsid w:val="00F540C8"/>
    <w:rsid w:val="00F54A0B"/>
    <w:rsid w:val="00F5515F"/>
    <w:rsid w:val="00F559A5"/>
    <w:rsid w:val="00F562CC"/>
    <w:rsid w:val="00F5665A"/>
    <w:rsid w:val="00F5743B"/>
    <w:rsid w:val="00F60C13"/>
    <w:rsid w:val="00F6111E"/>
    <w:rsid w:val="00F61301"/>
    <w:rsid w:val="00F613BB"/>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46F"/>
    <w:rsid w:val="00F73BD5"/>
    <w:rsid w:val="00F73D21"/>
    <w:rsid w:val="00F752B1"/>
    <w:rsid w:val="00F75B17"/>
    <w:rsid w:val="00F75B35"/>
    <w:rsid w:val="00F75F93"/>
    <w:rsid w:val="00F76496"/>
    <w:rsid w:val="00F7656E"/>
    <w:rsid w:val="00F77014"/>
    <w:rsid w:val="00F7766B"/>
    <w:rsid w:val="00F77BA6"/>
    <w:rsid w:val="00F81309"/>
    <w:rsid w:val="00F8164A"/>
    <w:rsid w:val="00F81B08"/>
    <w:rsid w:val="00F8266E"/>
    <w:rsid w:val="00F82D07"/>
    <w:rsid w:val="00F835E7"/>
    <w:rsid w:val="00F84D12"/>
    <w:rsid w:val="00F85D99"/>
    <w:rsid w:val="00F87AFA"/>
    <w:rsid w:val="00F91500"/>
    <w:rsid w:val="00F919E0"/>
    <w:rsid w:val="00F91A57"/>
    <w:rsid w:val="00F933DF"/>
    <w:rsid w:val="00F93698"/>
    <w:rsid w:val="00F94191"/>
    <w:rsid w:val="00F9431E"/>
    <w:rsid w:val="00F95997"/>
    <w:rsid w:val="00FA07ED"/>
    <w:rsid w:val="00FA147A"/>
    <w:rsid w:val="00FA173A"/>
    <w:rsid w:val="00FA184F"/>
    <w:rsid w:val="00FA1CCF"/>
    <w:rsid w:val="00FA25D4"/>
    <w:rsid w:val="00FA2D45"/>
    <w:rsid w:val="00FA3757"/>
    <w:rsid w:val="00FA3C48"/>
    <w:rsid w:val="00FA3E6D"/>
    <w:rsid w:val="00FA4880"/>
    <w:rsid w:val="00FA4BF0"/>
    <w:rsid w:val="00FA64DB"/>
    <w:rsid w:val="00FA65D1"/>
    <w:rsid w:val="00FA7F68"/>
    <w:rsid w:val="00FB03DA"/>
    <w:rsid w:val="00FB0B3B"/>
    <w:rsid w:val="00FB1051"/>
    <w:rsid w:val="00FB3272"/>
    <w:rsid w:val="00FB356D"/>
    <w:rsid w:val="00FB4063"/>
    <w:rsid w:val="00FB4CD4"/>
    <w:rsid w:val="00FB63F8"/>
    <w:rsid w:val="00FB74AC"/>
    <w:rsid w:val="00FC0401"/>
    <w:rsid w:val="00FC1F44"/>
    <w:rsid w:val="00FC2129"/>
    <w:rsid w:val="00FC2F4B"/>
    <w:rsid w:val="00FC39A8"/>
    <w:rsid w:val="00FC3B03"/>
    <w:rsid w:val="00FC3C05"/>
    <w:rsid w:val="00FC40F4"/>
    <w:rsid w:val="00FC45D3"/>
    <w:rsid w:val="00FC6410"/>
    <w:rsid w:val="00FC7280"/>
    <w:rsid w:val="00FC78D9"/>
    <w:rsid w:val="00FD1216"/>
    <w:rsid w:val="00FD26D2"/>
    <w:rsid w:val="00FD3AF2"/>
    <w:rsid w:val="00FD4012"/>
    <w:rsid w:val="00FD40B7"/>
    <w:rsid w:val="00FD42C7"/>
    <w:rsid w:val="00FD455B"/>
    <w:rsid w:val="00FD4650"/>
    <w:rsid w:val="00FD4F86"/>
    <w:rsid w:val="00FD565B"/>
    <w:rsid w:val="00FD5AE9"/>
    <w:rsid w:val="00FD708B"/>
    <w:rsid w:val="00FD7271"/>
    <w:rsid w:val="00FD7B05"/>
    <w:rsid w:val="00FE05D4"/>
    <w:rsid w:val="00FE14E6"/>
    <w:rsid w:val="00FE1BD6"/>
    <w:rsid w:val="00FE2419"/>
    <w:rsid w:val="00FE2E16"/>
    <w:rsid w:val="00FE4039"/>
    <w:rsid w:val="00FE555E"/>
    <w:rsid w:val="00FE5D98"/>
    <w:rsid w:val="00FE5FDB"/>
    <w:rsid w:val="00FE66AC"/>
    <w:rsid w:val="00FE6764"/>
    <w:rsid w:val="00FE6791"/>
    <w:rsid w:val="00FE78E5"/>
    <w:rsid w:val="00FF0247"/>
    <w:rsid w:val="00FF111B"/>
    <w:rsid w:val="00FF1421"/>
    <w:rsid w:val="00FF16FD"/>
    <w:rsid w:val="00FF1B5C"/>
    <w:rsid w:val="00FF2B8A"/>
    <w:rsid w:val="00FF2B8E"/>
    <w:rsid w:val="00FF2D8B"/>
    <w:rsid w:val="00FF2E79"/>
    <w:rsid w:val="00FF4202"/>
    <w:rsid w:val="00FF472C"/>
    <w:rsid w:val="00FF4A0A"/>
    <w:rsid w:val="00FF4A3E"/>
    <w:rsid w:val="00FF4B29"/>
    <w:rsid w:val="00FF67DE"/>
    <w:rsid w:val="00FF7A1B"/>
    <w:rsid w:val="01A377BE"/>
    <w:rsid w:val="01D57C13"/>
    <w:rsid w:val="01E46029"/>
    <w:rsid w:val="02136E6F"/>
    <w:rsid w:val="02404E4B"/>
    <w:rsid w:val="02585CCA"/>
    <w:rsid w:val="02863EDE"/>
    <w:rsid w:val="02AC72AB"/>
    <w:rsid w:val="02B35D48"/>
    <w:rsid w:val="02CE0832"/>
    <w:rsid w:val="02D0381A"/>
    <w:rsid w:val="02FD1971"/>
    <w:rsid w:val="02FF7A7B"/>
    <w:rsid w:val="03111B2B"/>
    <w:rsid w:val="03970EF3"/>
    <w:rsid w:val="03D3399E"/>
    <w:rsid w:val="03E31506"/>
    <w:rsid w:val="04021815"/>
    <w:rsid w:val="04664A43"/>
    <w:rsid w:val="04820ADC"/>
    <w:rsid w:val="049115E6"/>
    <w:rsid w:val="049D2E3B"/>
    <w:rsid w:val="051C32F5"/>
    <w:rsid w:val="056A376A"/>
    <w:rsid w:val="05734F81"/>
    <w:rsid w:val="05E14A0C"/>
    <w:rsid w:val="060348EC"/>
    <w:rsid w:val="061A7E42"/>
    <w:rsid w:val="0642564C"/>
    <w:rsid w:val="065906F6"/>
    <w:rsid w:val="06691980"/>
    <w:rsid w:val="06C968FB"/>
    <w:rsid w:val="06E57A2A"/>
    <w:rsid w:val="06FA21AA"/>
    <w:rsid w:val="07025928"/>
    <w:rsid w:val="07147BAB"/>
    <w:rsid w:val="071E0080"/>
    <w:rsid w:val="073F2CB4"/>
    <w:rsid w:val="07541C4C"/>
    <w:rsid w:val="07703E47"/>
    <w:rsid w:val="07852402"/>
    <w:rsid w:val="07AD486E"/>
    <w:rsid w:val="07B47EE7"/>
    <w:rsid w:val="07BA597C"/>
    <w:rsid w:val="07BD3957"/>
    <w:rsid w:val="080A7A63"/>
    <w:rsid w:val="08210E81"/>
    <w:rsid w:val="087C6AEC"/>
    <w:rsid w:val="088A79A8"/>
    <w:rsid w:val="08AC25CB"/>
    <w:rsid w:val="08AD56C8"/>
    <w:rsid w:val="08BC62FE"/>
    <w:rsid w:val="08D557ED"/>
    <w:rsid w:val="08E36A4D"/>
    <w:rsid w:val="08EF7436"/>
    <w:rsid w:val="099B705D"/>
    <w:rsid w:val="09AF4075"/>
    <w:rsid w:val="09B513A5"/>
    <w:rsid w:val="0A041DCA"/>
    <w:rsid w:val="0A0F7CB6"/>
    <w:rsid w:val="0A2E6961"/>
    <w:rsid w:val="0A37287E"/>
    <w:rsid w:val="0A3F28CB"/>
    <w:rsid w:val="0A4206A4"/>
    <w:rsid w:val="0A886720"/>
    <w:rsid w:val="0AD95B20"/>
    <w:rsid w:val="0AFA60E7"/>
    <w:rsid w:val="0B0E7430"/>
    <w:rsid w:val="0B561C40"/>
    <w:rsid w:val="0B6A6D1C"/>
    <w:rsid w:val="0B6F0DFA"/>
    <w:rsid w:val="0B80762C"/>
    <w:rsid w:val="0BD85FE6"/>
    <w:rsid w:val="0BE13394"/>
    <w:rsid w:val="0BE75377"/>
    <w:rsid w:val="0C29496A"/>
    <w:rsid w:val="0C2974B8"/>
    <w:rsid w:val="0C6C08E8"/>
    <w:rsid w:val="0C70010D"/>
    <w:rsid w:val="0C73630C"/>
    <w:rsid w:val="0C7B4F16"/>
    <w:rsid w:val="0C8C6E7D"/>
    <w:rsid w:val="0CFA013F"/>
    <w:rsid w:val="0D352AAD"/>
    <w:rsid w:val="0D423522"/>
    <w:rsid w:val="0D5364A5"/>
    <w:rsid w:val="0DD97F01"/>
    <w:rsid w:val="0E015041"/>
    <w:rsid w:val="0E4D7884"/>
    <w:rsid w:val="0E7228AC"/>
    <w:rsid w:val="0E9D4A1E"/>
    <w:rsid w:val="0F001570"/>
    <w:rsid w:val="0F167413"/>
    <w:rsid w:val="0F7678CD"/>
    <w:rsid w:val="0F980C7B"/>
    <w:rsid w:val="0F9E4EC6"/>
    <w:rsid w:val="0FAB689A"/>
    <w:rsid w:val="0FEF7BF8"/>
    <w:rsid w:val="100B3B19"/>
    <w:rsid w:val="10384587"/>
    <w:rsid w:val="103C4477"/>
    <w:rsid w:val="10BB15FD"/>
    <w:rsid w:val="112C3AAC"/>
    <w:rsid w:val="113B73FF"/>
    <w:rsid w:val="114525FF"/>
    <w:rsid w:val="115F625F"/>
    <w:rsid w:val="117B20CF"/>
    <w:rsid w:val="11A94E37"/>
    <w:rsid w:val="11D24C0A"/>
    <w:rsid w:val="12160F3D"/>
    <w:rsid w:val="12294108"/>
    <w:rsid w:val="123413B9"/>
    <w:rsid w:val="12383670"/>
    <w:rsid w:val="126D15E8"/>
    <w:rsid w:val="126D75D0"/>
    <w:rsid w:val="127C16A5"/>
    <w:rsid w:val="128A3E26"/>
    <w:rsid w:val="1299424E"/>
    <w:rsid w:val="12AC765E"/>
    <w:rsid w:val="12BB4CD2"/>
    <w:rsid w:val="12C97C91"/>
    <w:rsid w:val="12CD3CFD"/>
    <w:rsid w:val="12E54A8E"/>
    <w:rsid w:val="12EA74CE"/>
    <w:rsid w:val="12F21D1C"/>
    <w:rsid w:val="131B005E"/>
    <w:rsid w:val="1326458A"/>
    <w:rsid w:val="1354736C"/>
    <w:rsid w:val="13584B02"/>
    <w:rsid w:val="13CC2474"/>
    <w:rsid w:val="13CC4D06"/>
    <w:rsid w:val="13E61EB2"/>
    <w:rsid w:val="14072AA6"/>
    <w:rsid w:val="14176A98"/>
    <w:rsid w:val="141A2ADF"/>
    <w:rsid w:val="14311447"/>
    <w:rsid w:val="143119FB"/>
    <w:rsid w:val="148D41AD"/>
    <w:rsid w:val="14DE791E"/>
    <w:rsid w:val="15633BC1"/>
    <w:rsid w:val="15910B7E"/>
    <w:rsid w:val="15C35ACC"/>
    <w:rsid w:val="15C828F5"/>
    <w:rsid w:val="1658748E"/>
    <w:rsid w:val="165F1C73"/>
    <w:rsid w:val="16767C1F"/>
    <w:rsid w:val="167F6012"/>
    <w:rsid w:val="16A13286"/>
    <w:rsid w:val="16FC2033"/>
    <w:rsid w:val="17363491"/>
    <w:rsid w:val="175A41BD"/>
    <w:rsid w:val="178B36A1"/>
    <w:rsid w:val="17DC4231"/>
    <w:rsid w:val="17E02C37"/>
    <w:rsid w:val="17E772A6"/>
    <w:rsid w:val="180670CC"/>
    <w:rsid w:val="182D596B"/>
    <w:rsid w:val="18334A8E"/>
    <w:rsid w:val="185E0E87"/>
    <w:rsid w:val="18781B78"/>
    <w:rsid w:val="18877F4D"/>
    <w:rsid w:val="18A5319B"/>
    <w:rsid w:val="18B52B28"/>
    <w:rsid w:val="18BF3CBE"/>
    <w:rsid w:val="18C61BB3"/>
    <w:rsid w:val="19315E61"/>
    <w:rsid w:val="19472BA5"/>
    <w:rsid w:val="197457D0"/>
    <w:rsid w:val="1977452F"/>
    <w:rsid w:val="197F4F1D"/>
    <w:rsid w:val="199A2D8C"/>
    <w:rsid w:val="19AF5431"/>
    <w:rsid w:val="19BC7BC9"/>
    <w:rsid w:val="19D17EB1"/>
    <w:rsid w:val="19E16C17"/>
    <w:rsid w:val="19E2653F"/>
    <w:rsid w:val="19F44FB8"/>
    <w:rsid w:val="1A404835"/>
    <w:rsid w:val="1A817E26"/>
    <w:rsid w:val="1A8A3DEE"/>
    <w:rsid w:val="1B012852"/>
    <w:rsid w:val="1B045BC5"/>
    <w:rsid w:val="1B213FC1"/>
    <w:rsid w:val="1B32070E"/>
    <w:rsid w:val="1B3705E9"/>
    <w:rsid w:val="1B435A34"/>
    <w:rsid w:val="1B55386C"/>
    <w:rsid w:val="1B5643D9"/>
    <w:rsid w:val="1B57738F"/>
    <w:rsid w:val="1B6028EE"/>
    <w:rsid w:val="1B7D578C"/>
    <w:rsid w:val="1B7E73F6"/>
    <w:rsid w:val="1B8B7B68"/>
    <w:rsid w:val="1BC2179C"/>
    <w:rsid w:val="1BCF2888"/>
    <w:rsid w:val="1BFB39E5"/>
    <w:rsid w:val="1C8D3242"/>
    <w:rsid w:val="1CAC4C2B"/>
    <w:rsid w:val="1CB30F21"/>
    <w:rsid w:val="1CFD009B"/>
    <w:rsid w:val="1D0373B7"/>
    <w:rsid w:val="1D4B64D9"/>
    <w:rsid w:val="1D6F07CA"/>
    <w:rsid w:val="1DBC14DB"/>
    <w:rsid w:val="1DFA3861"/>
    <w:rsid w:val="1E04274B"/>
    <w:rsid w:val="1E0E2DA5"/>
    <w:rsid w:val="1E300313"/>
    <w:rsid w:val="1E5E4B58"/>
    <w:rsid w:val="1EC84321"/>
    <w:rsid w:val="1ECC3DE0"/>
    <w:rsid w:val="1ED8487F"/>
    <w:rsid w:val="1EE87F8C"/>
    <w:rsid w:val="1F000FF3"/>
    <w:rsid w:val="1F102097"/>
    <w:rsid w:val="1F15650D"/>
    <w:rsid w:val="1F1C0096"/>
    <w:rsid w:val="1F473FF8"/>
    <w:rsid w:val="1F535294"/>
    <w:rsid w:val="1F7C216A"/>
    <w:rsid w:val="1F917602"/>
    <w:rsid w:val="1FA60D4D"/>
    <w:rsid w:val="1FC45CEF"/>
    <w:rsid w:val="1FCA4FB8"/>
    <w:rsid w:val="1FD87281"/>
    <w:rsid w:val="200C1B87"/>
    <w:rsid w:val="20C626AD"/>
    <w:rsid w:val="20E701EC"/>
    <w:rsid w:val="21196B08"/>
    <w:rsid w:val="214F03B6"/>
    <w:rsid w:val="218515D4"/>
    <w:rsid w:val="21C015A7"/>
    <w:rsid w:val="21D81213"/>
    <w:rsid w:val="22747AA1"/>
    <w:rsid w:val="22B30AAF"/>
    <w:rsid w:val="22B87B0C"/>
    <w:rsid w:val="23111B23"/>
    <w:rsid w:val="2342795C"/>
    <w:rsid w:val="238B1EDE"/>
    <w:rsid w:val="23CE2E77"/>
    <w:rsid w:val="24113F6E"/>
    <w:rsid w:val="2415322B"/>
    <w:rsid w:val="241D4B57"/>
    <w:rsid w:val="2432177F"/>
    <w:rsid w:val="246C1C9B"/>
    <w:rsid w:val="24764DC1"/>
    <w:rsid w:val="24936568"/>
    <w:rsid w:val="249D0F5E"/>
    <w:rsid w:val="24BB25D0"/>
    <w:rsid w:val="24CC6C3E"/>
    <w:rsid w:val="24FF4FE2"/>
    <w:rsid w:val="251E1681"/>
    <w:rsid w:val="251E2843"/>
    <w:rsid w:val="253F0A36"/>
    <w:rsid w:val="256E2D8B"/>
    <w:rsid w:val="25762C3A"/>
    <w:rsid w:val="2581355B"/>
    <w:rsid w:val="259A6C17"/>
    <w:rsid w:val="25AA584B"/>
    <w:rsid w:val="25B13282"/>
    <w:rsid w:val="25D446E3"/>
    <w:rsid w:val="25E40DB9"/>
    <w:rsid w:val="25FA2109"/>
    <w:rsid w:val="26117431"/>
    <w:rsid w:val="262827A7"/>
    <w:rsid w:val="26390EBE"/>
    <w:rsid w:val="26396EA7"/>
    <w:rsid w:val="263B17C8"/>
    <w:rsid w:val="26DC0EAD"/>
    <w:rsid w:val="26E72CF4"/>
    <w:rsid w:val="26EC45CA"/>
    <w:rsid w:val="27276082"/>
    <w:rsid w:val="2752365F"/>
    <w:rsid w:val="275512D9"/>
    <w:rsid w:val="277504A6"/>
    <w:rsid w:val="277B654D"/>
    <w:rsid w:val="27851151"/>
    <w:rsid w:val="2792313A"/>
    <w:rsid w:val="27A26165"/>
    <w:rsid w:val="27C66D50"/>
    <w:rsid w:val="27CA4A35"/>
    <w:rsid w:val="27CC3AD6"/>
    <w:rsid w:val="27CF2B89"/>
    <w:rsid w:val="27D41926"/>
    <w:rsid w:val="27E25FF9"/>
    <w:rsid w:val="281752F4"/>
    <w:rsid w:val="281D1A18"/>
    <w:rsid w:val="281F0B45"/>
    <w:rsid w:val="285C6CD6"/>
    <w:rsid w:val="285F1E1A"/>
    <w:rsid w:val="28792077"/>
    <w:rsid w:val="287F06EA"/>
    <w:rsid w:val="28CC407F"/>
    <w:rsid w:val="28E54ED2"/>
    <w:rsid w:val="29161A85"/>
    <w:rsid w:val="29186946"/>
    <w:rsid w:val="29586604"/>
    <w:rsid w:val="2967011C"/>
    <w:rsid w:val="2A09789C"/>
    <w:rsid w:val="2A153CC4"/>
    <w:rsid w:val="2A203752"/>
    <w:rsid w:val="2A4370E4"/>
    <w:rsid w:val="2A5155A0"/>
    <w:rsid w:val="2A6A2C93"/>
    <w:rsid w:val="2A6C6D93"/>
    <w:rsid w:val="2ACF254B"/>
    <w:rsid w:val="2AD52EFE"/>
    <w:rsid w:val="2B0413D6"/>
    <w:rsid w:val="2B067AA9"/>
    <w:rsid w:val="2B4C3B06"/>
    <w:rsid w:val="2B660BC1"/>
    <w:rsid w:val="2B817065"/>
    <w:rsid w:val="2BA13519"/>
    <w:rsid w:val="2BA86AE8"/>
    <w:rsid w:val="2BE94A1E"/>
    <w:rsid w:val="2BFD702F"/>
    <w:rsid w:val="2C1106C8"/>
    <w:rsid w:val="2C5100AD"/>
    <w:rsid w:val="2C8935BA"/>
    <w:rsid w:val="2CB11C4E"/>
    <w:rsid w:val="2CCD0CF3"/>
    <w:rsid w:val="2D0744EF"/>
    <w:rsid w:val="2D3630AA"/>
    <w:rsid w:val="2D4042E6"/>
    <w:rsid w:val="2D49569E"/>
    <w:rsid w:val="2D9C0B72"/>
    <w:rsid w:val="2DAB7016"/>
    <w:rsid w:val="2DB14301"/>
    <w:rsid w:val="2E251993"/>
    <w:rsid w:val="2E8D44F9"/>
    <w:rsid w:val="2EAA2490"/>
    <w:rsid w:val="2EB21E3A"/>
    <w:rsid w:val="2EDF11B3"/>
    <w:rsid w:val="2EF24CD6"/>
    <w:rsid w:val="2EF47418"/>
    <w:rsid w:val="2F0D2540"/>
    <w:rsid w:val="2F3F3405"/>
    <w:rsid w:val="2F4A027B"/>
    <w:rsid w:val="2F5A693F"/>
    <w:rsid w:val="2F622C67"/>
    <w:rsid w:val="2F624903"/>
    <w:rsid w:val="2F687F7E"/>
    <w:rsid w:val="2F7C34F1"/>
    <w:rsid w:val="2F843CC3"/>
    <w:rsid w:val="2F8B5E11"/>
    <w:rsid w:val="2F953F5B"/>
    <w:rsid w:val="300264A9"/>
    <w:rsid w:val="30032320"/>
    <w:rsid w:val="301A3026"/>
    <w:rsid w:val="30515682"/>
    <w:rsid w:val="309A75BA"/>
    <w:rsid w:val="30A532D8"/>
    <w:rsid w:val="30A765B4"/>
    <w:rsid w:val="30F96E53"/>
    <w:rsid w:val="31330C72"/>
    <w:rsid w:val="313708CB"/>
    <w:rsid w:val="313C35D6"/>
    <w:rsid w:val="31642D31"/>
    <w:rsid w:val="318B25E6"/>
    <w:rsid w:val="31B97762"/>
    <w:rsid w:val="322E2CC1"/>
    <w:rsid w:val="327318E0"/>
    <w:rsid w:val="32744B8F"/>
    <w:rsid w:val="32980E5F"/>
    <w:rsid w:val="329C77E0"/>
    <w:rsid w:val="32B05DBB"/>
    <w:rsid w:val="32D05E8C"/>
    <w:rsid w:val="32EB145B"/>
    <w:rsid w:val="331479A6"/>
    <w:rsid w:val="331E30E7"/>
    <w:rsid w:val="334D33A5"/>
    <w:rsid w:val="33601ACE"/>
    <w:rsid w:val="33A33ECB"/>
    <w:rsid w:val="340267E0"/>
    <w:rsid w:val="340A2E03"/>
    <w:rsid w:val="3424001A"/>
    <w:rsid w:val="34ED6F22"/>
    <w:rsid w:val="356928AF"/>
    <w:rsid w:val="356D7C04"/>
    <w:rsid w:val="35AB258B"/>
    <w:rsid w:val="35B20F11"/>
    <w:rsid w:val="35FC50D5"/>
    <w:rsid w:val="36215AC7"/>
    <w:rsid w:val="362A393F"/>
    <w:rsid w:val="363C351B"/>
    <w:rsid w:val="365C08C4"/>
    <w:rsid w:val="3698058A"/>
    <w:rsid w:val="36A83178"/>
    <w:rsid w:val="36B02B98"/>
    <w:rsid w:val="36FB77C2"/>
    <w:rsid w:val="373A1EFF"/>
    <w:rsid w:val="37514E7C"/>
    <w:rsid w:val="3758249B"/>
    <w:rsid w:val="37796963"/>
    <w:rsid w:val="37C318AF"/>
    <w:rsid w:val="380C3557"/>
    <w:rsid w:val="385F6769"/>
    <w:rsid w:val="3861125C"/>
    <w:rsid w:val="386F40C2"/>
    <w:rsid w:val="38901352"/>
    <w:rsid w:val="38A51E99"/>
    <w:rsid w:val="38F55846"/>
    <w:rsid w:val="39255B4E"/>
    <w:rsid w:val="392B05B4"/>
    <w:rsid w:val="39572990"/>
    <w:rsid w:val="398A17A7"/>
    <w:rsid w:val="398E6E86"/>
    <w:rsid w:val="39A570A9"/>
    <w:rsid w:val="39B34CB8"/>
    <w:rsid w:val="39B56588"/>
    <w:rsid w:val="3A5129D3"/>
    <w:rsid w:val="3A5D0F7E"/>
    <w:rsid w:val="3A6073BE"/>
    <w:rsid w:val="3A7043E9"/>
    <w:rsid w:val="3A8217E4"/>
    <w:rsid w:val="3AC570EC"/>
    <w:rsid w:val="3AFB7978"/>
    <w:rsid w:val="3B263C85"/>
    <w:rsid w:val="3B2C1E26"/>
    <w:rsid w:val="3B532A9D"/>
    <w:rsid w:val="3B661580"/>
    <w:rsid w:val="3B83614B"/>
    <w:rsid w:val="3BFD2D78"/>
    <w:rsid w:val="3BFD4FB1"/>
    <w:rsid w:val="3C161445"/>
    <w:rsid w:val="3C2679C3"/>
    <w:rsid w:val="3C4B19ED"/>
    <w:rsid w:val="3C7523AB"/>
    <w:rsid w:val="3C7C2505"/>
    <w:rsid w:val="3C7D6CD6"/>
    <w:rsid w:val="3C956C5B"/>
    <w:rsid w:val="3CA12871"/>
    <w:rsid w:val="3CA73F97"/>
    <w:rsid w:val="3D5630FB"/>
    <w:rsid w:val="3D6D3DCE"/>
    <w:rsid w:val="3D726FAC"/>
    <w:rsid w:val="3DB702E0"/>
    <w:rsid w:val="3E184428"/>
    <w:rsid w:val="3E236C28"/>
    <w:rsid w:val="3E585156"/>
    <w:rsid w:val="3E775CC2"/>
    <w:rsid w:val="3ED967CE"/>
    <w:rsid w:val="3F0539AB"/>
    <w:rsid w:val="3F141074"/>
    <w:rsid w:val="3F520BF1"/>
    <w:rsid w:val="3F6143A9"/>
    <w:rsid w:val="3F677DCF"/>
    <w:rsid w:val="3F7D1F21"/>
    <w:rsid w:val="3F9A5837"/>
    <w:rsid w:val="3FC07303"/>
    <w:rsid w:val="3FED2FEE"/>
    <w:rsid w:val="3FF0411E"/>
    <w:rsid w:val="3FF55292"/>
    <w:rsid w:val="3FF64C40"/>
    <w:rsid w:val="40364E7B"/>
    <w:rsid w:val="40571709"/>
    <w:rsid w:val="40841854"/>
    <w:rsid w:val="40985EF2"/>
    <w:rsid w:val="40A51E05"/>
    <w:rsid w:val="40C3277F"/>
    <w:rsid w:val="40D01062"/>
    <w:rsid w:val="40FA4465"/>
    <w:rsid w:val="4122784B"/>
    <w:rsid w:val="415F37E9"/>
    <w:rsid w:val="4199675D"/>
    <w:rsid w:val="419B135E"/>
    <w:rsid w:val="41A35612"/>
    <w:rsid w:val="41B01DF0"/>
    <w:rsid w:val="41C95125"/>
    <w:rsid w:val="41F0312B"/>
    <w:rsid w:val="42060D4C"/>
    <w:rsid w:val="42226EC9"/>
    <w:rsid w:val="42517A09"/>
    <w:rsid w:val="42A41845"/>
    <w:rsid w:val="42AA00FC"/>
    <w:rsid w:val="42B97A25"/>
    <w:rsid w:val="42E6078F"/>
    <w:rsid w:val="43225FD1"/>
    <w:rsid w:val="43B52B82"/>
    <w:rsid w:val="440C5933"/>
    <w:rsid w:val="441C0DA9"/>
    <w:rsid w:val="447B1F1F"/>
    <w:rsid w:val="449C614E"/>
    <w:rsid w:val="44E939B9"/>
    <w:rsid w:val="44EF24B6"/>
    <w:rsid w:val="450F35C7"/>
    <w:rsid w:val="45365B70"/>
    <w:rsid w:val="455521A0"/>
    <w:rsid w:val="45775602"/>
    <w:rsid w:val="45952C02"/>
    <w:rsid w:val="45C55E76"/>
    <w:rsid w:val="45FB06B0"/>
    <w:rsid w:val="45FC0CDF"/>
    <w:rsid w:val="4622025B"/>
    <w:rsid w:val="46772ACA"/>
    <w:rsid w:val="468A243D"/>
    <w:rsid w:val="46AF0C47"/>
    <w:rsid w:val="46CB6859"/>
    <w:rsid w:val="46CD5CDF"/>
    <w:rsid w:val="46D0726F"/>
    <w:rsid w:val="46F7008C"/>
    <w:rsid w:val="470E1780"/>
    <w:rsid w:val="47197576"/>
    <w:rsid w:val="475F1299"/>
    <w:rsid w:val="47643C7B"/>
    <w:rsid w:val="479C06A6"/>
    <w:rsid w:val="47DD2C1E"/>
    <w:rsid w:val="47F44D20"/>
    <w:rsid w:val="4803505C"/>
    <w:rsid w:val="48226394"/>
    <w:rsid w:val="48937BB7"/>
    <w:rsid w:val="48950A55"/>
    <w:rsid w:val="48ED301E"/>
    <w:rsid w:val="49036E36"/>
    <w:rsid w:val="49A3785C"/>
    <w:rsid w:val="49A55F90"/>
    <w:rsid w:val="49D03FBE"/>
    <w:rsid w:val="49D825AA"/>
    <w:rsid w:val="4A781081"/>
    <w:rsid w:val="4A844EB3"/>
    <w:rsid w:val="4A970C13"/>
    <w:rsid w:val="4A971ED9"/>
    <w:rsid w:val="4ABF7808"/>
    <w:rsid w:val="4AC74AE9"/>
    <w:rsid w:val="4AF60F17"/>
    <w:rsid w:val="4B101F6A"/>
    <w:rsid w:val="4B393502"/>
    <w:rsid w:val="4B4B5BA4"/>
    <w:rsid w:val="4B700C5B"/>
    <w:rsid w:val="4C334FE0"/>
    <w:rsid w:val="4C4107B8"/>
    <w:rsid w:val="4C63431C"/>
    <w:rsid w:val="4C9C4380"/>
    <w:rsid w:val="4CC354DE"/>
    <w:rsid w:val="4CD75F3D"/>
    <w:rsid w:val="4CF50A7A"/>
    <w:rsid w:val="4D752BEB"/>
    <w:rsid w:val="4D860F34"/>
    <w:rsid w:val="4DC454A6"/>
    <w:rsid w:val="4DD672BD"/>
    <w:rsid w:val="4DDF7903"/>
    <w:rsid w:val="4E0D632B"/>
    <w:rsid w:val="4E133DDC"/>
    <w:rsid w:val="4E330DD9"/>
    <w:rsid w:val="4E4478F5"/>
    <w:rsid w:val="4E502928"/>
    <w:rsid w:val="4E5702D1"/>
    <w:rsid w:val="4E745978"/>
    <w:rsid w:val="4E7A0A5F"/>
    <w:rsid w:val="4E944871"/>
    <w:rsid w:val="4EAA276D"/>
    <w:rsid w:val="4ED31D40"/>
    <w:rsid w:val="4EDD0DB8"/>
    <w:rsid w:val="4F35438F"/>
    <w:rsid w:val="4F45079D"/>
    <w:rsid w:val="4F5720DE"/>
    <w:rsid w:val="4F574C2C"/>
    <w:rsid w:val="4F6A72D7"/>
    <w:rsid w:val="4FA4450F"/>
    <w:rsid w:val="4FAD1288"/>
    <w:rsid w:val="4FB311EB"/>
    <w:rsid w:val="4FB61C03"/>
    <w:rsid w:val="4FD63E34"/>
    <w:rsid w:val="500B0859"/>
    <w:rsid w:val="501D511A"/>
    <w:rsid w:val="507D7AD7"/>
    <w:rsid w:val="509F13A6"/>
    <w:rsid w:val="50C87602"/>
    <w:rsid w:val="50F008D2"/>
    <w:rsid w:val="51095C3F"/>
    <w:rsid w:val="51113740"/>
    <w:rsid w:val="51181B78"/>
    <w:rsid w:val="51C42855"/>
    <w:rsid w:val="51CB045D"/>
    <w:rsid w:val="52343541"/>
    <w:rsid w:val="524A77D1"/>
    <w:rsid w:val="5256588E"/>
    <w:rsid w:val="52715451"/>
    <w:rsid w:val="52891E6C"/>
    <w:rsid w:val="52C06ACF"/>
    <w:rsid w:val="532E7FAC"/>
    <w:rsid w:val="53725DB9"/>
    <w:rsid w:val="539855CF"/>
    <w:rsid w:val="539E1218"/>
    <w:rsid w:val="53EE7AA3"/>
    <w:rsid w:val="53F964C6"/>
    <w:rsid w:val="542A08ED"/>
    <w:rsid w:val="54632C3F"/>
    <w:rsid w:val="549C61AB"/>
    <w:rsid w:val="54EE7370"/>
    <w:rsid w:val="553E63DC"/>
    <w:rsid w:val="555F2C98"/>
    <w:rsid w:val="559D10FC"/>
    <w:rsid w:val="5604752C"/>
    <w:rsid w:val="56193EF6"/>
    <w:rsid w:val="56620961"/>
    <w:rsid w:val="568A1826"/>
    <w:rsid w:val="56A30260"/>
    <w:rsid w:val="56D7432E"/>
    <w:rsid w:val="56DE45E7"/>
    <w:rsid w:val="57303F7D"/>
    <w:rsid w:val="5763497E"/>
    <w:rsid w:val="57BE75FE"/>
    <w:rsid w:val="57DC0F29"/>
    <w:rsid w:val="57F170D7"/>
    <w:rsid w:val="58386DA6"/>
    <w:rsid w:val="584D1551"/>
    <w:rsid w:val="58951DE3"/>
    <w:rsid w:val="58CB5CCA"/>
    <w:rsid w:val="58D01B24"/>
    <w:rsid w:val="58EC42C6"/>
    <w:rsid w:val="5939034E"/>
    <w:rsid w:val="594B22F7"/>
    <w:rsid w:val="598C5340"/>
    <w:rsid w:val="59E432DB"/>
    <w:rsid w:val="5A9056E2"/>
    <w:rsid w:val="5AC56A29"/>
    <w:rsid w:val="5B0B723D"/>
    <w:rsid w:val="5B2A25C0"/>
    <w:rsid w:val="5B5344D3"/>
    <w:rsid w:val="5BA10461"/>
    <w:rsid w:val="5BEA3E40"/>
    <w:rsid w:val="5BED61BD"/>
    <w:rsid w:val="5C3F6338"/>
    <w:rsid w:val="5C4224A2"/>
    <w:rsid w:val="5C60789B"/>
    <w:rsid w:val="5C7B0889"/>
    <w:rsid w:val="5CF40B40"/>
    <w:rsid w:val="5D000F6D"/>
    <w:rsid w:val="5D1E5CA6"/>
    <w:rsid w:val="5D4B3FA0"/>
    <w:rsid w:val="5D841C8F"/>
    <w:rsid w:val="5DB55BCD"/>
    <w:rsid w:val="5DE8500B"/>
    <w:rsid w:val="5E2E09FE"/>
    <w:rsid w:val="5E4E15E4"/>
    <w:rsid w:val="5E7B340D"/>
    <w:rsid w:val="5ED41DB6"/>
    <w:rsid w:val="5EED6B4B"/>
    <w:rsid w:val="5F021772"/>
    <w:rsid w:val="5FC324AB"/>
    <w:rsid w:val="5FD82410"/>
    <w:rsid w:val="5FF067F2"/>
    <w:rsid w:val="5FFF6F8A"/>
    <w:rsid w:val="60156163"/>
    <w:rsid w:val="60315CFC"/>
    <w:rsid w:val="6065139F"/>
    <w:rsid w:val="607C7AE6"/>
    <w:rsid w:val="609C1EB0"/>
    <w:rsid w:val="60B34F92"/>
    <w:rsid w:val="60FE69AF"/>
    <w:rsid w:val="61066D33"/>
    <w:rsid w:val="615871ED"/>
    <w:rsid w:val="61762801"/>
    <w:rsid w:val="618A197E"/>
    <w:rsid w:val="61A86492"/>
    <w:rsid w:val="61C45941"/>
    <w:rsid w:val="61C82748"/>
    <w:rsid w:val="61DE154A"/>
    <w:rsid w:val="61DE49E7"/>
    <w:rsid w:val="61F93380"/>
    <w:rsid w:val="62165216"/>
    <w:rsid w:val="621C2B4B"/>
    <w:rsid w:val="6320666B"/>
    <w:rsid w:val="634B2557"/>
    <w:rsid w:val="635418F9"/>
    <w:rsid w:val="635D664F"/>
    <w:rsid w:val="63602DA7"/>
    <w:rsid w:val="636A540A"/>
    <w:rsid w:val="637644ED"/>
    <w:rsid w:val="63EB4ECB"/>
    <w:rsid w:val="64495C49"/>
    <w:rsid w:val="64A85D79"/>
    <w:rsid w:val="64AB2F5C"/>
    <w:rsid w:val="64C10E6B"/>
    <w:rsid w:val="654E0AAD"/>
    <w:rsid w:val="657C7B9E"/>
    <w:rsid w:val="65D3075C"/>
    <w:rsid w:val="65EA5BC3"/>
    <w:rsid w:val="66064F5F"/>
    <w:rsid w:val="66071BDE"/>
    <w:rsid w:val="661F54CE"/>
    <w:rsid w:val="664034E9"/>
    <w:rsid w:val="66A004F9"/>
    <w:rsid w:val="66AD3C65"/>
    <w:rsid w:val="67472418"/>
    <w:rsid w:val="677D63AA"/>
    <w:rsid w:val="67801DCE"/>
    <w:rsid w:val="6782463C"/>
    <w:rsid w:val="67CB5B20"/>
    <w:rsid w:val="67CC22D9"/>
    <w:rsid w:val="68065131"/>
    <w:rsid w:val="681B6E66"/>
    <w:rsid w:val="685108FC"/>
    <w:rsid w:val="68631016"/>
    <w:rsid w:val="68A01D6E"/>
    <w:rsid w:val="691A3DDD"/>
    <w:rsid w:val="692129A9"/>
    <w:rsid w:val="69360585"/>
    <w:rsid w:val="69382A2C"/>
    <w:rsid w:val="69434640"/>
    <w:rsid w:val="69565192"/>
    <w:rsid w:val="69D723EE"/>
    <w:rsid w:val="69DB5D7C"/>
    <w:rsid w:val="6ABD3F91"/>
    <w:rsid w:val="6AD667D8"/>
    <w:rsid w:val="6AF54FE2"/>
    <w:rsid w:val="6AFB6F7F"/>
    <w:rsid w:val="6B03210A"/>
    <w:rsid w:val="6B385C49"/>
    <w:rsid w:val="6B9036E7"/>
    <w:rsid w:val="6B9C3AE5"/>
    <w:rsid w:val="6BB24174"/>
    <w:rsid w:val="6BDC2773"/>
    <w:rsid w:val="6BFC4006"/>
    <w:rsid w:val="6C3F7B62"/>
    <w:rsid w:val="6C4B586D"/>
    <w:rsid w:val="6C4E33F1"/>
    <w:rsid w:val="6C545122"/>
    <w:rsid w:val="6C920B69"/>
    <w:rsid w:val="6C9446F5"/>
    <w:rsid w:val="6CB0535E"/>
    <w:rsid w:val="6CB34465"/>
    <w:rsid w:val="6CB3536E"/>
    <w:rsid w:val="6CC0574D"/>
    <w:rsid w:val="6CC4639B"/>
    <w:rsid w:val="6D1D63C6"/>
    <w:rsid w:val="6D2C7C0D"/>
    <w:rsid w:val="6D626411"/>
    <w:rsid w:val="6D89249D"/>
    <w:rsid w:val="6DA06BCC"/>
    <w:rsid w:val="6DEF7AF4"/>
    <w:rsid w:val="6DF87AF7"/>
    <w:rsid w:val="6EA02659"/>
    <w:rsid w:val="6EB3379C"/>
    <w:rsid w:val="6F1359BD"/>
    <w:rsid w:val="6F16439A"/>
    <w:rsid w:val="6F310AF8"/>
    <w:rsid w:val="6F653D83"/>
    <w:rsid w:val="6F784AF0"/>
    <w:rsid w:val="6FE1733C"/>
    <w:rsid w:val="6FFE024C"/>
    <w:rsid w:val="700E4CD4"/>
    <w:rsid w:val="70221C74"/>
    <w:rsid w:val="70660451"/>
    <w:rsid w:val="708366D3"/>
    <w:rsid w:val="70CD2A9F"/>
    <w:rsid w:val="70E70B82"/>
    <w:rsid w:val="70F13180"/>
    <w:rsid w:val="71056F65"/>
    <w:rsid w:val="710E63FD"/>
    <w:rsid w:val="713C56D6"/>
    <w:rsid w:val="715E6A26"/>
    <w:rsid w:val="717A5259"/>
    <w:rsid w:val="71CA7AE9"/>
    <w:rsid w:val="71CF0CBA"/>
    <w:rsid w:val="723658ED"/>
    <w:rsid w:val="723B77F7"/>
    <w:rsid w:val="725F4BB0"/>
    <w:rsid w:val="72927005"/>
    <w:rsid w:val="72B24FED"/>
    <w:rsid w:val="72E53669"/>
    <w:rsid w:val="72E70F53"/>
    <w:rsid w:val="73505BF0"/>
    <w:rsid w:val="73D60CA1"/>
    <w:rsid w:val="73E55634"/>
    <w:rsid w:val="73F33BCF"/>
    <w:rsid w:val="745D1E7A"/>
    <w:rsid w:val="74870DF6"/>
    <w:rsid w:val="74A525C7"/>
    <w:rsid w:val="74C01F04"/>
    <w:rsid w:val="74C141E4"/>
    <w:rsid w:val="74C23D1D"/>
    <w:rsid w:val="74C27582"/>
    <w:rsid w:val="74FF2224"/>
    <w:rsid w:val="752E7064"/>
    <w:rsid w:val="755E1FBF"/>
    <w:rsid w:val="757302BE"/>
    <w:rsid w:val="75A74C9F"/>
    <w:rsid w:val="75F85342"/>
    <w:rsid w:val="761600B6"/>
    <w:rsid w:val="762F1CF6"/>
    <w:rsid w:val="76646422"/>
    <w:rsid w:val="766E211A"/>
    <w:rsid w:val="76BE7127"/>
    <w:rsid w:val="77843806"/>
    <w:rsid w:val="77C269C6"/>
    <w:rsid w:val="77E26464"/>
    <w:rsid w:val="77E36DBE"/>
    <w:rsid w:val="77EA6748"/>
    <w:rsid w:val="780633AF"/>
    <w:rsid w:val="780650B1"/>
    <w:rsid w:val="781403A3"/>
    <w:rsid w:val="781E05C8"/>
    <w:rsid w:val="784870D5"/>
    <w:rsid w:val="789255F2"/>
    <w:rsid w:val="78950E64"/>
    <w:rsid w:val="78E4686E"/>
    <w:rsid w:val="78FA337A"/>
    <w:rsid w:val="7923272B"/>
    <w:rsid w:val="793122E3"/>
    <w:rsid w:val="79776003"/>
    <w:rsid w:val="797801A0"/>
    <w:rsid w:val="797B5DBD"/>
    <w:rsid w:val="79B73810"/>
    <w:rsid w:val="79F21CA5"/>
    <w:rsid w:val="79F6450D"/>
    <w:rsid w:val="7A5F16D0"/>
    <w:rsid w:val="7A7333F4"/>
    <w:rsid w:val="7A9B5F62"/>
    <w:rsid w:val="7A9C2C1C"/>
    <w:rsid w:val="7AAB7F94"/>
    <w:rsid w:val="7AB079F9"/>
    <w:rsid w:val="7AD0650C"/>
    <w:rsid w:val="7B28499C"/>
    <w:rsid w:val="7B2D37A3"/>
    <w:rsid w:val="7B3A497C"/>
    <w:rsid w:val="7B7223D6"/>
    <w:rsid w:val="7B8D2142"/>
    <w:rsid w:val="7BB17C45"/>
    <w:rsid w:val="7BB65736"/>
    <w:rsid w:val="7BEE4101"/>
    <w:rsid w:val="7C4C347A"/>
    <w:rsid w:val="7C5A65DC"/>
    <w:rsid w:val="7C6258BE"/>
    <w:rsid w:val="7CA63DB6"/>
    <w:rsid w:val="7CAB0541"/>
    <w:rsid w:val="7D2221D8"/>
    <w:rsid w:val="7D2B6244"/>
    <w:rsid w:val="7D513857"/>
    <w:rsid w:val="7D710719"/>
    <w:rsid w:val="7D7D15ED"/>
    <w:rsid w:val="7D7D678B"/>
    <w:rsid w:val="7DBA0D19"/>
    <w:rsid w:val="7DDE12FB"/>
    <w:rsid w:val="7E130E17"/>
    <w:rsid w:val="7E320B69"/>
    <w:rsid w:val="7E6B21F2"/>
    <w:rsid w:val="7ECF746B"/>
    <w:rsid w:val="7EE43213"/>
    <w:rsid w:val="7F1E51F0"/>
    <w:rsid w:val="7F9B7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qFormat/>
    <w:uiPriority w:val="9"/>
    <w:pPr>
      <w:keepNext/>
      <w:spacing w:line="380" w:lineRule="exact"/>
      <w:jc w:val="center"/>
      <w:outlineLvl w:val="0"/>
    </w:pPr>
    <w:rPr>
      <w:rFonts w:ascii="宋体" w:hAnsi="宋体"/>
      <w:b/>
      <w:kern w:val="44"/>
      <w:sz w:val="44"/>
      <w:szCs w:val="44"/>
    </w:rPr>
  </w:style>
  <w:style w:type="paragraph" w:styleId="4">
    <w:name w:val="heading 2"/>
    <w:basedOn w:val="1"/>
    <w:next w:val="1"/>
    <w:link w:val="66"/>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6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68"/>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69"/>
    <w:qFormat/>
    <w:uiPriority w:val="9"/>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70"/>
    <w:qFormat/>
    <w:uiPriority w:val="9"/>
    <w:pPr>
      <w:keepNext/>
      <w:keepLines/>
      <w:spacing w:before="240" w:after="64" w:line="320" w:lineRule="auto"/>
      <w:outlineLvl w:val="5"/>
    </w:pPr>
    <w:rPr>
      <w:rFonts w:ascii="Cambria" w:hAnsi="Cambria"/>
      <w:b/>
      <w:sz w:val="24"/>
    </w:rPr>
  </w:style>
  <w:style w:type="paragraph" w:styleId="9">
    <w:name w:val="heading 7"/>
    <w:basedOn w:val="1"/>
    <w:next w:val="1"/>
    <w:link w:val="71"/>
    <w:qFormat/>
    <w:uiPriority w:val="9"/>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7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7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8"/>
    <w:qFormat/>
    <w:uiPriority w:val="99"/>
    <w:rPr>
      <w:rFonts w:ascii="宋体" w:hAnsi="宋体"/>
      <w:kern w:val="0"/>
      <w:sz w:val="20"/>
    </w:rPr>
  </w:style>
  <w:style w:type="paragraph" w:styleId="12">
    <w:name w:val="toc 7"/>
    <w:basedOn w:val="1"/>
    <w:next w:val="1"/>
    <w:qFormat/>
    <w:uiPriority w:val="39"/>
    <w:pPr>
      <w:ind w:left="1260"/>
      <w:jc w:val="left"/>
    </w:pPr>
    <w:rPr>
      <w:sz w:val="18"/>
      <w:szCs w:val="18"/>
    </w:rPr>
  </w:style>
  <w:style w:type="paragraph" w:styleId="13">
    <w:name w:val="index 8"/>
    <w:basedOn w:val="1"/>
    <w:next w:val="1"/>
    <w:qFormat/>
    <w:uiPriority w:val="99"/>
    <w:pPr>
      <w:jc w:val="center"/>
    </w:pPr>
    <w:rPr>
      <w:rFonts w:hint="eastAsia" w:ascii="宋体" w:hAnsi="宋体"/>
      <w:color w:val="000000"/>
      <w:sz w:val="32"/>
      <w:szCs w:val="32"/>
    </w:rPr>
  </w:style>
  <w:style w:type="paragraph" w:styleId="14">
    <w:name w:val="Normal Indent"/>
    <w:basedOn w:val="1"/>
    <w:next w:val="1"/>
    <w:link w:val="74"/>
    <w:qFormat/>
    <w:uiPriority w:val="0"/>
    <w:pPr>
      <w:ind w:firstLine="420" w:firstLineChars="200"/>
    </w:pPr>
    <w:rPr>
      <w:rFonts w:ascii="宋体" w:hAnsi="宋体"/>
      <w:spacing w:val="14"/>
      <w:kern w:val="24"/>
      <w:sz w:val="24"/>
      <w:szCs w:val="24"/>
    </w:rPr>
  </w:style>
  <w:style w:type="paragraph" w:styleId="15">
    <w:name w:val="caption"/>
    <w:basedOn w:val="1"/>
    <w:next w:val="1"/>
    <w:unhideWhenUsed/>
    <w:qFormat/>
    <w:uiPriority w:val="0"/>
    <w:pPr>
      <w:spacing w:line="360" w:lineRule="auto"/>
    </w:pPr>
    <w:rPr>
      <w:rFonts w:ascii="Cambria" w:hAnsi="Cambria" w:eastAsia="黑体" w:cs="宋体"/>
      <w:sz w:val="20"/>
      <w:szCs w:val="24"/>
    </w:rPr>
  </w:style>
  <w:style w:type="paragraph" w:styleId="16">
    <w:name w:val="Document Map"/>
    <w:basedOn w:val="1"/>
    <w:link w:val="75"/>
    <w:semiHidden/>
    <w:qFormat/>
    <w:uiPriority w:val="99"/>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76"/>
    <w:qFormat/>
    <w:uiPriority w:val="99"/>
    <w:pPr>
      <w:jc w:val="left"/>
    </w:pPr>
    <w:rPr>
      <w:rFonts w:ascii="宋体" w:hAnsi="宋体"/>
      <w:szCs w:val="21"/>
    </w:rPr>
  </w:style>
  <w:style w:type="paragraph" w:styleId="19">
    <w:name w:val="Body Text 3"/>
    <w:basedOn w:val="1"/>
    <w:link w:val="77"/>
    <w:qFormat/>
    <w:uiPriority w:val="99"/>
    <w:pPr>
      <w:spacing w:after="120" w:line="360" w:lineRule="auto"/>
    </w:pPr>
    <w:rPr>
      <w:kern w:val="0"/>
      <w:sz w:val="16"/>
    </w:rPr>
  </w:style>
  <w:style w:type="paragraph" w:styleId="20">
    <w:name w:val="Body Text Indent"/>
    <w:basedOn w:val="1"/>
    <w:link w:val="79"/>
    <w:qFormat/>
    <w:uiPriority w:val="99"/>
    <w:pPr>
      <w:spacing w:line="380" w:lineRule="exact"/>
      <w:ind w:firstLine="480"/>
    </w:pPr>
    <w:rPr>
      <w:rFonts w:eastAsia="方正书宋简体"/>
      <w:sz w:val="24"/>
    </w:rPr>
  </w:style>
  <w:style w:type="paragraph" w:styleId="21">
    <w:name w:val="List Number 3"/>
    <w:basedOn w:val="1"/>
    <w:qFormat/>
    <w:uiPriority w:val="99"/>
    <w:pPr>
      <w:widowControl/>
      <w:tabs>
        <w:tab w:val="left" w:pos="482"/>
      </w:tabs>
      <w:spacing w:afterLines="50"/>
      <w:ind w:left="482" w:hanging="340"/>
      <w:jc w:val="left"/>
    </w:pPr>
    <w:rPr>
      <w:kern w:val="0"/>
      <w:sz w:val="24"/>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rPr>
  </w:style>
  <w:style w:type="paragraph" w:styleId="24">
    <w:name w:val="Plain Text"/>
    <w:basedOn w:val="1"/>
    <w:link w:val="64"/>
    <w:qFormat/>
    <w:uiPriority w:val="0"/>
    <w:pPr>
      <w:widowControl/>
      <w:spacing w:before="100" w:beforeAutospacing="1" w:after="100" w:afterAutospacing="1"/>
      <w:jc w:val="left"/>
    </w:pPr>
    <w:rPr>
      <w:rFonts w:ascii="宋体" w:hAnsi="Courier New"/>
      <w:kern w:val="0"/>
      <w:sz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80"/>
    <w:qFormat/>
    <w:uiPriority w:val="99"/>
    <w:pPr>
      <w:adjustRightInd w:val="0"/>
      <w:spacing w:line="312" w:lineRule="atLeast"/>
      <w:jc w:val="right"/>
      <w:textAlignment w:val="baseline"/>
    </w:pPr>
    <w:rPr>
      <w:rFonts w:ascii="宋体"/>
      <w:kern w:val="0"/>
      <w:sz w:val="24"/>
    </w:rPr>
  </w:style>
  <w:style w:type="paragraph" w:styleId="27">
    <w:name w:val="Body Text Indent 2"/>
    <w:basedOn w:val="1"/>
    <w:link w:val="81"/>
    <w:qFormat/>
    <w:uiPriority w:val="99"/>
    <w:pPr>
      <w:spacing w:line="380" w:lineRule="exact"/>
      <w:ind w:left="840" w:hanging="45"/>
    </w:pPr>
    <w:rPr>
      <w:rFonts w:ascii="宋体"/>
      <w:sz w:val="24"/>
    </w:rPr>
  </w:style>
  <w:style w:type="paragraph" w:styleId="28">
    <w:name w:val="Balloon Text"/>
    <w:basedOn w:val="1"/>
    <w:link w:val="82"/>
    <w:semiHidden/>
    <w:qFormat/>
    <w:uiPriority w:val="99"/>
    <w:rPr>
      <w:rFonts w:ascii="宋体" w:hAnsi="宋体"/>
      <w:sz w:val="18"/>
      <w:szCs w:val="18"/>
    </w:rPr>
  </w:style>
  <w:style w:type="paragraph" w:styleId="29">
    <w:name w:val="footer"/>
    <w:basedOn w:val="1"/>
    <w:link w:val="83"/>
    <w:qFormat/>
    <w:uiPriority w:val="99"/>
    <w:pPr>
      <w:tabs>
        <w:tab w:val="center" w:pos="4153"/>
        <w:tab w:val="right" w:pos="8306"/>
      </w:tabs>
      <w:snapToGrid w:val="0"/>
      <w:jc w:val="left"/>
    </w:pPr>
    <w:rPr>
      <w:rFonts w:ascii="宋体" w:hAnsi="宋体"/>
      <w:sz w:val="18"/>
      <w:szCs w:val="18"/>
    </w:rPr>
  </w:style>
  <w:style w:type="paragraph" w:styleId="30">
    <w:name w:val="envelope return"/>
    <w:basedOn w:val="1"/>
    <w:qFormat/>
    <w:uiPriority w:val="0"/>
    <w:pPr>
      <w:snapToGrid w:val="0"/>
    </w:pPr>
    <w:rPr>
      <w:rFonts w:ascii="Arial" w:hAnsi="Arial"/>
    </w:rPr>
  </w:style>
  <w:style w:type="paragraph" w:styleId="31">
    <w:name w:val="header"/>
    <w:basedOn w:val="1"/>
    <w:link w:val="8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33">
    <w:name w:val="toc 4"/>
    <w:basedOn w:val="1"/>
    <w:next w:val="1"/>
    <w:qFormat/>
    <w:uiPriority w:val="39"/>
    <w:pPr>
      <w:ind w:left="630"/>
      <w:jc w:val="left"/>
    </w:pPr>
    <w:rPr>
      <w:sz w:val="18"/>
      <w:szCs w:val="18"/>
    </w:rPr>
  </w:style>
  <w:style w:type="paragraph" w:styleId="34">
    <w:name w:val="List Number 5"/>
    <w:basedOn w:val="1"/>
    <w:qFormat/>
    <w:uiPriority w:val="99"/>
    <w:pPr>
      <w:tabs>
        <w:tab w:val="left" w:pos="2608"/>
      </w:tabs>
      <w:spacing w:line="360" w:lineRule="auto"/>
      <w:ind w:left="840" w:hanging="360"/>
    </w:pPr>
    <w:rPr>
      <w:sz w:val="24"/>
      <w:szCs w:val="24"/>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85"/>
    <w:qFormat/>
    <w:uiPriority w:val="99"/>
    <w:pPr>
      <w:spacing w:line="380" w:lineRule="exact"/>
      <w:ind w:left="525"/>
    </w:pPr>
    <w:rPr>
      <w:rFonts w:ascii="宋体" w:hAnsi="宋体"/>
      <w:b/>
      <w:sz w:val="24"/>
      <w:szCs w:val="24"/>
    </w:rPr>
  </w:style>
  <w:style w:type="paragraph" w:styleId="37">
    <w:name w:val="table of figures"/>
    <w:basedOn w:val="1"/>
    <w:next w:val="1"/>
    <w:qFormat/>
    <w:uiPriority w:val="99"/>
    <w:pPr>
      <w:ind w:left="420" w:hanging="420"/>
      <w:jc w:val="left"/>
    </w:pPr>
    <w:rPr>
      <w:smallCaps/>
      <w:sz w:val="20"/>
    </w:rPr>
  </w:style>
  <w:style w:type="paragraph" w:styleId="38">
    <w:name w:val="toc 2"/>
    <w:basedOn w:val="1"/>
    <w:next w:val="1"/>
    <w:qFormat/>
    <w:uiPriority w:val="39"/>
    <w:pPr>
      <w:ind w:left="210"/>
      <w:jc w:val="left"/>
    </w:pPr>
    <w:rPr>
      <w:smallCaps/>
      <w:sz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86"/>
    <w:qFormat/>
    <w:uiPriority w:val="99"/>
    <w:pPr>
      <w:spacing w:after="120" w:line="480" w:lineRule="auto"/>
    </w:pPr>
    <w:rPr>
      <w:kern w:val="0"/>
      <w:sz w:val="24"/>
    </w:rPr>
  </w:style>
  <w:style w:type="paragraph" w:styleId="41">
    <w:name w:val="HTML Preformatted"/>
    <w:basedOn w:val="1"/>
    <w:link w:val="87"/>
    <w:qFormat/>
    <w:uiPriority w:val="99"/>
    <w:rPr>
      <w:rFonts w:ascii="Courier New" w:hAnsi="Courier New"/>
      <w:sz w:val="20"/>
    </w:rPr>
  </w:style>
  <w:style w:type="paragraph" w:styleId="42">
    <w:name w:val="Normal (Web)"/>
    <w:basedOn w:val="1"/>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3">
    <w:name w:val="index 1"/>
    <w:basedOn w:val="1"/>
    <w:next w:val="1"/>
    <w:semiHidden/>
    <w:qFormat/>
    <w:uiPriority w:val="99"/>
  </w:style>
  <w:style w:type="paragraph" w:styleId="44">
    <w:name w:val="Title"/>
    <w:basedOn w:val="1"/>
    <w:next w:val="1"/>
    <w:qFormat/>
    <w:uiPriority w:val="0"/>
    <w:pPr>
      <w:numPr>
        <w:ilvl w:val="0"/>
        <w:numId w:val="1"/>
      </w:numPr>
      <w:adjustRightInd w:val="0"/>
      <w:spacing w:before="240" w:after="60" w:line="312" w:lineRule="atLeast"/>
      <w:jc w:val="center"/>
      <w:textAlignment w:val="baseline"/>
      <w:outlineLvl w:val="0"/>
    </w:pPr>
    <w:rPr>
      <w:rFonts w:ascii="Arial" w:hAnsi="Arial" w:cs="Arial"/>
      <w:b/>
      <w:bCs/>
      <w:kern w:val="0"/>
      <w:sz w:val="32"/>
      <w:szCs w:val="32"/>
    </w:rPr>
  </w:style>
  <w:style w:type="paragraph" w:styleId="45">
    <w:name w:val="annotation subject"/>
    <w:basedOn w:val="18"/>
    <w:next w:val="18"/>
    <w:link w:val="88"/>
    <w:semiHidden/>
    <w:qFormat/>
    <w:uiPriority w:val="99"/>
    <w:rPr>
      <w:b/>
    </w:rPr>
  </w:style>
  <w:style w:type="paragraph" w:styleId="46">
    <w:name w:val="Body Text First Indent"/>
    <w:basedOn w:val="2"/>
    <w:next w:val="1"/>
    <w:link w:val="89"/>
    <w:qFormat/>
    <w:uiPriority w:val="99"/>
    <w:pPr>
      <w:spacing w:after="120"/>
      <w:ind w:firstLine="420" w:firstLineChars="100"/>
    </w:pPr>
    <w:rPr>
      <w:i/>
      <w:kern w:val="2"/>
      <w:sz w:val="24"/>
    </w:rPr>
  </w:style>
  <w:style w:type="paragraph" w:styleId="47">
    <w:name w:val="Body Text First Indent 2"/>
    <w:basedOn w:val="20"/>
    <w:qFormat/>
    <w:uiPriority w:val="0"/>
    <w:pPr>
      <w:ind w:firstLine="420" w:firstLineChars="200"/>
    </w:p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1">
    <w:name w:val="Strong"/>
    <w:qFormat/>
    <w:uiPriority w:val="22"/>
    <w:rPr>
      <w:b/>
    </w:rPr>
  </w:style>
  <w:style w:type="character" w:styleId="52">
    <w:name w:val="page number"/>
    <w:qFormat/>
    <w:uiPriority w:val="99"/>
    <w:rPr>
      <w:rFonts w:cs="Times New Roman"/>
    </w:rPr>
  </w:style>
  <w:style w:type="character" w:styleId="53">
    <w:name w:val="FollowedHyperlink"/>
    <w:qFormat/>
    <w:uiPriority w:val="99"/>
    <w:rPr>
      <w:color w:val="800080"/>
      <w:u w:val="single"/>
    </w:rPr>
  </w:style>
  <w:style w:type="character" w:styleId="54">
    <w:name w:val="Emphasis"/>
    <w:qFormat/>
    <w:uiPriority w:val="20"/>
    <w:rPr>
      <w:i/>
    </w:rPr>
  </w:style>
  <w:style w:type="character" w:styleId="55">
    <w:name w:val="HTML Typewriter"/>
    <w:qFormat/>
    <w:uiPriority w:val="99"/>
    <w:rPr>
      <w:rFonts w:ascii="Courier New" w:hAnsi="Courier New"/>
      <w:sz w:val="20"/>
    </w:rPr>
  </w:style>
  <w:style w:type="character" w:styleId="56">
    <w:name w:val="Hyperlink"/>
    <w:qFormat/>
    <w:uiPriority w:val="99"/>
    <w:rPr>
      <w:color w:val="0000FF"/>
      <w:u w:val="single"/>
    </w:rPr>
  </w:style>
  <w:style w:type="character" w:styleId="57">
    <w:name w:val="annotation reference"/>
    <w:semiHidden/>
    <w:qFormat/>
    <w:uiPriority w:val="99"/>
    <w:rPr>
      <w:sz w:val="21"/>
    </w:rPr>
  </w:style>
  <w:style w:type="paragraph" w:customStyle="1" w:styleId="58">
    <w:name w:val="表格文字"/>
    <w:basedOn w:val="59"/>
    <w:next w:val="2"/>
    <w:unhideWhenUsed/>
    <w:qFormat/>
    <w:uiPriority w:val="99"/>
    <w:pPr>
      <w:adjustRightInd w:val="0"/>
      <w:spacing w:line="420" w:lineRule="atLeast"/>
      <w:jc w:val="left"/>
      <w:textAlignment w:val="baseline"/>
    </w:pPr>
    <w:rPr>
      <w:kern w:val="0"/>
    </w:rPr>
  </w:style>
  <w:style w:type="paragraph" w:customStyle="1" w:styleId="59">
    <w:name w:val="表格文字（两侧对齐）"/>
    <w:unhideWhenUsed/>
    <w:qFormat/>
    <w:uiPriority w:val="0"/>
    <w:pPr>
      <w:widowControl w:val="0"/>
      <w:snapToGrid w:val="0"/>
      <w:jc w:val="both"/>
    </w:pPr>
    <w:rPr>
      <w:rFonts w:hint="eastAsia" w:ascii="Times New Roman" w:hAnsi="Times New Roman" w:eastAsia="Times New Roman" w:cs="Times New Roman"/>
      <w:kern w:val="2"/>
      <w:sz w:val="24"/>
      <w:szCs w:val="24"/>
      <w:lang w:val="en-US" w:eastAsia="zh-CN" w:bidi="ar-SA"/>
    </w:rPr>
  </w:style>
  <w:style w:type="paragraph" w:customStyle="1" w:styleId="60">
    <w:name w:val="首行缩进"/>
    <w:basedOn w:val="1"/>
    <w:qFormat/>
    <w:uiPriority w:val="0"/>
    <w:pPr>
      <w:spacing w:line="360" w:lineRule="auto"/>
      <w:ind w:firstLine="480" w:firstLineChars="200"/>
      <w:jc w:val="left"/>
    </w:pPr>
    <w:rPr>
      <w:rFonts w:ascii="宋体" w:hAnsi="宋体"/>
      <w:sz w:val="24"/>
    </w:rPr>
  </w:style>
  <w:style w:type="character" w:customStyle="1" w:styleId="61">
    <w:name w:val="标题 2 Char"/>
    <w:qFormat/>
    <w:uiPriority w:val="0"/>
    <w:rPr>
      <w:rFonts w:ascii="Arial" w:hAnsi="Arial" w:eastAsia="黑体"/>
      <w:b/>
      <w:kern w:val="2"/>
      <w:sz w:val="32"/>
      <w:lang w:val="en-US" w:eastAsia="zh-CN"/>
    </w:rPr>
  </w:style>
  <w:style w:type="character" w:customStyle="1" w:styleId="62">
    <w:name w:val="标题 3 Char"/>
    <w:qFormat/>
    <w:uiPriority w:val="0"/>
    <w:rPr>
      <w:rFonts w:ascii="Arial" w:hAnsi="Arial" w:eastAsia="黑体"/>
      <w:b/>
      <w:kern w:val="2"/>
      <w:sz w:val="32"/>
      <w:lang w:val="en-US" w:eastAsia="zh-CN"/>
    </w:rPr>
  </w:style>
  <w:style w:type="paragraph" w:customStyle="1" w:styleId="63">
    <w:name w:val="[Normal]"/>
    <w:unhideWhenUsed/>
    <w:qFormat/>
    <w:uiPriority w:val="0"/>
    <w:rPr>
      <w:rFonts w:ascii="宋体" w:hAnsi="宋体" w:eastAsia="宋体" w:cs="Times New Roman"/>
      <w:sz w:val="24"/>
      <w:szCs w:val="22"/>
      <w:lang w:val="zh-CN" w:eastAsia="zh-CN" w:bidi="ar-SA"/>
    </w:rPr>
  </w:style>
  <w:style w:type="character" w:customStyle="1" w:styleId="64">
    <w:name w:val="纯文本 Char3"/>
    <w:link w:val="24"/>
    <w:qFormat/>
    <w:locked/>
    <w:uiPriority w:val="0"/>
    <w:rPr>
      <w:rFonts w:ascii="宋体" w:hAnsi="Courier New" w:eastAsia="宋体" w:cs="宋体"/>
      <w:lang w:val="en-US" w:eastAsia="zh-CN"/>
    </w:rPr>
  </w:style>
  <w:style w:type="character" w:customStyle="1" w:styleId="65">
    <w:name w:val="标题 1 Char1"/>
    <w:link w:val="3"/>
    <w:qFormat/>
    <w:locked/>
    <w:uiPriority w:val="9"/>
    <w:rPr>
      <w:rFonts w:ascii="宋体" w:hAnsi="宋体" w:eastAsia="宋体" w:cs="宋体"/>
      <w:b/>
      <w:kern w:val="44"/>
      <w:sz w:val="44"/>
      <w:szCs w:val="44"/>
      <w:lang w:val="en-US" w:eastAsia="zh-CN"/>
    </w:rPr>
  </w:style>
  <w:style w:type="character" w:customStyle="1" w:styleId="66">
    <w:name w:val="标题 2 Char1"/>
    <w:link w:val="4"/>
    <w:qFormat/>
    <w:locked/>
    <w:uiPriority w:val="9"/>
    <w:rPr>
      <w:rFonts w:ascii="Cambria" w:hAnsi="Cambria" w:eastAsia="宋体" w:cs="Cambria"/>
      <w:kern w:val="2"/>
      <w:sz w:val="21"/>
      <w:szCs w:val="21"/>
      <w:lang w:val="en-US" w:eastAsia="zh-CN"/>
    </w:rPr>
  </w:style>
  <w:style w:type="character" w:customStyle="1" w:styleId="67">
    <w:name w:val="标题 3 Char1"/>
    <w:link w:val="5"/>
    <w:qFormat/>
    <w:locked/>
    <w:uiPriority w:val="9"/>
    <w:rPr>
      <w:rFonts w:ascii="宋体" w:hAnsi="宋体" w:eastAsia="宋体" w:cs="宋体"/>
      <w:b/>
      <w:kern w:val="2"/>
      <w:sz w:val="32"/>
      <w:szCs w:val="32"/>
      <w:lang w:val="en-US" w:eastAsia="zh-CN"/>
    </w:rPr>
  </w:style>
  <w:style w:type="character" w:customStyle="1" w:styleId="68">
    <w:name w:val="标题 4 Char"/>
    <w:link w:val="6"/>
    <w:qFormat/>
    <w:locked/>
    <w:uiPriority w:val="0"/>
    <w:rPr>
      <w:rFonts w:ascii="Arial" w:hAnsi="Arial" w:eastAsia="黑体"/>
      <w:b/>
      <w:kern w:val="2"/>
      <w:sz w:val="28"/>
      <w:lang w:val="en-US" w:eastAsia="zh-CN"/>
    </w:rPr>
  </w:style>
  <w:style w:type="character" w:customStyle="1" w:styleId="69">
    <w:name w:val="标题 5 Char"/>
    <w:link w:val="7"/>
    <w:qFormat/>
    <w:locked/>
    <w:uiPriority w:val="9"/>
    <w:rPr>
      <w:rFonts w:eastAsia="宋体"/>
      <w:b/>
      <w:kern w:val="2"/>
      <w:sz w:val="28"/>
      <w:lang w:val="en-US" w:eastAsia="zh-CN"/>
    </w:rPr>
  </w:style>
  <w:style w:type="character" w:customStyle="1" w:styleId="70">
    <w:name w:val="标题 6 Char"/>
    <w:link w:val="8"/>
    <w:qFormat/>
    <w:locked/>
    <w:uiPriority w:val="9"/>
    <w:rPr>
      <w:rFonts w:ascii="Cambria" w:hAnsi="Cambria" w:eastAsia="宋体"/>
      <w:b/>
      <w:kern w:val="2"/>
      <w:sz w:val="24"/>
      <w:lang w:val="en-US" w:eastAsia="zh-CN"/>
    </w:rPr>
  </w:style>
  <w:style w:type="character" w:customStyle="1" w:styleId="71">
    <w:name w:val="标题 7 Char"/>
    <w:link w:val="9"/>
    <w:qFormat/>
    <w:locked/>
    <w:uiPriority w:val="9"/>
    <w:rPr>
      <w:b/>
      <w:kern w:val="2"/>
      <w:sz w:val="24"/>
    </w:rPr>
  </w:style>
  <w:style w:type="character" w:customStyle="1" w:styleId="72">
    <w:name w:val="标题 8 Char"/>
    <w:link w:val="10"/>
    <w:qFormat/>
    <w:locked/>
    <w:uiPriority w:val="9"/>
    <w:rPr>
      <w:rFonts w:ascii="Arial" w:hAnsi="Arial" w:eastAsia="黑体"/>
      <w:kern w:val="2"/>
      <w:sz w:val="24"/>
    </w:rPr>
  </w:style>
  <w:style w:type="character" w:customStyle="1" w:styleId="73">
    <w:name w:val="标题 9 Char"/>
    <w:link w:val="11"/>
    <w:qFormat/>
    <w:locked/>
    <w:uiPriority w:val="9"/>
    <w:rPr>
      <w:rFonts w:ascii="Arial" w:hAnsi="Arial" w:eastAsia="黑体"/>
      <w:kern w:val="2"/>
      <w:sz w:val="21"/>
    </w:rPr>
  </w:style>
  <w:style w:type="character" w:customStyle="1" w:styleId="74">
    <w:name w:val="正文缩进 Char1"/>
    <w:link w:val="14"/>
    <w:qFormat/>
    <w:locked/>
    <w:uiPriority w:val="0"/>
    <w:rPr>
      <w:rFonts w:ascii="宋体" w:hAnsi="宋体" w:eastAsia="宋体" w:cs="宋体"/>
      <w:spacing w:val="14"/>
      <w:kern w:val="24"/>
      <w:sz w:val="24"/>
      <w:szCs w:val="24"/>
      <w:lang w:val="en-US" w:eastAsia="zh-CN"/>
    </w:rPr>
  </w:style>
  <w:style w:type="character" w:customStyle="1" w:styleId="75">
    <w:name w:val="文档结构图 Char"/>
    <w:link w:val="16"/>
    <w:qFormat/>
    <w:locked/>
    <w:uiPriority w:val="99"/>
    <w:rPr>
      <w:rFonts w:eastAsia="宋体"/>
      <w:kern w:val="2"/>
      <w:sz w:val="21"/>
      <w:lang w:val="en-US" w:eastAsia="zh-CN"/>
    </w:rPr>
  </w:style>
  <w:style w:type="character" w:customStyle="1" w:styleId="76">
    <w:name w:val="批注文字 Char1"/>
    <w:link w:val="18"/>
    <w:qFormat/>
    <w:locked/>
    <w:uiPriority w:val="99"/>
    <w:rPr>
      <w:rFonts w:ascii="宋体" w:hAnsi="宋体" w:eastAsia="宋体" w:cs="宋体"/>
      <w:kern w:val="2"/>
      <w:sz w:val="21"/>
      <w:szCs w:val="21"/>
      <w:lang w:val="en-US" w:eastAsia="zh-CN"/>
    </w:rPr>
  </w:style>
  <w:style w:type="character" w:customStyle="1" w:styleId="77">
    <w:name w:val="正文文本 3 Char"/>
    <w:link w:val="19"/>
    <w:qFormat/>
    <w:locked/>
    <w:uiPriority w:val="99"/>
    <w:rPr>
      <w:rFonts w:eastAsia="宋体"/>
      <w:sz w:val="16"/>
    </w:rPr>
  </w:style>
  <w:style w:type="character" w:customStyle="1" w:styleId="78">
    <w:name w:val="正文文本 Char2"/>
    <w:link w:val="2"/>
    <w:qFormat/>
    <w:locked/>
    <w:uiPriority w:val="99"/>
    <w:rPr>
      <w:rFonts w:ascii="宋体" w:hAnsi="宋体" w:eastAsia="宋体" w:cs="宋体"/>
      <w:lang w:val="en-US" w:eastAsia="zh-CN"/>
    </w:rPr>
  </w:style>
  <w:style w:type="character" w:customStyle="1" w:styleId="79">
    <w:name w:val="正文文本缩进 Char2"/>
    <w:link w:val="20"/>
    <w:qFormat/>
    <w:locked/>
    <w:uiPriority w:val="99"/>
    <w:rPr>
      <w:rFonts w:eastAsia="方正书宋简体"/>
      <w:kern w:val="2"/>
      <w:sz w:val="24"/>
      <w:lang w:val="en-US" w:eastAsia="zh-CN"/>
    </w:rPr>
  </w:style>
  <w:style w:type="character" w:customStyle="1" w:styleId="80">
    <w:name w:val="日期 Char"/>
    <w:link w:val="26"/>
    <w:qFormat/>
    <w:locked/>
    <w:uiPriority w:val="99"/>
    <w:rPr>
      <w:rFonts w:ascii="宋体" w:cs="Times New Roman"/>
      <w:sz w:val="24"/>
    </w:rPr>
  </w:style>
  <w:style w:type="character" w:customStyle="1" w:styleId="81">
    <w:name w:val="正文文本缩进 2 Char"/>
    <w:link w:val="27"/>
    <w:qFormat/>
    <w:locked/>
    <w:uiPriority w:val="99"/>
    <w:rPr>
      <w:rFonts w:ascii="宋体" w:eastAsia="宋体"/>
      <w:kern w:val="2"/>
      <w:sz w:val="24"/>
      <w:lang w:val="en-US" w:eastAsia="zh-CN"/>
    </w:rPr>
  </w:style>
  <w:style w:type="character" w:customStyle="1" w:styleId="82">
    <w:name w:val="批注框文本 Char1"/>
    <w:link w:val="28"/>
    <w:qFormat/>
    <w:locked/>
    <w:uiPriority w:val="99"/>
    <w:rPr>
      <w:rFonts w:ascii="宋体" w:hAnsi="宋体" w:eastAsia="宋体" w:cs="宋体"/>
      <w:kern w:val="2"/>
      <w:sz w:val="18"/>
      <w:szCs w:val="18"/>
      <w:lang w:val="en-US" w:eastAsia="zh-CN"/>
    </w:rPr>
  </w:style>
  <w:style w:type="character" w:customStyle="1" w:styleId="83">
    <w:name w:val="页脚 Char1"/>
    <w:link w:val="29"/>
    <w:qFormat/>
    <w:locked/>
    <w:uiPriority w:val="99"/>
    <w:rPr>
      <w:rFonts w:ascii="宋体" w:hAnsi="宋体" w:eastAsia="宋体" w:cs="宋体"/>
      <w:kern w:val="2"/>
      <w:sz w:val="18"/>
      <w:szCs w:val="18"/>
      <w:lang w:val="en-US" w:eastAsia="zh-CN"/>
    </w:rPr>
  </w:style>
  <w:style w:type="character" w:customStyle="1" w:styleId="84">
    <w:name w:val="页眉 Char1"/>
    <w:link w:val="31"/>
    <w:qFormat/>
    <w:locked/>
    <w:uiPriority w:val="99"/>
    <w:rPr>
      <w:rFonts w:ascii="宋体" w:hAnsi="宋体" w:eastAsia="宋体" w:cs="宋体"/>
      <w:kern w:val="2"/>
      <w:sz w:val="18"/>
      <w:szCs w:val="18"/>
      <w:lang w:val="en-US" w:eastAsia="zh-CN"/>
    </w:rPr>
  </w:style>
  <w:style w:type="character" w:customStyle="1" w:styleId="85">
    <w:name w:val="正文文本缩进 3 Char1"/>
    <w:link w:val="36"/>
    <w:qFormat/>
    <w:locked/>
    <w:uiPriority w:val="99"/>
    <w:rPr>
      <w:rFonts w:ascii="宋体" w:hAnsi="宋体" w:eastAsia="宋体" w:cs="宋体"/>
      <w:b/>
      <w:kern w:val="2"/>
      <w:sz w:val="24"/>
      <w:szCs w:val="24"/>
      <w:lang w:val="en-US" w:eastAsia="zh-CN"/>
    </w:rPr>
  </w:style>
  <w:style w:type="character" w:customStyle="1" w:styleId="86">
    <w:name w:val="正文文本 2 Char"/>
    <w:link w:val="40"/>
    <w:qFormat/>
    <w:locked/>
    <w:uiPriority w:val="99"/>
    <w:rPr>
      <w:rFonts w:eastAsia="宋体"/>
      <w:sz w:val="24"/>
    </w:rPr>
  </w:style>
  <w:style w:type="character" w:customStyle="1" w:styleId="87">
    <w:name w:val="HTML 预设格式 Char"/>
    <w:link w:val="41"/>
    <w:qFormat/>
    <w:locked/>
    <w:uiPriority w:val="99"/>
    <w:rPr>
      <w:rFonts w:ascii="Courier New" w:hAnsi="Courier New"/>
      <w:kern w:val="2"/>
    </w:rPr>
  </w:style>
  <w:style w:type="character" w:customStyle="1" w:styleId="88">
    <w:name w:val="批注主题 Char1"/>
    <w:link w:val="45"/>
    <w:qFormat/>
    <w:locked/>
    <w:uiPriority w:val="99"/>
    <w:rPr>
      <w:rFonts w:ascii="宋体" w:hAnsi="宋体" w:eastAsia="宋体" w:cs="宋体"/>
      <w:b/>
      <w:kern w:val="2"/>
      <w:sz w:val="21"/>
      <w:szCs w:val="21"/>
      <w:lang w:val="en-US" w:eastAsia="zh-CN"/>
    </w:rPr>
  </w:style>
  <w:style w:type="character" w:customStyle="1" w:styleId="89">
    <w:name w:val="正文首行缩进 Char"/>
    <w:link w:val="46"/>
    <w:qFormat/>
    <w:locked/>
    <w:uiPriority w:val="99"/>
    <w:rPr>
      <w:rFonts w:ascii="宋体" w:hAnsi="宋体" w:eastAsia="宋体" w:cs="宋体"/>
      <w:i/>
      <w:kern w:val="2"/>
      <w:sz w:val="24"/>
      <w:lang w:val="en-US" w:eastAsia="zh-CN"/>
    </w:rPr>
  </w:style>
  <w:style w:type="character" w:customStyle="1" w:styleId="90">
    <w:name w:val="正文文本 字符"/>
    <w:qFormat/>
    <w:locked/>
    <w:uiPriority w:val="99"/>
    <w:rPr>
      <w:rFonts w:ascii="宋体" w:hAnsi="宋体" w:eastAsia="宋体" w:cs="宋体"/>
      <w:lang w:val="en-US" w:eastAsia="zh-CN"/>
    </w:rPr>
  </w:style>
  <w:style w:type="character" w:customStyle="1" w:styleId="91">
    <w:name w:val="正文文本 Char"/>
    <w:qFormat/>
    <w:uiPriority w:val="0"/>
    <w:rPr>
      <w:rFonts w:eastAsia="宋体"/>
      <w:i/>
      <w:kern w:val="2"/>
      <w:sz w:val="18"/>
      <w:lang w:val="en-US" w:eastAsia="zh-CN"/>
    </w:rPr>
  </w:style>
  <w:style w:type="character" w:customStyle="1" w:styleId="92">
    <w:name w:val="List Paragraph Char"/>
    <w:link w:val="93"/>
    <w:qFormat/>
    <w:locked/>
    <w:uiPriority w:val="0"/>
    <w:rPr>
      <w:rFonts w:ascii="Calibri" w:hAnsi="Calibri" w:eastAsia="宋体"/>
      <w:kern w:val="2"/>
      <w:sz w:val="22"/>
      <w:lang w:val="en-US" w:eastAsia="zh-CN"/>
    </w:rPr>
  </w:style>
  <w:style w:type="paragraph" w:customStyle="1" w:styleId="93">
    <w:name w:val="列出段落1"/>
    <w:basedOn w:val="1"/>
    <w:link w:val="92"/>
    <w:qFormat/>
    <w:uiPriority w:val="0"/>
    <w:pPr>
      <w:ind w:firstLine="420" w:firstLineChars="200"/>
    </w:pPr>
    <w:rPr>
      <w:rFonts w:ascii="Calibri" w:hAnsi="Calibri"/>
      <w:sz w:val="22"/>
    </w:rPr>
  </w:style>
  <w:style w:type="character" w:customStyle="1" w:styleId="94">
    <w:name w:val="无间距字符"/>
    <w:link w:val="95"/>
    <w:qFormat/>
    <w:locked/>
    <w:uiPriority w:val="0"/>
    <w:rPr>
      <w:rFonts w:ascii="Calibri" w:hAnsi="Calibri"/>
      <w:sz w:val="22"/>
      <w:lang w:val="en-US" w:eastAsia="zh-CN" w:bidi="ar-SA"/>
    </w:rPr>
  </w:style>
  <w:style w:type="paragraph" w:customStyle="1" w:styleId="95">
    <w:name w:val="无间距"/>
    <w:link w:val="94"/>
    <w:qFormat/>
    <w:uiPriority w:val="0"/>
    <w:rPr>
      <w:rFonts w:ascii="Calibri" w:hAnsi="Calibri" w:eastAsia="宋体" w:cs="Times New Roman"/>
      <w:sz w:val="22"/>
      <w:lang w:val="en-US" w:eastAsia="zh-CN" w:bidi="ar-SA"/>
    </w:rPr>
  </w:style>
  <w:style w:type="character" w:customStyle="1" w:styleId="96">
    <w:name w:val="日期 字符1"/>
    <w:semiHidden/>
    <w:qFormat/>
    <w:uiPriority w:val="99"/>
    <w:rPr>
      <w:kern w:val="2"/>
      <w:sz w:val="21"/>
    </w:rPr>
  </w:style>
  <w:style w:type="character" w:customStyle="1" w:styleId="97">
    <w:name w:val="正文文本 字符1"/>
    <w:semiHidden/>
    <w:qFormat/>
    <w:uiPriority w:val="99"/>
    <w:rPr>
      <w:kern w:val="2"/>
      <w:sz w:val="21"/>
    </w:rPr>
  </w:style>
  <w:style w:type="character" w:customStyle="1" w:styleId="98">
    <w:name w:val="纯文本 Char"/>
    <w:qFormat/>
    <w:uiPriority w:val="0"/>
    <w:rPr>
      <w:rFonts w:ascii="宋体" w:hAnsi="宋体" w:eastAsia="宋体"/>
      <w:color w:val="000000"/>
      <w:sz w:val="24"/>
      <w:lang w:val="en-US" w:eastAsia="zh-CN"/>
    </w:rPr>
  </w:style>
  <w:style w:type="character" w:customStyle="1" w:styleId="99">
    <w:name w:val="纯文本 Char2"/>
    <w:qFormat/>
    <w:uiPriority w:val="0"/>
    <w:rPr>
      <w:rFonts w:ascii="宋体" w:hAnsi="宋体" w:eastAsia="宋体"/>
      <w:color w:val="000000"/>
      <w:sz w:val="24"/>
      <w:lang w:val="en-US" w:eastAsia="zh-CN"/>
    </w:rPr>
  </w:style>
  <w:style w:type="character" w:customStyle="1" w:styleId="100">
    <w:name w:val="中等深浅网格 1 - 强调文字颜色 2 Char"/>
    <w:link w:val="101"/>
    <w:qFormat/>
    <w:locked/>
    <w:uiPriority w:val="34"/>
    <w:rPr>
      <w:rFonts w:ascii="Calibri" w:hAnsi="Calibri"/>
      <w:kern w:val="2"/>
      <w:sz w:val="22"/>
    </w:rPr>
  </w:style>
  <w:style w:type="paragraph" w:customStyle="1" w:styleId="101">
    <w:name w:val="中等深浅网格 1 - 强调文字颜色 21"/>
    <w:basedOn w:val="1"/>
    <w:link w:val="100"/>
    <w:qFormat/>
    <w:uiPriority w:val="34"/>
    <w:pPr>
      <w:ind w:firstLine="420" w:firstLineChars="200"/>
    </w:pPr>
    <w:rPr>
      <w:rFonts w:ascii="Calibri" w:hAnsi="Calibri"/>
      <w:sz w:val="22"/>
    </w:rPr>
  </w:style>
  <w:style w:type="character" w:customStyle="1" w:styleId="102">
    <w:name w:val="纯文本 Char1"/>
    <w:qFormat/>
    <w:locked/>
    <w:uiPriority w:val="99"/>
    <w:rPr>
      <w:rFonts w:ascii="宋体" w:hAnsi="Courier New" w:eastAsia="宋体" w:cs="宋体"/>
      <w:lang w:val="en-US" w:eastAsia="zh-CN"/>
    </w:rPr>
  </w:style>
  <w:style w:type="character" w:customStyle="1" w:styleId="103">
    <w:name w:val="页眉 Char"/>
    <w:qFormat/>
    <w:uiPriority w:val="99"/>
    <w:rPr>
      <w:rFonts w:eastAsia="宋体"/>
      <w:kern w:val="2"/>
      <w:sz w:val="18"/>
      <w:lang w:val="en-US" w:eastAsia="zh-CN"/>
    </w:rPr>
  </w:style>
  <w:style w:type="character" w:customStyle="1" w:styleId="104">
    <w:name w:val="样式2 Char"/>
    <w:link w:val="105"/>
    <w:qFormat/>
    <w:locked/>
    <w:uiPriority w:val="0"/>
    <w:rPr>
      <w:rFonts w:ascii="黑体" w:hAnsi="黑体" w:eastAsia="黑体"/>
      <w:color w:val="FF0000"/>
      <w:kern w:val="2"/>
      <w:sz w:val="32"/>
      <w:lang w:val="en-US" w:eastAsia="zh-CN"/>
    </w:rPr>
  </w:style>
  <w:style w:type="paragraph" w:customStyle="1" w:styleId="105">
    <w:name w:val="样式2"/>
    <w:basedOn w:val="5"/>
    <w:link w:val="104"/>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06">
    <w:name w:val="标题2正文 Char Char"/>
    <w:link w:val="107"/>
    <w:qFormat/>
    <w:locked/>
    <w:uiPriority w:val="0"/>
    <w:rPr>
      <w:rFonts w:eastAsia="宋体"/>
      <w:sz w:val="24"/>
    </w:rPr>
  </w:style>
  <w:style w:type="paragraph" w:customStyle="1" w:styleId="107">
    <w:name w:val="标题2正文 Char"/>
    <w:basedOn w:val="1"/>
    <w:link w:val="106"/>
    <w:qFormat/>
    <w:uiPriority w:val="0"/>
    <w:pPr>
      <w:spacing w:beforeLines="50" w:afterLines="50"/>
      <w:ind w:right="38" w:rightChars="18" w:firstLine="420"/>
    </w:pPr>
    <w:rPr>
      <w:kern w:val="0"/>
      <w:sz w:val="24"/>
    </w:rPr>
  </w:style>
  <w:style w:type="character" w:customStyle="1" w:styleId="108">
    <w:name w:val="正文缩进 Char"/>
    <w:qFormat/>
    <w:uiPriority w:val="0"/>
    <w:rPr>
      <w:rFonts w:eastAsia="宋体"/>
      <w:kern w:val="2"/>
      <w:sz w:val="24"/>
      <w:lang w:val="en-US" w:eastAsia="zh-CN"/>
    </w:rPr>
  </w:style>
  <w:style w:type="character" w:customStyle="1" w:styleId="109">
    <w:name w:val="批注框文本 字符1"/>
    <w:semiHidden/>
    <w:qFormat/>
    <w:uiPriority w:val="99"/>
    <w:rPr>
      <w:kern w:val="2"/>
      <w:sz w:val="18"/>
      <w:szCs w:val="18"/>
    </w:rPr>
  </w:style>
  <w:style w:type="character" w:customStyle="1" w:styleId="110">
    <w:name w:val="apple-converted-space"/>
    <w:qFormat/>
    <w:uiPriority w:val="0"/>
    <w:rPr>
      <w:rFonts w:cs="Times New Roman"/>
    </w:rPr>
  </w:style>
  <w:style w:type="character" w:customStyle="1" w:styleId="111">
    <w:name w:val="页脚 Char"/>
    <w:qFormat/>
    <w:uiPriority w:val="99"/>
    <w:rPr>
      <w:rFonts w:eastAsia="宋体"/>
      <w:kern w:val="2"/>
      <w:sz w:val="18"/>
      <w:lang w:val="en-US" w:eastAsia="zh-CN"/>
    </w:rPr>
  </w:style>
  <w:style w:type="character" w:customStyle="1" w:styleId="112">
    <w:name w:val="正文文本 3 字符1"/>
    <w:semiHidden/>
    <w:qFormat/>
    <w:uiPriority w:val="99"/>
    <w:rPr>
      <w:kern w:val="2"/>
      <w:sz w:val="16"/>
      <w:szCs w:val="16"/>
    </w:rPr>
  </w:style>
  <w:style w:type="character" w:customStyle="1" w:styleId="113">
    <w:name w:val="font61"/>
    <w:qFormat/>
    <w:uiPriority w:val="0"/>
    <w:rPr>
      <w:rFonts w:ascii="Times New Roman" w:hAnsi="Times New Roman"/>
      <w:color w:val="000000"/>
      <w:sz w:val="20"/>
      <w:u w:val="none"/>
    </w:rPr>
  </w:style>
  <w:style w:type="character" w:customStyle="1" w:styleId="114">
    <w:name w:val="font01"/>
    <w:qFormat/>
    <w:uiPriority w:val="0"/>
    <w:rPr>
      <w:rFonts w:ascii="宋体" w:hAnsi="宋体" w:eastAsia="宋体"/>
      <w:color w:val="000000"/>
      <w:sz w:val="24"/>
      <w:u w:val="none"/>
    </w:rPr>
  </w:style>
  <w:style w:type="character" w:customStyle="1" w:styleId="115">
    <w:name w:val="日期 字符"/>
    <w:qFormat/>
    <w:locked/>
    <w:uiPriority w:val="99"/>
    <w:rPr>
      <w:rFonts w:ascii="宋体" w:cs="Times New Roman"/>
      <w:sz w:val="24"/>
    </w:rPr>
  </w:style>
  <w:style w:type="character" w:customStyle="1" w:styleId="116">
    <w:name w:val="纯文本 字符"/>
    <w:qFormat/>
    <w:locked/>
    <w:uiPriority w:val="0"/>
    <w:rPr>
      <w:rFonts w:ascii="宋体" w:hAnsi="Courier New" w:eastAsia="宋体" w:cs="宋体"/>
      <w:lang w:val="en-US" w:eastAsia="zh-CN"/>
    </w:rPr>
  </w:style>
  <w:style w:type="character" w:customStyle="1" w:styleId="117">
    <w:name w:val="标题 9 字符"/>
    <w:qFormat/>
    <w:locked/>
    <w:uiPriority w:val="9"/>
    <w:rPr>
      <w:rFonts w:ascii="Arial" w:hAnsi="Arial" w:eastAsia="黑体"/>
      <w:kern w:val="2"/>
      <w:sz w:val="21"/>
    </w:rPr>
  </w:style>
  <w:style w:type="character" w:customStyle="1" w:styleId="118">
    <w:name w:val="标题 6 字符"/>
    <w:qFormat/>
    <w:locked/>
    <w:uiPriority w:val="9"/>
    <w:rPr>
      <w:rFonts w:ascii="Cambria" w:hAnsi="Cambria" w:eastAsia="宋体"/>
      <w:b/>
      <w:kern w:val="2"/>
      <w:sz w:val="24"/>
      <w:lang w:val="en-US" w:eastAsia="zh-CN"/>
    </w:rPr>
  </w:style>
  <w:style w:type="character" w:customStyle="1" w:styleId="119">
    <w:name w:val="h6 Char"/>
    <w:qFormat/>
    <w:uiPriority w:val="0"/>
    <w:rPr>
      <w:rFonts w:ascii="Arial" w:hAnsi="Arial" w:eastAsia="宋体"/>
      <w:b/>
      <w:kern w:val="2"/>
      <w:sz w:val="24"/>
      <w:lang w:val="en-US" w:eastAsia="zh-CN"/>
    </w:rPr>
  </w:style>
  <w:style w:type="character" w:customStyle="1" w:styleId="120">
    <w:name w:val="文档结构图 字符"/>
    <w:qFormat/>
    <w:locked/>
    <w:uiPriority w:val="99"/>
    <w:rPr>
      <w:rFonts w:eastAsia="宋体"/>
      <w:kern w:val="2"/>
      <w:sz w:val="21"/>
      <w:lang w:val="en-US" w:eastAsia="zh-CN"/>
    </w:rPr>
  </w:style>
  <w:style w:type="character" w:customStyle="1" w:styleId="121">
    <w:name w:val="列出段落 字符"/>
    <w:qFormat/>
    <w:locked/>
    <w:uiPriority w:val="34"/>
    <w:rPr>
      <w:rFonts w:eastAsia="宋体"/>
      <w:kern w:val="2"/>
      <w:sz w:val="24"/>
      <w:lang w:val="en-US" w:eastAsia="zh-CN"/>
    </w:rPr>
  </w:style>
  <w:style w:type="character" w:customStyle="1" w:styleId="122">
    <w:name w:val="正文文本 3 字符"/>
    <w:qFormat/>
    <w:locked/>
    <w:uiPriority w:val="99"/>
    <w:rPr>
      <w:rFonts w:eastAsia="宋体"/>
      <w:sz w:val="16"/>
    </w:rPr>
  </w:style>
  <w:style w:type="character" w:customStyle="1" w:styleId="123">
    <w:name w:val="方案－正文 Char"/>
    <w:link w:val="124"/>
    <w:qFormat/>
    <w:locked/>
    <w:uiPriority w:val="0"/>
    <w:rPr>
      <w:rFonts w:ascii="仿宋_GB2312" w:hAnsi="宋体"/>
      <w:sz w:val="24"/>
    </w:rPr>
  </w:style>
  <w:style w:type="paragraph" w:customStyle="1" w:styleId="124">
    <w:name w:val="方案－正文"/>
    <w:basedOn w:val="1"/>
    <w:link w:val="123"/>
    <w:qFormat/>
    <w:uiPriority w:val="0"/>
    <w:pPr>
      <w:spacing w:line="360" w:lineRule="auto"/>
      <w:ind w:firstLine="480" w:firstLineChars="200"/>
    </w:pPr>
    <w:rPr>
      <w:rFonts w:ascii="仿宋_GB2312" w:hAnsi="宋体"/>
      <w:kern w:val="0"/>
      <w:sz w:val="24"/>
    </w:rPr>
  </w:style>
  <w:style w:type="character" w:customStyle="1" w:styleId="125">
    <w:name w:val="正文文本缩进 2 字符"/>
    <w:qFormat/>
    <w:locked/>
    <w:uiPriority w:val="99"/>
    <w:rPr>
      <w:rFonts w:ascii="宋体" w:eastAsia="宋体"/>
      <w:kern w:val="2"/>
      <w:sz w:val="24"/>
      <w:lang w:val="en-US" w:eastAsia="zh-CN"/>
    </w:rPr>
  </w:style>
  <w:style w:type="character" w:customStyle="1" w:styleId="126">
    <w:name w:val="标题 1 Char"/>
    <w:qFormat/>
    <w:uiPriority w:val="0"/>
    <w:rPr>
      <w:rFonts w:ascii="宋体" w:eastAsia="宋体"/>
      <w:b/>
      <w:kern w:val="2"/>
      <w:sz w:val="28"/>
      <w:lang w:val="en-US" w:eastAsia="zh-CN"/>
    </w:rPr>
  </w:style>
  <w:style w:type="character" w:customStyle="1" w:styleId="127">
    <w:name w:val="批注文字 Char"/>
    <w:qFormat/>
    <w:locked/>
    <w:uiPriority w:val="0"/>
    <w:rPr>
      <w:rFonts w:cs="Times New Roman"/>
      <w:kern w:val="2"/>
      <w:sz w:val="21"/>
    </w:rPr>
  </w:style>
  <w:style w:type="character" w:customStyle="1" w:styleId="128">
    <w:name w:val="正文缩进 字符"/>
    <w:qFormat/>
    <w:locked/>
    <w:uiPriority w:val="0"/>
    <w:rPr>
      <w:rFonts w:ascii="宋体" w:hAnsi="宋体" w:eastAsia="宋体" w:cs="宋体"/>
      <w:spacing w:val="14"/>
      <w:kern w:val="24"/>
      <w:sz w:val="24"/>
      <w:szCs w:val="24"/>
      <w:lang w:val="en-US" w:eastAsia="zh-CN"/>
    </w:rPr>
  </w:style>
  <w:style w:type="character" w:customStyle="1" w:styleId="129">
    <w:name w:val="批注框文本 Char"/>
    <w:semiHidden/>
    <w:qFormat/>
    <w:locked/>
    <w:uiPriority w:val="99"/>
    <w:rPr>
      <w:rFonts w:cs="Times New Roman"/>
      <w:kern w:val="2"/>
      <w:sz w:val="18"/>
      <w:szCs w:val="18"/>
    </w:rPr>
  </w:style>
  <w:style w:type="character" w:customStyle="1" w:styleId="130">
    <w:name w:val="font11"/>
    <w:qFormat/>
    <w:uiPriority w:val="0"/>
    <w:rPr>
      <w:rFonts w:ascii="Times New Roman" w:hAnsi="Times New Roman"/>
      <w:color w:val="000000"/>
      <w:sz w:val="24"/>
      <w:u w:val="none"/>
    </w:rPr>
  </w:style>
  <w:style w:type="character" w:customStyle="1" w:styleId="131">
    <w:name w:val="批注文字 字符"/>
    <w:qFormat/>
    <w:locked/>
    <w:uiPriority w:val="99"/>
    <w:rPr>
      <w:rFonts w:ascii="宋体" w:hAnsi="宋体" w:eastAsia="宋体" w:cs="宋体"/>
      <w:kern w:val="2"/>
      <w:sz w:val="21"/>
      <w:szCs w:val="21"/>
      <w:lang w:val="en-US" w:eastAsia="zh-CN"/>
    </w:rPr>
  </w:style>
  <w:style w:type="character" w:customStyle="1" w:styleId="132">
    <w:name w:val="批注主题 字符"/>
    <w:qFormat/>
    <w:locked/>
    <w:uiPriority w:val="99"/>
    <w:rPr>
      <w:rFonts w:ascii="宋体" w:hAnsi="宋体" w:eastAsia="宋体" w:cs="宋体"/>
      <w:b/>
      <w:kern w:val="2"/>
      <w:sz w:val="21"/>
      <w:szCs w:val="21"/>
      <w:lang w:val="en-US" w:eastAsia="zh-CN"/>
    </w:rPr>
  </w:style>
  <w:style w:type="character" w:customStyle="1" w:styleId="133">
    <w:name w:val="批注文字 字符1"/>
    <w:semiHidden/>
    <w:qFormat/>
    <w:uiPriority w:val="99"/>
    <w:rPr>
      <w:kern w:val="2"/>
      <w:sz w:val="21"/>
    </w:rPr>
  </w:style>
  <w:style w:type="character" w:customStyle="1" w:styleId="134">
    <w:name w:val="列出段落 Char"/>
    <w:link w:val="135"/>
    <w:qFormat/>
    <w:locked/>
    <w:uiPriority w:val="34"/>
    <w:rPr>
      <w:rFonts w:eastAsia="宋体"/>
      <w:kern w:val="2"/>
      <w:sz w:val="24"/>
      <w:lang w:val="en-US" w:eastAsia="zh-CN"/>
    </w:rPr>
  </w:style>
  <w:style w:type="paragraph" w:styleId="135">
    <w:name w:val="List Paragraph"/>
    <w:basedOn w:val="1"/>
    <w:link w:val="134"/>
    <w:qFormat/>
    <w:uiPriority w:val="34"/>
    <w:pPr>
      <w:ind w:firstLine="420" w:firstLineChars="200"/>
    </w:pPr>
    <w:rPr>
      <w:sz w:val="24"/>
    </w:rPr>
  </w:style>
  <w:style w:type="character" w:customStyle="1" w:styleId="136">
    <w:name w:val="正文文本缩进 Char1"/>
    <w:qFormat/>
    <w:uiPriority w:val="0"/>
    <w:rPr>
      <w:rFonts w:eastAsia="方正书宋简体"/>
      <w:kern w:val="2"/>
      <w:sz w:val="24"/>
      <w:lang w:val="en-US" w:eastAsia="zh-CN"/>
    </w:rPr>
  </w:style>
  <w:style w:type="character" w:customStyle="1" w:styleId="137">
    <w:name w:val="hui3"/>
    <w:qFormat/>
    <w:uiPriority w:val="0"/>
    <w:rPr>
      <w:color w:val="333333"/>
    </w:rPr>
  </w:style>
  <w:style w:type="character" w:customStyle="1" w:styleId="138">
    <w:name w:val="纯文本 Char Char"/>
    <w:link w:val="139"/>
    <w:qFormat/>
    <w:uiPriority w:val="0"/>
    <w:rPr>
      <w:rFonts w:ascii="宋体" w:hAnsi="Courier New"/>
      <w:kern w:val="2"/>
      <w:sz w:val="21"/>
    </w:rPr>
  </w:style>
  <w:style w:type="paragraph" w:customStyle="1" w:styleId="139">
    <w:name w:val="纯文本1"/>
    <w:basedOn w:val="140"/>
    <w:link w:val="138"/>
    <w:qFormat/>
    <w:uiPriority w:val="0"/>
    <w:rPr>
      <w:rFonts w:ascii="宋体" w:hAnsi="Courier New"/>
    </w:rPr>
  </w:style>
  <w:style w:type="paragraph" w:customStyle="1" w:styleId="140">
    <w:name w:val="正文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1">
    <w:name w:val="NormalCharacter"/>
    <w:semiHidden/>
    <w:qFormat/>
    <w:uiPriority w:val="0"/>
  </w:style>
  <w:style w:type="character" w:customStyle="1" w:styleId="142">
    <w:name w:val="页脚 字符"/>
    <w:qFormat/>
    <w:locked/>
    <w:uiPriority w:val="99"/>
    <w:rPr>
      <w:rFonts w:ascii="宋体" w:hAnsi="宋体" w:eastAsia="宋体" w:cs="宋体"/>
      <w:kern w:val="2"/>
      <w:sz w:val="18"/>
      <w:szCs w:val="18"/>
      <w:lang w:val="en-US" w:eastAsia="zh-CN"/>
    </w:rPr>
  </w:style>
  <w:style w:type="character" w:customStyle="1" w:styleId="143">
    <w:name w:val="正文文本 2 字符"/>
    <w:qFormat/>
    <w:locked/>
    <w:uiPriority w:val="99"/>
    <w:rPr>
      <w:rFonts w:eastAsia="宋体"/>
      <w:sz w:val="24"/>
    </w:rPr>
  </w:style>
  <w:style w:type="character" w:customStyle="1" w:styleId="144">
    <w:name w:val="批注主题 字符1"/>
    <w:semiHidden/>
    <w:qFormat/>
    <w:uiPriority w:val="99"/>
    <w:rPr>
      <w:b/>
      <w:bCs/>
      <w:kern w:val="2"/>
      <w:sz w:val="21"/>
    </w:rPr>
  </w:style>
  <w:style w:type="character" w:customStyle="1" w:styleId="145">
    <w:name w:val="页眉 字符1"/>
    <w:semiHidden/>
    <w:qFormat/>
    <w:uiPriority w:val="99"/>
    <w:rPr>
      <w:kern w:val="2"/>
      <w:sz w:val="18"/>
      <w:szCs w:val="18"/>
    </w:rPr>
  </w:style>
  <w:style w:type="character" w:customStyle="1" w:styleId="146">
    <w:name w:val="正文文本缩进 2 字符1"/>
    <w:semiHidden/>
    <w:qFormat/>
    <w:uiPriority w:val="99"/>
    <w:rPr>
      <w:kern w:val="2"/>
      <w:sz w:val="21"/>
    </w:rPr>
  </w:style>
  <w:style w:type="character" w:customStyle="1" w:styleId="147">
    <w:name w:val="正文首行缩进 字符"/>
    <w:qFormat/>
    <w:locked/>
    <w:uiPriority w:val="99"/>
    <w:rPr>
      <w:rFonts w:ascii="宋体" w:hAnsi="宋体" w:eastAsia="宋体" w:cs="宋体"/>
      <w:i/>
      <w:kern w:val="2"/>
      <w:sz w:val="24"/>
      <w:lang w:val="en-US" w:eastAsia="zh-CN"/>
    </w:rPr>
  </w:style>
  <w:style w:type="character" w:customStyle="1" w:styleId="148">
    <w:name w:val="正文文本缩进 字符1"/>
    <w:qFormat/>
    <w:locked/>
    <w:uiPriority w:val="99"/>
    <w:rPr>
      <w:rFonts w:eastAsia="方正书宋简体"/>
      <w:kern w:val="2"/>
      <w:sz w:val="24"/>
      <w:lang w:val="en-US" w:eastAsia="zh-CN"/>
    </w:rPr>
  </w:style>
  <w:style w:type="character" w:customStyle="1" w:styleId="149">
    <w:name w:val="纯文本 字符1"/>
    <w:semiHidden/>
    <w:qFormat/>
    <w:uiPriority w:val="99"/>
    <w:rPr>
      <w:rFonts w:ascii="等线" w:hAnsi="Courier New" w:eastAsia="等线" w:cs="Courier New"/>
      <w:kern w:val="2"/>
      <w:sz w:val="21"/>
    </w:rPr>
  </w:style>
  <w:style w:type="character" w:customStyle="1" w:styleId="150">
    <w:name w:val="纯文本 字符2"/>
    <w:qFormat/>
    <w:locked/>
    <w:uiPriority w:val="99"/>
    <w:rPr>
      <w:rFonts w:ascii="宋体" w:hAnsi="Courier New" w:cs="宋体"/>
    </w:rPr>
  </w:style>
  <w:style w:type="character" w:customStyle="1" w:styleId="151">
    <w:name w:val="HTML 预设格式 字符"/>
    <w:qFormat/>
    <w:locked/>
    <w:uiPriority w:val="99"/>
    <w:rPr>
      <w:rFonts w:ascii="Courier New" w:hAnsi="Courier New"/>
      <w:kern w:val="2"/>
    </w:rPr>
  </w:style>
  <w:style w:type="character" w:customStyle="1" w:styleId="152">
    <w:name w:val="标题 5 字符"/>
    <w:qFormat/>
    <w:locked/>
    <w:uiPriority w:val="9"/>
    <w:rPr>
      <w:rFonts w:eastAsia="宋体"/>
      <w:b/>
      <w:kern w:val="2"/>
      <w:sz w:val="28"/>
      <w:lang w:val="en-US" w:eastAsia="zh-CN"/>
    </w:rPr>
  </w:style>
  <w:style w:type="character" w:customStyle="1" w:styleId="153">
    <w:name w:val="金保标题3 Char"/>
    <w:link w:val="154"/>
    <w:qFormat/>
    <w:locked/>
    <w:uiPriority w:val="0"/>
    <w:rPr>
      <w:rFonts w:ascii="楷体" w:hAnsi="楷体" w:eastAsia="楷体"/>
      <w:b/>
      <w:sz w:val="28"/>
    </w:rPr>
  </w:style>
  <w:style w:type="paragraph" w:customStyle="1" w:styleId="154">
    <w:name w:val="金保标题3"/>
    <w:basedOn w:val="5"/>
    <w:next w:val="1"/>
    <w:link w:val="153"/>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5">
    <w:name w:val="文档结构图 字符1"/>
    <w:semiHidden/>
    <w:qFormat/>
    <w:uiPriority w:val="99"/>
    <w:rPr>
      <w:rFonts w:ascii="Microsoft YaHei UI" w:eastAsia="Microsoft YaHei UI"/>
      <w:kern w:val="2"/>
      <w:sz w:val="18"/>
      <w:szCs w:val="18"/>
    </w:rPr>
  </w:style>
  <w:style w:type="character" w:customStyle="1" w:styleId="156">
    <w:name w:val="页脚 字符1"/>
    <w:semiHidden/>
    <w:qFormat/>
    <w:uiPriority w:val="99"/>
    <w:rPr>
      <w:kern w:val="2"/>
      <w:sz w:val="18"/>
      <w:szCs w:val="18"/>
    </w:rPr>
  </w:style>
  <w:style w:type="character" w:customStyle="1" w:styleId="157">
    <w:name w:val="HTML 预设格式 字符1"/>
    <w:semiHidden/>
    <w:qFormat/>
    <w:uiPriority w:val="99"/>
    <w:rPr>
      <w:rFonts w:ascii="Courier New" w:hAnsi="Courier New" w:cs="Courier New"/>
      <w:kern w:val="2"/>
    </w:rPr>
  </w:style>
  <w:style w:type="character" w:customStyle="1" w:styleId="158">
    <w:name w:val="批注框文本 字符"/>
    <w:qFormat/>
    <w:locked/>
    <w:uiPriority w:val="99"/>
    <w:rPr>
      <w:rFonts w:ascii="宋体" w:hAnsi="宋体" w:eastAsia="宋体" w:cs="宋体"/>
      <w:kern w:val="2"/>
      <w:sz w:val="18"/>
      <w:szCs w:val="18"/>
      <w:lang w:val="en-US" w:eastAsia="zh-CN"/>
    </w:rPr>
  </w:style>
  <w:style w:type="character" w:customStyle="1" w:styleId="159">
    <w:name w:val="标题 8 字符"/>
    <w:qFormat/>
    <w:locked/>
    <w:uiPriority w:val="9"/>
    <w:rPr>
      <w:rFonts w:ascii="Arial" w:hAnsi="Arial" w:eastAsia="黑体"/>
      <w:kern w:val="2"/>
      <w:sz w:val="24"/>
    </w:rPr>
  </w:style>
  <w:style w:type="character" w:customStyle="1" w:styleId="160">
    <w:name w:val="正文文本缩进 3 Char"/>
    <w:qFormat/>
    <w:uiPriority w:val="0"/>
    <w:rPr>
      <w:rFonts w:ascii="宋体" w:eastAsia="宋体"/>
      <w:kern w:val="2"/>
      <w:sz w:val="24"/>
      <w:lang w:val="en-US" w:eastAsia="zh-CN"/>
    </w:rPr>
  </w:style>
  <w:style w:type="character" w:customStyle="1" w:styleId="161">
    <w:name w:val="正文文本缩进 字符2"/>
    <w:semiHidden/>
    <w:qFormat/>
    <w:uiPriority w:val="99"/>
    <w:rPr>
      <w:kern w:val="2"/>
      <w:sz w:val="21"/>
    </w:rPr>
  </w:style>
  <w:style w:type="character" w:customStyle="1" w:styleId="162">
    <w:name w:val="标题 3 字符"/>
    <w:qFormat/>
    <w:locked/>
    <w:uiPriority w:val="9"/>
    <w:rPr>
      <w:rFonts w:ascii="宋体" w:hAnsi="宋体" w:eastAsia="宋体" w:cs="宋体"/>
      <w:b/>
      <w:kern w:val="2"/>
      <w:sz w:val="32"/>
      <w:szCs w:val="32"/>
      <w:lang w:val="en-US" w:eastAsia="zh-CN"/>
    </w:rPr>
  </w:style>
  <w:style w:type="character" w:customStyle="1" w:styleId="163">
    <w:name w:val="标题 4 字符"/>
    <w:qFormat/>
    <w:locked/>
    <w:uiPriority w:val="9"/>
    <w:rPr>
      <w:rFonts w:ascii="Arial" w:hAnsi="Arial" w:eastAsia="黑体"/>
      <w:b/>
      <w:kern w:val="2"/>
      <w:sz w:val="28"/>
      <w:lang w:val="en-US" w:eastAsia="zh-CN"/>
    </w:rPr>
  </w:style>
  <w:style w:type="character" w:customStyle="1" w:styleId="164">
    <w:name w:val="样式4 Char"/>
    <w:link w:val="165"/>
    <w:qFormat/>
    <w:locked/>
    <w:uiPriority w:val="0"/>
    <w:rPr>
      <w:rFonts w:ascii="黑体" w:hAnsi="黑体" w:eastAsia="黑体"/>
      <w:kern w:val="44"/>
      <w:sz w:val="44"/>
      <w:lang w:val="en-US" w:eastAsia="zh-CN"/>
    </w:rPr>
  </w:style>
  <w:style w:type="paragraph" w:customStyle="1" w:styleId="165">
    <w:name w:val="样式4"/>
    <w:basedOn w:val="3"/>
    <w:link w:val="164"/>
    <w:qFormat/>
    <w:uiPriority w:val="0"/>
    <w:pPr>
      <w:keepLines/>
      <w:spacing w:line="360" w:lineRule="auto"/>
    </w:pPr>
    <w:rPr>
      <w:rFonts w:ascii="黑体" w:hAnsi="黑体" w:eastAsia="黑体"/>
      <w:b w:val="0"/>
      <w:szCs w:val="20"/>
    </w:rPr>
  </w:style>
  <w:style w:type="character" w:customStyle="1" w:styleId="166">
    <w:name w:val="正文文本缩进 字符"/>
    <w:qFormat/>
    <w:uiPriority w:val="0"/>
    <w:rPr>
      <w:rFonts w:ascii="Calibri" w:hAnsi="Calibri" w:cs="Calibri"/>
    </w:rPr>
  </w:style>
  <w:style w:type="character" w:customStyle="1" w:styleId="167">
    <w:name w:val="表格用 Char Char"/>
    <w:link w:val="168"/>
    <w:qFormat/>
    <w:locked/>
    <w:uiPriority w:val="0"/>
    <w:rPr>
      <w:rFonts w:ascii="宋体" w:hAnsi="宋体" w:cs="宋体"/>
      <w:szCs w:val="24"/>
    </w:rPr>
  </w:style>
  <w:style w:type="paragraph" w:customStyle="1" w:styleId="168">
    <w:name w:val="表格用"/>
    <w:basedOn w:val="1"/>
    <w:link w:val="167"/>
    <w:qFormat/>
    <w:uiPriority w:val="0"/>
    <w:pPr>
      <w:widowControl/>
      <w:spacing w:line="360" w:lineRule="auto"/>
      <w:jc w:val="left"/>
    </w:pPr>
    <w:rPr>
      <w:rFonts w:ascii="宋体" w:hAnsi="宋体"/>
      <w:kern w:val="0"/>
      <w:sz w:val="20"/>
      <w:szCs w:val="24"/>
    </w:rPr>
  </w:style>
  <w:style w:type="character" w:customStyle="1" w:styleId="169">
    <w:name w:val="批注主题 Char"/>
    <w:semiHidden/>
    <w:qFormat/>
    <w:locked/>
    <w:uiPriority w:val="0"/>
    <w:rPr>
      <w:rFonts w:cs="Times New Roman"/>
      <w:b/>
      <w:bCs/>
      <w:kern w:val="2"/>
      <w:sz w:val="21"/>
    </w:rPr>
  </w:style>
  <w:style w:type="character" w:customStyle="1" w:styleId="170">
    <w:name w:val="标题 1 字符"/>
    <w:qFormat/>
    <w:locked/>
    <w:uiPriority w:val="9"/>
    <w:rPr>
      <w:rFonts w:ascii="宋体" w:hAnsi="宋体" w:eastAsia="宋体" w:cs="宋体"/>
      <w:b/>
      <w:kern w:val="44"/>
      <w:sz w:val="44"/>
      <w:szCs w:val="44"/>
      <w:lang w:val="en-US" w:eastAsia="zh-CN"/>
    </w:rPr>
  </w:style>
  <w:style w:type="character" w:customStyle="1" w:styleId="171">
    <w:name w:val="标题 1 Char Char"/>
    <w:qFormat/>
    <w:uiPriority w:val="0"/>
    <w:rPr>
      <w:rFonts w:eastAsia="宋体"/>
      <w:b/>
      <w:spacing w:val="-2"/>
      <w:sz w:val="24"/>
      <w:lang w:val="en-US" w:eastAsia="zh-CN"/>
    </w:rPr>
  </w:style>
  <w:style w:type="character" w:customStyle="1" w:styleId="172">
    <w:name w:val="正文文本 Char1"/>
    <w:qFormat/>
    <w:uiPriority w:val="0"/>
    <w:rPr>
      <w:rFonts w:ascii="Times New Roman" w:hAnsi="Times New Roman" w:eastAsia="宋体" w:cs="Times New Roman"/>
      <w:sz w:val="24"/>
      <w:szCs w:val="24"/>
    </w:rPr>
  </w:style>
  <w:style w:type="character" w:customStyle="1" w:styleId="173">
    <w:name w:val="正文文本缩进 Char"/>
    <w:qFormat/>
    <w:locked/>
    <w:uiPriority w:val="0"/>
    <w:rPr>
      <w:rFonts w:eastAsia="方正书宋简体"/>
      <w:kern w:val="2"/>
      <w:sz w:val="24"/>
      <w:lang w:val="en-US" w:eastAsia="zh-CN"/>
    </w:rPr>
  </w:style>
  <w:style w:type="character" w:customStyle="1" w:styleId="174">
    <w:name w:val="正文文本 2 字符1"/>
    <w:semiHidden/>
    <w:qFormat/>
    <w:uiPriority w:val="99"/>
    <w:rPr>
      <w:kern w:val="2"/>
      <w:sz w:val="21"/>
    </w:rPr>
  </w:style>
  <w:style w:type="character" w:customStyle="1" w:styleId="175">
    <w:name w:val="页眉 字符"/>
    <w:qFormat/>
    <w:locked/>
    <w:uiPriority w:val="99"/>
    <w:rPr>
      <w:rFonts w:ascii="宋体" w:hAnsi="宋体" w:eastAsia="宋体" w:cs="宋体"/>
      <w:kern w:val="2"/>
      <w:sz w:val="18"/>
      <w:szCs w:val="18"/>
      <w:lang w:val="en-US" w:eastAsia="zh-CN"/>
    </w:rPr>
  </w:style>
  <w:style w:type="character" w:customStyle="1" w:styleId="176">
    <w:name w:val="正文文本首行缩进 字符"/>
    <w:semiHidden/>
    <w:qFormat/>
    <w:uiPriority w:val="99"/>
  </w:style>
  <w:style w:type="character" w:customStyle="1" w:styleId="177">
    <w:name w:val="样式5 Char"/>
    <w:link w:val="178"/>
    <w:qFormat/>
    <w:locked/>
    <w:uiPriority w:val="0"/>
    <w:rPr>
      <w:rFonts w:eastAsia="宋体"/>
      <w:b/>
      <w:kern w:val="2"/>
      <w:sz w:val="28"/>
      <w:lang w:val="en-US" w:eastAsia="zh-CN"/>
    </w:rPr>
  </w:style>
  <w:style w:type="paragraph" w:customStyle="1" w:styleId="178">
    <w:name w:val="样式5"/>
    <w:basedOn w:val="1"/>
    <w:link w:val="177"/>
    <w:qFormat/>
    <w:uiPriority w:val="0"/>
    <w:pPr>
      <w:keepNext/>
      <w:keepLines/>
      <w:spacing w:before="280" w:after="290" w:line="376" w:lineRule="auto"/>
      <w:ind w:left="210" w:leftChars="100" w:right="210" w:rightChars="100"/>
      <w:outlineLvl w:val="4"/>
    </w:pPr>
    <w:rPr>
      <w:b/>
      <w:sz w:val="28"/>
    </w:rPr>
  </w:style>
  <w:style w:type="character" w:customStyle="1" w:styleId="179">
    <w:name w:val="样式1 Char"/>
    <w:link w:val="180"/>
    <w:qFormat/>
    <w:locked/>
    <w:uiPriority w:val="0"/>
    <w:rPr>
      <w:rFonts w:ascii="黑体" w:hAnsi="黑体" w:eastAsia="黑体"/>
      <w:b/>
      <w:kern w:val="2"/>
      <w:sz w:val="32"/>
    </w:rPr>
  </w:style>
  <w:style w:type="paragraph" w:customStyle="1" w:styleId="180">
    <w:name w:val="样式1"/>
    <w:basedOn w:val="4"/>
    <w:link w:val="179"/>
    <w:qFormat/>
    <w:uiPriority w:val="0"/>
    <w:pPr>
      <w:tabs>
        <w:tab w:val="clear" w:pos="578"/>
      </w:tabs>
      <w:spacing w:beforeLines="0" w:afterLines="0"/>
      <w:ind w:left="0" w:firstLine="0"/>
    </w:pPr>
    <w:rPr>
      <w:rFonts w:ascii="黑体" w:hAnsi="黑体" w:eastAsia="黑体"/>
      <w:b/>
      <w:sz w:val="32"/>
      <w:szCs w:val="20"/>
    </w:rPr>
  </w:style>
  <w:style w:type="character" w:customStyle="1" w:styleId="181">
    <w:name w:val="apple-style-span"/>
    <w:qFormat/>
    <w:uiPriority w:val="0"/>
    <w:rPr>
      <w:rFonts w:cs="Times New Roman"/>
    </w:rPr>
  </w:style>
  <w:style w:type="character" w:customStyle="1" w:styleId="182">
    <w:name w:val="标题 7 字符"/>
    <w:qFormat/>
    <w:locked/>
    <w:uiPriority w:val="9"/>
    <w:rPr>
      <w:b/>
      <w:kern w:val="2"/>
      <w:sz w:val="24"/>
    </w:rPr>
  </w:style>
  <w:style w:type="character" w:customStyle="1" w:styleId="183">
    <w:name w:val="_Style 173"/>
    <w:unhideWhenUsed/>
    <w:qFormat/>
    <w:uiPriority w:val="99"/>
    <w:rPr>
      <w:color w:val="605E5C"/>
      <w:shd w:val="clear" w:color="auto" w:fill="E1DFDD"/>
    </w:rPr>
  </w:style>
  <w:style w:type="character" w:customStyle="1" w:styleId="184">
    <w:name w:val="哈哈正文 Char"/>
    <w:link w:val="185"/>
    <w:qFormat/>
    <w:locked/>
    <w:uiPriority w:val="0"/>
    <w:rPr>
      <w:rFonts w:ascii="宋体" w:hAnsi="宋体" w:eastAsia="宋体"/>
      <w:kern w:val="2"/>
      <w:sz w:val="24"/>
      <w:lang w:val="en-US" w:eastAsia="zh-CN"/>
    </w:rPr>
  </w:style>
  <w:style w:type="paragraph" w:customStyle="1" w:styleId="185">
    <w:name w:val="哈哈正文"/>
    <w:basedOn w:val="1"/>
    <w:link w:val="184"/>
    <w:qFormat/>
    <w:uiPriority w:val="0"/>
    <w:pPr>
      <w:spacing w:line="360" w:lineRule="auto"/>
      <w:ind w:firstLine="200" w:firstLineChars="200"/>
    </w:pPr>
    <w:rPr>
      <w:rFonts w:ascii="宋体" w:hAnsi="宋体"/>
      <w:sz w:val="24"/>
    </w:rPr>
  </w:style>
  <w:style w:type="character" w:customStyle="1" w:styleId="186">
    <w:name w:val="标题 2 字符"/>
    <w:qFormat/>
    <w:locked/>
    <w:uiPriority w:val="9"/>
    <w:rPr>
      <w:rFonts w:ascii="Cambria" w:hAnsi="Cambria" w:eastAsia="宋体" w:cs="Cambria"/>
      <w:kern w:val="2"/>
      <w:sz w:val="21"/>
      <w:szCs w:val="21"/>
      <w:lang w:val="en-US" w:eastAsia="zh-CN"/>
    </w:rPr>
  </w:style>
  <w:style w:type="character" w:customStyle="1" w:styleId="187">
    <w:name w:val="正文文本缩进 3 字符"/>
    <w:qFormat/>
    <w:locked/>
    <w:uiPriority w:val="99"/>
    <w:rPr>
      <w:rFonts w:ascii="宋体" w:hAnsi="宋体" w:eastAsia="宋体" w:cs="宋体"/>
      <w:b/>
      <w:kern w:val="2"/>
      <w:sz w:val="24"/>
      <w:szCs w:val="24"/>
      <w:lang w:val="en-US" w:eastAsia="zh-CN"/>
    </w:rPr>
  </w:style>
  <w:style w:type="character" w:customStyle="1" w:styleId="188">
    <w:name w:val="正文文本缩进 3 字符1"/>
    <w:semiHidden/>
    <w:qFormat/>
    <w:uiPriority w:val="99"/>
    <w:rPr>
      <w:kern w:val="2"/>
      <w:sz w:val="16"/>
      <w:szCs w:val="16"/>
    </w:rPr>
  </w:style>
  <w:style w:type="paragraph" w:customStyle="1" w:styleId="189">
    <w:name w:val="Char"/>
    <w:basedOn w:val="1"/>
    <w:qFormat/>
    <w:uiPriority w:val="0"/>
    <w:rPr>
      <w:rFonts w:ascii="仿宋_GB2312" w:eastAsia="仿宋_GB2312"/>
      <w:b/>
      <w:sz w:val="32"/>
      <w:szCs w:val="32"/>
    </w:rPr>
  </w:style>
  <w:style w:type="paragraph" w:customStyle="1" w:styleId="190">
    <w:name w:val="Char Char Char1 Char"/>
    <w:basedOn w:val="1"/>
    <w:qFormat/>
    <w:uiPriority w:val="0"/>
    <w:pPr>
      <w:spacing w:line="360" w:lineRule="auto"/>
      <w:ind w:firstLine="200" w:firstLineChars="200"/>
    </w:pPr>
  </w:style>
  <w:style w:type="paragraph" w:customStyle="1" w:styleId="191">
    <w:name w:val="无间隔1"/>
    <w:qFormat/>
    <w:uiPriority w:val="0"/>
    <w:rPr>
      <w:rFonts w:ascii="Times New Roman" w:hAnsi="Times New Roman" w:eastAsia="宋体" w:cs="Times New Roman"/>
      <w:sz w:val="21"/>
      <w:lang w:val="en-US" w:eastAsia="zh-CN" w:bidi="ar-SA"/>
    </w:rPr>
  </w:style>
  <w:style w:type="paragraph" w:customStyle="1" w:styleId="192">
    <w:name w:val="默认段落字体11"/>
    <w:basedOn w:val="1"/>
    <w:qFormat/>
    <w:uiPriority w:val="0"/>
    <w:pPr>
      <w:widowControl/>
      <w:spacing w:before="100" w:beforeAutospacing="1" w:after="100" w:afterAutospacing="1"/>
      <w:jc w:val="left"/>
    </w:pPr>
    <w:rPr>
      <w:szCs w:val="22"/>
    </w:rPr>
  </w:style>
  <w:style w:type="paragraph" w:customStyle="1" w:styleId="19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194">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195">
    <w:name w:val="符号 1"/>
    <w:basedOn w:val="20"/>
    <w:qFormat/>
    <w:uiPriority w:val="0"/>
    <w:pPr>
      <w:tabs>
        <w:tab w:val="left" w:pos="900"/>
      </w:tabs>
      <w:spacing w:line="360" w:lineRule="auto"/>
      <w:ind w:left="1200" w:hanging="720"/>
    </w:pPr>
    <w:rPr>
      <w:rFonts w:eastAsia="宋体"/>
      <w:kern w:val="28"/>
      <w:szCs w:val="24"/>
    </w:rPr>
  </w:style>
  <w:style w:type="paragraph" w:customStyle="1" w:styleId="196">
    <w:name w:val="Char Char Char Char Char Char Char"/>
    <w:basedOn w:val="1"/>
    <w:qFormat/>
    <w:uiPriority w:val="0"/>
    <w:pPr>
      <w:tabs>
        <w:tab w:val="left" w:pos="432"/>
      </w:tabs>
      <w:ind w:left="432" w:hanging="432"/>
    </w:pPr>
    <w:rPr>
      <w:rFonts w:ascii="Tahoma" w:hAnsi="Tahoma"/>
      <w:sz w:val="24"/>
    </w:rPr>
  </w:style>
  <w:style w:type="paragraph" w:customStyle="1" w:styleId="197">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19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9">
    <w:name w:val="Char11"/>
    <w:basedOn w:val="1"/>
    <w:qFormat/>
    <w:uiPriority w:val="0"/>
    <w:rPr>
      <w:szCs w:val="24"/>
    </w:rPr>
  </w:style>
  <w:style w:type="paragraph" w:customStyle="1" w:styleId="20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Char12"/>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04">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5">
    <w:name w:val="默认段落字体 Para Char Char Char Char Char Char Char Char Char Char"/>
    <w:basedOn w:val="1"/>
    <w:qFormat/>
    <w:uiPriority w:val="0"/>
    <w:rPr>
      <w:rFonts w:ascii="Tahoma" w:hAnsi="Tahoma"/>
      <w:sz w:val="24"/>
    </w:rPr>
  </w:style>
  <w:style w:type="paragraph" w:customStyle="1" w:styleId="206">
    <w:name w:val="样式 正文缩进 + 首行缩进:  2 字符"/>
    <w:basedOn w:val="14"/>
    <w:qFormat/>
    <w:uiPriority w:val="99"/>
    <w:pPr>
      <w:spacing w:line="360" w:lineRule="auto"/>
      <w:ind w:firstLine="200"/>
    </w:pPr>
  </w:style>
  <w:style w:type="paragraph" w:customStyle="1" w:styleId="207">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08">
    <w:name w:val="列出段落11"/>
    <w:basedOn w:val="1"/>
    <w:qFormat/>
    <w:uiPriority w:val="0"/>
    <w:pPr>
      <w:ind w:firstLine="420" w:firstLineChars="200"/>
    </w:pPr>
    <w:rPr>
      <w:szCs w:val="24"/>
    </w:rPr>
  </w:style>
  <w:style w:type="paragraph" w:customStyle="1" w:styleId="209">
    <w:name w:val="正文文本缩进 + 四号"/>
    <w:basedOn w:val="20"/>
    <w:qFormat/>
    <w:uiPriority w:val="0"/>
    <w:pPr>
      <w:spacing w:line="360" w:lineRule="auto"/>
      <w:ind w:firstLine="560" w:firstLineChars="200"/>
    </w:pPr>
    <w:rPr>
      <w:rFonts w:ascii="仿宋_GB2312" w:eastAsia="仿宋_GB2312"/>
      <w:color w:val="000000"/>
      <w:sz w:val="28"/>
      <w:szCs w:val="28"/>
    </w:rPr>
  </w:style>
  <w:style w:type="paragraph" w:customStyle="1" w:styleId="210">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1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12">
    <w:name w:val="Char2"/>
    <w:basedOn w:val="1"/>
    <w:qFormat/>
    <w:uiPriority w:val="0"/>
    <w:pPr>
      <w:tabs>
        <w:tab w:val="left" w:pos="1200"/>
      </w:tabs>
      <w:ind w:left="1200" w:hanging="720"/>
    </w:pPr>
    <w:rPr>
      <w:sz w:val="24"/>
      <w:szCs w:val="24"/>
    </w:rPr>
  </w:style>
  <w:style w:type="paragraph" w:customStyle="1" w:styleId="21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此正文"/>
    <w:basedOn w:val="1"/>
    <w:qFormat/>
    <w:uiPriority w:val="0"/>
    <w:pPr>
      <w:spacing w:line="360" w:lineRule="auto"/>
      <w:ind w:firstLine="200" w:firstLineChars="200"/>
    </w:pPr>
    <w:rPr>
      <w:sz w:val="24"/>
      <w:szCs w:val="24"/>
    </w:rPr>
  </w:style>
  <w:style w:type="paragraph" w:customStyle="1" w:styleId="215">
    <w:name w:val="Char Char1 Char Char Char Char"/>
    <w:basedOn w:val="1"/>
    <w:qFormat/>
    <w:uiPriority w:val="0"/>
    <w:rPr>
      <w:rFonts w:ascii="Tahoma" w:hAnsi="Tahoma"/>
      <w:sz w:val="24"/>
    </w:rPr>
  </w:style>
  <w:style w:type="paragraph" w:customStyle="1" w:styleId="216">
    <w:name w:val="标准正文"/>
    <w:basedOn w:val="1"/>
    <w:qFormat/>
    <w:uiPriority w:val="0"/>
    <w:pPr>
      <w:adjustRightInd w:val="0"/>
      <w:spacing w:line="360" w:lineRule="auto"/>
      <w:ind w:firstLine="480" w:firstLineChars="200"/>
    </w:pPr>
    <w:rPr>
      <w:kern w:val="0"/>
      <w:sz w:val="24"/>
    </w:rPr>
  </w:style>
  <w:style w:type="paragraph" w:customStyle="1" w:styleId="217">
    <w:name w:val="表格正文"/>
    <w:basedOn w:val="1"/>
    <w:qFormat/>
    <w:uiPriority w:val="0"/>
    <w:rPr>
      <w:rFonts w:eastAsia="黑体"/>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220">
    <w:name w:val="Proposals body"/>
    <w:basedOn w:val="1"/>
    <w:next w:val="1"/>
    <w:qFormat/>
    <w:uiPriority w:val="0"/>
    <w:pPr>
      <w:widowControl/>
      <w:spacing w:line="360" w:lineRule="auto"/>
      <w:jc w:val="left"/>
    </w:pPr>
    <w:rPr>
      <w:rFonts w:ascii="宋体"/>
      <w:color w:val="000000"/>
      <w:kern w:val="0"/>
      <w:sz w:val="24"/>
    </w:rPr>
  </w:style>
  <w:style w:type="paragraph" w:customStyle="1" w:styleId="22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22">
    <w:name w:val="彩色列表 - 强调文字颜色 11"/>
    <w:basedOn w:val="1"/>
    <w:qFormat/>
    <w:uiPriority w:val="0"/>
    <w:pPr>
      <w:ind w:firstLine="420" w:firstLineChars="200"/>
    </w:pPr>
    <w:rPr>
      <w:rFonts w:ascii="Calibri" w:hAnsi="Calibri"/>
      <w:szCs w:val="22"/>
    </w:rPr>
  </w:style>
  <w:style w:type="paragraph" w:customStyle="1" w:styleId="223">
    <w:name w:val="Char Char Char"/>
    <w:basedOn w:val="1"/>
    <w:qFormat/>
    <w:uiPriority w:val="0"/>
    <w:pPr>
      <w:spacing w:before="120" w:after="120" w:line="360" w:lineRule="auto"/>
      <w:ind w:firstLine="200" w:firstLineChars="200"/>
    </w:pPr>
    <w:rPr>
      <w:rFonts w:ascii="Tahoma" w:hAnsi="Tahoma"/>
      <w:sz w:val="24"/>
    </w:rPr>
  </w:style>
  <w:style w:type="paragraph" w:customStyle="1" w:styleId="2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6">
    <w:name w:val="正文文本缩进1"/>
    <w:basedOn w:val="1"/>
    <w:qFormat/>
    <w:uiPriority w:val="0"/>
    <w:pPr>
      <w:spacing w:after="120"/>
      <w:ind w:left="420" w:leftChars="200"/>
    </w:pPr>
    <w:rPr>
      <w:szCs w:val="24"/>
    </w:rPr>
  </w:style>
  <w:style w:type="paragraph" w:styleId="22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8">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9">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30">
    <w:name w:val="List Paragraph1"/>
    <w:basedOn w:val="1"/>
    <w:qFormat/>
    <w:uiPriority w:val="34"/>
    <w:pPr>
      <w:ind w:firstLine="420" w:firstLineChars="200"/>
    </w:pPr>
    <w:rPr>
      <w:szCs w:val="24"/>
    </w:rPr>
  </w:style>
  <w:style w:type="paragraph" w:customStyle="1" w:styleId="231">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32">
    <w:name w:val="Char1"/>
    <w:basedOn w:val="1"/>
    <w:qFormat/>
    <w:uiPriority w:val="0"/>
    <w:rPr>
      <w:rFonts w:ascii="仿宋_GB2312" w:eastAsia="仿宋_GB2312"/>
      <w:b/>
      <w:sz w:val="32"/>
      <w:szCs w:val="32"/>
    </w:rPr>
  </w:style>
  <w:style w:type="paragraph" w:customStyle="1" w:styleId="233">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34">
    <w:name w:val="符号 2"/>
    <w:basedOn w:val="195"/>
    <w:qFormat/>
    <w:uiPriority w:val="0"/>
    <w:pPr>
      <w:tabs>
        <w:tab w:val="left" w:pos="1320"/>
        <w:tab w:val="clear" w:pos="900"/>
      </w:tabs>
      <w:ind w:left="1320" w:hanging="420"/>
    </w:pPr>
  </w:style>
  <w:style w:type="paragraph" w:customStyle="1" w:styleId="235">
    <w:name w:val="默认段落字体 Para Char Char Char Char Char Char Char Char Char1 Char Char Char Char"/>
    <w:basedOn w:val="1"/>
    <w:qFormat/>
    <w:uiPriority w:val="0"/>
    <w:rPr>
      <w:rFonts w:ascii="Tahoma" w:hAnsi="Tahoma"/>
      <w:sz w:val="24"/>
    </w:rPr>
  </w:style>
  <w:style w:type="paragraph" w:customStyle="1" w:styleId="236">
    <w:name w:val="UserStyle_4"/>
    <w:basedOn w:val="1"/>
    <w:qFormat/>
    <w:uiPriority w:val="0"/>
    <w:pPr>
      <w:widowControl/>
      <w:ind w:firstLine="420" w:firstLineChars="200"/>
    </w:pPr>
    <w:rPr>
      <w:rFonts w:ascii="Calibri" w:hAnsi="Calibri"/>
      <w:szCs w:val="22"/>
    </w:rPr>
  </w:style>
  <w:style w:type="paragraph" w:customStyle="1" w:styleId="237">
    <w:name w:val="正文编码"/>
    <w:basedOn w:val="46"/>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38">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9">
    <w:name w:val="Char Char Char Char"/>
    <w:basedOn w:val="1"/>
    <w:qFormat/>
    <w:uiPriority w:val="0"/>
    <w:pPr>
      <w:widowControl/>
      <w:spacing w:line="400" w:lineRule="exact"/>
      <w:jc w:val="center"/>
    </w:pPr>
    <w:rPr>
      <w:rFonts w:ascii="Verdana" w:hAnsi="Verdana"/>
      <w:kern w:val="0"/>
      <w:lang w:eastAsia="en-US"/>
    </w:rPr>
  </w:style>
  <w:style w:type="paragraph" w:customStyle="1" w:styleId="240">
    <w:name w:val="正文段"/>
    <w:basedOn w:val="1"/>
    <w:qFormat/>
    <w:uiPriority w:val="0"/>
    <w:pPr>
      <w:widowControl/>
      <w:snapToGrid w:val="0"/>
      <w:spacing w:afterLines="50"/>
      <w:ind w:firstLine="200" w:firstLineChars="200"/>
    </w:pPr>
    <w:rPr>
      <w:kern w:val="0"/>
      <w:sz w:val="24"/>
    </w:rPr>
  </w:style>
  <w:style w:type="paragraph" w:customStyle="1" w:styleId="241">
    <w:name w:val="p0"/>
    <w:basedOn w:val="1"/>
    <w:qFormat/>
    <w:uiPriority w:val="0"/>
    <w:pPr>
      <w:widowControl/>
    </w:pPr>
    <w:rPr>
      <w:kern w:val="0"/>
      <w:szCs w:val="21"/>
    </w:rPr>
  </w:style>
  <w:style w:type="paragraph" w:customStyle="1" w:styleId="242">
    <w:name w:val="Table Text"/>
    <w:basedOn w:val="1"/>
    <w:qFormat/>
    <w:uiPriority w:val="0"/>
    <w:pPr>
      <w:widowControl/>
      <w:jc w:val="left"/>
    </w:pPr>
    <w:rPr>
      <w:rFonts w:ascii="Arial" w:hAnsi="Arial"/>
      <w:kern w:val="0"/>
      <w:szCs w:val="21"/>
    </w:rPr>
  </w:style>
  <w:style w:type="paragraph" w:customStyle="1" w:styleId="243">
    <w:name w:val="Other|1"/>
    <w:basedOn w:val="1"/>
    <w:qFormat/>
    <w:uiPriority w:val="0"/>
    <w:pPr>
      <w:spacing w:line="427" w:lineRule="auto"/>
      <w:ind w:firstLine="400"/>
    </w:pPr>
    <w:rPr>
      <w:rFonts w:ascii="宋体" w:hAnsi="宋体" w:cs="宋体"/>
      <w:color w:val="6A6D74"/>
      <w:sz w:val="19"/>
      <w:szCs w:val="19"/>
      <w:lang w:val="zh-TW" w:eastAsia="zh-TW" w:bidi="zh-TW"/>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table" w:customStyle="1" w:styleId="245">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246">
    <w:name w:val="列表段落 字符"/>
    <w:qFormat/>
    <w:locked/>
    <w:uiPriority w:val="34"/>
    <w:rPr>
      <w:rFonts w:eastAsia="宋体"/>
      <w:sz w:val="24"/>
    </w:rPr>
  </w:style>
  <w:style w:type="paragraph" w:customStyle="1" w:styleId="247">
    <w:name w:val="Table Paragraph"/>
    <w:basedOn w:val="1"/>
    <w:qFormat/>
    <w:uiPriority w:val="1"/>
    <w:rPr>
      <w:rFonts w:ascii="宋体" w:hAnsi="宋体" w:cs="宋体"/>
      <w:lang w:val="zh-CN" w:bidi="zh-CN"/>
    </w:rPr>
  </w:style>
  <w:style w:type="paragraph" w:customStyle="1" w:styleId="248">
    <w:name w:val="表格内文字"/>
    <w:basedOn w:val="1"/>
    <w:qFormat/>
    <w:uiPriority w:val="0"/>
    <w:pPr>
      <w:jc w:val="center"/>
    </w:pPr>
  </w:style>
  <w:style w:type="paragraph" w:customStyle="1" w:styleId="249">
    <w:name w:val="章正文"/>
    <w:basedOn w:val="1"/>
    <w:unhideWhenUsed/>
    <w:qFormat/>
    <w:uiPriority w:val="0"/>
    <w:pPr>
      <w:spacing w:beforeLines="50" w:after="120" w:line="300" w:lineRule="auto"/>
      <w:ind w:firstLine="480"/>
    </w:pPr>
    <w:rPr>
      <w:rFonts w:ascii="Helvetica" w:hAnsi="Helvetica"/>
      <w:kern w:val="0"/>
      <w:szCs w:val="24"/>
    </w:rPr>
  </w:style>
  <w:style w:type="character" w:customStyle="1" w:styleId="250">
    <w:name w:val="font31"/>
    <w:basedOn w:val="50"/>
    <w:qFormat/>
    <w:uiPriority w:val="0"/>
    <w:rPr>
      <w:rFonts w:hint="default" w:ascii="Arial" w:hAnsi="Arial" w:cs="Arial"/>
      <w:color w:val="000000"/>
      <w:sz w:val="20"/>
      <w:szCs w:val="20"/>
      <w:u w:val="none"/>
    </w:rPr>
  </w:style>
  <w:style w:type="character" w:customStyle="1" w:styleId="251">
    <w:name w:val="font51"/>
    <w:basedOn w:val="50"/>
    <w:qFormat/>
    <w:uiPriority w:val="0"/>
    <w:rPr>
      <w:rFonts w:hint="eastAsia" w:ascii="宋体" w:hAnsi="宋体" w:eastAsia="宋体" w:cs="宋体"/>
      <w:color w:val="000000"/>
      <w:sz w:val="20"/>
      <w:szCs w:val="20"/>
      <w:u w:val="none"/>
    </w:rPr>
  </w:style>
  <w:style w:type="paragraph" w:customStyle="1" w:styleId="252">
    <w:name w:val="*正文"/>
    <w:basedOn w:val="1"/>
    <w:unhideWhenUsed/>
    <w:qFormat/>
    <w:uiPriority w:val="0"/>
    <w:pPr>
      <w:spacing w:line="300" w:lineRule="auto"/>
      <w:ind w:firstLine="480" w:firstLineChars="200"/>
    </w:pPr>
    <w:rPr>
      <w:rFonts w:hint="eastAsia" w:ascii="宋体" w:hAnsi="宋体"/>
      <w:sz w:val="24"/>
      <w:szCs w:val="24"/>
    </w:rPr>
  </w:style>
  <w:style w:type="character" w:customStyle="1" w:styleId="253">
    <w:name w:val="15"/>
    <w:basedOn w:val="50"/>
    <w:qFormat/>
    <w:uiPriority w:val="0"/>
    <w:rPr>
      <w:rFonts w:hint="default" w:ascii="Times New Roman" w:hAnsi="Times New Roman" w:cs="Times New Roman"/>
    </w:rPr>
  </w:style>
  <w:style w:type="paragraph" w:customStyle="1" w:styleId="254">
    <w:name w:val="标书正文"/>
    <w:unhideWhenUsed/>
    <w:qFormat/>
    <w:uiPriority w:val="0"/>
    <w:pPr>
      <w:suppressAutoHyphens/>
      <w:spacing w:before="280" w:after="280" w:line="360" w:lineRule="auto"/>
      <w:ind w:firstLine="480"/>
    </w:pPr>
    <w:rPr>
      <w:rFonts w:ascii="Calibri" w:hAnsi="Calibri" w:eastAsia="宋体" w:cs="Times New Roman"/>
      <w:kern w:val="1"/>
      <w:sz w:val="24"/>
      <w:szCs w:val="24"/>
      <w:lang w:val="en-US" w:eastAsia="ar-SA" w:bidi="ar-SA"/>
    </w:rPr>
  </w:style>
  <w:style w:type="paragraph" w:customStyle="1" w:styleId="255">
    <w:name w:val="章标题"/>
    <w:next w:val="225"/>
    <w:unhideWhenUsed/>
    <w:qFormat/>
    <w:uiPriority w:val="0"/>
    <w:pPr>
      <w:tabs>
        <w:tab w:val="left" w:pos="840"/>
        <w:tab w:val="left" w:pos="1440"/>
      </w:tabs>
      <w:spacing w:before="156" w:beforeLines="50" w:after="156" w:afterLines="50"/>
      <w:jc w:val="both"/>
      <w:outlineLvl w:val="1"/>
    </w:pPr>
    <w:rPr>
      <w:rFonts w:hint="eastAsia" w:ascii="黑体" w:hAnsi="Times New Roman" w:eastAsia="黑体" w:cs="Times New Roman"/>
      <w:sz w:val="21"/>
      <w:szCs w:val="24"/>
      <w:lang w:val="en-US" w:eastAsia="zh-CN" w:bidi="ar-SA"/>
    </w:rPr>
  </w:style>
  <w:style w:type="paragraph" w:customStyle="1" w:styleId="256">
    <w:name w:val="一级条标题"/>
    <w:next w:val="225"/>
    <w:unhideWhenUsed/>
    <w:qFormat/>
    <w:uiPriority w:val="0"/>
    <w:pPr>
      <w:tabs>
        <w:tab w:val="left" w:pos="1260"/>
        <w:tab w:val="left" w:pos="2160"/>
      </w:tabs>
      <w:outlineLvl w:val="2"/>
    </w:pPr>
    <w:rPr>
      <w:rFonts w:ascii="Times New Roman" w:hAnsi="Times New Roman" w:eastAsia="黑体" w:cs="Times New Roman"/>
      <w:sz w:val="21"/>
      <w:szCs w:val="24"/>
      <w:lang w:val="en-US" w:eastAsia="zh-CN" w:bidi="ar-SA"/>
    </w:rPr>
  </w:style>
  <w:style w:type="paragraph" w:customStyle="1" w:styleId="257">
    <w:name w:val="正文表标题"/>
    <w:next w:val="225"/>
    <w:unhideWhenUsed/>
    <w:qFormat/>
    <w:uiPriority w:val="0"/>
    <w:pPr>
      <w:tabs>
        <w:tab w:val="left" w:pos="360"/>
        <w:tab w:val="left" w:pos="510"/>
      </w:tabs>
      <w:jc w:val="center"/>
    </w:pPr>
    <w:rPr>
      <w:rFonts w:hint="eastAsia" w:ascii="黑体" w:hAnsi="Times New Roman" w:eastAsia="黑体" w:cs="Times New Roman"/>
      <w:sz w:val="21"/>
      <w:szCs w:val="24"/>
      <w:lang w:val="en-US" w:eastAsia="zh-CN" w:bidi="ar-SA"/>
    </w:rPr>
  </w:style>
  <w:style w:type="paragraph" w:customStyle="1" w:styleId="258">
    <w:name w:val="A正文小四"/>
    <w:basedOn w:val="1"/>
    <w:unhideWhenUsed/>
    <w:qFormat/>
    <w:uiPriority w:val="0"/>
    <w:pPr>
      <w:spacing w:line="360" w:lineRule="auto"/>
      <w:ind w:firstLine="600" w:firstLineChars="200"/>
      <w:jc w:val="left"/>
    </w:pPr>
    <w:rPr>
      <w:color w:val="000000"/>
      <w:szCs w:val="24"/>
    </w:rPr>
  </w:style>
  <w:style w:type="paragraph" w:customStyle="1" w:styleId="259">
    <w:name w:val="列出段落3"/>
    <w:basedOn w:val="1"/>
    <w:unhideWhenUsed/>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19778</Words>
  <Characters>20506</Characters>
  <Lines>247</Lines>
  <Paragraphs>69</Paragraphs>
  <TotalTime>9</TotalTime>
  <ScaleCrop>false</ScaleCrop>
  <LinksUpToDate>false</LinksUpToDate>
  <CharactersWithSpaces>20792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2023-04-10T06:34:00Z</dcterms:created>
  <dc:creator>dyp</dc:creator>
  <cp:lastModifiedBy>向阳而生-肩膀</cp:lastModifiedBy>
  <cp:lastPrinted>2025-05-28T04:06:00Z</cp:lastPrinted>
  <dcterms:modified xsi:type="dcterms:W3CDTF">2025-07-09T09:19:13Z</dcterms:modified>
  <dc:title>第一部分  投标方须知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D3D46CF1E12B4494B80D74A4E261E210_13</vt:lpwstr>
  </property>
  <property fmtid="{D5CDD505-2E9C-101B-9397-08002B2CF9AE}" pid="4" name="KSOTemplateDocerSaveRecord">
    <vt:lpwstr>eyJoZGlkIjoiYTdjMjAwOTJlODhkMDdmOTM3OGEwNDFlMzc2ZmE1Y2MiLCJ1c2VySWQiOiIyNTQ4MTUzMjYifQ==</vt:lpwstr>
  </property>
</Properties>
</file>