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line="900" w:lineRule="exact"/>
        <w:jc w:val="center"/>
        <w:rPr>
          <w:rFonts w:hint="eastAsia" w:ascii="宋体" w:hAnsi="宋体" w:eastAsia="宋体"/>
          <w:b/>
          <w:color w:val="auto"/>
          <w:sz w:val="26"/>
          <w:szCs w:val="50"/>
          <w:highlight w:val="none"/>
          <w:lang w:eastAsia="zh-CN"/>
        </w:rPr>
      </w:pPr>
      <w:r>
        <w:rPr>
          <w:rFonts w:hint="eastAsia" w:ascii="宋体" w:hAnsi="宋体"/>
          <w:b/>
          <w:color w:val="auto"/>
          <w:sz w:val="34"/>
          <w:szCs w:val="50"/>
          <w:highlight w:val="none"/>
          <w:lang w:eastAsia="zh-CN"/>
        </w:rPr>
        <w:t>温州医科大学慈溪生物医药研究院三维皮肤气液交换培养生物反应器采购项目</w:t>
      </w:r>
    </w:p>
    <w:p>
      <w:pPr>
        <w:spacing w:after="120" w:line="900" w:lineRule="exact"/>
        <w:jc w:val="center"/>
        <w:rPr>
          <w:rFonts w:ascii="宋体" w:hAnsi="宋体"/>
          <w:b/>
          <w:color w:val="auto"/>
          <w:sz w:val="46"/>
          <w:szCs w:val="50"/>
          <w:highlight w:val="none"/>
        </w:rPr>
      </w:pPr>
      <w:r>
        <w:rPr>
          <w:rFonts w:hint="eastAsia" w:ascii="宋体" w:hAnsi="宋体"/>
          <w:b/>
          <w:color w:val="auto"/>
          <w:sz w:val="46"/>
          <w:szCs w:val="50"/>
          <w:highlight w:val="none"/>
        </w:rPr>
        <w:t>政府采购</w:t>
      </w:r>
    </w:p>
    <w:p>
      <w:pPr>
        <w:spacing w:after="120" w:line="400" w:lineRule="exact"/>
        <w:jc w:val="center"/>
        <w:rPr>
          <w:rFonts w:ascii="宋体" w:hAnsi="宋体"/>
          <w:b/>
          <w:color w:val="auto"/>
          <w:sz w:val="32"/>
          <w:szCs w:val="32"/>
          <w:highlight w:val="none"/>
        </w:rPr>
      </w:pPr>
    </w:p>
    <w:p>
      <w:pPr>
        <w:spacing w:after="120" w:line="800" w:lineRule="exact"/>
        <w:jc w:val="center"/>
        <w:rPr>
          <w:rFonts w:ascii="宋体" w:hAnsi="宋体"/>
          <w:b/>
          <w:color w:val="auto"/>
          <w:sz w:val="48"/>
          <w:szCs w:val="48"/>
          <w:highlight w:val="none"/>
        </w:rPr>
      </w:pPr>
      <w:r>
        <w:rPr>
          <w:rFonts w:hint="eastAsia" w:ascii="宋体" w:hAnsi="宋体"/>
          <w:b/>
          <w:color w:val="auto"/>
          <w:sz w:val="48"/>
          <w:szCs w:val="48"/>
          <w:highlight w:val="none"/>
        </w:rPr>
        <w:t>公</w:t>
      </w:r>
    </w:p>
    <w:p>
      <w:pPr>
        <w:spacing w:after="120" w:line="800" w:lineRule="exact"/>
        <w:jc w:val="center"/>
        <w:rPr>
          <w:rFonts w:ascii="宋体" w:hAnsi="宋体"/>
          <w:b/>
          <w:color w:val="auto"/>
          <w:sz w:val="48"/>
          <w:szCs w:val="48"/>
          <w:highlight w:val="none"/>
        </w:rPr>
      </w:pPr>
      <w:r>
        <w:rPr>
          <w:rFonts w:hint="eastAsia" w:ascii="宋体" w:hAnsi="宋体"/>
          <w:b/>
          <w:color w:val="auto"/>
          <w:sz w:val="48"/>
          <w:szCs w:val="48"/>
          <w:highlight w:val="none"/>
        </w:rPr>
        <w:t>开</w:t>
      </w:r>
    </w:p>
    <w:p>
      <w:pPr>
        <w:spacing w:after="120" w:line="800" w:lineRule="exact"/>
        <w:jc w:val="center"/>
        <w:rPr>
          <w:rFonts w:ascii="宋体" w:hAnsi="宋体"/>
          <w:b/>
          <w:color w:val="auto"/>
          <w:sz w:val="48"/>
          <w:szCs w:val="48"/>
          <w:highlight w:val="none"/>
        </w:rPr>
      </w:pPr>
      <w:r>
        <w:rPr>
          <w:rFonts w:hint="eastAsia" w:ascii="宋体" w:hAnsi="宋体"/>
          <w:b/>
          <w:color w:val="auto"/>
          <w:sz w:val="48"/>
          <w:szCs w:val="48"/>
          <w:highlight w:val="none"/>
        </w:rPr>
        <w:t>招</w:t>
      </w:r>
    </w:p>
    <w:p>
      <w:pPr>
        <w:spacing w:after="120" w:line="800" w:lineRule="exact"/>
        <w:jc w:val="center"/>
        <w:rPr>
          <w:rFonts w:ascii="宋体" w:hAnsi="宋体"/>
          <w:b/>
          <w:color w:val="auto"/>
          <w:sz w:val="48"/>
          <w:szCs w:val="48"/>
          <w:highlight w:val="none"/>
        </w:rPr>
      </w:pPr>
      <w:r>
        <w:rPr>
          <w:rFonts w:hint="eastAsia" w:ascii="宋体" w:hAnsi="宋体"/>
          <w:b/>
          <w:color w:val="auto"/>
          <w:sz w:val="48"/>
          <w:szCs w:val="48"/>
          <w:highlight w:val="none"/>
        </w:rPr>
        <w:t>标</w:t>
      </w:r>
    </w:p>
    <w:p>
      <w:pPr>
        <w:spacing w:after="120" w:line="800" w:lineRule="exact"/>
        <w:jc w:val="center"/>
        <w:rPr>
          <w:rFonts w:ascii="宋体" w:hAnsi="宋体"/>
          <w:b/>
          <w:color w:val="auto"/>
          <w:sz w:val="48"/>
          <w:szCs w:val="48"/>
          <w:highlight w:val="none"/>
        </w:rPr>
      </w:pPr>
      <w:r>
        <w:rPr>
          <w:rFonts w:hint="eastAsia" w:ascii="宋体" w:hAnsi="宋体"/>
          <w:b/>
          <w:color w:val="auto"/>
          <w:sz w:val="48"/>
          <w:szCs w:val="48"/>
          <w:highlight w:val="none"/>
        </w:rPr>
        <w:t>文</w:t>
      </w:r>
    </w:p>
    <w:p>
      <w:pPr>
        <w:spacing w:after="120" w:line="800" w:lineRule="exact"/>
        <w:jc w:val="center"/>
        <w:rPr>
          <w:rFonts w:ascii="宋体" w:hAnsi="宋体"/>
          <w:b/>
          <w:color w:val="auto"/>
          <w:sz w:val="48"/>
          <w:szCs w:val="48"/>
          <w:highlight w:val="none"/>
        </w:rPr>
      </w:pPr>
      <w:r>
        <w:rPr>
          <w:rFonts w:hint="eastAsia" w:ascii="宋体" w:hAnsi="宋体"/>
          <w:b/>
          <w:color w:val="auto"/>
          <w:sz w:val="48"/>
          <w:szCs w:val="48"/>
          <w:highlight w:val="none"/>
        </w:rPr>
        <w:t>件</w:t>
      </w:r>
    </w:p>
    <w:p>
      <w:pPr>
        <w:rPr>
          <w:rFonts w:ascii="宋体" w:hAnsi="宋体"/>
          <w:b/>
          <w:color w:val="auto"/>
          <w:sz w:val="36"/>
          <w:szCs w:val="36"/>
          <w:highlight w:val="none"/>
        </w:rPr>
      </w:pPr>
    </w:p>
    <w:p>
      <w:pPr>
        <w:spacing w:line="700" w:lineRule="exact"/>
        <w:rPr>
          <w:rFonts w:hint="eastAsia" w:ascii="宋体" w:hAnsi="宋体" w:eastAsia="宋体"/>
          <w:b/>
          <w:color w:val="auto"/>
          <w:sz w:val="28"/>
          <w:szCs w:val="28"/>
          <w:highlight w:val="none"/>
          <w:lang w:eastAsia="zh-CN"/>
        </w:rPr>
      </w:pPr>
      <w:r>
        <w:rPr>
          <w:rFonts w:hint="eastAsia" w:ascii="宋体" w:hAnsi="宋体"/>
          <w:b/>
          <w:color w:val="auto"/>
          <w:sz w:val="28"/>
          <w:szCs w:val="28"/>
          <w:highlight w:val="none"/>
        </w:rPr>
        <w:t>项目编号：</w:t>
      </w:r>
      <w:r>
        <w:rPr>
          <w:rFonts w:hint="eastAsia" w:ascii="宋体" w:hAnsi="宋体"/>
          <w:b/>
          <w:color w:val="auto"/>
          <w:sz w:val="28"/>
          <w:szCs w:val="28"/>
          <w:highlight w:val="none"/>
          <w:lang w:val="en-US" w:eastAsia="zh-CN"/>
        </w:rPr>
        <w:t>330282202311009365</w:t>
      </w:r>
    </w:p>
    <w:p>
      <w:pPr>
        <w:spacing w:line="700" w:lineRule="exact"/>
        <w:ind w:left="1405" w:hanging="1405" w:hangingChars="500"/>
        <w:rPr>
          <w:rFonts w:hint="eastAsia" w:ascii="宋体" w:hAnsi="宋体" w:eastAsia="宋体"/>
          <w:b/>
          <w:color w:val="auto"/>
          <w:sz w:val="28"/>
          <w:szCs w:val="28"/>
          <w:highlight w:val="none"/>
          <w:lang w:eastAsia="zh-CN"/>
        </w:rPr>
      </w:pPr>
      <w:r>
        <w:rPr>
          <w:rFonts w:hint="eastAsia" w:ascii="宋体" w:hAnsi="宋体"/>
          <w:b/>
          <w:color w:val="auto"/>
          <w:sz w:val="28"/>
          <w:szCs w:val="28"/>
          <w:highlight w:val="none"/>
        </w:rPr>
        <w:t>采</w:t>
      </w:r>
      <w:r>
        <w:rPr>
          <w:rFonts w:ascii="宋体" w:hAnsi="宋体"/>
          <w:b/>
          <w:color w:val="auto"/>
          <w:sz w:val="28"/>
          <w:szCs w:val="28"/>
          <w:highlight w:val="none"/>
        </w:rPr>
        <w:t xml:space="preserve"> </w:t>
      </w:r>
      <w:r>
        <w:rPr>
          <w:rFonts w:hint="eastAsia" w:ascii="宋体" w:hAnsi="宋体"/>
          <w:b/>
          <w:color w:val="auto"/>
          <w:sz w:val="28"/>
          <w:szCs w:val="28"/>
          <w:highlight w:val="none"/>
        </w:rPr>
        <w:t>购</w:t>
      </w:r>
      <w:r>
        <w:rPr>
          <w:rFonts w:ascii="宋体" w:hAnsi="宋体"/>
          <w:b/>
          <w:color w:val="auto"/>
          <w:sz w:val="28"/>
          <w:szCs w:val="28"/>
          <w:highlight w:val="none"/>
        </w:rPr>
        <w:t xml:space="preserve"> </w:t>
      </w:r>
      <w:r>
        <w:rPr>
          <w:rFonts w:hint="eastAsia" w:ascii="宋体" w:hAnsi="宋体"/>
          <w:b/>
          <w:color w:val="auto"/>
          <w:sz w:val="28"/>
          <w:szCs w:val="28"/>
          <w:highlight w:val="none"/>
        </w:rPr>
        <w:t>人：</w:t>
      </w:r>
      <w:r>
        <w:rPr>
          <w:rFonts w:hint="eastAsia" w:ascii="宋体" w:hAnsi="宋体"/>
          <w:b/>
          <w:color w:val="auto"/>
          <w:sz w:val="28"/>
          <w:szCs w:val="28"/>
          <w:highlight w:val="none"/>
          <w:lang w:eastAsia="zh-CN"/>
        </w:rPr>
        <w:t>温州医科大学慈溪生物医药研究院</w:t>
      </w:r>
    </w:p>
    <w:p>
      <w:pPr>
        <w:spacing w:line="700" w:lineRule="exact"/>
        <w:rPr>
          <w:rFonts w:hint="eastAsia" w:ascii="宋体" w:hAnsi="宋体" w:eastAsia="宋体"/>
          <w:b/>
          <w:color w:val="auto"/>
          <w:sz w:val="28"/>
          <w:szCs w:val="28"/>
          <w:highlight w:val="none"/>
          <w:lang w:eastAsia="zh-CN"/>
        </w:rPr>
      </w:pPr>
      <w:r>
        <w:rPr>
          <w:rFonts w:hint="eastAsia" w:ascii="宋体" w:hAnsi="宋体"/>
          <w:b/>
          <w:color w:val="auto"/>
          <w:sz w:val="28"/>
          <w:szCs w:val="28"/>
          <w:highlight w:val="none"/>
        </w:rPr>
        <w:t>代理机构：</w:t>
      </w:r>
      <w:r>
        <w:rPr>
          <w:rFonts w:hint="eastAsia" w:ascii="宋体" w:hAnsi="宋体"/>
          <w:b/>
          <w:color w:val="auto"/>
          <w:sz w:val="28"/>
          <w:szCs w:val="28"/>
          <w:highlight w:val="none"/>
          <w:lang w:eastAsia="zh-CN"/>
        </w:rPr>
        <w:t>慈溪市基建审计事务所</w:t>
      </w:r>
    </w:p>
    <w:p>
      <w:pPr>
        <w:spacing w:line="700" w:lineRule="exact"/>
        <w:rPr>
          <w:rFonts w:hint="eastAsia" w:ascii="宋体" w:hAnsi="宋体" w:eastAsia="宋体"/>
          <w:b/>
          <w:color w:val="auto"/>
          <w:sz w:val="28"/>
          <w:szCs w:val="28"/>
          <w:highlight w:val="none"/>
          <w:lang w:eastAsia="zh-CN"/>
        </w:rPr>
      </w:pPr>
      <w:r>
        <w:rPr>
          <w:rFonts w:hint="eastAsia" w:ascii="宋体" w:hAnsi="宋体"/>
          <w:b/>
          <w:color w:val="auto"/>
          <w:sz w:val="28"/>
          <w:szCs w:val="28"/>
          <w:highlight w:val="none"/>
        </w:rPr>
        <w:t>编制日期：</w:t>
      </w:r>
      <w:r>
        <w:rPr>
          <w:rFonts w:hint="eastAsia" w:ascii="宋体" w:hAnsi="宋体"/>
          <w:b/>
          <w:color w:val="auto"/>
          <w:sz w:val="28"/>
          <w:szCs w:val="28"/>
          <w:highlight w:val="none"/>
          <w:lang w:eastAsia="zh-CN"/>
        </w:rPr>
        <w:t>2023年</w:t>
      </w:r>
      <w:r>
        <w:rPr>
          <w:rFonts w:hint="eastAsia" w:ascii="宋体" w:hAnsi="宋体"/>
          <w:b/>
          <w:color w:val="auto"/>
          <w:sz w:val="28"/>
          <w:szCs w:val="28"/>
          <w:highlight w:val="none"/>
          <w:lang w:val="en-US" w:eastAsia="zh-CN"/>
        </w:rPr>
        <w:t>12</w:t>
      </w:r>
      <w:r>
        <w:rPr>
          <w:rFonts w:hint="eastAsia" w:ascii="宋体" w:hAnsi="宋体"/>
          <w:b/>
          <w:color w:val="auto"/>
          <w:sz w:val="28"/>
          <w:szCs w:val="28"/>
          <w:highlight w:val="none"/>
          <w:lang w:eastAsia="zh-CN"/>
        </w:rPr>
        <w:t>月</w:t>
      </w:r>
    </w:p>
    <w:p>
      <w:pPr>
        <w:spacing w:line="600" w:lineRule="exact"/>
        <w:rPr>
          <w:rFonts w:ascii="宋体" w:hAnsi="宋体"/>
          <w:b/>
          <w:color w:val="auto"/>
          <w:sz w:val="28"/>
          <w:szCs w:val="28"/>
          <w:highlight w:val="none"/>
        </w:rPr>
      </w:pPr>
    </w:p>
    <w:p>
      <w:pPr>
        <w:spacing w:line="400" w:lineRule="exact"/>
        <w:jc w:val="center"/>
        <w:rPr>
          <w:rFonts w:ascii="宋体" w:hAnsi="宋体"/>
          <w:b/>
          <w:color w:val="auto"/>
          <w:sz w:val="28"/>
          <w:szCs w:val="28"/>
          <w:highlight w:val="none"/>
        </w:rPr>
        <w:sectPr>
          <w:headerReference r:id="rId3" w:type="default"/>
          <w:footerReference r:id="rId4" w:type="default"/>
          <w:footerReference r:id="rId5" w:type="even"/>
          <w:type w:val="nextColumn"/>
          <w:pgSz w:w="11907" w:h="16840"/>
          <w:pgMar w:top="1327" w:right="1701" w:bottom="1327" w:left="1701" w:header="720" w:footer="0" w:gutter="0"/>
          <w:pgNumType w:start="1"/>
          <w:cols w:space="720" w:num="1"/>
          <w:docGrid w:type="lines" w:linePitch="285" w:charSpace="0"/>
        </w:sectPr>
      </w:pPr>
    </w:p>
    <w:p>
      <w:pPr>
        <w:spacing w:line="480" w:lineRule="auto"/>
        <w:jc w:val="center"/>
        <w:rPr>
          <w:rFonts w:ascii="宋体" w:hAnsi="宋体"/>
          <w:b/>
          <w:color w:val="auto"/>
          <w:sz w:val="52"/>
          <w:szCs w:val="52"/>
          <w:highlight w:val="none"/>
        </w:rPr>
      </w:pPr>
    </w:p>
    <w:p>
      <w:pPr>
        <w:spacing w:line="1200" w:lineRule="exact"/>
        <w:jc w:val="center"/>
        <w:rPr>
          <w:rFonts w:ascii="宋体" w:hAnsi="宋体"/>
          <w:b/>
          <w:color w:val="auto"/>
          <w:sz w:val="72"/>
          <w:szCs w:val="72"/>
          <w:highlight w:val="none"/>
        </w:rPr>
      </w:pPr>
      <w:r>
        <w:rPr>
          <w:rFonts w:hint="eastAsia" w:ascii="宋体" w:hAnsi="宋体"/>
          <w:b/>
          <w:color w:val="auto"/>
          <w:sz w:val="72"/>
          <w:szCs w:val="72"/>
          <w:highlight w:val="none"/>
        </w:rPr>
        <w:t>温馨提醒</w:t>
      </w:r>
    </w:p>
    <w:p>
      <w:pPr>
        <w:spacing w:line="1200" w:lineRule="exact"/>
        <w:jc w:val="center"/>
        <w:rPr>
          <w:rFonts w:ascii="宋体" w:hAnsi="宋体"/>
          <w:b/>
          <w:color w:val="auto"/>
          <w:sz w:val="52"/>
          <w:szCs w:val="52"/>
          <w:highlight w:val="none"/>
        </w:rPr>
      </w:pPr>
    </w:p>
    <w:p>
      <w:pPr>
        <w:spacing w:line="1000" w:lineRule="exact"/>
        <w:jc w:val="left"/>
        <w:rPr>
          <w:rFonts w:ascii="宋体" w:hAnsi="宋体"/>
          <w:b/>
          <w:color w:val="auto"/>
          <w:sz w:val="30"/>
          <w:szCs w:val="30"/>
          <w:highlight w:val="none"/>
        </w:rPr>
      </w:pPr>
      <w:r>
        <w:rPr>
          <w:rFonts w:ascii="宋体" w:hAnsi="宋体"/>
          <w:b/>
          <w:color w:val="auto"/>
          <w:sz w:val="30"/>
          <w:szCs w:val="30"/>
          <w:highlight w:val="none"/>
        </w:rPr>
        <w:t>1</w:t>
      </w:r>
      <w:r>
        <w:rPr>
          <w:rFonts w:hint="eastAsia" w:ascii="宋体" w:hAnsi="宋体"/>
          <w:b/>
          <w:color w:val="auto"/>
          <w:sz w:val="30"/>
          <w:szCs w:val="30"/>
          <w:highlight w:val="none"/>
        </w:rPr>
        <w:t>、投标文件应按招标文件要求将“资格文件”、“商务和技术文件”、“报价文件”分别编制。</w:t>
      </w:r>
    </w:p>
    <w:p>
      <w:pPr>
        <w:spacing w:line="1000" w:lineRule="exact"/>
        <w:jc w:val="left"/>
        <w:rPr>
          <w:rFonts w:ascii="宋体" w:hAnsi="宋体"/>
          <w:b/>
          <w:color w:val="auto"/>
          <w:sz w:val="30"/>
          <w:szCs w:val="30"/>
          <w:highlight w:val="none"/>
        </w:rPr>
      </w:pPr>
      <w:r>
        <w:rPr>
          <w:rFonts w:ascii="宋体" w:hAnsi="宋体"/>
          <w:b/>
          <w:color w:val="auto"/>
          <w:sz w:val="30"/>
          <w:szCs w:val="30"/>
          <w:highlight w:val="none"/>
        </w:rPr>
        <w:t>2</w:t>
      </w:r>
      <w:r>
        <w:rPr>
          <w:rFonts w:hint="eastAsia" w:ascii="宋体" w:hAnsi="宋体"/>
          <w:b/>
          <w:color w:val="auto"/>
          <w:sz w:val="30"/>
          <w:szCs w:val="30"/>
          <w:highlight w:val="none"/>
        </w:rPr>
        <w:t>、“资格文件”和“商务和技术文件”中均不得出现涉及投标价格的内容，否则作无效标处理。</w:t>
      </w:r>
    </w:p>
    <w:p>
      <w:pPr>
        <w:spacing w:line="1000" w:lineRule="exact"/>
        <w:jc w:val="left"/>
        <w:rPr>
          <w:rFonts w:ascii="宋体" w:hAnsi="宋体"/>
          <w:b/>
          <w:color w:val="auto"/>
          <w:sz w:val="30"/>
          <w:szCs w:val="30"/>
          <w:highlight w:val="none"/>
        </w:rPr>
      </w:pPr>
      <w:r>
        <w:rPr>
          <w:rFonts w:hint="eastAsia" w:ascii="宋体" w:hAnsi="宋体"/>
          <w:b/>
          <w:color w:val="auto"/>
          <w:sz w:val="30"/>
          <w:szCs w:val="30"/>
          <w:highlight w:val="none"/>
        </w:rPr>
        <w:t>3、采购人可以对已发出的招标文件进行必要的澄清或者修改，将以“更正公告”的形式发布在政采云平台，供应商应及时登录政采云平台，进行浏览并下载，未及时浏览下载的责任自负。</w:t>
      </w:r>
    </w:p>
    <w:p>
      <w:pPr>
        <w:jc w:val="center"/>
        <w:outlineLvl w:val="0"/>
        <w:rPr>
          <w:rFonts w:ascii="宋体" w:hAnsi="宋体"/>
          <w:b/>
          <w:bCs/>
          <w:color w:val="auto"/>
          <w:sz w:val="32"/>
          <w:szCs w:val="32"/>
          <w:highlight w:val="none"/>
        </w:rPr>
      </w:pPr>
    </w:p>
    <w:p>
      <w:pPr>
        <w:tabs>
          <w:tab w:val="center" w:pos="4365"/>
        </w:tabs>
        <w:spacing w:line="480" w:lineRule="auto"/>
        <w:jc w:val="center"/>
        <w:rPr>
          <w:rFonts w:ascii="宋体" w:hAnsi="宋体"/>
          <w:b/>
          <w:bCs/>
          <w:color w:val="auto"/>
          <w:sz w:val="32"/>
          <w:szCs w:val="32"/>
          <w:highlight w:val="none"/>
        </w:rPr>
      </w:pPr>
      <w:r>
        <w:rPr>
          <w:rFonts w:ascii="宋体" w:hAnsi="宋体"/>
          <w:b/>
          <w:bCs/>
          <w:color w:val="auto"/>
          <w:sz w:val="32"/>
          <w:szCs w:val="32"/>
          <w:highlight w:val="none"/>
        </w:rPr>
        <w:br w:type="page"/>
      </w:r>
    </w:p>
    <w:p>
      <w:pPr>
        <w:tabs>
          <w:tab w:val="center" w:pos="4365"/>
        </w:tabs>
        <w:spacing w:line="480" w:lineRule="auto"/>
        <w:jc w:val="center"/>
        <w:rPr>
          <w:rFonts w:ascii="宋体" w:hAnsi="宋体"/>
          <w:b/>
          <w:color w:val="auto"/>
          <w:sz w:val="52"/>
          <w:szCs w:val="52"/>
          <w:highlight w:val="none"/>
        </w:rPr>
      </w:pPr>
      <w:r>
        <w:rPr>
          <w:rFonts w:hint="eastAsia" w:ascii="宋体" w:hAnsi="宋体"/>
          <w:b/>
          <w:color w:val="auto"/>
          <w:sz w:val="52"/>
          <w:szCs w:val="52"/>
          <w:highlight w:val="none"/>
        </w:rPr>
        <w:t>目</w:t>
      </w:r>
      <w:r>
        <w:rPr>
          <w:rFonts w:ascii="宋体" w:hAnsi="宋体"/>
          <w:b/>
          <w:color w:val="auto"/>
          <w:sz w:val="52"/>
          <w:szCs w:val="52"/>
          <w:highlight w:val="none"/>
        </w:rPr>
        <w:t xml:space="preserve">  </w:t>
      </w:r>
      <w:r>
        <w:rPr>
          <w:rFonts w:hint="eastAsia" w:ascii="宋体" w:hAnsi="宋体"/>
          <w:b/>
          <w:color w:val="auto"/>
          <w:sz w:val="52"/>
          <w:szCs w:val="52"/>
          <w:highlight w:val="none"/>
        </w:rPr>
        <w:t>录</w:t>
      </w:r>
    </w:p>
    <w:p>
      <w:pPr>
        <w:pStyle w:val="30"/>
        <w:spacing w:line="1000" w:lineRule="exact"/>
        <w:rPr>
          <w:color w:val="auto"/>
          <w:sz w:val="28"/>
          <w:szCs w:val="28"/>
          <w:highlight w:val="none"/>
        </w:rPr>
      </w:pPr>
      <w:r>
        <w:rPr>
          <w:color w:val="auto"/>
          <w:highlight w:val="none"/>
        </w:rPr>
        <w:fldChar w:fldCharType="begin"/>
      </w:r>
      <w:r>
        <w:rPr>
          <w:color w:val="auto"/>
          <w:highlight w:val="none"/>
        </w:rPr>
        <w:instrText xml:space="preserve"> TOC \o "1-1" \h \z \u </w:instrText>
      </w:r>
      <w:r>
        <w:rPr>
          <w:color w:val="auto"/>
          <w:highlight w:val="none"/>
        </w:rPr>
        <w:fldChar w:fldCharType="separate"/>
      </w:r>
      <w:r>
        <w:rPr>
          <w:color w:val="auto"/>
          <w:highlight w:val="none"/>
        </w:rPr>
        <w:fldChar w:fldCharType="begin"/>
      </w:r>
      <w:r>
        <w:rPr>
          <w:color w:val="auto"/>
          <w:highlight w:val="none"/>
        </w:rPr>
        <w:instrText xml:space="preserve"> HYPERLINK \l "_Toc65915693" </w:instrText>
      </w:r>
      <w:r>
        <w:rPr>
          <w:color w:val="auto"/>
          <w:highlight w:val="none"/>
        </w:rPr>
        <w:fldChar w:fldCharType="separate"/>
      </w:r>
      <w:r>
        <w:rPr>
          <w:rStyle w:val="53"/>
          <w:rFonts w:hint="eastAsia"/>
          <w:color w:val="auto"/>
          <w:sz w:val="28"/>
          <w:szCs w:val="28"/>
          <w:highlight w:val="none"/>
        </w:rPr>
        <w:t>第一章</w:t>
      </w:r>
      <w:r>
        <w:rPr>
          <w:rStyle w:val="53"/>
          <w:color w:val="auto"/>
          <w:sz w:val="28"/>
          <w:szCs w:val="28"/>
          <w:highlight w:val="none"/>
        </w:rPr>
        <w:t xml:space="preserve">  </w:t>
      </w:r>
      <w:r>
        <w:rPr>
          <w:rStyle w:val="53"/>
          <w:rFonts w:hint="eastAsia"/>
          <w:color w:val="auto"/>
          <w:sz w:val="28"/>
          <w:szCs w:val="28"/>
          <w:highlight w:val="none"/>
        </w:rPr>
        <w:t>招标公告</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_Toc65915693 \h </w:instrText>
      </w:r>
      <w:r>
        <w:rPr>
          <w:color w:val="auto"/>
          <w:sz w:val="28"/>
          <w:szCs w:val="28"/>
          <w:highlight w:val="none"/>
        </w:rPr>
        <w:fldChar w:fldCharType="separate"/>
      </w:r>
      <w:r>
        <w:rPr>
          <w:color w:val="auto"/>
          <w:sz w:val="28"/>
          <w:szCs w:val="28"/>
          <w:highlight w:val="none"/>
        </w:rPr>
        <w:t>1</w:t>
      </w:r>
      <w:r>
        <w:rPr>
          <w:color w:val="auto"/>
          <w:sz w:val="28"/>
          <w:szCs w:val="28"/>
          <w:highlight w:val="none"/>
        </w:rPr>
        <w:fldChar w:fldCharType="end"/>
      </w:r>
      <w:r>
        <w:rPr>
          <w:color w:val="auto"/>
          <w:sz w:val="28"/>
          <w:szCs w:val="28"/>
          <w:highlight w:val="none"/>
        </w:rPr>
        <w:fldChar w:fldCharType="end"/>
      </w:r>
    </w:p>
    <w:p>
      <w:pPr>
        <w:pStyle w:val="30"/>
        <w:spacing w:line="1000" w:lineRule="exact"/>
        <w:rPr>
          <w:color w:val="auto"/>
          <w:sz w:val="28"/>
          <w:szCs w:val="28"/>
          <w:highlight w:val="none"/>
        </w:rPr>
      </w:pPr>
      <w:r>
        <w:rPr>
          <w:color w:val="auto"/>
          <w:highlight w:val="none"/>
        </w:rPr>
        <w:fldChar w:fldCharType="begin"/>
      </w:r>
      <w:r>
        <w:rPr>
          <w:color w:val="auto"/>
          <w:highlight w:val="none"/>
        </w:rPr>
        <w:instrText xml:space="preserve"> HYPERLINK \l "_Toc65915695" </w:instrText>
      </w:r>
      <w:r>
        <w:rPr>
          <w:color w:val="auto"/>
          <w:highlight w:val="none"/>
        </w:rPr>
        <w:fldChar w:fldCharType="separate"/>
      </w:r>
      <w:r>
        <w:rPr>
          <w:rStyle w:val="53"/>
          <w:rFonts w:hint="eastAsia"/>
          <w:color w:val="auto"/>
          <w:sz w:val="28"/>
          <w:szCs w:val="28"/>
          <w:highlight w:val="none"/>
        </w:rPr>
        <w:t>第二章</w:t>
      </w:r>
      <w:r>
        <w:rPr>
          <w:rStyle w:val="53"/>
          <w:color w:val="auto"/>
          <w:sz w:val="28"/>
          <w:szCs w:val="28"/>
          <w:highlight w:val="none"/>
        </w:rPr>
        <w:t xml:space="preserve">  </w:t>
      </w:r>
      <w:r>
        <w:rPr>
          <w:rStyle w:val="53"/>
          <w:rFonts w:hint="eastAsia"/>
          <w:color w:val="auto"/>
          <w:sz w:val="28"/>
          <w:szCs w:val="28"/>
          <w:highlight w:val="none"/>
        </w:rPr>
        <w:t>投标须知</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_Toc65915695 \h </w:instrText>
      </w:r>
      <w:r>
        <w:rPr>
          <w:color w:val="auto"/>
          <w:sz w:val="28"/>
          <w:szCs w:val="28"/>
          <w:highlight w:val="none"/>
        </w:rPr>
        <w:fldChar w:fldCharType="separate"/>
      </w:r>
      <w:r>
        <w:rPr>
          <w:color w:val="auto"/>
          <w:sz w:val="28"/>
          <w:szCs w:val="28"/>
          <w:highlight w:val="none"/>
        </w:rPr>
        <w:t>4</w:t>
      </w:r>
      <w:r>
        <w:rPr>
          <w:color w:val="auto"/>
          <w:sz w:val="28"/>
          <w:szCs w:val="28"/>
          <w:highlight w:val="none"/>
        </w:rPr>
        <w:fldChar w:fldCharType="end"/>
      </w:r>
      <w:r>
        <w:rPr>
          <w:color w:val="auto"/>
          <w:sz w:val="28"/>
          <w:szCs w:val="28"/>
          <w:highlight w:val="none"/>
        </w:rPr>
        <w:fldChar w:fldCharType="end"/>
      </w:r>
    </w:p>
    <w:p>
      <w:pPr>
        <w:pStyle w:val="30"/>
        <w:spacing w:line="1000" w:lineRule="exact"/>
        <w:rPr>
          <w:color w:val="auto"/>
          <w:sz w:val="28"/>
          <w:szCs w:val="28"/>
          <w:highlight w:val="none"/>
        </w:rPr>
      </w:pPr>
      <w:r>
        <w:rPr>
          <w:color w:val="auto"/>
          <w:highlight w:val="none"/>
        </w:rPr>
        <w:fldChar w:fldCharType="begin"/>
      </w:r>
      <w:r>
        <w:rPr>
          <w:color w:val="auto"/>
          <w:highlight w:val="none"/>
        </w:rPr>
        <w:instrText xml:space="preserve"> HYPERLINK \l "_Toc65915708" </w:instrText>
      </w:r>
      <w:r>
        <w:rPr>
          <w:color w:val="auto"/>
          <w:highlight w:val="none"/>
        </w:rPr>
        <w:fldChar w:fldCharType="separate"/>
      </w:r>
      <w:r>
        <w:rPr>
          <w:rStyle w:val="53"/>
          <w:rFonts w:hint="eastAsia"/>
          <w:color w:val="auto"/>
          <w:sz w:val="28"/>
          <w:szCs w:val="28"/>
          <w:highlight w:val="none"/>
        </w:rPr>
        <w:t>第三章</w:t>
      </w:r>
      <w:r>
        <w:rPr>
          <w:rStyle w:val="53"/>
          <w:color w:val="auto"/>
          <w:sz w:val="28"/>
          <w:szCs w:val="28"/>
          <w:highlight w:val="none"/>
        </w:rPr>
        <w:t xml:space="preserve">  </w:t>
      </w:r>
      <w:r>
        <w:rPr>
          <w:rStyle w:val="53"/>
          <w:rFonts w:hint="eastAsia"/>
          <w:color w:val="auto"/>
          <w:sz w:val="28"/>
          <w:szCs w:val="28"/>
          <w:highlight w:val="none"/>
        </w:rPr>
        <w:t>评标办</w:t>
      </w:r>
      <w:bookmarkStart w:id="0" w:name="_Hlt108008967"/>
      <w:bookmarkStart w:id="1" w:name="_Hlt108008968"/>
      <w:r>
        <w:rPr>
          <w:rStyle w:val="53"/>
          <w:rFonts w:hint="eastAsia"/>
          <w:color w:val="auto"/>
          <w:sz w:val="28"/>
          <w:szCs w:val="28"/>
          <w:highlight w:val="none"/>
        </w:rPr>
        <w:t>法</w:t>
      </w:r>
      <w:bookmarkEnd w:id="0"/>
      <w:bookmarkEnd w:id="1"/>
      <w:bookmarkStart w:id="2" w:name="_Hlt103948351"/>
      <w:r>
        <w:rPr>
          <w:rStyle w:val="53"/>
          <w:rFonts w:hint="eastAsia"/>
          <w:color w:val="auto"/>
          <w:sz w:val="28"/>
          <w:szCs w:val="28"/>
          <w:highlight w:val="none"/>
        </w:rPr>
        <w:t>及</w:t>
      </w:r>
      <w:bookmarkEnd w:id="2"/>
      <w:r>
        <w:rPr>
          <w:rStyle w:val="53"/>
          <w:rFonts w:hint="eastAsia"/>
          <w:color w:val="auto"/>
          <w:sz w:val="28"/>
          <w:szCs w:val="28"/>
          <w:highlight w:val="none"/>
        </w:rPr>
        <w:t>标准</w:t>
      </w:r>
      <w:bookmarkStart w:id="3" w:name="_Hlt66093867"/>
      <w:bookmarkStart w:id="4" w:name="_Hlt66093868"/>
      <w:r>
        <w:rPr>
          <w:color w:val="auto"/>
          <w:sz w:val="28"/>
          <w:szCs w:val="28"/>
          <w:highlight w:val="none"/>
        </w:rPr>
        <w:tab/>
      </w:r>
      <w:bookmarkEnd w:id="3"/>
      <w:bookmarkEnd w:id="4"/>
      <w:r>
        <w:rPr>
          <w:color w:val="auto"/>
          <w:sz w:val="28"/>
          <w:szCs w:val="28"/>
          <w:highlight w:val="none"/>
        </w:rPr>
        <w:fldChar w:fldCharType="begin"/>
      </w:r>
      <w:r>
        <w:rPr>
          <w:color w:val="auto"/>
          <w:sz w:val="28"/>
          <w:szCs w:val="28"/>
          <w:highlight w:val="none"/>
        </w:rPr>
        <w:instrText xml:space="preserve"> PAGEREF _Toc65915708 \h </w:instrText>
      </w:r>
      <w:r>
        <w:rPr>
          <w:color w:val="auto"/>
          <w:sz w:val="28"/>
          <w:szCs w:val="28"/>
          <w:highlight w:val="none"/>
        </w:rPr>
        <w:fldChar w:fldCharType="separate"/>
      </w:r>
      <w:r>
        <w:rPr>
          <w:color w:val="auto"/>
          <w:sz w:val="28"/>
          <w:szCs w:val="28"/>
          <w:highlight w:val="none"/>
        </w:rPr>
        <w:t>10</w:t>
      </w:r>
      <w:r>
        <w:rPr>
          <w:color w:val="auto"/>
          <w:sz w:val="28"/>
          <w:szCs w:val="28"/>
          <w:highlight w:val="none"/>
        </w:rPr>
        <w:fldChar w:fldCharType="end"/>
      </w:r>
      <w:r>
        <w:rPr>
          <w:color w:val="auto"/>
          <w:sz w:val="28"/>
          <w:szCs w:val="28"/>
          <w:highlight w:val="none"/>
        </w:rPr>
        <w:fldChar w:fldCharType="end"/>
      </w:r>
    </w:p>
    <w:p>
      <w:pPr>
        <w:pStyle w:val="30"/>
        <w:spacing w:line="1000" w:lineRule="exact"/>
        <w:rPr>
          <w:color w:val="auto"/>
          <w:sz w:val="28"/>
          <w:szCs w:val="28"/>
          <w:highlight w:val="none"/>
        </w:rPr>
      </w:pPr>
      <w:r>
        <w:rPr>
          <w:color w:val="auto"/>
          <w:highlight w:val="none"/>
        </w:rPr>
        <w:fldChar w:fldCharType="begin"/>
      </w:r>
      <w:r>
        <w:rPr>
          <w:color w:val="auto"/>
          <w:highlight w:val="none"/>
        </w:rPr>
        <w:instrText xml:space="preserve"> HYPERLINK \l "_Toc65915709" </w:instrText>
      </w:r>
      <w:r>
        <w:rPr>
          <w:color w:val="auto"/>
          <w:highlight w:val="none"/>
        </w:rPr>
        <w:fldChar w:fldCharType="separate"/>
      </w:r>
      <w:r>
        <w:rPr>
          <w:rStyle w:val="53"/>
          <w:rFonts w:hint="eastAsia"/>
          <w:color w:val="auto"/>
          <w:sz w:val="28"/>
          <w:szCs w:val="28"/>
          <w:highlight w:val="none"/>
        </w:rPr>
        <w:t>第四章</w:t>
      </w:r>
      <w:r>
        <w:rPr>
          <w:rStyle w:val="53"/>
          <w:color w:val="auto"/>
          <w:sz w:val="28"/>
          <w:szCs w:val="28"/>
          <w:highlight w:val="none"/>
        </w:rPr>
        <w:t xml:space="preserve">  </w:t>
      </w:r>
      <w:r>
        <w:rPr>
          <w:rStyle w:val="53"/>
          <w:rFonts w:hint="eastAsia"/>
          <w:color w:val="auto"/>
          <w:sz w:val="28"/>
          <w:szCs w:val="28"/>
          <w:highlight w:val="none"/>
        </w:rPr>
        <w:t>采购合同样本</w:t>
      </w:r>
      <w:bookmarkStart w:id="5" w:name="_Hlt105757277"/>
      <w:bookmarkStart w:id="6" w:name="_Hlt105481244"/>
      <w:bookmarkStart w:id="7" w:name="_Hlt105481243"/>
      <w:r>
        <w:rPr>
          <w:color w:val="auto"/>
          <w:sz w:val="28"/>
          <w:szCs w:val="28"/>
          <w:highlight w:val="none"/>
        </w:rPr>
        <w:tab/>
      </w:r>
      <w:bookmarkEnd w:id="5"/>
      <w:bookmarkEnd w:id="6"/>
      <w:bookmarkEnd w:id="7"/>
      <w:r>
        <w:rPr>
          <w:color w:val="auto"/>
          <w:sz w:val="28"/>
          <w:szCs w:val="28"/>
          <w:highlight w:val="none"/>
        </w:rPr>
        <w:fldChar w:fldCharType="begin"/>
      </w:r>
      <w:r>
        <w:rPr>
          <w:color w:val="auto"/>
          <w:sz w:val="28"/>
          <w:szCs w:val="28"/>
          <w:highlight w:val="none"/>
        </w:rPr>
        <w:instrText xml:space="preserve"> PAGEREF _Toc65915709 \h </w:instrText>
      </w:r>
      <w:r>
        <w:rPr>
          <w:color w:val="auto"/>
          <w:sz w:val="28"/>
          <w:szCs w:val="28"/>
          <w:highlight w:val="none"/>
        </w:rPr>
        <w:fldChar w:fldCharType="separate"/>
      </w:r>
      <w:r>
        <w:rPr>
          <w:color w:val="auto"/>
          <w:sz w:val="28"/>
          <w:szCs w:val="28"/>
          <w:highlight w:val="none"/>
        </w:rPr>
        <w:t>20</w:t>
      </w:r>
      <w:r>
        <w:rPr>
          <w:color w:val="auto"/>
          <w:sz w:val="28"/>
          <w:szCs w:val="28"/>
          <w:highlight w:val="none"/>
        </w:rPr>
        <w:fldChar w:fldCharType="end"/>
      </w:r>
      <w:r>
        <w:rPr>
          <w:color w:val="auto"/>
          <w:sz w:val="28"/>
          <w:szCs w:val="28"/>
          <w:highlight w:val="none"/>
        </w:rPr>
        <w:fldChar w:fldCharType="end"/>
      </w:r>
    </w:p>
    <w:p>
      <w:pPr>
        <w:pStyle w:val="30"/>
        <w:spacing w:line="1000" w:lineRule="exact"/>
        <w:rPr>
          <w:color w:val="auto"/>
          <w:sz w:val="28"/>
          <w:szCs w:val="28"/>
          <w:highlight w:val="none"/>
        </w:rPr>
      </w:pPr>
      <w:r>
        <w:rPr>
          <w:color w:val="auto"/>
          <w:highlight w:val="none"/>
        </w:rPr>
        <w:fldChar w:fldCharType="begin"/>
      </w:r>
      <w:r>
        <w:rPr>
          <w:color w:val="auto"/>
          <w:highlight w:val="none"/>
        </w:rPr>
        <w:instrText xml:space="preserve"> HYPERLINK \l "_Toc65915710" </w:instrText>
      </w:r>
      <w:r>
        <w:rPr>
          <w:color w:val="auto"/>
          <w:highlight w:val="none"/>
        </w:rPr>
        <w:fldChar w:fldCharType="separate"/>
      </w:r>
      <w:r>
        <w:rPr>
          <w:rStyle w:val="53"/>
          <w:rFonts w:hint="eastAsia"/>
          <w:color w:val="auto"/>
          <w:sz w:val="28"/>
          <w:szCs w:val="28"/>
          <w:highlight w:val="none"/>
        </w:rPr>
        <w:t>第五章</w:t>
      </w:r>
      <w:r>
        <w:rPr>
          <w:rStyle w:val="53"/>
          <w:color w:val="auto"/>
          <w:sz w:val="28"/>
          <w:szCs w:val="28"/>
          <w:highlight w:val="none"/>
        </w:rPr>
        <w:t xml:space="preserve">  </w:t>
      </w:r>
      <w:r>
        <w:rPr>
          <w:rStyle w:val="53"/>
          <w:rFonts w:hint="eastAsia"/>
          <w:color w:val="auto"/>
          <w:sz w:val="28"/>
          <w:szCs w:val="28"/>
          <w:highlight w:val="none"/>
        </w:rPr>
        <w:t>招标内</w:t>
      </w:r>
      <w:bookmarkStart w:id="8" w:name="_Hlt105918519"/>
      <w:r>
        <w:rPr>
          <w:rStyle w:val="53"/>
          <w:rFonts w:hint="eastAsia"/>
          <w:color w:val="auto"/>
          <w:sz w:val="28"/>
          <w:szCs w:val="28"/>
          <w:highlight w:val="none"/>
        </w:rPr>
        <w:t>容</w:t>
      </w:r>
      <w:bookmarkEnd w:id="8"/>
      <w:r>
        <w:rPr>
          <w:rStyle w:val="53"/>
          <w:rFonts w:hint="eastAsia"/>
          <w:color w:val="auto"/>
          <w:sz w:val="28"/>
          <w:szCs w:val="28"/>
          <w:highlight w:val="none"/>
        </w:rPr>
        <w:t>与</w:t>
      </w:r>
      <w:bookmarkStart w:id="9" w:name="_Hlt105860468"/>
      <w:bookmarkStart w:id="10" w:name="_Hlt105860469"/>
      <w:r>
        <w:rPr>
          <w:rStyle w:val="53"/>
          <w:rFonts w:hint="eastAsia"/>
          <w:color w:val="auto"/>
          <w:sz w:val="28"/>
          <w:szCs w:val="28"/>
          <w:highlight w:val="none"/>
        </w:rPr>
        <w:t>技</w:t>
      </w:r>
      <w:bookmarkEnd w:id="9"/>
      <w:bookmarkEnd w:id="10"/>
      <w:r>
        <w:rPr>
          <w:rStyle w:val="53"/>
          <w:rFonts w:hint="eastAsia"/>
          <w:color w:val="auto"/>
          <w:sz w:val="28"/>
          <w:szCs w:val="28"/>
          <w:highlight w:val="none"/>
        </w:rPr>
        <w:t>术需求</w:t>
      </w:r>
      <w:bookmarkStart w:id="11" w:name="_Hlt65915789"/>
      <w:r>
        <w:rPr>
          <w:color w:val="auto"/>
          <w:sz w:val="28"/>
          <w:szCs w:val="28"/>
          <w:highlight w:val="none"/>
        </w:rPr>
        <w:tab/>
      </w:r>
      <w:bookmarkEnd w:id="11"/>
      <w:r>
        <w:rPr>
          <w:color w:val="auto"/>
          <w:sz w:val="28"/>
          <w:szCs w:val="28"/>
          <w:highlight w:val="none"/>
        </w:rPr>
        <w:fldChar w:fldCharType="begin"/>
      </w:r>
      <w:r>
        <w:rPr>
          <w:color w:val="auto"/>
          <w:sz w:val="28"/>
          <w:szCs w:val="28"/>
          <w:highlight w:val="none"/>
        </w:rPr>
        <w:instrText xml:space="preserve"> PAGEREF _Toc65915710 \h </w:instrText>
      </w:r>
      <w:r>
        <w:rPr>
          <w:color w:val="auto"/>
          <w:sz w:val="28"/>
          <w:szCs w:val="28"/>
          <w:highlight w:val="none"/>
        </w:rPr>
        <w:fldChar w:fldCharType="separate"/>
      </w:r>
      <w:r>
        <w:rPr>
          <w:color w:val="auto"/>
          <w:sz w:val="28"/>
          <w:szCs w:val="28"/>
          <w:highlight w:val="none"/>
        </w:rPr>
        <w:t>24</w:t>
      </w:r>
      <w:r>
        <w:rPr>
          <w:color w:val="auto"/>
          <w:sz w:val="28"/>
          <w:szCs w:val="28"/>
          <w:highlight w:val="none"/>
        </w:rPr>
        <w:fldChar w:fldCharType="end"/>
      </w:r>
      <w:r>
        <w:rPr>
          <w:color w:val="auto"/>
          <w:sz w:val="28"/>
          <w:szCs w:val="28"/>
          <w:highlight w:val="none"/>
        </w:rPr>
        <w:fldChar w:fldCharType="end"/>
      </w:r>
    </w:p>
    <w:p>
      <w:pPr>
        <w:pStyle w:val="30"/>
        <w:spacing w:line="1000" w:lineRule="exact"/>
        <w:rPr>
          <w:color w:val="auto"/>
          <w:sz w:val="28"/>
          <w:szCs w:val="28"/>
          <w:highlight w:val="none"/>
        </w:rPr>
      </w:pPr>
      <w:r>
        <w:rPr>
          <w:color w:val="auto"/>
          <w:highlight w:val="none"/>
        </w:rPr>
        <w:fldChar w:fldCharType="begin"/>
      </w:r>
      <w:r>
        <w:rPr>
          <w:color w:val="auto"/>
          <w:highlight w:val="none"/>
        </w:rPr>
        <w:instrText xml:space="preserve"> HYPERLINK \l "_Toc65915713" </w:instrText>
      </w:r>
      <w:r>
        <w:rPr>
          <w:color w:val="auto"/>
          <w:highlight w:val="none"/>
        </w:rPr>
        <w:fldChar w:fldCharType="separate"/>
      </w:r>
      <w:r>
        <w:rPr>
          <w:rStyle w:val="53"/>
          <w:rFonts w:hint="eastAsia"/>
          <w:color w:val="auto"/>
          <w:sz w:val="28"/>
          <w:szCs w:val="28"/>
          <w:highlight w:val="none"/>
        </w:rPr>
        <w:t>第六章</w:t>
      </w:r>
      <w:r>
        <w:rPr>
          <w:rStyle w:val="53"/>
          <w:color w:val="auto"/>
          <w:sz w:val="28"/>
          <w:szCs w:val="28"/>
          <w:highlight w:val="none"/>
        </w:rPr>
        <w:t xml:space="preserve">  </w:t>
      </w:r>
      <w:r>
        <w:rPr>
          <w:rStyle w:val="53"/>
          <w:rFonts w:hint="eastAsia"/>
          <w:color w:val="auto"/>
          <w:sz w:val="28"/>
          <w:szCs w:val="28"/>
          <w:highlight w:val="none"/>
        </w:rPr>
        <w:t>商务条款</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_Toc65915713 \h </w:instrText>
      </w:r>
      <w:r>
        <w:rPr>
          <w:color w:val="auto"/>
          <w:sz w:val="28"/>
          <w:szCs w:val="28"/>
          <w:highlight w:val="none"/>
        </w:rPr>
        <w:fldChar w:fldCharType="separate"/>
      </w:r>
      <w:r>
        <w:rPr>
          <w:color w:val="auto"/>
          <w:sz w:val="28"/>
          <w:szCs w:val="28"/>
          <w:highlight w:val="none"/>
        </w:rPr>
        <w:t>26</w:t>
      </w:r>
      <w:r>
        <w:rPr>
          <w:color w:val="auto"/>
          <w:sz w:val="28"/>
          <w:szCs w:val="28"/>
          <w:highlight w:val="none"/>
        </w:rPr>
        <w:fldChar w:fldCharType="end"/>
      </w:r>
      <w:r>
        <w:rPr>
          <w:color w:val="auto"/>
          <w:sz w:val="28"/>
          <w:szCs w:val="28"/>
          <w:highlight w:val="none"/>
        </w:rPr>
        <w:fldChar w:fldCharType="end"/>
      </w:r>
    </w:p>
    <w:p>
      <w:pPr>
        <w:pStyle w:val="30"/>
        <w:spacing w:line="1000" w:lineRule="exact"/>
        <w:rPr>
          <w:color w:val="auto"/>
          <w:sz w:val="21"/>
          <w:szCs w:val="22"/>
          <w:highlight w:val="none"/>
        </w:rPr>
      </w:pPr>
      <w:r>
        <w:rPr>
          <w:color w:val="auto"/>
          <w:highlight w:val="none"/>
        </w:rPr>
        <w:fldChar w:fldCharType="begin"/>
      </w:r>
      <w:r>
        <w:rPr>
          <w:color w:val="auto"/>
          <w:highlight w:val="none"/>
        </w:rPr>
        <w:instrText xml:space="preserve"> HYPERLINK \l "_Toc65915714" </w:instrText>
      </w:r>
      <w:r>
        <w:rPr>
          <w:color w:val="auto"/>
          <w:highlight w:val="none"/>
        </w:rPr>
        <w:fldChar w:fldCharType="separate"/>
      </w:r>
      <w:r>
        <w:rPr>
          <w:rStyle w:val="53"/>
          <w:rFonts w:hint="eastAsia"/>
          <w:color w:val="auto"/>
          <w:sz w:val="28"/>
          <w:szCs w:val="28"/>
          <w:highlight w:val="none"/>
        </w:rPr>
        <w:t>第七章</w:t>
      </w:r>
      <w:r>
        <w:rPr>
          <w:rStyle w:val="53"/>
          <w:color w:val="auto"/>
          <w:sz w:val="28"/>
          <w:szCs w:val="28"/>
          <w:highlight w:val="none"/>
        </w:rPr>
        <w:t xml:space="preserve">  </w:t>
      </w:r>
      <w:r>
        <w:rPr>
          <w:rStyle w:val="53"/>
          <w:rFonts w:hint="eastAsia"/>
          <w:color w:val="auto"/>
          <w:sz w:val="28"/>
          <w:szCs w:val="28"/>
          <w:highlight w:val="none"/>
        </w:rPr>
        <w:t>附件</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_Toc65915714 \h </w:instrText>
      </w:r>
      <w:r>
        <w:rPr>
          <w:color w:val="auto"/>
          <w:sz w:val="28"/>
          <w:szCs w:val="28"/>
          <w:highlight w:val="none"/>
        </w:rPr>
        <w:fldChar w:fldCharType="separate"/>
      </w:r>
      <w:r>
        <w:rPr>
          <w:color w:val="auto"/>
          <w:sz w:val="28"/>
          <w:szCs w:val="28"/>
          <w:highlight w:val="none"/>
        </w:rPr>
        <w:t>27</w:t>
      </w:r>
      <w:r>
        <w:rPr>
          <w:color w:val="auto"/>
          <w:sz w:val="28"/>
          <w:szCs w:val="28"/>
          <w:highlight w:val="none"/>
        </w:rPr>
        <w:fldChar w:fldCharType="end"/>
      </w:r>
      <w:r>
        <w:rPr>
          <w:color w:val="auto"/>
          <w:sz w:val="28"/>
          <w:szCs w:val="28"/>
          <w:highlight w:val="none"/>
        </w:rPr>
        <w:fldChar w:fldCharType="end"/>
      </w:r>
    </w:p>
    <w:p>
      <w:pPr>
        <w:spacing w:line="1000" w:lineRule="exact"/>
        <w:jc w:val="center"/>
        <w:rPr>
          <w:rFonts w:ascii="宋体" w:hAnsi="宋体"/>
          <w:b/>
          <w:color w:val="auto"/>
          <w:sz w:val="32"/>
          <w:highlight w:val="none"/>
        </w:rPr>
        <w:sectPr>
          <w:headerReference r:id="rId6" w:type="default"/>
          <w:type w:val="nextColumn"/>
          <w:pgSz w:w="11907" w:h="16840"/>
          <w:pgMar w:top="1135" w:right="1275" w:bottom="854" w:left="1588" w:header="569" w:footer="700" w:gutter="0"/>
          <w:cols w:space="720" w:num="1"/>
          <w:docGrid w:linePitch="285" w:charSpace="0"/>
        </w:sectPr>
      </w:pPr>
      <w:r>
        <w:rPr>
          <w:rFonts w:ascii="宋体" w:hAnsi="宋体"/>
          <w:color w:val="auto"/>
          <w:sz w:val="32"/>
          <w:szCs w:val="32"/>
          <w:highlight w:val="none"/>
        </w:rPr>
        <w:fldChar w:fldCharType="end"/>
      </w:r>
    </w:p>
    <w:p>
      <w:pPr>
        <w:spacing w:line="400" w:lineRule="exact"/>
        <w:jc w:val="center"/>
        <w:outlineLvl w:val="0"/>
        <w:rPr>
          <w:rFonts w:ascii="宋体" w:hAnsi="宋体"/>
          <w:b/>
          <w:color w:val="auto"/>
          <w:sz w:val="32"/>
          <w:highlight w:val="none"/>
        </w:rPr>
      </w:pPr>
      <w:bookmarkStart w:id="12" w:name="_Toc21541005"/>
      <w:bookmarkStart w:id="13" w:name="_Toc65915693"/>
      <w:r>
        <w:rPr>
          <w:rFonts w:hint="eastAsia" w:ascii="宋体" w:hAnsi="宋体"/>
          <w:b/>
          <w:color w:val="auto"/>
          <w:sz w:val="32"/>
          <w:highlight w:val="none"/>
        </w:rPr>
        <w:t>第一章</w:t>
      </w:r>
      <w:r>
        <w:rPr>
          <w:rFonts w:ascii="宋体" w:hAnsi="宋体"/>
          <w:b/>
          <w:color w:val="auto"/>
          <w:sz w:val="32"/>
          <w:highlight w:val="none"/>
        </w:rPr>
        <w:t xml:space="preserve">  </w:t>
      </w:r>
      <w:r>
        <w:rPr>
          <w:rFonts w:hint="eastAsia" w:ascii="宋体" w:hAnsi="宋体"/>
          <w:b/>
          <w:color w:val="auto"/>
          <w:sz w:val="32"/>
          <w:highlight w:val="none"/>
        </w:rPr>
        <w:t>招标公告</w:t>
      </w:r>
      <w:bookmarkEnd w:id="12"/>
      <w:bookmarkEnd w:id="13"/>
    </w:p>
    <w:p>
      <w:pPr>
        <w:spacing w:line="400" w:lineRule="exact"/>
        <w:rPr>
          <w:rFonts w:ascii="宋体" w:hAnsi="宋体" w:cs="宋体"/>
          <w:color w:val="auto"/>
          <w:szCs w:val="21"/>
          <w:highlight w:val="none"/>
        </w:rPr>
      </w:pPr>
      <w:r>
        <w:rPr>
          <w:rFonts w:hint="eastAsia" w:ascii="宋体" w:hAnsi="宋体" w:cs="宋体"/>
          <w:color w:val="auto"/>
          <w:szCs w:val="21"/>
          <w:highlight w:val="none"/>
        </w:rPr>
        <w:t>发布日期：</w:t>
      </w:r>
      <w:r>
        <w:rPr>
          <w:rFonts w:hint="eastAsia" w:ascii="宋体" w:hAnsi="宋体" w:cs="宋体"/>
          <w:color w:val="auto"/>
          <w:szCs w:val="21"/>
          <w:highlight w:val="none"/>
          <w:lang w:eastAsia="zh-CN"/>
        </w:rPr>
        <w:t>2023年</w:t>
      </w:r>
      <w:r>
        <w:rPr>
          <w:rFonts w:hint="eastAsia" w:ascii="宋体" w:hAnsi="宋体" w:cs="宋体"/>
          <w:color w:val="auto"/>
          <w:szCs w:val="21"/>
          <w:highlight w:val="none"/>
          <w:lang w:val="en-US" w:eastAsia="zh-CN"/>
        </w:rPr>
        <w:t>12</w:t>
      </w:r>
      <w:r>
        <w:rPr>
          <w:rFonts w:hint="eastAsia" w:ascii="宋体" w:hAnsi="宋体" w:cs="宋体"/>
          <w:color w:val="auto"/>
          <w:szCs w:val="21"/>
          <w:highlight w:val="none"/>
          <w:lang w:eastAsia="zh-CN"/>
        </w:rPr>
        <w:t>月</w:t>
      </w:r>
      <w:r>
        <w:rPr>
          <w:rFonts w:hint="eastAsia" w:ascii="宋体" w:hAnsi="宋体" w:cs="宋体"/>
          <w:color w:val="auto"/>
          <w:szCs w:val="21"/>
          <w:highlight w:val="none"/>
          <w:lang w:val="en-US" w:eastAsia="zh-CN"/>
        </w:rPr>
        <w:t>15</w:t>
      </w:r>
      <w:r>
        <w:rPr>
          <w:rFonts w:hint="eastAsia" w:ascii="宋体" w:hAnsi="宋体" w:cs="宋体"/>
          <w:color w:val="auto"/>
          <w:szCs w:val="21"/>
          <w:highlight w:val="none"/>
        </w:rPr>
        <w:t>日</w:t>
      </w:r>
    </w:p>
    <w:p>
      <w:pPr>
        <w:pStyle w:val="40"/>
        <w:spacing w:before="0" w:beforeAutospacing="0" w:after="0" w:afterAutospacing="0" w:line="400" w:lineRule="exact"/>
        <w:ind w:firstLine="422" w:firstLineChars="200"/>
        <w:rPr>
          <w:b/>
          <w:color w:val="auto"/>
          <w:sz w:val="21"/>
          <w:szCs w:val="21"/>
          <w:highlight w:val="none"/>
        </w:rPr>
      </w:pPr>
      <w:r>
        <w:rPr>
          <w:rFonts w:hint="eastAsia"/>
          <w:b/>
          <w:color w:val="auto"/>
          <w:sz w:val="21"/>
          <w:szCs w:val="21"/>
          <w:highlight w:val="none"/>
        </w:rPr>
        <w:t>项目概况</w:t>
      </w:r>
    </w:p>
    <w:p>
      <w:pPr>
        <w:pStyle w:val="40"/>
        <w:spacing w:before="0" w:beforeAutospacing="0" w:after="0" w:afterAutospacing="0" w:line="400" w:lineRule="exact"/>
        <w:ind w:firstLine="420" w:firstLineChars="200"/>
        <w:rPr>
          <w:color w:val="auto"/>
          <w:sz w:val="21"/>
          <w:szCs w:val="21"/>
          <w:highlight w:val="none"/>
        </w:rPr>
      </w:pPr>
      <w:r>
        <w:rPr>
          <w:rFonts w:hint="eastAsia"/>
          <w:color w:val="auto"/>
          <w:sz w:val="21"/>
          <w:szCs w:val="21"/>
          <w:highlight w:val="none"/>
          <w:lang w:eastAsia="zh-CN"/>
        </w:rPr>
        <w:t>温州医科大学慈溪生物医药研究院三维皮肤气液交换培养生物反应器采购项目</w:t>
      </w:r>
      <w:r>
        <w:rPr>
          <w:rFonts w:hint="eastAsia"/>
          <w:color w:val="auto"/>
          <w:sz w:val="21"/>
          <w:szCs w:val="21"/>
          <w:highlight w:val="none"/>
        </w:rPr>
        <w:t>招标项目的潜在投标人应在政府采购云平台（www.zcygov.cn）获取（下载）招标文件，并于</w:t>
      </w:r>
      <w:r>
        <w:rPr>
          <w:rFonts w:hint="eastAsia"/>
          <w:color w:val="auto"/>
          <w:sz w:val="21"/>
          <w:szCs w:val="21"/>
          <w:highlight w:val="none"/>
          <w:lang w:eastAsia="zh-CN"/>
        </w:rPr>
        <w:t>202</w:t>
      </w:r>
      <w:r>
        <w:rPr>
          <w:rFonts w:hint="eastAsia"/>
          <w:color w:val="auto"/>
          <w:sz w:val="21"/>
          <w:szCs w:val="21"/>
          <w:highlight w:val="none"/>
          <w:lang w:val="en-US" w:eastAsia="zh-CN"/>
        </w:rPr>
        <w:t>4</w:t>
      </w:r>
      <w:r>
        <w:rPr>
          <w:rFonts w:hint="eastAsia"/>
          <w:color w:val="auto"/>
          <w:sz w:val="21"/>
          <w:szCs w:val="21"/>
          <w:highlight w:val="none"/>
          <w:lang w:eastAsia="zh-CN"/>
        </w:rPr>
        <w:t>年</w:t>
      </w:r>
      <w:r>
        <w:rPr>
          <w:rFonts w:hint="eastAsia"/>
          <w:color w:val="auto"/>
          <w:sz w:val="21"/>
          <w:szCs w:val="21"/>
          <w:highlight w:val="none"/>
          <w:lang w:val="en-US" w:eastAsia="zh-CN"/>
        </w:rPr>
        <w:t>1</w:t>
      </w:r>
      <w:r>
        <w:rPr>
          <w:rFonts w:hint="eastAsia"/>
          <w:color w:val="auto"/>
          <w:sz w:val="21"/>
          <w:szCs w:val="21"/>
          <w:highlight w:val="none"/>
          <w:lang w:eastAsia="zh-CN"/>
        </w:rPr>
        <w:t>月</w:t>
      </w:r>
      <w:r>
        <w:rPr>
          <w:rFonts w:hint="eastAsia"/>
          <w:color w:val="auto"/>
          <w:sz w:val="21"/>
          <w:szCs w:val="21"/>
          <w:highlight w:val="none"/>
          <w:lang w:val="en-US" w:eastAsia="zh-CN"/>
        </w:rPr>
        <w:t>8</w:t>
      </w:r>
      <w:r>
        <w:rPr>
          <w:rFonts w:hint="eastAsia"/>
          <w:color w:val="auto"/>
          <w:sz w:val="21"/>
          <w:szCs w:val="21"/>
          <w:highlight w:val="none"/>
          <w:lang w:eastAsia="zh-CN"/>
        </w:rPr>
        <w:t>日</w:t>
      </w:r>
      <w:r>
        <w:rPr>
          <w:rFonts w:hint="eastAsia"/>
          <w:color w:val="auto"/>
          <w:sz w:val="21"/>
          <w:szCs w:val="21"/>
          <w:highlight w:val="none"/>
          <w:lang w:val="en-US" w:eastAsia="zh-CN"/>
        </w:rPr>
        <w:t>9</w:t>
      </w:r>
      <w:r>
        <w:rPr>
          <w:rFonts w:hint="eastAsia"/>
          <w:color w:val="auto"/>
          <w:sz w:val="21"/>
          <w:szCs w:val="21"/>
          <w:highlight w:val="none"/>
          <w:lang w:eastAsia="zh-CN"/>
        </w:rPr>
        <w:t>：30（北京时间）</w:t>
      </w:r>
      <w:r>
        <w:rPr>
          <w:rFonts w:hint="eastAsia"/>
          <w:color w:val="auto"/>
          <w:sz w:val="21"/>
          <w:szCs w:val="21"/>
          <w:highlight w:val="none"/>
        </w:rPr>
        <w:t>前递交（上传）投标文件。</w:t>
      </w:r>
    </w:p>
    <w:p>
      <w:pPr>
        <w:pStyle w:val="40"/>
        <w:spacing w:before="0" w:beforeAutospacing="0" w:after="0" w:afterAutospacing="0" w:line="400" w:lineRule="exact"/>
        <w:jc w:val="both"/>
        <w:rPr>
          <w:color w:val="auto"/>
          <w:sz w:val="21"/>
          <w:szCs w:val="21"/>
          <w:highlight w:val="none"/>
        </w:rPr>
      </w:pPr>
      <w:r>
        <w:rPr>
          <w:rStyle w:val="48"/>
          <w:rFonts w:hint="eastAsia"/>
          <w:color w:val="auto"/>
          <w:sz w:val="21"/>
          <w:szCs w:val="21"/>
          <w:highlight w:val="none"/>
        </w:rPr>
        <w:t>一、项目基本情况</w:t>
      </w:r>
    </w:p>
    <w:p>
      <w:pPr>
        <w:pStyle w:val="40"/>
        <w:spacing w:before="0" w:beforeAutospacing="0" w:after="0" w:afterAutospacing="0" w:line="400" w:lineRule="exact"/>
        <w:ind w:firstLine="420" w:firstLineChars="200"/>
        <w:rPr>
          <w:rFonts w:hint="eastAsia" w:eastAsia="宋体"/>
          <w:color w:val="auto"/>
          <w:sz w:val="21"/>
          <w:szCs w:val="21"/>
          <w:highlight w:val="none"/>
          <w:lang w:eastAsia="zh-CN"/>
        </w:rPr>
      </w:pPr>
      <w:r>
        <w:rPr>
          <w:rFonts w:hint="eastAsia"/>
          <w:color w:val="auto"/>
          <w:sz w:val="21"/>
          <w:szCs w:val="21"/>
          <w:highlight w:val="none"/>
        </w:rPr>
        <w:t>项目编号：330282202311009365</w:t>
      </w:r>
      <w:r>
        <w:rPr>
          <w:rFonts w:hint="eastAsia"/>
          <w:color w:val="auto"/>
          <w:sz w:val="21"/>
          <w:szCs w:val="21"/>
          <w:highlight w:val="none"/>
          <w:lang w:val="en-US" w:eastAsia="zh-CN"/>
        </w:rPr>
        <w:t xml:space="preserve"> </w:t>
      </w:r>
    </w:p>
    <w:p>
      <w:pPr>
        <w:pStyle w:val="40"/>
        <w:spacing w:before="0" w:beforeAutospacing="0" w:after="0" w:afterAutospacing="0" w:line="400" w:lineRule="exact"/>
        <w:ind w:firstLine="420" w:firstLineChars="200"/>
        <w:rPr>
          <w:rFonts w:hint="eastAsia" w:eastAsia="宋体"/>
          <w:color w:val="auto"/>
          <w:sz w:val="21"/>
          <w:szCs w:val="21"/>
          <w:highlight w:val="none"/>
          <w:lang w:eastAsia="zh-CN"/>
        </w:rPr>
      </w:pPr>
      <w:r>
        <w:rPr>
          <w:rFonts w:hint="eastAsia"/>
          <w:color w:val="auto"/>
          <w:sz w:val="21"/>
          <w:szCs w:val="21"/>
          <w:highlight w:val="none"/>
        </w:rPr>
        <w:t>项目名称：</w:t>
      </w:r>
      <w:r>
        <w:rPr>
          <w:rFonts w:hint="eastAsia"/>
          <w:color w:val="auto"/>
          <w:sz w:val="21"/>
          <w:szCs w:val="21"/>
          <w:highlight w:val="none"/>
          <w:lang w:eastAsia="zh-CN"/>
        </w:rPr>
        <w:t>温州医科大学慈溪生物医药研究院三维皮肤气液交换培养生物反应器采购项目</w:t>
      </w:r>
    </w:p>
    <w:p>
      <w:pPr>
        <w:pStyle w:val="40"/>
        <w:spacing w:before="0" w:beforeAutospacing="0" w:after="0" w:afterAutospacing="0" w:line="400" w:lineRule="exact"/>
        <w:ind w:firstLine="420" w:firstLineChars="200"/>
        <w:rPr>
          <w:color w:val="auto"/>
          <w:sz w:val="21"/>
          <w:szCs w:val="21"/>
          <w:highlight w:val="none"/>
        </w:rPr>
      </w:pPr>
      <w:r>
        <w:rPr>
          <w:rFonts w:hint="eastAsia"/>
          <w:color w:val="auto"/>
          <w:sz w:val="21"/>
          <w:szCs w:val="21"/>
          <w:highlight w:val="none"/>
        </w:rPr>
        <w:t>预算金额（元）：</w:t>
      </w:r>
      <w:r>
        <w:rPr>
          <w:rFonts w:hint="eastAsia"/>
          <w:color w:val="auto"/>
          <w:sz w:val="21"/>
          <w:szCs w:val="21"/>
          <w:highlight w:val="none"/>
          <w:lang w:val="en-US" w:eastAsia="zh-CN"/>
        </w:rPr>
        <w:t>540</w:t>
      </w:r>
      <w:r>
        <w:rPr>
          <w:rFonts w:hint="eastAsia"/>
          <w:color w:val="auto"/>
          <w:sz w:val="21"/>
          <w:szCs w:val="21"/>
          <w:highlight w:val="none"/>
        </w:rPr>
        <w:t>000</w:t>
      </w:r>
    </w:p>
    <w:p>
      <w:pPr>
        <w:pStyle w:val="40"/>
        <w:spacing w:before="0" w:beforeAutospacing="0" w:after="0" w:afterAutospacing="0" w:line="400" w:lineRule="exact"/>
        <w:ind w:firstLine="420" w:firstLineChars="200"/>
        <w:rPr>
          <w:rFonts w:hint="default" w:eastAsia="宋体"/>
          <w:color w:val="auto"/>
          <w:sz w:val="21"/>
          <w:szCs w:val="21"/>
          <w:highlight w:val="none"/>
          <w:lang w:val="en-US" w:eastAsia="zh-CN"/>
        </w:rPr>
      </w:pPr>
      <w:r>
        <w:rPr>
          <w:rFonts w:hint="eastAsia"/>
          <w:color w:val="auto"/>
          <w:sz w:val="21"/>
          <w:szCs w:val="21"/>
          <w:highlight w:val="none"/>
        </w:rPr>
        <w:t>最高限价（元）：/</w:t>
      </w:r>
    </w:p>
    <w:p>
      <w:pPr>
        <w:pStyle w:val="40"/>
        <w:spacing w:before="0" w:beforeAutospacing="0" w:after="0" w:afterAutospacing="0" w:line="400" w:lineRule="exact"/>
        <w:ind w:firstLine="420" w:firstLineChars="200"/>
        <w:rPr>
          <w:color w:val="auto"/>
          <w:sz w:val="21"/>
          <w:szCs w:val="21"/>
          <w:highlight w:val="none"/>
        </w:rPr>
      </w:pPr>
      <w:r>
        <w:rPr>
          <w:rFonts w:hint="eastAsia"/>
          <w:color w:val="auto"/>
          <w:sz w:val="21"/>
          <w:szCs w:val="21"/>
          <w:highlight w:val="none"/>
        </w:rPr>
        <w:t>采购需求：</w:t>
      </w:r>
    </w:p>
    <w:p>
      <w:pPr>
        <w:widowControl/>
        <w:spacing w:line="400" w:lineRule="exact"/>
        <w:ind w:firstLine="422" w:firstLineChars="200"/>
        <w:jc w:val="left"/>
        <w:rPr>
          <w:rFonts w:ascii="宋体" w:hAnsi="宋体" w:cs="宋体"/>
          <w:b/>
          <w:color w:val="auto"/>
          <w:kern w:val="0"/>
          <w:szCs w:val="21"/>
          <w:highlight w:val="none"/>
        </w:rPr>
      </w:pPr>
      <w:r>
        <w:rPr>
          <w:rFonts w:hint="eastAsia" w:ascii="宋体" w:hAnsi="宋体" w:cs="宋体"/>
          <w:b/>
          <w:color w:val="auto"/>
          <w:kern w:val="0"/>
          <w:szCs w:val="21"/>
          <w:highlight w:val="none"/>
        </w:rPr>
        <w:t>标项一</w:t>
      </w:r>
    </w:p>
    <w:p>
      <w:pPr>
        <w:pStyle w:val="40"/>
        <w:spacing w:before="0" w:beforeAutospacing="0" w:after="0" w:afterAutospacing="0" w:line="400" w:lineRule="exact"/>
        <w:ind w:firstLine="420" w:firstLineChars="200"/>
        <w:rPr>
          <w:rFonts w:hint="eastAsia" w:eastAsia="宋体"/>
          <w:color w:val="auto"/>
          <w:sz w:val="21"/>
          <w:szCs w:val="21"/>
          <w:highlight w:val="none"/>
          <w:lang w:eastAsia="zh-CN"/>
        </w:rPr>
      </w:pPr>
      <w:r>
        <w:rPr>
          <w:rFonts w:hint="eastAsia"/>
          <w:color w:val="auto"/>
          <w:sz w:val="21"/>
          <w:szCs w:val="21"/>
          <w:highlight w:val="none"/>
        </w:rPr>
        <w:t>标项名称：</w:t>
      </w:r>
      <w:r>
        <w:rPr>
          <w:rFonts w:hint="eastAsia"/>
          <w:color w:val="auto"/>
          <w:sz w:val="21"/>
          <w:szCs w:val="21"/>
          <w:highlight w:val="none"/>
          <w:lang w:eastAsia="zh-CN"/>
        </w:rPr>
        <w:t>三维皮肤气液交换培养生物反应器</w:t>
      </w:r>
      <w:r>
        <w:rPr>
          <w:rFonts w:hint="eastAsia"/>
          <w:color w:val="auto"/>
          <w:sz w:val="21"/>
          <w:szCs w:val="21"/>
          <w:highlight w:val="none"/>
          <w:lang w:val="en-US" w:eastAsia="zh-CN"/>
        </w:rPr>
        <w:t xml:space="preserve"> </w:t>
      </w:r>
    </w:p>
    <w:p>
      <w:pPr>
        <w:pStyle w:val="40"/>
        <w:spacing w:before="0" w:beforeAutospacing="0" w:after="0" w:afterAutospacing="0" w:line="400" w:lineRule="exact"/>
        <w:ind w:firstLine="420" w:firstLineChars="200"/>
        <w:rPr>
          <w:color w:val="auto"/>
          <w:sz w:val="21"/>
          <w:szCs w:val="21"/>
          <w:highlight w:val="none"/>
        </w:rPr>
      </w:pPr>
      <w:r>
        <w:rPr>
          <w:rFonts w:hint="eastAsia"/>
          <w:color w:val="auto"/>
          <w:sz w:val="21"/>
          <w:szCs w:val="21"/>
          <w:highlight w:val="none"/>
        </w:rPr>
        <w:t>数量：1</w:t>
      </w:r>
    </w:p>
    <w:p>
      <w:pPr>
        <w:pStyle w:val="40"/>
        <w:spacing w:before="0" w:beforeAutospacing="0" w:after="0" w:afterAutospacing="0" w:line="400" w:lineRule="exact"/>
        <w:ind w:firstLine="420" w:firstLineChars="200"/>
        <w:rPr>
          <w:rFonts w:hint="default" w:eastAsia="宋体"/>
          <w:color w:val="auto"/>
          <w:sz w:val="21"/>
          <w:szCs w:val="21"/>
          <w:highlight w:val="none"/>
          <w:lang w:val="en-US" w:eastAsia="zh-CN"/>
        </w:rPr>
      </w:pPr>
      <w:r>
        <w:rPr>
          <w:rFonts w:hint="eastAsia"/>
          <w:color w:val="auto"/>
          <w:sz w:val="21"/>
          <w:szCs w:val="21"/>
          <w:highlight w:val="none"/>
        </w:rPr>
        <w:t>预算金额（元）：</w:t>
      </w:r>
      <w:r>
        <w:rPr>
          <w:rFonts w:hint="eastAsia"/>
          <w:color w:val="auto"/>
          <w:sz w:val="21"/>
          <w:szCs w:val="21"/>
          <w:highlight w:val="none"/>
          <w:lang w:val="en-US" w:eastAsia="zh-CN"/>
        </w:rPr>
        <w:t>540000</w:t>
      </w:r>
    </w:p>
    <w:p>
      <w:pPr>
        <w:pStyle w:val="40"/>
        <w:spacing w:before="0" w:beforeAutospacing="0" w:after="0" w:afterAutospacing="0" w:line="400" w:lineRule="exact"/>
        <w:ind w:firstLine="420" w:firstLineChars="200"/>
        <w:rPr>
          <w:color w:val="auto"/>
          <w:sz w:val="21"/>
          <w:szCs w:val="21"/>
          <w:highlight w:val="none"/>
        </w:rPr>
      </w:pPr>
      <w:r>
        <w:rPr>
          <w:rFonts w:hint="eastAsia"/>
          <w:color w:val="auto"/>
          <w:sz w:val="21"/>
          <w:szCs w:val="21"/>
          <w:highlight w:val="none"/>
        </w:rPr>
        <w:t>简要规格描述或项目基本概况介绍、用途</w:t>
      </w:r>
      <w:r>
        <w:rPr>
          <w:rFonts w:hint="eastAsia" w:ascii="宋体" w:hAnsi="宋体" w:eastAsia="宋体" w:cs="宋体"/>
          <w:color w:val="auto"/>
          <w:sz w:val="21"/>
          <w:szCs w:val="21"/>
          <w:highlight w:val="none"/>
        </w:rPr>
        <w:t>：三维皮肤气液交换培养生物反应器</w:t>
      </w:r>
      <w:r>
        <w:rPr>
          <w:rFonts w:hint="eastAsia" w:ascii="宋体" w:hAnsi="宋体" w:eastAsia="宋体" w:cs="宋体"/>
          <w:color w:val="auto"/>
          <w:sz w:val="21"/>
          <w:szCs w:val="21"/>
          <w:highlight w:val="none"/>
          <w:lang w:val="en-US" w:eastAsia="zh-CN"/>
        </w:rPr>
        <w:t>1套</w:t>
      </w:r>
      <w:r>
        <w:rPr>
          <w:rFonts w:hint="eastAsia" w:ascii="宋体" w:hAnsi="宋体" w:eastAsia="宋体" w:cs="宋体"/>
          <w:color w:val="auto"/>
          <w:sz w:val="21"/>
          <w:szCs w:val="21"/>
          <w:highlight w:val="none"/>
        </w:rPr>
        <w:t>。</w:t>
      </w:r>
    </w:p>
    <w:p>
      <w:pPr>
        <w:pStyle w:val="40"/>
        <w:spacing w:before="0" w:beforeAutospacing="0" w:after="0" w:afterAutospacing="0" w:line="400" w:lineRule="exact"/>
        <w:ind w:firstLine="420" w:firstLineChars="200"/>
        <w:rPr>
          <w:color w:val="auto"/>
          <w:sz w:val="21"/>
          <w:szCs w:val="21"/>
          <w:highlight w:val="none"/>
        </w:rPr>
      </w:pPr>
      <w:r>
        <w:rPr>
          <w:rFonts w:hint="eastAsia"/>
          <w:color w:val="auto"/>
          <w:sz w:val="21"/>
          <w:szCs w:val="21"/>
          <w:highlight w:val="none"/>
        </w:rPr>
        <w:t>备注：详细采购需求见招标文件第五章。</w:t>
      </w:r>
    </w:p>
    <w:p>
      <w:pPr>
        <w:pStyle w:val="40"/>
        <w:spacing w:before="0" w:beforeAutospacing="0" w:after="0" w:afterAutospacing="0" w:line="400" w:lineRule="exact"/>
        <w:ind w:left="420" w:leftChars="200" w:firstLine="0" w:firstLineChars="0"/>
        <w:rPr>
          <w:rFonts w:hint="eastAsia"/>
          <w:color w:val="auto"/>
          <w:sz w:val="21"/>
          <w:szCs w:val="21"/>
          <w:highlight w:val="none"/>
          <w:lang w:eastAsia="zh-CN"/>
        </w:rPr>
      </w:pPr>
      <w:r>
        <w:rPr>
          <w:rFonts w:hint="eastAsia"/>
          <w:color w:val="auto"/>
          <w:sz w:val="21"/>
          <w:szCs w:val="21"/>
          <w:highlight w:val="none"/>
        </w:rPr>
        <w:t>合同履约期限：</w:t>
      </w:r>
      <w:r>
        <w:rPr>
          <w:rFonts w:hint="eastAsia" w:ascii="宋体" w:hAnsi="宋体" w:eastAsia="宋体" w:cs="宋体"/>
          <w:color w:val="auto"/>
          <w:sz w:val="21"/>
          <w:szCs w:val="21"/>
          <w:highlight w:val="none"/>
        </w:rPr>
        <w:t>标项1</w:t>
      </w:r>
      <w:r>
        <w:rPr>
          <w:rFonts w:hint="eastAsia" w:cs="宋体"/>
          <w:color w:val="auto"/>
          <w:sz w:val="21"/>
          <w:szCs w:val="21"/>
          <w:highlight w:val="none"/>
          <w:lang w:eastAsia="zh-CN"/>
        </w:rPr>
        <w:t>：</w:t>
      </w:r>
      <w:r>
        <w:rPr>
          <w:rFonts w:hint="eastAsia" w:ascii="宋体" w:hAnsi="宋体" w:eastAsia="宋体" w:cs="宋体"/>
          <w:color w:val="auto"/>
          <w:sz w:val="21"/>
          <w:szCs w:val="21"/>
          <w:highlight w:val="none"/>
        </w:rPr>
        <w:t>合同生效后</w:t>
      </w:r>
      <w:r>
        <w:rPr>
          <w:rFonts w:hint="eastAsia" w:cs="宋体"/>
          <w:color w:val="auto"/>
          <w:sz w:val="21"/>
          <w:szCs w:val="21"/>
          <w:highlight w:val="none"/>
          <w:lang w:val="en-US" w:eastAsia="zh-CN"/>
        </w:rPr>
        <w:t>6个月</w:t>
      </w:r>
      <w:r>
        <w:rPr>
          <w:rFonts w:hint="eastAsia" w:ascii="宋体" w:hAnsi="宋体" w:eastAsia="宋体" w:cs="宋体"/>
          <w:color w:val="auto"/>
          <w:sz w:val="21"/>
          <w:szCs w:val="21"/>
          <w:highlight w:val="none"/>
        </w:rPr>
        <w:t>内交货</w:t>
      </w:r>
      <w:r>
        <w:rPr>
          <w:rFonts w:hint="eastAsia"/>
          <w:color w:val="auto"/>
          <w:sz w:val="21"/>
          <w:szCs w:val="21"/>
          <w:highlight w:val="none"/>
        </w:rPr>
        <w:t>调试</w:t>
      </w:r>
      <w:r>
        <w:rPr>
          <w:rFonts w:hint="eastAsia"/>
          <w:color w:val="auto"/>
          <w:sz w:val="21"/>
          <w:szCs w:val="21"/>
          <w:highlight w:val="none"/>
          <w:lang w:eastAsia="zh-CN"/>
        </w:rPr>
        <w:t>完毕。</w:t>
      </w:r>
    </w:p>
    <w:p>
      <w:pPr>
        <w:pStyle w:val="40"/>
        <w:spacing w:before="0" w:beforeAutospacing="0" w:after="0" w:afterAutospacing="0" w:line="400" w:lineRule="exact"/>
        <w:ind w:left="420" w:leftChars="200" w:firstLine="0" w:firstLineChars="0"/>
        <w:rPr>
          <w:color w:val="auto"/>
          <w:sz w:val="21"/>
          <w:szCs w:val="21"/>
          <w:highlight w:val="none"/>
        </w:rPr>
      </w:pPr>
      <w:r>
        <w:rPr>
          <w:rFonts w:hint="eastAsia"/>
          <w:color w:val="auto"/>
          <w:sz w:val="21"/>
          <w:szCs w:val="21"/>
          <w:highlight w:val="none"/>
        </w:rPr>
        <w:t>本项目（否）接受联合体投标。</w:t>
      </w:r>
    </w:p>
    <w:p>
      <w:pPr>
        <w:pStyle w:val="40"/>
        <w:spacing w:before="0" w:beforeAutospacing="0" w:after="0" w:afterAutospacing="0" w:line="400" w:lineRule="exact"/>
        <w:rPr>
          <w:color w:val="auto"/>
          <w:sz w:val="21"/>
          <w:szCs w:val="21"/>
          <w:highlight w:val="none"/>
        </w:rPr>
      </w:pPr>
      <w:r>
        <w:rPr>
          <w:rStyle w:val="48"/>
          <w:rFonts w:hint="eastAsia"/>
          <w:color w:val="auto"/>
          <w:sz w:val="21"/>
          <w:szCs w:val="21"/>
          <w:highlight w:val="none"/>
        </w:rPr>
        <w:t>二、申请人的资格要求：</w:t>
      </w:r>
    </w:p>
    <w:p>
      <w:pPr>
        <w:pStyle w:val="40"/>
        <w:spacing w:before="0" w:beforeAutospacing="0" w:after="0" w:afterAutospacing="0" w:line="400" w:lineRule="exact"/>
        <w:ind w:firstLine="420" w:firstLineChars="200"/>
        <w:rPr>
          <w:color w:val="auto"/>
          <w:sz w:val="21"/>
          <w:szCs w:val="21"/>
          <w:highlight w:val="none"/>
        </w:rPr>
      </w:pPr>
      <w:r>
        <w:rPr>
          <w:rFonts w:hint="eastAsia"/>
          <w:color w:val="auto"/>
          <w:sz w:val="21"/>
          <w:szCs w:val="21"/>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pPr>
        <w:pStyle w:val="40"/>
        <w:spacing w:before="0" w:beforeAutospacing="0" w:after="0" w:afterAutospacing="0" w:line="400" w:lineRule="exact"/>
        <w:ind w:firstLine="420" w:firstLineChars="200"/>
        <w:rPr>
          <w:rFonts w:hint="default" w:eastAsia="宋体"/>
          <w:color w:val="auto"/>
          <w:sz w:val="21"/>
          <w:szCs w:val="21"/>
          <w:highlight w:val="none"/>
          <w:lang w:val="en-US" w:eastAsia="zh-CN"/>
        </w:rPr>
      </w:pPr>
      <w:r>
        <w:rPr>
          <w:rFonts w:hint="eastAsia"/>
          <w:color w:val="auto"/>
          <w:sz w:val="21"/>
          <w:szCs w:val="21"/>
          <w:highlight w:val="none"/>
        </w:rPr>
        <w:t>2.落实政府采购政策需满足的资格要求：</w:t>
      </w:r>
      <w:r>
        <w:rPr>
          <w:rFonts w:hint="eastAsia"/>
          <w:color w:val="auto"/>
          <w:sz w:val="21"/>
          <w:szCs w:val="21"/>
          <w:highlight w:val="none"/>
          <w:lang w:eastAsia="zh-CN"/>
        </w:rPr>
        <w:t>无</w:t>
      </w:r>
      <w:r>
        <w:rPr>
          <w:rFonts w:hint="eastAsia"/>
          <w:color w:val="auto"/>
          <w:sz w:val="21"/>
          <w:szCs w:val="21"/>
          <w:highlight w:val="none"/>
          <w:lang w:val="en-US" w:eastAsia="zh-CN"/>
        </w:rPr>
        <w:t>。</w:t>
      </w:r>
    </w:p>
    <w:p>
      <w:pPr>
        <w:pStyle w:val="40"/>
        <w:spacing w:before="0" w:beforeAutospacing="0" w:after="0" w:afterAutospacing="0" w:line="400" w:lineRule="exact"/>
        <w:ind w:firstLine="420" w:firstLineChars="200"/>
        <w:rPr>
          <w:color w:val="auto"/>
          <w:sz w:val="21"/>
          <w:szCs w:val="21"/>
          <w:highlight w:val="none"/>
        </w:rPr>
      </w:pPr>
      <w:r>
        <w:rPr>
          <w:rFonts w:hint="eastAsia"/>
          <w:color w:val="auto"/>
          <w:sz w:val="21"/>
          <w:szCs w:val="21"/>
          <w:highlight w:val="none"/>
        </w:rPr>
        <w:t>3.本项目的特定资格要求：无。</w:t>
      </w:r>
    </w:p>
    <w:p>
      <w:pPr>
        <w:pStyle w:val="40"/>
        <w:spacing w:before="0" w:beforeAutospacing="0" w:after="0" w:afterAutospacing="0" w:line="400" w:lineRule="exact"/>
        <w:jc w:val="both"/>
        <w:rPr>
          <w:color w:val="auto"/>
          <w:sz w:val="21"/>
          <w:szCs w:val="21"/>
          <w:highlight w:val="none"/>
        </w:rPr>
      </w:pPr>
      <w:r>
        <w:rPr>
          <w:rStyle w:val="48"/>
          <w:rFonts w:hint="eastAsia"/>
          <w:color w:val="auto"/>
          <w:sz w:val="21"/>
          <w:szCs w:val="21"/>
          <w:highlight w:val="none"/>
        </w:rPr>
        <w:t>三、获取招标文件</w:t>
      </w:r>
    </w:p>
    <w:p>
      <w:pPr>
        <w:pStyle w:val="40"/>
        <w:spacing w:before="0" w:beforeAutospacing="0" w:after="0" w:afterAutospacing="0" w:line="400" w:lineRule="exact"/>
        <w:ind w:firstLine="420" w:firstLineChars="200"/>
        <w:rPr>
          <w:color w:val="auto"/>
          <w:sz w:val="21"/>
          <w:szCs w:val="21"/>
          <w:highlight w:val="none"/>
        </w:rPr>
      </w:pPr>
      <w:r>
        <w:rPr>
          <w:rFonts w:hint="eastAsia"/>
          <w:color w:val="auto"/>
          <w:sz w:val="21"/>
          <w:szCs w:val="21"/>
          <w:highlight w:val="none"/>
        </w:rPr>
        <w:t>时间：</w:t>
      </w:r>
      <w:r>
        <w:rPr>
          <w:rFonts w:hint="eastAsia"/>
          <w:color w:val="auto"/>
          <w:sz w:val="21"/>
          <w:szCs w:val="21"/>
          <w:highlight w:val="none"/>
          <w:lang w:eastAsia="zh-CN"/>
        </w:rPr>
        <w:t>202</w:t>
      </w:r>
      <w:r>
        <w:rPr>
          <w:rFonts w:hint="eastAsia"/>
          <w:color w:val="auto"/>
          <w:sz w:val="21"/>
          <w:szCs w:val="21"/>
          <w:highlight w:val="none"/>
          <w:lang w:val="en-US" w:eastAsia="zh-CN"/>
        </w:rPr>
        <w:t>4</w:t>
      </w:r>
      <w:r>
        <w:rPr>
          <w:rFonts w:hint="eastAsia"/>
          <w:color w:val="auto"/>
          <w:sz w:val="21"/>
          <w:szCs w:val="21"/>
          <w:highlight w:val="none"/>
          <w:lang w:eastAsia="zh-CN"/>
        </w:rPr>
        <w:t>年</w:t>
      </w:r>
      <w:r>
        <w:rPr>
          <w:rFonts w:hint="eastAsia"/>
          <w:color w:val="auto"/>
          <w:sz w:val="21"/>
          <w:szCs w:val="21"/>
          <w:highlight w:val="none"/>
          <w:lang w:val="en-US" w:eastAsia="zh-CN"/>
        </w:rPr>
        <w:t>12</w:t>
      </w:r>
      <w:r>
        <w:rPr>
          <w:rFonts w:hint="eastAsia"/>
          <w:color w:val="auto"/>
          <w:sz w:val="21"/>
          <w:szCs w:val="21"/>
          <w:highlight w:val="none"/>
          <w:lang w:eastAsia="zh-CN"/>
        </w:rPr>
        <w:t>月</w:t>
      </w:r>
      <w:r>
        <w:rPr>
          <w:rFonts w:hint="eastAsia"/>
          <w:color w:val="auto"/>
          <w:sz w:val="21"/>
          <w:szCs w:val="21"/>
          <w:highlight w:val="none"/>
          <w:lang w:val="en-US" w:eastAsia="zh-CN"/>
        </w:rPr>
        <w:t>15</w:t>
      </w:r>
      <w:r>
        <w:rPr>
          <w:rFonts w:hint="eastAsia"/>
          <w:color w:val="auto"/>
          <w:sz w:val="21"/>
          <w:szCs w:val="21"/>
          <w:highlight w:val="none"/>
          <w:lang w:eastAsia="zh-CN"/>
        </w:rPr>
        <w:t>日</w:t>
      </w:r>
      <w:r>
        <w:rPr>
          <w:rFonts w:hint="eastAsia"/>
          <w:color w:val="auto"/>
          <w:sz w:val="21"/>
          <w:szCs w:val="21"/>
          <w:highlight w:val="none"/>
        </w:rPr>
        <w:t>至</w:t>
      </w:r>
      <w:r>
        <w:rPr>
          <w:rFonts w:hint="eastAsia"/>
          <w:color w:val="auto"/>
          <w:sz w:val="21"/>
          <w:szCs w:val="21"/>
          <w:highlight w:val="none"/>
          <w:lang w:eastAsia="zh-CN"/>
        </w:rPr>
        <w:t>2023年</w:t>
      </w:r>
      <w:r>
        <w:rPr>
          <w:rFonts w:hint="eastAsia"/>
          <w:color w:val="auto"/>
          <w:sz w:val="21"/>
          <w:szCs w:val="21"/>
          <w:highlight w:val="none"/>
          <w:lang w:val="en-US" w:eastAsia="zh-CN"/>
        </w:rPr>
        <w:t>12</w:t>
      </w:r>
      <w:r>
        <w:rPr>
          <w:rFonts w:hint="eastAsia"/>
          <w:color w:val="auto"/>
          <w:sz w:val="21"/>
          <w:szCs w:val="21"/>
          <w:highlight w:val="none"/>
          <w:lang w:eastAsia="zh-CN"/>
        </w:rPr>
        <w:t>月</w:t>
      </w:r>
      <w:r>
        <w:rPr>
          <w:rFonts w:hint="eastAsia"/>
          <w:color w:val="auto"/>
          <w:sz w:val="21"/>
          <w:szCs w:val="21"/>
          <w:highlight w:val="none"/>
          <w:lang w:val="en-US" w:eastAsia="zh-CN"/>
        </w:rPr>
        <w:t>22</w:t>
      </w:r>
      <w:bookmarkStart w:id="75" w:name="_GoBack"/>
      <w:bookmarkEnd w:id="75"/>
      <w:r>
        <w:rPr>
          <w:rFonts w:hint="eastAsia"/>
          <w:color w:val="auto"/>
          <w:sz w:val="21"/>
          <w:szCs w:val="21"/>
          <w:highlight w:val="none"/>
          <w:lang w:eastAsia="zh-CN"/>
        </w:rPr>
        <w:t>日</w:t>
      </w:r>
      <w:r>
        <w:rPr>
          <w:rFonts w:hint="eastAsia"/>
          <w:color w:val="auto"/>
          <w:sz w:val="21"/>
          <w:szCs w:val="21"/>
          <w:highlight w:val="none"/>
        </w:rPr>
        <w:t>，每天上午00：00至12：00，下午12：00至23：59（北京时间，线上获取法定节假日均可，线下获取文件法定节假日除外）</w:t>
      </w:r>
    </w:p>
    <w:p>
      <w:pPr>
        <w:pStyle w:val="40"/>
        <w:spacing w:before="0" w:beforeAutospacing="0" w:after="0" w:afterAutospacing="0" w:line="400" w:lineRule="exact"/>
        <w:ind w:firstLine="420" w:firstLineChars="200"/>
        <w:rPr>
          <w:color w:val="auto"/>
          <w:sz w:val="21"/>
          <w:szCs w:val="21"/>
          <w:highlight w:val="none"/>
        </w:rPr>
      </w:pPr>
      <w:r>
        <w:rPr>
          <w:rFonts w:hint="eastAsia"/>
          <w:color w:val="auto"/>
          <w:sz w:val="21"/>
          <w:szCs w:val="21"/>
          <w:highlight w:val="none"/>
        </w:rPr>
        <w:t>地点（网址）：政府采购云平台（www.zcygov.cn）</w:t>
      </w:r>
    </w:p>
    <w:p>
      <w:pPr>
        <w:pStyle w:val="40"/>
        <w:spacing w:before="0" w:beforeAutospacing="0" w:after="0" w:afterAutospacing="0" w:line="400" w:lineRule="exact"/>
        <w:ind w:firstLine="420" w:firstLineChars="200"/>
        <w:rPr>
          <w:color w:val="auto"/>
          <w:sz w:val="21"/>
          <w:szCs w:val="21"/>
          <w:highlight w:val="none"/>
        </w:rPr>
      </w:pPr>
      <w:r>
        <w:rPr>
          <w:rFonts w:hint="eastAsia"/>
          <w:color w:val="auto"/>
          <w:sz w:val="21"/>
          <w:szCs w:val="21"/>
          <w:highlight w:val="none"/>
        </w:rPr>
        <w:t>方式：（1）供应商登录政府采购云平台（www.zcygov.cn）的注册账号后，进入政采云系统“项目采购”模块“获取采购文件”菜单，进行网上获取招标文件。如有疑问请及时咨询网站客服，咨询电话：95763。（2）获取招标文件前，供应商应在“浙江政府采购网（zfcg.czt.zj.gov.cn）”上进行供应商注册申请，并通过财政部门的终审后登记加入到“浙江省政府采购供应商库”。中标供应商必须注册并登记加入“浙江省政府采购供应商库”。具体要求及注册申请流程详见浙江政府采购网“网上办事指南”的“供应商注册申请”。注册咨询电话：95763，如未注册的供应商，请注意注册所需时间。（3）本招标公告附件中的招标文件仅供阅览使用，供应商应在规定的招标文件提供期限内在政采云平台登录上述供应商注册的账号后获取招标文件，未在规定的招标文件提供期限内或未按上述方式获取招标文件的，其投标均视为无效，并不得对招标文件提起质疑投诉。</w:t>
      </w:r>
    </w:p>
    <w:p>
      <w:pPr>
        <w:pStyle w:val="40"/>
        <w:spacing w:before="0" w:beforeAutospacing="0" w:after="0" w:afterAutospacing="0" w:line="400" w:lineRule="exact"/>
        <w:ind w:firstLine="420" w:firstLineChars="200"/>
        <w:rPr>
          <w:color w:val="auto"/>
          <w:sz w:val="21"/>
          <w:szCs w:val="21"/>
          <w:highlight w:val="none"/>
        </w:rPr>
      </w:pPr>
      <w:r>
        <w:rPr>
          <w:rFonts w:hint="eastAsia"/>
          <w:color w:val="auto"/>
          <w:sz w:val="21"/>
          <w:szCs w:val="21"/>
          <w:highlight w:val="none"/>
        </w:rPr>
        <w:t>售价（元）：0</w:t>
      </w:r>
    </w:p>
    <w:p>
      <w:pPr>
        <w:pStyle w:val="40"/>
        <w:spacing w:before="0" w:beforeAutospacing="0" w:after="0" w:afterAutospacing="0" w:line="400" w:lineRule="exact"/>
        <w:jc w:val="both"/>
        <w:rPr>
          <w:color w:val="auto"/>
          <w:sz w:val="21"/>
          <w:szCs w:val="21"/>
          <w:highlight w:val="none"/>
        </w:rPr>
      </w:pPr>
      <w:r>
        <w:rPr>
          <w:rStyle w:val="48"/>
          <w:rFonts w:hint="eastAsia"/>
          <w:color w:val="auto"/>
          <w:sz w:val="21"/>
          <w:szCs w:val="21"/>
          <w:highlight w:val="none"/>
        </w:rPr>
        <w:t>四、提交投标文件截止时间、开标时间和地点</w:t>
      </w:r>
    </w:p>
    <w:p>
      <w:pPr>
        <w:pStyle w:val="40"/>
        <w:spacing w:before="0" w:beforeAutospacing="0" w:after="0" w:afterAutospacing="0" w:line="400" w:lineRule="exact"/>
        <w:ind w:firstLine="420" w:firstLineChars="200"/>
        <w:rPr>
          <w:rFonts w:hint="eastAsia" w:eastAsia="宋体"/>
          <w:color w:val="auto"/>
          <w:sz w:val="21"/>
          <w:szCs w:val="21"/>
          <w:highlight w:val="none"/>
          <w:lang w:eastAsia="zh-CN"/>
        </w:rPr>
      </w:pPr>
      <w:r>
        <w:rPr>
          <w:rFonts w:hint="eastAsia"/>
          <w:color w:val="auto"/>
          <w:sz w:val="21"/>
          <w:szCs w:val="21"/>
          <w:highlight w:val="none"/>
        </w:rPr>
        <w:t>提交投标文件截止时间：</w:t>
      </w:r>
      <w:r>
        <w:rPr>
          <w:rFonts w:hint="eastAsia"/>
          <w:color w:val="auto"/>
          <w:sz w:val="21"/>
          <w:szCs w:val="21"/>
          <w:highlight w:val="none"/>
          <w:lang w:eastAsia="zh-CN"/>
        </w:rPr>
        <w:t>202</w:t>
      </w:r>
      <w:r>
        <w:rPr>
          <w:rFonts w:hint="eastAsia"/>
          <w:color w:val="auto"/>
          <w:sz w:val="21"/>
          <w:szCs w:val="21"/>
          <w:highlight w:val="none"/>
          <w:lang w:val="en-US" w:eastAsia="zh-CN"/>
        </w:rPr>
        <w:t>4</w:t>
      </w:r>
      <w:r>
        <w:rPr>
          <w:rFonts w:hint="eastAsia"/>
          <w:color w:val="auto"/>
          <w:sz w:val="21"/>
          <w:szCs w:val="21"/>
          <w:highlight w:val="none"/>
          <w:lang w:eastAsia="zh-CN"/>
        </w:rPr>
        <w:t>年</w:t>
      </w:r>
      <w:r>
        <w:rPr>
          <w:rFonts w:hint="eastAsia"/>
          <w:color w:val="auto"/>
          <w:sz w:val="21"/>
          <w:szCs w:val="21"/>
          <w:highlight w:val="none"/>
          <w:lang w:val="en-US" w:eastAsia="zh-CN"/>
        </w:rPr>
        <w:t>1</w:t>
      </w:r>
      <w:r>
        <w:rPr>
          <w:rFonts w:hint="eastAsia"/>
          <w:color w:val="auto"/>
          <w:sz w:val="21"/>
          <w:szCs w:val="21"/>
          <w:highlight w:val="none"/>
          <w:lang w:eastAsia="zh-CN"/>
        </w:rPr>
        <w:t>月</w:t>
      </w:r>
      <w:r>
        <w:rPr>
          <w:rFonts w:hint="eastAsia"/>
          <w:color w:val="auto"/>
          <w:sz w:val="21"/>
          <w:szCs w:val="21"/>
          <w:highlight w:val="none"/>
          <w:lang w:val="en-US" w:eastAsia="zh-CN"/>
        </w:rPr>
        <w:t>9</w:t>
      </w:r>
      <w:r>
        <w:rPr>
          <w:rFonts w:hint="eastAsia"/>
          <w:color w:val="auto"/>
          <w:sz w:val="21"/>
          <w:szCs w:val="21"/>
          <w:highlight w:val="none"/>
          <w:lang w:eastAsia="zh-CN"/>
        </w:rPr>
        <w:t>日</w:t>
      </w:r>
      <w:r>
        <w:rPr>
          <w:rFonts w:hint="eastAsia"/>
          <w:color w:val="auto"/>
          <w:sz w:val="21"/>
          <w:szCs w:val="21"/>
          <w:highlight w:val="none"/>
          <w:lang w:val="en-US" w:eastAsia="zh-CN"/>
        </w:rPr>
        <w:t>14</w:t>
      </w:r>
      <w:r>
        <w:rPr>
          <w:rFonts w:hint="eastAsia"/>
          <w:color w:val="auto"/>
          <w:sz w:val="21"/>
          <w:szCs w:val="21"/>
          <w:highlight w:val="none"/>
          <w:lang w:eastAsia="zh-CN"/>
        </w:rPr>
        <w:t>：30（北京时间）</w:t>
      </w:r>
    </w:p>
    <w:p>
      <w:pPr>
        <w:pStyle w:val="40"/>
        <w:spacing w:before="0" w:beforeAutospacing="0" w:after="0" w:afterAutospacing="0" w:line="400" w:lineRule="exact"/>
        <w:ind w:firstLine="420" w:firstLineChars="200"/>
        <w:rPr>
          <w:color w:val="auto"/>
          <w:sz w:val="21"/>
          <w:szCs w:val="21"/>
          <w:highlight w:val="none"/>
        </w:rPr>
      </w:pPr>
      <w:r>
        <w:rPr>
          <w:rFonts w:hint="eastAsia"/>
          <w:color w:val="auto"/>
          <w:sz w:val="21"/>
          <w:szCs w:val="21"/>
          <w:highlight w:val="none"/>
        </w:rPr>
        <w:t>投标地点（网址）：政府采购云平台。</w:t>
      </w:r>
    </w:p>
    <w:p>
      <w:pPr>
        <w:pStyle w:val="40"/>
        <w:spacing w:before="0" w:beforeAutospacing="0" w:after="0" w:afterAutospacing="0" w:line="400" w:lineRule="exact"/>
        <w:ind w:firstLine="420" w:firstLineChars="200"/>
        <w:rPr>
          <w:rFonts w:hint="eastAsia" w:eastAsia="宋体"/>
          <w:color w:val="auto"/>
          <w:sz w:val="21"/>
          <w:szCs w:val="21"/>
          <w:highlight w:val="none"/>
          <w:lang w:eastAsia="zh-CN"/>
        </w:rPr>
      </w:pPr>
      <w:r>
        <w:rPr>
          <w:rFonts w:hint="eastAsia"/>
          <w:color w:val="auto"/>
          <w:sz w:val="21"/>
          <w:szCs w:val="21"/>
          <w:highlight w:val="none"/>
        </w:rPr>
        <w:t>开标时间：</w:t>
      </w:r>
      <w:r>
        <w:rPr>
          <w:rFonts w:hint="eastAsia"/>
          <w:color w:val="auto"/>
          <w:sz w:val="21"/>
          <w:szCs w:val="21"/>
          <w:highlight w:val="none"/>
          <w:lang w:eastAsia="zh-CN"/>
        </w:rPr>
        <w:t>202</w:t>
      </w:r>
      <w:r>
        <w:rPr>
          <w:rFonts w:hint="eastAsia"/>
          <w:color w:val="auto"/>
          <w:sz w:val="21"/>
          <w:szCs w:val="21"/>
          <w:highlight w:val="none"/>
          <w:lang w:val="en-US" w:eastAsia="zh-CN"/>
        </w:rPr>
        <w:t>4</w:t>
      </w:r>
      <w:r>
        <w:rPr>
          <w:rFonts w:hint="eastAsia"/>
          <w:color w:val="auto"/>
          <w:sz w:val="21"/>
          <w:szCs w:val="21"/>
          <w:highlight w:val="none"/>
          <w:lang w:eastAsia="zh-CN"/>
        </w:rPr>
        <w:t>年</w:t>
      </w:r>
      <w:r>
        <w:rPr>
          <w:rFonts w:hint="eastAsia"/>
          <w:color w:val="auto"/>
          <w:sz w:val="21"/>
          <w:szCs w:val="21"/>
          <w:highlight w:val="none"/>
          <w:lang w:val="en-US" w:eastAsia="zh-CN"/>
        </w:rPr>
        <w:t>1</w:t>
      </w:r>
      <w:r>
        <w:rPr>
          <w:rFonts w:hint="eastAsia"/>
          <w:color w:val="auto"/>
          <w:sz w:val="21"/>
          <w:szCs w:val="21"/>
          <w:highlight w:val="none"/>
          <w:lang w:eastAsia="zh-CN"/>
        </w:rPr>
        <w:t>月</w:t>
      </w:r>
      <w:r>
        <w:rPr>
          <w:rFonts w:hint="eastAsia"/>
          <w:color w:val="auto"/>
          <w:sz w:val="21"/>
          <w:szCs w:val="21"/>
          <w:highlight w:val="none"/>
          <w:lang w:val="en-US" w:eastAsia="zh-CN"/>
        </w:rPr>
        <w:t>9</w:t>
      </w:r>
      <w:r>
        <w:rPr>
          <w:rFonts w:hint="eastAsia"/>
          <w:color w:val="auto"/>
          <w:sz w:val="21"/>
          <w:szCs w:val="21"/>
          <w:highlight w:val="none"/>
          <w:lang w:eastAsia="zh-CN"/>
        </w:rPr>
        <w:t>日</w:t>
      </w:r>
      <w:r>
        <w:rPr>
          <w:rFonts w:hint="eastAsia"/>
          <w:color w:val="auto"/>
          <w:sz w:val="21"/>
          <w:szCs w:val="21"/>
          <w:highlight w:val="none"/>
          <w:lang w:val="en-US" w:eastAsia="zh-CN"/>
        </w:rPr>
        <w:t>14</w:t>
      </w:r>
      <w:r>
        <w:rPr>
          <w:rFonts w:hint="eastAsia"/>
          <w:color w:val="auto"/>
          <w:sz w:val="21"/>
          <w:szCs w:val="21"/>
          <w:highlight w:val="none"/>
          <w:lang w:eastAsia="zh-CN"/>
        </w:rPr>
        <w:t>：30（北京时间）</w:t>
      </w:r>
    </w:p>
    <w:p>
      <w:pPr>
        <w:pStyle w:val="40"/>
        <w:spacing w:before="0" w:beforeAutospacing="0" w:after="0" w:afterAutospacing="0" w:line="400" w:lineRule="exact"/>
        <w:ind w:firstLine="420" w:firstLineChars="200"/>
        <w:rPr>
          <w:color w:val="auto"/>
          <w:sz w:val="21"/>
          <w:szCs w:val="21"/>
          <w:highlight w:val="none"/>
        </w:rPr>
      </w:pPr>
      <w:r>
        <w:rPr>
          <w:rFonts w:hint="eastAsia"/>
          <w:color w:val="auto"/>
          <w:sz w:val="21"/>
          <w:szCs w:val="21"/>
          <w:highlight w:val="none"/>
        </w:rPr>
        <w:t>开标地点（网址）：慈溪市公共资源交易中心第</w:t>
      </w:r>
      <w:r>
        <w:rPr>
          <w:rFonts w:hint="eastAsia"/>
          <w:color w:val="auto"/>
          <w:sz w:val="21"/>
          <w:szCs w:val="21"/>
          <w:highlight w:val="none"/>
          <w:lang w:val="en-US" w:eastAsia="zh-CN"/>
        </w:rPr>
        <w:t>五</w:t>
      </w:r>
      <w:r>
        <w:rPr>
          <w:rFonts w:hint="eastAsia"/>
          <w:color w:val="auto"/>
          <w:sz w:val="21"/>
          <w:szCs w:val="21"/>
          <w:highlight w:val="none"/>
        </w:rPr>
        <w:t>开标室。</w:t>
      </w:r>
    </w:p>
    <w:p>
      <w:pPr>
        <w:pStyle w:val="40"/>
        <w:spacing w:before="0" w:beforeAutospacing="0" w:after="0" w:afterAutospacing="0" w:line="400" w:lineRule="exact"/>
        <w:jc w:val="both"/>
        <w:rPr>
          <w:color w:val="auto"/>
          <w:sz w:val="21"/>
          <w:szCs w:val="21"/>
          <w:highlight w:val="none"/>
        </w:rPr>
      </w:pPr>
      <w:r>
        <w:rPr>
          <w:rStyle w:val="48"/>
          <w:rFonts w:hint="eastAsia"/>
          <w:color w:val="auto"/>
          <w:sz w:val="21"/>
          <w:szCs w:val="21"/>
          <w:highlight w:val="none"/>
        </w:rPr>
        <w:t>五、公告期限</w:t>
      </w:r>
    </w:p>
    <w:p>
      <w:pPr>
        <w:pStyle w:val="40"/>
        <w:spacing w:before="0" w:beforeAutospacing="0" w:after="0" w:afterAutospacing="0" w:line="400" w:lineRule="exact"/>
        <w:ind w:firstLine="420" w:firstLineChars="200"/>
        <w:rPr>
          <w:color w:val="auto"/>
          <w:sz w:val="21"/>
          <w:szCs w:val="21"/>
          <w:highlight w:val="none"/>
        </w:rPr>
      </w:pPr>
      <w:r>
        <w:rPr>
          <w:rFonts w:hint="eastAsia"/>
          <w:color w:val="auto"/>
          <w:sz w:val="21"/>
          <w:szCs w:val="21"/>
          <w:highlight w:val="none"/>
        </w:rPr>
        <w:t>自本公告发布之日起5个工作日。</w:t>
      </w:r>
    </w:p>
    <w:p>
      <w:pPr>
        <w:pStyle w:val="40"/>
        <w:spacing w:before="0" w:beforeAutospacing="0" w:after="0" w:afterAutospacing="0" w:line="400" w:lineRule="exact"/>
        <w:jc w:val="both"/>
        <w:rPr>
          <w:color w:val="auto"/>
          <w:sz w:val="21"/>
          <w:szCs w:val="21"/>
          <w:highlight w:val="none"/>
        </w:rPr>
      </w:pPr>
      <w:r>
        <w:rPr>
          <w:rStyle w:val="48"/>
          <w:rFonts w:hint="eastAsia"/>
          <w:color w:val="auto"/>
          <w:sz w:val="21"/>
          <w:szCs w:val="21"/>
          <w:highlight w:val="none"/>
        </w:rPr>
        <w:t>六、其他补充事宜</w:t>
      </w:r>
    </w:p>
    <w:p>
      <w:pPr>
        <w:pStyle w:val="40"/>
        <w:spacing w:before="0" w:beforeAutospacing="0" w:after="0" w:afterAutospacing="0" w:line="400" w:lineRule="exact"/>
        <w:ind w:firstLine="420" w:firstLineChars="200"/>
        <w:rPr>
          <w:color w:val="auto"/>
          <w:sz w:val="21"/>
          <w:szCs w:val="21"/>
          <w:highlight w:val="none"/>
        </w:rPr>
      </w:pPr>
      <w:r>
        <w:rPr>
          <w:rFonts w:hint="eastAsia"/>
          <w:color w:val="auto"/>
          <w:sz w:val="21"/>
          <w:szCs w:val="21"/>
          <w:highlight w:val="none"/>
        </w:rPr>
        <w:t>1.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pStyle w:val="40"/>
        <w:spacing w:before="0" w:beforeAutospacing="0" w:after="0" w:afterAutospacing="0" w:line="400" w:lineRule="exact"/>
        <w:ind w:firstLine="420" w:firstLineChars="200"/>
        <w:rPr>
          <w:color w:val="auto"/>
          <w:sz w:val="21"/>
          <w:szCs w:val="21"/>
          <w:highlight w:val="none"/>
        </w:rPr>
      </w:pPr>
      <w:r>
        <w:rPr>
          <w:rFonts w:hint="eastAsia"/>
          <w:color w:val="auto"/>
          <w:sz w:val="21"/>
          <w:szCs w:val="21"/>
          <w:highlight w:val="none"/>
        </w:rPr>
        <w:t>2.其他事项：（1）单位负责人为同一人或者存在直接控股、管理关系的不同供应商，不得参加同一标项号的投标。（2）为本项目提供整体设计、规范编制或者项目管理、监理、检测等服务的供应商，不得再参加本项目的投标。（3）落实的政策：《关于促进残疾人就业政府采购政策的通知》（财库[2017]141号）、《政府采购促进中小企业发展管理办法》（财库〔2020〕46号）、《关于政府采购支持监狱企业发展有关问题的通知》（财库[2014]68号）、《关于环境标志产品政府采购实施的意见》（财库〔2006〕90号、《节能产品政府采购实施意见》的通知（财库〔2004〕185号）。</w:t>
      </w:r>
    </w:p>
    <w:p>
      <w:pPr>
        <w:pStyle w:val="40"/>
        <w:spacing w:before="0" w:beforeAutospacing="0" w:after="0" w:afterAutospacing="0" w:line="400" w:lineRule="exact"/>
        <w:jc w:val="both"/>
        <w:rPr>
          <w:color w:val="auto"/>
          <w:sz w:val="21"/>
          <w:szCs w:val="21"/>
          <w:highlight w:val="none"/>
        </w:rPr>
      </w:pPr>
      <w:r>
        <w:rPr>
          <w:rStyle w:val="48"/>
          <w:rFonts w:hint="eastAsia"/>
          <w:color w:val="auto"/>
          <w:sz w:val="21"/>
          <w:szCs w:val="21"/>
          <w:highlight w:val="none"/>
        </w:rPr>
        <w:t>七、对本次采购提出询问、质疑、投诉，请按以下方式联系</w:t>
      </w:r>
    </w:p>
    <w:p>
      <w:pPr>
        <w:pStyle w:val="40"/>
        <w:spacing w:before="0" w:beforeAutospacing="0" w:after="0" w:afterAutospacing="0" w:line="400" w:lineRule="exact"/>
        <w:ind w:firstLine="420" w:firstLineChars="200"/>
        <w:rPr>
          <w:color w:val="auto"/>
          <w:sz w:val="21"/>
          <w:szCs w:val="21"/>
          <w:highlight w:val="none"/>
        </w:rPr>
      </w:pPr>
      <w:r>
        <w:rPr>
          <w:rFonts w:hint="eastAsia"/>
          <w:color w:val="auto"/>
          <w:sz w:val="21"/>
          <w:szCs w:val="21"/>
          <w:highlight w:val="none"/>
        </w:rPr>
        <w:t>1.采购人信息</w:t>
      </w:r>
    </w:p>
    <w:p>
      <w:pPr>
        <w:pStyle w:val="40"/>
        <w:spacing w:before="0" w:beforeAutospacing="0" w:after="0" w:afterAutospacing="0" w:line="400" w:lineRule="exact"/>
        <w:ind w:firstLine="420" w:firstLineChars="200"/>
        <w:rPr>
          <w:rFonts w:hint="eastAsia"/>
          <w:color w:val="auto"/>
          <w:sz w:val="21"/>
          <w:szCs w:val="21"/>
          <w:highlight w:val="none"/>
          <w:lang w:eastAsia="zh-CN"/>
        </w:rPr>
      </w:pPr>
      <w:r>
        <w:rPr>
          <w:rFonts w:hint="eastAsia"/>
          <w:color w:val="auto"/>
          <w:sz w:val="21"/>
          <w:szCs w:val="21"/>
          <w:highlight w:val="none"/>
        </w:rPr>
        <w:t>名称：</w:t>
      </w:r>
      <w:r>
        <w:rPr>
          <w:rFonts w:hint="eastAsia"/>
          <w:color w:val="auto"/>
          <w:sz w:val="21"/>
          <w:szCs w:val="21"/>
          <w:highlight w:val="none"/>
          <w:lang w:eastAsia="zh-CN"/>
        </w:rPr>
        <w:t>温州医科大学慈溪生物医药研究院</w:t>
      </w:r>
    </w:p>
    <w:p>
      <w:pPr>
        <w:pStyle w:val="40"/>
        <w:spacing w:before="0" w:beforeAutospacing="0" w:after="0" w:afterAutospacing="0" w:line="400" w:lineRule="exact"/>
        <w:ind w:firstLine="420" w:firstLineChars="200"/>
        <w:rPr>
          <w:rFonts w:hint="eastAsia"/>
          <w:color w:val="auto"/>
          <w:sz w:val="21"/>
          <w:szCs w:val="21"/>
          <w:highlight w:val="none"/>
        </w:rPr>
      </w:pPr>
      <w:r>
        <w:rPr>
          <w:rFonts w:hint="eastAsia"/>
          <w:color w:val="auto"/>
          <w:sz w:val="21"/>
          <w:szCs w:val="21"/>
          <w:highlight w:val="none"/>
        </w:rPr>
        <w:t>地址：慈溪市北二环东路508号</w:t>
      </w:r>
    </w:p>
    <w:p>
      <w:pPr>
        <w:pStyle w:val="40"/>
        <w:spacing w:before="0" w:beforeAutospacing="0" w:after="0" w:afterAutospacing="0" w:line="400" w:lineRule="exact"/>
        <w:ind w:firstLine="420" w:firstLineChars="200"/>
        <w:rPr>
          <w:rFonts w:hint="eastAsia"/>
          <w:color w:val="auto"/>
          <w:sz w:val="21"/>
          <w:szCs w:val="21"/>
          <w:highlight w:val="none"/>
        </w:rPr>
      </w:pPr>
      <w:r>
        <w:rPr>
          <w:rFonts w:hint="eastAsia"/>
          <w:color w:val="auto"/>
          <w:sz w:val="21"/>
          <w:szCs w:val="21"/>
          <w:highlight w:val="none"/>
        </w:rPr>
        <w:t>传真：/</w:t>
      </w:r>
    </w:p>
    <w:p>
      <w:pPr>
        <w:pStyle w:val="40"/>
        <w:spacing w:before="0" w:beforeAutospacing="0" w:after="0" w:afterAutospacing="0" w:line="400" w:lineRule="exact"/>
        <w:ind w:firstLine="420" w:firstLineChars="200"/>
        <w:rPr>
          <w:rFonts w:hint="eastAsia"/>
          <w:color w:val="auto"/>
          <w:sz w:val="21"/>
          <w:szCs w:val="21"/>
          <w:highlight w:val="none"/>
        </w:rPr>
      </w:pPr>
      <w:r>
        <w:rPr>
          <w:rFonts w:hint="eastAsia"/>
          <w:color w:val="auto"/>
          <w:sz w:val="21"/>
          <w:szCs w:val="21"/>
          <w:highlight w:val="none"/>
        </w:rPr>
        <w:t>项目联系人（询问）：</w:t>
      </w:r>
      <w:r>
        <w:rPr>
          <w:rFonts w:hint="eastAsia"/>
          <w:color w:val="auto"/>
          <w:sz w:val="21"/>
          <w:szCs w:val="21"/>
          <w:highlight w:val="none"/>
          <w:lang w:eastAsia="zh-CN"/>
        </w:rPr>
        <w:t>张</w:t>
      </w:r>
      <w:r>
        <w:rPr>
          <w:rFonts w:hint="eastAsia"/>
          <w:color w:val="auto"/>
          <w:sz w:val="21"/>
          <w:szCs w:val="21"/>
          <w:highlight w:val="none"/>
        </w:rPr>
        <w:t>老师</w:t>
      </w:r>
    </w:p>
    <w:p>
      <w:pPr>
        <w:pStyle w:val="40"/>
        <w:spacing w:before="0" w:beforeAutospacing="0" w:after="0" w:afterAutospacing="0" w:line="400" w:lineRule="exact"/>
        <w:ind w:firstLine="420" w:firstLineChars="200"/>
        <w:rPr>
          <w:rFonts w:hint="eastAsia"/>
          <w:color w:val="auto"/>
          <w:sz w:val="21"/>
          <w:szCs w:val="21"/>
          <w:highlight w:val="none"/>
        </w:rPr>
      </w:pPr>
      <w:r>
        <w:rPr>
          <w:rFonts w:hint="eastAsia"/>
          <w:color w:val="auto"/>
          <w:sz w:val="21"/>
          <w:szCs w:val="21"/>
          <w:highlight w:val="none"/>
        </w:rPr>
        <w:t>项目联系方式（询问）：0574-63809929</w:t>
      </w:r>
    </w:p>
    <w:p>
      <w:pPr>
        <w:pStyle w:val="40"/>
        <w:spacing w:before="0" w:beforeAutospacing="0" w:after="0" w:afterAutospacing="0" w:line="400" w:lineRule="exact"/>
        <w:ind w:firstLine="420" w:firstLineChars="200"/>
        <w:rPr>
          <w:rFonts w:hint="eastAsia"/>
          <w:color w:val="auto"/>
          <w:sz w:val="21"/>
          <w:szCs w:val="21"/>
          <w:highlight w:val="none"/>
        </w:rPr>
      </w:pPr>
      <w:r>
        <w:rPr>
          <w:rFonts w:hint="eastAsia"/>
          <w:color w:val="auto"/>
          <w:sz w:val="21"/>
          <w:szCs w:val="21"/>
          <w:highlight w:val="none"/>
        </w:rPr>
        <w:t>质疑联系人：张维斌</w:t>
      </w:r>
    </w:p>
    <w:p>
      <w:pPr>
        <w:pStyle w:val="40"/>
        <w:spacing w:before="0" w:beforeAutospacing="0" w:after="0" w:afterAutospacing="0" w:line="400" w:lineRule="exact"/>
        <w:ind w:firstLine="420" w:firstLineChars="200"/>
        <w:rPr>
          <w:rFonts w:hint="eastAsia"/>
          <w:color w:val="auto"/>
          <w:sz w:val="21"/>
          <w:szCs w:val="21"/>
          <w:highlight w:val="none"/>
        </w:rPr>
      </w:pPr>
      <w:r>
        <w:rPr>
          <w:rFonts w:hint="eastAsia"/>
          <w:color w:val="auto"/>
          <w:sz w:val="21"/>
          <w:szCs w:val="21"/>
          <w:highlight w:val="none"/>
        </w:rPr>
        <w:t>质疑联系方式：15067425090</w:t>
      </w:r>
    </w:p>
    <w:p>
      <w:pPr>
        <w:pStyle w:val="40"/>
        <w:spacing w:before="0" w:beforeAutospacing="0" w:after="0" w:afterAutospacing="0" w:line="400" w:lineRule="exact"/>
        <w:ind w:firstLine="420" w:firstLineChars="200"/>
        <w:rPr>
          <w:color w:val="auto"/>
          <w:sz w:val="21"/>
          <w:szCs w:val="21"/>
          <w:highlight w:val="none"/>
        </w:rPr>
      </w:pPr>
    </w:p>
    <w:p>
      <w:pPr>
        <w:pStyle w:val="40"/>
        <w:spacing w:before="0" w:beforeAutospacing="0" w:after="0" w:afterAutospacing="0" w:line="400" w:lineRule="exact"/>
        <w:ind w:firstLine="420" w:firstLineChars="200"/>
        <w:rPr>
          <w:rFonts w:hint="eastAsia" w:ascii="宋体" w:hAnsi="宋体" w:eastAsia="宋体" w:cs="宋体"/>
          <w:color w:val="auto"/>
          <w:sz w:val="21"/>
          <w:szCs w:val="21"/>
          <w:highlight w:val="none"/>
        </w:rPr>
      </w:pPr>
    </w:p>
    <w:p>
      <w:pPr>
        <w:pStyle w:val="40"/>
        <w:spacing w:before="0" w:beforeAutospacing="0" w:after="0" w:afterAutospacing="0"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2.采购代理机构信息</w:t>
      </w:r>
    </w:p>
    <w:p>
      <w:pPr>
        <w:pStyle w:val="40"/>
        <w:spacing w:before="0" w:beforeAutospacing="0" w:after="0" w:afterAutospacing="0"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名称：慈溪市基建审计事务所</w:t>
      </w:r>
    </w:p>
    <w:p>
      <w:pPr>
        <w:pStyle w:val="40"/>
        <w:spacing w:before="0" w:beforeAutospacing="0" w:after="0" w:afterAutospacing="0"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地址：慈溪市三北大街732号4楼</w:t>
      </w:r>
    </w:p>
    <w:p>
      <w:pPr>
        <w:pStyle w:val="40"/>
        <w:spacing w:before="0" w:beforeAutospacing="0" w:after="0" w:afterAutospacing="0"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传真：0574-63019061</w:t>
      </w:r>
    </w:p>
    <w:p>
      <w:pPr>
        <w:pStyle w:val="40"/>
        <w:spacing w:before="0" w:beforeAutospacing="0" w:after="0" w:afterAutospacing="0" w:line="400" w:lineRule="exact"/>
        <w:ind w:firstLine="420" w:firstLineChars="200"/>
        <w:rPr>
          <w:rFonts w:hint="eastAsia" w:cs="宋体"/>
          <w:color w:val="auto"/>
          <w:sz w:val="21"/>
          <w:szCs w:val="21"/>
          <w:highlight w:val="none"/>
          <w:lang w:val="en-US" w:eastAsia="zh-CN"/>
        </w:rPr>
      </w:pPr>
      <w:r>
        <w:rPr>
          <w:rFonts w:hint="eastAsia" w:ascii="宋体" w:hAnsi="宋体" w:eastAsia="宋体" w:cs="宋体"/>
          <w:color w:val="auto"/>
          <w:sz w:val="21"/>
          <w:szCs w:val="21"/>
          <w:highlight w:val="none"/>
        </w:rPr>
        <w:t>项目联系人（询问）：胡冲辉</w:t>
      </w:r>
      <w:r>
        <w:rPr>
          <w:rFonts w:hint="eastAsia" w:cs="宋体"/>
          <w:color w:val="auto"/>
          <w:sz w:val="21"/>
          <w:szCs w:val="21"/>
          <w:highlight w:val="none"/>
          <w:lang w:eastAsia="zh-CN"/>
        </w:rPr>
        <w:t>、</w:t>
      </w:r>
      <w:r>
        <w:rPr>
          <w:rFonts w:hint="eastAsia" w:cs="宋体"/>
          <w:color w:val="auto"/>
          <w:sz w:val="21"/>
          <w:szCs w:val="21"/>
          <w:highlight w:val="none"/>
          <w:lang w:val="en-US" w:eastAsia="zh-CN"/>
        </w:rPr>
        <w:t>陈超棋</w:t>
      </w:r>
    </w:p>
    <w:p>
      <w:pPr>
        <w:pStyle w:val="40"/>
        <w:spacing w:before="0" w:beforeAutospacing="0" w:after="0" w:afterAutospacing="0"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项目联系方式（询问）：0574-63989820</w:t>
      </w:r>
    </w:p>
    <w:p>
      <w:pPr>
        <w:pStyle w:val="40"/>
        <w:spacing w:before="0" w:beforeAutospacing="0" w:after="0" w:afterAutospacing="0"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质疑联系人：陈健</w:t>
      </w:r>
    </w:p>
    <w:p>
      <w:pPr>
        <w:pStyle w:val="40"/>
        <w:spacing w:before="0" w:beforeAutospacing="0" w:after="0" w:afterAutospacing="0"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质疑联系方式：0574-63019061</w:t>
      </w:r>
    </w:p>
    <w:p>
      <w:pPr>
        <w:pStyle w:val="40"/>
        <w:spacing w:before="0" w:beforeAutospacing="0" w:after="0" w:afterAutospacing="0" w:line="400" w:lineRule="exact"/>
        <w:ind w:firstLine="420" w:firstLineChars="200"/>
        <w:rPr>
          <w:rFonts w:hint="eastAsia"/>
          <w:color w:val="auto"/>
          <w:sz w:val="21"/>
          <w:szCs w:val="21"/>
          <w:highlight w:val="none"/>
        </w:rPr>
      </w:pPr>
    </w:p>
    <w:p>
      <w:pPr>
        <w:pStyle w:val="40"/>
        <w:spacing w:before="0" w:beforeAutospacing="0" w:after="0" w:afterAutospacing="0" w:line="400" w:lineRule="exact"/>
        <w:ind w:firstLine="420" w:firstLineChars="200"/>
        <w:rPr>
          <w:color w:val="auto"/>
          <w:sz w:val="21"/>
          <w:szCs w:val="21"/>
          <w:highlight w:val="none"/>
        </w:rPr>
      </w:pPr>
      <w:r>
        <w:rPr>
          <w:rFonts w:hint="eastAsia"/>
          <w:color w:val="auto"/>
          <w:sz w:val="21"/>
          <w:szCs w:val="21"/>
          <w:highlight w:val="none"/>
        </w:rPr>
        <w:t>3.同级政府采购监督管理部门</w:t>
      </w:r>
    </w:p>
    <w:p>
      <w:pPr>
        <w:pStyle w:val="40"/>
        <w:spacing w:before="0" w:beforeAutospacing="0" w:after="0" w:afterAutospacing="0" w:line="400" w:lineRule="exact"/>
        <w:ind w:firstLine="420" w:firstLineChars="200"/>
        <w:rPr>
          <w:color w:val="auto"/>
          <w:sz w:val="21"/>
          <w:szCs w:val="21"/>
          <w:highlight w:val="none"/>
        </w:rPr>
      </w:pPr>
      <w:r>
        <w:rPr>
          <w:rFonts w:hint="eastAsia"/>
          <w:color w:val="auto"/>
          <w:sz w:val="21"/>
          <w:szCs w:val="21"/>
          <w:highlight w:val="none"/>
        </w:rPr>
        <w:t>名称：慈溪市财政局</w:t>
      </w:r>
    </w:p>
    <w:p>
      <w:pPr>
        <w:pStyle w:val="40"/>
        <w:spacing w:before="0" w:beforeAutospacing="0" w:after="0" w:afterAutospacing="0" w:line="400" w:lineRule="exact"/>
        <w:ind w:firstLine="420" w:firstLineChars="200"/>
        <w:rPr>
          <w:color w:val="auto"/>
          <w:sz w:val="21"/>
          <w:szCs w:val="21"/>
          <w:highlight w:val="none"/>
        </w:rPr>
      </w:pPr>
      <w:r>
        <w:rPr>
          <w:rFonts w:hint="eastAsia"/>
          <w:color w:val="auto"/>
          <w:sz w:val="21"/>
          <w:szCs w:val="21"/>
          <w:highlight w:val="none"/>
        </w:rPr>
        <w:t>地址：慈溪市南二环东路1158号</w:t>
      </w:r>
    </w:p>
    <w:p>
      <w:pPr>
        <w:pStyle w:val="40"/>
        <w:spacing w:before="0" w:beforeAutospacing="0" w:after="0" w:afterAutospacing="0" w:line="400" w:lineRule="exact"/>
        <w:ind w:firstLine="420" w:firstLineChars="200"/>
        <w:rPr>
          <w:color w:val="auto"/>
          <w:sz w:val="21"/>
          <w:szCs w:val="21"/>
          <w:highlight w:val="none"/>
        </w:rPr>
      </w:pPr>
      <w:r>
        <w:rPr>
          <w:rFonts w:hint="eastAsia"/>
          <w:color w:val="auto"/>
          <w:sz w:val="21"/>
          <w:szCs w:val="21"/>
          <w:highlight w:val="none"/>
        </w:rPr>
        <w:t>传真：/</w:t>
      </w:r>
    </w:p>
    <w:p>
      <w:pPr>
        <w:pStyle w:val="40"/>
        <w:spacing w:before="0" w:beforeAutospacing="0" w:after="0" w:afterAutospacing="0" w:line="400" w:lineRule="exact"/>
        <w:ind w:firstLine="420" w:firstLineChars="200"/>
        <w:rPr>
          <w:color w:val="auto"/>
          <w:sz w:val="21"/>
          <w:szCs w:val="21"/>
          <w:highlight w:val="none"/>
        </w:rPr>
      </w:pPr>
      <w:r>
        <w:rPr>
          <w:rFonts w:hint="eastAsia"/>
          <w:color w:val="auto"/>
          <w:sz w:val="21"/>
          <w:szCs w:val="21"/>
          <w:highlight w:val="none"/>
        </w:rPr>
        <w:t>联系人：赵先生、王女士</w:t>
      </w:r>
    </w:p>
    <w:p>
      <w:pPr>
        <w:pStyle w:val="40"/>
        <w:spacing w:before="0" w:beforeAutospacing="0" w:after="0" w:afterAutospacing="0" w:line="400" w:lineRule="exact"/>
        <w:ind w:firstLine="420" w:firstLineChars="200"/>
        <w:rPr>
          <w:color w:val="auto"/>
          <w:sz w:val="21"/>
          <w:szCs w:val="21"/>
          <w:highlight w:val="none"/>
        </w:rPr>
      </w:pPr>
      <w:r>
        <w:rPr>
          <w:rFonts w:hint="eastAsia"/>
          <w:color w:val="auto"/>
          <w:sz w:val="21"/>
          <w:szCs w:val="21"/>
          <w:highlight w:val="none"/>
        </w:rPr>
        <w:t>监督投诉电话：0574-63032032、0574-63837170</w:t>
      </w:r>
    </w:p>
    <w:p>
      <w:pPr>
        <w:pStyle w:val="40"/>
        <w:spacing w:before="0" w:beforeAutospacing="0" w:after="0" w:afterAutospacing="0" w:line="400" w:lineRule="exact"/>
        <w:ind w:firstLine="420" w:firstLineChars="200"/>
        <w:rPr>
          <w:color w:val="auto"/>
          <w:sz w:val="21"/>
          <w:szCs w:val="21"/>
          <w:highlight w:val="none"/>
        </w:rPr>
      </w:pPr>
    </w:p>
    <w:p>
      <w:pPr>
        <w:pStyle w:val="40"/>
        <w:spacing w:before="0" w:beforeAutospacing="0" w:after="0" w:afterAutospacing="0" w:line="400" w:lineRule="exact"/>
        <w:ind w:firstLine="420" w:firstLineChars="200"/>
        <w:rPr>
          <w:color w:val="auto"/>
          <w:sz w:val="21"/>
          <w:szCs w:val="21"/>
          <w:highlight w:val="none"/>
        </w:rPr>
      </w:pPr>
      <w:r>
        <w:rPr>
          <w:rFonts w:hint="eastAsia"/>
          <w:color w:val="auto"/>
          <w:sz w:val="21"/>
          <w:szCs w:val="21"/>
          <w:highlight w:val="none"/>
        </w:rPr>
        <w:t>若对项目采购电子交易系统操作有疑问，可登录政采云（https：//www.zcygov.cn/），点击右侧咨询小采，获取采小蜜智能服务管家帮助，或拨打政采云服务热线95763获取热线服务帮助。</w:t>
      </w:r>
    </w:p>
    <w:p>
      <w:pPr>
        <w:pStyle w:val="40"/>
        <w:spacing w:before="0" w:beforeAutospacing="0" w:after="0" w:afterAutospacing="0" w:line="400" w:lineRule="exact"/>
        <w:ind w:firstLine="420" w:firstLineChars="200"/>
        <w:rPr>
          <w:color w:val="auto"/>
          <w:szCs w:val="21"/>
          <w:highlight w:val="none"/>
        </w:rPr>
      </w:pPr>
      <w:r>
        <w:rPr>
          <w:rFonts w:hint="eastAsia"/>
          <w:color w:val="auto"/>
          <w:sz w:val="21"/>
          <w:szCs w:val="21"/>
          <w:highlight w:val="none"/>
        </w:rPr>
        <w:t>CA问题联系电话（人工）：汇信CA400-888-4636；天谷CA400-087-8198。</w:t>
      </w:r>
    </w:p>
    <w:p>
      <w:pPr>
        <w:spacing w:line="400" w:lineRule="exact"/>
        <w:ind w:firstLine="420" w:firstLineChars="200"/>
        <w:jc w:val="center"/>
        <w:outlineLvl w:val="0"/>
        <w:rPr>
          <w:rFonts w:ascii="宋体" w:hAnsi="宋体"/>
          <w:b/>
          <w:color w:val="auto"/>
          <w:sz w:val="32"/>
          <w:highlight w:val="none"/>
        </w:rPr>
      </w:pPr>
      <w:r>
        <w:rPr>
          <w:rFonts w:ascii="宋体" w:hAnsi="宋体"/>
          <w:color w:val="auto"/>
          <w:szCs w:val="21"/>
          <w:highlight w:val="none"/>
        </w:rPr>
        <w:br w:type="page"/>
      </w:r>
      <w:bookmarkStart w:id="14" w:name="_Toc21541006"/>
      <w:bookmarkStart w:id="15" w:name="_Toc65915695"/>
      <w:r>
        <w:rPr>
          <w:rFonts w:hint="eastAsia" w:ascii="宋体" w:hAnsi="宋体"/>
          <w:b/>
          <w:color w:val="auto"/>
          <w:sz w:val="32"/>
          <w:highlight w:val="none"/>
        </w:rPr>
        <w:t>第二章</w:t>
      </w:r>
      <w:r>
        <w:rPr>
          <w:rFonts w:ascii="宋体" w:hAnsi="宋体"/>
          <w:b/>
          <w:color w:val="auto"/>
          <w:sz w:val="32"/>
          <w:highlight w:val="none"/>
        </w:rPr>
        <w:t xml:space="preserve">  </w:t>
      </w:r>
      <w:r>
        <w:rPr>
          <w:rFonts w:hint="eastAsia" w:ascii="宋体" w:hAnsi="宋体"/>
          <w:b/>
          <w:color w:val="auto"/>
          <w:sz w:val="32"/>
          <w:highlight w:val="none"/>
        </w:rPr>
        <w:t>投标须知</w:t>
      </w:r>
      <w:bookmarkEnd w:id="14"/>
      <w:bookmarkEnd w:id="15"/>
    </w:p>
    <w:p>
      <w:pPr>
        <w:spacing w:line="400" w:lineRule="exact"/>
        <w:ind w:firstLine="422" w:firstLineChars="200"/>
        <w:rPr>
          <w:rFonts w:ascii="宋体" w:hAnsi="宋体"/>
          <w:b/>
          <w:color w:val="auto"/>
          <w:szCs w:val="21"/>
          <w:highlight w:val="none"/>
        </w:rPr>
      </w:pPr>
      <w:r>
        <w:rPr>
          <w:rFonts w:hint="eastAsia" w:ascii="宋体" w:hAnsi="宋体"/>
          <w:b/>
          <w:color w:val="auto"/>
          <w:szCs w:val="21"/>
          <w:highlight w:val="none"/>
        </w:rPr>
        <w:t>一、适用范围</w:t>
      </w:r>
    </w:p>
    <w:p>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本招标文件仅适用于本采购项目所叙述的货物和服务的招标、评标、定标、验收、合同履约、付款等（法律、法规另有规定的，从其规定）。</w:t>
      </w:r>
    </w:p>
    <w:p>
      <w:pPr>
        <w:spacing w:line="400" w:lineRule="exact"/>
        <w:ind w:firstLine="422" w:firstLineChars="200"/>
        <w:jc w:val="left"/>
        <w:rPr>
          <w:rFonts w:ascii="宋体" w:hAnsi="宋体"/>
          <w:b/>
          <w:color w:val="auto"/>
          <w:szCs w:val="21"/>
          <w:highlight w:val="none"/>
        </w:rPr>
      </w:pPr>
      <w:r>
        <w:rPr>
          <w:rFonts w:hint="eastAsia" w:ascii="宋体" w:hAnsi="宋体"/>
          <w:b/>
          <w:color w:val="auto"/>
          <w:szCs w:val="21"/>
          <w:highlight w:val="none"/>
        </w:rPr>
        <w:t>二、定义</w:t>
      </w:r>
    </w:p>
    <w:p>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、“采购人”系指</w:t>
      </w:r>
      <w:r>
        <w:rPr>
          <w:rFonts w:hint="eastAsia" w:ascii="宋体" w:hAnsi="宋体"/>
          <w:color w:val="auto"/>
          <w:szCs w:val="21"/>
          <w:highlight w:val="none"/>
          <w:lang w:eastAsia="zh-CN"/>
        </w:rPr>
        <w:t>温州医科大学慈溪生物医药研究院</w:t>
      </w:r>
      <w:r>
        <w:rPr>
          <w:rFonts w:hint="eastAsia" w:ascii="宋体" w:hAnsi="宋体"/>
          <w:color w:val="auto"/>
          <w:szCs w:val="21"/>
          <w:highlight w:val="none"/>
        </w:rPr>
        <w:t>。</w:t>
      </w:r>
    </w:p>
    <w:p>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、“代理机构”系指</w:t>
      </w:r>
      <w:r>
        <w:rPr>
          <w:rFonts w:hint="eastAsia" w:ascii="宋体" w:hAnsi="宋体"/>
          <w:color w:val="auto"/>
          <w:szCs w:val="21"/>
          <w:highlight w:val="none"/>
          <w:lang w:eastAsia="zh-CN"/>
        </w:rPr>
        <w:t>慈溪市基建审计事务所</w:t>
      </w:r>
      <w:r>
        <w:rPr>
          <w:rFonts w:hint="eastAsia" w:ascii="宋体" w:hAnsi="宋体"/>
          <w:color w:val="auto"/>
          <w:szCs w:val="21"/>
          <w:highlight w:val="none"/>
        </w:rPr>
        <w:t>。</w:t>
      </w:r>
    </w:p>
    <w:p>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3</w:t>
      </w:r>
      <w:r>
        <w:rPr>
          <w:rFonts w:hint="eastAsia" w:ascii="宋体" w:hAnsi="宋体"/>
          <w:color w:val="auto"/>
          <w:szCs w:val="21"/>
          <w:highlight w:val="none"/>
        </w:rPr>
        <w:t>、“供应商（投标人）”系指向采购人提交投标文件的供应商。</w:t>
      </w:r>
    </w:p>
    <w:p>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4</w:t>
      </w:r>
      <w:r>
        <w:rPr>
          <w:rFonts w:hint="eastAsia" w:ascii="宋体" w:hAnsi="宋体"/>
          <w:color w:val="auto"/>
          <w:szCs w:val="21"/>
          <w:highlight w:val="none"/>
        </w:rPr>
        <w:t>、“货物”系指供应商按招标文件规定，须向采购人提供的一切设备、保险、税金、备品备件、工具、手册及其它有关技术资料和材料。</w:t>
      </w:r>
    </w:p>
    <w:p>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5</w:t>
      </w:r>
      <w:r>
        <w:rPr>
          <w:rFonts w:hint="eastAsia" w:ascii="宋体" w:hAnsi="宋体"/>
          <w:color w:val="auto"/>
          <w:szCs w:val="21"/>
          <w:highlight w:val="none"/>
        </w:rPr>
        <w:t>、“服务”系指</w:t>
      </w:r>
      <w:r>
        <w:rPr>
          <w:rFonts w:ascii="宋体" w:hAnsi="宋体"/>
          <w:color w:val="auto"/>
          <w:szCs w:val="21"/>
          <w:highlight w:val="none"/>
        </w:rPr>
        <w:t>招标文件规定供应商须承担的</w:t>
      </w:r>
      <w:r>
        <w:rPr>
          <w:rFonts w:hint="eastAsia" w:ascii="宋体" w:hAnsi="宋体"/>
          <w:color w:val="auto"/>
          <w:szCs w:val="21"/>
          <w:highlight w:val="none"/>
        </w:rPr>
        <w:t>安装、调试、验收</w:t>
      </w:r>
      <w:r>
        <w:rPr>
          <w:rFonts w:ascii="宋体" w:hAnsi="宋体"/>
          <w:color w:val="auto"/>
          <w:szCs w:val="21"/>
          <w:highlight w:val="none"/>
        </w:rPr>
        <w:t>以及其他类似的义务</w:t>
      </w:r>
      <w:r>
        <w:rPr>
          <w:rFonts w:hint="eastAsia" w:ascii="宋体" w:hAnsi="宋体"/>
          <w:color w:val="auto"/>
          <w:szCs w:val="21"/>
          <w:highlight w:val="none"/>
        </w:rPr>
        <w:t>。</w:t>
      </w:r>
    </w:p>
    <w:p>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6</w:t>
      </w:r>
      <w:r>
        <w:rPr>
          <w:rFonts w:hint="eastAsia" w:ascii="宋体" w:hAnsi="宋体"/>
          <w:color w:val="auto"/>
          <w:szCs w:val="21"/>
          <w:highlight w:val="none"/>
        </w:rPr>
        <w:t>、“同级政府采购监管部门”系指</w:t>
      </w:r>
      <w:r>
        <w:rPr>
          <w:rFonts w:hint="eastAsia" w:ascii="宋体" w:hAnsi="宋体"/>
          <w:color w:val="auto"/>
          <w:kern w:val="10"/>
          <w:szCs w:val="21"/>
          <w:highlight w:val="none"/>
          <w:lang w:val="zh-CN"/>
        </w:rPr>
        <w:t>慈溪市财政局。</w:t>
      </w:r>
    </w:p>
    <w:p>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7</w:t>
      </w:r>
      <w:r>
        <w:rPr>
          <w:rFonts w:hint="eastAsia" w:ascii="宋体" w:hAnsi="宋体"/>
          <w:color w:val="auto"/>
          <w:szCs w:val="21"/>
          <w:highlight w:val="none"/>
        </w:rPr>
        <w:t>、“▲”系指实质性响应条款。</w:t>
      </w:r>
    </w:p>
    <w:p>
      <w:pPr>
        <w:spacing w:line="400" w:lineRule="exact"/>
        <w:ind w:firstLine="422" w:firstLineChars="200"/>
        <w:jc w:val="left"/>
        <w:rPr>
          <w:rFonts w:ascii="宋体" w:hAnsi="宋体"/>
          <w:color w:val="auto"/>
          <w:szCs w:val="21"/>
          <w:highlight w:val="none"/>
        </w:rPr>
      </w:pPr>
      <w:r>
        <w:rPr>
          <w:rFonts w:hint="eastAsia" w:ascii="宋体" w:hAnsi="宋体"/>
          <w:b/>
          <w:color w:val="auto"/>
          <w:szCs w:val="21"/>
          <w:highlight w:val="none"/>
        </w:rPr>
        <w:t>▲本项目合格货物或服务来源：本项目允许采购进口产品。</w:t>
      </w:r>
    </w:p>
    <w:p>
      <w:pPr>
        <w:spacing w:line="440" w:lineRule="exact"/>
        <w:ind w:firstLine="420" w:firstLineChars="200"/>
        <w:jc w:val="left"/>
        <w:rPr>
          <w:rFonts w:ascii="宋体" w:hAnsi="宋体"/>
          <w:color w:val="auto"/>
          <w:szCs w:val="21"/>
          <w:highlight w:val="none"/>
        </w:rPr>
      </w:pPr>
      <w:r>
        <w:rPr>
          <w:rFonts w:ascii="宋体" w:hAnsi="宋体"/>
          <w:color w:val="auto"/>
          <w:szCs w:val="21"/>
          <w:highlight w:val="none"/>
        </w:rPr>
        <w:t>8</w:t>
      </w:r>
      <w:r>
        <w:rPr>
          <w:rFonts w:hint="eastAsia" w:ascii="宋体" w:hAnsi="宋体"/>
          <w:color w:val="auto"/>
          <w:szCs w:val="21"/>
          <w:highlight w:val="none"/>
        </w:rPr>
        <w:t>、合格的投标货物或服务：</w:t>
      </w:r>
    </w:p>
    <w:p>
      <w:pPr>
        <w:spacing w:line="440" w:lineRule="exact"/>
        <w:ind w:firstLine="420" w:firstLineChars="200"/>
        <w:jc w:val="left"/>
        <w:rPr>
          <w:rFonts w:ascii="宋体" w:hAnsi="宋体"/>
          <w:color w:val="auto"/>
          <w:szCs w:val="21"/>
          <w:highlight w:val="none"/>
        </w:rPr>
      </w:pPr>
      <w:r>
        <w:rPr>
          <w:rFonts w:ascii="宋体" w:hAnsi="宋体"/>
          <w:color w:val="auto"/>
          <w:szCs w:val="21"/>
          <w:highlight w:val="none"/>
        </w:rPr>
        <w:t>8</w:t>
      </w:r>
      <w:r>
        <w:rPr>
          <w:rFonts w:hint="eastAsia" w:ascii="宋体" w:hAnsi="宋体"/>
          <w:color w:val="auto"/>
          <w:szCs w:val="21"/>
          <w:highlight w:val="none"/>
        </w:rPr>
        <w:t xml:space="preserve">.1应该是中国境内生产的货物或提供的服务。 </w:t>
      </w:r>
    </w:p>
    <w:p>
      <w:pPr>
        <w:spacing w:line="440" w:lineRule="exact"/>
        <w:ind w:firstLine="420" w:firstLineChars="200"/>
        <w:jc w:val="left"/>
        <w:rPr>
          <w:rFonts w:ascii="宋体" w:hAnsi="宋体"/>
          <w:color w:val="auto"/>
          <w:szCs w:val="21"/>
          <w:highlight w:val="none"/>
        </w:rPr>
      </w:pPr>
      <w:r>
        <w:rPr>
          <w:rFonts w:hint="eastAsia" w:ascii="宋体" w:hAnsi="宋体"/>
          <w:color w:val="auto"/>
          <w:szCs w:val="21"/>
          <w:highlight w:val="none"/>
        </w:rPr>
        <w:t>若投标货物或服务是国家实行许可证制度或生产注册证制度的产品或服务，则应具备相应有效的证书。</w:t>
      </w:r>
    </w:p>
    <w:p>
      <w:pPr>
        <w:spacing w:line="440" w:lineRule="exact"/>
        <w:ind w:firstLine="420" w:firstLineChars="200"/>
        <w:jc w:val="left"/>
        <w:rPr>
          <w:rFonts w:ascii="宋体" w:hAnsi="宋体"/>
          <w:color w:val="auto"/>
          <w:szCs w:val="21"/>
          <w:highlight w:val="none"/>
        </w:rPr>
      </w:pPr>
      <w:r>
        <w:rPr>
          <w:rFonts w:hint="eastAsia" w:ascii="宋体" w:hAnsi="宋体"/>
          <w:color w:val="auto"/>
          <w:szCs w:val="21"/>
          <w:highlight w:val="none"/>
        </w:rPr>
        <w:t>招标文件允许采购进口产品的，若投标货物是进口产品，供应商应保证所投产品为可履行合法报通关手续进入中国关境内、在中国海关完税的可合法销售的货物。</w:t>
      </w:r>
    </w:p>
    <w:p>
      <w:pPr>
        <w:spacing w:line="440" w:lineRule="exact"/>
        <w:ind w:firstLine="420" w:firstLineChars="200"/>
        <w:jc w:val="left"/>
        <w:rPr>
          <w:rFonts w:ascii="宋体" w:hAnsi="宋体"/>
          <w:color w:val="auto"/>
          <w:szCs w:val="21"/>
          <w:highlight w:val="none"/>
        </w:rPr>
      </w:pPr>
      <w:r>
        <w:rPr>
          <w:rFonts w:ascii="宋体" w:hAnsi="宋体"/>
          <w:color w:val="auto"/>
          <w:szCs w:val="21"/>
          <w:highlight w:val="none"/>
        </w:rPr>
        <w:t>8</w:t>
      </w:r>
      <w:r>
        <w:rPr>
          <w:rFonts w:hint="eastAsia" w:ascii="宋体" w:hAnsi="宋体"/>
          <w:color w:val="auto"/>
          <w:szCs w:val="21"/>
          <w:highlight w:val="none"/>
        </w:rPr>
        <w:t>.2国家规定有标准及规范的，投标货物或服务应按有效的标准及规范执行，应符合国家及招标文件提出的有关技术、质量、安全标准。</w:t>
      </w:r>
    </w:p>
    <w:p>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8</w:t>
      </w:r>
      <w:r>
        <w:rPr>
          <w:rFonts w:hint="eastAsia" w:ascii="宋体" w:hAnsi="宋体"/>
          <w:color w:val="auto"/>
          <w:szCs w:val="21"/>
          <w:highlight w:val="none"/>
        </w:rPr>
        <w:t>.3供应商应保证所提供的产品或服务免受第三方提出侵犯其知识产权（专利权、商标权、工业设计权及使用权等）的索赔或起诉，否则，由此可能产生的一切法律责任和经济责任均由供应商承担。</w:t>
      </w:r>
    </w:p>
    <w:p>
      <w:pPr>
        <w:spacing w:line="400" w:lineRule="exact"/>
        <w:ind w:firstLine="420" w:firstLineChars="200"/>
        <w:jc w:val="left"/>
        <w:rPr>
          <w:rFonts w:ascii="宋体" w:hAnsi="宋体"/>
          <w:b/>
          <w:color w:val="auto"/>
          <w:szCs w:val="21"/>
          <w:highlight w:val="none"/>
        </w:rPr>
      </w:pPr>
      <w:r>
        <w:rPr>
          <w:rFonts w:hint="eastAsia" w:ascii="宋体" w:hAnsi="宋体"/>
          <w:color w:val="auto"/>
          <w:szCs w:val="21"/>
          <w:highlight w:val="none"/>
        </w:rPr>
        <w:t>▲</w:t>
      </w:r>
      <w:r>
        <w:rPr>
          <w:rFonts w:hint="eastAsia" w:ascii="宋体" w:hAnsi="宋体"/>
          <w:b/>
          <w:color w:val="auto"/>
          <w:szCs w:val="21"/>
          <w:highlight w:val="none"/>
        </w:rPr>
        <w:t>三、供应商的资格要求</w:t>
      </w:r>
    </w:p>
    <w:p>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详见招标公告。</w:t>
      </w:r>
    </w:p>
    <w:p>
      <w:pPr>
        <w:spacing w:line="400" w:lineRule="exact"/>
        <w:ind w:firstLine="422" w:firstLineChars="200"/>
        <w:jc w:val="left"/>
        <w:rPr>
          <w:rFonts w:ascii="宋体" w:hAnsi="宋体"/>
          <w:b/>
          <w:color w:val="auto"/>
          <w:szCs w:val="21"/>
          <w:highlight w:val="none"/>
        </w:rPr>
      </w:pPr>
      <w:r>
        <w:rPr>
          <w:rFonts w:hint="eastAsia" w:ascii="宋体" w:hAnsi="宋体"/>
          <w:b/>
          <w:color w:val="auto"/>
          <w:szCs w:val="21"/>
          <w:highlight w:val="none"/>
        </w:rPr>
        <w:t>四、投标费用</w:t>
      </w:r>
    </w:p>
    <w:p>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无论投标过程和结果如何，供应商自行承担与投标有关的全部费用。</w:t>
      </w:r>
    </w:p>
    <w:p>
      <w:pPr>
        <w:spacing w:line="400" w:lineRule="exact"/>
        <w:ind w:firstLine="422" w:firstLineChars="200"/>
        <w:jc w:val="left"/>
        <w:rPr>
          <w:rFonts w:ascii="宋体" w:hAnsi="宋体"/>
          <w:b/>
          <w:color w:val="auto"/>
          <w:szCs w:val="21"/>
          <w:highlight w:val="none"/>
        </w:rPr>
      </w:pPr>
      <w:r>
        <w:rPr>
          <w:rFonts w:hint="eastAsia" w:ascii="宋体" w:hAnsi="宋体"/>
          <w:b/>
          <w:color w:val="auto"/>
          <w:szCs w:val="21"/>
          <w:highlight w:val="none"/>
        </w:rPr>
        <w:t>五、投标报价</w:t>
      </w:r>
    </w:p>
    <w:p>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投标报价以人民币为结算货币，投标报价为货到医院价，含设备出厂价（含增值税和其他税费）、货物质量保证期内所需的零备件和专用工具、运抵采购人指定地点的运输、保险、安装调试、维护保养、培训等所有费用。</w:t>
      </w:r>
      <w:r>
        <w:rPr>
          <w:rFonts w:ascii="宋体" w:hAnsi="宋体"/>
          <w:color w:val="auto"/>
          <w:szCs w:val="21"/>
          <w:highlight w:val="none"/>
        </w:rPr>
        <w:t>供应商</w:t>
      </w:r>
      <w:r>
        <w:rPr>
          <w:rFonts w:hint="eastAsia" w:ascii="宋体" w:hAnsi="宋体"/>
          <w:color w:val="auto"/>
          <w:szCs w:val="21"/>
          <w:highlight w:val="none"/>
        </w:rPr>
        <w:t>应结合</w:t>
      </w:r>
      <w:r>
        <w:rPr>
          <w:rFonts w:ascii="宋体" w:hAnsi="宋体"/>
          <w:color w:val="auto"/>
          <w:szCs w:val="21"/>
          <w:highlight w:val="none"/>
        </w:rPr>
        <w:t>市场及自身情况自行报价</w:t>
      </w:r>
      <w:r>
        <w:rPr>
          <w:rFonts w:hint="eastAsia" w:ascii="宋体" w:hAnsi="宋体"/>
          <w:color w:val="auto"/>
          <w:szCs w:val="21"/>
          <w:highlight w:val="none"/>
        </w:rPr>
        <w:t>。</w:t>
      </w:r>
    </w:p>
    <w:p>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2、供应商应按招标文件要求认真填写“开标一览表”和“分项报价表”。</w:t>
      </w:r>
    </w:p>
    <w:p>
      <w:pPr>
        <w:spacing w:line="400" w:lineRule="exact"/>
        <w:ind w:firstLine="422" w:firstLineChars="200"/>
        <w:jc w:val="left"/>
        <w:rPr>
          <w:rFonts w:ascii="宋体" w:hAnsi="宋体"/>
          <w:b/>
          <w:color w:val="auto"/>
          <w:szCs w:val="21"/>
          <w:highlight w:val="none"/>
        </w:rPr>
      </w:pPr>
      <w:r>
        <w:rPr>
          <w:rFonts w:hint="eastAsia" w:ascii="宋体" w:hAnsi="宋体"/>
          <w:b/>
          <w:color w:val="auto"/>
          <w:szCs w:val="21"/>
          <w:highlight w:val="none"/>
        </w:rPr>
        <w:t>六、投标有效期</w:t>
      </w:r>
    </w:p>
    <w:p>
      <w:pPr>
        <w:spacing w:line="400" w:lineRule="exact"/>
        <w:ind w:firstLine="210" w:firstLineChars="100"/>
        <w:jc w:val="left"/>
        <w:rPr>
          <w:rFonts w:ascii="宋体" w:hAnsi="宋体"/>
          <w:b/>
          <w:color w:val="auto"/>
          <w:szCs w:val="21"/>
          <w:highlight w:val="none"/>
        </w:rPr>
      </w:pPr>
      <w:r>
        <w:rPr>
          <w:rFonts w:hint="eastAsia" w:ascii="宋体" w:hAnsi="宋体"/>
          <w:color w:val="auto"/>
          <w:szCs w:val="21"/>
          <w:highlight w:val="none"/>
        </w:rPr>
        <w:t>▲</w:t>
      </w:r>
      <w:r>
        <w:rPr>
          <w:rFonts w:ascii="宋体" w:hAnsi="宋体"/>
          <w:color w:val="auto"/>
          <w:szCs w:val="21"/>
          <w:highlight w:val="none"/>
        </w:rPr>
        <w:t>1</w:t>
      </w:r>
      <w:r>
        <w:rPr>
          <w:rFonts w:hint="eastAsia" w:ascii="宋体" w:hAnsi="宋体"/>
          <w:color w:val="auto"/>
          <w:szCs w:val="21"/>
          <w:highlight w:val="none"/>
        </w:rPr>
        <w:t>、投标文件从开标之日起，投标有效期为</w:t>
      </w:r>
      <w:r>
        <w:rPr>
          <w:rFonts w:ascii="宋体" w:hAnsi="宋体"/>
          <w:color w:val="auto"/>
          <w:szCs w:val="21"/>
          <w:highlight w:val="none"/>
        </w:rPr>
        <w:t>90</w:t>
      </w:r>
      <w:r>
        <w:rPr>
          <w:rFonts w:hint="eastAsia" w:ascii="宋体" w:hAnsi="宋体"/>
          <w:color w:val="auto"/>
          <w:szCs w:val="21"/>
          <w:highlight w:val="none"/>
        </w:rPr>
        <w:t>个日历日。投标有效期不能小于招标文件的要求。</w:t>
      </w:r>
    </w:p>
    <w:p>
      <w:pPr>
        <w:spacing w:line="400" w:lineRule="exact"/>
        <w:ind w:firstLine="420" w:firstLineChars="200"/>
        <w:jc w:val="left"/>
        <w:rPr>
          <w:rFonts w:ascii="宋体" w:hAnsi="宋体"/>
          <w:b/>
          <w:color w:val="auto"/>
          <w:szCs w:val="21"/>
          <w:highlight w:val="none"/>
        </w:rPr>
      </w:pPr>
      <w:r>
        <w:rPr>
          <w:rFonts w:ascii="宋体" w:hAnsi="宋体"/>
          <w:color w:val="auto"/>
          <w:szCs w:val="21"/>
          <w:highlight w:val="none"/>
        </w:rPr>
        <w:t>2</w:t>
      </w:r>
      <w:r>
        <w:rPr>
          <w:rFonts w:hint="eastAsia" w:ascii="宋体" w:hAnsi="宋体"/>
          <w:color w:val="auto"/>
          <w:szCs w:val="21"/>
          <w:highlight w:val="none"/>
        </w:rPr>
        <w:t>、特殊情况下，采购人可与供应商协商延缓投标文件的有效期，这种要求和答复均以书面形式进行。</w:t>
      </w:r>
    </w:p>
    <w:p>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3</w:t>
      </w:r>
      <w:r>
        <w:rPr>
          <w:rFonts w:hint="eastAsia" w:ascii="宋体" w:hAnsi="宋体"/>
          <w:color w:val="auto"/>
          <w:szCs w:val="21"/>
          <w:highlight w:val="none"/>
        </w:rPr>
        <w:t>、供应商可拒绝接受延期要求。同意延长有效期的供应商不能修改投标文件。</w:t>
      </w:r>
    </w:p>
    <w:p>
      <w:pPr>
        <w:spacing w:line="400" w:lineRule="exact"/>
        <w:ind w:firstLine="422" w:firstLineChars="200"/>
        <w:jc w:val="left"/>
        <w:rPr>
          <w:rFonts w:ascii="宋体" w:hAnsi="宋体"/>
          <w:b/>
          <w:color w:val="auto"/>
          <w:szCs w:val="21"/>
          <w:highlight w:val="none"/>
        </w:rPr>
      </w:pPr>
      <w:r>
        <w:rPr>
          <w:rFonts w:hint="eastAsia" w:ascii="宋体" w:hAnsi="宋体"/>
          <w:b/>
          <w:color w:val="auto"/>
          <w:szCs w:val="21"/>
          <w:highlight w:val="none"/>
        </w:rPr>
        <w:t>七、投标文件的形式和效力</w:t>
      </w:r>
    </w:p>
    <w:p>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、投标文件分为电子投标文件以及备份投标文件，备份投标文件为以</w:t>
      </w:r>
      <w:r>
        <w:rPr>
          <w:rFonts w:hint="eastAsia" w:ascii="宋体" w:hAnsi="宋体" w:cs="宋体"/>
          <w:color w:val="auto"/>
          <w:kern w:val="0"/>
          <w:szCs w:val="21"/>
          <w:highlight w:val="none"/>
        </w:rPr>
        <w:t>U盘或光盘存储的电子</w:t>
      </w:r>
      <w:r>
        <w:rPr>
          <w:rFonts w:hint="eastAsia" w:ascii="宋体" w:hAnsi="宋体"/>
          <w:color w:val="auto"/>
          <w:szCs w:val="21"/>
          <w:highlight w:val="none"/>
        </w:rPr>
        <w:t>备份投标文件。</w:t>
      </w:r>
    </w:p>
    <w:p>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、电子投标文件，按“项目采购-电子招投标操作指南”及本招标文件要求制作，并加密。</w:t>
      </w:r>
    </w:p>
    <w:p>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3</w:t>
      </w:r>
      <w:r>
        <w:rPr>
          <w:rFonts w:hint="eastAsia" w:ascii="宋体" w:hAnsi="宋体"/>
          <w:color w:val="auto"/>
          <w:szCs w:val="21"/>
          <w:highlight w:val="none"/>
        </w:rPr>
        <w:t>、以</w:t>
      </w:r>
      <w:r>
        <w:rPr>
          <w:rFonts w:hint="eastAsia" w:ascii="宋体" w:hAnsi="宋体" w:cs="宋体"/>
          <w:color w:val="auto"/>
          <w:kern w:val="0"/>
          <w:szCs w:val="21"/>
          <w:highlight w:val="none"/>
        </w:rPr>
        <w:t>U盘或光盘存储的电子</w:t>
      </w:r>
      <w:r>
        <w:rPr>
          <w:rFonts w:hint="eastAsia" w:ascii="宋体" w:hAnsi="宋体"/>
          <w:color w:val="auto"/>
          <w:szCs w:val="21"/>
          <w:highlight w:val="none"/>
        </w:rPr>
        <w:t>备份投标文件，按“项目采购-电子招投标操作指南”制作的电子备份文件。</w:t>
      </w:r>
    </w:p>
    <w:p>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4</w:t>
      </w:r>
      <w:r>
        <w:rPr>
          <w:rFonts w:hint="eastAsia" w:ascii="宋体" w:hAnsi="宋体"/>
          <w:color w:val="auto"/>
          <w:szCs w:val="21"/>
          <w:highlight w:val="none"/>
        </w:rPr>
        <w:t>、投标文件填写字迹必须清楚、工整，对不同文字文本投标文件的解释发生异议的，以中文文本为准。</w:t>
      </w:r>
    </w:p>
    <w:p>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5</w:t>
      </w:r>
      <w:r>
        <w:rPr>
          <w:rFonts w:hint="eastAsia" w:ascii="宋体" w:hAnsi="宋体"/>
          <w:color w:val="auto"/>
          <w:szCs w:val="21"/>
          <w:highlight w:val="none"/>
        </w:rPr>
        <w:t>、投标文件的效力</w:t>
      </w:r>
    </w:p>
    <w:p>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投标文件的启用，按先后顺位分别为电子投标文件、以</w:t>
      </w:r>
      <w:r>
        <w:rPr>
          <w:rFonts w:hint="eastAsia" w:ascii="宋体" w:hAnsi="宋体" w:cs="宋体"/>
          <w:color w:val="auto"/>
          <w:kern w:val="0"/>
          <w:szCs w:val="21"/>
          <w:highlight w:val="none"/>
        </w:rPr>
        <w:t>U盘或光盘存储的电子</w:t>
      </w:r>
      <w:r>
        <w:rPr>
          <w:rFonts w:hint="eastAsia" w:ascii="宋体" w:hAnsi="宋体"/>
          <w:color w:val="auto"/>
          <w:szCs w:val="21"/>
          <w:highlight w:val="none"/>
        </w:rPr>
        <w:t>备份投标文件。在下一顺位的投标文件启用时，前一顺位的投标文件自动失效。</w:t>
      </w:r>
    </w:p>
    <w:p>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电子投标文件未能按时解密，供应商提供了电子备份投标文件的，以电子备份投标文件作为依据，否则视为投标文件撤回。电子投标文件已按时解密的，电子备份投标文件自动失效。</w:t>
      </w:r>
    </w:p>
    <w:p>
      <w:pPr>
        <w:spacing w:line="400" w:lineRule="exact"/>
        <w:ind w:firstLine="422" w:firstLineChars="200"/>
        <w:jc w:val="left"/>
        <w:rPr>
          <w:rFonts w:ascii="宋体" w:hAnsi="宋体"/>
          <w:b/>
          <w:bCs/>
          <w:color w:val="auto"/>
          <w:szCs w:val="21"/>
          <w:highlight w:val="none"/>
        </w:rPr>
      </w:pPr>
      <w:r>
        <w:rPr>
          <w:rFonts w:hint="eastAsia" w:ascii="宋体" w:hAnsi="宋体"/>
          <w:b/>
          <w:bCs/>
          <w:color w:val="auto"/>
          <w:szCs w:val="21"/>
          <w:highlight w:val="none"/>
        </w:rPr>
        <w:t>八、投标文件的组成、制作</w:t>
      </w:r>
    </w:p>
    <w:p>
      <w:pPr>
        <w:snapToGrid w:val="0"/>
        <w:spacing w:line="400" w:lineRule="exact"/>
        <w:ind w:firstLine="411" w:firstLineChars="196"/>
        <w:jc w:val="left"/>
        <w:rPr>
          <w:rFonts w:ascii="宋体" w:hAnsi="宋体"/>
          <w:bCs/>
          <w:color w:val="auto"/>
          <w:szCs w:val="21"/>
          <w:highlight w:val="none"/>
        </w:rPr>
      </w:pPr>
      <w:r>
        <w:rPr>
          <w:rFonts w:hint="eastAsia" w:ascii="宋体" w:hAnsi="宋体"/>
          <w:bCs/>
          <w:color w:val="auto"/>
          <w:szCs w:val="21"/>
          <w:highlight w:val="none"/>
        </w:rPr>
        <w:t>1、投标文件的组成：</w:t>
      </w:r>
    </w:p>
    <w:p>
      <w:pPr>
        <w:snapToGrid w:val="0"/>
        <w:spacing w:line="400" w:lineRule="exact"/>
        <w:ind w:firstLine="413" w:firstLineChars="196"/>
        <w:jc w:val="left"/>
        <w:rPr>
          <w:rFonts w:ascii="宋体" w:hAnsi="宋体" w:cs="宋体"/>
          <w:b/>
          <w:color w:val="auto"/>
          <w:szCs w:val="21"/>
          <w:highlight w:val="none"/>
        </w:rPr>
      </w:pPr>
      <w:r>
        <w:rPr>
          <w:rFonts w:hint="eastAsia" w:ascii="宋体" w:hAnsi="宋体" w:cs="宋体"/>
          <w:b/>
          <w:color w:val="auto"/>
          <w:szCs w:val="21"/>
          <w:highlight w:val="none"/>
        </w:rPr>
        <w:t>A、第一册：资格文件</w:t>
      </w:r>
    </w:p>
    <w:p>
      <w:pPr>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1、关于资格的承诺函</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附件一）</w:t>
      </w:r>
      <w:r>
        <w:rPr>
          <w:rFonts w:hint="eastAsia" w:ascii="宋体" w:hAnsi="宋体" w:cs="宋体"/>
          <w:color w:val="auto"/>
          <w:szCs w:val="21"/>
          <w:highlight w:val="none"/>
        </w:rPr>
        <w:t>；</w:t>
      </w:r>
    </w:p>
    <w:p>
      <w:pPr>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2、营业执照副本（或事业法人登记证副本或其他登记证明材料）扫描件或电子营业执照加盖供应商公章（供应商如果有名称变更的，应提供由行政主管部门出具的变更证明文件扫描件加盖供应商公章）。</w:t>
      </w:r>
    </w:p>
    <w:p>
      <w:pPr>
        <w:spacing w:line="400" w:lineRule="exact"/>
        <w:ind w:firstLine="422" w:firstLineChars="200"/>
        <w:jc w:val="left"/>
        <w:rPr>
          <w:rFonts w:ascii="宋体" w:hAnsi="宋体" w:cs="宋体"/>
          <w:b/>
          <w:color w:val="auto"/>
          <w:szCs w:val="21"/>
          <w:highlight w:val="none"/>
        </w:rPr>
      </w:pPr>
      <w:r>
        <w:rPr>
          <w:rFonts w:hint="eastAsia" w:ascii="宋体" w:hAnsi="宋体" w:cs="宋体"/>
          <w:b/>
          <w:color w:val="auto"/>
          <w:szCs w:val="21"/>
          <w:highlight w:val="none"/>
        </w:rPr>
        <w:t>B、第二册：商务和技术文件</w:t>
      </w:r>
    </w:p>
    <w:p>
      <w:pPr>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1、投标书</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附件二）</w:t>
      </w:r>
      <w:r>
        <w:rPr>
          <w:rFonts w:hint="eastAsia" w:ascii="宋体" w:hAnsi="宋体" w:cs="宋体"/>
          <w:color w:val="auto"/>
          <w:szCs w:val="21"/>
          <w:highlight w:val="none"/>
        </w:rPr>
        <w:t>；</w:t>
      </w:r>
    </w:p>
    <w:p>
      <w:pPr>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2、法定代表人身份证明</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附件三）</w:t>
      </w:r>
      <w:r>
        <w:rPr>
          <w:rFonts w:hint="eastAsia" w:ascii="宋体" w:hAnsi="宋体" w:cs="宋体"/>
          <w:color w:val="auto"/>
          <w:szCs w:val="21"/>
          <w:highlight w:val="none"/>
        </w:rPr>
        <w:t>；</w:t>
      </w:r>
    </w:p>
    <w:p>
      <w:pPr>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3、法定代表人授权书（投标文件由授权代表签字的须提供）</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附件四）</w:t>
      </w:r>
      <w:r>
        <w:rPr>
          <w:rFonts w:hint="eastAsia" w:ascii="宋体" w:hAnsi="宋体" w:cs="宋体"/>
          <w:color w:val="auto"/>
          <w:szCs w:val="21"/>
          <w:highlight w:val="none"/>
        </w:rPr>
        <w:t>；</w:t>
      </w:r>
    </w:p>
    <w:p>
      <w:pPr>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4、供应商一般情况表</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附件五）</w:t>
      </w:r>
      <w:r>
        <w:rPr>
          <w:rFonts w:hint="eastAsia" w:ascii="宋体" w:hAnsi="宋体" w:cs="宋体"/>
          <w:color w:val="auto"/>
          <w:szCs w:val="21"/>
          <w:highlight w:val="none"/>
        </w:rPr>
        <w:t>；</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5、商务条款响应表</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附件六）</w:t>
      </w:r>
      <w:r>
        <w:rPr>
          <w:rFonts w:hint="eastAsia" w:ascii="宋体" w:hAnsi="宋体" w:cs="宋体"/>
          <w:color w:val="auto"/>
          <w:szCs w:val="21"/>
          <w:highlight w:val="none"/>
        </w:rPr>
        <w:t>；</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6、技术条款响应表</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附件七）</w:t>
      </w:r>
      <w:r>
        <w:rPr>
          <w:rFonts w:hint="eastAsia" w:ascii="宋体" w:hAnsi="宋体" w:cs="宋体"/>
          <w:color w:val="auto"/>
          <w:szCs w:val="21"/>
          <w:highlight w:val="none"/>
        </w:rPr>
        <w:t>；</w:t>
      </w:r>
    </w:p>
    <w:p>
      <w:pPr>
        <w:spacing w:line="400" w:lineRule="exact"/>
        <w:ind w:firstLine="420" w:firstLineChars="200"/>
        <w:jc w:val="left"/>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w:t>
      </w:r>
      <w:r>
        <w:rPr>
          <w:rFonts w:hint="eastAsia" w:ascii="宋体" w:hAnsi="宋体" w:cs="宋体"/>
          <w:color w:val="auto"/>
          <w:highlight w:val="none"/>
        </w:rPr>
        <w:t>供货范围和技术说明（包括但不仅限于）：</w:t>
      </w:r>
      <w:r>
        <w:rPr>
          <w:rFonts w:hint="eastAsia" w:ascii="宋体" w:hAnsi="宋体" w:cs="宋体"/>
          <w:color w:val="auto"/>
          <w:szCs w:val="21"/>
          <w:highlight w:val="none"/>
        </w:rPr>
        <w:t>设备配置清单、选配件及耗材清单，货物技术性能数据和技术性能的详细描述；</w:t>
      </w:r>
    </w:p>
    <w:p>
      <w:pPr>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、第三章“评标办法及标准”中“商务和技术评分表”要求提供的其他资料（如有需提供）；</w:t>
      </w:r>
    </w:p>
    <w:p>
      <w:pPr>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、供应商认为需要的其他资料（如有需提供）。</w:t>
      </w:r>
    </w:p>
    <w:p>
      <w:pPr>
        <w:spacing w:line="400" w:lineRule="exact"/>
        <w:ind w:firstLine="422" w:firstLineChars="200"/>
        <w:jc w:val="left"/>
        <w:rPr>
          <w:rFonts w:ascii="宋体" w:hAnsi="宋体" w:cs="宋体"/>
          <w:b/>
          <w:color w:val="auto"/>
          <w:szCs w:val="21"/>
          <w:highlight w:val="none"/>
        </w:rPr>
      </w:pPr>
      <w:r>
        <w:rPr>
          <w:rFonts w:hint="eastAsia" w:ascii="宋体" w:hAnsi="宋体" w:cs="宋体"/>
          <w:b/>
          <w:color w:val="auto"/>
          <w:szCs w:val="21"/>
          <w:highlight w:val="none"/>
        </w:rPr>
        <w:t>C、第三册：报价文件</w:t>
      </w:r>
    </w:p>
    <w:p>
      <w:pPr>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1、开标一览表</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附件八）</w:t>
      </w:r>
      <w:r>
        <w:rPr>
          <w:rFonts w:hint="eastAsia" w:ascii="宋体" w:hAnsi="宋体" w:cs="宋体"/>
          <w:color w:val="auto"/>
          <w:szCs w:val="21"/>
          <w:highlight w:val="none"/>
        </w:rPr>
        <w:t>；</w:t>
      </w:r>
    </w:p>
    <w:p>
      <w:pPr>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2、分项报价表</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附件九）</w:t>
      </w:r>
      <w:r>
        <w:rPr>
          <w:rFonts w:hint="eastAsia" w:ascii="宋体" w:hAnsi="宋体" w:cs="宋体"/>
          <w:color w:val="auto"/>
          <w:szCs w:val="21"/>
          <w:highlight w:val="none"/>
        </w:rPr>
        <w:t>；</w:t>
      </w:r>
    </w:p>
    <w:p>
      <w:pPr>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3、中小企业声明函</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附件十）</w:t>
      </w:r>
      <w:r>
        <w:rPr>
          <w:rFonts w:hint="eastAsia" w:ascii="宋体" w:hAnsi="宋体" w:cs="宋体"/>
          <w:color w:val="auto"/>
          <w:szCs w:val="21"/>
          <w:highlight w:val="none"/>
        </w:rPr>
        <w:t>；</w:t>
      </w:r>
    </w:p>
    <w:p>
      <w:pPr>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4、残疾人福利性单位声明函</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附件十一）</w:t>
      </w:r>
      <w:r>
        <w:rPr>
          <w:rFonts w:hint="eastAsia" w:ascii="宋体" w:hAnsi="宋体" w:cs="宋体"/>
          <w:color w:val="auto"/>
          <w:szCs w:val="21"/>
          <w:highlight w:val="none"/>
        </w:rPr>
        <w:t>；</w:t>
      </w:r>
    </w:p>
    <w:p>
      <w:pPr>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5、监狱企业（监狱和戒毒企业）提供自己企业的产品（服务）的：提供由省级以上监狱管理局、戒毒管理局（含新疆生产建设兵团）出具的属于监狱企业的证明文件（如有需提供）。</w:t>
      </w:r>
    </w:p>
    <w:p>
      <w:pPr>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、供应商认为需要的其他资料（如有需提供）。</w:t>
      </w:r>
    </w:p>
    <w:p>
      <w:pPr>
        <w:spacing w:line="400" w:lineRule="exact"/>
        <w:ind w:firstLine="422" w:firstLineChars="200"/>
        <w:jc w:val="left"/>
        <w:rPr>
          <w:rFonts w:ascii="宋体" w:hAnsi="宋体"/>
          <w:b/>
          <w:color w:val="auto"/>
          <w:szCs w:val="21"/>
          <w:highlight w:val="none"/>
        </w:rPr>
      </w:pPr>
      <w:r>
        <w:rPr>
          <w:rFonts w:hint="eastAsia" w:ascii="宋体" w:hAnsi="宋体"/>
          <w:b/>
          <w:color w:val="auto"/>
          <w:szCs w:val="21"/>
          <w:highlight w:val="none"/>
        </w:rPr>
        <w:t>供应商应对投标文件编制目录和评分索引表以方便查询。</w:t>
      </w:r>
    </w:p>
    <w:p>
      <w:pPr>
        <w:adjustRightInd w:val="0"/>
        <w:snapToGrid w:val="0"/>
        <w:spacing w:line="400" w:lineRule="exact"/>
        <w:ind w:firstLine="420" w:firstLineChars="200"/>
        <w:rPr>
          <w:rFonts w:ascii="宋体" w:hAnsi="宋体" w:cs="仿宋"/>
          <w:bCs/>
          <w:color w:val="auto"/>
          <w:szCs w:val="21"/>
          <w:highlight w:val="none"/>
        </w:rPr>
      </w:pPr>
      <w:r>
        <w:rPr>
          <w:rFonts w:hint="eastAsia" w:ascii="宋体" w:hAnsi="宋体"/>
          <w:color w:val="auto"/>
          <w:szCs w:val="21"/>
          <w:highlight w:val="none"/>
        </w:rPr>
        <w:t>2、</w:t>
      </w:r>
      <w:r>
        <w:rPr>
          <w:rFonts w:hint="eastAsia" w:ascii="宋体" w:hAnsi="宋体" w:cs="仿宋"/>
          <w:bCs/>
          <w:color w:val="auto"/>
          <w:szCs w:val="21"/>
          <w:highlight w:val="none"/>
        </w:rPr>
        <w:t>投标文件制作：</w:t>
      </w:r>
    </w:p>
    <w:p>
      <w:pPr>
        <w:adjustRightInd w:val="0"/>
        <w:snapToGrid w:val="0"/>
        <w:spacing w:line="400" w:lineRule="exact"/>
        <w:ind w:firstLine="420" w:firstLineChars="200"/>
        <w:rPr>
          <w:rFonts w:ascii="宋体" w:hAnsi="宋体" w:cs="仿宋"/>
          <w:bCs/>
          <w:color w:val="auto"/>
          <w:szCs w:val="21"/>
          <w:highlight w:val="none"/>
        </w:rPr>
      </w:pPr>
      <w:r>
        <w:rPr>
          <w:rFonts w:hint="eastAsia" w:ascii="宋体" w:hAnsi="宋体" w:cs="仿宋"/>
          <w:bCs/>
          <w:color w:val="auto"/>
          <w:szCs w:val="21"/>
          <w:highlight w:val="none"/>
        </w:rPr>
        <w:t>（1）应按照本项目招标文件和政府采购云平台的要求编制、加密并递交投标文件。供应商在使用系统进行投标的过程中遇到涉及平台使用的任何问题，可致电政府采购云平台技术支持热线咨询，联系方式：95763。</w:t>
      </w:r>
    </w:p>
    <w:p>
      <w:pPr>
        <w:adjustRightInd w:val="0"/>
        <w:snapToGrid w:val="0"/>
        <w:spacing w:line="400" w:lineRule="exact"/>
        <w:ind w:firstLine="420" w:firstLineChars="200"/>
        <w:rPr>
          <w:rFonts w:ascii="宋体" w:hAnsi="宋体" w:cs="仿宋"/>
          <w:bCs/>
          <w:color w:val="auto"/>
          <w:szCs w:val="21"/>
          <w:highlight w:val="none"/>
        </w:rPr>
      </w:pPr>
      <w:r>
        <w:rPr>
          <w:rFonts w:hint="eastAsia" w:ascii="宋体" w:hAnsi="宋体" w:cs="仿宋"/>
          <w:bCs/>
          <w:color w:val="auto"/>
          <w:szCs w:val="21"/>
          <w:highlight w:val="none"/>
        </w:rPr>
        <w:t>（2）供应商通过政府采购云平台电子投标工具制作投标文件。电子投标工具请供应商自行前往浙江政府采购网下载并安装。</w:t>
      </w:r>
    </w:p>
    <w:p>
      <w:pPr>
        <w:spacing w:line="400" w:lineRule="exact"/>
        <w:ind w:firstLine="420" w:firstLineChars="200"/>
        <w:jc w:val="left"/>
        <w:rPr>
          <w:rFonts w:ascii="宋体" w:hAnsi="宋体" w:cs="仿宋"/>
          <w:bCs/>
          <w:color w:val="auto"/>
          <w:szCs w:val="21"/>
          <w:highlight w:val="none"/>
        </w:rPr>
      </w:pPr>
      <w:r>
        <w:rPr>
          <w:rFonts w:hint="eastAsia" w:ascii="宋体" w:hAnsi="宋体" w:cs="仿宋"/>
          <w:bCs/>
          <w:color w:val="auto"/>
          <w:szCs w:val="21"/>
          <w:highlight w:val="none"/>
        </w:rPr>
        <w:t>（3）以U盘或光盘存储的电子备份投标文件1份，即按“项目采购-电子招投标操作指南”制作的电子备份文件，以用于异常情况处理。</w:t>
      </w:r>
    </w:p>
    <w:p>
      <w:pPr>
        <w:spacing w:line="400" w:lineRule="exact"/>
        <w:ind w:firstLine="420" w:firstLineChars="200"/>
        <w:jc w:val="left"/>
        <w:rPr>
          <w:rFonts w:ascii="宋体" w:hAnsi="宋体"/>
          <w:color w:val="auto"/>
          <w:szCs w:val="21"/>
          <w:highlight w:val="none"/>
        </w:rPr>
      </w:pPr>
      <w:r>
        <w:rPr>
          <w:rFonts w:hint="eastAsia" w:ascii="宋体" w:hAnsi="宋体" w:cs="仿宋"/>
          <w:bCs/>
          <w:color w:val="auto"/>
          <w:szCs w:val="21"/>
          <w:highlight w:val="none"/>
        </w:rPr>
        <w:t>（4）开标前准备：各供应商应在投标截止时间前确保成为浙江政府采购网正式注册入库供应商，并完成CA数字证书办理。因未注册入库、未办理CA数字证书等原因造成无法投标或投标失败等后果由供应商自行承担。</w:t>
      </w:r>
      <w:r>
        <w:rPr>
          <w:rFonts w:hint="eastAsia" w:ascii="宋体" w:hAnsi="宋体" w:cs="仿宋"/>
          <w:b/>
          <w:bCs/>
          <w:color w:val="auto"/>
          <w:szCs w:val="21"/>
          <w:highlight w:val="none"/>
        </w:rPr>
        <w:t>完成CA数字证书办理预计一周左右，请供应商自行把握时间。</w:t>
      </w:r>
    </w:p>
    <w:p>
      <w:pPr>
        <w:spacing w:line="400" w:lineRule="exact"/>
        <w:ind w:firstLine="420" w:firstLineChars="200"/>
        <w:jc w:val="left"/>
        <w:rPr>
          <w:rFonts w:ascii="宋体" w:hAnsi="宋体"/>
          <w:b/>
          <w:bCs/>
          <w:color w:val="auto"/>
          <w:szCs w:val="21"/>
          <w:highlight w:val="none"/>
        </w:rPr>
      </w:pPr>
      <w:r>
        <w:rPr>
          <w:rFonts w:ascii="宋体" w:hAnsi="宋体"/>
          <w:color w:val="auto"/>
          <w:szCs w:val="21"/>
          <w:highlight w:val="none"/>
        </w:rPr>
        <w:t>▲</w:t>
      </w:r>
      <w:r>
        <w:rPr>
          <w:rFonts w:hint="eastAsia" w:ascii="宋体" w:hAnsi="宋体"/>
          <w:b/>
          <w:bCs/>
          <w:color w:val="auto"/>
          <w:szCs w:val="21"/>
          <w:highlight w:val="none"/>
        </w:rPr>
        <w:t>九、投标文件的签署盖章</w:t>
      </w:r>
    </w:p>
    <w:p>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招标文件第七章“附件”中标明加盖公章或签字的，加盖公章部分采用CA签章，签字部分由法定代表人或授权代表签字后扫描上传（或加盖对应法定代表人或授权代表的电子签名或签章）。授权代表签字的，还应附法定代表人签署的法定代表人授权书。</w:t>
      </w:r>
    </w:p>
    <w:p>
      <w:pPr>
        <w:spacing w:line="400" w:lineRule="exact"/>
        <w:ind w:firstLine="422" w:firstLineChars="200"/>
        <w:jc w:val="left"/>
        <w:rPr>
          <w:rFonts w:ascii="宋体" w:hAnsi="宋体"/>
          <w:b/>
          <w:color w:val="auto"/>
          <w:szCs w:val="21"/>
          <w:highlight w:val="none"/>
        </w:rPr>
      </w:pPr>
      <w:r>
        <w:rPr>
          <w:rFonts w:hint="eastAsia" w:ascii="宋体" w:hAnsi="宋体"/>
          <w:b/>
          <w:color w:val="auto"/>
          <w:szCs w:val="21"/>
          <w:highlight w:val="none"/>
        </w:rPr>
        <w:t>十、投标文件的密封和标记</w:t>
      </w:r>
    </w:p>
    <w:p>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1、电子投标文件：供应商应根据“项目采购-电子招投标操作指南”及本招标文件规定的格式和顺序编制电子投标文件并进行关联定位。</w:t>
      </w:r>
    </w:p>
    <w:p>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w:t>
      </w:r>
      <w:r>
        <w:rPr>
          <w:rFonts w:hint="eastAsia" w:ascii="宋体" w:hAnsi="宋体" w:cs="宋体"/>
          <w:color w:val="auto"/>
          <w:kern w:val="0"/>
          <w:szCs w:val="21"/>
          <w:highlight w:val="none"/>
        </w:rPr>
        <w:t>以U盘或光盘存储的电子备份投标文件</w:t>
      </w:r>
      <w:r>
        <w:rPr>
          <w:rFonts w:hint="eastAsia" w:ascii="宋体" w:hAnsi="宋体"/>
          <w:color w:val="auto"/>
          <w:szCs w:val="21"/>
          <w:highlight w:val="none"/>
        </w:rPr>
        <w:t>用封袋密封后递交。</w:t>
      </w:r>
    </w:p>
    <w:p>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3</w:t>
      </w:r>
      <w:r>
        <w:rPr>
          <w:rFonts w:hint="eastAsia" w:ascii="宋体" w:hAnsi="宋体"/>
          <w:color w:val="auto"/>
          <w:szCs w:val="21"/>
          <w:highlight w:val="none"/>
        </w:rPr>
        <w:t>、</w:t>
      </w:r>
      <w:r>
        <w:rPr>
          <w:rFonts w:hint="eastAsia" w:ascii="宋体" w:hAnsi="宋体" w:cs="宋体"/>
          <w:color w:val="auto"/>
          <w:kern w:val="0"/>
          <w:szCs w:val="21"/>
          <w:highlight w:val="none"/>
        </w:rPr>
        <w:t>电子备份投标文件须在</w:t>
      </w:r>
      <w:r>
        <w:rPr>
          <w:rFonts w:hint="eastAsia" w:ascii="宋体" w:hAnsi="宋体"/>
          <w:color w:val="auto"/>
          <w:szCs w:val="21"/>
          <w:highlight w:val="none"/>
        </w:rPr>
        <w:t>封袋上分别注明：</w:t>
      </w:r>
    </w:p>
    <w:p>
      <w:pPr>
        <w:tabs>
          <w:tab w:val="left" w:pos="900"/>
        </w:tabs>
        <w:spacing w:line="400" w:lineRule="exact"/>
        <w:ind w:firstLine="420" w:firstLineChars="200"/>
        <w:jc w:val="left"/>
        <w:rPr>
          <w:rFonts w:ascii="宋体" w:hAnsi="宋体"/>
          <w:color w:val="auto"/>
          <w:szCs w:val="21"/>
          <w:highlight w:val="none"/>
          <w:u w:val="single"/>
        </w:rPr>
      </w:pPr>
      <w:r>
        <w:rPr>
          <w:rFonts w:hint="eastAsia" w:ascii="宋体" w:hAnsi="宋体"/>
          <w:color w:val="auto"/>
          <w:szCs w:val="21"/>
          <w:highlight w:val="none"/>
        </w:rPr>
        <w:t>（</w:t>
      </w:r>
      <w:r>
        <w:rPr>
          <w:rFonts w:ascii="宋体" w:hAnsi="宋体"/>
          <w:color w:val="auto"/>
          <w:szCs w:val="21"/>
          <w:highlight w:val="none"/>
        </w:rPr>
        <w:t>1</w:t>
      </w:r>
      <w:r>
        <w:rPr>
          <w:rFonts w:hint="eastAsia" w:ascii="宋体" w:hAnsi="宋体"/>
          <w:color w:val="auto"/>
          <w:szCs w:val="21"/>
          <w:highlight w:val="none"/>
        </w:rPr>
        <w:t>）注    明：</w:t>
      </w:r>
      <w:r>
        <w:rPr>
          <w:rFonts w:hint="eastAsia" w:ascii="宋体" w:hAnsi="宋体"/>
          <w:color w:val="auto"/>
          <w:szCs w:val="21"/>
          <w:highlight w:val="none"/>
          <w:u w:val="single"/>
        </w:rPr>
        <w:t xml:space="preserve">                “电子备份投标文件”            </w:t>
      </w:r>
      <w:r>
        <w:rPr>
          <w:rFonts w:hint="eastAsia" w:ascii="宋体" w:hAnsi="宋体"/>
          <w:color w:val="auto"/>
          <w:szCs w:val="21"/>
          <w:highlight w:val="none"/>
        </w:rPr>
        <w:t>；</w:t>
      </w:r>
    </w:p>
    <w:p>
      <w:pPr>
        <w:tabs>
          <w:tab w:val="left" w:pos="900"/>
        </w:tabs>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2</w:t>
      </w:r>
      <w:r>
        <w:rPr>
          <w:rFonts w:hint="eastAsia" w:ascii="宋体" w:hAnsi="宋体"/>
          <w:color w:val="auto"/>
          <w:szCs w:val="21"/>
          <w:highlight w:val="none"/>
        </w:rPr>
        <w:t>）项目编号：</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330282202311009365</w:t>
      </w:r>
      <w:r>
        <w:rPr>
          <w:rFonts w:hint="eastAsia" w:ascii="宋体" w:hAnsi="宋体"/>
          <w:color w:val="auto"/>
          <w:szCs w:val="21"/>
          <w:highlight w:val="none"/>
          <w:u w:val="single"/>
          <w:lang w:val="en-US" w:eastAsia="zh-CN"/>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rPr>
        <w:t>；</w:t>
      </w:r>
    </w:p>
    <w:p>
      <w:pPr>
        <w:tabs>
          <w:tab w:val="left" w:pos="900"/>
        </w:tabs>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3</w:t>
      </w:r>
      <w:r>
        <w:rPr>
          <w:rFonts w:hint="eastAsia" w:ascii="宋体" w:hAnsi="宋体"/>
          <w:color w:val="auto"/>
          <w:szCs w:val="21"/>
          <w:highlight w:val="none"/>
        </w:rPr>
        <w:t>）项目名称：</w:t>
      </w:r>
      <w:r>
        <w:rPr>
          <w:rFonts w:hint="eastAsia" w:ascii="宋体" w:hAnsi="宋体"/>
          <w:color w:val="auto"/>
          <w:szCs w:val="21"/>
          <w:highlight w:val="none"/>
          <w:u w:val="single"/>
          <w:lang w:eastAsia="zh-CN"/>
        </w:rPr>
        <w:t>温州医科大学慈溪生物医药研究院三维皮肤气液交换培养生物反应器采购项目</w:t>
      </w:r>
      <w:r>
        <w:rPr>
          <w:rFonts w:hint="eastAsia" w:ascii="宋体" w:hAnsi="宋体"/>
          <w:color w:val="auto"/>
          <w:szCs w:val="21"/>
          <w:highlight w:val="none"/>
        </w:rPr>
        <w:t>；</w:t>
      </w:r>
    </w:p>
    <w:p>
      <w:pPr>
        <w:tabs>
          <w:tab w:val="left" w:pos="900"/>
        </w:tabs>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）在</w:t>
      </w:r>
      <w:r>
        <w:rPr>
          <w:rFonts w:ascii="宋体" w:hAnsi="宋体"/>
          <w:color w:val="auto"/>
          <w:szCs w:val="21"/>
          <w:highlight w:val="none"/>
          <w:u w:val="single"/>
        </w:rPr>
        <w:t xml:space="preserve">       </w:t>
      </w:r>
      <w:r>
        <w:rPr>
          <w:rFonts w:hint="eastAsia" w:ascii="宋体" w:hAnsi="宋体"/>
          <w:color w:val="auto"/>
          <w:szCs w:val="21"/>
          <w:highlight w:val="none"/>
        </w:rPr>
        <w:t>年</w:t>
      </w:r>
      <w:r>
        <w:rPr>
          <w:rFonts w:ascii="宋体" w:hAnsi="宋体"/>
          <w:color w:val="auto"/>
          <w:szCs w:val="21"/>
          <w:highlight w:val="none"/>
          <w:u w:val="single"/>
        </w:rPr>
        <w:t xml:space="preserve">       </w:t>
      </w:r>
      <w:r>
        <w:rPr>
          <w:rFonts w:hint="eastAsia" w:ascii="宋体" w:hAnsi="宋体"/>
          <w:color w:val="auto"/>
          <w:szCs w:val="21"/>
          <w:highlight w:val="none"/>
        </w:rPr>
        <w:t>月</w:t>
      </w:r>
      <w:r>
        <w:rPr>
          <w:rFonts w:ascii="宋体" w:hAnsi="宋体"/>
          <w:color w:val="auto"/>
          <w:szCs w:val="21"/>
          <w:highlight w:val="none"/>
          <w:u w:val="single"/>
        </w:rPr>
        <w:t xml:space="preserve">       </w:t>
      </w:r>
      <w:r>
        <w:rPr>
          <w:rFonts w:hint="eastAsia" w:ascii="宋体" w:hAnsi="宋体"/>
          <w:color w:val="auto"/>
          <w:szCs w:val="21"/>
          <w:highlight w:val="none"/>
        </w:rPr>
        <w:t>日（规定的开标日期和时间）前不准启封；</w:t>
      </w:r>
    </w:p>
    <w:p>
      <w:pPr>
        <w:tabs>
          <w:tab w:val="left" w:pos="900"/>
        </w:tabs>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5</w:t>
      </w:r>
      <w:r>
        <w:rPr>
          <w:rFonts w:hint="eastAsia" w:ascii="宋体" w:hAnsi="宋体"/>
          <w:color w:val="auto"/>
          <w:szCs w:val="21"/>
          <w:highlight w:val="none"/>
        </w:rPr>
        <w:t>）供应商的名称：</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rPr>
        <w:t>。</w:t>
      </w:r>
    </w:p>
    <w:p>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供应商须在包封上加盖供应商公章或由其法定代表人（或授权代表）签字或盖章。</w:t>
      </w:r>
    </w:p>
    <w:p>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供应商未按上述要求标记的，采购人（代理机构）不承担错放或提前开封的责任。</w:t>
      </w:r>
    </w:p>
    <w:p>
      <w:pPr>
        <w:spacing w:line="400" w:lineRule="exact"/>
        <w:ind w:firstLine="422" w:firstLineChars="200"/>
        <w:jc w:val="left"/>
        <w:rPr>
          <w:rFonts w:ascii="宋体" w:hAnsi="宋体"/>
          <w:b/>
          <w:color w:val="auto"/>
          <w:szCs w:val="21"/>
          <w:highlight w:val="none"/>
        </w:rPr>
      </w:pPr>
      <w:r>
        <w:rPr>
          <w:rFonts w:hint="eastAsia" w:ascii="宋体" w:hAnsi="宋体"/>
          <w:b/>
          <w:color w:val="auto"/>
          <w:szCs w:val="21"/>
          <w:highlight w:val="none"/>
        </w:rPr>
        <w:t>十一、投标文件的递交</w:t>
      </w:r>
    </w:p>
    <w:p>
      <w:pPr>
        <w:spacing w:line="400" w:lineRule="exact"/>
        <w:ind w:firstLine="420" w:firstLineChars="200"/>
        <w:jc w:val="left"/>
        <w:rPr>
          <w:rFonts w:ascii="宋体" w:hAnsi="宋体" w:cs="仿宋"/>
          <w:color w:val="auto"/>
          <w:kern w:val="0"/>
          <w:szCs w:val="21"/>
          <w:highlight w:val="none"/>
        </w:rPr>
      </w:pPr>
      <w:r>
        <w:rPr>
          <w:rFonts w:hint="eastAsia" w:ascii="宋体" w:hAnsi="宋体" w:cs="宋体"/>
          <w:color w:val="auto"/>
          <w:szCs w:val="21"/>
          <w:highlight w:val="none"/>
        </w:rPr>
        <w:t>▲</w:t>
      </w:r>
      <w:r>
        <w:rPr>
          <w:rFonts w:hint="eastAsia" w:ascii="宋体" w:hAnsi="宋体"/>
          <w:color w:val="auto"/>
          <w:szCs w:val="21"/>
          <w:highlight w:val="none"/>
        </w:rPr>
        <w:t>1、</w:t>
      </w:r>
      <w:r>
        <w:rPr>
          <w:rFonts w:hint="eastAsia" w:ascii="宋体" w:hAnsi="宋体" w:cs="仿宋"/>
          <w:color w:val="auto"/>
          <w:kern w:val="0"/>
          <w:szCs w:val="21"/>
          <w:highlight w:val="none"/>
        </w:rPr>
        <w:t>电子投标文件：供应商应于提交投标文件截止时间前将电子投标文件（含资格文件、商务和技术文件、报价文件）上传到政府采购云平台（</w:t>
      </w:r>
      <w:r>
        <w:rPr>
          <w:color w:val="auto"/>
          <w:highlight w:val="none"/>
        </w:rPr>
        <w:fldChar w:fldCharType="begin"/>
      </w:r>
      <w:r>
        <w:rPr>
          <w:color w:val="auto"/>
          <w:highlight w:val="none"/>
        </w:rPr>
        <w:instrText xml:space="preserve"> HYPERLINK "http://www.zcygov.cn" </w:instrText>
      </w:r>
      <w:r>
        <w:rPr>
          <w:color w:val="auto"/>
          <w:highlight w:val="none"/>
        </w:rPr>
        <w:fldChar w:fldCharType="separate"/>
      </w:r>
      <w:r>
        <w:rPr>
          <w:rStyle w:val="53"/>
          <w:rFonts w:hint="eastAsia" w:ascii="宋体" w:hAnsi="宋体"/>
          <w:color w:val="auto"/>
          <w:kern w:val="0"/>
          <w:highlight w:val="none"/>
          <w:u w:val="none"/>
        </w:rPr>
        <w:t>www.zcygov.cn</w:t>
      </w:r>
      <w:r>
        <w:rPr>
          <w:rStyle w:val="53"/>
          <w:rFonts w:hint="eastAsia" w:ascii="宋体" w:hAnsi="宋体"/>
          <w:color w:val="auto"/>
          <w:kern w:val="0"/>
          <w:highlight w:val="none"/>
          <w:u w:val="none"/>
        </w:rPr>
        <w:fldChar w:fldCharType="end"/>
      </w:r>
      <w:r>
        <w:rPr>
          <w:rFonts w:hint="eastAsia" w:ascii="宋体" w:hAnsi="宋体" w:cs="仿宋"/>
          <w:color w:val="auto"/>
          <w:kern w:val="0"/>
          <w:szCs w:val="21"/>
          <w:highlight w:val="none"/>
        </w:rPr>
        <w:t>）。</w:t>
      </w:r>
    </w:p>
    <w:p>
      <w:pPr>
        <w:spacing w:line="400" w:lineRule="exact"/>
        <w:ind w:firstLine="420" w:firstLineChars="200"/>
        <w:jc w:val="left"/>
        <w:rPr>
          <w:rFonts w:ascii="宋体" w:hAnsi="宋体" w:cs="宋体"/>
          <w:color w:val="auto"/>
          <w:kern w:val="0"/>
          <w:szCs w:val="21"/>
          <w:highlight w:val="none"/>
        </w:rPr>
      </w:pPr>
      <w:r>
        <w:rPr>
          <w:rFonts w:hint="eastAsia" w:ascii="宋体" w:hAnsi="宋体" w:cs="仿宋"/>
          <w:color w:val="auto"/>
          <w:kern w:val="0"/>
          <w:szCs w:val="21"/>
          <w:highlight w:val="none"/>
        </w:rPr>
        <w:t>2、电子备份投标文件：供应商</w:t>
      </w:r>
      <w:r>
        <w:rPr>
          <w:rFonts w:hint="eastAsia" w:ascii="宋体" w:hAnsi="宋体" w:cs="仿宋"/>
          <w:color w:val="auto"/>
          <w:szCs w:val="21"/>
          <w:highlight w:val="none"/>
        </w:rPr>
        <w:t>于提交投标文件截止时间</w:t>
      </w:r>
      <w:r>
        <w:rPr>
          <w:rFonts w:hint="eastAsia" w:ascii="宋体" w:hAnsi="宋体" w:cs="仿宋"/>
          <w:color w:val="auto"/>
          <w:kern w:val="0"/>
          <w:szCs w:val="21"/>
          <w:highlight w:val="none"/>
        </w:rPr>
        <w:t>前，将以U盘或光盘存储的电子备份投标文件（含资格文件、商务和技术文件、报价文件）密封后通过</w:t>
      </w:r>
      <w:r>
        <w:rPr>
          <w:rFonts w:hint="eastAsia" w:ascii="宋体" w:hAnsi="宋体" w:cs="宋体"/>
          <w:color w:val="auto"/>
          <w:kern w:val="0"/>
          <w:szCs w:val="21"/>
          <w:highlight w:val="none"/>
        </w:rPr>
        <w:t>EMS等邮寄送达，送达地址：</w:t>
      </w:r>
      <w:r>
        <w:rPr>
          <w:rFonts w:hint="eastAsia" w:ascii="方正书宋简体" w:hAnsi="方正书宋简体" w:cs="方正书宋简体"/>
          <w:color w:val="auto"/>
          <w:szCs w:val="21"/>
          <w:highlight w:val="none"/>
        </w:rPr>
        <w:t>慈溪市基建审计事务所（</w:t>
      </w:r>
      <w:r>
        <w:rPr>
          <w:rFonts w:hint="eastAsia" w:ascii="方正书宋简体" w:hAnsi="方正书宋简体" w:cs="Courier New"/>
          <w:bCs/>
          <w:color w:val="auto"/>
          <w:szCs w:val="21"/>
          <w:highlight w:val="none"/>
        </w:rPr>
        <w:t>慈溪市三北大街7</w:t>
      </w:r>
      <w:r>
        <w:rPr>
          <w:rFonts w:hint="eastAsia" w:ascii="方正书宋简体" w:hAnsi="方正书宋简体" w:cs="Courier New"/>
          <w:bCs/>
          <w:color w:val="auto"/>
          <w:szCs w:val="21"/>
          <w:highlight w:val="none"/>
          <w:lang w:val="en-US" w:eastAsia="zh-CN"/>
        </w:rPr>
        <w:t>32</w:t>
      </w:r>
      <w:r>
        <w:rPr>
          <w:rFonts w:hint="eastAsia" w:ascii="方正书宋简体" w:hAnsi="方正书宋简体" w:cs="Courier New"/>
          <w:bCs/>
          <w:color w:val="auto"/>
          <w:szCs w:val="21"/>
          <w:highlight w:val="none"/>
        </w:rPr>
        <w:t>号</w:t>
      </w:r>
      <w:r>
        <w:rPr>
          <w:rFonts w:hint="eastAsia" w:ascii="方正书宋简体" w:hAnsi="方正书宋简体" w:cs="Courier New"/>
          <w:bCs/>
          <w:color w:val="auto"/>
          <w:szCs w:val="21"/>
          <w:highlight w:val="none"/>
          <w:lang w:eastAsia="zh-CN"/>
        </w:rPr>
        <w:t>中兴大厦</w:t>
      </w:r>
      <w:r>
        <w:rPr>
          <w:rFonts w:hint="eastAsia" w:ascii="方正书宋简体" w:hAnsi="方正书宋简体" w:cs="Courier New"/>
          <w:bCs/>
          <w:color w:val="auto"/>
          <w:szCs w:val="21"/>
          <w:highlight w:val="none"/>
        </w:rPr>
        <w:t>四</w:t>
      </w:r>
      <w:r>
        <w:rPr>
          <w:rFonts w:hint="eastAsia" w:ascii="方正书宋简体" w:hAnsi="方正书宋简体" w:cs="Courier New"/>
          <w:bCs/>
          <w:color w:val="auto"/>
          <w:szCs w:val="21"/>
          <w:highlight w:val="none"/>
          <w:lang w:eastAsia="zh-CN"/>
        </w:rPr>
        <w:t>楼</w:t>
      </w:r>
      <w:r>
        <w:rPr>
          <w:rFonts w:hint="eastAsia" w:ascii="方正书宋简体" w:hAnsi="方正书宋简体" w:cs="Courier New"/>
          <w:bCs/>
          <w:color w:val="auto"/>
          <w:szCs w:val="21"/>
          <w:highlight w:val="none"/>
          <w:lang w:val="en-US" w:eastAsia="zh-CN"/>
        </w:rPr>
        <w:t>419</w:t>
      </w:r>
      <w:r>
        <w:rPr>
          <w:rFonts w:hint="eastAsia" w:ascii="方正书宋简体" w:hAnsi="方正书宋简体" w:cs="Courier New"/>
          <w:bCs/>
          <w:color w:val="auto"/>
          <w:szCs w:val="21"/>
          <w:highlight w:val="none"/>
          <w:lang w:eastAsia="zh-CN"/>
        </w:rPr>
        <w:t>室</w:t>
      </w:r>
      <w:r>
        <w:rPr>
          <w:rFonts w:hint="eastAsia" w:ascii="方正书宋简体" w:hAnsi="方正书宋简体" w:cs="方正书宋简体"/>
          <w:color w:val="auto"/>
          <w:szCs w:val="21"/>
          <w:highlight w:val="none"/>
        </w:rPr>
        <w:t>），联系方式：</w:t>
      </w:r>
      <w:r>
        <w:rPr>
          <w:rFonts w:hint="eastAsia" w:ascii="方正书宋简体" w:hAnsi="方正书宋简体" w:cs="Courier New"/>
          <w:color w:val="auto"/>
          <w:szCs w:val="21"/>
          <w:highlight w:val="none"/>
          <w:lang w:eastAsia="zh-CN"/>
        </w:rPr>
        <w:t>陈超棋</w:t>
      </w:r>
      <w:r>
        <w:rPr>
          <w:rFonts w:hint="eastAsia" w:ascii="方正书宋简体" w:hAnsi="方正书宋简体" w:cs="方正书宋简体"/>
          <w:color w:val="auto"/>
          <w:szCs w:val="21"/>
          <w:highlight w:val="none"/>
        </w:rPr>
        <w:t xml:space="preserve">，0574-63989820、 </w:t>
      </w:r>
      <w:r>
        <w:rPr>
          <w:rFonts w:hint="eastAsia" w:ascii="方正书宋简体" w:hAnsi="方正书宋简体" w:cs="Courier New"/>
          <w:bCs/>
          <w:color w:val="auto"/>
          <w:szCs w:val="21"/>
          <w:highlight w:val="none"/>
          <w:lang w:val="en-US" w:eastAsia="zh-CN"/>
        </w:rPr>
        <w:t>18969891003</w:t>
      </w:r>
      <w:r>
        <w:rPr>
          <w:rFonts w:hint="eastAsia" w:ascii="方正书宋简体" w:hAnsi="方正书宋简体" w:cs="方正书宋简体"/>
          <w:color w:val="auto"/>
          <w:szCs w:val="21"/>
          <w:highlight w:val="none"/>
        </w:rPr>
        <w:t>。供应商邮寄后须将邮件单号发送至代理机构电子邮箱（电子邮箱：</w:t>
      </w:r>
      <w:r>
        <w:rPr>
          <w:rFonts w:hint="eastAsia" w:ascii="方正书宋简体" w:hAnsi="方正书宋简体" w:cs="Courier New"/>
          <w:color w:val="auto"/>
          <w:szCs w:val="21"/>
          <w:highlight w:val="none"/>
          <w:lang w:val="en-US" w:eastAsia="zh-CN"/>
        </w:rPr>
        <w:t>849089121</w:t>
      </w:r>
      <w:r>
        <w:rPr>
          <w:rFonts w:ascii="方正书宋简体" w:hAnsi="方正书宋简体" w:cs="Courier New"/>
          <w:color w:val="auto"/>
          <w:szCs w:val="21"/>
          <w:highlight w:val="none"/>
        </w:rPr>
        <w:t>@qq.com</w:t>
      </w:r>
      <w:r>
        <w:rPr>
          <w:rFonts w:hint="eastAsia" w:ascii="方正书宋简体" w:hAnsi="方正书宋简体" w:cs="方正书宋简体"/>
          <w:color w:val="auto"/>
          <w:szCs w:val="21"/>
          <w:highlight w:val="none"/>
        </w:rPr>
        <w:t>）</w:t>
      </w:r>
      <w:r>
        <w:rPr>
          <w:rFonts w:hint="eastAsia" w:ascii="宋体" w:hAnsi="宋体" w:cs="宋体"/>
          <w:color w:val="auto"/>
          <w:kern w:val="0"/>
          <w:szCs w:val="21"/>
          <w:highlight w:val="none"/>
        </w:rPr>
        <w:t>，并致电采购代理机构，以便采购代理机构查询物流记录。各供应商应当确保电子备份投标文件的密封包装在邮寄过程保持完好，并在邮寄包裹上注明项目名称、项目编号。因邮寄造成电子备份投标文件密封破损而不符合招标文件对电子备份投标文件的密封要求、或邮寄过程中导致电子备份投标文件未能在投标截止时间前送达的，代理机构将拒绝其电子备份投标文件。各供应商自行考虑邮寄在途时间，电子备份投标文件送达时间以代理机构工作人员实际签收时间为准。</w:t>
      </w:r>
    </w:p>
    <w:p>
      <w:pPr>
        <w:spacing w:line="400" w:lineRule="exact"/>
        <w:ind w:firstLine="420" w:firstLineChars="200"/>
        <w:jc w:val="left"/>
        <w:rPr>
          <w:rFonts w:ascii="宋体" w:hAnsi="宋体" w:cs="宋体"/>
          <w:color w:val="auto"/>
          <w:kern w:val="0"/>
          <w:szCs w:val="21"/>
          <w:highlight w:val="none"/>
        </w:rPr>
      </w:pPr>
      <w:r>
        <w:rPr>
          <w:rFonts w:hint="eastAsia" w:ascii="宋体" w:hAnsi="宋体"/>
          <w:bCs/>
          <w:color w:val="auto"/>
          <w:szCs w:val="21"/>
          <w:highlight w:val="none"/>
        </w:rPr>
        <w:t>电子备份投标文件不强制要求提交，但因电子投标文件未能按时解密或解密失败，供应商又未提交电子备份投标文件的，将被视为投标文件撤回，投标无效</w:t>
      </w:r>
      <w:r>
        <w:rPr>
          <w:rFonts w:hint="eastAsia" w:ascii="宋体" w:hAnsi="宋体"/>
          <w:color w:val="auto"/>
          <w:szCs w:val="21"/>
          <w:highlight w:val="none"/>
        </w:rPr>
        <w:t>。</w:t>
      </w:r>
    </w:p>
    <w:p>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w:t>
      </w:r>
      <w:r>
        <w:rPr>
          <w:rFonts w:ascii="宋体" w:hAnsi="宋体"/>
          <w:color w:val="auto"/>
          <w:szCs w:val="21"/>
          <w:highlight w:val="none"/>
        </w:rPr>
        <w:t>逾期送达的或者未送达指定地点的</w:t>
      </w:r>
      <w:r>
        <w:rPr>
          <w:rFonts w:hint="eastAsia" w:ascii="宋体" w:hAnsi="宋体" w:cs="宋体"/>
          <w:bCs/>
          <w:color w:val="auto"/>
          <w:kern w:val="0"/>
          <w:szCs w:val="21"/>
          <w:highlight w:val="none"/>
        </w:rPr>
        <w:t>电子备份投标文件</w:t>
      </w:r>
      <w:r>
        <w:rPr>
          <w:rFonts w:ascii="宋体" w:hAnsi="宋体"/>
          <w:color w:val="auto"/>
          <w:szCs w:val="21"/>
          <w:highlight w:val="none"/>
        </w:rPr>
        <w:t>，</w:t>
      </w:r>
      <w:r>
        <w:rPr>
          <w:rFonts w:hint="eastAsia" w:ascii="宋体" w:hAnsi="宋体"/>
          <w:color w:val="auto"/>
          <w:szCs w:val="21"/>
          <w:highlight w:val="none"/>
        </w:rPr>
        <w:t>代理机构</w:t>
      </w:r>
      <w:r>
        <w:rPr>
          <w:rFonts w:ascii="宋体" w:hAnsi="宋体"/>
          <w:color w:val="auto"/>
          <w:szCs w:val="21"/>
          <w:highlight w:val="none"/>
        </w:rPr>
        <w:t>不予受理。</w:t>
      </w:r>
    </w:p>
    <w:p>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4、投标文件的补充、修改</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投标截止时间前，供应商可以对递交的投标文件进行补充、修改，补充、修改电子投标文件的，应当先行撤回原文件，补充、修改后重新上传，电子备份投标文件也应重新制作。在投标截止时间之后，供应商不得对其投标文件进行补充、修改。投标截止时间之后供应商要求撤销投标文件的，应向采购人提交正式文件。</w:t>
      </w:r>
    </w:p>
    <w:p>
      <w:pPr>
        <w:spacing w:line="400" w:lineRule="exact"/>
        <w:ind w:firstLine="422" w:firstLineChars="200"/>
        <w:jc w:val="left"/>
        <w:rPr>
          <w:rFonts w:ascii="宋体" w:hAnsi="宋体"/>
          <w:b/>
          <w:color w:val="auto"/>
          <w:szCs w:val="21"/>
          <w:highlight w:val="none"/>
        </w:rPr>
      </w:pPr>
      <w:r>
        <w:rPr>
          <w:rFonts w:hint="eastAsia" w:ascii="宋体" w:hAnsi="宋体"/>
          <w:b/>
          <w:color w:val="auto"/>
          <w:szCs w:val="21"/>
          <w:highlight w:val="none"/>
        </w:rPr>
        <w:t>十二、开标</w:t>
      </w:r>
    </w:p>
    <w:p>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本项目为不见面开评标项目，供应商可通过浙江省“电子交易/不见面开评标”学习专题提前进行专题学习，熟悉操作，避免影响采购活动（https：//edu.zcygov.cn/luban/e-biding）。其中在政采云发起视频会议时需要供应商电脑配置有摄像头、音箱和必要的网络带宽（浏览器使用谷歌Chrome或360浏览器极速模式操作，网络带宽不少于50兆，请勿用无线，以免出现卡顿现象。摄像头建议用中档及以上摄像头，以利于演示时的画面质量；音箱请提前予以调试，以避免演示时出现没有声音现象）。政采云视频会议目前不支持手机端。</w:t>
      </w:r>
    </w:p>
    <w:p>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2、投标截止时间后，供应商登录</w:t>
      </w:r>
      <w:r>
        <w:rPr>
          <w:rFonts w:hint="eastAsia" w:ascii="宋体" w:hAnsi="宋体" w:cs="宋体"/>
          <w:color w:val="auto"/>
          <w:kern w:val="0"/>
          <w:szCs w:val="21"/>
          <w:highlight w:val="none"/>
        </w:rPr>
        <w:t>政府采购云平台</w:t>
      </w:r>
      <w:r>
        <w:rPr>
          <w:rFonts w:hint="eastAsia" w:ascii="宋体" w:hAnsi="宋体"/>
          <w:color w:val="auto"/>
          <w:szCs w:val="21"/>
          <w:highlight w:val="none"/>
        </w:rPr>
        <w:t>，用“项目采购-开标评标”功能对电子投标文件进行在线解密，在线解密电子投标文件时间为开标时间后半</w:t>
      </w:r>
      <w:r>
        <w:rPr>
          <w:rFonts w:ascii="宋体" w:hAnsi="宋体"/>
          <w:color w:val="auto"/>
          <w:szCs w:val="21"/>
          <w:highlight w:val="none"/>
        </w:rPr>
        <w:t>小时</w:t>
      </w:r>
      <w:r>
        <w:rPr>
          <w:rFonts w:hint="eastAsia" w:ascii="宋体" w:hAnsi="宋体"/>
          <w:color w:val="auto"/>
          <w:szCs w:val="21"/>
          <w:highlight w:val="none"/>
        </w:rPr>
        <w:t>内。</w:t>
      </w:r>
      <w:r>
        <w:rPr>
          <w:rFonts w:hint="eastAsia" w:ascii="宋体" w:hAnsi="宋体" w:cs="仿宋"/>
          <w:bCs/>
          <w:color w:val="auto"/>
          <w:szCs w:val="21"/>
          <w:highlight w:val="none"/>
        </w:rPr>
        <w:t>供应商按时在线解密投标文件的，以在线解密的投标文件作为评审依据，若供应商在规定时间内无法解密或解密失败，则以备份电子投标文件作为评审依据（若备份电子投标文件与政采云平台上传的投标文件被识别为不一致，视为投标文件撤回）。无论是否启用备份电子投标文件，备份电子投标文件均不退还供应商。若供应商在规定时间内无法解密或解密失败且未提供备份电子投标文件或所提供的备份电子投标文件无法读取的，视为投标文件撤回。</w:t>
      </w:r>
    </w:p>
    <w:p>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3、特别说明：</w:t>
      </w:r>
      <w:r>
        <w:rPr>
          <w:rFonts w:hint="eastAsia" w:ascii="宋体" w:hAnsi="宋体" w:cs="宋体"/>
          <w:color w:val="auto"/>
          <w:kern w:val="0"/>
          <w:szCs w:val="21"/>
          <w:highlight w:val="none"/>
        </w:rPr>
        <w:t>政府采购云平台</w:t>
      </w:r>
      <w:r>
        <w:rPr>
          <w:rFonts w:hint="eastAsia" w:ascii="宋体" w:hAnsi="宋体"/>
          <w:color w:val="auto"/>
          <w:szCs w:val="21"/>
          <w:highlight w:val="none"/>
        </w:rPr>
        <w:t>如对电子化开标及评审程序有调整的，按调整后的程序操作。</w:t>
      </w:r>
    </w:p>
    <w:p>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4、本项目原则上采用政采云电子投标开标及评审程序，但有下情形之一的，按以下情况处理：</w:t>
      </w:r>
    </w:p>
    <w:p>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1</w:t>
      </w:r>
      <w:r>
        <w:rPr>
          <w:rFonts w:hint="eastAsia" w:ascii="宋体" w:hAnsi="宋体"/>
          <w:color w:val="auto"/>
          <w:szCs w:val="21"/>
          <w:highlight w:val="none"/>
        </w:rPr>
        <w:t>）若供应商在规定时间内无法解密或解密失败，代理机构将开启上述供应商递交的</w:t>
      </w:r>
      <w:r>
        <w:rPr>
          <w:rFonts w:hint="eastAsia" w:ascii="宋体" w:hAnsi="宋体" w:cs="宋体"/>
          <w:color w:val="auto"/>
          <w:kern w:val="0"/>
          <w:szCs w:val="21"/>
          <w:highlight w:val="none"/>
        </w:rPr>
        <w:t>以U盘或光盘存储的电子备份投标文件</w:t>
      </w:r>
      <w:r>
        <w:rPr>
          <w:rFonts w:hint="eastAsia" w:ascii="宋体" w:hAnsi="宋体"/>
          <w:color w:val="auto"/>
          <w:szCs w:val="21"/>
          <w:highlight w:val="none"/>
        </w:rPr>
        <w:t>，上传至政采云平台项目采购模块，以完成开标，电子投标文件自动失效。</w:t>
      </w:r>
    </w:p>
    <w:p>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2</w:t>
      </w:r>
      <w:r>
        <w:rPr>
          <w:rFonts w:hint="eastAsia" w:ascii="宋体" w:hAnsi="宋体"/>
          <w:color w:val="auto"/>
          <w:szCs w:val="21"/>
          <w:highlight w:val="none"/>
        </w:rPr>
        <w:t>）采购过程中出现以下情形，导致电子交易平台无法正常运行，或者无法保证电子交易的公平、公正和安全时，采购人（或代理机构）可中止电子交易活动：</w:t>
      </w:r>
    </w:p>
    <w:p>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①电子交易平台发生故障而无法登录访问的；</w:t>
      </w:r>
    </w:p>
    <w:p>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②电子交易平台应用或数据库出现错误，不能进行正常操作的；</w:t>
      </w:r>
    </w:p>
    <w:p>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③电子交易平台发现严重安全漏洞，有潜在泄密危险的；</w:t>
      </w:r>
    </w:p>
    <w:p>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 xml:space="preserve">④病毒发作导致不能进行正常操作的； </w:t>
      </w:r>
    </w:p>
    <w:p>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⑤其他无法保证电子交易的公平、公正和安全的情况。</w:t>
      </w:r>
    </w:p>
    <w:p>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出现前款规定情形，不影响采购公平、公正性的，采购人（或代理机构）可以待上述情形消除后继续组织电子交易活动。</w:t>
      </w:r>
    </w:p>
    <w:p>
      <w:pPr>
        <w:spacing w:line="400" w:lineRule="exact"/>
        <w:ind w:firstLine="422" w:firstLineChars="200"/>
        <w:jc w:val="left"/>
        <w:rPr>
          <w:rFonts w:ascii="宋体" w:hAnsi="宋体"/>
          <w:b/>
          <w:color w:val="auto"/>
          <w:szCs w:val="21"/>
          <w:highlight w:val="none"/>
        </w:rPr>
      </w:pPr>
      <w:r>
        <w:rPr>
          <w:rFonts w:hint="eastAsia" w:ascii="宋体" w:hAnsi="宋体"/>
          <w:b/>
          <w:color w:val="auto"/>
          <w:szCs w:val="21"/>
          <w:highlight w:val="none"/>
        </w:rPr>
        <w:t>十三、评标</w:t>
      </w:r>
    </w:p>
    <w:p>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、采购人依据《中华人民共和国政府采购法》、《中华人民共和国政府采购法实施条例》等有关规定组建评标委员会。评标委员会由采购人代表和专家组成，负责本项目的评标工作。</w:t>
      </w:r>
    </w:p>
    <w:p>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、评标活动遵循公开、公平、公正、科学和择优的原则。</w:t>
      </w:r>
    </w:p>
    <w:p>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3</w:t>
      </w:r>
      <w:r>
        <w:rPr>
          <w:rFonts w:hint="eastAsia" w:ascii="宋体" w:hAnsi="宋体"/>
          <w:color w:val="auto"/>
          <w:szCs w:val="21"/>
          <w:highlight w:val="none"/>
        </w:rPr>
        <w:t>、评标委员会按照第三章“评标办法及标准”对投标文件进行评审。第三章“评标办法及标准”没有规定的方法、评审因素和标准，不作为评标依据。</w:t>
      </w:r>
    </w:p>
    <w:p>
      <w:pPr>
        <w:spacing w:line="400" w:lineRule="exact"/>
        <w:ind w:firstLine="422" w:firstLineChars="200"/>
        <w:jc w:val="left"/>
        <w:rPr>
          <w:rFonts w:ascii="宋体" w:hAnsi="宋体"/>
          <w:b/>
          <w:color w:val="auto"/>
          <w:szCs w:val="21"/>
          <w:highlight w:val="none"/>
        </w:rPr>
      </w:pPr>
      <w:r>
        <w:rPr>
          <w:rFonts w:hint="eastAsia" w:ascii="宋体" w:hAnsi="宋体"/>
          <w:b/>
          <w:color w:val="auto"/>
          <w:szCs w:val="21"/>
          <w:highlight w:val="none"/>
        </w:rPr>
        <w:t>十四、招标文件的澄清和修改</w:t>
      </w:r>
    </w:p>
    <w:p>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w:t>
      </w:r>
      <w:r>
        <w:rPr>
          <w:rFonts w:hint="eastAsia" w:ascii="宋体" w:hAnsi="宋体"/>
          <w:b/>
          <w:color w:val="auto"/>
          <w:szCs w:val="21"/>
          <w:highlight w:val="none"/>
        </w:rPr>
        <w:t>采购人可以对已发出的招标文件进行必要的澄清或者修改，将以“更正公告”的形式发布在政采云平台，供应商应及时登录政采云平台，进行浏览并下载，未及时浏览下载的责任自负。</w:t>
      </w:r>
      <w:r>
        <w:rPr>
          <w:rFonts w:hint="eastAsia" w:ascii="宋体" w:hAnsi="宋体"/>
          <w:color w:val="auto"/>
          <w:szCs w:val="21"/>
          <w:highlight w:val="none"/>
        </w:rPr>
        <w:t>澄清或者修改的内容可能影响投标文件编制的，采购人应当在投标截止时间至少15日前，不足15日的，采购人应当顺延提交投标文件的截止时间；澄清或者修改的内容不影响投标文件编制的，则不受15日的期限限制。澄清或者修改的内容为招标文件的组成部分，对所有供应商具有约束力。</w:t>
      </w:r>
    </w:p>
    <w:p>
      <w:pPr>
        <w:spacing w:line="400" w:lineRule="exact"/>
        <w:ind w:firstLine="422" w:firstLineChars="200"/>
        <w:jc w:val="left"/>
        <w:rPr>
          <w:rFonts w:ascii="宋体" w:hAnsi="宋体"/>
          <w:b/>
          <w:color w:val="auto"/>
          <w:szCs w:val="21"/>
          <w:highlight w:val="none"/>
        </w:rPr>
      </w:pPr>
      <w:r>
        <w:rPr>
          <w:rFonts w:hint="eastAsia" w:ascii="宋体" w:hAnsi="宋体"/>
          <w:b/>
          <w:color w:val="auto"/>
          <w:szCs w:val="21"/>
          <w:highlight w:val="none"/>
        </w:rPr>
        <w:t>十五、质疑</w:t>
      </w:r>
    </w:p>
    <w:p>
      <w:pPr>
        <w:spacing w:line="400" w:lineRule="exact"/>
        <w:ind w:firstLine="420" w:firstLineChars="200"/>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供应商认为采购文件、采购过程、中标或者成交结果使自己的权益受到损害的，可以在知道或者应知其权益受到损害之日起7个工作日内，以书面形式或者通过政采云平台在线向采购人、代理机构提出质疑。供应商应当在法定质疑期内一次性提出针对招标公告、采购文件、开标评标、采购结果等同一采购程序环节的质疑，第二次提出的质疑视为质疑无效，采购人、代理机构将不予受理（对于采购人、代理机构作出的澄清或者修改的内容提出质疑的除外）。</w:t>
      </w:r>
    </w:p>
    <w:p>
      <w:pPr>
        <w:spacing w:line="400" w:lineRule="exact"/>
        <w:ind w:firstLine="420" w:firstLineChars="200"/>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提出质疑的供应商应当是参与所质疑项目采购活动的供应商。未依法获取采购文件的，不得就采购文件提出质疑；未提交投标文件的供应商，视为与采购结果没有利害关系，不得就采购响应截止时间后的采购过程、采购结果提出质疑。</w:t>
      </w:r>
    </w:p>
    <w:p>
      <w:pPr>
        <w:spacing w:line="400" w:lineRule="exact"/>
        <w:ind w:firstLine="420" w:firstLineChars="200"/>
        <w:rPr>
          <w:rFonts w:ascii="宋体" w:hAnsi="宋体"/>
          <w:color w:val="auto"/>
          <w:szCs w:val="21"/>
          <w:highlight w:val="none"/>
        </w:rPr>
      </w:pPr>
      <w:r>
        <w:rPr>
          <w:rFonts w:ascii="宋体" w:hAnsi="宋体"/>
          <w:color w:val="auto"/>
          <w:szCs w:val="21"/>
          <w:highlight w:val="none"/>
        </w:rPr>
        <w:t>3</w:t>
      </w:r>
      <w:r>
        <w:rPr>
          <w:rFonts w:hint="eastAsia" w:ascii="宋体" w:hAnsi="宋体"/>
          <w:color w:val="auto"/>
          <w:szCs w:val="21"/>
          <w:highlight w:val="none"/>
        </w:rPr>
        <w:t>、供应商提出质疑应当提交质疑函和必要的证明材料，质疑函应当以书面形式提出，质疑函格式和内容须符合财政部《质疑函范本》要求，供应商可到中国政府采购网自行下载财政部《质疑函范本》。</w:t>
      </w:r>
    </w:p>
    <w:p>
      <w:pPr>
        <w:spacing w:line="400" w:lineRule="exact"/>
        <w:ind w:firstLine="420" w:firstLineChars="200"/>
        <w:rPr>
          <w:rFonts w:ascii="宋体" w:hAnsi="宋体"/>
          <w:color w:val="auto"/>
          <w:szCs w:val="21"/>
          <w:highlight w:val="none"/>
        </w:rPr>
      </w:pPr>
      <w:r>
        <w:rPr>
          <w:rFonts w:ascii="宋体" w:hAnsi="宋体"/>
          <w:color w:val="auto"/>
          <w:szCs w:val="21"/>
          <w:highlight w:val="none"/>
        </w:rPr>
        <w:t>4</w:t>
      </w:r>
      <w:r>
        <w:rPr>
          <w:rFonts w:hint="eastAsia" w:ascii="宋体" w:hAnsi="宋体"/>
          <w:color w:val="auto"/>
          <w:szCs w:val="21"/>
          <w:highlight w:val="none"/>
        </w:rPr>
        <w:t>、供应商质疑实行实名制，质疑函应当署名，供应商为自然人的，应当由本人签字；供应商为法人或者其他组织的，应当由法定代表人、主要负责人，或者其授权代表（指代理人）签字或者盖章，并加盖供应商公章；代理人提出质疑的，应当提交供应商签署的授权委托书；以联合体形式参加政府采购活动的，其质疑应当由组成联合体的所有供应商共同提出。</w:t>
      </w:r>
    </w:p>
    <w:p>
      <w:pPr>
        <w:spacing w:line="400" w:lineRule="exact"/>
        <w:ind w:firstLine="420" w:firstLineChars="200"/>
        <w:rPr>
          <w:rFonts w:ascii="宋体" w:hAnsi="宋体"/>
          <w:color w:val="auto"/>
          <w:szCs w:val="21"/>
          <w:highlight w:val="none"/>
        </w:rPr>
      </w:pPr>
      <w:r>
        <w:rPr>
          <w:rFonts w:ascii="宋体" w:hAnsi="宋体"/>
          <w:color w:val="auto"/>
          <w:szCs w:val="21"/>
          <w:highlight w:val="none"/>
        </w:rPr>
        <w:t>5</w:t>
      </w:r>
      <w:r>
        <w:rPr>
          <w:rFonts w:hint="eastAsia" w:ascii="宋体" w:hAnsi="宋体"/>
          <w:color w:val="auto"/>
          <w:szCs w:val="21"/>
          <w:highlight w:val="none"/>
        </w:rPr>
        <w:t>、采购人、代理机构接收质疑函的方式：只接收供应商以当面递交、邮寄、传真、电子邮件或者通过政采云平台在线方式提出的质疑函，以其他方式提出的质疑不予接收。</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采取邮寄方式的，提出质疑的时间为质疑函原件交邮的时间（以邮戳时间或快递收件时间为准）。</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采取传真、电子邮件方式的，供应商应当在传真、电子邮件发出后将质疑函原件邮寄给被质疑人，提出质疑的时间为质疑函原件交邮的时间（以邮戳时间或快递收件时间为准）。</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通过政采云平台在线方式的，以政采云平台操作流程为准，附件中须上传供应商盖章的《质疑函》。</w:t>
      </w:r>
    </w:p>
    <w:p>
      <w:pPr>
        <w:spacing w:line="400" w:lineRule="exact"/>
        <w:ind w:firstLine="420" w:firstLineChars="200"/>
        <w:rPr>
          <w:rFonts w:ascii="宋体" w:hAnsi="宋体"/>
          <w:color w:val="auto"/>
          <w:szCs w:val="21"/>
          <w:highlight w:val="none"/>
        </w:rPr>
      </w:pPr>
      <w:r>
        <w:rPr>
          <w:rFonts w:ascii="宋体" w:hAnsi="宋体"/>
          <w:color w:val="auto"/>
          <w:szCs w:val="21"/>
          <w:highlight w:val="none"/>
        </w:rPr>
        <w:t>6</w:t>
      </w:r>
      <w:r>
        <w:rPr>
          <w:rFonts w:hint="eastAsia" w:ascii="宋体" w:hAnsi="宋体"/>
          <w:color w:val="auto"/>
          <w:szCs w:val="21"/>
          <w:highlight w:val="none"/>
        </w:rPr>
        <w:t>、采购人、代理机构以实际收到质疑函原件之日作为收到质疑函的日期，将在收到质疑函后</w:t>
      </w:r>
      <w:r>
        <w:rPr>
          <w:rFonts w:ascii="宋体" w:hAnsi="宋体"/>
          <w:color w:val="auto"/>
          <w:szCs w:val="21"/>
          <w:highlight w:val="none"/>
        </w:rPr>
        <w:t>7</w:t>
      </w:r>
      <w:r>
        <w:rPr>
          <w:rFonts w:hint="eastAsia" w:ascii="宋体" w:hAnsi="宋体"/>
          <w:color w:val="auto"/>
          <w:szCs w:val="21"/>
          <w:highlight w:val="none"/>
        </w:rPr>
        <w:t>个工作日内作出答复。</w:t>
      </w:r>
    </w:p>
    <w:p>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7</w:t>
      </w:r>
      <w:r>
        <w:rPr>
          <w:rFonts w:hint="eastAsia" w:ascii="宋体" w:hAnsi="宋体"/>
          <w:color w:val="auto"/>
          <w:szCs w:val="21"/>
          <w:highlight w:val="none"/>
        </w:rPr>
        <w:t>、采购人、代理机构接收质疑函的联系人、联系电话和通讯地址等信息详见招标公告。</w:t>
      </w:r>
    </w:p>
    <w:p>
      <w:pPr>
        <w:spacing w:line="400" w:lineRule="exact"/>
        <w:ind w:firstLine="422" w:firstLineChars="200"/>
        <w:jc w:val="left"/>
        <w:rPr>
          <w:rFonts w:ascii="宋体" w:hAnsi="宋体"/>
          <w:color w:val="auto"/>
          <w:szCs w:val="21"/>
          <w:highlight w:val="none"/>
        </w:rPr>
      </w:pPr>
      <w:r>
        <w:rPr>
          <w:rFonts w:ascii="宋体" w:hAnsi="宋体"/>
          <w:b/>
          <w:color w:val="auto"/>
          <w:szCs w:val="21"/>
          <w:highlight w:val="none"/>
        </w:rPr>
        <w:t>▲</w:t>
      </w:r>
      <w:r>
        <w:rPr>
          <w:rFonts w:hint="eastAsia" w:ascii="宋体" w:hAnsi="宋体"/>
          <w:b/>
          <w:color w:val="auto"/>
          <w:szCs w:val="21"/>
          <w:highlight w:val="none"/>
        </w:rPr>
        <w:t>十六、预算价</w:t>
      </w:r>
    </w:p>
    <w:p>
      <w:pPr>
        <w:numPr>
          <w:ilvl w:val="0"/>
          <w:numId w:val="1"/>
        </w:numPr>
        <w:spacing w:line="400" w:lineRule="exact"/>
        <w:ind w:firstLine="420" w:firstLineChars="200"/>
        <w:jc w:val="left"/>
        <w:rPr>
          <w:rFonts w:hint="eastAsia" w:ascii="宋体" w:hAnsi="宋体"/>
          <w:color w:val="auto"/>
          <w:szCs w:val="21"/>
          <w:highlight w:val="none"/>
        </w:rPr>
      </w:pPr>
      <w:bookmarkStart w:id="16" w:name="_Hlk37142004"/>
      <w:r>
        <w:rPr>
          <w:rFonts w:hint="eastAsia" w:ascii="宋体" w:hAnsi="宋体"/>
          <w:color w:val="auto"/>
          <w:szCs w:val="21"/>
          <w:highlight w:val="none"/>
        </w:rPr>
        <w:t>本次公开招标设有预算价：</w:t>
      </w:r>
      <w:r>
        <w:rPr>
          <w:rFonts w:hint="eastAsia" w:ascii="宋体" w:hAnsi="宋体"/>
          <w:color w:val="auto"/>
          <w:szCs w:val="21"/>
          <w:highlight w:val="none"/>
          <w:lang w:val="en-US" w:eastAsia="zh-CN"/>
        </w:rPr>
        <w:t>54</w:t>
      </w:r>
      <w:r>
        <w:rPr>
          <w:rFonts w:hint="eastAsia" w:ascii="宋体" w:hAnsi="宋体"/>
          <w:color w:val="auto"/>
          <w:szCs w:val="21"/>
          <w:highlight w:val="none"/>
        </w:rPr>
        <w:t>万元，投标报价超出对应预算价的投标无效。</w:t>
      </w:r>
    </w:p>
    <w:p>
      <w:pPr>
        <w:spacing w:line="400" w:lineRule="exact"/>
        <w:ind w:firstLine="422" w:firstLineChars="200"/>
        <w:jc w:val="left"/>
        <w:rPr>
          <w:rFonts w:ascii="宋体" w:hAnsi="宋体"/>
          <w:b/>
          <w:color w:val="auto"/>
          <w:szCs w:val="21"/>
          <w:highlight w:val="none"/>
        </w:rPr>
      </w:pPr>
      <w:r>
        <w:rPr>
          <w:rFonts w:hint="eastAsia" w:ascii="宋体" w:hAnsi="宋体"/>
          <w:b/>
          <w:color w:val="auto"/>
          <w:szCs w:val="21"/>
          <w:highlight w:val="none"/>
        </w:rPr>
        <w:t>十七、招标代理服务费</w:t>
      </w:r>
    </w:p>
    <w:p>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highlight w:val="none"/>
        </w:rPr>
        <w:t>本项目向</w:t>
      </w:r>
      <w:r>
        <w:rPr>
          <w:rFonts w:hint="eastAsia" w:ascii="宋体" w:hAnsi="宋体"/>
          <w:color w:val="auto"/>
          <w:szCs w:val="21"/>
          <w:highlight w:val="none"/>
        </w:rPr>
        <w:t>中标供应商</w:t>
      </w:r>
      <w:r>
        <w:rPr>
          <w:rFonts w:hint="eastAsia" w:ascii="宋体" w:hAnsi="宋体"/>
          <w:color w:val="auto"/>
          <w:highlight w:val="none"/>
        </w:rPr>
        <w:t>收取招标代理服务费，</w:t>
      </w:r>
      <w:r>
        <w:rPr>
          <w:rFonts w:hint="eastAsia" w:ascii="宋体" w:hAnsi="宋体" w:eastAsia="宋体" w:cs="宋体"/>
          <w:b w:val="0"/>
          <w:bCs w:val="0"/>
          <w:color w:val="auto"/>
          <w:highlight w:val="none"/>
          <w:lang w:eastAsia="zh-CN"/>
        </w:rPr>
        <w:t>本项目招标代理机构向中标人收取招标代理服务费：本次代理服务费中标金额为计费额，参照《招标代理服务收费管理暂行办法》（计价格[2002]1980号文件）和《国家发展改革委关于降低部分建设项目收费标准规范收费行为等有关问题的通知》发改价格[2011]534号文件规定货物收费标准</w:t>
      </w:r>
      <w:r>
        <w:rPr>
          <w:rFonts w:hint="eastAsia" w:ascii="宋体" w:hAnsi="宋体" w:eastAsia="宋体" w:cs="宋体"/>
          <w:b w:val="0"/>
          <w:bCs w:val="0"/>
          <w:color w:val="auto"/>
          <w:highlight w:val="none"/>
          <w:lang w:val="en-US" w:eastAsia="zh-CN"/>
        </w:rPr>
        <w:t>计算</w:t>
      </w:r>
      <w:r>
        <w:rPr>
          <w:rFonts w:hint="eastAsia" w:ascii="宋体" w:hAnsi="宋体" w:eastAsia="宋体" w:cs="宋体"/>
          <w:b w:val="0"/>
          <w:bCs w:val="0"/>
          <w:color w:val="auto"/>
          <w:highlight w:val="none"/>
          <w:lang w:eastAsia="zh-CN"/>
        </w:rPr>
        <w:t>，向中标人收取代理服务费，投标人请综合考虑报价。</w:t>
      </w:r>
    </w:p>
    <w:bookmarkEnd w:id="16"/>
    <w:p>
      <w:pPr>
        <w:spacing w:line="400" w:lineRule="exact"/>
        <w:ind w:firstLine="420" w:firstLineChars="200"/>
        <w:outlineLvl w:val="0"/>
        <w:rPr>
          <w:rFonts w:hint="eastAsia" w:ascii="宋体" w:hAnsi="宋体"/>
          <w:b/>
          <w:color w:val="auto"/>
          <w:szCs w:val="21"/>
          <w:highlight w:val="none"/>
        </w:rPr>
      </w:pPr>
      <w:bookmarkStart w:id="17" w:name="_Toc63587435"/>
      <w:bookmarkStart w:id="18" w:name="_Toc63587374"/>
      <w:bookmarkStart w:id="19" w:name="_Toc77691642"/>
      <w:r>
        <w:rPr>
          <w:rFonts w:hint="eastAsia" w:ascii="宋体" w:hAnsi="宋体"/>
          <w:color w:val="auto"/>
          <w:szCs w:val="21"/>
          <w:highlight w:val="none"/>
        </w:rPr>
        <w:t>2、中标人应在代理机构发出中标通知书5个工作日内向本代理机构支付招标代理服务费。</w:t>
      </w:r>
      <w:bookmarkEnd w:id="17"/>
      <w:bookmarkEnd w:id="18"/>
      <w:bookmarkEnd w:id="19"/>
    </w:p>
    <w:p>
      <w:pPr>
        <w:spacing w:line="400" w:lineRule="exact"/>
        <w:ind w:firstLine="422" w:firstLineChars="200"/>
        <w:jc w:val="left"/>
        <w:rPr>
          <w:rFonts w:ascii="宋体" w:hAnsi="宋体"/>
          <w:b/>
          <w:color w:val="auto"/>
          <w:szCs w:val="21"/>
          <w:highlight w:val="none"/>
        </w:rPr>
      </w:pPr>
      <w:r>
        <w:rPr>
          <w:rFonts w:hint="eastAsia" w:ascii="宋体" w:hAnsi="宋体"/>
          <w:b/>
          <w:color w:val="auto"/>
          <w:szCs w:val="21"/>
          <w:highlight w:val="none"/>
        </w:rPr>
        <w:t>十八、特别说明</w:t>
      </w:r>
    </w:p>
    <w:p>
      <w:pPr>
        <w:tabs>
          <w:tab w:val="left" w:pos="518"/>
        </w:tabs>
        <w:adjustRightInd w:val="0"/>
        <w:snapToGrid w:val="0"/>
        <w:spacing w:line="360" w:lineRule="auto"/>
        <w:ind w:firstLine="420" w:firstLineChars="200"/>
        <w:rPr>
          <w:rFonts w:ascii="宋体" w:hAnsi="宋体"/>
          <w:color w:val="auto"/>
          <w:szCs w:val="21"/>
          <w:highlight w:val="none"/>
        </w:rPr>
      </w:pPr>
      <w:bookmarkStart w:id="20" w:name="_Toc441316546"/>
      <w:bookmarkStart w:id="21" w:name="_Toc419729150"/>
      <w:bookmarkStart w:id="22" w:name="_Toc436408700"/>
      <w:bookmarkStart w:id="23" w:name="_Toc21541007"/>
      <w:r>
        <w:rPr>
          <w:rFonts w:ascii="宋体" w:hAnsi="宋体"/>
          <w:color w:val="auto"/>
          <w:szCs w:val="21"/>
          <w:highlight w:val="none"/>
        </w:rPr>
        <w:t>1</w:t>
      </w:r>
      <w:r>
        <w:rPr>
          <w:rFonts w:hint="eastAsia" w:ascii="宋体" w:hAnsi="宋体"/>
          <w:color w:val="auto"/>
          <w:szCs w:val="21"/>
          <w:highlight w:val="none"/>
        </w:rPr>
        <w:t>、执行财政部、工业和信息化部《政府采购促进中小企业发展管理办法》（财库〔2020〕46号）</w:t>
      </w:r>
      <w:r>
        <w:rPr>
          <w:rFonts w:hint="eastAsia"/>
          <w:color w:val="auto"/>
          <w:sz w:val="21"/>
          <w:szCs w:val="21"/>
          <w:highlight w:val="none"/>
        </w:rPr>
        <w:t>（采购进口产品的项目不适用）</w:t>
      </w:r>
      <w:r>
        <w:rPr>
          <w:rFonts w:hint="eastAsia" w:ascii="宋体" w:hAnsi="宋体"/>
          <w:color w:val="auto"/>
          <w:szCs w:val="21"/>
          <w:highlight w:val="none"/>
        </w:rPr>
        <w:t>。政府采购活动中有关中小企业的相关规定如下：</w:t>
      </w:r>
      <w:bookmarkEnd w:id="20"/>
      <w:bookmarkEnd w:id="21"/>
      <w:bookmarkEnd w:id="22"/>
      <w:bookmarkEnd w:id="23"/>
    </w:p>
    <w:p>
      <w:pPr>
        <w:spacing w:line="400" w:lineRule="exact"/>
        <w:ind w:firstLine="420" w:firstLineChars="200"/>
        <w:jc w:val="left"/>
        <w:rPr>
          <w:rFonts w:ascii="宋体" w:hAnsi="宋体"/>
          <w:color w:val="auto"/>
          <w:szCs w:val="21"/>
          <w:highlight w:val="none"/>
        </w:rPr>
      </w:pPr>
      <w:bookmarkStart w:id="24" w:name="_Toc419729151"/>
      <w:bookmarkStart w:id="25" w:name="_Toc21541008"/>
      <w:bookmarkStart w:id="26" w:name="_Toc436408701"/>
      <w:bookmarkStart w:id="27" w:name="_Toc441316547"/>
      <w:r>
        <w:rPr>
          <w:rFonts w:hint="eastAsia" w:ascii="宋体" w:hAnsi="宋体"/>
          <w:color w:val="auto"/>
          <w:szCs w:val="21"/>
          <w:highlight w:val="none"/>
        </w:rPr>
        <w:t>（</w:t>
      </w:r>
      <w:r>
        <w:rPr>
          <w:rFonts w:ascii="宋体" w:hAnsi="宋体"/>
          <w:color w:val="auto"/>
          <w:szCs w:val="21"/>
          <w:highlight w:val="none"/>
        </w:rPr>
        <w:t>1</w:t>
      </w:r>
      <w:r>
        <w:rPr>
          <w:rFonts w:hint="eastAsia" w:ascii="宋体" w:hAnsi="宋体"/>
          <w:color w:val="auto"/>
          <w:szCs w:val="21"/>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w:t>
      </w:r>
      <w:bookmarkEnd w:id="24"/>
      <w:bookmarkEnd w:id="25"/>
      <w:bookmarkEnd w:id="26"/>
      <w:bookmarkEnd w:id="27"/>
      <w:r>
        <w:rPr>
          <w:rFonts w:hint="eastAsia" w:ascii="宋体" w:hAnsi="宋体"/>
          <w:color w:val="auto"/>
          <w:szCs w:val="21"/>
          <w:highlight w:val="none"/>
        </w:rPr>
        <w:t>。</w:t>
      </w:r>
    </w:p>
    <w:p>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符合中小企业划分标准的个体工商户，在政府采购活动中视同中小企业。</w:t>
      </w:r>
    </w:p>
    <w:p>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（2）在政府采购活动中，供应商提供的货物、工程或者服务符合下列情形的，享受《政府采购促进中小企业发展管理办法》规定的中小企业扶持政策：</w:t>
      </w:r>
    </w:p>
    <w:p>
      <w:pPr>
        <w:spacing w:line="400" w:lineRule="exact"/>
        <w:ind w:firstLine="420" w:firstLineChars="200"/>
        <w:jc w:val="left"/>
        <w:rPr>
          <w:rFonts w:ascii="宋体" w:hAnsi="宋体"/>
          <w:color w:val="auto"/>
          <w:szCs w:val="21"/>
          <w:highlight w:val="none"/>
        </w:rPr>
      </w:pPr>
      <w:bookmarkStart w:id="28" w:name="_Toc21541009"/>
      <w:bookmarkStart w:id="29" w:name="_Toc419729152"/>
      <w:bookmarkStart w:id="30" w:name="_Toc441316548"/>
      <w:bookmarkStart w:id="31" w:name="_Toc436408702"/>
      <w:r>
        <w:rPr>
          <w:rFonts w:hint="eastAsia" w:ascii="宋体" w:hAnsi="宋体"/>
          <w:color w:val="auto"/>
          <w:szCs w:val="21"/>
          <w:highlight w:val="none"/>
        </w:rPr>
        <w:t>①在货物采购项目中，货物由中小企业制造，即货物由中小企业生产且使用该中小企业商号或者注册商标；</w:t>
      </w:r>
      <w:bookmarkEnd w:id="28"/>
      <w:bookmarkEnd w:id="29"/>
      <w:bookmarkEnd w:id="30"/>
      <w:bookmarkEnd w:id="31"/>
    </w:p>
    <w:p>
      <w:pPr>
        <w:spacing w:line="400" w:lineRule="exact"/>
        <w:ind w:firstLine="420" w:firstLineChars="200"/>
        <w:jc w:val="left"/>
        <w:rPr>
          <w:rFonts w:ascii="宋体" w:hAnsi="宋体"/>
          <w:color w:val="auto"/>
          <w:szCs w:val="21"/>
          <w:highlight w:val="none"/>
        </w:rPr>
      </w:pPr>
      <w:bookmarkStart w:id="32" w:name="_Toc436408703"/>
      <w:bookmarkStart w:id="33" w:name="_Toc441316549"/>
      <w:bookmarkStart w:id="34" w:name="_Toc419729153"/>
      <w:bookmarkStart w:id="35" w:name="_Toc21541010"/>
      <w:r>
        <w:rPr>
          <w:rFonts w:hint="eastAsia" w:ascii="宋体" w:hAnsi="宋体"/>
          <w:color w:val="auto"/>
          <w:szCs w:val="21"/>
          <w:highlight w:val="none"/>
        </w:rPr>
        <w:t>②在工程采购项目中，工程由中小企业承建，即工程施工单位为中小企业</w:t>
      </w:r>
      <w:bookmarkEnd w:id="32"/>
      <w:bookmarkEnd w:id="33"/>
      <w:bookmarkEnd w:id="34"/>
      <w:bookmarkEnd w:id="35"/>
      <w:r>
        <w:rPr>
          <w:rFonts w:hint="eastAsia" w:ascii="宋体" w:hAnsi="宋体"/>
          <w:color w:val="auto"/>
          <w:szCs w:val="21"/>
          <w:highlight w:val="none"/>
        </w:rPr>
        <w:t>；</w:t>
      </w:r>
    </w:p>
    <w:p>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③在服务采购项目中，服务由中小企业承接，即提供服务的人员为中小企业依照《中华人民共和国劳动合同法》订立劳动合同的从业人员。</w:t>
      </w:r>
    </w:p>
    <w:p>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在货物采购项目中，供应商提供的货物既有中小企业制造货物，也有大型企业制造货物的，不享受《政府采购促进中小企业发展管理办法》规定的中小企业扶持政策。</w:t>
      </w:r>
    </w:p>
    <w:p>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以联合体形式参加政府采购活动，联合体各方均为中小企业的，联合体视同中小企业。其中，联合体各方均为小微企业的，联合体视同小微企业。</w:t>
      </w:r>
    </w:p>
    <w:p>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（3）中小企业参加政府采购活动，应当出具《政府采购促进中小企业发展管理办法》规定的《中小企业声明函》（格式见第七章），否则不得享受相关中小企业扶持政策。</w:t>
      </w:r>
    </w:p>
    <w:p>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4）采购活动过程中，对供应商的“中小企业”资格认定，以供应商提交的《中小企业声明函》为准，供应商必须实事求是地提交声明函，如有虚假，将依法承担法律责任。如果在采购活动过程中相关采购当事人对供应商“中小企业”资格有异议的，由货物制造商或者工程、服务供应商注册登记所在地的县级以上人民政府中小企业主管部门负责认定。</w:t>
      </w:r>
    </w:p>
    <w:p>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供应商提供声明函内容不实的，属于提供虚假材料谋取中标、成交，依照《中华人民共和国政府采购法》等国家有关规定追究相应责任。</w:t>
      </w:r>
    </w:p>
    <w:p>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适用招标投标法的政府采购工程建设项目，投标人提供声明函内容不实的，属于弄虚作假骗取中标，依照《中华人民共和国招标投标法》等国家有关规定追究相应责任。</w:t>
      </w:r>
    </w:p>
    <w:p>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（5）《中小企业声明函》由参加投标的供应商提交，如供应商为代理商，须自行采集制造商的中小企业划分类型信息填入相应栏目并对其真实性负责。</w:t>
      </w:r>
    </w:p>
    <w:p>
      <w:pPr>
        <w:spacing w:line="400" w:lineRule="exact"/>
        <w:ind w:firstLine="420" w:firstLineChars="200"/>
        <w:jc w:val="left"/>
        <w:rPr>
          <w:rFonts w:ascii="宋体" w:hAnsi="宋体"/>
          <w:color w:val="auto"/>
          <w:szCs w:val="21"/>
          <w:highlight w:val="none"/>
        </w:rPr>
      </w:pPr>
      <w:bookmarkStart w:id="36" w:name="_Toc495244277"/>
      <w:bookmarkStart w:id="37" w:name="_Toc21541015"/>
      <w:r>
        <w:rPr>
          <w:rFonts w:ascii="宋体" w:hAnsi="宋体"/>
          <w:color w:val="auto"/>
          <w:szCs w:val="21"/>
          <w:highlight w:val="none"/>
        </w:rPr>
        <w:t>2</w:t>
      </w:r>
      <w:r>
        <w:rPr>
          <w:rFonts w:hint="eastAsia" w:ascii="宋体" w:hAnsi="宋体"/>
          <w:color w:val="auto"/>
          <w:szCs w:val="21"/>
          <w:highlight w:val="none"/>
        </w:rPr>
        <w:t>、执行财政部、司法部《关于政府采购支持监狱企业发展有关问题的通知》。监狱企业（监狱和戒毒企业）提供自己企业的产品（服务）参加投标视同小型、微型企业，享受政府采购促进中小企业发展的政府采购政策，监狱企业参加政府采购活动时，必须提供由省级以上监狱管理局、戒毒管理局（含新疆生产建设兵团）出具的属于监狱企业的证明文件，未能提供上述证明文件的不予认可。</w:t>
      </w:r>
      <w:bookmarkEnd w:id="36"/>
      <w:bookmarkEnd w:id="37"/>
    </w:p>
    <w:p>
      <w:pPr>
        <w:spacing w:line="400" w:lineRule="exact"/>
        <w:ind w:firstLine="420" w:firstLineChars="200"/>
        <w:jc w:val="left"/>
        <w:rPr>
          <w:rFonts w:ascii="宋体" w:hAnsi="宋体"/>
          <w:color w:val="auto"/>
          <w:szCs w:val="21"/>
          <w:highlight w:val="none"/>
        </w:rPr>
      </w:pPr>
      <w:bookmarkStart w:id="38" w:name="_Toc21541016"/>
      <w:r>
        <w:rPr>
          <w:rFonts w:ascii="宋体" w:hAnsi="宋体"/>
          <w:color w:val="auto"/>
          <w:szCs w:val="21"/>
          <w:highlight w:val="none"/>
        </w:rPr>
        <w:t>3</w:t>
      </w:r>
      <w:r>
        <w:rPr>
          <w:rFonts w:hint="eastAsia" w:ascii="宋体" w:hAnsi="宋体"/>
          <w:color w:val="auto"/>
          <w:szCs w:val="21"/>
          <w:highlight w:val="none"/>
        </w:rPr>
        <w:t>、执行《三部门联合发布关于促进残疾人就业政府采购政策的通知》，在政府采购活动中，残疾人福利性单位视同小型、微型企业，享受政府采购促进中小企业发展的政府采购政策，残疾人福利性单位参加政府采购活动时，应当提供《残疾人福利性单位声明函》（格式见第七章附件），并对声明的真实性负责，未能提供的不予认可。</w:t>
      </w:r>
      <w:bookmarkEnd w:id="38"/>
    </w:p>
    <w:p>
      <w:pPr>
        <w:spacing w:line="400" w:lineRule="exact"/>
        <w:ind w:firstLine="420" w:firstLineChars="200"/>
        <w:jc w:val="left"/>
        <w:rPr>
          <w:rFonts w:ascii="宋体" w:hAnsi="宋体"/>
          <w:color w:val="auto"/>
          <w:szCs w:val="21"/>
          <w:highlight w:val="none"/>
        </w:rPr>
      </w:pPr>
      <w:bookmarkStart w:id="39" w:name="_Toc21541017"/>
      <w:bookmarkStart w:id="40" w:name="_Toc419729158"/>
      <w:r>
        <w:rPr>
          <w:rFonts w:ascii="宋体" w:hAnsi="宋体"/>
          <w:color w:val="auto"/>
          <w:szCs w:val="21"/>
          <w:highlight w:val="none"/>
        </w:rPr>
        <w:t>4</w:t>
      </w:r>
      <w:r>
        <w:rPr>
          <w:rFonts w:hint="eastAsia" w:ascii="宋体" w:hAnsi="宋体"/>
          <w:color w:val="auto"/>
          <w:szCs w:val="21"/>
          <w:highlight w:val="none"/>
        </w:rPr>
        <w:t>、本项目不组织潜在供应商现场考察或者召开开标前答疑。</w:t>
      </w:r>
      <w:bookmarkEnd w:id="39"/>
    </w:p>
    <w:p>
      <w:pPr>
        <w:spacing w:line="400" w:lineRule="exact"/>
        <w:ind w:firstLine="420" w:firstLineChars="200"/>
        <w:jc w:val="left"/>
        <w:rPr>
          <w:rFonts w:ascii="宋体" w:hAnsi="宋体"/>
          <w:color w:val="auto"/>
          <w:szCs w:val="21"/>
          <w:highlight w:val="none"/>
        </w:rPr>
      </w:pPr>
      <w:bookmarkStart w:id="41" w:name="_Toc21541018"/>
      <w:r>
        <w:rPr>
          <w:rFonts w:ascii="宋体" w:hAnsi="宋体"/>
          <w:color w:val="auto"/>
          <w:szCs w:val="21"/>
          <w:highlight w:val="none"/>
        </w:rPr>
        <w:t>5</w:t>
      </w:r>
      <w:r>
        <w:rPr>
          <w:rFonts w:hint="eastAsia" w:ascii="宋体" w:hAnsi="宋体"/>
          <w:color w:val="auto"/>
          <w:szCs w:val="21"/>
          <w:highlight w:val="none"/>
        </w:rPr>
        <w:t>、本文件未及事项，在签订合同时供需及使用方友好商定。</w:t>
      </w:r>
      <w:bookmarkEnd w:id="40"/>
      <w:bookmarkEnd w:id="41"/>
    </w:p>
    <w:p>
      <w:pPr>
        <w:spacing w:line="400" w:lineRule="exact"/>
        <w:ind w:firstLine="420" w:firstLineChars="200"/>
        <w:jc w:val="left"/>
        <w:rPr>
          <w:rFonts w:ascii="宋体" w:hAnsi="宋体"/>
          <w:color w:val="auto"/>
          <w:szCs w:val="21"/>
          <w:highlight w:val="none"/>
        </w:rPr>
      </w:pPr>
      <w:bookmarkStart w:id="42" w:name="_Toc419729159"/>
      <w:r>
        <w:rPr>
          <w:rFonts w:ascii="宋体" w:hAnsi="宋体"/>
          <w:color w:val="auto"/>
          <w:szCs w:val="21"/>
          <w:highlight w:val="none"/>
        </w:rPr>
        <w:t>6</w:t>
      </w:r>
      <w:r>
        <w:rPr>
          <w:rFonts w:hint="eastAsia" w:ascii="宋体" w:hAnsi="宋体"/>
          <w:color w:val="auto"/>
          <w:szCs w:val="21"/>
          <w:highlight w:val="none"/>
        </w:rPr>
        <w:t>、本招标文件解释权归采购人。</w:t>
      </w:r>
    </w:p>
    <w:p>
      <w:pPr>
        <w:spacing w:line="400" w:lineRule="exact"/>
        <w:ind w:firstLine="420" w:firstLineChars="200"/>
        <w:jc w:val="left"/>
        <w:rPr>
          <w:rFonts w:ascii="宋体" w:hAnsi="宋体"/>
          <w:color w:val="auto"/>
          <w:szCs w:val="21"/>
          <w:highlight w:val="none"/>
        </w:rPr>
      </w:pPr>
    </w:p>
    <w:bookmarkEnd w:id="42"/>
    <w:p>
      <w:pPr>
        <w:spacing w:line="400" w:lineRule="exact"/>
        <w:ind w:firstLine="420" w:firstLineChars="200"/>
        <w:jc w:val="left"/>
        <w:rPr>
          <w:rFonts w:ascii="宋体" w:hAnsi="宋体"/>
          <w:color w:val="auto"/>
          <w:szCs w:val="21"/>
          <w:highlight w:val="none"/>
        </w:rPr>
      </w:pPr>
    </w:p>
    <w:p>
      <w:pPr>
        <w:pStyle w:val="2"/>
        <w:rPr>
          <w:rFonts w:ascii="宋体" w:hAnsi="宋体"/>
          <w:color w:val="auto"/>
          <w:szCs w:val="21"/>
          <w:highlight w:val="none"/>
        </w:rPr>
      </w:pPr>
    </w:p>
    <w:p>
      <w:pPr>
        <w:pStyle w:val="2"/>
        <w:rPr>
          <w:rFonts w:ascii="宋体" w:hAnsi="宋体"/>
          <w:color w:val="auto"/>
          <w:szCs w:val="21"/>
          <w:highlight w:val="none"/>
        </w:rPr>
      </w:pPr>
    </w:p>
    <w:p>
      <w:pPr>
        <w:pStyle w:val="2"/>
        <w:rPr>
          <w:rFonts w:ascii="宋体" w:hAnsi="宋体"/>
          <w:color w:val="auto"/>
          <w:szCs w:val="21"/>
          <w:highlight w:val="none"/>
        </w:rPr>
      </w:pPr>
    </w:p>
    <w:p>
      <w:pPr>
        <w:pStyle w:val="2"/>
        <w:rPr>
          <w:rFonts w:ascii="宋体" w:hAnsi="宋体"/>
          <w:color w:val="auto"/>
          <w:szCs w:val="21"/>
          <w:highlight w:val="none"/>
        </w:rPr>
      </w:pPr>
    </w:p>
    <w:p>
      <w:pPr>
        <w:pStyle w:val="2"/>
        <w:rPr>
          <w:rFonts w:ascii="宋体" w:hAnsi="宋体"/>
          <w:color w:val="auto"/>
          <w:szCs w:val="21"/>
          <w:highlight w:val="none"/>
        </w:rPr>
      </w:pPr>
    </w:p>
    <w:p>
      <w:pPr>
        <w:pStyle w:val="2"/>
        <w:rPr>
          <w:rFonts w:ascii="宋体" w:hAnsi="宋体"/>
          <w:color w:val="auto"/>
          <w:szCs w:val="21"/>
          <w:highlight w:val="none"/>
        </w:rPr>
      </w:pPr>
    </w:p>
    <w:p>
      <w:pPr>
        <w:spacing w:line="400" w:lineRule="exact"/>
        <w:jc w:val="center"/>
        <w:outlineLvl w:val="0"/>
        <w:rPr>
          <w:rFonts w:ascii="宋体" w:hAnsi="宋体"/>
          <w:b/>
          <w:color w:val="auto"/>
          <w:sz w:val="32"/>
          <w:highlight w:val="none"/>
        </w:rPr>
      </w:pPr>
      <w:bookmarkStart w:id="43" w:name="_Toc21541019"/>
      <w:bookmarkStart w:id="44" w:name="_Toc65915708"/>
      <w:r>
        <w:rPr>
          <w:rFonts w:hint="eastAsia" w:ascii="宋体" w:hAnsi="宋体"/>
          <w:b/>
          <w:color w:val="auto"/>
          <w:sz w:val="32"/>
          <w:highlight w:val="none"/>
        </w:rPr>
        <w:t>第三章</w:t>
      </w:r>
      <w:r>
        <w:rPr>
          <w:rFonts w:ascii="宋体" w:hAnsi="宋体"/>
          <w:b/>
          <w:color w:val="auto"/>
          <w:sz w:val="32"/>
          <w:highlight w:val="none"/>
        </w:rPr>
        <w:t xml:space="preserve">  </w:t>
      </w:r>
      <w:r>
        <w:rPr>
          <w:rFonts w:hint="eastAsia" w:ascii="宋体" w:hAnsi="宋体"/>
          <w:b/>
          <w:color w:val="auto"/>
          <w:sz w:val="32"/>
          <w:highlight w:val="none"/>
        </w:rPr>
        <w:t>评标办法及标准</w:t>
      </w:r>
      <w:bookmarkEnd w:id="43"/>
      <w:bookmarkEnd w:id="44"/>
    </w:p>
    <w:p>
      <w:pPr>
        <w:spacing w:line="400" w:lineRule="exact"/>
        <w:ind w:firstLine="422" w:firstLineChars="200"/>
        <w:jc w:val="left"/>
        <w:rPr>
          <w:rFonts w:ascii="宋体" w:hAnsi="宋体"/>
          <w:b/>
          <w:color w:val="auto"/>
          <w:szCs w:val="21"/>
          <w:highlight w:val="none"/>
        </w:rPr>
      </w:pPr>
      <w:r>
        <w:rPr>
          <w:rFonts w:hint="eastAsia" w:ascii="宋体" w:hAnsi="宋体"/>
          <w:b/>
          <w:color w:val="auto"/>
          <w:szCs w:val="21"/>
          <w:highlight w:val="none"/>
        </w:rPr>
        <w:t>一、评标办法</w:t>
      </w:r>
    </w:p>
    <w:p>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1.1</w:t>
      </w:r>
      <w:r>
        <w:rPr>
          <w:rFonts w:hint="eastAsia" w:ascii="宋体" w:hAnsi="宋体"/>
          <w:color w:val="auto"/>
          <w:szCs w:val="21"/>
          <w:highlight w:val="none"/>
        </w:rPr>
        <w:t>本项目评标采用综合评分法。</w:t>
      </w:r>
    </w:p>
    <w:p>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1.2</w:t>
      </w:r>
      <w:r>
        <w:rPr>
          <w:rFonts w:hint="eastAsia" w:ascii="宋体" w:hAnsi="宋体"/>
          <w:color w:val="auto"/>
          <w:szCs w:val="21"/>
          <w:highlight w:val="none"/>
        </w:rPr>
        <w:t>综合评分法：采用百分制，总分</w:t>
      </w:r>
      <w:r>
        <w:rPr>
          <w:rFonts w:ascii="宋体" w:hAnsi="宋体"/>
          <w:color w:val="auto"/>
          <w:szCs w:val="21"/>
          <w:highlight w:val="none"/>
        </w:rPr>
        <w:t>100</w:t>
      </w:r>
      <w:r>
        <w:rPr>
          <w:rFonts w:hint="eastAsia" w:ascii="宋体" w:hAnsi="宋体"/>
          <w:color w:val="auto"/>
          <w:szCs w:val="21"/>
          <w:highlight w:val="none"/>
        </w:rPr>
        <w:t>分。供应商的综合得分为商务和技术得分与报价得分之和。每标项按综合得分由高到低的顺序排序，推荐中标候选人。若供应商的综合得分相等，则投标报价低者列前；若投标报价也相同时，采取随机抽签的方式确定排序。</w:t>
      </w:r>
    </w:p>
    <w:p>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1.3</w:t>
      </w:r>
      <w:r>
        <w:rPr>
          <w:rFonts w:hint="eastAsia" w:ascii="宋体" w:hAnsi="宋体" w:cs="宋体"/>
          <w:color w:val="auto"/>
          <w:highlight w:val="none"/>
        </w:rPr>
        <w:t>本项目需要落实的政府采购政策：《关于促进残疾人就业政府采购政策的通知》（财库[2017]141号）、《政府采购促进中小企业发展暂行办法》（财库〔2020〕46号）、《关于政府采购支持监狱企业发展有关问题的通知》（财库[2014]68号）</w:t>
      </w:r>
      <w:r>
        <w:rPr>
          <w:rFonts w:hint="eastAsia" w:ascii="宋体" w:hAnsi="宋体" w:cs="仿宋"/>
          <w:color w:val="auto"/>
          <w:szCs w:val="21"/>
          <w:highlight w:val="none"/>
        </w:rPr>
        <w:t>、《关于环境标志产品政府采购实施的意见》（财库〔2006〕90号、《节能产品政府采购实施意见》的通知（财库〔2004〕185号）</w:t>
      </w:r>
      <w:r>
        <w:rPr>
          <w:rFonts w:hint="eastAsia" w:ascii="宋体" w:hAnsi="宋体" w:cs="宋体"/>
          <w:color w:val="auto"/>
          <w:highlight w:val="none"/>
        </w:rPr>
        <w:t>。</w:t>
      </w:r>
    </w:p>
    <w:p>
      <w:pPr>
        <w:spacing w:line="400" w:lineRule="exact"/>
        <w:ind w:firstLine="420" w:firstLineChars="200"/>
        <w:jc w:val="left"/>
        <w:rPr>
          <w:rFonts w:hint="eastAsia" w:ascii="宋体" w:hAnsi="宋体" w:eastAsia="宋体" w:cs="仿宋"/>
          <w:color w:val="auto"/>
          <w:szCs w:val="21"/>
          <w:highlight w:val="none"/>
          <w:lang w:eastAsia="zh-CN"/>
        </w:rPr>
      </w:pPr>
      <w:r>
        <w:rPr>
          <w:rFonts w:hint="eastAsia" w:ascii="宋体" w:hAnsi="宋体" w:cs="仿宋"/>
          <w:color w:val="auto"/>
          <w:szCs w:val="21"/>
          <w:highlight w:val="none"/>
        </w:rPr>
        <w:t>1.4</w:t>
      </w:r>
      <w:r>
        <w:rPr>
          <w:rFonts w:hint="eastAsia" w:ascii="宋体" w:hAnsi="宋体" w:cs="仿宋"/>
          <w:szCs w:val="21"/>
        </w:rPr>
        <w:t>本次采购为非专门面向中小企业，</w:t>
      </w:r>
      <w:r>
        <w:rPr>
          <w:rFonts w:hint="eastAsia" w:ascii="宋体" w:hAnsi="宋体" w:cs="仿宋"/>
          <w:b/>
          <w:szCs w:val="21"/>
        </w:rPr>
        <w:t>采购标的对应的中小企业划分标准所属行业：标项1为</w:t>
      </w:r>
      <w:r>
        <w:rPr>
          <w:rFonts w:hint="eastAsia" w:ascii="宋体" w:hAnsi="宋体" w:cs="仿宋"/>
          <w:b/>
          <w:bCs/>
          <w:szCs w:val="21"/>
        </w:rPr>
        <w:t>工业行业</w:t>
      </w:r>
      <w:r>
        <w:rPr>
          <w:rFonts w:hint="eastAsia" w:ascii="宋体" w:hAnsi="宋体" w:cs="仿宋"/>
          <w:szCs w:val="21"/>
        </w:rPr>
        <w:t>。本次评标将对中小企业声明函满足招标文件要求的</w:t>
      </w:r>
      <w:r>
        <w:rPr>
          <w:rFonts w:hint="eastAsia" w:ascii="宋体" w:hAnsi="宋体" w:cs="仿宋"/>
          <w:b/>
          <w:bCs/>
          <w:szCs w:val="21"/>
        </w:rPr>
        <w:t>货物制造商</w:t>
      </w:r>
      <w:r>
        <w:rPr>
          <w:rFonts w:hint="eastAsia" w:ascii="宋体" w:hAnsi="宋体" w:cs="仿宋"/>
          <w:szCs w:val="21"/>
        </w:rPr>
        <w:t>均为小微企业的价格给予</w:t>
      </w:r>
      <w:r>
        <w:rPr>
          <w:rFonts w:hint="eastAsia" w:ascii="宋体" w:hAnsi="宋体" w:cs="仿宋"/>
          <w:szCs w:val="21"/>
          <w:lang w:val="en-US" w:eastAsia="zh-CN"/>
        </w:rPr>
        <w:t>1</w:t>
      </w:r>
      <w:r>
        <w:rPr>
          <w:rFonts w:hint="eastAsia" w:ascii="宋体" w:hAnsi="宋体" w:cs="仿宋"/>
          <w:szCs w:val="21"/>
        </w:rPr>
        <w:t>0%的扣除，用扣除后的价格参与评审。价格扣除只用于评审过程，如中标，中标价格仍按照其投标价格进行公示</w:t>
      </w:r>
      <w:r>
        <w:rPr>
          <w:rFonts w:hint="eastAsia" w:ascii="宋体" w:hAnsi="宋体" w:cs="宋体"/>
          <w:b/>
          <w:color w:val="auto"/>
          <w:highlight w:val="none"/>
          <w:lang w:eastAsia="zh-CN"/>
        </w:rPr>
        <w:t>。</w:t>
      </w:r>
    </w:p>
    <w:p>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5</w:t>
      </w:r>
      <w:r>
        <w:rPr>
          <w:rFonts w:hint="eastAsia" w:ascii="宋体" w:hAnsi="宋体"/>
          <w:color w:val="auto"/>
          <w:szCs w:val="21"/>
          <w:highlight w:val="none"/>
        </w:rPr>
        <w:t>本项目将对节能产品、环境标志产品给予政策性因素技术加分，投标产品如属于节能产品、环境标志产品的，供应商须提供由国家确定的认证机构出具的、处于有效期之内的节能产品、环境标志产品认证证书，未按要求提供认证证书或认证证书与中国政府采购网（</w:t>
      </w:r>
      <w:r>
        <w:rPr>
          <w:color w:val="auto"/>
          <w:highlight w:val="none"/>
        </w:rPr>
        <w:fldChar w:fldCharType="begin"/>
      </w:r>
      <w:r>
        <w:rPr>
          <w:color w:val="auto"/>
          <w:highlight w:val="none"/>
        </w:rPr>
        <w:instrText xml:space="preserve"> HYPERLINK "http://www.ccgp.gov.cn/" </w:instrText>
      </w:r>
      <w:r>
        <w:rPr>
          <w:color w:val="auto"/>
          <w:highlight w:val="none"/>
        </w:rPr>
        <w:fldChar w:fldCharType="separate"/>
      </w:r>
      <w:r>
        <w:rPr>
          <w:rFonts w:hint="eastAsia" w:ascii="宋体" w:hAnsi="宋体"/>
          <w:color w:val="auto"/>
          <w:szCs w:val="21"/>
          <w:highlight w:val="none"/>
        </w:rPr>
        <w:t>www.ccgp.gov.cn</w:t>
      </w:r>
      <w:r>
        <w:rPr>
          <w:rFonts w:hint="eastAsia" w:ascii="宋体" w:hAnsi="宋体"/>
          <w:color w:val="auto"/>
          <w:szCs w:val="21"/>
          <w:highlight w:val="none"/>
        </w:rPr>
        <w:fldChar w:fldCharType="end"/>
      </w:r>
      <w:r>
        <w:rPr>
          <w:rFonts w:hint="eastAsia" w:ascii="宋体" w:hAnsi="宋体"/>
          <w:color w:val="auto"/>
          <w:szCs w:val="21"/>
          <w:highlight w:val="none"/>
        </w:rPr>
        <w:t>）节能产品、环境标志产品查询结果不相符的评标委员会将不予认可，不得享受技术加分。由多个产品集成的项目（标项），必须所有产品符合上述要求才能享受技术加分。</w:t>
      </w:r>
    </w:p>
    <w:p>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评标委员会成员对需要共同认定的事项存在争议的，应当按照少数服从多数的原则作出结论。</w:t>
      </w:r>
    </w:p>
    <w:p>
      <w:pPr>
        <w:spacing w:line="400" w:lineRule="exact"/>
        <w:ind w:firstLine="420" w:firstLineChars="200"/>
        <w:jc w:val="left"/>
        <w:rPr>
          <w:rFonts w:ascii="宋体" w:hAnsi="宋体"/>
          <w:b/>
          <w:bCs/>
          <w:color w:val="auto"/>
          <w:szCs w:val="21"/>
          <w:highlight w:val="none"/>
        </w:rPr>
      </w:pPr>
      <w:r>
        <w:rPr>
          <w:rFonts w:hint="eastAsia" w:ascii="宋体" w:hAnsi="宋体"/>
          <w:color w:val="auto"/>
          <w:szCs w:val="21"/>
          <w:highlight w:val="none"/>
        </w:rPr>
        <w:t>二、</w:t>
      </w:r>
      <w:r>
        <w:rPr>
          <w:rFonts w:hint="eastAsia" w:ascii="宋体" w:hAnsi="宋体"/>
          <w:b/>
          <w:bCs/>
          <w:color w:val="auto"/>
          <w:szCs w:val="21"/>
          <w:highlight w:val="none"/>
        </w:rPr>
        <w:t>评标程序</w:t>
      </w:r>
    </w:p>
    <w:p>
      <w:pPr>
        <w:spacing w:line="400" w:lineRule="exact"/>
        <w:ind w:firstLine="422" w:firstLineChars="200"/>
        <w:rPr>
          <w:rFonts w:ascii="宋体" w:hAnsi="宋体"/>
          <w:b/>
          <w:color w:val="auto"/>
          <w:szCs w:val="21"/>
          <w:highlight w:val="none"/>
        </w:rPr>
      </w:pPr>
      <w:r>
        <w:rPr>
          <w:rFonts w:ascii="宋体" w:hAnsi="宋体"/>
          <w:b/>
          <w:color w:val="auto"/>
          <w:szCs w:val="21"/>
          <w:highlight w:val="none"/>
        </w:rPr>
        <w:t>2.1</w:t>
      </w:r>
      <w:r>
        <w:rPr>
          <w:rFonts w:hint="eastAsia" w:ascii="宋体" w:hAnsi="宋体"/>
          <w:b/>
          <w:color w:val="auto"/>
          <w:szCs w:val="21"/>
          <w:highlight w:val="none"/>
        </w:rPr>
        <w:t>第一阶段评审</w:t>
      </w:r>
    </w:p>
    <w:p>
      <w:pPr>
        <w:spacing w:line="400" w:lineRule="exact"/>
        <w:ind w:firstLine="420" w:firstLineChars="200"/>
        <w:rPr>
          <w:rFonts w:ascii="宋体" w:hAnsi="宋体"/>
          <w:b/>
          <w:color w:val="auto"/>
          <w:szCs w:val="21"/>
          <w:highlight w:val="none"/>
        </w:rPr>
      </w:pPr>
      <w:r>
        <w:rPr>
          <w:rFonts w:ascii="宋体" w:hAnsi="宋体"/>
          <w:color w:val="auto"/>
          <w:szCs w:val="21"/>
          <w:highlight w:val="none"/>
        </w:rPr>
        <w:t>2.1.1</w:t>
      </w:r>
      <w:r>
        <w:rPr>
          <w:rFonts w:hint="eastAsia" w:ascii="宋体" w:hAnsi="宋体"/>
          <w:color w:val="auto"/>
          <w:szCs w:val="21"/>
          <w:highlight w:val="none"/>
        </w:rPr>
        <w:t>资格文件、商务和技术文件初步审查：包含资格性审查和符合性审查。资格性审查是指采购人或代理机构根据“附表</w:t>
      </w:r>
      <w:r>
        <w:rPr>
          <w:rFonts w:ascii="宋体" w:hAnsi="宋体"/>
          <w:color w:val="auto"/>
          <w:szCs w:val="21"/>
          <w:highlight w:val="none"/>
        </w:rPr>
        <w:t>1</w:t>
      </w:r>
      <w:r>
        <w:rPr>
          <w:rFonts w:hint="eastAsia" w:ascii="宋体" w:hAnsi="宋体"/>
          <w:color w:val="auto"/>
          <w:szCs w:val="21"/>
          <w:highlight w:val="none"/>
        </w:rPr>
        <w:t>资格性审查表”的要求对投标文件逐一进行评审。符合性审查是指评标委员会根据“附表</w:t>
      </w:r>
      <w:r>
        <w:rPr>
          <w:rFonts w:ascii="宋体" w:hAnsi="宋体"/>
          <w:color w:val="auto"/>
          <w:szCs w:val="21"/>
          <w:highlight w:val="none"/>
        </w:rPr>
        <w:t>2</w:t>
      </w:r>
      <w:r>
        <w:rPr>
          <w:rFonts w:hint="eastAsia" w:ascii="宋体" w:hAnsi="宋体"/>
          <w:color w:val="auto"/>
          <w:szCs w:val="21"/>
          <w:highlight w:val="none"/>
        </w:rPr>
        <w:t>符合性审查表”的要求对投标文件逐一进行评审。</w:t>
      </w:r>
      <w:r>
        <w:rPr>
          <w:rFonts w:hint="eastAsia" w:ascii="宋体" w:hAnsi="宋体"/>
          <w:b/>
          <w:color w:val="auto"/>
          <w:szCs w:val="21"/>
          <w:highlight w:val="none"/>
        </w:rPr>
        <w:t>资格性审查和符合性审查中，有任意一项审查结论不合格的，作无效标处理。</w:t>
      </w:r>
    </w:p>
    <w:p>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2.1.2</w:t>
      </w:r>
      <w:r>
        <w:rPr>
          <w:rFonts w:hint="eastAsia" w:ascii="宋体" w:hAnsi="宋体"/>
          <w:color w:val="auto"/>
          <w:szCs w:val="21"/>
          <w:highlight w:val="none"/>
          <w:lang w:val="zh-CN"/>
        </w:rPr>
        <w:t>比较与评价：</w:t>
      </w:r>
      <w:r>
        <w:rPr>
          <w:rFonts w:hint="eastAsia" w:ascii="宋体" w:hAnsi="宋体"/>
          <w:color w:val="auto"/>
          <w:szCs w:val="21"/>
          <w:highlight w:val="none"/>
        </w:rPr>
        <w:t>评标委员会根据“附表</w:t>
      </w:r>
      <w:r>
        <w:rPr>
          <w:rFonts w:ascii="宋体" w:hAnsi="宋体"/>
          <w:color w:val="auto"/>
          <w:szCs w:val="21"/>
          <w:highlight w:val="none"/>
        </w:rPr>
        <w:t>3</w:t>
      </w:r>
      <w:r>
        <w:rPr>
          <w:rFonts w:hint="eastAsia" w:ascii="宋体" w:hAnsi="宋体"/>
          <w:color w:val="auto"/>
          <w:szCs w:val="21"/>
          <w:highlight w:val="none"/>
        </w:rPr>
        <w:t>商务和技术评分表”的要求，</w:t>
      </w:r>
      <w:r>
        <w:rPr>
          <w:rFonts w:hint="eastAsia" w:ascii="宋体" w:hAnsi="宋体"/>
          <w:color w:val="auto"/>
          <w:szCs w:val="21"/>
          <w:highlight w:val="none"/>
          <w:lang w:val="zh-CN"/>
        </w:rPr>
        <w:t>对照投标文件的应答进行比较，判定其偏差性质和程度，</w:t>
      </w:r>
      <w:r>
        <w:rPr>
          <w:rFonts w:hint="eastAsia" w:ascii="宋体" w:hAnsi="宋体"/>
          <w:color w:val="auto"/>
          <w:szCs w:val="21"/>
          <w:highlight w:val="none"/>
        </w:rPr>
        <w:t>由评标委员会成员在分值范围内自行评分。供应商商务和技术得分为各评标委员会成员有效评分的算术平均值（小数点后保留二位数）。评标委员会成员个人主观打分偏离所有评标委员会成员主观打分平均值30%以上的，由评标委员会启动评分畸高、畸低行为认定程序。</w:t>
      </w:r>
    </w:p>
    <w:p>
      <w:pPr>
        <w:spacing w:line="400" w:lineRule="exact"/>
        <w:ind w:firstLine="422" w:firstLineChars="200"/>
        <w:jc w:val="left"/>
        <w:rPr>
          <w:rFonts w:ascii="宋体" w:hAnsi="宋体"/>
          <w:b/>
          <w:color w:val="auto"/>
          <w:szCs w:val="21"/>
          <w:highlight w:val="none"/>
        </w:rPr>
      </w:pPr>
      <w:r>
        <w:rPr>
          <w:rFonts w:ascii="宋体" w:hAnsi="宋体"/>
          <w:b/>
          <w:color w:val="auto"/>
          <w:szCs w:val="21"/>
          <w:highlight w:val="none"/>
        </w:rPr>
        <w:t>2.2</w:t>
      </w:r>
      <w:r>
        <w:rPr>
          <w:rFonts w:hint="eastAsia" w:ascii="宋体" w:hAnsi="宋体"/>
          <w:b/>
          <w:color w:val="auto"/>
          <w:szCs w:val="21"/>
          <w:highlight w:val="none"/>
        </w:rPr>
        <w:t>第二阶段评审</w:t>
      </w:r>
    </w:p>
    <w:p>
      <w:pPr>
        <w:spacing w:line="400" w:lineRule="exact"/>
        <w:ind w:firstLine="420" w:firstLineChars="200"/>
        <w:jc w:val="left"/>
        <w:rPr>
          <w:rFonts w:ascii="宋体" w:hAnsi="宋体"/>
          <w:b/>
          <w:color w:val="auto"/>
          <w:szCs w:val="21"/>
          <w:highlight w:val="none"/>
        </w:rPr>
      </w:pPr>
      <w:r>
        <w:rPr>
          <w:rFonts w:ascii="宋体" w:hAnsi="宋体"/>
          <w:color w:val="auto"/>
          <w:szCs w:val="21"/>
          <w:highlight w:val="none"/>
        </w:rPr>
        <w:t>2.2.1</w:t>
      </w:r>
      <w:r>
        <w:rPr>
          <w:rFonts w:hint="eastAsia" w:ascii="宋体" w:hAnsi="宋体"/>
          <w:color w:val="auto"/>
          <w:szCs w:val="21"/>
          <w:highlight w:val="none"/>
        </w:rPr>
        <w:t>报价文件初步审查：报价文件初步审查是指评标委员会根据“附表</w:t>
      </w:r>
      <w:r>
        <w:rPr>
          <w:rFonts w:ascii="宋体" w:hAnsi="宋体"/>
          <w:color w:val="auto"/>
          <w:szCs w:val="21"/>
          <w:highlight w:val="none"/>
        </w:rPr>
        <w:t>4</w:t>
      </w:r>
      <w:r>
        <w:rPr>
          <w:rFonts w:hint="eastAsia" w:ascii="宋体" w:hAnsi="宋体"/>
          <w:color w:val="auto"/>
          <w:szCs w:val="21"/>
          <w:highlight w:val="none"/>
        </w:rPr>
        <w:t>初步审查表”的要求对投标文件逐一进行评审。</w:t>
      </w:r>
      <w:r>
        <w:rPr>
          <w:rFonts w:hint="eastAsia" w:ascii="宋体" w:hAnsi="宋体"/>
          <w:b/>
          <w:color w:val="auto"/>
          <w:szCs w:val="21"/>
          <w:highlight w:val="none"/>
        </w:rPr>
        <w:t>初步审查中，审查结论不合格的，作无效标处理。</w:t>
      </w:r>
    </w:p>
    <w:p>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2.2.2</w:t>
      </w:r>
      <w:r>
        <w:rPr>
          <w:rFonts w:hint="eastAsia" w:ascii="宋体" w:hAnsi="宋体"/>
          <w:color w:val="auto"/>
          <w:szCs w:val="21"/>
          <w:highlight w:val="none"/>
        </w:rPr>
        <w:t>在评标过程中，发现的价格计算错误按下述原则修正：</w:t>
      </w:r>
    </w:p>
    <w:p>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（1）投标文件中开标一览表内容与投标文件中相应内容不一致的，以开标一览表为准；</w:t>
      </w:r>
    </w:p>
    <w:p>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（2）大写金额和小写金额不一致的，以大写金额为准；</w:t>
      </w:r>
    </w:p>
    <w:p>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（3）单价金额小数点或者百分比有明显错位的，以开标一览表的总价为准，并修改单价；</w:t>
      </w:r>
    </w:p>
    <w:p>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（4）总价金额与按单价汇总金额不一致的，以单价金额计算结果为准。</w:t>
      </w:r>
    </w:p>
    <w:p>
      <w:pPr>
        <w:spacing w:line="400" w:lineRule="exact"/>
        <w:ind w:firstLine="420" w:firstLineChars="200"/>
        <w:jc w:val="left"/>
        <w:rPr>
          <w:rFonts w:ascii="宋体" w:hAnsi="宋体"/>
          <w:color w:val="auto"/>
          <w:highlight w:val="none"/>
        </w:rPr>
      </w:pPr>
      <w:r>
        <w:rPr>
          <w:rFonts w:hint="eastAsia" w:ascii="宋体" w:hAnsi="宋体"/>
          <w:color w:val="auto"/>
          <w:highlight w:val="none"/>
        </w:rPr>
        <w:t>同时出现两种以上不一致的，按照前款规定的顺序修正。</w:t>
      </w:r>
      <w:r>
        <w:rPr>
          <w:rFonts w:hint="eastAsia" w:ascii="宋体" w:hAnsi="宋体"/>
          <w:color w:val="auto"/>
          <w:szCs w:val="21"/>
          <w:highlight w:val="none"/>
        </w:rPr>
        <w:t>▲</w:t>
      </w:r>
      <w:r>
        <w:rPr>
          <w:rFonts w:hint="eastAsia" w:ascii="宋体" w:hAnsi="宋体"/>
          <w:color w:val="auto"/>
          <w:highlight w:val="none"/>
        </w:rPr>
        <w:t>修正后的报价经供应商确认后产生约束力，供应商不确认的，其投标无效。</w:t>
      </w:r>
    </w:p>
    <w:p>
      <w:pPr>
        <w:spacing w:line="400" w:lineRule="exact"/>
        <w:ind w:firstLine="420" w:firstLineChars="200"/>
        <w:jc w:val="left"/>
        <w:rPr>
          <w:rFonts w:ascii="宋体" w:hAnsi="宋体"/>
          <w:color w:val="auto"/>
          <w:highlight w:val="none"/>
        </w:rPr>
      </w:pPr>
      <w:r>
        <w:rPr>
          <w:rFonts w:ascii="宋体" w:hAnsi="宋体"/>
          <w:color w:val="auto"/>
          <w:szCs w:val="21"/>
          <w:highlight w:val="none"/>
        </w:rPr>
        <w:t>2.2.3</w:t>
      </w:r>
      <w:r>
        <w:rPr>
          <w:rFonts w:hint="eastAsia" w:ascii="宋体" w:hAnsi="宋体"/>
          <w:color w:val="auto"/>
          <w:highlight w:val="none"/>
        </w:rPr>
        <w:t>提供相同品牌产品且通过资格性审查、符合性审查的不同供应商参加同一标项投标的，按一家供应商计算，评审后综合得分最高的同品牌供应商获得中标</w:t>
      </w:r>
      <w:r>
        <w:rPr>
          <w:rFonts w:hint="eastAsia" w:ascii="宋体" w:hAnsi="宋体"/>
          <w:color w:val="auto"/>
          <w:szCs w:val="21"/>
          <w:highlight w:val="none"/>
        </w:rPr>
        <w:t>候选</w:t>
      </w:r>
      <w:r>
        <w:rPr>
          <w:rFonts w:hint="eastAsia" w:ascii="宋体" w:hAnsi="宋体"/>
          <w:color w:val="auto"/>
          <w:highlight w:val="none"/>
        </w:rPr>
        <w:t>人推荐资格；综合得分相同的，由评标委员会采取随机抽取方式确定，其他同品牌供应商不作为中标候选人。</w:t>
      </w:r>
    </w:p>
    <w:p>
      <w:pPr>
        <w:spacing w:line="400" w:lineRule="exact"/>
        <w:ind w:firstLine="420" w:firstLineChars="200"/>
        <w:jc w:val="left"/>
        <w:rPr>
          <w:rFonts w:ascii="宋体" w:hAnsi="宋体"/>
          <w:color w:val="auto"/>
          <w:szCs w:val="21"/>
          <w:highlight w:val="none"/>
        </w:rPr>
      </w:pPr>
      <w:r>
        <w:rPr>
          <w:rFonts w:hint="eastAsia" w:ascii="宋体" w:hAnsi="宋体"/>
          <w:color w:val="auto"/>
          <w:highlight w:val="none"/>
        </w:rPr>
        <w:t>非单一产品采购项目，多家供应商提供的核心产品品牌相同的，按上述规定处理。</w:t>
      </w:r>
    </w:p>
    <w:p>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2.2.4</w:t>
      </w:r>
      <w:r>
        <w:rPr>
          <w:rFonts w:hint="eastAsia" w:ascii="宋体" w:hAnsi="宋体"/>
          <w:color w:val="auto"/>
          <w:szCs w:val="21"/>
          <w:highlight w:val="none"/>
        </w:rPr>
        <w:t>评标委员会根据“附表</w:t>
      </w:r>
      <w:r>
        <w:rPr>
          <w:rFonts w:ascii="宋体" w:hAnsi="宋体"/>
          <w:color w:val="auto"/>
          <w:szCs w:val="21"/>
          <w:highlight w:val="none"/>
        </w:rPr>
        <w:t>5</w:t>
      </w:r>
      <w:r>
        <w:rPr>
          <w:rFonts w:hint="eastAsia" w:ascii="宋体" w:hAnsi="宋体"/>
          <w:color w:val="auto"/>
          <w:szCs w:val="21"/>
          <w:highlight w:val="none"/>
        </w:rPr>
        <w:t>价格评分表”的规定，计算供应商报价得分（小数点后保留二位数）。</w:t>
      </w:r>
    </w:p>
    <w:p>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2.2.5</w:t>
      </w:r>
      <w:r>
        <w:rPr>
          <w:rFonts w:hint="eastAsia" w:ascii="宋体" w:hAnsi="宋体"/>
          <w:color w:val="auto"/>
          <w:szCs w:val="21"/>
          <w:highlight w:val="none"/>
        </w:rPr>
        <w:t>综合评估：供应商的综合得分为商务和技术得分与报价得分之和。</w:t>
      </w:r>
    </w:p>
    <w:p>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2.2.</w:t>
      </w:r>
      <w:r>
        <w:rPr>
          <w:rFonts w:hint="eastAsia" w:ascii="宋体" w:hAnsi="宋体"/>
          <w:color w:val="auto"/>
          <w:szCs w:val="21"/>
          <w:highlight w:val="none"/>
        </w:rPr>
        <w:t>6推荐中标候选人：每标项按综合得分由高到低的顺序排序，推荐中标候选人。若供应商的综合得分相等，则投标报价低者列前；若投标报价也相同时，采取随机抽签的方式确定排序。</w:t>
      </w:r>
    </w:p>
    <w:p>
      <w:pPr>
        <w:spacing w:line="400" w:lineRule="exact"/>
        <w:ind w:firstLine="422" w:firstLineChars="200"/>
        <w:jc w:val="left"/>
        <w:rPr>
          <w:rFonts w:ascii="宋体" w:hAnsi="宋体"/>
          <w:b/>
          <w:color w:val="auto"/>
          <w:szCs w:val="21"/>
          <w:highlight w:val="none"/>
        </w:rPr>
      </w:pPr>
      <w:r>
        <w:rPr>
          <w:rFonts w:ascii="宋体" w:hAnsi="宋体"/>
          <w:b/>
          <w:color w:val="auto"/>
          <w:szCs w:val="21"/>
          <w:highlight w:val="none"/>
        </w:rPr>
        <w:t>2.3</w:t>
      </w:r>
      <w:r>
        <w:rPr>
          <w:rFonts w:hint="eastAsia" w:ascii="宋体" w:hAnsi="宋体"/>
          <w:b/>
          <w:color w:val="auto"/>
          <w:szCs w:val="21"/>
          <w:highlight w:val="none"/>
        </w:rPr>
        <w:t>确定中标供应商</w:t>
      </w:r>
    </w:p>
    <w:p>
      <w:pPr>
        <w:spacing w:line="44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评标委员会按综合得分由高到低的排序，向采购人推荐中标候选人。代理机构应当自评审结束之日起</w:t>
      </w:r>
      <w:r>
        <w:rPr>
          <w:rFonts w:ascii="宋体" w:hAnsi="宋体"/>
          <w:color w:val="auto"/>
          <w:szCs w:val="21"/>
          <w:highlight w:val="none"/>
        </w:rPr>
        <w:t>2</w:t>
      </w:r>
      <w:r>
        <w:rPr>
          <w:rFonts w:hint="eastAsia" w:ascii="宋体" w:hAnsi="宋体"/>
          <w:color w:val="auto"/>
          <w:szCs w:val="21"/>
          <w:highlight w:val="none"/>
        </w:rPr>
        <w:t>个工作日内将评审报告送交采购人。采购人应当自收到评审报告之日起</w:t>
      </w:r>
      <w:r>
        <w:rPr>
          <w:rFonts w:ascii="宋体" w:hAnsi="宋体"/>
          <w:color w:val="auto"/>
          <w:szCs w:val="21"/>
          <w:highlight w:val="none"/>
        </w:rPr>
        <w:t>5</w:t>
      </w:r>
      <w:r>
        <w:rPr>
          <w:rFonts w:hint="eastAsia" w:ascii="宋体" w:hAnsi="宋体"/>
          <w:color w:val="auto"/>
          <w:szCs w:val="21"/>
          <w:highlight w:val="none"/>
        </w:rPr>
        <w:t>个工作日内在评审报告推荐的中标候选人中按顺序确定1名中标供应商。</w:t>
      </w:r>
      <w:r>
        <w:rPr>
          <w:rFonts w:hint="eastAsia"/>
          <w:color w:val="auto"/>
          <w:highlight w:val="none"/>
        </w:rPr>
        <w:t>中标或者成交供应商拒绝与采购人签订合同的，采购人可以按照评审报告推荐的中标或者成交候选人名单排序，确定下一候选人为中标或者成交供应商，也可以重新开展政府采购活动。</w:t>
      </w:r>
    </w:p>
    <w:p>
      <w:pPr>
        <w:spacing w:line="400" w:lineRule="exact"/>
        <w:ind w:firstLine="422" w:firstLineChars="200"/>
        <w:jc w:val="left"/>
        <w:rPr>
          <w:rFonts w:ascii="宋体" w:hAnsi="宋体"/>
          <w:b/>
          <w:color w:val="auto"/>
          <w:szCs w:val="21"/>
          <w:highlight w:val="none"/>
        </w:rPr>
      </w:pPr>
      <w:r>
        <w:rPr>
          <w:rFonts w:hint="eastAsia" w:ascii="宋体" w:hAnsi="宋体"/>
          <w:b/>
          <w:color w:val="auto"/>
          <w:szCs w:val="21"/>
          <w:highlight w:val="none"/>
        </w:rPr>
        <w:t>三、投标的澄清</w:t>
      </w:r>
    </w:p>
    <w:p>
      <w:pPr>
        <w:spacing w:line="400" w:lineRule="exact"/>
        <w:ind w:firstLine="420" w:firstLineChars="200"/>
        <w:rPr>
          <w:rFonts w:ascii="宋体" w:hAnsi="宋体" w:cs="宋体"/>
          <w:color w:val="auto"/>
          <w:highlight w:val="none"/>
        </w:rPr>
      </w:pPr>
      <w:r>
        <w:rPr>
          <w:rFonts w:ascii="宋体" w:hAnsi="宋体" w:cs="宋体"/>
          <w:color w:val="auto"/>
          <w:highlight w:val="none"/>
        </w:rPr>
        <w:t>3.1</w:t>
      </w:r>
      <w:r>
        <w:rPr>
          <w:rFonts w:hint="eastAsia" w:ascii="宋体" w:hAnsi="宋体" w:cs="宋体"/>
          <w:color w:val="auto"/>
          <w:highlight w:val="none"/>
        </w:rPr>
        <w:t>评标委员会在对投标文件的有效性、完整性和响应程度进行审查时，可以要求供应商对投标文件中含义不明确、同类问题表述不一致或者有明显文字和计算错误的内容等做出必要的澄清。供应商的澄清不得超出投标文件的范围或者改变投标文件的实质性内容。</w:t>
      </w:r>
    </w:p>
    <w:p>
      <w:pPr>
        <w:spacing w:line="400" w:lineRule="exact"/>
        <w:ind w:firstLine="420" w:firstLineChars="200"/>
        <w:rPr>
          <w:rFonts w:ascii="宋体" w:hAnsi="宋体" w:cs="宋体"/>
          <w:color w:val="auto"/>
          <w:highlight w:val="none"/>
        </w:rPr>
      </w:pPr>
      <w:r>
        <w:rPr>
          <w:rFonts w:ascii="宋体" w:hAnsi="宋体" w:cs="宋体"/>
          <w:color w:val="auto"/>
          <w:highlight w:val="none"/>
        </w:rPr>
        <w:t>3.2</w:t>
      </w:r>
      <w:r>
        <w:rPr>
          <w:rFonts w:hint="eastAsia" w:ascii="宋体" w:hAnsi="宋体" w:cs="宋体"/>
          <w:color w:val="auto"/>
          <w:highlight w:val="none"/>
        </w:rPr>
        <w:t>政采云具体操作如下：</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在评审过程中，如评标委员会对投标文件有疑问，由评标委员会组长将问题汇总后发函，或由采购代理机构代替发起。供应商在截止时间前，予以回复。此回复将作为投标文件内容的一部分，具有相应的法律效力。</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路径：用户中心—项目采购—询标澄清</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（1）政采云平台通过待办事项和短信提醒供应商在截止时间前完成澄清。</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（2）供应商在“询标澄清-待办理”标签页下选择状态为“待澄清”的项目，点击操作栏【澄清】。</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（3）查看函内容，在澄清截止时间前上传澄清文件并对澄清文件进行签章。（注：澄清文件必须以PDF格式上传，文件大小：50M）</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（4）签章完成，文件名称处显示“已签章”，供应商可“撤回签章”修改澄清函和“查看文件”。</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5）确认澄清文件内容后，点击右上角【提交】；（注：供应商未对澄清文件签章，提交时，弹框提醒“澄清文件未签章，请进行签章操作”，如遇CA突发情况无法签章，供应商可点击【放弃签章并提交】提交澄清文件；反之则签章后再提交。）</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（6）完成状态：供应商澄清文件提交成功后，在“询标澄清-全部”标签页下显示状态为“已澄清”。</w:t>
      </w:r>
    </w:p>
    <w:p>
      <w:pPr>
        <w:spacing w:line="400" w:lineRule="exact"/>
        <w:ind w:firstLine="420" w:firstLineChars="200"/>
        <w:rPr>
          <w:rFonts w:ascii="宋体" w:hAnsi="宋体" w:cs="宋体"/>
          <w:color w:val="auto"/>
          <w:highlight w:val="none"/>
        </w:rPr>
      </w:pPr>
      <w:r>
        <w:rPr>
          <w:rFonts w:ascii="宋体" w:hAnsi="宋体" w:cs="宋体"/>
          <w:color w:val="auto"/>
          <w:highlight w:val="none"/>
        </w:rPr>
        <w:t>3.3</w:t>
      </w:r>
      <w:r>
        <w:rPr>
          <w:rFonts w:hint="eastAsia" w:ascii="宋体" w:hAnsi="宋体" w:cs="宋体"/>
          <w:color w:val="auto"/>
          <w:highlight w:val="none"/>
        </w:rPr>
        <w:t>供应商未在截止时间前完成澄清，将被视作自动放弃。</w:t>
      </w:r>
    </w:p>
    <w:p>
      <w:pPr>
        <w:spacing w:line="400" w:lineRule="exact"/>
        <w:ind w:firstLine="422" w:firstLineChars="200"/>
        <w:jc w:val="left"/>
        <w:rPr>
          <w:rFonts w:ascii="宋体" w:hAnsi="宋体"/>
          <w:color w:val="auto"/>
          <w:szCs w:val="21"/>
          <w:highlight w:val="none"/>
        </w:rPr>
      </w:pPr>
      <w:r>
        <w:rPr>
          <w:rFonts w:hint="eastAsia" w:ascii="宋体" w:hAnsi="宋体"/>
          <w:b/>
          <w:color w:val="auto"/>
          <w:szCs w:val="21"/>
          <w:highlight w:val="none"/>
        </w:rPr>
        <w:t>四、特别声明：价格是评标的重要因素之一，但最低价不是中标的唯一依据。</w:t>
      </w:r>
    </w:p>
    <w:p>
      <w:pPr>
        <w:spacing w:line="400" w:lineRule="exact"/>
        <w:ind w:firstLine="422" w:firstLineChars="200"/>
        <w:jc w:val="left"/>
        <w:rPr>
          <w:rFonts w:ascii="宋体" w:hAnsi="宋体"/>
          <w:b/>
          <w:color w:val="auto"/>
          <w:szCs w:val="21"/>
          <w:highlight w:val="none"/>
        </w:rPr>
      </w:pPr>
      <w:r>
        <w:rPr>
          <w:rFonts w:hint="eastAsia" w:ascii="宋体" w:hAnsi="宋体"/>
          <w:b/>
          <w:color w:val="auto"/>
          <w:szCs w:val="21"/>
          <w:highlight w:val="none"/>
        </w:rPr>
        <w:t>五、重新招标</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有下列情形之一的，采购人将重新招标：</w:t>
      </w:r>
    </w:p>
    <w:p>
      <w:pPr>
        <w:spacing w:line="400" w:lineRule="exact"/>
        <w:ind w:firstLine="420" w:firstLineChars="200"/>
        <w:rPr>
          <w:rFonts w:ascii="宋体" w:hAnsi="宋体"/>
          <w:color w:val="auto"/>
          <w:szCs w:val="21"/>
          <w:highlight w:val="none"/>
        </w:rPr>
      </w:pPr>
      <w:r>
        <w:rPr>
          <w:rFonts w:ascii="宋体" w:hAnsi="宋体"/>
          <w:color w:val="auto"/>
          <w:szCs w:val="21"/>
          <w:highlight w:val="none"/>
        </w:rPr>
        <w:t>5.1</w:t>
      </w:r>
      <w:r>
        <w:rPr>
          <w:rFonts w:hint="eastAsia" w:ascii="宋体" w:hAnsi="宋体"/>
          <w:color w:val="auto"/>
          <w:szCs w:val="21"/>
          <w:highlight w:val="none"/>
        </w:rPr>
        <w:t>投标截止时间止，单个标项供应商少于</w:t>
      </w:r>
      <w:r>
        <w:rPr>
          <w:rFonts w:ascii="宋体" w:hAnsi="宋体"/>
          <w:color w:val="auto"/>
          <w:szCs w:val="21"/>
          <w:highlight w:val="none"/>
        </w:rPr>
        <w:t>3</w:t>
      </w:r>
      <w:r>
        <w:rPr>
          <w:rFonts w:hint="eastAsia" w:ascii="宋体" w:hAnsi="宋体"/>
          <w:color w:val="auto"/>
          <w:szCs w:val="21"/>
          <w:highlight w:val="none"/>
        </w:rPr>
        <w:t>个的；</w:t>
      </w:r>
    </w:p>
    <w:p>
      <w:pPr>
        <w:spacing w:line="400" w:lineRule="exact"/>
        <w:ind w:firstLine="420" w:firstLineChars="200"/>
        <w:rPr>
          <w:rFonts w:ascii="宋体" w:hAnsi="宋体"/>
          <w:color w:val="auto"/>
          <w:szCs w:val="21"/>
          <w:highlight w:val="none"/>
        </w:rPr>
      </w:pPr>
      <w:r>
        <w:rPr>
          <w:rFonts w:ascii="宋体" w:hAnsi="宋体"/>
          <w:color w:val="auto"/>
          <w:szCs w:val="21"/>
          <w:highlight w:val="none"/>
        </w:rPr>
        <w:t>5.2</w:t>
      </w:r>
      <w:r>
        <w:rPr>
          <w:rFonts w:hint="eastAsia" w:ascii="宋体" w:hAnsi="宋体"/>
          <w:color w:val="auto"/>
          <w:szCs w:val="21"/>
          <w:highlight w:val="none"/>
        </w:rPr>
        <w:t>评标委员会评标过程中，单个标项有效供应商少于</w:t>
      </w:r>
      <w:r>
        <w:rPr>
          <w:rFonts w:ascii="宋体" w:hAnsi="宋体"/>
          <w:color w:val="auto"/>
          <w:szCs w:val="21"/>
          <w:highlight w:val="none"/>
        </w:rPr>
        <w:t>3</w:t>
      </w:r>
      <w:r>
        <w:rPr>
          <w:rFonts w:hint="eastAsia" w:ascii="宋体" w:hAnsi="宋体"/>
          <w:color w:val="auto"/>
          <w:szCs w:val="21"/>
          <w:highlight w:val="none"/>
        </w:rPr>
        <w:t>个的；</w:t>
      </w:r>
    </w:p>
    <w:p>
      <w:pPr>
        <w:widowControl/>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5.3</w:t>
      </w:r>
      <w:r>
        <w:rPr>
          <w:rFonts w:hint="eastAsia" w:ascii="宋体" w:hAnsi="宋体"/>
          <w:color w:val="auto"/>
          <w:szCs w:val="21"/>
          <w:highlight w:val="none"/>
        </w:rPr>
        <w:t>评标委员会发现招标文件存在歧义、重大缺陷导致评标工作无法进行，或者招标文件内容违反国家有关强制性规定的，应当停止评标工作，与采购人或者代理机构沟通并作书面记录。采购人或者代理机构确认后，应当修改招标文件，重新组织招标活动。</w:t>
      </w:r>
    </w:p>
    <w:p>
      <w:pPr>
        <w:spacing w:line="400" w:lineRule="exact"/>
        <w:rPr>
          <w:rFonts w:ascii="宋体" w:hAnsi="宋体"/>
          <w:color w:val="auto"/>
          <w:szCs w:val="21"/>
          <w:highlight w:val="none"/>
        </w:rPr>
      </w:pPr>
      <w:r>
        <w:rPr>
          <w:rFonts w:ascii="宋体" w:hAnsi="宋体"/>
          <w:color w:val="auto"/>
          <w:sz w:val="24"/>
          <w:szCs w:val="24"/>
          <w:highlight w:val="none"/>
        </w:rPr>
        <w:br w:type="page"/>
      </w:r>
      <w:r>
        <w:rPr>
          <w:rFonts w:hint="eastAsia" w:ascii="宋体" w:hAnsi="宋体"/>
          <w:color w:val="auto"/>
          <w:szCs w:val="21"/>
          <w:highlight w:val="none"/>
        </w:rPr>
        <w:t>附表</w:t>
      </w:r>
      <w:r>
        <w:rPr>
          <w:rFonts w:ascii="宋体" w:hAnsi="宋体"/>
          <w:color w:val="auto"/>
          <w:szCs w:val="21"/>
          <w:highlight w:val="none"/>
        </w:rPr>
        <w:t>1</w:t>
      </w:r>
      <w:r>
        <w:rPr>
          <w:rFonts w:hint="eastAsia" w:ascii="宋体" w:hAnsi="宋体"/>
          <w:color w:val="auto"/>
          <w:szCs w:val="21"/>
          <w:highlight w:val="none"/>
        </w:rPr>
        <w:t xml:space="preserve">：   </w:t>
      </w:r>
    </w:p>
    <w:p>
      <w:pPr>
        <w:spacing w:line="400" w:lineRule="exact"/>
        <w:jc w:val="center"/>
        <w:rPr>
          <w:rFonts w:ascii="宋体" w:hAnsi="宋体"/>
          <w:b/>
          <w:color w:val="auto"/>
          <w:szCs w:val="21"/>
          <w:highlight w:val="none"/>
        </w:rPr>
      </w:pPr>
      <w:r>
        <w:rPr>
          <w:rFonts w:hint="eastAsia" w:ascii="宋体" w:hAnsi="宋体"/>
          <w:b/>
          <w:color w:val="auto"/>
          <w:szCs w:val="21"/>
          <w:highlight w:val="none"/>
        </w:rPr>
        <w:t>资格性审查表</w:t>
      </w:r>
    </w:p>
    <w:tbl>
      <w:tblPr>
        <w:tblStyle w:val="45"/>
        <w:tblW w:w="93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5"/>
        <w:gridCol w:w="3791"/>
        <w:gridCol w:w="4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5" w:type="dxa"/>
            <w:vAlign w:val="center"/>
          </w:tcPr>
          <w:p>
            <w:pPr>
              <w:spacing w:line="400" w:lineRule="exact"/>
              <w:jc w:val="center"/>
              <w:rPr>
                <w:rFonts w:ascii="宋体" w:hAnsi="宋体"/>
                <w:b/>
                <w:color w:val="auto"/>
                <w:szCs w:val="21"/>
                <w:highlight w:val="none"/>
              </w:rPr>
            </w:pPr>
            <w:r>
              <w:rPr>
                <w:rFonts w:hint="eastAsia" w:ascii="宋体" w:hAnsi="宋体"/>
                <w:b/>
                <w:color w:val="auto"/>
                <w:szCs w:val="21"/>
                <w:highlight w:val="none"/>
              </w:rPr>
              <w:t>序号</w:t>
            </w:r>
          </w:p>
        </w:tc>
        <w:tc>
          <w:tcPr>
            <w:tcW w:w="3791" w:type="dxa"/>
            <w:vAlign w:val="center"/>
          </w:tcPr>
          <w:p>
            <w:pPr>
              <w:spacing w:line="400" w:lineRule="exact"/>
              <w:jc w:val="center"/>
              <w:rPr>
                <w:rFonts w:ascii="宋体" w:hAnsi="宋体"/>
                <w:b/>
                <w:color w:val="auto"/>
                <w:szCs w:val="21"/>
                <w:highlight w:val="none"/>
              </w:rPr>
            </w:pPr>
            <w:r>
              <w:rPr>
                <w:rFonts w:hint="eastAsia" w:ascii="宋体" w:hAnsi="宋体"/>
                <w:b/>
                <w:color w:val="auto"/>
                <w:szCs w:val="21"/>
                <w:highlight w:val="none"/>
              </w:rPr>
              <w:t>审查要求</w:t>
            </w:r>
          </w:p>
        </w:tc>
        <w:tc>
          <w:tcPr>
            <w:tcW w:w="4660" w:type="dxa"/>
            <w:vAlign w:val="center"/>
          </w:tcPr>
          <w:p>
            <w:pPr>
              <w:spacing w:line="400" w:lineRule="exact"/>
              <w:jc w:val="center"/>
              <w:rPr>
                <w:rFonts w:ascii="宋体" w:hAnsi="宋体"/>
                <w:b/>
                <w:color w:val="auto"/>
                <w:szCs w:val="21"/>
                <w:highlight w:val="none"/>
              </w:rPr>
            </w:pPr>
            <w:r>
              <w:rPr>
                <w:rFonts w:hint="eastAsia" w:ascii="宋体" w:hAnsi="宋体"/>
                <w:b/>
                <w:color w:val="auto"/>
                <w:szCs w:val="21"/>
                <w:highlight w:val="none"/>
              </w:rPr>
              <w:t>要求说明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5" w:type="dxa"/>
            <w:vAlign w:val="center"/>
          </w:tcPr>
          <w:p>
            <w:pPr>
              <w:spacing w:line="400" w:lineRule="exact"/>
              <w:jc w:val="center"/>
              <w:rPr>
                <w:rFonts w:ascii="宋体" w:hAnsi="宋体"/>
                <w:color w:val="auto"/>
                <w:szCs w:val="21"/>
                <w:highlight w:val="none"/>
              </w:rPr>
            </w:pPr>
            <w:r>
              <w:rPr>
                <w:rFonts w:ascii="宋体" w:hAnsi="宋体"/>
                <w:color w:val="auto"/>
                <w:szCs w:val="21"/>
                <w:highlight w:val="none"/>
              </w:rPr>
              <w:t>1</w:t>
            </w:r>
          </w:p>
        </w:tc>
        <w:tc>
          <w:tcPr>
            <w:tcW w:w="3791" w:type="dxa"/>
            <w:vAlign w:val="center"/>
          </w:tcPr>
          <w:p>
            <w:pPr>
              <w:spacing w:line="400" w:lineRule="exact"/>
              <w:jc w:val="left"/>
              <w:rPr>
                <w:rFonts w:ascii="宋体" w:hAnsi="宋体"/>
                <w:color w:val="auto"/>
                <w:szCs w:val="21"/>
                <w:highlight w:val="none"/>
              </w:rPr>
            </w:pPr>
            <w:r>
              <w:rPr>
                <w:rFonts w:hint="eastAsia" w:ascii="宋体" w:hAnsi="宋体" w:cs="仿宋"/>
                <w:color w:val="auto"/>
                <w:szCs w:val="21"/>
                <w:highlight w:val="none"/>
              </w:rPr>
              <w:t>满足《中华人民共和国政府采购法》第二十二条规定；</w:t>
            </w:r>
          </w:p>
        </w:tc>
        <w:tc>
          <w:tcPr>
            <w:tcW w:w="4660" w:type="dxa"/>
            <w:vAlign w:val="center"/>
          </w:tcPr>
          <w:p>
            <w:pPr>
              <w:spacing w:line="400" w:lineRule="exact"/>
              <w:jc w:val="left"/>
              <w:rPr>
                <w:rFonts w:ascii="宋体" w:hAnsi="宋体"/>
                <w:color w:val="auto"/>
                <w:szCs w:val="21"/>
                <w:highlight w:val="none"/>
              </w:rPr>
            </w:pPr>
            <w:r>
              <w:rPr>
                <w:rFonts w:hint="eastAsia" w:ascii="宋体" w:hAnsi="宋体"/>
                <w:color w:val="auto"/>
                <w:szCs w:val="21"/>
                <w:highlight w:val="none"/>
                <w:lang w:val="en-US" w:eastAsia="zh-CN"/>
              </w:rPr>
              <w:t>1、</w:t>
            </w:r>
            <w:r>
              <w:rPr>
                <w:rFonts w:hint="eastAsia" w:ascii="宋体" w:hAnsi="宋体"/>
                <w:color w:val="auto"/>
                <w:szCs w:val="21"/>
                <w:highlight w:val="none"/>
              </w:rPr>
              <w:t>关于资格的承诺函</w:t>
            </w:r>
            <w:r>
              <w:rPr>
                <w:rFonts w:hint="eastAsia" w:ascii="宋体" w:hAnsi="宋体"/>
                <w:color w:val="auto"/>
                <w:szCs w:val="21"/>
                <w:highlight w:val="none"/>
                <w:lang w:eastAsia="zh-CN"/>
              </w:rPr>
              <w:t>（附件一）</w:t>
            </w:r>
            <w:r>
              <w:rPr>
                <w:rFonts w:hint="eastAsia" w:ascii="宋体" w:hAnsi="宋体"/>
                <w:color w:val="auto"/>
                <w:szCs w:val="21"/>
                <w:highlight w:val="none"/>
              </w:rPr>
              <w:t>；</w:t>
            </w:r>
          </w:p>
          <w:p>
            <w:pPr>
              <w:spacing w:line="400" w:lineRule="exact"/>
              <w:jc w:val="left"/>
              <w:rPr>
                <w:rFonts w:ascii="宋体" w:hAnsi="宋体"/>
                <w:color w:val="auto"/>
                <w:szCs w:val="21"/>
                <w:highlight w:val="none"/>
              </w:rPr>
            </w:pPr>
            <w:r>
              <w:rPr>
                <w:rFonts w:hint="eastAsia" w:ascii="宋体" w:hAnsi="宋体"/>
                <w:color w:val="auto"/>
                <w:szCs w:val="21"/>
                <w:highlight w:val="none"/>
                <w:lang w:val="en-US" w:eastAsia="zh-CN"/>
              </w:rPr>
              <w:t>2、</w:t>
            </w:r>
            <w:r>
              <w:rPr>
                <w:rFonts w:hint="eastAsia" w:ascii="宋体" w:hAnsi="宋体"/>
                <w:color w:val="auto"/>
                <w:szCs w:val="21"/>
                <w:highlight w:val="none"/>
              </w:rPr>
              <w:t>营业执照副本（或事业法人登记证副本或其他登记证明材料）扫描件或电子营业执照加盖供应商公章（供应商如果有名称变更的，应提供由行政主管部门出具的变更证明文件扫描件加盖供应商公章）。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46" w:type="dxa"/>
            <w:gridSpan w:val="2"/>
            <w:vAlign w:val="center"/>
          </w:tcPr>
          <w:p>
            <w:pPr>
              <w:spacing w:line="400" w:lineRule="exact"/>
              <w:jc w:val="center"/>
              <w:rPr>
                <w:rFonts w:ascii="宋体" w:hAnsi="宋体"/>
                <w:color w:val="auto"/>
                <w:highlight w:val="none"/>
              </w:rPr>
            </w:pPr>
            <w:r>
              <w:rPr>
                <w:rFonts w:hint="eastAsia" w:ascii="宋体" w:hAnsi="宋体"/>
                <w:b/>
                <w:color w:val="auto"/>
                <w:szCs w:val="21"/>
                <w:highlight w:val="none"/>
              </w:rPr>
              <w:t>资格性审查结论</w:t>
            </w:r>
          </w:p>
        </w:tc>
        <w:tc>
          <w:tcPr>
            <w:tcW w:w="4660" w:type="dxa"/>
            <w:vAlign w:val="center"/>
          </w:tcPr>
          <w:p>
            <w:pPr>
              <w:spacing w:line="400" w:lineRule="exact"/>
              <w:jc w:val="center"/>
              <w:rPr>
                <w:rFonts w:ascii="宋体" w:hAnsi="宋体"/>
                <w:color w:val="auto"/>
                <w:szCs w:val="21"/>
                <w:highlight w:val="none"/>
              </w:rPr>
            </w:pPr>
          </w:p>
        </w:tc>
      </w:tr>
    </w:tbl>
    <w:p>
      <w:pPr>
        <w:spacing w:line="340" w:lineRule="exact"/>
        <w:rPr>
          <w:rFonts w:ascii="宋体" w:hAnsi="宋体"/>
          <w:b/>
          <w:color w:val="auto"/>
          <w:highlight w:val="none"/>
        </w:rPr>
      </w:pPr>
      <w:r>
        <w:rPr>
          <w:rFonts w:hint="eastAsia" w:ascii="宋体" w:hAnsi="宋体"/>
          <w:b/>
          <w:color w:val="auto"/>
          <w:highlight w:val="none"/>
        </w:rPr>
        <w:t>注：</w:t>
      </w:r>
      <w:r>
        <w:rPr>
          <w:rFonts w:ascii="宋体" w:hAnsi="宋体"/>
          <w:b/>
          <w:color w:val="auto"/>
          <w:highlight w:val="none"/>
        </w:rPr>
        <w:t>1</w:t>
      </w:r>
      <w:r>
        <w:rPr>
          <w:rFonts w:hint="eastAsia" w:ascii="宋体" w:hAnsi="宋体"/>
          <w:b/>
          <w:color w:val="auto"/>
          <w:highlight w:val="none"/>
        </w:rPr>
        <w:t>、上述资格证明文件未按招标文件要求附入投标文件中的，资格性审查不合格。</w:t>
      </w:r>
    </w:p>
    <w:p>
      <w:pPr>
        <w:spacing w:line="340" w:lineRule="exact"/>
        <w:ind w:firstLine="517" w:firstLineChars="245"/>
        <w:rPr>
          <w:rFonts w:ascii="宋体" w:hAnsi="宋体"/>
          <w:b/>
          <w:color w:val="auto"/>
          <w:highlight w:val="none"/>
        </w:rPr>
      </w:pPr>
      <w:r>
        <w:rPr>
          <w:rFonts w:ascii="宋体" w:hAnsi="宋体"/>
          <w:b/>
          <w:color w:val="auto"/>
          <w:highlight w:val="none"/>
        </w:rPr>
        <w:t>2</w:t>
      </w:r>
      <w:r>
        <w:rPr>
          <w:rFonts w:hint="eastAsia" w:ascii="宋体" w:hAnsi="宋体"/>
          <w:b/>
          <w:color w:val="auto"/>
          <w:highlight w:val="none"/>
        </w:rPr>
        <w:t>、上述审查项目中，任意一项不符合的，资格性审查不合格。</w:t>
      </w:r>
    </w:p>
    <w:p>
      <w:pPr>
        <w:spacing w:line="340" w:lineRule="exact"/>
        <w:ind w:firstLine="517" w:firstLineChars="245"/>
        <w:rPr>
          <w:rFonts w:ascii="宋体" w:hAnsi="宋体"/>
          <w:b/>
          <w:color w:val="auto"/>
          <w:highlight w:val="none"/>
        </w:rPr>
      </w:pPr>
      <w:r>
        <w:rPr>
          <w:rFonts w:hint="eastAsia" w:ascii="宋体" w:hAnsi="宋体"/>
          <w:b/>
          <w:color w:val="auto"/>
          <w:highlight w:val="none"/>
        </w:rPr>
        <w:t>3、采购人、代理机构将于开标当天通过“信用中国”网站查询供应商失信被执行人、重大税收违法案件当事人（重大税收违法失信主体）信用记录，通过中国政府采购网查询供应商政府采购严重违法失信行为信用记录。若供应商被列入失信被执行人、重大税收违法案件当事人名单（重大税收违法失信主体）、政府采购严重违法失信行为记录名单，其资格审查为不合格，其投标将被认定为无效投标。</w:t>
      </w:r>
    </w:p>
    <w:p>
      <w:pPr>
        <w:spacing w:line="340" w:lineRule="exact"/>
        <w:ind w:firstLine="517" w:firstLineChars="245"/>
        <w:rPr>
          <w:rFonts w:ascii="宋体" w:hAnsi="宋体"/>
          <w:b/>
          <w:color w:val="auto"/>
          <w:highlight w:val="none"/>
        </w:rPr>
      </w:pPr>
      <w:r>
        <w:rPr>
          <w:rFonts w:hint="eastAsia" w:ascii="宋体" w:hAnsi="宋体"/>
          <w:b/>
          <w:color w:val="auto"/>
          <w:highlight w:val="none"/>
        </w:rPr>
        <w:t>若在开标当天因不可抗力事件导致无法查询且一时无法恢复查询的，可在中标公示期间对中标候选人进行事后查询。中标候选人被列入失信被执行人、重大税收违法案件当事人名单（重大税收违法失信主体）、政府采购严重违法失信行为记录名单的，采购人将依法取消其中标资格。</w:t>
      </w:r>
    </w:p>
    <w:p>
      <w:pPr>
        <w:spacing w:line="400" w:lineRule="exact"/>
        <w:rPr>
          <w:rFonts w:ascii="宋体" w:hAnsi="宋体"/>
          <w:color w:val="auto"/>
          <w:szCs w:val="21"/>
          <w:highlight w:val="none"/>
        </w:rPr>
      </w:pPr>
      <w:r>
        <w:rPr>
          <w:rFonts w:hint="eastAsia" w:ascii="宋体" w:hAnsi="宋体"/>
          <w:color w:val="auto"/>
          <w:szCs w:val="21"/>
          <w:highlight w:val="none"/>
        </w:rPr>
        <w:t xml:space="preserve">                        </w:t>
      </w:r>
    </w:p>
    <w:p>
      <w:pPr>
        <w:spacing w:line="400" w:lineRule="exact"/>
        <w:jc w:val="center"/>
        <w:rPr>
          <w:rFonts w:ascii="宋体" w:hAnsi="宋体"/>
          <w:b/>
          <w:color w:val="auto"/>
          <w:szCs w:val="21"/>
          <w:highlight w:val="none"/>
        </w:rPr>
      </w:pPr>
    </w:p>
    <w:p>
      <w:pPr>
        <w:spacing w:line="400" w:lineRule="exact"/>
        <w:jc w:val="center"/>
        <w:rPr>
          <w:rFonts w:ascii="宋体" w:hAnsi="宋体"/>
          <w:b/>
          <w:color w:val="auto"/>
          <w:szCs w:val="21"/>
          <w:highlight w:val="none"/>
        </w:rPr>
      </w:pPr>
    </w:p>
    <w:p>
      <w:pPr>
        <w:spacing w:line="400" w:lineRule="exact"/>
        <w:jc w:val="center"/>
        <w:rPr>
          <w:rFonts w:ascii="宋体" w:hAnsi="宋体"/>
          <w:b/>
          <w:color w:val="auto"/>
          <w:szCs w:val="21"/>
          <w:highlight w:val="none"/>
        </w:rPr>
      </w:pPr>
    </w:p>
    <w:p>
      <w:pPr>
        <w:spacing w:line="400" w:lineRule="exact"/>
        <w:jc w:val="center"/>
        <w:rPr>
          <w:rFonts w:ascii="宋体" w:hAnsi="宋体"/>
          <w:b/>
          <w:color w:val="auto"/>
          <w:szCs w:val="21"/>
          <w:highlight w:val="none"/>
        </w:rPr>
      </w:pPr>
    </w:p>
    <w:p>
      <w:pPr>
        <w:spacing w:line="400" w:lineRule="exact"/>
        <w:jc w:val="center"/>
        <w:rPr>
          <w:rFonts w:ascii="宋体" w:hAnsi="宋体"/>
          <w:b/>
          <w:color w:val="auto"/>
          <w:szCs w:val="21"/>
          <w:highlight w:val="none"/>
        </w:rPr>
      </w:pPr>
    </w:p>
    <w:p>
      <w:pPr>
        <w:spacing w:line="400" w:lineRule="exact"/>
        <w:jc w:val="center"/>
        <w:rPr>
          <w:rFonts w:ascii="宋体" w:hAnsi="宋体"/>
          <w:b/>
          <w:color w:val="auto"/>
          <w:szCs w:val="21"/>
          <w:highlight w:val="none"/>
        </w:rPr>
      </w:pPr>
    </w:p>
    <w:p>
      <w:pPr>
        <w:spacing w:line="400" w:lineRule="exact"/>
        <w:jc w:val="center"/>
        <w:rPr>
          <w:rFonts w:ascii="宋体" w:hAnsi="宋体"/>
          <w:b/>
          <w:color w:val="auto"/>
          <w:szCs w:val="21"/>
          <w:highlight w:val="none"/>
        </w:rPr>
      </w:pPr>
    </w:p>
    <w:p>
      <w:pPr>
        <w:spacing w:line="340" w:lineRule="exact"/>
        <w:ind w:firstLine="517" w:firstLineChars="245"/>
        <w:rPr>
          <w:rFonts w:ascii="宋体" w:hAnsi="宋体"/>
          <w:color w:val="auto"/>
          <w:szCs w:val="21"/>
          <w:highlight w:val="none"/>
        </w:rPr>
      </w:pPr>
      <w:r>
        <w:rPr>
          <w:rFonts w:ascii="宋体" w:hAnsi="宋体"/>
          <w:b/>
          <w:color w:val="auto"/>
          <w:szCs w:val="21"/>
          <w:highlight w:val="none"/>
        </w:rPr>
        <w:br w:type="page"/>
      </w:r>
    </w:p>
    <w:p>
      <w:pPr>
        <w:spacing w:line="400" w:lineRule="exact"/>
        <w:rPr>
          <w:rFonts w:ascii="宋体" w:hAnsi="宋体"/>
          <w:color w:val="auto"/>
          <w:szCs w:val="21"/>
          <w:highlight w:val="none"/>
        </w:rPr>
      </w:pPr>
      <w:r>
        <w:rPr>
          <w:rFonts w:hint="eastAsia" w:ascii="宋体" w:hAnsi="宋体"/>
          <w:color w:val="auto"/>
          <w:szCs w:val="21"/>
          <w:highlight w:val="none"/>
        </w:rPr>
        <w:t>附表</w:t>
      </w:r>
      <w:r>
        <w:rPr>
          <w:rFonts w:ascii="宋体" w:hAnsi="宋体"/>
          <w:color w:val="auto"/>
          <w:szCs w:val="21"/>
          <w:highlight w:val="none"/>
        </w:rPr>
        <w:t>2</w:t>
      </w:r>
      <w:r>
        <w:rPr>
          <w:rFonts w:hint="eastAsia" w:ascii="宋体" w:hAnsi="宋体"/>
          <w:color w:val="auto"/>
          <w:szCs w:val="21"/>
          <w:highlight w:val="none"/>
        </w:rPr>
        <w:t>：</w:t>
      </w:r>
    </w:p>
    <w:p>
      <w:pPr>
        <w:widowControl/>
        <w:snapToGrid w:val="0"/>
        <w:spacing w:line="560" w:lineRule="exact"/>
        <w:jc w:val="center"/>
        <w:rPr>
          <w:rFonts w:ascii="宋体" w:hAnsi="宋体"/>
          <w:b/>
          <w:color w:val="auto"/>
          <w:szCs w:val="21"/>
          <w:highlight w:val="none"/>
        </w:rPr>
      </w:pPr>
      <w:r>
        <w:rPr>
          <w:rFonts w:hint="eastAsia" w:ascii="宋体" w:hAnsi="宋体"/>
          <w:b/>
          <w:color w:val="auto"/>
          <w:szCs w:val="21"/>
          <w:highlight w:val="none"/>
        </w:rPr>
        <w:t>符合性审查表</w:t>
      </w:r>
    </w:p>
    <w:tbl>
      <w:tblPr>
        <w:tblStyle w:val="45"/>
        <w:tblW w:w="94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4866"/>
        <w:gridCol w:w="38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tcPr>
          <w:p>
            <w:pPr>
              <w:spacing w:line="400" w:lineRule="exact"/>
              <w:jc w:val="center"/>
              <w:rPr>
                <w:rFonts w:ascii="宋体" w:hAnsi="宋体"/>
                <w:b/>
                <w:color w:val="auto"/>
                <w:szCs w:val="21"/>
                <w:highlight w:val="none"/>
              </w:rPr>
            </w:pPr>
            <w:r>
              <w:rPr>
                <w:rFonts w:hint="eastAsia" w:ascii="宋体" w:hAnsi="宋体"/>
                <w:b/>
                <w:color w:val="auto"/>
                <w:szCs w:val="21"/>
                <w:highlight w:val="none"/>
              </w:rPr>
              <w:t>序号</w:t>
            </w:r>
          </w:p>
        </w:tc>
        <w:tc>
          <w:tcPr>
            <w:tcW w:w="4866" w:type="dxa"/>
            <w:vAlign w:val="center"/>
          </w:tcPr>
          <w:p>
            <w:pPr>
              <w:spacing w:line="360" w:lineRule="exact"/>
              <w:jc w:val="center"/>
              <w:rPr>
                <w:rFonts w:ascii="宋体" w:hAnsi="宋体"/>
                <w:b/>
                <w:color w:val="auto"/>
                <w:szCs w:val="21"/>
                <w:highlight w:val="none"/>
              </w:rPr>
            </w:pPr>
            <w:r>
              <w:rPr>
                <w:rFonts w:hint="eastAsia" w:ascii="宋体" w:hAnsi="宋体"/>
                <w:b/>
                <w:color w:val="auto"/>
                <w:szCs w:val="21"/>
                <w:highlight w:val="none"/>
              </w:rPr>
              <w:t>要求说明</w:t>
            </w:r>
          </w:p>
        </w:tc>
        <w:tc>
          <w:tcPr>
            <w:tcW w:w="3829" w:type="dxa"/>
            <w:vAlign w:val="center"/>
          </w:tcPr>
          <w:p>
            <w:pPr>
              <w:spacing w:line="360" w:lineRule="exact"/>
              <w:jc w:val="center"/>
              <w:rPr>
                <w:rFonts w:ascii="宋体" w:hAnsi="宋体"/>
                <w:b/>
                <w:color w:val="auto"/>
                <w:szCs w:val="21"/>
                <w:highlight w:val="none"/>
              </w:rPr>
            </w:pPr>
            <w:r>
              <w:rPr>
                <w:rFonts w:hint="eastAsia" w:ascii="宋体" w:hAnsi="宋体"/>
                <w:b/>
                <w:color w:val="auto"/>
                <w:szCs w:val="21"/>
                <w:highlight w:val="none"/>
              </w:rPr>
              <w:t>审查要求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pPr>
              <w:spacing w:line="400" w:lineRule="exact"/>
              <w:jc w:val="center"/>
              <w:rPr>
                <w:rFonts w:ascii="宋体" w:hAnsi="宋体"/>
                <w:color w:val="auto"/>
                <w:szCs w:val="21"/>
                <w:highlight w:val="none"/>
              </w:rPr>
            </w:pPr>
            <w:r>
              <w:rPr>
                <w:rFonts w:ascii="宋体" w:hAnsi="宋体"/>
                <w:color w:val="auto"/>
                <w:szCs w:val="21"/>
                <w:highlight w:val="none"/>
              </w:rPr>
              <w:t>1</w:t>
            </w:r>
          </w:p>
        </w:tc>
        <w:tc>
          <w:tcPr>
            <w:tcW w:w="4866" w:type="dxa"/>
            <w:vAlign w:val="center"/>
          </w:tcPr>
          <w:p>
            <w:pPr>
              <w:snapToGrid w:val="0"/>
              <w:spacing w:line="360" w:lineRule="exact"/>
              <w:rPr>
                <w:rFonts w:ascii="宋体" w:hAnsi="宋体"/>
                <w:color w:val="auto"/>
                <w:szCs w:val="21"/>
                <w:highlight w:val="none"/>
              </w:rPr>
            </w:pPr>
            <w:r>
              <w:rPr>
                <w:rFonts w:hint="eastAsia" w:ascii="宋体" w:hAnsi="宋体"/>
                <w:color w:val="auto"/>
                <w:szCs w:val="21"/>
                <w:highlight w:val="none"/>
              </w:rPr>
              <w:t>投标有效期：符合第二章“投标须知”第六、</w:t>
            </w:r>
            <w:r>
              <w:rPr>
                <w:rFonts w:ascii="宋体" w:hAnsi="宋体"/>
                <w:color w:val="auto"/>
                <w:szCs w:val="21"/>
                <w:highlight w:val="none"/>
              </w:rPr>
              <w:t>1</w:t>
            </w:r>
            <w:r>
              <w:rPr>
                <w:rFonts w:hint="eastAsia" w:ascii="宋体" w:hAnsi="宋体"/>
                <w:color w:val="auto"/>
                <w:szCs w:val="21"/>
                <w:highlight w:val="none"/>
              </w:rPr>
              <w:t>条的要求。</w:t>
            </w:r>
          </w:p>
        </w:tc>
        <w:tc>
          <w:tcPr>
            <w:tcW w:w="3829" w:type="dxa"/>
            <w:vAlign w:val="center"/>
          </w:tcPr>
          <w:p>
            <w:pPr>
              <w:snapToGrid w:val="0"/>
              <w:spacing w:line="360" w:lineRule="exact"/>
              <w:rPr>
                <w:rFonts w:ascii="宋体" w:hAnsi="宋体"/>
                <w:color w:val="auto"/>
                <w:szCs w:val="21"/>
                <w:highlight w:val="none"/>
              </w:rPr>
            </w:pPr>
            <w:r>
              <w:rPr>
                <w:rFonts w:hint="eastAsia" w:ascii="宋体" w:hAnsi="宋体"/>
                <w:color w:val="auto"/>
                <w:szCs w:val="21"/>
                <w:highlight w:val="none"/>
              </w:rPr>
              <w:t>提供“投标书”</w:t>
            </w:r>
            <w:r>
              <w:rPr>
                <w:rFonts w:hint="eastAsia" w:ascii="宋体" w:hAnsi="宋体" w:cs="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pPr>
              <w:spacing w:line="400" w:lineRule="exact"/>
              <w:jc w:val="center"/>
              <w:rPr>
                <w:rFonts w:ascii="宋体" w:hAnsi="宋体"/>
                <w:color w:val="auto"/>
                <w:szCs w:val="21"/>
                <w:highlight w:val="none"/>
              </w:rPr>
            </w:pPr>
            <w:r>
              <w:rPr>
                <w:rFonts w:ascii="宋体" w:hAnsi="宋体"/>
                <w:color w:val="auto"/>
                <w:szCs w:val="21"/>
                <w:highlight w:val="none"/>
              </w:rPr>
              <w:t>2</w:t>
            </w:r>
          </w:p>
        </w:tc>
        <w:tc>
          <w:tcPr>
            <w:tcW w:w="4866" w:type="dxa"/>
            <w:vAlign w:val="center"/>
          </w:tcPr>
          <w:p>
            <w:pPr>
              <w:snapToGrid w:val="0"/>
              <w:spacing w:line="360" w:lineRule="exact"/>
              <w:rPr>
                <w:rFonts w:ascii="宋体" w:hAnsi="宋体"/>
                <w:color w:val="auto"/>
                <w:szCs w:val="21"/>
                <w:highlight w:val="none"/>
              </w:rPr>
            </w:pPr>
            <w:r>
              <w:rPr>
                <w:rFonts w:hint="eastAsia" w:ascii="宋体" w:hAnsi="宋体"/>
                <w:color w:val="auto"/>
                <w:szCs w:val="21"/>
                <w:highlight w:val="none"/>
              </w:rPr>
              <w:t>法定代表人身份证明、法定代表人授权书。</w:t>
            </w:r>
          </w:p>
        </w:tc>
        <w:tc>
          <w:tcPr>
            <w:tcW w:w="3829" w:type="dxa"/>
            <w:vAlign w:val="center"/>
          </w:tcPr>
          <w:p>
            <w:pPr>
              <w:snapToGrid w:val="0"/>
              <w:spacing w:line="360" w:lineRule="exact"/>
              <w:rPr>
                <w:rFonts w:ascii="宋体" w:hAnsi="宋体"/>
                <w:color w:val="auto"/>
                <w:szCs w:val="21"/>
                <w:highlight w:val="none"/>
              </w:rPr>
            </w:pPr>
            <w:r>
              <w:rPr>
                <w:rFonts w:hint="eastAsia" w:ascii="宋体" w:hAnsi="宋体"/>
                <w:color w:val="auto"/>
                <w:szCs w:val="21"/>
                <w:highlight w:val="none"/>
              </w:rPr>
              <w:t>（1）投标文件由法定代表人签字的，提供“法定代表人身份证明”</w:t>
            </w:r>
            <w:r>
              <w:rPr>
                <w:rFonts w:hint="eastAsia" w:ascii="宋体" w:hAnsi="宋体" w:cs="宋体"/>
                <w:color w:val="auto"/>
                <w:szCs w:val="21"/>
                <w:highlight w:val="none"/>
              </w:rPr>
              <w:t>。</w:t>
            </w:r>
          </w:p>
          <w:p>
            <w:pPr>
              <w:snapToGrid w:val="0"/>
              <w:spacing w:line="360" w:lineRule="exact"/>
              <w:rPr>
                <w:rFonts w:ascii="宋体" w:hAnsi="宋体"/>
                <w:color w:val="auto"/>
                <w:szCs w:val="21"/>
                <w:highlight w:val="none"/>
              </w:rPr>
            </w:pPr>
            <w:r>
              <w:rPr>
                <w:rFonts w:hint="eastAsia" w:ascii="宋体" w:hAnsi="宋体"/>
                <w:color w:val="auto"/>
                <w:szCs w:val="21"/>
                <w:highlight w:val="none"/>
              </w:rPr>
              <w:t>（2）投标文件由授权代表签字的，提供“法定代表人身份证明”和“法定代表人授权书”。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3</w:t>
            </w:r>
          </w:p>
        </w:tc>
        <w:tc>
          <w:tcPr>
            <w:tcW w:w="4866" w:type="dxa"/>
            <w:vAlign w:val="center"/>
          </w:tcPr>
          <w:p>
            <w:pPr>
              <w:snapToGrid w:val="0"/>
              <w:spacing w:line="360" w:lineRule="exact"/>
              <w:rPr>
                <w:rFonts w:ascii="宋体" w:hAnsi="宋体"/>
                <w:color w:val="auto"/>
                <w:szCs w:val="21"/>
                <w:highlight w:val="none"/>
              </w:rPr>
            </w:pPr>
            <w:r>
              <w:rPr>
                <w:rFonts w:hint="eastAsia" w:ascii="宋体" w:hAnsi="宋体"/>
                <w:color w:val="auto"/>
                <w:szCs w:val="21"/>
                <w:highlight w:val="none"/>
              </w:rPr>
              <w:t>符合第二章“投标须知”第九、</w:t>
            </w:r>
            <w:r>
              <w:rPr>
                <w:rFonts w:ascii="宋体" w:hAnsi="宋体"/>
                <w:color w:val="auto"/>
                <w:szCs w:val="21"/>
                <w:highlight w:val="none"/>
              </w:rPr>
              <w:t>1</w:t>
            </w:r>
            <w:r>
              <w:rPr>
                <w:rFonts w:hint="eastAsia" w:ascii="宋体" w:hAnsi="宋体"/>
                <w:color w:val="auto"/>
                <w:szCs w:val="21"/>
                <w:highlight w:val="none"/>
              </w:rPr>
              <w:t>条的要求。</w:t>
            </w:r>
          </w:p>
        </w:tc>
        <w:tc>
          <w:tcPr>
            <w:tcW w:w="3829" w:type="dxa"/>
            <w:vAlign w:val="center"/>
          </w:tcPr>
          <w:p>
            <w:pPr>
              <w:snapToGrid w:val="0"/>
              <w:spacing w:line="360" w:lineRule="exact"/>
              <w:rPr>
                <w:rFonts w:ascii="宋体" w:hAnsi="宋体"/>
                <w:color w:val="auto"/>
                <w:szCs w:val="21"/>
                <w:highlight w:val="none"/>
              </w:rPr>
            </w:pPr>
            <w:r>
              <w:rPr>
                <w:rFonts w:hint="eastAsia" w:ascii="宋体" w:hAnsi="宋体"/>
                <w:color w:val="auto"/>
                <w:szCs w:val="21"/>
                <w:highlight w:val="none"/>
              </w:rPr>
              <w:t>投标文件的签署盖章符合所述要求。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pPr>
              <w:spacing w:line="400" w:lineRule="exact"/>
              <w:jc w:val="center"/>
              <w:rPr>
                <w:rFonts w:hint="eastAsia" w:ascii="宋体" w:hAnsi="宋体" w:eastAsia="宋体"/>
                <w:color w:val="auto"/>
                <w:szCs w:val="21"/>
                <w:highlight w:val="none"/>
                <w:lang w:eastAsia="zh-CN"/>
              </w:rPr>
            </w:pPr>
            <w:r>
              <w:rPr>
                <w:rFonts w:hint="eastAsia" w:ascii="宋体" w:hAnsi="宋体"/>
                <w:color w:val="auto"/>
                <w:szCs w:val="21"/>
                <w:highlight w:val="none"/>
                <w:lang w:val="en-US" w:eastAsia="zh-CN"/>
              </w:rPr>
              <w:t>4</w:t>
            </w:r>
          </w:p>
        </w:tc>
        <w:tc>
          <w:tcPr>
            <w:tcW w:w="4866" w:type="dxa"/>
            <w:vAlign w:val="center"/>
          </w:tcPr>
          <w:p>
            <w:pPr>
              <w:snapToGrid w:val="0"/>
              <w:spacing w:line="360" w:lineRule="exact"/>
              <w:rPr>
                <w:rFonts w:ascii="宋体" w:hAnsi="宋体"/>
                <w:color w:val="auto"/>
                <w:szCs w:val="21"/>
                <w:highlight w:val="none"/>
              </w:rPr>
            </w:pPr>
            <w:r>
              <w:rPr>
                <w:rFonts w:hint="eastAsia" w:ascii="宋体" w:hAnsi="宋体"/>
                <w:color w:val="auto"/>
                <w:szCs w:val="21"/>
                <w:highlight w:val="none"/>
              </w:rPr>
              <w:t>对同个标项不允许提供两个投标方案。</w:t>
            </w:r>
          </w:p>
        </w:tc>
        <w:tc>
          <w:tcPr>
            <w:tcW w:w="3829" w:type="dxa"/>
            <w:vAlign w:val="center"/>
          </w:tcPr>
          <w:p>
            <w:pPr>
              <w:snapToGrid w:val="0"/>
              <w:spacing w:line="360" w:lineRule="exact"/>
              <w:rPr>
                <w:rFonts w:ascii="宋体" w:hAnsi="宋体"/>
                <w:color w:val="auto"/>
                <w:szCs w:val="21"/>
                <w:highlight w:val="none"/>
              </w:rPr>
            </w:pPr>
            <w:r>
              <w:rPr>
                <w:rFonts w:hint="eastAsia" w:ascii="宋体" w:hAnsi="宋体"/>
                <w:color w:val="auto"/>
                <w:szCs w:val="21"/>
                <w:highlight w:val="none"/>
              </w:rPr>
              <w:t>是否有两个投标方案。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pPr>
              <w:spacing w:line="400" w:lineRule="exact"/>
              <w:jc w:val="center"/>
              <w:rPr>
                <w:rFonts w:hint="eastAsia" w:ascii="宋体" w:hAnsi="宋体" w:eastAsia="宋体"/>
                <w:color w:val="auto"/>
                <w:szCs w:val="21"/>
                <w:highlight w:val="none"/>
                <w:lang w:eastAsia="zh-CN"/>
              </w:rPr>
            </w:pPr>
            <w:r>
              <w:rPr>
                <w:rFonts w:hint="eastAsia" w:ascii="宋体" w:hAnsi="宋体"/>
                <w:color w:val="auto"/>
                <w:szCs w:val="21"/>
                <w:highlight w:val="none"/>
                <w:lang w:val="en-US" w:eastAsia="zh-CN"/>
              </w:rPr>
              <w:t>5</w:t>
            </w:r>
          </w:p>
        </w:tc>
        <w:tc>
          <w:tcPr>
            <w:tcW w:w="4866" w:type="dxa"/>
            <w:vAlign w:val="center"/>
          </w:tcPr>
          <w:p>
            <w:pPr>
              <w:snapToGrid w:val="0"/>
              <w:spacing w:line="360" w:lineRule="exact"/>
              <w:rPr>
                <w:rFonts w:ascii="宋体" w:hAnsi="宋体"/>
                <w:color w:val="auto"/>
                <w:szCs w:val="21"/>
                <w:highlight w:val="none"/>
              </w:rPr>
            </w:pPr>
            <w:r>
              <w:rPr>
                <w:rFonts w:hint="eastAsia" w:ascii="宋体" w:hAnsi="宋体"/>
                <w:color w:val="auto"/>
                <w:szCs w:val="21"/>
                <w:highlight w:val="none"/>
              </w:rPr>
              <w:t>供应商不得在投标活动中提供任何虚假材料或从事其他违法活动的。</w:t>
            </w:r>
          </w:p>
        </w:tc>
        <w:tc>
          <w:tcPr>
            <w:tcW w:w="3829" w:type="dxa"/>
            <w:vAlign w:val="center"/>
          </w:tcPr>
          <w:p>
            <w:pPr>
              <w:snapToGrid w:val="0"/>
              <w:spacing w:line="360" w:lineRule="exact"/>
              <w:rPr>
                <w:rFonts w:ascii="宋体" w:hAnsi="宋体"/>
                <w:color w:val="auto"/>
                <w:szCs w:val="21"/>
                <w:highlight w:val="none"/>
              </w:rPr>
            </w:pPr>
            <w:r>
              <w:rPr>
                <w:rFonts w:hint="eastAsia" w:ascii="宋体" w:hAnsi="宋体"/>
                <w:color w:val="auto"/>
                <w:szCs w:val="21"/>
                <w:highlight w:val="none"/>
              </w:rPr>
              <w:t>不得提供任何虚假材料或从事其他违法活动。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pPr>
              <w:spacing w:line="400" w:lineRule="exact"/>
              <w:jc w:val="center"/>
              <w:rPr>
                <w:rFonts w:hint="eastAsia" w:ascii="宋体" w:hAnsi="宋体" w:eastAsia="宋体"/>
                <w:color w:val="auto"/>
                <w:szCs w:val="21"/>
                <w:highlight w:val="none"/>
                <w:lang w:eastAsia="zh-CN"/>
              </w:rPr>
            </w:pPr>
            <w:r>
              <w:rPr>
                <w:rFonts w:hint="eastAsia" w:ascii="宋体" w:hAnsi="宋体"/>
                <w:color w:val="auto"/>
                <w:szCs w:val="21"/>
                <w:highlight w:val="none"/>
                <w:lang w:val="en-US" w:eastAsia="zh-CN"/>
              </w:rPr>
              <w:t>6</w:t>
            </w:r>
          </w:p>
        </w:tc>
        <w:tc>
          <w:tcPr>
            <w:tcW w:w="4866" w:type="dxa"/>
            <w:vAlign w:val="center"/>
          </w:tcPr>
          <w:p>
            <w:pPr>
              <w:snapToGrid w:val="0"/>
              <w:spacing w:line="360" w:lineRule="exact"/>
              <w:rPr>
                <w:rFonts w:ascii="宋体" w:hAnsi="宋体"/>
                <w:color w:val="auto"/>
                <w:szCs w:val="21"/>
                <w:highlight w:val="none"/>
              </w:rPr>
            </w:pPr>
            <w:r>
              <w:rPr>
                <w:rFonts w:hint="eastAsia" w:ascii="宋体" w:hAnsi="宋体"/>
                <w:color w:val="auto"/>
                <w:szCs w:val="21"/>
                <w:highlight w:val="none"/>
              </w:rPr>
              <w:t>评标委员会经过审查，认定供应商虚假应标、串通投标的，有下列情形之一的，视为供应商串通投标：</w:t>
            </w:r>
          </w:p>
          <w:p>
            <w:pPr>
              <w:widowControl/>
              <w:snapToGrid w:val="0"/>
              <w:spacing w:line="360" w:lineRule="exact"/>
              <w:jc w:val="left"/>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1</w:t>
            </w:r>
            <w:r>
              <w:rPr>
                <w:rFonts w:hint="eastAsia" w:ascii="宋体" w:hAnsi="宋体"/>
                <w:color w:val="auto"/>
                <w:szCs w:val="21"/>
                <w:highlight w:val="none"/>
              </w:rPr>
              <w:t>）不同供应商的投标文件由同一单位或者个人编制；</w:t>
            </w:r>
          </w:p>
          <w:p>
            <w:pPr>
              <w:widowControl/>
              <w:snapToGrid w:val="0"/>
              <w:spacing w:line="360" w:lineRule="exact"/>
              <w:jc w:val="left"/>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2</w:t>
            </w:r>
            <w:r>
              <w:rPr>
                <w:rFonts w:hint="eastAsia" w:ascii="宋体" w:hAnsi="宋体"/>
                <w:color w:val="auto"/>
                <w:szCs w:val="21"/>
                <w:highlight w:val="none"/>
              </w:rPr>
              <w:t>）不同供应商委托同一单位或者个人办理投标事宜；</w:t>
            </w:r>
          </w:p>
          <w:p>
            <w:pPr>
              <w:widowControl/>
              <w:snapToGrid w:val="0"/>
              <w:spacing w:line="360" w:lineRule="exact"/>
              <w:jc w:val="left"/>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3</w:t>
            </w:r>
            <w:r>
              <w:rPr>
                <w:rFonts w:hint="eastAsia" w:ascii="宋体" w:hAnsi="宋体"/>
                <w:color w:val="auto"/>
                <w:szCs w:val="21"/>
                <w:highlight w:val="none"/>
              </w:rPr>
              <w:t>）不同供应商的投标文件载明的项目管理成员或者联系人员为同一人；</w:t>
            </w:r>
          </w:p>
          <w:p>
            <w:pPr>
              <w:widowControl/>
              <w:snapToGrid w:val="0"/>
              <w:spacing w:line="360" w:lineRule="exact"/>
              <w:jc w:val="left"/>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4</w:t>
            </w:r>
            <w:r>
              <w:rPr>
                <w:rFonts w:hint="eastAsia" w:ascii="宋体" w:hAnsi="宋体"/>
                <w:color w:val="auto"/>
                <w:szCs w:val="21"/>
                <w:highlight w:val="none"/>
              </w:rPr>
              <w:t>）不同供应商的投标文件异常一致或者投标报价呈规律性差异；</w:t>
            </w:r>
          </w:p>
          <w:p>
            <w:pPr>
              <w:widowControl/>
              <w:snapToGrid w:val="0"/>
              <w:spacing w:line="360" w:lineRule="exact"/>
              <w:jc w:val="left"/>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5</w:t>
            </w:r>
            <w:r>
              <w:rPr>
                <w:rFonts w:hint="eastAsia" w:ascii="宋体" w:hAnsi="宋体"/>
                <w:color w:val="auto"/>
                <w:szCs w:val="21"/>
                <w:highlight w:val="none"/>
              </w:rPr>
              <w:t>）不同供应商的投标文件相互混装。</w:t>
            </w:r>
          </w:p>
        </w:tc>
        <w:tc>
          <w:tcPr>
            <w:tcW w:w="3829" w:type="dxa"/>
            <w:vAlign w:val="center"/>
          </w:tcPr>
          <w:p>
            <w:pPr>
              <w:snapToGrid w:val="0"/>
              <w:spacing w:line="360" w:lineRule="exact"/>
              <w:rPr>
                <w:rFonts w:ascii="宋体" w:hAnsi="宋体"/>
                <w:color w:val="auto"/>
                <w:szCs w:val="21"/>
                <w:highlight w:val="none"/>
              </w:rPr>
            </w:pPr>
            <w:r>
              <w:rPr>
                <w:rFonts w:hint="eastAsia" w:ascii="宋体" w:hAnsi="宋体"/>
                <w:color w:val="auto"/>
                <w:szCs w:val="21"/>
                <w:highlight w:val="none"/>
              </w:rPr>
              <w:t>不得有所述情形。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pPr>
              <w:spacing w:line="400" w:lineRule="exact"/>
              <w:jc w:val="center"/>
              <w:rPr>
                <w:rFonts w:hint="eastAsia" w:ascii="宋体" w:hAnsi="宋体" w:eastAsia="宋体"/>
                <w:color w:val="auto"/>
                <w:szCs w:val="21"/>
                <w:highlight w:val="none"/>
                <w:lang w:eastAsia="zh-CN"/>
              </w:rPr>
            </w:pPr>
            <w:r>
              <w:rPr>
                <w:rFonts w:hint="eastAsia" w:ascii="宋体" w:hAnsi="宋体"/>
                <w:color w:val="auto"/>
                <w:szCs w:val="21"/>
                <w:highlight w:val="none"/>
                <w:lang w:val="en-US" w:eastAsia="zh-CN"/>
              </w:rPr>
              <w:t>7</w:t>
            </w:r>
          </w:p>
        </w:tc>
        <w:tc>
          <w:tcPr>
            <w:tcW w:w="4866" w:type="dxa"/>
            <w:vAlign w:val="center"/>
          </w:tcPr>
          <w:p>
            <w:pPr>
              <w:snapToGrid w:val="0"/>
              <w:spacing w:line="360" w:lineRule="exact"/>
              <w:rPr>
                <w:rFonts w:ascii="宋体" w:hAnsi="宋体"/>
                <w:color w:val="auto"/>
                <w:szCs w:val="21"/>
                <w:highlight w:val="none"/>
              </w:rPr>
            </w:pPr>
            <w:r>
              <w:rPr>
                <w:rFonts w:hint="eastAsia" w:ascii="宋体" w:hAnsi="宋体"/>
                <w:color w:val="auto"/>
                <w:szCs w:val="21"/>
                <w:highlight w:val="none"/>
              </w:rPr>
              <w:t>符合法律、法规和招标文件中规定的其他实质性要求（实质性要求招标文件中“</w:t>
            </w:r>
            <w:r>
              <w:rPr>
                <w:rFonts w:hint="eastAsia" w:ascii="宋体" w:hAnsi="宋体"/>
                <w:b/>
                <w:color w:val="auto"/>
                <w:sz w:val="24"/>
                <w:highlight w:val="none"/>
              </w:rPr>
              <w:t>▲</w:t>
            </w:r>
            <w:r>
              <w:rPr>
                <w:rFonts w:hint="eastAsia" w:ascii="宋体" w:hAnsi="宋体"/>
                <w:color w:val="auto"/>
                <w:szCs w:val="21"/>
                <w:highlight w:val="none"/>
              </w:rPr>
              <w:t>”标记）。</w:t>
            </w:r>
          </w:p>
        </w:tc>
        <w:tc>
          <w:tcPr>
            <w:tcW w:w="3829" w:type="dxa"/>
            <w:vAlign w:val="center"/>
          </w:tcPr>
          <w:p>
            <w:pPr>
              <w:snapToGrid w:val="0"/>
              <w:spacing w:line="360" w:lineRule="exact"/>
              <w:rPr>
                <w:rFonts w:ascii="宋体" w:hAnsi="宋体"/>
                <w:color w:val="auto"/>
                <w:szCs w:val="21"/>
                <w:highlight w:val="none"/>
              </w:rPr>
            </w:pPr>
            <w:r>
              <w:rPr>
                <w:rFonts w:hint="eastAsia" w:ascii="宋体" w:hAnsi="宋体"/>
                <w:color w:val="auto"/>
                <w:szCs w:val="21"/>
                <w:highlight w:val="none"/>
              </w:rPr>
              <w:t>符合所述要求。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pPr>
              <w:spacing w:line="400" w:lineRule="exact"/>
              <w:jc w:val="center"/>
              <w:rPr>
                <w:rFonts w:hint="eastAsia" w:ascii="宋体" w:hAnsi="宋体" w:eastAsia="宋体"/>
                <w:color w:val="auto"/>
                <w:szCs w:val="21"/>
                <w:highlight w:val="none"/>
                <w:lang w:eastAsia="zh-CN"/>
              </w:rPr>
            </w:pPr>
            <w:r>
              <w:rPr>
                <w:rFonts w:hint="eastAsia" w:ascii="宋体" w:hAnsi="宋体"/>
                <w:color w:val="auto"/>
                <w:szCs w:val="21"/>
                <w:highlight w:val="none"/>
                <w:lang w:val="en-US" w:eastAsia="zh-CN"/>
              </w:rPr>
              <w:t>8</w:t>
            </w:r>
          </w:p>
        </w:tc>
        <w:tc>
          <w:tcPr>
            <w:tcW w:w="4866" w:type="dxa"/>
            <w:vAlign w:val="center"/>
          </w:tcPr>
          <w:p>
            <w:pPr>
              <w:snapToGrid w:val="0"/>
              <w:spacing w:line="360" w:lineRule="exact"/>
              <w:rPr>
                <w:rFonts w:ascii="宋体" w:hAnsi="宋体"/>
                <w:color w:val="auto"/>
                <w:szCs w:val="21"/>
                <w:highlight w:val="none"/>
              </w:rPr>
            </w:pPr>
            <w:r>
              <w:rPr>
                <w:rFonts w:hint="eastAsia" w:ascii="宋体" w:hAnsi="宋体"/>
                <w:color w:val="auto"/>
                <w:szCs w:val="21"/>
                <w:highlight w:val="none"/>
              </w:rPr>
              <w:t>本项目不接受联合体投标。</w:t>
            </w:r>
          </w:p>
        </w:tc>
        <w:tc>
          <w:tcPr>
            <w:tcW w:w="3829" w:type="dxa"/>
            <w:vAlign w:val="center"/>
          </w:tcPr>
          <w:p>
            <w:pPr>
              <w:snapToGrid w:val="0"/>
              <w:spacing w:line="360" w:lineRule="exact"/>
              <w:rPr>
                <w:rFonts w:ascii="宋体" w:hAnsi="宋体"/>
                <w:color w:val="auto"/>
                <w:szCs w:val="21"/>
                <w:highlight w:val="none"/>
              </w:rPr>
            </w:pPr>
            <w:r>
              <w:rPr>
                <w:rFonts w:hint="eastAsia" w:ascii="宋体" w:hAnsi="宋体"/>
                <w:color w:val="auto"/>
                <w:szCs w:val="21"/>
                <w:highlight w:val="none"/>
              </w:rPr>
              <w:t>供应商非联合体。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586" w:type="dxa"/>
            <w:gridSpan w:val="2"/>
            <w:vAlign w:val="center"/>
          </w:tcPr>
          <w:p>
            <w:pPr>
              <w:spacing w:line="400" w:lineRule="exact"/>
              <w:jc w:val="center"/>
              <w:rPr>
                <w:rFonts w:ascii="宋体" w:hAnsi="宋体"/>
                <w:color w:val="auto"/>
                <w:szCs w:val="21"/>
                <w:highlight w:val="none"/>
              </w:rPr>
            </w:pPr>
            <w:r>
              <w:rPr>
                <w:rFonts w:hint="eastAsia" w:ascii="宋体" w:hAnsi="宋体"/>
                <w:b/>
                <w:color w:val="auto"/>
                <w:szCs w:val="21"/>
                <w:highlight w:val="none"/>
              </w:rPr>
              <w:t>符合性审查结论</w:t>
            </w:r>
          </w:p>
        </w:tc>
        <w:tc>
          <w:tcPr>
            <w:tcW w:w="3829" w:type="dxa"/>
            <w:vAlign w:val="center"/>
          </w:tcPr>
          <w:p>
            <w:pPr>
              <w:spacing w:line="400" w:lineRule="exact"/>
              <w:rPr>
                <w:rFonts w:ascii="宋体" w:hAnsi="宋体"/>
                <w:color w:val="auto"/>
                <w:szCs w:val="21"/>
                <w:highlight w:val="none"/>
              </w:rPr>
            </w:pPr>
          </w:p>
        </w:tc>
      </w:tr>
    </w:tbl>
    <w:p>
      <w:pPr>
        <w:spacing w:line="400" w:lineRule="exact"/>
        <w:rPr>
          <w:rFonts w:ascii="宋体" w:hAnsi="宋体"/>
          <w:b/>
          <w:color w:val="auto"/>
          <w:highlight w:val="none"/>
        </w:rPr>
      </w:pPr>
      <w:r>
        <w:rPr>
          <w:rFonts w:hint="eastAsia" w:ascii="宋体" w:hAnsi="宋体"/>
          <w:b/>
          <w:color w:val="auto"/>
          <w:highlight w:val="none"/>
        </w:rPr>
        <w:t>注：</w:t>
      </w:r>
      <w:r>
        <w:rPr>
          <w:rFonts w:ascii="宋体" w:hAnsi="宋体"/>
          <w:b/>
          <w:color w:val="auto"/>
          <w:highlight w:val="none"/>
        </w:rPr>
        <w:t>1</w:t>
      </w:r>
      <w:r>
        <w:rPr>
          <w:rFonts w:hint="eastAsia" w:ascii="宋体" w:hAnsi="宋体"/>
          <w:b/>
          <w:color w:val="auto"/>
          <w:highlight w:val="none"/>
        </w:rPr>
        <w:t>、上述审查项目中，任意一项不符合的，符合性审查不合格。</w:t>
      </w:r>
    </w:p>
    <w:p>
      <w:pPr>
        <w:spacing w:line="400" w:lineRule="exact"/>
        <w:rPr>
          <w:rFonts w:ascii="宋体" w:hAnsi="宋体"/>
          <w:color w:val="auto"/>
          <w:szCs w:val="21"/>
          <w:highlight w:val="none"/>
        </w:rPr>
      </w:pPr>
      <w:r>
        <w:rPr>
          <w:rFonts w:hint="eastAsia" w:ascii="宋体" w:hAnsi="宋体"/>
          <w:b/>
          <w:color w:val="auto"/>
          <w:highlight w:val="none"/>
        </w:rPr>
        <w:t xml:space="preserve">    2、序号3-序号</w:t>
      </w:r>
      <w:r>
        <w:rPr>
          <w:rFonts w:hint="eastAsia" w:ascii="宋体" w:hAnsi="宋体"/>
          <w:b/>
          <w:color w:val="auto"/>
          <w:highlight w:val="none"/>
          <w:lang w:val="en-US" w:eastAsia="zh-CN"/>
        </w:rPr>
        <w:t>8</w:t>
      </w:r>
      <w:r>
        <w:rPr>
          <w:rFonts w:hint="eastAsia" w:ascii="宋体" w:hAnsi="宋体"/>
          <w:b/>
          <w:color w:val="auto"/>
          <w:highlight w:val="none"/>
        </w:rPr>
        <w:t>在政采云上无须添加关联点。</w:t>
      </w:r>
      <w:r>
        <w:rPr>
          <w:rFonts w:ascii="宋体" w:hAnsi="宋体"/>
          <w:color w:val="auto"/>
          <w:szCs w:val="21"/>
          <w:highlight w:val="none"/>
        </w:rPr>
        <w:br w:type="page"/>
      </w:r>
    </w:p>
    <w:p>
      <w:pPr>
        <w:spacing w:line="400" w:lineRule="exact"/>
        <w:jc w:val="left"/>
        <w:rPr>
          <w:rFonts w:ascii="宋体" w:hAnsi="宋体"/>
          <w:color w:val="auto"/>
          <w:szCs w:val="21"/>
          <w:highlight w:val="none"/>
        </w:rPr>
      </w:pPr>
      <w:r>
        <w:rPr>
          <w:rFonts w:hint="eastAsia" w:ascii="宋体" w:hAnsi="宋体"/>
          <w:color w:val="auto"/>
          <w:szCs w:val="21"/>
          <w:highlight w:val="none"/>
        </w:rPr>
        <w:t>附表</w:t>
      </w:r>
      <w:r>
        <w:rPr>
          <w:rFonts w:ascii="宋体" w:hAnsi="宋体"/>
          <w:color w:val="auto"/>
          <w:szCs w:val="21"/>
          <w:highlight w:val="none"/>
        </w:rPr>
        <w:t>3</w:t>
      </w:r>
      <w:r>
        <w:rPr>
          <w:rFonts w:hint="eastAsia" w:ascii="宋体" w:hAnsi="宋体"/>
          <w:color w:val="auto"/>
          <w:szCs w:val="21"/>
          <w:highlight w:val="none"/>
        </w:rPr>
        <w:t xml:space="preserve">：                         </w:t>
      </w:r>
      <w:r>
        <w:rPr>
          <w:rFonts w:hint="eastAsia" w:ascii="宋体" w:hAnsi="宋体"/>
          <w:b/>
          <w:color w:val="auto"/>
          <w:szCs w:val="21"/>
          <w:highlight w:val="none"/>
        </w:rPr>
        <w:t>商务和技术评分表</w:t>
      </w:r>
    </w:p>
    <w:p>
      <w:pPr>
        <w:widowControl/>
        <w:spacing w:line="400" w:lineRule="exact"/>
        <w:jc w:val="left"/>
        <w:rPr>
          <w:rFonts w:hint="eastAsia" w:ascii="宋体" w:hAnsi="宋体" w:eastAsia="宋体"/>
          <w:b/>
          <w:color w:val="auto"/>
          <w:szCs w:val="21"/>
          <w:highlight w:val="none"/>
          <w:lang w:eastAsia="zh-CN"/>
        </w:rPr>
      </w:pPr>
      <w:r>
        <w:rPr>
          <w:rFonts w:hint="eastAsia" w:ascii="宋体" w:hAnsi="宋体"/>
          <w:b/>
          <w:color w:val="auto"/>
          <w:szCs w:val="21"/>
          <w:highlight w:val="none"/>
        </w:rPr>
        <w:t>项目编号：330282202311009365</w:t>
      </w:r>
      <w:r>
        <w:rPr>
          <w:rFonts w:hint="eastAsia" w:ascii="宋体" w:hAnsi="宋体"/>
          <w:b/>
          <w:color w:val="auto"/>
          <w:szCs w:val="21"/>
          <w:highlight w:val="none"/>
          <w:lang w:val="en-US" w:eastAsia="zh-CN"/>
        </w:rPr>
        <w:t xml:space="preserve"> </w:t>
      </w:r>
      <w:r>
        <w:rPr>
          <w:rFonts w:ascii="宋体" w:hAnsi="宋体"/>
          <w:b/>
          <w:color w:val="auto"/>
          <w:szCs w:val="21"/>
          <w:highlight w:val="none"/>
        </w:rPr>
        <w:t xml:space="preserve">                                       </w:t>
      </w:r>
      <w:r>
        <w:rPr>
          <w:rFonts w:hint="eastAsia" w:ascii="宋体" w:hAnsi="宋体"/>
          <w:b/>
          <w:color w:val="auto"/>
          <w:szCs w:val="21"/>
          <w:highlight w:val="none"/>
        </w:rPr>
        <w:t>标项</w:t>
      </w:r>
      <w:r>
        <w:rPr>
          <w:rFonts w:hint="eastAsia" w:ascii="宋体" w:hAnsi="宋体"/>
          <w:b/>
          <w:color w:val="auto"/>
          <w:szCs w:val="21"/>
          <w:highlight w:val="none"/>
          <w:lang w:val="en-US" w:eastAsia="zh-CN"/>
        </w:rPr>
        <w:t>1</w:t>
      </w:r>
    </w:p>
    <w:tbl>
      <w:tblPr>
        <w:tblStyle w:val="45"/>
        <w:tblW w:w="99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
        <w:gridCol w:w="8236"/>
        <w:gridCol w:w="7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blHeader/>
          <w:jc w:val="center"/>
        </w:trPr>
        <w:tc>
          <w:tcPr>
            <w:tcW w:w="9193" w:type="dxa"/>
            <w:gridSpan w:val="2"/>
            <w:tcBorders>
              <w:tl2br w:val="single" w:color="000000" w:sz="4" w:space="0"/>
            </w:tcBorders>
          </w:tcPr>
          <w:p>
            <w:pPr>
              <w:spacing w:line="400" w:lineRule="exact"/>
              <w:jc w:val="right"/>
              <w:rPr>
                <w:rFonts w:ascii="宋体" w:hAnsi="宋体"/>
                <w:color w:val="auto"/>
                <w:szCs w:val="21"/>
                <w:highlight w:val="none"/>
              </w:rPr>
            </w:pPr>
            <w:r>
              <w:rPr>
                <w:rFonts w:hint="eastAsia" w:ascii="宋体" w:hAnsi="宋体"/>
                <w:color w:val="auto"/>
                <w:szCs w:val="21"/>
                <w:highlight w:val="none"/>
              </w:rPr>
              <w:t>供应商</w:t>
            </w:r>
          </w:p>
          <w:p>
            <w:pPr>
              <w:spacing w:line="400" w:lineRule="exact"/>
              <w:rPr>
                <w:rFonts w:ascii="宋体" w:hAnsi="宋体"/>
                <w:color w:val="auto"/>
                <w:szCs w:val="21"/>
                <w:highlight w:val="none"/>
                <w:lang w:val="ru-RU"/>
              </w:rPr>
            </w:pPr>
            <w:r>
              <w:rPr>
                <w:rFonts w:hint="eastAsia" w:ascii="宋体" w:hAnsi="宋体"/>
                <w:color w:val="auto"/>
                <w:szCs w:val="21"/>
                <w:highlight w:val="none"/>
              </w:rPr>
              <w:t>分值</w:t>
            </w:r>
          </w:p>
        </w:tc>
        <w:tc>
          <w:tcPr>
            <w:tcW w:w="781" w:type="dxa"/>
            <w:vAlign w:val="center"/>
          </w:tcPr>
          <w:p>
            <w:pPr>
              <w:spacing w:line="400" w:lineRule="exact"/>
              <w:jc w:val="center"/>
              <w:rPr>
                <w:rFonts w:ascii="宋体" w:hAnsi="宋体"/>
                <w:color w:val="auto"/>
                <w:szCs w:val="21"/>
                <w:highlight w:val="none"/>
                <w:lang w:val="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57" w:type="dxa"/>
            <w:vMerge w:val="restart"/>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技术商务分65分</w:t>
            </w:r>
          </w:p>
        </w:tc>
        <w:tc>
          <w:tcPr>
            <w:tcW w:w="8236" w:type="dxa"/>
            <w:vAlign w:val="center"/>
          </w:tcPr>
          <w:p>
            <w:pPr>
              <w:spacing w:line="400" w:lineRule="exact"/>
              <w:rPr>
                <w:rFonts w:hint="eastAsia" w:ascii="宋体" w:hAnsi="宋体" w:cs="宋体"/>
                <w:b/>
                <w:color w:val="auto"/>
                <w:szCs w:val="21"/>
                <w:highlight w:val="none"/>
              </w:rPr>
            </w:pPr>
            <w:r>
              <w:rPr>
                <w:rFonts w:hint="eastAsia" w:ascii="宋体" w:hAnsi="宋体" w:cs="宋体"/>
                <w:b/>
                <w:color w:val="auto"/>
                <w:szCs w:val="21"/>
                <w:highlight w:val="none"/>
              </w:rPr>
              <w:t>1、</w:t>
            </w:r>
            <w:r>
              <w:rPr>
                <w:rFonts w:hint="eastAsia" w:ascii="宋体" w:hAnsi="宋体" w:cs="宋体"/>
                <w:b/>
                <w:color w:val="auto"/>
                <w:szCs w:val="21"/>
                <w:highlight w:val="none"/>
                <w:lang w:eastAsia="zh-CN"/>
              </w:rPr>
              <w:t>技术</w:t>
            </w:r>
            <w:r>
              <w:rPr>
                <w:rFonts w:hint="eastAsia" w:ascii="宋体" w:hAnsi="宋体" w:cs="宋体"/>
                <w:b/>
                <w:color w:val="auto"/>
                <w:szCs w:val="21"/>
                <w:highlight w:val="none"/>
              </w:rPr>
              <w:t>响应性（</w:t>
            </w:r>
            <w:r>
              <w:rPr>
                <w:rFonts w:hint="eastAsia" w:ascii="宋体" w:hAnsi="宋体" w:cs="宋体"/>
                <w:b/>
                <w:color w:val="auto"/>
                <w:szCs w:val="21"/>
                <w:highlight w:val="none"/>
                <w:lang w:val="en-US" w:eastAsia="zh-CN"/>
              </w:rPr>
              <w:t>22</w:t>
            </w:r>
            <w:r>
              <w:rPr>
                <w:rFonts w:hint="eastAsia" w:ascii="宋体" w:hAnsi="宋体" w:cs="宋体"/>
                <w:b/>
                <w:color w:val="auto"/>
                <w:szCs w:val="21"/>
                <w:highlight w:val="none"/>
              </w:rPr>
              <w:t>分）：</w:t>
            </w:r>
          </w:p>
          <w:p>
            <w:pPr>
              <w:spacing w:line="400" w:lineRule="exact"/>
              <w:rPr>
                <w:rFonts w:ascii="宋体" w:hAnsi="宋体"/>
                <w:color w:val="auto"/>
                <w:szCs w:val="21"/>
                <w:highlight w:val="none"/>
              </w:rPr>
            </w:pPr>
            <w:r>
              <w:rPr>
                <w:rFonts w:hint="eastAsia" w:ascii="宋体" w:hAnsi="宋体"/>
                <w:color w:val="auto"/>
                <w:szCs w:val="21"/>
                <w:highlight w:val="none"/>
              </w:rPr>
              <w:t>（1）完全响应招标文件“</w:t>
            </w:r>
            <w:r>
              <w:rPr>
                <w:rFonts w:hint="eastAsia" w:ascii="宋体" w:hAnsi="宋体" w:eastAsia="宋体" w:cs="宋体"/>
                <w:color w:val="auto"/>
                <w:szCs w:val="21"/>
                <w:highlight w:val="none"/>
                <w:lang w:eastAsia="zh-CN"/>
              </w:rPr>
              <w:t>第五章</w:t>
            </w:r>
            <w:r>
              <w:rPr>
                <w:rFonts w:hint="eastAsia" w:ascii="宋体" w:hAnsi="宋体" w:eastAsia="宋体" w:cs="宋体"/>
                <w:color w:val="auto"/>
                <w:szCs w:val="21"/>
                <w:highlight w:val="none"/>
                <w:lang w:val="en-US" w:eastAsia="zh-CN"/>
              </w:rPr>
              <w:t>3.</w:t>
            </w:r>
            <w:r>
              <w:rPr>
                <w:rFonts w:hint="eastAsia" w:ascii="宋体" w:hAnsi="宋体" w:eastAsia="宋体" w:cs="宋体"/>
                <w:b/>
                <w:bCs/>
                <w:color w:val="auto"/>
                <w:kern w:val="0"/>
                <w:szCs w:val="21"/>
                <w:highlight w:val="none"/>
              </w:rPr>
              <w:t>技术参数</w:t>
            </w:r>
            <w:r>
              <w:rPr>
                <w:rFonts w:hint="eastAsia" w:ascii="宋体" w:hAnsi="宋体"/>
                <w:color w:val="auto"/>
                <w:szCs w:val="21"/>
                <w:highlight w:val="none"/>
              </w:rPr>
              <w:t>”所有指标的得</w:t>
            </w:r>
            <w:r>
              <w:rPr>
                <w:rFonts w:hint="eastAsia" w:ascii="宋体" w:hAnsi="宋体"/>
                <w:color w:val="auto"/>
                <w:szCs w:val="21"/>
                <w:highlight w:val="none"/>
                <w:lang w:val="en-US" w:eastAsia="zh-CN"/>
              </w:rPr>
              <w:t>22</w:t>
            </w:r>
            <w:r>
              <w:rPr>
                <w:rFonts w:hint="eastAsia" w:ascii="宋体" w:hAnsi="宋体"/>
                <w:color w:val="auto"/>
                <w:szCs w:val="21"/>
                <w:highlight w:val="none"/>
              </w:rPr>
              <w:t>分。</w:t>
            </w:r>
          </w:p>
          <w:p>
            <w:pPr>
              <w:spacing w:line="400" w:lineRule="exact"/>
              <w:rPr>
                <w:rFonts w:ascii="宋体" w:hAnsi="宋体"/>
                <w:color w:val="auto"/>
                <w:szCs w:val="21"/>
                <w:highlight w:val="none"/>
              </w:rPr>
            </w:pPr>
            <w:r>
              <w:rPr>
                <w:rFonts w:hint="eastAsia" w:ascii="宋体" w:hAnsi="宋体"/>
                <w:color w:val="auto"/>
                <w:szCs w:val="21"/>
                <w:highlight w:val="none"/>
              </w:rPr>
              <w:t>（2）标“▲”的指标不符合的，作无效标处理。</w:t>
            </w:r>
          </w:p>
          <w:p>
            <w:pPr>
              <w:spacing w:line="400" w:lineRule="exact"/>
              <w:rPr>
                <w:rFonts w:ascii="宋体" w:hAnsi="宋体"/>
                <w:color w:val="auto"/>
                <w:szCs w:val="21"/>
                <w:highlight w:val="none"/>
              </w:rPr>
            </w:pPr>
            <w:r>
              <w:rPr>
                <w:rFonts w:hint="eastAsia" w:ascii="宋体" w:hAnsi="宋体"/>
                <w:color w:val="auto"/>
                <w:szCs w:val="21"/>
                <w:highlight w:val="none"/>
              </w:rPr>
              <w:t>（3）每负偏离一条标“★”指标（共计</w:t>
            </w:r>
            <w:r>
              <w:rPr>
                <w:rFonts w:hint="eastAsia" w:ascii="宋体" w:hAnsi="宋体"/>
                <w:color w:val="auto"/>
                <w:szCs w:val="21"/>
                <w:highlight w:val="none"/>
                <w:lang w:val="en-US" w:eastAsia="zh-CN"/>
              </w:rPr>
              <w:t>6</w:t>
            </w:r>
            <w:r>
              <w:rPr>
                <w:rFonts w:hint="eastAsia" w:ascii="宋体" w:hAnsi="宋体"/>
                <w:color w:val="auto"/>
                <w:szCs w:val="21"/>
                <w:highlight w:val="none"/>
              </w:rPr>
              <w:t>条）的扣</w:t>
            </w:r>
            <w:r>
              <w:rPr>
                <w:rFonts w:hint="eastAsia" w:ascii="宋体" w:hAnsi="宋体"/>
                <w:color w:val="auto"/>
                <w:szCs w:val="21"/>
                <w:highlight w:val="none"/>
                <w:lang w:val="en-US" w:eastAsia="zh-CN"/>
              </w:rPr>
              <w:t>2</w:t>
            </w:r>
            <w:r>
              <w:rPr>
                <w:rFonts w:hint="eastAsia" w:ascii="宋体" w:hAnsi="宋体"/>
                <w:color w:val="auto"/>
                <w:szCs w:val="21"/>
                <w:highlight w:val="none"/>
              </w:rPr>
              <w:t>分。</w:t>
            </w:r>
          </w:p>
          <w:p>
            <w:pPr>
              <w:widowControl/>
              <w:spacing w:line="400" w:lineRule="exact"/>
              <w:textAlignment w:val="center"/>
              <w:rPr>
                <w:rFonts w:ascii="宋体" w:hAnsi="宋体"/>
                <w:color w:val="auto"/>
                <w:szCs w:val="21"/>
                <w:highlight w:val="none"/>
              </w:rPr>
            </w:pPr>
            <w:r>
              <w:rPr>
                <w:rFonts w:hint="eastAsia" w:ascii="宋体" w:hAnsi="宋体"/>
                <w:color w:val="auto"/>
                <w:szCs w:val="21"/>
                <w:highlight w:val="none"/>
              </w:rPr>
              <w:t>（4）每负偏离一条未标“▲”和“★”指标（共计</w:t>
            </w:r>
            <w:r>
              <w:rPr>
                <w:rFonts w:hint="eastAsia" w:ascii="宋体" w:hAnsi="宋体"/>
                <w:color w:val="auto"/>
                <w:szCs w:val="21"/>
                <w:highlight w:val="none"/>
                <w:lang w:val="en-US" w:eastAsia="zh-CN"/>
              </w:rPr>
              <w:t>20</w:t>
            </w:r>
            <w:r>
              <w:rPr>
                <w:rFonts w:hint="eastAsia" w:ascii="宋体" w:hAnsi="宋体"/>
                <w:color w:val="auto"/>
                <w:szCs w:val="21"/>
                <w:highlight w:val="none"/>
              </w:rPr>
              <w:t>条）的扣</w:t>
            </w:r>
            <w:r>
              <w:rPr>
                <w:rFonts w:hint="eastAsia" w:ascii="宋体" w:hAnsi="宋体"/>
                <w:color w:val="auto"/>
                <w:szCs w:val="21"/>
                <w:highlight w:val="none"/>
                <w:lang w:val="en-US" w:eastAsia="zh-CN"/>
              </w:rPr>
              <w:t>0.5</w:t>
            </w:r>
            <w:r>
              <w:rPr>
                <w:rFonts w:hint="eastAsia" w:ascii="宋体" w:hAnsi="宋体"/>
                <w:color w:val="auto"/>
                <w:szCs w:val="21"/>
                <w:highlight w:val="none"/>
              </w:rPr>
              <w:t>分。</w:t>
            </w:r>
          </w:p>
        </w:tc>
        <w:tc>
          <w:tcPr>
            <w:tcW w:w="781" w:type="dxa"/>
            <w:vAlign w:val="center"/>
          </w:tcPr>
          <w:p>
            <w:pPr>
              <w:spacing w:line="400" w:lineRule="exact"/>
              <w:jc w:val="center"/>
              <w:rPr>
                <w:rFonts w:hint="eastAsia" w:ascii="宋体" w:hAnsi="宋体" w:eastAsia="宋体"/>
                <w:color w:val="auto"/>
                <w:szCs w:val="21"/>
                <w:highlight w:val="none"/>
                <w:lang w:eastAsia="zh-CN"/>
              </w:rPr>
            </w:pPr>
            <w:r>
              <w:rPr>
                <w:rFonts w:ascii="宋体" w:hAnsi="宋体"/>
                <w:color w:val="auto"/>
                <w:szCs w:val="21"/>
                <w:highlight w:val="none"/>
              </w:rPr>
              <w:t>2</w:t>
            </w:r>
            <w:r>
              <w:rPr>
                <w:rFonts w:hint="eastAsia" w:ascii="宋体" w:hAnsi="宋体"/>
                <w:color w:val="auto"/>
                <w:szCs w:val="21"/>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57" w:type="dxa"/>
            <w:vMerge w:val="continue"/>
            <w:vAlign w:val="center"/>
          </w:tcPr>
          <w:p>
            <w:pPr>
              <w:spacing w:line="400" w:lineRule="exact"/>
              <w:jc w:val="center"/>
              <w:rPr>
                <w:rFonts w:ascii="宋体" w:hAnsi="宋体"/>
                <w:color w:val="auto"/>
                <w:szCs w:val="21"/>
                <w:highlight w:val="none"/>
              </w:rPr>
            </w:pPr>
          </w:p>
        </w:tc>
        <w:tc>
          <w:tcPr>
            <w:tcW w:w="8236" w:type="dxa"/>
            <w:vAlign w:val="center"/>
          </w:tcPr>
          <w:p>
            <w:pPr>
              <w:spacing w:line="320" w:lineRule="exact"/>
              <w:rPr>
                <w:rFonts w:hint="eastAsia" w:ascii="宋体" w:hAnsi="宋体" w:cs="宋体"/>
                <w:color w:val="auto"/>
                <w:szCs w:val="21"/>
                <w:highlight w:val="none"/>
              </w:rPr>
            </w:pPr>
            <w:r>
              <w:rPr>
                <w:rFonts w:hint="eastAsia" w:ascii="宋体" w:hAnsi="宋体" w:cs="宋体"/>
                <w:b/>
                <w:color w:val="auto"/>
                <w:szCs w:val="21"/>
                <w:highlight w:val="none"/>
              </w:rPr>
              <w:t>2、</w:t>
            </w:r>
            <w:r>
              <w:rPr>
                <w:rFonts w:hint="eastAsia" w:ascii="宋体" w:hAnsi="宋体" w:cs="宋体"/>
                <w:b/>
                <w:bCs/>
                <w:color w:val="auto"/>
                <w:szCs w:val="21"/>
                <w:highlight w:val="none"/>
              </w:rPr>
              <w:t>评标委员会对投标产品性能进行评议（</w:t>
            </w:r>
            <w:r>
              <w:rPr>
                <w:rFonts w:hint="eastAsia" w:ascii="宋体" w:hAnsi="宋体" w:cs="宋体"/>
                <w:b/>
                <w:bCs/>
                <w:color w:val="auto"/>
                <w:szCs w:val="21"/>
                <w:highlight w:val="none"/>
                <w:lang w:val="en-US" w:eastAsia="zh-CN"/>
              </w:rPr>
              <w:t>8</w:t>
            </w:r>
            <w:r>
              <w:rPr>
                <w:rFonts w:hint="eastAsia" w:ascii="宋体" w:hAnsi="宋体" w:cs="宋体"/>
                <w:b/>
                <w:bCs/>
                <w:color w:val="auto"/>
                <w:szCs w:val="21"/>
                <w:highlight w:val="none"/>
              </w:rPr>
              <w:t>分）：</w:t>
            </w:r>
          </w:p>
          <w:p>
            <w:pPr>
              <w:spacing w:line="400" w:lineRule="exact"/>
              <w:rPr>
                <w:rFonts w:ascii="宋体" w:hAnsi="宋体"/>
                <w:color w:val="auto"/>
                <w:szCs w:val="21"/>
                <w:highlight w:val="none"/>
              </w:rPr>
            </w:pPr>
            <w:r>
              <w:rPr>
                <w:rFonts w:hint="eastAsia" w:ascii="宋体" w:hAnsi="宋体" w:cs="宋体"/>
                <w:color w:val="auto"/>
                <w:szCs w:val="21"/>
                <w:highlight w:val="none"/>
              </w:rPr>
              <w:t>对各投标产品的性能综合评议。产品</w:t>
            </w:r>
            <w:r>
              <w:rPr>
                <w:rFonts w:hint="eastAsia" w:ascii="宋体" w:hAnsi="宋体" w:cs="宋体"/>
                <w:color w:val="auto"/>
                <w:szCs w:val="21"/>
                <w:highlight w:val="none"/>
                <w:lang w:eastAsia="zh-CN"/>
              </w:rPr>
              <w:t>功能多、技术创新的</w:t>
            </w:r>
            <w:r>
              <w:rPr>
                <w:rFonts w:hint="eastAsia" w:ascii="宋体" w:hAnsi="宋体" w:cs="宋体"/>
                <w:color w:val="auto"/>
                <w:szCs w:val="21"/>
                <w:highlight w:val="none"/>
              </w:rPr>
              <w:t>得</w:t>
            </w: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分；产品</w:t>
            </w:r>
            <w:r>
              <w:rPr>
                <w:rFonts w:hint="eastAsia" w:ascii="宋体" w:hAnsi="宋体" w:cs="宋体"/>
                <w:color w:val="auto"/>
                <w:szCs w:val="21"/>
                <w:highlight w:val="none"/>
                <w:lang w:eastAsia="zh-CN"/>
              </w:rPr>
              <w:t>功能较多、</w:t>
            </w:r>
            <w:r>
              <w:rPr>
                <w:rFonts w:hint="eastAsia" w:ascii="宋体" w:hAnsi="宋体" w:cs="宋体"/>
                <w:color w:val="auto"/>
                <w:szCs w:val="21"/>
                <w:highlight w:val="none"/>
              </w:rPr>
              <w:t>技术较为</w:t>
            </w:r>
            <w:r>
              <w:rPr>
                <w:rFonts w:hint="eastAsia" w:ascii="宋体" w:hAnsi="宋体" w:cs="宋体"/>
                <w:color w:val="auto"/>
                <w:szCs w:val="21"/>
                <w:highlight w:val="none"/>
                <w:lang w:eastAsia="zh-CN"/>
              </w:rPr>
              <w:t>创新</w:t>
            </w:r>
            <w:r>
              <w:rPr>
                <w:rFonts w:hint="eastAsia" w:ascii="宋体" w:hAnsi="宋体" w:cs="宋体"/>
                <w:color w:val="auto"/>
                <w:szCs w:val="21"/>
                <w:highlight w:val="none"/>
              </w:rPr>
              <w:t>的得</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分；产品</w:t>
            </w:r>
            <w:r>
              <w:rPr>
                <w:rFonts w:hint="eastAsia" w:ascii="宋体" w:hAnsi="宋体" w:cs="宋体"/>
                <w:color w:val="auto"/>
                <w:szCs w:val="21"/>
                <w:highlight w:val="none"/>
                <w:lang w:eastAsia="zh-CN"/>
              </w:rPr>
              <w:t>功能一般、</w:t>
            </w:r>
            <w:r>
              <w:rPr>
                <w:rFonts w:hint="eastAsia" w:ascii="宋体" w:hAnsi="宋体" w:cs="宋体"/>
                <w:color w:val="auto"/>
                <w:szCs w:val="21"/>
                <w:highlight w:val="none"/>
              </w:rPr>
              <w:t>技术</w:t>
            </w:r>
            <w:r>
              <w:rPr>
                <w:rFonts w:hint="eastAsia" w:ascii="宋体" w:hAnsi="宋体" w:cs="宋体"/>
                <w:color w:val="auto"/>
                <w:szCs w:val="21"/>
                <w:highlight w:val="none"/>
                <w:lang w:eastAsia="zh-CN"/>
              </w:rPr>
              <w:t>一般</w:t>
            </w:r>
            <w:r>
              <w:rPr>
                <w:rFonts w:hint="eastAsia" w:ascii="宋体" w:hAnsi="宋体" w:cs="宋体"/>
                <w:color w:val="auto"/>
                <w:szCs w:val="21"/>
                <w:highlight w:val="none"/>
              </w:rPr>
              <w:t>的得</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分</w:t>
            </w:r>
            <w:r>
              <w:rPr>
                <w:rFonts w:hint="eastAsia" w:ascii="宋体" w:hAnsi="宋体" w:cs="宋体"/>
                <w:color w:val="auto"/>
                <w:szCs w:val="21"/>
                <w:highlight w:val="none"/>
                <w:lang w:eastAsia="zh-CN"/>
              </w:rPr>
              <w:t>；</w:t>
            </w:r>
            <w:r>
              <w:rPr>
                <w:rFonts w:hint="eastAsia" w:ascii="宋体" w:hAnsi="宋体" w:cs="宋体"/>
                <w:color w:val="auto"/>
                <w:szCs w:val="21"/>
                <w:highlight w:val="none"/>
              </w:rPr>
              <w:t>产品</w:t>
            </w:r>
            <w:r>
              <w:rPr>
                <w:rFonts w:hint="eastAsia" w:ascii="宋体" w:hAnsi="宋体" w:cs="宋体"/>
                <w:color w:val="auto"/>
                <w:szCs w:val="21"/>
                <w:highlight w:val="none"/>
                <w:lang w:eastAsia="zh-CN"/>
              </w:rPr>
              <w:t>功能少、</w:t>
            </w:r>
            <w:r>
              <w:rPr>
                <w:rFonts w:hint="eastAsia" w:ascii="宋体" w:hAnsi="宋体" w:cs="宋体"/>
                <w:color w:val="auto"/>
                <w:szCs w:val="21"/>
                <w:highlight w:val="none"/>
              </w:rPr>
              <w:t>技术较为落伍、存在被替代或淘汰的风险的得</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分。</w:t>
            </w:r>
            <w:r>
              <w:rPr>
                <w:rFonts w:hint="eastAsia" w:ascii="宋体" w:hAnsi="宋体" w:cs="宋体"/>
                <w:color w:val="auto"/>
                <w:szCs w:val="21"/>
                <w:highlight w:val="none"/>
                <w:lang w:eastAsia="zh-CN"/>
              </w:rPr>
              <w:t>未提供的不得分。</w:t>
            </w:r>
          </w:p>
        </w:tc>
        <w:tc>
          <w:tcPr>
            <w:tcW w:w="781" w:type="dxa"/>
            <w:vAlign w:val="center"/>
          </w:tcPr>
          <w:p>
            <w:pPr>
              <w:spacing w:line="400" w:lineRule="exact"/>
              <w:jc w:val="center"/>
              <w:rPr>
                <w:rFonts w:hint="eastAsia" w:ascii="宋体" w:hAnsi="宋体" w:eastAsia="宋体"/>
                <w:color w:val="auto"/>
                <w:szCs w:val="21"/>
                <w:highlight w:val="none"/>
                <w:lang w:eastAsia="zh-CN"/>
              </w:rPr>
            </w:pPr>
            <w:r>
              <w:rPr>
                <w:rFonts w:hint="eastAsia" w:ascii="宋体" w:hAnsi="宋体"/>
                <w:color w:val="auto"/>
                <w:szCs w:val="21"/>
                <w:highlight w:val="none"/>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57" w:type="dxa"/>
            <w:vMerge w:val="continue"/>
            <w:vAlign w:val="center"/>
          </w:tcPr>
          <w:p>
            <w:pPr>
              <w:spacing w:line="400" w:lineRule="exact"/>
              <w:jc w:val="center"/>
              <w:rPr>
                <w:rFonts w:ascii="宋体" w:hAnsi="宋体"/>
                <w:color w:val="auto"/>
                <w:szCs w:val="21"/>
                <w:highlight w:val="none"/>
              </w:rPr>
            </w:pPr>
          </w:p>
        </w:tc>
        <w:tc>
          <w:tcPr>
            <w:tcW w:w="8236" w:type="dxa"/>
            <w:vAlign w:val="center"/>
          </w:tcPr>
          <w:p>
            <w:pPr>
              <w:spacing w:line="400" w:lineRule="exact"/>
              <w:rPr>
                <w:rFonts w:hint="eastAsia" w:ascii="宋体" w:hAnsi="宋体" w:cs="宋体"/>
                <w:b/>
                <w:color w:val="auto"/>
                <w:szCs w:val="21"/>
                <w:highlight w:val="none"/>
              </w:rPr>
            </w:pPr>
            <w:r>
              <w:rPr>
                <w:rFonts w:hint="eastAsia" w:ascii="宋体" w:hAnsi="宋体" w:cs="宋体"/>
                <w:b/>
                <w:color w:val="auto"/>
                <w:szCs w:val="21"/>
                <w:highlight w:val="none"/>
              </w:rPr>
              <w:t>3、评标委员会对投标设备的稳定性进行评议（</w:t>
            </w:r>
            <w:r>
              <w:rPr>
                <w:rFonts w:hint="eastAsia" w:ascii="宋体" w:hAnsi="宋体" w:cs="宋体"/>
                <w:b/>
                <w:color w:val="auto"/>
                <w:szCs w:val="21"/>
                <w:highlight w:val="none"/>
                <w:lang w:val="en-US" w:eastAsia="zh-CN"/>
              </w:rPr>
              <w:t>6</w:t>
            </w:r>
            <w:r>
              <w:rPr>
                <w:rFonts w:hint="eastAsia" w:ascii="宋体" w:hAnsi="宋体" w:cs="宋体"/>
                <w:b/>
                <w:color w:val="auto"/>
                <w:szCs w:val="21"/>
                <w:highlight w:val="none"/>
              </w:rPr>
              <w:t>分）：</w:t>
            </w:r>
          </w:p>
          <w:p>
            <w:pPr>
              <w:spacing w:line="400" w:lineRule="exact"/>
              <w:rPr>
                <w:rFonts w:ascii="宋体" w:hAnsi="宋体"/>
                <w:color w:val="auto"/>
                <w:szCs w:val="21"/>
                <w:highlight w:val="none"/>
              </w:rPr>
            </w:pPr>
            <w:r>
              <w:rPr>
                <w:rFonts w:hint="eastAsia" w:ascii="宋体" w:hAnsi="宋体" w:cs="宋体"/>
                <w:color w:val="auto"/>
                <w:szCs w:val="21"/>
                <w:highlight w:val="none"/>
              </w:rPr>
              <w:t>对各投标产品的稳定性、故障率综合评议。产品性能稳定、运行可靠、故障率低的得</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分；产品性能比较稳定、故障率较低的得</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分；产品性能不稳定、故障率较高的得</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分。</w:t>
            </w:r>
            <w:r>
              <w:rPr>
                <w:rFonts w:hint="eastAsia" w:ascii="宋体" w:hAnsi="宋体" w:cs="宋体"/>
                <w:color w:val="auto"/>
                <w:szCs w:val="21"/>
                <w:highlight w:val="none"/>
                <w:lang w:eastAsia="zh-CN"/>
              </w:rPr>
              <w:t>未提供的不得分。</w:t>
            </w:r>
          </w:p>
        </w:tc>
        <w:tc>
          <w:tcPr>
            <w:tcW w:w="781" w:type="dxa"/>
            <w:vAlign w:val="center"/>
          </w:tcPr>
          <w:p>
            <w:pPr>
              <w:spacing w:line="400" w:lineRule="exact"/>
              <w:jc w:val="center"/>
              <w:rPr>
                <w:rFonts w:hint="eastAsia" w:ascii="宋体" w:hAnsi="宋体" w:eastAsia="宋体"/>
                <w:color w:val="auto"/>
                <w:szCs w:val="21"/>
                <w:highlight w:val="none"/>
                <w:lang w:eastAsia="zh-CN"/>
              </w:rPr>
            </w:pPr>
            <w:r>
              <w:rPr>
                <w:rFonts w:hint="eastAsia" w:ascii="宋体" w:hAnsi="宋体"/>
                <w:color w:val="auto"/>
                <w:szCs w:val="21"/>
                <w:highlight w:val="no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57" w:type="dxa"/>
            <w:vMerge w:val="continue"/>
            <w:vAlign w:val="center"/>
          </w:tcPr>
          <w:p>
            <w:pPr>
              <w:spacing w:line="400" w:lineRule="exact"/>
              <w:jc w:val="center"/>
              <w:rPr>
                <w:rFonts w:ascii="宋体" w:hAnsi="宋体"/>
                <w:color w:val="auto"/>
                <w:szCs w:val="21"/>
                <w:highlight w:val="none"/>
              </w:rPr>
            </w:pPr>
          </w:p>
        </w:tc>
        <w:tc>
          <w:tcPr>
            <w:tcW w:w="8236" w:type="dxa"/>
            <w:vAlign w:val="center"/>
          </w:tcPr>
          <w:p>
            <w:pPr>
              <w:spacing w:line="400" w:lineRule="exact"/>
              <w:rPr>
                <w:rFonts w:ascii="宋体" w:hAnsi="宋体"/>
                <w:b/>
                <w:color w:val="auto"/>
                <w:szCs w:val="21"/>
                <w:highlight w:val="none"/>
              </w:rPr>
            </w:pPr>
            <w:r>
              <w:rPr>
                <w:rFonts w:hint="eastAsia" w:ascii="宋体" w:hAnsi="宋体"/>
                <w:b/>
                <w:color w:val="auto"/>
                <w:szCs w:val="21"/>
                <w:highlight w:val="none"/>
              </w:rPr>
              <w:t>4、评标委员会对投标设备的配置情况进行评议（</w:t>
            </w:r>
            <w:r>
              <w:rPr>
                <w:rFonts w:hint="eastAsia" w:ascii="宋体" w:hAnsi="宋体"/>
                <w:b/>
                <w:color w:val="auto"/>
                <w:szCs w:val="21"/>
                <w:highlight w:val="none"/>
                <w:lang w:val="en-US" w:eastAsia="zh-CN"/>
              </w:rPr>
              <w:t>6</w:t>
            </w:r>
            <w:r>
              <w:rPr>
                <w:rFonts w:hint="eastAsia" w:ascii="宋体" w:hAnsi="宋体"/>
                <w:b/>
                <w:color w:val="auto"/>
                <w:szCs w:val="21"/>
                <w:highlight w:val="none"/>
              </w:rPr>
              <w:t>分）：</w:t>
            </w:r>
          </w:p>
          <w:p>
            <w:pPr>
              <w:spacing w:line="400" w:lineRule="exact"/>
              <w:rPr>
                <w:rFonts w:ascii="宋体" w:hAnsi="宋体"/>
                <w:color w:val="auto"/>
                <w:szCs w:val="21"/>
                <w:highlight w:val="none"/>
              </w:rPr>
            </w:pPr>
            <w:r>
              <w:rPr>
                <w:rFonts w:hint="eastAsia" w:ascii="宋体" w:hAnsi="宋体"/>
                <w:color w:val="auto"/>
                <w:szCs w:val="21"/>
                <w:highlight w:val="none"/>
              </w:rPr>
              <w:t>设备配置齐全、合理、科学，完全满足招标需求或具有升级空间的得</w:t>
            </w:r>
            <w:r>
              <w:rPr>
                <w:rFonts w:hint="eastAsia" w:ascii="宋体" w:hAnsi="宋体"/>
                <w:color w:val="auto"/>
                <w:szCs w:val="21"/>
                <w:highlight w:val="none"/>
                <w:lang w:val="en-US" w:eastAsia="zh-CN"/>
              </w:rPr>
              <w:t>6</w:t>
            </w:r>
            <w:r>
              <w:rPr>
                <w:rFonts w:hint="eastAsia" w:ascii="宋体" w:hAnsi="宋体"/>
                <w:color w:val="auto"/>
                <w:szCs w:val="21"/>
                <w:highlight w:val="none"/>
              </w:rPr>
              <w:t>分；</w:t>
            </w:r>
          </w:p>
          <w:p>
            <w:pPr>
              <w:spacing w:line="400" w:lineRule="exact"/>
              <w:rPr>
                <w:rFonts w:ascii="宋体" w:hAnsi="宋体"/>
                <w:color w:val="auto"/>
                <w:szCs w:val="21"/>
                <w:highlight w:val="none"/>
              </w:rPr>
            </w:pPr>
            <w:r>
              <w:rPr>
                <w:rFonts w:hint="eastAsia" w:ascii="宋体" w:hAnsi="宋体"/>
                <w:color w:val="auto"/>
                <w:szCs w:val="21"/>
                <w:highlight w:val="none"/>
              </w:rPr>
              <w:t>设备配置完整、合理，</w:t>
            </w:r>
            <w:r>
              <w:rPr>
                <w:rFonts w:ascii="宋体" w:hAnsi="宋体"/>
                <w:color w:val="auto"/>
                <w:szCs w:val="21"/>
                <w:highlight w:val="none"/>
              </w:rPr>
              <w:t>与招标需求基本一致</w:t>
            </w:r>
            <w:r>
              <w:rPr>
                <w:rFonts w:hint="eastAsia" w:ascii="宋体" w:hAnsi="宋体"/>
                <w:color w:val="auto"/>
                <w:szCs w:val="21"/>
                <w:highlight w:val="none"/>
              </w:rPr>
              <w:t>的得</w:t>
            </w:r>
            <w:r>
              <w:rPr>
                <w:rFonts w:hint="eastAsia" w:ascii="宋体" w:hAnsi="宋体"/>
                <w:color w:val="auto"/>
                <w:szCs w:val="21"/>
                <w:highlight w:val="none"/>
                <w:lang w:val="en-US" w:eastAsia="zh-CN"/>
              </w:rPr>
              <w:t>4</w:t>
            </w:r>
            <w:r>
              <w:rPr>
                <w:rFonts w:hint="eastAsia" w:ascii="宋体" w:hAnsi="宋体"/>
                <w:color w:val="auto"/>
                <w:szCs w:val="21"/>
                <w:highlight w:val="none"/>
              </w:rPr>
              <w:t>分；</w:t>
            </w:r>
          </w:p>
          <w:p>
            <w:pPr>
              <w:spacing w:line="400" w:lineRule="exact"/>
              <w:rPr>
                <w:rFonts w:ascii="宋体" w:hAnsi="宋体"/>
                <w:color w:val="auto"/>
                <w:szCs w:val="21"/>
                <w:highlight w:val="none"/>
              </w:rPr>
            </w:pPr>
            <w:r>
              <w:rPr>
                <w:rFonts w:hint="eastAsia" w:ascii="宋体" w:hAnsi="宋体"/>
                <w:color w:val="auto"/>
                <w:szCs w:val="21"/>
                <w:highlight w:val="none"/>
              </w:rPr>
              <w:t>设备配置存在缺陷，无法满足</w:t>
            </w:r>
            <w:r>
              <w:rPr>
                <w:rFonts w:ascii="宋体" w:hAnsi="宋体"/>
                <w:color w:val="auto"/>
                <w:szCs w:val="21"/>
                <w:highlight w:val="none"/>
              </w:rPr>
              <w:t>招标需求</w:t>
            </w:r>
            <w:r>
              <w:rPr>
                <w:rFonts w:hint="eastAsia" w:ascii="宋体" w:hAnsi="宋体"/>
                <w:color w:val="auto"/>
                <w:szCs w:val="21"/>
                <w:highlight w:val="none"/>
              </w:rPr>
              <w:t>的得</w:t>
            </w:r>
            <w:r>
              <w:rPr>
                <w:rFonts w:hint="eastAsia" w:ascii="宋体" w:hAnsi="宋体"/>
                <w:color w:val="auto"/>
                <w:szCs w:val="21"/>
                <w:highlight w:val="none"/>
                <w:lang w:val="en-US" w:eastAsia="zh-CN"/>
              </w:rPr>
              <w:t>2</w:t>
            </w:r>
            <w:r>
              <w:rPr>
                <w:rFonts w:hint="eastAsia" w:ascii="宋体" w:hAnsi="宋体"/>
                <w:color w:val="auto"/>
                <w:szCs w:val="21"/>
                <w:highlight w:val="none"/>
              </w:rPr>
              <w:t>分。</w:t>
            </w:r>
          </w:p>
        </w:tc>
        <w:tc>
          <w:tcPr>
            <w:tcW w:w="781" w:type="dxa"/>
            <w:vAlign w:val="center"/>
          </w:tcPr>
          <w:p>
            <w:pPr>
              <w:spacing w:line="400" w:lineRule="exact"/>
              <w:jc w:val="center"/>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57" w:type="dxa"/>
            <w:vMerge w:val="continue"/>
            <w:vAlign w:val="center"/>
          </w:tcPr>
          <w:p>
            <w:pPr>
              <w:spacing w:line="400" w:lineRule="exact"/>
              <w:jc w:val="center"/>
              <w:rPr>
                <w:rFonts w:ascii="宋体" w:hAnsi="宋体"/>
                <w:color w:val="auto"/>
                <w:szCs w:val="21"/>
                <w:highlight w:val="none"/>
              </w:rPr>
            </w:pPr>
          </w:p>
        </w:tc>
        <w:tc>
          <w:tcPr>
            <w:tcW w:w="8236" w:type="dxa"/>
            <w:vAlign w:val="center"/>
          </w:tcPr>
          <w:p>
            <w:pPr>
              <w:spacing w:line="400" w:lineRule="exact"/>
              <w:rPr>
                <w:rFonts w:ascii="宋体" w:hAnsi="宋体"/>
                <w:b/>
                <w:color w:val="auto"/>
                <w:szCs w:val="21"/>
                <w:highlight w:val="none"/>
              </w:rPr>
            </w:pPr>
            <w:r>
              <w:rPr>
                <w:rFonts w:hint="eastAsia" w:ascii="宋体" w:hAnsi="宋体"/>
                <w:b/>
                <w:color w:val="auto"/>
                <w:szCs w:val="21"/>
                <w:highlight w:val="none"/>
              </w:rPr>
              <w:t>5、评标委员会对供应商供货及安装、验收方案进行评议（5分）：</w:t>
            </w:r>
          </w:p>
          <w:p>
            <w:pPr>
              <w:spacing w:line="400" w:lineRule="exact"/>
              <w:rPr>
                <w:rFonts w:ascii="宋体" w:hAnsi="宋体" w:cs="宋体"/>
                <w:color w:val="auto"/>
                <w:szCs w:val="21"/>
                <w:highlight w:val="none"/>
              </w:rPr>
            </w:pPr>
            <w:r>
              <w:rPr>
                <w:rFonts w:hint="eastAsia" w:ascii="宋体" w:hAnsi="宋体" w:cs="宋体"/>
                <w:color w:val="auto"/>
                <w:szCs w:val="21"/>
                <w:highlight w:val="none"/>
              </w:rPr>
              <w:t>供货方案合理可行，有具体详细的安装、验收标准及步骤的得5分；</w:t>
            </w:r>
          </w:p>
          <w:p>
            <w:pPr>
              <w:spacing w:line="400" w:lineRule="exact"/>
              <w:rPr>
                <w:rFonts w:ascii="宋体" w:hAnsi="宋体" w:cs="宋体"/>
                <w:color w:val="auto"/>
                <w:szCs w:val="21"/>
                <w:highlight w:val="none"/>
              </w:rPr>
            </w:pPr>
            <w:r>
              <w:rPr>
                <w:rFonts w:hint="eastAsia" w:ascii="宋体" w:hAnsi="宋体" w:cs="宋体"/>
                <w:color w:val="auto"/>
                <w:szCs w:val="21"/>
                <w:highlight w:val="none"/>
              </w:rPr>
              <w:t>供货方案、验收标准基本满足招标需求的得3分；</w:t>
            </w:r>
          </w:p>
          <w:p>
            <w:pPr>
              <w:spacing w:line="400" w:lineRule="exact"/>
              <w:rPr>
                <w:rFonts w:ascii="宋体" w:hAnsi="宋体"/>
                <w:b/>
                <w:color w:val="auto"/>
                <w:szCs w:val="21"/>
                <w:highlight w:val="none"/>
              </w:rPr>
            </w:pPr>
            <w:r>
              <w:rPr>
                <w:rFonts w:hint="eastAsia" w:ascii="宋体" w:hAnsi="宋体" w:cs="宋体"/>
                <w:color w:val="auto"/>
                <w:szCs w:val="21"/>
                <w:highlight w:val="none"/>
              </w:rPr>
              <w:t>供货方案或验收标准</w:t>
            </w:r>
            <w:r>
              <w:rPr>
                <w:rFonts w:hint="eastAsia" w:ascii="宋体" w:hAnsi="宋体"/>
                <w:color w:val="auto"/>
                <w:szCs w:val="21"/>
                <w:highlight w:val="none"/>
              </w:rPr>
              <w:t>存在缺陷，无法满足</w:t>
            </w:r>
            <w:r>
              <w:rPr>
                <w:rFonts w:ascii="宋体" w:hAnsi="宋体"/>
                <w:color w:val="auto"/>
                <w:szCs w:val="21"/>
                <w:highlight w:val="none"/>
              </w:rPr>
              <w:t>招标需求</w:t>
            </w:r>
            <w:r>
              <w:rPr>
                <w:rFonts w:hint="eastAsia" w:ascii="宋体" w:hAnsi="宋体"/>
                <w:color w:val="auto"/>
                <w:szCs w:val="21"/>
                <w:highlight w:val="none"/>
              </w:rPr>
              <w:t>的得1分。</w:t>
            </w:r>
          </w:p>
        </w:tc>
        <w:tc>
          <w:tcPr>
            <w:tcW w:w="781" w:type="dxa"/>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57" w:type="dxa"/>
            <w:vMerge w:val="continue"/>
            <w:vAlign w:val="center"/>
          </w:tcPr>
          <w:p>
            <w:pPr>
              <w:spacing w:line="400" w:lineRule="exact"/>
              <w:jc w:val="center"/>
              <w:rPr>
                <w:rFonts w:ascii="宋体" w:hAnsi="宋体"/>
                <w:color w:val="auto"/>
                <w:szCs w:val="21"/>
                <w:highlight w:val="none"/>
              </w:rPr>
            </w:pPr>
          </w:p>
        </w:tc>
        <w:tc>
          <w:tcPr>
            <w:tcW w:w="8236" w:type="dxa"/>
            <w:vAlign w:val="center"/>
          </w:tcPr>
          <w:p>
            <w:pPr>
              <w:spacing w:line="400" w:lineRule="exact"/>
              <w:rPr>
                <w:rFonts w:ascii="宋体" w:hAnsi="宋体"/>
                <w:b/>
                <w:color w:val="auto"/>
                <w:szCs w:val="21"/>
                <w:highlight w:val="none"/>
              </w:rPr>
            </w:pPr>
            <w:r>
              <w:rPr>
                <w:rFonts w:hint="eastAsia" w:ascii="宋体" w:hAnsi="宋体"/>
                <w:b/>
                <w:color w:val="auto"/>
                <w:szCs w:val="21"/>
                <w:highlight w:val="none"/>
              </w:rPr>
              <w:t>6、评标委员会对供应商的技术培训方案进行评议（4分）：</w:t>
            </w:r>
          </w:p>
          <w:p>
            <w:pPr>
              <w:spacing w:line="400" w:lineRule="exact"/>
              <w:rPr>
                <w:rFonts w:ascii="宋体" w:hAnsi="宋体" w:cs="宋体"/>
                <w:color w:val="auto"/>
                <w:szCs w:val="21"/>
                <w:highlight w:val="none"/>
              </w:rPr>
            </w:pPr>
            <w:r>
              <w:rPr>
                <w:rFonts w:hint="eastAsia" w:ascii="宋体" w:hAnsi="宋体" w:cs="宋体"/>
                <w:color w:val="auto"/>
                <w:szCs w:val="21"/>
                <w:highlight w:val="none"/>
              </w:rPr>
              <w:t>培训方案内容全面，形式多样，可操作性强，完全满足或优于招标需求的得4分；</w:t>
            </w:r>
          </w:p>
          <w:p>
            <w:pPr>
              <w:spacing w:line="400" w:lineRule="exact"/>
              <w:rPr>
                <w:rFonts w:ascii="宋体" w:hAnsi="宋体" w:cs="宋体"/>
                <w:color w:val="auto"/>
                <w:szCs w:val="21"/>
                <w:highlight w:val="none"/>
              </w:rPr>
            </w:pPr>
            <w:r>
              <w:rPr>
                <w:rFonts w:hint="eastAsia" w:ascii="宋体" w:hAnsi="宋体" w:cs="宋体"/>
                <w:color w:val="auto"/>
                <w:szCs w:val="21"/>
                <w:highlight w:val="none"/>
              </w:rPr>
              <w:t>培训方案与招标需求基本一致的得2分；</w:t>
            </w:r>
          </w:p>
          <w:p>
            <w:pPr>
              <w:spacing w:line="400" w:lineRule="exact"/>
              <w:rPr>
                <w:rFonts w:ascii="宋体" w:hAnsi="宋体"/>
                <w:b/>
                <w:color w:val="auto"/>
                <w:szCs w:val="21"/>
                <w:highlight w:val="none"/>
              </w:rPr>
            </w:pPr>
            <w:r>
              <w:rPr>
                <w:rFonts w:hint="eastAsia" w:ascii="宋体" w:hAnsi="宋体" w:cs="宋体"/>
                <w:color w:val="auto"/>
                <w:szCs w:val="21"/>
                <w:highlight w:val="none"/>
              </w:rPr>
              <w:t>培训方案存在缺陷，无法满足招标需求的得1分。</w:t>
            </w:r>
          </w:p>
        </w:tc>
        <w:tc>
          <w:tcPr>
            <w:tcW w:w="781" w:type="dxa"/>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57" w:type="dxa"/>
            <w:vMerge w:val="continue"/>
            <w:vAlign w:val="center"/>
          </w:tcPr>
          <w:p>
            <w:pPr>
              <w:spacing w:line="400" w:lineRule="exact"/>
              <w:jc w:val="center"/>
              <w:rPr>
                <w:rFonts w:ascii="宋体" w:hAnsi="宋体"/>
                <w:color w:val="auto"/>
                <w:szCs w:val="21"/>
                <w:highlight w:val="none"/>
              </w:rPr>
            </w:pPr>
          </w:p>
        </w:tc>
        <w:tc>
          <w:tcPr>
            <w:tcW w:w="8236" w:type="dxa"/>
            <w:vAlign w:val="center"/>
          </w:tcPr>
          <w:p>
            <w:pPr>
              <w:spacing w:line="400" w:lineRule="exact"/>
              <w:rPr>
                <w:rFonts w:ascii="宋体" w:hAnsi="宋体"/>
                <w:b/>
                <w:color w:val="auto"/>
                <w:szCs w:val="21"/>
                <w:highlight w:val="none"/>
              </w:rPr>
            </w:pPr>
            <w:r>
              <w:rPr>
                <w:rFonts w:hint="eastAsia" w:ascii="宋体" w:hAnsi="宋体"/>
                <w:b/>
                <w:color w:val="auto"/>
                <w:szCs w:val="21"/>
                <w:highlight w:val="none"/>
              </w:rPr>
              <w:t>7、评标委员会对供应商的售后服务方案进行评议（6分）：</w:t>
            </w:r>
          </w:p>
          <w:p>
            <w:pPr>
              <w:spacing w:line="400" w:lineRule="exact"/>
              <w:rPr>
                <w:rFonts w:ascii="宋体" w:hAnsi="宋体"/>
                <w:color w:val="auto"/>
                <w:szCs w:val="21"/>
                <w:highlight w:val="none"/>
              </w:rPr>
            </w:pPr>
            <w:r>
              <w:rPr>
                <w:rFonts w:hint="eastAsia" w:ascii="宋体" w:hAnsi="宋体"/>
                <w:color w:val="auto"/>
                <w:szCs w:val="21"/>
                <w:highlight w:val="none"/>
              </w:rPr>
              <w:t>售后服务方案详细、完善，售后响应速度快，</w:t>
            </w:r>
            <w:r>
              <w:rPr>
                <w:rFonts w:hint="eastAsia" w:ascii="宋体" w:hAnsi="宋体" w:cs="宋体"/>
                <w:color w:val="auto"/>
                <w:szCs w:val="21"/>
                <w:highlight w:val="none"/>
              </w:rPr>
              <w:t>完全满足或优于</w:t>
            </w:r>
            <w:r>
              <w:rPr>
                <w:rFonts w:hint="eastAsia" w:ascii="宋体" w:hAnsi="宋体"/>
                <w:color w:val="auto"/>
                <w:szCs w:val="21"/>
                <w:highlight w:val="none"/>
              </w:rPr>
              <w:t>招标需求的得6分；</w:t>
            </w:r>
          </w:p>
          <w:p>
            <w:pPr>
              <w:spacing w:line="400" w:lineRule="exact"/>
              <w:rPr>
                <w:rFonts w:ascii="宋体" w:hAnsi="宋体"/>
                <w:color w:val="auto"/>
                <w:szCs w:val="21"/>
                <w:highlight w:val="none"/>
              </w:rPr>
            </w:pPr>
            <w:r>
              <w:rPr>
                <w:rFonts w:hint="eastAsia" w:ascii="宋体" w:hAnsi="宋体"/>
                <w:color w:val="auto"/>
                <w:szCs w:val="21"/>
                <w:highlight w:val="none"/>
              </w:rPr>
              <w:t>售后服务方案</w:t>
            </w:r>
            <w:r>
              <w:rPr>
                <w:rFonts w:ascii="宋体" w:hAnsi="宋体"/>
                <w:color w:val="auto"/>
                <w:szCs w:val="21"/>
                <w:highlight w:val="none"/>
              </w:rPr>
              <w:t>与</w:t>
            </w:r>
            <w:r>
              <w:rPr>
                <w:rFonts w:hint="eastAsia" w:ascii="宋体" w:hAnsi="宋体"/>
                <w:color w:val="auto"/>
                <w:szCs w:val="21"/>
                <w:highlight w:val="none"/>
              </w:rPr>
              <w:t>招标需求</w:t>
            </w:r>
            <w:r>
              <w:rPr>
                <w:rFonts w:ascii="宋体" w:hAnsi="宋体"/>
                <w:color w:val="auto"/>
                <w:szCs w:val="21"/>
                <w:highlight w:val="none"/>
              </w:rPr>
              <w:t>基本一致</w:t>
            </w:r>
            <w:r>
              <w:rPr>
                <w:rFonts w:hint="eastAsia" w:ascii="宋体" w:hAnsi="宋体"/>
                <w:color w:val="auto"/>
                <w:szCs w:val="21"/>
                <w:highlight w:val="none"/>
              </w:rPr>
              <w:t>的得3分；</w:t>
            </w:r>
          </w:p>
          <w:p>
            <w:pPr>
              <w:spacing w:line="400" w:lineRule="exact"/>
              <w:rPr>
                <w:rFonts w:ascii="宋体" w:hAnsi="宋体"/>
                <w:color w:val="auto"/>
                <w:szCs w:val="21"/>
                <w:highlight w:val="none"/>
              </w:rPr>
            </w:pPr>
            <w:r>
              <w:rPr>
                <w:rFonts w:hint="eastAsia" w:ascii="宋体" w:hAnsi="宋体"/>
                <w:color w:val="auto"/>
                <w:szCs w:val="21"/>
                <w:highlight w:val="none"/>
              </w:rPr>
              <w:t>售后服务方案存在缺陷，无法满足</w:t>
            </w:r>
            <w:r>
              <w:rPr>
                <w:rFonts w:ascii="宋体" w:hAnsi="宋体"/>
                <w:color w:val="auto"/>
                <w:szCs w:val="21"/>
                <w:highlight w:val="none"/>
              </w:rPr>
              <w:t>招标</w:t>
            </w:r>
            <w:r>
              <w:rPr>
                <w:rFonts w:hint="eastAsia" w:ascii="宋体" w:hAnsi="宋体"/>
                <w:color w:val="auto"/>
                <w:szCs w:val="21"/>
                <w:highlight w:val="none"/>
              </w:rPr>
              <w:t>需求的得1分。</w:t>
            </w:r>
          </w:p>
        </w:tc>
        <w:tc>
          <w:tcPr>
            <w:tcW w:w="781" w:type="dxa"/>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57" w:type="dxa"/>
            <w:vMerge w:val="continue"/>
            <w:vAlign w:val="center"/>
          </w:tcPr>
          <w:p>
            <w:pPr>
              <w:spacing w:line="400" w:lineRule="exact"/>
              <w:jc w:val="center"/>
              <w:rPr>
                <w:rFonts w:ascii="宋体" w:hAnsi="宋体"/>
                <w:color w:val="auto"/>
                <w:szCs w:val="21"/>
                <w:highlight w:val="none"/>
              </w:rPr>
            </w:pPr>
          </w:p>
        </w:tc>
        <w:tc>
          <w:tcPr>
            <w:tcW w:w="8236" w:type="dxa"/>
            <w:vAlign w:val="center"/>
          </w:tcPr>
          <w:p>
            <w:pPr>
              <w:spacing w:line="400" w:lineRule="exact"/>
              <w:rPr>
                <w:rFonts w:ascii="宋体" w:hAnsi="宋体"/>
                <w:b/>
                <w:color w:val="auto"/>
                <w:szCs w:val="21"/>
                <w:highlight w:val="none"/>
              </w:rPr>
            </w:pPr>
            <w:r>
              <w:rPr>
                <w:rFonts w:hint="eastAsia" w:ascii="宋体" w:hAnsi="宋体"/>
                <w:b/>
                <w:color w:val="auto"/>
                <w:szCs w:val="21"/>
                <w:highlight w:val="none"/>
              </w:rPr>
              <w:t>8、评标委员会对供应商的优惠措施方案进行评议（4分）：</w:t>
            </w:r>
          </w:p>
          <w:p>
            <w:pPr>
              <w:spacing w:line="400" w:lineRule="exact"/>
              <w:rPr>
                <w:rFonts w:ascii="宋体" w:hAnsi="宋体"/>
                <w:color w:val="auto"/>
                <w:szCs w:val="21"/>
                <w:highlight w:val="none"/>
              </w:rPr>
            </w:pPr>
            <w:r>
              <w:rPr>
                <w:rFonts w:hint="eastAsia" w:ascii="宋体" w:hAnsi="宋体"/>
                <w:color w:val="auto"/>
                <w:szCs w:val="21"/>
                <w:highlight w:val="none"/>
              </w:rPr>
              <w:t>方案合理、可行，优惠措施具有实际意义和价值的得4分；</w:t>
            </w:r>
          </w:p>
          <w:p>
            <w:pPr>
              <w:spacing w:line="400" w:lineRule="exact"/>
              <w:rPr>
                <w:rFonts w:ascii="宋体" w:hAnsi="宋体"/>
                <w:color w:val="auto"/>
                <w:szCs w:val="21"/>
                <w:highlight w:val="none"/>
              </w:rPr>
            </w:pPr>
            <w:r>
              <w:rPr>
                <w:rFonts w:hint="eastAsia" w:ascii="宋体" w:hAnsi="宋体"/>
                <w:color w:val="auto"/>
                <w:szCs w:val="21"/>
                <w:highlight w:val="none"/>
              </w:rPr>
              <w:t>优惠措施力度不强的得2分；</w:t>
            </w:r>
          </w:p>
          <w:p>
            <w:pPr>
              <w:spacing w:line="400" w:lineRule="exact"/>
              <w:rPr>
                <w:rFonts w:ascii="宋体" w:hAnsi="宋体"/>
                <w:b/>
                <w:color w:val="auto"/>
                <w:szCs w:val="21"/>
                <w:highlight w:val="none"/>
              </w:rPr>
            </w:pPr>
            <w:r>
              <w:rPr>
                <w:rFonts w:hint="eastAsia" w:ascii="宋体" w:hAnsi="宋体"/>
                <w:color w:val="auto"/>
                <w:szCs w:val="21"/>
                <w:highlight w:val="none"/>
              </w:rPr>
              <w:t>优惠措施力度弱，没有实际意义或价值的得1分。</w:t>
            </w:r>
          </w:p>
        </w:tc>
        <w:tc>
          <w:tcPr>
            <w:tcW w:w="781" w:type="dxa"/>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57" w:type="dxa"/>
            <w:vMerge w:val="continue"/>
            <w:vAlign w:val="center"/>
          </w:tcPr>
          <w:p>
            <w:pPr>
              <w:spacing w:line="400" w:lineRule="exact"/>
              <w:jc w:val="center"/>
              <w:rPr>
                <w:rFonts w:ascii="宋体" w:hAnsi="宋体"/>
                <w:color w:val="auto"/>
                <w:szCs w:val="21"/>
                <w:highlight w:val="none"/>
              </w:rPr>
            </w:pPr>
          </w:p>
        </w:tc>
        <w:tc>
          <w:tcPr>
            <w:tcW w:w="8236" w:type="dxa"/>
            <w:vAlign w:val="center"/>
          </w:tcPr>
          <w:p>
            <w:pPr>
              <w:spacing w:line="400" w:lineRule="exact"/>
              <w:rPr>
                <w:rFonts w:ascii="宋体" w:hAnsi="宋体"/>
                <w:b/>
                <w:color w:val="auto"/>
                <w:szCs w:val="21"/>
                <w:highlight w:val="none"/>
              </w:rPr>
            </w:pPr>
            <w:r>
              <w:rPr>
                <w:rFonts w:hint="eastAsia" w:ascii="宋体" w:hAnsi="宋体"/>
                <w:b/>
                <w:color w:val="auto"/>
                <w:szCs w:val="21"/>
                <w:highlight w:val="none"/>
              </w:rPr>
              <w:t>9、业绩（3分）：</w:t>
            </w:r>
          </w:p>
          <w:p>
            <w:pPr>
              <w:spacing w:line="400" w:lineRule="exact"/>
              <w:rPr>
                <w:rFonts w:hint="eastAsia" w:ascii="宋体" w:hAnsi="宋体" w:cs="宋体"/>
                <w:color w:val="auto"/>
                <w:szCs w:val="21"/>
                <w:highlight w:val="none"/>
              </w:rPr>
            </w:pPr>
            <w:r>
              <w:rPr>
                <w:rFonts w:hint="eastAsia" w:ascii="宋体" w:hAnsi="宋体" w:cs="宋体"/>
                <w:color w:val="auto"/>
                <w:szCs w:val="21"/>
                <w:highlight w:val="none"/>
              </w:rPr>
              <w:t>供应商20</w:t>
            </w:r>
            <w:r>
              <w:rPr>
                <w:rFonts w:hint="eastAsia" w:ascii="宋体" w:hAnsi="宋体" w:cs="宋体"/>
                <w:color w:val="auto"/>
                <w:szCs w:val="21"/>
                <w:highlight w:val="none"/>
                <w:lang w:val="en-US" w:eastAsia="zh-CN"/>
              </w:rPr>
              <w:t>20</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月1日（合同签订时间为准）至今，</w:t>
            </w:r>
            <w:r>
              <w:rPr>
                <w:rFonts w:hint="eastAsia" w:ascii="宋体" w:hAnsi="宋体" w:cs="宋体"/>
                <w:color w:val="auto"/>
                <w:szCs w:val="21"/>
                <w:highlight w:val="none"/>
                <w:lang w:eastAsia="zh-CN"/>
              </w:rPr>
              <w:t>所投</w:t>
            </w:r>
            <w:r>
              <w:rPr>
                <w:rFonts w:hint="eastAsia" w:ascii="宋体" w:hAnsi="宋体" w:cs="宋体"/>
                <w:color w:val="auto"/>
                <w:szCs w:val="21"/>
                <w:highlight w:val="none"/>
              </w:rPr>
              <w:t>同类设备销售业绩进行评定，每提供1个合同得1分，满分3分，同一业主不累计得分。</w:t>
            </w:r>
          </w:p>
          <w:p>
            <w:pPr>
              <w:spacing w:line="400" w:lineRule="exact"/>
              <w:rPr>
                <w:rFonts w:ascii="宋体" w:hAnsi="宋体"/>
                <w:color w:val="auto"/>
                <w:szCs w:val="21"/>
                <w:highlight w:val="none"/>
              </w:rPr>
            </w:pPr>
            <w:r>
              <w:rPr>
                <w:rFonts w:hint="eastAsia" w:ascii="宋体" w:hAnsi="宋体" w:cs="宋体"/>
                <w:b/>
                <w:bCs/>
                <w:color w:val="auto"/>
                <w:szCs w:val="21"/>
                <w:highlight w:val="none"/>
              </w:rPr>
              <w:t>提供合同复印件加盖供应商公章，否则不得分。</w:t>
            </w:r>
          </w:p>
        </w:tc>
        <w:tc>
          <w:tcPr>
            <w:tcW w:w="781" w:type="dxa"/>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57" w:type="dxa"/>
            <w:vMerge w:val="continue"/>
            <w:vAlign w:val="center"/>
          </w:tcPr>
          <w:p>
            <w:pPr>
              <w:spacing w:line="400" w:lineRule="exact"/>
              <w:jc w:val="center"/>
              <w:rPr>
                <w:rFonts w:ascii="宋体" w:hAnsi="宋体"/>
                <w:color w:val="auto"/>
                <w:szCs w:val="21"/>
                <w:highlight w:val="none"/>
              </w:rPr>
            </w:pPr>
          </w:p>
        </w:tc>
        <w:tc>
          <w:tcPr>
            <w:tcW w:w="8236" w:type="dxa"/>
            <w:vAlign w:val="center"/>
          </w:tcPr>
          <w:p>
            <w:pPr>
              <w:spacing w:line="400" w:lineRule="exact"/>
              <w:rPr>
                <w:rFonts w:ascii="宋体" w:hAnsi="宋体"/>
                <w:b/>
                <w:color w:val="auto"/>
                <w:szCs w:val="21"/>
                <w:highlight w:val="none"/>
              </w:rPr>
            </w:pPr>
            <w:r>
              <w:rPr>
                <w:rFonts w:hint="eastAsia" w:ascii="宋体" w:hAnsi="宋体"/>
                <w:b/>
                <w:color w:val="auto"/>
                <w:szCs w:val="21"/>
                <w:highlight w:val="none"/>
              </w:rPr>
              <w:t>10、政策性因素加分（1分）：</w:t>
            </w:r>
          </w:p>
          <w:p>
            <w:pPr>
              <w:spacing w:line="400" w:lineRule="exact"/>
              <w:rPr>
                <w:rFonts w:ascii="宋体" w:hAnsi="宋体"/>
                <w:color w:val="auto"/>
                <w:szCs w:val="21"/>
                <w:highlight w:val="none"/>
              </w:rPr>
            </w:pPr>
            <w:r>
              <w:rPr>
                <w:rFonts w:hint="eastAsia" w:ascii="宋体" w:hAnsi="宋体"/>
                <w:color w:val="auto"/>
                <w:szCs w:val="21"/>
                <w:highlight w:val="none"/>
              </w:rPr>
              <w:t>投标产品为节能产品，提供有效期内节能产品认证证书的加0.5分；</w:t>
            </w:r>
          </w:p>
          <w:p>
            <w:pPr>
              <w:spacing w:line="400" w:lineRule="exact"/>
              <w:rPr>
                <w:rFonts w:ascii="宋体" w:hAnsi="宋体"/>
                <w:color w:val="auto"/>
                <w:szCs w:val="21"/>
                <w:highlight w:val="none"/>
              </w:rPr>
            </w:pPr>
            <w:r>
              <w:rPr>
                <w:rFonts w:hint="eastAsia" w:ascii="宋体" w:hAnsi="宋体"/>
                <w:color w:val="auto"/>
                <w:szCs w:val="21"/>
                <w:highlight w:val="none"/>
              </w:rPr>
              <w:t>投标产品为环境标志产品，提供有效期内环境标志产品认证证书的加0.5分。</w:t>
            </w:r>
          </w:p>
          <w:p>
            <w:pPr>
              <w:spacing w:line="400" w:lineRule="exact"/>
              <w:rPr>
                <w:rFonts w:ascii="宋体" w:hAnsi="宋体"/>
                <w:b/>
                <w:color w:val="auto"/>
                <w:szCs w:val="21"/>
                <w:highlight w:val="none"/>
              </w:rPr>
            </w:pPr>
            <w:r>
              <w:rPr>
                <w:rFonts w:hint="eastAsia" w:ascii="宋体" w:hAnsi="宋体"/>
                <w:color w:val="auto"/>
                <w:szCs w:val="21"/>
                <w:highlight w:val="none"/>
              </w:rPr>
              <w:t>所需证明材料要求详见本章第1.5条。</w:t>
            </w:r>
          </w:p>
        </w:tc>
        <w:tc>
          <w:tcPr>
            <w:tcW w:w="781" w:type="dxa"/>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4" w:hRule="atLeast"/>
          <w:jc w:val="center"/>
        </w:trPr>
        <w:tc>
          <w:tcPr>
            <w:tcW w:w="9193" w:type="dxa"/>
            <w:gridSpan w:val="2"/>
            <w:vAlign w:val="center"/>
          </w:tcPr>
          <w:p>
            <w:pPr>
              <w:spacing w:line="400" w:lineRule="exact"/>
              <w:jc w:val="center"/>
              <w:rPr>
                <w:rFonts w:ascii="宋体" w:hAnsi="宋体"/>
                <w:b/>
                <w:color w:val="auto"/>
                <w:szCs w:val="21"/>
                <w:highlight w:val="none"/>
              </w:rPr>
            </w:pPr>
            <w:r>
              <w:rPr>
                <w:rFonts w:hint="eastAsia" w:ascii="宋体" w:hAnsi="宋体"/>
                <w:b/>
                <w:snapToGrid w:val="0"/>
                <w:color w:val="auto"/>
                <w:szCs w:val="21"/>
                <w:highlight w:val="none"/>
              </w:rPr>
              <w:t>商务和技术得分（65分）</w:t>
            </w:r>
          </w:p>
        </w:tc>
        <w:tc>
          <w:tcPr>
            <w:tcW w:w="781" w:type="dxa"/>
            <w:vAlign w:val="center"/>
          </w:tcPr>
          <w:p>
            <w:pPr>
              <w:spacing w:line="400" w:lineRule="exact"/>
              <w:jc w:val="center"/>
              <w:rPr>
                <w:rFonts w:ascii="宋体" w:hAnsi="宋体"/>
                <w:color w:val="auto"/>
                <w:szCs w:val="21"/>
                <w:highlight w:val="none"/>
              </w:rPr>
            </w:pPr>
            <w:r>
              <w:rPr>
                <w:rFonts w:ascii="宋体" w:hAnsi="宋体"/>
                <w:color w:val="auto"/>
                <w:szCs w:val="21"/>
                <w:highlight w:val="none"/>
              </w:rPr>
              <w:fldChar w:fldCharType="begin"/>
            </w:r>
            <w:r>
              <w:rPr>
                <w:rFonts w:ascii="宋体" w:hAnsi="宋体"/>
                <w:color w:val="auto"/>
                <w:szCs w:val="21"/>
                <w:highlight w:val="none"/>
              </w:rPr>
              <w:instrText xml:space="preserve"> =SUM(ABOVE) </w:instrText>
            </w:r>
            <w:r>
              <w:rPr>
                <w:rFonts w:ascii="宋体" w:hAnsi="宋体"/>
                <w:color w:val="auto"/>
                <w:szCs w:val="21"/>
                <w:highlight w:val="none"/>
              </w:rPr>
              <w:fldChar w:fldCharType="separate"/>
            </w:r>
            <w:r>
              <w:rPr>
                <w:rFonts w:ascii="宋体" w:hAnsi="宋体"/>
                <w:color w:val="auto"/>
                <w:szCs w:val="21"/>
                <w:highlight w:val="none"/>
              </w:rPr>
              <w:t>65</w:t>
            </w:r>
            <w:r>
              <w:rPr>
                <w:rFonts w:ascii="宋体" w:hAnsi="宋体"/>
                <w:color w:val="auto"/>
                <w:szCs w:val="21"/>
                <w:highlight w:val="none"/>
              </w:rPr>
              <w:fldChar w:fldCharType="end"/>
            </w:r>
          </w:p>
        </w:tc>
      </w:tr>
    </w:tbl>
    <w:p>
      <w:pPr>
        <w:widowControl/>
        <w:spacing w:line="400" w:lineRule="exact"/>
        <w:jc w:val="left"/>
        <w:rPr>
          <w:rFonts w:ascii="宋体" w:hAnsi="宋体"/>
          <w:color w:val="auto"/>
          <w:szCs w:val="21"/>
          <w:highlight w:val="none"/>
        </w:rPr>
      </w:pPr>
      <w:r>
        <w:rPr>
          <w:rFonts w:hint="eastAsia" w:ascii="宋体" w:hAnsi="宋体"/>
          <w:color w:val="auto"/>
          <w:szCs w:val="21"/>
          <w:highlight w:val="none"/>
        </w:rPr>
        <w:t>注：无相应方案、措施或表内要求提供的资料，未按要求提供的均不得分。</w:t>
      </w:r>
    </w:p>
    <w:p>
      <w:pPr>
        <w:spacing w:line="400" w:lineRule="exact"/>
        <w:rPr>
          <w:rFonts w:ascii="宋体" w:hAnsi="宋体"/>
          <w:color w:val="auto"/>
          <w:szCs w:val="21"/>
          <w:highlight w:val="none"/>
        </w:rPr>
      </w:pPr>
    </w:p>
    <w:p>
      <w:pPr>
        <w:spacing w:line="400" w:lineRule="exact"/>
        <w:rPr>
          <w:rFonts w:ascii="宋体" w:hAnsi="宋体"/>
          <w:color w:val="auto"/>
          <w:szCs w:val="21"/>
          <w:highlight w:val="none"/>
        </w:rPr>
      </w:pPr>
      <w:r>
        <w:rPr>
          <w:rFonts w:hint="eastAsia" w:ascii="宋体" w:hAnsi="宋体"/>
          <w:color w:val="auto"/>
          <w:szCs w:val="21"/>
          <w:highlight w:val="none"/>
        </w:rPr>
        <w:t>评委签名：</w:t>
      </w:r>
      <w:r>
        <w:rPr>
          <w:rFonts w:ascii="宋体" w:hAnsi="宋体"/>
          <w:color w:val="auto"/>
          <w:szCs w:val="21"/>
          <w:highlight w:val="none"/>
        </w:rPr>
        <w:t xml:space="preserve">                                                    </w:t>
      </w:r>
      <w:r>
        <w:rPr>
          <w:rFonts w:hint="eastAsia" w:ascii="宋体" w:hAnsi="宋体"/>
          <w:color w:val="auto"/>
          <w:szCs w:val="21"/>
          <w:highlight w:val="none"/>
        </w:rPr>
        <w:t>年</w:t>
      </w:r>
      <w:r>
        <w:rPr>
          <w:rFonts w:ascii="宋体" w:hAnsi="宋体"/>
          <w:color w:val="auto"/>
          <w:szCs w:val="21"/>
          <w:highlight w:val="none"/>
        </w:rPr>
        <w:t xml:space="preserve">  </w:t>
      </w:r>
      <w:r>
        <w:rPr>
          <w:rFonts w:hint="eastAsia" w:ascii="宋体" w:hAnsi="宋体"/>
          <w:color w:val="auto"/>
          <w:szCs w:val="21"/>
          <w:highlight w:val="none"/>
        </w:rPr>
        <w:t>月</w:t>
      </w:r>
      <w:r>
        <w:rPr>
          <w:rFonts w:ascii="宋体" w:hAnsi="宋体"/>
          <w:color w:val="auto"/>
          <w:szCs w:val="21"/>
          <w:highlight w:val="none"/>
        </w:rPr>
        <w:t xml:space="preserve">  </w:t>
      </w:r>
      <w:r>
        <w:rPr>
          <w:rFonts w:hint="eastAsia" w:ascii="宋体" w:hAnsi="宋体"/>
          <w:color w:val="auto"/>
          <w:szCs w:val="21"/>
          <w:highlight w:val="none"/>
        </w:rPr>
        <w:t>日</w:t>
      </w:r>
    </w:p>
    <w:p>
      <w:pPr>
        <w:spacing w:line="400" w:lineRule="exact"/>
        <w:jc w:val="center"/>
        <w:rPr>
          <w:rFonts w:ascii="宋体" w:hAnsi="宋体"/>
          <w:color w:val="auto"/>
          <w:szCs w:val="21"/>
          <w:highlight w:val="none"/>
        </w:rPr>
      </w:pPr>
      <w:r>
        <w:rPr>
          <w:rFonts w:ascii="宋体" w:hAnsi="宋体"/>
          <w:color w:val="auto"/>
          <w:szCs w:val="21"/>
          <w:highlight w:val="none"/>
        </w:rPr>
        <w:br w:type="page"/>
      </w:r>
    </w:p>
    <w:p>
      <w:pPr>
        <w:spacing w:line="400" w:lineRule="exact"/>
        <w:jc w:val="center"/>
        <w:rPr>
          <w:rFonts w:ascii="宋体" w:hAnsi="宋体"/>
          <w:color w:val="auto"/>
          <w:szCs w:val="21"/>
          <w:highlight w:val="none"/>
        </w:rPr>
      </w:pPr>
    </w:p>
    <w:p>
      <w:pPr>
        <w:spacing w:line="400" w:lineRule="exact"/>
        <w:rPr>
          <w:rFonts w:ascii="宋体" w:hAnsi="宋体"/>
          <w:color w:val="auto"/>
          <w:szCs w:val="21"/>
          <w:highlight w:val="none"/>
        </w:rPr>
      </w:pPr>
      <w:r>
        <w:rPr>
          <w:rFonts w:hint="eastAsia" w:ascii="宋体" w:hAnsi="宋体"/>
          <w:color w:val="auto"/>
          <w:szCs w:val="21"/>
          <w:highlight w:val="none"/>
        </w:rPr>
        <w:t>附表</w:t>
      </w:r>
      <w:r>
        <w:rPr>
          <w:rFonts w:ascii="宋体" w:hAnsi="宋体"/>
          <w:color w:val="auto"/>
          <w:szCs w:val="21"/>
          <w:highlight w:val="none"/>
        </w:rPr>
        <w:t>4</w:t>
      </w:r>
    </w:p>
    <w:p>
      <w:pPr>
        <w:widowControl/>
        <w:snapToGrid w:val="0"/>
        <w:spacing w:line="560" w:lineRule="exact"/>
        <w:jc w:val="center"/>
        <w:rPr>
          <w:rFonts w:ascii="宋体" w:hAnsi="宋体"/>
          <w:b/>
          <w:color w:val="auto"/>
          <w:szCs w:val="21"/>
          <w:highlight w:val="none"/>
        </w:rPr>
      </w:pPr>
      <w:r>
        <w:rPr>
          <w:rFonts w:hint="eastAsia" w:ascii="宋体" w:hAnsi="宋体"/>
          <w:b/>
          <w:color w:val="auto"/>
          <w:szCs w:val="21"/>
          <w:highlight w:val="none"/>
        </w:rPr>
        <w:t>初步审查表</w:t>
      </w:r>
    </w:p>
    <w:tbl>
      <w:tblPr>
        <w:tblStyle w:val="45"/>
        <w:tblW w:w="92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5859"/>
        <w:gridCol w:w="26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b/>
                <w:color w:val="auto"/>
                <w:szCs w:val="21"/>
                <w:highlight w:val="none"/>
              </w:rPr>
            </w:pPr>
            <w:r>
              <w:rPr>
                <w:rFonts w:hint="eastAsia" w:ascii="宋体" w:hAnsi="宋体"/>
                <w:b/>
                <w:color w:val="auto"/>
                <w:szCs w:val="21"/>
                <w:highlight w:val="none"/>
              </w:rPr>
              <w:t>序号</w:t>
            </w:r>
          </w:p>
        </w:tc>
        <w:tc>
          <w:tcPr>
            <w:tcW w:w="585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b/>
                <w:color w:val="auto"/>
                <w:szCs w:val="21"/>
                <w:highlight w:val="none"/>
              </w:rPr>
            </w:pPr>
            <w:r>
              <w:rPr>
                <w:rFonts w:hint="eastAsia" w:ascii="宋体" w:hAnsi="宋体"/>
                <w:b/>
                <w:color w:val="auto"/>
                <w:szCs w:val="21"/>
                <w:highlight w:val="none"/>
              </w:rPr>
              <w:t>要求说明</w:t>
            </w:r>
          </w:p>
        </w:tc>
        <w:tc>
          <w:tcPr>
            <w:tcW w:w="26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b/>
                <w:color w:val="auto"/>
                <w:szCs w:val="21"/>
                <w:highlight w:val="none"/>
              </w:rPr>
            </w:pPr>
            <w:r>
              <w:rPr>
                <w:rFonts w:hint="eastAsia" w:ascii="宋体" w:hAnsi="宋体"/>
                <w:b/>
                <w:color w:val="auto"/>
                <w:szCs w:val="21"/>
                <w:highlight w:val="none"/>
              </w:rPr>
              <w:t>审查要求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olor w:val="auto"/>
                <w:szCs w:val="21"/>
                <w:highlight w:val="none"/>
              </w:rPr>
            </w:pPr>
            <w:r>
              <w:rPr>
                <w:rFonts w:ascii="宋体" w:hAnsi="宋体"/>
                <w:color w:val="auto"/>
                <w:szCs w:val="21"/>
                <w:highlight w:val="none"/>
              </w:rPr>
              <w:t>1</w:t>
            </w:r>
          </w:p>
        </w:tc>
        <w:tc>
          <w:tcPr>
            <w:tcW w:w="5859"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highlight w:val="none"/>
                <w:lang w:val="en-US" w:eastAsia="zh-CN"/>
              </w:rPr>
            </w:pPr>
            <w:r>
              <w:rPr>
                <w:rFonts w:hint="eastAsia" w:ascii="宋体" w:hAnsi="宋体"/>
                <w:color w:val="auto"/>
                <w:szCs w:val="21"/>
                <w:highlight w:val="none"/>
                <w:lang w:val="en-US" w:eastAsia="zh-CN"/>
              </w:rPr>
              <w:t>1、</w:t>
            </w:r>
            <w:r>
              <w:rPr>
                <w:rFonts w:hint="eastAsia" w:ascii="宋体" w:hAnsi="宋体"/>
                <w:color w:val="auto"/>
                <w:szCs w:val="21"/>
                <w:highlight w:val="none"/>
              </w:rPr>
              <w:t>本次公开招标设有预算价：</w:t>
            </w:r>
            <w:r>
              <w:rPr>
                <w:rFonts w:hint="eastAsia" w:ascii="宋体" w:hAnsi="宋体"/>
                <w:color w:val="auto"/>
                <w:szCs w:val="21"/>
                <w:highlight w:val="none"/>
                <w:lang w:val="en-US" w:eastAsia="zh-CN"/>
              </w:rPr>
              <w:t>54</w:t>
            </w:r>
            <w:r>
              <w:rPr>
                <w:rFonts w:hint="eastAsia" w:ascii="宋体" w:hAnsi="宋体"/>
                <w:color w:val="auto"/>
                <w:szCs w:val="21"/>
                <w:highlight w:val="none"/>
              </w:rPr>
              <w:t>万元，投标报价超出对应预算价的投标无效。</w:t>
            </w:r>
          </w:p>
        </w:tc>
        <w:tc>
          <w:tcPr>
            <w:tcW w:w="2651"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olor w:val="auto"/>
                <w:szCs w:val="21"/>
                <w:highlight w:val="none"/>
              </w:rPr>
            </w:pPr>
            <w:r>
              <w:rPr>
                <w:rFonts w:hint="eastAsia" w:ascii="宋体" w:hAnsi="宋体"/>
                <w:color w:val="auto"/>
                <w:szCs w:val="21"/>
                <w:highlight w:val="none"/>
              </w:rPr>
              <w:t>提供“开标一览表”</w:t>
            </w:r>
            <w:r>
              <w:rPr>
                <w:rFonts w:hint="eastAsia" w:ascii="宋体" w:hAnsi="宋体" w:cs="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olor w:val="auto"/>
                <w:szCs w:val="21"/>
                <w:highlight w:val="none"/>
              </w:rPr>
            </w:pPr>
            <w:r>
              <w:rPr>
                <w:rFonts w:hint="eastAsia" w:ascii="宋体" w:hAnsi="宋体"/>
                <w:color w:val="auto"/>
                <w:szCs w:val="21"/>
                <w:highlight w:val="none"/>
              </w:rPr>
              <w:t>2</w:t>
            </w:r>
          </w:p>
        </w:tc>
        <w:tc>
          <w:tcPr>
            <w:tcW w:w="5859"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olor w:val="auto"/>
                <w:szCs w:val="21"/>
                <w:highlight w:val="none"/>
              </w:rPr>
            </w:pPr>
            <w:r>
              <w:rPr>
                <w:rFonts w:hint="eastAsia" w:ascii="宋体" w:hAnsi="宋体"/>
                <w:color w:val="auto"/>
                <w:szCs w:val="21"/>
                <w:highlight w:val="none"/>
              </w:rPr>
              <w:t>符合第二章“投标须知”第九、</w:t>
            </w:r>
            <w:r>
              <w:rPr>
                <w:rFonts w:ascii="宋体" w:hAnsi="宋体"/>
                <w:color w:val="auto"/>
                <w:szCs w:val="21"/>
                <w:highlight w:val="none"/>
              </w:rPr>
              <w:t>1</w:t>
            </w:r>
            <w:r>
              <w:rPr>
                <w:rFonts w:hint="eastAsia" w:ascii="宋体" w:hAnsi="宋体"/>
                <w:color w:val="auto"/>
                <w:szCs w:val="21"/>
                <w:highlight w:val="none"/>
              </w:rPr>
              <w:t>条的要求。</w:t>
            </w:r>
          </w:p>
        </w:tc>
        <w:tc>
          <w:tcPr>
            <w:tcW w:w="2651"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olor w:val="auto"/>
                <w:szCs w:val="21"/>
                <w:highlight w:val="none"/>
              </w:rPr>
            </w:pPr>
            <w:r>
              <w:rPr>
                <w:rFonts w:hint="eastAsia" w:ascii="宋体" w:hAnsi="宋体"/>
                <w:color w:val="auto"/>
                <w:szCs w:val="21"/>
                <w:highlight w:val="none"/>
              </w:rPr>
              <w:t>投标文件的签署盖章符合所述要求。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olor w:val="auto"/>
                <w:szCs w:val="21"/>
                <w:highlight w:val="none"/>
              </w:rPr>
            </w:pPr>
            <w:r>
              <w:rPr>
                <w:rFonts w:hint="eastAsia" w:ascii="宋体" w:hAnsi="宋体"/>
                <w:color w:val="auto"/>
                <w:szCs w:val="21"/>
                <w:highlight w:val="none"/>
              </w:rPr>
              <w:t>3</w:t>
            </w:r>
          </w:p>
        </w:tc>
        <w:tc>
          <w:tcPr>
            <w:tcW w:w="5859"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olor w:val="auto"/>
                <w:szCs w:val="21"/>
                <w:highlight w:val="none"/>
              </w:rPr>
            </w:pPr>
            <w:r>
              <w:rPr>
                <w:rFonts w:hint="eastAsia" w:ascii="宋体" w:hAnsi="宋体"/>
                <w:color w:val="auto"/>
                <w:szCs w:val="21"/>
                <w:highlight w:val="none"/>
              </w:rPr>
              <w:t>供应商不得出现赠送或零元报价。</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olor w:val="auto"/>
                <w:szCs w:val="21"/>
                <w:highlight w:val="none"/>
              </w:rPr>
            </w:pPr>
            <w:r>
              <w:rPr>
                <w:rFonts w:hint="eastAsia" w:ascii="宋体" w:hAnsi="宋体"/>
                <w:color w:val="auto"/>
                <w:szCs w:val="21"/>
                <w:highlight w:val="none"/>
              </w:rPr>
              <w:t>评标委员会认为供应商的报价明显低于其他通过第一阶段评审供应商的报价，有可能影响产品质量或者不能诚信履约的，应当要求其在评标现场合理的时间内提供书面说明，必要时提交相关证明材料；供应商不能证明其报价合理性的，评标委员会应当将其作为无效投标处理。</w:t>
            </w:r>
          </w:p>
        </w:tc>
        <w:tc>
          <w:tcPr>
            <w:tcW w:w="2651"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olor w:val="auto"/>
                <w:szCs w:val="21"/>
                <w:highlight w:val="none"/>
              </w:rPr>
            </w:pPr>
            <w:r>
              <w:rPr>
                <w:rFonts w:hint="eastAsia" w:ascii="宋体" w:hAnsi="宋体"/>
                <w:color w:val="auto"/>
                <w:szCs w:val="21"/>
                <w:highlight w:val="none"/>
              </w:rPr>
              <w:t>符合所述要求。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olor w:val="auto"/>
                <w:szCs w:val="21"/>
                <w:highlight w:val="none"/>
              </w:rPr>
            </w:pPr>
            <w:r>
              <w:rPr>
                <w:rFonts w:hint="eastAsia" w:ascii="宋体" w:hAnsi="宋体"/>
                <w:color w:val="auto"/>
                <w:szCs w:val="21"/>
                <w:highlight w:val="none"/>
              </w:rPr>
              <w:t>4</w:t>
            </w:r>
          </w:p>
        </w:tc>
        <w:tc>
          <w:tcPr>
            <w:tcW w:w="5859"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olor w:val="auto"/>
                <w:szCs w:val="21"/>
                <w:highlight w:val="none"/>
              </w:rPr>
            </w:pPr>
            <w:r>
              <w:rPr>
                <w:rFonts w:hint="eastAsia" w:ascii="宋体" w:hAnsi="宋体"/>
                <w:color w:val="auto"/>
                <w:szCs w:val="21"/>
                <w:highlight w:val="none"/>
              </w:rPr>
              <w:t>符合法律、法规和招标文件中规定的其他实质性要求（实质性要求招标文件中“</w:t>
            </w:r>
            <w:r>
              <w:rPr>
                <w:rFonts w:hint="eastAsia" w:ascii="宋体" w:hAnsi="宋体"/>
                <w:b/>
                <w:color w:val="auto"/>
                <w:sz w:val="24"/>
                <w:highlight w:val="none"/>
              </w:rPr>
              <w:t>▲</w:t>
            </w:r>
            <w:r>
              <w:rPr>
                <w:rFonts w:hint="eastAsia" w:ascii="宋体" w:hAnsi="宋体"/>
                <w:color w:val="auto"/>
                <w:szCs w:val="21"/>
                <w:highlight w:val="none"/>
              </w:rPr>
              <w:t>”标记）。</w:t>
            </w:r>
          </w:p>
        </w:tc>
        <w:tc>
          <w:tcPr>
            <w:tcW w:w="2651"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olor w:val="auto"/>
                <w:szCs w:val="21"/>
                <w:highlight w:val="none"/>
              </w:rPr>
            </w:pPr>
            <w:r>
              <w:rPr>
                <w:rFonts w:hint="eastAsia" w:ascii="宋体" w:hAnsi="宋体"/>
                <w:color w:val="auto"/>
                <w:szCs w:val="21"/>
                <w:highlight w:val="none"/>
              </w:rPr>
              <w:t>符合所述要求。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79"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olor w:val="auto"/>
                <w:szCs w:val="21"/>
                <w:highlight w:val="none"/>
              </w:rPr>
            </w:pPr>
            <w:r>
              <w:rPr>
                <w:rFonts w:hint="eastAsia" w:ascii="宋体" w:hAnsi="宋体"/>
                <w:b/>
                <w:color w:val="auto"/>
                <w:szCs w:val="21"/>
                <w:highlight w:val="none"/>
              </w:rPr>
              <w:t>初步审查结论</w:t>
            </w:r>
          </w:p>
        </w:tc>
        <w:tc>
          <w:tcPr>
            <w:tcW w:w="2651"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olor w:val="auto"/>
                <w:szCs w:val="21"/>
                <w:highlight w:val="none"/>
              </w:rPr>
            </w:pPr>
          </w:p>
        </w:tc>
      </w:tr>
    </w:tbl>
    <w:p>
      <w:pPr>
        <w:spacing w:line="400" w:lineRule="exact"/>
        <w:rPr>
          <w:rFonts w:ascii="宋体" w:hAnsi="宋体"/>
          <w:color w:val="auto"/>
          <w:szCs w:val="21"/>
          <w:highlight w:val="none"/>
        </w:rPr>
      </w:pPr>
      <w:r>
        <w:rPr>
          <w:rFonts w:hint="eastAsia" w:ascii="宋体" w:hAnsi="宋体"/>
          <w:b/>
          <w:color w:val="auto"/>
          <w:highlight w:val="none"/>
        </w:rPr>
        <w:t>注：</w:t>
      </w:r>
      <w:r>
        <w:rPr>
          <w:rFonts w:ascii="宋体" w:hAnsi="宋体"/>
          <w:b/>
          <w:color w:val="auto"/>
          <w:highlight w:val="none"/>
        </w:rPr>
        <w:t>1</w:t>
      </w:r>
      <w:r>
        <w:rPr>
          <w:rFonts w:hint="eastAsia" w:ascii="宋体" w:hAnsi="宋体"/>
          <w:b/>
          <w:color w:val="auto"/>
          <w:highlight w:val="none"/>
        </w:rPr>
        <w:t>、上述审查项目中，任意一项不符合的，初步审查不合格。</w:t>
      </w:r>
    </w:p>
    <w:p>
      <w:pPr>
        <w:spacing w:line="400" w:lineRule="exact"/>
        <w:rPr>
          <w:rFonts w:ascii="宋体" w:hAnsi="宋体"/>
          <w:b/>
          <w:color w:val="auto"/>
          <w:highlight w:val="none"/>
        </w:rPr>
      </w:pPr>
      <w:r>
        <w:rPr>
          <w:rFonts w:hint="eastAsia" w:ascii="宋体" w:hAnsi="宋体"/>
          <w:b/>
          <w:color w:val="auto"/>
          <w:highlight w:val="none"/>
        </w:rPr>
        <w:t xml:space="preserve">    2、序号2-序号4在政采云上无须添加关联点。</w:t>
      </w:r>
    </w:p>
    <w:p>
      <w:pPr>
        <w:rPr>
          <w:rFonts w:ascii="宋体" w:hAnsi="宋体"/>
          <w:b/>
          <w:color w:val="auto"/>
          <w:highlight w:val="none"/>
        </w:rPr>
      </w:pPr>
      <w:r>
        <w:rPr>
          <w:rFonts w:hint="eastAsia" w:ascii="宋体" w:hAnsi="宋体"/>
          <w:b/>
          <w:color w:val="auto"/>
          <w:highlight w:val="none"/>
        </w:rPr>
        <w:br w:type="page"/>
      </w:r>
    </w:p>
    <w:p>
      <w:pPr>
        <w:rPr>
          <w:rFonts w:ascii="宋体" w:hAnsi="宋体"/>
          <w:b/>
          <w:color w:val="auto"/>
          <w:szCs w:val="21"/>
          <w:highlight w:val="none"/>
        </w:rPr>
      </w:pPr>
      <w:r>
        <w:rPr>
          <w:rFonts w:hint="eastAsia" w:ascii="宋体" w:hAnsi="宋体"/>
          <w:color w:val="auto"/>
          <w:szCs w:val="21"/>
          <w:highlight w:val="none"/>
        </w:rPr>
        <w:t>附表</w:t>
      </w:r>
      <w:r>
        <w:rPr>
          <w:rFonts w:ascii="宋体" w:hAnsi="宋体"/>
          <w:color w:val="auto"/>
          <w:szCs w:val="21"/>
          <w:highlight w:val="none"/>
        </w:rPr>
        <w:t>5</w:t>
      </w:r>
    </w:p>
    <w:p>
      <w:pPr>
        <w:widowControl/>
        <w:snapToGrid w:val="0"/>
        <w:spacing w:line="560" w:lineRule="exact"/>
        <w:jc w:val="center"/>
        <w:rPr>
          <w:rFonts w:ascii="宋体" w:hAnsi="宋体"/>
          <w:b/>
          <w:color w:val="auto"/>
          <w:szCs w:val="21"/>
          <w:highlight w:val="none"/>
        </w:rPr>
      </w:pPr>
      <w:r>
        <w:rPr>
          <w:rFonts w:hint="eastAsia" w:ascii="宋体" w:hAnsi="宋体"/>
          <w:b/>
          <w:color w:val="auto"/>
          <w:szCs w:val="21"/>
          <w:highlight w:val="none"/>
        </w:rPr>
        <w:t>价格评分表</w:t>
      </w:r>
    </w:p>
    <w:p>
      <w:pPr>
        <w:spacing w:line="320" w:lineRule="exact"/>
        <w:rPr>
          <w:rFonts w:ascii="宋体" w:hAnsi="宋体"/>
          <w:b/>
          <w:color w:val="auto"/>
          <w:szCs w:val="21"/>
          <w:highlight w:val="none"/>
        </w:rPr>
      </w:pPr>
      <w:r>
        <w:rPr>
          <w:rFonts w:hint="eastAsia" w:ascii="宋体" w:hAnsi="宋体"/>
          <w:b/>
          <w:color w:val="auto"/>
          <w:szCs w:val="21"/>
          <w:highlight w:val="none"/>
        </w:rPr>
        <w:t>项目编号：330282202311009365</w:t>
      </w:r>
      <w:r>
        <w:rPr>
          <w:rFonts w:hint="eastAsia" w:ascii="宋体" w:hAnsi="宋体"/>
          <w:b/>
          <w:color w:val="auto"/>
          <w:szCs w:val="21"/>
          <w:highlight w:val="none"/>
          <w:lang w:val="en-US" w:eastAsia="zh-CN"/>
        </w:rPr>
        <w:t xml:space="preserve"> </w:t>
      </w:r>
      <w:r>
        <w:rPr>
          <w:rFonts w:ascii="宋体" w:hAnsi="宋体"/>
          <w:b/>
          <w:color w:val="auto"/>
          <w:szCs w:val="21"/>
          <w:highlight w:val="none"/>
        </w:rPr>
        <w:t xml:space="preserve">                             </w:t>
      </w:r>
      <w:r>
        <w:rPr>
          <w:rFonts w:hint="eastAsia" w:ascii="宋体" w:hAnsi="宋体"/>
          <w:b/>
          <w:color w:val="auto"/>
          <w:szCs w:val="21"/>
          <w:highlight w:val="none"/>
        </w:rPr>
        <w:t xml:space="preserve">    </w:t>
      </w:r>
      <w:r>
        <w:rPr>
          <w:rFonts w:ascii="宋体" w:hAnsi="宋体"/>
          <w:b/>
          <w:color w:val="auto"/>
          <w:szCs w:val="21"/>
          <w:highlight w:val="none"/>
        </w:rPr>
        <w:t xml:space="preserve">     </w:t>
      </w:r>
    </w:p>
    <w:tbl>
      <w:tblPr>
        <w:tblStyle w:val="45"/>
        <w:tblW w:w="92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7604"/>
        <w:gridCol w:w="9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1" w:hRule="atLeast"/>
          <w:jc w:val="center"/>
        </w:trPr>
        <w:tc>
          <w:tcPr>
            <w:tcW w:w="8279" w:type="dxa"/>
            <w:gridSpan w:val="2"/>
            <w:tcBorders>
              <w:tl2br w:val="single" w:color="000000" w:sz="4" w:space="0"/>
            </w:tcBorders>
          </w:tcPr>
          <w:p>
            <w:pPr>
              <w:spacing w:line="400" w:lineRule="exact"/>
              <w:ind w:right="420" w:firstLine="4410" w:firstLineChars="2100"/>
              <w:rPr>
                <w:rFonts w:ascii="宋体" w:hAnsi="宋体"/>
                <w:color w:val="auto"/>
                <w:szCs w:val="21"/>
                <w:highlight w:val="none"/>
              </w:rPr>
            </w:pPr>
            <w:r>
              <w:rPr>
                <w:rFonts w:ascii="宋体" w:hAnsi="宋体"/>
                <w:color w:val="auto"/>
                <w:szCs w:val="21"/>
                <w:highlight w:val="none"/>
              </w:rPr>
              <w:t xml:space="preserve">                        </w:t>
            </w:r>
            <w:r>
              <w:rPr>
                <w:rFonts w:hint="eastAsia" w:ascii="宋体" w:hAnsi="宋体"/>
                <w:color w:val="auto"/>
                <w:szCs w:val="21"/>
                <w:highlight w:val="none"/>
              </w:rPr>
              <w:t>供应商</w:t>
            </w:r>
          </w:p>
          <w:p>
            <w:pPr>
              <w:spacing w:line="400" w:lineRule="exact"/>
              <w:ind w:firstLine="945" w:firstLineChars="450"/>
              <w:rPr>
                <w:rFonts w:ascii="宋体" w:hAnsi="宋体"/>
                <w:color w:val="auto"/>
                <w:szCs w:val="21"/>
                <w:highlight w:val="none"/>
                <w:lang w:val="ru-RU"/>
              </w:rPr>
            </w:pPr>
            <w:r>
              <w:rPr>
                <w:rFonts w:hint="eastAsia" w:ascii="宋体" w:hAnsi="宋体"/>
                <w:color w:val="auto"/>
                <w:szCs w:val="21"/>
                <w:highlight w:val="none"/>
              </w:rPr>
              <w:t>分值</w:t>
            </w:r>
          </w:p>
        </w:tc>
        <w:tc>
          <w:tcPr>
            <w:tcW w:w="955" w:type="dxa"/>
            <w:vAlign w:val="center"/>
          </w:tcPr>
          <w:p>
            <w:pPr>
              <w:spacing w:line="400" w:lineRule="exact"/>
              <w:jc w:val="center"/>
              <w:rPr>
                <w:rFonts w:ascii="宋体" w:hAnsi="宋体"/>
                <w:color w:val="auto"/>
                <w:szCs w:val="21"/>
                <w:highlight w:val="none"/>
                <w:lang w:val="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1" w:hRule="atLeast"/>
          <w:jc w:val="center"/>
        </w:trPr>
        <w:tc>
          <w:tcPr>
            <w:tcW w:w="675" w:type="dxa"/>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价格分35分</w:t>
            </w:r>
          </w:p>
        </w:tc>
        <w:tc>
          <w:tcPr>
            <w:tcW w:w="7604" w:type="dxa"/>
            <w:vAlign w:val="center"/>
          </w:tcPr>
          <w:p>
            <w:pPr>
              <w:adjustRightInd w:val="0"/>
              <w:spacing w:line="400" w:lineRule="exact"/>
              <w:rPr>
                <w:rFonts w:hint="eastAsia" w:ascii="宋体" w:hAnsi="宋体" w:eastAsia="宋体"/>
                <w:color w:val="auto"/>
                <w:szCs w:val="21"/>
                <w:highlight w:val="none"/>
                <w:lang w:eastAsia="zh-CN"/>
              </w:rPr>
            </w:pPr>
            <w:r>
              <w:rPr>
                <w:rFonts w:hint="eastAsia" w:ascii="宋体" w:hAnsi="宋体"/>
                <w:color w:val="auto"/>
                <w:szCs w:val="21"/>
                <w:highlight w:val="none"/>
              </w:rPr>
              <w:t>参与评审的价格</w:t>
            </w:r>
            <w:r>
              <w:rPr>
                <w:rFonts w:ascii="宋体" w:hAnsi="宋体"/>
                <w:color w:val="auto"/>
                <w:szCs w:val="21"/>
                <w:highlight w:val="none"/>
              </w:rPr>
              <w:t>=</w:t>
            </w:r>
            <w:r>
              <w:rPr>
                <w:rFonts w:hint="eastAsia" w:ascii="宋体" w:hAnsi="宋体"/>
                <w:color w:val="auto"/>
                <w:szCs w:val="21"/>
                <w:highlight w:val="none"/>
              </w:rPr>
              <w:t>评标价</w:t>
            </w:r>
            <w:r>
              <w:rPr>
                <w:rFonts w:ascii="方正书宋简体" w:hAnsi="方正书宋简体"/>
                <w:color w:val="auto"/>
                <w:szCs w:val="21"/>
                <w:highlight w:val="none"/>
              </w:rPr>
              <w:t>-</w:t>
            </w:r>
            <w:r>
              <w:rPr>
                <w:rFonts w:hint="eastAsia" w:ascii="方正书宋简体" w:hAnsi="方正书宋简体"/>
                <w:color w:val="auto"/>
                <w:szCs w:val="21"/>
                <w:highlight w:val="none"/>
              </w:rPr>
              <w:t>小微企业价格扣除优惠值</w:t>
            </w:r>
          </w:p>
          <w:p>
            <w:pPr>
              <w:adjustRightInd w:val="0"/>
              <w:spacing w:line="400" w:lineRule="exact"/>
              <w:rPr>
                <w:rFonts w:ascii="宋体" w:hAnsi="宋体"/>
                <w:color w:val="auto"/>
                <w:szCs w:val="21"/>
                <w:highlight w:val="none"/>
              </w:rPr>
            </w:pPr>
            <w:r>
              <w:rPr>
                <w:rFonts w:hint="eastAsia" w:ascii="宋体" w:hAnsi="宋体"/>
                <w:color w:val="auto"/>
                <w:szCs w:val="21"/>
                <w:highlight w:val="none"/>
              </w:rPr>
              <w:t>评标基准价</w:t>
            </w:r>
            <w:r>
              <w:rPr>
                <w:rFonts w:ascii="宋体" w:hAnsi="宋体"/>
                <w:color w:val="auto"/>
                <w:szCs w:val="21"/>
                <w:highlight w:val="none"/>
              </w:rPr>
              <w:t>=</w:t>
            </w:r>
            <w:r>
              <w:rPr>
                <w:rFonts w:hint="eastAsia" w:ascii="宋体" w:hAnsi="宋体"/>
                <w:color w:val="auto"/>
                <w:szCs w:val="21"/>
                <w:highlight w:val="none"/>
              </w:rPr>
              <w:t>满足招标文件要求且“参与评审的价格”中最低的价格为评标基准价</w:t>
            </w:r>
          </w:p>
          <w:p>
            <w:pPr>
              <w:adjustRightInd w:val="0"/>
              <w:spacing w:line="400" w:lineRule="exact"/>
              <w:rPr>
                <w:rFonts w:ascii="宋体" w:hAnsi="宋体"/>
                <w:color w:val="auto"/>
                <w:szCs w:val="21"/>
                <w:highlight w:val="none"/>
              </w:rPr>
            </w:pPr>
            <w:r>
              <w:rPr>
                <w:rFonts w:hint="eastAsia" w:ascii="宋体" w:hAnsi="宋体"/>
                <w:color w:val="auto"/>
                <w:szCs w:val="21"/>
                <w:highlight w:val="none"/>
              </w:rPr>
              <w:t>基准价得分为满分35分，其他供应商报价得分计算公式如下：</w:t>
            </w:r>
          </w:p>
          <w:p>
            <w:pPr>
              <w:spacing w:line="400" w:lineRule="exact"/>
              <w:rPr>
                <w:rFonts w:ascii="宋体" w:hAnsi="宋体"/>
                <w:color w:val="auto"/>
                <w:szCs w:val="21"/>
                <w:highlight w:val="none"/>
              </w:rPr>
            </w:pPr>
            <w:r>
              <w:rPr>
                <w:rFonts w:hint="eastAsia" w:ascii="宋体" w:hAnsi="宋体"/>
                <w:color w:val="auto"/>
                <w:szCs w:val="21"/>
                <w:highlight w:val="none"/>
              </w:rPr>
              <w:t>其他供应商报价得分</w:t>
            </w:r>
            <w:r>
              <w:rPr>
                <w:rFonts w:ascii="宋体" w:hAnsi="宋体"/>
                <w:color w:val="auto"/>
                <w:szCs w:val="21"/>
                <w:highlight w:val="none"/>
              </w:rPr>
              <w:t>=（</w:t>
            </w:r>
            <w:r>
              <w:rPr>
                <w:rFonts w:hint="eastAsia" w:ascii="宋体" w:hAnsi="宋体"/>
                <w:color w:val="auto"/>
                <w:szCs w:val="21"/>
                <w:highlight w:val="none"/>
              </w:rPr>
              <w:t>评标基准价</w:t>
            </w:r>
            <w:r>
              <w:rPr>
                <w:rFonts w:ascii="宋体" w:hAnsi="宋体"/>
                <w:color w:val="auto"/>
                <w:szCs w:val="21"/>
                <w:highlight w:val="none"/>
              </w:rPr>
              <w:t>/</w:t>
            </w:r>
            <w:r>
              <w:rPr>
                <w:rFonts w:hint="eastAsia" w:ascii="宋体" w:hAnsi="宋体"/>
                <w:color w:val="auto"/>
                <w:szCs w:val="21"/>
                <w:highlight w:val="none"/>
              </w:rPr>
              <w:t>参与评审的价格</w:t>
            </w:r>
            <w:r>
              <w:rPr>
                <w:rFonts w:ascii="宋体" w:hAnsi="宋体"/>
                <w:color w:val="auto"/>
                <w:szCs w:val="21"/>
                <w:highlight w:val="none"/>
              </w:rPr>
              <w:t>）</w:t>
            </w:r>
            <w:r>
              <w:rPr>
                <w:rFonts w:hint="eastAsia" w:ascii="宋体" w:hAnsi="宋体"/>
                <w:color w:val="auto"/>
                <w:szCs w:val="21"/>
                <w:highlight w:val="none"/>
              </w:rPr>
              <w:t>×35%×</w:t>
            </w:r>
            <w:r>
              <w:rPr>
                <w:rFonts w:ascii="宋体" w:hAnsi="宋体"/>
                <w:color w:val="auto"/>
                <w:szCs w:val="21"/>
                <w:highlight w:val="none"/>
              </w:rPr>
              <w:t>100</w:t>
            </w:r>
          </w:p>
        </w:tc>
        <w:tc>
          <w:tcPr>
            <w:tcW w:w="955" w:type="dxa"/>
            <w:vAlign w:val="center"/>
          </w:tcPr>
          <w:p>
            <w:pPr>
              <w:spacing w:line="40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279" w:type="dxa"/>
            <w:gridSpan w:val="2"/>
            <w:vAlign w:val="center"/>
          </w:tcPr>
          <w:p>
            <w:pPr>
              <w:spacing w:line="400" w:lineRule="exact"/>
              <w:jc w:val="center"/>
              <w:rPr>
                <w:rFonts w:ascii="宋体" w:hAnsi="宋体"/>
                <w:color w:val="auto"/>
                <w:szCs w:val="21"/>
                <w:highlight w:val="none"/>
              </w:rPr>
            </w:pPr>
            <w:r>
              <w:rPr>
                <w:rFonts w:hint="eastAsia" w:ascii="宋体" w:hAnsi="宋体"/>
                <w:b/>
                <w:color w:val="auto"/>
                <w:szCs w:val="21"/>
                <w:highlight w:val="none"/>
              </w:rPr>
              <w:t>报价得分（35分）</w:t>
            </w:r>
          </w:p>
        </w:tc>
        <w:tc>
          <w:tcPr>
            <w:tcW w:w="955" w:type="dxa"/>
            <w:vAlign w:val="center"/>
          </w:tcPr>
          <w:p>
            <w:pPr>
              <w:spacing w:line="400" w:lineRule="exact"/>
              <w:jc w:val="center"/>
              <w:rPr>
                <w:rFonts w:ascii="宋体" w:hAnsi="宋体"/>
                <w:color w:val="auto"/>
                <w:szCs w:val="21"/>
                <w:highlight w:val="none"/>
              </w:rPr>
            </w:pPr>
          </w:p>
        </w:tc>
      </w:tr>
    </w:tbl>
    <w:p>
      <w:pPr>
        <w:widowControl/>
        <w:snapToGrid w:val="0"/>
        <w:spacing w:line="560" w:lineRule="exact"/>
        <w:jc w:val="center"/>
        <w:rPr>
          <w:rFonts w:ascii="宋体" w:hAnsi="宋体"/>
          <w:b/>
          <w:color w:val="auto"/>
          <w:szCs w:val="21"/>
          <w:highlight w:val="none"/>
        </w:rPr>
      </w:pPr>
    </w:p>
    <w:p>
      <w:pPr>
        <w:ind w:right="-1226" w:rightChars="-584"/>
        <w:jc w:val="center"/>
        <w:rPr>
          <w:rFonts w:ascii="宋体" w:hAnsi="宋体"/>
          <w:color w:val="auto"/>
          <w:sz w:val="28"/>
          <w:szCs w:val="28"/>
          <w:highlight w:val="none"/>
        </w:rPr>
        <w:sectPr>
          <w:headerReference r:id="rId7" w:type="default"/>
          <w:footerReference r:id="rId8" w:type="default"/>
          <w:type w:val="nextColumn"/>
          <w:pgSz w:w="11907" w:h="16840"/>
          <w:pgMar w:top="1247" w:right="1361" w:bottom="1247" w:left="1361" w:header="285" w:footer="616" w:gutter="0"/>
          <w:pgNumType w:fmt="decimal" w:start="1"/>
          <w:cols w:space="720" w:num="1"/>
          <w:docGrid w:linePitch="285" w:charSpace="0"/>
        </w:sectPr>
      </w:pPr>
    </w:p>
    <w:p>
      <w:pPr>
        <w:spacing w:line="400" w:lineRule="exact"/>
        <w:jc w:val="center"/>
        <w:outlineLvl w:val="0"/>
        <w:rPr>
          <w:rFonts w:ascii="宋体" w:hAnsi="宋体"/>
          <w:b/>
          <w:color w:val="auto"/>
          <w:sz w:val="32"/>
          <w:highlight w:val="none"/>
        </w:rPr>
      </w:pPr>
      <w:bookmarkStart w:id="45" w:name="_Toc21541020"/>
      <w:bookmarkStart w:id="46" w:name="_Toc65915709"/>
      <w:r>
        <w:rPr>
          <w:rFonts w:hint="eastAsia" w:ascii="宋体" w:hAnsi="宋体"/>
          <w:b/>
          <w:color w:val="auto"/>
          <w:sz w:val="32"/>
          <w:highlight w:val="none"/>
        </w:rPr>
        <w:t>第四章</w:t>
      </w:r>
      <w:r>
        <w:rPr>
          <w:rFonts w:ascii="宋体" w:hAnsi="宋体"/>
          <w:b/>
          <w:color w:val="auto"/>
          <w:sz w:val="32"/>
          <w:highlight w:val="none"/>
        </w:rPr>
        <w:t xml:space="preserve">  </w:t>
      </w:r>
      <w:r>
        <w:rPr>
          <w:rFonts w:hint="eastAsia" w:ascii="宋体" w:hAnsi="宋体"/>
          <w:b/>
          <w:color w:val="auto"/>
          <w:sz w:val="32"/>
          <w:highlight w:val="none"/>
        </w:rPr>
        <w:t>采购合同样本</w:t>
      </w:r>
      <w:bookmarkEnd w:id="45"/>
      <w:bookmarkEnd w:id="46"/>
    </w:p>
    <w:p>
      <w:pPr>
        <w:pStyle w:val="22"/>
        <w:snapToGrid w:val="0"/>
        <w:spacing w:line="400" w:lineRule="exact"/>
        <w:jc w:val="center"/>
        <w:rPr>
          <w:rFonts w:hAnsi="宋体"/>
          <w:b/>
          <w:color w:val="auto"/>
          <w:sz w:val="21"/>
          <w:szCs w:val="21"/>
          <w:highlight w:val="none"/>
        </w:rPr>
      </w:pPr>
      <w:r>
        <w:rPr>
          <w:rFonts w:hint="eastAsia" w:hAnsi="宋体"/>
          <w:b/>
          <w:color w:val="auto"/>
          <w:sz w:val="21"/>
          <w:szCs w:val="21"/>
          <w:highlight w:val="none"/>
        </w:rPr>
        <w:t>（本合同为合同样稿，最终稿由甲乙双方协商后确定）</w:t>
      </w:r>
    </w:p>
    <w:p>
      <w:pPr>
        <w:pStyle w:val="22"/>
        <w:snapToGrid w:val="0"/>
        <w:spacing w:line="400" w:lineRule="exact"/>
        <w:jc w:val="center"/>
        <w:rPr>
          <w:rFonts w:hAnsi="宋体"/>
          <w:b/>
          <w:color w:val="auto"/>
          <w:sz w:val="21"/>
          <w:szCs w:val="21"/>
          <w:highlight w:val="none"/>
        </w:rPr>
      </w:pPr>
      <w:r>
        <w:rPr>
          <w:rFonts w:hint="eastAsia" w:hAnsi="宋体"/>
          <w:b/>
          <w:color w:val="auto"/>
          <w:sz w:val="21"/>
          <w:szCs w:val="21"/>
          <w:highlight w:val="none"/>
        </w:rPr>
        <w:t>（适用于所有标项）</w:t>
      </w:r>
    </w:p>
    <w:p>
      <w:pPr>
        <w:spacing w:line="400" w:lineRule="exact"/>
        <w:rPr>
          <w:rFonts w:hint="eastAsia" w:ascii="宋体" w:hAnsi="宋体" w:eastAsia="宋体"/>
          <w:color w:val="auto"/>
          <w:szCs w:val="21"/>
          <w:highlight w:val="none"/>
          <w:lang w:eastAsia="zh-CN"/>
        </w:rPr>
      </w:pPr>
      <w:r>
        <w:rPr>
          <w:rFonts w:ascii="宋体" w:hAnsi="宋体"/>
          <w:color w:val="auto"/>
          <w:szCs w:val="21"/>
          <w:highlight w:val="none"/>
        </w:rPr>
        <w:t>项目名称：</w:t>
      </w:r>
      <w:r>
        <w:rPr>
          <w:rFonts w:hint="eastAsia" w:ascii="宋体" w:hAnsi="宋体"/>
          <w:color w:val="auto"/>
          <w:szCs w:val="21"/>
          <w:highlight w:val="none"/>
          <w:lang w:eastAsia="zh-CN"/>
        </w:rPr>
        <w:t>温州医科大学慈溪生物医药研究院三维皮肤气液交换培养生物反应器采购项目</w:t>
      </w:r>
    </w:p>
    <w:p>
      <w:pPr>
        <w:spacing w:line="400" w:lineRule="exact"/>
        <w:rPr>
          <w:rFonts w:hint="eastAsia" w:ascii="宋体" w:hAnsi="宋体" w:eastAsia="宋体"/>
          <w:color w:val="auto"/>
          <w:szCs w:val="21"/>
          <w:highlight w:val="none"/>
          <w:lang w:eastAsia="zh-CN"/>
        </w:rPr>
      </w:pPr>
      <w:r>
        <w:rPr>
          <w:rFonts w:hint="eastAsia" w:ascii="宋体" w:hAnsi="宋体"/>
          <w:color w:val="auto"/>
          <w:szCs w:val="21"/>
          <w:highlight w:val="none"/>
        </w:rPr>
        <w:t>项目编号</w:t>
      </w:r>
      <w:r>
        <w:rPr>
          <w:rFonts w:ascii="宋体" w:hAnsi="宋体"/>
          <w:color w:val="auto"/>
          <w:szCs w:val="21"/>
          <w:highlight w:val="none"/>
        </w:rPr>
        <w:t>：</w:t>
      </w:r>
      <w:r>
        <w:rPr>
          <w:rFonts w:hint="eastAsia" w:ascii="宋体" w:hAnsi="宋体"/>
          <w:color w:val="auto"/>
          <w:szCs w:val="21"/>
          <w:highlight w:val="none"/>
          <w:lang w:val="en-US" w:eastAsia="zh-CN"/>
        </w:rPr>
        <w:t xml:space="preserve"> 330282202311009365</w:t>
      </w:r>
    </w:p>
    <w:p>
      <w:pPr>
        <w:spacing w:line="400" w:lineRule="exact"/>
        <w:rPr>
          <w:rFonts w:ascii="宋体" w:hAnsi="宋体"/>
          <w:color w:val="auto"/>
          <w:szCs w:val="21"/>
          <w:highlight w:val="none"/>
        </w:rPr>
      </w:pPr>
      <w:r>
        <w:rPr>
          <w:rFonts w:ascii="宋体" w:hAnsi="宋体"/>
          <w:color w:val="auto"/>
          <w:szCs w:val="21"/>
          <w:highlight w:val="none"/>
        </w:rPr>
        <w:t>甲方（</w:t>
      </w:r>
      <w:r>
        <w:rPr>
          <w:rFonts w:hint="eastAsia" w:ascii="宋体" w:hAnsi="宋体"/>
          <w:color w:val="auto"/>
          <w:szCs w:val="21"/>
          <w:highlight w:val="none"/>
        </w:rPr>
        <w:t>采购人</w:t>
      </w:r>
      <w:r>
        <w:rPr>
          <w:rFonts w:ascii="宋体" w:hAnsi="宋体"/>
          <w:color w:val="auto"/>
          <w:szCs w:val="21"/>
          <w:highlight w:val="none"/>
        </w:rPr>
        <w:t>）：</w:t>
      </w:r>
      <w:r>
        <w:rPr>
          <w:rFonts w:hint="eastAsia" w:ascii="宋体" w:hAnsi="宋体"/>
          <w:color w:val="auto"/>
          <w:szCs w:val="21"/>
          <w:highlight w:val="none"/>
          <w:u w:val="single"/>
        </w:rPr>
        <w:t xml:space="preserve">                         </w:t>
      </w:r>
    </w:p>
    <w:p>
      <w:pPr>
        <w:spacing w:line="400" w:lineRule="exact"/>
        <w:rPr>
          <w:rFonts w:ascii="宋体" w:hAnsi="宋体"/>
          <w:color w:val="auto"/>
          <w:szCs w:val="21"/>
          <w:highlight w:val="none"/>
        </w:rPr>
      </w:pPr>
      <w:r>
        <w:rPr>
          <w:rFonts w:ascii="宋体" w:hAnsi="宋体"/>
          <w:color w:val="auto"/>
          <w:szCs w:val="21"/>
          <w:highlight w:val="none"/>
        </w:rPr>
        <w:t>乙方（</w:t>
      </w:r>
      <w:r>
        <w:rPr>
          <w:rFonts w:hint="eastAsia" w:ascii="宋体" w:hAnsi="宋体"/>
          <w:color w:val="auto"/>
          <w:szCs w:val="21"/>
          <w:highlight w:val="none"/>
        </w:rPr>
        <w:t>中标人</w:t>
      </w:r>
      <w:r>
        <w:rPr>
          <w:rFonts w:ascii="宋体" w:hAnsi="宋体"/>
          <w:color w:val="auto"/>
          <w:szCs w:val="21"/>
          <w:highlight w:val="none"/>
        </w:rPr>
        <w:t>）：</w:t>
      </w:r>
      <w:r>
        <w:rPr>
          <w:rFonts w:hint="eastAsia" w:ascii="宋体" w:hAnsi="宋体"/>
          <w:color w:val="auto"/>
          <w:szCs w:val="21"/>
          <w:highlight w:val="none"/>
          <w:u w:val="single"/>
        </w:rPr>
        <w:t xml:space="preserve">                         </w:t>
      </w:r>
    </w:p>
    <w:p>
      <w:pPr>
        <w:spacing w:line="400" w:lineRule="exact"/>
        <w:ind w:firstLine="420" w:firstLineChars="200"/>
        <w:rPr>
          <w:rFonts w:ascii="宋体" w:hAnsi="宋体"/>
          <w:color w:val="auto"/>
          <w:szCs w:val="21"/>
          <w:highlight w:val="none"/>
        </w:rPr>
      </w:pPr>
      <w:r>
        <w:rPr>
          <w:rFonts w:ascii="宋体" w:hAnsi="宋体"/>
          <w:color w:val="auto"/>
          <w:szCs w:val="21"/>
          <w:highlight w:val="none"/>
        </w:rPr>
        <w:t>甲、乙</w:t>
      </w:r>
      <w:r>
        <w:rPr>
          <w:rFonts w:hint="eastAsia" w:ascii="宋体" w:hAnsi="宋体"/>
          <w:color w:val="auto"/>
          <w:szCs w:val="21"/>
          <w:highlight w:val="none"/>
        </w:rPr>
        <w:t>双</w:t>
      </w:r>
      <w:r>
        <w:rPr>
          <w:rFonts w:ascii="宋体" w:hAnsi="宋体"/>
          <w:color w:val="auto"/>
          <w:szCs w:val="21"/>
          <w:highlight w:val="none"/>
        </w:rPr>
        <w:t>方根据</w:t>
      </w:r>
      <w:r>
        <w:rPr>
          <w:rFonts w:hint="eastAsia" w:ascii="宋体" w:hAnsi="宋体"/>
          <w:color w:val="auto"/>
          <w:szCs w:val="21"/>
          <w:highlight w:val="none"/>
          <w:lang w:eastAsia="zh-CN"/>
        </w:rPr>
        <w:t>温州医科大学慈溪生物医药研究院三维皮肤气液交换培养生物反应器采购项目</w:t>
      </w:r>
      <w:r>
        <w:rPr>
          <w:rFonts w:hint="eastAsia" w:ascii="宋体" w:hAnsi="宋体"/>
          <w:color w:val="auto"/>
          <w:szCs w:val="21"/>
          <w:highlight w:val="none"/>
        </w:rPr>
        <w:t>（项目编号</w:t>
      </w:r>
      <w:r>
        <w:rPr>
          <w:rFonts w:ascii="宋体" w:hAnsi="宋体"/>
          <w:color w:val="auto"/>
          <w:szCs w:val="21"/>
          <w:highlight w:val="none"/>
        </w:rPr>
        <w:t>：</w:t>
      </w:r>
      <w:r>
        <w:rPr>
          <w:rFonts w:hint="eastAsia" w:ascii="宋体" w:hAnsi="宋体"/>
          <w:color w:val="auto"/>
          <w:szCs w:val="21"/>
          <w:highlight w:val="none"/>
        </w:rPr>
        <w:t>330282202311009365</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）的</w:t>
      </w:r>
      <w:r>
        <w:rPr>
          <w:rFonts w:ascii="宋体" w:hAnsi="宋体"/>
          <w:color w:val="auto"/>
          <w:szCs w:val="21"/>
          <w:highlight w:val="none"/>
        </w:rPr>
        <w:t>采购结果，签署本合同。</w:t>
      </w:r>
    </w:p>
    <w:p>
      <w:pPr>
        <w:spacing w:line="400" w:lineRule="exact"/>
        <w:rPr>
          <w:rFonts w:ascii="宋体" w:hAnsi="宋体"/>
          <w:b/>
          <w:color w:val="auto"/>
          <w:szCs w:val="21"/>
          <w:highlight w:val="none"/>
        </w:rPr>
      </w:pPr>
      <w:r>
        <w:rPr>
          <w:rFonts w:ascii="宋体" w:hAnsi="宋体"/>
          <w:b/>
          <w:color w:val="auto"/>
          <w:szCs w:val="21"/>
          <w:highlight w:val="none"/>
        </w:rPr>
        <w:t>一、货物内容</w:t>
      </w:r>
    </w:p>
    <w:p>
      <w:pPr>
        <w:spacing w:line="400" w:lineRule="exact"/>
        <w:ind w:firstLine="420" w:firstLineChars="200"/>
        <w:rPr>
          <w:rFonts w:ascii="宋体" w:hAnsi="宋体"/>
          <w:color w:val="auto"/>
          <w:szCs w:val="21"/>
          <w:highlight w:val="none"/>
        </w:rPr>
      </w:pPr>
      <w:r>
        <w:rPr>
          <w:rFonts w:ascii="宋体" w:hAnsi="宋体"/>
          <w:color w:val="auto"/>
          <w:szCs w:val="21"/>
          <w:highlight w:val="none"/>
        </w:rPr>
        <w:t>1.1货物名称：</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pPr>
        <w:spacing w:line="400" w:lineRule="exact"/>
        <w:ind w:firstLine="420" w:firstLineChars="200"/>
        <w:rPr>
          <w:rFonts w:ascii="宋体" w:hAnsi="宋体"/>
          <w:color w:val="auto"/>
          <w:szCs w:val="21"/>
          <w:highlight w:val="none"/>
        </w:rPr>
      </w:pPr>
      <w:r>
        <w:rPr>
          <w:rFonts w:ascii="宋体" w:hAnsi="宋体"/>
          <w:color w:val="auto"/>
          <w:szCs w:val="21"/>
          <w:highlight w:val="none"/>
        </w:rPr>
        <w:t>1.2品牌型号规格：</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pPr>
        <w:spacing w:line="400" w:lineRule="exact"/>
        <w:ind w:firstLine="420" w:firstLineChars="200"/>
        <w:rPr>
          <w:rFonts w:ascii="宋体" w:hAnsi="宋体"/>
          <w:color w:val="auto"/>
          <w:szCs w:val="21"/>
          <w:highlight w:val="none"/>
        </w:rPr>
      </w:pPr>
      <w:r>
        <w:rPr>
          <w:rFonts w:ascii="宋体" w:hAnsi="宋体"/>
          <w:color w:val="auto"/>
          <w:szCs w:val="21"/>
          <w:highlight w:val="none"/>
        </w:rPr>
        <w:t>1.3数量：</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pPr>
        <w:spacing w:line="400" w:lineRule="exact"/>
        <w:ind w:firstLine="420" w:firstLineChars="200"/>
        <w:rPr>
          <w:rFonts w:ascii="宋体" w:hAnsi="宋体"/>
          <w:color w:val="auto"/>
          <w:szCs w:val="21"/>
          <w:highlight w:val="none"/>
        </w:rPr>
      </w:pPr>
      <w:r>
        <w:rPr>
          <w:rFonts w:ascii="宋体" w:hAnsi="宋体"/>
          <w:color w:val="auto"/>
          <w:szCs w:val="21"/>
          <w:highlight w:val="none"/>
        </w:rPr>
        <w:t>1.4主要配置：</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pPr>
        <w:spacing w:line="400" w:lineRule="exact"/>
        <w:rPr>
          <w:rFonts w:ascii="宋体" w:hAnsi="宋体"/>
          <w:b/>
          <w:color w:val="auto"/>
          <w:szCs w:val="21"/>
          <w:highlight w:val="none"/>
        </w:rPr>
      </w:pPr>
      <w:r>
        <w:rPr>
          <w:rFonts w:ascii="宋体" w:hAnsi="宋体"/>
          <w:b/>
          <w:color w:val="auto"/>
          <w:szCs w:val="21"/>
          <w:highlight w:val="none"/>
        </w:rPr>
        <w:t>二、合同金额</w:t>
      </w:r>
    </w:p>
    <w:p>
      <w:pPr>
        <w:spacing w:line="400" w:lineRule="exact"/>
        <w:ind w:firstLine="420" w:firstLineChars="200"/>
        <w:rPr>
          <w:rFonts w:ascii="宋体" w:hAnsi="宋体"/>
          <w:color w:val="auto"/>
          <w:szCs w:val="21"/>
          <w:highlight w:val="none"/>
        </w:rPr>
      </w:pPr>
      <w:r>
        <w:rPr>
          <w:rFonts w:ascii="宋体" w:hAnsi="宋体"/>
          <w:color w:val="auto"/>
          <w:szCs w:val="21"/>
          <w:highlight w:val="none"/>
        </w:rPr>
        <w:t>2.1本合同金额为（大写）：</w:t>
      </w:r>
      <w:r>
        <w:rPr>
          <w:rFonts w:hint="eastAsia" w:ascii="宋体" w:hAnsi="宋体"/>
          <w:color w:val="auto"/>
          <w:szCs w:val="21"/>
          <w:highlight w:val="none"/>
          <w:u w:val="single"/>
        </w:rPr>
        <w:t xml:space="preserve">             </w:t>
      </w:r>
      <w:r>
        <w:rPr>
          <w:rFonts w:ascii="宋体" w:hAnsi="宋体"/>
          <w:color w:val="auto"/>
          <w:szCs w:val="21"/>
          <w:highlight w:val="none"/>
        </w:rPr>
        <w:t>元（￥</w:t>
      </w:r>
      <w:r>
        <w:rPr>
          <w:rFonts w:hint="eastAsia" w:ascii="宋体" w:hAnsi="宋体"/>
          <w:color w:val="auto"/>
          <w:szCs w:val="21"/>
          <w:highlight w:val="none"/>
          <w:u w:val="single"/>
        </w:rPr>
        <w:t xml:space="preserve">             </w:t>
      </w:r>
      <w:r>
        <w:rPr>
          <w:rFonts w:ascii="宋体" w:hAnsi="宋体"/>
          <w:color w:val="auto"/>
          <w:szCs w:val="21"/>
          <w:highlight w:val="none"/>
        </w:rPr>
        <w:t>元）人民币。</w:t>
      </w:r>
    </w:p>
    <w:p>
      <w:pPr>
        <w:spacing w:line="400" w:lineRule="exact"/>
        <w:rPr>
          <w:rFonts w:ascii="宋体" w:hAnsi="宋体"/>
          <w:b/>
          <w:color w:val="auto"/>
          <w:szCs w:val="21"/>
          <w:highlight w:val="none"/>
        </w:rPr>
      </w:pPr>
      <w:r>
        <w:rPr>
          <w:rFonts w:ascii="宋体" w:hAnsi="宋体"/>
          <w:b/>
          <w:color w:val="auto"/>
          <w:szCs w:val="21"/>
          <w:highlight w:val="none"/>
        </w:rPr>
        <w:t>三、技术资料</w:t>
      </w:r>
    </w:p>
    <w:p>
      <w:pPr>
        <w:spacing w:line="400" w:lineRule="exact"/>
        <w:ind w:firstLine="420" w:firstLineChars="200"/>
        <w:rPr>
          <w:rFonts w:ascii="宋体" w:hAnsi="宋体"/>
          <w:color w:val="auto"/>
          <w:szCs w:val="21"/>
          <w:highlight w:val="none"/>
        </w:rPr>
      </w:pPr>
      <w:r>
        <w:rPr>
          <w:rFonts w:ascii="宋体" w:hAnsi="宋体"/>
          <w:color w:val="auto"/>
          <w:szCs w:val="21"/>
          <w:highlight w:val="none"/>
        </w:rPr>
        <w:t>3.1乙方应按招标文件规定的时间向甲方提供使用货物的有关技术资料。</w:t>
      </w:r>
    </w:p>
    <w:p>
      <w:pPr>
        <w:spacing w:line="400" w:lineRule="exact"/>
        <w:ind w:firstLine="420" w:firstLineChars="200"/>
        <w:rPr>
          <w:rFonts w:ascii="宋体" w:hAnsi="宋体"/>
          <w:color w:val="auto"/>
          <w:szCs w:val="21"/>
          <w:highlight w:val="none"/>
        </w:rPr>
      </w:pPr>
      <w:r>
        <w:rPr>
          <w:rFonts w:ascii="宋体" w:hAnsi="宋体"/>
          <w:color w:val="auto"/>
          <w:szCs w:val="21"/>
          <w:highlight w:val="none"/>
        </w:rPr>
        <w:t>3.2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spacing w:line="400" w:lineRule="exact"/>
        <w:rPr>
          <w:rFonts w:ascii="宋体" w:hAnsi="宋体"/>
          <w:b/>
          <w:color w:val="auto"/>
          <w:szCs w:val="21"/>
          <w:highlight w:val="none"/>
        </w:rPr>
      </w:pPr>
      <w:r>
        <w:rPr>
          <w:rFonts w:ascii="宋体" w:hAnsi="宋体"/>
          <w:b/>
          <w:color w:val="auto"/>
          <w:szCs w:val="21"/>
          <w:highlight w:val="none"/>
        </w:rPr>
        <w:t>四、知识产权</w:t>
      </w:r>
    </w:p>
    <w:p>
      <w:pPr>
        <w:spacing w:line="400" w:lineRule="exact"/>
        <w:ind w:firstLine="420" w:firstLineChars="200"/>
        <w:rPr>
          <w:rFonts w:ascii="宋体" w:hAnsi="宋体"/>
          <w:color w:val="auto"/>
          <w:szCs w:val="21"/>
          <w:highlight w:val="none"/>
        </w:rPr>
      </w:pPr>
      <w:r>
        <w:rPr>
          <w:rFonts w:ascii="宋体" w:hAnsi="宋体"/>
          <w:color w:val="auto"/>
          <w:szCs w:val="21"/>
          <w:highlight w:val="none"/>
        </w:rPr>
        <w:t>4.1乙方应保证所提供的货物或其任何一部分及全部技术资料均不会侵犯任何第三方的知识产权</w:t>
      </w:r>
      <w:r>
        <w:rPr>
          <w:rFonts w:hint="eastAsia" w:ascii="宋体" w:hAnsi="宋体"/>
          <w:color w:val="auto"/>
          <w:szCs w:val="21"/>
          <w:highlight w:val="none"/>
        </w:rPr>
        <w:t>，如受任何第三方</w:t>
      </w:r>
      <w:r>
        <w:rPr>
          <w:rFonts w:ascii="宋体" w:hAnsi="宋体"/>
          <w:color w:val="auto"/>
          <w:szCs w:val="21"/>
          <w:highlight w:val="none"/>
        </w:rPr>
        <w:t>提出侵权</w:t>
      </w:r>
      <w:r>
        <w:rPr>
          <w:rFonts w:hint="eastAsia" w:ascii="宋体" w:hAnsi="宋体"/>
          <w:color w:val="auto"/>
          <w:szCs w:val="21"/>
          <w:highlight w:val="none"/>
        </w:rPr>
        <w:t>控告</w:t>
      </w:r>
      <w:r>
        <w:rPr>
          <w:rFonts w:ascii="宋体" w:hAnsi="宋体"/>
          <w:color w:val="auto"/>
          <w:szCs w:val="21"/>
          <w:highlight w:val="none"/>
        </w:rPr>
        <w:t>，乙方需与</w:t>
      </w:r>
      <w:r>
        <w:rPr>
          <w:rFonts w:hint="eastAsia" w:ascii="宋体" w:hAnsi="宋体"/>
          <w:color w:val="auto"/>
          <w:szCs w:val="21"/>
          <w:highlight w:val="none"/>
        </w:rPr>
        <w:t>第三方</w:t>
      </w:r>
      <w:r>
        <w:rPr>
          <w:rFonts w:ascii="宋体" w:hAnsi="宋体"/>
          <w:color w:val="auto"/>
          <w:szCs w:val="21"/>
          <w:highlight w:val="none"/>
        </w:rPr>
        <w:t>交涉并承担发生的一切费用，如甲方</w:t>
      </w:r>
      <w:r>
        <w:rPr>
          <w:rFonts w:hint="eastAsia" w:ascii="宋体" w:hAnsi="宋体"/>
          <w:color w:val="auto"/>
          <w:szCs w:val="21"/>
          <w:highlight w:val="none"/>
        </w:rPr>
        <w:t>因此</w:t>
      </w:r>
      <w:r>
        <w:rPr>
          <w:rFonts w:ascii="宋体" w:hAnsi="宋体"/>
          <w:color w:val="auto"/>
          <w:szCs w:val="21"/>
          <w:highlight w:val="none"/>
        </w:rPr>
        <w:t>而遭致损失</w:t>
      </w:r>
      <w:r>
        <w:rPr>
          <w:rFonts w:hint="eastAsia" w:ascii="宋体" w:hAnsi="宋体"/>
          <w:color w:val="auto"/>
          <w:szCs w:val="21"/>
          <w:highlight w:val="none"/>
        </w:rPr>
        <w:t>的</w:t>
      </w:r>
      <w:r>
        <w:rPr>
          <w:rFonts w:ascii="宋体" w:hAnsi="宋体"/>
          <w:color w:val="auto"/>
          <w:szCs w:val="21"/>
          <w:highlight w:val="none"/>
        </w:rPr>
        <w:t>，乙方应予以</w:t>
      </w:r>
      <w:r>
        <w:rPr>
          <w:rFonts w:hint="eastAsia" w:ascii="宋体" w:hAnsi="宋体"/>
          <w:color w:val="auto"/>
          <w:szCs w:val="21"/>
          <w:highlight w:val="none"/>
        </w:rPr>
        <w:t>赔偿</w:t>
      </w:r>
      <w:r>
        <w:rPr>
          <w:rFonts w:ascii="宋体" w:hAnsi="宋体"/>
          <w:color w:val="auto"/>
          <w:szCs w:val="21"/>
          <w:highlight w:val="none"/>
        </w:rPr>
        <w:t>。</w:t>
      </w:r>
    </w:p>
    <w:p>
      <w:pPr>
        <w:spacing w:line="400" w:lineRule="exact"/>
        <w:rPr>
          <w:rFonts w:ascii="宋体" w:hAnsi="宋体"/>
          <w:b/>
          <w:color w:val="auto"/>
          <w:szCs w:val="21"/>
          <w:highlight w:val="none"/>
        </w:rPr>
      </w:pPr>
      <w:r>
        <w:rPr>
          <w:rFonts w:ascii="宋体" w:hAnsi="宋体"/>
          <w:b/>
          <w:color w:val="auto"/>
          <w:szCs w:val="21"/>
          <w:highlight w:val="none"/>
        </w:rPr>
        <w:t>五、产权担保</w:t>
      </w:r>
    </w:p>
    <w:p>
      <w:pPr>
        <w:spacing w:line="400" w:lineRule="exact"/>
        <w:ind w:firstLine="420" w:firstLineChars="200"/>
        <w:rPr>
          <w:rFonts w:ascii="宋体" w:hAnsi="宋体"/>
          <w:color w:val="auto"/>
          <w:szCs w:val="21"/>
          <w:highlight w:val="none"/>
        </w:rPr>
      </w:pPr>
      <w:r>
        <w:rPr>
          <w:rFonts w:ascii="宋体" w:hAnsi="宋体"/>
          <w:color w:val="auto"/>
          <w:szCs w:val="21"/>
          <w:highlight w:val="none"/>
        </w:rPr>
        <w:t>5.1乙方保证所交付的货物的所有权完全属于乙方且无任何抵押、查封等产权瑕疵。</w:t>
      </w:r>
    </w:p>
    <w:p>
      <w:pPr>
        <w:spacing w:line="400" w:lineRule="exact"/>
        <w:rPr>
          <w:rFonts w:ascii="宋体" w:hAnsi="宋体"/>
          <w:b/>
          <w:color w:val="auto"/>
          <w:szCs w:val="21"/>
          <w:highlight w:val="none"/>
        </w:rPr>
      </w:pPr>
      <w:r>
        <w:rPr>
          <w:rFonts w:ascii="宋体" w:hAnsi="宋体"/>
          <w:b/>
          <w:color w:val="auto"/>
          <w:szCs w:val="21"/>
          <w:highlight w:val="none"/>
        </w:rPr>
        <w:t>六、履约保证金</w:t>
      </w:r>
    </w:p>
    <w:p>
      <w:pPr>
        <w:spacing w:line="400" w:lineRule="exact"/>
        <w:ind w:firstLine="420" w:firstLineChars="200"/>
        <w:rPr>
          <w:rFonts w:ascii="宋体" w:hAnsi="宋体"/>
          <w:color w:val="auto"/>
          <w:szCs w:val="21"/>
          <w:highlight w:val="none"/>
        </w:rPr>
      </w:pPr>
      <w:r>
        <w:rPr>
          <w:rFonts w:ascii="宋体" w:hAnsi="宋体"/>
          <w:color w:val="auto"/>
          <w:szCs w:val="21"/>
          <w:highlight w:val="none"/>
        </w:rPr>
        <w:t>6.1</w:t>
      </w:r>
      <w:r>
        <w:rPr>
          <w:rFonts w:hint="eastAsia" w:ascii="宋体" w:hAnsi="宋体"/>
          <w:color w:val="auto"/>
          <w:szCs w:val="21"/>
          <w:highlight w:val="none"/>
        </w:rPr>
        <w:t>不适用</w:t>
      </w:r>
      <w:r>
        <w:rPr>
          <w:rFonts w:ascii="宋体" w:hAnsi="宋体"/>
          <w:color w:val="auto"/>
          <w:szCs w:val="21"/>
          <w:highlight w:val="none"/>
        </w:rPr>
        <w:t>。</w:t>
      </w:r>
    </w:p>
    <w:p>
      <w:pPr>
        <w:spacing w:line="400" w:lineRule="exact"/>
        <w:rPr>
          <w:rFonts w:ascii="宋体" w:hAnsi="宋体"/>
          <w:b/>
          <w:color w:val="auto"/>
          <w:szCs w:val="21"/>
          <w:highlight w:val="none"/>
        </w:rPr>
      </w:pPr>
      <w:r>
        <w:rPr>
          <w:rFonts w:hint="eastAsia" w:ascii="宋体" w:hAnsi="宋体"/>
          <w:b/>
          <w:color w:val="auto"/>
          <w:szCs w:val="21"/>
          <w:highlight w:val="none"/>
        </w:rPr>
        <w:t>七</w:t>
      </w:r>
      <w:r>
        <w:rPr>
          <w:rFonts w:ascii="宋体" w:hAnsi="宋体"/>
          <w:b/>
          <w:color w:val="auto"/>
          <w:szCs w:val="21"/>
          <w:highlight w:val="none"/>
        </w:rPr>
        <w:t>.</w:t>
      </w:r>
      <w:r>
        <w:rPr>
          <w:rFonts w:hint="eastAsia" w:ascii="宋体" w:hAnsi="宋体"/>
          <w:b/>
          <w:color w:val="auto"/>
          <w:szCs w:val="21"/>
          <w:highlight w:val="none"/>
        </w:rPr>
        <w:t>转包或分包</w:t>
      </w:r>
    </w:p>
    <w:p>
      <w:pPr>
        <w:spacing w:line="400" w:lineRule="exact"/>
        <w:ind w:firstLine="420" w:firstLineChars="200"/>
        <w:rPr>
          <w:rFonts w:ascii="宋体" w:hAnsi="宋体"/>
          <w:color w:val="auto"/>
          <w:szCs w:val="21"/>
          <w:highlight w:val="none"/>
        </w:rPr>
      </w:pPr>
      <w:r>
        <w:rPr>
          <w:rFonts w:ascii="宋体" w:hAnsi="宋体"/>
          <w:color w:val="auto"/>
          <w:szCs w:val="21"/>
          <w:highlight w:val="none"/>
        </w:rPr>
        <w:t>7.1</w:t>
      </w:r>
      <w:r>
        <w:rPr>
          <w:rFonts w:hint="eastAsia" w:ascii="宋体" w:hAnsi="宋体"/>
          <w:color w:val="auto"/>
          <w:szCs w:val="21"/>
          <w:highlight w:val="none"/>
        </w:rPr>
        <w:t>本合同范围的货物，应由乙方直接供应，不得转由他人供应；</w:t>
      </w:r>
    </w:p>
    <w:p>
      <w:pPr>
        <w:spacing w:line="400" w:lineRule="exact"/>
        <w:ind w:firstLine="420" w:firstLineChars="200"/>
        <w:rPr>
          <w:rFonts w:ascii="宋体" w:hAnsi="宋体"/>
          <w:color w:val="auto"/>
          <w:szCs w:val="21"/>
          <w:highlight w:val="none"/>
        </w:rPr>
      </w:pPr>
      <w:r>
        <w:rPr>
          <w:rFonts w:ascii="宋体" w:hAnsi="宋体"/>
          <w:color w:val="auto"/>
          <w:szCs w:val="21"/>
          <w:highlight w:val="none"/>
        </w:rPr>
        <w:t>7.2</w:t>
      </w:r>
      <w:r>
        <w:rPr>
          <w:rFonts w:hint="eastAsia" w:ascii="宋体" w:hAnsi="宋体"/>
          <w:color w:val="auto"/>
          <w:szCs w:val="21"/>
          <w:highlight w:val="none"/>
        </w:rPr>
        <w:t>除非得到甲方的书面同意，乙方不得部分分包给他人供应。</w:t>
      </w:r>
    </w:p>
    <w:p>
      <w:pPr>
        <w:spacing w:line="400" w:lineRule="exact"/>
        <w:ind w:firstLine="420" w:firstLineChars="200"/>
        <w:rPr>
          <w:rFonts w:ascii="宋体" w:hAnsi="宋体"/>
          <w:color w:val="auto"/>
          <w:szCs w:val="21"/>
          <w:highlight w:val="none"/>
        </w:rPr>
      </w:pPr>
      <w:r>
        <w:rPr>
          <w:rFonts w:ascii="宋体" w:hAnsi="宋体"/>
          <w:color w:val="auto"/>
          <w:szCs w:val="21"/>
          <w:highlight w:val="none"/>
        </w:rPr>
        <w:t>7.3</w:t>
      </w:r>
      <w:r>
        <w:rPr>
          <w:rFonts w:hint="eastAsia" w:ascii="宋体" w:hAnsi="宋体"/>
          <w:color w:val="auto"/>
          <w:szCs w:val="21"/>
          <w:highlight w:val="none"/>
        </w:rPr>
        <w:t>如有转让和未经甲方同意的分包行为，甲方有权给予终止合同，由此造成的经济损失全部由乙方承担。</w:t>
      </w:r>
    </w:p>
    <w:p>
      <w:pPr>
        <w:spacing w:line="400" w:lineRule="exact"/>
        <w:rPr>
          <w:rFonts w:ascii="宋体" w:hAnsi="宋体"/>
          <w:b/>
          <w:color w:val="auto"/>
          <w:szCs w:val="21"/>
          <w:highlight w:val="none"/>
        </w:rPr>
      </w:pPr>
      <w:r>
        <w:rPr>
          <w:rFonts w:ascii="宋体" w:hAnsi="宋体"/>
          <w:b/>
          <w:color w:val="auto"/>
          <w:szCs w:val="21"/>
          <w:highlight w:val="none"/>
        </w:rPr>
        <w:t>八、质量保证期</w:t>
      </w:r>
    </w:p>
    <w:p>
      <w:pPr>
        <w:spacing w:line="400" w:lineRule="exact"/>
        <w:ind w:firstLine="420" w:firstLineChars="200"/>
        <w:rPr>
          <w:rFonts w:ascii="宋体" w:hAnsi="宋体"/>
          <w:color w:val="auto"/>
          <w:szCs w:val="21"/>
          <w:highlight w:val="none"/>
        </w:rPr>
      </w:pPr>
      <w:r>
        <w:rPr>
          <w:rFonts w:ascii="宋体" w:hAnsi="宋体"/>
          <w:color w:val="auto"/>
          <w:szCs w:val="21"/>
          <w:highlight w:val="none"/>
        </w:rPr>
        <w:t>8.1质量保证期</w:t>
      </w:r>
      <w:r>
        <w:rPr>
          <w:rFonts w:hint="eastAsia" w:ascii="宋体" w:hAnsi="宋体"/>
          <w:color w:val="auto"/>
          <w:szCs w:val="21"/>
          <w:highlight w:val="none"/>
          <w:u w:val="single"/>
        </w:rPr>
        <w:t xml:space="preserve">                         </w:t>
      </w:r>
      <w:r>
        <w:rPr>
          <w:rFonts w:ascii="宋体" w:hAnsi="宋体"/>
          <w:color w:val="auto"/>
          <w:szCs w:val="21"/>
          <w:highlight w:val="none"/>
        </w:rPr>
        <w:t>年。（自交货验收合格之日起计）</w:t>
      </w:r>
    </w:p>
    <w:p>
      <w:pPr>
        <w:spacing w:line="400" w:lineRule="exact"/>
        <w:rPr>
          <w:rFonts w:ascii="宋体" w:hAnsi="宋体"/>
          <w:b/>
          <w:color w:val="auto"/>
          <w:szCs w:val="21"/>
          <w:highlight w:val="none"/>
        </w:rPr>
      </w:pPr>
      <w:r>
        <w:rPr>
          <w:rFonts w:ascii="宋体" w:hAnsi="宋体"/>
          <w:b/>
          <w:color w:val="auto"/>
          <w:szCs w:val="21"/>
          <w:highlight w:val="none"/>
        </w:rPr>
        <w:t>九、交货期、交货方式及交货地点</w:t>
      </w:r>
    </w:p>
    <w:p>
      <w:pPr>
        <w:spacing w:line="400" w:lineRule="exact"/>
        <w:ind w:firstLine="420" w:firstLineChars="200"/>
        <w:rPr>
          <w:rFonts w:ascii="宋体" w:hAnsi="宋体"/>
          <w:color w:val="auto"/>
          <w:szCs w:val="21"/>
          <w:highlight w:val="none"/>
        </w:rPr>
      </w:pPr>
      <w:r>
        <w:rPr>
          <w:rFonts w:ascii="宋体" w:hAnsi="宋体"/>
          <w:color w:val="auto"/>
          <w:szCs w:val="21"/>
          <w:highlight w:val="none"/>
        </w:rPr>
        <w:t>9.1交货期：</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pPr>
        <w:spacing w:line="400" w:lineRule="exact"/>
        <w:ind w:firstLine="420" w:firstLineChars="200"/>
        <w:rPr>
          <w:rFonts w:ascii="宋体" w:hAnsi="宋体"/>
          <w:color w:val="auto"/>
          <w:szCs w:val="21"/>
          <w:highlight w:val="none"/>
        </w:rPr>
      </w:pPr>
      <w:r>
        <w:rPr>
          <w:rFonts w:ascii="宋体" w:hAnsi="宋体"/>
          <w:color w:val="auto"/>
          <w:szCs w:val="21"/>
          <w:highlight w:val="none"/>
        </w:rPr>
        <w:t>9.2交货方式：</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pPr>
        <w:spacing w:line="400" w:lineRule="exact"/>
        <w:ind w:firstLine="420" w:firstLineChars="200"/>
        <w:rPr>
          <w:rFonts w:ascii="宋体" w:hAnsi="宋体"/>
          <w:color w:val="auto"/>
          <w:szCs w:val="21"/>
          <w:highlight w:val="none"/>
        </w:rPr>
      </w:pPr>
      <w:r>
        <w:rPr>
          <w:rFonts w:ascii="宋体" w:hAnsi="宋体"/>
          <w:color w:val="auto"/>
          <w:szCs w:val="21"/>
          <w:highlight w:val="none"/>
        </w:rPr>
        <w:t>9.3交货地点：</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pPr>
        <w:spacing w:line="400" w:lineRule="exact"/>
        <w:ind w:firstLine="420" w:firstLineChars="200"/>
        <w:rPr>
          <w:rFonts w:ascii="宋体" w:hAnsi="宋体"/>
          <w:color w:val="auto"/>
          <w:szCs w:val="21"/>
          <w:highlight w:val="none"/>
        </w:rPr>
      </w:pPr>
      <w:r>
        <w:rPr>
          <w:rFonts w:ascii="宋体" w:hAnsi="宋体"/>
          <w:color w:val="auto"/>
          <w:szCs w:val="21"/>
          <w:highlight w:val="none"/>
        </w:rPr>
        <w:t>9.4安装调试及时间：</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9.5</w:t>
      </w:r>
      <w:r>
        <w:rPr>
          <w:rFonts w:hint="eastAsia" w:ascii="宋体" w:hAnsi="宋体" w:cs="宋体"/>
          <w:color w:val="auto"/>
          <w:szCs w:val="21"/>
          <w:highlight w:val="none"/>
        </w:rPr>
        <w:t>安装标准须符合我国国家有关技术规范和技术标准。</w:t>
      </w:r>
    </w:p>
    <w:p>
      <w:pPr>
        <w:spacing w:line="400" w:lineRule="exact"/>
        <w:rPr>
          <w:rFonts w:ascii="宋体" w:hAnsi="宋体"/>
          <w:b/>
          <w:color w:val="auto"/>
          <w:szCs w:val="21"/>
          <w:highlight w:val="none"/>
        </w:rPr>
      </w:pPr>
      <w:r>
        <w:rPr>
          <w:rFonts w:ascii="宋体" w:hAnsi="宋体"/>
          <w:b/>
          <w:color w:val="auto"/>
          <w:szCs w:val="21"/>
          <w:highlight w:val="none"/>
        </w:rPr>
        <w:t>十、货款支付</w:t>
      </w:r>
    </w:p>
    <w:p>
      <w:pPr>
        <w:spacing w:line="400" w:lineRule="exact"/>
        <w:ind w:firstLine="420" w:firstLineChars="200"/>
        <w:rPr>
          <w:rFonts w:ascii="宋体" w:hAnsi="宋体"/>
          <w:color w:val="auto"/>
          <w:szCs w:val="21"/>
          <w:highlight w:val="none"/>
        </w:rPr>
      </w:pPr>
      <w:r>
        <w:rPr>
          <w:rFonts w:ascii="宋体" w:hAnsi="宋体"/>
          <w:color w:val="auto"/>
          <w:szCs w:val="21"/>
          <w:highlight w:val="none"/>
        </w:rPr>
        <w:t>10.1付款方式：</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pPr>
        <w:spacing w:line="400" w:lineRule="exact"/>
        <w:ind w:firstLine="420" w:firstLineChars="200"/>
        <w:rPr>
          <w:rFonts w:ascii="宋体" w:hAnsi="宋体"/>
          <w:color w:val="auto"/>
          <w:szCs w:val="21"/>
          <w:highlight w:val="none"/>
        </w:rPr>
      </w:pPr>
      <w:r>
        <w:rPr>
          <w:rFonts w:ascii="宋体" w:hAnsi="宋体"/>
          <w:color w:val="auto"/>
          <w:szCs w:val="21"/>
          <w:highlight w:val="none"/>
        </w:rPr>
        <w:t>10.2当采购数量与实际使用数量不一致时，乙方应根据实际使用量供货，合同的最终结算金额按实际使用量乘以成交单价进行计算。</w:t>
      </w:r>
    </w:p>
    <w:p>
      <w:pPr>
        <w:spacing w:line="400" w:lineRule="exact"/>
        <w:rPr>
          <w:rFonts w:ascii="宋体" w:hAnsi="宋体"/>
          <w:b/>
          <w:color w:val="auto"/>
          <w:szCs w:val="21"/>
          <w:highlight w:val="none"/>
        </w:rPr>
      </w:pPr>
      <w:r>
        <w:rPr>
          <w:rFonts w:hint="eastAsia" w:ascii="宋体" w:hAnsi="宋体"/>
          <w:b/>
          <w:color w:val="auto"/>
          <w:szCs w:val="21"/>
          <w:highlight w:val="none"/>
        </w:rPr>
        <w:t>十一、税</w:t>
      </w:r>
    </w:p>
    <w:p>
      <w:pPr>
        <w:spacing w:line="400" w:lineRule="exact"/>
        <w:ind w:firstLine="420" w:firstLineChars="200"/>
        <w:rPr>
          <w:rFonts w:ascii="宋体" w:hAnsi="宋体"/>
          <w:color w:val="auto"/>
          <w:szCs w:val="21"/>
          <w:highlight w:val="none"/>
        </w:rPr>
      </w:pPr>
      <w:r>
        <w:rPr>
          <w:rFonts w:ascii="宋体" w:hAnsi="宋体"/>
          <w:color w:val="auto"/>
          <w:szCs w:val="21"/>
          <w:highlight w:val="none"/>
        </w:rPr>
        <w:t>11.1</w:t>
      </w:r>
      <w:r>
        <w:rPr>
          <w:rFonts w:hint="eastAsia" w:ascii="宋体" w:hAnsi="宋体"/>
          <w:color w:val="auto"/>
          <w:szCs w:val="21"/>
          <w:highlight w:val="none"/>
        </w:rPr>
        <w:t>本合同执行中相关的一切税费均由乙方负担。</w:t>
      </w:r>
    </w:p>
    <w:p>
      <w:pPr>
        <w:spacing w:line="400" w:lineRule="exact"/>
        <w:rPr>
          <w:rFonts w:ascii="宋体" w:hAnsi="宋体"/>
          <w:b/>
          <w:color w:val="auto"/>
          <w:szCs w:val="21"/>
          <w:highlight w:val="none"/>
        </w:rPr>
      </w:pPr>
      <w:r>
        <w:rPr>
          <w:rFonts w:ascii="宋体" w:hAnsi="宋体"/>
          <w:b/>
          <w:color w:val="auto"/>
          <w:szCs w:val="21"/>
          <w:highlight w:val="none"/>
        </w:rPr>
        <w:t>十二、质量保证及售后服务</w:t>
      </w:r>
    </w:p>
    <w:p>
      <w:pPr>
        <w:spacing w:line="400" w:lineRule="exact"/>
        <w:ind w:firstLine="420" w:firstLineChars="200"/>
        <w:rPr>
          <w:rFonts w:ascii="宋体" w:hAnsi="宋体"/>
          <w:color w:val="auto"/>
          <w:szCs w:val="21"/>
          <w:highlight w:val="none"/>
        </w:rPr>
      </w:pPr>
      <w:r>
        <w:rPr>
          <w:rFonts w:ascii="宋体" w:hAnsi="宋体"/>
          <w:color w:val="auto"/>
          <w:szCs w:val="21"/>
          <w:highlight w:val="none"/>
        </w:rPr>
        <w:t>12.1乙方应按招标文件规定的货物性能、技术要求、质量标准向甲方提供未经使用的全新产品。</w:t>
      </w:r>
    </w:p>
    <w:p>
      <w:pPr>
        <w:spacing w:line="400" w:lineRule="exact"/>
        <w:ind w:firstLine="420" w:firstLineChars="200"/>
        <w:rPr>
          <w:rFonts w:ascii="宋体" w:hAnsi="宋体"/>
          <w:color w:val="auto"/>
          <w:szCs w:val="21"/>
          <w:highlight w:val="none"/>
        </w:rPr>
      </w:pPr>
      <w:r>
        <w:rPr>
          <w:rFonts w:ascii="宋体" w:hAnsi="宋体"/>
          <w:color w:val="auto"/>
          <w:szCs w:val="21"/>
          <w:highlight w:val="none"/>
        </w:rPr>
        <w:t>12.2乙方提供的货物在质量保证期内因货物本身的质量问题发生故障，乙方应</w:t>
      </w:r>
      <w:r>
        <w:rPr>
          <w:rFonts w:hint="eastAsia" w:ascii="宋体" w:hAnsi="宋体"/>
          <w:color w:val="auto"/>
          <w:szCs w:val="21"/>
          <w:highlight w:val="none"/>
        </w:rPr>
        <w:t>在</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天</w:t>
      </w:r>
      <w:r>
        <w:rPr>
          <w:rFonts w:ascii="宋体" w:hAnsi="宋体"/>
          <w:color w:val="auto"/>
          <w:szCs w:val="21"/>
          <w:highlight w:val="none"/>
        </w:rPr>
        <w:t>负责免费更换</w:t>
      </w:r>
      <w:r>
        <w:rPr>
          <w:rFonts w:hint="eastAsia" w:ascii="宋体" w:hAnsi="宋体"/>
          <w:color w:val="auto"/>
          <w:szCs w:val="21"/>
          <w:highlight w:val="none"/>
        </w:rPr>
        <w:t>，</w:t>
      </w:r>
      <w:r>
        <w:rPr>
          <w:rFonts w:ascii="宋体" w:hAnsi="宋体"/>
          <w:color w:val="auto"/>
          <w:szCs w:val="21"/>
          <w:highlight w:val="none"/>
        </w:rPr>
        <w:t>逾期按本合同</w:t>
      </w:r>
      <w:r>
        <w:rPr>
          <w:rFonts w:hint="eastAsia" w:ascii="宋体" w:hAnsi="宋体"/>
          <w:color w:val="auto"/>
          <w:szCs w:val="21"/>
          <w:highlight w:val="none"/>
        </w:rPr>
        <w:t>15.2款</w:t>
      </w:r>
      <w:r>
        <w:rPr>
          <w:rFonts w:ascii="宋体" w:hAnsi="宋体"/>
          <w:color w:val="auto"/>
          <w:szCs w:val="21"/>
          <w:highlight w:val="none"/>
        </w:rPr>
        <w:t>乙方逾期交货违约处理。对达不到技术要求者，根据实际情况，经双方协商，甲方有权在以下办法中选择一种方式处理：</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更换：由乙方承担所发生的全部费用。</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（2）</w:t>
      </w:r>
      <w:r>
        <w:rPr>
          <w:rFonts w:ascii="宋体" w:hAnsi="宋体"/>
          <w:color w:val="auto"/>
          <w:szCs w:val="21"/>
          <w:highlight w:val="none"/>
        </w:rPr>
        <w:t>贬值处理：由甲乙双方合议定价。</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（3）</w:t>
      </w:r>
      <w:r>
        <w:rPr>
          <w:rFonts w:ascii="宋体" w:hAnsi="宋体"/>
          <w:color w:val="auto"/>
          <w:szCs w:val="21"/>
          <w:highlight w:val="none"/>
        </w:rPr>
        <w:t>退货处理：乙方应退还甲方支付的合同款，同时应承担该货物的直接费用（运输、保险、检验、货款利息及银行手续费等）。</w:t>
      </w:r>
    </w:p>
    <w:p>
      <w:pPr>
        <w:spacing w:line="400" w:lineRule="exact"/>
        <w:ind w:firstLine="420" w:firstLineChars="200"/>
        <w:rPr>
          <w:rFonts w:ascii="宋体" w:hAnsi="宋体"/>
          <w:color w:val="auto"/>
          <w:szCs w:val="21"/>
          <w:highlight w:val="none"/>
        </w:rPr>
      </w:pPr>
      <w:r>
        <w:rPr>
          <w:rFonts w:ascii="宋体" w:hAnsi="宋体"/>
          <w:color w:val="auto"/>
          <w:szCs w:val="21"/>
          <w:highlight w:val="none"/>
        </w:rPr>
        <w:t>12.3在质量保证期内，乙方应对货物出现的质量及安全问题负责处理解决并承担一切费用。</w:t>
      </w:r>
    </w:p>
    <w:p>
      <w:pPr>
        <w:spacing w:line="400" w:lineRule="exact"/>
        <w:ind w:firstLine="420" w:firstLineChars="200"/>
        <w:rPr>
          <w:rFonts w:ascii="宋体" w:hAnsi="宋体"/>
          <w:color w:val="auto"/>
          <w:szCs w:val="21"/>
          <w:highlight w:val="none"/>
        </w:rPr>
      </w:pPr>
      <w:r>
        <w:rPr>
          <w:rFonts w:ascii="宋体" w:hAnsi="宋体"/>
          <w:color w:val="auto"/>
          <w:szCs w:val="21"/>
          <w:highlight w:val="none"/>
        </w:rPr>
        <w:t>12.4如在使用过程中发生质量问题，乙方在接到甲方通知后在</w:t>
      </w:r>
      <w:r>
        <w:rPr>
          <w:rFonts w:ascii="宋体" w:hAnsi="宋体"/>
          <w:color w:val="auto"/>
          <w:szCs w:val="21"/>
          <w:highlight w:val="none"/>
          <w:u w:val="single"/>
        </w:rPr>
        <w:t xml:space="preserve">      </w:t>
      </w:r>
      <w:r>
        <w:rPr>
          <w:rFonts w:ascii="宋体" w:hAnsi="宋体"/>
          <w:color w:val="auto"/>
          <w:szCs w:val="21"/>
          <w:highlight w:val="none"/>
        </w:rPr>
        <w:t>小时内到达甲方现场</w:t>
      </w:r>
      <w:r>
        <w:rPr>
          <w:rFonts w:hint="eastAsia" w:ascii="宋体" w:hAnsi="宋体"/>
          <w:color w:val="auto"/>
          <w:szCs w:val="21"/>
          <w:highlight w:val="none"/>
        </w:rPr>
        <w:t>，违约</w:t>
      </w:r>
      <w:r>
        <w:rPr>
          <w:rFonts w:ascii="宋体" w:hAnsi="宋体"/>
          <w:color w:val="auto"/>
          <w:szCs w:val="21"/>
          <w:highlight w:val="none"/>
        </w:rPr>
        <w:t>按本合同</w:t>
      </w:r>
      <w:r>
        <w:rPr>
          <w:rFonts w:hint="eastAsia" w:ascii="宋体" w:hAnsi="宋体"/>
          <w:color w:val="auto"/>
          <w:szCs w:val="21"/>
          <w:highlight w:val="none"/>
        </w:rPr>
        <w:t>15.2款</w:t>
      </w:r>
      <w:r>
        <w:rPr>
          <w:rFonts w:ascii="宋体" w:hAnsi="宋体"/>
          <w:color w:val="auto"/>
          <w:szCs w:val="21"/>
          <w:highlight w:val="none"/>
        </w:rPr>
        <w:t>乙方逾期交货违约处理。</w:t>
      </w:r>
    </w:p>
    <w:p>
      <w:pPr>
        <w:spacing w:line="400" w:lineRule="exact"/>
        <w:ind w:firstLine="420" w:firstLineChars="200"/>
        <w:rPr>
          <w:rFonts w:ascii="宋体" w:hAnsi="宋体"/>
          <w:color w:val="auto"/>
          <w:szCs w:val="21"/>
          <w:highlight w:val="none"/>
        </w:rPr>
      </w:pPr>
      <w:r>
        <w:rPr>
          <w:rFonts w:ascii="宋体" w:hAnsi="宋体"/>
          <w:color w:val="auto"/>
          <w:szCs w:val="21"/>
          <w:highlight w:val="none"/>
        </w:rPr>
        <w:t>12.5</w:t>
      </w:r>
      <w:r>
        <w:rPr>
          <w:rFonts w:hint="eastAsia" w:ascii="宋体" w:hAnsi="宋体"/>
          <w:color w:val="auto"/>
          <w:szCs w:val="21"/>
          <w:highlight w:val="none"/>
        </w:rPr>
        <w:t>其他售后服务内容：</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pPr>
        <w:spacing w:line="400" w:lineRule="exact"/>
        <w:rPr>
          <w:rFonts w:ascii="宋体" w:hAnsi="宋体"/>
          <w:b/>
          <w:color w:val="auto"/>
          <w:szCs w:val="21"/>
          <w:highlight w:val="none"/>
        </w:rPr>
      </w:pPr>
      <w:r>
        <w:rPr>
          <w:rFonts w:ascii="宋体" w:hAnsi="宋体"/>
          <w:b/>
          <w:color w:val="auto"/>
          <w:szCs w:val="21"/>
          <w:highlight w:val="none"/>
        </w:rPr>
        <w:t>十三、调试和验收</w:t>
      </w:r>
    </w:p>
    <w:p>
      <w:pPr>
        <w:spacing w:line="400" w:lineRule="exact"/>
        <w:ind w:firstLine="420" w:firstLineChars="200"/>
        <w:rPr>
          <w:rFonts w:ascii="宋体" w:hAnsi="宋体"/>
          <w:color w:val="auto"/>
          <w:szCs w:val="21"/>
          <w:highlight w:val="none"/>
        </w:rPr>
      </w:pPr>
      <w:r>
        <w:rPr>
          <w:rFonts w:ascii="宋体" w:hAnsi="宋体"/>
          <w:color w:val="auto"/>
          <w:szCs w:val="21"/>
          <w:highlight w:val="none"/>
        </w:rPr>
        <w:t>13.1甲方对乙方提交的货物依据招标文件上的技术规格要求和国家有关质量标准进行现场初步验收，外观、说明书符合招标文件技术要求的，给予签收，初步验收不合格的不予签收。货到后，初步验收的时间为五个工作日内。</w:t>
      </w:r>
    </w:p>
    <w:p>
      <w:pPr>
        <w:spacing w:line="400" w:lineRule="exact"/>
        <w:ind w:firstLine="420" w:firstLineChars="200"/>
        <w:rPr>
          <w:rFonts w:ascii="宋体" w:hAnsi="宋体"/>
          <w:color w:val="auto"/>
          <w:szCs w:val="21"/>
          <w:highlight w:val="none"/>
        </w:rPr>
      </w:pPr>
      <w:r>
        <w:rPr>
          <w:rFonts w:ascii="宋体" w:hAnsi="宋体"/>
          <w:color w:val="auto"/>
          <w:szCs w:val="21"/>
          <w:highlight w:val="none"/>
        </w:rPr>
        <w:t>13.2乙方交货前应对产品作出全面检查和对验收文件进行整理，并列出清单，作为甲方收货验收和使用的技术条件依据，检验的结果应随货物交甲方。</w:t>
      </w:r>
    </w:p>
    <w:p>
      <w:pPr>
        <w:spacing w:line="400" w:lineRule="exact"/>
        <w:ind w:firstLine="420" w:firstLineChars="200"/>
        <w:rPr>
          <w:rFonts w:ascii="宋体" w:hAnsi="宋体"/>
          <w:color w:val="auto"/>
          <w:szCs w:val="21"/>
          <w:highlight w:val="none"/>
        </w:rPr>
      </w:pPr>
      <w:r>
        <w:rPr>
          <w:rFonts w:ascii="宋体" w:hAnsi="宋体"/>
          <w:color w:val="auto"/>
          <w:szCs w:val="21"/>
          <w:highlight w:val="none"/>
        </w:rPr>
        <w:t>13.3乙方提供的货物在使用前进行调试时，乙方需负责安装并培训甲方的使用操作人员，调试符合技术要求后，甲方才做最终验收。</w:t>
      </w:r>
    </w:p>
    <w:p>
      <w:pPr>
        <w:spacing w:line="400" w:lineRule="exact"/>
        <w:ind w:firstLine="420" w:firstLineChars="200"/>
        <w:rPr>
          <w:rFonts w:ascii="宋体" w:hAnsi="宋体"/>
          <w:color w:val="auto"/>
          <w:szCs w:val="21"/>
          <w:highlight w:val="none"/>
        </w:rPr>
      </w:pPr>
      <w:r>
        <w:rPr>
          <w:rFonts w:ascii="宋体" w:hAnsi="宋体"/>
          <w:color w:val="auto"/>
          <w:szCs w:val="21"/>
          <w:highlight w:val="none"/>
        </w:rPr>
        <w:t>13.4对技术复杂的货物，甲方应请国家认可的专业检测机构参与初步验收及最终验收，并由其出具质量检测报告。</w:t>
      </w:r>
    </w:p>
    <w:p>
      <w:pPr>
        <w:spacing w:line="400" w:lineRule="exact"/>
        <w:ind w:firstLine="420" w:firstLineChars="200"/>
        <w:rPr>
          <w:rFonts w:ascii="宋体" w:hAnsi="宋体"/>
          <w:color w:val="auto"/>
          <w:szCs w:val="21"/>
          <w:highlight w:val="none"/>
        </w:rPr>
      </w:pPr>
      <w:r>
        <w:rPr>
          <w:rFonts w:ascii="宋体" w:hAnsi="宋体"/>
          <w:color w:val="auto"/>
          <w:szCs w:val="21"/>
          <w:highlight w:val="none"/>
        </w:rPr>
        <w:t>13.5验收时乙方必须在现场；验收完毕后作出验收结果报告，甲方负责人签字并加盖公章；验收费用由乙方负责。</w:t>
      </w:r>
    </w:p>
    <w:p>
      <w:pPr>
        <w:spacing w:line="400" w:lineRule="exact"/>
        <w:rPr>
          <w:rFonts w:ascii="宋体" w:hAnsi="宋体"/>
          <w:b/>
          <w:color w:val="auto"/>
          <w:szCs w:val="21"/>
          <w:highlight w:val="none"/>
        </w:rPr>
      </w:pPr>
      <w:r>
        <w:rPr>
          <w:rFonts w:ascii="宋体" w:hAnsi="宋体"/>
          <w:b/>
          <w:color w:val="auto"/>
          <w:szCs w:val="21"/>
          <w:highlight w:val="none"/>
        </w:rPr>
        <w:t>十四、货物包装、发运及运输</w:t>
      </w:r>
    </w:p>
    <w:p>
      <w:pPr>
        <w:spacing w:line="400" w:lineRule="exact"/>
        <w:ind w:firstLine="420" w:firstLineChars="200"/>
        <w:rPr>
          <w:rFonts w:ascii="宋体" w:hAnsi="宋体"/>
          <w:color w:val="auto"/>
          <w:szCs w:val="21"/>
          <w:highlight w:val="none"/>
        </w:rPr>
      </w:pPr>
      <w:r>
        <w:rPr>
          <w:rFonts w:ascii="宋体" w:hAnsi="宋体"/>
          <w:color w:val="auto"/>
          <w:szCs w:val="21"/>
          <w:highlight w:val="none"/>
        </w:rPr>
        <w:t>14.1乙方应在货物发运前对其进行满足运输距离、防潮、防震、防锈和防破损装卸等要求包装，以保证货物安全运达甲方指定地点。</w:t>
      </w:r>
    </w:p>
    <w:p>
      <w:pPr>
        <w:spacing w:line="400" w:lineRule="exact"/>
        <w:ind w:firstLine="420" w:firstLineChars="200"/>
        <w:rPr>
          <w:rFonts w:ascii="宋体" w:hAnsi="宋体"/>
          <w:color w:val="auto"/>
          <w:szCs w:val="21"/>
          <w:highlight w:val="none"/>
        </w:rPr>
      </w:pPr>
      <w:r>
        <w:rPr>
          <w:rFonts w:ascii="宋体" w:hAnsi="宋体"/>
          <w:color w:val="auto"/>
          <w:szCs w:val="21"/>
          <w:highlight w:val="none"/>
        </w:rPr>
        <w:t>14.2使用说明书、质量检验证明书、随配附件和工具以及清单一并附于货物内。</w:t>
      </w:r>
    </w:p>
    <w:p>
      <w:pPr>
        <w:spacing w:line="400" w:lineRule="exact"/>
        <w:ind w:firstLine="420" w:firstLineChars="200"/>
        <w:rPr>
          <w:rFonts w:ascii="宋体" w:hAnsi="宋体"/>
          <w:color w:val="auto"/>
          <w:szCs w:val="21"/>
          <w:highlight w:val="none"/>
        </w:rPr>
      </w:pPr>
      <w:r>
        <w:rPr>
          <w:rFonts w:ascii="宋体" w:hAnsi="宋体"/>
          <w:color w:val="auto"/>
          <w:szCs w:val="21"/>
          <w:highlight w:val="none"/>
        </w:rPr>
        <w:t>14.3乙方在货物发运手续办理完毕后24小时内或货到甲方48小时前通知甲方，以准备接货。</w:t>
      </w:r>
    </w:p>
    <w:p>
      <w:pPr>
        <w:spacing w:line="400" w:lineRule="exact"/>
        <w:ind w:firstLine="420" w:firstLineChars="200"/>
        <w:rPr>
          <w:rFonts w:ascii="宋体" w:hAnsi="宋体"/>
          <w:color w:val="auto"/>
          <w:szCs w:val="21"/>
          <w:highlight w:val="none"/>
        </w:rPr>
      </w:pPr>
      <w:r>
        <w:rPr>
          <w:rFonts w:ascii="宋体" w:hAnsi="宋体"/>
          <w:color w:val="auto"/>
          <w:szCs w:val="21"/>
          <w:highlight w:val="none"/>
        </w:rPr>
        <w:t>14.4货物在交付甲方前发生的风险均由乙方负责。</w:t>
      </w:r>
    </w:p>
    <w:p>
      <w:pPr>
        <w:spacing w:line="400" w:lineRule="exact"/>
        <w:ind w:firstLine="420" w:firstLineChars="200"/>
        <w:rPr>
          <w:rFonts w:ascii="宋体" w:hAnsi="宋体"/>
          <w:color w:val="auto"/>
          <w:szCs w:val="21"/>
          <w:highlight w:val="none"/>
        </w:rPr>
      </w:pPr>
      <w:r>
        <w:rPr>
          <w:rFonts w:ascii="宋体" w:hAnsi="宋体"/>
          <w:color w:val="auto"/>
          <w:szCs w:val="21"/>
          <w:highlight w:val="none"/>
        </w:rPr>
        <w:t>14.5货物在规定的交付期限内由乙方送达甲方指定的地点视为交付，乙方同时需通知甲方货物已送达。</w:t>
      </w:r>
    </w:p>
    <w:p>
      <w:pPr>
        <w:spacing w:line="400" w:lineRule="exact"/>
        <w:rPr>
          <w:rFonts w:ascii="宋体" w:hAnsi="宋体"/>
          <w:b/>
          <w:color w:val="auto"/>
          <w:szCs w:val="21"/>
          <w:highlight w:val="none"/>
        </w:rPr>
      </w:pPr>
      <w:r>
        <w:rPr>
          <w:rFonts w:ascii="宋体" w:hAnsi="宋体"/>
          <w:b/>
          <w:color w:val="auto"/>
          <w:szCs w:val="21"/>
          <w:highlight w:val="none"/>
        </w:rPr>
        <w:t>十五、违约责任</w:t>
      </w:r>
    </w:p>
    <w:p>
      <w:pPr>
        <w:spacing w:line="400" w:lineRule="exact"/>
        <w:ind w:firstLine="420" w:firstLineChars="200"/>
        <w:rPr>
          <w:rFonts w:ascii="宋体" w:hAnsi="宋体"/>
          <w:color w:val="auto"/>
          <w:szCs w:val="21"/>
          <w:highlight w:val="none"/>
        </w:rPr>
      </w:pPr>
      <w:r>
        <w:rPr>
          <w:rFonts w:ascii="宋体" w:hAnsi="宋体"/>
          <w:color w:val="auto"/>
          <w:szCs w:val="21"/>
          <w:highlight w:val="none"/>
        </w:rPr>
        <w:t>15.1</w:t>
      </w:r>
      <w:r>
        <w:rPr>
          <w:rFonts w:hint="eastAsia" w:ascii="宋体" w:hAnsi="宋体"/>
          <w:color w:val="auto"/>
          <w:szCs w:val="21"/>
          <w:highlight w:val="none"/>
        </w:rPr>
        <w:t>甲方逾期支付合同款项的，以甲方支付当日计，每逾期支付一天，按银行同期活期存款利率（不计复利）支付利息</w:t>
      </w:r>
      <w:r>
        <w:rPr>
          <w:rFonts w:ascii="宋体" w:hAnsi="宋体"/>
          <w:color w:val="auto"/>
          <w:szCs w:val="21"/>
          <w:highlight w:val="none"/>
        </w:rPr>
        <w:t>。</w:t>
      </w:r>
    </w:p>
    <w:p>
      <w:pPr>
        <w:spacing w:line="400" w:lineRule="exact"/>
        <w:ind w:firstLine="420" w:firstLineChars="200"/>
        <w:rPr>
          <w:rFonts w:ascii="宋体" w:hAnsi="宋体"/>
          <w:color w:val="auto"/>
          <w:szCs w:val="21"/>
          <w:highlight w:val="none"/>
        </w:rPr>
      </w:pPr>
      <w:r>
        <w:rPr>
          <w:rFonts w:ascii="宋体" w:hAnsi="宋体"/>
          <w:color w:val="auto"/>
          <w:szCs w:val="21"/>
          <w:highlight w:val="none"/>
        </w:rPr>
        <w:t>15.</w:t>
      </w:r>
      <w:r>
        <w:rPr>
          <w:rFonts w:hint="eastAsia" w:ascii="宋体" w:hAnsi="宋体"/>
          <w:color w:val="auto"/>
          <w:szCs w:val="21"/>
          <w:highlight w:val="none"/>
        </w:rPr>
        <w:t>2</w:t>
      </w:r>
      <w:r>
        <w:rPr>
          <w:rFonts w:ascii="宋体" w:hAnsi="宋体"/>
          <w:color w:val="auto"/>
          <w:szCs w:val="21"/>
          <w:highlight w:val="none"/>
        </w:rPr>
        <w:t>乙方逾期交付货物的，乙方应按逾期交货总额每日千分之六向甲方支付违约金，由甲方从待付货款中扣除。逾期超过约定日期10个工作日不能交货的，甲方可解除本合同。因乙方的逾期交货或其他违约行为导致甲方解除合同的，乙方应向甲方支付合同总值5%的违约金，如造成甲方损失超过违约金的，超出部分由乙方继续承担赔偿责任。</w:t>
      </w:r>
    </w:p>
    <w:p>
      <w:pPr>
        <w:spacing w:line="400" w:lineRule="exact"/>
        <w:ind w:firstLine="420" w:firstLineChars="200"/>
        <w:rPr>
          <w:rFonts w:ascii="宋体" w:hAnsi="宋体"/>
          <w:color w:val="auto"/>
          <w:szCs w:val="21"/>
          <w:highlight w:val="none"/>
        </w:rPr>
      </w:pPr>
      <w:r>
        <w:rPr>
          <w:rFonts w:ascii="宋体" w:hAnsi="宋体"/>
          <w:color w:val="auto"/>
          <w:szCs w:val="21"/>
          <w:highlight w:val="none"/>
        </w:rPr>
        <w:t>15.</w:t>
      </w:r>
      <w:r>
        <w:rPr>
          <w:rFonts w:hint="eastAsia" w:ascii="宋体" w:hAnsi="宋体"/>
          <w:color w:val="auto"/>
          <w:szCs w:val="21"/>
          <w:highlight w:val="none"/>
        </w:rPr>
        <w:t>3</w:t>
      </w:r>
      <w:r>
        <w:rPr>
          <w:rFonts w:ascii="宋体" w:hAnsi="宋体"/>
          <w:color w:val="auto"/>
          <w:szCs w:val="21"/>
          <w:highlight w:val="none"/>
        </w:rPr>
        <w:t>乙方所交的货物品种、型号、规格、技术参数、质量不符合合同规定及招标文件规定标准的，甲方有权拒收该货物，乙方愿意更换货物但逾期交货的，按</w:t>
      </w:r>
      <w:r>
        <w:rPr>
          <w:rFonts w:hint="eastAsia" w:ascii="宋体" w:hAnsi="宋体"/>
          <w:color w:val="auto"/>
          <w:szCs w:val="21"/>
          <w:highlight w:val="none"/>
        </w:rPr>
        <w:t>本</w:t>
      </w:r>
      <w:r>
        <w:rPr>
          <w:rFonts w:ascii="宋体" w:hAnsi="宋体"/>
          <w:color w:val="auto"/>
          <w:szCs w:val="21"/>
          <w:highlight w:val="none"/>
        </w:rPr>
        <w:t>合同</w:t>
      </w:r>
      <w:r>
        <w:rPr>
          <w:rFonts w:hint="eastAsia" w:ascii="宋体" w:hAnsi="宋体"/>
          <w:color w:val="auto"/>
          <w:szCs w:val="21"/>
          <w:highlight w:val="none"/>
        </w:rPr>
        <w:t>15.2款</w:t>
      </w:r>
      <w:r>
        <w:rPr>
          <w:rFonts w:ascii="宋体" w:hAnsi="宋体"/>
          <w:color w:val="auto"/>
          <w:szCs w:val="21"/>
          <w:highlight w:val="none"/>
        </w:rPr>
        <w:t>乙方逾期交货违约处理。乙方拒绝更换货物的，甲方可单方面解除合同。</w:t>
      </w:r>
    </w:p>
    <w:p>
      <w:pPr>
        <w:spacing w:line="400" w:lineRule="exact"/>
        <w:rPr>
          <w:rFonts w:ascii="宋体" w:hAnsi="宋体"/>
          <w:b/>
          <w:color w:val="auto"/>
          <w:szCs w:val="21"/>
          <w:highlight w:val="none"/>
        </w:rPr>
      </w:pPr>
      <w:r>
        <w:rPr>
          <w:rFonts w:ascii="宋体" w:hAnsi="宋体"/>
          <w:b/>
          <w:color w:val="auto"/>
          <w:szCs w:val="21"/>
          <w:highlight w:val="none"/>
        </w:rPr>
        <w:t>十六、不可抗力事件处理</w:t>
      </w:r>
    </w:p>
    <w:p>
      <w:pPr>
        <w:spacing w:line="400" w:lineRule="exact"/>
        <w:ind w:firstLine="420" w:firstLineChars="200"/>
        <w:rPr>
          <w:rFonts w:ascii="宋体" w:hAnsi="宋体"/>
          <w:color w:val="auto"/>
          <w:szCs w:val="21"/>
          <w:highlight w:val="none"/>
        </w:rPr>
      </w:pPr>
      <w:r>
        <w:rPr>
          <w:rFonts w:ascii="宋体" w:hAnsi="宋体"/>
          <w:color w:val="auto"/>
          <w:szCs w:val="21"/>
          <w:highlight w:val="none"/>
        </w:rPr>
        <w:t>16.1在合同有效期内，任何一方因不可抗力事件导致不能履行合同，则合同履行期可延长，其延长期与不可抗力影响期相同。</w:t>
      </w:r>
    </w:p>
    <w:p>
      <w:pPr>
        <w:spacing w:line="400" w:lineRule="exact"/>
        <w:ind w:firstLine="420" w:firstLineChars="200"/>
        <w:rPr>
          <w:rFonts w:ascii="宋体" w:hAnsi="宋体"/>
          <w:color w:val="auto"/>
          <w:szCs w:val="21"/>
          <w:highlight w:val="none"/>
        </w:rPr>
      </w:pPr>
      <w:r>
        <w:rPr>
          <w:rFonts w:ascii="宋体" w:hAnsi="宋体"/>
          <w:color w:val="auto"/>
          <w:szCs w:val="21"/>
          <w:highlight w:val="none"/>
        </w:rPr>
        <w:t>16.2不可抗力事件发生后，应立即通知对方，并寄送有关权威机构出具的证明。</w:t>
      </w:r>
    </w:p>
    <w:p>
      <w:pPr>
        <w:spacing w:line="400" w:lineRule="exact"/>
        <w:ind w:firstLine="420" w:firstLineChars="200"/>
        <w:rPr>
          <w:rFonts w:ascii="宋体" w:hAnsi="宋体"/>
          <w:color w:val="auto"/>
          <w:szCs w:val="21"/>
          <w:highlight w:val="none"/>
        </w:rPr>
      </w:pPr>
      <w:r>
        <w:rPr>
          <w:rFonts w:ascii="宋体" w:hAnsi="宋体"/>
          <w:color w:val="auto"/>
          <w:szCs w:val="21"/>
          <w:highlight w:val="none"/>
        </w:rPr>
        <w:t>16.3不可抗力事件延续120天以上，双方应通过友好协商，确定是否继续履行合同。</w:t>
      </w:r>
    </w:p>
    <w:p>
      <w:pPr>
        <w:spacing w:line="400" w:lineRule="exact"/>
        <w:rPr>
          <w:rFonts w:ascii="宋体" w:hAnsi="宋体"/>
          <w:b/>
          <w:color w:val="auto"/>
          <w:szCs w:val="21"/>
          <w:highlight w:val="none"/>
        </w:rPr>
      </w:pPr>
      <w:r>
        <w:rPr>
          <w:rFonts w:ascii="宋体" w:hAnsi="宋体"/>
          <w:b/>
          <w:color w:val="auto"/>
          <w:szCs w:val="21"/>
          <w:highlight w:val="none"/>
        </w:rPr>
        <w:t>十七、诉讼</w:t>
      </w:r>
    </w:p>
    <w:p>
      <w:pPr>
        <w:spacing w:line="400" w:lineRule="exact"/>
        <w:ind w:firstLine="420" w:firstLineChars="200"/>
        <w:rPr>
          <w:rFonts w:ascii="宋体" w:hAnsi="宋体"/>
          <w:color w:val="auto"/>
          <w:szCs w:val="21"/>
          <w:highlight w:val="none"/>
        </w:rPr>
      </w:pPr>
      <w:r>
        <w:rPr>
          <w:rFonts w:ascii="宋体" w:hAnsi="宋体"/>
          <w:color w:val="auto"/>
          <w:szCs w:val="21"/>
          <w:highlight w:val="none"/>
        </w:rPr>
        <w:t>17.1双方在执行合同中所发生的一切争议，应通过协商解决。如协商不成，可向合同履行地法院起诉。</w:t>
      </w:r>
    </w:p>
    <w:p>
      <w:pPr>
        <w:spacing w:line="400" w:lineRule="exact"/>
        <w:rPr>
          <w:rFonts w:ascii="宋体" w:hAnsi="宋体"/>
          <w:b/>
          <w:color w:val="auto"/>
          <w:szCs w:val="21"/>
          <w:highlight w:val="none"/>
        </w:rPr>
      </w:pPr>
      <w:r>
        <w:rPr>
          <w:rFonts w:ascii="宋体" w:hAnsi="宋体"/>
          <w:b/>
          <w:color w:val="auto"/>
          <w:szCs w:val="21"/>
          <w:highlight w:val="none"/>
        </w:rPr>
        <w:t>十八、合同生效及其它</w:t>
      </w:r>
    </w:p>
    <w:p>
      <w:pPr>
        <w:spacing w:line="400" w:lineRule="exact"/>
        <w:ind w:firstLine="420" w:firstLineChars="200"/>
        <w:rPr>
          <w:rFonts w:ascii="宋体" w:hAnsi="宋体"/>
          <w:color w:val="auto"/>
          <w:szCs w:val="21"/>
          <w:highlight w:val="none"/>
        </w:rPr>
      </w:pPr>
      <w:r>
        <w:rPr>
          <w:rFonts w:ascii="宋体" w:hAnsi="宋体"/>
          <w:color w:val="auto"/>
          <w:szCs w:val="21"/>
          <w:highlight w:val="none"/>
        </w:rPr>
        <w:t>18.1合同经</w:t>
      </w:r>
      <w:r>
        <w:rPr>
          <w:rFonts w:hint="eastAsia" w:ascii="宋体" w:hAnsi="宋体"/>
          <w:color w:val="auto"/>
          <w:szCs w:val="21"/>
          <w:highlight w:val="none"/>
        </w:rPr>
        <w:t>双</w:t>
      </w:r>
      <w:r>
        <w:rPr>
          <w:rFonts w:ascii="宋体" w:hAnsi="宋体"/>
          <w:color w:val="auto"/>
          <w:szCs w:val="21"/>
          <w:highlight w:val="none"/>
        </w:rPr>
        <w:t>方法定代表人或授权委托代理人签字并加盖单位公章后生效。</w:t>
      </w:r>
    </w:p>
    <w:p>
      <w:pPr>
        <w:spacing w:line="400" w:lineRule="exact"/>
        <w:ind w:firstLine="420" w:firstLineChars="200"/>
        <w:rPr>
          <w:rFonts w:ascii="宋体" w:hAnsi="宋体"/>
          <w:color w:val="auto"/>
          <w:szCs w:val="21"/>
          <w:highlight w:val="none"/>
        </w:rPr>
      </w:pPr>
      <w:r>
        <w:rPr>
          <w:rFonts w:ascii="宋体" w:hAnsi="宋体"/>
          <w:color w:val="auto"/>
          <w:szCs w:val="21"/>
          <w:highlight w:val="none"/>
        </w:rPr>
        <w:t>18.</w:t>
      </w:r>
      <w:r>
        <w:rPr>
          <w:rFonts w:hint="eastAsia" w:ascii="宋体" w:hAnsi="宋体"/>
          <w:color w:val="auto"/>
          <w:szCs w:val="21"/>
          <w:highlight w:val="none"/>
        </w:rPr>
        <w:t>2</w:t>
      </w:r>
      <w:r>
        <w:rPr>
          <w:rFonts w:ascii="宋体" w:hAnsi="宋体"/>
          <w:color w:val="auto"/>
          <w:szCs w:val="21"/>
          <w:highlight w:val="none"/>
        </w:rPr>
        <w:t>本合同未尽事宜，遵照《</w:t>
      </w:r>
      <w:r>
        <w:rPr>
          <w:rFonts w:hint="eastAsia" w:ascii="宋体" w:hAnsi="宋体"/>
          <w:color w:val="auto"/>
          <w:szCs w:val="21"/>
          <w:highlight w:val="none"/>
        </w:rPr>
        <w:t>中华人民共和国民法典</w:t>
      </w:r>
      <w:r>
        <w:rPr>
          <w:rFonts w:ascii="宋体" w:hAnsi="宋体"/>
          <w:color w:val="auto"/>
          <w:szCs w:val="21"/>
          <w:highlight w:val="none"/>
        </w:rPr>
        <w:t>》有关条文执行。</w:t>
      </w:r>
    </w:p>
    <w:p>
      <w:pPr>
        <w:spacing w:line="400" w:lineRule="exact"/>
        <w:ind w:firstLine="420" w:firstLineChars="200"/>
        <w:rPr>
          <w:rFonts w:ascii="宋体" w:hAnsi="宋体"/>
          <w:color w:val="auto"/>
          <w:szCs w:val="21"/>
          <w:highlight w:val="none"/>
        </w:rPr>
      </w:pPr>
      <w:r>
        <w:rPr>
          <w:rFonts w:ascii="宋体" w:hAnsi="宋体"/>
          <w:color w:val="auto"/>
          <w:szCs w:val="21"/>
          <w:highlight w:val="none"/>
        </w:rPr>
        <w:t>18.</w:t>
      </w:r>
      <w:r>
        <w:rPr>
          <w:rFonts w:hint="eastAsia" w:ascii="宋体" w:hAnsi="宋体"/>
          <w:color w:val="auto"/>
          <w:szCs w:val="21"/>
          <w:highlight w:val="none"/>
        </w:rPr>
        <w:t>3</w:t>
      </w:r>
      <w:r>
        <w:rPr>
          <w:rFonts w:ascii="宋体" w:hAnsi="宋体"/>
          <w:color w:val="auto"/>
          <w:szCs w:val="21"/>
          <w:highlight w:val="none"/>
        </w:rPr>
        <w:t>本合同正本一式</w:t>
      </w:r>
      <w:r>
        <w:rPr>
          <w:rFonts w:hint="eastAsia" w:ascii="宋体" w:hAnsi="宋体"/>
          <w:color w:val="auto"/>
          <w:szCs w:val="21"/>
          <w:highlight w:val="none"/>
        </w:rPr>
        <w:t>二</w:t>
      </w:r>
      <w:r>
        <w:rPr>
          <w:rFonts w:ascii="宋体" w:hAnsi="宋体"/>
          <w:color w:val="auto"/>
          <w:szCs w:val="21"/>
          <w:highlight w:val="none"/>
        </w:rPr>
        <w:t>份，具有同等法律效力，甲乙</w:t>
      </w:r>
      <w:r>
        <w:rPr>
          <w:rFonts w:hint="eastAsia" w:ascii="宋体" w:hAnsi="宋体"/>
          <w:color w:val="auto"/>
          <w:szCs w:val="21"/>
          <w:highlight w:val="none"/>
        </w:rPr>
        <w:t>双</w:t>
      </w:r>
      <w:r>
        <w:rPr>
          <w:rFonts w:ascii="宋体" w:hAnsi="宋体"/>
          <w:color w:val="auto"/>
          <w:szCs w:val="21"/>
          <w:highlight w:val="none"/>
        </w:rPr>
        <w:t>方各执一份。</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18.4下列文件是本合同不可分割的组成部分，本合同未尽事宜从其规定，相互解释，互为说明。除合同另有规定外，其优先顺序如下：</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（1）合同及合同附件（如有）；</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（2）中标通知书；</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（3）投标文件及修改补充文件（如有）；</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（4）招标文件及修改补充文件（如有）；</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（5）其他协议文件（包括但不限于甲方的相关管理办法和规定，如有）。</w:t>
      </w:r>
    </w:p>
    <w:p>
      <w:pPr>
        <w:spacing w:line="400" w:lineRule="exact"/>
        <w:ind w:firstLine="420" w:firstLineChars="200"/>
        <w:rPr>
          <w:rFonts w:ascii="宋体" w:hAnsi="宋体"/>
          <w:color w:val="auto"/>
          <w:szCs w:val="21"/>
          <w:highlight w:val="none"/>
        </w:rPr>
      </w:pPr>
      <w:r>
        <w:rPr>
          <w:rFonts w:ascii="宋体" w:hAnsi="宋体"/>
          <w:color w:val="auto"/>
          <w:szCs w:val="21"/>
          <w:highlight w:val="none"/>
        </w:rPr>
        <w:t>18.</w:t>
      </w:r>
      <w:r>
        <w:rPr>
          <w:rFonts w:hint="eastAsia" w:ascii="宋体" w:hAnsi="宋体"/>
          <w:color w:val="auto"/>
          <w:szCs w:val="21"/>
          <w:highlight w:val="none"/>
        </w:rPr>
        <w:t>5双</w:t>
      </w:r>
      <w:r>
        <w:rPr>
          <w:rFonts w:ascii="宋体" w:hAnsi="宋体"/>
          <w:color w:val="auto"/>
          <w:szCs w:val="21"/>
          <w:highlight w:val="none"/>
        </w:rPr>
        <w:t>方约定的其他事项：</w:t>
      </w:r>
      <w:r>
        <w:rPr>
          <w:rFonts w:hint="eastAsia" w:ascii="宋体" w:hAnsi="宋体"/>
          <w:color w:val="auto"/>
          <w:szCs w:val="21"/>
          <w:highlight w:val="none"/>
          <w:u w:val="single"/>
        </w:rPr>
        <w:t xml:space="preserve">                         </w:t>
      </w:r>
    </w:p>
    <w:p>
      <w:pPr>
        <w:spacing w:line="400" w:lineRule="exact"/>
        <w:rPr>
          <w:rFonts w:ascii="宋体" w:hAnsi="宋体"/>
          <w:color w:val="auto"/>
          <w:szCs w:val="21"/>
          <w:highlight w:val="none"/>
        </w:rPr>
      </w:pPr>
    </w:p>
    <w:p>
      <w:pPr>
        <w:pStyle w:val="17"/>
        <w:rPr>
          <w:color w:val="auto"/>
          <w:szCs w:val="21"/>
          <w:highlight w:val="none"/>
        </w:rPr>
      </w:pPr>
    </w:p>
    <w:p>
      <w:pPr>
        <w:pStyle w:val="18"/>
        <w:rPr>
          <w:rFonts w:ascii="宋体" w:hAnsi="宋体"/>
          <w:color w:val="auto"/>
          <w:szCs w:val="21"/>
          <w:highlight w:val="none"/>
        </w:rPr>
      </w:pPr>
    </w:p>
    <w:p>
      <w:pPr>
        <w:rPr>
          <w:color w:val="auto"/>
          <w:highlight w:val="none"/>
        </w:rPr>
      </w:pPr>
    </w:p>
    <w:p>
      <w:pPr>
        <w:spacing w:line="400" w:lineRule="exact"/>
        <w:rPr>
          <w:rFonts w:ascii="宋体" w:hAnsi="宋体"/>
          <w:color w:val="auto"/>
          <w:szCs w:val="21"/>
          <w:highlight w:val="none"/>
        </w:rPr>
      </w:pPr>
      <w:r>
        <w:rPr>
          <w:rFonts w:hint="eastAsia" w:ascii="宋体" w:hAnsi="宋体"/>
          <w:color w:val="auto"/>
          <w:szCs w:val="21"/>
          <w:highlight w:val="none"/>
        </w:rPr>
        <w:t>甲方（盖章）：                                  乙方（盖章）：</w:t>
      </w:r>
    </w:p>
    <w:p>
      <w:pPr>
        <w:spacing w:line="400" w:lineRule="exact"/>
        <w:rPr>
          <w:rFonts w:ascii="宋体" w:hAnsi="宋体"/>
          <w:color w:val="auto"/>
          <w:szCs w:val="21"/>
          <w:highlight w:val="none"/>
        </w:rPr>
      </w:pPr>
      <w:r>
        <w:rPr>
          <w:rFonts w:hint="eastAsia" w:ascii="宋体" w:hAnsi="宋体"/>
          <w:color w:val="auto"/>
          <w:szCs w:val="21"/>
          <w:highlight w:val="none"/>
        </w:rPr>
        <w:t>地址：                                          地址：</w:t>
      </w:r>
    </w:p>
    <w:p>
      <w:pPr>
        <w:spacing w:line="400" w:lineRule="exact"/>
        <w:rPr>
          <w:rFonts w:ascii="宋体" w:hAnsi="宋体"/>
          <w:color w:val="auto"/>
          <w:szCs w:val="21"/>
          <w:highlight w:val="none"/>
        </w:rPr>
      </w:pPr>
      <w:r>
        <w:rPr>
          <w:rFonts w:hint="eastAsia" w:ascii="宋体" w:hAnsi="宋体"/>
          <w:color w:val="auto"/>
          <w:szCs w:val="21"/>
          <w:highlight w:val="none"/>
        </w:rPr>
        <w:t>法定代表人（或授权委托人）：                    法定代表人（或授权委托人）：</w:t>
      </w:r>
    </w:p>
    <w:p>
      <w:pPr>
        <w:spacing w:line="400" w:lineRule="exact"/>
        <w:rPr>
          <w:rFonts w:ascii="宋体" w:hAnsi="宋体"/>
          <w:color w:val="auto"/>
          <w:szCs w:val="21"/>
          <w:highlight w:val="none"/>
        </w:rPr>
      </w:pPr>
      <w:r>
        <w:rPr>
          <w:rFonts w:hint="eastAsia" w:ascii="宋体" w:hAnsi="宋体"/>
          <w:color w:val="auto"/>
          <w:szCs w:val="21"/>
          <w:highlight w:val="none"/>
        </w:rPr>
        <w:t>开户银行：                                      开户银行：</w:t>
      </w:r>
    </w:p>
    <w:p>
      <w:pPr>
        <w:spacing w:line="400" w:lineRule="exact"/>
        <w:rPr>
          <w:rFonts w:ascii="宋体" w:hAnsi="宋体"/>
          <w:color w:val="auto"/>
          <w:szCs w:val="21"/>
          <w:highlight w:val="none"/>
        </w:rPr>
      </w:pPr>
      <w:r>
        <w:rPr>
          <w:rFonts w:hint="eastAsia" w:ascii="宋体" w:hAnsi="宋体"/>
          <w:color w:val="auto"/>
          <w:szCs w:val="21"/>
          <w:highlight w:val="none"/>
        </w:rPr>
        <w:t>账号：                                          账号：</w:t>
      </w:r>
    </w:p>
    <w:p>
      <w:pPr>
        <w:spacing w:line="400" w:lineRule="exact"/>
        <w:rPr>
          <w:b/>
          <w:color w:val="auto"/>
          <w:szCs w:val="21"/>
          <w:highlight w:val="none"/>
        </w:rPr>
      </w:pPr>
      <w:r>
        <w:rPr>
          <w:rFonts w:hint="eastAsia" w:ascii="宋体" w:hAnsi="宋体"/>
          <w:color w:val="auto"/>
          <w:szCs w:val="21"/>
          <w:highlight w:val="none"/>
        </w:rPr>
        <w:t>签订地点：                                      签订日期：    年    月    日</w:t>
      </w:r>
    </w:p>
    <w:p>
      <w:pPr>
        <w:pStyle w:val="18"/>
        <w:rPr>
          <w:color w:val="auto"/>
          <w:highlight w:val="none"/>
        </w:rPr>
      </w:pPr>
    </w:p>
    <w:p>
      <w:pPr>
        <w:rPr>
          <w:color w:val="auto"/>
          <w:highlight w:val="none"/>
        </w:rPr>
      </w:pPr>
    </w:p>
    <w:p>
      <w:pPr>
        <w:pStyle w:val="17"/>
        <w:rPr>
          <w:color w:val="auto"/>
          <w:highlight w:val="none"/>
        </w:rPr>
      </w:pPr>
    </w:p>
    <w:p>
      <w:pPr>
        <w:spacing w:line="400" w:lineRule="exact"/>
        <w:jc w:val="left"/>
        <w:outlineLvl w:val="0"/>
        <w:rPr>
          <w:rFonts w:ascii="宋体" w:hAnsi="宋体"/>
          <w:b/>
          <w:color w:val="auto"/>
          <w:szCs w:val="21"/>
          <w:highlight w:val="none"/>
        </w:rPr>
        <w:sectPr>
          <w:headerReference r:id="rId9" w:type="default"/>
          <w:pgSz w:w="11907" w:h="16840"/>
          <w:pgMar w:top="1247" w:right="1361" w:bottom="1247" w:left="1361" w:header="284" w:footer="727" w:gutter="0"/>
          <w:pgNumType w:fmt="decimal"/>
          <w:cols w:space="720" w:num="1"/>
          <w:docGrid w:linePitch="285" w:charSpace="0"/>
        </w:sectPr>
      </w:pPr>
    </w:p>
    <w:p>
      <w:pPr>
        <w:spacing w:line="400" w:lineRule="exact"/>
        <w:jc w:val="center"/>
        <w:outlineLvl w:val="0"/>
        <w:rPr>
          <w:rFonts w:ascii="宋体" w:hAnsi="宋体"/>
          <w:b/>
          <w:color w:val="auto"/>
          <w:sz w:val="32"/>
          <w:highlight w:val="none"/>
        </w:rPr>
      </w:pPr>
      <w:bookmarkStart w:id="47" w:name="_Toc21541021"/>
      <w:bookmarkStart w:id="48" w:name="_Toc65915710"/>
      <w:bookmarkStart w:id="49" w:name="_Toc216662965"/>
      <w:r>
        <w:rPr>
          <w:rFonts w:hint="eastAsia" w:ascii="宋体" w:hAnsi="宋体"/>
          <w:b/>
          <w:color w:val="auto"/>
          <w:sz w:val="32"/>
          <w:highlight w:val="none"/>
        </w:rPr>
        <w:t>第五章</w:t>
      </w:r>
      <w:r>
        <w:rPr>
          <w:rFonts w:ascii="宋体" w:hAnsi="宋体"/>
          <w:b/>
          <w:color w:val="auto"/>
          <w:sz w:val="32"/>
          <w:highlight w:val="none"/>
        </w:rPr>
        <w:t xml:space="preserve">  </w:t>
      </w:r>
      <w:r>
        <w:rPr>
          <w:rFonts w:hint="eastAsia" w:ascii="宋体" w:hAnsi="宋体"/>
          <w:b/>
          <w:color w:val="auto"/>
          <w:sz w:val="32"/>
          <w:highlight w:val="none"/>
        </w:rPr>
        <w:t>招标内容与技术需求</w:t>
      </w:r>
      <w:bookmarkEnd w:id="47"/>
      <w:bookmarkEnd w:id="48"/>
    </w:p>
    <w:p>
      <w:pPr>
        <w:tabs>
          <w:tab w:val="left" w:pos="8161"/>
        </w:tabs>
        <w:spacing w:line="400" w:lineRule="exact"/>
        <w:jc w:val="center"/>
        <w:outlineLvl w:val="0"/>
        <w:rPr>
          <w:rFonts w:ascii="宋体" w:hAnsi="宋体"/>
          <w:b/>
          <w:color w:val="auto"/>
          <w:szCs w:val="21"/>
          <w:highlight w:val="none"/>
        </w:rPr>
      </w:pPr>
      <w:bookmarkStart w:id="50" w:name="_Toc65915711"/>
      <w:bookmarkStart w:id="51" w:name="_Toc21541024"/>
    </w:p>
    <w:p>
      <w:pPr>
        <w:tabs>
          <w:tab w:val="left" w:pos="8161"/>
        </w:tabs>
        <w:spacing w:line="400" w:lineRule="exact"/>
        <w:jc w:val="center"/>
        <w:outlineLvl w:val="0"/>
        <w:rPr>
          <w:rFonts w:ascii="宋体" w:hAnsi="宋体"/>
          <w:b/>
          <w:color w:val="auto"/>
          <w:szCs w:val="21"/>
          <w:highlight w:val="none"/>
        </w:rPr>
      </w:pPr>
      <w:r>
        <w:rPr>
          <w:rFonts w:hint="eastAsia" w:ascii="宋体" w:hAnsi="宋体"/>
          <w:b/>
          <w:color w:val="auto"/>
          <w:szCs w:val="21"/>
          <w:highlight w:val="none"/>
        </w:rPr>
        <w:t>一、招标货物清单</w:t>
      </w:r>
      <w:bookmarkEnd w:id="50"/>
    </w:p>
    <w:tbl>
      <w:tblPr>
        <w:tblStyle w:val="45"/>
        <w:tblW w:w="99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3"/>
        <w:gridCol w:w="4536"/>
        <w:gridCol w:w="1079"/>
        <w:gridCol w:w="22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93" w:type="dxa"/>
            <w:vAlign w:val="center"/>
          </w:tcPr>
          <w:p>
            <w:pPr>
              <w:spacing w:line="400" w:lineRule="exact"/>
              <w:jc w:val="center"/>
              <w:rPr>
                <w:rFonts w:ascii="宋体" w:hAnsi="宋体"/>
                <w:b/>
                <w:color w:val="auto"/>
                <w:szCs w:val="21"/>
                <w:highlight w:val="none"/>
              </w:rPr>
            </w:pPr>
            <w:r>
              <w:rPr>
                <w:rFonts w:hint="eastAsia" w:ascii="宋体" w:hAnsi="宋体"/>
                <w:b/>
                <w:color w:val="auto"/>
                <w:szCs w:val="21"/>
                <w:highlight w:val="none"/>
              </w:rPr>
              <w:t>标项</w:t>
            </w:r>
          </w:p>
        </w:tc>
        <w:tc>
          <w:tcPr>
            <w:tcW w:w="4536" w:type="dxa"/>
            <w:vAlign w:val="center"/>
          </w:tcPr>
          <w:p>
            <w:pPr>
              <w:spacing w:line="400" w:lineRule="exact"/>
              <w:jc w:val="center"/>
              <w:rPr>
                <w:rFonts w:ascii="宋体" w:hAnsi="宋体"/>
                <w:b/>
                <w:color w:val="auto"/>
                <w:szCs w:val="21"/>
                <w:highlight w:val="none"/>
              </w:rPr>
            </w:pPr>
            <w:r>
              <w:rPr>
                <w:rFonts w:hint="eastAsia" w:ascii="宋体" w:hAnsi="宋体"/>
                <w:b/>
                <w:color w:val="auto"/>
                <w:szCs w:val="21"/>
                <w:highlight w:val="none"/>
              </w:rPr>
              <w:t>货物名称</w:t>
            </w:r>
          </w:p>
        </w:tc>
        <w:tc>
          <w:tcPr>
            <w:tcW w:w="1079" w:type="dxa"/>
            <w:vAlign w:val="center"/>
          </w:tcPr>
          <w:p>
            <w:pPr>
              <w:spacing w:line="400" w:lineRule="exact"/>
              <w:jc w:val="center"/>
              <w:rPr>
                <w:rFonts w:ascii="宋体" w:hAnsi="宋体"/>
                <w:b/>
                <w:color w:val="auto"/>
                <w:szCs w:val="21"/>
                <w:highlight w:val="none"/>
              </w:rPr>
            </w:pPr>
            <w:r>
              <w:rPr>
                <w:rFonts w:hint="eastAsia" w:ascii="宋体" w:hAnsi="宋体"/>
                <w:b/>
                <w:color w:val="auto"/>
                <w:szCs w:val="21"/>
                <w:highlight w:val="none"/>
              </w:rPr>
              <w:t>数量</w:t>
            </w:r>
          </w:p>
        </w:tc>
        <w:tc>
          <w:tcPr>
            <w:tcW w:w="2217" w:type="dxa"/>
            <w:vAlign w:val="center"/>
          </w:tcPr>
          <w:p>
            <w:pPr>
              <w:spacing w:line="400" w:lineRule="exact"/>
              <w:jc w:val="center"/>
              <w:rPr>
                <w:rFonts w:hint="eastAsia" w:ascii="宋体" w:hAnsi="宋体" w:eastAsia="宋体"/>
                <w:b/>
                <w:color w:val="auto"/>
                <w:szCs w:val="21"/>
                <w:highlight w:val="none"/>
                <w:lang w:eastAsia="zh-CN"/>
              </w:rPr>
            </w:pPr>
            <w:r>
              <w:rPr>
                <w:rFonts w:hint="eastAsia" w:ascii="宋体" w:hAnsi="宋体"/>
                <w:b/>
                <w:color w:val="auto"/>
                <w:szCs w:val="21"/>
                <w:highlight w:val="no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93" w:type="dxa"/>
            <w:vAlign w:val="center"/>
          </w:tcPr>
          <w:p>
            <w:pPr>
              <w:spacing w:line="400" w:lineRule="exact"/>
              <w:jc w:val="center"/>
              <w:rPr>
                <w:rFonts w:hint="eastAsia" w:ascii="宋体" w:hAnsi="宋体" w:eastAsia="宋体"/>
                <w:color w:val="auto"/>
                <w:szCs w:val="21"/>
                <w:highlight w:val="none"/>
                <w:lang w:eastAsia="zh-CN"/>
              </w:rPr>
            </w:pPr>
            <w:r>
              <w:rPr>
                <w:rFonts w:hint="eastAsia" w:ascii="宋体" w:hAnsi="宋体"/>
                <w:color w:val="auto"/>
                <w:szCs w:val="21"/>
                <w:highlight w:val="none"/>
                <w:lang w:val="en-US" w:eastAsia="zh-CN"/>
              </w:rPr>
              <w:t>1</w:t>
            </w:r>
          </w:p>
        </w:tc>
        <w:tc>
          <w:tcPr>
            <w:tcW w:w="4536" w:type="dxa"/>
            <w:vAlign w:val="center"/>
          </w:tcPr>
          <w:p>
            <w:pPr>
              <w:spacing w:line="400" w:lineRule="exact"/>
              <w:jc w:val="center"/>
              <w:rPr>
                <w:rFonts w:ascii="宋体" w:hAnsi="宋体"/>
                <w:color w:val="auto"/>
                <w:szCs w:val="21"/>
                <w:highlight w:val="none"/>
              </w:rPr>
            </w:pPr>
            <w:r>
              <w:rPr>
                <w:rFonts w:hint="eastAsia" w:ascii="宋体" w:hAnsi="宋体"/>
                <w:bCs/>
                <w:sz w:val="24"/>
              </w:rPr>
              <w:t>三维皮肤气液交换培养生物反应器</w:t>
            </w:r>
          </w:p>
        </w:tc>
        <w:tc>
          <w:tcPr>
            <w:tcW w:w="1079" w:type="dxa"/>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1套</w:t>
            </w:r>
          </w:p>
        </w:tc>
        <w:tc>
          <w:tcPr>
            <w:tcW w:w="2217" w:type="dxa"/>
            <w:vAlign w:val="center"/>
          </w:tcPr>
          <w:p>
            <w:pPr>
              <w:spacing w:line="400" w:lineRule="exact"/>
              <w:jc w:val="center"/>
              <w:rPr>
                <w:rFonts w:hint="eastAsia" w:ascii="宋体" w:hAnsi="宋体" w:eastAsia="宋体"/>
                <w:color w:val="auto"/>
                <w:szCs w:val="21"/>
                <w:highlight w:val="none"/>
                <w:lang w:eastAsia="zh-CN"/>
              </w:rPr>
            </w:pPr>
            <w:r>
              <w:rPr>
                <w:rFonts w:hint="eastAsia" w:ascii="宋体" w:hAnsi="宋体"/>
                <w:b/>
                <w:color w:val="auto"/>
                <w:szCs w:val="21"/>
                <w:highlight w:val="none"/>
              </w:rPr>
              <w:t>允许采购进口产品</w:t>
            </w:r>
          </w:p>
        </w:tc>
      </w:tr>
    </w:tbl>
    <w:p>
      <w:pPr>
        <w:spacing w:line="400" w:lineRule="exact"/>
        <w:jc w:val="center"/>
        <w:rPr>
          <w:rFonts w:ascii="宋体" w:hAnsi="宋体"/>
          <w:color w:val="auto"/>
          <w:szCs w:val="21"/>
          <w:highlight w:val="none"/>
        </w:rPr>
      </w:pPr>
      <w:bookmarkStart w:id="52" w:name="_Toc65915712"/>
    </w:p>
    <w:p>
      <w:pPr>
        <w:tabs>
          <w:tab w:val="left" w:pos="8161"/>
        </w:tabs>
        <w:spacing w:line="400" w:lineRule="exact"/>
        <w:jc w:val="center"/>
        <w:outlineLvl w:val="0"/>
        <w:rPr>
          <w:rFonts w:ascii="宋体" w:hAnsi="宋体"/>
          <w:b/>
          <w:color w:val="auto"/>
          <w:szCs w:val="21"/>
          <w:highlight w:val="none"/>
        </w:rPr>
      </w:pPr>
      <w:r>
        <w:rPr>
          <w:rFonts w:hint="eastAsia" w:ascii="宋体" w:hAnsi="宋体"/>
          <w:b/>
          <w:color w:val="auto"/>
          <w:szCs w:val="21"/>
          <w:highlight w:val="none"/>
        </w:rPr>
        <w:t>二、招标货物技术规格和要求</w:t>
      </w:r>
      <w:bookmarkEnd w:id="52"/>
    </w:p>
    <w:p>
      <w:pPr>
        <w:widowControl/>
        <w:spacing w:line="400" w:lineRule="exact"/>
        <w:textAlignment w:val="center"/>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lang w:val="en-US" w:eastAsia="zh-CN"/>
        </w:rPr>
        <w:t>1、</w:t>
      </w:r>
      <w:r>
        <w:rPr>
          <w:rFonts w:hint="eastAsia" w:ascii="宋体" w:hAnsi="宋体" w:eastAsia="宋体" w:cs="宋体"/>
          <w:b/>
          <w:bCs/>
          <w:color w:val="auto"/>
          <w:kern w:val="0"/>
          <w:szCs w:val="21"/>
          <w:highlight w:val="none"/>
        </w:rPr>
        <w:t>设备功能</w:t>
      </w:r>
    </w:p>
    <w:p>
      <w:pPr>
        <w:widowControl/>
        <w:spacing w:line="400" w:lineRule="exact"/>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生物反应器系统包括拉伸机械刺激。拉伸杆由伺服电机驱动，刺激器重量轻，耐腐蚀，并且兼容大多数标准的孵箱。刺激器同时控制负载和位移，结构紧凑。生物反应器系统，通过用户定义的刺激步骤进行多种细胞和组织生长实验。另外，腔室组件可高温高压消毒并重复使用。</w:t>
      </w:r>
    </w:p>
    <w:p>
      <w:pPr>
        <w:widowControl/>
        <w:spacing w:line="400" w:lineRule="exact"/>
        <w:textAlignment w:val="center"/>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lang w:val="en-US" w:eastAsia="zh-CN"/>
        </w:rPr>
        <w:t>2、</w:t>
      </w:r>
      <w:r>
        <w:rPr>
          <w:rFonts w:hint="eastAsia" w:ascii="宋体" w:hAnsi="宋体" w:eastAsia="宋体" w:cs="宋体"/>
          <w:b/>
          <w:bCs/>
          <w:color w:val="auto"/>
          <w:kern w:val="0"/>
          <w:szCs w:val="21"/>
          <w:highlight w:val="none"/>
        </w:rPr>
        <w:t>软硬件配置清单</w:t>
      </w:r>
    </w:p>
    <w:p>
      <w:pPr>
        <w:widowControl/>
        <w:spacing w:line="400" w:lineRule="exact"/>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一个力学驱动器</w:t>
      </w:r>
    </w:p>
    <w:p>
      <w:pPr>
        <w:widowControl/>
        <w:spacing w:line="400" w:lineRule="exact"/>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一个张力刺激腔</w:t>
      </w:r>
    </w:p>
    <w:p>
      <w:pPr>
        <w:widowControl/>
        <w:spacing w:line="400" w:lineRule="exact"/>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一个力学测量传感器</w:t>
      </w:r>
    </w:p>
    <w:p>
      <w:pPr>
        <w:widowControl/>
        <w:spacing w:line="400" w:lineRule="exact"/>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一个数字饲服控制器</w:t>
      </w:r>
    </w:p>
    <w:p>
      <w:pPr>
        <w:widowControl/>
        <w:spacing w:line="400" w:lineRule="exact"/>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一套夹具</w:t>
      </w:r>
    </w:p>
    <w:p>
      <w:pPr>
        <w:widowControl/>
        <w:spacing w:line="400" w:lineRule="exact"/>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一套软件控制系统</w:t>
      </w:r>
    </w:p>
    <w:p>
      <w:pPr>
        <w:widowControl/>
        <w:spacing w:line="400" w:lineRule="exact"/>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一台电脑</w:t>
      </w:r>
      <w:r>
        <w:rPr>
          <w:rFonts w:hint="eastAsia" w:ascii="宋体" w:hAnsi="宋体" w:eastAsia="宋体" w:cs="宋体"/>
          <w:color w:val="auto"/>
          <w:kern w:val="0"/>
          <w:szCs w:val="21"/>
          <w:highlight w:val="none"/>
        </w:rPr>
        <w:tab/>
      </w:r>
      <w:r>
        <w:rPr>
          <w:rFonts w:hint="eastAsia" w:ascii="宋体" w:hAnsi="宋体" w:eastAsia="宋体" w:cs="宋体"/>
          <w:color w:val="auto"/>
          <w:kern w:val="0"/>
          <w:szCs w:val="21"/>
          <w:highlight w:val="none"/>
        </w:rPr>
        <w:tab/>
      </w:r>
    </w:p>
    <w:p>
      <w:pPr>
        <w:widowControl/>
        <w:spacing w:line="400" w:lineRule="exact"/>
        <w:textAlignment w:val="center"/>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lang w:val="en-US" w:eastAsia="zh-CN"/>
        </w:rPr>
        <w:t>3、</w:t>
      </w:r>
      <w:r>
        <w:rPr>
          <w:rFonts w:hint="eastAsia" w:ascii="宋体" w:hAnsi="宋体" w:eastAsia="宋体" w:cs="宋体"/>
          <w:b/>
          <w:bCs/>
          <w:color w:val="auto"/>
          <w:kern w:val="0"/>
          <w:szCs w:val="21"/>
          <w:highlight w:val="none"/>
        </w:rPr>
        <w:t>技术参数</w:t>
      </w:r>
    </w:p>
    <w:p>
      <w:pPr>
        <w:widowControl/>
        <w:spacing w:line="400" w:lineRule="exact"/>
        <w:textAlignment w:val="center"/>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lang w:val="en-US" w:eastAsia="zh-CN"/>
        </w:rPr>
        <w:t>3.1</w:t>
      </w:r>
      <w:r>
        <w:rPr>
          <w:rFonts w:hint="eastAsia" w:ascii="宋体" w:hAnsi="宋体" w:eastAsia="宋体" w:cs="宋体"/>
          <w:b/>
          <w:bCs/>
          <w:color w:val="auto"/>
          <w:kern w:val="0"/>
          <w:szCs w:val="21"/>
          <w:highlight w:val="none"/>
        </w:rPr>
        <w:t>力学驱动器</w:t>
      </w:r>
      <w:r>
        <w:rPr>
          <w:rFonts w:hint="eastAsia" w:ascii="宋体" w:hAnsi="宋体" w:eastAsia="宋体" w:cs="宋体"/>
          <w:color w:val="auto"/>
          <w:kern w:val="0"/>
          <w:szCs w:val="21"/>
          <w:highlight w:val="none"/>
        </w:rPr>
        <w:tab/>
      </w:r>
    </w:p>
    <w:p>
      <w:pPr>
        <w:widowControl/>
        <w:spacing w:line="400" w:lineRule="exact"/>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2"/>
          <w:sz w:val="21"/>
          <w:szCs w:val="21"/>
          <w:highlight w:val="none"/>
          <w:lang w:val="en-US" w:eastAsia="zh-CN" w:bidi="ar"/>
        </w:rPr>
        <w:t>▲</w:t>
      </w:r>
      <w:r>
        <w:rPr>
          <w:rFonts w:hint="eastAsia" w:ascii="宋体" w:hAnsi="宋体" w:cs="宋体"/>
          <w:color w:val="auto"/>
          <w:kern w:val="0"/>
          <w:szCs w:val="21"/>
          <w:highlight w:val="none"/>
        </w:rPr>
        <w:t>2</w:t>
      </w:r>
      <w:r>
        <w:rPr>
          <w:rFonts w:hint="eastAsia" w:ascii="宋体" w:hAnsi="宋体" w:eastAsia="宋体" w:cs="宋体"/>
          <w:color w:val="auto"/>
          <w:kern w:val="0"/>
          <w:szCs w:val="21"/>
          <w:highlight w:val="none"/>
          <w:lang w:val="en-US" w:eastAsia="zh-CN"/>
        </w:rPr>
        <w:t>3.1.1</w:t>
      </w:r>
      <w:r>
        <w:rPr>
          <w:rFonts w:hint="eastAsia" w:ascii="宋体" w:hAnsi="宋体" w:eastAsia="宋体" w:cs="宋体"/>
          <w:color w:val="auto"/>
          <w:kern w:val="0"/>
          <w:szCs w:val="21"/>
          <w:highlight w:val="none"/>
        </w:rPr>
        <w:t xml:space="preserve"> 单样品拉伸力学刺激，并且兼容大多数标准的孵箱。</w:t>
      </w:r>
    </w:p>
    <w:p>
      <w:pPr>
        <w:widowControl/>
        <w:spacing w:line="400" w:lineRule="exact"/>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3.1</w:t>
      </w:r>
      <w:r>
        <w:rPr>
          <w:rFonts w:hint="eastAsia" w:ascii="宋体" w:hAnsi="宋体" w:eastAsia="宋体" w:cs="宋体"/>
          <w:color w:val="auto"/>
          <w:kern w:val="0"/>
          <w:szCs w:val="21"/>
          <w:highlight w:val="none"/>
        </w:rPr>
        <w:t>.2 配置40N 电机驱动器，带精确位移测量解码能力</w:t>
      </w:r>
    </w:p>
    <w:p>
      <w:pPr>
        <w:widowControl/>
        <w:spacing w:line="400" w:lineRule="exact"/>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3.1.</w:t>
      </w:r>
      <w:r>
        <w:rPr>
          <w:rFonts w:hint="eastAsia" w:ascii="宋体" w:hAnsi="宋体" w:eastAsia="宋体" w:cs="宋体"/>
          <w:color w:val="auto"/>
          <w:kern w:val="0"/>
          <w:szCs w:val="21"/>
          <w:highlight w:val="none"/>
        </w:rPr>
        <w:t>3 测力传感器： -44N至+44N动态加载测试能力</w:t>
      </w:r>
    </w:p>
    <w:p>
      <w:pPr>
        <w:widowControl/>
        <w:spacing w:line="400" w:lineRule="exact"/>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3.1</w:t>
      </w:r>
      <w:r>
        <w:rPr>
          <w:rFonts w:hint="eastAsia" w:ascii="宋体" w:hAnsi="宋体" w:eastAsia="宋体" w:cs="宋体"/>
          <w:color w:val="auto"/>
          <w:kern w:val="0"/>
          <w:szCs w:val="21"/>
          <w:highlight w:val="none"/>
        </w:rPr>
        <w:t>.4 过载能力: 150% 读容量</w:t>
      </w:r>
    </w:p>
    <w:p>
      <w:pPr>
        <w:widowControl/>
        <w:spacing w:line="400" w:lineRule="exact"/>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3.1</w:t>
      </w:r>
      <w:r>
        <w:rPr>
          <w:rFonts w:hint="eastAsia" w:ascii="宋体" w:hAnsi="宋体" w:eastAsia="宋体" w:cs="宋体"/>
          <w:color w:val="auto"/>
          <w:kern w:val="0"/>
          <w:szCs w:val="21"/>
          <w:highlight w:val="none"/>
        </w:rPr>
        <w:t>.5 刺激频率: 0.5-2 Hz</w:t>
      </w:r>
    </w:p>
    <w:p>
      <w:pPr>
        <w:widowControl/>
        <w:spacing w:line="400" w:lineRule="exact"/>
        <w:textAlignment w:val="center"/>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lang w:val="en-US" w:eastAsia="zh-CN"/>
        </w:rPr>
        <w:t>3.2</w:t>
      </w:r>
      <w:r>
        <w:rPr>
          <w:rFonts w:hint="eastAsia" w:ascii="宋体" w:hAnsi="宋体" w:eastAsia="宋体" w:cs="宋体"/>
          <w:b/>
          <w:bCs/>
          <w:color w:val="auto"/>
          <w:kern w:val="0"/>
          <w:szCs w:val="21"/>
          <w:highlight w:val="none"/>
        </w:rPr>
        <w:t>张力刺激腔</w:t>
      </w:r>
      <w:r>
        <w:rPr>
          <w:rFonts w:hint="eastAsia" w:ascii="宋体" w:hAnsi="宋体" w:eastAsia="宋体" w:cs="宋体"/>
          <w:color w:val="auto"/>
          <w:kern w:val="0"/>
          <w:szCs w:val="21"/>
          <w:highlight w:val="none"/>
        </w:rPr>
        <w:tab/>
      </w:r>
    </w:p>
    <w:p>
      <w:pPr>
        <w:widowControl/>
        <w:spacing w:line="400" w:lineRule="exact"/>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3.2.</w:t>
      </w:r>
      <w:r>
        <w:rPr>
          <w:rFonts w:hint="eastAsia" w:ascii="宋体" w:hAnsi="宋体" w:eastAsia="宋体" w:cs="宋体"/>
          <w:color w:val="auto"/>
          <w:kern w:val="0"/>
          <w:szCs w:val="21"/>
          <w:highlight w:val="none"/>
        </w:rPr>
        <w:t>1 该腔室可容纳单个样吊</w:t>
      </w:r>
    </w:p>
    <w:p>
      <w:pPr>
        <w:widowControl/>
        <w:spacing w:line="400" w:lineRule="exact"/>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3.2.</w:t>
      </w:r>
      <w:r>
        <w:rPr>
          <w:rFonts w:hint="eastAsia" w:ascii="宋体" w:hAnsi="宋体" w:eastAsia="宋体" w:cs="宋体"/>
          <w:color w:val="auto"/>
          <w:kern w:val="0"/>
          <w:szCs w:val="21"/>
          <w:highlight w:val="none"/>
        </w:rPr>
        <w:t>2 腔室容积不小于15ml</w:t>
      </w:r>
    </w:p>
    <w:p>
      <w:pPr>
        <w:widowControl/>
        <w:spacing w:line="400" w:lineRule="exact"/>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2"/>
          <w:sz w:val="21"/>
          <w:szCs w:val="21"/>
          <w:highlight w:val="none"/>
          <w:lang w:val="en-US" w:eastAsia="zh-CN" w:bidi="ar"/>
        </w:rPr>
        <w:t>▲</w:t>
      </w:r>
      <w:r>
        <w:rPr>
          <w:rFonts w:hint="eastAsia" w:ascii="宋体" w:hAnsi="宋体" w:cs="宋体"/>
          <w:color w:val="auto"/>
          <w:kern w:val="0"/>
          <w:szCs w:val="21"/>
          <w:highlight w:val="none"/>
        </w:rPr>
        <w:t>2</w:t>
      </w:r>
      <w:r>
        <w:rPr>
          <w:rFonts w:hint="eastAsia" w:ascii="宋体" w:hAnsi="宋体" w:eastAsia="宋体" w:cs="宋体"/>
          <w:color w:val="auto"/>
          <w:kern w:val="0"/>
          <w:szCs w:val="21"/>
          <w:highlight w:val="none"/>
          <w:lang w:val="en-US" w:eastAsia="zh-CN"/>
        </w:rPr>
        <w:t>3.2.</w:t>
      </w:r>
      <w:r>
        <w:rPr>
          <w:rFonts w:hint="eastAsia" w:ascii="宋体" w:hAnsi="宋体" w:eastAsia="宋体" w:cs="宋体"/>
          <w:color w:val="auto"/>
          <w:kern w:val="0"/>
          <w:szCs w:val="21"/>
          <w:highlight w:val="none"/>
        </w:rPr>
        <w:t>3 顶部为透明绞链窗， 可从顶部操作和观察样本</w:t>
      </w:r>
    </w:p>
    <w:p>
      <w:pPr>
        <w:widowControl/>
        <w:spacing w:line="400" w:lineRule="exact"/>
        <w:textAlignment w:val="center"/>
        <w:rPr>
          <w:rFonts w:hint="eastAsia" w:ascii="宋体" w:hAnsi="宋体" w:eastAsia="宋体" w:cs="宋体"/>
          <w:color w:val="auto"/>
          <w:kern w:val="0"/>
          <w:szCs w:val="21"/>
          <w:highlight w:val="none"/>
        </w:rPr>
      </w:pPr>
      <w:r>
        <w:rPr>
          <w:rFonts w:hint="eastAsia" w:ascii="宋体" w:hAnsi="宋体" w:cs="宋体"/>
          <w:color w:val="auto"/>
          <w:kern w:val="0"/>
          <w:szCs w:val="21"/>
          <w:highlight w:val="none"/>
        </w:rPr>
        <w:t>★</w:t>
      </w:r>
      <w:r>
        <w:rPr>
          <w:rFonts w:hint="eastAsia" w:ascii="宋体" w:hAnsi="宋体" w:eastAsia="宋体" w:cs="宋体"/>
          <w:color w:val="auto"/>
          <w:kern w:val="0"/>
          <w:szCs w:val="21"/>
          <w:highlight w:val="none"/>
          <w:lang w:val="en-US" w:eastAsia="zh-CN"/>
        </w:rPr>
        <w:t>3.2</w:t>
      </w:r>
      <w:r>
        <w:rPr>
          <w:rFonts w:hint="eastAsia" w:ascii="宋体" w:hAnsi="宋体" w:eastAsia="宋体" w:cs="宋体"/>
          <w:color w:val="auto"/>
          <w:kern w:val="0"/>
          <w:szCs w:val="21"/>
          <w:highlight w:val="none"/>
        </w:rPr>
        <w:t>.4 生物惰性材料制成， 可121</w:t>
      </w:r>
      <w:r>
        <w:rPr>
          <w:rFonts w:hint="eastAsia" w:ascii="宋体" w:hAnsi="宋体" w:eastAsia="宋体" w:cs="宋体"/>
          <w:color w:val="auto"/>
          <w:kern w:val="0"/>
          <w:szCs w:val="21"/>
          <w:highlight w:val="none"/>
        </w:rPr>
        <w:softHyphen/>
      </w:r>
      <w:r>
        <w:rPr>
          <w:rFonts w:hint="eastAsia" w:ascii="宋体" w:hAnsi="宋体" w:eastAsia="宋体" w:cs="宋体"/>
          <w:color w:val="auto"/>
          <w:kern w:val="0"/>
          <w:szCs w:val="21"/>
          <w:highlight w:val="none"/>
        </w:rPr>
        <w:t>°C高温高压湿热灭菌</w:t>
      </w:r>
    </w:p>
    <w:p>
      <w:pPr>
        <w:widowControl/>
        <w:spacing w:line="400" w:lineRule="exact"/>
        <w:textAlignment w:val="center"/>
        <w:rPr>
          <w:rFonts w:hint="eastAsia" w:ascii="宋体" w:hAnsi="宋体" w:eastAsia="宋体" w:cs="宋体"/>
          <w:color w:val="auto"/>
          <w:kern w:val="0"/>
          <w:szCs w:val="21"/>
          <w:highlight w:val="none"/>
        </w:rPr>
      </w:pPr>
      <w:r>
        <w:rPr>
          <w:rFonts w:hint="eastAsia" w:ascii="宋体" w:hAnsi="宋体" w:cs="宋体"/>
          <w:color w:val="auto"/>
          <w:kern w:val="0"/>
          <w:szCs w:val="21"/>
          <w:highlight w:val="none"/>
        </w:rPr>
        <w:t>★</w:t>
      </w:r>
      <w:r>
        <w:rPr>
          <w:rFonts w:hint="eastAsia" w:ascii="宋体" w:hAnsi="宋体" w:eastAsia="宋体" w:cs="宋体"/>
          <w:color w:val="auto"/>
          <w:kern w:val="0"/>
          <w:szCs w:val="21"/>
          <w:highlight w:val="none"/>
          <w:lang w:val="en-US" w:eastAsia="zh-CN"/>
        </w:rPr>
        <w:t>3.2.</w:t>
      </w:r>
      <w:r>
        <w:rPr>
          <w:rFonts w:hint="eastAsia" w:ascii="宋体" w:hAnsi="宋体" w:eastAsia="宋体" w:cs="宋体"/>
          <w:color w:val="auto"/>
          <w:kern w:val="0"/>
          <w:szCs w:val="21"/>
          <w:highlight w:val="none"/>
        </w:rPr>
        <w:t>5腔室的独特设计提供了空气／培养基界面，以促进细胞共培养和皮肤样产品的开发</w:t>
      </w:r>
    </w:p>
    <w:p>
      <w:pPr>
        <w:widowControl/>
        <w:spacing w:line="400" w:lineRule="exact"/>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2"/>
          <w:sz w:val="21"/>
          <w:szCs w:val="21"/>
          <w:highlight w:val="none"/>
          <w:lang w:val="en-US" w:eastAsia="zh-CN" w:bidi="ar"/>
        </w:rPr>
        <w:t>▲</w:t>
      </w:r>
      <w:r>
        <w:rPr>
          <w:rFonts w:hint="eastAsia" w:ascii="宋体" w:hAnsi="宋体" w:cs="宋体"/>
          <w:color w:val="auto"/>
          <w:kern w:val="0"/>
          <w:szCs w:val="21"/>
          <w:highlight w:val="none"/>
        </w:rPr>
        <w:t>2</w:t>
      </w:r>
      <w:r>
        <w:rPr>
          <w:rFonts w:hint="eastAsia" w:ascii="宋体" w:hAnsi="宋体" w:eastAsia="宋体" w:cs="宋体"/>
          <w:color w:val="auto"/>
          <w:kern w:val="0"/>
          <w:szCs w:val="21"/>
          <w:highlight w:val="none"/>
          <w:lang w:val="en-US" w:eastAsia="zh-CN"/>
        </w:rPr>
        <w:t>3.2.</w:t>
      </w:r>
      <w:r>
        <w:rPr>
          <w:rFonts w:hint="eastAsia" w:ascii="宋体" w:hAnsi="宋体" w:eastAsia="宋体" w:cs="宋体"/>
          <w:color w:val="auto"/>
          <w:kern w:val="0"/>
          <w:szCs w:val="21"/>
          <w:highlight w:val="none"/>
        </w:rPr>
        <w:t>6腔室沿构造的下侧提供介质灌注／流动， 同时防止其迁移到顶部</w:t>
      </w:r>
    </w:p>
    <w:p>
      <w:pPr>
        <w:widowControl/>
        <w:spacing w:line="400" w:lineRule="exact"/>
        <w:textAlignment w:val="center"/>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lang w:val="en-US" w:eastAsia="zh-CN"/>
        </w:rPr>
        <w:t>3.3</w:t>
      </w:r>
      <w:r>
        <w:rPr>
          <w:rFonts w:hint="eastAsia" w:ascii="宋体" w:hAnsi="宋体" w:eastAsia="宋体" w:cs="宋体"/>
          <w:b/>
          <w:bCs/>
          <w:color w:val="auto"/>
          <w:kern w:val="0"/>
          <w:szCs w:val="21"/>
          <w:highlight w:val="none"/>
        </w:rPr>
        <w:t>数字饲服控制器</w:t>
      </w:r>
      <w:r>
        <w:rPr>
          <w:rFonts w:hint="eastAsia" w:ascii="宋体" w:hAnsi="宋体" w:eastAsia="宋体" w:cs="宋体"/>
          <w:color w:val="auto"/>
          <w:kern w:val="0"/>
          <w:szCs w:val="21"/>
          <w:highlight w:val="none"/>
        </w:rPr>
        <w:tab/>
      </w:r>
    </w:p>
    <w:p>
      <w:pPr>
        <w:widowControl/>
        <w:spacing w:line="400" w:lineRule="exact"/>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3.3.</w:t>
      </w:r>
      <w:r>
        <w:rPr>
          <w:rFonts w:hint="eastAsia" w:ascii="宋体" w:hAnsi="宋体" w:eastAsia="宋体" w:cs="宋体"/>
          <w:color w:val="auto"/>
          <w:kern w:val="0"/>
          <w:szCs w:val="21"/>
          <w:highlight w:val="none"/>
        </w:rPr>
        <w:t>1数模转换分辨率:16位</w:t>
      </w:r>
    </w:p>
    <w:p>
      <w:pPr>
        <w:widowControl/>
        <w:spacing w:line="400" w:lineRule="exact"/>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3.3.</w:t>
      </w:r>
      <w:r>
        <w:rPr>
          <w:rFonts w:hint="eastAsia" w:ascii="宋体" w:hAnsi="宋体" w:eastAsia="宋体" w:cs="宋体"/>
          <w:color w:val="auto"/>
          <w:kern w:val="0"/>
          <w:szCs w:val="21"/>
          <w:highlight w:val="none"/>
        </w:rPr>
        <w:t>2模数转换分辨率:24位</w:t>
      </w:r>
    </w:p>
    <w:p>
      <w:pPr>
        <w:widowControl/>
        <w:spacing w:line="400" w:lineRule="exact"/>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3.3.</w:t>
      </w:r>
      <w:r>
        <w:rPr>
          <w:rFonts w:hint="eastAsia" w:ascii="宋体" w:hAnsi="宋体" w:eastAsia="宋体" w:cs="宋体"/>
          <w:color w:val="auto"/>
          <w:kern w:val="0"/>
          <w:szCs w:val="21"/>
          <w:highlight w:val="none"/>
        </w:rPr>
        <w:t>3饲服回路计算:40位</w:t>
      </w:r>
    </w:p>
    <w:p>
      <w:pPr>
        <w:widowControl/>
        <w:spacing w:line="400" w:lineRule="exact"/>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3.3.</w:t>
      </w:r>
      <w:r>
        <w:rPr>
          <w:rFonts w:hint="eastAsia" w:ascii="宋体" w:hAnsi="宋体" w:eastAsia="宋体" w:cs="宋体"/>
          <w:color w:val="auto"/>
          <w:kern w:val="0"/>
          <w:szCs w:val="21"/>
          <w:highlight w:val="none"/>
        </w:rPr>
        <w:t>4三级数据过滤，用户可选数字滤波</w:t>
      </w:r>
    </w:p>
    <w:p>
      <w:pPr>
        <w:widowControl/>
        <w:spacing w:line="400" w:lineRule="exact"/>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3.3.</w:t>
      </w:r>
      <w:r>
        <w:rPr>
          <w:rFonts w:hint="eastAsia" w:ascii="宋体" w:hAnsi="宋体" w:eastAsia="宋体" w:cs="宋体"/>
          <w:color w:val="auto"/>
          <w:kern w:val="0"/>
          <w:szCs w:val="21"/>
          <w:highlight w:val="none"/>
        </w:rPr>
        <w:t>5数字回路更新频率可达3 kHz</w:t>
      </w:r>
    </w:p>
    <w:p>
      <w:pPr>
        <w:widowControl/>
        <w:spacing w:line="400" w:lineRule="exact"/>
        <w:textAlignment w:val="center"/>
        <w:rPr>
          <w:rFonts w:hint="eastAsia" w:ascii="宋体" w:hAnsi="宋体" w:eastAsia="宋体" w:cs="宋体"/>
          <w:color w:val="auto"/>
          <w:kern w:val="0"/>
          <w:szCs w:val="21"/>
          <w:highlight w:val="none"/>
        </w:rPr>
      </w:pPr>
      <w:r>
        <w:rPr>
          <w:rFonts w:hint="eastAsia" w:ascii="宋体" w:hAnsi="宋体" w:cs="宋体"/>
          <w:color w:val="auto"/>
          <w:kern w:val="0"/>
          <w:szCs w:val="21"/>
          <w:highlight w:val="none"/>
        </w:rPr>
        <w:t>★</w:t>
      </w:r>
      <w:r>
        <w:rPr>
          <w:rFonts w:hint="eastAsia" w:ascii="宋体" w:hAnsi="宋体" w:eastAsia="宋体" w:cs="宋体"/>
          <w:color w:val="auto"/>
          <w:kern w:val="0"/>
          <w:szCs w:val="21"/>
          <w:highlight w:val="none"/>
          <w:lang w:val="en-US" w:eastAsia="zh-CN"/>
        </w:rPr>
        <w:t>3.3.</w:t>
      </w:r>
      <w:r>
        <w:rPr>
          <w:rFonts w:hint="eastAsia" w:ascii="宋体" w:hAnsi="宋体" w:eastAsia="宋体" w:cs="宋体"/>
          <w:color w:val="auto"/>
          <w:kern w:val="0"/>
          <w:szCs w:val="21"/>
          <w:highlight w:val="none"/>
        </w:rPr>
        <w:t>6配置两个解码通道，两个加载通道和两个输入输出电路</w:t>
      </w:r>
    </w:p>
    <w:p>
      <w:pPr>
        <w:widowControl/>
        <w:spacing w:line="400" w:lineRule="exact"/>
        <w:textAlignment w:val="center"/>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lang w:val="en-US" w:eastAsia="zh-CN"/>
        </w:rPr>
        <w:t>3.4</w:t>
      </w:r>
      <w:r>
        <w:rPr>
          <w:rFonts w:hint="eastAsia" w:ascii="宋体" w:hAnsi="宋体" w:eastAsia="宋体" w:cs="宋体"/>
          <w:b/>
          <w:bCs/>
          <w:color w:val="auto"/>
          <w:kern w:val="0"/>
          <w:szCs w:val="21"/>
          <w:highlight w:val="none"/>
        </w:rPr>
        <w:t xml:space="preserve">夹具 </w:t>
      </w:r>
    </w:p>
    <w:p>
      <w:pPr>
        <w:widowControl/>
        <w:spacing w:line="400" w:lineRule="exact"/>
        <w:textAlignment w:val="center"/>
        <w:rPr>
          <w:rFonts w:hint="eastAsia" w:ascii="宋体" w:hAnsi="宋体" w:eastAsia="宋体" w:cs="宋体"/>
          <w:color w:val="auto"/>
          <w:kern w:val="0"/>
          <w:szCs w:val="21"/>
          <w:highlight w:val="none"/>
        </w:rPr>
      </w:pPr>
      <w:r>
        <w:rPr>
          <w:rFonts w:hint="eastAsia" w:ascii="宋体" w:hAnsi="宋体" w:cs="宋体"/>
          <w:color w:val="auto"/>
          <w:kern w:val="0"/>
          <w:szCs w:val="21"/>
          <w:highlight w:val="none"/>
        </w:rPr>
        <w:t>★</w:t>
      </w:r>
      <w:r>
        <w:rPr>
          <w:rFonts w:hint="eastAsia" w:ascii="宋体" w:hAnsi="宋体" w:eastAsia="宋体" w:cs="宋体"/>
          <w:color w:val="auto"/>
          <w:kern w:val="0"/>
          <w:szCs w:val="21"/>
          <w:highlight w:val="none"/>
          <w:lang w:val="en-US" w:eastAsia="zh-CN"/>
        </w:rPr>
        <w:t>3.4</w:t>
      </w:r>
      <w:r>
        <w:rPr>
          <w:rFonts w:hint="eastAsia" w:ascii="宋体" w:hAnsi="宋体" w:eastAsia="宋体" w:cs="宋体"/>
          <w:color w:val="auto"/>
          <w:kern w:val="0"/>
          <w:szCs w:val="21"/>
          <w:highlight w:val="none"/>
        </w:rPr>
        <w:t>.1带有软衬里的机概夹具可确保样品的安全定位。</w:t>
      </w:r>
    </w:p>
    <w:p>
      <w:pPr>
        <w:widowControl/>
        <w:spacing w:line="400" w:lineRule="exact"/>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3.4</w:t>
      </w:r>
      <w:r>
        <w:rPr>
          <w:rFonts w:hint="eastAsia" w:ascii="宋体" w:hAnsi="宋体" w:eastAsia="宋体" w:cs="宋体"/>
          <w:color w:val="auto"/>
          <w:kern w:val="0"/>
          <w:szCs w:val="21"/>
          <w:highlight w:val="none"/>
        </w:rPr>
        <w:t>.2样品最大长度75mm</w:t>
      </w:r>
    </w:p>
    <w:p>
      <w:pPr>
        <w:widowControl/>
        <w:spacing w:line="400" w:lineRule="exact"/>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3.4</w:t>
      </w:r>
      <w:r>
        <w:rPr>
          <w:rFonts w:hint="eastAsia" w:ascii="宋体" w:hAnsi="宋体" w:eastAsia="宋体" w:cs="宋体"/>
          <w:color w:val="auto"/>
          <w:kern w:val="0"/>
          <w:szCs w:val="21"/>
          <w:highlight w:val="none"/>
        </w:rPr>
        <w:t>.3样品最大宽度25mm</w:t>
      </w:r>
    </w:p>
    <w:p>
      <w:pPr>
        <w:widowControl/>
        <w:spacing w:line="400" w:lineRule="exact"/>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3.4</w:t>
      </w:r>
      <w:r>
        <w:rPr>
          <w:rFonts w:hint="eastAsia" w:ascii="宋体" w:hAnsi="宋体" w:eastAsia="宋体" w:cs="宋体"/>
          <w:color w:val="auto"/>
          <w:kern w:val="0"/>
          <w:szCs w:val="21"/>
          <w:highlight w:val="none"/>
        </w:rPr>
        <w:t>.4 样品厚度0.5至1mm</w:t>
      </w:r>
    </w:p>
    <w:p>
      <w:pPr>
        <w:widowControl/>
        <w:spacing w:line="400" w:lineRule="exact"/>
        <w:textAlignment w:val="center"/>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lang w:val="en-US" w:eastAsia="zh-CN"/>
        </w:rPr>
        <w:t>3.5</w:t>
      </w:r>
      <w:r>
        <w:rPr>
          <w:rFonts w:hint="eastAsia" w:ascii="宋体" w:hAnsi="宋体" w:eastAsia="宋体" w:cs="宋体"/>
          <w:b/>
          <w:bCs/>
          <w:color w:val="auto"/>
          <w:kern w:val="0"/>
          <w:szCs w:val="21"/>
          <w:highlight w:val="none"/>
        </w:rPr>
        <w:t>软件</w:t>
      </w:r>
      <w:r>
        <w:rPr>
          <w:rFonts w:hint="eastAsia" w:ascii="宋体" w:hAnsi="宋体" w:eastAsia="宋体" w:cs="宋体"/>
          <w:color w:val="auto"/>
          <w:kern w:val="0"/>
          <w:szCs w:val="21"/>
          <w:highlight w:val="none"/>
        </w:rPr>
        <w:tab/>
      </w:r>
    </w:p>
    <w:p>
      <w:pPr>
        <w:widowControl/>
        <w:spacing w:line="400" w:lineRule="exact"/>
        <w:textAlignment w:val="center"/>
        <w:rPr>
          <w:rFonts w:hint="eastAsia" w:ascii="宋体" w:hAnsi="宋体" w:eastAsia="宋体" w:cs="宋体"/>
          <w:color w:val="auto"/>
          <w:kern w:val="0"/>
          <w:szCs w:val="21"/>
          <w:highlight w:val="none"/>
        </w:rPr>
      </w:pPr>
      <w:r>
        <w:rPr>
          <w:rFonts w:hint="eastAsia" w:ascii="宋体" w:hAnsi="宋体" w:cs="宋体"/>
          <w:color w:val="auto"/>
          <w:kern w:val="0"/>
          <w:szCs w:val="21"/>
          <w:highlight w:val="none"/>
        </w:rPr>
        <w:t>★</w:t>
      </w:r>
      <w:r>
        <w:rPr>
          <w:rFonts w:hint="eastAsia" w:ascii="宋体" w:hAnsi="宋体" w:eastAsia="宋体" w:cs="宋体"/>
          <w:color w:val="auto"/>
          <w:kern w:val="0"/>
          <w:szCs w:val="21"/>
          <w:highlight w:val="none"/>
          <w:lang w:val="en-US" w:eastAsia="zh-CN"/>
        </w:rPr>
        <w:t>3.5</w:t>
      </w:r>
      <w:r>
        <w:rPr>
          <w:rFonts w:hint="eastAsia" w:ascii="宋体" w:hAnsi="宋体" w:eastAsia="宋体" w:cs="宋体"/>
          <w:color w:val="auto"/>
          <w:kern w:val="0"/>
          <w:szCs w:val="21"/>
          <w:highlight w:val="none"/>
        </w:rPr>
        <w:t>.1 可加载实时的sine正弦波形模拟模块</w:t>
      </w:r>
    </w:p>
    <w:p>
      <w:pPr>
        <w:widowControl/>
        <w:spacing w:line="400" w:lineRule="exact"/>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3.5</w:t>
      </w:r>
      <w:r>
        <w:rPr>
          <w:rFonts w:hint="eastAsia" w:ascii="宋体" w:hAnsi="宋体" w:eastAsia="宋体" w:cs="宋体"/>
          <w:color w:val="auto"/>
          <w:kern w:val="0"/>
          <w:szCs w:val="21"/>
          <w:highlight w:val="none"/>
        </w:rPr>
        <w:t>.2 执行疲劳、静态、多步测试</w:t>
      </w:r>
    </w:p>
    <w:p>
      <w:pPr>
        <w:widowControl/>
        <w:spacing w:line="400" w:lineRule="exact"/>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3.5</w:t>
      </w:r>
      <w:r>
        <w:rPr>
          <w:rFonts w:hint="eastAsia" w:ascii="宋体" w:hAnsi="宋体" w:eastAsia="宋体" w:cs="宋体"/>
          <w:color w:val="auto"/>
          <w:kern w:val="0"/>
          <w:szCs w:val="21"/>
          <w:highlight w:val="none"/>
        </w:rPr>
        <w:t>.3 具有行程和压力两种控制模式</w:t>
      </w:r>
    </w:p>
    <w:p>
      <w:pPr>
        <w:widowControl/>
        <w:spacing w:line="400" w:lineRule="exact"/>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3.5</w:t>
      </w:r>
      <w:r>
        <w:rPr>
          <w:rFonts w:hint="eastAsia" w:ascii="宋体" w:hAnsi="宋体" w:eastAsia="宋体" w:cs="宋体"/>
          <w:color w:val="auto"/>
          <w:kern w:val="0"/>
          <w:szCs w:val="21"/>
          <w:highlight w:val="none"/>
        </w:rPr>
        <w:t>.4 显示当前读出、最大最小读出、峰谷读出、设定点和循环计数器</w:t>
      </w:r>
    </w:p>
    <w:p>
      <w:pPr>
        <w:widowControl/>
        <w:spacing w:line="400" w:lineRule="exact"/>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3.5</w:t>
      </w:r>
      <w:r>
        <w:rPr>
          <w:rFonts w:hint="eastAsia" w:ascii="宋体" w:hAnsi="宋体" w:eastAsia="宋体" w:cs="宋体"/>
          <w:color w:val="auto"/>
          <w:kern w:val="0"/>
          <w:szCs w:val="21"/>
          <w:highlight w:val="none"/>
        </w:rPr>
        <w:t>.5 数据导出至MS Excel/text格式，生成报告图表</w:t>
      </w:r>
    </w:p>
    <w:p>
      <w:pPr>
        <w:widowControl/>
        <w:spacing w:line="400" w:lineRule="exact"/>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3.5</w:t>
      </w:r>
      <w:r>
        <w:rPr>
          <w:rFonts w:hint="eastAsia" w:ascii="宋体" w:hAnsi="宋体" w:eastAsia="宋体" w:cs="宋体"/>
          <w:color w:val="auto"/>
          <w:kern w:val="0"/>
          <w:szCs w:val="21"/>
          <w:highlight w:val="none"/>
        </w:rPr>
        <w:t>.6 实时记录数据或导出数据时有数据简化选项</w:t>
      </w:r>
    </w:p>
    <w:p>
      <w:pPr>
        <w:widowControl/>
        <w:spacing w:line="400" w:lineRule="exact"/>
        <w:textAlignment w:val="center"/>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lang w:val="en-US" w:eastAsia="zh-CN"/>
        </w:rPr>
        <w:t>3.6</w:t>
      </w:r>
      <w:r>
        <w:rPr>
          <w:rFonts w:hint="eastAsia" w:ascii="宋体" w:hAnsi="宋体" w:eastAsia="宋体" w:cs="宋体"/>
          <w:b/>
          <w:bCs/>
          <w:color w:val="auto"/>
          <w:kern w:val="0"/>
          <w:szCs w:val="21"/>
          <w:highlight w:val="none"/>
        </w:rPr>
        <w:t>电脑</w:t>
      </w:r>
    </w:p>
    <w:p>
      <w:pPr>
        <w:widowControl/>
        <w:spacing w:line="400" w:lineRule="exact"/>
        <w:textAlignment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品牌电脑，CPU不低于Intel I5,内存不少于4G，硬盘不少于500G，不低于Win10版本的操作系统</w:t>
      </w:r>
      <w:r>
        <w:rPr>
          <w:rFonts w:hint="eastAsia" w:ascii="宋体" w:hAnsi="宋体" w:cs="宋体"/>
          <w:color w:val="auto"/>
          <w:kern w:val="0"/>
          <w:szCs w:val="21"/>
          <w:highlight w:val="none"/>
          <w:lang w:eastAsia="zh-CN"/>
        </w:rPr>
        <w:t>。</w:t>
      </w:r>
    </w:p>
    <w:p>
      <w:pPr>
        <w:spacing w:line="400" w:lineRule="exact"/>
        <w:rPr>
          <w:rFonts w:ascii="宋体" w:hAnsi="宋体"/>
          <w:b/>
          <w:color w:val="auto"/>
          <w:highlight w:val="none"/>
        </w:rPr>
        <w:sectPr>
          <w:pgSz w:w="11907" w:h="16840"/>
          <w:pgMar w:top="1247" w:right="1361" w:bottom="1247" w:left="1361" w:header="285" w:footer="418" w:gutter="0"/>
          <w:pgNumType w:fmt="decimal"/>
          <w:cols w:space="720" w:num="1"/>
          <w:docGrid w:linePitch="285" w:charSpace="0"/>
        </w:sectPr>
      </w:pPr>
    </w:p>
    <w:p>
      <w:pPr>
        <w:rPr>
          <w:color w:val="auto"/>
          <w:highlight w:val="none"/>
        </w:rPr>
      </w:pPr>
    </w:p>
    <w:p>
      <w:pPr>
        <w:spacing w:line="600" w:lineRule="exact"/>
        <w:jc w:val="center"/>
        <w:outlineLvl w:val="0"/>
        <w:rPr>
          <w:rFonts w:ascii="宋体" w:hAnsi="宋体"/>
          <w:b/>
          <w:color w:val="auto"/>
          <w:sz w:val="32"/>
          <w:highlight w:val="none"/>
        </w:rPr>
      </w:pPr>
      <w:bookmarkStart w:id="53" w:name="_Toc65915713"/>
      <w:r>
        <w:rPr>
          <w:rFonts w:hint="eastAsia" w:ascii="宋体" w:hAnsi="宋体"/>
          <w:b/>
          <w:color w:val="auto"/>
          <w:sz w:val="32"/>
          <w:highlight w:val="none"/>
        </w:rPr>
        <w:t>第六章</w:t>
      </w:r>
      <w:r>
        <w:rPr>
          <w:rFonts w:ascii="宋体" w:hAnsi="宋体"/>
          <w:b/>
          <w:color w:val="auto"/>
          <w:sz w:val="32"/>
          <w:highlight w:val="none"/>
        </w:rPr>
        <w:t xml:space="preserve">  </w:t>
      </w:r>
      <w:r>
        <w:rPr>
          <w:rFonts w:hint="eastAsia" w:ascii="宋体" w:hAnsi="宋体"/>
          <w:b/>
          <w:color w:val="auto"/>
          <w:sz w:val="32"/>
          <w:highlight w:val="none"/>
        </w:rPr>
        <w:t>商务条款</w:t>
      </w:r>
      <w:bookmarkEnd w:id="51"/>
      <w:bookmarkEnd w:id="53"/>
    </w:p>
    <w:tbl>
      <w:tblPr>
        <w:tblStyle w:val="45"/>
        <w:tblW w:w="9228" w:type="dxa"/>
        <w:jc w:val="center"/>
        <w:tblLayout w:type="fixed"/>
        <w:tblCellMar>
          <w:top w:w="0" w:type="dxa"/>
          <w:left w:w="108" w:type="dxa"/>
          <w:bottom w:w="0" w:type="dxa"/>
          <w:right w:w="108" w:type="dxa"/>
        </w:tblCellMar>
      </w:tblPr>
      <w:tblGrid>
        <w:gridCol w:w="963"/>
        <w:gridCol w:w="8265"/>
      </w:tblGrid>
      <w:tr>
        <w:tblPrEx>
          <w:tblCellMar>
            <w:top w:w="0" w:type="dxa"/>
            <w:left w:w="108" w:type="dxa"/>
            <w:bottom w:w="0" w:type="dxa"/>
            <w:right w:w="108" w:type="dxa"/>
          </w:tblCellMar>
        </w:tblPrEx>
        <w:trPr>
          <w:trHeight w:val="454" w:hRule="atLeast"/>
          <w:tblHeader/>
          <w:jc w:val="center"/>
        </w:trPr>
        <w:tc>
          <w:tcPr>
            <w:tcW w:w="963" w:type="dxa"/>
            <w:tcBorders>
              <w:top w:val="single" w:color="auto" w:sz="4" w:space="0"/>
              <w:left w:val="single" w:color="auto" w:sz="4" w:space="0"/>
              <w:bottom w:val="single" w:color="000000" w:sz="6" w:space="0"/>
              <w:right w:val="single" w:color="000000" w:sz="6" w:space="0"/>
            </w:tcBorders>
            <w:vAlign w:val="center"/>
          </w:tcPr>
          <w:p>
            <w:pPr>
              <w:autoSpaceDE w:val="0"/>
              <w:autoSpaceDN w:val="0"/>
              <w:adjustRightInd w:val="0"/>
              <w:spacing w:line="400" w:lineRule="exact"/>
              <w:jc w:val="center"/>
              <w:rPr>
                <w:rFonts w:ascii="宋体" w:hAnsi="宋体" w:cs="宋体"/>
                <w:b/>
                <w:bCs/>
                <w:color w:val="auto"/>
                <w:szCs w:val="21"/>
                <w:highlight w:val="none"/>
              </w:rPr>
            </w:pPr>
            <w:r>
              <w:rPr>
                <w:rFonts w:hint="eastAsia" w:ascii="宋体" w:hAnsi="宋体" w:cs="宋体"/>
                <w:b/>
                <w:bCs/>
                <w:color w:val="auto"/>
                <w:szCs w:val="21"/>
                <w:highlight w:val="none"/>
              </w:rPr>
              <w:t>序号</w:t>
            </w:r>
          </w:p>
        </w:tc>
        <w:tc>
          <w:tcPr>
            <w:tcW w:w="8265" w:type="dxa"/>
            <w:tcBorders>
              <w:top w:val="single" w:color="auto" w:sz="4" w:space="0"/>
              <w:left w:val="single" w:color="000000" w:sz="6" w:space="0"/>
              <w:bottom w:val="single" w:color="000000" w:sz="6" w:space="0"/>
              <w:right w:val="single" w:color="auto" w:sz="4" w:space="0"/>
            </w:tcBorders>
            <w:vAlign w:val="center"/>
          </w:tcPr>
          <w:p>
            <w:pPr>
              <w:autoSpaceDE w:val="0"/>
              <w:autoSpaceDN w:val="0"/>
              <w:adjustRightInd w:val="0"/>
              <w:spacing w:line="400" w:lineRule="exact"/>
              <w:jc w:val="center"/>
              <w:rPr>
                <w:rFonts w:ascii="宋体" w:hAnsi="宋体" w:cs="宋体"/>
                <w:b/>
                <w:bCs/>
                <w:color w:val="auto"/>
                <w:szCs w:val="21"/>
                <w:highlight w:val="none"/>
              </w:rPr>
            </w:pPr>
            <w:r>
              <w:rPr>
                <w:rFonts w:hint="eastAsia" w:ascii="宋体" w:hAnsi="宋体" w:cs="宋体"/>
                <w:b/>
                <w:bCs/>
                <w:color w:val="auto"/>
                <w:szCs w:val="21"/>
                <w:highlight w:val="none"/>
              </w:rPr>
              <w:t>内</w:t>
            </w:r>
            <w:r>
              <w:rPr>
                <w:rFonts w:ascii="宋体" w:hAnsi="宋体" w:cs="宋体"/>
                <w:b/>
                <w:bCs/>
                <w:color w:val="auto"/>
                <w:szCs w:val="21"/>
                <w:highlight w:val="none"/>
              </w:rPr>
              <w:t xml:space="preserve">      </w:t>
            </w:r>
            <w:r>
              <w:rPr>
                <w:rFonts w:hint="eastAsia" w:ascii="宋体" w:hAnsi="宋体" w:cs="宋体"/>
                <w:b/>
                <w:bCs/>
                <w:color w:val="auto"/>
                <w:szCs w:val="21"/>
                <w:highlight w:val="none"/>
              </w:rPr>
              <w:t>容</w:t>
            </w:r>
          </w:p>
        </w:tc>
      </w:tr>
      <w:tr>
        <w:tblPrEx>
          <w:tblCellMar>
            <w:top w:w="0" w:type="dxa"/>
            <w:left w:w="108" w:type="dxa"/>
            <w:bottom w:w="0" w:type="dxa"/>
            <w:right w:w="108" w:type="dxa"/>
          </w:tblCellMar>
        </w:tblPrEx>
        <w:trPr>
          <w:trHeight w:val="454" w:hRule="atLeast"/>
          <w:jc w:val="center"/>
        </w:trPr>
        <w:tc>
          <w:tcPr>
            <w:tcW w:w="963" w:type="dxa"/>
            <w:tcBorders>
              <w:top w:val="single" w:color="auto" w:sz="4" w:space="0"/>
              <w:left w:val="single" w:color="auto" w:sz="4" w:space="0"/>
              <w:bottom w:val="single" w:color="000000" w:sz="6" w:space="0"/>
              <w:right w:val="single" w:color="000000" w:sz="6" w:space="0"/>
            </w:tcBorders>
            <w:vAlign w:val="center"/>
          </w:tcPr>
          <w:p>
            <w:pPr>
              <w:autoSpaceDE w:val="0"/>
              <w:autoSpaceDN w:val="0"/>
              <w:adjustRightInd w:val="0"/>
              <w:spacing w:line="400" w:lineRule="exact"/>
              <w:jc w:val="center"/>
              <w:rPr>
                <w:rFonts w:ascii="宋体" w:hAnsi="宋体" w:cs="宋体"/>
                <w:bCs/>
                <w:color w:val="auto"/>
                <w:szCs w:val="21"/>
                <w:highlight w:val="none"/>
              </w:rPr>
            </w:pPr>
            <w:r>
              <w:rPr>
                <w:rFonts w:ascii="宋体" w:hAnsi="宋体" w:cs="宋体"/>
                <w:bCs/>
                <w:color w:val="auto"/>
                <w:szCs w:val="21"/>
                <w:highlight w:val="none"/>
              </w:rPr>
              <w:t>1</w:t>
            </w:r>
          </w:p>
        </w:tc>
        <w:tc>
          <w:tcPr>
            <w:tcW w:w="8265" w:type="dxa"/>
            <w:tcBorders>
              <w:top w:val="single" w:color="auto" w:sz="4" w:space="0"/>
              <w:left w:val="single" w:color="000000" w:sz="6" w:space="0"/>
              <w:bottom w:val="single" w:color="000000" w:sz="6" w:space="0"/>
              <w:right w:val="single" w:color="auto" w:sz="4" w:space="0"/>
            </w:tcBorders>
            <w:vAlign w:val="center"/>
          </w:tcPr>
          <w:p>
            <w:pPr>
              <w:spacing w:line="400" w:lineRule="exact"/>
              <w:rPr>
                <w:rFonts w:ascii="宋体" w:hAnsi="宋体" w:cs="宋体"/>
                <w:color w:val="auto"/>
                <w:szCs w:val="21"/>
                <w:highlight w:val="none"/>
              </w:rPr>
            </w:pPr>
            <w:r>
              <w:rPr>
                <w:rFonts w:hint="eastAsia" w:ascii="宋体" w:hAnsi="宋体" w:cs="宋体"/>
                <w:bCs/>
                <w:color w:val="auto"/>
                <w:szCs w:val="21"/>
                <w:highlight w:val="none"/>
              </w:rPr>
              <w:t>合同履约期限：</w:t>
            </w:r>
            <w:r>
              <w:rPr>
                <w:rFonts w:hint="eastAsia" w:ascii="宋体" w:hAnsi="宋体" w:eastAsia="宋体" w:cs="宋体"/>
                <w:color w:val="auto"/>
                <w:sz w:val="21"/>
                <w:szCs w:val="21"/>
                <w:highlight w:val="none"/>
              </w:rPr>
              <w:t>合同生效后</w:t>
            </w:r>
            <w:r>
              <w:rPr>
                <w:rFonts w:hint="eastAsia" w:cs="宋体"/>
                <w:color w:val="auto"/>
                <w:sz w:val="21"/>
                <w:szCs w:val="21"/>
                <w:highlight w:val="none"/>
                <w:lang w:val="en-US" w:eastAsia="zh-CN"/>
              </w:rPr>
              <w:t>6个月</w:t>
            </w:r>
            <w:r>
              <w:rPr>
                <w:rFonts w:hint="eastAsia" w:ascii="宋体" w:hAnsi="宋体" w:eastAsia="宋体" w:cs="宋体"/>
                <w:color w:val="auto"/>
                <w:sz w:val="21"/>
                <w:szCs w:val="21"/>
                <w:highlight w:val="none"/>
              </w:rPr>
              <w:t>内交货</w:t>
            </w:r>
            <w:r>
              <w:rPr>
                <w:rFonts w:hint="eastAsia"/>
                <w:color w:val="auto"/>
                <w:sz w:val="21"/>
                <w:szCs w:val="21"/>
                <w:highlight w:val="none"/>
              </w:rPr>
              <w:t>调试</w:t>
            </w:r>
            <w:r>
              <w:rPr>
                <w:rFonts w:hint="eastAsia"/>
                <w:color w:val="auto"/>
                <w:sz w:val="21"/>
                <w:szCs w:val="21"/>
                <w:highlight w:val="none"/>
                <w:lang w:eastAsia="zh-CN"/>
              </w:rPr>
              <w:t>完毕</w:t>
            </w:r>
            <w:r>
              <w:rPr>
                <w:rFonts w:hint="eastAsia"/>
                <w:color w:val="auto"/>
                <w:sz w:val="21"/>
                <w:szCs w:val="21"/>
                <w:highlight w:val="none"/>
              </w:rPr>
              <w:t>。</w:t>
            </w:r>
          </w:p>
        </w:tc>
      </w:tr>
      <w:tr>
        <w:tblPrEx>
          <w:tblCellMar>
            <w:top w:w="0" w:type="dxa"/>
            <w:left w:w="108" w:type="dxa"/>
            <w:bottom w:w="0" w:type="dxa"/>
            <w:right w:w="108" w:type="dxa"/>
          </w:tblCellMar>
        </w:tblPrEx>
        <w:trPr>
          <w:trHeight w:val="454" w:hRule="atLeast"/>
          <w:jc w:val="center"/>
        </w:trPr>
        <w:tc>
          <w:tcPr>
            <w:tcW w:w="963" w:type="dxa"/>
            <w:tcBorders>
              <w:top w:val="single" w:color="auto" w:sz="4" w:space="0"/>
              <w:left w:val="single" w:color="auto" w:sz="4" w:space="0"/>
              <w:bottom w:val="single" w:color="000000" w:sz="6" w:space="0"/>
              <w:right w:val="single" w:color="000000" w:sz="6" w:space="0"/>
            </w:tcBorders>
            <w:vAlign w:val="center"/>
          </w:tcPr>
          <w:p>
            <w:pPr>
              <w:autoSpaceDE w:val="0"/>
              <w:autoSpaceDN w:val="0"/>
              <w:adjustRightInd w:val="0"/>
              <w:spacing w:line="400" w:lineRule="exact"/>
              <w:jc w:val="center"/>
              <w:rPr>
                <w:rFonts w:ascii="宋体" w:hAnsi="宋体" w:cs="宋体"/>
                <w:bCs/>
                <w:color w:val="auto"/>
                <w:szCs w:val="21"/>
                <w:highlight w:val="none"/>
              </w:rPr>
            </w:pPr>
            <w:r>
              <w:rPr>
                <w:rFonts w:ascii="宋体" w:hAnsi="宋体" w:cs="宋体"/>
                <w:bCs/>
                <w:color w:val="auto"/>
                <w:szCs w:val="21"/>
                <w:highlight w:val="none"/>
              </w:rPr>
              <w:t>2</w:t>
            </w:r>
          </w:p>
        </w:tc>
        <w:tc>
          <w:tcPr>
            <w:tcW w:w="8265" w:type="dxa"/>
            <w:tcBorders>
              <w:top w:val="single" w:color="auto" w:sz="4" w:space="0"/>
              <w:left w:val="single" w:color="000000" w:sz="6" w:space="0"/>
              <w:bottom w:val="single" w:color="000000" w:sz="6" w:space="0"/>
              <w:right w:val="single" w:color="auto" w:sz="4" w:space="0"/>
            </w:tcBorders>
            <w:vAlign w:val="center"/>
          </w:tcPr>
          <w:p>
            <w:pPr>
              <w:spacing w:line="400" w:lineRule="exact"/>
              <w:rPr>
                <w:rFonts w:ascii="宋体" w:hAnsi="宋体" w:cs="宋体"/>
                <w:color w:val="auto"/>
                <w:szCs w:val="21"/>
                <w:highlight w:val="none"/>
              </w:rPr>
            </w:pPr>
            <w:r>
              <w:rPr>
                <w:rFonts w:hint="eastAsia" w:ascii="宋体" w:hAnsi="宋体" w:cs="宋体"/>
                <w:color w:val="auto"/>
                <w:szCs w:val="21"/>
                <w:highlight w:val="none"/>
              </w:rPr>
              <w:t>交货地点：</w:t>
            </w:r>
            <w:r>
              <w:rPr>
                <w:rFonts w:hint="eastAsia" w:ascii="宋体" w:hAnsi="宋体"/>
                <w:color w:val="auto"/>
                <w:szCs w:val="21"/>
                <w:highlight w:val="none"/>
              </w:rPr>
              <w:t>采购人指定地点。</w:t>
            </w:r>
          </w:p>
        </w:tc>
      </w:tr>
      <w:tr>
        <w:tblPrEx>
          <w:tblCellMar>
            <w:top w:w="0" w:type="dxa"/>
            <w:left w:w="108" w:type="dxa"/>
            <w:bottom w:w="0" w:type="dxa"/>
            <w:right w:w="108" w:type="dxa"/>
          </w:tblCellMar>
        </w:tblPrEx>
        <w:trPr>
          <w:trHeight w:val="454" w:hRule="atLeast"/>
          <w:jc w:val="center"/>
        </w:trPr>
        <w:tc>
          <w:tcPr>
            <w:tcW w:w="963" w:type="dxa"/>
            <w:tcBorders>
              <w:top w:val="single" w:color="auto" w:sz="4" w:space="0"/>
              <w:left w:val="single" w:color="auto" w:sz="4" w:space="0"/>
              <w:bottom w:val="single" w:color="000000" w:sz="6" w:space="0"/>
              <w:right w:val="single" w:color="000000" w:sz="6" w:space="0"/>
            </w:tcBorders>
            <w:vAlign w:val="center"/>
          </w:tcPr>
          <w:p>
            <w:pPr>
              <w:autoSpaceDE w:val="0"/>
              <w:autoSpaceDN w:val="0"/>
              <w:adjustRightInd w:val="0"/>
              <w:spacing w:line="400" w:lineRule="exact"/>
              <w:jc w:val="center"/>
              <w:rPr>
                <w:rFonts w:ascii="宋体" w:hAnsi="宋体" w:cs="宋体"/>
                <w:bCs/>
                <w:color w:val="auto"/>
                <w:szCs w:val="21"/>
                <w:highlight w:val="none"/>
              </w:rPr>
            </w:pPr>
            <w:r>
              <w:rPr>
                <w:rFonts w:hint="eastAsia" w:ascii="宋体" w:hAnsi="宋体" w:cs="宋体"/>
                <w:color w:val="auto"/>
                <w:szCs w:val="21"/>
                <w:highlight w:val="none"/>
              </w:rPr>
              <w:t>3</w:t>
            </w:r>
          </w:p>
        </w:tc>
        <w:tc>
          <w:tcPr>
            <w:tcW w:w="8265" w:type="dxa"/>
            <w:tcBorders>
              <w:top w:val="single" w:color="auto" w:sz="4" w:space="0"/>
              <w:left w:val="single" w:color="000000" w:sz="6" w:space="0"/>
              <w:bottom w:val="single" w:color="000000" w:sz="6" w:space="0"/>
              <w:right w:val="single" w:color="auto" w:sz="4" w:space="0"/>
            </w:tcBorders>
            <w:vAlign w:val="center"/>
          </w:tcPr>
          <w:p>
            <w:pPr>
              <w:spacing w:line="400" w:lineRule="exact"/>
              <w:rPr>
                <w:rFonts w:ascii="宋体" w:hAnsi="宋体"/>
                <w:color w:val="auto"/>
                <w:szCs w:val="21"/>
                <w:highlight w:val="none"/>
              </w:rPr>
            </w:pPr>
            <w:r>
              <w:rPr>
                <w:rFonts w:hint="eastAsia" w:ascii="宋体" w:hAnsi="宋体"/>
                <w:color w:val="auto"/>
                <w:szCs w:val="21"/>
                <w:highlight w:val="none"/>
              </w:rPr>
              <w:t>安装及验收要求：</w:t>
            </w:r>
          </w:p>
          <w:p>
            <w:pPr>
              <w:spacing w:line="400" w:lineRule="exact"/>
              <w:rPr>
                <w:rFonts w:ascii="宋体" w:hAnsi="宋体"/>
                <w:color w:val="auto"/>
                <w:szCs w:val="21"/>
                <w:highlight w:val="none"/>
              </w:rPr>
            </w:pPr>
            <w:r>
              <w:rPr>
                <w:rFonts w:hint="eastAsia" w:ascii="宋体" w:hAnsi="宋体"/>
                <w:color w:val="auto"/>
                <w:szCs w:val="21"/>
                <w:highlight w:val="none"/>
              </w:rPr>
              <w:t>（1）安装地点：</w:t>
            </w:r>
            <w:r>
              <w:rPr>
                <w:rFonts w:hint="eastAsia" w:ascii="宋体" w:hAnsi="宋体"/>
                <w:color w:val="auto"/>
                <w:szCs w:val="21"/>
                <w:highlight w:val="none"/>
                <w:lang w:eastAsia="zh-CN"/>
              </w:rPr>
              <w:t>采购人指定地点</w:t>
            </w:r>
            <w:r>
              <w:rPr>
                <w:rFonts w:hint="eastAsia" w:ascii="宋体" w:hAnsi="宋体"/>
                <w:color w:val="auto"/>
                <w:szCs w:val="21"/>
                <w:highlight w:val="none"/>
              </w:rPr>
              <w:t>；</w:t>
            </w:r>
          </w:p>
          <w:p>
            <w:pPr>
              <w:spacing w:line="400" w:lineRule="exact"/>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）安装标准：符合我国国家有关技术规范和技术标准；</w:t>
            </w:r>
          </w:p>
          <w:p>
            <w:pPr>
              <w:spacing w:line="400" w:lineRule="exact"/>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）验收标准：应与产品原始样本技术数据及标书技术文件一致。应符合我国有关技术规范和技术标准；</w:t>
            </w:r>
          </w:p>
          <w:p>
            <w:pPr>
              <w:spacing w:line="400" w:lineRule="exact"/>
              <w:rPr>
                <w:rFonts w:ascii="宋体" w:hAnsi="宋体" w:cs="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）安装验收前产生的一切费用由供应商提供。</w:t>
            </w:r>
          </w:p>
        </w:tc>
      </w:tr>
      <w:tr>
        <w:tblPrEx>
          <w:tblCellMar>
            <w:top w:w="0" w:type="dxa"/>
            <w:left w:w="108" w:type="dxa"/>
            <w:bottom w:w="0" w:type="dxa"/>
            <w:right w:w="108" w:type="dxa"/>
          </w:tblCellMar>
        </w:tblPrEx>
        <w:trPr>
          <w:trHeight w:val="454" w:hRule="atLeast"/>
          <w:jc w:val="center"/>
        </w:trPr>
        <w:tc>
          <w:tcPr>
            <w:tcW w:w="963" w:type="dxa"/>
            <w:tcBorders>
              <w:top w:val="single" w:color="000000" w:sz="6" w:space="0"/>
              <w:left w:val="single" w:color="auto" w:sz="4" w:space="0"/>
              <w:bottom w:val="single" w:color="000000" w:sz="6" w:space="0"/>
              <w:right w:val="single" w:color="000000" w:sz="6" w:space="0"/>
            </w:tcBorders>
            <w:vAlign w:val="center"/>
          </w:tcPr>
          <w:p>
            <w:pPr>
              <w:autoSpaceDE w:val="0"/>
              <w:autoSpaceDN w:val="0"/>
              <w:adjustRightInd w:val="0"/>
              <w:spacing w:line="400" w:lineRule="exact"/>
              <w:jc w:val="center"/>
              <w:rPr>
                <w:rFonts w:ascii="宋体" w:hAnsi="宋体" w:cs="宋体"/>
                <w:color w:val="auto"/>
                <w:szCs w:val="21"/>
                <w:highlight w:val="none"/>
              </w:rPr>
            </w:pPr>
            <w:r>
              <w:rPr>
                <w:rFonts w:ascii="宋体" w:hAnsi="宋体" w:cs="宋体"/>
                <w:color w:val="auto"/>
                <w:szCs w:val="21"/>
                <w:highlight w:val="none"/>
              </w:rPr>
              <w:t>3</w:t>
            </w:r>
          </w:p>
        </w:tc>
        <w:tc>
          <w:tcPr>
            <w:tcW w:w="8265" w:type="dxa"/>
            <w:tcBorders>
              <w:top w:val="single" w:color="000000" w:sz="6" w:space="0"/>
              <w:left w:val="single" w:color="000000" w:sz="6" w:space="0"/>
              <w:bottom w:val="single" w:color="000000" w:sz="6" w:space="0"/>
              <w:right w:val="single" w:color="auto" w:sz="4" w:space="0"/>
            </w:tcBorders>
            <w:vAlign w:val="center"/>
          </w:tcPr>
          <w:p>
            <w:pPr>
              <w:spacing w:line="400" w:lineRule="exact"/>
              <w:rPr>
                <w:rFonts w:ascii="宋体" w:hAnsi="宋体"/>
                <w:color w:val="auto"/>
                <w:szCs w:val="21"/>
                <w:highlight w:val="none"/>
                <w:lang w:val="zh-CN"/>
              </w:rPr>
            </w:pPr>
            <w:r>
              <w:rPr>
                <w:rFonts w:hint="eastAsia" w:ascii="宋体" w:hAnsi="宋体"/>
                <w:color w:val="auto"/>
                <w:szCs w:val="21"/>
                <w:highlight w:val="none"/>
                <w:lang w:val="zh-CN"/>
              </w:rPr>
              <w:t>售后服务：</w:t>
            </w:r>
          </w:p>
          <w:p>
            <w:pPr>
              <w:spacing w:line="400" w:lineRule="exact"/>
              <w:rPr>
                <w:rFonts w:hint="eastAsia" w:ascii="宋体" w:hAnsi="宋体" w:eastAsia="宋体" w:cs="宋体"/>
                <w:color w:val="auto"/>
                <w:szCs w:val="21"/>
                <w:highlight w:val="none"/>
              </w:rPr>
            </w:pPr>
            <w:r>
              <w:rPr>
                <w:rFonts w:hint="eastAsia" w:ascii="宋体" w:hAnsi="宋体"/>
                <w:color w:val="auto"/>
                <w:szCs w:val="21"/>
                <w:highlight w:val="none"/>
                <w:lang w:val="zh-CN"/>
              </w:rPr>
              <w:t>（1）质量保证期：标项</w:t>
            </w:r>
            <w:r>
              <w:rPr>
                <w:rFonts w:hint="eastAsia" w:ascii="宋体" w:hAnsi="宋体"/>
                <w:color w:val="auto"/>
                <w:szCs w:val="21"/>
                <w:highlight w:val="none"/>
                <w:lang w:val="en-US" w:eastAsia="zh-CN"/>
              </w:rPr>
              <w:t>1</w:t>
            </w:r>
            <w:r>
              <w:rPr>
                <w:rFonts w:hint="eastAsia" w:ascii="宋体" w:hAnsi="宋体"/>
                <w:color w:val="auto"/>
                <w:szCs w:val="21"/>
                <w:highlight w:val="none"/>
                <w:lang w:val="zh-CN"/>
              </w:rPr>
              <w:t>：</w:t>
            </w:r>
            <w:r>
              <w:rPr>
                <w:rFonts w:hint="eastAsia" w:ascii="宋体" w:hAnsi="宋体"/>
                <w:color w:val="auto"/>
                <w:highlight w:val="none"/>
              </w:rPr>
              <w:t>验收合格后整机免费保修≥</w:t>
            </w:r>
            <w:r>
              <w:rPr>
                <w:rFonts w:hint="eastAsia" w:ascii="宋体" w:hAnsi="宋体"/>
                <w:color w:val="auto"/>
                <w:highlight w:val="none"/>
                <w:lang w:val="en-US" w:eastAsia="zh-CN"/>
              </w:rPr>
              <w:t>3</w:t>
            </w:r>
            <w:r>
              <w:rPr>
                <w:rFonts w:hint="eastAsia" w:ascii="宋体" w:hAnsi="宋体"/>
                <w:color w:val="auto"/>
                <w:highlight w:val="none"/>
              </w:rPr>
              <w:t>年</w:t>
            </w:r>
          </w:p>
          <w:p>
            <w:pPr>
              <w:spacing w:line="400" w:lineRule="exact"/>
              <w:rPr>
                <w:rFonts w:ascii="宋体" w:hAnsi="宋体"/>
                <w:color w:val="auto"/>
                <w:szCs w:val="21"/>
                <w:highlight w:val="none"/>
              </w:rPr>
            </w:pPr>
            <w:r>
              <w:rPr>
                <w:rFonts w:hint="eastAsia" w:ascii="宋体" w:hAnsi="宋体"/>
                <w:color w:val="auto"/>
                <w:szCs w:val="21"/>
                <w:highlight w:val="none"/>
              </w:rPr>
              <w:t>（2）</w:t>
            </w:r>
            <w:r>
              <w:rPr>
                <w:rFonts w:hint="eastAsia" w:ascii="宋体" w:hAnsi="宋体" w:cs="宋体"/>
                <w:color w:val="auto"/>
                <w:szCs w:val="21"/>
                <w:highlight w:val="none"/>
                <w:lang w:val="zh-CN"/>
              </w:rPr>
              <w:t>培训：</w:t>
            </w:r>
            <w:r>
              <w:rPr>
                <w:rFonts w:hint="eastAsia" w:ascii="宋体" w:hAnsi="宋体" w:cs="宋体"/>
                <w:color w:val="auto"/>
                <w:szCs w:val="21"/>
                <w:highlight w:val="none"/>
              </w:rPr>
              <w:t>免费提供操作和维修培训</w:t>
            </w:r>
            <w:r>
              <w:rPr>
                <w:rFonts w:hint="eastAsia" w:ascii="宋体" w:hAnsi="宋体"/>
                <w:color w:val="auto"/>
                <w:szCs w:val="21"/>
                <w:highlight w:val="none"/>
                <w:lang w:val="zh-CN"/>
              </w:rPr>
              <w:t>；</w:t>
            </w:r>
          </w:p>
          <w:p>
            <w:pPr>
              <w:spacing w:line="400" w:lineRule="exact"/>
              <w:rPr>
                <w:rFonts w:ascii="宋体" w:hAnsi="宋体"/>
                <w:color w:val="auto"/>
                <w:szCs w:val="21"/>
                <w:highlight w:val="none"/>
                <w:lang w:val="zh-CN"/>
              </w:rPr>
            </w:pPr>
            <w:r>
              <w:rPr>
                <w:rFonts w:hint="eastAsia" w:ascii="宋体" w:hAnsi="宋体"/>
                <w:color w:val="auto"/>
                <w:szCs w:val="21"/>
                <w:highlight w:val="none"/>
              </w:rPr>
              <w:t>（3）交货时提供中文用户操作手册、维修和电子版操作规程手册；</w:t>
            </w:r>
          </w:p>
          <w:p>
            <w:pPr>
              <w:spacing w:line="400" w:lineRule="exact"/>
              <w:rPr>
                <w:rFonts w:ascii="宋体" w:hAnsi="宋体"/>
                <w:color w:val="auto"/>
                <w:szCs w:val="21"/>
                <w:highlight w:val="none"/>
                <w:lang w:val="zh-CN"/>
              </w:rPr>
            </w:pPr>
            <w:r>
              <w:rPr>
                <w:rFonts w:hint="eastAsia" w:ascii="宋体" w:hAnsi="宋体"/>
                <w:color w:val="auto"/>
                <w:szCs w:val="21"/>
                <w:highlight w:val="none"/>
                <w:lang w:val="zh-CN"/>
              </w:rPr>
              <w:t>（</w:t>
            </w:r>
            <w:r>
              <w:rPr>
                <w:rFonts w:hint="eastAsia" w:ascii="宋体" w:hAnsi="宋体"/>
                <w:color w:val="auto"/>
                <w:szCs w:val="21"/>
                <w:highlight w:val="none"/>
              </w:rPr>
              <w:t>4</w:t>
            </w:r>
            <w:r>
              <w:rPr>
                <w:rFonts w:hint="eastAsia" w:ascii="宋体" w:hAnsi="宋体"/>
                <w:color w:val="auto"/>
                <w:szCs w:val="21"/>
                <w:highlight w:val="none"/>
                <w:lang w:val="zh-CN"/>
              </w:rPr>
              <w:t>）维修响应时间</w:t>
            </w:r>
            <w:r>
              <w:rPr>
                <w:rFonts w:hint="eastAsia" w:ascii="宋体" w:hAnsi="宋体"/>
                <w:color w:val="auto"/>
                <w:szCs w:val="21"/>
                <w:highlight w:val="none"/>
              </w:rPr>
              <w:t>：2小时响应，24小时内到场（包括节假日）</w:t>
            </w:r>
            <w:r>
              <w:rPr>
                <w:rFonts w:hint="eastAsia" w:ascii="宋体" w:hAnsi="宋体"/>
                <w:color w:val="auto"/>
                <w:szCs w:val="21"/>
                <w:highlight w:val="none"/>
                <w:lang w:val="zh-CN"/>
              </w:rPr>
              <w:t>；</w:t>
            </w:r>
          </w:p>
          <w:p>
            <w:pPr>
              <w:spacing w:line="400" w:lineRule="exact"/>
              <w:rPr>
                <w:rFonts w:ascii="宋体" w:hAnsi="宋体"/>
                <w:color w:val="auto"/>
                <w:szCs w:val="21"/>
                <w:highlight w:val="none"/>
                <w:lang w:val="zh-CN"/>
              </w:rPr>
            </w:pPr>
            <w:r>
              <w:rPr>
                <w:rFonts w:hint="eastAsia" w:ascii="宋体" w:hAnsi="宋体"/>
                <w:color w:val="auto"/>
                <w:szCs w:val="21"/>
                <w:highlight w:val="none"/>
                <w:lang w:val="zh-CN"/>
              </w:rPr>
              <w:t>（</w:t>
            </w:r>
            <w:r>
              <w:rPr>
                <w:rFonts w:hint="eastAsia" w:ascii="宋体" w:hAnsi="宋体"/>
                <w:color w:val="auto"/>
                <w:szCs w:val="21"/>
                <w:highlight w:val="none"/>
              </w:rPr>
              <w:t>5</w:t>
            </w:r>
            <w:r>
              <w:rPr>
                <w:rFonts w:hint="eastAsia" w:ascii="宋体" w:hAnsi="宋体"/>
                <w:color w:val="auto"/>
                <w:szCs w:val="21"/>
                <w:highlight w:val="none"/>
                <w:lang w:val="zh-CN"/>
              </w:rPr>
              <w:t>）</w:t>
            </w:r>
            <w:r>
              <w:rPr>
                <w:rFonts w:hint="eastAsia" w:ascii="宋体" w:hAnsi="宋体"/>
                <w:color w:val="auto"/>
                <w:szCs w:val="21"/>
                <w:highlight w:val="none"/>
              </w:rPr>
              <w:t>对保修期外维修付款必须做到先维修后付款</w:t>
            </w:r>
            <w:r>
              <w:rPr>
                <w:rFonts w:hint="eastAsia" w:ascii="宋体" w:hAnsi="宋体"/>
                <w:color w:val="auto"/>
                <w:szCs w:val="21"/>
                <w:highlight w:val="none"/>
                <w:lang w:val="zh-CN"/>
              </w:rPr>
              <w:t>；</w:t>
            </w:r>
          </w:p>
          <w:p>
            <w:pPr>
              <w:spacing w:line="400" w:lineRule="exact"/>
              <w:rPr>
                <w:rFonts w:ascii="宋体" w:hAnsi="宋体"/>
                <w:color w:val="auto"/>
                <w:szCs w:val="21"/>
                <w:highlight w:val="none"/>
                <w:lang w:val="zh-CN"/>
              </w:rPr>
            </w:pPr>
            <w:r>
              <w:rPr>
                <w:rFonts w:hint="eastAsia" w:ascii="宋体" w:hAnsi="宋体"/>
                <w:color w:val="auto"/>
                <w:szCs w:val="21"/>
                <w:highlight w:val="none"/>
                <w:lang w:val="zh-CN"/>
              </w:rPr>
              <w:t>（</w:t>
            </w:r>
            <w:r>
              <w:rPr>
                <w:rFonts w:hint="eastAsia" w:ascii="宋体" w:hAnsi="宋体"/>
                <w:color w:val="auto"/>
                <w:szCs w:val="21"/>
                <w:highlight w:val="none"/>
              </w:rPr>
              <w:t>6</w:t>
            </w:r>
            <w:r>
              <w:rPr>
                <w:rFonts w:hint="eastAsia" w:ascii="宋体" w:hAnsi="宋体"/>
                <w:color w:val="auto"/>
                <w:szCs w:val="21"/>
                <w:highlight w:val="none"/>
                <w:lang w:val="zh-CN"/>
              </w:rPr>
              <w:t>）供应商提供详细的售后服务方案</w:t>
            </w:r>
            <w:r>
              <w:rPr>
                <w:rFonts w:hint="eastAsia" w:ascii="宋体" w:hAnsi="宋体"/>
                <w:color w:val="auto"/>
                <w:szCs w:val="21"/>
                <w:highlight w:val="none"/>
              </w:rPr>
              <w:t>及其他优惠措施，可自行填写</w:t>
            </w:r>
            <w:r>
              <w:rPr>
                <w:rFonts w:hint="eastAsia" w:ascii="宋体" w:hAnsi="宋体"/>
                <w:color w:val="auto"/>
                <w:szCs w:val="21"/>
                <w:highlight w:val="none"/>
                <w:lang w:val="zh-CN"/>
              </w:rPr>
              <w:t>。</w:t>
            </w:r>
          </w:p>
        </w:tc>
      </w:tr>
      <w:tr>
        <w:tblPrEx>
          <w:tblCellMar>
            <w:top w:w="0" w:type="dxa"/>
            <w:left w:w="108" w:type="dxa"/>
            <w:bottom w:w="0" w:type="dxa"/>
            <w:right w:w="108" w:type="dxa"/>
          </w:tblCellMar>
        </w:tblPrEx>
        <w:trPr>
          <w:trHeight w:val="454" w:hRule="atLeast"/>
          <w:jc w:val="center"/>
        </w:trPr>
        <w:tc>
          <w:tcPr>
            <w:tcW w:w="963" w:type="dxa"/>
            <w:tcBorders>
              <w:top w:val="single" w:color="000000" w:sz="6" w:space="0"/>
              <w:left w:val="single" w:color="auto" w:sz="4" w:space="0"/>
              <w:bottom w:val="single" w:color="000000" w:sz="6" w:space="0"/>
              <w:right w:val="single" w:color="000000" w:sz="6" w:space="0"/>
            </w:tcBorders>
            <w:vAlign w:val="center"/>
          </w:tcPr>
          <w:p>
            <w:pPr>
              <w:autoSpaceDE w:val="0"/>
              <w:autoSpaceDN w:val="0"/>
              <w:adjustRightInd w:val="0"/>
              <w:spacing w:line="400" w:lineRule="exact"/>
              <w:jc w:val="center"/>
              <w:rPr>
                <w:rFonts w:ascii="宋体" w:hAnsi="宋体" w:cs="宋体"/>
                <w:color w:val="auto"/>
                <w:szCs w:val="21"/>
                <w:highlight w:val="none"/>
              </w:rPr>
            </w:pPr>
            <w:r>
              <w:rPr>
                <w:rFonts w:ascii="宋体" w:hAnsi="宋体" w:cs="宋体"/>
                <w:color w:val="auto"/>
                <w:szCs w:val="21"/>
                <w:highlight w:val="none"/>
              </w:rPr>
              <w:t>4</w:t>
            </w:r>
          </w:p>
        </w:tc>
        <w:tc>
          <w:tcPr>
            <w:tcW w:w="8265" w:type="dxa"/>
            <w:tcBorders>
              <w:top w:val="single" w:color="000000" w:sz="6" w:space="0"/>
              <w:left w:val="single" w:color="000000" w:sz="6" w:space="0"/>
              <w:bottom w:val="single" w:color="000000" w:sz="6" w:space="0"/>
              <w:right w:val="single" w:color="auto" w:sz="4" w:space="0"/>
            </w:tcBorders>
            <w:vAlign w:val="center"/>
          </w:tcPr>
          <w:p>
            <w:pPr>
              <w:spacing w:line="400" w:lineRule="exact"/>
              <w:rPr>
                <w:rFonts w:ascii="宋体" w:hAnsi="宋体" w:cs="宋体"/>
                <w:color w:val="auto"/>
                <w:szCs w:val="21"/>
                <w:highlight w:val="none"/>
                <w:lang w:val="zh-CN"/>
              </w:rPr>
            </w:pPr>
            <w:r>
              <w:rPr>
                <w:rFonts w:hint="eastAsia" w:ascii="宋体" w:hAnsi="宋体" w:cs="宋体"/>
                <w:color w:val="auto"/>
                <w:szCs w:val="21"/>
                <w:highlight w:val="none"/>
                <w:lang w:val="zh-CN"/>
              </w:rPr>
              <w:t>付款方法和条件：</w:t>
            </w:r>
          </w:p>
          <w:p>
            <w:pPr>
              <w:spacing w:line="400" w:lineRule="exact"/>
              <w:rPr>
                <w:rFonts w:ascii="宋体" w:hAnsi="宋体" w:cs="宋体"/>
                <w:b/>
                <w:bCs/>
                <w:color w:val="auto"/>
                <w:szCs w:val="21"/>
                <w:highlight w:val="none"/>
                <w:lang w:val="zh-CN"/>
              </w:rPr>
            </w:pPr>
            <w:r>
              <w:rPr>
                <w:rFonts w:hint="eastAsia" w:ascii="宋体" w:hAnsi="宋体" w:cs="宋体"/>
                <w:color w:val="auto"/>
                <w:szCs w:val="21"/>
                <w:highlight w:val="none"/>
                <w:lang w:val="zh-CN"/>
              </w:rPr>
              <w:t>（1）合同生效以及具备实施条件后7个工作日内，采购人预付给供应商暂定合同总价40%的预付款（供应商在签订合同时，表示无需预付款或主动要求降低预付款比例的，可不适用本条款）。供应商需提交银行、保险公司等金融机构出具的预付款保函或其他担保措施。验收合格后，采购人向供应商支付合同总价的60%。</w:t>
            </w:r>
            <w:r>
              <w:rPr>
                <w:rFonts w:hint="eastAsia" w:ascii="宋体" w:hAnsi="宋体"/>
                <w:color w:val="auto"/>
                <w:szCs w:val="21"/>
                <w:highlight w:val="none"/>
                <w:lang w:val="zh-CN"/>
              </w:rPr>
              <w:t>采购人对于满足合同约定支付条件的，自收到发票后7个工作日内支付至供应商账户。</w:t>
            </w:r>
            <w:r>
              <w:rPr>
                <w:rFonts w:hint="eastAsia" w:ascii="宋体" w:hAnsi="宋体" w:cs="宋体"/>
                <w:color w:val="auto"/>
                <w:szCs w:val="21"/>
                <w:highlight w:val="none"/>
                <w:lang w:val="zh-CN"/>
              </w:rPr>
              <w:t>供应商不提供发票的，采购人有权不予支付。</w:t>
            </w:r>
          </w:p>
          <w:p>
            <w:pPr>
              <w:spacing w:line="400" w:lineRule="exact"/>
              <w:rPr>
                <w:rFonts w:ascii="宋体" w:hAnsi="宋体"/>
                <w:color w:val="auto"/>
                <w:kern w:val="10"/>
                <w:szCs w:val="21"/>
                <w:highlight w:val="none"/>
                <w:lang w:val="zh-CN"/>
              </w:rPr>
            </w:pPr>
            <w:r>
              <w:rPr>
                <w:rFonts w:hint="eastAsia" w:ascii="宋体" w:hAnsi="宋体"/>
                <w:color w:val="auto"/>
                <w:szCs w:val="21"/>
                <w:highlight w:val="none"/>
              </w:rPr>
              <w:t>（2）</w:t>
            </w:r>
            <w:r>
              <w:rPr>
                <w:rFonts w:hint="eastAsia" w:ascii="宋体" w:hAnsi="宋体"/>
                <w:color w:val="auto"/>
                <w:szCs w:val="21"/>
                <w:highlight w:val="none"/>
                <w:lang w:val="zh-CN"/>
              </w:rPr>
              <w:t>采购人对于满足合同约定支付条件的，自收到发票后7个工作日内支付至供应商账户。</w:t>
            </w:r>
            <w:r>
              <w:rPr>
                <w:rFonts w:hint="eastAsia" w:ascii="宋体" w:hAnsi="宋体" w:cs="宋体"/>
                <w:color w:val="auto"/>
                <w:szCs w:val="21"/>
                <w:highlight w:val="none"/>
                <w:lang w:val="zh-CN"/>
              </w:rPr>
              <w:t>供应商不提供发票的，采购人有权不予支付。</w:t>
            </w:r>
          </w:p>
        </w:tc>
      </w:tr>
      <w:tr>
        <w:tblPrEx>
          <w:tblCellMar>
            <w:top w:w="0" w:type="dxa"/>
            <w:left w:w="108" w:type="dxa"/>
            <w:bottom w:w="0" w:type="dxa"/>
            <w:right w:w="108" w:type="dxa"/>
          </w:tblCellMar>
        </w:tblPrEx>
        <w:trPr>
          <w:trHeight w:val="454" w:hRule="atLeast"/>
          <w:jc w:val="center"/>
        </w:trPr>
        <w:tc>
          <w:tcPr>
            <w:tcW w:w="963" w:type="dxa"/>
            <w:tcBorders>
              <w:top w:val="single" w:color="000000" w:sz="6" w:space="0"/>
              <w:left w:val="single" w:color="auto" w:sz="4" w:space="0"/>
              <w:bottom w:val="single" w:color="000000" w:sz="6" w:space="0"/>
              <w:right w:val="single" w:color="000000" w:sz="6" w:space="0"/>
            </w:tcBorders>
            <w:vAlign w:val="center"/>
          </w:tcPr>
          <w:p>
            <w:pPr>
              <w:autoSpaceDE w:val="0"/>
              <w:autoSpaceDN w:val="0"/>
              <w:adjustRightInd w:val="0"/>
              <w:spacing w:line="400" w:lineRule="exact"/>
              <w:jc w:val="center"/>
              <w:rPr>
                <w:rFonts w:ascii="宋体" w:hAnsi="宋体" w:cs="宋体"/>
                <w:color w:val="auto"/>
                <w:szCs w:val="21"/>
                <w:highlight w:val="none"/>
              </w:rPr>
            </w:pPr>
            <w:r>
              <w:rPr>
                <w:rFonts w:ascii="宋体" w:hAnsi="宋体" w:cs="宋体"/>
                <w:color w:val="auto"/>
                <w:szCs w:val="21"/>
                <w:highlight w:val="none"/>
              </w:rPr>
              <w:t>5</w:t>
            </w:r>
          </w:p>
        </w:tc>
        <w:tc>
          <w:tcPr>
            <w:tcW w:w="8265" w:type="dxa"/>
            <w:tcBorders>
              <w:top w:val="single" w:color="000000" w:sz="6" w:space="0"/>
              <w:left w:val="single" w:color="000000" w:sz="6" w:space="0"/>
              <w:bottom w:val="single" w:color="000000" w:sz="6" w:space="0"/>
              <w:right w:val="single" w:color="auto" w:sz="4" w:space="0"/>
            </w:tcBorders>
            <w:vAlign w:val="center"/>
          </w:tcPr>
          <w:p>
            <w:pPr>
              <w:autoSpaceDE w:val="0"/>
              <w:autoSpaceDN w:val="0"/>
              <w:adjustRightInd w:val="0"/>
              <w:spacing w:line="400" w:lineRule="exact"/>
              <w:rPr>
                <w:rFonts w:ascii="宋体" w:hAnsi="宋体"/>
                <w:color w:val="auto"/>
                <w:szCs w:val="21"/>
                <w:highlight w:val="none"/>
                <w:lang w:val="zh-CN"/>
              </w:rPr>
            </w:pPr>
            <w:r>
              <w:rPr>
                <w:rFonts w:hint="eastAsia" w:ascii="宋体" w:hAnsi="宋体"/>
                <w:color w:val="auto"/>
                <w:szCs w:val="21"/>
                <w:highlight w:val="none"/>
                <w:lang w:val="zh-CN"/>
              </w:rPr>
              <w:t>授予合同：</w:t>
            </w:r>
          </w:p>
          <w:p>
            <w:pPr>
              <w:autoSpaceDE w:val="0"/>
              <w:autoSpaceDN w:val="0"/>
              <w:adjustRightInd w:val="0"/>
              <w:spacing w:line="400" w:lineRule="exact"/>
              <w:rPr>
                <w:rFonts w:ascii="宋体" w:hAnsi="宋体"/>
                <w:color w:val="auto"/>
                <w:szCs w:val="21"/>
                <w:highlight w:val="none"/>
                <w:lang w:val="zh-CN"/>
              </w:rPr>
            </w:pPr>
            <w:r>
              <w:rPr>
                <w:rFonts w:hint="eastAsia" w:ascii="宋体" w:hAnsi="宋体"/>
                <w:color w:val="auto"/>
                <w:szCs w:val="21"/>
                <w:highlight w:val="none"/>
                <w:lang w:val="zh-CN"/>
              </w:rPr>
              <w:t>①中标通知书发出之日起30天内，中标供应商应按照招标文件的规定、中标供应商的投标响应及中标通知书确定的金额签订合同。</w:t>
            </w:r>
          </w:p>
          <w:p>
            <w:pPr>
              <w:autoSpaceDE w:val="0"/>
              <w:autoSpaceDN w:val="0"/>
              <w:adjustRightInd w:val="0"/>
              <w:spacing w:line="400" w:lineRule="exact"/>
              <w:rPr>
                <w:rFonts w:ascii="宋体" w:hAnsi="宋体" w:cs="宋体"/>
                <w:color w:val="auto"/>
                <w:szCs w:val="21"/>
                <w:highlight w:val="none"/>
                <w:lang w:val="zh-CN"/>
              </w:rPr>
            </w:pPr>
            <w:r>
              <w:rPr>
                <w:rFonts w:hint="eastAsia" w:ascii="宋体" w:hAnsi="宋体"/>
                <w:color w:val="auto"/>
                <w:szCs w:val="21"/>
                <w:highlight w:val="none"/>
                <w:lang w:val="zh-CN"/>
              </w:rPr>
              <w:t>②中标供应商如不遵守招标文件或投标文件各项条款的邀约与要约，或在接到中标通知书后借故拖延，拒签合同的，给采购人造成的损失的还应当予以赔偿。</w:t>
            </w:r>
          </w:p>
        </w:tc>
      </w:tr>
    </w:tbl>
    <w:p>
      <w:pPr>
        <w:pStyle w:val="17"/>
        <w:rPr>
          <w:color w:val="auto"/>
          <w:highlight w:val="none"/>
        </w:rPr>
        <w:sectPr>
          <w:pgSz w:w="11907" w:h="16840"/>
          <w:pgMar w:top="1134" w:right="1361" w:bottom="1134" w:left="1361" w:header="285" w:footer="418" w:gutter="0"/>
          <w:pgNumType w:fmt="decimal"/>
          <w:cols w:space="720" w:num="1"/>
          <w:docGrid w:linePitch="285" w:charSpace="0"/>
        </w:sectPr>
      </w:pPr>
    </w:p>
    <w:bookmarkEnd w:id="49"/>
    <w:p>
      <w:pPr>
        <w:spacing w:line="600" w:lineRule="exact"/>
        <w:jc w:val="center"/>
        <w:outlineLvl w:val="0"/>
        <w:rPr>
          <w:rFonts w:ascii="宋体" w:hAnsi="宋体"/>
          <w:b/>
          <w:color w:val="auto"/>
          <w:sz w:val="32"/>
          <w:highlight w:val="none"/>
        </w:rPr>
      </w:pPr>
      <w:bookmarkStart w:id="54" w:name="_Toc21541025"/>
      <w:bookmarkStart w:id="55" w:name="_Toc65915714"/>
      <w:r>
        <w:rPr>
          <w:rFonts w:hint="eastAsia" w:ascii="宋体" w:hAnsi="宋体"/>
          <w:b/>
          <w:color w:val="auto"/>
          <w:sz w:val="32"/>
          <w:highlight w:val="none"/>
        </w:rPr>
        <w:t>第七章</w:t>
      </w:r>
      <w:r>
        <w:rPr>
          <w:rFonts w:ascii="宋体" w:hAnsi="宋体"/>
          <w:b/>
          <w:color w:val="auto"/>
          <w:sz w:val="32"/>
          <w:highlight w:val="none"/>
        </w:rPr>
        <w:t xml:space="preserve">  </w:t>
      </w:r>
      <w:r>
        <w:rPr>
          <w:rFonts w:hint="eastAsia" w:ascii="宋体" w:hAnsi="宋体"/>
          <w:b/>
          <w:color w:val="auto"/>
          <w:sz w:val="32"/>
          <w:highlight w:val="none"/>
        </w:rPr>
        <w:t>附件</w:t>
      </w:r>
      <w:bookmarkEnd w:id="54"/>
      <w:bookmarkEnd w:id="55"/>
    </w:p>
    <w:p>
      <w:pPr>
        <w:autoSpaceDE w:val="0"/>
        <w:autoSpaceDN w:val="0"/>
        <w:adjustRightInd w:val="0"/>
        <w:spacing w:beforeLines="400" w:line="420" w:lineRule="exact"/>
        <w:jc w:val="center"/>
        <w:rPr>
          <w:rStyle w:val="104"/>
          <w:rFonts w:ascii="宋体" w:hAnsi="宋体"/>
          <w:color w:val="auto"/>
          <w:sz w:val="32"/>
          <w:szCs w:val="32"/>
          <w:highlight w:val="none"/>
        </w:rPr>
      </w:pPr>
      <w:r>
        <w:rPr>
          <w:rStyle w:val="104"/>
          <w:rFonts w:ascii="宋体" w:hAnsi="宋体"/>
          <w:color w:val="auto"/>
          <w:sz w:val="32"/>
          <w:szCs w:val="32"/>
          <w:highlight w:val="none"/>
        </w:rPr>
        <w:t>A.</w:t>
      </w:r>
      <w:r>
        <w:rPr>
          <w:rStyle w:val="104"/>
          <w:rFonts w:hint="eastAsia" w:ascii="宋体" w:hAnsi="宋体"/>
          <w:color w:val="auto"/>
          <w:sz w:val="32"/>
          <w:szCs w:val="32"/>
          <w:highlight w:val="none"/>
        </w:rPr>
        <w:t>资格文件</w:t>
      </w:r>
    </w:p>
    <w:p>
      <w:pPr>
        <w:spacing w:line="360" w:lineRule="auto"/>
        <w:ind w:firstLine="1120" w:firstLineChars="400"/>
        <w:rPr>
          <w:rFonts w:ascii="宋体" w:hAnsi="宋体"/>
          <w:color w:val="auto"/>
          <w:sz w:val="28"/>
          <w:highlight w:val="none"/>
        </w:rPr>
      </w:pPr>
    </w:p>
    <w:p>
      <w:pPr>
        <w:spacing w:line="360" w:lineRule="auto"/>
        <w:rPr>
          <w:rFonts w:ascii="宋体" w:hAnsi="宋体"/>
          <w:b/>
          <w:color w:val="auto"/>
          <w:sz w:val="32"/>
          <w:szCs w:val="32"/>
          <w:highlight w:val="none"/>
        </w:rPr>
      </w:pPr>
      <w:r>
        <w:rPr>
          <w:rFonts w:ascii="宋体" w:hAnsi="宋体"/>
          <w:color w:val="auto"/>
          <w:sz w:val="28"/>
          <w:highlight w:val="none"/>
        </w:rPr>
        <w:br w:type="page"/>
      </w:r>
      <w:r>
        <w:rPr>
          <w:rFonts w:hint="eastAsia" w:ascii="宋体" w:hAnsi="宋体"/>
          <w:b/>
          <w:color w:val="auto"/>
          <w:sz w:val="32"/>
          <w:szCs w:val="32"/>
          <w:highlight w:val="none"/>
        </w:rPr>
        <w:t>封面</w:t>
      </w:r>
      <w:r>
        <w:rPr>
          <w:rFonts w:ascii="宋体" w:hAnsi="宋体"/>
          <w:b/>
          <w:color w:val="auto"/>
          <w:sz w:val="32"/>
          <w:szCs w:val="32"/>
          <w:highlight w:val="none"/>
        </w:rPr>
        <w:t xml:space="preserve">                                       </w:t>
      </w:r>
    </w:p>
    <w:p>
      <w:pPr>
        <w:spacing w:line="360" w:lineRule="auto"/>
        <w:jc w:val="right"/>
        <w:rPr>
          <w:rFonts w:ascii="宋体" w:hAnsi="宋体"/>
          <w:b/>
          <w:color w:val="auto"/>
          <w:sz w:val="32"/>
          <w:szCs w:val="32"/>
          <w:highlight w:val="none"/>
        </w:rPr>
      </w:pPr>
    </w:p>
    <w:p>
      <w:pPr>
        <w:spacing w:line="360" w:lineRule="auto"/>
        <w:rPr>
          <w:rFonts w:ascii="宋体" w:hAnsi="宋体"/>
          <w:color w:val="auto"/>
          <w:sz w:val="28"/>
          <w:szCs w:val="28"/>
          <w:highlight w:val="none"/>
        </w:rPr>
      </w:pPr>
    </w:p>
    <w:p>
      <w:pPr>
        <w:spacing w:line="360" w:lineRule="auto"/>
        <w:jc w:val="center"/>
        <w:rPr>
          <w:rFonts w:hint="eastAsia" w:ascii="宋体" w:hAnsi="宋体" w:eastAsia="宋体"/>
          <w:color w:val="auto"/>
          <w:sz w:val="40"/>
          <w:szCs w:val="52"/>
          <w:highlight w:val="none"/>
          <w:lang w:eastAsia="zh-CN"/>
        </w:rPr>
      </w:pPr>
      <w:r>
        <w:rPr>
          <w:rFonts w:hint="eastAsia" w:ascii="宋体" w:hAnsi="宋体"/>
          <w:b/>
          <w:color w:val="auto"/>
          <w:sz w:val="40"/>
          <w:szCs w:val="52"/>
          <w:highlight w:val="none"/>
          <w:lang w:eastAsia="zh-CN"/>
        </w:rPr>
        <w:t>温州医科大学慈溪生物医药研究院三维皮肤气液交换培养生物反应器采购项目</w:t>
      </w:r>
    </w:p>
    <w:p>
      <w:pPr>
        <w:spacing w:line="360" w:lineRule="auto"/>
        <w:jc w:val="center"/>
        <w:rPr>
          <w:rFonts w:hint="eastAsia" w:ascii="宋体" w:hAnsi="宋体" w:eastAsia="宋体"/>
          <w:color w:val="auto"/>
          <w:sz w:val="36"/>
          <w:szCs w:val="36"/>
          <w:highlight w:val="none"/>
          <w:lang w:eastAsia="zh-CN"/>
        </w:rPr>
      </w:pPr>
      <w:r>
        <w:rPr>
          <w:rFonts w:hint="eastAsia" w:ascii="宋体" w:hAnsi="宋体"/>
          <w:color w:val="auto"/>
          <w:sz w:val="36"/>
          <w:szCs w:val="36"/>
          <w:highlight w:val="none"/>
        </w:rPr>
        <w:t>项目编号：330282202311009365</w:t>
      </w:r>
    </w:p>
    <w:p>
      <w:pPr>
        <w:rPr>
          <w:rFonts w:ascii="宋体" w:hAnsi="宋体"/>
          <w:color w:val="auto"/>
          <w:sz w:val="28"/>
          <w:szCs w:val="28"/>
          <w:highlight w:val="none"/>
        </w:rPr>
      </w:pPr>
    </w:p>
    <w:p>
      <w:pPr>
        <w:pStyle w:val="2"/>
      </w:pPr>
    </w:p>
    <w:p>
      <w:pPr>
        <w:pStyle w:val="2"/>
      </w:pPr>
    </w:p>
    <w:p>
      <w:pPr>
        <w:spacing w:line="360" w:lineRule="auto"/>
        <w:jc w:val="center"/>
        <w:rPr>
          <w:rFonts w:ascii="宋体" w:hAnsi="宋体"/>
          <w:color w:val="auto"/>
          <w:sz w:val="36"/>
          <w:szCs w:val="36"/>
          <w:highlight w:val="none"/>
        </w:rPr>
      </w:pPr>
      <w:r>
        <w:rPr>
          <w:rFonts w:hint="eastAsia" w:ascii="宋体" w:hAnsi="宋体"/>
          <w:color w:val="auto"/>
          <w:sz w:val="36"/>
          <w:szCs w:val="36"/>
          <w:highlight w:val="none"/>
        </w:rPr>
        <w:t>（资格文件）</w:t>
      </w:r>
    </w:p>
    <w:p>
      <w:pPr>
        <w:jc w:val="center"/>
        <w:rPr>
          <w:rFonts w:ascii="宋体" w:hAnsi="宋体"/>
          <w:color w:val="auto"/>
          <w:sz w:val="28"/>
          <w:szCs w:val="28"/>
          <w:highlight w:val="none"/>
        </w:rPr>
      </w:pPr>
    </w:p>
    <w:p>
      <w:pPr>
        <w:spacing w:line="360" w:lineRule="auto"/>
        <w:jc w:val="center"/>
        <w:rPr>
          <w:rFonts w:ascii="宋体" w:hAnsi="宋体"/>
          <w:b/>
          <w:color w:val="auto"/>
          <w:sz w:val="72"/>
          <w:szCs w:val="72"/>
          <w:highlight w:val="none"/>
        </w:rPr>
      </w:pPr>
      <w:r>
        <w:rPr>
          <w:rFonts w:hint="eastAsia" w:ascii="宋体" w:hAnsi="宋体"/>
          <w:b/>
          <w:color w:val="auto"/>
          <w:sz w:val="72"/>
          <w:szCs w:val="72"/>
          <w:highlight w:val="none"/>
        </w:rPr>
        <w:t>投标文件</w:t>
      </w:r>
    </w:p>
    <w:p>
      <w:pPr>
        <w:spacing w:line="360" w:lineRule="auto"/>
        <w:jc w:val="center"/>
        <w:rPr>
          <w:rFonts w:ascii="宋体" w:hAnsi="宋体"/>
          <w:color w:val="auto"/>
          <w:sz w:val="36"/>
          <w:szCs w:val="36"/>
          <w:highlight w:val="none"/>
        </w:rPr>
      </w:pPr>
    </w:p>
    <w:p>
      <w:pPr>
        <w:spacing w:line="360" w:lineRule="auto"/>
        <w:jc w:val="center"/>
        <w:rPr>
          <w:rFonts w:ascii="宋体" w:hAnsi="宋体"/>
          <w:color w:val="auto"/>
          <w:sz w:val="36"/>
          <w:szCs w:val="36"/>
          <w:highlight w:val="none"/>
        </w:rPr>
      </w:pPr>
    </w:p>
    <w:p>
      <w:pPr>
        <w:spacing w:line="360" w:lineRule="auto"/>
        <w:jc w:val="center"/>
        <w:rPr>
          <w:rFonts w:ascii="宋体" w:hAnsi="宋体"/>
          <w:color w:val="auto"/>
          <w:sz w:val="36"/>
          <w:szCs w:val="36"/>
          <w:highlight w:val="none"/>
        </w:rPr>
      </w:pPr>
    </w:p>
    <w:p>
      <w:pPr>
        <w:spacing w:line="360" w:lineRule="auto"/>
        <w:jc w:val="center"/>
        <w:rPr>
          <w:rFonts w:ascii="宋体" w:hAnsi="宋体"/>
          <w:color w:val="auto"/>
          <w:sz w:val="36"/>
          <w:szCs w:val="36"/>
          <w:highlight w:val="none"/>
          <w:u w:val="single"/>
        </w:rPr>
      </w:pPr>
      <w:r>
        <w:rPr>
          <w:rFonts w:hint="eastAsia" w:ascii="宋体" w:hAnsi="宋体"/>
          <w:color w:val="auto"/>
          <w:sz w:val="36"/>
          <w:szCs w:val="36"/>
          <w:highlight w:val="none"/>
        </w:rPr>
        <w:t>供应商全称：</w:t>
      </w:r>
      <w:r>
        <w:rPr>
          <w:rFonts w:hint="eastAsia" w:ascii="宋体" w:hAnsi="宋体"/>
          <w:color w:val="auto"/>
          <w:sz w:val="36"/>
          <w:szCs w:val="36"/>
          <w:highlight w:val="none"/>
          <w:u w:val="single"/>
        </w:rPr>
        <w:t>（加盖单位公章）</w:t>
      </w:r>
    </w:p>
    <w:p>
      <w:pPr>
        <w:pStyle w:val="24"/>
        <w:ind w:left="101" w:leftChars="48" w:firstLine="1920" w:firstLineChars="800"/>
        <w:jc w:val="left"/>
        <w:rPr>
          <w:rFonts w:hAnsi="宋体"/>
          <w:color w:val="auto"/>
          <w:kern w:val="2"/>
          <w:szCs w:val="28"/>
          <w:highlight w:val="none"/>
          <w:u w:val="single"/>
        </w:rPr>
      </w:pPr>
    </w:p>
    <w:p>
      <w:pPr>
        <w:spacing w:line="360" w:lineRule="auto"/>
        <w:jc w:val="center"/>
        <w:rPr>
          <w:rFonts w:ascii="宋体" w:hAnsi="宋体"/>
          <w:color w:val="auto"/>
          <w:sz w:val="36"/>
          <w:szCs w:val="36"/>
          <w:highlight w:val="none"/>
        </w:rPr>
      </w:pPr>
      <w:r>
        <w:rPr>
          <w:rFonts w:hint="eastAsia" w:ascii="宋体" w:hAnsi="宋体"/>
          <w:color w:val="auto"/>
          <w:sz w:val="36"/>
          <w:szCs w:val="36"/>
          <w:highlight w:val="none"/>
        </w:rPr>
        <w:t>年</w:t>
      </w:r>
      <w:r>
        <w:rPr>
          <w:rFonts w:ascii="宋体" w:hAnsi="宋体"/>
          <w:color w:val="auto"/>
          <w:sz w:val="36"/>
          <w:szCs w:val="36"/>
          <w:highlight w:val="none"/>
        </w:rPr>
        <w:t xml:space="preserve">  </w:t>
      </w:r>
      <w:r>
        <w:rPr>
          <w:rFonts w:hint="eastAsia" w:ascii="宋体" w:hAnsi="宋体"/>
          <w:color w:val="auto"/>
          <w:sz w:val="36"/>
          <w:szCs w:val="36"/>
          <w:highlight w:val="none"/>
        </w:rPr>
        <w:t>月</w:t>
      </w:r>
      <w:r>
        <w:rPr>
          <w:rFonts w:ascii="宋体" w:hAnsi="宋体"/>
          <w:color w:val="auto"/>
          <w:sz w:val="36"/>
          <w:szCs w:val="36"/>
          <w:highlight w:val="none"/>
        </w:rPr>
        <w:t xml:space="preserve">  </w:t>
      </w:r>
      <w:r>
        <w:rPr>
          <w:rFonts w:hint="eastAsia" w:ascii="宋体" w:hAnsi="宋体"/>
          <w:color w:val="auto"/>
          <w:sz w:val="36"/>
          <w:szCs w:val="36"/>
          <w:highlight w:val="none"/>
        </w:rPr>
        <w:t>日</w:t>
      </w:r>
    </w:p>
    <w:p>
      <w:pPr>
        <w:spacing w:line="360" w:lineRule="auto"/>
        <w:rPr>
          <w:rStyle w:val="104"/>
          <w:rFonts w:ascii="宋体" w:hAnsi="宋体"/>
          <w:color w:val="auto"/>
          <w:sz w:val="21"/>
          <w:szCs w:val="21"/>
          <w:highlight w:val="none"/>
        </w:rPr>
      </w:pPr>
      <w:r>
        <w:rPr>
          <w:rStyle w:val="104"/>
          <w:rFonts w:ascii="宋体" w:hAnsi="宋体"/>
          <w:color w:val="auto"/>
          <w:sz w:val="21"/>
          <w:szCs w:val="21"/>
          <w:highlight w:val="none"/>
        </w:rPr>
        <w:br w:type="page"/>
      </w:r>
    </w:p>
    <w:p>
      <w:pPr>
        <w:spacing w:line="360" w:lineRule="auto"/>
        <w:jc w:val="both"/>
        <w:rPr>
          <w:rStyle w:val="104"/>
          <w:rFonts w:hint="eastAsia" w:ascii="宋体" w:hAnsi="宋体"/>
          <w:color w:val="auto"/>
          <w:sz w:val="21"/>
          <w:szCs w:val="21"/>
          <w:highlight w:val="none"/>
        </w:rPr>
      </w:pPr>
      <w:r>
        <w:rPr>
          <w:rStyle w:val="104"/>
          <w:rFonts w:hint="eastAsia" w:ascii="宋体" w:hAnsi="宋体"/>
          <w:color w:val="auto"/>
          <w:sz w:val="21"/>
          <w:szCs w:val="21"/>
          <w:highlight w:val="none"/>
        </w:rPr>
        <w:t>附件一</w:t>
      </w:r>
    </w:p>
    <w:p>
      <w:pPr>
        <w:spacing w:line="360" w:lineRule="auto"/>
        <w:jc w:val="center"/>
        <w:rPr>
          <w:rFonts w:ascii="宋体" w:hAnsi="宋体"/>
          <w:color w:val="auto"/>
          <w:szCs w:val="21"/>
          <w:highlight w:val="none"/>
        </w:rPr>
      </w:pPr>
      <w:r>
        <w:rPr>
          <w:rStyle w:val="104"/>
          <w:rFonts w:hint="eastAsia" w:ascii="宋体" w:hAnsi="宋体"/>
          <w:color w:val="auto"/>
          <w:sz w:val="21"/>
          <w:szCs w:val="21"/>
          <w:highlight w:val="none"/>
        </w:rPr>
        <w:t>关于资格的承诺函</w:t>
      </w:r>
    </w:p>
    <w:p>
      <w:pPr>
        <w:spacing w:line="400" w:lineRule="exact"/>
        <w:rPr>
          <w:rFonts w:ascii="宋体" w:hAnsi="宋体"/>
          <w:b/>
          <w:color w:val="auto"/>
          <w:szCs w:val="21"/>
          <w:highlight w:val="none"/>
        </w:rPr>
      </w:pPr>
      <w:r>
        <w:rPr>
          <w:rFonts w:hint="eastAsia" w:ascii="宋体" w:hAnsi="宋体"/>
          <w:color w:val="auto"/>
          <w:szCs w:val="21"/>
          <w:highlight w:val="none"/>
        </w:rPr>
        <w:t>致：采购人</w:t>
      </w:r>
    </w:p>
    <w:p>
      <w:pPr>
        <w:spacing w:line="400" w:lineRule="exact"/>
        <w:ind w:firstLine="420" w:firstLineChars="200"/>
        <w:rPr>
          <w:rFonts w:ascii="宋体" w:hAnsi="宋体"/>
          <w:color w:val="auto"/>
          <w:szCs w:val="21"/>
          <w:highlight w:val="none"/>
        </w:rPr>
      </w:pPr>
      <w:r>
        <w:rPr>
          <w:rFonts w:hint="eastAsia" w:ascii="宋体" w:hAnsi="宋体"/>
          <w:bCs/>
          <w:color w:val="auto"/>
          <w:szCs w:val="21"/>
          <w:highlight w:val="none"/>
        </w:rPr>
        <w:t>我单位承诺：</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我单位满足《中华人民共和国政府采购法》第二十二条 供应商参加政府采购活动应当具备的下列条件：</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（一）具有独立承担民事责任的能力；</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（二）具有良好的商业信誉和健全的财务会计制度；</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（三）具有履行合同所必需的设备和专业技术能力；</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（四）有依法缴纳税收和社会保障资金的良好记录；</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（五）参加政府采购活动前三年内，在经营活动中没有重大违法记录；</w:t>
      </w:r>
    </w:p>
    <w:p>
      <w:pPr>
        <w:spacing w:line="400" w:lineRule="exact"/>
        <w:ind w:firstLine="420" w:firstLineChars="200"/>
        <w:rPr>
          <w:rFonts w:ascii="宋体" w:hAnsi="宋体"/>
          <w:b/>
          <w:color w:val="auto"/>
          <w:szCs w:val="21"/>
          <w:highlight w:val="none"/>
        </w:rPr>
      </w:pPr>
      <w:r>
        <w:rPr>
          <w:rFonts w:hint="eastAsia" w:ascii="宋体" w:hAnsi="宋体"/>
          <w:color w:val="auto"/>
          <w:szCs w:val="21"/>
          <w:highlight w:val="none"/>
        </w:rPr>
        <w:t>（六）法律、行政法规规定的其他条件。</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特此承诺。</w:t>
      </w:r>
    </w:p>
    <w:p>
      <w:pPr>
        <w:pStyle w:val="40"/>
        <w:spacing w:before="0" w:beforeAutospacing="0" w:after="0" w:afterAutospacing="0" w:line="400" w:lineRule="exact"/>
        <w:ind w:right="159" w:firstLine="660"/>
        <w:jc w:val="both"/>
        <w:rPr>
          <w:bCs/>
          <w:color w:val="auto"/>
          <w:sz w:val="21"/>
          <w:szCs w:val="21"/>
          <w:highlight w:val="none"/>
        </w:rPr>
      </w:pPr>
    </w:p>
    <w:p>
      <w:pPr>
        <w:pStyle w:val="40"/>
        <w:spacing w:before="0" w:beforeAutospacing="0" w:after="0" w:afterAutospacing="0" w:line="400" w:lineRule="exact"/>
        <w:ind w:right="159" w:firstLine="660"/>
        <w:jc w:val="both"/>
        <w:rPr>
          <w:bCs/>
          <w:color w:val="auto"/>
          <w:sz w:val="21"/>
          <w:szCs w:val="21"/>
          <w:highlight w:val="none"/>
        </w:rPr>
      </w:pPr>
    </w:p>
    <w:p>
      <w:pPr>
        <w:spacing w:line="400" w:lineRule="exact"/>
        <w:ind w:firstLine="420" w:firstLineChars="200"/>
        <w:rPr>
          <w:rFonts w:ascii="宋体" w:hAnsi="宋体"/>
          <w:color w:val="auto"/>
          <w:szCs w:val="21"/>
          <w:highlight w:val="none"/>
        </w:rPr>
      </w:pPr>
      <w:r>
        <w:rPr>
          <w:rFonts w:hint="eastAsia" w:ascii="宋体" w:hAnsi="宋体"/>
          <w:bCs/>
          <w:color w:val="auto"/>
          <w:szCs w:val="21"/>
          <w:highlight w:val="none"/>
        </w:rPr>
        <w:t>注：政府采购法所称重大违法记录：是指供应商因违法经营受到刑事处罚或者责令停产停业、吊销许可证或者执照、较大数额罚款等行政处罚。</w:t>
      </w:r>
    </w:p>
    <w:p>
      <w:pPr>
        <w:pStyle w:val="40"/>
        <w:spacing w:before="0" w:beforeAutospacing="0" w:after="0" w:afterAutospacing="0" w:line="400" w:lineRule="exact"/>
        <w:ind w:right="159" w:firstLine="660"/>
        <w:jc w:val="both"/>
        <w:rPr>
          <w:bCs/>
          <w:color w:val="auto"/>
          <w:sz w:val="21"/>
          <w:szCs w:val="21"/>
          <w:highlight w:val="none"/>
        </w:rPr>
      </w:pPr>
    </w:p>
    <w:p>
      <w:pPr>
        <w:pStyle w:val="40"/>
        <w:spacing w:before="0" w:beforeAutospacing="0" w:after="0" w:afterAutospacing="0" w:line="400" w:lineRule="exact"/>
        <w:ind w:right="159" w:firstLine="660"/>
        <w:jc w:val="both"/>
        <w:rPr>
          <w:bCs/>
          <w:color w:val="auto"/>
          <w:sz w:val="21"/>
          <w:szCs w:val="21"/>
          <w:highlight w:val="none"/>
        </w:rPr>
      </w:pPr>
    </w:p>
    <w:p>
      <w:pPr>
        <w:spacing w:line="400" w:lineRule="exact"/>
        <w:rPr>
          <w:rFonts w:ascii="宋体" w:hAnsi="宋体"/>
          <w:b/>
          <w:color w:val="auto"/>
          <w:kern w:val="0"/>
          <w:szCs w:val="21"/>
          <w:highlight w:val="none"/>
        </w:rPr>
      </w:pPr>
    </w:p>
    <w:p>
      <w:pPr>
        <w:spacing w:line="400" w:lineRule="exact"/>
        <w:rPr>
          <w:rFonts w:ascii="宋体" w:hAnsi="宋体"/>
          <w:b/>
          <w:color w:val="auto"/>
          <w:kern w:val="0"/>
          <w:szCs w:val="21"/>
          <w:highlight w:val="none"/>
        </w:rPr>
      </w:pPr>
    </w:p>
    <w:p>
      <w:pPr>
        <w:spacing w:line="400" w:lineRule="exact"/>
        <w:rPr>
          <w:rFonts w:ascii="宋体" w:hAnsi="宋体"/>
          <w:color w:val="auto"/>
          <w:kern w:val="0"/>
          <w:szCs w:val="21"/>
          <w:highlight w:val="none"/>
        </w:rPr>
      </w:pPr>
    </w:p>
    <w:p>
      <w:pPr>
        <w:spacing w:line="400" w:lineRule="exact"/>
        <w:rPr>
          <w:rFonts w:ascii="宋体" w:hAnsi="宋体"/>
          <w:color w:val="auto"/>
          <w:kern w:val="0"/>
          <w:szCs w:val="21"/>
          <w:highlight w:val="none"/>
        </w:rPr>
      </w:pPr>
    </w:p>
    <w:p>
      <w:pPr>
        <w:spacing w:line="400" w:lineRule="exact"/>
        <w:jc w:val="left"/>
        <w:rPr>
          <w:rFonts w:ascii="宋体" w:hAnsi="宋体"/>
          <w:color w:val="auto"/>
          <w:szCs w:val="21"/>
          <w:highlight w:val="none"/>
        </w:rPr>
      </w:pPr>
      <w:r>
        <w:rPr>
          <w:rFonts w:hint="eastAsia" w:ascii="宋体" w:hAnsi="宋体"/>
          <w:color w:val="auto"/>
          <w:szCs w:val="21"/>
          <w:highlight w:val="none"/>
        </w:rPr>
        <w:t>供应商（盖章）：</w:t>
      </w:r>
      <w:r>
        <w:rPr>
          <w:rFonts w:ascii="宋体" w:hAnsi="宋体"/>
          <w:color w:val="auto"/>
          <w:szCs w:val="21"/>
          <w:highlight w:val="none"/>
          <w:u w:val="single"/>
        </w:rPr>
        <w:t xml:space="preserve">                                </w:t>
      </w:r>
      <w:r>
        <w:rPr>
          <w:rFonts w:ascii="宋体" w:hAnsi="宋体"/>
          <w:color w:val="auto"/>
          <w:szCs w:val="21"/>
          <w:highlight w:val="none"/>
        </w:rPr>
        <w:t xml:space="preserve">          </w:t>
      </w:r>
    </w:p>
    <w:p>
      <w:pPr>
        <w:spacing w:line="400" w:lineRule="exact"/>
        <w:rPr>
          <w:rFonts w:ascii="宋体" w:hAnsi="宋体"/>
          <w:b/>
          <w:color w:val="auto"/>
          <w:szCs w:val="21"/>
          <w:highlight w:val="none"/>
        </w:rPr>
      </w:pPr>
      <w:r>
        <w:rPr>
          <w:rFonts w:hint="eastAsia" w:ascii="宋体" w:hAnsi="宋体"/>
          <w:color w:val="auto"/>
          <w:szCs w:val="21"/>
          <w:highlight w:val="none"/>
        </w:rPr>
        <w:t>日</w:t>
      </w:r>
      <w:r>
        <w:rPr>
          <w:rFonts w:ascii="宋体" w:hAnsi="宋体"/>
          <w:color w:val="auto"/>
          <w:szCs w:val="21"/>
          <w:highlight w:val="none"/>
        </w:rPr>
        <w:t xml:space="preserve">          </w:t>
      </w:r>
      <w:r>
        <w:rPr>
          <w:rFonts w:hint="eastAsia" w:ascii="宋体" w:hAnsi="宋体"/>
          <w:color w:val="auto"/>
          <w:szCs w:val="21"/>
          <w:highlight w:val="none"/>
        </w:rPr>
        <w:t>期：</w:t>
      </w:r>
      <w:r>
        <w:rPr>
          <w:rFonts w:ascii="宋体" w:hAnsi="宋体"/>
          <w:color w:val="auto"/>
          <w:szCs w:val="21"/>
          <w:highlight w:val="none"/>
          <w:u w:val="single"/>
        </w:rPr>
        <w:t xml:space="preserve">                                </w:t>
      </w:r>
    </w:p>
    <w:p>
      <w:pPr>
        <w:spacing w:line="400" w:lineRule="exact"/>
        <w:jc w:val="center"/>
        <w:rPr>
          <w:rFonts w:ascii="宋体" w:hAnsi="宋体"/>
          <w:b/>
          <w:color w:val="auto"/>
          <w:szCs w:val="21"/>
          <w:highlight w:val="none"/>
        </w:rPr>
      </w:pPr>
    </w:p>
    <w:p>
      <w:pPr>
        <w:spacing w:line="588" w:lineRule="exact"/>
        <w:rPr>
          <w:rStyle w:val="104"/>
          <w:rFonts w:ascii="宋体" w:hAnsi="宋体"/>
          <w:color w:val="auto"/>
          <w:sz w:val="21"/>
          <w:szCs w:val="21"/>
          <w:highlight w:val="none"/>
        </w:rPr>
      </w:pPr>
      <w:r>
        <w:rPr>
          <w:rStyle w:val="104"/>
          <w:rFonts w:ascii="宋体" w:hAnsi="宋体"/>
          <w:color w:val="auto"/>
          <w:sz w:val="21"/>
          <w:szCs w:val="21"/>
          <w:highlight w:val="none"/>
        </w:rPr>
        <w:br w:type="page"/>
      </w:r>
    </w:p>
    <w:p>
      <w:pPr>
        <w:spacing w:line="400" w:lineRule="exact"/>
        <w:ind w:firstLine="414" w:firstLineChars="200"/>
        <w:jc w:val="left"/>
        <w:rPr>
          <w:rStyle w:val="104"/>
          <w:rFonts w:ascii="宋体" w:hAnsi="宋体"/>
          <w:color w:val="auto"/>
          <w:sz w:val="21"/>
          <w:szCs w:val="21"/>
          <w:highlight w:val="none"/>
        </w:rPr>
      </w:pPr>
    </w:p>
    <w:p>
      <w:pPr>
        <w:spacing w:line="400" w:lineRule="exact"/>
        <w:jc w:val="left"/>
        <w:rPr>
          <w:rStyle w:val="104"/>
          <w:rFonts w:ascii="宋体" w:hAnsi="宋体"/>
          <w:color w:val="auto"/>
          <w:sz w:val="28"/>
          <w:szCs w:val="28"/>
          <w:highlight w:val="none"/>
        </w:rPr>
      </w:pPr>
    </w:p>
    <w:p>
      <w:pPr>
        <w:autoSpaceDE w:val="0"/>
        <w:autoSpaceDN w:val="0"/>
        <w:adjustRightInd w:val="0"/>
        <w:spacing w:beforeLines="100" w:line="400" w:lineRule="exact"/>
        <w:jc w:val="center"/>
        <w:outlineLvl w:val="0"/>
        <w:rPr>
          <w:rStyle w:val="104"/>
          <w:rFonts w:ascii="宋体" w:hAnsi="宋体"/>
          <w:color w:val="auto"/>
          <w:sz w:val="32"/>
          <w:szCs w:val="32"/>
          <w:highlight w:val="none"/>
        </w:rPr>
      </w:pPr>
      <w:bookmarkStart w:id="56" w:name="_Toc21541026"/>
      <w:bookmarkStart w:id="57" w:name="_Toc65915715"/>
      <w:r>
        <w:rPr>
          <w:rStyle w:val="104"/>
          <w:rFonts w:ascii="宋体" w:hAnsi="宋体"/>
          <w:color w:val="auto"/>
          <w:sz w:val="32"/>
          <w:szCs w:val="32"/>
          <w:highlight w:val="none"/>
        </w:rPr>
        <w:t>B.</w:t>
      </w:r>
      <w:r>
        <w:rPr>
          <w:rStyle w:val="104"/>
          <w:rFonts w:hint="eastAsia" w:ascii="宋体" w:hAnsi="宋体"/>
          <w:color w:val="auto"/>
          <w:sz w:val="32"/>
          <w:szCs w:val="32"/>
          <w:highlight w:val="none"/>
        </w:rPr>
        <w:t>商务和技术文件</w:t>
      </w:r>
      <w:bookmarkEnd w:id="56"/>
      <w:bookmarkEnd w:id="57"/>
    </w:p>
    <w:p>
      <w:pPr>
        <w:autoSpaceDE w:val="0"/>
        <w:autoSpaceDN w:val="0"/>
        <w:adjustRightInd w:val="0"/>
        <w:spacing w:line="420" w:lineRule="exact"/>
        <w:rPr>
          <w:rStyle w:val="104"/>
          <w:rFonts w:ascii="宋体" w:hAnsi="宋体"/>
          <w:b w:val="0"/>
          <w:color w:val="auto"/>
          <w:highlight w:val="none"/>
          <w:lang w:val="zh-CN"/>
        </w:rPr>
      </w:pPr>
      <w:r>
        <w:rPr>
          <w:rStyle w:val="104"/>
          <w:rFonts w:ascii="宋体" w:hAnsi="宋体"/>
          <w:color w:val="auto"/>
          <w:sz w:val="32"/>
          <w:szCs w:val="32"/>
          <w:highlight w:val="none"/>
        </w:rPr>
        <w:br w:type="page"/>
      </w:r>
      <w:r>
        <w:rPr>
          <w:rStyle w:val="104"/>
          <w:rFonts w:hint="eastAsia" w:ascii="宋体" w:hAnsi="宋体"/>
          <w:color w:val="auto"/>
          <w:sz w:val="21"/>
          <w:szCs w:val="21"/>
          <w:highlight w:val="none"/>
        </w:rPr>
        <w:t>封面</w:t>
      </w:r>
    </w:p>
    <w:p>
      <w:pPr>
        <w:spacing w:line="360" w:lineRule="auto"/>
        <w:ind w:firstLine="1285" w:firstLineChars="400"/>
        <w:jc w:val="right"/>
        <w:rPr>
          <w:rFonts w:ascii="宋体" w:hAnsi="宋体"/>
          <w:b/>
          <w:color w:val="auto"/>
          <w:sz w:val="32"/>
          <w:szCs w:val="32"/>
          <w:highlight w:val="none"/>
        </w:rPr>
      </w:pPr>
    </w:p>
    <w:p>
      <w:pPr>
        <w:spacing w:line="360" w:lineRule="auto"/>
        <w:rPr>
          <w:rFonts w:ascii="宋体" w:hAnsi="宋体"/>
          <w:color w:val="auto"/>
          <w:sz w:val="28"/>
          <w:szCs w:val="28"/>
          <w:highlight w:val="none"/>
        </w:rPr>
      </w:pPr>
    </w:p>
    <w:p>
      <w:pPr>
        <w:spacing w:line="360" w:lineRule="auto"/>
        <w:jc w:val="center"/>
        <w:rPr>
          <w:rFonts w:hint="eastAsia" w:ascii="宋体" w:hAnsi="宋体" w:eastAsia="宋体"/>
          <w:color w:val="auto"/>
          <w:sz w:val="40"/>
          <w:szCs w:val="52"/>
          <w:highlight w:val="none"/>
          <w:u w:val="single"/>
          <w:lang w:eastAsia="zh-CN"/>
        </w:rPr>
      </w:pPr>
      <w:r>
        <w:rPr>
          <w:rFonts w:hint="eastAsia" w:ascii="宋体" w:hAnsi="宋体"/>
          <w:b/>
          <w:color w:val="auto"/>
          <w:sz w:val="40"/>
          <w:szCs w:val="52"/>
          <w:highlight w:val="none"/>
          <w:lang w:eastAsia="zh-CN"/>
        </w:rPr>
        <w:t>温州医科大学慈溪生物医药研究院三维皮肤气液交换培养生物反应器采购项目</w:t>
      </w:r>
    </w:p>
    <w:p>
      <w:pPr>
        <w:spacing w:line="360" w:lineRule="auto"/>
        <w:jc w:val="center"/>
        <w:rPr>
          <w:rFonts w:hint="eastAsia" w:ascii="宋体" w:hAnsi="宋体" w:eastAsia="宋体"/>
          <w:color w:val="auto"/>
          <w:sz w:val="36"/>
          <w:szCs w:val="36"/>
          <w:highlight w:val="none"/>
          <w:u w:val="single"/>
          <w:lang w:eastAsia="zh-CN"/>
        </w:rPr>
      </w:pPr>
      <w:r>
        <w:rPr>
          <w:rFonts w:hint="eastAsia" w:ascii="宋体" w:hAnsi="宋体"/>
          <w:color w:val="auto"/>
          <w:sz w:val="36"/>
          <w:szCs w:val="36"/>
          <w:highlight w:val="none"/>
          <w:u w:val="single"/>
        </w:rPr>
        <w:t>项目编号：330282202311009365</w:t>
      </w:r>
      <w:r>
        <w:rPr>
          <w:rFonts w:hint="eastAsia" w:ascii="宋体" w:hAnsi="宋体"/>
          <w:color w:val="auto"/>
          <w:sz w:val="36"/>
          <w:szCs w:val="36"/>
          <w:highlight w:val="none"/>
          <w:u w:val="single"/>
          <w:lang w:val="en-US" w:eastAsia="zh-CN"/>
        </w:rPr>
        <w:t xml:space="preserve"> </w:t>
      </w:r>
    </w:p>
    <w:p>
      <w:pPr>
        <w:spacing w:line="360" w:lineRule="auto"/>
        <w:ind w:firstLine="2340" w:firstLineChars="650"/>
        <w:rPr>
          <w:rFonts w:ascii="宋体" w:hAnsi="宋体"/>
          <w:color w:val="auto"/>
          <w:sz w:val="36"/>
          <w:szCs w:val="36"/>
          <w:highlight w:val="none"/>
        </w:rPr>
      </w:pPr>
    </w:p>
    <w:p>
      <w:pPr>
        <w:rPr>
          <w:rFonts w:ascii="宋体" w:hAnsi="宋体"/>
          <w:color w:val="auto"/>
          <w:sz w:val="28"/>
          <w:szCs w:val="28"/>
          <w:highlight w:val="none"/>
        </w:rPr>
      </w:pPr>
    </w:p>
    <w:p>
      <w:pPr>
        <w:spacing w:line="360" w:lineRule="auto"/>
        <w:jc w:val="center"/>
        <w:rPr>
          <w:rFonts w:ascii="宋体" w:hAnsi="宋体"/>
          <w:color w:val="auto"/>
          <w:sz w:val="36"/>
          <w:szCs w:val="36"/>
          <w:highlight w:val="none"/>
        </w:rPr>
      </w:pPr>
      <w:r>
        <w:rPr>
          <w:rFonts w:hint="eastAsia" w:ascii="宋体" w:hAnsi="宋体"/>
          <w:color w:val="auto"/>
          <w:sz w:val="36"/>
          <w:szCs w:val="36"/>
          <w:highlight w:val="none"/>
        </w:rPr>
        <w:t>（商务和技术文件）</w:t>
      </w:r>
    </w:p>
    <w:p>
      <w:pPr>
        <w:jc w:val="center"/>
        <w:rPr>
          <w:rFonts w:ascii="宋体" w:hAnsi="宋体"/>
          <w:color w:val="auto"/>
          <w:sz w:val="28"/>
          <w:szCs w:val="28"/>
          <w:highlight w:val="none"/>
        </w:rPr>
      </w:pPr>
    </w:p>
    <w:p>
      <w:pPr>
        <w:spacing w:line="360" w:lineRule="auto"/>
        <w:jc w:val="center"/>
        <w:rPr>
          <w:rFonts w:ascii="宋体" w:hAnsi="宋体"/>
          <w:b/>
          <w:color w:val="auto"/>
          <w:sz w:val="72"/>
          <w:szCs w:val="72"/>
          <w:highlight w:val="none"/>
        </w:rPr>
      </w:pPr>
    </w:p>
    <w:p>
      <w:pPr>
        <w:spacing w:line="360" w:lineRule="auto"/>
        <w:jc w:val="center"/>
        <w:rPr>
          <w:rFonts w:ascii="宋体" w:hAnsi="宋体"/>
          <w:b/>
          <w:color w:val="auto"/>
          <w:sz w:val="72"/>
          <w:szCs w:val="72"/>
          <w:highlight w:val="none"/>
        </w:rPr>
      </w:pPr>
      <w:r>
        <w:rPr>
          <w:rFonts w:hint="eastAsia" w:ascii="宋体" w:hAnsi="宋体"/>
          <w:b/>
          <w:color w:val="auto"/>
          <w:sz w:val="72"/>
          <w:szCs w:val="72"/>
          <w:highlight w:val="none"/>
        </w:rPr>
        <w:t>投标文件</w:t>
      </w:r>
    </w:p>
    <w:p>
      <w:pPr>
        <w:spacing w:line="360" w:lineRule="auto"/>
        <w:jc w:val="center"/>
        <w:rPr>
          <w:rFonts w:ascii="宋体" w:hAnsi="宋体"/>
          <w:color w:val="auto"/>
          <w:sz w:val="36"/>
          <w:szCs w:val="36"/>
          <w:highlight w:val="none"/>
        </w:rPr>
      </w:pPr>
    </w:p>
    <w:p>
      <w:pPr>
        <w:spacing w:line="360" w:lineRule="auto"/>
        <w:jc w:val="center"/>
        <w:rPr>
          <w:rFonts w:ascii="宋体" w:hAnsi="宋体"/>
          <w:color w:val="auto"/>
          <w:sz w:val="36"/>
          <w:szCs w:val="36"/>
          <w:highlight w:val="none"/>
        </w:rPr>
      </w:pPr>
    </w:p>
    <w:p>
      <w:pPr>
        <w:spacing w:line="360" w:lineRule="auto"/>
        <w:jc w:val="center"/>
        <w:rPr>
          <w:rFonts w:ascii="宋体" w:hAnsi="宋体"/>
          <w:color w:val="auto"/>
          <w:sz w:val="36"/>
          <w:szCs w:val="36"/>
          <w:highlight w:val="none"/>
        </w:rPr>
      </w:pPr>
    </w:p>
    <w:p>
      <w:pPr>
        <w:spacing w:line="360" w:lineRule="auto"/>
        <w:jc w:val="center"/>
        <w:rPr>
          <w:rFonts w:ascii="宋体" w:hAnsi="宋体"/>
          <w:color w:val="auto"/>
          <w:sz w:val="36"/>
          <w:szCs w:val="36"/>
          <w:highlight w:val="none"/>
        </w:rPr>
      </w:pPr>
    </w:p>
    <w:p>
      <w:pPr>
        <w:spacing w:line="360" w:lineRule="auto"/>
        <w:jc w:val="center"/>
        <w:rPr>
          <w:rFonts w:ascii="宋体" w:hAnsi="宋体"/>
          <w:color w:val="auto"/>
          <w:sz w:val="36"/>
          <w:szCs w:val="36"/>
          <w:highlight w:val="none"/>
          <w:u w:val="single"/>
        </w:rPr>
      </w:pPr>
      <w:r>
        <w:rPr>
          <w:rFonts w:hint="eastAsia" w:ascii="宋体" w:hAnsi="宋体"/>
          <w:color w:val="auto"/>
          <w:sz w:val="36"/>
          <w:szCs w:val="36"/>
          <w:highlight w:val="none"/>
        </w:rPr>
        <w:t>供应商全称：</w:t>
      </w:r>
      <w:r>
        <w:rPr>
          <w:rFonts w:hint="eastAsia" w:ascii="宋体" w:hAnsi="宋体"/>
          <w:color w:val="auto"/>
          <w:sz w:val="36"/>
          <w:szCs w:val="36"/>
          <w:highlight w:val="none"/>
          <w:u w:val="single"/>
        </w:rPr>
        <w:t>（加盖单位公章）</w:t>
      </w:r>
    </w:p>
    <w:p>
      <w:pPr>
        <w:pStyle w:val="24"/>
        <w:ind w:left="101" w:leftChars="48" w:firstLine="1920" w:firstLineChars="800"/>
        <w:jc w:val="left"/>
        <w:rPr>
          <w:rFonts w:hAnsi="宋体"/>
          <w:color w:val="auto"/>
          <w:kern w:val="2"/>
          <w:szCs w:val="28"/>
          <w:highlight w:val="none"/>
          <w:u w:val="single"/>
        </w:rPr>
      </w:pPr>
    </w:p>
    <w:p>
      <w:pPr>
        <w:autoSpaceDE w:val="0"/>
        <w:autoSpaceDN w:val="0"/>
        <w:adjustRightInd w:val="0"/>
        <w:spacing w:line="400" w:lineRule="exact"/>
        <w:jc w:val="center"/>
        <w:outlineLvl w:val="0"/>
        <w:rPr>
          <w:rStyle w:val="104"/>
          <w:rFonts w:ascii="宋体" w:hAnsi="宋体"/>
          <w:color w:val="auto"/>
          <w:sz w:val="28"/>
          <w:szCs w:val="28"/>
          <w:highlight w:val="none"/>
        </w:rPr>
      </w:pPr>
      <w:bookmarkStart w:id="58" w:name="_Toc21541027"/>
      <w:bookmarkStart w:id="59" w:name="_Toc65915716"/>
      <w:r>
        <w:rPr>
          <w:rFonts w:hint="eastAsia" w:ascii="宋体" w:hAnsi="宋体"/>
          <w:color w:val="auto"/>
          <w:sz w:val="36"/>
          <w:szCs w:val="36"/>
          <w:highlight w:val="none"/>
        </w:rPr>
        <w:t>年</w:t>
      </w:r>
      <w:r>
        <w:rPr>
          <w:rFonts w:ascii="宋体" w:hAnsi="宋体"/>
          <w:color w:val="auto"/>
          <w:sz w:val="36"/>
          <w:szCs w:val="36"/>
          <w:highlight w:val="none"/>
        </w:rPr>
        <w:t xml:space="preserve">  </w:t>
      </w:r>
      <w:r>
        <w:rPr>
          <w:rFonts w:hint="eastAsia" w:ascii="宋体" w:hAnsi="宋体"/>
          <w:color w:val="auto"/>
          <w:sz w:val="36"/>
          <w:szCs w:val="36"/>
          <w:highlight w:val="none"/>
        </w:rPr>
        <w:t>月</w:t>
      </w:r>
      <w:r>
        <w:rPr>
          <w:rFonts w:ascii="宋体" w:hAnsi="宋体"/>
          <w:color w:val="auto"/>
          <w:sz w:val="36"/>
          <w:szCs w:val="36"/>
          <w:highlight w:val="none"/>
        </w:rPr>
        <w:t xml:space="preserve">  </w:t>
      </w:r>
      <w:r>
        <w:rPr>
          <w:rFonts w:hint="eastAsia" w:ascii="宋体" w:hAnsi="宋体"/>
          <w:color w:val="auto"/>
          <w:sz w:val="36"/>
          <w:szCs w:val="36"/>
          <w:highlight w:val="none"/>
        </w:rPr>
        <w:t>日</w:t>
      </w:r>
      <w:bookmarkEnd w:id="58"/>
      <w:bookmarkEnd w:id="59"/>
    </w:p>
    <w:p>
      <w:pPr>
        <w:spacing w:line="360" w:lineRule="auto"/>
        <w:ind w:firstLine="4200" w:firstLineChars="2000"/>
        <w:jc w:val="left"/>
        <w:rPr>
          <w:rFonts w:ascii="宋体" w:hAnsi="宋体"/>
          <w:color w:val="auto"/>
          <w:szCs w:val="21"/>
          <w:highlight w:val="none"/>
        </w:rPr>
      </w:pPr>
    </w:p>
    <w:p>
      <w:pPr>
        <w:spacing w:line="360" w:lineRule="auto"/>
        <w:jc w:val="both"/>
        <w:rPr>
          <w:rFonts w:hint="eastAsia" w:ascii="宋体" w:hAnsi="宋体"/>
          <w:b/>
          <w:color w:val="auto"/>
          <w:szCs w:val="21"/>
          <w:highlight w:val="none"/>
          <w:lang w:eastAsia="zh-CN"/>
        </w:rPr>
      </w:pPr>
      <w:r>
        <w:rPr>
          <w:rStyle w:val="104"/>
          <w:rFonts w:ascii="宋体" w:hAnsi="宋体"/>
          <w:color w:val="auto"/>
          <w:sz w:val="21"/>
          <w:szCs w:val="21"/>
          <w:highlight w:val="none"/>
        </w:rPr>
        <w:br w:type="page"/>
      </w:r>
      <w:r>
        <w:rPr>
          <w:rFonts w:hint="eastAsia" w:ascii="宋体" w:hAnsi="宋体"/>
          <w:b/>
          <w:color w:val="auto"/>
          <w:szCs w:val="21"/>
          <w:highlight w:val="none"/>
          <w:lang w:eastAsia="zh-CN"/>
        </w:rPr>
        <w:t>附件二</w:t>
      </w:r>
    </w:p>
    <w:p>
      <w:pPr>
        <w:spacing w:line="360" w:lineRule="auto"/>
        <w:jc w:val="center"/>
        <w:rPr>
          <w:rFonts w:ascii="宋体" w:hAnsi="宋体"/>
          <w:b/>
          <w:color w:val="auto"/>
          <w:szCs w:val="21"/>
          <w:highlight w:val="none"/>
        </w:rPr>
      </w:pPr>
      <w:r>
        <w:rPr>
          <w:rFonts w:hint="eastAsia" w:ascii="宋体" w:hAnsi="宋体"/>
          <w:b/>
          <w:color w:val="auto"/>
          <w:szCs w:val="21"/>
          <w:highlight w:val="none"/>
        </w:rPr>
        <w:t>投标书</w:t>
      </w:r>
    </w:p>
    <w:p>
      <w:pPr>
        <w:spacing w:line="400" w:lineRule="exact"/>
        <w:rPr>
          <w:rFonts w:hint="eastAsia" w:ascii="宋体" w:hAnsi="宋体" w:eastAsia="宋体"/>
          <w:color w:val="auto"/>
          <w:szCs w:val="21"/>
          <w:highlight w:val="none"/>
          <w:lang w:eastAsia="zh-CN"/>
        </w:rPr>
      </w:pPr>
      <w:r>
        <w:rPr>
          <w:rFonts w:hint="eastAsia" w:ascii="宋体" w:hAnsi="宋体"/>
          <w:color w:val="auto"/>
          <w:szCs w:val="21"/>
          <w:highlight w:val="none"/>
        </w:rPr>
        <w:t>致：</w:t>
      </w:r>
      <w:r>
        <w:rPr>
          <w:rFonts w:hint="eastAsia" w:ascii="宋体" w:hAnsi="宋体"/>
          <w:color w:val="auto"/>
          <w:szCs w:val="21"/>
          <w:highlight w:val="none"/>
          <w:lang w:eastAsia="zh-CN"/>
        </w:rPr>
        <w:t>慈溪市基建审计事务所</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u w:val="single"/>
        </w:rPr>
        <w:t>（供应商全称）　</w:t>
      </w:r>
      <w:r>
        <w:rPr>
          <w:rFonts w:hint="eastAsia" w:ascii="宋体" w:hAnsi="宋体"/>
          <w:color w:val="auto"/>
          <w:szCs w:val="21"/>
          <w:highlight w:val="none"/>
        </w:rPr>
        <w:t>授权</w:t>
      </w:r>
      <w:r>
        <w:rPr>
          <w:rFonts w:hint="eastAsia" w:ascii="宋体" w:hAnsi="宋体"/>
          <w:color w:val="auto"/>
          <w:szCs w:val="21"/>
          <w:highlight w:val="none"/>
          <w:u w:val="single"/>
        </w:rPr>
        <w:t xml:space="preserve">  （全名、职务）  </w:t>
      </w:r>
      <w:r>
        <w:rPr>
          <w:rFonts w:hint="eastAsia" w:ascii="宋体" w:hAnsi="宋体"/>
          <w:color w:val="auto"/>
          <w:szCs w:val="21"/>
          <w:highlight w:val="none"/>
        </w:rPr>
        <w:t>为全权代表，参加贵方组织的</w:t>
      </w:r>
      <w:r>
        <w:rPr>
          <w:rFonts w:hint="eastAsia" w:ascii="宋体" w:hAnsi="宋体"/>
          <w:color w:val="auto"/>
          <w:szCs w:val="21"/>
          <w:highlight w:val="none"/>
          <w:u w:val="single"/>
          <w:lang w:eastAsia="zh-CN"/>
        </w:rPr>
        <w:t>温州医科大学慈溪生物医药研究院三维皮肤气液交换培养生物反应器采购项目</w:t>
      </w:r>
      <w:r>
        <w:rPr>
          <w:rFonts w:hint="eastAsia" w:ascii="宋体" w:hAnsi="宋体"/>
          <w:color w:val="auto"/>
          <w:szCs w:val="21"/>
          <w:highlight w:val="none"/>
        </w:rPr>
        <w:t>（项目编号：</w:t>
      </w:r>
      <w:r>
        <w:rPr>
          <w:rFonts w:hint="eastAsia" w:ascii="宋体" w:hAnsi="宋体"/>
          <w:color w:val="auto"/>
          <w:szCs w:val="21"/>
          <w:highlight w:val="none"/>
          <w:u w:val="single"/>
        </w:rPr>
        <w:t>330282202311009365</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rPr>
        <w:t>）招标活动并投标，为便于采购人公正、择优地确定中标供应商及其服务，我方就本次投标有关事项郑重声明如下：</w:t>
      </w:r>
    </w:p>
    <w:p>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1、我方提交的所有投标文件、资料都是准确的和真实的。如有虚假或隐瞒，我方愿意承担一切后果，并不再寻求任何旨在减轻或免除法律责任的辩解。</w:t>
      </w:r>
    </w:p>
    <w:p>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2、我方不是为本项目提供整体设计、规范编制或者项目管理、监理、检测等服务的供应商。</w:t>
      </w:r>
    </w:p>
    <w:p>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3、我们已详细审查全部招标文件及有关的澄清/修改文件（若有），我们完全理解并同意放弃对这方面提出任何异议的权利。</w:t>
      </w:r>
    </w:p>
    <w:p>
      <w:pPr>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4</w:t>
      </w:r>
      <w:r>
        <w:rPr>
          <w:rFonts w:hint="eastAsia" w:ascii="宋体" w:hAnsi="宋体"/>
          <w:color w:val="auto"/>
          <w:szCs w:val="21"/>
          <w:highlight w:val="none"/>
        </w:rPr>
        <w:t>、</w:t>
      </w:r>
      <w:r>
        <w:rPr>
          <w:rFonts w:hint="eastAsia" w:ascii="宋体" w:hAnsi="宋体"/>
          <w:color w:val="auto"/>
          <w:highlight w:val="none"/>
        </w:rPr>
        <w:t>保证遵守招标文件有关条款规定。</w:t>
      </w:r>
    </w:p>
    <w:p>
      <w:pPr>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5</w:t>
      </w:r>
      <w:r>
        <w:rPr>
          <w:rFonts w:hint="eastAsia" w:ascii="宋体" w:hAnsi="宋体"/>
          <w:color w:val="auto"/>
          <w:szCs w:val="21"/>
          <w:highlight w:val="none"/>
        </w:rPr>
        <w:t>、本项目的投标报价详见“开标一览表”。</w:t>
      </w:r>
    </w:p>
    <w:p>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6</w:t>
      </w:r>
      <w:r>
        <w:rPr>
          <w:rFonts w:hint="eastAsia" w:ascii="宋体" w:hAnsi="宋体"/>
          <w:color w:val="auto"/>
          <w:szCs w:val="21"/>
          <w:highlight w:val="none"/>
        </w:rPr>
        <w:t>、投标文件有效期为自开标之日起</w:t>
      </w:r>
      <w:r>
        <w:rPr>
          <w:rFonts w:hint="eastAsia" w:ascii="宋体" w:hAnsi="宋体"/>
          <w:color w:val="auto"/>
          <w:szCs w:val="21"/>
          <w:highlight w:val="none"/>
          <w:u w:val="single"/>
        </w:rPr>
        <w:t xml:space="preserve"> 90 </w:t>
      </w:r>
      <w:r>
        <w:rPr>
          <w:rFonts w:hint="eastAsia" w:ascii="宋体" w:hAnsi="宋体"/>
          <w:color w:val="auto"/>
          <w:szCs w:val="21"/>
          <w:highlight w:val="none"/>
        </w:rPr>
        <w:t>个日历日。</w:t>
      </w:r>
    </w:p>
    <w:p>
      <w:pPr>
        <w:spacing w:line="400" w:lineRule="exact"/>
        <w:ind w:firstLine="420" w:firstLineChars="200"/>
        <w:jc w:val="left"/>
        <w:rPr>
          <w:rFonts w:ascii="宋体" w:hAnsi="宋体"/>
          <w:color w:val="auto"/>
          <w:highlight w:val="none"/>
        </w:rPr>
      </w:pPr>
      <w:r>
        <w:rPr>
          <w:rFonts w:ascii="宋体" w:hAnsi="宋体"/>
          <w:color w:val="auto"/>
          <w:szCs w:val="21"/>
          <w:highlight w:val="none"/>
        </w:rPr>
        <w:t>7</w:t>
      </w:r>
      <w:r>
        <w:rPr>
          <w:rFonts w:hint="eastAsia" w:ascii="宋体" w:hAnsi="宋体"/>
          <w:color w:val="auto"/>
          <w:szCs w:val="21"/>
          <w:highlight w:val="none"/>
        </w:rPr>
        <w:t>、</w:t>
      </w:r>
      <w:r>
        <w:rPr>
          <w:rFonts w:hint="eastAsia" w:ascii="宋体" w:hAnsi="宋体"/>
          <w:color w:val="auto"/>
          <w:highlight w:val="none"/>
        </w:rPr>
        <w:t>保证在中标后忠实地执行与采购人所签署的合同，并承担合同规定的责任义务。</w:t>
      </w:r>
    </w:p>
    <w:p>
      <w:pPr>
        <w:spacing w:line="400" w:lineRule="exact"/>
        <w:ind w:firstLine="420" w:firstLineChars="200"/>
        <w:jc w:val="left"/>
        <w:rPr>
          <w:rFonts w:ascii="宋体" w:hAnsi="宋体"/>
          <w:color w:val="auto"/>
          <w:szCs w:val="21"/>
          <w:highlight w:val="none"/>
        </w:rPr>
      </w:pPr>
      <w:r>
        <w:rPr>
          <w:rFonts w:hint="eastAsia" w:ascii="宋体" w:hAnsi="宋体"/>
          <w:color w:val="auto"/>
          <w:highlight w:val="none"/>
        </w:rPr>
        <w:t>8、完全同意招标文件中有关招标代理服务费的条款，保证在中标后按照招标文件规定的金额、时间和方式，向贵方一次性交纳招标代理服务费。我方如逾期未交纳（含未足额）的，愿凭贵方开出的违约通知，按上述规定应交纳金额（含欠交纳）的200%交纳违约金和滞纳的银行利息。承诺在未交足上述违约金和利息前，同意不再参加贵方代理的其他项目，如果贵方不接受我们的投标，我们自愿放弃任何方式进行抗辩的权力。</w:t>
      </w:r>
    </w:p>
    <w:p>
      <w:pPr>
        <w:spacing w:line="400" w:lineRule="exact"/>
        <w:ind w:firstLine="420" w:firstLineChars="200"/>
        <w:jc w:val="left"/>
        <w:rPr>
          <w:rFonts w:ascii="宋体" w:hAnsi="宋体"/>
          <w:color w:val="auto"/>
          <w:szCs w:val="21"/>
          <w:highlight w:val="none"/>
        </w:rPr>
      </w:pPr>
      <w:r>
        <w:rPr>
          <w:rFonts w:hint="eastAsia" w:ascii="宋体" w:hAnsi="宋体"/>
          <w:color w:val="auto"/>
          <w:highlight w:val="none"/>
        </w:rPr>
        <w:t>9、我方郑重声明：我单位符合政府采购法规定的参加政府采购活动应当具备的条件：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w:t>
      </w:r>
    </w:p>
    <w:p>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10、与本投标有关的一切正式来往通讯请寄：</w:t>
      </w:r>
    </w:p>
    <w:p>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地址：</w:t>
      </w:r>
      <w:r>
        <w:rPr>
          <w:rFonts w:hint="eastAsia" w:ascii="宋体" w:hAnsi="宋体"/>
          <w:color w:val="auto"/>
          <w:szCs w:val="21"/>
          <w:highlight w:val="none"/>
          <w:u w:val="single"/>
        </w:rPr>
        <w:t xml:space="preserve">                    </w:t>
      </w:r>
      <w:r>
        <w:rPr>
          <w:rFonts w:hint="eastAsia" w:ascii="宋体" w:hAnsi="宋体"/>
          <w:color w:val="auto"/>
          <w:szCs w:val="21"/>
          <w:highlight w:val="none"/>
        </w:rPr>
        <w:t>邮编：</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电话：</w:t>
      </w:r>
      <w:r>
        <w:rPr>
          <w:rFonts w:hint="eastAsia" w:ascii="宋体" w:hAnsi="宋体"/>
          <w:color w:val="auto"/>
          <w:szCs w:val="21"/>
          <w:highlight w:val="none"/>
          <w:u w:val="single"/>
        </w:rPr>
        <w:t xml:space="preserve">                    </w:t>
      </w:r>
      <w:r>
        <w:rPr>
          <w:rFonts w:hint="eastAsia" w:ascii="宋体" w:hAnsi="宋体"/>
          <w:color w:val="auto"/>
          <w:szCs w:val="21"/>
          <w:highlight w:val="none"/>
        </w:rPr>
        <w:t>传真：</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pPr>
        <w:spacing w:line="400" w:lineRule="exact"/>
        <w:ind w:left="540" w:firstLine="30"/>
        <w:jc w:val="left"/>
        <w:rPr>
          <w:rFonts w:ascii="宋体" w:hAnsi="宋体"/>
          <w:color w:val="auto"/>
          <w:szCs w:val="21"/>
          <w:highlight w:val="none"/>
        </w:rPr>
      </w:pPr>
    </w:p>
    <w:p>
      <w:pPr>
        <w:spacing w:line="400" w:lineRule="exact"/>
        <w:jc w:val="left"/>
        <w:rPr>
          <w:rFonts w:ascii="宋体" w:hAnsi="宋体"/>
          <w:color w:val="auto"/>
          <w:szCs w:val="21"/>
          <w:highlight w:val="none"/>
        </w:rPr>
      </w:pPr>
    </w:p>
    <w:p>
      <w:pPr>
        <w:spacing w:line="400" w:lineRule="exact"/>
        <w:jc w:val="left"/>
        <w:rPr>
          <w:rFonts w:ascii="宋体" w:hAnsi="宋体"/>
          <w:color w:val="auto"/>
          <w:szCs w:val="21"/>
          <w:highlight w:val="none"/>
        </w:rPr>
      </w:pPr>
      <w:r>
        <w:rPr>
          <w:rFonts w:hint="eastAsia" w:ascii="宋体" w:hAnsi="宋体"/>
          <w:color w:val="auto"/>
          <w:szCs w:val="21"/>
          <w:highlight w:val="none"/>
        </w:rPr>
        <w:t>供应商（盖章）：</w:t>
      </w:r>
      <w:r>
        <w:rPr>
          <w:rFonts w:ascii="宋体" w:hAnsi="宋体"/>
          <w:color w:val="auto"/>
          <w:szCs w:val="21"/>
          <w:highlight w:val="none"/>
          <w:u w:val="single"/>
        </w:rPr>
        <w:t xml:space="preserve">                                </w:t>
      </w:r>
      <w:r>
        <w:rPr>
          <w:rFonts w:ascii="宋体" w:hAnsi="宋体"/>
          <w:color w:val="auto"/>
          <w:szCs w:val="21"/>
          <w:highlight w:val="none"/>
        </w:rPr>
        <w:t xml:space="preserve">          </w:t>
      </w:r>
    </w:p>
    <w:p>
      <w:pPr>
        <w:spacing w:line="400" w:lineRule="exact"/>
        <w:rPr>
          <w:rFonts w:ascii="宋体" w:hAnsi="宋体"/>
          <w:color w:val="auto"/>
          <w:szCs w:val="21"/>
          <w:highlight w:val="none"/>
        </w:rPr>
      </w:pPr>
      <w:r>
        <w:rPr>
          <w:rFonts w:hint="eastAsia" w:ascii="宋体" w:hAnsi="宋体"/>
          <w:color w:val="auto"/>
          <w:szCs w:val="21"/>
          <w:highlight w:val="none"/>
        </w:rPr>
        <w:t>法定代表人或授权代表（签字或盖章）：</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p>
    <w:p>
      <w:pPr>
        <w:spacing w:line="400" w:lineRule="exact"/>
        <w:rPr>
          <w:rFonts w:ascii="宋体" w:hAnsi="宋体"/>
          <w:b/>
          <w:color w:val="auto"/>
          <w:szCs w:val="21"/>
          <w:highlight w:val="none"/>
        </w:rPr>
      </w:pPr>
      <w:r>
        <w:rPr>
          <w:rFonts w:hint="eastAsia" w:ascii="宋体" w:hAnsi="宋体"/>
          <w:color w:val="auto"/>
          <w:szCs w:val="21"/>
          <w:highlight w:val="none"/>
        </w:rPr>
        <w:t>日</w:t>
      </w:r>
      <w:r>
        <w:rPr>
          <w:rFonts w:ascii="宋体" w:hAnsi="宋体"/>
          <w:color w:val="auto"/>
          <w:szCs w:val="21"/>
          <w:highlight w:val="none"/>
        </w:rPr>
        <w:t xml:space="preserve">          </w:t>
      </w:r>
      <w:r>
        <w:rPr>
          <w:rFonts w:hint="eastAsia" w:ascii="宋体" w:hAnsi="宋体"/>
          <w:color w:val="auto"/>
          <w:szCs w:val="21"/>
          <w:highlight w:val="none"/>
        </w:rPr>
        <w:t>期：</w:t>
      </w:r>
      <w:r>
        <w:rPr>
          <w:rFonts w:ascii="宋体" w:hAnsi="宋体"/>
          <w:color w:val="auto"/>
          <w:szCs w:val="21"/>
          <w:highlight w:val="none"/>
          <w:u w:val="single"/>
        </w:rPr>
        <w:t xml:space="preserve">                                </w:t>
      </w:r>
    </w:p>
    <w:p>
      <w:pPr>
        <w:spacing w:line="360" w:lineRule="auto"/>
        <w:jc w:val="center"/>
        <w:rPr>
          <w:rStyle w:val="104"/>
          <w:rFonts w:ascii="宋体" w:hAnsi="宋体"/>
          <w:color w:val="auto"/>
          <w:sz w:val="21"/>
          <w:szCs w:val="21"/>
          <w:highlight w:val="none"/>
        </w:rPr>
      </w:pPr>
      <w:r>
        <w:rPr>
          <w:rStyle w:val="104"/>
          <w:rFonts w:ascii="宋体" w:hAnsi="宋体"/>
          <w:color w:val="auto"/>
          <w:sz w:val="21"/>
          <w:szCs w:val="21"/>
          <w:highlight w:val="none"/>
        </w:rPr>
        <w:br w:type="page"/>
      </w:r>
    </w:p>
    <w:p>
      <w:pPr>
        <w:spacing w:line="360" w:lineRule="auto"/>
        <w:jc w:val="both"/>
        <w:rPr>
          <w:rStyle w:val="104"/>
          <w:rFonts w:ascii="宋体" w:hAnsi="宋体"/>
          <w:color w:val="auto"/>
          <w:sz w:val="21"/>
          <w:szCs w:val="21"/>
          <w:highlight w:val="none"/>
        </w:rPr>
      </w:pPr>
      <w:r>
        <w:rPr>
          <w:rStyle w:val="104"/>
          <w:rFonts w:hint="eastAsia" w:ascii="宋体" w:hAnsi="宋体"/>
          <w:color w:val="auto"/>
          <w:sz w:val="21"/>
          <w:szCs w:val="21"/>
          <w:highlight w:val="none"/>
        </w:rPr>
        <w:t>附件三</w:t>
      </w:r>
    </w:p>
    <w:p>
      <w:pPr>
        <w:spacing w:line="360" w:lineRule="auto"/>
        <w:jc w:val="center"/>
        <w:rPr>
          <w:rFonts w:ascii="宋体" w:hAnsi="宋体"/>
          <w:b/>
          <w:color w:val="auto"/>
          <w:szCs w:val="21"/>
          <w:highlight w:val="none"/>
        </w:rPr>
      </w:pPr>
      <w:r>
        <w:rPr>
          <w:rFonts w:hint="eastAsia" w:ascii="宋体" w:hAnsi="宋体"/>
          <w:b/>
          <w:color w:val="auto"/>
          <w:szCs w:val="21"/>
          <w:highlight w:val="none"/>
        </w:rPr>
        <w:t>法定代表人身份证明</w:t>
      </w:r>
    </w:p>
    <w:p>
      <w:pPr>
        <w:spacing w:afterLines="50" w:line="400" w:lineRule="exact"/>
        <w:rPr>
          <w:rFonts w:ascii="宋体" w:hAnsi="宋体"/>
          <w:color w:val="auto"/>
          <w:szCs w:val="21"/>
          <w:highlight w:val="none"/>
          <w:u w:val="single"/>
        </w:rPr>
      </w:pPr>
      <w:r>
        <w:rPr>
          <w:rFonts w:hint="eastAsia" w:ascii="宋体" w:hAnsi="宋体"/>
          <w:color w:val="auto"/>
          <w:szCs w:val="21"/>
          <w:highlight w:val="none"/>
        </w:rPr>
        <w:t>供应商名称：</w:t>
      </w:r>
      <w:r>
        <w:rPr>
          <w:rFonts w:ascii="宋体" w:hAnsi="宋体"/>
          <w:color w:val="auto"/>
          <w:szCs w:val="21"/>
          <w:highlight w:val="none"/>
          <w:u w:val="single"/>
        </w:rPr>
        <w:t xml:space="preserve">                   </w:t>
      </w:r>
    </w:p>
    <w:p>
      <w:pPr>
        <w:spacing w:afterLines="50" w:line="400" w:lineRule="exact"/>
        <w:rPr>
          <w:rFonts w:ascii="宋体" w:hAnsi="宋体"/>
          <w:color w:val="auto"/>
          <w:szCs w:val="21"/>
          <w:highlight w:val="none"/>
          <w:u w:val="single"/>
        </w:rPr>
      </w:pPr>
      <w:r>
        <w:rPr>
          <w:rFonts w:hint="eastAsia" w:ascii="宋体" w:hAnsi="宋体"/>
          <w:color w:val="auto"/>
          <w:szCs w:val="21"/>
          <w:highlight w:val="none"/>
        </w:rPr>
        <w:t>单位性质：</w:t>
      </w:r>
      <w:r>
        <w:rPr>
          <w:rFonts w:ascii="宋体" w:hAnsi="宋体"/>
          <w:color w:val="auto"/>
          <w:szCs w:val="21"/>
          <w:highlight w:val="none"/>
          <w:u w:val="single"/>
        </w:rPr>
        <w:t xml:space="preserve">                   </w:t>
      </w:r>
    </w:p>
    <w:p>
      <w:pPr>
        <w:spacing w:afterLines="50" w:line="400" w:lineRule="exact"/>
        <w:rPr>
          <w:rFonts w:ascii="宋体" w:hAnsi="宋体"/>
          <w:color w:val="auto"/>
          <w:szCs w:val="21"/>
          <w:highlight w:val="none"/>
          <w:u w:val="single"/>
        </w:rPr>
      </w:pPr>
      <w:r>
        <w:rPr>
          <w:rFonts w:hint="eastAsia" w:ascii="宋体" w:hAnsi="宋体"/>
          <w:color w:val="auto"/>
          <w:szCs w:val="21"/>
          <w:highlight w:val="none"/>
        </w:rPr>
        <w:t>地址：</w:t>
      </w:r>
      <w:r>
        <w:rPr>
          <w:rFonts w:ascii="宋体" w:hAnsi="宋体"/>
          <w:color w:val="auto"/>
          <w:szCs w:val="21"/>
          <w:highlight w:val="none"/>
          <w:u w:val="single"/>
        </w:rPr>
        <w:t xml:space="preserve">                   </w:t>
      </w:r>
    </w:p>
    <w:p>
      <w:pPr>
        <w:spacing w:afterLines="50" w:line="400" w:lineRule="exact"/>
        <w:rPr>
          <w:rFonts w:ascii="宋体" w:hAnsi="宋体"/>
          <w:color w:val="auto"/>
          <w:szCs w:val="21"/>
          <w:highlight w:val="none"/>
          <w:u w:val="single"/>
        </w:rPr>
      </w:pPr>
      <w:r>
        <w:rPr>
          <w:rFonts w:hint="eastAsia" w:ascii="宋体" w:hAnsi="宋体"/>
          <w:color w:val="auto"/>
          <w:szCs w:val="21"/>
          <w:highlight w:val="none"/>
        </w:rPr>
        <w:t>成立时间：</w:t>
      </w:r>
      <w:r>
        <w:rPr>
          <w:rFonts w:ascii="宋体" w:hAnsi="宋体"/>
          <w:color w:val="auto"/>
          <w:szCs w:val="21"/>
          <w:highlight w:val="none"/>
          <w:u w:val="single"/>
        </w:rPr>
        <w:t xml:space="preserve">      </w:t>
      </w:r>
      <w:r>
        <w:rPr>
          <w:rFonts w:hint="eastAsia" w:ascii="宋体" w:hAnsi="宋体"/>
          <w:color w:val="auto"/>
          <w:szCs w:val="21"/>
          <w:highlight w:val="none"/>
        </w:rPr>
        <w:t>年</w:t>
      </w:r>
      <w:r>
        <w:rPr>
          <w:rFonts w:ascii="宋体" w:hAnsi="宋体"/>
          <w:color w:val="auto"/>
          <w:szCs w:val="21"/>
          <w:highlight w:val="none"/>
          <w:u w:val="single"/>
        </w:rPr>
        <w:t xml:space="preserve">       </w:t>
      </w:r>
      <w:r>
        <w:rPr>
          <w:rFonts w:hint="eastAsia" w:ascii="宋体" w:hAnsi="宋体"/>
          <w:color w:val="auto"/>
          <w:szCs w:val="21"/>
          <w:highlight w:val="none"/>
        </w:rPr>
        <w:t>月</w:t>
      </w:r>
      <w:r>
        <w:rPr>
          <w:rFonts w:ascii="宋体" w:hAnsi="宋体"/>
          <w:color w:val="auto"/>
          <w:szCs w:val="21"/>
          <w:highlight w:val="none"/>
          <w:u w:val="single"/>
        </w:rPr>
        <w:t xml:space="preserve">      </w:t>
      </w:r>
      <w:r>
        <w:rPr>
          <w:rFonts w:hint="eastAsia" w:ascii="宋体" w:hAnsi="宋体"/>
          <w:color w:val="auto"/>
          <w:szCs w:val="21"/>
          <w:highlight w:val="none"/>
        </w:rPr>
        <w:t>日</w:t>
      </w:r>
    </w:p>
    <w:p>
      <w:pPr>
        <w:spacing w:afterLines="50" w:line="400" w:lineRule="exact"/>
        <w:rPr>
          <w:rFonts w:ascii="宋体" w:hAnsi="宋体"/>
          <w:color w:val="auto"/>
          <w:szCs w:val="21"/>
          <w:highlight w:val="none"/>
          <w:u w:val="single"/>
        </w:rPr>
      </w:pPr>
      <w:r>
        <w:rPr>
          <w:rFonts w:hint="eastAsia" w:ascii="宋体" w:hAnsi="宋体"/>
          <w:color w:val="auto"/>
          <w:szCs w:val="21"/>
          <w:highlight w:val="none"/>
        </w:rPr>
        <w:t>经营期限：</w:t>
      </w:r>
    </w:p>
    <w:p>
      <w:pPr>
        <w:spacing w:afterLines="50" w:line="400" w:lineRule="exact"/>
        <w:rPr>
          <w:rFonts w:ascii="宋体" w:hAnsi="宋体"/>
          <w:color w:val="auto"/>
          <w:szCs w:val="21"/>
          <w:highlight w:val="none"/>
          <w:u w:val="single"/>
        </w:rPr>
      </w:pPr>
      <w:r>
        <w:rPr>
          <w:rFonts w:hint="eastAsia" w:ascii="宋体" w:hAnsi="宋体"/>
          <w:color w:val="auto"/>
          <w:szCs w:val="21"/>
          <w:highlight w:val="none"/>
        </w:rPr>
        <w:t>姓名：</w:t>
      </w:r>
      <w:r>
        <w:rPr>
          <w:rFonts w:ascii="宋体" w:hAnsi="宋体"/>
          <w:color w:val="auto"/>
          <w:szCs w:val="21"/>
          <w:highlight w:val="none"/>
          <w:u w:val="single"/>
        </w:rPr>
        <w:t xml:space="preserve">         </w:t>
      </w:r>
      <w:r>
        <w:rPr>
          <w:rFonts w:hint="eastAsia" w:ascii="宋体" w:hAnsi="宋体"/>
          <w:color w:val="auto"/>
          <w:szCs w:val="21"/>
          <w:highlight w:val="none"/>
        </w:rPr>
        <w:t>性别：</w:t>
      </w:r>
      <w:r>
        <w:rPr>
          <w:rFonts w:ascii="宋体" w:hAnsi="宋体"/>
          <w:color w:val="auto"/>
          <w:szCs w:val="21"/>
          <w:highlight w:val="none"/>
          <w:u w:val="single"/>
        </w:rPr>
        <w:t xml:space="preserve">           </w:t>
      </w:r>
      <w:r>
        <w:rPr>
          <w:rFonts w:hint="eastAsia" w:ascii="宋体" w:hAnsi="宋体"/>
          <w:color w:val="auto"/>
          <w:szCs w:val="21"/>
          <w:highlight w:val="none"/>
        </w:rPr>
        <w:t>年龄：</w:t>
      </w:r>
      <w:r>
        <w:rPr>
          <w:rFonts w:ascii="宋体" w:hAnsi="宋体"/>
          <w:color w:val="auto"/>
          <w:szCs w:val="21"/>
          <w:highlight w:val="none"/>
          <w:u w:val="single"/>
        </w:rPr>
        <w:t xml:space="preserve">            </w:t>
      </w:r>
      <w:r>
        <w:rPr>
          <w:rFonts w:hint="eastAsia" w:ascii="宋体" w:hAnsi="宋体"/>
          <w:color w:val="auto"/>
          <w:szCs w:val="21"/>
          <w:highlight w:val="none"/>
        </w:rPr>
        <w:t>职务：</w:t>
      </w:r>
      <w:r>
        <w:rPr>
          <w:rFonts w:ascii="宋体" w:hAnsi="宋体"/>
          <w:color w:val="auto"/>
          <w:szCs w:val="21"/>
          <w:highlight w:val="none"/>
          <w:u w:val="single"/>
        </w:rPr>
        <w:t xml:space="preserve">          </w:t>
      </w:r>
    </w:p>
    <w:p>
      <w:pPr>
        <w:spacing w:afterLines="50" w:line="400" w:lineRule="exact"/>
        <w:rPr>
          <w:rFonts w:ascii="宋体" w:hAnsi="宋体"/>
          <w:color w:val="auto"/>
          <w:szCs w:val="21"/>
          <w:highlight w:val="none"/>
          <w:u w:val="single"/>
        </w:rPr>
      </w:pPr>
      <w:r>
        <w:rPr>
          <w:rFonts w:hint="eastAsia" w:ascii="宋体" w:hAnsi="宋体"/>
          <w:color w:val="auto"/>
          <w:szCs w:val="21"/>
          <w:highlight w:val="none"/>
        </w:rPr>
        <w:t>身份证号码：</w:t>
      </w:r>
      <w:r>
        <w:rPr>
          <w:rFonts w:ascii="宋体" w:hAnsi="宋体"/>
          <w:color w:val="auto"/>
          <w:szCs w:val="21"/>
          <w:highlight w:val="none"/>
          <w:u w:val="single"/>
        </w:rPr>
        <w:t xml:space="preserve">                   </w:t>
      </w:r>
    </w:p>
    <w:p>
      <w:pPr>
        <w:spacing w:line="400" w:lineRule="exact"/>
        <w:ind w:firstLine="560"/>
        <w:rPr>
          <w:rFonts w:ascii="宋体" w:hAnsi="宋体"/>
          <w:color w:val="auto"/>
          <w:szCs w:val="21"/>
          <w:highlight w:val="none"/>
        </w:rPr>
      </w:pPr>
    </w:p>
    <w:p>
      <w:pPr>
        <w:spacing w:line="400" w:lineRule="exact"/>
        <w:rPr>
          <w:rFonts w:ascii="宋体" w:hAnsi="宋体"/>
          <w:color w:val="auto"/>
          <w:szCs w:val="21"/>
          <w:highlight w:val="none"/>
        </w:rPr>
      </w:pPr>
      <w:r>
        <w:rPr>
          <w:rFonts w:ascii="宋体" w:hAnsi="宋体"/>
          <w:color w:val="auto"/>
          <w:szCs w:val="21"/>
          <w:highlight w:val="none"/>
        </w:rPr>
        <w:t xml:space="preserve">    </w:t>
      </w:r>
      <w:r>
        <w:rPr>
          <w:rFonts w:hint="eastAsia" w:ascii="宋体" w:hAnsi="宋体"/>
          <w:color w:val="auto"/>
          <w:szCs w:val="21"/>
          <w:highlight w:val="none"/>
        </w:rPr>
        <w:t>系</w:t>
      </w:r>
      <w:r>
        <w:rPr>
          <w:rFonts w:hint="eastAsia" w:ascii="宋体" w:hAnsi="宋体"/>
          <w:color w:val="auto"/>
          <w:szCs w:val="21"/>
          <w:highlight w:val="none"/>
          <w:u w:val="single"/>
        </w:rPr>
        <w:t>（供应商名称）</w:t>
      </w:r>
      <w:r>
        <w:rPr>
          <w:rFonts w:hint="eastAsia" w:ascii="宋体" w:hAnsi="宋体"/>
          <w:color w:val="auto"/>
          <w:szCs w:val="21"/>
          <w:highlight w:val="none"/>
        </w:rPr>
        <w:t>的法定代表人。</w:t>
      </w:r>
    </w:p>
    <w:p>
      <w:pPr>
        <w:spacing w:line="400" w:lineRule="exact"/>
        <w:ind w:firstLine="560"/>
        <w:rPr>
          <w:rFonts w:ascii="宋体" w:hAnsi="宋体"/>
          <w:color w:val="auto"/>
          <w:szCs w:val="21"/>
          <w:highlight w:val="none"/>
        </w:rPr>
      </w:pPr>
    </w:p>
    <w:p>
      <w:pPr>
        <w:spacing w:line="400" w:lineRule="exact"/>
        <w:rPr>
          <w:rFonts w:ascii="宋体" w:hAnsi="宋体"/>
          <w:color w:val="auto"/>
          <w:szCs w:val="21"/>
          <w:highlight w:val="none"/>
        </w:rPr>
      </w:pPr>
      <w:r>
        <w:rPr>
          <w:rFonts w:hint="eastAsia" w:ascii="宋体" w:hAnsi="宋体"/>
          <w:color w:val="auto"/>
          <w:szCs w:val="21"/>
          <w:highlight w:val="none"/>
        </w:rPr>
        <w:t>特此证明。</w:t>
      </w:r>
    </w:p>
    <w:p>
      <w:pPr>
        <w:spacing w:line="400" w:lineRule="exact"/>
        <w:rPr>
          <w:rFonts w:ascii="宋体" w:hAnsi="宋体"/>
          <w:color w:val="auto"/>
          <w:szCs w:val="21"/>
          <w:highlight w:val="none"/>
        </w:rPr>
      </w:pPr>
    </w:p>
    <w:p>
      <w:pPr>
        <w:spacing w:line="400" w:lineRule="exact"/>
        <w:jc w:val="left"/>
        <w:rPr>
          <w:rFonts w:ascii="宋体" w:hAnsi="宋体"/>
          <w:color w:val="auto"/>
          <w:szCs w:val="21"/>
          <w:highlight w:val="none"/>
        </w:rPr>
      </w:pPr>
      <w:r>
        <w:rPr>
          <w:rFonts w:hint="eastAsia" w:ascii="宋体" w:hAnsi="宋体"/>
          <w:color w:val="auto"/>
          <w:szCs w:val="21"/>
          <w:highlight w:val="none"/>
        </w:rPr>
        <w:t>供应商（盖章）：</w:t>
      </w:r>
      <w:r>
        <w:rPr>
          <w:rFonts w:ascii="宋体" w:hAnsi="宋体"/>
          <w:color w:val="auto"/>
          <w:szCs w:val="21"/>
          <w:highlight w:val="none"/>
          <w:u w:val="single"/>
        </w:rPr>
        <w:t xml:space="preserve">                                </w:t>
      </w:r>
      <w:r>
        <w:rPr>
          <w:rFonts w:ascii="宋体" w:hAnsi="宋体"/>
          <w:color w:val="auto"/>
          <w:szCs w:val="21"/>
          <w:highlight w:val="none"/>
        </w:rPr>
        <w:t xml:space="preserve">          </w:t>
      </w:r>
    </w:p>
    <w:p>
      <w:pPr>
        <w:spacing w:line="400" w:lineRule="exact"/>
        <w:rPr>
          <w:rFonts w:ascii="宋体" w:hAnsi="宋体"/>
          <w:b/>
          <w:color w:val="auto"/>
          <w:szCs w:val="21"/>
          <w:highlight w:val="none"/>
        </w:rPr>
      </w:pPr>
      <w:r>
        <w:rPr>
          <w:rFonts w:hint="eastAsia" w:ascii="宋体" w:hAnsi="宋体"/>
          <w:color w:val="auto"/>
          <w:szCs w:val="21"/>
          <w:highlight w:val="none"/>
        </w:rPr>
        <w:t>日</w:t>
      </w:r>
      <w:r>
        <w:rPr>
          <w:rFonts w:ascii="宋体" w:hAnsi="宋体"/>
          <w:color w:val="auto"/>
          <w:szCs w:val="21"/>
          <w:highlight w:val="none"/>
        </w:rPr>
        <w:t xml:space="preserve">          </w:t>
      </w:r>
      <w:r>
        <w:rPr>
          <w:rFonts w:hint="eastAsia" w:ascii="宋体" w:hAnsi="宋体"/>
          <w:color w:val="auto"/>
          <w:szCs w:val="21"/>
          <w:highlight w:val="none"/>
        </w:rPr>
        <w:t>期：</w:t>
      </w:r>
      <w:r>
        <w:rPr>
          <w:rFonts w:ascii="宋体" w:hAnsi="宋体"/>
          <w:color w:val="auto"/>
          <w:szCs w:val="21"/>
          <w:highlight w:val="none"/>
          <w:u w:val="single"/>
        </w:rPr>
        <w:t xml:space="preserve">                                </w:t>
      </w:r>
    </w:p>
    <w:p>
      <w:pPr>
        <w:spacing w:line="400" w:lineRule="atLeast"/>
        <w:rPr>
          <w:rFonts w:ascii="宋体" w:hAnsi="宋体"/>
          <w:color w:val="auto"/>
          <w:szCs w:val="21"/>
          <w:highlight w:val="none"/>
          <w:u w:val="single"/>
        </w:rPr>
      </w:pPr>
    </w:p>
    <w:p>
      <w:pPr>
        <w:spacing w:line="400" w:lineRule="atLeast"/>
        <w:rPr>
          <w:rFonts w:ascii="宋体" w:hAnsi="宋体"/>
          <w:color w:val="auto"/>
          <w:szCs w:val="21"/>
          <w:highlight w:val="none"/>
          <w:u w:val="singl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r>
        <w:rPr>
          <w:rFonts w:hint="eastAsia" w:ascii="宋体" w:hAnsi="宋体"/>
          <w:color w:val="auto"/>
          <w:szCs w:val="21"/>
          <w:highlight w:val="none"/>
        </w:rPr>
        <w:t>后附：法定代表人身份证扫描件（不同页的须加盖供应商公章）。</w:t>
      </w:r>
    </w:p>
    <w:p>
      <w:pPr>
        <w:spacing w:line="400" w:lineRule="atLeast"/>
        <w:rPr>
          <w:rFonts w:ascii="宋体" w:hAnsi="宋体"/>
          <w:color w:val="auto"/>
          <w:szCs w:val="21"/>
          <w:highlight w:val="none"/>
          <w:u w:val="single"/>
        </w:rPr>
      </w:pPr>
    </w:p>
    <w:p>
      <w:pPr>
        <w:spacing w:line="400" w:lineRule="exact"/>
        <w:jc w:val="center"/>
        <w:rPr>
          <w:rStyle w:val="104"/>
          <w:rFonts w:ascii="宋体" w:hAnsi="宋体"/>
          <w:color w:val="auto"/>
          <w:sz w:val="21"/>
          <w:szCs w:val="21"/>
          <w:highlight w:val="none"/>
        </w:rPr>
      </w:pPr>
      <w:r>
        <w:rPr>
          <w:rStyle w:val="104"/>
          <w:rFonts w:ascii="宋体" w:hAnsi="宋体"/>
          <w:color w:val="auto"/>
          <w:sz w:val="21"/>
          <w:szCs w:val="21"/>
          <w:highlight w:val="none"/>
        </w:rPr>
        <w:br w:type="page"/>
      </w:r>
    </w:p>
    <w:p>
      <w:pPr>
        <w:spacing w:line="400" w:lineRule="exact"/>
        <w:jc w:val="both"/>
        <w:rPr>
          <w:rFonts w:hint="eastAsia" w:ascii="宋体" w:hAnsi="宋体" w:eastAsia="宋体"/>
          <w:b/>
          <w:color w:val="auto"/>
          <w:szCs w:val="21"/>
          <w:highlight w:val="none"/>
          <w:lang w:eastAsia="zh-CN"/>
        </w:rPr>
      </w:pPr>
      <w:r>
        <w:rPr>
          <w:rFonts w:hint="eastAsia" w:ascii="宋体" w:hAnsi="宋体"/>
          <w:b/>
          <w:color w:val="auto"/>
          <w:szCs w:val="21"/>
          <w:highlight w:val="none"/>
          <w:lang w:eastAsia="zh-CN"/>
        </w:rPr>
        <w:t>附件四</w:t>
      </w:r>
    </w:p>
    <w:p>
      <w:pPr>
        <w:spacing w:line="400" w:lineRule="exact"/>
        <w:jc w:val="center"/>
        <w:rPr>
          <w:rFonts w:ascii="宋体" w:hAnsi="宋体"/>
          <w:b/>
          <w:color w:val="auto"/>
          <w:szCs w:val="21"/>
          <w:highlight w:val="none"/>
        </w:rPr>
      </w:pPr>
      <w:r>
        <w:rPr>
          <w:rFonts w:hint="eastAsia" w:ascii="宋体" w:hAnsi="宋体"/>
          <w:b/>
          <w:color w:val="auto"/>
          <w:szCs w:val="21"/>
          <w:highlight w:val="none"/>
        </w:rPr>
        <w:t>法定代表人授权书</w:t>
      </w:r>
    </w:p>
    <w:p>
      <w:pPr>
        <w:spacing w:line="400" w:lineRule="exact"/>
        <w:jc w:val="center"/>
        <w:rPr>
          <w:rFonts w:ascii="宋体" w:hAnsi="宋体"/>
          <w:b/>
          <w:color w:val="auto"/>
          <w:szCs w:val="21"/>
          <w:highlight w:val="none"/>
        </w:rPr>
      </w:pPr>
      <w:r>
        <w:rPr>
          <w:rFonts w:hint="eastAsia" w:ascii="宋体" w:hAnsi="宋体"/>
          <w:b/>
          <w:color w:val="auto"/>
          <w:szCs w:val="21"/>
          <w:highlight w:val="none"/>
        </w:rPr>
        <w:t>（投标文件由授权代表签字的须提供）</w:t>
      </w:r>
    </w:p>
    <w:p>
      <w:pPr>
        <w:spacing w:line="360" w:lineRule="auto"/>
        <w:rPr>
          <w:rFonts w:ascii="宋体" w:hAnsi="宋体"/>
          <w:color w:val="auto"/>
          <w:szCs w:val="21"/>
          <w:highlight w:val="none"/>
        </w:rPr>
      </w:pPr>
      <w:r>
        <w:rPr>
          <w:rFonts w:hint="eastAsia" w:ascii="宋体" w:hAnsi="宋体"/>
          <w:color w:val="auto"/>
          <w:szCs w:val="21"/>
          <w:highlight w:val="none"/>
        </w:rPr>
        <w:t>致：采购人</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u w:val="single"/>
        </w:rPr>
        <w:t>（供应商全称）</w:t>
      </w:r>
      <w:r>
        <w:rPr>
          <w:rFonts w:hint="eastAsia" w:ascii="宋体" w:hAnsi="宋体"/>
          <w:color w:val="auto"/>
          <w:szCs w:val="21"/>
          <w:highlight w:val="none"/>
        </w:rPr>
        <w:t>法定代表人</w:t>
      </w:r>
      <w:r>
        <w:rPr>
          <w:rFonts w:hint="eastAsia" w:ascii="宋体" w:hAnsi="宋体"/>
          <w:color w:val="auto"/>
          <w:szCs w:val="21"/>
          <w:highlight w:val="none"/>
          <w:u w:val="single"/>
        </w:rPr>
        <w:t>（法定代表人姓名）</w:t>
      </w:r>
      <w:r>
        <w:rPr>
          <w:rFonts w:hint="eastAsia" w:ascii="宋体" w:hAnsi="宋体"/>
          <w:color w:val="auto"/>
          <w:szCs w:val="21"/>
          <w:highlight w:val="none"/>
        </w:rPr>
        <w:t>授权</w:t>
      </w:r>
      <w:r>
        <w:rPr>
          <w:rFonts w:hint="eastAsia" w:ascii="宋体" w:hAnsi="宋体"/>
          <w:color w:val="auto"/>
          <w:szCs w:val="21"/>
          <w:highlight w:val="none"/>
          <w:u w:val="single"/>
        </w:rPr>
        <w:t>（授权代表姓名）</w:t>
      </w:r>
      <w:r>
        <w:rPr>
          <w:rFonts w:hint="eastAsia" w:ascii="宋体" w:hAnsi="宋体"/>
          <w:color w:val="auto"/>
          <w:szCs w:val="21"/>
          <w:highlight w:val="none"/>
        </w:rPr>
        <w:t>为授权代表，参加</w:t>
      </w:r>
      <w:r>
        <w:rPr>
          <w:rFonts w:hint="eastAsia" w:ascii="宋体" w:hAnsi="宋体"/>
          <w:color w:val="auto"/>
          <w:szCs w:val="21"/>
          <w:highlight w:val="none"/>
          <w:u w:val="single"/>
          <w:lang w:eastAsia="zh-CN"/>
        </w:rPr>
        <w:t>温州医科大学慈溪生物医药研究院三维皮肤气液交换培养生物反应器采购项目</w:t>
      </w:r>
      <w:r>
        <w:rPr>
          <w:rFonts w:hint="eastAsia" w:ascii="宋体" w:hAnsi="宋体"/>
          <w:color w:val="auto"/>
          <w:szCs w:val="21"/>
          <w:highlight w:val="none"/>
        </w:rPr>
        <w:t>，项目编号为</w:t>
      </w:r>
      <w:r>
        <w:rPr>
          <w:rFonts w:hint="eastAsia" w:ascii="宋体" w:hAnsi="宋体"/>
          <w:color w:val="auto"/>
          <w:szCs w:val="21"/>
          <w:highlight w:val="none"/>
          <w:u w:val="single"/>
          <w:lang w:val="en-US" w:eastAsia="zh-CN"/>
        </w:rPr>
        <w:t xml:space="preserve"> 330282202311009365   </w:t>
      </w:r>
      <w:r>
        <w:rPr>
          <w:rFonts w:hint="eastAsia" w:ascii="宋体" w:hAnsi="宋体"/>
          <w:color w:val="auto"/>
          <w:szCs w:val="21"/>
          <w:highlight w:val="none"/>
        </w:rPr>
        <w:t>，其在招投标活动中的一切活动本公司均予承认。</w:t>
      </w:r>
    </w:p>
    <w:p>
      <w:pPr>
        <w:spacing w:line="400" w:lineRule="atLeast"/>
        <w:jc w:val="left"/>
        <w:rPr>
          <w:rFonts w:ascii="宋体" w:hAnsi="宋体"/>
          <w:color w:val="auto"/>
          <w:szCs w:val="21"/>
          <w:highlight w:val="none"/>
        </w:rPr>
      </w:pPr>
    </w:p>
    <w:p>
      <w:pPr>
        <w:spacing w:line="400" w:lineRule="atLeast"/>
        <w:jc w:val="left"/>
        <w:rPr>
          <w:rFonts w:ascii="宋体" w:hAnsi="宋体"/>
          <w:color w:val="auto"/>
          <w:szCs w:val="21"/>
          <w:highlight w:val="none"/>
        </w:rPr>
      </w:pPr>
      <w:r>
        <w:rPr>
          <w:rFonts w:hint="eastAsia" w:ascii="宋体" w:hAnsi="宋体"/>
          <w:color w:val="auto"/>
          <w:szCs w:val="21"/>
          <w:highlight w:val="none"/>
        </w:rPr>
        <w:t>供应商（盖章）：</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p>
    <w:p>
      <w:pPr>
        <w:spacing w:line="400" w:lineRule="atLeast"/>
        <w:jc w:val="left"/>
        <w:rPr>
          <w:rFonts w:ascii="宋体" w:hAnsi="宋体"/>
          <w:color w:val="auto"/>
          <w:szCs w:val="21"/>
          <w:highlight w:val="none"/>
        </w:rPr>
      </w:pPr>
      <w:r>
        <w:rPr>
          <w:rFonts w:hint="eastAsia" w:ascii="宋体" w:hAnsi="宋体"/>
          <w:color w:val="auto"/>
          <w:szCs w:val="21"/>
          <w:highlight w:val="none"/>
        </w:rPr>
        <w:t>法定代表人（签字或盖章）：</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p>
    <w:p>
      <w:pPr>
        <w:spacing w:line="400" w:lineRule="atLeast"/>
        <w:rPr>
          <w:rFonts w:ascii="宋体" w:hAnsi="宋体"/>
          <w:color w:val="auto"/>
          <w:szCs w:val="21"/>
          <w:highlight w:val="none"/>
          <w:u w:val="single"/>
        </w:rPr>
      </w:pPr>
      <w:r>
        <w:rPr>
          <w:rFonts w:hint="eastAsia" w:ascii="宋体" w:hAnsi="宋体"/>
          <w:color w:val="auto"/>
          <w:szCs w:val="21"/>
          <w:highlight w:val="none"/>
        </w:rPr>
        <w:t>日</w:t>
      </w:r>
      <w:r>
        <w:rPr>
          <w:rFonts w:ascii="宋体" w:hAnsi="宋体"/>
          <w:color w:val="auto"/>
          <w:szCs w:val="21"/>
          <w:highlight w:val="none"/>
        </w:rPr>
        <w:t xml:space="preserve">           </w:t>
      </w:r>
      <w:r>
        <w:rPr>
          <w:rFonts w:hint="eastAsia" w:ascii="宋体" w:hAnsi="宋体"/>
          <w:color w:val="auto"/>
          <w:szCs w:val="21"/>
          <w:highlight w:val="none"/>
        </w:rPr>
        <w:t>期：</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r>
        <w:rPr>
          <w:rFonts w:hint="eastAsia" w:ascii="宋体" w:hAnsi="宋体"/>
          <w:color w:val="auto"/>
          <w:szCs w:val="21"/>
          <w:highlight w:val="none"/>
        </w:rPr>
        <w:t>附：</w:t>
      </w:r>
    </w:p>
    <w:p>
      <w:pPr>
        <w:spacing w:line="360" w:lineRule="auto"/>
        <w:ind w:firstLine="555"/>
        <w:rPr>
          <w:rFonts w:ascii="宋体" w:hAnsi="宋体"/>
          <w:color w:val="auto"/>
          <w:szCs w:val="21"/>
          <w:highlight w:val="none"/>
          <w:u w:val="single"/>
        </w:rPr>
      </w:pPr>
      <w:r>
        <w:rPr>
          <w:rFonts w:hint="eastAsia" w:ascii="宋体" w:hAnsi="宋体"/>
          <w:color w:val="auto"/>
          <w:szCs w:val="21"/>
          <w:highlight w:val="none"/>
        </w:rPr>
        <w:t>授权代表姓名：</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p>
    <w:p>
      <w:pPr>
        <w:spacing w:line="360" w:lineRule="auto"/>
        <w:ind w:firstLine="555"/>
        <w:rPr>
          <w:rFonts w:ascii="宋体" w:hAnsi="宋体"/>
          <w:color w:val="auto"/>
          <w:szCs w:val="21"/>
          <w:highlight w:val="none"/>
          <w:u w:val="single"/>
        </w:rPr>
      </w:pPr>
      <w:r>
        <w:rPr>
          <w:rFonts w:hint="eastAsia" w:ascii="宋体" w:hAnsi="宋体"/>
          <w:color w:val="auto"/>
          <w:szCs w:val="21"/>
          <w:highlight w:val="none"/>
        </w:rPr>
        <w:t>授权代表身份证号码：</w:t>
      </w:r>
      <w:r>
        <w:rPr>
          <w:rFonts w:ascii="宋体" w:hAnsi="宋体"/>
          <w:color w:val="auto"/>
          <w:szCs w:val="21"/>
          <w:highlight w:val="none"/>
          <w:u w:val="single"/>
        </w:rPr>
        <w:t xml:space="preserve">                   </w:t>
      </w:r>
    </w:p>
    <w:p>
      <w:pPr>
        <w:spacing w:line="360" w:lineRule="auto"/>
        <w:ind w:firstLine="555"/>
        <w:rPr>
          <w:rFonts w:ascii="宋体" w:hAnsi="宋体"/>
          <w:color w:val="auto"/>
          <w:szCs w:val="21"/>
          <w:highlight w:val="none"/>
          <w:u w:val="single"/>
        </w:rPr>
      </w:pPr>
      <w:r>
        <w:rPr>
          <w:rFonts w:hint="eastAsia" w:ascii="宋体" w:hAnsi="宋体"/>
          <w:color w:val="auto"/>
          <w:szCs w:val="21"/>
          <w:highlight w:val="none"/>
        </w:rPr>
        <w:t>职务：</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p>
    <w:p>
      <w:pPr>
        <w:spacing w:line="360" w:lineRule="auto"/>
        <w:ind w:firstLine="555"/>
        <w:rPr>
          <w:rFonts w:ascii="宋体" w:hAnsi="宋体"/>
          <w:color w:val="auto"/>
          <w:szCs w:val="21"/>
          <w:highlight w:val="none"/>
          <w:u w:val="single"/>
        </w:rPr>
      </w:pPr>
      <w:r>
        <w:rPr>
          <w:rFonts w:hint="eastAsia" w:ascii="宋体" w:hAnsi="宋体"/>
          <w:color w:val="auto"/>
          <w:szCs w:val="21"/>
          <w:highlight w:val="none"/>
        </w:rPr>
        <w:t>详细通讯地址：</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p>
    <w:p>
      <w:pPr>
        <w:spacing w:line="360" w:lineRule="auto"/>
        <w:ind w:firstLine="555"/>
        <w:rPr>
          <w:rFonts w:ascii="宋体" w:hAnsi="宋体"/>
          <w:color w:val="auto"/>
          <w:szCs w:val="21"/>
          <w:highlight w:val="none"/>
        </w:rPr>
      </w:pPr>
      <w:r>
        <w:rPr>
          <w:rFonts w:hint="eastAsia" w:ascii="宋体" w:hAnsi="宋体"/>
          <w:color w:val="auto"/>
          <w:szCs w:val="21"/>
          <w:highlight w:val="none"/>
        </w:rPr>
        <w:t>电话：</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p>
    <w:p>
      <w:pPr>
        <w:spacing w:line="360" w:lineRule="auto"/>
        <w:ind w:firstLine="555"/>
        <w:rPr>
          <w:rFonts w:ascii="宋体" w:hAnsi="宋体"/>
          <w:color w:val="auto"/>
          <w:szCs w:val="21"/>
          <w:highlight w:val="none"/>
          <w:u w:val="single"/>
        </w:rPr>
      </w:pPr>
      <w:r>
        <w:rPr>
          <w:rFonts w:hint="eastAsia" w:ascii="宋体" w:hAnsi="宋体"/>
          <w:color w:val="auto"/>
          <w:szCs w:val="21"/>
          <w:highlight w:val="none"/>
        </w:rPr>
        <w:t>传真：</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p>
    <w:p>
      <w:pPr>
        <w:spacing w:line="360" w:lineRule="auto"/>
        <w:ind w:firstLine="525" w:firstLineChars="250"/>
        <w:rPr>
          <w:rFonts w:ascii="宋体" w:hAnsi="宋体"/>
          <w:color w:val="auto"/>
          <w:szCs w:val="21"/>
          <w:highlight w:val="none"/>
          <w:u w:val="single"/>
        </w:rPr>
      </w:pPr>
    </w:p>
    <w:p>
      <w:pPr>
        <w:spacing w:line="360" w:lineRule="auto"/>
        <w:ind w:firstLine="525" w:firstLineChars="250"/>
        <w:rPr>
          <w:rFonts w:ascii="宋体" w:hAnsi="宋体"/>
          <w:color w:val="auto"/>
          <w:szCs w:val="21"/>
          <w:highlight w:val="none"/>
          <w:u w:val="single"/>
        </w:rPr>
      </w:pPr>
    </w:p>
    <w:p>
      <w:pPr>
        <w:spacing w:line="360" w:lineRule="auto"/>
        <w:ind w:firstLine="525" w:firstLineChars="250"/>
        <w:rPr>
          <w:rFonts w:ascii="宋体" w:hAnsi="宋体"/>
          <w:color w:val="auto"/>
          <w:szCs w:val="21"/>
          <w:highlight w:val="none"/>
          <w:u w:val="single"/>
        </w:rPr>
      </w:pPr>
    </w:p>
    <w:p>
      <w:pPr>
        <w:spacing w:line="360" w:lineRule="auto"/>
        <w:ind w:firstLine="525" w:firstLineChars="250"/>
        <w:rPr>
          <w:rFonts w:ascii="宋体" w:hAnsi="宋体"/>
          <w:color w:val="auto"/>
          <w:szCs w:val="21"/>
          <w:highlight w:val="none"/>
        </w:rPr>
      </w:pPr>
      <w:r>
        <w:rPr>
          <w:rFonts w:hint="eastAsia" w:ascii="宋体" w:hAnsi="宋体"/>
          <w:color w:val="auto"/>
          <w:szCs w:val="21"/>
          <w:highlight w:val="none"/>
        </w:rPr>
        <w:t>后附：</w:t>
      </w:r>
    </w:p>
    <w:p>
      <w:pPr>
        <w:spacing w:line="360" w:lineRule="auto"/>
        <w:ind w:firstLine="525" w:firstLineChars="250"/>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、授权代表身份证扫描件（不同页的须加盖供应商公章）；</w:t>
      </w:r>
    </w:p>
    <w:p>
      <w:pPr>
        <w:spacing w:line="360" w:lineRule="auto"/>
        <w:ind w:firstLine="517" w:firstLineChars="250"/>
        <w:jc w:val="center"/>
        <w:rPr>
          <w:rFonts w:ascii="宋体" w:hAnsi="宋体"/>
          <w:b/>
          <w:color w:val="auto"/>
          <w:szCs w:val="21"/>
          <w:highlight w:val="none"/>
        </w:rPr>
      </w:pPr>
      <w:r>
        <w:rPr>
          <w:rStyle w:val="104"/>
          <w:rFonts w:ascii="宋体" w:hAnsi="宋体"/>
          <w:color w:val="auto"/>
          <w:sz w:val="21"/>
          <w:szCs w:val="21"/>
          <w:highlight w:val="none"/>
        </w:rPr>
        <w:br w:type="page"/>
      </w:r>
      <w:r>
        <w:rPr>
          <w:rFonts w:ascii="宋体" w:hAnsi="宋体"/>
          <w:b/>
          <w:color w:val="auto"/>
          <w:szCs w:val="21"/>
          <w:highlight w:val="none"/>
        </w:rPr>
        <w:t xml:space="preserve"> </w:t>
      </w:r>
    </w:p>
    <w:p>
      <w:pPr>
        <w:spacing w:line="440" w:lineRule="exact"/>
        <w:jc w:val="both"/>
        <w:rPr>
          <w:rFonts w:hint="eastAsia" w:ascii="宋体" w:hAnsi="宋体"/>
          <w:b/>
          <w:color w:val="auto"/>
          <w:szCs w:val="21"/>
          <w:highlight w:val="none"/>
          <w:lang w:eastAsia="zh-CN"/>
        </w:rPr>
      </w:pPr>
      <w:r>
        <w:rPr>
          <w:rFonts w:hint="eastAsia" w:ascii="宋体" w:hAnsi="宋体"/>
          <w:b/>
          <w:color w:val="auto"/>
          <w:szCs w:val="21"/>
          <w:highlight w:val="none"/>
          <w:lang w:eastAsia="zh-CN"/>
        </w:rPr>
        <w:t>附件五</w:t>
      </w:r>
    </w:p>
    <w:p>
      <w:pPr>
        <w:spacing w:line="440" w:lineRule="exact"/>
        <w:jc w:val="center"/>
        <w:rPr>
          <w:rFonts w:ascii="宋体" w:hAnsi="宋体"/>
          <w:b/>
          <w:color w:val="auto"/>
          <w:szCs w:val="21"/>
          <w:highlight w:val="none"/>
        </w:rPr>
      </w:pPr>
      <w:r>
        <w:rPr>
          <w:rFonts w:hint="eastAsia" w:ascii="宋体" w:hAnsi="宋体"/>
          <w:b/>
          <w:color w:val="auto"/>
          <w:szCs w:val="21"/>
          <w:highlight w:val="none"/>
        </w:rPr>
        <w:t>供应商一般情况</w:t>
      </w:r>
    </w:p>
    <w:tbl>
      <w:tblPr>
        <w:tblStyle w:val="4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4305"/>
        <w:gridCol w:w="9"/>
        <w:gridCol w:w="38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vAlign w:val="center"/>
          </w:tcPr>
          <w:p>
            <w:pPr>
              <w:spacing w:line="400" w:lineRule="exact"/>
              <w:jc w:val="center"/>
              <w:rPr>
                <w:rFonts w:ascii="宋体" w:hAnsi="宋体"/>
                <w:color w:val="auto"/>
                <w:szCs w:val="21"/>
                <w:highlight w:val="none"/>
              </w:rPr>
            </w:pPr>
            <w:r>
              <w:rPr>
                <w:rFonts w:ascii="宋体" w:hAnsi="宋体"/>
                <w:color w:val="auto"/>
                <w:szCs w:val="21"/>
                <w:highlight w:val="none"/>
              </w:rPr>
              <w:t>1</w:t>
            </w:r>
          </w:p>
        </w:tc>
        <w:tc>
          <w:tcPr>
            <w:tcW w:w="8147" w:type="dxa"/>
            <w:gridSpan w:val="3"/>
            <w:vAlign w:val="center"/>
          </w:tcPr>
          <w:p>
            <w:pPr>
              <w:spacing w:line="400" w:lineRule="exact"/>
              <w:rPr>
                <w:rFonts w:ascii="宋体" w:hAnsi="宋体"/>
                <w:color w:val="auto"/>
                <w:szCs w:val="21"/>
                <w:highlight w:val="none"/>
              </w:rPr>
            </w:pPr>
            <w:r>
              <w:rPr>
                <w:rFonts w:hint="eastAsia" w:ascii="宋体" w:hAnsi="宋体"/>
                <w:color w:val="auto"/>
                <w:szCs w:val="21"/>
                <w:highlight w:val="none"/>
              </w:rPr>
              <w:t>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vAlign w:val="center"/>
          </w:tcPr>
          <w:p>
            <w:pPr>
              <w:spacing w:line="400" w:lineRule="exact"/>
              <w:jc w:val="center"/>
              <w:rPr>
                <w:rFonts w:ascii="宋体" w:hAnsi="宋体"/>
                <w:color w:val="auto"/>
                <w:szCs w:val="21"/>
                <w:highlight w:val="none"/>
              </w:rPr>
            </w:pPr>
            <w:r>
              <w:rPr>
                <w:rFonts w:ascii="宋体" w:hAnsi="宋体"/>
                <w:color w:val="auto"/>
                <w:szCs w:val="21"/>
                <w:highlight w:val="none"/>
              </w:rPr>
              <w:t>2</w:t>
            </w:r>
          </w:p>
        </w:tc>
        <w:tc>
          <w:tcPr>
            <w:tcW w:w="8147" w:type="dxa"/>
            <w:gridSpan w:val="3"/>
            <w:vAlign w:val="center"/>
          </w:tcPr>
          <w:p>
            <w:pPr>
              <w:spacing w:line="400" w:lineRule="exact"/>
              <w:rPr>
                <w:rFonts w:ascii="宋体" w:hAnsi="宋体"/>
                <w:color w:val="auto"/>
                <w:szCs w:val="21"/>
                <w:highlight w:val="none"/>
              </w:rPr>
            </w:pPr>
            <w:r>
              <w:rPr>
                <w:rFonts w:hint="eastAsia" w:ascii="宋体" w:hAnsi="宋体"/>
                <w:color w:val="auto"/>
                <w:szCs w:val="21"/>
                <w:highlight w:val="none"/>
              </w:rPr>
              <w:t>总部地址：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vAlign w:val="center"/>
          </w:tcPr>
          <w:p>
            <w:pPr>
              <w:spacing w:line="400" w:lineRule="exact"/>
              <w:jc w:val="center"/>
              <w:rPr>
                <w:rFonts w:ascii="宋体" w:hAnsi="宋体"/>
                <w:color w:val="auto"/>
                <w:szCs w:val="21"/>
                <w:highlight w:val="none"/>
              </w:rPr>
            </w:pPr>
            <w:r>
              <w:rPr>
                <w:rFonts w:ascii="宋体" w:hAnsi="宋体"/>
                <w:color w:val="auto"/>
                <w:szCs w:val="21"/>
                <w:highlight w:val="none"/>
              </w:rPr>
              <w:t>3</w:t>
            </w:r>
          </w:p>
        </w:tc>
        <w:tc>
          <w:tcPr>
            <w:tcW w:w="8147" w:type="dxa"/>
            <w:gridSpan w:val="3"/>
            <w:vAlign w:val="center"/>
          </w:tcPr>
          <w:p>
            <w:pPr>
              <w:spacing w:line="400" w:lineRule="exact"/>
              <w:rPr>
                <w:rFonts w:ascii="宋体" w:hAnsi="宋体"/>
                <w:color w:val="auto"/>
                <w:szCs w:val="21"/>
                <w:highlight w:val="none"/>
              </w:rPr>
            </w:pPr>
            <w:r>
              <w:rPr>
                <w:rFonts w:hint="eastAsia" w:ascii="宋体" w:hAnsi="宋体"/>
                <w:color w:val="auto"/>
                <w:szCs w:val="21"/>
                <w:highlight w:val="none"/>
              </w:rPr>
              <w:t>当地代表处地址：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vAlign w:val="center"/>
          </w:tcPr>
          <w:p>
            <w:pPr>
              <w:spacing w:line="400" w:lineRule="exact"/>
              <w:jc w:val="center"/>
              <w:rPr>
                <w:rFonts w:ascii="宋体" w:hAnsi="宋体"/>
                <w:color w:val="auto"/>
                <w:szCs w:val="21"/>
                <w:highlight w:val="none"/>
              </w:rPr>
            </w:pPr>
            <w:r>
              <w:rPr>
                <w:rFonts w:ascii="宋体" w:hAnsi="宋体"/>
                <w:color w:val="auto"/>
                <w:szCs w:val="21"/>
                <w:highlight w:val="none"/>
              </w:rPr>
              <w:t>4</w:t>
            </w:r>
          </w:p>
        </w:tc>
        <w:tc>
          <w:tcPr>
            <w:tcW w:w="4305" w:type="dxa"/>
            <w:vAlign w:val="center"/>
          </w:tcPr>
          <w:p>
            <w:pPr>
              <w:spacing w:line="400" w:lineRule="exact"/>
              <w:rPr>
                <w:rFonts w:ascii="宋体" w:hAnsi="宋体"/>
                <w:color w:val="auto"/>
                <w:szCs w:val="21"/>
                <w:highlight w:val="none"/>
              </w:rPr>
            </w:pPr>
            <w:r>
              <w:rPr>
                <w:rFonts w:hint="eastAsia" w:ascii="宋体" w:hAnsi="宋体"/>
                <w:color w:val="auto"/>
                <w:szCs w:val="21"/>
                <w:highlight w:val="none"/>
              </w:rPr>
              <w:t>电</w:t>
            </w:r>
            <w:r>
              <w:rPr>
                <w:rFonts w:ascii="宋体" w:hAnsi="宋体"/>
                <w:color w:val="auto"/>
                <w:szCs w:val="21"/>
                <w:highlight w:val="none"/>
              </w:rPr>
              <w:t xml:space="preserve">  </w:t>
            </w:r>
            <w:r>
              <w:rPr>
                <w:rFonts w:hint="eastAsia" w:ascii="宋体" w:hAnsi="宋体"/>
                <w:color w:val="auto"/>
                <w:szCs w:val="21"/>
                <w:highlight w:val="none"/>
              </w:rPr>
              <w:t>话：</w:t>
            </w:r>
          </w:p>
        </w:tc>
        <w:tc>
          <w:tcPr>
            <w:tcW w:w="3842" w:type="dxa"/>
            <w:gridSpan w:val="2"/>
            <w:vAlign w:val="center"/>
          </w:tcPr>
          <w:p>
            <w:pPr>
              <w:spacing w:line="400" w:lineRule="exact"/>
              <w:rPr>
                <w:rFonts w:ascii="宋体" w:hAnsi="宋体"/>
                <w:color w:val="auto"/>
                <w:szCs w:val="21"/>
                <w:highlight w:val="none"/>
              </w:rPr>
            </w:pPr>
            <w:r>
              <w:rPr>
                <w:rFonts w:hint="eastAsia" w:ascii="宋体" w:hAnsi="宋体"/>
                <w:color w:val="auto"/>
                <w:szCs w:val="21"/>
                <w:highlight w:val="none"/>
              </w:rPr>
              <w:t>联</w:t>
            </w:r>
            <w:r>
              <w:rPr>
                <w:rFonts w:ascii="宋体" w:hAnsi="宋体"/>
                <w:color w:val="auto"/>
                <w:szCs w:val="21"/>
                <w:highlight w:val="none"/>
              </w:rPr>
              <w:t xml:space="preserve"> </w:t>
            </w:r>
            <w:r>
              <w:rPr>
                <w:rFonts w:hint="eastAsia" w:ascii="宋体" w:hAnsi="宋体"/>
                <w:color w:val="auto"/>
                <w:szCs w:val="21"/>
                <w:highlight w:val="none"/>
              </w:rPr>
              <w:t>系</w:t>
            </w:r>
            <w:r>
              <w:rPr>
                <w:rFonts w:ascii="宋体" w:hAnsi="宋体"/>
                <w:color w:val="auto"/>
                <w:szCs w:val="21"/>
                <w:highlight w:val="none"/>
              </w:rPr>
              <w:t xml:space="preserve"> </w:t>
            </w:r>
            <w:r>
              <w:rPr>
                <w:rFonts w:hint="eastAsia" w:ascii="宋体" w:hAnsi="宋体"/>
                <w:color w:val="auto"/>
                <w:szCs w:val="21"/>
                <w:highlight w:val="none"/>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vAlign w:val="center"/>
          </w:tcPr>
          <w:p>
            <w:pPr>
              <w:spacing w:line="400" w:lineRule="exact"/>
              <w:jc w:val="center"/>
              <w:rPr>
                <w:rFonts w:ascii="宋体" w:hAnsi="宋体"/>
                <w:color w:val="auto"/>
                <w:szCs w:val="21"/>
                <w:highlight w:val="none"/>
              </w:rPr>
            </w:pPr>
            <w:r>
              <w:rPr>
                <w:rFonts w:ascii="宋体" w:hAnsi="宋体"/>
                <w:color w:val="auto"/>
                <w:szCs w:val="21"/>
                <w:highlight w:val="none"/>
              </w:rPr>
              <w:t>5</w:t>
            </w:r>
          </w:p>
        </w:tc>
        <w:tc>
          <w:tcPr>
            <w:tcW w:w="4305" w:type="dxa"/>
            <w:vAlign w:val="center"/>
          </w:tcPr>
          <w:p>
            <w:pPr>
              <w:spacing w:line="400" w:lineRule="exact"/>
              <w:rPr>
                <w:rFonts w:ascii="宋体" w:hAnsi="宋体"/>
                <w:color w:val="auto"/>
                <w:szCs w:val="21"/>
                <w:highlight w:val="none"/>
              </w:rPr>
            </w:pPr>
            <w:r>
              <w:rPr>
                <w:rFonts w:hint="eastAsia" w:ascii="宋体" w:hAnsi="宋体"/>
                <w:color w:val="auto"/>
                <w:szCs w:val="21"/>
                <w:highlight w:val="none"/>
              </w:rPr>
              <w:t>传</w:t>
            </w:r>
            <w:r>
              <w:rPr>
                <w:rFonts w:ascii="宋体" w:hAnsi="宋体"/>
                <w:color w:val="auto"/>
                <w:szCs w:val="21"/>
                <w:highlight w:val="none"/>
              </w:rPr>
              <w:t xml:space="preserve">  </w:t>
            </w:r>
            <w:r>
              <w:rPr>
                <w:rFonts w:hint="eastAsia" w:ascii="宋体" w:hAnsi="宋体"/>
                <w:color w:val="auto"/>
                <w:szCs w:val="21"/>
                <w:highlight w:val="none"/>
              </w:rPr>
              <w:t>真：</w:t>
            </w:r>
          </w:p>
        </w:tc>
        <w:tc>
          <w:tcPr>
            <w:tcW w:w="3842" w:type="dxa"/>
            <w:gridSpan w:val="2"/>
            <w:vAlign w:val="center"/>
          </w:tcPr>
          <w:p>
            <w:pPr>
              <w:spacing w:line="400" w:lineRule="exact"/>
              <w:rPr>
                <w:rFonts w:ascii="宋体" w:hAnsi="宋体"/>
                <w:color w:val="auto"/>
                <w:szCs w:val="21"/>
                <w:highlight w:val="none"/>
              </w:rPr>
            </w:pPr>
            <w:r>
              <w:rPr>
                <w:rFonts w:hint="eastAsia" w:ascii="宋体" w:hAnsi="宋体"/>
                <w:color w:val="auto"/>
                <w:szCs w:val="21"/>
                <w:highlight w:val="none"/>
              </w:rPr>
              <w:t>电子信箱：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vAlign w:val="center"/>
          </w:tcPr>
          <w:p>
            <w:pPr>
              <w:spacing w:line="400" w:lineRule="exact"/>
              <w:jc w:val="center"/>
              <w:rPr>
                <w:rFonts w:ascii="宋体" w:hAnsi="宋体"/>
                <w:color w:val="auto"/>
                <w:szCs w:val="21"/>
                <w:highlight w:val="none"/>
              </w:rPr>
            </w:pPr>
            <w:r>
              <w:rPr>
                <w:rFonts w:ascii="宋体" w:hAnsi="宋体"/>
                <w:color w:val="auto"/>
                <w:szCs w:val="21"/>
                <w:highlight w:val="none"/>
              </w:rPr>
              <w:t>6</w:t>
            </w:r>
          </w:p>
        </w:tc>
        <w:tc>
          <w:tcPr>
            <w:tcW w:w="4305" w:type="dxa"/>
            <w:vAlign w:val="center"/>
          </w:tcPr>
          <w:p>
            <w:pPr>
              <w:spacing w:line="400" w:lineRule="exact"/>
              <w:rPr>
                <w:rFonts w:ascii="宋体" w:hAnsi="宋体"/>
                <w:color w:val="auto"/>
                <w:szCs w:val="21"/>
                <w:highlight w:val="none"/>
              </w:rPr>
            </w:pPr>
            <w:r>
              <w:rPr>
                <w:rFonts w:hint="eastAsia" w:ascii="宋体" w:hAnsi="宋体"/>
                <w:color w:val="auto"/>
                <w:szCs w:val="21"/>
                <w:highlight w:val="none"/>
              </w:rPr>
              <w:t>注册地：</w:t>
            </w:r>
          </w:p>
        </w:tc>
        <w:tc>
          <w:tcPr>
            <w:tcW w:w="3842" w:type="dxa"/>
            <w:gridSpan w:val="2"/>
            <w:vAlign w:val="center"/>
          </w:tcPr>
          <w:p>
            <w:pPr>
              <w:spacing w:line="400" w:lineRule="exact"/>
              <w:rPr>
                <w:rFonts w:ascii="宋体" w:hAnsi="宋体"/>
                <w:color w:val="auto"/>
                <w:szCs w:val="21"/>
                <w:highlight w:val="none"/>
              </w:rPr>
            </w:pPr>
            <w:r>
              <w:rPr>
                <w:rFonts w:hint="eastAsia" w:ascii="宋体" w:hAnsi="宋体"/>
                <w:color w:val="auto"/>
                <w:szCs w:val="21"/>
                <w:highlight w:val="none"/>
              </w:rPr>
              <w:t>注册年份：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vAlign w:val="center"/>
          </w:tcPr>
          <w:p>
            <w:pPr>
              <w:spacing w:line="400" w:lineRule="exact"/>
              <w:jc w:val="center"/>
              <w:rPr>
                <w:rFonts w:ascii="宋体" w:hAnsi="宋体"/>
                <w:color w:val="auto"/>
                <w:szCs w:val="21"/>
                <w:highlight w:val="none"/>
              </w:rPr>
            </w:pPr>
            <w:r>
              <w:rPr>
                <w:rFonts w:ascii="宋体" w:hAnsi="宋体"/>
                <w:color w:val="auto"/>
                <w:szCs w:val="21"/>
                <w:highlight w:val="none"/>
              </w:rPr>
              <w:t>7</w:t>
            </w:r>
          </w:p>
        </w:tc>
        <w:tc>
          <w:tcPr>
            <w:tcW w:w="8147" w:type="dxa"/>
            <w:gridSpan w:val="3"/>
            <w:vAlign w:val="center"/>
          </w:tcPr>
          <w:p>
            <w:pPr>
              <w:spacing w:line="400" w:lineRule="exact"/>
              <w:rPr>
                <w:rFonts w:ascii="宋体" w:hAnsi="宋体"/>
                <w:color w:val="auto"/>
                <w:szCs w:val="21"/>
                <w:highlight w:val="none"/>
              </w:rPr>
            </w:pPr>
            <w:r>
              <w:rPr>
                <w:rFonts w:hint="eastAsia" w:ascii="宋体" w:hAnsi="宋体"/>
                <w:color w:val="auto"/>
                <w:szCs w:val="21"/>
                <w:highlight w:val="none"/>
              </w:rPr>
              <w:t>公司的资质等级（请附上有关证书的扫描件）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vAlign w:val="center"/>
          </w:tcPr>
          <w:p>
            <w:pPr>
              <w:spacing w:line="400" w:lineRule="exact"/>
              <w:jc w:val="center"/>
              <w:rPr>
                <w:rFonts w:ascii="宋体" w:hAnsi="宋体"/>
                <w:color w:val="auto"/>
                <w:szCs w:val="21"/>
                <w:highlight w:val="none"/>
              </w:rPr>
            </w:pPr>
            <w:r>
              <w:rPr>
                <w:rFonts w:ascii="宋体" w:hAnsi="宋体"/>
                <w:color w:val="auto"/>
                <w:szCs w:val="21"/>
                <w:highlight w:val="none"/>
              </w:rPr>
              <w:t>8</w:t>
            </w:r>
          </w:p>
        </w:tc>
        <w:tc>
          <w:tcPr>
            <w:tcW w:w="8147" w:type="dxa"/>
            <w:gridSpan w:val="3"/>
            <w:vAlign w:val="center"/>
          </w:tcPr>
          <w:p>
            <w:pPr>
              <w:spacing w:line="400" w:lineRule="exact"/>
              <w:rPr>
                <w:rFonts w:ascii="宋体" w:hAnsi="宋体"/>
                <w:color w:val="auto"/>
                <w:szCs w:val="21"/>
                <w:highlight w:val="none"/>
              </w:rPr>
            </w:pPr>
            <w:r>
              <w:rPr>
                <w:rFonts w:hint="eastAsia" w:ascii="宋体" w:hAnsi="宋体"/>
                <w:color w:val="auto"/>
                <w:szCs w:val="21"/>
                <w:highlight w:val="none"/>
              </w:rPr>
              <w:t>公司（是否通过，何种）质量保证体系认证（如通过请附相关证书扫描件，提供认证机构年审监督报告）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vAlign w:val="center"/>
          </w:tcPr>
          <w:p>
            <w:pPr>
              <w:spacing w:line="400" w:lineRule="exact"/>
              <w:jc w:val="center"/>
              <w:rPr>
                <w:rFonts w:ascii="宋体" w:hAnsi="宋体"/>
                <w:color w:val="auto"/>
                <w:szCs w:val="21"/>
                <w:highlight w:val="none"/>
              </w:rPr>
            </w:pPr>
            <w:r>
              <w:rPr>
                <w:rFonts w:ascii="宋体" w:hAnsi="宋体"/>
                <w:color w:val="auto"/>
                <w:szCs w:val="21"/>
                <w:highlight w:val="none"/>
              </w:rPr>
              <w:t>9</w:t>
            </w:r>
          </w:p>
        </w:tc>
        <w:tc>
          <w:tcPr>
            <w:tcW w:w="4314" w:type="dxa"/>
            <w:gridSpan w:val="2"/>
            <w:vAlign w:val="center"/>
          </w:tcPr>
          <w:p>
            <w:pPr>
              <w:spacing w:line="400" w:lineRule="exact"/>
              <w:rPr>
                <w:rFonts w:ascii="宋体" w:hAnsi="宋体"/>
                <w:color w:val="auto"/>
                <w:szCs w:val="21"/>
                <w:highlight w:val="none"/>
              </w:rPr>
            </w:pPr>
            <w:r>
              <w:rPr>
                <w:rFonts w:hint="eastAsia" w:ascii="宋体" w:hAnsi="宋体"/>
                <w:color w:val="auto"/>
                <w:szCs w:val="21"/>
                <w:highlight w:val="none"/>
              </w:rPr>
              <w:t>从业人员数量</w:t>
            </w:r>
          </w:p>
        </w:tc>
        <w:tc>
          <w:tcPr>
            <w:tcW w:w="3833" w:type="dxa"/>
            <w:vAlign w:val="center"/>
          </w:tcPr>
          <w:p>
            <w:pPr>
              <w:spacing w:line="400" w:lineRule="exact"/>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vAlign w:val="center"/>
          </w:tcPr>
          <w:p>
            <w:pPr>
              <w:spacing w:line="400" w:lineRule="exact"/>
              <w:jc w:val="center"/>
              <w:rPr>
                <w:rFonts w:ascii="宋体" w:hAnsi="宋体"/>
                <w:color w:val="auto"/>
                <w:szCs w:val="21"/>
                <w:highlight w:val="none"/>
              </w:rPr>
            </w:pPr>
            <w:r>
              <w:rPr>
                <w:rFonts w:ascii="宋体" w:hAnsi="宋体"/>
                <w:color w:val="auto"/>
                <w:szCs w:val="21"/>
                <w:highlight w:val="none"/>
              </w:rPr>
              <w:t>10</w:t>
            </w:r>
          </w:p>
        </w:tc>
        <w:tc>
          <w:tcPr>
            <w:tcW w:w="4314" w:type="dxa"/>
            <w:gridSpan w:val="2"/>
            <w:vAlign w:val="center"/>
          </w:tcPr>
          <w:p>
            <w:pPr>
              <w:spacing w:line="400" w:lineRule="exact"/>
              <w:rPr>
                <w:rFonts w:ascii="宋体" w:hAnsi="宋体"/>
                <w:color w:val="auto"/>
                <w:szCs w:val="21"/>
                <w:highlight w:val="none"/>
              </w:rPr>
            </w:pPr>
            <w:r>
              <w:rPr>
                <w:rFonts w:hint="eastAsia" w:ascii="宋体" w:hAnsi="宋体"/>
                <w:color w:val="auto"/>
                <w:szCs w:val="21"/>
                <w:highlight w:val="none"/>
              </w:rPr>
              <w:t>营业收入</w:t>
            </w:r>
          </w:p>
        </w:tc>
        <w:tc>
          <w:tcPr>
            <w:tcW w:w="3833" w:type="dxa"/>
            <w:vAlign w:val="center"/>
          </w:tcPr>
          <w:p>
            <w:pPr>
              <w:spacing w:line="400" w:lineRule="exact"/>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vAlign w:val="center"/>
          </w:tcPr>
          <w:p>
            <w:pPr>
              <w:spacing w:line="400" w:lineRule="exact"/>
              <w:jc w:val="center"/>
              <w:rPr>
                <w:rFonts w:ascii="宋体" w:hAnsi="宋体"/>
                <w:color w:val="auto"/>
                <w:szCs w:val="21"/>
                <w:highlight w:val="none"/>
              </w:rPr>
            </w:pPr>
            <w:r>
              <w:rPr>
                <w:rFonts w:ascii="宋体" w:hAnsi="宋体"/>
                <w:color w:val="auto"/>
                <w:szCs w:val="21"/>
                <w:highlight w:val="none"/>
              </w:rPr>
              <w:t>11</w:t>
            </w:r>
          </w:p>
        </w:tc>
        <w:tc>
          <w:tcPr>
            <w:tcW w:w="4314" w:type="dxa"/>
            <w:gridSpan w:val="2"/>
            <w:vAlign w:val="center"/>
          </w:tcPr>
          <w:p>
            <w:pPr>
              <w:spacing w:line="400" w:lineRule="exact"/>
              <w:rPr>
                <w:rFonts w:ascii="宋体" w:hAnsi="宋体"/>
                <w:color w:val="auto"/>
                <w:szCs w:val="21"/>
                <w:highlight w:val="none"/>
              </w:rPr>
            </w:pPr>
            <w:r>
              <w:rPr>
                <w:rFonts w:hint="eastAsia" w:ascii="宋体" w:hAnsi="宋体"/>
                <w:color w:val="auto"/>
                <w:szCs w:val="21"/>
                <w:highlight w:val="none"/>
              </w:rPr>
              <w:t>其他需要说明的情况</w:t>
            </w:r>
          </w:p>
        </w:tc>
        <w:tc>
          <w:tcPr>
            <w:tcW w:w="3833" w:type="dxa"/>
            <w:vAlign w:val="center"/>
          </w:tcPr>
          <w:p>
            <w:pPr>
              <w:spacing w:line="400" w:lineRule="exact"/>
              <w:rPr>
                <w:rFonts w:ascii="宋体" w:hAnsi="宋体"/>
                <w:color w:val="auto"/>
                <w:szCs w:val="21"/>
                <w:highlight w:val="none"/>
              </w:rPr>
            </w:pPr>
          </w:p>
        </w:tc>
      </w:tr>
    </w:tbl>
    <w:p>
      <w:pPr>
        <w:spacing w:line="400" w:lineRule="atLeast"/>
        <w:jc w:val="left"/>
        <w:rPr>
          <w:rFonts w:ascii="宋体" w:hAnsi="宋体"/>
          <w:color w:val="auto"/>
          <w:szCs w:val="21"/>
          <w:highlight w:val="none"/>
        </w:rPr>
      </w:pPr>
    </w:p>
    <w:p>
      <w:pPr>
        <w:spacing w:line="400" w:lineRule="atLeast"/>
        <w:jc w:val="left"/>
        <w:rPr>
          <w:rFonts w:ascii="宋体" w:hAnsi="宋体"/>
          <w:color w:val="auto"/>
          <w:szCs w:val="21"/>
          <w:highlight w:val="none"/>
        </w:rPr>
      </w:pPr>
    </w:p>
    <w:p>
      <w:pPr>
        <w:spacing w:line="400" w:lineRule="exact"/>
        <w:jc w:val="left"/>
        <w:rPr>
          <w:rFonts w:ascii="宋体" w:hAnsi="宋体"/>
          <w:color w:val="auto"/>
          <w:szCs w:val="21"/>
          <w:highlight w:val="none"/>
        </w:rPr>
      </w:pPr>
      <w:r>
        <w:rPr>
          <w:rFonts w:hint="eastAsia" w:ascii="宋体" w:hAnsi="宋体"/>
          <w:color w:val="auto"/>
          <w:szCs w:val="21"/>
          <w:highlight w:val="none"/>
        </w:rPr>
        <w:t>供应商（盖章）：</w:t>
      </w:r>
      <w:r>
        <w:rPr>
          <w:rFonts w:ascii="宋体" w:hAnsi="宋体"/>
          <w:color w:val="auto"/>
          <w:szCs w:val="21"/>
          <w:highlight w:val="none"/>
          <w:u w:val="single"/>
        </w:rPr>
        <w:t xml:space="preserve">                                </w:t>
      </w:r>
      <w:r>
        <w:rPr>
          <w:rFonts w:ascii="宋体" w:hAnsi="宋体"/>
          <w:color w:val="auto"/>
          <w:szCs w:val="21"/>
          <w:highlight w:val="none"/>
        </w:rPr>
        <w:t xml:space="preserve">          </w:t>
      </w:r>
    </w:p>
    <w:p>
      <w:pPr>
        <w:spacing w:line="400" w:lineRule="exact"/>
        <w:rPr>
          <w:rFonts w:ascii="宋体" w:hAnsi="宋体"/>
          <w:b/>
          <w:color w:val="auto"/>
          <w:szCs w:val="21"/>
          <w:highlight w:val="none"/>
        </w:rPr>
      </w:pPr>
      <w:r>
        <w:rPr>
          <w:rFonts w:hint="eastAsia" w:ascii="宋体" w:hAnsi="宋体"/>
          <w:color w:val="auto"/>
          <w:szCs w:val="21"/>
          <w:highlight w:val="none"/>
        </w:rPr>
        <w:t>日</w:t>
      </w:r>
      <w:r>
        <w:rPr>
          <w:rFonts w:ascii="宋体" w:hAnsi="宋体"/>
          <w:color w:val="auto"/>
          <w:szCs w:val="21"/>
          <w:highlight w:val="none"/>
        </w:rPr>
        <w:t xml:space="preserve">          </w:t>
      </w:r>
      <w:r>
        <w:rPr>
          <w:rFonts w:hint="eastAsia" w:ascii="宋体" w:hAnsi="宋体"/>
          <w:color w:val="auto"/>
          <w:szCs w:val="21"/>
          <w:highlight w:val="none"/>
        </w:rPr>
        <w:t>期：</w:t>
      </w:r>
      <w:r>
        <w:rPr>
          <w:rFonts w:ascii="宋体" w:hAnsi="宋体"/>
          <w:color w:val="auto"/>
          <w:szCs w:val="21"/>
          <w:highlight w:val="none"/>
          <w:u w:val="single"/>
        </w:rPr>
        <w:t xml:space="preserve">                                </w:t>
      </w:r>
    </w:p>
    <w:p>
      <w:pPr>
        <w:spacing w:line="360" w:lineRule="auto"/>
        <w:rPr>
          <w:rStyle w:val="104"/>
          <w:rFonts w:ascii="宋体" w:hAnsi="宋体"/>
          <w:color w:val="auto"/>
          <w:sz w:val="21"/>
          <w:szCs w:val="21"/>
          <w:highlight w:val="none"/>
        </w:rPr>
      </w:pPr>
      <w:r>
        <w:rPr>
          <w:rFonts w:ascii="宋体" w:hAnsi="宋体"/>
          <w:color w:val="auto"/>
          <w:szCs w:val="21"/>
          <w:highlight w:val="none"/>
        </w:rPr>
        <w:br w:type="page"/>
      </w:r>
    </w:p>
    <w:p>
      <w:pPr>
        <w:spacing w:line="400" w:lineRule="exact"/>
        <w:jc w:val="both"/>
        <w:rPr>
          <w:rFonts w:hint="eastAsia" w:ascii="宋体" w:hAnsi="宋体"/>
          <w:b/>
          <w:color w:val="auto"/>
          <w:szCs w:val="21"/>
          <w:highlight w:val="none"/>
          <w:lang w:eastAsia="zh-CN"/>
        </w:rPr>
      </w:pPr>
      <w:r>
        <w:rPr>
          <w:rFonts w:hint="eastAsia" w:ascii="宋体" w:hAnsi="宋体"/>
          <w:b/>
          <w:color w:val="auto"/>
          <w:szCs w:val="21"/>
          <w:highlight w:val="none"/>
          <w:lang w:eastAsia="zh-CN"/>
        </w:rPr>
        <w:t>附件六</w:t>
      </w:r>
    </w:p>
    <w:p>
      <w:pPr>
        <w:spacing w:line="400" w:lineRule="exact"/>
        <w:jc w:val="center"/>
        <w:rPr>
          <w:rFonts w:ascii="宋体" w:hAnsi="宋体"/>
          <w:b/>
          <w:color w:val="auto"/>
          <w:szCs w:val="21"/>
          <w:highlight w:val="none"/>
        </w:rPr>
      </w:pPr>
      <w:r>
        <w:rPr>
          <w:rFonts w:hint="eastAsia" w:ascii="宋体" w:hAnsi="宋体"/>
          <w:b/>
          <w:color w:val="auto"/>
          <w:szCs w:val="21"/>
          <w:highlight w:val="none"/>
        </w:rPr>
        <w:t>商务条款响应表</w:t>
      </w:r>
    </w:p>
    <w:p>
      <w:pPr>
        <w:spacing w:line="360" w:lineRule="auto"/>
        <w:ind w:left="540"/>
        <w:jc w:val="center"/>
        <w:rPr>
          <w:rFonts w:ascii="宋体" w:hAnsi="宋体"/>
          <w:b/>
          <w:color w:val="auto"/>
          <w:szCs w:val="21"/>
          <w:highlight w:val="none"/>
        </w:rPr>
      </w:pPr>
    </w:p>
    <w:p>
      <w:pPr>
        <w:adjustRightInd w:val="0"/>
        <w:snapToGrid w:val="0"/>
        <w:spacing w:line="360" w:lineRule="auto"/>
        <w:rPr>
          <w:rFonts w:hint="eastAsia" w:ascii="宋体" w:hAnsi="宋体" w:eastAsia="宋体"/>
          <w:color w:val="auto"/>
          <w:szCs w:val="21"/>
          <w:highlight w:val="none"/>
          <w:lang w:eastAsia="zh-CN"/>
        </w:rPr>
      </w:pPr>
      <w:r>
        <w:rPr>
          <w:rFonts w:hint="eastAsia" w:ascii="宋体" w:hAnsi="宋体"/>
          <w:color w:val="auto"/>
          <w:szCs w:val="21"/>
          <w:highlight w:val="none"/>
        </w:rPr>
        <w:t>项目名称：</w:t>
      </w:r>
      <w:r>
        <w:rPr>
          <w:rFonts w:hint="eastAsia" w:ascii="宋体" w:hAnsi="宋体"/>
          <w:color w:val="auto"/>
          <w:szCs w:val="21"/>
          <w:highlight w:val="none"/>
          <w:u w:val="single"/>
          <w:lang w:eastAsia="zh-CN"/>
        </w:rPr>
        <w:t>温州医科大学慈溪生物医药研究院三维皮肤气液交换培养生物反应器采购项目</w:t>
      </w:r>
    </w:p>
    <w:p>
      <w:pPr>
        <w:adjustRightInd w:val="0"/>
        <w:snapToGrid w:val="0"/>
        <w:spacing w:line="360" w:lineRule="auto"/>
        <w:rPr>
          <w:rFonts w:hint="default" w:ascii="宋体" w:hAnsi="宋体" w:eastAsia="宋体"/>
          <w:color w:val="auto"/>
          <w:szCs w:val="21"/>
          <w:highlight w:val="none"/>
          <w:u w:val="single"/>
          <w:lang w:val="en-US" w:eastAsia="zh-CN"/>
        </w:rPr>
      </w:pPr>
      <w:r>
        <w:rPr>
          <w:rFonts w:hint="eastAsia" w:ascii="宋体" w:hAnsi="宋体"/>
          <w:color w:val="auto"/>
          <w:szCs w:val="21"/>
          <w:highlight w:val="none"/>
        </w:rPr>
        <w:t>项目编号：</w:t>
      </w:r>
      <w:r>
        <w:rPr>
          <w:rFonts w:hint="eastAsia" w:ascii="宋体" w:hAnsi="宋体"/>
          <w:color w:val="auto"/>
          <w:szCs w:val="21"/>
          <w:highlight w:val="none"/>
          <w:u w:val="single"/>
          <w:lang w:val="en-US" w:eastAsia="zh-CN"/>
        </w:rPr>
        <w:t xml:space="preserve"> 330282202311009365  </w:t>
      </w:r>
    </w:p>
    <w:tbl>
      <w:tblPr>
        <w:tblStyle w:val="4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2824"/>
        <w:gridCol w:w="2835"/>
        <w:gridCol w:w="23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vAlign w:val="center"/>
          </w:tcPr>
          <w:p>
            <w:pPr>
              <w:adjustRightInd w:val="0"/>
              <w:snapToGrid w:val="0"/>
              <w:spacing w:line="400" w:lineRule="exact"/>
              <w:jc w:val="center"/>
              <w:rPr>
                <w:rFonts w:ascii="宋体" w:hAnsi="宋体"/>
                <w:color w:val="auto"/>
                <w:szCs w:val="21"/>
                <w:highlight w:val="none"/>
              </w:rPr>
            </w:pPr>
            <w:r>
              <w:rPr>
                <w:rFonts w:hint="eastAsia" w:ascii="宋体" w:hAnsi="宋体"/>
                <w:color w:val="auto"/>
                <w:szCs w:val="21"/>
                <w:highlight w:val="none"/>
              </w:rPr>
              <w:t>序号</w:t>
            </w:r>
          </w:p>
        </w:tc>
        <w:tc>
          <w:tcPr>
            <w:tcW w:w="2824" w:type="dxa"/>
            <w:vAlign w:val="center"/>
          </w:tcPr>
          <w:p>
            <w:pPr>
              <w:adjustRightInd w:val="0"/>
              <w:snapToGrid w:val="0"/>
              <w:spacing w:line="400" w:lineRule="exact"/>
              <w:jc w:val="center"/>
              <w:rPr>
                <w:rFonts w:ascii="宋体" w:hAnsi="宋体"/>
                <w:color w:val="auto"/>
                <w:szCs w:val="21"/>
                <w:highlight w:val="none"/>
              </w:rPr>
            </w:pPr>
            <w:r>
              <w:rPr>
                <w:rFonts w:hint="eastAsia" w:ascii="宋体" w:hAnsi="宋体"/>
                <w:color w:val="auto"/>
                <w:szCs w:val="21"/>
                <w:highlight w:val="none"/>
              </w:rPr>
              <w:t>招标要求</w:t>
            </w:r>
          </w:p>
        </w:tc>
        <w:tc>
          <w:tcPr>
            <w:tcW w:w="2835" w:type="dxa"/>
            <w:vAlign w:val="center"/>
          </w:tcPr>
          <w:p>
            <w:pPr>
              <w:adjustRightInd w:val="0"/>
              <w:snapToGrid w:val="0"/>
              <w:spacing w:line="400" w:lineRule="exact"/>
              <w:jc w:val="center"/>
              <w:rPr>
                <w:rFonts w:ascii="宋体" w:hAnsi="宋体"/>
                <w:color w:val="auto"/>
                <w:szCs w:val="21"/>
                <w:highlight w:val="none"/>
              </w:rPr>
            </w:pPr>
            <w:r>
              <w:rPr>
                <w:rFonts w:hint="eastAsia" w:ascii="宋体" w:hAnsi="宋体"/>
                <w:color w:val="auto"/>
                <w:szCs w:val="21"/>
                <w:highlight w:val="none"/>
              </w:rPr>
              <w:t>投标响应</w:t>
            </w:r>
          </w:p>
        </w:tc>
        <w:tc>
          <w:tcPr>
            <w:tcW w:w="2369" w:type="dxa"/>
            <w:vAlign w:val="center"/>
          </w:tcPr>
          <w:p>
            <w:pPr>
              <w:adjustRightInd w:val="0"/>
              <w:snapToGrid w:val="0"/>
              <w:spacing w:line="400" w:lineRule="exact"/>
              <w:jc w:val="center"/>
              <w:rPr>
                <w:rFonts w:ascii="宋体" w:hAnsi="宋体"/>
                <w:color w:val="auto"/>
                <w:szCs w:val="21"/>
                <w:highlight w:val="none"/>
              </w:rPr>
            </w:pPr>
            <w:r>
              <w:rPr>
                <w:rFonts w:hint="eastAsia" w:ascii="宋体" w:hAnsi="宋体"/>
                <w:color w:val="auto"/>
                <w:szCs w:val="21"/>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vAlign w:val="center"/>
          </w:tcPr>
          <w:p>
            <w:pPr>
              <w:adjustRightInd w:val="0"/>
              <w:snapToGrid w:val="0"/>
              <w:spacing w:line="400" w:lineRule="exact"/>
              <w:jc w:val="center"/>
              <w:rPr>
                <w:rFonts w:ascii="宋体" w:hAnsi="宋体"/>
                <w:color w:val="auto"/>
                <w:szCs w:val="21"/>
                <w:highlight w:val="none"/>
              </w:rPr>
            </w:pPr>
          </w:p>
        </w:tc>
        <w:tc>
          <w:tcPr>
            <w:tcW w:w="2824" w:type="dxa"/>
            <w:vAlign w:val="center"/>
          </w:tcPr>
          <w:p>
            <w:pPr>
              <w:adjustRightInd w:val="0"/>
              <w:snapToGrid w:val="0"/>
              <w:spacing w:line="400" w:lineRule="exact"/>
              <w:jc w:val="center"/>
              <w:rPr>
                <w:rFonts w:ascii="宋体" w:hAnsi="宋体"/>
                <w:color w:val="auto"/>
                <w:szCs w:val="21"/>
                <w:highlight w:val="none"/>
              </w:rPr>
            </w:pPr>
          </w:p>
        </w:tc>
        <w:tc>
          <w:tcPr>
            <w:tcW w:w="2835" w:type="dxa"/>
            <w:vAlign w:val="center"/>
          </w:tcPr>
          <w:p>
            <w:pPr>
              <w:adjustRightInd w:val="0"/>
              <w:snapToGrid w:val="0"/>
              <w:spacing w:line="400" w:lineRule="exact"/>
              <w:jc w:val="center"/>
              <w:rPr>
                <w:rFonts w:ascii="宋体" w:hAnsi="宋体"/>
                <w:color w:val="auto"/>
                <w:szCs w:val="21"/>
                <w:highlight w:val="none"/>
              </w:rPr>
            </w:pPr>
          </w:p>
        </w:tc>
        <w:tc>
          <w:tcPr>
            <w:tcW w:w="2369" w:type="dxa"/>
            <w:vAlign w:val="center"/>
          </w:tcPr>
          <w:p>
            <w:pPr>
              <w:adjustRightInd w:val="0"/>
              <w:snapToGrid w:val="0"/>
              <w:spacing w:line="40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vAlign w:val="center"/>
          </w:tcPr>
          <w:p>
            <w:pPr>
              <w:adjustRightInd w:val="0"/>
              <w:snapToGrid w:val="0"/>
              <w:spacing w:line="400" w:lineRule="exact"/>
              <w:jc w:val="center"/>
              <w:rPr>
                <w:rFonts w:ascii="宋体" w:hAnsi="宋体"/>
                <w:color w:val="auto"/>
                <w:szCs w:val="21"/>
                <w:highlight w:val="none"/>
              </w:rPr>
            </w:pPr>
          </w:p>
        </w:tc>
        <w:tc>
          <w:tcPr>
            <w:tcW w:w="2824" w:type="dxa"/>
            <w:vAlign w:val="center"/>
          </w:tcPr>
          <w:p>
            <w:pPr>
              <w:adjustRightInd w:val="0"/>
              <w:snapToGrid w:val="0"/>
              <w:spacing w:line="400" w:lineRule="exact"/>
              <w:jc w:val="center"/>
              <w:rPr>
                <w:rFonts w:ascii="宋体" w:hAnsi="宋体"/>
                <w:color w:val="auto"/>
                <w:szCs w:val="21"/>
                <w:highlight w:val="none"/>
              </w:rPr>
            </w:pPr>
          </w:p>
        </w:tc>
        <w:tc>
          <w:tcPr>
            <w:tcW w:w="2835" w:type="dxa"/>
            <w:vAlign w:val="center"/>
          </w:tcPr>
          <w:p>
            <w:pPr>
              <w:adjustRightInd w:val="0"/>
              <w:snapToGrid w:val="0"/>
              <w:spacing w:line="400" w:lineRule="exact"/>
              <w:jc w:val="center"/>
              <w:rPr>
                <w:rFonts w:ascii="宋体" w:hAnsi="宋体"/>
                <w:color w:val="auto"/>
                <w:szCs w:val="21"/>
                <w:highlight w:val="none"/>
              </w:rPr>
            </w:pPr>
          </w:p>
        </w:tc>
        <w:tc>
          <w:tcPr>
            <w:tcW w:w="2369" w:type="dxa"/>
            <w:vAlign w:val="center"/>
          </w:tcPr>
          <w:p>
            <w:pPr>
              <w:adjustRightInd w:val="0"/>
              <w:snapToGrid w:val="0"/>
              <w:spacing w:line="40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vAlign w:val="center"/>
          </w:tcPr>
          <w:p>
            <w:pPr>
              <w:adjustRightInd w:val="0"/>
              <w:snapToGrid w:val="0"/>
              <w:spacing w:line="400" w:lineRule="exact"/>
              <w:jc w:val="center"/>
              <w:rPr>
                <w:rFonts w:ascii="宋体" w:hAnsi="宋体"/>
                <w:color w:val="auto"/>
                <w:szCs w:val="21"/>
                <w:highlight w:val="none"/>
              </w:rPr>
            </w:pPr>
          </w:p>
        </w:tc>
        <w:tc>
          <w:tcPr>
            <w:tcW w:w="2824" w:type="dxa"/>
            <w:vAlign w:val="center"/>
          </w:tcPr>
          <w:p>
            <w:pPr>
              <w:adjustRightInd w:val="0"/>
              <w:snapToGrid w:val="0"/>
              <w:spacing w:line="400" w:lineRule="exact"/>
              <w:jc w:val="center"/>
              <w:rPr>
                <w:rFonts w:ascii="宋体" w:hAnsi="宋体"/>
                <w:color w:val="auto"/>
                <w:szCs w:val="21"/>
                <w:highlight w:val="none"/>
              </w:rPr>
            </w:pPr>
          </w:p>
        </w:tc>
        <w:tc>
          <w:tcPr>
            <w:tcW w:w="2835" w:type="dxa"/>
            <w:vAlign w:val="center"/>
          </w:tcPr>
          <w:p>
            <w:pPr>
              <w:adjustRightInd w:val="0"/>
              <w:snapToGrid w:val="0"/>
              <w:spacing w:line="400" w:lineRule="exact"/>
              <w:jc w:val="center"/>
              <w:rPr>
                <w:rFonts w:ascii="宋体" w:hAnsi="宋体"/>
                <w:color w:val="auto"/>
                <w:szCs w:val="21"/>
                <w:highlight w:val="none"/>
              </w:rPr>
            </w:pPr>
          </w:p>
        </w:tc>
        <w:tc>
          <w:tcPr>
            <w:tcW w:w="2369" w:type="dxa"/>
            <w:vAlign w:val="center"/>
          </w:tcPr>
          <w:p>
            <w:pPr>
              <w:adjustRightInd w:val="0"/>
              <w:snapToGrid w:val="0"/>
              <w:spacing w:line="40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vAlign w:val="center"/>
          </w:tcPr>
          <w:p>
            <w:pPr>
              <w:adjustRightInd w:val="0"/>
              <w:snapToGrid w:val="0"/>
              <w:spacing w:line="400" w:lineRule="exact"/>
              <w:jc w:val="center"/>
              <w:rPr>
                <w:rFonts w:ascii="宋体" w:hAnsi="宋体"/>
                <w:color w:val="auto"/>
                <w:szCs w:val="21"/>
                <w:highlight w:val="none"/>
              </w:rPr>
            </w:pPr>
          </w:p>
        </w:tc>
        <w:tc>
          <w:tcPr>
            <w:tcW w:w="2824" w:type="dxa"/>
            <w:vAlign w:val="center"/>
          </w:tcPr>
          <w:p>
            <w:pPr>
              <w:adjustRightInd w:val="0"/>
              <w:snapToGrid w:val="0"/>
              <w:spacing w:line="400" w:lineRule="exact"/>
              <w:jc w:val="center"/>
              <w:rPr>
                <w:rFonts w:ascii="宋体" w:hAnsi="宋体"/>
                <w:color w:val="auto"/>
                <w:szCs w:val="21"/>
                <w:highlight w:val="none"/>
              </w:rPr>
            </w:pPr>
          </w:p>
        </w:tc>
        <w:tc>
          <w:tcPr>
            <w:tcW w:w="2835" w:type="dxa"/>
            <w:vAlign w:val="center"/>
          </w:tcPr>
          <w:p>
            <w:pPr>
              <w:adjustRightInd w:val="0"/>
              <w:snapToGrid w:val="0"/>
              <w:spacing w:line="400" w:lineRule="exact"/>
              <w:jc w:val="center"/>
              <w:rPr>
                <w:rFonts w:ascii="宋体" w:hAnsi="宋体"/>
                <w:color w:val="auto"/>
                <w:szCs w:val="21"/>
                <w:highlight w:val="none"/>
              </w:rPr>
            </w:pPr>
          </w:p>
        </w:tc>
        <w:tc>
          <w:tcPr>
            <w:tcW w:w="2369" w:type="dxa"/>
            <w:vAlign w:val="center"/>
          </w:tcPr>
          <w:p>
            <w:pPr>
              <w:adjustRightInd w:val="0"/>
              <w:snapToGrid w:val="0"/>
              <w:spacing w:line="40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vAlign w:val="center"/>
          </w:tcPr>
          <w:p>
            <w:pPr>
              <w:adjustRightInd w:val="0"/>
              <w:snapToGrid w:val="0"/>
              <w:spacing w:line="400" w:lineRule="exact"/>
              <w:jc w:val="center"/>
              <w:rPr>
                <w:rFonts w:ascii="宋体" w:hAnsi="宋体"/>
                <w:color w:val="auto"/>
                <w:szCs w:val="21"/>
                <w:highlight w:val="none"/>
              </w:rPr>
            </w:pPr>
          </w:p>
        </w:tc>
        <w:tc>
          <w:tcPr>
            <w:tcW w:w="2824" w:type="dxa"/>
            <w:vAlign w:val="center"/>
          </w:tcPr>
          <w:p>
            <w:pPr>
              <w:adjustRightInd w:val="0"/>
              <w:snapToGrid w:val="0"/>
              <w:spacing w:line="400" w:lineRule="exact"/>
              <w:jc w:val="center"/>
              <w:rPr>
                <w:rFonts w:ascii="宋体" w:hAnsi="宋体"/>
                <w:color w:val="auto"/>
                <w:szCs w:val="21"/>
                <w:highlight w:val="none"/>
              </w:rPr>
            </w:pPr>
          </w:p>
        </w:tc>
        <w:tc>
          <w:tcPr>
            <w:tcW w:w="2835" w:type="dxa"/>
            <w:vAlign w:val="center"/>
          </w:tcPr>
          <w:p>
            <w:pPr>
              <w:adjustRightInd w:val="0"/>
              <w:snapToGrid w:val="0"/>
              <w:spacing w:line="400" w:lineRule="exact"/>
              <w:jc w:val="center"/>
              <w:rPr>
                <w:rFonts w:ascii="宋体" w:hAnsi="宋体"/>
                <w:color w:val="auto"/>
                <w:szCs w:val="21"/>
                <w:highlight w:val="none"/>
              </w:rPr>
            </w:pPr>
          </w:p>
        </w:tc>
        <w:tc>
          <w:tcPr>
            <w:tcW w:w="2369" w:type="dxa"/>
            <w:vAlign w:val="center"/>
          </w:tcPr>
          <w:p>
            <w:pPr>
              <w:adjustRightInd w:val="0"/>
              <w:snapToGrid w:val="0"/>
              <w:spacing w:line="400" w:lineRule="exact"/>
              <w:jc w:val="center"/>
              <w:rPr>
                <w:rFonts w:ascii="宋体" w:hAnsi="宋体"/>
                <w:color w:val="auto"/>
                <w:szCs w:val="21"/>
                <w:highlight w:val="none"/>
              </w:rPr>
            </w:pPr>
          </w:p>
        </w:tc>
      </w:tr>
    </w:tbl>
    <w:p>
      <w:pPr>
        <w:adjustRightInd w:val="0"/>
        <w:snapToGrid w:val="0"/>
        <w:spacing w:line="360" w:lineRule="auto"/>
        <w:ind w:left="210" w:hanging="210" w:hangingChars="100"/>
        <w:rPr>
          <w:rFonts w:ascii="宋体" w:hAnsi="宋体"/>
          <w:color w:val="auto"/>
          <w:szCs w:val="21"/>
          <w:highlight w:val="none"/>
        </w:rPr>
      </w:pPr>
      <w:r>
        <w:rPr>
          <w:rFonts w:hint="eastAsia" w:ascii="宋体" w:hAnsi="宋体"/>
          <w:color w:val="auto"/>
          <w:szCs w:val="21"/>
          <w:highlight w:val="none"/>
        </w:rPr>
        <w:t>注：须与商务条款逐项比较填写。</w:t>
      </w:r>
    </w:p>
    <w:p>
      <w:pPr>
        <w:adjustRightInd w:val="0"/>
        <w:snapToGrid w:val="0"/>
        <w:spacing w:line="360" w:lineRule="auto"/>
        <w:rPr>
          <w:rFonts w:ascii="宋体" w:hAnsi="宋体"/>
          <w:color w:val="auto"/>
          <w:szCs w:val="21"/>
          <w:highlight w:val="none"/>
        </w:rPr>
      </w:pPr>
    </w:p>
    <w:p>
      <w:pPr>
        <w:adjustRightInd w:val="0"/>
        <w:snapToGrid w:val="0"/>
        <w:spacing w:line="360" w:lineRule="auto"/>
        <w:rPr>
          <w:rFonts w:ascii="宋体" w:hAnsi="宋体"/>
          <w:color w:val="auto"/>
          <w:szCs w:val="21"/>
          <w:highlight w:val="none"/>
        </w:rPr>
      </w:pPr>
    </w:p>
    <w:p>
      <w:pPr>
        <w:spacing w:line="400" w:lineRule="exact"/>
        <w:jc w:val="left"/>
        <w:rPr>
          <w:rFonts w:ascii="宋体" w:hAnsi="宋体"/>
          <w:color w:val="auto"/>
          <w:szCs w:val="21"/>
          <w:highlight w:val="none"/>
        </w:rPr>
      </w:pPr>
      <w:bookmarkStart w:id="60" w:name="_Toc436408720"/>
      <w:bookmarkStart w:id="61" w:name="_Toc441316563"/>
      <w:r>
        <w:rPr>
          <w:rFonts w:hint="eastAsia" w:ascii="宋体" w:hAnsi="宋体"/>
          <w:color w:val="auto"/>
          <w:szCs w:val="21"/>
          <w:highlight w:val="none"/>
        </w:rPr>
        <w:t>供应商（盖章）：</w:t>
      </w:r>
      <w:r>
        <w:rPr>
          <w:rFonts w:ascii="宋体" w:hAnsi="宋体"/>
          <w:color w:val="auto"/>
          <w:szCs w:val="21"/>
          <w:highlight w:val="none"/>
          <w:u w:val="single"/>
        </w:rPr>
        <w:t xml:space="preserve">                                </w:t>
      </w:r>
      <w:r>
        <w:rPr>
          <w:rFonts w:ascii="宋体" w:hAnsi="宋体"/>
          <w:color w:val="auto"/>
          <w:szCs w:val="21"/>
          <w:highlight w:val="none"/>
        </w:rPr>
        <w:t xml:space="preserve">          </w:t>
      </w:r>
    </w:p>
    <w:p>
      <w:pPr>
        <w:spacing w:line="400" w:lineRule="exact"/>
        <w:rPr>
          <w:rFonts w:ascii="宋体" w:hAnsi="宋体"/>
          <w:b/>
          <w:color w:val="auto"/>
          <w:szCs w:val="21"/>
          <w:highlight w:val="none"/>
        </w:rPr>
      </w:pPr>
      <w:r>
        <w:rPr>
          <w:rFonts w:hint="eastAsia" w:ascii="宋体" w:hAnsi="宋体"/>
          <w:color w:val="auto"/>
          <w:szCs w:val="21"/>
          <w:highlight w:val="none"/>
        </w:rPr>
        <w:t>日</w:t>
      </w:r>
      <w:r>
        <w:rPr>
          <w:rFonts w:ascii="宋体" w:hAnsi="宋体"/>
          <w:color w:val="auto"/>
          <w:szCs w:val="21"/>
          <w:highlight w:val="none"/>
        </w:rPr>
        <w:t xml:space="preserve">          </w:t>
      </w:r>
      <w:r>
        <w:rPr>
          <w:rFonts w:hint="eastAsia" w:ascii="宋体" w:hAnsi="宋体"/>
          <w:color w:val="auto"/>
          <w:szCs w:val="21"/>
          <w:highlight w:val="none"/>
        </w:rPr>
        <w:t>期：</w:t>
      </w:r>
      <w:r>
        <w:rPr>
          <w:rFonts w:ascii="宋体" w:hAnsi="宋体"/>
          <w:color w:val="auto"/>
          <w:szCs w:val="21"/>
          <w:highlight w:val="none"/>
          <w:u w:val="single"/>
        </w:rPr>
        <w:t xml:space="preserve">                                </w:t>
      </w:r>
    </w:p>
    <w:p>
      <w:pPr>
        <w:spacing w:line="360" w:lineRule="auto"/>
        <w:jc w:val="both"/>
        <w:rPr>
          <w:rFonts w:hint="eastAsia" w:ascii="宋体" w:hAnsi="宋体"/>
          <w:b/>
          <w:color w:val="auto"/>
          <w:szCs w:val="21"/>
          <w:highlight w:val="none"/>
          <w:lang w:eastAsia="zh-CN"/>
        </w:rPr>
      </w:pPr>
      <w:r>
        <w:rPr>
          <w:rFonts w:ascii="宋体" w:hAnsi="宋体"/>
          <w:color w:val="auto"/>
          <w:szCs w:val="21"/>
          <w:highlight w:val="none"/>
        </w:rPr>
        <w:br w:type="page"/>
      </w:r>
      <w:r>
        <w:rPr>
          <w:rFonts w:hint="eastAsia" w:ascii="宋体" w:hAnsi="宋体"/>
          <w:b/>
          <w:color w:val="auto"/>
          <w:szCs w:val="21"/>
          <w:highlight w:val="none"/>
          <w:lang w:eastAsia="zh-CN"/>
        </w:rPr>
        <w:t>附件七</w:t>
      </w:r>
    </w:p>
    <w:p>
      <w:pPr>
        <w:spacing w:line="360" w:lineRule="auto"/>
        <w:jc w:val="center"/>
        <w:rPr>
          <w:rFonts w:ascii="宋体" w:hAnsi="宋体"/>
          <w:b/>
          <w:color w:val="auto"/>
          <w:szCs w:val="21"/>
          <w:highlight w:val="none"/>
        </w:rPr>
      </w:pPr>
      <w:r>
        <w:rPr>
          <w:rFonts w:hint="eastAsia" w:ascii="宋体" w:hAnsi="宋体"/>
          <w:b/>
          <w:bCs/>
          <w:color w:val="auto"/>
          <w:szCs w:val="21"/>
          <w:highlight w:val="none"/>
        </w:rPr>
        <w:t>技术条款响应表</w:t>
      </w:r>
    </w:p>
    <w:p>
      <w:pPr>
        <w:adjustRightInd w:val="0"/>
        <w:snapToGrid w:val="0"/>
        <w:spacing w:line="360" w:lineRule="auto"/>
        <w:rPr>
          <w:rFonts w:hint="eastAsia" w:ascii="宋体" w:hAnsi="宋体" w:eastAsia="宋体"/>
          <w:color w:val="auto"/>
          <w:szCs w:val="21"/>
          <w:highlight w:val="none"/>
          <w:lang w:eastAsia="zh-CN"/>
        </w:rPr>
      </w:pPr>
      <w:r>
        <w:rPr>
          <w:rFonts w:hint="eastAsia" w:ascii="宋体" w:hAnsi="宋体"/>
          <w:color w:val="auto"/>
          <w:szCs w:val="21"/>
          <w:highlight w:val="none"/>
        </w:rPr>
        <w:t>项目名称：</w:t>
      </w:r>
      <w:r>
        <w:rPr>
          <w:rFonts w:hint="eastAsia" w:ascii="宋体" w:hAnsi="宋体"/>
          <w:color w:val="auto"/>
          <w:szCs w:val="21"/>
          <w:highlight w:val="none"/>
          <w:u w:val="single"/>
          <w:lang w:eastAsia="zh-CN"/>
        </w:rPr>
        <w:t>温州医科大学慈溪生物医药研究院三维皮肤气液交换培养生物反应器采购项目</w:t>
      </w:r>
    </w:p>
    <w:p>
      <w:pPr>
        <w:adjustRightInd w:val="0"/>
        <w:snapToGrid w:val="0"/>
        <w:spacing w:line="360" w:lineRule="auto"/>
        <w:rPr>
          <w:rFonts w:hint="default" w:ascii="宋体" w:hAnsi="宋体" w:eastAsia="宋体"/>
          <w:color w:val="auto"/>
          <w:szCs w:val="21"/>
          <w:highlight w:val="none"/>
          <w:u w:val="single"/>
          <w:lang w:val="en-US" w:eastAsia="zh-CN"/>
        </w:rPr>
      </w:pPr>
      <w:r>
        <w:rPr>
          <w:rFonts w:hint="eastAsia" w:ascii="宋体" w:hAnsi="宋体"/>
          <w:color w:val="auto"/>
          <w:szCs w:val="21"/>
          <w:highlight w:val="none"/>
        </w:rPr>
        <w:t>项目编号：</w:t>
      </w:r>
      <w:r>
        <w:rPr>
          <w:rFonts w:hint="eastAsia" w:ascii="宋体" w:hAnsi="宋体"/>
          <w:color w:val="auto"/>
          <w:szCs w:val="21"/>
          <w:highlight w:val="none"/>
          <w:u w:val="single"/>
          <w:lang w:val="en-US" w:eastAsia="zh-CN"/>
        </w:rPr>
        <w:t xml:space="preserve">  330282202311009365   </w:t>
      </w:r>
    </w:p>
    <w:tbl>
      <w:tblPr>
        <w:tblStyle w:val="45"/>
        <w:tblW w:w="0" w:type="auto"/>
        <w:tblInd w:w="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
        <w:gridCol w:w="2824"/>
        <w:gridCol w:w="2835"/>
        <w:gridCol w:w="2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8" w:type="dxa"/>
            <w:vAlign w:val="center"/>
          </w:tcPr>
          <w:p>
            <w:pPr>
              <w:adjustRightInd w:val="0"/>
              <w:snapToGrid w:val="0"/>
              <w:spacing w:line="400" w:lineRule="exact"/>
              <w:jc w:val="center"/>
              <w:rPr>
                <w:rFonts w:ascii="宋体" w:hAnsi="宋体"/>
                <w:color w:val="auto"/>
                <w:szCs w:val="21"/>
                <w:highlight w:val="none"/>
              </w:rPr>
            </w:pPr>
            <w:r>
              <w:rPr>
                <w:rFonts w:hint="eastAsia" w:ascii="宋体" w:hAnsi="宋体"/>
                <w:color w:val="auto"/>
                <w:szCs w:val="21"/>
                <w:highlight w:val="none"/>
              </w:rPr>
              <w:t>序号</w:t>
            </w:r>
          </w:p>
        </w:tc>
        <w:tc>
          <w:tcPr>
            <w:tcW w:w="2824" w:type="dxa"/>
            <w:vAlign w:val="center"/>
          </w:tcPr>
          <w:p>
            <w:pPr>
              <w:adjustRightInd w:val="0"/>
              <w:snapToGrid w:val="0"/>
              <w:spacing w:line="400" w:lineRule="exact"/>
              <w:jc w:val="center"/>
              <w:rPr>
                <w:rFonts w:ascii="宋体" w:hAnsi="宋体"/>
                <w:color w:val="auto"/>
                <w:szCs w:val="21"/>
                <w:highlight w:val="none"/>
              </w:rPr>
            </w:pPr>
            <w:r>
              <w:rPr>
                <w:rFonts w:hint="eastAsia" w:ascii="宋体" w:hAnsi="宋体"/>
                <w:color w:val="auto"/>
                <w:szCs w:val="21"/>
                <w:highlight w:val="none"/>
              </w:rPr>
              <w:t>招标要求</w:t>
            </w:r>
          </w:p>
        </w:tc>
        <w:tc>
          <w:tcPr>
            <w:tcW w:w="2835" w:type="dxa"/>
            <w:vAlign w:val="center"/>
          </w:tcPr>
          <w:p>
            <w:pPr>
              <w:adjustRightInd w:val="0"/>
              <w:snapToGrid w:val="0"/>
              <w:spacing w:line="400" w:lineRule="exact"/>
              <w:jc w:val="center"/>
              <w:rPr>
                <w:rFonts w:ascii="宋体" w:hAnsi="宋体"/>
                <w:color w:val="auto"/>
                <w:szCs w:val="21"/>
                <w:highlight w:val="none"/>
              </w:rPr>
            </w:pPr>
            <w:r>
              <w:rPr>
                <w:rFonts w:hint="eastAsia" w:ascii="宋体" w:hAnsi="宋体"/>
                <w:color w:val="auto"/>
                <w:szCs w:val="21"/>
                <w:highlight w:val="none"/>
              </w:rPr>
              <w:t>投标响应</w:t>
            </w:r>
          </w:p>
        </w:tc>
        <w:tc>
          <w:tcPr>
            <w:tcW w:w="2533" w:type="dxa"/>
            <w:vAlign w:val="center"/>
          </w:tcPr>
          <w:p>
            <w:pPr>
              <w:adjustRightInd w:val="0"/>
              <w:snapToGrid w:val="0"/>
              <w:spacing w:line="400" w:lineRule="exact"/>
              <w:jc w:val="center"/>
              <w:rPr>
                <w:rFonts w:ascii="宋体" w:hAnsi="宋体"/>
                <w:color w:val="auto"/>
                <w:szCs w:val="21"/>
                <w:highlight w:val="none"/>
              </w:rPr>
            </w:pPr>
            <w:r>
              <w:rPr>
                <w:rFonts w:hint="eastAsia" w:ascii="宋体" w:hAnsi="宋体"/>
                <w:color w:val="auto"/>
                <w:szCs w:val="21"/>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8" w:type="dxa"/>
            <w:vAlign w:val="center"/>
          </w:tcPr>
          <w:p>
            <w:pPr>
              <w:adjustRightInd w:val="0"/>
              <w:snapToGrid w:val="0"/>
              <w:spacing w:line="400" w:lineRule="exact"/>
              <w:jc w:val="center"/>
              <w:rPr>
                <w:rFonts w:ascii="宋体" w:hAnsi="宋体"/>
                <w:color w:val="auto"/>
                <w:szCs w:val="21"/>
                <w:highlight w:val="none"/>
              </w:rPr>
            </w:pPr>
          </w:p>
        </w:tc>
        <w:tc>
          <w:tcPr>
            <w:tcW w:w="2824" w:type="dxa"/>
            <w:vAlign w:val="center"/>
          </w:tcPr>
          <w:p>
            <w:pPr>
              <w:adjustRightInd w:val="0"/>
              <w:snapToGrid w:val="0"/>
              <w:spacing w:line="400" w:lineRule="exact"/>
              <w:jc w:val="center"/>
              <w:rPr>
                <w:rFonts w:ascii="宋体" w:hAnsi="宋体"/>
                <w:color w:val="auto"/>
                <w:szCs w:val="21"/>
                <w:highlight w:val="none"/>
              </w:rPr>
            </w:pPr>
          </w:p>
        </w:tc>
        <w:tc>
          <w:tcPr>
            <w:tcW w:w="2835" w:type="dxa"/>
            <w:vAlign w:val="center"/>
          </w:tcPr>
          <w:p>
            <w:pPr>
              <w:adjustRightInd w:val="0"/>
              <w:snapToGrid w:val="0"/>
              <w:spacing w:line="400" w:lineRule="exact"/>
              <w:jc w:val="center"/>
              <w:rPr>
                <w:rFonts w:ascii="宋体" w:hAnsi="宋体"/>
                <w:color w:val="auto"/>
                <w:szCs w:val="21"/>
                <w:highlight w:val="none"/>
              </w:rPr>
            </w:pPr>
          </w:p>
        </w:tc>
        <w:tc>
          <w:tcPr>
            <w:tcW w:w="2533" w:type="dxa"/>
            <w:vAlign w:val="center"/>
          </w:tcPr>
          <w:p>
            <w:pPr>
              <w:adjustRightInd w:val="0"/>
              <w:snapToGrid w:val="0"/>
              <w:spacing w:line="40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8" w:type="dxa"/>
            <w:vAlign w:val="center"/>
          </w:tcPr>
          <w:p>
            <w:pPr>
              <w:adjustRightInd w:val="0"/>
              <w:snapToGrid w:val="0"/>
              <w:spacing w:line="400" w:lineRule="exact"/>
              <w:jc w:val="center"/>
              <w:rPr>
                <w:rFonts w:ascii="宋体" w:hAnsi="宋体"/>
                <w:color w:val="auto"/>
                <w:szCs w:val="21"/>
                <w:highlight w:val="none"/>
              </w:rPr>
            </w:pPr>
          </w:p>
        </w:tc>
        <w:tc>
          <w:tcPr>
            <w:tcW w:w="2824" w:type="dxa"/>
            <w:vAlign w:val="center"/>
          </w:tcPr>
          <w:p>
            <w:pPr>
              <w:adjustRightInd w:val="0"/>
              <w:snapToGrid w:val="0"/>
              <w:spacing w:line="400" w:lineRule="exact"/>
              <w:jc w:val="center"/>
              <w:rPr>
                <w:rFonts w:ascii="宋体" w:hAnsi="宋体"/>
                <w:color w:val="auto"/>
                <w:szCs w:val="21"/>
                <w:highlight w:val="none"/>
              </w:rPr>
            </w:pPr>
          </w:p>
        </w:tc>
        <w:tc>
          <w:tcPr>
            <w:tcW w:w="2835" w:type="dxa"/>
            <w:vAlign w:val="center"/>
          </w:tcPr>
          <w:p>
            <w:pPr>
              <w:adjustRightInd w:val="0"/>
              <w:snapToGrid w:val="0"/>
              <w:spacing w:line="400" w:lineRule="exact"/>
              <w:jc w:val="center"/>
              <w:rPr>
                <w:rFonts w:ascii="宋体" w:hAnsi="宋体"/>
                <w:color w:val="auto"/>
                <w:szCs w:val="21"/>
                <w:highlight w:val="none"/>
              </w:rPr>
            </w:pPr>
          </w:p>
        </w:tc>
        <w:tc>
          <w:tcPr>
            <w:tcW w:w="2533" w:type="dxa"/>
            <w:vAlign w:val="center"/>
          </w:tcPr>
          <w:p>
            <w:pPr>
              <w:adjustRightInd w:val="0"/>
              <w:snapToGrid w:val="0"/>
              <w:spacing w:line="40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8" w:type="dxa"/>
            <w:vAlign w:val="center"/>
          </w:tcPr>
          <w:p>
            <w:pPr>
              <w:adjustRightInd w:val="0"/>
              <w:snapToGrid w:val="0"/>
              <w:spacing w:line="400" w:lineRule="exact"/>
              <w:jc w:val="center"/>
              <w:rPr>
                <w:rFonts w:ascii="宋体" w:hAnsi="宋体"/>
                <w:color w:val="auto"/>
                <w:szCs w:val="21"/>
                <w:highlight w:val="none"/>
              </w:rPr>
            </w:pPr>
          </w:p>
        </w:tc>
        <w:tc>
          <w:tcPr>
            <w:tcW w:w="2824" w:type="dxa"/>
            <w:vAlign w:val="center"/>
          </w:tcPr>
          <w:p>
            <w:pPr>
              <w:adjustRightInd w:val="0"/>
              <w:snapToGrid w:val="0"/>
              <w:spacing w:line="400" w:lineRule="exact"/>
              <w:jc w:val="center"/>
              <w:rPr>
                <w:rFonts w:ascii="宋体" w:hAnsi="宋体"/>
                <w:color w:val="auto"/>
                <w:szCs w:val="21"/>
                <w:highlight w:val="none"/>
              </w:rPr>
            </w:pPr>
          </w:p>
        </w:tc>
        <w:tc>
          <w:tcPr>
            <w:tcW w:w="2835" w:type="dxa"/>
            <w:vAlign w:val="center"/>
          </w:tcPr>
          <w:p>
            <w:pPr>
              <w:adjustRightInd w:val="0"/>
              <w:snapToGrid w:val="0"/>
              <w:spacing w:line="400" w:lineRule="exact"/>
              <w:jc w:val="center"/>
              <w:rPr>
                <w:rFonts w:ascii="宋体" w:hAnsi="宋体"/>
                <w:color w:val="auto"/>
                <w:szCs w:val="21"/>
                <w:highlight w:val="none"/>
              </w:rPr>
            </w:pPr>
          </w:p>
        </w:tc>
        <w:tc>
          <w:tcPr>
            <w:tcW w:w="2533" w:type="dxa"/>
            <w:vAlign w:val="center"/>
          </w:tcPr>
          <w:p>
            <w:pPr>
              <w:adjustRightInd w:val="0"/>
              <w:snapToGrid w:val="0"/>
              <w:spacing w:line="40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8" w:type="dxa"/>
            <w:vAlign w:val="center"/>
          </w:tcPr>
          <w:p>
            <w:pPr>
              <w:adjustRightInd w:val="0"/>
              <w:snapToGrid w:val="0"/>
              <w:spacing w:line="400" w:lineRule="exact"/>
              <w:jc w:val="center"/>
              <w:rPr>
                <w:rFonts w:ascii="宋体" w:hAnsi="宋体"/>
                <w:color w:val="auto"/>
                <w:szCs w:val="21"/>
                <w:highlight w:val="none"/>
              </w:rPr>
            </w:pPr>
          </w:p>
        </w:tc>
        <w:tc>
          <w:tcPr>
            <w:tcW w:w="2824" w:type="dxa"/>
            <w:vAlign w:val="center"/>
          </w:tcPr>
          <w:p>
            <w:pPr>
              <w:adjustRightInd w:val="0"/>
              <w:snapToGrid w:val="0"/>
              <w:spacing w:line="400" w:lineRule="exact"/>
              <w:jc w:val="center"/>
              <w:rPr>
                <w:rFonts w:ascii="宋体" w:hAnsi="宋体"/>
                <w:color w:val="auto"/>
                <w:szCs w:val="21"/>
                <w:highlight w:val="none"/>
              </w:rPr>
            </w:pPr>
          </w:p>
        </w:tc>
        <w:tc>
          <w:tcPr>
            <w:tcW w:w="2835" w:type="dxa"/>
            <w:vAlign w:val="center"/>
          </w:tcPr>
          <w:p>
            <w:pPr>
              <w:adjustRightInd w:val="0"/>
              <w:snapToGrid w:val="0"/>
              <w:spacing w:line="400" w:lineRule="exact"/>
              <w:jc w:val="center"/>
              <w:rPr>
                <w:rFonts w:ascii="宋体" w:hAnsi="宋体"/>
                <w:color w:val="auto"/>
                <w:szCs w:val="21"/>
                <w:highlight w:val="none"/>
              </w:rPr>
            </w:pPr>
          </w:p>
        </w:tc>
        <w:tc>
          <w:tcPr>
            <w:tcW w:w="2533" w:type="dxa"/>
            <w:vAlign w:val="center"/>
          </w:tcPr>
          <w:p>
            <w:pPr>
              <w:adjustRightInd w:val="0"/>
              <w:snapToGrid w:val="0"/>
              <w:spacing w:line="400" w:lineRule="exact"/>
              <w:jc w:val="center"/>
              <w:rPr>
                <w:rFonts w:ascii="宋体" w:hAnsi="宋体"/>
                <w:color w:val="auto"/>
                <w:szCs w:val="21"/>
                <w:highlight w:val="none"/>
              </w:rPr>
            </w:pPr>
          </w:p>
        </w:tc>
      </w:tr>
    </w:tbl>
    <w:p>
      <w:pPr>
        <w:adjustRightInd w:val="0"/>
        <w:snapToGrid w:val="0"/>
        <w:spacing w:line="440" w:lineRule="exact"/>
        <w:ind w:left="210" w:hanging="210" w:hangingChars="100"/>
        <w:rPr>
          <w:rFonts w:ascii="宋体" w:hAnsi="宋体"/>
          <w:color w:val="auto"/>
          <w:szCs w:val="21"/>
          <w:highlight w:val="none"/>
        </w:rPr>
      </w:pPr>
      <w:r>
        <w:rPr>
          <w:rFonts w:hint="eastAsia" w:ascii="宋体" w:hAnsi="宋体"/>
          <w:color w:val="auto"/>
          <w:szCs w:val="21"/>
          <w:highlight w:val="none"/>
        </w:rPr>
        <w:t>注：须与“第五章招标内容与技术需求”逐项比较，如有偏离的，须在本表中列明，并提供详细的偏离说明。</w:t>
      </w:r>
    </w:p>
    <w:p>
      <w:pPr>
        <w:adjustRightInd w:val="0"/>
        <w:snapToGrid w:val="0"/>
        <w:spacing w:line="360" w:lineRule="auto"/>
        <w:rPr>
          <w:rFonts w:ascii="宋体" w:hAnsi="宋体"/>
          <w:color w:val="auto"/>
          <w:szCs w:val="21"/>
          <w:highlight w:val="none"/>
        </w:rPr>
      </w:pPr>
    </w:p>
    <w:p>
      <w:pPr>
        <w:adjustRightInd w:val="0"/>
        <w:snapToGrid w:val="0"/>
        <w:spacing w:line="360" w:lineRule="auto"/>
        <w:rPr>
          <w:rFonts w:ascii="宋体" w:hAnsi="宋体"/>
          <w:color w:val="auto"/>
          <w:szCs w:val="21"/>
          <w:highlight w:val="none"/>
        </w:rPr>
      </w:pPr>
    </w:p>
    <w:p>
      <w:pPr>
        <w:adjustRightInd w:val="0"/>
        <w:snapToGrid w:val="0"/>
        <w:spacing w:line="360" w:lineRule="auto"/>
        <w:rPr>
          <w:rFonts w:ascii="宋体" w:hAnsi="宋体"/>
          <w:color w:val="auto"/>
          <w:szCs w:val="21"/>
          <w:highlight w:val="none"/>
        </w:rPr>
      </w:pPr>
    </w:p>
    <w:p>
      <w:pPr>
        <w:spacing w:line="400" w:lineRule="exact"/>
        <w:jc w:val="left"/>
        <w:rPr>
          <w:rFonts w:ascii="宋体" w:hAnsi="宋体"/>
          <w:color w:val="auto"/>
          <w:szCs w:val="21"/>
          <w:highlight w:val="none"/>
        </w:rPr>
      </w:pPr>
      <w:r>
        <w:rPr>
          <w:rFonts w:hint="eastAsia" w:ascii="宋体" w:hAnsi="宋体"/>
          <w:color w:val="auto"/>
          <w:szCs w:val="21"/>
          <w:highlight w:val="none"/>
        </w:rPr>
        <w:t>供应商（盖章）：</w:t>
      </w:r>
      <w:r>
        <w:rPr>
          <w:rFonts w:ascii="宋体" w:hAnsi="宋体"/>
          <w:color w:val="auto"/>
          <w:szCs w:val="21"/>
          <w:highlight w:val="none"/>
          <w:u w:val="single"/>
        </w:rPr>
        <w:t xml:space="preserve">                                </w:t>
      </w:r>
      <w:r>
        <w:rPr>
          <w:rFonts w:ascii="宋体" w:hAnsi="宋体"/>
          <w:color w:val="auto"/>
          <w:szCs w:val="21"/>
          <w:highlight w:val="none"/>
        </w:rPr>
        <w:t xml:space="preserve">          </w:t>
      </w:r>
    </w:p>
    <w:p>
      <w:pPr>
        <w:spacing w:line="400" w:lineRule="exact"/>
        <w:rPr>
          <w:rFonts w:ascii="宋体" w:hAnsi="宋体"/>
          <w:b/>
          <w:color w:val="auto"/>
          <w:szCs w:val="21"/>
          <w:highlight w:val="none"/>
        </w:rPr>
      </w:pPr>
      <w:r>
        <w:rPr>
          <w:rFonts w:hint="eastAsia" w:ascii="宋体" w:hAnsi="宋体"/>
          <w:color w:val="auto"/>
          <w:szCs w:val="21"/>
          <w:highlight w:val="none"/>
        </w:rPr>
        <w:t>日</w:t>
      </w:r>
      <w:r>
        <w:rPr>
          <w:rFonts w:ascii="宋体" w:hAnsi="宋体"/>
          <w:color w:val="auto"/>
          <w:szCs w:val="21"/>
          <w:highlight w:val="none"/>
        </w:rPr>
        <w:t xml:space="preserve">          </w:t>
      </w:r>
      <w:r>
        <w:rPr>
          <w:rFonts w:hint="eastAsia" w:ascii="宋体" w:hAnsi="宋体"/>
          <w:color w:val="auto"/>
          <w:szCs w:val="21"/>
          <w:highlight w:val="none"/>
        </w:rPr>
        <w:t>期：</w:t>
      </w:r>
      <w:r>
        <w:rPr>
          <w:rFonts w:ascii="宋体" w:hAnsi="宋体"/>
          <w:color w:val="auto"/>
          <w:szCs w:val="21"/>
          <w:highlight w:val="none"/>
          <w:u w:val="single"/>
        </w:rPr>
        <w:t xml:space="preserve">                                </w:t>
      </w:r>
    </w:p>
    <w:p>
      <w:pPr>
        <w:spacing w:line="400" w:lineRule="exact"/>
        <w:rPr>
          <w:rStyle w:val="104"/>
          <w:rFonts w:ascii="宋体" w:hAnsi="宋体"/>
          <w:color w:val="auto"/>
          <w:sz w:val="21"/>
          <w:szCs w:val="21"/>
          <w:highlight w:val="none"/>
        </w:rPr>
      </w:pPr>
      <w:r>
        <w:rPr>
          <w:rStyle w:val="104"/>
          <w:rFonts w:ascii="宋体" w:hAnsi="宋体"/>
          <w:color w:val="auto"/>
          <w:sz w:val="21"/>
          <w:szCs w:val="21"/>
          <w:highlight w:val="none"/>
        </w:rPr>
        <w:br w:type="page"/>
      </w:r>
      <w:bookmarkEnd w:id="60"/>
      <w:bookmarkStart w:id="62" w:name="_Toc441316564"/>
    </w:p>
    <w:p>
      <w:pPr>
        <w:spacing w:line="400" w:lineRule="exact"/>
        <w:rPr>
          <w:rFonts w:ascii="宋体" w:hAnsi="宋体"/>
          <w:b/>
          <w:color w:val="auto"/>
          <w:szCs w:val="21"/>
          <w:highlight w:val="none"/>
        </w:rPr>
      </w:pPr>
    </w:p>
    <w:p>
      <w:pPr>
        <w:spacing w:line="400" w:lineRule="exact"/>
        <w:rPr>
          <w:rStyle w:val="104"/>
          <w:rFonts w:ascii="宋体" w:hAnsi="宋体"/>
          <w:color w:val="auto"/>
          <w:sz w:val="21"/>
          <w:szCs w:val="21"/>
          <w:highlight w:val="none"/>
        </w:rPr>
      </w:pPr>
      <w:r>
        <w:rPr>
          <w:rFonts w:hint="eastAsia" w:ascii="宋体" w:hAnsi="宋体"/>
          <w:b/>
          <w:color w:val="auto"/>
          <w:szCs w:val="21"/>
          <w:highlight w:val="none"/>
        </w:rPr>
        <w:t xml:space="preserve"> </w:t>
      </w:r>
    </w:p>
    <w:p>
      <w:pPr>
        <w:spacing w:line="400" w:lineRule="exact"/>
        <w:ind w:firstLine="414" w:firstLineChars="200"/>
        <w:jc w:val="left"/>
        <w:rPr>
          <w:rStyle w:val="104"/>
          <w:rFonts w:ascii="宋体" w:hAnsi="宋体"/>
          <w:color w:val="auto"/>
          <w:sz w:val="21"/>
          <w:szCs w:val="21"/>
          <w:highlight w:val="none"/>
        </w:rPr>
      </w:pPr>
    </w:p>
    <w:p>
      <w:pPr>
        <w:spacing w:line="400" w:lineRule="exact"/>
        <w:jc w:val="left"/>
        <w:rPr>
          <w:rStyle w:val="104"/>
          <w:rFonts w:ascii="宋体" w:hAnsi="宋体"/>
          <w:color w:val="auto"/>
          <w:sz w:val="28"/>
          <w:szCs w:val="28"/>
          <w:highlight w:val="none"/>
        </w:rPr>
      </w:pPr>
    </w:p>
    <w:p>
      <w:pPr>
        <w:autoSpaceDE w:val="0"/>
        <w:autoSpaceDN w:val="0"/>
        <w:adjustRightInd w:val="0"/>
        <w:spacing w:beforeLines="100" w:line="400" w:lineRule="exact"/>
        <w:jc w:val="center"/>
        <w:outlineLvl w:val="0"/>
        <w:rPr>
          <w:rStyle w:val="104"/>
          <w:rFonts w:ascii="宋体" w:hAnsi="宋体"/>
          <w:color w:val="auto"/>
          <w:sz w:val="32"/>
          <w:szCs w:val="32"/>
          <w:highlight w:val="none"/>
        </w:rPr>
      </w:pPr>
      <w:bookmarkStart w:id="63" w:name="_Toc21541028"/>
      <w:bookmarkStart w:id="64" w:name="_Toc65915717"/>
      <w:bookmarkStart w:id="65" w:name="_Toc443468293"/>
      <w:r>
        <w:rPr>
          <w:rStyle w:val="104"/>
          <w:rFonts w:ascii="宋体" w:hAnsi="宋体"/>
          <w:color w:val="auto"/>
          <w:sz w:val="32"/>
          <w:szCs w:val="32"/>
          <w:highlight w:val="none"/>
        </w:rPr>
        <w:t>C.</w:t>
      </w:r>
      <w:r>
        <w:rPr>
          <w:rStyle w:val="104"/>
          <w:rFonts w:hint="eastAsia" w:ascii="宋体" w:hAnsi="宋体"/>
          <w:color w:val="auto"/>
          <w:sz w:val="32"/>
          <w:szCs w:val="32"/>
          <w:highlight w:val="none"/>
        </w:rPr>
        <w:t>报价文件</w:t>
      </w:r>
      <w:bookmarkEnd w:id="63"/>
      <w:bookmarkEnd w:id="64"/>
      <w:bookmarkEnd w:id="65"/>
    </w:p>
    <w:p>
      <w:pPr>
        <w:autoSpaceDE w:val="0"/>
        <w:autoSpaceDN w:val="0"/>
        <w:adjustRightInd w:val="0"/>
        <w:spacing w:line="420" w:lineRule="exact"/>
        <w:rPr>
          <w:rStyle w:val="104"/>
          <w:rFonts w:ascii="宋体" w:hAnsi="宋体"/>
          <w:b w:val="0"/>
          <w:color w:val="auto"/>
          <w:highlight w:val="none"/>
          <w:lang w:val="zh-CN"/>
        </w:rPr>
      </w:pPr>
      <w:r>
        <w:rPr>
          <w:rStyle w:val="104"/>
          <w:rFonts w:ascii="宋体" w:hAnsi="宋体"/>
          <w:color w:val="auto"/>
          <w:sz w:val="32"/>
          <w:szCs w:val="32"/>
          <w:highlight w:val="none"/>
        </w:rPr>
        <w:br w:type="page"/>
      </w:r>
      <w:r>
        <w:rPr>
          <w:rStyle w:val="104"/>
          <w:rFonts w:hint="eastAsia" w:ascii="宋体" w:hAnsi="宋体"/>
          <w:color w:val="auto"/>
          <w:sz w:val="21"/>
          <w:szCs w:val="21"/>
          <w:highlight w:val="none"/>
        </w:rPr>
        <w:t>封面</w:t>
      </w:r>
    </w:p>
    <w:p>
      <w:pPr>
        <w:spacing w:line="360" w:lineRule="auto"/>
        <w:ind w:firstLine="1285" w:firstLineChars="400"/>
        <w:jc w:val="right"/>
        <w:rPr>
          <w:rFonts w:ascii="宋体" w:hAnsi="宋体"/>
          <w:b/>
          <w:color w:val="auto"/>
          <w:sz w:val="32"/>
          <w:szCs w:val="32"/>
          <w:highlight w:val="none"/>
        </w:rPr>
      </w:pPr>
    </w:p>
    <w:p>
      <w:pPr>
        <w:spacing w:line="360" w:lineRule="auto"/>
        <w:rPr>
          <w:rFonts w:ascii="宋体" w:hAnsi="宋体"/>
          <w:color w:val="auto"/>
          <w:sz w:val="28"/>
          <w:szCs w:val="28"/>
          <w:highlight w:val="none"/>
        </w:rPr>
      </w:pPr>
    </w:p>
    <w:p>
      <w:pPr>
        <w:spacing w:line="360" w:lineRule="auto"/>
        <w:jc w:val="center"/>
        <w:rPr>
          <w:rFonts w:hint="eastAsia" w:ascii="宋体" w:hAnsi="宋体" w:eastAsia="宋体"/>
          <w:color w:val="auto"/>
          <w:sz w:val="40"/>
          <w:szCs w:val="52"/>
          <w:highlight w:val="none"/>
          <w:u w:val="single"/>
          <w:lang w:eastAsia="zh-CN"/>
        </w:rPr>
      </w:pPr>
      <w:r>
        <w:rPr>
          <w:rFonts w:hint="eastAsia" w:ascii="宋体" w:hAnsi="宋体"/>
          <w:b/>
          <w:color w:val="auto"/>
          <w:sz w:val="40"/>
          <w:szCs w:val="52"/>
          <w:highlight w:val="none"/>
          <w:lang w:eastAsia="zh-CN"/>
        </w:rPr>
        <w:t>温州医科大学慈溪生物医药研究院三维皮肤气液交换培养生物反应器采购项目</w:t>
      </w:r>
    </w:p>
    <w:p>
      <w:pPr>
        <w:spacing w:line="360" w:lineRule="auto"/>
        <w:jc w:val="center"/>
        <w:rPr>
          <w:rFonts w:hint="eastAsia" w:ascii="宋体" w:hAnsi="宋体" w:eastAsia="宋体"/>
          <w:color w:val="auto"/>
          <w:sz w:val="36"/>
          <w:szCs w:val="36"/>
          <w:highlight w:val="none"/>
          <w:u w:val="single"/>
          <w:lang w:eastAsia="zh-CN"/>
        </w:rPr>
      </w:pPr>
      <w:r>
        <w:rPr>
          <w:rFonts w:hint="eastAsia" w:ascii="宋体" w:hAnsi="宋体"/>
          <w:color w:val="auto"/>
          <w:sz w:val="36"/>
          <w:szCs w:val="36"/>
          <w:highlight w:val="none"/>
          <w:u w:val="single"/>
        </w:rPr>
        <w:t>项目编号：330282202311009365</w:t>
      </w:r>
    </w:p>
    <w:p>
      <w:pPr>
        <w:rPr>
          <w:rFonts w:ascii="宋体" w:hAnsi="宋体"/>
          <w:color w:val="auto"/>
          <w:sz w:val="28"/>
          <w:szCs w:val="28"/>
          <w:highlight w:val="none"/>
        </w:rPr>
      </w:pPr>
    </w:p>
    <w:p>
      <w:pPr>
        <w:spacing w:line="360" w:lineRule="auto"/>
        <w:jc w:val="center"/>
        <w:rPr>
          <w:rFonts w:ascii="宋体" w:hAnsi="宋体"/>
          <w:color w:val="auto"/>
          <w:sz w:val="36"/>
          <w:szCs w:val="36"/>
          <w:highlight w:val="none"/>
        </w:rPr>
      </w:pPr>
      <w:r>
        <w:rPr>
          <w:rFonts w:hint="eastAsia" w:ascii="宋体" w:hAnsi="宋体"/>
          <w:color w:val="auto"/>
          <w:sz w:val="36"/>
          <w:szCs w:val="36"/>
          <w:highlight w:val="none"/>
        </w:rPr>
        <w:t>（报价文件）</w:t>
      </w:r>
    </w:p>
    <w:p>
      <w:pPr>
        <w:jc w:val="center"/>
        <w:rPr>
          <w:rFonts w:ascii="宋体" w:hAnsi="宋体"/>
          <w:color w:val="auto"/>
          <w:sz w:val="28"/>
          <w:szCs w:val="28"/>
          <w:highlight w:val="none"/>
        </w:rPr>
      </w:pPr>
    </w:p>
    <w:p>
      <w:pPr>
        <w:spacing w:line="360" w:lineRule="auto"/>
        <w:jc w:val="center"/>
        <w:rPr>
          <w:rFonts w:ascii="宋体" w:hAnsi="宋体"/>
          <w:b/>
          <w:color w:val="auto"/>
          <w:sz w:val="72"/>
          <w:szCs w:val="72"/>
          <w:highlight w:val="none"/>
        </w:rPr>
      </w:pPr>
    </w:p>
    <w:p>
      <w:pPr>
        <w:spacing w:line="360" w:lineRule="auto"/>
        <w:jc w:val="center"/>
        <w:rPr>
          <w:rFonts w:ascii="宋体" w:hAnsi="宋体"/>
          <w:b/>
          <w:color w:val="auto"/>
          <w:sz w:val="72"/>
          <w:szCs w:val="72"/>
          <w:highlight w:val="none"/>
        </w:rPr>
      </w:pPr>
      <w:r>
        <w:rPr>
          <w:rFonts w:hint="eastAsia" w:ascii="宋体" w:hAnsi="宋体"/>
          <w:b/>
          <w:color w:val="auto"/>
          <w:sz w:val="72"/>
          <w:szCs w:val="72"/>
          <w:highlight w:val="none"/>
        </w:rPr>
        <w:t>投标文件</w:t>
      </w:r>
    </w:p>
    <w:p>
      <w:pPr>
        <w:spacing w:line="360" w:lineRule="auto"/>
        <w:jc w:val="center"/>
        <w:rPr>
          <w:rFonts w:ascii="宋体" w:hAnsi="宋体"/>
          <w:color w:val="auto"/>
          <w:sz w:val="36"/>
          <w:szCs w:val="36"/>
          <w:highlight w:val="none"/>
        </w:rPr>
      </w:pPr>
    </w:p>
    <w:p>
      <w:pPr>
        <w:spacing w:line="360" w:lineRule="auto"/>
        <w:jc w:val="center"/>
        <w:rPr>
          <w:rFonts w:ascii="宋体" w:hAnsi="宋体"/>
          <w:color w:val="auto"/>
          <w:sz w:val="36"/>
          <w:szCs w:val="36"/>
          <w:highlight w:val="none"/>
        </w:rPr>
      </w:pPr>
    </w:p>
    <w:p>
      <w:pPr>
        <w:spacing w:line="360" w:lineRule="auto"/>
        <w:jc w:val="center"/>
        <w:rPr>
          <w:rFonts w:ascii="宋体" w:hAnsi="宋体"/>
          <w:color w:val="auto"/>
          <w:sz w:val="36"/>
          <w:szCs w:val="36"/>
          <w:highlight w:val="none"/>
        </w:rPr>
      </w:pPr>
    </w:p>
    <w:p>
      <w:pPr>
        <w:spacing w:line="360" w:lineRule="auto"/>
        <w:jc w:val="center"/>
        <w:rPr>
          <w:rFonts w:ascii="宋体" w:hAnsi="宋体"/>
          <w:color w:val="auto"/>
          <w:sz w:val="36"/>
          <w:szCs w:val="36"/>
          <w:highlight w:val="none"/>
        </w:rPr>
      </w:pPr>
    </w:p>
    <w:p>
      <w:pPr>
        <w:spacing w:line="360" w:lineRule="auto"/>
        <w:jc w:val="center"/>
        <w:rPr>
          <w:rFonts w:ascii="宋体" w:hAnsi="宋体"/>
          <w:color w:val="auto"/>
          <w:sz w:val="36"/>
          <w:szCs w:val="36"/>
          <w:highlight w:val="none"/>
          <w:u w:val="single"/>
        </w:rPr>
      </w:pPr>
      <w:r>
        <w:rPr>
          <w:rFonts w:hint="eastAsia" w:ascii="宋体" w:hAnsi="宋体"/>
          <w:color w:val="auto"/>
          <w:sz w:val="36"/>
          <w:szCs w:val="36"/>
          <w:highlight w:val="none"/>
        </w:rPr>
        <w:t>供应商全称：</w:t>
      </w:r>
      <w:r>
        <w:rPr>
          <w:rFonts w:hint="eastAsia" w:ascii="宋体" w:hAnsi="宋体"/>
          <w:color w:val="auto"/>
          <w:sz w:val="36"/>
          <w:szCs w:val="36"/>
          <w:highlight w:val="none"/>
          <w:u w:val="single"/>
        </w:rPr>
        <w:t>（加盖单位公章）</w:t>
      </w:r>
    </w:p>
    <w:p>
      <w:pPr>
        <w:pStyle w:val="24"/>
        <w:ind w:left="101" w:leftChars="48" w:firstLine="1920" w:firstLineChars="800"/>
        <w:jc w:val="left"/>
        <w:rPr>
          <w:rFonts w:hAnsi="宋体"/>
          <w:color w:val="auto"/>
          <w:kern w:val="2"/>
          <w:szCs w:val="28"/>
          <w:highlight w:val="none"/>
          <w:u w:val="single"/>
        </w:rPr>
      </w:pPr>
    </w:p>
    <w:p>
      <w:pPr>
        <w:autoSpaceDE w:val="0"/>
        <w:autoSpaceDN w:val="0"/>
        <w:adjustRightInd w:val="0"/>
        <w:spacing w:line="400" w:lineRule="exact"/>
        <w:jc w:val="center"/>
        <w:outlineLvl w:val="0"/>
        <w:rPr>
          <w:rStyle w:val="104"/>
          <w:rFonts w:ascii="宋体" w:hAnsi="宋体"/>
          <w:color w:val="auto"/>
          <w:sz w:val="28"/>
          <w:szCs w:val="28"/>
          <w:highlight w:val="none"/>
        </w:rPr>
      </w:pPr>
      <w:bookmarkStart w:id="66" w:name="_Toc21541029"/>
      <w:bookmarkStart w:id="67" w:name="_Toc65915718"/>
      <w:bookmarkStart w:id="68" w:name="_Toc443468294"/>
      <w:r>
        <w:rPr>
          <w:rFonts w:hint="eastAsia" w:ascii="宋体" w:hAnsi="宋体"/>
          <w:color w:val="auto"/>
          <w:sz w:val="36"/>
          <w:szCs w:val="36"/>
          <w:highlight w:val="none"/>
        </w:rPr>
        <w:t>年</w:t>
      </w:r>
      <w:r>
        <w:rPr>
          <w:rFonts w:ascii="宋体" w:hAnsi="宋体"/>
          <w:color w:val="auto"/>
          <w:sz w:val="36"/>
          <w:szCs w:val="36"/>
          <w:highlight w:val="none"/>
        </w:rPr>
        <w:t xml:space="preserve">  </w:t>
      </w:r>
      <w:r>
        <w:rPr>
          <w:rFonts w:hint="eastAsia" w:ascii="宋体" w:hAnsi="宋体"/>
          <w:color w:val="auto"/>
          <w:sz w:val="36"/>
          <w:szCs w:val="36"/>
          <w:highlight w:val="none"/>
        </w:rPr>
        <w:t>月</w:t>
      </w:r>
      <w:r>
        <w:rPr>
          <w:rFonts w:ascii="宋体" w:hAnsi="宋体"/>
          <w:color w:val="auto"/>
          <w:sz w:val="36"/>
          <w:szCs w:val="36"/>
          <w:highlight w:val="none"/>
        </w:rPr>
        <w:t xml:space="preserve">  </w:t>
      </w:r>
      <w:r>
        <w:rPr>
          <w:rFonts w:hint="eastAsia" w:ascii="宋体" w:hAnsi="宋体"/>
          <w:color w:val="auto"/>
          <w:sz w:val="36"/>
          <w:szCs w:val="36"/>
          <w:highlight w:val="none"/>
        </w:rPr>
        <w:t>日</w:t>
      </w:r>
      <w:bookmarkEnd w:id="66"/>
      <w:bookmarkEnd w:id="67"/>
      <w:bookmarkEnd w:id="68"/>
    </w:p>
    <w:p>
      <w:pPr>
        <w:autoSpaceDE w:val="0"/>
        <w:autoSpaceDN w:val="0"/>
        <w:adjustRightInd w:val="0"/>
        <w:spacing w:line="400" w:lineRule="exact"/>
        <w:jc w:val="center"/>
        <w:outlineLvl w:val="0"/>
        <w:rPr>
          <w:rStyle w:val="104"/>
          <w:rFonts w:ascii="宋体" w:hAnsi="宋体"/>
          <w:color w:val="auto"/>
          <w:sz w:val="28"/>
          <w:szCs w:val="28"/>
          <w:highlight w:val="none"/>
        </w:rPr>
      </w:pPr>
    </w:p>
    <w:p>
      <w:pPr>
        <w:autoSpaceDE w:val="0"/>
        <w:autoSpaceDN w:val="0"/>
        <w:adjustRightInd w:val="0"/>
        <w:spacing w:line="400" w:lineRule="exact"/>
        <w:jc w:val="center"/>
        <w:outlineLvl w:val="0"/>
        <w:rPr>
          <w:rStyle w:val="104"/>
          <w:rFonts w:ascii="宋体" w:hAnsi="宋体"/>
          <w:color w:val="auto"/>
          <w:sz w:val="28"/>
          <w:szCs w:val="28"/>
          <w:highlight w:val="none"/>
        </w:rPr>
      </w:pPr>
    </w:p>
    <w:p>
      <w:pPr>
        <w:autoSpaceDE w:val="0"/>
        <w:autoSpaceDN w:val="0"/>
        <w:adjustRightInd w:val="0"/>
        <w:spacing w:line="400" w:lineRule="exact"/>
        <w:jc w:val="both"/>
        <w:outlineLvl w:val="0"/>
        <w:rPr>
          <w:rFonts w:hint="eastAsia" w:ascii="宋体" w:hAnsi="宋体"/>
          <w:b/>
          <w:color w:val="auto"/>
          <w:szCs w:val="21"/>
          <w:highlight w:val="none"/>
          <w:lang w:eastAsia="zh-CN"/>
        </w:rPr>
      </w:pPr>
      <w:r>
        <w:rPr>
          <w:rStyle w:val="104"/>
          <w:rFonts w:ascii="宋体" w:hAnsi="宋体"/>
          <w:color w:val="auto"/>
          <w:sz w:val="28"/>
          <w:szCs w:val="28"/>
          <w:highlight w:val="none"/>
        </w:rPr>
        <w:br w:type="page"/>
      </w:r>
      <w:bookmarkEnd w:id="61"/>
      <w:bookmarkEnd w:id="62"/>
      <w:bookmarkStart w:id="69" w:name="_Toc65915719"/>
      <w:bookmarkStart w:id="70" w:name="_Toc21541030"/>
      <w:r>
        <w:rPr>
          <w:rFonts w:hint="eastAsia" w:ascii="宋体" w:hAnsi="宋体"/>
          <w:b/>
          <w:color w:val="auto"/>
          <w:szCs w:val="21"/>
          <w:highlight w:val="none"/>
          <w:lang w:eastAsia="zh-CN"/>
        </w:rPr>
        <w:t>附件八</w:t>
      </w:r>
    </w:p>
    <w:p>
      <w:pPr>
        <w:autoSpaceDE w:val="0"/>
        <w:autoSpaceDN w:val="0"/>
        <w:adjustRightInd w:val="0"/>
        <w:spacing w:line="400" w:lineRule="exact"/>
        <w:jc w:val="center"/>
        <w:outlineLvl w:val="0"/>
        <w:rPr>
          <w:rFonts w:ascii="宋体" w:hAnsi="宋体"/>
          <w:b/>
          <w:color w:val="auto"/>
          <w:szCs w:val="21"/>
          <w:highlight w:val="none"/>
        </w:rPr>
      </w:pPr>
      <w:r>
        <w:rPr>
          <w:rFonts w:hint="eastAsia" w:ascii="宋体" w:hAnsi="宋体"/>
          <w:b/>
          <w:color w:val="auto"/>
          <w:szCs w:val="21"/>
          <w:highlight w:val="none"/>
        </w:rPr>
        <w:t>开标一览表</w:t>
      </w:r>
    </w:p>
    <w:p>
      <w:pPr>
        <w:pStyle w:val="19"/>
        <w:spacing w:line="400" w:lineRule="exact"/>
        <w:ind w:firstLine="0"/>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rPr>
        <w:t>项目名称：</w:t>
      </w:r>
      <w:r>
        <w:rPr>
          <w:rFonts w:hint="eastAsia" w:ascii="宋体" w:hAnsi="宋体" w:eastAsia="宋体"/>
          <w:color w:val="auto"/>
          <w:sz w:val="21"/>
          <w:szCs w:val="21"/>
          <w:highlight w:val="none"/>
          <w:u w:val="single"/>
          <w:lang w:eastAsia="zh-CN"/>
        </w:rPr>
        <w:t>温州医科大学慈溪生物医药研究院三维皮肤气液交换培养生物反应器采购项目</w:t>
      </w:r>
    </w:p>
    <w:p>
      <w:pPr>
        <w:pStyle w:val="19"/>
        <w:spacing w:line="400" w:lineRule="exact"/>
        <w:ind w:firstLine="0"/>
        <w:rPr>
          <w:rFonts w:hint="eastAsia" w:ascii="宋体" w:hAnsi="宋体" w:eastAsia="宋体"/>
          <w:color w:val="auto"/>
          <w:sz w:val="21"/>
          <w:szCs w:val="21"/>
          <w:highlight w:val="none"/>
          <w:u w:val="single"/>
          <w:lang w:eastAsia="zh-CN"/>
        </w:rPr>
      </w:pPr>
      <w:r>
        <w:rPr>
          <w:rFonts w:hint="eastAsia" w:ascii="宋体" w:hAnsi="宋体" w:eastAsia="宋体"/>
          <w:color w:val="auto"/>
          <w:sz w:val="21"/>
          <w:szCs w:val="21"/>
          <w:highlight w:val="none"/>
        </w:rPr>
        <w:t>项目编号：</w:t>
      </w:r>
      <w:r>
        <w:rPr>
          <w:rFonts w:hint="eastAsia" w:ascii="宋体" w:hAnsi="宋体" w:eastAsia="宋体"/>
          <w:color w:val="auto"/>
          <w:sz w:val="21"/>
          <w:szCs w:val="21"/>
          <w:highlight w:val="none"/>
          <w:u w:val="single"/>
        </w:rPr>
        <w:t>330282202311009365</w:t>
      </w:r>
    </w:p>
    <w:p>
      <w:pPr>
        <w:pStyle w:val="22"/>
        <w:snapToGrid w:val="0"/>
        <w:spacing w:before="0" w:beforeAutospacing="0" w:after="0" w:afterAutospacing="0" w:line="400" w:lineRule="exact"/>
        <w:ind w:firstLine="2520" w:firstLineChars="1200"/>
        <w:rPr>
          <w:rFonts w:hAnsi="宋体"/>
          <w:color w:val="auto"/>
          <w:kern w:val="2"/>
          <w:sz w:val="21"/>
          <w:szCs w:val="21"/>
          <w:highlight w:val="none"/>
        </w:rPr>
      </w:pPr>
      <w:r>
        <w:rPr>
          <w:rFonts w:hAnsi="宋体"/>
          <w:color w:val="auto"/>
          <w:kern w:val="2"/>
          <w:sz w:val="21"/>
          <w:szCs w:val="21"/>
          <w:highlight w:val="none"/>
        </w:rPr>
        <w:t xml:space="preserve">                                    </w:t>
      </w:r>
      <w:r>
        <w:rPr>
          <w:rFonts w:hint="eastAsia" w:hAnsi="宋体"/>
          <w:color w:val="auto"/>
          <w:kern w:val="2"/>
          <w:sz w:val="21"/>
          <w:szCs w:val="21"/>
          <w:highlight w:val="none"/>
        </w:rPr>
        <w:t>金额单位：人民币（元）</w:t>
      </w:r>
    </w:p>
    <w:tbl>
      <w:tblPr>
        <w:tblStyle w:val="45"/>
        <w:tblW w:w="93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
        <w:gridCol w:w="1960"/>
        <w:gridCol w:w="1457"/>
        <w:gridCol w:w="1418"/>
        <w:gridCol w:w="992"/>
        <w:gridCol w:w="2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935" w:type="dxa"/>
            <w:vAlign w:val="center"/>
          </w:tcPr>
          <w:p>
            <w:pPr>
              <w:snapToGrid w:val="0"/>
              <w:spacing w:line="400" w:lineRule="exact"/>
              <w:jc w:val="center"/>
              <w:rPr>
                <w:rFonts w:ascii="宋体" w:hAnsi="宋体"/>
                <w:color w:val="auto"/>
                <w:szCs w:val="21"/>
                <w:highlight w:val="none"/>
              </w:rPr>
            </w:pPr>
            <w:r>
              <w:rPr>
                <w:rFonts w:hint="eastAsia" w:ascii="宋体" w:hAnsi="宋体"/>
                <w:color w:val="auto"/>
                <w:szCs w:val="21"/>
                <w:highlight w:val="none"/>
              </w:rPr>
              <w:t>标项</w:t>
            </w:r>
          </w:p>
        </w:tc>
        <w:tc>
          <w:tcPr>
            <w:tcW w:w="1960" w:type="dxa"/>
            <w:vAlign w:val="center"/>
          </w:tcPr>
          <w:p>
            <w:pPr>
              <w:snapToGrid w:val="0"/>
              <w:spacing w:line="400" w:lineRule="exact"/>
              <w:jc w:val="center"/>
              <w:rPr>
                <w:rFonts w:ascii="宋体" w:hAnsi="宋体"/>
                <w:color w:val="auto"/>
                <w:szCs w:val="21"/>
                <w:highlight w:val="none"/>
              </w:rPr>
            </w:pPr>
            <w:r>
              <w:rPr>
                <w:rFonts w:hint="eastAsia" w:ascii="宋体" w:hAnsi="宋体"/>
                <w:color w:val="auto"/>
                <w:szCs w:val="21"/>
                <w:highlight w:val="none"/>
              </w:rPr>
              <w:t>货物名称</w:t>
            </w:r>
          </w:p>
        </w:tc>
        <w:tc>
          <w:tcPr>
            <w:tcW w:w="1457" w:type="dxa"/>
            <w:vAlign w:val="center"/>
          </w:tcPr>
          <w:p>
            <w:pPr>
              <w:snapToGrid w:val="0"/>
              <w:spacing w:line="400" w:lineRule="exact"/>
              <w:jc w:val="center"/>
              <w:rPr>
                <w:rFonts w:ascii="宋体" w:hAnsi="宋体"/>
                <w:color w:val="auto"/>
                <w:szCs w:val="21"/>
                <w:highlight w:val="none"/>
              </w:rPr>
            </w:pPr>
            <w:r>
              <w:rPr>
                <w:rFonts w:hint="eastAsia" w:ascii="宋体" w:hAnsi="宋体"/>
                <w:color w:val="auto"/>
                <w:szCs w:val="21"/>
                <w:highlight w:val="none"/>
              </w:rPr>
              <w:t>产地品牌</w:t>
            </w:r>
          </w:p>
        </w:tc>
        <w:tc>
          <w:tcPr>
            <w:tcW w:w="1418" w:type="dxa"/>
            <w:vAlign w:val="center"/>
          </w:tcPr>
          <w:p>
            <w:pPr>
              <w:snapToGrid w:val="0"/>
              <w:spacing w:line="400" w:lineRule="exact"/>
              <w:jc w:val="center"/>
              <w:rPr>
                <w:rFonts w:ascii="宋体" w:hAnsi="宋体"/>
                <w:color w:val="auto"/>
                <w:szCs w:val="21"/>
                <w:highlight w:val="none"/>
              </w:rPr>
            </w:pPr>
            <w:r>
              <w:rPr>
                <w:rFonts w:hint="eastAsia" w:ascii="宋体" w:hAnsi="宋体"/>
                <w:color w:val="auto"/>
                <w:szCs w:val="21"/>
                <w:highlight w:val="none"/>
              </w:rPr>
              <w:t>规格型号</w:t>
            </w:r>
          </w:p>
        </w:tc>
        <w:tc>
          <w:tcPr>
            <w:tcW w:w="992" w:type="dxa"/>
            <w:vAlign w:val="center"/>
          </w:tcPr>
          <w:p>
            <w:pPr>
              <w:snapToGrid w:val="0"/>
              <w:spacing w:line="400" w:lineRule="exact"/>
              <w:jc w:val="center"/>
              <w:rPr>
                <w:rFonts w:ascii="宋体" w:hAnsi="宋体"/>
                <w:color w:val="auto"/>
                <w:szCs w:val="21"/>
                <w:highlight w:val="none"/>
              </w:rPr>
            </w:pPr>
            <w:r>
              <w:rPr>
                <w:rFonts w:hint="eastAsia" w:ascii="宋体" w:hAnsi="宋体"/>
                <w:color w:val="auto"/>
                <w:szCs w:val="21"/>
                <w:highlight w:val="none"/>
              </w:rPr>
              <w:t>数量</w:t>
            </w:r>
          </w:p>
        </w:tc>
        <w:tc>
          <w:tcPr>
            <w:tcW w:w="2543" w:type="dxa"/>
            <w:vAlign w:val="center"/>
          </w:tcPr>
          <w:p>
            <w:pPr>
              <w:snapToGrid w:val="0"/>
              <w:spacing w:line="400" w:lineRule="exact"/>
              <w:jc w:val="center"/>
              <w:rPr>
                <w:rFonts w:ascii="宋体" w:hAnsi="宋体"/>
                <w:color w:val="auto"/>
                <w:szCs w:val="21"/>
                <w:highlight w:val="none"/>
              </w:rPr>
            </w:pPr>
            <w:r>
              <w:rPr>
                <w:rFonts w:hint="eastAsia" w:ascii="宋体" w:hAnsi="宋体"/>
                <w:color w:val="auto"/>
                <w:szCs w:val="21"/>
                <w:highlight w:val="none"/>
              </w:rPr>
              <w:t>投标报价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935" w:type="dxa"/>
            <w:vAlign w:val="center"/>
          </w:tcPr>
          <w:p>
            <w:pPr>
              <w:snapToGrid w:val="0"/>
              <w:spacing w:line="400" w:lineRule="exact"/>
              <w:jc w:val="center"/>
              <w:rPr>
                <w:rFonts w:ascii="宋体" w:hAnsi="宋体"/>
                <w:color w:val="auto"/>
                <w:szCs w:val="21"/>
                <w:highlight w:val="none"/>
              </w:rPr>
            </w:pPr>
            <w:r>
              <w:rPr>
                <w:rFonts w:hint="eastAsia" w:ascii="宋体" w:hAnsi="宋体"/>
                <w:color w:val="auto"/>
                <w:szCs w:val="21"/>
                <w:highlight w:val="none"/>
              </w:rPr>
              <w:t>1</w:t>
            </w:r>
          </w:p>
        </w:tc>
        <w:tc>
          <w:tcPr>
            <w:tcW w:w="1960" w:type="dxa"/>
            <w:vAlign w:val="center"/>
          </w:tcPr>
          <w:p>
            <w:pPr>
              <w:spacing w:line="400" w:lineRule="exact"/>
              <w:jc w:val="center"/>
              <w:rPr>
                <w:rFonts w:ascii="宋体" w:hAnsi="宋体"/>
                <w:color w:val="auto"/>
                <w:szCs w:val="21"/>
                <w:highlight w:val="none"/>
              </w:rPr>
            </w:pPr>
            <w:r>
              <w:rPr>
                <w:rFonts w:hint="eastAsia" w:ascii="宋体" w:hAnsi="宋体" w:eastAsia="宋体"/>
                <w:color w:val="auto"/>
                <w:sz w:val="21"/>
                <w:szCs w:val="21"/>
                <w:highlight w:val="none"/>
                <w:u w:val="none"/>
                <w:lang w:eastAsia="zh-CN"/>
              </w:rPr>
              <w:t>三维皮肤气液交换培养生物反应器</w:t>
            </w:r>
          </w:p>
        </w:tc>
        <w:tc>
          <w:tcPr>
            <w:tcW w:w="1457" w:type="dxa"/>
            <w:vAlign w:val="center"/>
          </w:tcPr>
          <w:p>
            <w:pPr>
              <w:spacing w:line="400" w:lineRule="exact"/>
              <w:jc w:val="center"/>
              <w:rPr>
                <w:rFonts w:ascii="宋体" w:hAnsi="宋体"/>
                <w:color w:val="auto"/>
                <w:szCs w:val="21"/>
                <w:highlight w:val="none"/>
              </w:rPr>
            </w:pPr>
          </w:p>
        </w:tc>
        <w:tc>
          <w:tcPr>
            <w:tcW w:w="1418" w:type="dxa"/>
            <w:vAlign w:val="center"/>
          </w:tcPr>
          <w:p>
            <w:pPr>
              <w:spacing w:line="400" w:lineRule="exact"/>
              <w:jc w:val="center"/>
              <w:rPr>
                <w:rFonts w:ascii="宋体" w:hAnsi="宋体"/>
                <w:color w:val="auto"/>
                <w:szCs w:val="21"/>
                <w:highlight w:val="none"/>
              </w:rPr>
            </w:pPr>
          </w:p>
        </w:tc>
        <w:tc>
          <w:tcPr>
            <w:tcW w:w="992" w:type="dxa"/>
            <w:vAlign w:val="center"/>
          </w:tcPr>
          <w:p>
            <w:pPr>
              <w:snapToGrid w:val="0"/>
              <w:spacing w:line="400" w:lineRule="exact"/>
              <w:jc w:val="center"/>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1</w:t>
            </w:r>
          </w:p>
        </w:tc>
        <w:tc>
          <w:tcPr>
            <w:tcW w:w="2543" w:type="dxa"/>
            <w:vAlign w:val="center"/>
          </w:tcPr>
          <w:p>
            <w:pPr>
              <w:snapToGrid w:val="0"/>
              <w:spacing w:line="400" w:lineRule="exact"/>
              <w:jc w:val="left"/>
              <w:rPr>
                <w:rFonts w:ascii="宋体" w:hAnsi="宋体"/>
                <w:color w:val="auto"/>
                <w:szCs w:val="21"/>
                <w:highlight w:val="none"/>
              </w:rPr>
            </w:pPr>
            <w:r>
              <w:rPr>
                <w:rFonts w:hint="eastAsia" w:ascii="宋体" w:hAnsi="宋体"/>
                <w:color w:val="auto"/>
                <w:szCs w:val="21"/>
                <w:highlight w:val="none"/>
              </w:rPr>
              <w:t>大写：</w:t>
            </w:r>
          </w:p>
          <w:p>
            <w:pPr>
              <w:snapToGrid w:val="0"/>
              <w:spacing w:line="400" w:lineRule="exact"/>
              <w:jc w:val="left"/>
              <w:rPr>
                <w:rFonts w:ascii="宋体" w:hAnsi="宋体"/>
                <w:color w:val="auto"/>
                <w:szCs w:val="21"/>
                <w:highlight w:val="none"/>
              </w:rPr>
            </w:pPr>
            <w:r>
              <w:rPr>
                <w:rFonts w:hint="eastAsia" w:ascii="宋体" w:hAnsi="宋体"/>
                <w:color w:val="auto"/>
                <w:szCs w:val="21"/>
                <w:highlight w:val="none"/>
              </w:rPr>
              <w:t>小写：</w:t>
            </w:r>
          </w:p>
        </w:tc>
      </w:tr>
    </w:tbl>
    <w:p>
      <w:pPr>
        <w:snapToGrid w:val="0"/>
        <w:spacing w:line="400" w:lineRule="exact"/>
        <w:rPr>
          <w:rFonts w:ascii="宋体" w:hAnsi="宋体"/>
          <w:color w:val="auto"/>
          <w:szCs w:val="21"/>
          <w:highlight w:val="none"/>
        </w:rPr>
      </w:pPr>
      <w:r>
        <w:rPr>
          <w:rFonts w:hint="eastAsia" w:ascii="宋体" w:hAnsi="宋体"/>
          <w:color w:val="auto"/>
          <w:szCs w:val="21"/>
          <w:highlight w:val="none"/>
        </w:rPr>
        <w:t>备注：1、报价以人民币为结算单位。</w:t>
      </w:r>
    </w:p>
    <w:p>
      <w:pPr>
        <w:snapToGrid w:val="0"/>
        <w:spacing w:line="400" w:lineRule="exact"/>
        <w:ind w:firstLine="630" w:firstLineChars="300"/>
        <w:rPr>
          <w:rFonts w:ascii="宋体" w:hAnsi="宋体"/>
          <w:color w:val="auto"/>
          <w:szCs w:val="21"/>
          <w:highlight w:val="none"/>
        </w:rPr>
      </w:pPr>
      <w:r>
        <w:rPr>
          <w:rFonts w:hint="eastAsia" w:ascii="宋体" w:hAnsi="宋体"/>
          <w:color w:val="auto"/>
          <w:szCs w:val="21"/>
          <w:highlight w:val="none"/>
        </w:rPr>
        <w:t>2、投标报价必须与分项报价表中的投标报价一致。</w:t>
      </w:r>
    </w:p>
    <w:p>
      <w:pPr>
        <w:snapToGrid w:val="0"/>
        <w:spacing w:line="400" w:lineRule="exact"/>
        <w:ind w:firstLine="632" w:firstLineChars="300"/>
        <w:rPr>
          <w:rFonts w:ascii="宋体" w:hAnsi="宋体"/>
          <w:b/>
          <w:color w:val="auto"/>
          <w:szCs w:val="21"/>
          <w:highlight w:val="none"/>
        </w:rPr>
      </w:pPr>
      <w:r>
        <w:rPr>
          <w:rFonts w:hint="eastAsia" w:ascii="宋体" w:hAnsi="宋体"/>
          <w:b/>
          <w:color w:val="auto"/>
          <w:szCs w:val="21"/>
          <w:highlight w:val="none"/>
        </w:rPr>
        <w:t>3、本表所填内容与政采云系统“开标一览表”中录入的内容不一致的，以上传的盖章版投标文件中本表所填内容为准。</w:t>
      </w:r>
    </w:p>
    <w:p>
      <w:pPr>
        <w:snapToGrid w:val="0"/>
        <w:spacing w:line="400" w:lineRule="exact"/>
        <w:ind w:firstLine="630" w:firstLineChars="300"/>
        <w:rPr>
          <w:rFonts w:ascii="宋体" w:hAnsi="宋体"/>
          <w:color w:val="auto"/>
          <w:szCs w:val="21"/>
          <w:highlight w:val="none"/>
        </w:rPr>
      </w:pPr>
    </w:p>
    <w:p>
      <w:pPr>
        <w:spacing w:line="400" w:lineRule="exact"/>
        <w:jc w:val="left"/>
        <w:rPr>
          <w:rFonts w:ascii="宋体" w:hAnsi="宋体"/>
          <w:color w:val="auto"/>
          <w:szCs w:val="21"/>
          <w:highlight w:val="none"/>
        </w:rPr>
      </w:pPr>
    </w:p>
    <w:p>
      <w:pPr>
        <w:spacing w:line="400" w:lineRule="exact"/>
        <w:jc w:val="left"/>
        <w:rPr>
          <w:rFonts w:ascii="宋体" w:hAnsi="宋体"/>
          <w:color w:val="auto"/>
          <w:szCs w:val="21"/>
          <w:highlight w:val="none"/>
        </w:rPr>
      </w:pPr>
    </w:p>
    <w:p>
      <w:pPr>
        <w:spacing w:line="400" w:lineRule="exact"/>
        <w:jc w:val="left"/>
        <w:rPr>
          <w:rFonts w:ascii="宋体" w:hAnsi="宋体"/>
          <w:color w:val="auto"/>
          <w:szCs w:val="21"/>
          <w:highlight w:val="none"/>
        </w:rPr>
      </w:pPr>
      <w:r>
        <w:rPr>
          <w:rFonts w:hint="eastAsia" w:ascii="宋体" w:hAnsi="宋体"/>
          <w:color w:val="auto"/>
          <w:szCs w:val="21"/>
          <w:highlight w:val="none"/>
        </w:rPr>
        <w:t>供应商（盖章）：</w:t>
      </w:r>
      <w:r>
        <w:rPr>
          <w:rFonts w:ascii="宋体" w:hAnsi="宋体"/>
          <w:color w:val="auto"/>
          <w:szCs w:val="21"/>
          <w:highlight w:val="none"/>
          <w:u w:val="single"/>
        </w:rPr>
        <w:t xml:space="preserve">                                </w:t>
      </w:r>
      <w:r>
        <w:rPr>
          <w:rFonts w:ascii="宋体" w:hAnsi="宋体"/>
          <w:color w:val="auto"/>
          <w:szCs w:val="21"/>
          <w:highlight w:val="none"/>
        </w:rPr>
        <w:t xml:space="preserve">          </w:t>
      </w:r>
    </w:p>
    <w:p>
      <w:pPr>
        <w:spacing w:line="400" w:lineRule="exact"/>
        <w:rPr>
          <w:rFonts w:ascii="宋体" w:hAnsi="宋体"/>
          <w:color w:val="auto"/>
          <w:szCs w:val="21"/>
          <w:highlight w:val="none"/>
        </w:rPr>
      </w:pPr>
      <w:r>
        <w:rPr>
          <w:rFonts w:hint="eastAsia" w:ascii="宋体" w:hAnsi="宋体"/>
          <w:color w:val="auto"/>
          <w:szCs w:val="21"/>
          <w:highlight w:val="none"/>
        </w:rPr>
        <w:t>日</w:t>
      </w:r>
      <w:r>
        <w:rPr>
          <w:rFonts w:ascii="宋体" w:hAnsi="宋体"/>
          <w:color w:val="auto"/>
          <w:szCs w:val="21"/>
          <w:highlight w:val="none"/>
        </w:rPr>
        <w:t xml:space="preserve">          </w:t>
      </w:r>
      <w:r>
        <w:rPr>
          <w:rFonts w:hint="eastAsia" w:ascii="宋体" w:hAnsi="宋体"/>
          <w:color w:val="auto"/>
          <w:szCs w:val="21"/>
          <w:highlight w:val="none"/>
        </w:rPr>
        <w:t>期：</w:t>
      </w:r>
      <w:r>
        <w:rPr>
          <w:rFonts w:ascii="宋体" w:hAnsi="宋体"/>
          <w:color w:val="auto"/>
          <w:szCs w:val="21"/>
          <w:highlight w:val="none"/>
          <w:u w:val="single"/>
        </w:rPr>
        <w:t xml:space="preserve">                                </w:t>
      </w:r>
      <w:bookmarkEnd w:id="69"/>
      <w:bookmarkEnd w:id="70"/>
    </w:p>
    <w:p>
      <w:pPr>
        <w:autoSpaceDE w:val="0"/>
        <w:autoSpaceDN w:val="0"/>
        <w:adjustRightInd w:val="0"/>
        <w:spacing w:line="400" w:lineRule="exact"/>
        <w:jc w:val="center"/>
        <w:outlineLvl w:val="0"/>
        <w:rPr>
          <w:rFonts w:ascii="宋体" w:hAnsi="宋体"/>
          <w:color w:val="auto"/>
          <w:szCs w:val="21"/>
          <w:highlight w:val="none"/>
        </w:rPr>
      </w:pPr>
    </w:p>
    <w:p>
      <w:pPr>
        <w:autoSpaceDE w:val="0"/>
        <w:autoSpaceDN w:val="0"/>
        <w:adjustRightInd w:val="0"/>
        <w:spacing w:line="400" w:lineRule="exact"/>
        <w:jc w:val="center"/>
        <w:outlineLvl w:val="0"/>
        <w:rPr>
          <w:rFonts w:ascii="宋体" w:hAnsi="宋体"/>
          <w:color w:val="auto"/>
          <w:szCs w:val="21"/>
          <w:highlight w:val="none"/>
        </w:rPr>
        <w:sectPr>
          <w:headerReference r:id="rId10" w:type="default"/>
          <w:footerReference r:id="rId11" w:type="default"/>
          <w:pgSz w:w="11907" w:h="16840"/>
          <w:pgMar w:top="1247" w:right="1361" w:bottom="1247" w:left="1361" w:header="285" w:footer="990" w:gutter="0"/>
          <w:pgNumType w:fmt="decimal"/>
          <w:cols w:space="720" w:num="1"/>
          <w:docGrid w:linePitch="285" w:charSpace="0"/>
        </w:sectPr>
      </w:pPr>
    </w:p>
    <w:p>
      <w:pPr>
        <w:autoSpaceDE w:val="0"/>
        <w:autoSpaceDN w:val="0"/>
        <w:adjustRightInd w:val="0"/>
        <w:spacing w:line="400" w:lineRule="exact"/>
        <w:jc w:val="both"/>
        <w:outlineLvl w:val="0"/>
        <w:rPr>
          <w:rFonts w:hint="eastAsia" w:ascii="宋体" w:hAnsi="宋体"/>
          <w:b/>
          <w:color w:val="auto"/>
          <w:szCs w:val="21"/>
          <w:highlight w:val="none"/>
          <w:lang w:eastAsia="zh-CN"/>
        </w:rPr>
      </w:pPr>
      <w:bookmarkStart w:id="71" w:name="_Toc65915720"/>
      <w:r>
        <w:rPr>
          <w:rFonts w:hint="eastAsia" w:ascii="宋体" w:hAnsi="宋体"/>
          <w:b/>
          <w:color w:val="auto"/>
          <w:szCs w:val="21"/>
          <w:highlight w:val="none"/>
          <w:lang w:eastAsia="zh-CN"/>
        </w:rPr>
        <w:t>附件九</w:t>
      </w:r>
    </w:p>
    <w:p>
      <w:pPr>
        <w:autoSpaceDE w:val="0"/>
        <w:autoSpaceDN w:val="0"/>
        <w:adjustRightInd w:val="0"/>
        <w:spacing w:line="400" w:lineRule="exact"/>
        <w:jc w:val="center"/>
        <w:outlineLvl w:val="0"/>
        <w:rPr>
          <w:rFonts w:ascii="宋体" w:hAnsi="宋体"/>
          <w:b/>
          <w:color w:val="auto"/>
          <w:szCs w:val="21"/>
          <w:highlight w:val="none"/>
        </w:rPr>
      </w:pPr>
      <w:r>
        <w:rPr>
          <w:rFonts w:hint="eastAsia" w:ascii="宋体" w:hAnsi="宋体"/>
          <w:b/>
          <w:color w:val="auto"/>
          <w:szCs w:val="21"/>
          <w:highlight w:val="none"/>
        </w:rPr>
        <w:t>分项报价表</w:t>
      </w:r>
      <w:bookmarkEnd w:id="71"/>
    </w:p>
    <w:p>
      <w:pPr>
        <w:pStyle w:val="19"/>
        <w:spacing w:line="400" w:lineRule="exact"/>
        <w:ind w:firstLine="140" w:firstLineChars="67"/>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rPr>
        <w:t>项目名称：</w:t>
      </w:r>
      <w:r>
        <w:rPr>
          <w:rFonts w:hint="eastAsia" w:ascii="宋体" w:hAnsi="宋体" w:eastAsia="宋体"/>
          <w:color w:val="auto"/>
          <w:sz w:val="21"/>
          <w:szCs w:val="21"/>
          <w:highlight w:val="none"/>
          <w:u w:val="single"/>
          <w:lang w:eastAsia="zh-CN"/>
        </w:rPr>
        <w:t>温州医科大学慈溪生物医药研究院三维皮肤气液交换培养生物反应器采购项目</w:t>
      </w:r>
    </w:p>
    <w:p>
      <w:pPr>
        <w:pStyle w:val="22"/>
        <w:snapToGrid w:val="0"/>
        <w:spacing w:before="0" w:beforeAutospacing="0" w:after="0" w:afterAutospacing="0" w:line="400" w:lineRule="exact"/>
        <w:ind w:firstLine="140" w:firstLineChars="67"/>
        <w:rPr>
          <w:rFonts w:hint="default" w:hAnsi="宋体" w:eastAsia="宋体"/>
          <w:color w:val="auto"/>
          <w:sz w:val="21"/>
          <w:szCs w:val="21"/>
          <w:highlight w:val="none"/>
          <w:u w:val="single"/>
          <w:lang w:val="en-US" w:eastAsia="zh-CN"/>
        </w:rPr>
      </w:pPr>
      <w:r>
        <w:rPr>
          <w:rFonts w:hint="eastAsia" w:hAnsi="宋体"/>
          <w:color w:val="auto"/>
          <w:sz w:val="21"/>
          <w:szCs w:val="21"/>
          <w:highlight w:val="none"/>
        </w:rPr>
        <w:t>项目编号：</w:t>
      </w:r>
      <w:r>
        <w:rPr>
          <w:rFonts w:hint="eastAsia" w:hAnsi="宋体"/>
          <w:color w:val="auto"/>
          <w:sz w:val="21"/>
          <w:szCs w:val="21"/>
          <w:highlight w:val="none"/>
          <w:u w:val="single"/>
          <w:lang w:val="en-US" w:eastAsia="zh-CN"/>
        </w:rPr>
        <w:t xml:space="preserve"> 330282202311009365       </w:t>
      </w:r>
    </w:p>
    <w:p>
      <w:pPr>
        <w:pStyle w:val="22"/>
        <w:snapToGrid w:val="0"/>
        <w:spacing w:before="0" w:beforeAutospacing="0" w:after="0" w:afterAutospacing="0" w:line="400" w:lineRule="exact"/>
        <w:ind w:firstLine="2520" w:firstLineChars="1200"/>
        <w:jc w:val="right"/>
        <w:rPr>
          <w:rFonts w:hAnsi="宋体"/>
          <w:color w:val="auto"/>
          <w:kern w:val="2"/>
          <w:sz w:val="21"/>
          <w:szCs w:val="21"/>
          <w:highlight w:val="none"/>
        </w:rPr>
      </w:pPr>
      <w:r>
        <w:rPr>
          <w:rFonts w:hAnsi="宋体"/>
          <w:color w:val="auto"/>
          <w:kern w:val="2"/>
          <w:sz w:val="21"/>
          <w:szCs w:val="21"/>
          <w:highlight w:val="none"/>
        </w:rPr>
        <w:t xml:space="preserve">                                    </w:t>
      </w:r>
      <w:r>
        <w:rPr>
          <w:rFonts w:hint="eastAsia" w:hAnsi="宋体"/>
          <w:color w:val="auto"/>
          <w:kern w:val="2"/>
          <w:sz w:val="21"/>
          <w:szCs w:val="21"/>
          <w:highlight w:val="none"/>
        </w:rPr>
        <w:t>金额单位：人民币（元）</w:t>
      </w:r>
    </w:p>
    <w:tbl>
      <w:tblPr>
        <w:tblStyle w:val="45"/>
        <w:tblW w:w="14062" w:type="dxa"/>
        <w:tblInd w:w="3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4"/>
        <w:gridCol w:w="1171"/>
        <w:gridCol w:w="758"/>
        <w:gridCol w:w="554"/>
        <w:gridCol w:w="1218"/>
        <w:gridCol w:w="777"/>
        <w:gridCol w:w="945"/>
        <w:gridCol w:w="840"/>
        <w:gridCol w:w="1145"/>
        <w:gridCol w:w="851"/>
        <w:gridCol w:w="992"/>
        <w:gridCol w:w="1107"/>
        <w:gridCol w:w="840"/>
        <w:gridCol w:w="735"/>
        <w:gridCol w:w="7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trPr>
        <w:tc>
          <w:tcPr>
            <w:tcW w:w="1394" w:type="dxa"/>
            <w:vMerge w:val="restart"/>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货物名称</w:t>
            </w:r>
          </w:p>
        </w:tc>
        <w:tc>
          <w:tcPr>
            <w:tcW w:w="1171" w:type="dxa"/>
            <w:vMerge w:val="restart"/>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主要规格</w:t>
            </w:r>
          </w:p>
        </w:tc>
        <w:tc>
          <w:tcPr>
            <w:tcW w:w="758" w:type="dxa"/>
            <w:vMerge w:val="restart"/>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数量单位</w:t>
            </w:r>
          </w:p>
        </w:tc>
        <w:tc>
          <w:tcPr>
            <w:tcW w:w="554" w:type="dxa"/>
            <w:vMerge w:val="restart"/>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数量</w:t>
            </w:r>
          </w:p>
        </w:tc>
        <w:tc>
          <w:tcPr>
            <w:tcW w:w="1218" w:type="dxa"/>
            <w:vMerge w:val="restart"/>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投标货物制造商名</w:t>
            </w:r>
          </w:p>
        </w:tc>
        <w:tc>
          <w:tcPr>
            <w:tcW w:w="777" w:type="dxa"/>
            <w:vMerge w:val="restart"/>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投标报价</w:t>
            </w:r>
          </w:p>
        </w:tc>
        <w:tc>
          <w:tcPr>
            <w:tcW w:w="6720" w:type="dxa"/>
            <w:gridSpan w:val="7"/>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投标价组成</w:t>
            </w:r>
          </w:p>
        </w:tc>
        <w:tc>
          <w:tcPr>
            <w:tcW w:w="735" w:type="dxa"/>
            <w:vMerge w:val="restart"/>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交货日期</w:t>
            </w:r>
          </w:p>
        </w:tc>
        <w:tc>
          <w:tcPr>
            <w:tcW w:w="735" w:type="dxa"/>
            <w:vMerge w:val="restart"/>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交货地点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4" w:hRule="atLeast"/>
        </w:trPr>
        <w:tc>
          <w:tcPr>
            <w:tcW w:w="1394" w:type="dxa"/>
            <w:vMerge w:val="continue"/>
            <w:vAlign w:val="center"/>
          </w:tcPr>
          <w:p>
            <w:pPr>
              <w:spacing w:line="400" w:lineRule="exact"/>
              <w:jc w:val="center"/>
              <w:rPr>
                <w:rFonts w:ascii="宋体" w:hAnsi="宋体"/>
                <w:color w:val="auto"/>
                <w:szCs w:val="21"/>
                <w:highlight w:val="none"/>
              </w:rPr>
            </w:pPr>
          </w:p>
        </w:tc>
        <w:tc>
          <w:tcPr>
            <w:tcW w:w="1171" w:type="dxa"/>
            <w:vMerge w:val="continue"/>
            <w:vAlign w:val="center"/>
          </w:tcPr>
          <w:p>
            <w:pPr>
              <w:spacing w:line="400" w:lineRule="exact"/>
              <w:jc w:val="center"/>
              <w:rPr>
                <w:rFonts w:ascii="宋体" w:hAnsi="宋体"/>
                <w:color w:val="auto"/>
                <w:szCs w:val="21"/>
                <w:highlight w:val="none"/>
              </w:rPr>
            </w:pPr>
          </w:p>
        </w:tc>
        <w:tc>
          <w:tcPr>
            <w:tcW w:w="758" w:type="dxa"/>
            <w:vMerge w:val="continue"/>
            <w:vAlign w:val="center"/>
          </w:tcPr>
          <w:p>
            <w:pPr>
              <w:spacing w:line="400" w:lineRule="exact"/>
              <w:jc w:val="center"/>
              <w:rPr>
                <w:rFonts w:ascii="宋体" w:hAnsi="宋体"/>
                <w:color w:val="auto"/>
                <w:szCs w:val="21"/>
                <w:highlight w:val="none"/>
              </w:rPr>
            </w:pPr>
          </w:p>
        </w:tc>
        <w:tc>
          <w:tcPr>
            <w:tcW w:w="554" w:type="dxa"/>
            <w:vMerge w:val="continue"/>
            <w:vAlign w:val="center"/>
          </w:tcPr>
          <w:p>
            <w:pPr>
              <w:spacing w:line="400" w:lineRule="exact"/>
              <w:jc w:val="center"/>
              <w:rPr>
                <w:rFonts w:ascii="宋体" w:hAnsi="宋体"/>
                <w:color w:val="auto"/>
                <w:szCs w:val="21"/>
                <w:highlight w:val="none"/>
              </w:rPr>
            </w:pPr>
          </w:p>
        </w:tc>
        <w:tc>
          <w:tcPr>
            <w:tcW w:w="1218" w:type="dxa"/>
            <w:vMerge w:val="continue"/>
            <w:vAlign w:val="center"/>
          </w:tcPr>
          <w:p>
            <w:pPr>
              <w:spacing w:line="400" w:lineRule="exact"/>
              <w:jc w:val="center"/>
              <w:rPr>
                <w:rFonts w:ascii="宋体" w:hAnsi="宋体"/>
                <w:color w:val="auto"/>
                <w:szCs w:val="21"/>
                <w:highlight w:val="none"/>
              </w:rPr>
            </w:pPr>
          </w:p>
        </w:tc>
        <w:tc>
          <w:tcPr>
            <w:tcW w:w="777" w:type="dxa"/>
            <w:vMerge w:val="continue"/>
            <w:vAlign w:val="center"/>
          </w:tcPr>
          <w:p>
            <w:pPr>
              <w:spacing w:line="400" w:lineRule="exact"/>
              <w:jc w:val="center"/>
              <w:rPr>
                <w:rFonts w:ascii="宋体" w:hAnsi="宋体"/>
                <w:color w:val="auto"/>
                <w:szCs w:val="21"/>
                <w:highlight w:val="none"/>
              </w:rPr>
            </w:pPr>
          </w:p>
        </w:tc>
        <w:tc>
          <w:tcPr>
            <w:tcW w:w="945" w:type="dxa"/>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货物</w:t>
            </w:r>
          </w:p>
          <w:p>
            <w:pPr>
              <w:spacing w:line="400" w:lineRule="exact"/>
              <w:jc w:val="center"/>
              <w:rPr>
                <w:rFonts w:ascii="宋体" w:hAnsi="宋体"/>
                <w:color w:val="auto"/>
                <w:szCs w:val="21"/>
                <w:highlight w:val="none"/>
              </w:rPr>
            </w:pPr>
            <w:r>
              <w:rPr>
                <w:rFonts w:hint="eastAsia" w:ascii="宋体" w:hAnsi="宋体"/>
                <w:color w:val="auto"/>
                <w:szCs w:val="21"/>
                <w:highlight w:val="none"/>
              </w:rPr>
              <w:t>总价</w:t>
            </w:r>
          </w:p>
        </w:tc>
        <w:tc>
          <w:tcPr>
            <w:tcW w:w="840" w:type="dxa"/>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货物单价</w:t>
            </w:r>
          </w:p>
        </w:tc>
        <w:tc>
          <w:tcPr>
            <w:tcW w:w="1145" w:type="dxa"/>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质保期内备品、备件费</w:t>
            </w:r>
          </w:p>
        </w:tc>
        <w:tc>
          <w:tcPr>
            <w:tcW w:w="851" w:type="dxa"/>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特殊工具费</w:t>
            </w:r>
          </w:p>
        </w:tc>
        <w:tc>
          <w:tcPr>
            <w:tcW w:w="992" w:type="dxa"/>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安装调试费</w:t>
            </w:r>
          </w:p>
        </w:tc>
        <w:tc>
          <w:tcPr>
            <w:tcW w:w="1107" w:type="dxa"/>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技术服务及培训费</w:t>
            </w:r>
          </w:p>
        </w:tc>
        <w:tc>
          <w:tcPr>
            <w:tcW w:w="840" w:type="dxa"/>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运输保险费</w:t>
            </w:r>
          </w:p>
        </w:tc>
        <w:tc>
          <w:tcPr>
            <w:tcW w:w="735" w:type="dxa"/>
            <w:vMerge w:val="continue"/>
            <w:vAlign w:val="center"/>
          </w:tcPr>
          <w:p>
            <w:pPr>
              <w:spacing w:line="400" w:lineRule="exact"/>
              <w:jc w:val="center"/>
              <w:rPr>
                <w:rFonts w:ascii="宋体" w:hAnsi="宋体"/>
                <w:color w:val="auto"/>
                <w:szCs w:val="21"/>
                <w:highlight w:val="none"/>
              </w:rPr>
            </w:pPr>
          </w:p>
        </w:tc>
        <w:tc>
          <w:tcPr>
            <w:tcW w:w="735" w:type="dxa"/>
            <w:vMerge w:val="continue"/>
            <w:vAlign w:val="center"/>
          </w:tcPr>
          <w:p>
            <w:pPr>
              <w:spacing w:line="40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394" w:type="dxa"/>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1</w:t>
            </w:r>
          </w:p>
        </w:tc>
        <w:tc>
          <w:tcPr>
            <w:tcW w:w="1171" w:type="dxa"/>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2</w:t>
            </w:r>
          </w:p>
        </w:tc>
        <w:tc>
          <w:tcPr>
            <w:tcW w:w="758" w:type="dxa"/>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3</w:t>
            </w:r>
          </w:p>
        </w:tc>
        <w:tc>
          <w:tcPr>
            <w:tcW w:w="554" w:type="dxa"/>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4</w:t>
            </w:r>
          </w:p>
        </w:tc>
        <w:tc>
          <w:tcPr>
            <w:tcW w:w="1218" w:type="dxa"/>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5</w:t>
            </w:r>
          </w:p>
        </w:tc>
        <w:tc>
          <w:tcPr>
            <w:tcW w:w="777" w:type="dxa"/>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6</w:t>
            </w:r>
          </w:p>
        </w:tc>
        <w:tc>
          <w:tcPr>
            <w:tcW w:w="945" w:type="dxa"/>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7</w:t>
            </w:r>
          </w:p>
        </w:tc>
        <w:tc>
          <w:tcPr>
            <w:tcW w:w="840" w:type="dxa"/>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8</w:t>
            </w:r>
          </w:p>
        </w:tc>
        <w:tc>
          <w:tcPr>
            <w:tcW w:w="1145" w:type="dxa"/>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9</w:t>
            </w:r>
          </w:p>
        </w:tc>
        <w:tc>
          <w:tcPr>
            <w:tcW w:w="851" w:type="dxa"/>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10</w:t>
            </w:r>
          </w:p>
        </w:tc>
        <w:tc>
          <w:tcPr>
            <w:tcW w:w="992" w:type="dxa"/>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11</w:t>
            </w:r>
          </w:p>
        </w:tc>
        <w:tc>
          <w:tcPr>
            <w:tcW w:w="1107" w:type="dxa"/>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12</w:t>
            </w:r>
          </w:p>
        </w:tc>
        <w:tc>
          <w:tcPr>
            <w:tcW w:w="840" w:type="dxa"/>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13</w:t>
            </w:r>
          </w:p>
        </w:tc>
        <w:tc>
          <w:tcPr>
            <w:tcW w:w="735" w:type="dxa"/>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14</w:t>
            </w:r>
          </w:p>
        </w:tc>
        <w:tc>
          <w:tcPr>
            <w:tcW w:w="735" w:type="dxa"/>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394" w:type="dxa"/>
            <w:vAlign w:val="center"/>
          </w:tcPr>
          <w:p>
            <w:pPr>
              <w:spacing w:line="400" w:lineRule="exact"/>
              <w:rPr>
                <w:rFonts w:ascii="宋体" w:hAnsi="宋体"/>
                <w:color w:val="auto"/>
                <w:szCs w:val="21"/>
                <w:highlight w:val="none"/>
              </w:rPr>
            </w:pPr>
          </w:p>
        </w:tc>
        <w:tc>
          <w:tcPr>
            <w:tcW w:w="1171" w:type="dxa"/>
            <w:vAlign w:val="center"/>
          </w:tcPr>
          <w:p>
            <w:pPr>
              <w:spacing w:line="400" w:lineRule="exact"/>
              <w:rPr>
                <w:rFonts w:ascii="宋体" w:hAnsi="宋体"/>
                <w:color w:val="auto"/>
                <w:szCs w:val="21"/>
                <w:highlight w:val="none"/>
              </w:rPr>
            </w:pPr>
          </w:p>
        </w:tc>
        <w:tc>
          <w:tcPr>
            <w:tcW w:w="758" w:type="dxa"/>
            <w:vAlign w:val="center"/>
          </w:tcPr>
          <w:p>
            <w:pPr>
              <w:spacing w:line="400" w:lineRule="exact"/>
              <w:rPr>
                <w:rFonts w:ascii="宋体" w:hAnsi="宋体"/>
                <w:color w:val="auto"/>
                <w:szCs w:val="21"/>
                <w:highlight w:val="none"/>
              </w:rPr>
            </w:pPr>
          </w:p>
        </w:tc>
        <w:tc>
          <w:tcPr>
            <w:tcW w:w="554" w:type="dxa"/>
            <w:vAlign w:val="center"/>
          </w:tcPr>
          <w:p>
            <w:pPr>
              <w:spacing w:line="400" w:lineRule="exact"/>
              <w:rPr>
                <w:rFonts w:ascii="宋体" w:hAnsi="宋体"/>
                <w:color w:val="auto"/>
                <w:szCs w:val="21"/>
                <w:highlight w:val="none"/>
              </w:rPr>
            </w:pPr>
          </w:p>
        </w:tc>
        <w:tc>
          <w:tcPr>
            <w:tcW w:w="1218" w:type="dxa"/>
            <w:vAlign w:val="center"/>
          </w:tcPr>
          <w:p>
            <w:pPr>
              <w:spacing w:line="400" w:lineRule="exact"/>
              <w:rPr>
                <w:rFonts w:ascii="宋体" w:hAnsi="宋体"/>
                <w:color w:val="auto"/>
                <w:szCs w:val="21"/>
                <w:highlight w:val="none"/>
              </w:rPr>
            </w:pPr>
          </w:p>
        </w:tc>
        <w:tc>
          <w:tcPr>
            <w:tcW w:w="777" w:type="dxa"/>
            <w:vAlign w:val="center"/>
          </w:tcPr>
          <w:p>
            <w:pPr>
              <w:spacing w:line="400" w:lineRule="exact"/>
              <w:rPr>
                <w:rFonts w:ascii="宋体" w:hAnsi="宋体"/>
                <w:color w:val="auto"/>
                <w:szCs w:val="21"/>
                <w:highlight w:val="none"/>
              </w:rPr>
            </w:pPr>
          </w:p>
        </w:tc>
        <w:tc>
          <w:tcPr>
            <w:tcW w:w="945" w:type="dxa"/>
            <w:vAlign w:val="center"/>
          </w:tcPr>
          <w:p>
            <w:pPr>
              <w:spacing w:line="400" w:lineRule="exact"/>
              <w:rPr>
                <w:rFonts w:ascii="宋体" w:hAnsi="宋体"/>
                <w:color w:val="auto"/>
                <w:szCs w:val="21"/>
                <w:highlight w:val="none"/>
              </w:rPr>
            </w:pPr>
          </w:p>
        </w:tc>
        <w:tc>
          <w:tcPr>
            <w:tcW w:w="840" w:type="dxa"/>
            <w:vAlign w:val="center"/>
          </w:tcPr>
          <w:p>
            <w:pPr>
              <w:spacing w:line="400" w:lineRule="exact"/>
              <w:rPr>
                <w:rFonts w:ascii="宋体" w:hAnsi="宋体"/>
                <w:color w:val="auto"/>
                <w:szCs w:val="21"/>
                <w:highlight w:val="none"/>
              </w:rPr>
            </w:pPr>
          </w:p>
        </w:tc>
        <w:tc>
          <w:tcPr>
            <w:tcW w:w="1145" w:type="dxa"/>
            <w:vAlign w:val="center"/>
          </w:tcPr>
          <w:p>
            <w:pPr>
              <w:spacing w:line="400" w:lineRule="exact"/>
              <w:rPr>
                <w:rFonts w:ascii="宋体" w:hAnsi="宋体"/>
                <w:color w:val="auto"/>
                <w:szCs w:val="21"/>
                <w:highlight w:val="none"/>
              </w:rPr>
            </w:pPr>
          </w:p>
        </w:tc>
        <w:tc>
          <w:tcPr>
            <w:tcW w:w="851" w:type="dxa"/>
            <w:vAlign w:val="center"/>
          </w:tcPr>
          <w:p>
            <w:pPr>
              <w:spacing w:line="400" w:lineRule="exact"/>
              <w:rPr>
                <w:rFonts w:ascii="宋体" w:hAnsi="宋体"/>
                <w:color w:val="auto"/>
                <w:szCs w:val="21"/>
                <w:highlight w:val="none"/>
              </w:rPr>
            </w:pPr>
          </w:p>
        </w:tc>
        <w:tc>
          <w:tcPr>
            <w:tcW w:w="992" w:type="dxa"/>
            <w:vAlign w:val="center"/>
          </w:tcPr>
          <w:p>
            <w:pPr>
              <w:spacing w:line="400" w:lineRule="exact"/>
              <w:rPr>
                <w:rFonts w:ascii="宋体" w:hAnsi="宋体"/>
                <w:color w:val="auto"/>
                <w:szCs w:val="21"/>
                <w:highlight w:val="none"/>
              </w:rPr>
            </w:pPr>
          </w:p>
        </w:tc>
        <w:tc>
          <w:tcPr>
            <w:tcW w:w="1107" w:type="dxa"/>
            <w:vAlign w:val="center"/>
          </w:tcPr>
          <w:p>
            <w:pPr>
              <w:spacing w:line="400" w:lineRule="exact"/>
              <w:rPr>
                <w:rFonts w:ascii="宋体" w:hAnsi="宋体"/>
                <w:color w:val="auto"/>
                <w:szCs w:val="21"/>
                <w:highlight w:val="none"/>
              </w:rPr>
            </w:pPr>
          </w:p>
        </w:tc>
        <w:tc>
          <w:tcPr>
            <w:tcW w:w="840" w:type="dxa"/>
            <w:vAlign w:val="center"/>
          </w:tcPr>
          <w:p>
            <w:pPr>
              <w:spacing w:line="400" w:lineRule="exact"/>
              <w:rPr>
                <w:rFonts w:ascii="宋体" w:hAnsi="宋体"/>
                <w:color w:val="auto"/>
                <w:szCs w:val="21"/>
                <w:highlight w:val="none"/>
              </w:rPr>
            </w:pPr>
          </w:p>
        </w:tc>
        <w:tc>
          <w:tcPr>
            <w:tcW w:w="735" w:type="dxa"/>
            <w:vAlign w:val="center"/>
          </w:tcPr>
          <w:p>
            <w:pPr>
              <w:spacing w:line="400" w:lineRule="exact"/>
              <w:rPr>
                <w:rFonts w:ascii="宋体" w:hAnsi="宋体"/>
                <w:color w:val="auto"/>
                <w:szCs w:val="21"/>
                <w:highlight w:val="none"/>
              </w:rPr>
            </w:pPr>
          </w:p>
        </w:tc>
        <w:tc>
          <w:tcPr>
            <w:tcW w:w="735" w:type="dxa"/>
            <w:vAlign w:val="center"/>
          </w:tcPr>
          <w:p>
            <w:pPr>
              <w:spacing w:line="400" w:lineRule="exact"/>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394" w:type="dxa"/>
            <w:vAlign w:val="center"/>
          </w:tcPr>
          <w:p>
            <w:pPr>
              <w:spacing w:line="400" w:lineRule="exact"/>
              <w:rPr>
                <w:rFonts w:ascii="宋体" w:hAnsi="宋体"/>
                <w:color w:val="auto"/>
                <w:szCs w:val="21"/>
                <w:highlight w:val="none"/>
              </w:rPr>
            </w:pPr>
          </w:p>
        </w:tc>
        <w:tc>
          <w:tcPr>
            <w:tcW w:w="1171" w:type="dxa"/>
            <w:vAlign w:val="center"/>
          </w:tcPr>
          <w:p>
            <w:pPr>
              <w:spacing w:line="400" w:lineRule="exact"/>
              <w:rPr>
                <w:rFonts w:ascii="宋体" w:hAnsi="宋体"/>
                <w:color w:val="auto"/>
                <w:szCs w:val="21"/>
                <w:highlight w:val="none"/>
              </w:rPr>
            </w:pPr>
          </w:p>
        </w:tc>
        <w:tc>
          <w:tcPr>
            <w:tcW w:w="758" w:type="dxa"/>
            <w:vAlign w:val="center"/>
          </w:tcPr>
          <w:p>
            <w:pPr>
              <w:spacing w:line="400" w:lineRule="exact"/>
              <w:rPr>
                <w:rFonts w:ascii="宋体" w:hAnsi="宋体"/>
                <w:color w:val="auto"/>
                <w:szCs w:val="21"/>
                <w:highlight w:val="none"/>
              </w:rPr>
            </w:pPr>
          </w:p>
        </w:tc>
        <w:tc>
          <w:tcPr>
            <w:tcW w:w="554" w:type="dxa"/>
            <w:vAlign w:val="center"/>
          </w:tcPr>
          <w:p>
            <w:pPr>
              <w:spacing w:line="400" w:lineRule="exact"/>
              <w:rPr>
                <w:rFonts w:ascii="宋体" w:hAnsi="宋体"/>
                <w:color w:val="auto"/>
                <w:szCs w:val="21"/>
                <w:highlight w:val="none"/>
              </w:rPr>
            </w:pPr>
          </w:p>
        </w:tc>
        <w:tc>
          <w:tcPr>
            <w:tcW w:w="1218" w:type="dxa"/>
            <w:vAlign w:val="center"/>
          </w:tcPr>
          <w:p>
            <w:pPr>
              <w:spacing w:line="400" w:lineRule="exact"/>
              <w:rPr>
                <w:rFonts w:ascii="宋体" w:hAnsi="宋体"/>
                <w:color w:val="auto"/>
                <w:szCs w:val="21"/>
                <w:highlight w:val="none"/>
              </w:rPr>
            </w:pPr>
          </w:p>
        </w:tc>
        <w:tc>
          <w:tcPr>
            <w:tcW w:w="777" w:type="dxa"/>
            <w:vAlign w:val="center"/>
          </w:tcPr>
          <w:p>
            <w:pPr>
              <w:spacing w:line="400" w:lineRule="exact"/>
              <w:rPr>
                <w:rFonts w:ascii="宋体" w:hAnsi="宋体"/>
                <w:color w:val="auto"/>
                <w:szCs w:val="21"/>
                <w:highlight w:val="none"/>
              </w:rPr>
            </w:pPr>
          </w:p>
        </w:tc>
        <w:tc>
          <w:tcPr>
            <w:tcW w:w="945" w:type="dxa"/>
            <w:vAlign w:val="center"/>
          </w:tcPr>
          <w:p>
            <w:pPr>
              <w:spacing w:line="400" w:lineRule="exact"/>
              <w:rPr>
                <w:rFonts w:ascii="宋体" w:hAnsi="宋体"/>
                <w:color w:val="auto"/>
                <w:szCs w:val="21"/>
                <w:highlight w:val="none"/>
              </w:rPr>
            </w:pPr>
          </w:p>
        </w:tc>
        <w:tc>
          <w:tcPr>
            <w:tcW w:w="840" w:type="dxa"/>
            <w:vAlign w:val="center"/>
          </w:tcPr>
          <w:p>
            <w:pPr>
              <w:spacing w:line="400" w:lineRule="exact"/>
              <w:rPr>
                <w:rFonts w:ascii="宋体" w:hAnsi="宋体"/>
                <w:color w:val="auto"/>
                <w:szCs w:val="21"/>
                <w:highlight w:val="none"/>
              </w:rPr>
            </w:pPr>
          </w:p>
        </w:tc>
        <w:tc>
          <w:tcPr>
            <w:tcW w:w="1145" w:type="dxa"/>
            <w:vAlign w:val="center"/>
          </w:tcPr>
          <w:p>
            <w:pPr>
              <w:spacing w:line="400" w:lineRule="exact"/>
              <w:rPr>
                <w:rFonts w:ascii="宋体" w:hAnsi="宋体"/>
                <w:color w:val="auto"/>
                <w:szCs w:val="21"/>
                <w:highlight w:val="none"/>
              </w:rPr>
            </w:pPr>
          </w:p>
        </w:tc>
        <w:tc>
          <w:tcPr>
            <w:tcW w:w="851" w:type="dxa"/>
            <w:vAlign w:val="center"/>
          </w:tcPr>
          <w:p>
            <w:pPr>
              <w:spacing w:line="400" w:lineRule="exact"/>
              <w:rPr>
                <w:rFonts w:ascii="宋体" w:hAnsi="宋体"/>
                <w:color w:val="auto"/>
                <w:szCs w:val="21"/>
                <w:highlight w:val="none"/>
              </w:rPr>
            </w:pPr>
          </w:p>
        </w:tc>
        <w:tc>
          <w:tcPr>
            <w:tcW w:w="992" w:type="dxa"/>
            <w:vAlign w:val="center"/>
          </w:tcPr>
          <w:p>
            <w:pPr>
              <w:spacing w:line="400" w:lineRule="exact"/>
              <w:rPr>
                <w:rFonts w:ascii="宋体" w:hAnsi="宋体"/>
                <w:color w:val="auto"/>
                <w:szCs w:val="21"/>
                <w:highlight w:val="none"/>
              </w:rPr>
            </w:pPr>
          </w:p>
        </w:tc>
        <w:tc>
          <w:tcPr>
            <w:tcW w:w="1107" w:type="dxa"/>
            <w:vAlign w:val="center"/>
          </w:tcPr>
          <w:p>
            <w:pPr>
              <w:spacing w:line="400" w:lineRule="exact"/>
              <w:rPr>
                <w:rFonts w:ascii="宋体" w:hAnsi="宋体"/>
                <w:color w:val="auto"/>
                <w:szCs w:val="21"/>
                <w:highlight w:val="none"/>
              </w:rPr>
            </w:pPr>
          </w:p>
        </w:tc>
        <w:tc>
          <w:tcPr>
            <w:tcW w:w="840" w:type="dxa"/>
            <w:vAlign w:val="center"/>
          </w:tcPr>
          <w:p>
            <w:pPr>
              <w:spacing w:line="400" w:lineRule="exact"/>
              <w:rPr>
                <w:rFonts w:ascii="宋体" w:hAnsi="宋体"/>
                <w:color w:val="auto"/>
                <w:szCs w:val="21"/>
                <w:highlight w:val="none"/>
              </w:rPr>
            </w:pPr>
          </w:p>
        </w:tc>
        <w:tc>
          <w:tcPr>
            <w:tcW w:w="735" w:type="dxa"/>
            <w:vAlign w:val="center"/>
          </w:tcPr>
          <w:p>
            <w:pPr>
              <w:spacing w:line="400" w:lineRule="exact"/>
              <w:rPr>
                <w:rFonts w:ascii="宋体" w:hAnsi="宋体"/>
                <w:color w:val="auto"/>
                <w:szCs w:val="21"/>
                <w:highlight w:val="none"/>
              </w:rPr>
            </w:pPr>
          </w:p>
        </w:tc>
        <w:tc>
          <w:tcPr>
            <w:tcW w:w="735" w:type="dxa"/>
            <w:vAlign w:val="center"/>
          </w:tcPr>
          <w:p>
            <w:pPr>
              <w:spacing w:line="400" w:lineRule="exact"/>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394" w:type="dxa"/>
            <w:vAlign w:val="center"/>
          </w:tcPr>
          <w:p>
            <w:pPr>
              <w:spacing w:line="400" w:lineRule="exact"/>
              <w:rPr>
                <w:rFonts w:ascii="宋体" w:hAnsi="宋体"/>
                <w:color w:val="auto"/>
                <w:szCs w:val="21"/>
                <w:highlight w:val="none"/>
              </w:rPr>
            </w:pPr>
          </w:p>
        </w:tc>
        <w:tc>
          <w:tcPr>
            <w:tcW w:w="1171" w:type="dxa"/>
            <w:vAlign w:val="center"/>
          </w:tcPr>
          <w:p>
            <w:pPr>
              <w:spacing w:line="400" w:lineRule="exact"/>
              <w:rPr>
                <w:rFonts w:ascii="宋体" w:hAnsi="宋体"/>
                <w:color w:val="auto"/>
                <w:szCs w:val="21"/>
                <w:highlight w:val="none"/>
              </w:rPr>
            </w:pPr>
          </w:p>
        </w:tc>
        <w:tc>
          <w:tcPr>
            <w:tcW w:w="758" w:type="dxa"/>
            <w:vAlign w:val="center"/>
          </w:tcPr>
          <w:p>
            <w:pPr>
              <w:spacing w:line="400" w:lineRule="exact"/>
              <w:rPr>
                <w:rFonts w:ascii="宋体" w:hAnsi="宋体"/>
                <w:color w:val="auto"/>
                <w:szCs w:val="21"/>
                <w:highlight w:val="none"/>
              </w:rPr>
            </w:pPr>
          </w:p>
        </w:tc>
        <w:tc>
          <w:tcPr>
            <w:tcW w:w="554" w:type="dxa"/>
            <w:vAlign w:val="center"/>
          </w:tcPr>
          <w:p>
            <w:pPr>
              <w:spacing w:line="400" w:lineRule="exact"/>
              <w:rPr>
                <w:rFonts w:ascii="宋体" w:hAnsi="宋体"/>
                <w:color w:val="auto"/>
                <w:szCs w:val="21"/>
                <w:highlight w:val="none"/>
              </w:rPr>
            </w:pPr>
          </w:p>
        </w:tc>
        <w:tc>
          <w:tcPr>
            <w:tcW w:w="1218" w:type="dxa"/>
            <w:vAlign w:val="center"/>
          </w:tcPr>
          <w:p>
            <w:pPr>
              <w:spacing w:line="400" w:lineRule="exact"/>
              <w:rPr>
                <w:rFonts w:ascii="宋体" w:hAnsi="宋体"/>
                <w:color w:val="auto"/>
                <w:szCs w:val="21"/>
                <w:highlight w:val="none"/>
              </w:rPr>
            </w:pPr>
          </w:p>
        </w:tc>
        <w:tc>
          <w:tcPr>
            <w:tcW w:w="777" w:type="dxa"/>
            <w:vAlign w:val="center"/>
          </w:tcPr>
          <w:p>
            <w:pPr>
              <w:spacing w:line="400" w:lineRule="exact"/>
              <w:rPr>
                <w:rFonts w:ascii="宋体" w:hAnsi="宋体"/>
                <w:color w:val="auto"/>
                <w:szCs w:val="21"/>
                <w:highlight w:val="none"/>
              </w:rPr>
            </w:pPr>
          </w:p>
        </w:tc>
        <w:tc>
          <w:tcPr>
            <w:tcW w:w="945" w:type="dxa"/>
            <w:vAlign w:val="center"/>
          </w:tcPr>
          <w:p>
            <w:pPr>
              <w:spacing w:line="400" w:lineRule="exact"/>
              <w:rPr>
                <w:rFonts w:ascii="宋体" w:hAnsi="宋体"/>
                <w:color w:val="auto"/>
                <w:szCs w:val="21"/>
                <w:highlight w:val="none"/>
              </w:rPr>
            </w:pPr>
          </w:p>
        </w:tc>
        <w:tc>
          <w:tcPr>
            <w:tcW w:w="840" w:type="dxa"/>
            <w:vAlign w:val="center"/>
          </w:tcPr>
          <w:p>
            <w:pPr>
              <w:spacing w:line="400" w:lineRule="exact"/>
              <w:rPr>
                <w:rFonts w:ascii="宋体" w:hAnsi="宋体"/>
                <w:color w:val="auto"/>
                <w:szCs w:val="21"/>
                <w:highlight w:val="none"/>
              </w:rPr>
            </w:pPr>
          </w:p>
        </w:tc>
        <w:tc>
          <w:tcPr>
            <w:tcW w:w="1145" w:type="dxa"/>
            <w:vAlign w:val="center"/>
          </w:tcPr>
          <w:p>
            <w:pPr>
              <w:spacing w:line="400" w:lineRule="exact"/>
              <w:rPr>
                <w:rFonts w:ascii="宋体" w:hAnsi="宋体"/>
                <w:color w:val="auto"/>
                <w:szCs w:val="21"/>
                <w:highlight w:val="none"/>
              </w:rPr>
            </w:pPr>
          </w:p>
        </w:tc>
        <w:tc>
          <w:tcPr>
            <w:tcW w:w="851" w:type="dxa"/>
            <w:vAlign w:val="center"/>
          </w:tcPr>
          <w:p>
            <w:pPr>
              <w:spacing w:line="400" w:lineRule="exact"/>
              <w:rPr>
                <w:rFonts w:ascii="宋体" w:hAnsi="宋体"/>
                <w:color w:val="auto"/>
                <w:szCs w:val="21"/>
                <w:highlight w:val="none"/>
              </w:rPr>
            </w:pPr>
          </w:p>
        </w:tc>
        <w:tc>
          <w:tcPr>
            <w:tcW w:w="992" w:type="dxa"/>
            <w:vAlign w:val="center"/>
          </w:tcPr>
          <w:p>
            <w:pPr>
              <w:spacing w:line="400" w:lineRule="exact"/>
              <w:rPr>
                <w:rFonts w:ascii="宋体" w:hAnsi="宋体"/>
                <w:color w:val="auto"/>
                <w:szCs w:val="21"/>
                <w:highlight w:val="none"/>
              </w:rPr>
            </w:pPr>
          </w:p>
        </w:tc>
        <w:tc>
          <w:tcPr>
            <w:tcW w:w="1107" w:type="dxa"/>
            <w:vAlign w:val="center"/>
          </w:tcPr>
          <w:p>
            <w:pPr>
              <w:spacing w:line="400" w:lineRule="exact"/>
              <w:rPr>
                <w:rFonts w:ascii="宋体" w:hAnsi="宋体"/>
                <w:color w:val="auto"/>
                <w:szCs w:val="21"/>
                <w:highlight w:val="none"/>
              </w:rPr>
            </w:pPr>
          </w:p>
        </w:tc>
        <w:tc>
          <w:tcPr>
            <w:tcW w:w="840" w:type="dxa"/>
            <w:vAlign w:val="center"/>
          </w:tcPr>
          <w:p>
            <w:pPr>
              <w:spacing w:line="400" w:lineRule="exact"/>
              <w:rPr>
                <w:rFonts w:ascii="宋体" w:hAnsi="宋体"/>
                <w:color w:val="auto"/>
                <w:szCs w:val="21"/>
                <w:highlight w:val="none"/>
              </w:rPr>
            </w:pPr>
          </w:p>
        </w:tc>
        <w:tc>
          <w:tcPr>
            <w:tcW w:w="735" w:type="dxa"/>
            <w:vAlign w:val="center"/>
          </w:tcPr>
          <w:p>
            <w:pPr>
              <w:spacing w:line="400" w:lineRule="exact"/>
              <w:rPr>
                <w:rFonts w:ascii="宋体" w:hAnsi="宋体"/>
                <w:color w:val="auto"/>
                <w:szCs w:val="21"/>
                <w:highlight w:val="none"/>
              </w:rPr>
            </w:pPr>
          </w:p>
        </w:tc>
        <w:tc>
          <w:tcPr>
            <w:tcW w:w="735" w:type="dxa"/>
            <w:vAlign w:val="center"/>
          </w:tcPr>
          <w:p>
            <w:pPr>
              <w:spacing w:line="400" w:lineRule="exact"/>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062" w:type="dxa"/>
            <w:gridSpan w:val="15"/>
            <w:vAlign w:val="center"/>
          </w:tcPr>
          <w:p>
            <w:pPr>
              <w:spacing w:line="400" w:lineRule="exact"/>
              <w:rPr>
                <w:rFonts w:ascii="宋体" w:hAnsi="宋体"/>
                <w:color w:val="auto"/>
                <w:szCs w:val="21"/>
                <w:highlight w:val="none"/>
              </w:rPr>
            </w:pPr>
            <w:r>
              <w:rPr>
                <w:rFonts w:hint="eastAsia" w:ascii="宋体" w:hAnsi="宋体"/>
                <w:color w:val="auto"/>
                <w:szCs w:val="21"/>
                <w:highlight w:val="none"/>
              </w:rPr>
              <w:t>全部投标货物总金额：</w:t>
            </w:r>
          </w:p>
        </w:tc>
      </w:tr>
    </w:tbl>
    <w:p>
      <w:pPr>
        <w:spacing w:line="400" w:lineRule="exact"/>
        <w:rPr>
          <w:rFonts w:ascii="宋体" w:hAnsi="宋体"/>
          <w:color w:val="auto"/>
          <w:szCs w:val="21"/>
          <w:highlight w:val="none"/>
        </w:rPr>
      </w:pPr>
      <w:r>
        <w:rPr>
          <w:rFonts w:hint="eastAsia" w:ascii="宋体" w:hAnsi="宋体"/>
          <w:color w:val="auto"/>
          <w:szCs w:val="21"/>
          <w:highlight w:val="none"/>
        </w:rPr>
        <w:t>说明：1、项7＝项8×项4</w:t>
      </w:r>
    </w:p>
    <w:p>
      <w:pPr>
        <w:spacing w:line="400" w:lineRule="exact"/>
        <w:rPr>
          <w:rFonts w:ascii="宋体" w:hAnsi="宋体"/>
          <w:color w:val="auto"/>
          <w:szCs w:val="21"/>
          <w:highlight w:val="none"/>
        </w:rPr>
      </w:pPr>
      <w:r>
        <w:rPr>
          <w:rFonts w:hint="eastAsia" w:ascii="宋体" w:hAnsi="宋体"/>
          <w:color w:val="auto"/>
          <w:szCs w:val="21"/>
          <w:highlight w:val="none"/>
        </w:rPr>
        <w:t xml:space="preserve">      2、项6＝项7+项9+项10+项11+项12+项13                                   </w:t>
      </w:r>
    </w:p>
    <w:p>
      <w:pPr>
        <w:spacing w:line="400" w:lineRule="exact"/>
        <w:rPr>
          <w:rFonts w:ascii="宋体" w:hAnsi="宋体"/>
          <w:color w:val="auto"/>
          <w:szCs w:val="21"/>
          <w:highlight w:val="none"/>
        </w:rPr>
      </w:pPr>
      <w:r>
        <w:rPr>
          <w:rFonts w:hint="eastAsia" w:ascii="宋体" w:hAnsi="宋体"/>
          <w:color w:val="auto"/>
          <w:szCs w:val="21"/>
          <w:highlight w:val="none"/>
        </w:rPr>
        <w:t xml:space="preserve">      3、除填写本表外，投标商还应提供以下附件：</w:t>
      </w:r>
    </w:p>
    <w:p>
      <w:pPr>
        <w:spacing w:line="400" w:lineRule="exact"/>
        <w:ind w:firstLine="945" w:firstLineChars="450"/>
        <w:rPr>
          <w:rFonts w:ascii="宋体" w:hAnsi="宋体"/>
          <w:color w:val="auto"/>
          <w:szCs w:val="21"/>
          <w:highlight w:val="none"/>
        </w:rPr>
      </w:pPr>
      <w:r>
        <w:rPr>
          <w:rFonts w:hint="eastAsia" w:ascii="宋体" w:hAnsi="宋体"/>
          <w:color w:val="auto"/>
          <w:szCs w:val="21"/>
          <w:highlight w:val="none"/>
        </w:rPr>
        <w:t>①货物主要部件（包括附件）分项价目表；②质保期内备品、备件、耗材清单及价目表；③特殊工具清单及价目表（如有需提供）④所需进口关键元器件、原材料清单及价目表（如有需提供）</w:t>
      </w:r>
      <w:r>
        <w:rPr>
          <w:rFonts w:hint="eastAsia" w:ascii="宋体" w:hAnsi="宋体"/>
          <w:color w:val="auto"/>
          <w:kern w:val="0"/>
          <w:szCs w:val="21"/>
          <w:highlight w:val="none"/>
        </w:rPr>
        <w:t>⑤</w:t>
      </w:r>
      <w:r>
        <w:rPr>
          <w:rFonts w:hint="eastAsia" w:ascii="宋体" w:hAnsi="宋体"/>
          <w:color w:val="auto"/>
          <w:szCs w:val="21"/>
          <w:highlight w:val="none"/>
        </w:rPr>
        <w:t>质保期外备品、备件、耗材清单及价目表（如有需提供）⑥选配件清单及价目表（如有需提供）。</w:t>
      </w:r>
    </w:p>
    <w:p>
      <w:pPr>
        <w:spacing w:line="400" w:lineRule="atLeast"/>
        <w:ind w:left="284" w:leftChars="135" w:hanging="1"/>
        <w:jc w:val="left"/>
        <w:rPr>
          <w:rFonts w:ascii="宋体" w:hAnsi="宋体"/>
          <w:color w:val="auto"/>
          <w:szCs w:val="21"/>
          <w:highlight w:val="none"/>
        </w:rPr>
      </w:pPr>
    </w:p>
    <w:p>
      <w:pPr>
        <w:spacing w:line="400" w:lineRule="exact"/>
        <w:jc w:val="left"/>
        <w:rPr>
          <w:rFonts w:ascii="宋体" w:hAnsi="宋体"/>
          <w:color w:val="auto"/>
          <w:szCs w:val="21"/>
          <w:highlight w:val="none"/>
        </w:rPr>
      </w:pPr>
      <w:r>
        <w:rPr>
          <w:rFonts w:hint="eastAsia" w:ascii="宋体" w:hAnsi="宋体"/>
          <w:color w:val="auto"/>
          <w:szCs w:val="21"/>
          <w:highlight w:val="none"/>
        </w:rPr>
        <w:t>供应商（盖章）：</w:t>
      </w:r>
      <w:r>
        <w:rPr>
          <w:rFonts w:ascii="宋体" w:hAnsi="宋体"/>
          <w:color w:val="auto"/>
          <w:szCs w:val="21"/>
          <w:highlight w:val="none"/>
          <w:u w:val="single"/>
        </w:rPr>
        <w:t xml:space="preserve">                                </w:t>
      </w:r>
      <w:r>
        <w:rPr>
          <w:rFonts w:ascii="宋体" w:hAnsi="宋体"/>
          <w:color w:val="auto"/>
          <w:szCs w:val="21"/>
          <w:highlight w:val="none"/>
        </w:rPr>
        <w:t xml:space="preserve">          </w:t>
      </w:r>
    </w:p>
    <w:p>
      <w:pPr>
        <w:autoSpaceDE w:val="0"/>
        <w:autoSpaceDN w:val="0"/>
        <w:adjustRightInd w:val="0"/>
        <w:spacing w:line="400" w:lineRule="exact"/>
        <w:outlineLvl w:val="0"/>
        <w:rPr>
          <w:rFonts w:ascii="宋体" w:hAnsi="宋体"/>
          <w:color w:val="auto"/>
          <w:szCs w:val="21"/>
          <w:highlight w:val="none"/>
          <w:u w:val="single"/>
        </w:rPr>
      </w:pPr>
      <w:r>
        <w:rPr>
          <w:rFonts w:hint="eastAsia" w:ascii="宋体" w:hAnsi="宋体"/>
          <w:color w:val="auto"/>
          <w:szCs w:val="21"/>
          <w:highlight w:val="none"/>
        </w:rPr>
        <w:t>日</w:t>
      </w:r>
      <w:r>
        <w:rPr>
          <w:rFonts w:ascii="宋体" w:hAnsi="宋体"/>
          <w:color w:val="auto"/>
          <w:szCs w:val="21"/>
          <w:highlight w:val="none"/>
        </w:rPr>
        <w:t xml:space="preserve">          </w:t>
      </w:r>
      <w:r>
        <w:rPr>
          <w:rFonts w:hint="eastAsia" w:ascii="宋体" w:hAnsi="宋体"/>
          <w:color w:val="auto"/>
          <w:szCs w:val="21"/>
          <w:highlight w:val="none"/>
        </w:rPr>
        <w:t>期：</w:t>
      </w:r>
      <w:r>
        <w:rPr>
          <w:rFonts w:ascii="宋体" w:hAnsi="宋体"/>
          <w:color w:val="auto"/>
          <w:szCs w:val="21"/>
          <w:highlight w:val="none"/>
          <w:u w:val="single"/>
        </w:rPr>
        <w:t xml:space="preserve">                                </w:t>
      </w:r>
    </w:p>
    <w:p>
      <w:pPr>
        <w:pStyle w:val="2"/>
        <w:ind w:left="0" w:leftChars="0" w:firstLine="0" w:firstLineChars="0"/>
        <w:rPr>
          <w:rFonts w:hint="eastAsia" w:eastAsia="宋体"/>
          <w:lang w:eastAsia="zh-CN"/>
        </w:rPr>
        <w:sectPr>
          <w:pgSz w:w="16840" w:h="11907" w:orient="landscape"/>
          <w:pgMar w:top="1339" w:right="1138" w:bottom="851" w:left="1423" w:header="285" w:footer="990" w:gutter="0"/>
          <w:pgNumType w:fmt="decimal"/>
          <w:cols w:space="720" w:num="1"/>
          <w:docGrid w:linePitch="286" w:charSpace="0"/>
        </w:sectPr>
      </w:pPr>
    </w:p>
    <w:p>
      <w:pPr>
        <w:pStyle w:val="2"/>
        <w:ind w:left="0" w:leftChars="0" w:firstLine="0" w:firstLineChars="0"/>
        <w:rPr>
          <w:rFonts w:hint="eastAsia" w:eastAsia="宋体"/>
          <w:lang w:eastAsia="zh-CN"/>
        </w:rPr>
      </w:pPr>
    </w:p>
    <w:p>
      <w:pPr>
        <w:spacing w:line="588" w:lineRule="exact"/>
        <w:jc w:val="both"/>
        <w:rPr>
          <w:rFonts w:hint="eastAsia" w:ascii="宋体" w:hAnsi="宋体"/>
          <w:b/>
          <w:color w:val="auto"/>
          <w:szCs w:val="21"/>
          <w:highlight w:val="none"/>
          <w:lang w:eastAsia="zh-CN"/>
        </w:rPr>
      </w:pPr>
      <w:r>
        <w:rPr>
          <w:rFonts w:hint="eastAsia" w:ascii="宋体" w:hAnsi="宋体"/>
          <w:b/>
          <w:color w:val="auto"/>
          <w:szCs w:val="21"/>
          <w:highlight w:val="none"/>
          <w:lang w:eastAsia="zh-CN"/>
        </w:rPr>
        <w:t>附件十</w:t>
      </w:r>
    </w:p>
    <w:p>
      <w:pPr>
        <w:spacing w:line="588" w:lineRule="exact"/>
        <w:jc w:val="center"/>
        <w:rPr>
          <w:rFonts w:ascii="宋体" w:hAnsi="宋体"/>
          <w:b/>
          <w:color w:val="auto"/>
          <w:szCs w:val="21"/>
          <w:highlight w:val="none"/>
        </w:rPr>
      </w:pPr>
      <w:bookmarkStart w:id="72" w:name="_Toc21541032"/>
      <w:r>
        <w:rPr>
          <w:rFonts w:hint="eastAsia" w:ascii="宋体" w:hAnsi="宋体"/>
          <w:b/>
          <w:color w:val="auto"/>
          <w:szCs w:val="21"/>
          <w:highlight w:val="none"/>
        </w:rPr>
        <w:t>中小企业声明函（货物）</w:t>
      </w:r>
      <w:r>
        <w:rPr>
          <w:rStyle w:val="104"/>
          <w:rFonts w:hint="eastAsia" w:ascii="宋体" w:hAnsi="宋体"/>
          <w:color w:val="auto"/>
          <w:sz w:val="21"/>
          <w:szCs w:val="21"/>
          <w:highlight w:val="none"/>
          <w:lang w:val="en-US"/>
        </w:rPr>
        <w:t xml:space="preserve"> </w:t>
      </w:r>
    </w:p>
    <w:p>
      <w:pPr>
        <w:spacing w:line="400" w:lineRule="exact"/>
        <w:rPr>
          <w:rFonts w:ascii="宋体" w:hAnsi="宋体"/>
          <w:b/>
          <w:color w:val="auto"/>
          <w:szCs w:val="21"/>
          <w:highlight w:val="none"/>
        </w:rPr>
      </w:pPr>
    </w:p>
    <w:p>
      <w:pPr>
        <w:pStyle w:val="17"/>
        <w:spacing w:line="400" w:lineRule="exact"/>
        <w:ind w:firstLine="420" w:firstLineChars="200"/>
        <w:jc w:val="left"/>
        <w:rPr>
          <w:rFonts w:cs="宋体"/>
          <w:color w:val="auto"/>
          <w:sz w:val="21"/>
          <w:szCs w:val="21"/>
          <w:highlight w:val="none"/>
        </w:rPr>
      </w:pPr>
      <w:r>
        <w:rPr>
          <w:rFonts w:hint="eastAsia" w:cs="宋体"/>
          <w:color w:val="auto"/>
          <w:sz w:val="21"/>
          <w:szCs w:val="21"/>
          <w:highlight w:val="none"/>
        </w:rPr>
        <w:t>本公司（联合体）郑重声明，根据《政府采购促进中小企业发展管理办法》（财库﹝2020﹞46号）的规定，本公司（联合体）参加</w:t>
      </w:r>
      <w:r>
        <w:rPr>
          <w:rFonts w:hint="eastAsia" w:cs="宋体"/>
          <w:i/>
          <w:iCs/>
          <w:color w:val="auto"/>
          <w:sz w:val="21"/>
          <w:szCs w:val="21"/>
          <w:highlight w:val="none"/>
          <w:u w:val="single"/>
        </w:rPr>
        <w:t>（单位名称）</w:t>
      </w:r>
      <w:r>
        <w:rPr>
          <w:rFonts w:hint="eastAsia" w:cs="宋体"/>
          <w:color w:val="auto"/>
          <w:sz w:val="21"/>
          <w:szCs w:val="21"/>
          <w:highlight w:val="none"/>
        </w:rPr>
        <w:t>的</w:t>
      </w:r>
      <w:r>
        <w:rPr>
          <w:rFonts w:hint="eastAsia" w:cs="宋体"/>
          <w:i/>
          <w:iCs/>
          <w:color w:val="auto"/>
          <w:sz w:val="21"/>
          <w:szCs w:val="21"/>
          <w:highlight w:val="none"/>
          <w:u w:val="single"/>
        </w:rPr>
        <w:t>（项目名称）</w:t>
      </w:r>
      <w:r>
        <w:rPr>
          <w:rFonts w:hint="eastAsia" w:cs="宋体"/>
          <w:color w:val="auto"/>
          <w:sz w:val="21"/>
          <w:szCs w:val="21"/>
          <w:highlight w:val="none"/>
        </w:rPr>
        <w:t>采购活动，提供的货物全部由符合政策要求的中小企业制造。相关企业（含联合体中的中小企业、签订分包意向协议的中小企业）的具体情况如下：</w:t>
      </w:r>
    </w:p>
    <w:p>
      <w:pPr>
        <w:pStyle w:val="17"/>
        <w:numPr>
          <w:ilvl w:val="0"/>
          <w:numId w:val="2"/>
        </w:numPr>
        <w:spacing w:line="400" w:lineRule="exact"/>
        <w:ind w:firstLine="420" w:firstLineChars="200"/>
        <w:jc w:val="left"/>
        <w:rPr>
          <w:rFonts w:cs="宋体"/>
          <w:color w:val="auto"/>
          <w:sz w:val="21"/>
          <w:szCs w:val="21"/>
          <w:highlight w:val="none"/>
        </w:rPr>
      </w:pPr>
      <w:r>
        <w:rPr>
          <w:rFonts w:hint="eastAsia" w:ascii="宋体" w:hAnsi="宋体" w:eastAsia="宋体" w:cs="宋体"/>
          <w:i/>
          <w:iCs/>
          <w:color w:val="auto"/>
          <w:sz w:val="21"/>
          <w:szCs w:val="21"/>
          <w:highlight w:val="none"/>
          <w:u w:val="single"/>
          <w:lang w:val="en-US" w:eastAsia="zh-CN"/>
        </w:rPr>
        <w:t xml:space="preserve">  </w:t>
      </w:r>
      <w:r>
        <w:rPr>
          <w:rFonts w:hint="eastAsia" w:ascii="宋体" w:hAnsi="宋体" w:eastAsia="宋体" w:cs="宋体"/>
          <w:i w:val="0"/>
          <w:iCs w:val="0"/>
          <w:color w:val="auto"/>
          <w:sz w:val="21"/>
          <w:szCs w:val="21"/>
          <w:highlight w:val="none"/>
          <w:u w:val="single"/>
          <w:lang w:eastAsia="zh-CN"/>
        </w:rPr>
        <w:t>三维皮肤气液交换培养生物反应器</w:t>
      </w:r>
      <w:r>
        <w:rPr>
          <w:rFonts w:hint="eastAsia" w:cs="宋体"/>
          <w:color w:val="auto"/>
          <w:sz w:val="21"/>
          <w:szCs w:val="21"/>
          <w:highlight w:val="none"/>
          <w:u w:val="single"/>
          <w:lang w:val="en-US" w:eastAsia="zh-CN"/>
        </w:rPr>
        <w:t xml:space="preserve"> </w:t>
      </w:r>
      <w:r>
        <w:rPr>
          <w:rFonts w:hint="eastAsia" w:cs="宋体"/>
          <w:color w:val="auto"/>
          <w:sz w:val="21"/>
          <w:szCs w:val="21"/>
          <w:highlight w:val="none"/>
        </w:rPr>
        <w:t>，属于</w:t>
      </w:r>
      <w:r>
        <w:rPr>
          <w:rFonts w:hint="eastAsia" w:cs="宋体"/>
          <w:iCs/>
          <w:color w:val="auto"/>
          <w:sz w:val="21"/>
          <w:szCs w:val="21"/>
          <w:highlight w:val="none"/>
          <w:u w:val="single"/>
        </w:rPr>
        <w:t>工业行业</w:t>
      </w:r>
      <w:r>
        <w:rPr>
          <w:rFonts w:hint="eastAsia" w:cs="宋体"/>
          <w:color w:val="auto"/>
          <w:sz w:val="21"/>
          <w:szCs w:val="21"/>
          <w:highlight w:val="none"/>
        </w:rPr>
        <w:t>；制造商为</w:t>
      </w:r>
      <w:r>
        <w:rPr>
          <w:rFonts w:hint="eastAsia" w:cs="宋体"/>
          <w:i/>
          <w:iCs/>
          <w:color w:val="auto"/>
          <w:sz w:val="21"/>
          <w:szCs w:val="21"/>
          <w:highlight w:val="none"/>
          <w:u w:val="single"/>
        </w:rPr>
        <w:t>（企业名称）</w:t>
      </w:r>
      <w:r>
        <w:rPr>
          <w:rFonts w:hint="eastAsia" w:cs="宋体"/>
          <w:color w:val="auto"/>
          <w:sz w:val="21"/>
          <w:szCs w:val="21"/>
          <w:highlight w:val="none"/>
        </w:rPr>
        <w:t>，从业人员</w:t>
      </w:r>
      <w:r>
        <w:rPr>
          <w:rFonts w:hint="eastAsia" w:cs="宋体"/>
          <w:color w:val="auto"/>
          <w:sz w:val="21"/>
          <w:szCs w:val="21"/>
          <w:highlight w:val="none"/>
          <w:u w:val="single"/>
        </w:rPr>
        <w:t xml:space="preserve">   </w:t>
      </w:r>
      <w:r>
        <w:rPr>
          <w:rFonts w:hint="eastAsia" w:cs="宋体"/>
          <w:color w:val="auto"/>
          <w:sz w:val="21"/>
          <w:szCs w:val="21"/>
          <w:highlight w:val="none"/>
        </w:rPr>
        <w:t>人，营业收入为</w:t>
      </w:r>
      <w:r>
        <w:rPr>
          <w:rFonts w:hint="eastAsia" w:cs="宋体"/>
          <w:color w:val="auto"/>
          <w:sz w:val="21"/>
          <w:szCs w:val="21"/>
          <w:highlight w:val="none"/>
          <w:u w:val="single"/>
        </w:rPr>
        <w:t xml:space="preserve">   </w:t>
      </w:r>
      <w:r>
        <w:rPr>
          <w:rFonts w:hint="eastAsia" w:cs="宋体"/>
          <w:color w:val="auto"/>
          <w:sz w:val="21"/>
          <w:szCs w:val="21"/>
          <w:highlight w:val="none"/>
        </w:rPr>
        <w:t>万元，资产总额为</w:t>
      </w:r>
      <w:r>
        <w:rPr>
          <w:rFonts w:hint="eastAsia" w:cs="宋体"/>
          <w:color w:val="auto"/>
          <w:sz w:val="21"/>
          <w:szCs w:val="21"/>
          <w:highlight w:val="none"/>
          <w:u w:val="single"/>
        </w:rPr>
        <w:t xml:space="preserve">   </w:t>
      </w:r>
      <w:r>
        <w:rPr>
          <w:rFonts w:hint="eastAsia" w:cs="宋体"/>
          <w:color w:val="auto"/>
          <w:sz w:val="21"/>
          <w:szCs w:val="21"/>
          <w:highlight w:val="none"/>
        </w:rPr>
        <w:t>万元，属于</w:t>
      </w:r>
      <w:r>
        <w:rPr>
          <w:rFonts w:hint="eastAsia" w:cs="宋体"/>
          <w:color w:val="auto"/>
          <w:sz w:val="21"/>
          <w:szCs w:val="21"/>
          <w:highlight w:val="none"/>
          <w:u w:val="single"/>
          <w:lang w:val="en-US" w:eastAsia="zh-CN"/>
        </w:rPr>
        <w:t xml:space="preserve">    </w:t>
      </w:r>
      <w:r>
        <w:rPr>
          <w:rFonts w:hint="eastAsia" w:cs="宋体"/>
          <w:i/>
          <w:iCs/>
          <w:color w:val="auto"/>
          <w:sz w:val="21"/>
          <w:szCs w:val="21"/>
          <w:highlight w:val="none"/>
          <w:u w:val="single"/>
        </w:rPr>
        <w:t>（中型企业、小型企业、微型企业）</w:t>
      </w:r>
      <w:r>
        <w:rPr>
          <w:rFonts w:hint="eastAsia" w:cs="宋体"/>
          <w:color w:val="auto"/>
          <w:sz w:val="21"/>
          <w:szCs w:val="21"/>
          <w:highlight w:val="none"/>
        </w:rPr>
        <w:t>；</w:t>
      </w:r>
    </w:p>
    <w:p>
      <w:pPr>
        <w:pStyle w:val="17"/>
        <w:numPr>
          <w:ilvl w:val="0"/>
          <w:numId w:val="2"/>
        </w:numPr>
        <w:spacing w:line="400" w:lineRule="exact"/>
        <w:ind w:left="0" w:leftChars="0" w:firstLine="420" w:firstLineChars="200"/>
        <w:jc w:val="left"/>
        <w:rPr>
          <w:rFonts w:cs="宋体"/>
          <w:color w:val="auto"/>
          <w:sz w:val="21"/>
          <w:szCs w:val="21"/>
          <w:highlight w:val="none"/>
        </w:rPr>
      </w:pPr>
      <w:r>
        <w:rPr>
          <w:rFonts w:hint="eastAsia" w:cs="宋体"/>
          <w:color w:val="auto"/>
          <w:sz w:val="21"/>
          <w:szCs w:val="21"/>
          <w:highlight w:val="none"/>
          <w:lang w:val="en-US" w:eastAsia="zh-CN"/>
        </w:rPr>
        <w:t xml:space="preserve">        </w:t>
      </w:r>
      <w:r>
        <w:rPr>
          <w:rFonts w:hint="eastAsia" w:cs="宋体"/>
          <w:color w:val="auto"/>
          <w:sz w:val="21"/>
          <w:szCs w:val="21"/>
          <w:highlight w:val="none"/>
        </w:rPr>
        <w:t>，属于</w:t>
      </w:r>
      <w:r>
        <w:rPr>
          <w:rFonts w:hint="eastAsia" w:cs="宋体"/>
          <w:i w:val="0"/>
          <w:iCs w:val="0"/>
          <w:color w:val="auto"/>
          <w:sz w:val="21"/>
          <w:szCs w:val="21"/>
          <w:highlight w:val="none"/>
          <w:u w:val="single"/>
        </w:rPr>
        <w:t>工业行业</w:t>
      </w:r>
      <w:r>
        <w:rPr>
          <w:rFonts w:hint="eastAsia" w:cs="宋体"/>
          <w:color w:val="auto"/>
          <w:sz w:val="21"/>
          <w:szCs w:val="21"/>
          <w:highlight w:val="none"/>
        </w:rPr>
        <w:t>；制造商为</w:t>
      </w:r>
      <w:r>
        <w:rPr>
          <w:rFonts w:hint="eastAsia" w:cs="宋体"/>
          <w:i/>
          <w:iCs/>
          <w:color w:val="auto"/>
          <w:sz w:val="21"/>
          <w:szCs w:val="21"/>
          <w:highlight w:val="none"/>
          <w:u w:val="single"/>
        </w:rPr>
        <w:t>（企业名称）</w:t>
      </w:r>
      <w:r>
        <w:rPr>
          <w:rFonts w:hint="eastAsia" w:cs="宋体"/>
          <w:color w:val="auto"/>
          <w:sz w:val="21"/>
          <w:szCs w:val="21"/>
          <w:highlight w:val="none"/>
        </w:rPr>
        <w:t>，从业人员</w:t>
      </w:r>
      <w:r>
        <w:rPr>
          <w:rFonts w:hint="eastAsia" w:cs="宋体"/>
          <w:color w:val="auto"/>
          <w:sz w:val="21"/>
          <w:szCs w:val="21"/>
          <w:highlight w:val="none"/>
          <w:u w:val="single"/>
        </w:rPr>
        <w:t xml:space="preserve">   </w:t>
      </w:r>
      <w:r>
        <w:rPr>
          <w:rFonts w:hint="eastAsia" w:cs="宋体"/>
          <w:color w:val="auto"/>
          <w:sz w:val="21"/>
          <w:szCs w:val="21"/>
          <w:highlight w:val="none"/>
        </w:rPr>
        <w:t>人，营业收入为</w:t>
      </w:r>
      <w:r>
        <w:rPr>
          <w:rFonts w:hint="eastAsia" w:cs="宋体"/>
          <w:color w:val="auto"/>
          <w:sz w:val="21"/>
          <w:szCs w:val="21"/>
          <w:highlight w:val="none"/>
          <w:u w:val="single"/>
        </w:rPr>
        <w:t xml:space="preserve">   </w:t>
      </w:r>
      <w:r>
        <w:rPr>
          <w:rFonts w:hint="eastAsia" w:cs="宋体"/>
          <w:color w:val="auto"/>
          <w:sz w:val="21"/>
          <w:szCs w:val="21"/>
          <w:highlight w:val="none"/>
        </w:rPr>
        <w:t>万元，资产总额为</w:t>
      </w:r>
      <w:r>
        <w:rPr>
          <w:rFonts w:hint="eastAsia" w:cs="宋体"/>
          <w:color w:val="auto"/>
          <w:sz w:val="21"/>
          <w:szCs w:val="21"/>
          <w:highlight w:val="none"/>
          <w:u w:val="single"/>
        </w:rPr>
        <w:t xml:space="preserve">  </w:t>
      </w:r>
      <w:r>
        <w:rPr>
          <w:rFonts w:hint="eastAsia" w:cs="宋体"/>
          <w:color w:val="auto"/>
          <w:sz w:val="21"/>
          <w:szCs w:val="21"/>
          <w:highlight w:val="none"/>
        </w:rPr>
        <w:t>万元</w:t>
      </w:r>
      <w:r>
        <w:rPr>
          <w:color w:val="auto"/>
          <w:highlight w:val="none"/>
        </w:rPr>
        <w:fldChar w:fldCharType="begin"/>
      </w:r>
      <w:r>
        <w:rPr>
          <w:color w:val="auto"/>
          <w:highlight w:val="none"/>
        </w:rPr>
        <w:instrText xml:space="preserve"> HYPERLINK \l "_bookmark0" </w:instrText>
      </w:r>
      <w:r>
        <w:rPr>
          <w:color w:val="auto"/>
          <w:highlight w:val="none"/>
        </w:rPr>
        <w:fldChar w:fldCharType="separate"/>
      </w:r>
      <w:r>
        <w:rPr>
          <w:rFonts w:hint="eastAsia" w:cs="宋体"/>
          <w:color w:val="auto"/>
          <w:sz w:val="21"/>
          <w:szCs w:val="21"/>
          <w:highlight w:val="none"/>
          <w:vertAlign w:val="superscript"/>
        </w:rPr>
        <w:t>1</w:t>
      </w:r>
      <w:r>
        <w:rPr>
          <w:rFonts w:hint="eastAsia" w:cs="宋体"/>
          <w:color w:val="auto"/>
          <w:sz w:val="21"/>
          <w:szCs w:val="21"/>
          <w:highlight w:val="none"/>
          <w:vertAlign w:val="superscript"/>
        </w:rPr>
        <w:fldChar w:fldCharType="end"/>
      </w:r>
      <w:r>
        <w:rPr>
          <w:rFonts w:hint="eastAsia" w:cs="宋体"/>
          <w:color w:val="auto"/>
          <w:sz w:val="21"/>
          <w:szCs w:val="21"/>
          <w:highlight w:val="none"/>
        </w:rPr>
        <w:t>，属于</w:t>
      </w:r>
      <w:r>
        <w:rPr>
          <w:rFonts w:hint="eastAsia" w:cs="宋体"/>
          <w:i/>
          <w:iCs/>
          <w:color w:val="auto"/>
          <w:sz w:val="21"/>
          <w:szCs w:val="21"/>
          <w:highlight w:val="none"/>
          <w:u w:val="single"/>
        </w:rPr>
        <w:t>（中型企业、小型企业、微型企业）</w:t>
      </w:r>
      <w:r>
        <w:rPr>
          <w:rFonts w:hint="eastAsia" w:cs="宋体"/>
          <w:color w:val="auto"/>
          <w:sz w:val="21"/>
          <w:szCs w:val="21"/>
          <w:highlight w:val="none"/>
        </w:rPr>
        <w:t>；</w:t>
      </w:r>
    </w:p>
    <w:p>
      <w:pPr>
        <w:pStyle w:val="17"/>
        <w:spacing w:line="400" w:lineRule="exact"/>
        <w:ind w:firstLine="420" w:firstLineChars="200"/>
        <w:jc w:val="left"/>
        <w:rPr>
          <w:rFonts w:cs="宋体"/>
          <w:color w:val="auto"/>
          <w:sz w:val="21"/>
          <w:szCs w:val="21"/>
          <w:highlight w:val="none"/>
        </w:rPr>
      </w:pPr>
      <w:r>
        <w:rPr>
          <w:rFonts w:hint="eastAsia" w:cs="宋体"/>
          <w:color w:val="auto"/>
          <w:sz w:val="21"/>
          <w:szCs w:val="21"/>
          <w:highlight w:val="none"/>
        </w:rPr>
        <w:t>以上企业，不属于大企业的分支机构，不存在控股股东为大企业的情形，也不存在与大企业的负责人为同一人的情形。</w:t>
      </w:r>
    </w:p>
    <w:p>
      <w:pPr>
        <w:pStyle w:val="17"/>
        <w:spacing w:line="400" w:lineRule="exact"/>
        <w:ind w:firstLine="420" w:firstLineChars="200"/>
        <w:jc w:val="left"/>
        <w:rPr>
          <w:rFonts w:cs="宋体"/>
          <w:color w:val="auto"/>
          <w:sz w:val="21"/>
          <w:szCs w:val="21"/>
          <w:highlight w:val="none"/>
        </w:rPr>
      </w:pPr>
      <w:r>
        <w:rPr>
          <w:rFonts w:hint="eastAsia" w:cs="宋体"/>
          <w:color w:val="auto"/>
          <w:sz w:val="21"/>
          <w:szCs w:val="21"/>
          <w:highlight w:val="none"/>
        </w:rPr>
        <w:t>本企业对上述声明内容的真实性负责。如有虚假，将依法承担相应责任。</w:t>
      </w:r>
    </w:p>
    <w:p>
      <w:pPr>
        <w:pStyle w:val="17"/>
        <w:spacing w:line="400" w:lineRule="exact"/>
        <w:ind w:firstLine="420" w:firstLineChars="200"/>
        <w:jc w:val="center"/>
        <w:rPr>
          <w:rFonts w:cs="宋体"/>
          <w:color w:val="auto"/>
          <w:sz w:val="21"/>
          <w:szCs w:val="21"/>
          <w:highlight w:val="none"/>
        </w:rPr>
      </w:pPr>
    </w:p>
    <w:p>
      <w:pPr>
        <w:pStyle w:val="17"/>
        <w:spacing w:line="400" w:lineRule="exact"/>
        <w:ind w:firstLine="420" w:firstLineChars="200"/>
        <w:jc w:val="center"/>
        <w:rPr>
          <w:rFonts w:cs="宋体"/>
          <w:color w:val="auto"/>
          <w:sz w:val="21"/>
          <w:szCs w:val="21"/>
          <w:highlight w:val="none"/>
        </w:rPr>
      </w:pPr>
    </w:p>
    <w:p>
      <w:pPr>
        <w:pStyle w:val="17"/>
        <w:spacing w:line="400" w:lineRule="exact"/>
        <w:ind w:firstLine="420" w:firstLineChars="200"/>
        <w:jc w:val="center"/>
        <w:rPr>
          <w:rFonts w:cs="宋体"/>
          <w:color w:val="auto"/>
          <w:sz w:val="21"/>
          <w:szCs w:val="21"/>
          <w:highlight w:val="none"/>
        </w:rPr>
      </w:pPr>
      <w:r>
        <w:rPr>
          <w:rFonts w:hint="eastAsia" w:cs="宋体"/>
          <w:color w:val="auto"/>
          <w:sz w:val="21"/>
          <w:szCs w:val="21"/>
          <w:highlight w:val="none"/>
        </w:rPr>
        <w:t xml:space="preserve">企业名称（盖章）： </w:t>
      </w:r>
    </w:p>
    <w:p>
      <w:pPr>
        <w:spacing w:line="400" w:lineRule="exact"/>
        <w:ind w:firstLine="3780" w:firstLineChars="1800"/>
        <w:rPr>
          <w:rFonts w:ascii="宋体" w:hAnsi="宋体" w:cs="宋体"/>
          <w:color w:val="auto"/>
          <w:szCs w:val="21"/>
          <w:highlight w:val="none"/>
        </w:rPr>
      </w:pPr>
      <w:r>
        <w:rPr>
          <w:rFonts w:hint="eastAsia" w:ascii="宋体" w:hAnsi="宋体" w:cs="宋体"/>
          <w:color w:val="auto"/>
          <w:szCs w:val="21"/>
          <w:highlight w:val="none"/>
        </w:rPr>
        <w:t>日 期：</w:t>
      </w:r>
    </w:p>
    <w:p>
      <w:pPr>
        <w:spacing w:line="400" w:lineRule="exact"/>
        <w:jc w:val="center"/>
        <w:rPr>
          <w:rFonts w:ascii="宋体" w:hAnsi="宋体"/>
          <w:b/>
          <w:color w:val="auto"/>
          <w:szCs w:val="21"/>
          <w:highlight w:val="none"/>
        </w:rPr>
      </w:pPr>
    </w:p>
    <w:p>
      <w:pPr>
        <w:spacing w:line="400" w:lineRule="exact"/>
        <w:jc w:val="center"/>
        <w:rPr>
          <w:rFonts w:ascii="宋体" w:hAnsi="宋体"/>
          <w:b/>
          <w:color w:val="auto"/>
          <w:szCs w:val="21"/>
          <w:highlight w:val="none"/>
        </w:rPr>
      </w:pPr>
    </w:p>
    <w:p>
      <w:pPr>
        <w:spacing w:line="400" w:lineRule="exact"/>
        <w:jc w:val="center"/>
        <w:rPr>
          <w:rFonts w:ascii="宋体" w:hAnsi="宋体" w:cs="宋体"/>
          <w:color w:val="auto"/>
          <w:szCs w:val="21"/>
          <w:highlight w:val="none"/>
        </w:rPr>
      </w:pPr>
    </w:p>
    <w:p>
      <w:pPr>
        <w:spacing w:line="400" w:lineRule="exact"/>
        <w:jc w:val="center"/>
        <w:rPr>
          <w:rFonts w:ascii="宋体" w:hAnsi="宋体" w:cs="宋体"/>
          <w:color w:val="auto"/>
          <w:szCs w:val="21"/>
          <w:highlight w:val="none"/>
        </w:rPr>
      </w:pPr>
    </w:p>
    <w:p>
      <w:pPr>
        <w:spacing w:line="400" w:lineRule="exact"/>
        <w:jc w:val="center"/>
        <w:rPr>
          <w:rFonts w:ascii="宋体" w:hAnsi="宋体" w:cs="宋体"/>
          <w:color w:val="auto"/>
          <w:szCs w:val="21"/>
          <w:highlight w:val="none"/>
        </w:rPr>
      </w:pPr>
    </w:p>
    <w:p>
      <w:pPr>
        <w:spacing w:line="400" w:lineRule="exact"/>
        <w:jc w:val="center"/>
        <w:rPr>
          <w:rFonts w:ascii="宋体" w:hAnsi="宋体" w:cs="宋体"/>
          <w:color w:val="auto"/>
          <w:szCs w:val="21"/>
          <w:highlight w:val="none"/>
        </w:rPr>
      </w:pPr>
    </w:p>
    <w:p>
      <w:pPr>
        <w:spacing w:line="400" w:lineRule="exact"/>
        <w:ind w:firstLine="3780" w:firstLineChars="1800"/>
        <w:rPr>
          <w:rFonts w:ascii="宋体" w:hAnsi="宋体"/>
          <w:color w:val="auto"/>
          <w:szCs w:val="21"/>
          <w:highlight w:val="none"/>
        </w:rPr>
      </w:pPr>
    </w:p>
    <w:p>
      <w:pPr>
        <w:pStyle w:val="17"/>
        <w:spacing w:line="600" w:lineRule="exact"/>
        <w:jc w:val="left"/>
        <w:rPr>
          <w:rFonts w:cs="宋体"/>
          <w:b/>
          <w:bCs/>
          <w:color w:val="auto"/>
          <w:sz w:val="24"/>
          <w:szCs w:val="24"/>
          <w:highlight w:val="none"/>
        </w:rPr>
      </w:pPr>
      <w:r>
        <w:rPr>
          <w:rFonts w:hint="eastAsia" w:cs="宋体"/>
          <w:b/>
          <w:bCs/>
          <w:color w:val="auto"/>
          <w:sz w:val="24"/>
          <w:szCs w:val="24"/>
          <w:highlight w:val="none"/>
        </w:rPr>
        <w:t>1.从业人员、营业收入、资产总额填报上一年度数据，无上一年度数据的新成立企业可不填报。</w:t>
      </w:r>
    </w:p>
    <w:p>
      <w:pPr>
        <w:pStyle w:val="17"/>
        <w:spacing w:line="600" w:lineRule="exact"/>
        <w:jc w:val="left"/>
        <w:rPr>
          <w:b/>
          <w:bCs/>
          <w:color w:val="auto"/>
          <w:sz w:val="24"/>
          <w:szCs w:val="24"/>
          <w:highlight w:val="none"/>
        </w:rPr>
      </w:pPr>
      <w:r>
        <w:rPr>
          <w:rFonts w:hint="eastAsia" w:cs="宋体"/>
          <w:b/>
          <w:bCs/>
          <w:color w:val="auto"/>
          <w:sz w:val="24"/>
          <w:szCs w:val="24"/>
          <w:highlight w:val="none"/>
        </w:rPr>
        <w:t>2.采购文件中明确的所属行业：详见招标文件第三章。</w:t>
      </w:r>
    </w:p>
    <w:p>
      <w:pPr>
        <w:spacing w:line="400" w:lineRule="exact"/>
        <w:jc w:val="center"/>
        <w:rPr>
          <w:rFonts w:ascii="宋体" w:hAnsi="宋体"/>
          <w:color w:val="auto"/>
          <w:szCs w:val="21"/>
          <w:highlight w:val="none"/>
        </w:rPr>
      </w:pPr>
    </w:p>
    <w:p>
      <w:pPr>
        <w:spacing w:line="588" w:lineRule="exact"/>
        <w:jc w:val="both"/>
        <w:rPr>
          <w:rFonts w:hint="eastAsia" w:ascii="宋体" w:hAnsi="宋体"/>
          <w:color w:val="auto"/>
          <w:szCs w:val="21"/>
          <w:highlight w:val="none"/>
          <w:lang w:val="en-US" w:eastAsia="zh-CN"/>
        </w:rPr>
      </w:pPr>
      <w:r>
        <w:rPr>
          <w:rFonts w:ascii="宋体" w:hAnsi="宋体"/>
          <w:color w:val="auto"/>
          <w:szCs w:val="21"/>
          <w:highlight w:val="none"/>
        </w:rPr>
        <w:br w:type="page"/>
      </w:r>
      <w:r>
        <w:rPr>
          <w:rFonts w:hint="eastAsia" w:ascii="宋体" w:hAnsi="宋体"/>
          <w:b/>
          <w:bCs/>
          <w:color w:val="auto"/>
          <w:szCs w:val="21"/>
          <w:highlight w:val="none"/>
          <w:lang w:val="en-US" w:eastAsia="zh-CN"/>
        </w:rPr>
        <w:t>附件十一</w:t>
      </w:r>
    </w:p>
    <w:p>
      <w:pPr>
        <w:spacing w:line="588" w:lineRule="exact"/>
        <w:jc w:val="center"/>
        <w:rPr>
          <w:rFonts w:hint="eastAsia" w:ascii="宋体" w:hAnsi="宋体" w:eastAsia="宋体"/>
          <w:b/>
          <w:color w:val="auto"/>
          <w:szCs w:val="21"/>
          <w:highlight w:val="none"/>
          <w:lang w:eastAsia="zh-CN"/>
        </w:rPr>
      </w:pPr>
      <w:r>
        <w:rPr>
          <w:rFonts w:hint="eastAsia" w:ascii="宋体" w:hAnsi="宋体"/>
          <w:b/>
          <w:color w:val="auto"/>
          <w:szCs w:val="21"/>
          <w:highlight w:val="none"/>
        </w:rPr>
        <w:t>残疾人福利性单位声明函（如有需提供）</w:t>
      </w:r>
      <w:r>
        <w:rPr>
          <w:rFonts w:hint="eastAsia" w:ascii="宋体" w:hAnsi="宋体"/>
          <w:b/>
          <w:color w:val="auto"/>
          <w:szCs w:val="21"/>
          <w:highlight w:val="none"/>
          <w:lang w:val="en-US" w:eastAsia="zh-CN"/>
        </w:rPr>
        <w:t xml:space="preserve"> </w:t>
      </w:r>
    </w:p>
    <w:p>
      <w:pPr>
        <w:spacing w:line="588" w:lineRule="exact"/>
        <w:ind w:firstLine="420" w:firstLineChars="200"/>
        <w:rPr>
          <w:rFonts w:ascii="宋体" w:hAnsi="宋体"/>
          <w:color w:val="auto"/>
          <w:szCs w:val="21"/>
          <w:highlight w:val="none"/>
        </w:rPr>
      </w:pPr>
      <w:r>
        <w:rPr>
          <w:rFonts w:hint="eastAsia" w:ascii="宋体" w:hAnsi="宋体"/>
          <w:color w:val="auto"/>
          <w:szCs w:val="21"/>
          <w:highlight w:val="none"/>
        </w:rPr>
        <w:t>本单位郑重声明，根据《财政部</w:t>
      </w:r>
      <w:r>
        <w:rPr>
          <w:rFonts w:ascii="宋体" w:hAnsi="宋体"/>
          <w:color w:val="auto"/>
          <w:szCs w:val="21"/>
          <w:highlight w:val="none"/>
        </w:rPr>
        <w:t xml:space="preserve"> </w:t>
      </w:r>
      <w:r>
        <w:rPr>
          <w:rFonts w:hint="eastAsia" w:ascii="宋体" w:hAnsi="宋体"/>
          <w:color w:val="auto"/>
          <w:szCs w:val="21"/>
          <w:highlight w:val="none"/>
        </w:rPr>
        <w:t>民政部</w:t>
      </w:r>
      <w:r>
        <w:rPr>
          <w:rFonts w:ascii="宋体" w:hAnsi="宋体"/>
          <w:color w:val="auto"/>
          <w:szCs w:val="21"/>
          <w:highlight w:val="none"/>
        </w:rPr>
        <w:t xml:space="preserve"> </w:t>
      </w:r>
      <w:r>
        <w:rPr>
          <w:rFonts w:hint="eastAsia" w:ascii="宋体" w:hAnsi="宋体"/>
          <w:color w:val="auto"/>
          <w:szCs w:val="21"/>
          <w:highlight w:val="none"/>
        </w:rPr>
        <w:t>中国残疾人联合会关于促进残疾人就业政府采购政策的通知》（财库〔</w:t>
      </w:r>
      <w:r>
        <w:rPr>
          <w:rFonts w:ascii="宋体" w:hAnsi="宋体"/>
          <w:color w:val="auto"/>
          <w:szCs w:val="21"/>
          <w:highlight w:val="none"/>
        </w:rPr>
        <w:t>2017</w:t>
      </w:r>
      <w:r>
        <w:rPr>
          <w:rFonts w:hint="eastAsia" w:ascii="宋体" w:hAnsi="宋体"/>
          <w:color w:val="auto"/>
          <w:szCs w:val="21"/>
          <w:highlight w:val="none"/>
        </w:rPr>
        <w:t>〕</w:t>
      </w:r>
      <w:r>
        <w:rPr>
          <w:rFonts w:ascii="宋体" w:hAnsi="宋体"/>
          <w:color w:val="auto"/>
          <w:szCs w:val="21"/>
          <w:highlight w:val="none"/>
        </w:rPr>
        <w:t>141</w:t>
      </w:r>
      <w:r>
        <w:rPr>
          <w:rFonts w:hint="eastAsia" w:ascii="宋体" w:hAnsi="宋体"/>
          <w:color w:val="auto"/>
          <w:szCs w:val="21"/>
          <w:highlight w:val="none"/>
        </w:rPr>
        <w:t>号）的规定，本单位为符合条件的残疾人福利性单位，且本单位参加</w:t>
      </w:r>
      <w:r>
        <w:rPr>
          <w:rFonts w:ascii="宋体" w:hAnsi="宋体"/>
          <w:color w:val="auto"/>
          <w:szCs w:val="21"/>
          <w:highlight w:val="none"/>
        </w:rPr>
        <w:t>______</w:t>
      </w:r>
      <w:r>
        <w:rPr>
          <w:rFonts w:hint="eastAsia" w:ascii="宋体" w:hAnsi="宋体"/>
          <w:color w:val="auto"/>
          <w:szCs w:val="21"/>
          <w:highlight w:val="none"/>
        </w:rPr>
        <w:t>单位的</w:t>
      </w:r>
      <w:r>
        <w:rPr>
          <w:rFonts w:ascii="宋体" w:hAnsi="宋体"/>
          <w:color w:val="auto"/>
          <w:szCs w:val="21"/>
          <w:highlight w:val="none"/>
        </w:rPr>
        <w:t>______</w:t>
      </w:r>
      <w:r>
        <w:rPr>
          <w:rFonts w:hint="eastAsia" w:ascii="宋体" w:hAnsi="宋体"/>
          <w:color w:val="auto"/>
          <w:szCs w:val="21"/>
          <w:highlight w:val="none"/>
        </w:rPr>
        <w:t>项目采购活动提供本单位制造的货物（由本单位承担工程</w:t>
      </w:r>
      <w:r>
        <w:rPr>
          <w:rFonts w:ascii="宋体" w:hAnsi="宋体"/>
          <w:color w:val="auto"/>
          <w:szCs w:val="21"/>
          <w:highlight w:val="none"/>
        </w:rPr>
        <w:t>/</w:t>
      </w:r>
      <w:r>
        <w:rPr>
          <w:rFonts w:hint="eastAsia" w:ascii="宋体" w:hAnsi="宋体"/>
          <w:color w:val="auto"/>
          <w:szCs w:val="21"/>
          <w:highlight w:val="none"/>
        </w:rPr>
        <w:t>提供服务），或者提供其他残疾人福利性单位制造的货物（不包括使用非残疾人福利性单位注册商标的货物）。</w:t>
      </w:r>
    </w:p>
    <w:p>
      <w:pPr>
        <w:spacing w:line="588" w:lineRule="exact"/>
        <w:ind w:firstLine="420" w:firstLineChars="200"/>
        <w:rPr>
          <w:rFonts w:ascii="宋体" w:hAnsi="宋体"/>
          <w:color w:val="auto"/>
          <w:szCs w:val="21"/>
          <w:highlight w:val="none"/>
        </w:rPr>
      </w:pPr>
      <w:r>
        <w:rPr>
          <w:rFonts w:hint="eastAsia" w:ascii="宋体" w:hAnsi="宋体"/>
          <w:color w:val="auto"/>
          <w:szCs w:val="21"/>
          <w:highlight w:val="none"/>
        </w:rPr>
        <w:t>本单位对上述声明的真实性负责。如有虚假，将依法承担相应责任。</w:t>
      </w:r>
    </w:p>
    <w:p>
      <w:pPr>
        <w:spacing w:line="588" w:lineRule="exact"/>
        <w:ind w:firstLine="420" w:firstLineChars="200"/>
        <w:rPr>
          <w:rFonts w:ascii="宋体" w:hAnsi="宋体"/>
          <w:color w:val="auto"/>
          <w:szCs w:val="21"/>
          <w:highlight w:val="none"/>
        </w:rPr>
      </w:pPr>
    </w:p>
    <w:p>
      <w:pPr>
        <w:spacing w:line="588" w:lineRule="exact"/>
        <w:ind w:firstLine="420" w:firstLineChars="200"/>
        <w:rPr>
          <w:rFonts w:ascii="宋体" w:hAnsi="宋体"/>
          <w:color w:val="auto"/>
          <w:szCs w:val="21"/>
          <w:highlight w:val="none"/>
        </w:rPr>
      </w:pPr>
    </w:p>
    <w:p>
      <w:pPr>
        <w:tabs>
          <w:tab w:val="left" w:pos="4860"/>
        </w:tabs>
        <w:spacing w:line="588" w:lineRule="exact"/>
        <w:ind w:right="1560" w:firstLine="420" w:firstLineChars="200"/>
        <w:jc w:val="center"/>
        <w:rPr>
          <w:rFonts w:ascii="宋体" w:hAnsi="宋体"/>
          <w:color w:val="auto"/>
          <w:szCs w:val="21"/>
          <w:highlight w:val="none"/>
        </w:rPr>
      </w:pPr>
      <w:r>
        <w:rPr>
          <w:rFonts w:ascii="宋体" w:hAnsi="宋体"/>
          <w:color w:val="auto"/>
          <w:szCs w:val="21"/>
          <w:highlight w:val="none"/>
        </w:rPr>
        <w:t xml:space="preserve">               </w:t>
      </w:r>
      <w:r>
        <w:rPr>
          <w:rFonts w:hint="eastAsia" w:ascii="宋体" w:hAnsi="宋体"/>
          <w:color w:val="auto"/>
          <w:szCs w:val="21"/>
          <w:highlight w:val="none"/>
        </w:rPr>
        <w:t>单位名称（盖章）：</w:t>
      </w:r>
    </w:p>
    <w:p>
      <w:pPr>
        <w:tabs>
          <w:tab w:val="left" w:pos="4860"/>
        </w:tabs>
        <w:spacing w:line="588" w:lineRule="exact"/>
        <w:ind w:right="1560" w:firstLine="420" w:firstLineChars="200"/>
        <w:jc w:val="center"/>
        <w:rPr>
          <w:rFonts w:ascii="宋体" w:hAnsi="宋体"/>
          <w:color w:val="auto"/>
          <w:szCs w:val="21"/>
          <w:highlight w:val="none"/>
        </w:rPr>
      </w:pPr>
      <w:r>
        <w:rPr>
          <w:rFonts w:ascii="宋体" w:hAnsi="宋体"/>
          <w:color w:val="auto"/>
          <w:szCs w:val="21"/>
          <w:highlight w:val="none"/>
        </w:rPr>
        <w:t xml:space="preserve">       </w:t>
      </w:r>
      <w:r>
        <w:rPr>
          <w:rFonts w:hint="eastAsia" w:ascii="宋体" w:hAnsi="宋体"/>
          <w:color w:val="auto"/>
          <w:szCs w:val="21"/>
          <w:highlight w:val="none"/>
        </w:rPr>
        <w:t>日</w:t>
      </w:r>
      <w:r>
        <w:rPr>
          <w:rFonts w:ascii="宋体" w:hAnsi="宋体"/>
          <w:color w:val="auto"/>
          <w:szCs w:val="21"/>
          <w:highlight w:val="none"/>
        </w:rPr>
        <w:t xml:space="preserve">  </w:t>
      </w:r>
      <w:r>
        <w:rPr>
          <w:rFonts w:hint="eastAsia" w:ascii="宋体" w:hAnsi="宋体"/>
          <w:color w:val="auto"/>
          <w:szCs w:val="21"/>
          <w:highlight w:val="none"/>
        </w:rPr>
        <w:t>期：</w:t>
      </w:r>
    </w:p>
    <w:p>
      <w:pPr>
        <w:spacing w:line="400" w:lineRule="exact"/>
        <w:ind w:firstLine="422" w:firstLineChars="200"/>
        <w:rPr>
          <w:rFonts w:ascii="宋体" w:hAnsi="宋体"/>
          <w:b/>
          <w:color w:val="auto"/>
          <w:szCs w:val="21"/>
          <w:highlight w:val="none"/>
        </w:rPr>
      </w:pP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注：</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享受政府采购支持政策的残疾人福利性单位应当同时满足以下条件：</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（一）安置的残疾人占本单位在职职工人数的比例不低于</w:t>
      </w:r>
      <w:r>
        <w:rPr>
          <w:rFonts w:ascii="宋体" w:hAnsi="宋体"/>
          <w:color w:val="auto"/>
          <w:szCs w:val="21"/>
          <w:highlight w:val="none"/>
        </w:rPr>
        <w:t>25%</w:t>
      </w:r>
      <w:r>
        <w:rPr>
          <w:rFonts w:hint="eastAsia" w:ascii="宋体" w:hAnsi="宋体"/>
          <w:color w:val="auto"/>
          <w:szCs w:val="21"/>
          <w:highlight w:val="none"/>
        </w:rPr>
        <w:t>（含</w:t>
      </w:r>
      <w:r>
        <w:rPr>
          <w:rFonts w:ascii="宋体" w:hAnsi="宋体"/>
          <w:color w:val="auto"/>
          <w:szCs w:val="21"/>
          <w:highlight w:val="none"/>
        </w:rPr>
        <w:t>25%</w:t>
      </w:r>
      <w:r>
        <w:rPr>
          <w:rFonts w:hint="eastAsia" w:ascii="宋体" w:hAnsi="宋体"/>
          <w:color w:val="auto"/>
          <w:szCs w:val="21"/>
          <w:highlight w:val="none"/>
        </w:rPr>
        <w:t>），并且安置的残疾人人数不少于</w:t>
      </w:r>
      <w:r>
        <w:rPr>
          <w:rFonts w:ascii="宋体" w:hAnsi="宋体"/>
          <w:color w:val="auto"/>
          <w:szCs w:val="21"/>
          <w:highlight w:val="none"/>
        </w:rPr>
        <w:t>10</w:t>
      </w:r>
      <w:r>
        <w:rPr>
          <w:rFonts w:hint="eastAsia" w:ascii="宋体" w:hAnsi="宋体"/>
          <w:color w:val="auto"/>
          <w:szCs w:val="21"/>
          <w:highlight w:val="none"/>
        </w:rPr>
        <w:t>人（含</w:t>
      </w:r>
      <w:r>
        <w:rPr>
          <w:rFonts w:ascii="宋体" w:hAnsi="宋体"/>
          <w:color w:val="auto"/>
          <w:szCs w:val="21"/>
          <w:highlight w:val="none"/>
        </w:rPr>
        <w:t>10</w:t>
      </w:r>
      <w:r>
        <w:rPr>
          <w:rFonts w:hint="eastAsia" w:ascii="宋体" w:hAnsi="宋体"/>
          <w:color w:val="auto"/>
          <w:szCs w:val="21"/>
          <w:highlight w:val="none"/>
        </w:rPr>
        <w:t>人）；</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（二）依法与安置的每位残疾人签订了一年以上（含一年）的劳动合同或服务协议；</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（三）为安置的每位残疾人按月足额缴纳了基本养老保险、基本医疗保险、失业保险、工伤保险和生育保险等社会保险费；</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（四）通过银行等金融机构向安置的每位残疾人，按月支付了不低于单位所在区县适用的经省级人民政府批准的月最低工资标准的工资；</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（五）提供本单位制造的货物、承担的工程或者服务（以下简称产品），或者提供其他残疾人福利性单位制造的货物（不包括使用非残疾人福利性单位注册商标的货物）。</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前款所称残疾人是指法定劳动年龄内，持有《中华人民共和国残疾人证》或者《中华人民共和国残疾军人证（</w:t>
      </w:r>
      <w:r>
        <w:rPr>
          <w:rFonts w:ascii="宋体" w:hAnsi="宋体"/>
          <w:color w:val="auto"/>
          <w:szCs w:val="21"/>
          <w:highlight w:val="none"/>
        </w:rPr>
        <w:t>1</w:t>
      </w:r>
      <w:r>
        <w:rPr>
          <w:rFonts w:hint="eastAsia" w:ascii="宋体" w:hAnsi="宋体"/>
          <w:color w:val="auto"/>
          <w:szCs w:val="21"/>
          <w:highlight w:val="none"/>
        </w:rPr>
        <w:t>至</w:t>
      </w:r>
      <w:r>
        <w:rPr>
          <w:rFonts w:ascii="宋体" w:hAnsi="宋体"/>
          <w:color w:val="auto"/>
          <w:szCs w:val="21"/>
          <w:highlight w:val="none"/>
        </w:rPr>
        <w:t>8</w:t>
      </w:r>
      <w:r>
        <w:rPr>
          <w:rFonts w:hint="eastAsia" w:ascii="宋体" w:hAnsi="宋体"/>
          <w:color w:val="auto"/>
          <w:szCs w:val="21"/>
          <w:highlight w:val="none"/>
        </w:rPr>
        <w:t>级）》的自然人，包括具有劳动条件和劳动意愿的精神残疾人。在职职工人数是指与残疾人福利性单位建立劳动关系并依法签订劳动合同或者服务协议的雇员人数。</w:t>
      </w:r>
    </w:p>
    <w:p>
      <w:pPr>
        <w:rPr>
          <w:rFonts w:ascii="宋体" w:hAnsi="宋体"/>
          <w:color w:val="auto"/>
          <w:sz w:val="44"/>
          <w:szCs w:val="44"/>
          <w:highlight w:val="none"/>
        </w:rPr>
      </w:pPr>
    </w:p>
    <w:p>
      <w:pPr>
        <w:spacing w:line="360" w:lineRule="auto"/>
        <w:jc w:val="center"/>
        <w:rPr>
          <w:rFonts w:ascii="宋体" w:hAnsi="宋体"/>
          <w:b/>
          <w:color w:val="auto"/>
          <w:szCs w:val="21"/>
          <w:highlight w:val="none"/>
        </w:rPr>
      </w:pPr>
      <w:r>
        <w:rPr>
          <w:rFonts w:ascii="宋体" w:hAnsi="宋体"/>
          <w:b/>
          <w:color w:val="auto"/>
          <w:szCs w:val="21"/>
          <w:highlight w:val="none"/>
        </w:rPr>
        <w:br w:type="page"/>
      </w:r>
    </w:p>
    <w:bookmarkEnd w:id="72"/>
    <w:p>
      <w:pPr>
        <w:jc w:val="center"/>
        <w:rPr>
          <w:rFonts w:ascii="宋体" w:hAnsi="宋体"/>
          <w:b/>
          <w:color w:val="auto"/>
          <w:highlight w:val="none"/>
        </w:rPr>
      </w:pPr>
      <w:bookmarkStart w:id="73" w:name="_Toc65915724"/>
      <w:r>
        <w:rPr>
          <w:rFonts w:hint="eastAsia" w:ascii="宋体" w:hAnsi="宋体"/>
          <w:b/>
          <w:color w:val="auto"/>
          <w:highlight w:val="none"/>
        </w:rPr>
        <w:t>政府采购活动现场确认声明书</w:t>
      </w:r>
      <w:bookmarkEnd w:id="73"/>
    </w:p>
    <w:p>
      <w:pPr>
        <w:pStyle w:val="95"/>
        <w:snapToGrid w:val="0"/>
        <w:spacing w:line="400" w:lineRule="exact"/>
        <w:rPr>
          <w:rFonts w:hAnsi="宋体"/>
          <w:color w:val="auto"/>
          <w:szCs w:val="21"/>
          <w:highlight w:val="none"/>
        </w:rPr>
      </w:pPr>
      <w:r>
        <w:rPr>
          <w:rFonts w:hint="eastAsia" w:hAnsi="宋体"/>
          <w:color w:val="auto"/>
          <w:szCs w:val="21"/>
          <w:highlight w:val="none"/>
        </w:rPr>
        <w:t>致：采购人</w:t>
      </w:r>
    </w:p>
    <w:p>
      <w:pPr>
        <w:pStyle w:val="95"/>
        <w:snapToGrid w:val="0"/>
        <w:spacing w:line="400" w:lineRule="exact"/>
        <w:ind w:firstLine="420" w:firstLineChars="200"/>
        <w:rPr>
          <w:rFonts w:hAnsi="宋体"/>
          <w:color w:val="auto"/>
          <w:szCs w:val="21"/>
          <w:highlight w:val="none"/>
        </w:rPr>
      </w:pPr>
      <w:r>
        <w:rPr>
          <w:rFonts w:hint="eastAsia" w:hAnsi="宋体"/>
          <w:color w:val="auto"/>
          <w:szCs w:val="21"/>
          <w:highlight w:val="none"/>
        </w:rPr>
        <w:t>本人经由</w:t>
      </w:r>
      <w:r>
        <w:rPr>
          <w:rFonts w:hint="eastAsia" w:hAnsi="宋体" w:cs="宋体"/>
          <w:color w:val="auto"/>
          <w:szCs w:val="21"/>
          <w:highlight w:val="none"/>
          <w:u w:val="single"/>
        </w:rPr>
        <w:t>（供应商名称）</w:t>
      </w:r>
      <w:r>
        <w:rPr>
          <w:rFonts w:hint="eastAsia" w:hAnsi="宋体"/>
          <w:color w:val="auto"/>
          <w:szCs w:val="21"/>
          <w:highlight w:val="none"/>
        </w:rPr>
        <w:t>法人代表（负责人）</w:t>
      </w:r>
      <w:r>
        <w:rPr>
          <w:rFonts w:hAnsi="宋体"/>
          <w:color w:val="auto"/>
          <w:szCs w:val="21"/>
          <w:highlight w:val="none"/>
          <w:u w:val="single"/>
        </w:rPr>
        <w:t xml:space="preserve">    </w:t>
      </w:r>
      <w:r>
        <w:rPr>
          <w:rFonts w:hint="eastAsia" w:hAnsi="宋体"/>
          <w:color w:val="auto"/>
          <w:szCs w:val="21"/>
          <w:highlight w:val="none"/>
          <w:u w:val="single"/>
        </w:rPr>
        <w:t>（姓名）</w:t>
      </w:r>
      <w:r>
        <w:rPr>
          <w:rFonts w:hint="eastAsia" w:hAnsi="宋体"/>
          <w:color w:val="auto"/>
          <w:szCs w:val="21"/>
          <w:highlight w:val="none"/>
        </w:rPr>
        <w:t>合法授权参加</w:t>
      </w:r>
      <w:r>
        <w:rPr>
          <w:rFonts w:hint="eastAsia" w:hAnsi="宋体"/>
          <w:color w:val="auto"/>
          <w:szCs w:val="21"/>
          <w:highlight w:val="none"/>
          <w:u w:val="single"/>
          <w:lang w:eastAsia="zh-CN"/>
        </w:rPr>
        <w:t>温州医科大学慈溪生物医药研究院三维皮肤气液交换培养生物反应器采购项目</w:t>
      </w:r>
      <w:r>
        <w:rPr>
          <w:rFonts w:hint="eastAsia" w:hAnsi="宋体"/>
          <w:color w:val="auto"/>
          <w:szCs w:val="21"/>
          <w:highlight w:val="none"/>
        </w:rPr>
        <w:t>（项目编号：</w:t>
      </w:r>
      <w:r>
        <w:rPr>
          <w:rFonts w:hint="eastAsia" w:hAnsi="宋体"/>
          <w:color w:val="auto"/>
          <w:szCs w:val="21"/>
          <w:highlight w:val="none"/>
          <w:u w:val="single"/>
          <w:lang w:val="en-US" w:eastAsia="zh-CN"/>
        </w:rPr>
        <w:t xml:space="preserve"> 330282202311009365  </w:t>
      </w:r>
      <w:r>
        <w:rPr>
          <w:rFonts w:hint="eastAsia" w:hAnsi="宋体"/>
          <w:color w:val="auto"/>
          <w:szCs w:val="21"/>
          <w:highlight w:val="none"/>
        </w:rPr>
        <w:t>）政府采购活动，经与本单位法人代表（负责人）联系确认，现就有关公平竞争事项郑重声明如下：</w:t>
      </w:r>
    </w:p>
    <w:p>
      <w:pPr>
        <w:pStyle w:val="220"/>
        <w:widowControl/>
        <w:numPr>
          <w:ilvl w:val="0"/>
          <w:numId w:val="3"/>
        </w:numPr>
        <w:snapToGrid w:val="0"/>
        <w:spacing w:line="400" w:lineRule="exact"/>
        <w:ind w:firstLine="396" w:firstLineChars="189"/>
        <w:rPr>
          <w:rFonts w:ascii="宋体" w:hAnsi="宋体"/>
          <w:color w:val="auto"/>
          <w:szCs w:val="21"/>
          <w:highlight w:val="none"/>
        </w:rPr>
      </w:pPr>
      <w:r>
        <w:rPr>
          <w:rFonts w:hint="eastAsia" w:ascii="宋体" w:hAnsi="宋体"/>
          <w:color w:val="auto"/>
          <w:szCs w:val="21"/>
          <w:highlight w:val="none"/>
        </w:rPr>
        <w:t>本单位与采购人之间</w:t>
      </w:r>
    </w:p>
    <w:p>
      <w:pPr>
        <w:pStyle w:val="220"/>
        <w:widowControl/>
        <w:snapToGrid w:val="0"/>
        <w:spacing w:line="400" w:lineRule="exact"/>
        <w:ind w:firstLine="425"/>
        <w:rPr>
          <w:rFonts w:ascii="宋体" w:hAnsi="宋体"/>
          <w:color w:val="auto"/>
          <w:szCs w:val="21"/>
          <w:highlight w:val="none"/>
        </w:rPr>
      </w:pPr>
      <w:r>
        <w:rPr>
          <w:rFonts w:hint="eastAsia" w:ascii="宋体" w:hAnsi="宋体" w:cs="宋体"/>
          <w:color w:val="auto"/>
          <w:szCs w:val="21"/>
          <w:highlight w:val="none"/>
        </w:rPr>
        <w:t>□</w:t>
      </w:r>
      <w:r>
        <w:rPr>
          <w:rFonts w:hint="eastAsia" w:ascii="宋体" w:hAnsi="宋体"/>
          <w:color w:val="auto"/>
          <w:szCs w:val="21"/>
          <w:highlight w:val="none"/>
        </w:rPr>
        <w:t>不存在利害关系</w:t>
      </w:r>
    </w:p>
    <w:p>
      <w:pPr>
        <w:pStyle w:val="220"/>
        <w:widowControl/>
        <w:snapToGrid w:val="0"/>
        <w:spacing w:line="400" w:lineRule="exact"/>
        <w:ind w:firstLine="425"/>
        <w:rPr>
          <w:rFonts w:ascii="宋体" w:hAnsi="宋体"/>
          <w:color w:val="auto"/>
          <w:szCs w:val="21"/>
          <w:highlight w:val="none"/>
        </w:rPr>
      </w:pPr>
      <w:r>
        <w:rPr>
          <w:rFonts w:hint="eastAsia" w:ascii="宋体" w:hAnsi="宋体" w:cs="宋体"/>
          <w:color w:val="auto"/>
          <w:szCs w:val="21"/>
          <w:highlight w:val="none"/>
        </w:rPr>
        <w:t>□</w:t>
      </w:r>
      <w:r>
        <w:rPr>
          <w:rFonts w:hint="eastAsia" w:ascii="宋体" w:hAnsi="宋体"/>
          <w:color w:val="auto"/>
          <w:szCs w:val="21"/>
          <w:highlight w:val="none"/>
        </w:rPr>
        <w:t>存在下列利害关系：</w:t>
      </w:r>
    </w:p>
    <w:p>
      <w:pPr>
        <w:pStyle w:val="220"/>
        <w:widowControl/>
        <w:snapToGrid w:val="0"/>
        <w:spacing w:line="400" w:lineRule="exact"/>
        <w:ind w:left="397" w:firstLine="28"/>
        <w:rPr>
          <w:rFonts w:ascii="宋体" w:hAnsi="宋体"/>
          <w:color w:val="auto"/>
          <w:szCs w:val="21"/>
          <w:highlight w:val="none"/>
        </w:rPr>
      </w:pPr>
      <w:r>
        <w:rPr>
          <w:rFonts w:ascii="宋体" w:hAnsi="宋体"/>
          <w:color w:val="auto"/>
          <w:szCs w:val="21"/>
          <w:highlight w:val="none"/>
        </w:rPr>
        <w:t>A.</w:t>
      </w:r>
      <w:r>
        <w:rPr>
          <w:rFonts w:hint="eastAsia" w:ascii="宋体" w:hAnsi="宋体"/>
          <w:color w:val="auto"/>
          <w:szCs w:val="21"/>
          <w:highlight w:val="none"/>
        </w:rPr>
        <w:t>投资关系</w:t>
      </w:r>
      <w:r>
        <w:rPr>
          <w:rFonts w:ascii="宋体" w:hAnsi="宋体"/>
          <w:color w:val="auto"/>
          <w:szCs w:val="21"/>
          <w:highlight w:val="none"/>
        </w:rPr>
        <w:t xml:space="preserve">    B.</w:t>
      </w:r>
      <w:r>
        <w:rPr>
          <w:rFonts w:hint="eastAsia" w:ascii="宋体" w:hAnsi="宋体"/>
          <w:color w:val="auto"/>
          <w:szCs w:val="21"/>
          <w:highlight w:val="none"/>
        </w:rPr>
        <w:t>行政隶属关系</w:t>
      </w:r>
      <w:r>
        <w:rPr>
          <w:rFonts w:ascii="宋体" w:hAnsi="宋体"/>
          <w:color w:val="auto"/>
          <w:szCs w:val="21"/>
          <w:highlight w:val="none"/>
        </w:rPr>
        <w:t xml:space="preserve">    C.</w:t>
      </w:r>
      <w:r>
        <w:rPr>
          <w:rFonts w:hint="eastAsia" w:ascii="宋体" w:hAnsi="宋体"/>
          <w:color w:val="auto"/>
          <w:szCs w:val="21"/>
          <w:highlight w:val="none"/>
        </w:rPr>
        <w:t>业务指导关系</w:t>
      </w:r>
    </w:p>
    <w:p>
      <w:pPr>
        <w:pStyle w:val="220"/>
        <w:widowControl/>
        <w:snapToGrid w:val="0"/>
        <w:spacing w:line="400" w:lineRule="exact"/>
        <w:ind w:left="397" w:firstLine="23"/>
        <w:rPr>
          <w:rFonts w:ascii="宋体" w:hAnsi="宋体"/>
          <w:color w:val="auto"/>
          <w:szCs w:val="21"/>
          <w:highlight w:val="none"/>
        </w:rPr>
      </w:pPr>
      <w:r>
        <w:rPr>
          <w:rFonts w:ascii="宋体" w:hAnsi="宋体"/>
          <w:color w:val="auto"/>
          <w:szCs w:val="21"/>
          <w:highlight w:val="none"/>
        </w:rPr>
        <w:t>D.</w:t>
      </w:r>
      <w:r>
        <w:rPr>
          <w:rFonts w:hint="eastAsia" w:ascii="宋体" w:hAnsi="宋体"/>
          <w:color w:val="auto"/>
          <w:szCs w:val="21"/>
          <w:highlight w:val="none"/>
        </w:rPr>
        <w:t>其他可能影响采购公正的利害关系</w:t>
      </w:r>
      <w:r>
        <w:rPr>
          <w:rFonts w:hint="eastAsia" w:ascii="宋体" w:hAnsi="宋体"/>
          <w:color w:val="auto"/>
          <w:szCs w:val="21"/>
          <w:highlight w:val="none"/>
          <w:u w:val="single"/>
        </w:rPr>
        <w:t>（如有，请如实说明）</w:t>
      </w:r>
      <w:r>
        <w:rPr>
          <w:rFonts w:ascii="宋体" w:hAnsi="宋体"/>
          <w:color w:val="auto"/>
          <w:szCs w:val="21"/>
          <w:highlight w:val="none"/>
          <w:u w:val="single"/>
        </w:rPr>
        <w:t xml:space="preserve">                 </w:t>
      </w:r>
      <w:r>
        <w:rPr>
          <w:rFonts w:hint="eastAsia" w:ascii="宋体" w:hAnsi="宋体"/>
          <w:color w:val="auto"/>
          <w:szCs w:val="21"/>
          <w:highlight w:val="none"/>
        </w:rPr>
        <w:t>。</w:t>
      </w:r>
    </w:p>
    <w:p>
      <w:pPr>
        <w:pStyle w:val="220"/>
        <w:widowControl/>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二、现已清楚知道参加本项目采购活动的其他所有供应商名称，本单位</w:t>
      </w:r>
    </w:p>
    <w:p>
      <w:pPr>
        <w:pStyle w:val="220"/>
        <w:widowControl/>
        <w:snapToGrid w:val="0"/>
        <w:spacing w:line="400" w:lineRule="exact"/>
        <w:ind w:firstLine="420" w:firstLineChars="200"/>
        <w:rPr>
          <w:rFonts w:ascii="宋体" w:hAnsi="宋体"/>
          <w:color w:val="auto"/>
          <w:szCs w:val="21"/>
          <w:highlight w:val="none"/>
        </w:rPr>
      </w:pPr>
      <w:r>
        <w:rPr>
          <w:rFonts w:hint="eastAsia" w:ascii="宋体" w:hAnsi="宋体" w:cs="宋体"/>
          <w:color w:val="auto"/>
          <w:szCs w:val="21"/>
          <w:highlight w:val="none"/>
        </w:rPr>
        <w:t>□与其他所有供应商之间均</w:t>
      </w:r>
      <w:r>
        <w:rPr>
          <w:rFonts w:hint="eastAsia" w:ascii="宋体" w:hAnsi="宋体"/>
          <w:color w:val="auto"/>
          <w:szCs w:val="21"/>
          <w:highlight w:val="none"/>
        </w:rPr>
        <w:t>不存在利害关系</w:t>
      </w:r>
    </w:p>
    <w:p>
      <w:pPr>
        <w:pStyle w:val="220"/>
        <w:widowControl/>
        <w:snapToGrid w:val="0"/>
        <w:spacing w:line="400" w:lineRule="exact"/>
        <w:ind w:firstLine="420" w:firstLineChars="200"/>
        <w:rPr>
          <w:rFonts w:ascii="宋体" w:hAnsi="宋体"/>
          <w:color w:val="auto"/>
          <w:szCs w:val="21"/>
          <w:highlight w:val="none"/>
        </w:rPr>
      </w:pPr>
      <w:r>
        <w:rPr>
          <w:rFonts w:hint="eastAsia" w:ascii="宋体" w:hAnsi="宋体" w:cs="宋体"/>
          <w:color w:val="auto"/>
          <w:szCs w:val="21"/>
          <w:highlight w:val="none"/>
        </w:rPr>
        <w:t>□与</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rPr>
        <w:t>（供应商名称）</w:t>
      </w:r>
      <w:r>
        <w:rPr>
          <w:rFonts w:hint="eastAsia" w:ascii="宋体" w:hAnsi="宋体" w:cs="宋体"/>
          <w:color w:val="auto"/>
          <w:szCs w:val="21"/>
          <w:highlight w:val="none"/>
        </w:rPr>
        <w:t>之间</w:t>
      </w:r>
      <w:r>
        <w:rPr>
          <w:rFonts w:hint="eastAsia" w:ascii="宋体" w:hAnsi="宋体"/>
          <w:color w:val="auto"/>
          <w:szCs w:val="21"/>
          <w:highlight w:val="none"/>
        </w:rPr>
        <w:t>存在下列利害关系：</w:t>
      </w:r>
    </w:p>
    <w:p>
      <w:pPr>
        <w:pStyle w:val="220"/>
        <w:widowControl/>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A.</w:t>
      </w:r>
      <w:r>
        <w:rPr>
          <w:rFonts w:hint="eastAsia" w:ascii="宋体" w:hAnsi="宋体"/>
          <w:color w:val="auto"/>
          <w:szCs w:val="21"/>
          <w:highlight w:val="none"/>
        </w:rPr>
        <w:t>法定代表人或负责人或实际控制人是同一人</w:t>
      </w:r>
    </w:p>
    <w:p>
      <w:pPr>
        <w:pStyle w:val="220"/>
        <w:widowControl/>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B.</w:t>
      </w:r>
      <w:r>
        <w:rPr>
          <w:rFonts w:hint="eastAsia" w:ascii="宋体" w:hAnsi="宋体"/>
          <w:color w:val="auto"/>
          <w:szCs w:val="21"/>
          <w:highlight w:val="none"/>
        </w:rPr>
        <w:t>法定代表人或负责人或实际控制人是夫妻关系</w:t>
      </w:r>
    </w:p>
    <w:p>
      <w:pPr>
        <w:pStyle w:val="220"/>
        <w:widowControl/>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C.</w:t>
      </w:r>
      <w:r>
        <w:rPr>
          <w:rFonts w:hint="eastAsia" w:ascii="宋体" w:hAnsi="宋体"/>
          <w:color w:val="auto"/>
          <w:szCs w:val="21"/>
          <w:highlight w:val="none"/>
        </w:rPr>
        <w:t>法定代表人或负责人或实际控制人是直系血亲关系</w:t>
      </w:r>
    </w:p>
    <w:p>
      <w:pPr>
        <w:pStyle w:val="220"/>
        <w:widowControl/>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D.</w:t>
      </w:r>
      <w:r>
        <w:rPr>
          <w:rFonts w:hint="eastAsia" w:ascii="宋体" w:hAnsi="宋体"/>
          <w:color w:val="auto"/>
          <w:szCs w:val="21"/>
          <w:highlight w:val="none"/>
        </w:rPr>
        <w:t>法定代表人或负责人或实际控制人存在三代以内旁系血亲关系</w:t>
      </w:r>
    </w:p>
    <w:p>
      <w:pPr>
        <w:pStyle w:val="220"/>
        <w:widowControl/>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E.</w:t>
      </w:r>
      <w:r>
        <w:rPr>
          <w:rFonts w:hint="eastAsia" w:ascii="宋体" w:hAnsi="宋体"/>
          <w:color w:val="auto"/>
          <w:szCs w:val="21"/>
          <w:highlight w:val="none"/>
        </w:rPr>
        <w:t>法定代表人或负责人或实际控制人存在近姻亲关系</w:t>
      </w:r>
    </w:p>
    <w:p>
      <w:pPr>
        <w:pStyle w:val="220"/>
        <w:widowControl/>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F.</w:t>
      </w:r>
      <w:r>
        <w:rPr>
          <w:rFonts w:hint="eastAsia" w:ascii="宋体" w:hAnsi="宋体"/>
          <w:color w:val="auto"/>
          <w:szCs w:val="21"/>
          <w:highlight w:val="none"/>
        </w:rPr>
        <w:t>法定代表人或负责人或实际控制人存在股份控制或实际控制关系</w:t>
      </w:r>
    </w:p>
    <w:p>
      <w:pPr>
        <w:pStyle w:val="220"/>
        <w:widowControl/>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G.</w:t>
      </w:r>
      <w:r>
        <w:rPr>
          <w:rFonts w:hint="eastAsia" w:ascii="宋体" w:hAnsi="宋体"/>
          <w:color w:val="auto"/>
          <w:szCs w:val="21"/>
          <w:highlight w:val="none"/>
        </w:rPr>
        <w:t>存在共同直接或间接投资设立子公司、联营企业和合营企业情况</w:t>
      </w:r>
    </w:p>
    <w:p>
      <w:pPr>
        <w:pStyle w:val="220"/>
        <w:widowControl/>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H.</w:t>
      </w:r>
      <w:r>
        <w:rPr>
          <w:rFonts w:hint="eastAsia" w:ascii="宋体" w:hAnsi="宋体"/>
          <w:color w:val="auto"/>
          <w:szCs w:val="21"/>
          <w:highlight w:val="none"/>
        </w:rPr>
        <w:t>存在分级代理或代销关系、同一生产制造商关系、管理关系、重要业务（占主营业务收入</w:t>
      </w:r>
      <w:r>
        <w:rPr>
          <w:rFonts w:ascii="宋体" w:hAnsi="宋体"/>
          <w:color w:val="auto"/>
          <w:szCs w:val="21"/>
          <w:highlight w:val="none"/>
        </w:rPr>
        <w:t>50%</w:t>
      </w:r>
      <w:r>
        <w:rPr>
          <w:rFonts w:hint="eastAsia" w:ascii="宋体" w:hAnsi="宋体"/>
          <w:color w:val="auto"/>
          <w:szCs w:val="21"/>
          <w:highlight w:val="none"/>
        </w:rPr>
        <w:t>以上）或重要财务往来关系（如融资）等其他实质性控制关系</w:t>
      </w:r>
    </w:p>
    <w:p>
      <w:pPr>
        <w:pStyle w:val="220"/>
        <w:widowControl/>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I.</w:t>
      </w:r>
      <w:r>
        <w:rPr>
          <w:rFonts w:hint="eastAsia" w:ascii="宋体" w:hAnsi="宋体"/>
          <w:color w:val="auto"/>
          <w:szCs w:val="21"/>
          <w:highlight w:val="none"/>
        </w:rPr>
        <w:t>其他利害关系情况。</w:t>
      </w:r>
    </w:p>
    <w:p>
      <w:pPr>
        <w:pStyle w:val="220"/>
        <w:widowControl/>
        <w:numPr>
          <w:ilvl w:val="0"/>
          <w:numId w:val="4"/>
        </w:numPr>
        <w:snapToGrid w:val="0"/>
        <w:spacing w:line="400" w:lineRule="exact"/>
        <w:ind w:firstLine="396" w:firstLineChars="189"/>
        <w:rPr>
          <w:rFonts w:ascii="宋体" w:hAnsi="宋体"/>
          <w:color w:val="auto"/>
          <w:szCs w:val="21"/>
          <w:highlight w:val="none"/>
        </w:rPr>
      </w:pPr>
      <w:r>
        <w:rPr>
          <w:rFonts w:hint="eastAsia" w:ascii="宋体" w:hAnsi="宋体"/>
          <w:color w:val="auto"/>
          <w:szCs w:val="21"/>
          <w:highlight w:val="none"/>
        </w:rPr>
        <w:t>现已清楚知道并严格遵守政府采购法律法规和现场纪律。</w:t>
      </w:r>
    </w:p>
    <w:p>
      <w:pPr>
        <w:pStyle w:val="220"/>
        <w:widowControl/>
        <w:numPr>
          <w:ilvl w:val="0"/>
          <w:numId w:val="4"/>
        </w:numPr>
        <w:snapToGrid w:val="0"/>
        <w:spacing w:line="400" w:lineRule="exact"/>
        <w:ind w:firstLine="396" w:firstLineChars="189"/>
        <w:rPr>
          <w:rFonts w:ascii="宋体" w:hAnsi="宋体"/>
          <w:color w:val="auto"/>
          <w:szCs w:val="21"/>
          <w:highlight w:val="none"/>
        </w:rPr>
      </w:pPr>
      <w:r>
        <w:rPr>
          <w:rFonts w:hint="eastAsia" w:ascii="宋体" w:hAnsi="宋体"/>
          <w:color w:val="auto"/>
          <w:szCs w:val="21"/>
          <w:highlight w:val="none"/>
        </w:rPr>
        <w:t>我发现</w:t>
      </w:r>
      <w:r>
        <w:rPr>
          <w:rFonts w:ascii="宋体" w:hAnsi="宋体" w:cs="宋体"/>
          <w:color w:val="auto"/>
          <w:szCs w:val="21"/>
          <w:highlight w:val="none"/>
          <w:u w:val="single"/>
        </w:rPr>
        <w:t xml:space="preserve">           </w:t>
      </w:r>
      <w:r>
        <w:rPr>
          <w:rFonts w:hint="eastAsia" w:ascii="宋体" w:hAnsi="宋体"/>
          <w:color w:val="auto"/>
          <w:szCs w:val="21"/>
          <w:highlight w:val="none"/>
          <w:u w:val="single"/>
        </w:rPr>
        <w:t>供应商</w:t>
      </w:r>
      <w:r>
        <w:rPr>
          <w:rFonts w:ascii="宋体" w:hAnsi="宋体" w:cs="宋体"/>
          <w:color w:val="auto"/>
          <w:szCs w:val="21"/>
          <w:highlight w:val="none"/>
          <w:u w:val="single"/>
        </w:rPr>
        <w:t xml:space="preserve">           </w:t>
      </w:r>
      <w:r>
        <w:rPr>
          <w:rFonts w:hint="eastAsia" w:ascii="宋体" w:hAnsi="宋体"/>
          <w:color w:val="auto"/>
          <w:szCs w:val="21"/>
          <w:highlight w:val="none"/>
        </w:rPr>
        <w:t>之间存在或可能存在上述第二条第项利害关系。</w:t>
      </w:r>
    </w:p>
    <w:p>
      <w:pPr>
        <w:pStyle w:val="95"/>
        <w:snapToGrid w:val="0"/>
        <w:spacing w:line="400" w:lineRule="exact"/>
        <w:ind w:firstLine="420" w:firstLineChars="200"/>
        <w:rPr>
          <w:rFonts w:hAnsi="宋体"/>
          <w:color w:val="auto"/>
          <w:szCs w:val="21"/>
          <w:highlight w:val="none"/>
        </w:rPr>
      </w:pPr>
    </w:p>
    <w:p>
      <w:pPr>
        <w:pStyle w:val="95"/>
        <w:snapToGrid w:val="0"/>
        <w:spacing w:line="400" w:lineRule="exact"/>
        <w:ind w:firstLine="1365" w:firstLineChars="650"/>
        <w:rPr>
          <w:rFonts w:hAnsi="宋体"/>
          <w:color w:val="auto"/>
          <w:szCs w:val="21"/>
          <w:highlight w:val="none"/>
        </w:rPr>
      </w:pPr>
      <w:r>
        <w:rPr>
          <w:rFonts w:hAnsi="宋体"/>
          <w:color w:val="auto"/>
          <w:szCs w:val="21"/>
          <w:highlight w:val="none"/>
        </w:rPr>
        <w:t xml:space="preserve">                                </w:t>
      </w:r>
      <w:r>
        <w:rPr>
          <w:rFonts w:hint="eastAsia" w:hAnsi="宋体"/>
          <w:color w:val="auto"/>
          <w:szCs w:val="21"/>
          <w:highlight w:val="none"/>
        </w:rPr>
        <w:t>（供应商代表签名）</w:t>
      </w:r>
    </w:p>
    <w:p>
      <w:pPr>
        <w:spacing w:line="400" w:lineRule="exact"/>
        <w:ind w:firstLine="1318" w:firstLineChars="628"/>
        <w:rPr>
          <w:rFonts w:ascii="宋体" w:hAnsi="宋体"/>
          <w:color w:val="auto"/>
          <w:szCs w:val="21"/>
          <w:highlight w:val="none"/>
        </w:rPr>
      </w:pPr>
      <w:r>
        <w:rPr>
          <w:rFonts w:ascii="宋体" w:hAnsi="宋体"/>
          <w:color w:val="auto"/>
          <w:szCs w:val="21"/>
          <w:highlight w:val="none"/>
        </w:rPr>
        <w:t xml:space="preserve">                                    </w:t>
      </w:r>
      <w:r>
        <w:rPr>
          <w:rFonts w:hint="eastAsia" w:ascii="宋体" w:hAnsi="宋体"/>
          <w:color w:val="auto"/>
          <w:szCs w:val="21"/>
          <w:highlight w:val="none"/>
        </w:rPr>
        <w:t>年</w:t>
      </w:r>
      <w:r>
        <w:rPr>
          <w:rFonts w:ascii="宋体" w:hAnsi="宋体"/>
          <w:color w:val="auto"/>
          <w:szCs w:val="21"/>
          <w:highlight w:val="none"/>
        </w:rPr>
        <w:t xml:space="preserve">  </w:t>
      </w:r>
      <w:r>
        <w:rPr>
          <w:rFonts w:hint="eastAsia" w:ascii="宋体" w:hAnsi="宋体"/>
          <w:color w:val="auto"/>
          <w:szCs w:val="21"/>
          <w:highlight w:val="none"/>
        </w:rPr>
        <w:t>月</w:t>
      </w:r>
      <w:r>
        <w:rPr>
          <w:rFonts w:ascii="宋体" w:hAnsi="宋体"/>
          <w:color w:val="auto"/>
          <w:szCs w:val="21"/>
          <w:highlight w:val="none"/>
        </w:rPr>
        <w:t xml:space="preserve">  </w:t>
      </w:r>
      <w:r>
        <w:rPr>
          <w:rFonts w:hint="eastAsia" w:ascii="宋体" w:hAnsi="宋体"/>
          <w:color w:val="auto"/>
          <w:szCs w:val="21"/>
          <w:highlight w:val="none"/>
        </w:rPr>
        <w:t>日</w:t>
      </w:r>
    </w:p>
    <w:p>
      <w:pPr>
        <w:spacing w:line="400" w:lineRule="exact"/>
        <w:rPr>
          <w:rFonts w:ascii="宋体" w:hAnsi="宋体"/>
          <w:color w:val="auto"/>
          <w:szCs w:val="21"/>
          <w:highlight w:val="none"/>
        </w:rPr>
      </w:pPr>
    </w:p>
    <w:p>
      <w:pPr>
        <w:spacing w:line="400" w:lineRule="exact"/>
        <w:rPr>
          <w:rFonts w:ascii="宋体" w:hAnsi="宋体"/>
          <w:color w:val="auto"/>
          <w:szCs w:val="21"/>
          <w:highlight w:val="none"/>
        </w:rPr>
      </w:pPr>
    </w:p>
    <w:p>
      <w:pPr>
        <w:spacing w:line="500" w:lineRule="exact"/>
        <w:rPr>
          <w:rFonts w:ascii="宋体" w:hAnsi="宋体"/>
          <w:b/>
          <w:color w:val="auto"/>
          <w:sz w:val="28"/>
          <w:szCs w:val="28"/>
          <w:highlight w:val="none"/>
        </w:rPr>
      </w:pPr>
      <w:r>
        <w:rPr>
          <w:rFonts w:hint="eastAsia" w:ascii="宋体" w:hAnsi="宋体"/>
          <w:b/>
          <w:color w:val="auto"/>
          <w:sz w:val="28"/>
          <w:szCs w:val="28"/>
          <w:highlight w:val="none"/>
        </w:rPr>
        <w:t>注：</w:t>
      </w:r>
      <w:r>
        <w:rPr>
          <w:rFonts w:ascii="宋体" w:hAnsi="宋体"/>
          <w:b/>
          <w:color w:val="auto"/>
          <w:sz w:val="28"/>
          <w:szCs w:val="28"/>
          <w:highlight w:val="none"/>
        </w:rPr>
        <w:t>1</w:t>
      </w:r>
      <w:r>
        <w:rPr>
          <w:rFonts w:hint="eastAsia" w:ascii="宋体" w:hAnsi="宋体"/>
          <w:b/>
          <w:color w:val="auto"/>
          <w:sz w:val="28"/>
          <w:szCs w:val="28"/>
          <w:highlight w:val="none"/>
        </w:rPr>
        <w:t>、本表非投标文件的组成内容，不须在投标文件中提供。</w:t>
      </w:r>
    </w:p>
    <w:p>
      <w:pPr>
        <w:spacing w:line="500" w:lineRule="exact"/>
        <w:ind w:firstLine="548" w:firstLineChars="195"/>
        <w:rPr>
          <w:rFonts w:ascii="宋体" w:hAnsi="宋体"/>
          <w:b/>
          <w:color w:val="auto"/>
          <w:sz w:val="28"/>
          <w:szCs w:val="28"/>
          <w:highlight w:val="none"/>
        </w:rPr>
      </w:pPr>
      <w:r>
        <w:rPr>
          <w:rFonts w:ascii="宋体" w:hAnsi="宋体"/>
          <w:b/>
          <w:color w:val="auto"/>
          <w:sz w:val="28"/>
          <w:szCs w:val="28"/>
          <w:highlight w:val="none"/>
        </w:rPr>
        <w:t>2</w:t>
      </w:r>
      <w:r>
        <w:rPr>
          <w:rFonts w:hint="eastAsia" w:ascii="宋体" w:hAnsi="宋体"/>
          <w:b/>
          <w:color w:val="auto"/>
          <w:sz w:val="28"/>
          <w:szCs w:val="28"/>
          <w:highlight w:val="none"/>
        </w:rPr>
        <w:t>、开标现场，供应商如发现有上述相关利害关系的，应签署提供，未提供的视为不存在上述关系。</w:t>
      </w:r>
    </w:p>
    <w:p>
      <w:pPr>
        <w:jc w:val="center"/>
        <w:rPr>
          <w:rFonts w:ascii="宋体" w:hAnsi="宋体"/>
          <w:b/>
          <w:color w:val="auto"/>
          <w:highlight w:val="none"/>
        </w:rPr>
      </w:pPr>
      <w:r>
        <w:rPr>
          <w:rFonts w:ascii="宋体" w:hAnsi="宋体"/>
          <w:b/>
          <w:color w:val="auto"/>
          <w:sz w:val="28"/>
          <w:szCs w:val="28"/>
          <w:highlight w:val="none"/>
        </w:rPr>
        <w:br w:type="page"/>
      </w:r>
      <w:bookmarkStart w:id="74" w:name="_Toc65915725"/>
      <w:r>
        <w:rPr>
          <w:rFonts w:hint="eastAsia" w:ascii="宋体" w:hAnsi="宋体"/>
          <w:b/>
          <w:color w:val="auto"/>
          <w:highlight w:val="none"/>
        </w:rPr>
        <w:t>评分索引表（建议放在目录之前）</w:t>
      </w:r>
      <w:bookmarkEnd w:id="74"/>
    </w:p>
    <w:tbl>
      <w:tblPr>
        <w:tblStyle w:val="45"/>
        <w:tblW w:w="96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31"/>
        <w:gridCol w:w="1715"/>
        <w:gridCol w:w="17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231" w:type="dxa"/>
            <w:tcBorders>
              <w:top w:val="single" w:color="auto" w:sz="4" w:space="0"/>
              <w:left w:val="single" w:color="auto" w:sz="4" w:space="0"/>
              <w:tl2br w:val="single" w:color="000000" w:sz="4" w:space="0"/>
            </w:tcBorders>
          </w:tcPr>
          <w:p>
            <w:pPr>
              <w:spacing w:line="300" w:lineRule="exact"/>
              <w:ind w:right="420" w:firstLine="3885" w:firstLineChars="1850"/>
              <w:jc w:val="right"/>
              <w:rPr>
                <w:rFonts w:ascii="宋体" w:hAnsi="宋体"/>
                <w:color w:val="auto"/>
                <w:szCs w:val="21"/>
                <w:highlight w:val="none"/>
              </w:rPr>
            </w:pPr>
            <w:r>
              <w:rPr>
                <w:rFonts w:hint="eastAsia" w:ascii="宋体" w:hAnsi="宋体"/>
                <w:color w:val="auto"/>
                <w:szCs w:val="21"/>
                <w:highlight w:val="none"/>
              </w:rPr>
              <w:t>供应商</w:t>
            </w:r>
          </w:p>
          <w:p>
            <w:pPr>
              <w:spacing w:line="300" w:lineRule="exact"/>
              <w:rPr>
                <w:rFonts w:ascii="宋体" w:hAnsi="宋体"/>
                <w:color w:val="auto"/>
                <w:szCs w:val="21"/>
                <w:highlight w:val="none"/>
                <w:lang w:val="ru-RU"/>
              </w:rPr>
            </w:pPr>
            <w:r>
              <w:rPr>
                <w:rFonts w:hint="eastAsia" w:ascii="宋体" w:hAnsi="宋体"/>
                <w:color w:val="auto"/>
                <w:szCs w:val="21"/>
                <w:highlight w:val="none"/>
              </w:rPr>
              <w:t>分值</w:t>
            </w:r>
          </w:p>
        </w:tc>
        <w:tc>
          <w:tcPr>
            <w:tcW w:w="1715" w:type="dxa"/>
            <w:tcBorders>
              <w:top w:val="single" w:color="auto" w:sz="4" w:space="0"/>
            </w:tcBorders>
            <w:vAlign w:val="center"/>
          </w:tcPr>
          <w:p>
            <w:pPr>
              <w:spacing w:line="400" w:lineRule="exact"/>
              <w:jc w:val="center"/>
              <w:rPr>
                <w:rFonts w:ascii="宋体" w:hAnsi="宋体"/>
                <w:color w:val="auto"/>
                <w:szCs w:val="21"/>
                <w:highlight w:val="none"/>
                <w:lang w:val="ru-RU"/>
              </w:rPr>
            </w:pPr>
            <w:r>
              <w:rPr>
                <w:rFonts w:hint="eastAsia" w:ascii="宋体" w:hAnsi="宋体"/>
                <w:color w:val="auto"/>
                <w:szCs w:val="21"/>
                <w:highlight w:val="none"/>
                <w:lang w:val="ru-RU"/>
              </w:rPr>
              <w:t>自评分</w:t>
            </w:r>
          </w:p>
        </w:tc>
        <w:tc>
          <w:tcPr>
            <w:tcW w:w="1716" w:type="dxa"/>
            <w:tcBorders>
              <w:top w:val="single" w:color="auto" w:sz="4" w:space="0"/>
            </w:tcBorders>
            <w:vAlign w:val="center"/>
          </w:tcPr>
          <w:p>
            <w:pPr>
              <w:spacing w:line="400" w:lineRule="exact"/>
              <w:jc w:val="center"/>
              <w:rPr>
                <w:rFonts w:ascii="宋体" w:hAnsi="宋体"/>
                <w:color w:val="auto"/>
                <w:szCs w:val="21"/>
                <w:highlight w:val="none"/>
                <w:lang w:val="ru-RU"/>
              </w:rPr>
            </w:pPr>
            <w:r>
              <w:rPr>
                <w:rFonts w:hint="eastAsia" w:ascii="宋体" w:hAnsi="宋体"/>
                <w:color w:val="auto"/>
                <w:szCs w:val="21"/>
                <w:highlight w:val="none"/>
                <w:lang w:val="ru-RU"/>
              </w:rPr>
              <w:t>资料所在页码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231" w:type="dxa"/>
            <w:tcBorders>
              <w:left w:val="single" w:color="auto" w:sz="4" w:space="0"/>
            </w:tcBorders>
            <w:vAlign w:val="center"/>
          </w:tcPr>
          <w:p>
            <w:pPr>
              <w:spacing w:line="400" w:lineRule="exact"/>
              <w:rPr>
                <w:rFonts w:ascii="宋体" w:hAnsi="宋体"/>
                <w:color w:val="auto"/>
                <w:szCs w:val="21"/>
                <w:highlight w:val="none"/>
              </w:rPr>
            </w:pPr>
          </w:p>
        </w:tc>
        <w:tc>
          <w:tcPr>
            <w:tcW w:w="1715" w:type="dxa"/>
            <w:vAlign w:val="center"/>
          </w:tcPr>
          <w:p>
            <w:pPr>
              <w:spacing w:line="400" w:lineRule="exact"/>
              <w:jc w:val="center"/>
              <w:rPr>
                <w:rFonts w:ascii="宋体" w:hAnsi="宋体"/>
                <w:color w:val="auto"/>
                <w:szCs w:val="21"/>
                <w:highlight w:val="none"/>
              </w:rPr>
            </w:pPr>
          </w:p>
        </w:tc>
        <w:tc>
          <w:tcPr>
            <w:tcW w:w="1716" w:type="dxa"/>
            <w:vAlign w:val="center"/>
          </w:tcPr>
          <w:p>
            <w:pPr>
              <w:spacing w:line="40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231" w:type="dxa"/>
            <w:tcBorders>
              <w:left w:val="single" w:color="auto" w:sz="4" w:space="0"/>
            </w:tcBorders>
            <w:vAlign w:val="center"/>
          </w:tcPr>
          <w:p>
            <w:pPr>
              <w:spacing w:line="400" w:lineRule="exact"/>
              <w:rPr>
                <w:rFonts w:ascii="宋体" w:hAnsi="宋体"/>
                <w:color w:val="auto"/>
                <w:szCs w:val="21"/>
                <w:highlight w:val="none"/>
              </w:rPr>
            </w:pPr>
          </w:p>
        </w:tc>
        <w:tc>
          <w:tcPr>
            <w:tcW w:w="1715" w:type="dxa"/>
            <w:vAlign w:val="center"/>
          </w:tcPr>
          <w:p>
            <w:pPr>
              <w:spacing w:line="400" w:lineRule="exact"/>
              <w:jc w:val="center"/>
              <w:rPr>
                <w:rFonts w:ascii="宋体" w:hAnsi="宋体"/>
                <w:color w:val="auto"/>
                <w:szCs w:val="21"/>
                <w:highlight w:val="none"/>
              </w:rPr>
            </w:pPr>
          </w:p>
        </w:tc>
        <w:tc>
          <w:tcPr>
            <w:tcW w:w="1716" w:type="dxa"/>
            <w:vAlign w:val="center"/>
          </w:tcPr>
          <w:p>
            <w:pPr>
              <w:spacing w:line="40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231" w:type="dxa"/>
            <w:tcBorders>
              <w:left w:val="single" w:color="auto" w:sz="4" w:space="0"/>
            </w:tcBorders>
            <w:vAlign w:val="center"/>
          </w:tcPr>
          <w:p>
            <w:pPr>
              <w:spacing w:line="400" w:lineRule="exact"/>
              <w:rPr>
                <w:rFonts w:ascii="宋体" w:hAnsi="宋体"/>
                <w:color w:val="auto"/>
                <w:szCs w:val="21"/>
                <w:highlight w:val="none"/>
              </w:rPr>
            </w:pPr>
          </w:p>
        </w:tc>
        <w:tc>
          <w:tcPr>
            <w:tcW w:w="1715" w:type="dxa"/>
            <w:vAlign w:val="center"/>
          </w:tcPr>
          <w:p>
            <w:pPr>
              <w:spacing w:line="400" w:lineRule="exact"/>
              <w:jc w:val="center"/>
              <w:rPr>
                <w:rFonts w:ascii="宋体" w:hAnsi="宋体"/>
                <w:color w:val="auto"/>
                <w:szCs w:val="21"/>
                <w:highlight w:val="none"/>
              </w:rPr>
            </w:pPr>
          </w:p>
        </w:tc>
        <w:tc>
          <w:tcPr>
            <w:tcW w:w="1716" w:type="dxa"/>
            <w:vAlign w:val="center"/>
          </w:tcPr>
          <w:p>
            <w:pPr>
              <w:spacing w:line="40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231" w:type="dxa"/>
            <w:tcBorders>
              <w:left w:val="single" w:color="auto" w:sz="4" w:space="0"/>
            </w:tcBorders>
            <w:vAlign w:val="center"/>
          </w:tcPr>
          <w:p>
            <w:pPr>
              <w:spacing w:line="400" w:lineRule="exact"/>
              <w:rPr>
                <w:rFonts w:ascii="宋体" w:hAnsi="宋体"/>
                <w:color w:val="auto"/>
                <w:szCs w:val="21"/>
                <w:highlight w:val="none"/>
              </w:rPr>
            </w:pPr>
          </w:p>
        </w:tc>
        <w:tc>
          <w:tcPr>
            <w:tcW w:w="1715" w:type="dxa"/>
            <w:vAlign w:val="center"/>
          </w:tcPr>
          <w:p>
            <w:pPr>
              <w:spacing w:line="400" w:lineRule="exact"/>
              <w:jc w:val="center"/>
              <w:rPr>
                <w:rFonts w:ascii="宋体" w:hAnsi="宋体"/>
                <w:color w:val="auto"/>
                <w:szCs w:val="21"/>
                <w:highlight w:val="none"/>
              </w:rPr>
            </w:pPr>
          </w:p>
        </w:tc>
        <w:tc>
          <w:tcPr>
            <w:tcW w:w="1716" w:type="dxa"/>
            <w:vAlign w:val="center"/>
          </w:tcPr>
          <w:p>
            <w:pPr>
              <w:spacing w:line="40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231" w:type="dxa"/>
            <w:tcBorders>
              <w:left w:val="single" w:color="auto" w:sz="4" w:space="0"/>
            </w:tcBorders>
            <w:vAlign w:val="center"/>
          </w:tcPr>
          <w:p>
            <w:pPr>
              <w:spacing w:line="400" w:lineRule="exact"/>
              <w:rPr>
                <w:rFonts w:ascii="宋体" w:hAnsi="宋体"/>
                <w:color w:val="auto"/>
                <w:szCs w:val="21"/>
                <w:highlight w:val="none"/>
              </w:rPr>
            </w:pPr>
          </w:p>
        </w:tc>
        <w:tc>
          <w:tcPr>
            <w:tcW w:w="1715" w:type="dxa"/>
            <w:vAlign w:val="center"/>
          </w:tcPr>
          <w:p>
            <w:pPr>
              <w:spacing w:line="400" w:lineRule="exact"/>
              <w:jc w:val="center"/>
              <w:rPr>
                <w:rFonts w:ascii="宋体" w:hAnsi="宋体"/>
                <w:color w:val="auto"/>
                <w:szCs w:val="21"/>
                <w:highlight w:val="none"/>
              </w:rPr>
            </w:pPr>
          </w:p>
        </w:tc>
        <w:tc>
          <w:tcPr>
            <w:tcW w:w="1716" w:type="dxa"/>
            <w:vAlign w:val="center"/>
          </w:tcPr>
          <w:p>
            <w:pPr>
              <w:spacing w:line="40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231" w:type="dxa"/>
            <w:tcBorders>
              <w:left w:val="single" w:color="auto" w:sz="4" w:space="0"/>
            </w:tcBorders>
            <w:vAlign w:val="center"/>
          </w:tcPr>
          <w:p>
            <w:pPr>
              <w:spacing w:line="400" w:lineRule="exact"/>
              <w:rPr>
                <w:rFonts w:ascii="宋体" w:hAnsi="宋体"/>
                <w:color w:val="auto"/>
                <w:szCs w:val="21"/>
                <w:highlight w:val="none"/>
              </w:rPr>
            </w:pPr>
          </w:p>
        </w:tc>
        <w:tc>
          <w:tcPr>
            <w:tcW w:w="1715" w:type="dxa"/>
            <w:vAlign w:val="center"/>
          </w:tcPr>
          <w:p>
            <w:pPr>
              <w:spacing w:line="400" w:lineRule="exact"/>
              <w:jc w:val="center"/>
              <w:rPr>
                <w:rFonts w:ascii="宋体" w:hAnsi="宋体"/>
                <w:color w:val="auto"/>
                <w:szCs w:val="21"/>
                <w:highlight w:val="none"/>
              </w:rPr>
            </w:pPr>
          </w:p>
        </w:tc>
        <w:tc>
          <w:tcPr>
            <w:tcW w:w="1716" w:type="dxa"/>
            <w:vAlign w:val="center"/>
          </w:tcPr>
          <w:p>
            <w:pPr>
              <w:spacing w:line="40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231" w:type="dxa"/>
            <w:tcBorders>
              <w:left w:val="single" w:color="auto" w:sz="4" w:space="0"/>
            </w:tcBorders>
            <w:vAlign w:val="center"/>
          </w:tcPr>
          <w:p>
            <w:pPr>
              <w:spacing w:line="400" w:lineRule="exact"/>
              <w:rPr>
                <w:rFonts w:ascii="宋体" w:hAnsi="宋体"/>
                <w:color w:val="auto"/>
                <w:szCs w:val="21"/>
                <w:highlight w:val="none"/>
              </w:rPr>
            </w:pPr>
          </w:p>
        </w:tc>
        <w:tc>
          <w:tcPr>
            <w:tcW w:w="1715" w:type="dxa"/>
            <w:vAlign w:val="center"/>
          </w:tcPr>
          <w:p>
            <w:pPr>
              <w:spacing w:line="400" w:lineRule="exact"/>
              <w:jc w:val="center"/>
              <w:rPr>
                <w:rFonts w:ascii="宋体" w:hAnsi="宋体"/>
                <w:color w:val="auto"/>
                <w:szCs w:val="21"/>
                <w:highlight w:val="none"/>
              </w:rPr>
            </w:pPr>
          </w:p>
        </w:tc>
        <w:tc>
          <w:tcPr>
            <w:tcW w:w="1716" w:type="dxa"/>
            <w:vAlign w:val="center"/>
          </w:tcPr>
          <w:p>
            <w:pPr>
              <w:spacing w:line="40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231" w:type="dxa"/>
            <w:tcBorders>
              <w:left w:val="single" w:color="auto" w:sz="4" w:space="0"/>
            </w:tcBorders>
            <w:vAlign w:val="center"/>
          </w:tcPr>
          <w:p>
            <w:pPr>
              <w:spacing w:line="400" w:lineRule="exact"/>
              <w:rPr>
                <w:rFonts w:ascii="宋体" w:hAnsi="宋体"/>
                <w:color w:val="auto"/>
                <w:szCs w:val="21"/>
                <w:highlight w:val="none"/>
              </w:rPr>
            </w:pPr>
          </w:p>
        </w:tc>
        <w:tc>
          <w:tcPr>
            <w:tcW w:w="1715" w:type="dxa"/>
            <w:vAlign w:val="center"/>
          </w:tcPr>
          <w:p>
            <w:pPr>
              <w:spacing w:line="400" w:lineRule="exact"/>
              <w:jc w:val="center"/>
              <w:rPr>
                <w:rFonts w:ascii="宋体" w:hAnsi="宋体"/>
                <w:color w:val="auto"/>
                <w:szCs w:val="21"/>
                <w:highlight w:val="none"/>
              </w:rPr>
            </w:pPr>
          </w:p>
        </w:tc>
        <w:tc>
          <w:tcPr>
            <w:tcW w:w="1716" w:type="dxa"/>
            <w:vAlign w:val="center"/>
          </w:tcPr>
          <w:p>
            <w:pPr>
              <w:spacing w:line="40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231" w:type="dxa"/>
            <w:tcBorders>
              <w:left w:val="single" w:color="auto" w:sz="4" w:space="0"/>
            </w:tcBorders>
            <w:vAlign w:val="center"/>
          </w:tcPr>
          <w:p>
            <w:pPr>
              <w:spacing w:line="400" w:lineRule="exact"/>
              <w:rPr>
                <w:rFonts w:ascii="宋体" w:hAnsi="宋体"/>
                <w:color w:val="auto"/>
                <w:szCs w:val="21"/>
                <w:highlight w:val="none"/>
              </w:rPr>
            </w:pPr>
          </w:p>
        </w:tc>
        <w:tc>
          <w:tcPr>
            <w:tcW w:w="1715" w:type="dxa"/>
            <w:vAlign w:val="center"/>
          </w:tcPr>
          <w:p>
            <w:pPr>
              <w:spacing w:line="400" w:lineRule="exact"/>
              <w:jc w:val="center"/>
              <w:rPr>
                <w:rFonts w:ascii="宋体" w:hAnsi="宋体"/>
                <w:color w:val="auto"/>
                <w:szCs w:val="21"/>
                <w:highlight w:val="none"/>
              </w:rPr>
            </w:pPr>
          </w:p>
        </w:tc>
        <w:tc>
          <w:tcPr>
            <w:tcW w:w="1716" w:type="dxa"/>
            <w:vAlign w:val="center"/>
          </w:tcPr>
          <w:p>
            <w:pPr>
              <w:spacing w:line="40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231" w:type="dxa"/>
            <w:tcBorders>
              <w:left w:val="single" w:color="auto" w:sz="4" w:space="0"/>
            </w:tcBorders>
            <w:vAlign w:val="center"/>
          </w:tcPr>
          <w:p>
            <w:pPr>
              <w:spacing w:line="400" w:lineRule="exact"/>
              <w:rPr>
                <w:rFonts w:ascii="宋体" w:hAnsi="宋体"/>
                <w:color w:val="auto"/>
                <w:szCs w:val="21"/>
                <w:highlight w:val="none"/>
              </w:rPr>
            </w:pPr>
          </w:p>
        </w:tc>
        <w:tc>
          <w:tcPr>
            <w:tcW w:w="1715" w:type="dxa"/>
            <w:vAlign w:val="center"/>
          </w:tcPr>
          <w:p>
            <w:pPr>
              <w:spacing w:line="400" w:lineRule="exact"/>
              <w:jc w:val="center"/>
              <w:rPr>
                <w:rFonts w:ascii="宋体" w:hAnsi="宋体"/>
                <w:color w:val="auto"/>
                <w:szCs w:val="21"/>
                <w:highlight w:val="none"/>
              </w:rPr>
            </w:pPr>
          </w:p>
        </w:tc>
        <w:tc>
          <w:tcPr>
            <w:tcW w:w="1716" w:type="dxa"/>
            <w:vAlign w:val="center"/>
          </w:tcPr>
          <w:p>
            <w:pPr>
              <w:spacing w:line="40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231" w:type="dxa"/>
            <w:tcBorders>
              <w:left w:val="single" w:color="auto" w:sz="4" w:space="0"/>
            </w:tcBorders>
            <w:vAlign w:val="center"/>
          </w:tcPr>
          <w:p>
            <w:pPr>
              <w:spacing w:line="400" w:lineRule="exact"/>
              <w:rPr>
                <w:rFonts w:ascii="宋体" w:hAnsi="宋体"/>
                <w:color w:val="auto"/>
                <w:szCs w:val="21"/>
                <w:highlight w:val="none"/>
              </w:rPr>
            </w:pPr>
          </w:p>
        </w:tc>
        <w:tc>
          <w:tcPr>
            <w:tcW w:w="1715" w:type="dxa"/>
            <w:vAlign w:val="center"/>
          </w:tcPr>
          <w:p>
            <w:pPr>
              <w:spacing w:line="400" w:lineRule="exact"/>
              <w:jc w:val="center"/>
              <w:rPr>
                <w:rFonts w:ascii="宋体" w:hAnsi="宋体"/>
                <w:color w:val="auto"/>
                <w:szCs w:val="21"/>
                <w:highlight w:val="none"/>
              </w:rPr>
            </w:pPr>
          </w:p>
        </w:tc>
        <w:tc>
          <w:tcPr>
            <w:tcW w:w="1716" w:type="dxa"/>
            <w:vAlign w:val="center"/>
          </w:tcPr>
          <w:p>
            <w:pPr>
              <w:spacing w:line="400" w:lineRule="exact"/>
              <w:jc w:val="center"/>
              <w:rPr>
                <w:rFonts w:ascii="宋体" w:hAnsi="宋体"/>
                <w:color w:val="auto"/>
                <w:szCs w:val="21"/>
                <w:highlight w:val="none"/>
              </w:rPr>
            </w:pPr>
          </w:p>
        </w:tc>
      </w:tr>
    </w:tbl>
    <w:p>
      <w:pPr>
        <w:spacing w:line="400" w:lineRule="exact"/>
        <w:rPr>
          <w:rFonts w:ascii="宋体" w:hAnsi="宋体"/>
          <w:color w:val="auto"/>
          <w:highlight w:val="none"/>
        </w:rPr>
      </w:pPr>
      <w:r>
        <w:rPr>
          <w:rFonts w:hint="eastAsia" w:ascii="宋体" w:hAnsi="宋体"/>
          <w:color w:val="auto"/>
          <w:highlight w:val="none"/>
        </w:rPr>
        <w:t>注：1、供应商对客观分可以进行自评分，主观分可以不用自评分。</w:t>
      </w:r>
    </w:p>
    <w:p>
      <w:pPr>
        <w:spacing w:line="400" w:lineRule="exact"/>
        <w:ind w:firstLine="420" w:firstLineChars="200"/>
        <w:rPr>
          <w:rFonts w:ascii="宋体" w:hAnsi="宋体"/>
          <w:color w:val="auto"/>
          <w:highlight w:val="none"/>
        </w:rPr>
      </w:pPr>
      <w:r>
        <w:rPr>
          <w:rFonts w:hint="eastAsia" w:ascii="宋体" w:hAnsi="宋体"/>
          <w:color w:val="auto"/>
          <w:highlight w:val="none"/>
        </w:rPr>
        <w:t>2、本表只适用</w:t>
      </w:r>
      <w:r>
        <w:rPr>
          <w:rFonts w:hint="eastAsia" w:ascii="宋体" w:hAnsi="宋体"/>
          <w:b/>
          <w:color w:val="auto"/>
          <w:highlight w:val="none"/>
        </w:rPr>
        <w:t>第三章评标办法及标准</w:t>
      </w:r>
      <w:r>
        <w:rPr>
          <w:rFonts w:hint="eastAsia" w:ascii="宋体" w:hAnsi="宋体"/>
          <w:color w:val="auto"/>
          <w:highlight w:val="none"/>
        </w:rPr>
        <w:t xml:space="preserve">  附表3“商务和技术评分表”。</w:t>
      </w:r>
    </w:p>
    <w:p>
      <w:pPr>
        <w:spacing w:line="400" w:lineRule="exact"/>
        <w:rPr>
          <w:rFonts w:ascii="宋体" w:hAnsi="宋体"/>
          <w:b/>
          <w:color w:val="auto"/>
          <w:sz w:val="28"/>
          <w:szCs w:val="28"/>
          <w:highlight w:val="none"/>
        </w:rPr>
      </w:pPr>
    </w:p>
    <w:p>
      <w:pPr>
        <w:spacing w:line="500" w:lineRule="exact"/>
        <w:rPr>
          <w:rFonts w:ascii="宋体" w:hAnsi="宋体"/>
          <w:b/>
          <w:color w:val="auto"/>
          <w:sz w:val="28"/>
          <w:szCs w:val="28"/>
          <w:highlight w:val="none"/>
        </w:rPr>
      </w:pPr>
    </w:p>
    <w:p>
      <w:pPr>
        <w:pStyle w:val="24"/>
        <w:spacing w:line="360" w:lineRule="auto"/>
        <w:ind w:left="101" w:leftChars="48" w:firstLine="2880" w:firstLineChars="800"/>
        <w:jc w:val="left"/>
        <w:rPr>
          <w:rFonts w:hAnsi="宋体"/>
          <w:color w:val="auto"/>
          <w:sz w:val="36"/>
          <w:szCs w:val="36"/>
          <w:highlight w:val="none"/>
        </w:rPr>
        <w:sectPr>
          <w:headerReference r:id="rId12" w:type="default"/>
          <w:footerReference r:id="rId13" w:type="default"/>
          <w:pgSz w:w="11907" w:h="16840"/>
          <w:pgMar w:top="1138" w:right="1588" w:bottom="1423" w:left="1339" w:header="285" w:footer="990" w:gutter="0"/>
          <w:pgNumType w:fmt="decimal"/>
          <w:cols w:space="720" w:num="1"/>
          <w:docGrid w:linePitch="285" w:charSpace="0"/>
        </w:sectPr>
      </w:pPr>
    </w:p>
    <w:tbl>
      <w:tblPr>
        <w:tblStyle w:val="45"/>
        <w:tblW w:w="15092" w:type="dxa"/>
        <w:tblInd w:w="-176" w:type="dxa"/>
        <w:tblLayout w:type="fixed"/>
        <w:tblCellMar>
          <w:top w:w="0" w:type="dxa"/>
          <w:left w:w="108" w:type="dxa"/>
          <w:bottom w:w="0" w:type="dxa"/>
          <w:right w:w="108" w:type="dxa"/>
        </w:tblCellMar>
      </w:tblPr>
      <w:tblGrid>
        <w:gridCol w:w="2003"/>
        <w:gridCol w:w="1512"/>
        <w:gridCol w:w="1780"/>
        <w:gridCol w:w="1679"/>
        <w:gridCol w:w="1253"/>
        <w:gridCol w:w="1495"/>
        <w:gridCol w:w="1538"/>
        <w:gridCol w:w="1298"/>
        <w:gridCol w:w="1288"/>
        <w:gridCol w:w="1235"/>
        <w:gridCol w:w="11"/>
      </w:tblGrid>
      <w:tr>
        <w:tblPrEx>
          <w:tblCellMar>
            <w:top w:w="0" w:type="dxa"/>
            <w:left w:w="108" w:type="dxa"/>
            <w:bottom w:w="0" w:type="dxa"/>
            <w:right w:w="108" w:type="dxa"/>
          </w:tblCellMar>
        </w:tblPrEx>
        <w:trPr>
          <w:trHeight w:val="133" w:hRule="atLeast"/>
        </w:trPr>
        <w:tc>
          <w:tcPr>
            <w:tcW w:w="15092" w:type="dxa"/>
            <w:gridSpan w:val="11"/>
            <w:tcBorders>
              <w:top w:val="nil"/>
              <w:left w:val="nil"/>
              <w:bottom w:val="nil"/>
              <w:right w:val="nil"/>
            </w:tcBorders>
            <w:vAlign w:val="bottom"/>
          </w:tcPr>
          <w:p>
            <w:pPr>
              <w:widowControl/>
              <w:jc w:val="center"/>
              <w:rPr>
                <w:rFonts w:ascii="宋体" w:hAnsi="宋体" w:cs="宋体"/>
                <w:b/>
                <w:bCs/>
                <w:color w:val="auto"/>
                <w:kern w:val="0"/>
                <w:sz w:val="32"/>
                <w:szCs w:val="32"/>
                <w:highlight w:val="none"/>
              </w:rPr>
            </w:pPr>
            <w:r>
              <w:rPr>
                <w:rFonts w:hint="eastAsia" w:ascii="宋体" w:hAnsi="宋体" w:cs="宋体"/>
                <w:b/>
                <w:bCs/>
                <w:color w:val="auto"/>
                <w:kern w:val="0"/>
                <w:sz w:val="24"/>
                <w:highlight w:val="none"/>
              </w:rPr>
              <w:t>中小微行业划型标准规定（根据工信部联企业〔</w:t>
            </w:r>
            <w:r>
              <w:rPr>
                <w:rFonts w:ascii="宋体" w:hAnsi="宋体" w:cs="宋体"/>
                <w:b/>
                <w:bCs/>
                <w:color w:val="auto"/>
                <w:kern w:val="0"/>
                <w:sz w:val="24"/>
                <w:highlight w:val="none"/>
              </w:rPr>
              <w:t>2011</w:t>
            </w:r>
            <w:r>
              <w:rPr>
                <w:rFonts w:hint="eastAsia" w:ascii="宋体" w:hAnsi="宋体" w:cs="宋体"/>
                <w:b/>
                <w:bCs/>
                <w:color w:val="auto"/>
                <w:kern w:val="0"/>
                <w:sz w:val="24"/>
                <w:highlight w:val="none"/>
              </w:rPr>
              <w:t>〕</w:t>
            </w:r>
            <w:r>
              <w:rPr>
                <w:rFonts w:ascii="宋体" w:hAnsi="宋体" w:cs="宋体"/>
                <w:b/>
                <w:bCs/>
                <w:color w:val="auto"/>
                <w:kern w:val="0"/>
                <w:sz w:val="24"/>
                <w:highlight w:val="none"/>
              </w:rPr>
              <w:t>300</w:t>
            </w:r>
            <w:r>
              <w:rPr>
                <w:rFonts w:hint="eastAsia" w:ascii="宋体" w:hAnsi="宋体" w:cs="宋体"/>
                <w:b/>
                <w:bCs/>
                <w:color w:val="auto"/>
                <w:kern w:val="0"/>
                <w:sz w:val="24"/>
                <w:highlight w:val="none"/>
              </w:rPr>
              <w:t>号制定）</w:t>
            </w:r>
          </w:p>
        </w:tc>
      </w:tr>
      <w:tr>
        <w:tblPrEx>
          <w:tblCellMar>
            <w:top w:w="0" w:type="dxa"/>
            <w:left w:w="108" w:type="dxa"/>
            <w:bottom w:w="0" w:type="dxa"/>
            <w:right w:w="108" w:type="dxa"/>
          </w:tblCellMar>
        </w:tblPrEx>
        <w:trPr>
          <w:gridAfter w:val="1"/>
          <w:wAfter w:w="9" w:type="dxa"/>
          <w:trHeight w:val="413" w:hRule="atLeast"/>
        </w:trPr>
        <w:tc>
          <w:tcPr>
            <w:tcW w:w="2004" w:type="dxa"/>
            <w:vMerge w:val="restart"/>
            <w:tcBorders>
              <w:top w:val="single" w:color="auto" w:sz="8" w:space="0"/>
              <w:left w:val="single" w:color="auto" w:sz="8" w:space="0"/>
              <w:bottom w:val="single" w:color="000000" w:sz="4" w:space="0"/>
              <w:right w:val="single" w:color="auto" w:sz="8" w:space="0"/>
            </w:tcBorders>
            <w:vAlign w:val="center"/>
          </w:tcPr>
          <w:p>
            <w:pPr>
              <w:widowControl/>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行业</w:t>
            </w:r>
          </w:p>
        </w:tc>
        <w:tc>
          <w:tcPr>
            <w:tcW w:w="4972" w:type="dxa"/>
            <w:gridSpan w:val="3"/>
            <w:tcBorders>
              <w:top w:val="single" w:color="auto" w:sz="8" w:space="0"/>
              <w:left w:val="nil"/>
              <w:bottom w:val="single" w:color="auto" w:sz="4" w:space="0"/>
              <w:right w:val="single" w:color="000000" w:sz="8" w:space="0"/>
            </w:tcBorders>
            <w:vAlign w:val="bottom"/>
          </w:tcPr>
          <w:p>
            <w:pPr>
              <w:widowControl/>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中型企业</w:t>
            </w:r>
          </w:p>
        </w:tc>
        <w:tc>
          <w:tcPr>
            <w:tcW w:w="4286" w:type="dxa"/>
            <w:gridSpan w:val="3"/>
            <w:tcBorders>
              <w:top w:val="single" w:color="auto" w:sz="8" w:space="0"/>
              <w:left w:val="nil"/>
              <w:bottom w:val="single" w:color="auto" w:sz="4" w:space="0"/>
              <w:right w:val="single" w:color="000000" w:sz="8" w:space="0"/>
            </w:tcBorders>
            <w:vAlign w:val="bottom"/>
          </w:tcPr>
          <w:p>
            <w:pPr>
              <w:widowControl/>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小型企业</w:t>
            </w:r>
          </w:p>
        </w:tc>
        <w:tc>
          <w:tcPr>
            <w:tcW w:w="3821" w:type="dxa"/>
            <w:gridSpan w:val="3"/>
            <w:tcBorders>
              <w:top w:val="single" w:color="auto" w:sz="8" w:space="0"/>
              <w:left w:val="nil"/>
              <w:bottom w:val="single" w:color="auto" w:sz="4" w:space="0"/>
              <w:right w:val="single" w:color="000000" w:sz="8" w:space="0"/>
            </w:tcBorders>
            <w:vAlign w:val="bottom"/>
          </w:tcPr>
          <w:p>
            <w:pPr>
              <w:widowControl/>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微型企业</w:t>
            </w:r>
          </w:p>
        </w:tc>
      </w:tr>
      <w:tr>
        <w:tblPrEx>
          <w:tblCellMar>
            <w:top w:w="0" w:type="dxa"/>
            <w:left w:w="108" w:type="dxa"/>
            <w:bottom w:w="0" w:type="dxa"/>
            <w:right w:w="108" w:type="dxa"/>
          </w:tblCellMar>
        </w:tblPrEx>
        <w:trPr>
          <w:gridAfter w:val="1"/>
          <w:wAfter w:w="11" w:type="dxa"/>
          <w:trHeight w:val="467" w:hRule="atLeast"/>
        </w:trPr>
        <w:tc>
          <w:tcPr>
            <w:tcW w:w="2004" w:type="dxa"/>
            <w:vMerge w:val="continue"/>
            <w:tcBorders>
              <w:top w:val="single" w:color="auto" w:sz="8" w:space="0"/>
              <w:left w:val="single" w:color="auto" w:sz="8" w:space="0"/>
              <w:bottom w:val="single" w:color="000000" w:sz="4" w:space="0"/>
              <w:right w:val="single" w:color="auto" w:sz="8" w:space="0"/>
            </w:tcBorders>
            <w:vAlign w:val="center"/>
          </w:tcPr>
          <w:p>
            <w:pPr>
              <w:widowControl/>
              <w:jc w:val="left"/>
              <w:rPr>
                <w:rFonts w:ascii="宋体" w:hAnsi="宋体" w:cs="宋体"/>
                <w:b/>
                <w:bCs/>
                <w:color w:val="auto"/>
                <w:kern w:val="0"/>
                <w:sz w:val="24"/>
                <w:highlight w:val="none"/>
              </w:rPr>
            </w:pPr>
          </w:p>
        </w:tc>
        <w:tc>
          <w:tcPr>
            <w:tcW w:w="1513" w:type="dxa"/>
            <w:tcBorders>
              <w:top w:val="nil"/>
              <w:left w:val="nil"/>
              <w:bottom w:val="single" w:color="auto" w:sz="4" w:space="0"/>
              <w:right w:val="single" w:color="auto" w:sz="4" w:space="0"/>
            </w:tcBorders>
            <w:vAlign w:val="bottom"/>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从业人员</w:t>
            </w:r>
            <w:r>
              <w:rPr>
                <w:rFonts w:ascii="宋体" w:hAnsi="宋体" w:cs="宋体"/>
                <w:color w:val="auto"/>
                <w:kern w:val="0"/>
                <w:sz w:val="20"/>
                <w:highlight w:val="none"/>
              </w:rPr>
              <w:t>X</w:t>
            </w:r>
            <w:r>
              <w:rPr>
                <w:rFonts w:hint="eastAsia" w:ascii="宋体" w:hAnsi="宋体" w:cs="宋体"/>
                <w:color w:val="auto"/>
                <w:kern w:val="0"/>
                <w:sz w:val="20"/>
                <w:highlight w:val="none"/>
              </w:rPr>
              <w:t>（人）</w:t>
            </w:r>
          </w:p>
        </w:tc>
        <w:tc>
          <w:tcPr>
            <w:tcW w:w="1780" w:type="dxa"/>
            <w:tcBorders>
              <w:top w:val="nil"/>
              <w:left w:val="nil"/>
              <w:bottom w:val="single" w:color="auto" w:sz="4" w:space="0"/>
              <w:right w:val="single" w:color="auto" w:sz="4" w:space="0"/>
            </w:tcBorders>
            <w:vAlign w:val="bottom"/>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营业收入</w:t>
            </w:r>
            <w:r>
              <w:rPr>
                <w:rFonts w:ascii="宋体" w:hAnsi="宋体" w:cs="宋体"/>
                <w:color w:val="auto"/>
                <w:kern w:val="0"/>
                <w:sz w:val="20"/>
                <w:highlight w:val="none"/>
              </w:rPr>
              <w:t>Y</w:t>
            </w:r>
          </w:p>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（万元）</w:t>
            </w:r>
          </w:p>
        </w:tc>
        <w:tc>
          <w:tcPr>
            <w:tcW w:w="1678" w:type="dxa"/>
            <w:tcBorders>
              <w:top w:val="nil"/>
              <w:left w:val="nil"/>
              <w:bottom w:val="single" w:color="auto" w:sz="4" w:space="0"/>
              <w:right w:val="single" w:color="auto" w:sz="8" w:space="0"/>
            </w:tcBorders>
            <w:vAlign w:val="bottom"/>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资产总额</w:t>
            </w:r>
            <w:r>
              <w:rPr>
                <w:rFonts w:ascii="宋体" w:hAnsi="宋体" w:cs="宋体"/>
                <w:color w:val="auto"/>
                <w:kern w:val="0"/>
                <w:sz w:val="20"/>
                <w:highlight w:val="none"/>
              </w:rPr>
              <w:t>Z</w:t>
            </w:r>
          </w:p>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（万元）</w:t>
            </w:r>
          </w:p>
        </w:tc>
        <w:tc>
          <w:tcPr>
            <w:tcW w:w="1253" w:type="dxa"/>
            <w:tcBorders>
              <w:top w:val="nil"/>
              <w:left w:val="nil"/>
              <w:bottom w:val="single" w:color="auto" w:sz="4" w:space="0"/>
              <w:right w:val="single" w:color="auto" w:sz="4" w:space="0"/>
            </w:tcBorders>
            <w:vAlign w:val="bottom"/>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从业人员</w:t>
            </w:r>
            <w:r>
              <w:rPr>
                <w:rFonts w:ascii="宋体" w:hAnsi="宋体" w:cs="宋体"/>
                <w:color w:val="auto"/>
                <w:kern w:val="0"/>
                <w:sz w:val="20"/>
                <w:highlight w:val="none"/>
              </w:rPr>
              <w:t>X</w:t>
            </w:r>
            <w:r>
              <w:rPr>
                <w:rFonts w:hint="eastAsia" w:ascii="宋体" w:hAnsi="宋体" w:cs="宋体"/>
                <w:color w:val="auto"/>
                <w:kern w:val="0"/>
                <w:sz w:val="20"/>
                <w:highlight w:val="none"/>
              </w:rPr>
              <w:t>（人）</w:t>
            </w:r>
          </w:p>
        </w:tc>
        <w:tc>
          <w:tcPr>
            <w:tcW w:w="1495" w:type="dxa"/>
            <w:tcBorders>
              <w:top w:val="nil"/>
              <w:left w:val="nil"/>
              <w:bottom w:val="single" w:color="auto" w:sz="4" w:space="0"/>
              <w:right w:val="single" w:color="auto" w:sz="4" w:space="0"/>
            </w:tcBorders>
            <w:vAlign w:val="bottom"/>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营业收入</w:t>
            </w:r>
            <w:r>
              <w:rPr>
                <w:rFonts w:ascii="宋体" w:hAnsi="宋体" w:cs="宋体"/>
                <w:color w:val="auto"/>
                <w:kern w:val="0"/>
                <w:sz w:val="20"/>
                <w:highlight w:val="none"/>
              </w:rPr>
              <w:t>Y</w:t>
            </w:r>
          </w:p>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（万元）</w:t>
            </w:r>
          </w:p>
        </w:tc>
        <w:tc>
          <w:tcPr>
            <w:tcW w:w="1537" w:type="dxa"/>
            <w:tcBorders>
              <w:top w:val="nil"/>
              <w:left w:val="nil"/>
              <w:bottom w:val="single" w:color="auto" w:sz="4" w:space="0"/>
              <w:right w:val="single" w:color="auto" w:sz="8" w:space="0"/>
            </w:tcBorders>
            <w:vAlign w:val="bottom"/>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资产总额</w:t>
            </w:r>
            <w:r>
              <w:rPr>
                <w:rFonts w:ascii="宋体" w:hAnsi="宋体" w:cs="宋体"/>
                <w:color w:val="auto"/>
                <w:kern w:val="0"/>
                <w:sz w:val="20"/>
                <w:highlight w:val="none"/>
              </w:rPr>
              <w:t>Z</w:t>
            </w:r>
          </w:p>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（万元）</w:t>
            </w:r>
          </w:p>
        </w:tc>
        <w:tc>
          <w:tcPr>
            <w:tcW w:w="1298" w:type="dxa"/>
            <w:tcBorders>
              <w:top w:val="nil"/>
              <w:left w:val="nil"/>
              <w:bottom w:val="single" w:color="auto" w:sz="4" w:space="0"/>
              <w:right w:val="single" w:color="auto" w:sz="4" w:space="0"/>
            </w:tcBorders>
            <w:vAlign w:val="bottom"/>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从业人员</w:t>
            </w:r>
            <w:r>
              <w:rPr>
                <w:rFonts w:ascii="宋体" w:hAnsi="宋体" w:cs="宋体"/>
                <w:color w:val="auto"/>
                <w:kern w:val="0"/>
                <w:sz w:val="20"/>
                <w:highlight w:val="none"/>
              </w:rPr>
              <w:t>X</w:t>
            </w:r>
            <w:r>
              <w:rPr>
                <w:rFonts w:hint="eastAsia" w:ascii="宋体" w:hAnsi="宋体" w:cs="宋体"/>
                <w:color w:val="auto"/>
                <w:kern w:val="0"/>
                <w:sz w:val="20"/>
                <w:highlight w:val="none"/>
              </w:rPr>
              <w:t>（人）</w:t>
            </w:r>
          </w:p>
        </w:tc>
        <w:tc>
          <w:tcPr>
            <w:tcW w:w="1288" w:type="dxa"/>
            <w:tcBorders>
              <w:top w:val="nil"/>
              <w:left w:val="nil"/>
              <w:bottom w:val="single" w:color="auto" w:sz="4" w:space="0"/>
              <w:right w:val="single" w:color="auto" w:sz="4" w:space="0"/>
            </w:tcBorders>
            <w:vAlign w:val="bottom"/>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营业收入</w:t>
            </w:r>
            <w:r>
              <w:rPr>
                <w:rFonts w:ascii="宋体" w:hAnsi="宋体" w:cs="宋体"/>
                <w:color w:val="auto"/>
                <w:kern w:val="0"/>
                <w:sz w:val="20"/>
                <w:highlight w:val="none"/>
              </w:rPr>
              <w:t>Y</w:t>
            </w:r>
            <w:r>
              <w:rPr>
                <w:rFonts w:hint="eastAsia" w:ascii="宋体" w:hAnsi="宋体" w:cs="宋体"/>
                <w:color w:val="auto"/>
                <w:kern w:val="0"/>
                <w:sz w:val="20"/>
                <w:highlight w:val="none"/>
              </w:rPr>
              <w:t>（万元）</w:t>
            </w:r>
          </w:p>
        </w:tc>
        <w:tc>
          <w:tcPr>
            <w:tcW w:w="1235" w:type="dxa"/>
            <w:tcBorders>
              <w:top w:val="nil"/>
              <w:left w:val="nil"/>
              <w:bottom w:val="single" w:color="auto" w:sz="4" w:space="0"/>
              <w:right w:val="single" w:color="auto" w:sz="8" w:space="0"/>
            </w:tcBorders>
            <w:vAlign w:val="bottom"/>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资产总额</w:t>
            </w:r>
            <w:r>
              <w:rPr>
                <w:rFonts w:ascii="宋体" w:hAnsi="宋体" w:cs="宋体"/>
                <w:color w:val="auto"/>
                <w:kern w:val="0"/>
                <w:sz w:val="20"/>
                <w:highlight w:val="none"/>
              </w:rPr>
              <w:t>Z</w:t>
            </w:r>
            <w:r>
              <w:rPr>
                <w:rFonts w:hint="eastAsia" w:ascii="宋体" w:hAnsi="宋体" w:cs="宋体"/>
                <w:color w:val="auto"/>
                <w:kern w:val="0"/>
                <w:sz w:val="20"/>
                <w:highlight w:val="none"/>
              </w:rPr>
              <w:t>（万元）</w:t>
            </w:r>
          </w:p>
        </w:tc>
      </w:tr>
      <w:tr>
        <w:tblPrEx>
          <w:tblCellMar>
            <w:top w:w="0" w:type="dxa"/>
            <w:left w:w="108" w:type="dxa"/>
            <w:bottom w:w="0" w:type="dxa"/>
            <w:right w:w="108" w:type="dxa"/>
          </w:tblCellMar>
        </w:tblPrEx>
        <w:trPr>
          <w:gridAfter w:val="1"/>
          <w:wAfter w:w="11" w:type="dxa"/>
          <w:trHeight w:val="320" w:hRule="atLeast"/>
        </w:trPr>
        <w:tc>
          <w:tcPr>
            <w:tcW w:w="2004" w:type="dxa"/>
            <w:tcBorders>
              <w:top w:val="nil"/>
              <w:left w:val="single" w:color="auto" w:sz="8" w:space="0"/>
              <w:bottom w:val="single" w:color="auto" w:sz="4" w:space="0"/>
              <w:right w:val="single" w:color="auto" w:sz="8" w:space="0"/>
            </w:tcBorders>
            <w:vAlign w:val="bottom"/>
          </w:tcPr>
          <w:p>
            <w:pPr>
              <w:widowControl/>
              <w:jc w:val="left"/>
              <w:rPr>
                <w:rFonts w:ascii="宋体" w:hAnsi="宋体" w:cs="宋体"/>
                <w:color w:val="auto"/>
                <w:kern w:val="0"/>
                <w:sz w:val="20"/>
                <w:highlight w:val="none"/>
              </w:rPr>
            </w:pPr>
            <w:r>
              <w:rPr>
                <w:rFonts w:ascii="宋体" w:hAnsi="宋体" w:cs="宋体"/>
                <w:color w:val="auto"/>
                <w:kern w:val="0"/>
                <w:sz w:val="20"/>
                <w:highlight w:val="none"/>
              </w:rPr>
              <w:t xml:space="preserve"> 1</w:t>
            </w:r>
            <w:r>
              <w:rPr>
                <w:rFonts w:hint="eastAsia" w:ascii="宋体" w:hAnsi="宋体" w:cs="宋体"/>
                <w:color w:val="auto"/>
                <w:kern w:val="0"/>
                <w:sz w:val="20"/>
                <w:highlight w:val="none"/>
              </w:rPr>
              <w:t>、农林牧渔业</w:t>
            </w:r>
          </w:p>
        </w:tc>
        <w:tc>
          <w:tcPr>
            <w:tcW w:w="1513" w:type="dxa"/>
            <w:tcBorders>
              <w:top w:val="nil"/>
              <w:left w:val="nil"/>
              <w:bottom w:val="single" w:color="auto" w:sz="4" w:space="0"/>
              <w:right w:val="single" w:color="auto" w:sz="4" w:space="0"/>
            </w:tcBorders>
            <w:vAlign w:val="center"/>
          </w:tcPr>
          <w:p>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780" w:type="dxa"/>
            <w:tcBorders>
              <w:top w:val="nil"/>
              <w:left w:val="nil"/>
              <w:bottom w:val="single" w:color="auto" w:sz="4" w:space="0"/>
              <w:right w:val="single" w:color="auto" w:sz="4" w:space="0"/>
            </w:tcBorders>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 xml:space="preserve"> 500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20000</w:t>
            </w:r>
          </w:p>
        </w:tc>
        <w:tc>
          <w:tcPr>
            <w:tcW w:w="1678" w:type="dxa"/>
            <w:tcBorders>
              <w:top w:val="nil"/>
              <w:left w:val="nil"/>
              <w:bottom w:val="single" w:color="auto" w:sz="4" w:space="0"/>
              <w:right w:val="single" w:color="auto" w:sz="8" w:space="0"/>
            </w:tcBorders>
            <w:vAlign w:val="center"/>
          </w:tcPr>
          <w:p>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53" w:type="dxa"/>
            <w:tcBorders>
              <w:top w:val="nil"/>
              <w:left w:val="nil"/>
              <w:bottom w:val="single" w:color="auto" w:sz="4" w:space="0"/>
              <w:right w:val="single" w:color="auto" w:sz="4" w:space="0"/>
            </w:tcBorders>
            <w:vAlign w:val="center"/>
          </w:tcPr>
          <w:p>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495" w:type="dxa"/>
            <w:tcBorders>
              <w:top w:val="nil"/>
              <w:left w:val="nil"/>
              <w:bottom w:val="single" w:color="auto" w:sz="4" w:space="0"/>
              <w:right w:val="single" w:color="auto" w:sz="4" w:space="0"/>
            </w:tcBorders>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 xml:space="preserve"> 50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500</w:t>
            </w:r>
          </w:p>
        </w:tc>
        <w:tc>
          <w:tcPr>
            <w:tcW w:w="1537" w:type="dxa"/>
            <w:tcBorders>
              <w:top w:val="nil"/>
              <w:left w:val="nil"/>
              <w:bottom w:val="single" w:color="auto" w:sz="4" w:space="0"/>
              <w:right w:val="single" w:color="auto" w:sz="8" w:space="0"/>
            </w:tcBorders>
            <w:vAlign w:val="center"/>
          </w:tcPr>
          <w:p>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98" w:type="dxa"/>
            <w:tcBorders>
              <w:top w:val="nil"/>
              <w:left w:val="nil"/>
              <w:bottom w:val="single" w:color="auto" w:sz="4" w:space="0"/>
              <w:right w:val="single" w:color="auto" w:sz="4" w:space="0"/>
            </w:tcBorders>
            <w:vAlign w:val="center"/>
          </w:tcPr>
          <w:p>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88" w:type="dxa"/>
            <w:tcBorders>
              <w:top w:val="nil"/>
              <w:left w:val="nil"/>
              <w:bottom w:val="single" w:color="auto" w:sz="4" w:space="0"/>
              <w:right w:val="single" w:color="auto" w:sz="4" w:space="0"/>
            </w:tcBorders>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50</w:t>
            </w:r>
          </w:p>
        </w:tc>
        <w:tc>
          <w:tcPr>
            <w:tcW w:w="1235" w:type="dxa"/>
            <w:tcBorders>
              <w:top w:val="nil"/>
              <w:left w:val="nil"/>
              <w:bottom w:val="single" w:color="auto" w:sz="4" w:space="0"/>
              <w:right w:val="single" w:color="auto" w:sz="8" w:space="0"/>
            </w:tcBorders>
            <w:vAlign w:val="center"/>
          </w:tcPr>
          <w:p>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r>
      <w:tr>
        <w:tblPrEx>
          <w:tblCellMar>
            <w:top w:w="0" w:type="dxa"/>
            <w:left w:w="108" w:type="dxa"/>
            <w:bottom w:w="0" w:type="dxa"/>
            <w:right w:w="108" w:type="dxa"/>
          </w:tblCellMar>
        </w:tblPrEx>
        <w:trPr>
          <w:gridAfter w:val="1"/>
          <w:wAfter w:w="11" w:type="dxa"/>
          <w:trHeight w:val="320" w:hRule="atLeast"/>
        </w:trPr>
        <w:tc>
          <w:tcPr>
            <w:tcW w:w="2004" w:type="dxa"/>
            <w:tcBorders>
              <w:top w:val="nil"/>
              <w:left w:val="single" w:color="auto" w:sz="8" w:space="0"/>
              <w:bottom w:val="single" w:color="auto" w:sz="4" w:space="0"/>
              <w:right w:val="single" w:color="auto" w:sz="8" w:space="0"/>
            </w:tcBorders>
            <w:vAlign w:val="bottom"/>
          </w:tcPr>
          <w:p>
            <w:pPr>
              <w:widowControl/>
              <w:jc w:val="left"/>
              <w:rPr>
                <w:rFonts w:ascii="宋体" w:hAnsi="宋体" w:cs="宋体"/>
                <w:color w:val="auto"/>
                <w:kern w:val="0"/>
                <w:sz w:val="20"/>
                <w:highlight w:val="none"/>
              </w:rPr>
            </w:pPr>
            <w:r>
              <w:rPr>
                <w:rFonts w:ascii="宋体" w:hAnsi="宋体" w:cs="宋体"/>
                <w:color w:val="auto"/>
                <w:kern w:val="0"/>
                <w:sz w:val="20"/>
                <w:highlight w:val="none"/>
              </w:rPr>
              <w:t xml:space="preserve"> 2</w:t>
            </w:r>
            <w:r>
              <w:rPr>
                <w:rFonts w:hint="eastAsia" w:ascii="宋体" w:hAnsi="宋体" w:cs="宋体"/>
                <w:color w:val="auto"/>
                <w:kern w:val="0"/>
                <w:sz w:val="20"/>
                <w:highlight w:val="none"/>
              </w:rPr>
              <w:t>、工业</w:t>
            </w:r>
          </w:p>
        </w:tc>
        <w:tc>
          <w:tcPr>
            <w:tcW w:w="1513" w:type="dxa"/>
            <w:tcBorders>
              <w:top w:val="nil"/>
              <w:left w:val="nil"/>
              <w:bottom w:val="single" w:color="auto" w:sz="4" w:space="0"/>
              <w:right w:val="single" w:color="auto" w:sz="4" w:space="0"/>
            </w:tcBorders>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300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1000</w:t>
            </w:r>
          </w:p>
        </w:tc>
        <w:tc>
          <w:tcPr>
            <w:tcW w:w="1780" w:type="dxa"/>
            <w:tcBorders>
              <w:top w:val="nil"/>
              <w:left w:val="nil"/>
              <w:bottom w:val="single" w:color="auto" w:sz="4" w:space="0"/>
              <w:right w:val="single" w:color="auto" w:sz="4" w:space="0"/>
            </w:tcBorders>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2000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40000</w:t>
            </w:r>
          </w:p>
        </w:tc>
        <w:tc>
          <w:tcPr>
            <w:tcW w:w="1678" w:type="dxa"/>
            <w:tcBorders>
              <w:top w:val="nil"/>
              <w:left w:val="nil"/>
              <w:bottom w:val="single" w:color="auto" w:sz="4" w:space="0"/>
              <w:right w:val="single" w:color="auto" w:sz="8" w:space="0"/>
            </w:tcBorders>
            <w:vAlign w:val="center"/>
          </w:tcPr>
          <w:p>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53" w:type="dxa"/>
            <w:tcBorders>
              <w:top w:val="nil"/>
              <w:left w:val="nil"/>
              <w:bottom w:val="single" w:color="auto" w:sz="4" w:space="0"/>
              <w:right w:val="single" w:color="auto" w:sz="4" w:space="0"/>
            </w:tcBorders>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20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300</w:t>
            </w:r>
          </w:p>
        </w:tc>
        <w:tc>
          <w:tcPr>
            <w:tcW w:w="1495" w:type="dxa"/>
            <w:tcBorders>
              <w:top w:val="nil"/>
              <w:left w:val="nil"/>
              <w:bottom w:val="single" w:color="auto" w:sz="4" w:space="0"/>
              <w:right w:val="single" w:color="auto" w:sz="4" w:space="0"/>
            </w:tcBorders>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300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2000</w:t>
            </w:r>
          </w:p>
        </w:tc>
        <w:tc>
          <w:tcPr>
            <w:tcW w:w="1537" w:type="dxa"/>
            <w:tcBorders>
              <w:top w:val="nil"/>
              <w:left w:val="nil"/>
              <w:bottom w:val="single" w:color="auto" w:sz="4" w:space="0"/>
              <w:right w:val="single" w:color="auto" w:sz="8" w:space="0"/>
            </w:tcBorders>
            <w:vAlign w:val="center"/>
          </w:tcPr>
          <w:p>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98" w:type="dxa"/>
            <w:tcBorders>
              <w:top w:val="nil"/>
              <w:left w:val="nil"/>
              <w:bottom w:val="single" w:color="auto" w:sz="4" w:space="0"/>
              <w:right w:val="single" w:color="auto" w:sz="4" w:space="0"/>
            </w:tcBorders>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20</w:t>
            </w:r>
          </w:p>
        </w:tc>
        <w:tc>
          <w:tcPr>
            <w:tcW w:w="1288" w:type="dxa"/>
            <w:tcBorders>
              <w:top w:val="nil"/>
              <w:left w:val="nil"/>
              <w:bottom w:val="single" w:color="auto" w:sz="4" w:space="0"/>
              <w:right w:val="single" w:color="auto" w:sz="4" w:space="0"/>
            </w:tcBorders>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300</w:t>
            </w:r>
          </w:p>
        </w:tc>
        <w:tc>
          <w:tcPr>
            <w:tcW w:w="1235" w:type="dxa"/>
            <w:tcBorders>
              <w:top w:val="nil"/>
              <w:left w:val="nil"/>
              <w:bottom w:val="single" w:color="auto" w:sz="4" w:space="0"/>
              <w:right w:val="single" w:color="auto" w:sz="8" w:space="0"/>
            </w:tcBorders>
            <w:vAlign w:val="center"/>
          </w:tcPr>
          <w:p>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r>
      <w:tr>
        <w:tblPrEx>
          <w:tblCellMar>
            <w:top w:w="0" w:type="dxa"/>
            <w:left w:w="108" w:type="dxa"/>
            <w:bottom w:w="0" w:type="dxa"/>
            <w:right w:w="108" w:type="dxa"/>
          </w:tblCellMar>
        </w:tblPrEx>
        <w:trPr>
          <w:gridAfter w:val="1"/>
          <w:wAfter w:w="11" w:type="dxa"/>
          <w:trHeight w:val="320" w:hRule="atLeast"/>
        </w:trPr>
        <w:tc>
          <w:tcPr>
            <w:tcW w:w="2004" w:type="dxa"/>
            <w:tcBorders>
              <w:top w:val="nil"/>
              <w:left w:val="single" w:color="auto" w:sz="8" w:space="0"/>
              <w:bottom w:val="single" w:color="auto" w:sz="4" w:space="0"/>
              <w:right w:val="single" w:color="auto" w:sz="8" w:space="0"/>
            </w:tcBorders>
            <w:vAlign w:val="bottom"/>
          </w:tcPr>
          <w:p>
            <w:pPr>
              <w:widowControl/>
              <w:jc w:val="left"/>
              <w:rPr>
                <w:rFonts w:ascii="宋体" w:hAnsi="宋体" w:cs="宋体"/>
                <w:color w:val="auto"/>
                <w:kern w:val="0"/>
                <w:sz w:val="20"/>
                <w:highlight w:val="none"/>
              </w:rPr>
            </w:pPr>
            <w:r>
              <w:rPr>
                <w:rFonts w:ascii="宋体" w:hAnsi="宋体" w:cs="宋体"/>
                <w:color w:val="auto"/>
                <w:kern w:val="0"/>
                <w:sz w:val="20"/>
                <w:highlight w:val="none"/>
              </w:rPr>
              <w:t xml:space="preserve"> 3</w:t>
            </w:r>
            <w:r>
              <w:rPr>
                <w:rFonts w:hint="eastAsia" w:ascii="宋体" w:hAnsi="宋体" w:cs="宋体"/>
                <w:color w:val="auto"/>
                <w:kern w:val="0"/>
                <w:sz w:val="20"/>
                <w:highlight w:val="none"/>
              </w:rPr>
              <w:t>、建筑业</w:t>
            </w:r>
          </w:p>
        </w:tc>
        <w:tc>
          <w:tcPr>
            <w:tcW w:w="1513" w:type="dxa"/>
            <w:tcBorders>
              <w:top w:val="nil"/>
              <w:left w:val="nil"/>
              <w:bottom w:val="single" w:color="auto" w:sz="4" w:space="0"/>
              <w:right w:val="single" w:color="auto" w:sz="4" w:space="0"/>
            </w:tcBorders>
            <w:vAlign w:val="center"/>
          </w:tcPr>
          <w:p>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780" w:type="dxa"/>
            <w:tcBorders>
              <w:top w:val="nil"/>
              <w:left w:val="nil"/>
              <w:bottom w:val="single" w:color="auto" w:sz="4" w:space="0"/>
              <w:right w:val="single" w:color="auto" w:sz="4" w:space="0"/>
            </w:tcBorders>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6000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80000</w:t>
            </w:r>
          </w:p>
        </w:tc>
        <w:tc>
          <w:tcPr>
            <w:tcW w:w="1678" w:type="dxa"/>
            <w:tcBorders>
              <w:top w:val="nil"/>
              <w:left w:val="nil"/>
              <w:bottom w:val="single" w:color="auto" w:sz="4" w:space="0"/>
              <w:right w:val="single" w:color="auto" w:sz="8" w:space="0"/>
            </w:tcBorders>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5000</w:t>
            </w:r>
            <w:r>
              <w:rPr>
                <w:rFonts w:hint="eastAsia" w:ascii="宋体" w:hAnsi="宋体" w:cs="宋体"/>
                <w:color w:val="auto"/>
                <w:kern w:val="0"/>
                <w:sz w:val="20"/>
                <w:highlight w:val="none"/>
              </w:rPr>
              <w:t>≤</w:t>
            </w:r>
            <w:r>
              <w:rPr>
                <w:rFonts w:ascii="宋体" w:hAnsi="宋体" w:cs="宋体"/>
                <w:color w:val="auto"/>
                <w:kern w:val="0"/>
                <w:sz w:val="20"/>
                <w:highlight w:val="none"/>
              </w:rPr>
              <w:t>Z</w:t>
            </w:r>
            <w:r>
              <w:rPr>
                <w:rFonts w:hint="eastAsia" w:ascii="宋体" w:hAnsi="宋体" w:cs="宋体"/>
                <w:color w:val="auto"/>
                <w:kern w:val="0"/>
                <w:sz w:val="20"/>
                <w:highlight w:val="none"/>
              </w:rPr>
              <w:t>＜</w:t>
            </w:r>
            <w:r>
              <w:rPr>
                <w:rFonts w:ascii="宋体" w:hAnsi="宋体" w:cs="宋体"/>
                <w:color w:val="auto"/>
                <w:kern w:val="0"/>
                <w:sz w:val="20"/>
                <w:highlight w:val="none"/>
              </w:rPr>
              <w:t>80000</w:t>
            </w:r>
          </w:p>
        </w:tc>
        <w:tc>
          <w:tcPr>
            <w:tcW w:w="1253" w:type="dxa"/>
            <w:tcBorders>
              <w:top w:val="nil"/>
              <w:left w:val="nil"/>
              <w:bottom w:val="single" w:color="auto" w:sz="4" w:space="0"/>
              <w:right w:val="single" w:color="auto" w:sz="4" w:space="0"/>
            </w:tcBorders>
            <w:vAlign w:val="center"/>
          </w:tcPr>
          <w:p>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495" w:type="dxa"/>
            <w:tcBorders>
              <w:top w:val="nil"/>
              <w:left w:val="nil"/>
              <w:bottom w:val="single" w:color="auto" w:sz="4" w:space="0"/>
              <w:right w:val="single" w:color="auto" w:sz="4" w:space="0"/>
            </w:tcBorders>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300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6000</w:t>
            </w:r>
          </w:p>
        </w:tc>
        <w:tc>
          <w:tcPr>
            <w:tcW w:w="1537" w:type="dxa"/>
            <w:tcBorders>
              <w:top w:val="nil"/>
              <w:left w:val="nil"/>
              <w:bottom w:val="single" w:color="auto" w:sz="4" w:space="0"/>
              <w:right w:val="single" w:color="auto" w:sz="8" w:space="0"/>
            </w:tcBorders>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 xml:space="preserve"> 300</w:t>
            </w:r>
            <w:r>
              <w:rPr>
                <w:rFonts w:hint="eastAsia" w:ascii="宋体" w:hAnsi="宋体" w:cs="宋体"/>
                <w:color w:val="auto"/>
                <w:kern w:val="0"/>
                <w:sz w:val="20"/>
                <w:highlight w:val="none"/>
              </w:rPr>
              <w:t>≤</w:t>
            </w:r>
            <w:r>
              <w:rPr>
                <w:rFonts w:ascii="宋体" w:hAnsi="宋体" w:cs="宋体"/>
                <w:color w:val="auto"/>
                <w:kern w:val="0"/>
                <w:sz w:val="20"/>
                <w:highlight w:val="none"/>
              </w:rPr>
              <w:t>Z</w:t>
            </w:r>
            <w:r>
              <w:rPr>
                <w:rFonts w:hint="eastAsia" w:ascii="宋体" w:hAnsi="宋体" w:cs="宋体"/>
                <w:color w:val="auto"/>
                <w:kern w:val="0"/>
                <w:sz w:val="20"/>
                <w:highlight w:val="none"/>
              </w:rPr>
              <w:t>＜</w:t>
            </w:r>
            <w:r>
              <w:rPr>
                <w:rFonts w:ascii="宋体" w:hAnsi="宋体" w:cs="宋体"/>
                <w:color w:val="auto"/>
                <w:kern w:val="0"/>
                <w:sz w:val="20"/>
                <w:highlight w:val="none"/>
              </w:rPr>
              <w:t>5000</w:t>
            </w:r>
          </w:p>
        </w:tc>
        <w:tc>
          <w:tcPr>
            <w:tcW w:w="1298" w:type="dxa"/>
            <w:tcBorders>
              <w:top w:val="nil"/>
              <w:left w:val="nil"/>
              <w:bottom w:val="single" w:color="auto" w:sz="4" w:space="0"/>
              <w:right w:val="single" w:color="auto" w:sz="4" w:space="0"/>
            </w:tcBorders>
            <w:vAlign w:val="center"/>
          </w:tcPr>
          <w:p>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88" w:type="dxa"/>
            <w:tcBorders>
              <w:top w:val="nil"/>
              <w:left w:val="nil"/>
              <w:bottom w:val="single" w:color="auto" w:sz="4" w:space="0"/>
              <w:right w:val="single" w:color="auto" w:sz="4" w:space="0"/>
            </w:tcBorders>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300</w:t>
            </w:r>
          </w:p>
        </w:tc>
        <w:tc>
          <w:tcPr>
            <w:tcW w:w="1235" w:type="dxa"/>
            <w:tcBorders>
              <w:top w:val="nil"/>
              <w:left w:val="nil"/>
              <w:bottom w:val="single" w:color="auto" w:sz="4" w:space="0"/>
              <w:right w:val="single" w:color="auto" w:sz="8" w:space="0"/>
            </w:tcBorders>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Z</w:t>
            </w:r>
            <w:r>
              <w:rPr>
                <w:rFonts w:hint="eastAsia" w:ascii="宋体" w:hAnsi="宋体" w:cs="宋体"/>
                <w:color w:val="auto"/>
                <w:kern w:val="0"/>
                <w:sz w:val="20"/>
                <w:highlight w:val="none"/>
              </w:rPr>
              <w:t>＜</w:t>
            </w:r>
            <w:r>
              <w:rPr>
                <w:rFonts w:ascii="宋体" w:hAnsi="宋体" w:cs="宋体"/>
                <w:color w:val="auto"/>
                <w:kern w:val="0"/>
                <w:sz w:val="20"/>
                <w:highlight w:val="none"/>
              </w:rPr>
              <w:t>300</w:t>
            </w:r>
          </w:p>
        </w:tc>
      </w:tr>
      <w:tr>
        <w:tblPrEx>
          <w:tblCellMar>
            <w:top w:w="0" w:type="dxa"/>
            <w:left w:w="108" w:type="dxa"/>
            <w:bottom w:w="0" w:type="dxa"/>
            <w:right w:w="108" w:type="dxa"/>
          </w:tblCellMar>
        </w:tblPrEx>
        <w:trPr>
          <w:gridAfter w:val="1"/>
          <w:wAfter w:w="11" w:type="dxa"/>
          <w:trHeight w:val="320" w:hRule="atLeast"/>
        </w:trPr>
        <w:tc>
          <w:tcPr>
            <w:tcW w:w="2004" w:type="dxa"/>
            <w:tcBorders>
              <w:top w:val="nil"/>
              <w:left w:val="single" w:color="auto" w:sz="8" w:space="0"/>
              <w:bottom w:val="single" w:color="auto" w:sz="4" w:space="0"/>
              <w:right w:val="single" w:color="auto" w:sz="8" w:space="0"/>
            </w:tcBorders>
            <w:vAlign w:val="bottom"/>
          </w:tcPr>
          <w:p>
            <w:pPr>
              <w:widowControl/>
              <w:jc w:val="left"/>
              <w:rPr>
                <w:rFonts w:ascii="宋体" w:hAnsi="宋体" w:cs="宋体"/>
                <w:color w:val="auto"/>
                <w:kern w:val="0"/>
                <w:sz w:val="20"/>
                <w:highlight w:val="none"/>
              </w:rPr>
            </w:pPr>
            <w:r>
              <w:rPr>
                <w:rFonts w:ascii="宋体" w:hAnsi="宋体" w:cs="宋体"/>
                <w:color w:val="auto"/>
                <w:kern w:val="0"/>
                <w:sz w:val="20"/>
                <w:highlight w:val="none"/>
              </w:rPr>
              <w:t xml:space="preserve"> 4</w:t>
            </w:r>
            <w:r>
              <w:rPr>
                <w:rFonts w:hint="eastAsia" w:ascii="宋体" w:hAnsi="宋体" w:cs="宋体"/>
                <w:color w:val="auto"/>
                <w:kern w:val="0"/>
                <w:sz w:val="20"/>
                <w:highlight w:val="none"/>
              </w:rPr>
              <w:t>、批发业</w:t>
            </w:r>
          </w:p>
        </w:tc>
        <w:tc>
          <w:tcPr>
            <w:tcW w:w="1513" w:type="dxa"/>
            <w:tcBorders>
              <w:top w:val="nil"/>
              <w:left w:val="nil"/>
              <w:bottom w:val="single" w:color="auto" w:sz="4" w:space="0"/>
              <w:right w:val="single" w:color="auto" w:sz="4" w:space="0"/>
            </w:tcBorders>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 xml:space="preserve"> 20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200</w:t>
            </w:r>
          </w:p>
        </w:tc>
        <w:tc>
          <w:tcPr>
            <w:tcW w:w="1780" w:type="dxa"/>
            <w:tcBorders>
              <w:top w:val="nil"/>
              <w:left w:val="nil"/>
              <w:bottom w:val="single" w:color="auto" w:sz="4" w:space="0"/>
              <w:right w:val="single" w:color="auto" w:sz="4" w:space="0"/>
            </w:tcBorders>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5000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40000</w:t>
            </w:r>
          </w:p>
        </w:tc>
        <w:tc>
          <w:tcPr>
            <w:tcW w:w="1678" w:type="dxa"/>
            <w:tcBorders>
              <w:top w:val="nil"/>
              <w:left w:val="nil"/>
              <w:bottom w:val="single" w:color="auto" w:sz="4" w:space="0"/>
              <w:right w:val="single" w:color="auto" w:sz="8" w:space="0"/>
            </w:tcBorders>
            <w:vAlign w:val="center"/>
          </w:tcPr>
          <w:p>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53" w:type="dxa"/>
            <w:tcBorders>
              <w:top w:val="nil"/>
              <w:left w:val="nil"/>
              <w:bottom w:val="single" w:color="auto" w:sz="4" w:space="0"/>
              <w:right w:val="single" w:color="auto" w:sz="4" w:space="0"/>
            </w:tcBorders>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 xml:space="preserve"> 5</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20</w:t>
            </w:r>
          </w:p>
        </w:tc>
        <w:tc>
          <w:tcPr>
            <w:tcW w:w="1495" w:type="dxa"/>
            <w:tcBorders>
              <w:top w:val="nil"/>
              <w:left w:val="nil"/>
              <w:bottom w:val="single" w:color="auto" w:sz="4" w:space="0"/>
              <w:right w:val="single" w:color="auto" w:sz="4" w:space="0"/>
            </w:tcBorders>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1000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5000</w:t>
            </w:r>
          </w:p>
        </w:tc>
        <w:tc>
          <w:tcPr>
            <w:tcW w:w="1537" w:type="dxa"/>
            <w:tcBorders>
              <w:top w:val="nil"/>
              <w:left w:val="nil"/>
              <w:bottom w:val="single" w:color="auto" w:sz="4" w:space="0"/>
              <w:right w:val="single" w:color="auto" w:sz="8" w:space="0"/>
            </w:tcBorders>
            <w:vAlign w:val="center"/>
          </w:tcPr>
          <w:p>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98" w:type="dxa"/>
            <w:tcBorders>
              <w:top w:val="nil"/>
              <w:left w:val="nil"/>
              <w:bottom w:val="single" w:color="auto" w:sz="4" w:space="0"/>
              <w:right w:val="single" w:color="auto" w:sz="4" w:space="0"/>
            </w:tcBorders>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5</w:t>
            </w:r>
          </w:p>
        </w:tc>
        <w:tc>
          <w:tcPr>
            <w:tcW w:w="1288" w:type="dxa"/>
            <w:tcBorders>
              <w:top w:val="nil"/>
              <w:left w:val="nil"/>
              <w:bottom w:val="single" w:color="auto" w:sz="4" w:space="0"/>
              <w:right w:val="single" w:color="auto" w:sz="4" w:space="0"/>
            </w:tcBorders>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1000</w:t>
            </w:r>
          </w:p>
        </w:tc>
        <w:tc>
          <w:tcPr>
            <w:tcW w:w="1235" w:type="dxa"/>
            <w:tcBorders>
              <w:top w:val="nil"/>
              <w:left w:val="nil"/>
              <w:bottom w:val="single" w:color="auto" w:sz="4" w:space="0"/>
              <w:right w:val="single" w:color="auto" w:sz="8" w:space="0"/>
            </w:tcBorders>
            <w:vAlign w:val="center"/>
          </w:tcPr>
          <w:p>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r>
      <w:tr>
        <w:tblPrEx>
          <w:tblCellMar>
            <w:top w:w="0" w:type="dxa"/>
            <w:left w:w="108" w:type="dxa"/>
            <w:bottom w:w="0" w:type="dxa"/>
            <w:right w:w="108" w:type="dxa"/>
          </w:tblCellMar>
        </w:tblPrEx>
        <w:trPr>
          <w:gridAfter w:val="1"/>
          <w:wAfter w:w="11" w:type="dxa"/>
          <w:trHeight w:val="320" w:hRule="atLeast"/>
        </w:trPr>
        <w:tc>
          <w:tcPr>
            <w:tcW w:w="2004" w:type="dxa"/>
            <w:tcBorders>
              <w:top w:val="nil"/>
              <w:left w:val="single" w:color="auto" w:sz="8" w:space="0"/>
              <w:bottom w:val="single" w:color="auto" w:sz="4" w:space="0"/>
              <w:right w:val="single" w:color="auto" w:sz="8" w:space="0"/>
            </w:tcBorders>
            <w:vAlign w:val="bottom"/>
          </w:tcPr>
          <w:p>
            <w:pPr>
              <w:widowControl/>
              <w:jc w:val="left"/>
              <w:rPr>
                <w:rFonts w:ascii="宋体" w:hAnsi="宋体" w:cs="宋体"/>
                <w:color w:val="auto"/>
                <w:kern w:val="0"/>
                <w:sz w:val="20"/>
                <w:highlight w:val="none"/>
              </w:rPr>
            </w:pPr>
            <w:r>
              <w:rPr>
                <w:rFonts w:ascii="宋体" w:hAnsi="宋体" w:cs="宋体"/>
                <w:color w:val="auto"/>
                <w:kern w:val="0"/>
                <w:sz w:val="20"/>
                <w:highlight w:val="none"/>
              </w:rPr>
              <w:t xml:space="preserve"> 5</w:t>
            </w:r>
            <w:r>
              <w:rPr>
                <w:rFonts w:hint="eastAsia" w:ascii="宋体" w:hAnsi="宋体" w:cs="宋体"/>
                <w:color w:val="auto"/>
                <w:kern w:val="0"/>
                <w:sz w:val="20"/>
                <w:highlight w:val="none"/>
              </w:rPr>
              <w:t>、零售业</w:t>
            </w:r>
          </w:p>
        </w:tc>
        <w:tc>
          <w:tcPr>
            <w:tcW w:w="1513" w:type="dxa"/>
            <w:tcBorders>
              <w:top w:val="nil"/>
              <w:left w:val="nil"/>
              <w:bottom w:val="single" w:color="auto" w:sz="4" w:space="0"/>
              <w:right w:val="single" w:color="auto" w:sz="4" w:space="0"/>
            </w:tcBorders>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 xml:space="preserve"> 50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300</w:t>
            </w:r>
          </w:p>
        </w:tc>
        <w:tc>
          <w:tcPr>
            <w:tcW w:w="1780" w:type="dxa"/>
            <w:tcBorders>
              <w:top w:val="nil"/>
              <w:left w:val="nil"/>
              <w:bottom w:val="single" w:color="auto" w:sz="4" w:space="0"/>
              <w:right w:val="single" w:color="auto" w:sz="4" w:space="0"/>
            </w:tcBorders>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 xml:space="preserve"> 500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20000</w:t>
            </w:r>
          </w:p>
        </w:tc>
        <w:tc>
          <w:tcPr>
            <w:tcW w:w="1678" w:type="dxa"/>
            <w:tcBorders>
              <w:top w:val="nil"/>
              <w:left w:val="nil"/>
              <w:bottom w:val="single" w:color="auto" w:sz="4" w:space="0"/>
              <w:right w:val="single" w:color="auto" w:sz="8" w:space="0"/>
            </w:tcBorders>
            <w:vAlign w:val="center"/>
          </w:tcPr>
          <w:p>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53" w:type="dxa"/>
            <w:tcBorders>
              <w:top w:val="nil"/>
              <w:left w:val="nil"/>
              <w:bottom w:val="single" w:color="auto" w:sz="4" w:space="0"/>
              <w:right w:val="single" w:color="auto" w:sz="4" w:space="0"/>
            </w:tcBorders>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10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50</w:t>
            </w:r>
          </w:p>
        </w:tc>
        <w:tc>
          <w:tcPr>
            <w:tcW w:w="1495" w:type="dxa"/>
            <w:tcBorders>
              <w:top w:val="nil"/>
              <w:left w:val="nil"/>
              <w:bottom w:val="single" w:color="auto" w:sz="4" w:space="0"/>
              <w:right w:val="single" w:color="auto" w:sz="4" w:space="0"/>
            </w:tcBorders>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100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500</w:t>
            </w:r>
          </w:p>
        </w:tc>
        <w:tc>
          <w:tcPr>
            <w:tcW w:w="1537" w:type="dxa"/>
            <w:tcBorders>
              <w:top w:val="nil"/>
              <w:left w:val="nil"/>
              <w:bottom w:val="single" w:color="auto" w:sz="4" w:space="0"/>
              <w:right w:val="single" w:color="auto" w:sz="8" w:space="0"/>
            </w:tcBorders>
            <w:vAlign w:val="center"/>
          </w:tcPr>
          <w:p>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98" w:type="dxa"/>
            <w:tcBorders>
              <w:top w:val="nil"/>
              <w:left w:val="nil"/>
              <w:bottom w:val="single" w:color="auto" w:sz="4" w:space="0"/>
              <w:right w:val="single" w:color="auto" w:sz="4" w:space="0"/>
            </w:tcBorders>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10</w:t>
            </w:r>
          </w:p>
        </w:tc>
        <w:tc>
          <w:tcPr>
            <w:tcW w:w="1288" w:type="dxa"/>
            <w:tcBorders>
              <w:top w:val="nil"/>
              <w:left w:val="nil"/>
              <w:bottom w:val="single" w:color="auto" w:sz="4" w:space="0"/>
              <w:right w:val="single" w:color="auto" w:sz="4" w:space="0"/>
            </w:tcBorders>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100</w:t>
            </w:r>
          </w:p>
        </w:tc>
        <w:tc>
          <w:tcPr>
            <w:tcW w:w="1235" w:type="dxa"/>
            <w:tcBorders>
              <w:top w:val="nil"/>
              <w:left w:val="nil"/>
              <w:bottom w:val="single" w:color="auto" w:sz="4" w:space="0"/>
              <w:right w:val="single" w:color="auto" w:sz="8" w:space="0"/>
            </w:tcBorders>
            <w:vAlign w:val="center"/>
          </w:tcPr>
          <w:p>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r>
      <w:tr>
        <w:tblPrEx>
          <w:tblCellMar>
            <w:top w:w="0" w:type="dxa"/>
            <w:left w:w="108" w:type="dxa"/>
            <w:bottom w:w="0" w:type="dxa"/>
            <w:right w:w="108" w:type="dxa"/>
          </w:tblCellMar>
        </w:tblPrEx>
        <w:trPr>
          <w:gridAfter w:val="1"/>
          <w:wAfter w:w="11" w:type="dxa"/>
          <w:trHeight w:val="320" w:hRule="atLeast"/>
        </w:trPr>
        <w:tc>
          <w:tcPr>
            <w:tcW w:w="2004" w:type="dxa"/>
            <w:tcBorders>
              <w:top w:val="nil"/>
              <w:left w:val="single" w:color="auto" w:sz="8" w:space="0"/>
              <w:bottom w:val="single" w:color="auto" w:sz="4" w:space="0"/>
              <w:right w:val="single" w:color="auto" w:sz="8" w:space="0"/>
            </w:tcBorders>
            <w:vAlign w:val="bottom"/>
          </w:tcPr>
          <w:p>
            <w:pPr>
              <w:widowControl/>
              <w:jc w:val="left"/>
              <w:rPr>
                <w:rFonts w:ascii="宋体" w:hAnsi="宋体" w:cs="宋体"/>
                <w:color w:val="auto"/>
                <w:kern w:val="0"/>
                <w:sz w:val="20"/>
                <w:highlight w:val="none"/>
              </w:rPr>
            </w:pPr>
            <w:r>
              <w:rPr>
                <w:rFonts w:ascii="宋体" w:hAnsi="宋体" w:cs="宋体"/>
                <w:color w:val="auto"/>
                <w:kern w:val="0"/>
                <w:sz w:val="20"/>
                <w:highlight w:val="none"/>
              </w:rPr>
              <w:t xml:space="preserve"> 6</w:t>
            </w:r>
            <w:r>
              <w:rPr>
                <w:rFonts w:hint="eastAsia" w:ascii="宋体" w:hAnsi="宋体" w:cs="宋体"/>
                <w:color w:val="auto"/>
                <w:kern w:val="0"/>
                <w:sz w:val="20"/>
                <w:highlight w:val="none"/>
              </w:rPr>
              <w:t>、交通运输业</w:t>
            </w:r>
          </w:p>
        </w:tc>
        <w:tc>
          <w:tcPr>
            <w:tcW w:w="1513" w:type="dxa"/>
            <w:tcBorders>
              <w:top w:val="nil"/>
              <w:left w:val="nil"/>
              <w:bottom w:val="single" w:color="auto" w:sz="4" w:space="0"/>
              <w:right w:val="single" w:color="auto" w:sz="4" w:space="0"/>
            </w:tcBorders>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300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1000</w:t>
            </w:r>
          </w:p>
        </w:tc>
        <w:tc>
          <w:tcPr>
            <w:tcW w:w="1780" w:type="dxa"/>
            <w:tcBorders>
              <w:top w:val="nil"/>
              <w:left w:val="nil"/>
              <w:bottom w:val="single" w:color="auto" w:sz="4" w:space="0"/>
              <w:right w:val="single" w:color="auto" w:sz="4" w:space="0"/>
            </w:tcBorders>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3000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30000</w:t>
            </w:r>
          </w:p>
        </w:tc>
        <w:tc>
          <w:tcPr>
            <w:tcW w:w="1678" w:type="dxa"/>
            <w:tcBorders>
              <w:top w:val="nil"/>
              <w:left w:val="nil"/>
              <w:bottom w:val="single" w:color="auto" w:sz="4" w:space="0"/>
              <w:right w:val="single" w:color="auto" w:sz="8" w:space="0"/>
            </w:tcBorders>
            <w:vAlign w:val="center"/>
          </w:tcPr>
          <w:p>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53" w:type="dxa"/>
            <w:tcBorders>
              <w:top w:val="nil"/>
              <w:left w:val="nil"/>
              <w:bottom w:val="single" w:color="auto" w:sz="4" w:space="0"/>
              <w:right w:val="single" w:color="auto" w:sz="4" w:space="0"/>
            </w:tcBorders>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20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300</w:t>
            </w:r>
          </w:p>
        </w:tc>
        <w:tc>
          <w:tcPr>
            <w:tcW w:w="1495" w:type="dxa"/>
            <w:tcBorders>
              <w:top w:val="nil"/>
              <w:left w:val="nil"/>
              <w:bottom w:val="single" w:color="auto" w:sz="4" w:space="0"/>
              <w:right w:val="single" w:color="auto" w:sz="4" w:space="0"/>
            </w:tcBorders>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200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3000</w:t>
            </w:r>
          </w:p>
        </w:tc>
        <w:tc>
          <w:tcPr>
            <w:tcW w:w="1537" w:type="dxa"/>
            <w:tcBorders>
              <w:top w:val="nil"/>
              <w:left w:val="nil"/>
              <w:bottom w:val="single" w:color="auto" w:sz="4" w:space="0"/>
              <w:right w:val="single" w:color="auto" w:sz="8" w:space="0"/>
            </w:tcBorders>
            <w:vAlign w:val="center"/>
          </w:tcPr>
          <w:p>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98" w:type="dxa"/>
            <w:tcBorders>
              <w:top w:val="nil"/>
              <w:left w:val="nil"/>
              <w:bottom w:val="single" w:color="auto" w:sz="4" w:space="0"/>
              <w:right w:val="single" w:color="auto" w:sz="4" w:space="0"/>
            </w:tcBorders>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20</w:t>
            </w:r>
          </w:p>
        </w:tc>
        <w:tc>
          <w:tcPr>
            <w:tcW w:w="1288" w:type="dxa"/>
            <w:tcBorders>
              <w:top w:val="nil"/>
              <w:left w:val="nil"/>
              <w:bottom w:val="single" w:color="auto" w:sz="4" w:space="0"/>
              <w:right w:val="single" w:color="auto" w:sz="4" w:space="0"/>
            </w:tcBorders>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V</w:t>
            </w:r>
            <w:r>
              <w:rPr>
                <w:rFonts w:hint="eastAsia" w:ascii="宋体" w:hAnsi="宋体" w:cs="宋体"/>
                <w:color w:val="auto"/>
                <w:kern w:val="0"/>
                <w:sz w:val="20"/>
                <w:highlight w:val="none"/>
              </w:rPr>
              <w:t>＜</w:t>
            </w:r>
            <w:r>
              <w:rPr>
                <w:rFonts w:ascii="宋体" w:hAnsi="宋体" w:cs="宋体"/>
                <w:color w:val="auto"/>
                <w:kern w:val="0"/>
                <w:sz w:val="20"/>
                <w:highlight w:val="none"/>
              </w:rPr>
              <w:t>200</w:t>
            </w:r>
          </w:p>
        </w:tc>
        <w:tc>
          <w:tcPr>
            <w:tcW w:w="1235" w:type="dxa"/>
            <w:tcBorders>
              <w:top w:val="nil"/>
              <w:left w:val="nil"/>
              <w:bottom w:val="single" w:color="auto" w:sz="4" w:space="0"/>
              <w:right w:val="single" w:color="auto" w:sz="8" w:space="0"/>
            </w:tcBorders>
            <w:vAlign w:val="center"/>
          </w:tcPr>
          <w:p>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r>
      <w:tr>
        <w:tblPrEx>
          <w:tblCellMar>
            <w:top w:w="0" w:type="dxa"/>
            <w:left w:w="108" w:type="dxa"/>
            <w:bottom w:w="0" w:type="dxa"/>
            <w:right w:w="108" w:type="dxa"/>
          </w:tblCellMar>
        </w:tblPrEx>
        <w:trPr>
          <w:gridAfter w:val="1"/>
          <w:wAfter w:w="11" w:type="dxa"/>
          <w:trHeight w:val="320" w:hRule="atLeast"/>
        </w:trPr>
        <w:tc>
          <w:tcPr>
            <w:tcW w:w="2004" w:type="dxa"/>
            <w:tcBorders>
              <w:top w:val="nil"/>
              <w:left w:val="single" w:color="auto" w:sz="8" w:space="0"/>
              <w:bottom w:val="single" w:color="auto" w:sz="4" w:space="0"/>
              <w:right w:val="single" w:color="auto" w:sz="8" w:space="0"/>
            </w:tcBorders>
            <w:vAlign w:val="bottom"/>
          </w:tcPr>
          <w:p>
            <w:pPr>
              <w:widowControl/>
              <w:jc w:val="left"/>
              <w:rPr>
                <w:rFonts w:ascii="宋体" w:hAnsi="宋体" w:cs="宋体"/>
                <w:color w:val="auto"/>
                <w:kern w:val="0"/>
                <w:sz w:val="20"/>
                <w:highlight w:val="none"/>
              </w:rPr>
            </w:pPr>
            <w:r>
              <w:rPr>
                <w:rFonts w:ascii="宋体" w:hAnsi="宋体" w:cs="宋体"/>
                <w:color w:val="auto"/>
                <w:kern w:val="0"/>
                <w:sz w:val="20"/>
                <w:highlight w:val="none"/>
              </w:rPr>
              <w:t xml:space="preserve"> 7</w:t>
            </w:r>
            <w:r>
              <w:rPr>
                <w:rFonts w:hint="eastAsia" w:ascii="宋体" w:hAnsi="宋体" w:cs="宋体"/>
                <w:color w:val="auto"/>
                <w:kern w:val="0"/>
                <w:sz w:val="20"/>
                <w:highlight w:val="none"/>
              </w:rPr>
              <w:t>、仓储业</w:t>
            </w:r>
          </w:p>
        </w:tc>
        <w:tc>
          <w:tcPr>
            <w:tcW w:w="1513" w:type="dxa"/>
            <w:tcBorders>
              <w:top w:val="nil"/>
              <w:left w:val="nil"/>
              <w:bottom w:val="single" w:color="auto" w:sz="4" w:space="0"/>
              <w:right w:val="single" w:color="auto" w:sz="4" w:space="0"/>
            </w:tcBorders>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100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200</w:t>
            </w:r>
          </w:p>
        </w:tc>
        <w:tc>
          <w:tcPr>
            <w:tcW w:w="1780" w:type="dxa"/>
            <w:tcBorders>
              <w:top w:val="nil"/>
              <w:left w:val="nil"/>
              <w:bottom w:val="single" w:color="auto" w:sz="4" w:space="0"/>
              <w:right w:val="single" w:color="auto" w:sz="4" w:space="0"/>
            </w:tcBorders>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1000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30000</w:t>
            </w:r>
          </w:p>
        </w:tc>
        <w:tc>
          <w:tcPr>
            <w:tcW w:w="1678" w:type="dxa"/>
            <w:tcBorders>
              <w:top w:val="nil"/>
              <w:left w:val="nil"/>
              <w:bottom w:val="single" w:color="auto" w:sz="4" w:space="0"/>
              <w:right w:val="single" w:color="auto" w:sz="8" w:space="0"/>
            </w:tcBorders>
            <w:vAlign w:val="center"/>
          </w:tcPr>
          <w:p>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53" w:type="dxa"/>
            <w:tcBorders>
              <w:top w:val="nil"/>
              <w:left w:val="nil"/>
              <w:bottom w:val="single" w:color="auto" w:sz="4" w:space="0"/>
              <w:right w:val="single" w:color="auto" w:sz="4" w:space="0"/>
            </w:tcBorders>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20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100</w:t>
            </w:r>
          </w:p>
        </w:tc>
        <w:tc>
          <w:tcPr>
            <w:tcW w:w="1495" w:type="dxa"/>
            <w:tcBorders>
              <w:top w:val="nil"/>
              <w:left w:val="nil"/>
              <w:bottom w:val="single" w:color="auto" w:sz="4" w:space="0"/>
              <w:right w:val="single" w:color="auto" w:sz="4" w:space="0"/>
            </w:tcBorders>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100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1000</w:t>
            </w:r>
          </w:p>
        </w:tc>
        <w:tc>
          <w:tcPr>
            <w:tcW w:w="1537" w:type="dxa"/>
            <w:tcBorders>
              <w:top w:val="nil"/>
              <w:left w:val="nil"/>
              <w:bottom w:val="single" w:color="auto" w:sz="4" w:space="0"/>
              <w:right w:val="single" w:color="auto" w:sz="8" w:space="0"/>
            </w:tcBorders>
            <w:vAlign w:val="center"/>
          </w:tcPr>
          <w:p>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98" w:type="dxa"/>
            <w:tcBorders>
              <w:top w:val="nil"/>
              <w:left w:val="nil"/>
              <w:bottom w:val="single" w:color="auto" w:sz="4" w:space="0"/>
              <w:right w:val="single" w:color="auto" w:sz="4" w:space="0"/>
            </w:tcBorders>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20</w:t>
            </w:r>
          </w:p>
        </w:tc>
        <w:tc>
          <w:tcPr>
            <w:tcW w:w="1288" w:type="dxa"/>
            <w:tcBorders>
              <w:top w:val="nil"/>
              <w:left w:val="nil"/>
              <w:bottom w:val="single" w:color="auto" w:sz="4" w:space="0"/>
              <w:right w:val="single" w:color="auto" w:sz="4" w:space="0"/>
            </w:tcBorders>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100</w:t>
            </w:r>
          </w:p>
        </w:tc>
        <w:tc>
          <w:tcPr>
            <w:tcW w:w="1235" w:type="dxa"/>
            <w:tcBorders>
              <w:top w:val="nil"/>
              <w:left w:val="nil"/>
              <w:bottom w:val="single" w:color="auto" w:sz="4" w:space="0"/>
              <w:right w:val="single" w:color="auto" w:sz="8" w:space="0"/>
            </w:tcBorders>
            <w:vAlign w:val="center"/>
          </w:tcPr>
          <w:p>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r>
      <w:tr>
        <w:tblPrEx>
          <w:tblCellMar>
            <w:top w:w="0" w:type="dxa"/>
            <w:left w:w="108" w:type="dxa"/>
            <w:bottom w:w="0" w:type="dxa"/>
            <w:right w:w="108" w:type="dxa"/>
          </w:tblCellMar>
        </w:tblPrEx>
        <w:trPr>
          <w:gridAfter w:val="1"/>
          <w:wAfter w:w="11" w:type="dxa"/>
          <w:trHeight w:val="320" w:hRule="atLeast"/>
        </w:trPr>
        <w:tc>
          <w:tcPr>
            <w:tcW w:w="2004" w:type="dxa"/>
            <w:tcBorders>
              <w:top w:val="nil"/>
              <w:left w:val="single" w:color="auto" w:sz="8" w:space="0"/>
              <w:bottom w:val="single" w:color="auto" w:sz="4" w:space="0"/>
              <w:right w:val="single" w:color="auto" w:sz="8" w:space="0"/>
            </w:tcBorders>
            <w:vAlign w:val="bottom"/>
          </w:tcPr>
          <w:p>
            <w:pPr>
              <w:widowControl/>
              <w:jc w:val="left"/>
              <w:rPr>
                <w:rFonts w:ascii="宋体" w:hAnsi="宋体" w:cs="宋体"/>
                <w:color w:val="auto"/>
                <w:kern w:val="0"/>
                <w:sz w:val="20"/>
                <w:highlight w:val="none"/>
              </w:rPr>
            </w:pPr>
            <w:r>
              <w:rPr>
                <w:rFonts w:ascii="宋体" w:hAnsi="宋体" w:cs="宋体"/>
                <w:color w:val="auto"/>
                <w:kern w:val="0"/>
                <w:sz w:val="20"/>
                <w:highlight w:val="none"/>
              </w:rPr>
              <w:t xml:space="preserve"> 8</w:t>
            </w:r>
            <w:r>
              <w:rPr>
                <w:rFonts w:hint="eastAsia" w:ascii="宋体" w:hAnsi="宋体" w:cs="宋体"/>
                <w:color w:val="auto"/>
                <w:kern w:val="0"/>
                <w:sz w:val="20"/>
                <w:highlight w:val="none"/>
              </w:rPr>
              <w:t>、邮政业</w:t>
            </w:r>
          </w:p>
        </w:tc>
        <w:tc>
          <w:tcPr>
            <w:tcW w:w="1513" w:type="dxa"/>
            <w:tcBorders>
              <w:top w:val="nil"/>
              <w:left w:val="nil"/>
              <w:bottom w:val="single" w:color="auto" w:sz="4" w:space="0"/>
              <w:right w:val="single" w:color="auto" w:sz="4" w:space="0"/>
            </w:tcBorders>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300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1000</w:t>
            </w:r>
          </w:p>
        </w:tc>
        <w:tc>
          <w:tcPr>
            <w:tcW w:w="1780" w:type="dxa"/>
            <w:tcBorders>
              <w:top w:val="nil"/>
              <w:left w:val="nil"/>
              <w:bottom w:val="single" w:color="auto" w:sz="4" w:space="0"/>
              <w:right w:val="single" w:color="auto" w:sz="4" w:space="0"/>
            </w:tcBorders>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2000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30000</w:t>
            </w:r>
          </w:p>
        </w:tc>
        <w:tc>
          <w:tcPr>
            <w:tcW w:w="1678" w:type="dxa"/>
            <w:tcBorders>
              <w:top w:val="nil"/>
              <w:left w:val="nil"/>
              <w:bottom w:val="single" w:color="auto" w:sz="4" w:space="0"/>
              <w:right w:val="single" w:color="auto" w:sz="8" w:space="0"/>
            </w:tcBorders>
            <w:vAlign w:val="center"/>
          </w:tcPr>
          <w:p>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53" w:type="dxa"/>
            <w:tcBorders>
              <w:top w:val="nil"/>
              <w:left w:val="nil"/>
              <w:bottom w:val="single" w:color="auto" w:sz="4" w:space="0"/>
              <w:right w:val="single" w:color="auto" w:sz="4" w:space="0"/>
            </w:tcBorders>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20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300</w:t>
            </w:r>
          </w:p>
        </w:tc>
        <w:tc>
          <w:tcPr>
            <w:tcW w:w="1495" w:type="dxa"/>
            <w:tcBorders>
              <w:top w:val="nil"/>
              <w:left w:val="nil"/>
              <w:bottom w:val="single" w:color="auto" w:sz="4" w:space="0"/>
              <w:right w:val="single" w:color="auto" w:sz="4" w:space="0"/>
            </w:tcBorders>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100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2000</w:t>
            </w:r>
          </w:p>
        </w:tc>
        <w:tc>
          <w:tcPr>
            <w:tcW w:w="1537" w:type="dxa"/>
            <w:tcBorders>
              <w:top w:val="nil"/>
              <w:left w:val="nil"/>
              <w:bottom w:val="single" w:color="auto" w:sz="4" w:space="0"/>
              <w:right w:val="single" w:color="auto" w:sz="8" w:space="0"/>
            </w:tcBorders>
            <w:vAlign w:val="center"/>
          </w:tcPr>
          <w:p>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98" w:type="dxa"/>
            <w:tcBorders>
              <w:top w:val="nil"/>
              <w:left w:val="nil"/>
              <w:bottom w:val="single" w:color="auto" w:sz="4" w:space="0"/>
              <w:right w:val="single" w:color="auto" w:sz="4" w:space="0"/>
            </w:tcBorders>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20</w:t>
            </w:r>
          </w:p>
        </w:tc>
        <w:tc>
          <w:tcPr>
            <w:tcW w:w="1288" w:type="dxa"/>
            <w:tcBorders>
              <w:top w:val="nil"/>
              <w:left w:val="nil"/>
              <w:bottom w:val="single" w:color="auto" w:sz="4" w:space="0"/>
              <w:right w:val="single" w:color="auto" w:sz="4" w:space="0"/>
            </w:tcBorders>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100</w:t>
            </w:r>
          </w:p>
        </w:tc>
        <w:tc>
          <w:tcPr>
            <w:tcW w:w="1235" w:type="dxa"/>
            <w:tcBorders>
              <w:top w:val="nil"/>
              <w:left w:val="nil"/>
              <w:bottom w:val="single" w:color="auto" w:sz="4" w:space="0"/>
              <w:right w:val="single" w:color="auto" w:sz="8" w:space="0"/>
            </w:tcBorders>
            <w:vAlign w:val="center"/>
          </w:tcPr>
          <w:p>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r>
      <w:tr>
        <w:tblPrEx>
          <w:tblCellMar>
            <w:top w:w="0" w:type="dxa"/>
            <w:left w:w="108" w:type="dxa"/>
            <w:bottom w:w="0" w:type="dxa"/>
            <w:right w:w="108" w:type="dxa"/>
          </w:tblCellMar>
        </w:tblPrEx>
        <w:trPr>
          <w:gridAfter w:val="1"/>
          <w:wAfter w:w="11" w:type="dxa"/>
          <w:trHeight w:val="320" w:hRule="atLeast"/>
        </w:trPr>
        <w:tc>
          <w:tcPr>
            <w:tcW w:w="2004" w:type="dxa"/>
            <w:tcBorders>
              <w:top w:val="nil"/>
              <w:left w:val="single" w:color="auto" w:sz="8" w:space="0"/>
              <w:bottom w:val="single" w:color="auto" w:sz="4" w:space="0"/>
              <w:right w:val="single" w:color="auto" w:sz="8" w:space="0"/>
            </w:tcBorders>
            <w:vAlign w:val="bottom"/>
          </w:tcPr>
          <w:p>
            <w:pPr>
              <w:widowControl/>
              <w:jc w:val="left"/>
              <w:rPr>
                <w:rFonts w:ascii="宋体" w:hAnsi="宋体" w:cs="宋体"/>
                <w:color w:val="auto"/>
                <w:kern w:val="0"/>
                <w:sz w:val="20"/>
                <w:highlight w:val="none"/>
              </w:rPr>
            </w:pPr>
            <w:r>
              <w:rPr>
                <w:rFonts w:ascii="宋体" w:hAnsi="宋体" w:cs="宋体"/>
                <w:color w:val="auto"/>
                <w:kern w:val="0"/>
                <w:sz w:val="20"/>
                <w:highlight w:val="none"/>
              </w:rPr>
              <w:t xml:space="preserve"> 9</w:t>
            </w:r>
            <w:r>
              <w:rPr>
                <w:rFonts w:hint="eastAsia" w:ascii="宋体" w:hAnsi="宋体" w:cs="宋体"/>
                <w:color w:val="auto"/>
                <w:kern w:val="0"/>
                <w:sz w:val="20"/>
                <w:highlight w:val="none"/>
              </w:rPr>
              <w:t>、住宿业</w:t>
            </w:r>
          </w:p>
        </w:tc>
        <w:tc>
          <w:tcPr>
            <w:tcW w:w="1513" w:type="dxa"/>
            <w:tcBorders>
              <w:top w:val="nil"/>
              <w:left w:val="nil"/>
              <w:bottom w:val="single" w:color="auto" w:sz="4" w:space="0"/>
              <w:right w:val="single" w:color="auto" w:sz="4" w:space="0"/>
            </w:tcBorders>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100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300</w:t>
            </w:r>
          </w:p>
        </w:tc>
        <w:tc>
          <w:tcPr>
            <w:tcW w:w="1780" w:type="dxa"/>
            <w:tcBorders>
              <w:top w:val="nil"/>
              <w:left w:val="nil"/>
              <w:bottom w:val="single" w:color="auto" w:sz="4" w:space="0"/>
              <w:right w:val="single" w:color="auto" w:sz="4" w:space="0"/>
            </w:tcBorders>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2000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10000</w:t>
            </w:r>
          </w:p>
        </w:tc>
        <w:tc>
          <w:tcPr>
            <w:tcW w:w="1678" w:type="dxa"/>
            <w:tcBorders>
              <w:top w:val="nil"/>
              <w:left w:val="nil"/>
              <w:bottom w:val="single" w:color="auto" w:sz="4" w:space="0"/>
              <w:right w:val="single" w:color="auto" w:sz="8" w:space="0"/>
            </w:tcBorders>
            <w:vAlign w:val="center"/>
          </w:tcPr>
          <w:p>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53" w:type="dxa"/>
            <w:tcBorders>
              <w:top w:val="nil"/>
              <w:left w:val="nil"/>
              <w:bottom w:val="single" w:color="auto" w:sz="4" w:space="0"/>
              <w:right w:val="single" w:color="auto" w:sz="4" w:space="0"/>
            </w:tcBorders>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10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100</w:t>
            </w:r>
          </w:p>
        </w:tc>
        <w:tc>
          <w:tcPr>
            <w:tcW w:w="1495" w:type="dxa"/>
            <w:tcBorders>
              <w:top w:val="nil"/>
              <w:left w:val="nil"/>
              <w:bottom w:val="single" w:color="auto" w:sz="4" w:space="0"/>
              <w:right w:val="single" w:color="auto" w:sz="4" w:space="0"/>
            </w:tcBorders>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100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2000</w:t>
            </w:r>
          </w:p>
        </w:tc>
        <w:tc>
          <w:tcPr>
            <w:tcW w:w="1537" w:type="dxa"/>
            <w:tcBorders>
              <w:top w:val="nil"/>
              <w:left w:val="nil"/>
              <w:bottom w:val="single" w:color="auto" w:sz="4" w:space="0"/>
              <w:right w:val="single" w:color="auto" w:sz="8" w:space="0"/>
            </w:tcBorders>
            <w:vAlign w:val="center"/>
          </w:tcPr>
          <w:p>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98" w:type="dxa"/>
            <w:tcBorders>
              <w:top w:val="nil"/>
              <w:left w:val="nil"/>
              <w:bottom w:val="single" w:color="auto" w:sz="4" w:space="0"/>
              <w:right w:val="single" w:color="auto" w:sz="4" w:space="0"/>
            </w:tcBorders>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10</w:t>
            </w:r>
          </w:p>
        </w:tc>
        <w:tc>
          <w:tcPr>
            <w:tcW w:w="1288" w:type="dxa"/>
            <w:tcBorders>
              <w:top w:val="nil"/>
              <w:left w:val="nil"/>
              <w:bottom w:val="single" w:color="auto" w:sz="4" w:space="0"/>
              <w:right w:val="single" w:color="auto" w:sz="4" w:space="0"/>
            </w:tcBorders>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100</w:t>
            </w:r>
          </w:p>
        </w:tc>
        <w:tc>
          <w:tcPr>
            <w:tcW w:w="1235" w:type="dxa"/>
            <w:tcBorders>
              <w:top w:val="nil"/>
              <w:left w:val="nil"/>
              <w:bottom w:val="single" w:color="auto" w:sz="4" w:space="0"/>
              <w:right w:val="single" w:color="auto" w:sz="8" w:space="0"/>
            </w:tcBorders>
            <w:vAlign w:val="center"/>
          </w:tcPr>
          <w:p>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r>
      <w:tr>
        <w:tblPrEx>
          <w:tblCellMar>
            <w:top w:w="0" w:type="dxa"/>
            <w:left w:w="108" w:type="dxa"/>
            <w:bottom w:w="0" w:type="dxa"/>
            <w:right w:w="108" w:type="dxa"/>
          </w:tblCellMar>
        </w:tblPrEx>
        <w:trPr>
          <w:gridAfter w:val="1"/>
          <w:wAfter w:w="11" w:type="dxa"/>
          <w:trHeight w:val="320" w:hRule="atLeast"/>
        </w:trPr>
        <w:tc>
          <w:tcPr>
            <w:tcW w:w="2004" w:type="dxa"/>
            <w:tcBorders>
              <w:top w:val="nil"/>
              <w:left w:val="single" w:color="auto" w:sz="8" w:space="0"/>
              <w:bottom w:val="single" w:color="auto" w:sz="4" w:space="0"/>
              <w:right w:val="single" w:color="auto" w:sz="8" w:space="0"/>
            </w:tcBorders>
            <w:vAlign w:val="bottom"/>
          </w:tcPr>
          <w:p>
            <w:pPr>
              <w:widowControl/>
              <w:jc w:val="left"/>
              <w:rPr>
                <w:rFonts w:ascii="宋体" w:hAnsi="宋体" w:cs="宋体"/>
                <w:color w:val="auto"/>
                <w:kern w:val="0"/>
                <w:sz w:val="20"/>
                <w:highlight w:val="none"/>
              </w:rPr>
            </w:pPr>
            <w:r>
              <w:rPr>
                <w:rFonts w:ascii="宋体" w:hAnsi="宋体" w:cs="宋体"/>
                <w:color w:val="auto"/>
                <w:kern w:val="0"/>
                <w:sz w:val="20"/>
                <w:highlight w:val="none"/>
              </w:rPr>
              <w:t>10</w:t>
            </w:r>
            <w:r>
              <w:rPr>
                <w:rFonts w:hint="eastAsia" w:ascii="宋体" w:hAnsi="宋体" w:cs="宋体"/>
                <w:color w:val="auto"/>
                <w:kern w:val="0"/>
                <w:sz w:val="20"/>
                <w:highlight w:val="none"/>
              </w:rPr>
              <w:t>、餐饮业</w:t>
            </w:r>
          </w:p>
        </w:tc>
        <w:tc>
          <w:tcPr>
            <w:tcW w:w="1513" w:type="dxa"/>
            <w:tcBorders>
              <w:top w:val="nil"/>
              <w:left w:val="nil"/>
              <w:bottom w:val="single" w:color="auto" w:sz="4" w:space="0"/>
              <w:right w:val="single" w:color="auto" w:sz="4" w:space="0"/>
            </w:tcBorders>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100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300</w:t>
            </w:r>
          </w:p>
        </w:tc>
        <w:tc>
          <w:tcPr>
            <w:tcW w:w="1780" w:type="dxa"/>
            <w:tcBorders>
              <w:top w:val="nil"/>
              <w:left w:val="nil"/>
              <w:bottom w:val="single" w:color="auto" w:sz="4" w:space="0"/>
              <w:right w:val="single" w:color="auto" w:sz="4" w:space="0"/>
            </w:tcBorders>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2000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10000</w:t>
            </w:r>
          </w:p>
        </w:tc>
        <w:tc>
          <w:tcPr>
            <w:tcW w:w="1678" w:type="dxa"/>
            <w:tcBorders>
              <w:top w:val="nil"/>
              <w:left w:val="nil"/>
              <w:bottom w:val="single" w:color="auto" w:sz="4" w:space="0"/>
              <w:right w:val="single" w:color="auto" w:sz="8" w:space="0"/>
            </w:tcBorders>
            <w:vAlign w:val="center"/>
          </w:tcPr>
          <w:p>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53" w:type="dxa"/>
            <w:tcBorders>
              <w:top w:val="nil"/>
              <w:left w:val="nil"/>
              <w:bottom w:val="single" w:color="auto" w:sz="4" w:space="0"/>
              <w:right w:val="single" w:color="auto" w:sz="4" w:space="0"/>
            </w:tcBorders>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10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100</w:t>
            </w:r>
          </w:p>
        </w:tc>
        <w:tc>
          <w:tcPr>
            <w:tcW w:w="1495" w:type="dxa"/>
            <w:tcBorders>
              <w:top w:val="nil"/>
              <w:left w:val="nil"/>
              <w:bottom w:val="single" w:color="auto" w:sz="4" w:space="0"/>
              <w:right w:val="single" w:color="auto" w:sz="4" w:space="0"/>
            </w:tcBorders>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100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2000</w:t>
            </w:r>
          </w:p>
        </w:tc>
        <w:tc>
          <w:tcPr>
            <w:tcW w:w="1537" w:type="dxa"/>
            <w:tcBorders>
              <w:top w:val="nil"/>
              <w:left w:val="nil"/>
              <w:bottom w:val="single" w:color="auto" w:sz="4" w:space="0"/>
              <w:right w:val="single" w:color="auto" w:sz="8" w:space="0"/>
            </w:tcBorders>
            <w:vAlign w:val="center"/>
          </w:tcPr>
          <w:p>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98" w:type="dxa"/>
            <w:tcBorders>
              <w:top w:val="nil"/>
              <w:left w:val="nil"/>
              <w:bottom w:val="single" w:color="auto" w:sz="4" w:space="0"/>
              <w:right w:val="single" w:color="auto" w:sz="4" w:space="0"/>
            </w:tcBorders>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10</w:t>
            </w:r>
          </w:p>
        </w:tc>
        <w:tc>
          <w:tcPr>
            <w:tcW w:w="1288" w:type="dxa"/>
            <w:tcBorders>
              <w:top w:val="nil"/>
              <w:left w:val="nil"/>
              <w:bottom w:val="single" w:color="auto" w:sz="4" w:space="0"/>
              <w:right w:val="single" w:color="auto" w:sz="4" w:space="0"/>
            </w:tcBorders>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V</w:t>
            </w:r>
            <w:r>
              <w:rPr>
                <w:rFonts w:hint="eastAsia" w:ascii="宋体" w:hAnsi="宋体" w:cs="宋体"/>
                <w:color w:val="auto"/>
                <w:kern w:val="0"/>
                <w:sz w:val="20"/>
                <w:highlight w:val="none"/>
              </w:rPr>
              <w:t>＜</w:t>
            </w:r>
            <w:r>
              <w:rPr>
                <w:rFonts w:ascii="宋体" w:hAnsi="宋体" w:cs="宋体"/>
                <w:color w:val="auto"/>
                <w:kern w:val="0"/>
                <w:sz w:val="20"/>
                <w:highlight w:val="none"/>
              </w:rPr>
              <w:t>100</w:t>
            </w:r>
          </w:p>
        </w:tc>
        <w:tc>
          <w:tcPr>
            <w:tcW w:w="1235" w:type="dxa"/>
            <w:tcBorders>
              <w:top w:val="nil"/>
              <w:left w:val="nil"/>
              <w:bottom w:val="single" w:color="auto" w:sz="4" w:space="0"/>
              <w:right w:val="single" w:color="auto" w:sz="8" w:space="0"/>
            </w:tcBorders>
            <w:vAlign w:val="center"/>
          </w:tcPr>
          <w:p>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r>
      <w:tr>
        <w:tblPrEx>
          <w:tblCellMar>
            <w:top w:w="0" w:type="dxa"/>
            <w:left w:w="108" w:type="dxa"/>
            <w:bottom w:w="0" w:type="dxa"/>
            <w:right w:w="108" w:type="dxa"/>
          </w:tblCellMar>
        </w:tblPrEx>
        <w:trPr>
          <w:gridAfter w:val="1"/>
          <w:wAfter w:w="11" w:type="dxa"/>
          <w:trHeight w:val="320" w:hRule="atLeast"/>
        </w:trPr>
        <w:tc>
          <w:tcPr>
            <w:tcW w:w="2004" w:type="dxa"/>
            <w:tcBorders>
              <w:top w:val="nil"/>
              <w:left w:val="single" w:color="auto" w:sz="8" w:space="0"/>
              <w:bottom w:val="single" w:color="auto" w:sz="4" w:space="0"/>
              <w:right w:val="single" w:color="auto" w:sz="8" w:space="0"/>
            </w:tcBorders>
            <w:vAlign w:val="bottom"/>
          </w:tcPr>
          <w:p>
            <w:pPr>
              <w:widowControl/>
              <w:jc w:val="left"/>
              <w:rPr>
                <w:rFonts w:ascii="宋体" w:hAnsi="宋体" w:cs="宋体"/>
                <w:color w:val="auto"/>
                <w:kern w:val="0"/>
                <w:sz w:val="20"/>
                <w:highlight w:val="none"/>
              </w:rPr>
            </w:pPr>
            <w:r>
              <w:rPr>
                <w:rFonts w:ascii="宋体" w:hAnsi="宋体" w:cs="宋体"/>
                <w:color w:val="auto"/>
                <w:kern w:val="0"/>
                <w:sz w:val="20"/>
                <w:highlight w:val="none"/>
              </w:rPr>
              <w:t>11</w:t>
            </w:r>
            <w:r>
              <w:rPr>
                <w:rFonts w:hint="eastAsia" w:ascii="宋体" w:hAnsi="宋体" w:cs="宋体"/>
                <w:color w:val="auto"/>
                <w:kern w:val="0"/>
                <w:sz w:val="20"/>
                <w:highlight w:val="none"/>
              </w:rPr>
              <w:t>、信息传输业</w:t>
            </w:r>
          </w:p>
        </w:tc>
        <w:tc>
          <w:tcPr>
            <w:tcW w:w="1513" w:type="dxa"/>
            <w:tcBorders>
              <w:top w:val="nil"/>
              <w:left w:val="nil"/>
              <w:bottom w:val="single" w:color="auto" w:sz="4" w:space="0"/>
              <w:right w:val="single" w:color="auto" w:sz="4" w:space="0"/>
            </w:tcBorders>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100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2000</w:t>
            </w:r>
          </w:p>
        </w:tc>
        <w:tc>
          <w:tcPr>
            <w:tcW w:w="1780" w:type="dxa"/>
            <w:tcBorders>
              <w:top w:val="nil"/>
              <w:left w:val="nil"/>
              <w:bottom w:val="single" w:color="auto" w:sz="4" w:space="0"/>
              <w:right w:val="single" w:color="auto" w:sz="4" w:space="0"/>
            </w:tcBorders>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1000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100000</w:t>
            </w:r>
          </w:p>
        </w:tc>
        <w:tc>
          <w:tcPr>
            <w:tcW w:w="1678" w:type="dxa"/>
            <w:tcBorders>
              <w:top w:val="nil"/>
              <w:left w:val="nil"/>
              <w:bottom w:val="single" w:color="auto" w:sz="4" w:space="0"/>
              <w:right w:val="single" w:color="auto" w:sz="8" w:space="0"/>
            </w:tcBorders>
            <w:vAlign w:val="center"/>
          </w:tcPr>
          <w:p>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53" w:type="dxa"/>
            <w:tcBorders>
              <w:top w:val="nil"/>
              <w:left w:val="nil"/>
              <w:bottom w:val="single" w:color="auto" w:sz="4" w:space="0"/>
              <w:right w:val="single" w:color="auto" w:sz="4" w:space="0"/>
            </w:tcBorders>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10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100</w:t>
            </w:r>
          </w:p>
        </w:tc>
        <w:tc>
          <w:tcPr>
            <w:tcW w:w="1495" w:type="dxa"/>
            <w:tcBorders>
              <w:top w:val="nil"/>
              <w:left w:val="nil"/>
              <w:bottom w:val="single" w:color="auto" w:sz="4" w:space="0"/>
              <w:right w:val="single" w:color="auto" w:sz="4" w:space="0"/>
            </w:tcBorders>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100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1000</w:t>
            </w:r>
          </w:p>
        </w:tc>
        <w:tc>
          <w:tcPr>
            <w:tcW w:w="1537" w:type="dxa"/>
            <w:tcBorders>
              <w:top w:val="nil"/>
              <w:left w:val="nil"/>
              <w:bottom w:val="single" w:color="auto" w:sz="4" w:space="0"/>
              <w:right w:val="single" w:color="auto" w:sz="8" w:space="0"/>
            </w:tcBorders>
            <w:vAlign w:val="center"/>
          </w:tcPr>
          <w:p>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98" w:type="dxa"/>
            <w:tcBorders>
              <w:top w:val="nil"/>
              <w:left w:val="nil"/>
              <w:bottom w:val="single" w:color="auto" w:sz="4" w:space="0"/>
              <w:right w:val="single" w:color="auto" w:sz="4" w:space="0"/>
            </w:tcBorders>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10</w:t>
            </w:r>
          </w:p>
        </w:tc>
        <w:tc>
          <w:tcPr>
            <w:tcW w:w="1288" w:type="dxa"/>
            <w:tcBorders>
              <w:top w:val="nil"/>
              <w:left w:val="nil"/>
              <w:bottom w:val="single" w:color="auto" w:sz="4" w:space="0"/>
              <w:right w:val="single" w:color="auto" w:sz="4" w:space="0"/>
            </w:tcBorders>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100</w:t>
            </w:r>
          </w:p>
        </w:tc>
        <w:tc>
          <w:tcPr>
            <w:tcW w:w="1235" w:type="dxa"/>
            <w:tcBorders>
              <w:top w:val="nil"/>
              <w:left w:val="nil"/>
              <w:bottom w:val="single" w:color="auto" w:sz="4" w:space="0"/>
              <w:right w:val="single" w:color="auto" w:sz="8" w:space="0"/>
            </w:tcBorders>
            <w:vAlign w:val="center"/>
          </w:tcPr>
          <w:p>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r>
      <w:tr>
        <w:tblPrEx>
          <w:tblCellMar>
            <w:top w:w="0" w:type="dxa"/>
            <w:left w:w="108" w:type="dxa"/>
            <w:bottom w:w="0" w:type="dxa"/>
            <w:right w:w="108" w:type="dxa"/>
          </w:tblCellMar>
        </w:tblPrEx>
        <w:trPr>
          <w:gridAfter w:val="1"/>
          <w:wAfter w:w="11" w:type="dxa"/>
          <w:trHeight w:val="320" w:hRule="atLeast"/>
        </w:trPr>
        <w:tc>
          <w:tcPr>
            <w:tcW w:w="2004" w:type="dxa"/>
            <w:tcBorders>
              <w:top w:val="nil"/>
              <w:left w:val="single" w:color="auto" w:sz="8" w:space="0"/>
              <w:bottom w:val="single" w:color="auto" w:sz="4" w:space="0"/>
              <w:right w:val="single" w:color="auto" w:sz="8" w:space="0"/>
            </w:tcBorders>
            <w:vAlign w:val="bottom"/>
          </w:tcPr>
          <w:p>
            <w:pPr>
              <w:widowControl/>
              <w:jc w:val="left"/>
              <w:rPr>
                <w:rFonts w:ascii="宋体" w:hAnsi="宋体" w:cs="宋体"/>
                <w:color w:val="auto"/>
                <w:kern w:val="0"/>
                <w:sz w:val="20"/>
                <w:highlight w:val="none"/>
              </w:rPr>
            </w:pPr>
            <w:r>
              <w:rPr>
                <w:rFonts w:ascii="宋体" w:hAnsi="宋体" w:cs="宋体"/>
                <w:color w:val="auto"/>
                <w:kern w:val="0"/>
                <w:sz w:val="20"/>
                <w:highlight w:val="none"/>
              </w:rPr>
              <w:t>12</w:t>
            </w:r>
            <w:r>
              <w:rPr>
                <w:rFonts w:hint="eastAsia" w:ascii="宋体" w:hAnsi="宋体" w:cs="宋体"/>
                <w:color w:val="auto"/>
                <w:kern w:val="0"/>
                <w:sz w:val="20"/>
                <w:highlight w:val="none"/>
              </w:rPr>
              <w:t>、软件和信息技术服务业</w:t>
            </w:r>
          </w:p>
        </w:tc>
        <w:tc>
          <w:tcPr>
            <w:tcW w:w="1513" w:type="dxa"/>
            <w:tcBorders>
              <w:top w:val="nil"/>
              <w:left w:val="nil"/>
              <w:bottom w:val="single" w:color="auto" w:sz="4" w:space="0"/>
              <w:right w:val="single" w:color="auto" w:sz="4" w:space="0"/>
            </w:tcBorders>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100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300</w:t>
            </w:r>
          </w:p>
        </w:tc>
        <w:tc>
          <w:tcPr>
            <w:tcW w:w="1780" w:type="dxa"/>
            <w:tcBorders>
              <w:top w:val="nil"/>
              <w:left w:val="nil"/>
              <w:bottom w:val="single" w:color="auto" w:sz="4" w:space="0"/>
              <w:right w:val="single" w:color="auto" w:sz="4" w:space="0"/>
            </w:tcBorders>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1000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10000</w:t>
            </w:r>
          </w:p>
        </w:tc>
        <w:tc>
          <w:tcPr>
            <w:tcW w:w="1678" w:type="dxa"/>
            <w:tcBorders>
              <w:top w:val="nil"/>
              <w:left w:val="nil"/>
              <w:bottom w:val="single" w:color="auto" w:sz="4" w:space="0"/>
              <w:right w:val="single" w:color="auto" w:sz="8" w:space="0"/>
            </w:tcBorders>
            <w:vAlign w:val="center"/>
          </w:tcPr>
          <w:p>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53" w:type="dxa"/>
            <w:tcBorders>
              <w:top w:val="nil"/>
              <w:left w:val="nil"/>
              <w:bottom w:val="single" w:color="auto" w:sz="4" w:space="0"/>
              <w:right w:val="single" w:color="auto" w:sz="4" w:space="0"/>
            </w:tcBorders>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10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100</w:t>
            </w:r>
          </w:p>
        </w:tc>
        <w:tc>
          <w:tcPr>
            <w:tcW w:w="1495" w:type="dxa"/>
            <w:tcBorders>
              <w:top w:val="nil"/>
              <w:left w:val="nil"/>
              <w:bottom w:val="single" w:color="auto" w:sz="4" w:space="0"/>
              <w:right w:val="single" w:color="auto" w:sz="4" w:space="0"/>
            </w:tcBorders>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 xml:space="preserve"> 50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1000</w:t>
            </w:r>
          </w:p>
        </w:tc>
        <w:tc>
          <w:tcPr>
            <w:tcW w:w="1537" w:type="dxa"/>
            <w:tcBorders>
              <w:top w:val="nil"/>
              <w:left w:val="nil"/>
              <w:bottom w:val="single" w:color="auto" w:sz="4" w:space="0"/>
              <w:right w:val="single" w:color="auto" w:sz="8" w:space="0"/>
            </w:tcBorders>
            <w:vAlign w:val="center"/>
          </w:tcPr>
          <w:p>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98" w:type="dxa"/>
            <w:tcBorders>
              <w:top w:val="nil"/>
              <w:left w:val="nil"/>
              <w:bottom w:val="single" w:color="auto" w:sz="4" w:space="0"/>
              <w:right w:val="single" w:color="auto" w:sz="4" w:space="0"/>
            </w:tcBorders>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10</w:t>
            </w:r>
          </w:p>
        </w:tc>
        <w:tc>
          <w:tcPr>
            <w:tcW w:w="1288" w:type="dxa"/>
            <w:tcBorders>
              <w:top w:val="nil"/>
              <w:left w:val="nil"/>
              <w:bottom w:val="single" w:color="auto" w:sz="4" w:space="0"/>
              <w:right w:val="single" w:color="auto" w:sz="4" w:space="0"/>
            </w:tcBorders>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50</w:t>
            </w:r>
          </w:p>
        </w:tc>
        <w:tc>
          <w:tcPr>
            <w:tcW w:w="1235" w:type="dxa"/>
            <w:tcBorders>
              <w:top w:val="nil"/>
              <w:left w:val="nil"/>
              <w:bottom w:val="single" w:color="auto" w:sz="4" w:space="0"/>
              <w:right w:val="single" w:color="auto" w:sz="8" w:space="0"/>
            </w:tcBorders>
            <w:vAlign w:val="center"/>
          </w:tcPr>
          <w:p>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r>
      <w:tr>
        <w:tblPrEx>
          <w:tblCellMar>
            <w:top w:w="0" w:type="dxa"/>
            <w:left w:w="108" w:type="dxa"/>
            <w:bottom w:w="0" w:type="dxa"/>
            <w:right w:w="108" w:type="dxa"/>
          </w:tblCellMar>
        </w:tblPrEx>
        <w:trPr>
          <w:gridAfter w:val="1"/>
          <w:wAfter w:w="11" w:type="dxa"/>
          <w:trHeight w:val="320" w:hRule="atLeast"/>
        </w:trPr>
        <w:tc>
          <w:tcPr>
            <w:tcW w:w="2004" w:type="dxa"/>
            <w:tcBorders>
              <w:top w:val="nil"/>
              <w:left w:val="single" w:color="auto" w:sz="8" w:space="0"/>
              <w:bottom w:val="single" w:color="auto" w:sz="4" w:space="0"/>
              <w:right w:val="single" w:color="auto" w:sz="8" w:space="0"/>
            </w:tcBorders>
            <w:vAlign w:val="bottom"/>
          </w:tcPr>
          <w:p>
            <w:pPr>
              <w:widowControl/>
              <w:jc w:val="left"/>
              <w:rPr>
                <w:rFonts w:ascii="宋体" w:hAnsi="宋体" w:cs="宋体"/>
                <w:color w:val="auto"/>
                <w:kern w:val="0"/>
                <w:sz w:val="20"/>
                <w:highlight w:val="none"/>
              </w:rPr>
            </w:pPr>
            <w:r>
              <w:rPr>
                <w:rFonts w:ascii="宋体" w:hAnsi="宋体" w:cs="宋体"/>
                <w:color w:val="auto"/>
                <w:kern w:val="0"/>
                <w:sz w:val="20"/>
                <w:highlight w:val="none"/>
              </w:rPr>
              <w:t>13</w:t>
            </w:r>
            <w:r>
              <w:rPr>
                <w:rFonts w:hint="eastAsia" w:ascii="宋体" w:hAnsi="宋体" w:cs="宋体"/>
                <w:color w:val="auto"/>
                <w:kern w:val="0"/>
                <w:sz w:val="20"/>
                <w:highlight w:val="none"/>
              </w:rPr>
              <w:t>、房地产开发经营</w:t>
            </w:r>
          </w:p>
        </w:tc>
        <w:tc>
          <w:tcPr>
            <w:tcW w:w="1513" w:type="dxa"/>
            <w:tcBorders>
              <w:top w:val="nil"/>
              <w:left w:val="nil"/>
              <w:bottom w:val="single" w:color="auto" w:sz="4" w:space="0"/>
              <w:right w:val="single" w:color="auto" w:sz="4" w:space="0"/>
            </w:tcBorders>
            <w:vAlign w:val="center"/>
          </w:tcPr>
          <w:p>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780" w:type="dxa"/>
            <w:tcBorders>
              <w:top w:val="nil"/>
              <w:left w:val="nil"/>
              <w:bottom w:val="single" w:color="auto" w:sz="4" w:space="0"/>
              <w:right w:val="single" w:color="auto" w:sz="4" w:space="0"/>
            </w:tcBorders>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1000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200000</w:t>
            </w:r>
          </w:p>
        </w:tc>
        <w:tc>
          <w:tcPr>
            <w:tcW w:w="1678" w:type="dxa"/>
            <w:tcBorders>
              <w:top w:val="nil"/>
              <w:left w:val="nil"/>
              <w:bottom w:val="single" w:color="auto" w:sz="4" w:space="0"/>
              <w:right w:val="single" w:color="auto" w:sz="8" w:space="0"/>
            </w:tcBorders>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5000</w:t>
            </w:r>
            <w:r>
              <w:rPr>
                <w:rFonts w:hint="eastAsia" w:ascii="宋体" w:hAnsi="宋体" w:cs="宋体"/>
                <w:color w:val="auto"/>
                <w:kern w:val="0"/>
                <w:sz w:val="20"/>
                <w:highlight w:val="none"/>
              </w:rPr>
              <w:t>≤</w:t>
            </w:r>
            <w:r>
              <w:rPr>
                <w:rFonts w:ascii="宋体" w:hAnsi="宋体" w:cs="宋体"/>
                <w:color w:val="auto"/>
                <w:kern w:val="0"/>
                <w:sz w:val="20"/>
                <w:highlight w:val="none"/>
              </w:rPr>
              <w:t>Z</w:t>
            </w:r>
            <w:r>
              <w:rPr>
                <w:rFonts w:hint="eastAsia" w:ascii="宋体" w:hAnsi="宋体" w:cs="宋体"/>
                <w:color w:val="auto"/>
                <w:kern w:val="0"/>
                <w:sz w:val="20"/>
                <w:highlight w:val="none"/>
              </w:rPr>
              <w:t>＜</w:t>
            </w:r>
            <w:r>
              <w:rPr>
                <w:rFonts w:ascii="宋体" w:hAnsi="宋体" w:cs="宋体"/>
                <w:color w:val="auto"/>
                <w:kern w:val="0"/>
                <w:sz w:val="20"/>
                <w:highlight w:val="none"/>
              </w:rPr>
              <w:t>10000</w:t>
            </w:r>
          </w:p>
        </w:tc>
        <w:tc>
          <w:tcPr>
            <w:tcW w:w="1253" w:type="dxa"/>
            <w:tcBorders>
              <w:top w:val="nil"/>
              <w:left w:val="nil"/>
              <w:bottom w:val="single" w:color="auto" w:sz="4" w:space="0"/>
              <w:right w:val="single" w:color="auto" w:sz="4" w:space="0"/>
            </w:tcBorders>
            <w:vAlign w:val="center"/>
          </w:tcPr>
          <w:p>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495" w:type="dxa"/>
            <w:tcBorders>
              <w:top w:val="nil"/>
              <w:left w:val="nil"/>
              <w:bottom w:val="single" w:color="auto" w:sz="4" w:space="0"/>
              <w:right w:val="single" w:color="auto" w:sz="4" w:space="0"/>
            </w:tcBorders>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100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1000</w:t>
            </w:r>
          </w:p>
        </w:tc>
        <w:tc>
          <w:tcPr>
            <w:tcW w:w="1537" w:type="dxa"/>
            <w:tcBorders>
              <w:top w:val="nil"/>
              <w:left w:val="nil"/>
              <w:bottom w:val="single" w:color="auto" w:sz="4" w:space="0"/>
              <w:right w:val="single" w:color="auto" w:sz="8" w:space="0"/>
            </w:tcBorders>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2000</w:t>
            </w:r>
            <w:r>
              <w:rPr>
                <w:rFonts w:hint="eastAsia" w:ascii="宋体" w:hAnsi="宋体" w:cs="宋体"/>
                <w:color w:val="auto"/>
                <w:kern w:val="0"/>
                <w:sz w:val="20"/>
                <w:highlight w:val="none"/>
              </w:rPr>
              <w:t>≤</w:t>
            </w:r>
            <w:r>
              <w:rPr>
                <w:rFonts w:ascii="宋体" w:hAnsi="宋体" w:cs="宋体"/>
                <w:color w:val="auto"/>
                <w:kern w:val="0"/>
                <w:sz w:val="20"/>
                <w:highlight w:val="none"/>
              </w:rPr>
              <w:t>Z</w:t>
            </w:r>
            <w:r>
              <w:rPr>
                <w:rFonts w:hint="eastAsia" w:ascii="宋体" w:hAnsi="宋体" w:cs="宋体"/>
                <w:color w:val="auto"/>
                <w:kern w:val="0"/>
                <w:sz w:val="20"/>
                <w:highlight w:val="none"/>
              </w:rPr>
              <w:t>＜</w:t>
            </w:r>
            <w:r>
              <w:rPr>
                <w:rFonts w:ascii="宋体" w:hAnsi="宋体" w:cs="宋体"/>
                <w:color w:val="auto"/>
                <w:kern w:val="0"/>
                <w:sz w:val="20"/>
                <w:highlight w:val="none"/>
              </w:rPr>
              <w:t>5000</w:t>
            </w:r>
          </w:p>
        </w:tc>
        <w:tc>
          <w:tcPr>
            <w:tcW w:w="1298" w:type="dxa"/>
            <w:tcBorders>
              <w:top w:val="nil"/>
              <w:left w:val="nil"/>
              <w:bottom w:val="single" w:color="auto" w:sz="4" w:space="0"/>
              <w:right w:val="single" w:color="auto" w:sz="4" w:space="0"/>
            </w:tcBorders>
            <w:vAlign w:val="center"/>
          </w:tcPr>
          <w:p>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88" w:type="dxa"/>
            <w:tcBorders>
              <w:top w:val="nil"/>
              <w:left w:val="nil"/>
              <w:bottom w:val="single" w:color="auto" w:sz="4" w:space="0"/>
              <w:right w:val="single" w:color="auto" w:sz="4" w:space="0"/>
            </w:tcBorders>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100</w:t>
            </w:r>
          </w:p>
        </w:tc>
        <w:tc>
          <w:tcPr>
            <w:tcW w:w="1235" w:type="dxa"/>
            <w:tcBorders>
              <w:top w:val="nil"/>
              <w:left w:val="nil"/>
              <w:bottom w:val="single" w:color="auto" w:sz="4" w:space="0"/>
              <w:right w:val="single" w:color="auto" w:sz="8" w:space="0"/>
            </w:tcBorders>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Z</w:t>
            </w:r>
            <w:r>
              <w:rPr>
                <w:rFonts w:hint="eastAsia" w:ascii="宋体" w:hAnsi="宋体" w:cs="宋体"/>
                <w:color w:val="auto"/>
                <w:kern w:val="0"/>
                <w:sz w:val="20"/>
                <w:highlight w:val="none"/>
              </w:rPr>
              <w:t>＜</w:t>
            </w:r>
            <w:r>
              <w:rPr>
                <w:rFonts w:ascii="宋体" w:hAnsi="宋体" w:cs="宋体"/>
                <w:color w:val="auto"/>
                <w:kern w:val="0"/>
                <w:sz w:val="20"/>
                <w:highlight w:val="none"/>
              </w:rPr>
              <w:t>2000</w:t>
            </w:r>
          </w:p>
        </w:tc>
      </w:tr>
      <w:tr>
        <w:tblPrEx>
          <w:tblCellMar>
            <w:top w:w="0" w:type="dxa"/>
            <w:left w:w="108" w:type="dxa"/>
            <w:bottom w:w="0" w:type="dxa"/>
            <w:right w:w="108" w:type="dxa"/>
          </w:tblCellMar>
        </w:tblPrEx>
        <w:trPr>
          <w:gridAfter w:val="1"/>
          <w:wAfter w:w="11" w:type="dxa"/>
          <w:trHeight w:val="320" w:hRule="atLeast"/>
        </w:trPr>
        <w:tc>
          <w:tcPr>
            <w:tcW w:w="2004" w:type="dxa"/>
            <w:tcBorders>
              <w:top w:val="nil"/>
              <w:left w:val="single" w:color="auto" w:sz="8" w:space="0"/>
              <w:bottom w:val="single" w:color="auto" w:sz="4" w:space="0"/>
              <w:right w:val="single" w:color="auto" w:sz="8" w:space="0"/>
            </w:tcBorders>
            <w:vAlign w:val="bottom"/>
          </w:tcPr>
          <w:p>
            <w:pPr>
              <w:widowControl/>
              <w:jc w:val="left"/>
              <w:rPr>
                <w:rFonts w:ascii="宋体" w:hAnsi="宋体" w:cs="宋体"/>
                <w:color w:val="auto"/>
                <w:kern w:val="0"/>
                <w:sz w:val="20"/>
                <w:highlight w:val="none"/>
              </w:rPr>
            </w:pPr>
            <w:r>
              <w:rPr>
                <w:rFonts w:ascii="宋体" w:hAnsi="宋体" w:cs="宋体"/>
                <w:color w:val="auto"/>
                <w:kern w:val="0"/>
                <w:sz w:val="20"/>
                <w:highlight w:val="none"/>
              </w:rPr>
              <w:t>14</w:t>
            </w:r>
            <w:r>
              <w:rPr>
                <w:rFonts w:hint="eastAsia" w:ascii="宋体" w:hAnsi="宋体" w:cs="宋体"/>
                <w:color w:val="auto"/>
                <w:kern w:val="0"/>
                <w:sz w:val="20"/>
                <w:highlight w:val="none"/>
              </w:rPr>
              <w:t>、物业管理</w:t>
            </w:r>
          </w:p>
        </w:tc>
        <w:tc>
          <w:tcPr>
            <w:tcW w:w="1513" w:type="dxa"/>
            <w:tcBorders>
              <w:top w:val="nil"/>
              <w:left w:val="nil"/>
              <w:bottom w:val="single" w:color="auto" w:sz="4" w:space="0"/>
              <w:right w:val="single" w:color="auto" w:sz="4" w:space="0"/>
            </w:tcBorders>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300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1000</w:t>
            </w:r>
          </w:p>
        </w:tc>
        <w:tc>
          <w:tcPr>
            <w:tcW w:w="1780" w:type="dxa"/>
            <w:tcBorders>
              <w:top w:val="nil"/>
              <w:left w:val="nil"/>
              <w:bottom w:val="single" w:color="auto" w:sz="4" w:space="0"/>
              <w:right w:val="single" w:color="auto" w:sz="4" w:space="0"/>
            </w:tcBorders>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1000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5000</w:t>
            </w:r>
          </w:p>
        </w:tc>
        <w:tc>
          <w:tcPr>
            <w:tcW w:w="1678" w:type="dxa"/>
            <w:tcBorders>
              <w:top w:val="nil"/>
              <w:left w:val="nil"/>
              <w:bottom w:val="single" w:color="auto" w:sz="4" w:space="0"/>
              <w:right w:val="single" w:color="auto" w:sz="8" w:space="0"/>
            </w:tcBorders>
            <w:vAlign w:val="center"/>
          </w:tcPr>
          <w:p>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53" w:type="dxa"/>
            <w:tcBorders>
              <w:top w:val="nil"/>
              <w:left w:val="nil"/>
              <w:bottom w:val="single" w:color="auto" w:sz="4" w:space="0"/>
              <w:right w:val="single" w:color="auto" w:sz="4" w:space="0"/>
            </w:tcBorders>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100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300</w:t>
            </w:r>
          </w:p>
        </w:tc>
        <w:tc>
          <w:tcPr>
            <w:tcW w:w="1495" w:type="dxa"/>
            <w:tcBorders>
              <w:top w:val="nil"/>
              <w:left w:val="nil"/>
              <w:bottom w:val="single" w:color="auto" w:sz="4" w:space="0"/>
              <w:right w:val="single" w:color="auto" w:sz="4" w:space="0"/>
            </w:tcBorders>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500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1000</w:t>
            </w:r>
          </w:p>
        </w:tc>
        <w:tc>
          <w:tcPr>
            <w:tcW w:w="1537" w:type="dxa"/>
            <w:tcBorders>
              <w:top w:val="nil"/>
              <w:left w:val="nil"/>
              <w:bottom w:val="single" w:color="auto" w:sz="4" w:space="0"/>
              <w:right w:val="single" w:color="auto" w:sz="8" w:space="0"/>
            </w:tcBorders>
            <w:vAlign w:val="center"/>
          </w:tcPr>
          <w:p>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98" w:type="dxa"/>
            <w:tcBorders>
              <w:top w:val="nil"/>
              <w:left w:val="nil"/>
              <w:bottom w:val="single" w:color="auto" w:sz="4" w:space="0"/>
              <w:right w:val="single" w:color="auto" w:sz="4" w:space="0"/>
            </w:tcBorders>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100</w:t>
            </w:r>
          </w:p>
        </w:tc>
        <w:tc>
          <w:tcPr>
            <w:tcW w:w="1288" w:type="dxa"/>
            <w:tcBorders>
              <w:top w:val="nil"/>
              <w:left w:val="nil"/>
              <w:bottom w:val="single" w:color="auto" w:sz="4" w:space="0"/>
              <w:right w:val="single" w:color="auto" w:sz="4" w:space="0"/>
            </w:tcBorders>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500</w:t>
            </w:r>
          </w:p>
        </w:tc>
        <w:tc>
          <w:tcPr>
            <w:tcW w:w="1235" w:type="dxa"/>
            <w:tcBorders>
              <w:top w:val="nil"/>
              <w:left w:val="nil"/>
              <w:bottom w:val="single" w:color="auto" w:sz="4" w:space="0"/>
              <w:right w:val="single" w:color="auto" w:sz="8" w:space="0"/>
            </w:tcBorders>
            <w:vAlign w:val="center"/>
          </w:tcPr>
          <w:p>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r>
      <w:tr>
        <w:tblPrEx>
          <w:tblCellMar>
            <w:top w:w="0" w:type="dxa"/>
            <w:left w:w="108" w:type="dxa"/>
            <w:bottom w:w="0" w:type="dxa"/>
            <w:right w:w="108" w:type="dxa"/>
          </w:tblCellMar>
        </w:tblPrEx>
        <w:trPr>
          <w:gridAfter w:val="1"/>
          <w:wAfter w:w="11" w:type="dxa"/>
          <w:trHeight w:val="320" w:hRule="atLeast"/>
        </w:trPr>
        <w:tc>
          <w:tcPr>
            <w:tcW w:w="2004" w:type="dxa"/>
            <w:tcBorders>
              <w:top w:val="nil"/>
              <w:left w:val="single" w:color="auto" w:sz="8" w:space="0"/>
              <w:bottom w:val="single" w:color="auto" w:sz="4" w:space="0"/>
              <w:right w:val="single" w:color="auto" w:sz="8" w:space="0"/>
            </w:tcBorders>
            <w:vAlign w:val="bottom"/>
          </w:tcPr>
          <w:p>
            <w:pPr>
              <w:widowControl/>
              <w:jc w:val="left"/>
              <w:rPr>
                <w:rFonts w:ascii="宋体" w:hAnsi="宋体" w:cs="宋体"/>
                <w:color w:val="auto"/>
                <w:kern w:val="0"/>
                <w:sz w:val="20"/>
                <w:highlight w:val="none"/>
              </w:rPr>
            </w:pPr>
            <w:r>
              <w:rPr>
                <w:rFonts w:ascii="宋体" w:hAnsi="宋体" w:cs="宋体"/>
                <w:color w:val="auto"/>
                <w:kern w:val="0"/>
                <w:sz w:val="20"/>
                <w:highlight w:val="none"/>
              </w:rPr>
              <w:t>15</w:t>
            </w:r>
            <w:r>
              <w:rPr>
                <w:rFonts w:hint="eastAsia" w:ascii="宋体" w:hAnsi="宋体" w:cs="宋体"/>
                <w:color w:val="auto"/>
                <w:kern w:val="0"/>
                <w:sz w:val="20"/>
                <w:highlight w:val="none"/>
              </w:rPr>
              <w:t>、租赁和商务服务业</w:t>
            </w:r>
          </w:p>
        </w:tc>
        <w:tc>
          <w:tcPr>
            <w:tcW w:w="1513" w:type="dxa"/>
            <w:tcBorders>
              <w:top w:val="nil"/>
              <w:left w:val="nil"/>
              <w:bottom w:val="single" w:color="auto" w:sz="4" w:space="0"/>
              <w:right w:val="single" w:color="auto" w:sz="4" w:space="0"/>
            </w:tcBorders>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100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300</w:t>
            </w:r>
          </w:p>
        </w:tc>
        <w:tc>
          <w:tcPr>
            <w:tcW w:w="1780" w:type="dxa"/>
            <w:tcBorders>
              <w:top w:val="nil"/>
              <w:left w:val="nil"/>
              <w:bottom w:val="single" w:color="auto" w:sz="4" w:space="0"/>
              <w:right w:val="single" w:color="auto" w:sz="4" w:space="0"/>
            </w:tcBorders>
            <w:vAlign w:val="center"/>
          </w:tcPr>
          <w:p>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678" w:type="dxa"/>
            <w:tcBorders>
              <w:top w:val="nil"/>
              <w:left w:val="nil"/>
              <w:bottom w:val="single" w:color="auto" w:sz="4" w:space="0"/>
              <w:right w:val="single" w:color="auto" w:sz="8" w:space="0"/>
            </w:tcBorders>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8000</w:t>
            </w:r>
            <w:r>
              <w:rPr>
                <w:rFonts w:hint="eastAsia" w:ascii="宋体" w:hAnsi="宋体" w:cs="宋体"/>
                <w:color w:val="auto"/>
                <w:kern w:val="0"/>
                <w:sz w:val="20"/>
                <w:highlight w:val="none"/>
              </w:rPr>
              <w:t>≤</w:t>
            </w:r>
            <w:r>
              <w:rPr>
                <w:rFonts w:ascii="宋体" w:hAnsi="宋体" w:cs="宋体"/>
                <w:color w:val="auto"/>
                <w:kern w:val="0"/>
                <w:sz w:val="20"/>
                <w:highlight w:val="none"/>
              </w:rPr>
              <w:t>Z</w:t>
            </w:r>
            <w:r>
              <w:rPr>
                <w:rFonts w:hint="eastAsia" w:ascii="宋体" w:hAnsi="宋体" w:cs="宋体"/>
                <w:color w:val="auto"/>
                <w:kern w:val="0"/>
                <w:sz w:val="20"/>
                <w:highlight w:val="none"/>
              </w:rPr>
              <w:t>＜</w:t>
            </w:r>
            <w:r>
              <w:rPr>
                <w:rFonts w:ascii="宋体" w:hAnsi="宋体" w:cs="宋体"/>
                <w:color w:val="auto"/>
                <w:kern w:val="0"/>
                <w:sz w:val="20"/>
                <w:highlight w:val="none"/>
              </w:rPr>
              <w:t>120000</w:t>
            </w:r>
          </w:p>
        </w:tc>
        <w:tc>
          <w:tcPr>
            <w:tcW w:w="1253" w:type="dxa"/>
            <w:tcBorders>
              <w:top w:val="nil"/>
              <w:left w:val="nil"/>
              <w:bottom w:val="single" w:color="auto" w:sz="4" w:space="0"/>
              <w:right w:val="single" w:color="auto" w:sz="4" w:space="0"/>
            </w:tcBorders>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10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100</w:t>
            </w:r>
          </w:p>
        </w:tc>
        <w:tc>
          <w:tcPr>
            <w:tcW w:w="1495" w:type="dxa"/>
            <w:tcBorders>
              <w:top w:val="nil"/>
              <w:left w:val="nil"/>
              <w:bottom w:val="single" w:color="auto" w:sz="4" w:space="0"/>
              <w:right w:val="single" w:color="auto" w:sz="4" w:space="0"/>
            </w:tcBorders>
            <w:vAlign w:val="center"/>
          </w:tcPr>
          <w:p>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537" w:type="dxa"/>
            <w:tcBorders>
              <w:top w:val="nil"/>
              <w:left w:val="nil"/>
              <w:bottom w:val="single" w:color="auto" w:sz="4" w:space="0"/>
              <w:right w:val="single" w:color="auto" w:sz="8" w:space="0"/>
            </w:tcBorders>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 xml:space="preserve"> 100</w:t>
            </w:r>
            <w:r>
              <w:rPr>
                <w:rFonts w:hint="eastAsia" w:ascii="宋体" w:hAnsi="宋体" w:cs="宋体"/>
                <w:color w:val="auto"/>
                <w:kern w:val="0"/>
                <w:sz w:val="20"/>
                <w:highlight w:val="none"/>
              </w:rPr>
              <w:t>≤</w:t>
            </w:r>
            <w:r>
              <w:rPr>
                <w:rFonts w:ascii="宋体" w:hAnsi="宋体" w:cs="宋体"/>
                <w:color w:val="auto"/>
                <w:kern w:val="0"/>
                <w:sz w:val="20"/>
                <w:highlight w:val="none"/>
              </w:rPr>
              <w:t>Z</w:t>
            </w:r>
            <w:r>
              <w:rPr>
                <w:rFonts w:hint="eastAsia" w:ascii="宋体" w:hAnsi="宋体" w:cs="宋体"/>
                <w:color w:val="auto"/>
                <w:kern w:val="0"/>
                <w:sz w:val="20"/>
                <w:highlight w:val="none"/>
              </w:rPr>
              <w:t>＜</w:t>
            </w:r>
            <w:r>
              <w:rPr>
                <w:rFonts w:ascii="宋体" w:hAnsi="宋体" w:cs="宋体"/>
                <w:color w:val="auto"/>
                <w:kern w:val="0"/>
                <w:sz w:val="20"/>
                <w:highlight w:val="none"/>
              </w:rPr>
              <w:t>8000</w:t>
            </w:r>
          </w:p>
        </w:tc>
        <w:tc>
          <w:tcPr>
            <w:tcW w:w="1298" w:type="dxa"/>
            <w:tcBorders>
              <w:top w:val="nil"/>
              <w:left w:val="nil"/>
              <w:bottom w:val="single" w:color="auto" w:sz="4" w:space="0"/>
              <w:right w:val="single" w:color="auto" w:sz="4" w:space="0"/>
            </w:tcBorders>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10</w:t>
            </w:r>
          </w:p>
        </w:tc>
        <w:tc>
          <w:tcPr>
            <w:tcW w:w="1288" w:type="dxa"/>
            <w:tcBorders>
              <w:top w:val="nil"/>
              <w:left w:val="nil"/>
              <w:bottom w:val="single" w:color="auto" w:sz="4" w:space="0"/>
              <w:right w:val="single" w:color="auto" w:sz="4" w:space="0"/>
            </w:tcBorders>
            <w:vAlign w:val="center"/>
          </w:tcPr>
          <w:p>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35" w:type="dxa"/>
            <w:tcBorders>
              <w:top w:val="nil"/>
              <w:left w:val="nil"/>
              <w:bottom w:val="single" w:color="auto" w:sz="4" w:space="0"/>
              <w:right w:val="single" w:color="auto" w:sz="8" w:space="0"/>
            </w:tcBorders>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Z</w:t>
            </w:r>
            <w:r>
              <w:rPr>
                <w:rFonts w:hint="eastAsia" w:ascii="宋体" w:hAnsi="宋体" w:cs="宋体"/>
                <w:color w:val="auto"/>
                <w:kern w:val="0"/>
                <w:sz w:val="20"/>
                <w:highlight w:val="none"/>
              </w:rPr>
              <w:t>＜</w:t>
            </w:r>
            <w:r>
              <w:rPr>
                <w:rFonts w:ascii="宋体" w:hAnsi="宋体" w:cs="宋体"/>
                <w:color w:val="auto"/>
                <w:kern w:val="0"/>
                <w:sz w:val="20"/>
                <w:highlight w:val="none"/>
              </w:rPr>
              <w:t>100</w:t>
            </w:r>
          </w:p>
        </w:tc>
      </w:tr>
      <w:tr>
        <w:tblPrEx>
          <w:tblCellMar>
            <w:top w:w="0" w:type="dxa"/>
            <w:left w:w="108" w:type="dxa"/>
            <w:bottom w:w="0" w:type="dxa"/>
            <w:right w:w="108" w:type="dxa"/>
          </w:tblCellMar>
        </w:tblPrEx>
        <w:trPr>
          <w:gridAfter w:val="1"/>
          <w:wAfter w:w="11" w:type="dxa"/>
          <w:trHeight w:val="320" w:hRule="atLeast"/>
        </w:trPr>
        <w:tc>
          <w:tcPr>
            <w:tcW w:w="2004" w:type="dxa"/>
            <w:tcBorders>
              <w:top w:val="nil"/>
              <w:left w:val="single" w:color="auto" w:sz="8" w:space="0"/>
              <w:bottom w:val="single" w:color="auto" w:sz="8" w:space="0"/>
              <w:right w:val="single" w:color="auto" w:sz="8" w:space="0"/>
            </w:tcBorders>
            <w:vAlign w:val="bottom"/>
          </w:tcPr>
          <w:p>
            <w:pPr>
              <w:widowControl/>
              <w:jc w:val="left"/>
              <w:rPr>
                <w:rFonts w:ascii="宋体" w:hAnsi="宋体" w:cs="宋体"/>
                <w:color w:val="auto"/>
                <w:kern w:val="0"/>
                <w:sz w:val="20"/>
                <w:highlight w:val="none"/>
              </w:rPr>
            </w:pPr>
            <w:r>
              <w:rPr>
                <w:rFonts w:ascii="宋体" w:hAnsi="宋体" w:cs="宋体"/>
                <w:color w:val="auto"/>
                <w:kern w:val="0"/>
                <w:sz w:val="20"/>
                <w:highlight w:val="none"/>
              </w:rPr>
              <w:t>16</w:t>
            </w:r>
            <w:r>
              <w:rPr>
                <w:rFonts w:hint="eastAsia" w:ascii="宋体" w:hAnsi="宋体" w:cs="宋体"/>
                <w:color w:val="auto"/>
                <w:kern w:val="0"/>
                <w:sz w:val="20"/>
                <w:highlight w:val="none"/>
              </w:rPr>
              <w:t>、其他未列明行业</w:t>
            </w:r>
          </w:p>
        </w:tc>
        <w:tc>
          <w:tcPr>
            <w:tcW w:w="1513" w:type="dxa"/>
            <w:tcBorders>
              <w:top w:val="nil"/>
              <w:left w:val="nil"/>
              <w:bottom w:val="single" w:color="auto" w:sz="8" w:space="0"/>
              <w:right w:val="single" w:color="auto" w:sz="4" w:space="0"/>
            </w:tcBorders>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100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300</w:t>
            </w:r>
          </w:p>
        </w:tc>
        <w:tc>
          <w:tcPr>
            <w:tcW w:w="1780" w:type="dxa"/>
            <w:tcBorders>
              <w:top w:val="nil"/>
              <w:left w:val="nil"/>
              <w:bottom w:val="single" w:color="auto" w:sz="8" w:space="0"/>
              <w:right w:val="single" w:color="auto" w:sz="4" w:space="0"/>
            </w:tcBorders>
            <w:vAlign w:val="center"/>
          </w:tcPr>
          <w:p>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678" w:type="dxa"/>
            <w:tcBorders>
              <w:top w:val="nil"/>
              <w:left w:val="nil"/>
              <w:bottom w:val="single" w:color="auto" w:sz="8" w:space="0"/>
              <w:right w:val="single" w:color="auto" w:sz="8" w:space="0"/>
            </w:tcBorders>
            <w:vAlign w:val="center"/>
          </w:tcPr>
          <w:p>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53" w:type="dxa"/>
            <w:tcBorders>
              <w:top w:val="nil"/>
              <w:left w:val="nil"/>
              <w:bottom w:val="single" w:color="auto" w:sz="8" w:space="0"/>
              <w:right w:val="single" w:color="auto" w:sz="4" w:space="0"/>
            </w:tcBorders>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10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100</w:t>
            </w:r>
          </w:p>
        </w:tc>
        <w:tc>
          <w:tcPr>
            <w:tcW w:w="1495" w:type="dxa"/>
            <w:tcBorders>
              <w:top w:val="nil"/>
              <w:left w:val="nil"/>
              <w:bottom w:val="single" w:color="auto" w:sz="8" w:space="0"/>
              <w:right w:val="single" w:color="auto" w:sz="4" w:space="0"/>
            </w:tcBorders>
            <w:vAlign w:val="center"/>
          </w:tcPr>
          <w:p>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537" w:type="dxa"/>
            <w:tcBorders>
              <w:top w:val="nil"/>
              <w:left w:val="nil"/>
              <w:bottom w:val="single" w:color="auto" w:sz="8" w:space="0"/>
              <w:right w:val="single" w:color="auto" w:sz="8" w:space="0"/>
            </w:tcBorders>
            <w:vAlign w:val="center"/>
          </w:tcPr>
          <w:p>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98" w:type="dxa"/>
            <w:tcBorders>
              <w:top w:val="nil"/>
              <w:left w:val="nil"/>
              <w:bottom w:val="single" w:color="auto" w:sz="8" w:space="0"/>
              <w:right w:val="single" w:color="auto" w:sz="4" w:space="0"/>
            </w:tcBorders>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10</w:t>
            </w:r>
          </w:p>
        </w:tc>
        <w:tc>
          <w:tcPr>
            <w:tcW w:w="1288" w:type="dxa"/>
            <w:tcBorders>
              <w:top w:val="nil"/>
              <w:left w:val="nil"/>
              <w:bottom w:val="single" w:color="auto" w:sz="8" w:space="0"/>
              <w:right w:val="single" w:color="auto" w:sz="4" w:space="0"/>
            </w:tcBorders>
            <w:vAlign w:val="center"/>
          </w:tcPr>
          <w:p>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35" w:type="dxa"/>
            <w:tcBorders>
              <w:top w:val="nil"/>
              <w:left w:val="nil"/>
              <w:bottom w:val="single" w:color="auto" w:sz="8" w:space="0"/>
              <w:right w:val="single" w:color="auto" w:sz="8" w:space="0"/>
            </w:tcBorders>
            <w:vAlign w:val="center"/>
          </w:tcPr>
          <w:p>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r>
      <w:tr>
        <w:tblPrEx>
          <w:tblCellMar>
            <w:top w:w="0" w:type="dxa"/>
            <w:left w:w="108" w:type="dxa"/>
            <w:bottom w:w="0" w:type="dxa"/>
            <w:right w:w="108" w:type="dxa"/>
          </w:tblCellMar>
        </w:tblPrEx>
        <w:trPr>
          <w:trHeight w:val="1013" w:hRule="atLeast"/>
        </w:trPr>
        <w:tc>
          <w:tcPr>
            <w:tcW w:w="15092" w:type="dxa"/>
            <w:gridSpan w:val="11"/>
            <w:tcBorders>
              <w:top w:val="nil"/>
              <w:left w:val="nil"/>
              <w:bottom w:val="nil"/>
              <w:right w:val="nil"/>
            </w:tcBorders>
            <w:vAlign w:val="bottom"/>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说明　</w:t>
            </w:r>
            <w:r>
              <w:rPr>
                <w:rFonts w:ascii="宋体" w:hAnsi="宋体" w:cs="宋体"/>
                <w:color w:val="auto"/>
                <w:kern w:val="0"/>
                <w:sz w:val="20"/>
                <w:highlight w:val="none"/>
              </w:rPr>
              <w:t>1</w:t>
            </w:r>
            <w:r>
              <w:rPr>
                <w:rFonts w:hint="eastAsia" w:ascii="宋体" w:hAnsi="宋体" w:cs="宋体"/>
                <w:color w:val="auto"/>
                <w:kern w:val="0"/>
                <w:sz w:val="20"/>
                <w:highlight w:val="none"/>
              </w:rPr>
              <w:t>、企业类型的划分以统计部门的统计数据为依据。</w:t>
            </w:r>
          </w:p>
          <w:p>
            <w:pPr>
              <w:widowControl/>
              <w:ind w:firstLine="600" w:firstLineChars="300"/>
              <w:jc w:val="left"/>
              <w:rPr>
                <w:rFonts w:ascii="宋体" w:hAnsi="宋体" w:cs="宋体"/>
                <w:color w:val="auto"/>
                <w:kern w:val="0"/>
                <w:sz w:val="20"/>
                <w:highlight w:val="none"/>
              </w:rPr>
            </w:pPr>
            <w:r>
              <w:rPr>
                <w:rFonts w:ascii="宋体" w:hAnsi="宋体" w:cs="宋体"/>
                <w:color w:val="auto"/>
                <w:kern w:val="0"/>
                <w:sz w:val="20"/>
                <w:highlight w:val="none"/>
              </w:rPr>
              <w:t>2</w:t>
            </w:r>
            <w:r>
              <w:rPr>
                <w:rFonts w:hint="eastAsia" w:ascii="宋体" w:hAnsi="宋体" w:cs="宋体"/>
                <w:color w:val="auto"/>
                <w:kern w:val="0"/>
                <w:sz w:val="20"/>
                <w:highlight w:val="none"/>
              </w:rPr>
              <w:t>、个体工商户和本规定以外的行业，参照本规定进行划型。</w:t>
            </w:r>
          </w:p>
          <w:p>
            <w:pPr>
              <w:widowControl/>
              <w:ind w:firstLine="600" w:firstLineChars="300"/>
              <w:jc w:val="left"/>
              <w:rPr>
                <w:rFonts w:ascii="宋体" w:hAnsi="宋体" w:cs="宋体"/>
                <w:color w:val="auto"/>
                <w:kern w:val="0"/>
                <w:sz w:val="20"/>
                <w:highlight w:val="none"/>
              </w:rPr>
            </w:pPr>
            <w:r>
              <w:rPr>
                <w:rFonts w:ascii="宋体" w:hAnsi="宋体" w:cs="宋体"/>
                <w:color w:val="auto"/>
                <w:kern w:val="0"/>
                <w:sz w:val="20"/>
                <w:highlight w:val="none"/>
              </w:rPr>
              <w:t>3</w:t>
            </w:r>
            <w:r>
              <w:rPr>
                <w:rFonts w:hint="eastAsia" w:ascii="宋体" w:hAnsi="宋体" w:cs="宋体"/>
                <w:color w:val="auto"/>
                <w:kern w:val="0"/>
                <w:sz w:val="20"/>
                <w:highlight w:val="none"/>
              </w:rPr>
              <w:t>、本规定的中型企业标准上限即为大型企业标准的下限。</w:t>
            </w:r>
          </w:p>
        </w:tc>
      </w:tr>
    </w:tbl>
    <w:p>
      <w:pPr>
        <w:pStyle w:val="24"/>
        <w:tabs>
          <w:tab w:val="left" w:pos="811"/>
        </w:tabs>
        <w:spacing w:line="360" w:lineRule="auto"/>
        <w:jc w:val="left"/>
        <w:rPr>
          <w:rFonts w:hAnsi="宋体"/>
          <w:color w:val="auto"/>
          <w:sz w:val="36"/>
          <w:szCs w:val="36"/>
          <w:highlight w:val="none"/>
        </w:rPr>
      </w:pPr>
    </w:p>
    <w:sectPr>
      <w:pgSz w:w="16838" w:h="11906" w:orient="landscape"/>
      <w:pgMar w:top="526" w:right="1440" w:bottom="433" w:left="1440" w:header="737" w:footer="624"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书宋简体">
    <w:altName w:val="宋体"/>
    <w:panose1 w:val="00000000000000000000"/>
    <w:charset w:val="86"/>
    <w:family w:val="auto"/>
    <w:pitch w:val="default"/>
    <w:sig w:usb0="00000000" w:usb1="00000000" w:usb2="00000010" w:usb3="00000000" w:csb0="00040000" w:csb1="00000000"/>
  </w:font>
  <w:font w:name="幼圆">
    <w:altName w:val="宋体"/>
    <w:panose1 w:val="02010509060101010101"/>
    <w:charset w:val="86"/>
    <w:family w:val="modern"/>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Microsoft YaHei UI">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Arial Black">
    <w:panose1 w:val="020B0A04020102020204"/>
    <w:charset w:val="00"/>
    <w:family w:val="swiss"/>
    <w:pitch w:val="default"/>
    <w:sig w:usb0="A00002AF" w:usb1="400078FB" w:usb2="00000000" w:usb3="00000000" w:csb0="6000009F" w:csb1="DFD70000"/>
  </w:font>
  <w:font w:name="Univers">
    <w:panose1 w:val="020B0603020202030204"/>
    <w:charset w:val="00"/>
    <w:family w:val="swiss"/>
    <w:pitch w:val="default"/>
    <w:sig w:usb0="00000007" w:usb1="00000000" w:usb2="00000000" w:usb3="00000000" w:csb0="00000093" w:csb1="00000000"/>
  </w:font>
  <w:font w:name="楷体_GB2312">
    <w:altName w:val="楷体"/>
    <w:panose1 w:val="02010609030101010101"/>
    <w:charset w:val="86"/>
    <w:family w:val="modern"/>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Verdana">
    <w:panose1 w:val="020B0604030504040204"/>
    <w:charset w:val="00"/>
    <w:family w:val="swiss"/>
    <w:pitch w:val="default"/>
    <w:sig w:usb0="A00006FF" w:usb1="4000205B" w:usb2="00000010" w:usb3="00000000" w:csb0="2000019F" w:csb1="00000000"/>
  </w:font>
  <w:font w:name="BatangChe">
    <w:altName w:val="Malgun Gothic"/>
    <w:panose1 w:val="02030609000101010101"/>
    <w:charset w:val="81"/>
    <w:family w:val="modern"/>
    <w:pitch w:val="default"/>
    <w:sig w:usb0="00000000" w:usb1="00000000" w:usb2="00000030" w:usb3="00000000" w:csb0="400800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framePr w:wrap="around" w:vAnchor="text" w:hAnchor="margin" w:xAlign="center" w:y="1"/>
      <w:rPr>
        <w:rStyle w:val="49"/>
      </w:rPr>
    </w:pPr>
    <w:r>
      <w:fldChar w:fldCharType="begin"/>
    </w:r>
    <w:r>
      <w:rPr>
        <w:rStyle w:val="49"/>
      </w:rPr>
      <w:instrText xml:space="preserve">PAGE  </w:instrText>
    </w:r>
    <w:r>
      <w:fldChar w:fldCharType="end"/>
    </w:r>
  </w:p>
  <w:p>
    <w:pPr>
      <w:pStyle w:val="2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7"/>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7"/>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7"/>
                          </w:pPr>
                          <w:r>
                            <w:fldChar w:fldCharType="begin"/>
                          </w:r>
                          <w:r>
                            <w:instrText xml:space="preserve"> PAGE  \* MERGEFORMAT </w:instrText>
                          </w:r>
                          <w:r>
                            <w:fldChar w:fldCharType="separate"/>
                          </w:r>
                          <w:r>
                            <w:t>27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7"/>
                    </w:pPr>
                    <w:r>
                      <w:fldChar w:fldCharType="begin"/>
                    </w:r>
                    <w:r>
                      <w:instrText xml:space="preserve"> PAGE  \* MERGEFORMAT </w:instrText>
                    </w:r>
                    <w:r>
                      <w:fldChar w:fldCharType="separate"/>
                    </w:r>
                    <w:r>
                      <w:t>27</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7"/>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27"/>
                    </w:pPr>
                    <w:r>
                      <w:fldChar w:fldCharType="begin"/>
                    </w:r>
                    <w:r>
                      <w:instrText xml:space="preserve"> PAGE  \* MERGEFORMAT </w:instrText>
                    </w:r>
                    <w:r>
                      <w:fldChar w:fldCharType="separate"/>
                    </w:r>
                    <w:r>
                      <w:t>42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Bdr>
        <w:bottom w:val="none" w:color="auto" w:sz="0" w:space="0"/>
      </w:pBdr>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Bdr>
        <w:bottom w:val="none" w:color="auto" w:sz="0" w:space="0"/>
      </w:pBdr>
      <w:jc w:val="both"/>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Bdr>
        <w:bottom w:val="none" w:color="auto" w:sz="0" w:space="0"/>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1929EF"/>
    <w:multiLevelType w:val="singleLevel"/>
    <w:tmpl w:val="9E1929EF"/>
    <w:lvl w:ilvl="0" w:tentative="0">
      <w:start w:val="1"/>
      <w:numFmt w:val="decimal"/>
      <w:suff w:val="space"/>
      <w:lvlText w:val="%1."/>
      <w:lvlJc w:val="left"/>
    </w:lvl>
  </w:abstractNum>
  <w:abstractNum w:abstractNumId="1">
    <w:nsid w:val="CF3922A1"/>
    <w:multiLevelType w:val="singleLevel"/>
    <w:tmpl w:val="CF3922A1"/>
    <w:lvl w:ilvl="0" w:tentative="0">
      <w:start w:val="1"/>
      <w:numFmt w:val="decimal"/>
      <w:suff w:val="nothing"/>
      <w:lvlText w:val="%1、"/>
      <w:lvlJc w:val="left"/>
    </w:lvl>
  </w:abstractNum>
  <w:abstractNum w:abstractNumId="2">
    <w:nsid w:val="54F403B5"/>
    <w:multiLevelType w:val="singleLevel"/>
    <w:tmpl w:val="54F403B5"/>
    <w:lvl w:ilvl="0" w:tentative="0">
      <w:start w:val="1"/>
      <w:numFmt w:val="chineseCounting"/>
      <w:suff w:val="nothing"/>
      <w:lvlText w:val="%1、"/>
      <w:lvlJc w:val="left"/>
      <w:rPr>
        <w:rFonts w:cs="Times New Roman"/>
      </w:rPr>
    </w:lvl>
  </w:abstractNum>
  <w:abstractNum w:abstractNumId="3">
    <w:nsid w:val="557FD3DA"/>
    <w:multiLevelType w:val="singleLevel"/>
    <w:tmpl w:val="557FD3DA"/>
    <w:lvl w:ilvl="0" w:tentative="0">
      <w:start w:val="3"/>
      <w:numFmt w:val="chineseCounting"/>
      <w:suff w:val="nothing"/>
      <w:lvlText w:val="%1、"/>
      <w:lvlJc w:val="left"/>
      <w:rPr>
        <w:rFonts w:cs="Times New Roman"/>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NotTrackMoves/>
  <w:documentProtection w:enforcement="0"/>
  <w:defaultTabStop w:val="425"/>
  <w:drawingGridHorizontalSpacing w:val="105"/>
  <w:drawingGridVerticalSpacing w:val="285"/>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llNmMzNjU5MWRjYzg4M2Q1OTM3MmYwZDVhNzZhMTIifQ=="/>
  </w:docVars>
  <w:rsids>
    <w:rsidRoot w:val="00D719E6"/>
    <w:rsid w:val="000010C9"/>
    <w:rsid w:val="00001728"/>
    <w:rsid w:val="00001A82"/>
    <w:rsid w:val="00002288"/>
    <w:rsid w:val="00002B25"/>
    <w:rsid w:val="00003757"/>
    <w:rsid w:val="0000377D"/>
    <w:rsid w:val="000037AD"/>
    <w:rsid w:val="0000380B"/>
    <w:rsid w:val="00003965"/>
    <w:rsid w:val="000039EB"/>
    <w:rsid w:val="00003E11"/>
    <w:rsid w:val="00005AD2"/>
    <w:rsid w:val="00007D74"/>
    <w:rsid w:val="00007FB4"/>
    <w:rsid w:val="00010292"/>
    <w:rsid w:val="00011313"/>
    <w:rsid w:val="000117A8"/>
    <w:rsid w:val="00011A31"/>
    <w:rsid w:val="00011D37"/>
    <w:rsid w:val="00012585"/>
    <w:rsid w:val="00012F90"/>
    <w:rsid w:val="00013356"/>
    <w:rsid w:val="00013568"/>
    <w:rsid w:val="00013D65"/>
    <w:rsid w:val="0001464E"/>
    <w:rsid w:val="0001475D"/>
    <w:rsid w:val="00014763"/>
    <w:rsid w:val="000147A6"/>
    <w:rsid w:val="000147E2"/>
    <w:rsid w:val="00017165"/>
    <w:rsid w:val="000171FF"/>
    <w:rsid w:val="00020A93"/>
    <w:rsid w:val="000212AE"/>
    <w:rsid w:val="000217E4"/>
    <w:rsid w:val="00022DC6"/>
    <w:rsid w:val="00023D2D"/>
    <w:rsid w:val="00023ED9"/>
    <w:rsid w:val="00024548"/>
    <w:rsid w:val="00025119"/>
    <w:rsid w:val="0002570D"/>
    <w:rsid w:val="00026033"/>
    <w:rsid w:val="00026061"/>
    <w:rsid w:val="00026E97"/>
    <w:rsid w:val="0002709D"/>
    <w:rsid w:val="0002795F"/>
    <w:rsid w:val="00030242"/>
    <w:rsid w:val="00032826"/>
    <w:rsid w:val="000328FE"/>
    <w:rsid w:val="0003306F"/>
    <w:rsid w:val="00034204"/>
    <w:rsid w:val="000344B9"/>
    <w:rsid w:val="00034785"/>
    <w:rsid w:val="00035959"/>
    <w:rsid w:val="00035DAE"/>
    <w:rsid w:val="00035E56"/>
    <w:rsid w:val="0003725C"/>
    <w:rsid w:val="000378FE"/>
    <w:rsid w:val="00037CE4"/>
    <w:rsid w:val="00040C6E"/>
    <w:rsid w:val="000414C4"/>
    <w:rsid w:val="00041A39"/>
    <w:rsid w:val="00041B3B"/>
    <w:rsid w:val="00042B3F"/>
    <w:rsid w:val="00043099"/>
    <w:rsid w:val="00043143"/>
    <w:rsid w:val="00043490"/>
    <w:rsid w:val="00043715"/>
    <w:rsid w:val="000437D4"/>
    <w:rsid w:val="00044435"/>
    <w:rsid w:val="00044C2D"/>
    <w:rsid w:val="00045CE3"/>
    <w:rsid w:val="00046F89"/>
    <w:rsid w:val="00047990"/>
    <w:rsid w:val="00050357"/>
    <w:rsid w:val="000510EC"/>
    <w:rsid w:val="00051226"/>
    <w:rsid w:val="00052035"/>
    <w:rsid w:val="00052187"/>
    <w:rsid w:val="000546E4"/>
    <w:rsid w:val="00054AD8"/>
    <w:rsid w:val="00054D7E"/>
    <w:rsid w:val="000555EE"/>
    <w:rsid w:val="00055A3D"/>
    <w:rsid w:val="000564BB"/>
    <w:rsid w:val="00056B01"/>
    <w:rsid w:val="00056DC8"/>
    <w:rsid w:val="00056E86"/>
    <w:rsid w:val="00056F94"/>
    <w:rsid w:val="00057D5B"/>
    <w:rsid w:val="00060BAC"/>
    <w:rsid w:val="00060E06"/>
    <w:rsid w:val="00060FB1"/>
    <w:rsid w:val="00061341"/>
    <w:rsid w:val="000613FD"/>
    <w:rsid w:val="000617D3"/>
    <w:rsid w:val="00061A87"/>
    <w:rsid w:val="00063327"/>
    <w:rsid w:val="00064121"/>
    <w:rsid w:val="00064AF3"/>
    <w:rsid w:val="00065622"/>
    <w:rsid w:val="00065626"/>
    <w:rsid w:val="000675B4"/>
    <w:rsid w:val="0007088F"/>
    <w:rsid w:val="0007129B"/>
    <w:rsid w:val="00071AB2"/>
    <w:rsid w:val="000726A2"/>
    <w:rsid w:val="00073B80"/>
    <w:rsid w:val="00074517"/>
    <w:rsid w:val="00074FCC"/>
    <w:rsid w:val="000751CE"/>
    <w:rsid w:val="000763D8"/>
    <w:rsid w:val="000766AD"/>
    <w:rsid w:val="00076EAC"/>
    <w:rsid w:val="000770AD"/>
    <w:rsid w:val="00077864"/>
    <w:rsid w:val="00077C69"/>
    <w:rsid w:val="00077F66"/>
    <w:rsid w:val="00077FAF"/>
    <w:rsid w:val="0008009C"/>
    <w:rsid w:val="000816EB"/>
    <w:rsid w:val="00081DAC"/>
    <w:rsid w:val="0008275C"/>
    <w:rsid w:val="00083095"/>
    <w:rsid w:val="00083641"/>
    <w:rsid w:val="00083CA0"/>
    <w:rsid w:val="0008426D"/>
    <w:rsid w:val="000846B2"/>
    <w:rsid w:val="0008644B"/>
    <w:rsid w:val="00086CB0"/>
    <w:rsid w:val="000876CB"/>
    <w:rsid w:val="00087BC6"/>
    <w:rsid w:val="00087E79"/>
    <w:rsid w:val="0009066F"/>
    <w:rsid w:val="00090836"/>
    <w:rsid w:val="000912BA"/>
    <w:rsid w:val="00091A35"/>
    <w:rsid w:val="000923F0"/>
    <w:rsid w:val="000941D6"/>
    <w:rsid w:val="000945F2"/>
    <w:rsid w:val="00096587"/>
    <w:rsid w:val="00096C6C"/>
    <w:rsid w:val="00097F5A"/>
    <w:rsid w:val="000A01C4"/>
    <w:rsid w:val="000A0531"/>
    <w:rsid w:val="000A0A04"/>
    <w:rsid w:val="000A117F"/>
    <w:rsid w:val="000A2586"/>
    <w:rsid w:val="000A2835"/>
    <w:rsid w:val="000A387A"/>
    <w:rsid w:val="000A3CD8"/>
    <w:rsid w:val="000A40F1"/>
    <w:rsid w:val="000A5C01"/>
    <w:rsid w:val="000B01B7"/>
    <w:rsid w:val="000B0BA5"/>
    <w:rsid w:val="000B1619"/>
    <w:rsid w:val="000B1B5F"/>
    <w:rsid w:val="000B1DB7"/>
    <w:rsid w:val="000B2117"/>
    <w:rsid w:val="000B2A47"/>
    <w:rsid w:val="000B32DD"/>
    <w:rsid w:val="000B494B"/>
    <w:rsid w:val="000B4B81"/>
    <w:rsid w:val="000B4BE2"/>
    <w:rsid w:val="000B53C9"/>
    <w:rsid w:val="000B54F9"/>
    <w:rsid w:val="000B5C0C"/>
    <w:rsid w:val="000B5D68"/>
    <w:rsid w:val="000B6717"/>
    <w:rsid w:val="000B728C"/>
    <w:rsid w:val="000B7341"/>
    <w:rsid w:val="000B7791"/>
    <w:rsid w:val="000C07E7"/>
    <w:rsid w:val="000C1770"/>
    <w:rsid w:val="000C1A07"/>
    <w:rsid w:val="000C1EB3"/>
    <w:rsid w:val="000C27D4"/>
    <w:rsid w:val="000C28B3"/>
    <w:rsid w:val="000C29B6"/>
    <w:rsid w:val="000C30FE"/>
    <w:rsid w:val="000C3200"/>
    <w:rsid w:val="000C3334"/>
    <w:rsid w:val="000C3E16"/>
    <w:rsid w:val="000C47C8"/>
    <w:rsid w:val="000C509A"/>
    <w:rsid w:val="000C596C"/>
    <w:rsid w:val="000C59C2"/>
    <w:rsid w:val="000C631E"/>
    <w:rsid w:val="000C7792"/>
    <w:rsid w:val="000D190D"/>
    <w:rsid w:val="000D24F3"/>
    <w:rsid w:val="000D2D36"/>
    <w:rsid w:val="000D2FE1"/>
    <w:rsid w:val="000D332C"/>
    <w:rsid w:val="000D5612"/>
    <w:rsid w:val="000D5E11"/>
    <w:rsid w:val="000D5F1A"/>
    <w:rsid w:val="000D6E5C"/>
    <w:rsid w:val="000D766C"/>
    <w:rsid w:val="000D7EB0"/>
    <w:rsid w:val="000E07CB"/>
    <w:rsid w:val="000E16EE"/>
    <w:rsid w:val="000E18B0"/>
    <w:rsid w:val="000E1D05"/>
    <w:rsid w:val="000E2E16"/>
    <w:rsid w:val="000E2FFC"/>
    <w:rsid w:val="000E3656"/>
    <w:rsid w:val="000E3836"/>
    <w:rsid w:val="000E3906"/>
    <w:rsid w:val="000E4D1F"/>
    <w:rsid w:val="000E7518"/>
    <w:rsid w:val="000E77CE"/>
    <w:rsid w:val="000E7D4D"/>
    <w:rsid w:val="000F03E6"/>
    <w:rsid w:val="000F0C8D"/>
    <w:rsid w:val="000F0F1E"/>
    <w:rsid w:val="000F22BF"/>
    <w:rsid w:val="000F2B91"/>
    <w:rsid w:val="000F3E53"/>
    <w:rsid w:val="000F413B"/>
    <w:rsid w:val="000F46E2"/>
    <w:rsid w:val="000F52F1"/>
    <w:rsid w:val="000F5C44"/>
    <w:rsid w:val="000F5E59"/>
    <w:rsid w:val="000F6493"/>
    <w:rsid w:val="000F6CBF"/>
    <w:rsid w:val="000F76B2"/>
    <w:rsid w:val="000F7B7C"/>
    <w:rsid w:val="00100A10"/>
    <w:rsid w:val="00102A0A"/>
    <w:rsid w:val="001033B6"/>
    <w:rsid w:val="001054A8"/>
    <w:rsid w:val="0010552B"/>
    <w:rsid w:val="00106100"/>
    <w:rsid w:val="001062CC"/>
    <w:rsid w:val="001062FF"/>
    <w:rsid w:val="00106308"/>
    <w:rsid w:val="0010654C"/>
    <w:rsid w:val="00110480"/>
    <w:rsid w:val="00110FE8"/>
    <w:rsid w:val="00112DEA"/>
    <w:rsid w:val="00113033"/>
    <w:rsid w:val="0011397C"/>
    <w:rsid w:val="0011438F"/>
    <w:rsid w:val="00115EB8"/>
    <w:rsid w:val="0011637E"/>
    <w:rsid w:val="001178EF"/>
    <w:rsid w:val="00117BF7"/>
    <w:rsid w:val="00117C5C"/>
    <w:rsid w:val="00121861"/>
    <w:rsid w:val="00123213"/>
    <w:rsid w:val="00123339"/>
    <w:rsid w:val="00123658"/>
    <w:rsid w:val="00123E67"/>
    <w:rsid w:val="00124275"/>
    <w:rsid w:val="0012455A"/>
    <w:rsid w:val="00124569"/>
    <w:rsid w:val="00124F2B"/>
    <w:rsid w:val="00125292"/>
    <w:rsid w:val="00125836"/>
    <w:rsid w:val="00125DA2"/>
    <w:rsid w:val="00125DFE"/>
    <w:rsid w:val="00126A2B"/>
    <w:rsid w:val="00130106"/>
    <w:rsid w:val="001305AF"/>
    <w:rsid w:val="001310CF"/>
    <w:rsid w:val="0013128B"/>
    <w:rsid w:val="00131EEB"/>
    <w:rsid w:val="0013208D"/>
    <w:rsid w:val="0013209A"/>
    <w:rsid w:val="001321AC"/>
    <w:rsid w:val="001329AE"/>
    <w:rsid w:val="001339D1"/>
    <w:rsid w:val="00133AAC"/>
    <w:rsid w:val="00133F6B"/>
    <w:rsid w:val="0013458D"/>
    <w:rsid w:val="0013482F"/>
    <w:rsid w:val="001352F5"/>
    <w:rsid w:val="001353D0"/>
    <w:rsid w:val="001358BE"/>
    <w:rsid w:val="00135D87"/>
    <w:rsid w:val="00137933"/>
    <w:rsid w:val="00137C7B"/>
    <w:rsid w:val="0014050D"/>
    <w:rsid w:val="00140ABC"/>
    <w:rsid w:val="00140FEB"/>
    <w:rsid w:val="001412B3"/>
    <w:rsid w:val="00141A3D"/>
    <w:rsid w:val="00141DA4"/>
    <w:rsid w:val="0014220A"/>
    <w:rsid w:val="00143987"/>
    <w:rsid w:val="00143E4E"/>
    <w:rsid w:val="00144588"/>
    <w:rsid w:val="0014627F"/>
    <w:rsid w:val="0014669B"/>
    <w:rsid w:val="00146DCB"/>
    <w:rsid w:val="00146F30"/>
    <w:rsid w:val="0014709C"/>
    <w:rsid w:val="001474EC"/>
    <w:rsid w:val="0015014F"/>
    <w:rsid w:val="00150C58"/>
    <w:rsid w:val="001511A8"/>
    <w:rsid w:val="001514DF"/>
    <w:rsid w:val="001515A3"/>
    <w:rsid w:val="00151AD6"/>
    <w:rsid w:val="0015218C"/>
    <w:rsid w:val="0015242E"/>
    <w:rsid w:val="00152A25"/>
    <w:rsid w:val="00152D09"/>
    <w:rsid w:val="0015323D"/>
    <w:rsid w:val="00153474"/>
    <w:rsid w:val="00155DD1"/>
    <w:rsid w:val="0015656F"/>
    <w:rsid w:val="00157814"/>
    <w:rsid w:val="00157AC5"/>
    <w:rsid w:val="00160AEE"/>
    <w:rsid w:val="001610AA"/>
    <w:rsid w:val="001611B9"/>
    <w:rsid w:val="0016197A"/>
    <w:rsid w:val="00161F56"/>
    <w:rsid w:val="00162216"/>
    <w:rsid w:val="00162340"/>
    <w:rsid w:val="00162D8C"/>
    <w:rsid w:val="001635BE"/>
    <w:rsid w:val="001635CB"/>
    <w:rsid w:val="00164368"/>
    <w:rsid w:val="0016437F"/>
    <w:rsid w:val="00164BD5"/>
    <w:rsid w:val="00165710"/>
    <w:rsid w:val="001657E4"/>
    <w:rsid w:val="001659BA"/>
    <w:rsid w:val="00165F65"/>
    <w:rsid w:val="001660EB"/>
    <w:rsid w:val="00170FC3"/>
    <w:rsid w:val="0017189E"/>
    <w:rsid w:val="00171CC9"/>
    <w:rsid w:val="001728DE"/>
    <w:rsid w:val="00172D38"/>
    <w:rsid w:val="00172D6A"/>
    <w:rsid w:val="00172F64"/>
    <w:rsid w:val="00173821"/>
    <w:rsid w:val="00173A5D"/>
    <w:rsid w:val="00173E29"/>
    <w:rsid w:val="00174277"/>
    <w:rsid w:val="001743E0"/>
    <w:rsid w:val="00174EFC"/>
    <w:rsid w:val="0017524D"/>
    <w:rsid w:val="00175A54"/>
    <w:rsid w:val="00175E86"/>
    <w:rsid w:val="00175F46"/>
    <w:rsid w:val="00176341"/>
    <w:rsid w:val="00176CA5"/>
    <w:rsid w:val="00176F31"/>
    <w:rsid w:val="00177F40"/>
    <w:rsid w:val="00181422"/>
    <w:rsid w:val="00181450"/>
    <w:rsid w:val="00181697"/>
    <w:rsid w:val="001819B0"/>
    <w:rsid w:val="00181B60"/>
    <w:rsid w:val="00181D25"/>
    <w:rsid w:val="00182080"/>
    <w:rsid w:val="00182B02"/>
    <w:rsid w:val="00182BB0"/>
    <w:rsid w:val="0018342B"/>
    <w:rsid w:val="001837F7"/>
    <w:rsid w:val="00183839"/>
    <w:rsid w:val="001839E6"/>
    <w:rsid w:val="001843A4"/>
    <w:rsid w:val="00184796"/>
    <w:rsid w:val="00184CCA"/>
    <w:rsid w:val="00184DDF"/>
    <w:rsid w:val="0018503F"/>
    <w:rsid w:val="0018517A"/>
    <w:rsid w:val="0018517D"/>
    <w:rsid w:val="001854F3"/>
    <w:rsid w:val="001854FC"/>
    <w:rsid w:val="00185801"/>
    <w:rsid w:val="00185FA1"/>
    <w:rsid w:val="0018608B"/>
    <w:rsid w:val="0018614A"/>
    <w:rsid w:val="001868CB"/>
    <w:rsid w:val="00186970"/>
    <w:rsid w:val="00186DA3"/>
    <w:rsid w:val="00187636"/>
    <w:rsid w:val="00187B3F"/>
    <w:rsid w:val="00190D4A"/>
    <w:rsid w:val="001916F9"/>
    <w:rsid w:val="00192116"/>
    <w:rsid w:val="001929D2"/>
    <w:rsid w:val="00193506"/>
    <w:rsid w:val="001945DD"/>
    <w:rsid w:val="00194FA2"/>
    <w:rsid w:val="0019657D"/>
    <w:rsid w:val="001967E0"/>
    <w:rsid w:val="0019683D"/>
    <w:rsid w:val="00196C38"/>
    <w:rsid w:val="001971AE"/>
    <w:rsid w:val="0019734D"/>
    <w:rsid w:val="00197B19"/>
    <w:rsid w:val="001A0D75"/>
    <w:rsid w:val="001A15B5"/>
    <w:rsid w:val="001A2482"/>
    <w:rsid w:val="001A263B"/>
    <w:rsid w:val="001A2952"/>
    <w:rsid w:val="001A2E73"/>
    <w:rsid w:val="001A2EF7"/>
    <w:rsid w:val="001A3122"/>
    <w:rsid w:val="001A3306"/>
    <w:rsid w:val="001A3428"/>
    <w:rsid w:val="001A34EA"/>
    <w:rsid w:val="001A4B56"/>
    <w:rsid w:val="001A4B78"/>
    <w:rsid w:val="001A6031"/>
    <w:rsid w:val="001A6DE5"/>
    <w:rsid w:val="001A6EF8"/>
    <w:rsid w:val="001A71F6"/>
    <w:rsid w:val="001A7276"/>
    <w:rsid w:val="001A7B64"/>
    <w:rsid w:val="001B0193"/>
    <w:rsid w:val="001B2042"/>
    <w:rsid w:val="001B20C1"/>
    <w:rsid w:val="001B21AC"/>
    <w:rsid w:val="001B2E12"/>
    <w:rsid w:val="001B4088"/>
    <w:rsid w:val="001B4173"/>
    <w:rsid w:val="001B41E6"/>
    <w:rsid w:val="001B543E"/>
    <w:rsid w:val="001B55EC"/>
    <w:rsid w:val="001B5E56"/>
    <w:rsid w:val="001B6C9B"/>
    <w:rsid w:val="001B6EE2"/>
    <w:rsid w:val="001C0372"/>
    <w:rsid w:val="001C040D"/>
    <w:rsid w:val="001C0919"/>
    <w:rsid w:val="001C0D00"/>
    <w:rsid w:val="001C12A0"/>
    <w:rsid w:val="001C1322"/>
    <w:rsid w:val="001C1364"/>
    <w:rsid w:val="001C2294"/>
    <w:rsid w:val="001C27EC"/>
    <w:rsid w:val="001C2847"/>
    <w:rsid w:val="001C3086"/>
    <w:rsid w:val="001C3F9C"/>
    <w:rsid w:val="001C4A57"/>
    <w:rsid w:val="001C4FDF"/>
    <w:rsid w:val="001C520B"/>
    <w:rsid w:val="001C5777"/>
    <w:rsid w:val="001C5E59"/>
    <w:rsid w:val="001C66C4"/>
    <w:rsid w:val="001C711E"/>
    <w:rsid w:val="001C7864"/>
    <w:rsid w:val="001C7B9F"/>
    <w:rsid w:val="001C7BA9"/>
    <w:rsid w:val="001D0098"/>
    <w:rsid w:val="001D00EE"/>
    <w:rsid w:val="001D0795"/>
    <w:rsid w:val="001D08E4"/>
    <w:rsid w:val="001D17B4"/>
    <w:rsid w:val="001D26E1"/>
    <w:rsid w:val="001D29C9"/>
    <w:rsid w:val="001D2D73"/>
    <w:rsid w:val="001D2F9B"/>
    <w:rsid w:val="001D4289"/>
    <w:rsid w:val="001D501E"/>
    <w:rsid w:val="001D50A0"/>
    <w:rsid w:val="001D523E"/>
    <w:rsid w:val="001D6DA4"/>
    <w:rsid w:val="001D7120"/>
    <w:rsid w:val="001D799D"/>
    <w:rsid w:val="001D79FA"/>
    <w:rsid w:val="001E1055"/>
    <w:rsid w:val="001E13E5"/>
    <w:rsid w:val="001E1A66"/>
    <w:rsid w:val="001E1A70"/>
    <w:rsid w:val="001E2D66"/>
    <w:rsid w:val="001E383A"/>
    <w:rsid w:val="001E47D7"/>
    <w:rsid w:val="001E4B3F"/>
    <w:rsid w:val="001E4B42"/>
    <w:rsid w:val="001E5B5D"/>
    <w:rsid w:val="001E6019"/>
    <w:rsid w:val="001E6DA3"/>
    <w:rsid w:val="001E7BBF"/>
    <w:rsid w:val="001E7BC3"/>
    <w:rsid w:val="001F0428"/>
    <w:rsid w:val="001F07FF"/>
    <w:rsid w:val="001F1090"/>
    <w:rsid w:val="001F17B7"/>
    <w:rsid w:val="001F183C"/>
    <w:rsid w:val="001F216C"/>
    <w:rsid w:val="001F2619"/>
    <w:rsid w:val="001F261C"/>
    <w:rsid w:val="001F3379"/>
    <w:rsid w:val="001F3C7A"/>
    <w:rsid w:val="001F3FD4"/>
    <w:rsid w:val="001F3FF4"/>
    <w:rsid w:val="001F41D3"/>
    <w:rsid w:val="001F44E5"/>
    <w:rsid w:val="001F5D5D"/>
    <w:rsid w:val="001F6C0F"/>
    <w:rsid w:val="001F708B"/>
    <w:rsid w:val="001F7226"/>
    <w:rsid w:val="001F7322"/>
    <w:rsid w:val="001F743C"/>
    <w:rsid w:val="00201011"/>
    <w:rsid w:val="0020120B"/>
    <w:rsid w:val="0020244F"/>
    <w:rsid w:val="00203D07"/>
    <w:rsid w:val="00204A27"/>
    <w:rsid w:val="00204CB4"/>
    <w:rsid w:val="00205CA2"/>
    <w:rsid w:val="002069A1"/>
    <w:rsid w:val="0020709F"/>
    <w:rsid w:val="00207AD7"/>
    <w:rsid w:val="00207B01"/>
    <w:rsid w:val="00207C5D"/>
    <w:rsid w:val="00207FF9"/>
    <w:rsid w:val="00210108"/>
    <w:rsid w:val="00210500"/>
    <w:rsid w:val="002110F1"/>
    <w:rsid w:val="002113AD"/>
    <w:rsid w:val="00211625"/>
    <w:rsid w:val="00211770"/>
    <w:rsid w:val="00211AFC"/>
    <w:rsid w:val="00211FB8"/>
    <w:rsid w:val="00212BC1"/>
    <w:rsid w:val="0021517E"/>
    <w:rsid w:val="00215858"/>
    <w:rsid w:val="00216171"/>
    <w:rsid w:val="00216684"/>
    <w:rsid w:val="00216ACC"/>
    <w:rsid w:val="00217322"/>
    <w:rsid w:val="00220149"/>
    <w:rsid w:val="002212F0"/>
    <w:rsid w:val="00221718"/>
    <w:rsid w:val="002218F2"/>
    <w:rsid w:val="00222606"/>
    <w:rsid w:val="00222719"/>
    <w:rsid w:val="00222769"/>
    <w:rsid w:val="002227A2"/>
    <w:rsid w:val="00222C1B"/>
    <w:rsid w:val="002232CA"/>
    <w:rsid w:val="002234A0"/>
    <w:rsid w:val="00223D32"/>
    <w:rsid w:val="00224483"/>
    <w:rsid w:val="00224993"/>
    <w:rsid w:val="00225714"/>
    <w:rsid w:val="0022684E"/>
    <w:rsid w:val="00227126"/>
    <w:rsid w:val="0022733D"/>
    <w:rsid w:val="00227372"/>
    <w:rsid w:val="002305FF"/>
    <w:rsid w:val="00230F5B"/>
    <w:rsid w:val="00231710"/>
    <w:rsid w:val="002327D0"/>
    <w:rsid w:val="002329AA"/>
    <w:rsid w:val="00233797"/>
    <w:rsid w:val="00233995"/>
    <w:rsid w:val="00234379"/>
    <w:rsid w:val="002347FB"/>
    <w:rsid w:val="00235203"/>
    <w:rsid w:val="00235EBA"/>
    <w:rsid w:val="002361D9"/>
    <w:rsid w:val="002364FF"/>
    <w:rsid w:val="0023679F"/>
    <w:rsid w:val="00237752"/>
    <w:rsid w:val="0023775B"/>
    <w:rsid w:val="00237F21"/>
    <w:rsid w:val="0024153F"/>
    <w:rsid w:val="002424F1"/>
    <w:rsid w:val="00242F73"/>
    <w:rsid w:val="002430F9"/>
    <w:rsid w:val="00243185"/>
    <w:rsid w:val="00243560"/>
    <w:rsid w:val="00243AF1"/>
    <w:rsid w:val="00244AF8"/>
    <w:rsid w:val="00244BEC"/>
    <w:rsid w:val="0024539B"/>
    <w:rsid w:val="00246E6A"/>
    <w:rsid w:val="00247521"/>
    <w:rsid w:val="00247835"/>
    <w:rsid w:val="002502BB"/>
    <w:rsid w:val="00250353"/>
    <w:rsid w:val="002506A1"/>
    <w:rsid w:val="00250C28"/>
    <w:rsid w:val="0025122B"/>
    <w:rsid w:val="00252076"/>
    <w:rsid w:val="002521E4"/>
    <w:rsid w:val="002529CD"/>
    <w:rsid w:val="00252A15"/>
    <w:rsid w:val="002534DC"/>
    <w:rsid w:val="002535CB"/>
    <w:rsid w:val="002535FF"/>
    <w:rsid w:val="002536AF"/>
    <w:rsid w:val="00253A8F"/>
    <w:rsid w:val="00253BB7"/>
    <w:rsid w:val="00253DB9"/>
    <w:rsid w:val="0025473D"/>
    <w:rsid w:val="00254784"/>
    <w:rsid w:val="002547F1"/>
    <w:rsid w:val="00254A64"/>
    <w:rsid w:val="00254AB4"/>
    <w:rsid w:val="00254BAC"/>
    <w:rsid w:val="00254C67"/>
    <w:rsid w:val="00256766"/>
    <w:rsid w:val="0025681C"/>
    <w:rsid w:val="00257B77"/>
    <w:rsid w:val="00257DA9"/>
    <w:rsid w:val="0026065C"/>
    <w:rsid w:val="00261030"/>
    <w:rsid w:val="0026256B"/>
    <w:rsid w:val="00263008"/>
    <w:rsid w:val="0026311C"/>
    <w:rsid w:val="0026320F"/>
    <w:rsid w:val="002635B0"/>
    <w:rsid w:val="002638DB"/>
    <w:rsid w:val="00263B99"/>
    <w:rsid w:val="00264134"/>
    <w:rsid w:val="0026559A"/>
    <w:rsid w:val="002659F2"/>
    <w:rsid w:val="00265A13"/>
    <w:rsid w:val="00265F60"/>
    <w:rsid w:val="002663E7"/>
    <w:rsid w:val="00266697"/>
    <w:rsid w:val="00267153"/>
    <w:rsid w:val="00267A1C"/>
    <w:rsid w:val="00272284"/>
    <w:rsid w:val="00272827"/>
    <w:rsid w:val="00272DD0"/>
    <w:rsid w:val="002739A0"/>
    <w:rsid w:val="00273BF6"/>
    <w:rsid w:val="002750FD"/>
    <w:rsid w:val="002761E0"/>
    <w:rsid w:val="002765CF"/>
    <w:rsid w:val="002779BA"/>
    <w:rsid w:val="00277C3C"/>
    <w:rsid w:val="002804F4"/>
    <w:rsid w:val="002806E5"/>
    <w:rsid w:val="002807FE"/>
    <w:rsid w:val="00281E4A"/>
    <w:rsid w:val="00281E7F"/>
    <w:rsid w:val="002823A4"/>
    <w:rsid w:val="00282C89"/>
    <w:rsid w:val="00282E77"/>
    <w:rsid w:val="002835E1"/>
    <w:rsid w:val="002837B8"/>
    <w:rsid w:val="00283A10"/>
    <w:rsid w:val="00285374"/>
    <w:rsid w:val="0028666E"/>
    <w:rsid w:val="00286910"/>
    <w:rsid w:val="002878A8"/>
    <w:rsid w:val="00287D44"/>
    <w:rsid w:val="002909BC"/>
    <w:rsid w:val="00291316"/>
    <w:rsid w:val="00291376"/>
    <w:rsid w:val="0029226B"/>
    <w:rsid w:val="00292750"/>
    <w:rsid w:val="00292947"/>
    <w:rsid w:val="00293373"/>
    <w:rsid w:val="002937BE"/>
    <w:rsid w:val="00294389"/>
    <w:rsid w:val="0029486E"/>
    <w:rsid w:val="00294E31"/>
    <w:rsid w:val="002951E1"/>
    <w:rsid w:val="0029533D"/>
    <w:rsid w:val="00295D6D"/>
    <w:rsid w:val="002963A6"/>
    <w:rsid w:val="00296B76"/>
    <w:rsid w:val="00297B92"/>
    <w:rsid w:val="00297BAA"/>
    <w:rsid w:val="00297E19"/>
    <w:rsid w:val="002A07FF"/>
    <w:rsid w:val="002A0FC3"/>
    <w:rsid w:val="002A13D8"/>
    <w:rsid w:val="002A1D3C"/>
    <w:rsid w:val="002A3898"/>
    <w:rsid w:val="002A3D08"/>
    <w:rsid w:val="002A51E1"/>
    <w:rsid w:val="002A5301"/>
    <w:rsid w:val="002A614D"/>
    <w:rsid w:val="002A65DA"/>
    <w:rsid w:val="002A74CF"/>
    <w:rsid w:val="002B0267"/>
    <w:rsid w:val="002B0669"/>
    <w:rsid w:val="002B0B7A"/>
    <w:rsid w:val="002B2BC5"/>
    <w:rsid w:val="002B2C36"/>
    <w:rsid w:val="002B37E3"/>
    <w:rsid w:val="002B4533"/>
    <w:rsid w:val="002B4DA2"/>
    <w:rsid w:val="002B56DE"/>
    <w:rsid w:val="002B5CF2"/>
    <w:rsid w:val="002B65D6"/>
    <w:rsid w:val="002B6E8B"/>
    <w:rsid w:val="002B768D"/>
    <w:rsid w:val="002B7A93"/>
    <w:rsid w:val="002B7B2C"/>
    <w:rsid w:val="002C00F0"/>
    <w:rsid w:val="002C01B1"/>
    <w:rsid w:val="002C06BB"/>
    <w:rsid w:val="002C0E7C"/>
    <w:rsid w:val="002C0FEA"/>
    <w:rsid w:val="002C1D99"/>
    <w:rsid w:val="002C2A7F"/>
    <w:rsid w:val="002C2AA9"/>
    <w:rsid w:val="002C2B1E"/>
    <w:rsid w:val="002C3167"/>
    <w:rsid w:val="002C31FB"/>
    <w:rsid w:val="002C4F35"/>
    <w:rsid w:val="002C5234"/>
    <w:rsid w:val="002C5956"/>
    <w:rsid w:val="002C5EF9"/>
    <w:rsid w:val="002C6C35"/>
    <w:rsid w:val="002D0266"/>
    <w:rsid w:val="002D0A70"/>
    <w:rsid w:val="002D11FE"/>
    <w:rsid w:val="002D1651"/>
    <w:rsid w:val="002D1C15"/>
    <w:rsid w:val="002D246E"/>
    <w:rsid w:val="002D3091"/>
    <w:rsid w:val="002D4263"/>
    <w:rsid w:val="002D4657"/>
    <w:rsid w:val="002D4757"/>
    <w:rsid w:val="002D4CB6"/>
    <w:rsid w:val="002D4D0A"/>
    <w:rsid w:val="002D5305"/>
    <w:rsid w:val="002D5563"/>
    <w:rsid w:val="002D601D"/>
    <w:rsid w:val="002D7543"/>
    <w:rsid w:val="002D7D14"/>
    <w:rsid w:val="002E0904"/>
    <w:rsid w:val="002E0C8C"/>
    <w:rsid w:val="002E0F62"/>
    <w:rsid w:val="002E1645"/>
    <w:rsid w:val="002E1747"/>
    <w:rsid w:val="002E174E"/>
    <w:rsid w:val="002E1BC9"/>
    <w:rsid w:val="002E1CC2"/>
    <w:rsid w:val="002E2677"/>
    <w:rsid w:val="002E2D83"/>
    <w:rsid w:val="002E3CA2"/>
    <w:rsid w:val="002E6A87"/>
    <w:rsid w:val="002E7DD7"/>
    <w:rsid w:val="002F0A9A"/>
    <w:rsid w:val="002F0C9C"/>
    <w:rsid w:val="002F125E"/>
    <w:rsid w:val="002F12B2"/>
    <w:rsid w:val="002F1CCB"/>
    <w:rsid w:val="002F30EC"/>
    <w:rsid w:val="002F37D5"/>
    <w:rsid w:val="002F4187"/>
    <w:rsid w:val="002F4337"/>
    <w:rsid w:val="002F46C6"/>
    <w:rsid w:val="002F4CA0"/>
    <w:rsid w:val="002F4E75"/>
    <w:rsid w:val="002F52A3"/>
    <w:rsid w:val="002F53E0"/>
    <w:rsid w:val="002F5943"/>
    <w:rsid w:val="002F5F0F"/>
    <w:rsid w:val="002F62A3"/>
    <w:rsid w:val="00300676"/>
    <w:rsid w:val="00300D83"/>
    <w:rsid w:val="00300E6D"/>
    <w:rsid w:val="003012C8"/>
    <w:rsid w:val="00302055"/>
    <w:rsid w:val="00302955"/>
    <w:rsid w:val="00302C4D"/>
    <w:rsid w:val="003036FD"/>
    <w:rsid w:val="00303BD2"/>
    <w:rsid w:val="00303C59"/>
    <w:rsid w:val="00304CC5"/>
    <w:rsid w:val="00304D01"/>
    <w:rsid w:val="00304D6F"/>
    <w:rsid w:val="00306467"/>
    <w:rsid w:val="003073BF"/>
    <w:rsid w:val="003074F4"/>
    <w:rsid w:val="00307D1F"/>
    <w:rsid w:val="00307F12"/>
    <w:rsid w:val="0031023A"/>
    <w:rsid w:val="00310C09"/>
    <w:rsid w:val="0031116B"/>
    <w:rsid w:val="00312165"/>
    <w:rsid w:val="00312D44"/>
    <w:rsid w:val="00313831"/>
    <w:rsid w:val="00313D22"/>
    <w:rsid w:val="00314340"/>
    <w:rsid w:val="003148A4"/>
    <w:rsid w:val="00315039"/>
    <w:rsid w:val="00315053"/>
    <w:rsid w:val="0031700A"/>
    <w:rsid w:val="0031720C"/>
    <w:rsid w:val="003202F4"/>
    <w:rsid w:val="003206D5"/>
    <w:rsid w:val="003214B7"/>
    <w:rsid w:val="003216DD"/>
    <w:rsid w:val="00322145"/>
    <w:rsid w:val="00322215"/>
    <w:rsid w:val="00322470"/>
    <w:rsid w:val="00322624"/>
    <w:rsid w:val="003236DB"/>
    <w:rsid w:val="00324461"/>
    <w:rsid w:val="00326F26"/>
    <w:rsid w:val="00327F40"/>
    <w:rsid w:val="00330303"/>
    <w:rsid w:val="00331721"/>
    <w:rsid w:val="003317AA"/>
    <w:rsid w:val="00331E6E"/>
    <w:rsid w:val="0033259A"/>
    <w:rsid w:val="003331ED"/>
    <w:rsid w:val="0033339D"/>
    <w:rsid w:val="00334355"/>
    <w:rsid w:val="00334479"/>
    <w:rsid w:val="0033486C"/>
    <w:rsid w:val="003354C9"/>
    <w:rsid w:val="003361E3"/>
    <w:rsid w:val="003371C1"/>
    <w:rsid w:val="003372D4"/>
    <w:rsid w:val="00337FBC"/>
    <w:rsid w:val="00340418"/>
    <w:rsid w:val="00340E0C"/>
    <w:rsid w:val="003411B4"/>
    <w:rsid w:val="00341244"/>
    <w:rsid w:val="00342002"/>
    <w:rsid w:val="00342220"/>
    <w:rsid w:val="003430BC"/>
    <w:rsid w:val="003431C2"/>
    <w:rsid w:val="00343284"/>
    <w:rsid w:val="00343640"/>
    <w:rsid w:val="00343815"/>
    <w:rsid w:val="00343C82"/>
    <w:rsid w:val="00343E74"/>
    <w:rsid w:val="0034491C"/>
    <w:rsid w:val="00344B1F"/>
    <w:rsid w:val="003451DE"/>
    <w:rsid w:val="003453F1"/>
    <w:rsid w:val="00345964"/>
    <w:rsid w:val="003465D7"/>
    <w:rsid w:val="003468ED"/>
    <w:rsid w:val="00346D51"/>
    <w:rsid w:val="00350A2D"/>
    <w:rsid w:val="00351B43"/>
    <w:rsid w:val="00351E59"/>
    <w:rsid w:val="00352D19"/>
    <w:rsid w:val="00353461"/>
    <w:rsid w:val="00353557"/>
    <w:rsid w:val="00354A7F"/>
    <w:rsid w:val="0035560F"/>
    <w:rsid w:val="00355752"/>
    <w:rsid w:val="0035578E"/>
    <w:rsid w:val="00355F9F"/>
    <w:rsid w:val="003563F4"/>
    <w:rsid w:val="003569B8"/>
    <w:rsid w:val="00357508"/>
    <w:rsid w:val="003605F2"/>
    <w:rsid w:val="003619CE"/>
    <w:rsid w:val="00361E3B"/>
    <w:rsid w:val="0036202A"/>
    <w:rsid w:val="00362224"/>
    <w:rsid w:val="0036223C"/>
    <w:rsid w:val="00362DE0"/>
    <w:rsid w:val="00363343"/>
    <w:rsid w:val="003634BD"/>
    <w:rsid w:val="00363625"/>
    <w:rsid w:val="00364098"/>
    <w:rsid w:val="00364211"/>
    <w:rsid w:val="00364836"/>
    <w:rsid w:val="003648B6"/>
    <w:rsid w:val="0036618A"/>
    <w:rsid w:val="00366A1A"/>
    <w:rsid w:val="00367609"/>
    <w:rsid w:val="00367C97"/>
    <w:rsid w:val="00370043"/>
    <w:rsid w:val="0037007E"/>
    <w:rsid w:val="00370D62"/>
    <w:rsid w:val="00370D87"/>
    <w:rsid w:val="00370E83"/>
    <w:rsid w:val="0037115B"/>
    <w:rsid w:val="00372DB9"/>
    <w:rsid w:val="00373AB6"/>
    <w:rsid w:val="00373C35"/>
    <w:rsid w:val="00374082"/>
    <w:rsid w:val="0037468C"/>
    <w:rsid w:val="00374F02"/>
    <w:rsid w:val="0037594D"/>
    <w:rsid w:val="00375A68"/>
    <w:rsid w:val="003765FA"/>
    <w:rsid w:val="00376B09"/>
    <w:rsid w:val="00376F6A"/>
    <w:rsid w:val="00376F95"/>
    <w:rsid w:val="00377118"/>
    <w:rsid w:val="003777DC"/>
    <w:rsid w:val="003779B8"/>
    <w:rsid w:val="00377B83"/>
    <w:rsid w:val="00377C39"/>
    <w:rsid w:val="003806D3"/>
    <w:rsid w:val="0038085B"/>
    <w:rsid w:val="00380C50"/>
    <w:rsid w:val="00381439"/>
    <w:rsid w:val="00381E97"/>
    <w:rsid w:val="00381ED9"/>
    <w:rsid w:val="0038229E"/>
    <w:rsid w:val="00384555"/>
    <w:rsid w:val="003848F8"/>
    <w:rsid w:val="00384C6D"/>
    <w:rsid w:val="00385127"/>
    <w:rsid w:val="003852D9"/>
    <w:rsid w:val="0038624A"/>
    <w:rsid w:val="00386529"/>
    <w:rsid w:val="0038685F"/>
    <w:rsid w:val="00386983"/>
    <w:rsid w:val="0038783D"/>
    <w:rsid w:val="00387FEE"/>
    <w:rsid w:val="00390BF4"/>
    <w:rsid w:val="00391048"/>
    <w:rsid w:val="003913E8"/>
    <w:rsid w:val="003914BE"/>
    <w:rsid w:val="003914CA"/>
    <w:rsid w:val="003919FE"/>
    <w:rsid w:val="003927F9"/>
    <w:rsid w:val="00392FA6"/>
    <w:rsid w:val="003933C7"/>
    <w:rsid w:val="003943B8"/>
    <w:rsid w:val="00394ACB"/>
    <w:rsid w:val="00395762"/>
    <w:rsid w:val="00395DF9"/>
    <w:rsid w:val="00396096"/>
    <w:rsid w:val="00396692"/>
    <w:rsid w:val="00396C65"/>
    <w:rsid w:val="00397960"/>
    <w:rsid w:val="003A0A88"/>
    <w:rsid w:val="003A1128"/>
    <w:rsid w:val="003A238A"/>
    <w:rsid w:val="003A249A"/>
    <w:rsid w:val="003A24CE"/>
    <w:rsid w:val="003A2CB3"/>
    <w:rsid w:val="003A3265"/>
    <w:rsid w:val="003A435E"/>
    <w:rsid w:val="003A4466"/>
    <w:rsid w:val="003A4734"/>
    <w:rsid w:val="003A5F2A"/>
    <w:rsid w:val="003A6089"/>
    <w:rsid w:val="003A64A9"/>
    <w:rsid w:val="003A6B0D"/>
    <w:rsid w:val="003A728C"/>
    <w:rsid w:val="003A7FC2"/>
    <w:rsid w:val="003B10C4"/>
    <w:rsid w:val="003B15AD"/>
    <w:rsid w:val="003B1E93"/>
    <w:rsid w:val="003B2345"/>
    <w:rsid w:val="003B265A"/>
    <w:rsid w:val="003B26FD"/>
    <w:rsid w:val="003B3E34"/>
    <w:rsid w:val="003B430C"/>
    <w:rsid w:val="003B4547"/>
    <w:rsid w:val="003B58C2"/>
    <w:rsid w:val="003B5C8A"/>
    <w:rsid w:val="003B7092"/>
    <w:rsid w:val="003B7449"/>
    <w:rsid w:val="003B7B18"/>
    <w:rsid w:val="003C1064"/>
    <w:rsid w:val="003C109F"/>
    <w:rsid w:val="003C1669"/>
    <w:rsid w:val="003C1689"/>
    <w:rsid w:val="003C1F05"/>
    <w:rsid w:val="003C221A"/>
    <w:rsid w:val="003C22E8"/>
    <w:rsid w:val="003C23B0"/>
    <w:rsid w:val="003C5618"/>
    <w:rsid w:val="003C5E1D"/>
    <w:rsid w:val="003C6DB3"/>
    <w:rsid w:val="003C6EAD"/>
    <w:rsid w:val="003C72D1"/>
    <w:rsid w:val="003D1399"/>
    <w:rsid w:val="003D1A6C"/>
    <w:rsid w:val="003D1B33"/>
    <w:rsid w:val="003D26B5"/>
    <w:rsid w:val="003D26C6"/>
    <w:rsid w:val="003D273C"/>
    <w:rsid w:val="003D2BB6"/>
    <w:rsid w:val="003D2F2D"/>
    <w:rsid w:val="003D313D"/>
    <w:rsid w:val="003D4367"/>
    <w:rsid w:val="003D52A8"/>
    <w:rsid w:val="003D5CA9"/>
    <w:rsid w:val="003D5DC9"/>
    <w:rsid w:val="003D5F48"/>
    <w:rsid w:val="003D631E"/>
    <w:rsid w:val="003D6A63"/>
    <w:rsid w:val="003D7A7A"/>
    <w:rsid w:val="003D7D66"/>
    <w:rsid w:val="003E08D9"/>
    <w:rsid w:val="003E1590"/>
    <w:rsid w:val="003E1680"/>
    <w:rsid w:val="003E1D1E"/>
    <w:rsid w:val="003E1D20"/>
    <w:rsid w:val="003E1E8E"/>
    <w:rsid w:val="003E21FC"/>
    <w:rsid w:val="003E2574"/>
    <w:rsid w:val="003E2CA0"/>
    <w:rsid w:val="003E3731"/>
    <w:rsid w:val="003E5461"/>
    <w:rsid w:val="003E5B57"/>
    <w:rsid w:val="003E5F37"/>
    <w:rsid w:val="003E6B9A"/>
    <w:rsid w:val="003E6E5E"/>
    <w:rsid w:val="003F04D7"/>
    <w:rsid w:val="003F08F1"/>
    <w:rsid w:val="003F0AEF"/>
    <w:rsid w:val="003F2594"/>
    <w:rsid w:val="003F25DC"/>
    <w:rsid w:val="003F2D13"/>
    <w:rsid w:val="003F2EB2"/>
    <w:rsid w:val="003F2FB9"/>
    <w:rsid w:val="003F2FDF"/>
    <w:rsid w:val="003F3D6B"/>
    <w:rsid w:val="003F4306"/>
    <w:rsid w:val="003F50FC"/>
    <w:rsid w:val="003F6A89"/>
    <w:rsid w:val="003F6BC3"/>
    <w:rsid w:val="003F6C5B"/>
    <w:rsid w:val="003F6E38"/>
    <w:rsid w:val="003F7510"/>
    <w:rsid w:val="003F7600"/>
    <w:rsid w:val="003F79C5"/>
    <w:rsid w:val="004005C8"/>
    <w:rsid w:val="00402D1D"/>
    <w:rsid w:val="00403024"/>
    <w:rsid w:val="00405901"/>
    <w:rsid w:val="00406392"/>
    <w:rsid w:val="00406C01"/>
    <w:rsid w:val="0040787F"/>
    <w:rsid w:val="004103D3"/>
    <w:rsid w:val="0041058F"/>
    <w:rsid w:val="0041070C"/>
    <w:rsid w:val="0041188A"/>
    <w:rsid w:val="00412704"/>
    <w:rsid w:val="00412AAE"/>
    <w:rsid w:val="00412F00"/>
    <w:rsid w:val="0041398D"/>
    <w:rsid w:val="00413993"/>
    <w:rsid w:val="00413C17"/>
    <w:rsid w:val="00414C9A"/>
    <w:rsid w:val="00414E3D"/>
    <w:rsid w:val="00414F6B"/>
    <w:rsid w:val="00415189"/>
    <w:rsid w:val="0041524D"/>
    <w:rsid w:val="0041561E"/>
    <w:rsid w:val="00415957"/>
    <w:rsid w:val="00415AF0"/>
    <w:rsid w:val="00416BE2"/>
    <w:rsid w:val="00417ED4"/>
    <w:rsid w:val="00420E9A"/>
    <w:rsid w:val="00420F3A"/>
    <w:rsid w:val="0042278D"/>
    <w:rsid w:val="004234FB"/>
    <w:rsid w:val="004239FB"/>
    <w:rsid w:val="00423A70"/>
    <w:rsid w:val="00423C4E"/>
    <w:rsid w:val="004243E2"/>
    <w:rsid w:val="00424AEC"/>
    <w:rsid w:val="00424F58"/>
    <w:rsid w:val="0042503D"/>
    <w:rsid w:val="0042564D"/>
    <w:rsid w:val="00425CB8"/>
    <w:rsid w:val="0042622A"/>
    <w:rsid w:val="0042640A"/>
    <w:rsid w:val="00426536"/>
    <w:rsid w:val="0042718A"/>
    <w:rsid w:val="00427636"/>
    <w:rsid w:val="00427669"/>
    <w:rsid w:val="004278C1"/>
    <w:rsid w:val="00427E8A"/>
    <w:rsid w:val="00427F4F"/>
    <w:rsid w:val="0043067D"/>
    <w:rsid w:val="00431051"/>
    <w:rsid w:val="0043125E"/>
    <w:rsid w:val="00431F15"/>
    <w:rsid w:val="00432954"/>
    <w:rsid w:val="004339E5"/>
    <w:rsid w:val="00433C86"/>
    <w:rsid w:val="004341F7"/>
    <w:rsid w:val="00435142"/>
    <w:rsid w:val="00435B9F"/>
    <w:rsid w:val="004364F1"/>
    <w:rsid w:val="00436A31"/>
    <w:rsid w:val="004375C6"/>
    <w:rsid w:val="00437A01"/>
    <w:rsid w:val="00437C28"/>
    <w:rsid w:val="00437C71"/>
    <w:rsid w:val="00440340"/>
    <w:rsid w:val="00440ED9"/>
    <w:rsid w:val="004410E9"/>
    <w:rsid w:val="00441703"/>
    <w:rsid w:val="00441AC8"/>
    <w:rsid w:val="00441DDA"/>
    <w:rsid w:val="00441FBA"/>
    <w:rsid w:val="00442E01"/>
    <w:rsid w:val="00443374"/>
    <w:rsid w:val="00443E38"/>
    <w:rsid w:val="00444B20"/>
    <w:rsid w:val="00445448"/>
    <w:rsid w:val="00446870"/>
    <w:rsid w:val="00446C56"/>
    <w:rsid w:val="00446CE9"/>
    <w:rsid w:val="00450155"/>
    <w:rsid w:val="00450C96"/>
    <w:rsid w:val="00451850"/>
    <w:rsid w:val="00452121"/>
    <w:rsid w:val="004526A4"/>
    <w:rsid w:val="00452E92"/>
    <w:rsid w:val="0045336C"/>
    <w:rsid w:val="0045380F"/>
    <w:rsid w:val="0045385F"/>
    <w:rsid w:val="00453AB9"/>
    <w:rsid w:val="0045479A"/>
    <w:rsid w:val="00455D0A"/>
    <w:rsid w:val="00457097"/>
    <w:rsid w:val="00457244"/>
    <w:rsid w:val="00457759"/>
    <w:rsid w:val="0046045F"/>
    <w:rsid w:val="004606F3"/>
    <w:rsid w:val="00461101"/>
    <w:rsid w:val="004622CB"/>
    <w:rsid w:val="00463CEB"/>
    <w:rsid w:val="00463F8B"/>
    <w:rsid w:val="00464178"/>
    <w:rsid w:val="004644D4"/>
    <w:rsid w:val="00464DC3"/>
    <w:rsid w:val="00464E89"/>
    <w:rsid w:val="00467873"/>
    <w:rsid w:val="0047014A"/>
    <w:rsid w:val="00470570"/>
    <w:rsid w:val="00470C7E"/>
    <w:rsid w:val="00470CD8"/>
    <w:rsid w:val="00471197"/>
    <w:rsid w:val="004712F4"/>
    <w:rsid w:val="004713E2"/>
    <w:rsid w:val="00471B5B"/>
    <w:rsid w:val="0047257A"/>
    <w:rsid w:val="00472DBD"/>
    <w:rsid w:val="00472E0F"/>
    <w:rsid w:val="004730F6"/>
    <w:rsid w:val="00473A1E"/>
    <w:rsid w:val="00473AB1"/>
    <w:rsid w:val="00473CC3"/>
    <w:rsid w:val="004749A2"/>
    <w:rsid w:val="0047563C"/>
    <w:rsid w:val="00475BB1"/>
    <w:rsid w:val="00476259"/>
    <w:rsid w:val="00476F35"/>
    <w:rsid w:val="00480924"/>
    <w:rsid w:val="00481546"/>
    <w:rsid w:val="00482053"/>
    <w:rsid w:val="00482425"/>
    <w:rsid w:val="00483016"/>
    <w:rsid w:val="004836A3"/>
    <w:rsid w:val="00484E4A"/>
    <w:rsid w:val="00485283"/>
    <w:rsid w:val="00486DBE"/>
    <w:rsid w:val="004874D1"/>
    <w:rsid w:val="00487569"/>
    <w:rsid w:val="004879D6"/>
    <w:rsid w:val="00487D21"/>
    <w:rsid w:val="00490F5A"/>
    <w:rsid w:val="00490FB3"/>
    <w:rsid w:val="004916A6"/>
    <w:rsid w:val="004917C1"/>
    <w:rsid w:val="00491DA3"/>
    <w:rsid w:val="00492C5A"/>
    <w:rsid w:val="00493C1D"/>
    <w:rsid w:val="00494293"/>
    <w:rsid w:val="00494355"/>
    <w:rsid w:val="00494D49"/>
    <w:rsid w:val="00495817"/>
    <w:rsid w:val="004958BD"/>
    <w:rsid w:val="00495C64"/>
    <w:rsid w:val="004966B6"/>
    <w:rsid w:val="00497E63"/>
    <w:rsid w:val="004A06AD"/>
    <w:rsid w:val="004A09A8"/>
    <w:rsid w:val="004A2126"/>
    <w:rsid w:val="004A2FF5"/>
    <w:rsid w:val="004A35EE"/>
    <w:rsid w:val="004A3856"/>
    <w:rsid w:val="004A49E7"/>
    <w:rsid w:val="004A509D"/>
    <w:rsid w:val="004A51E1"/>
    <w:rsid w:val="004A5AAB"/>
    <w:rsid w:val="004A5AF5"/>
    <w:rsid w:val="004A5D2C"/>
    <w:rsid w:val="004A5E6F"/>
    <w:rsid w:val="004A6367"/>
    <w:rsid w:val="004A68C6"/>
    <w:rsid w:val="004A6A5A"/>
    <w:rsid w:val="004A72B0"/>
    <w:rsid w:val="004A7C61"/>
    <w:rsid w:val="004B03C1"/>
    <w:rsid w:val="004B13D7"/>
    <w:rsid w:val="004B313D"/>
    <w:rsid w:val="004B3B24"/>
    <w:rsid w:val="004B3D1A"/>
    <w:rsid w:val="004B5279"/>
    <w:rsid w:val="004B56DC"/>
    <w:rsid w:val="004B61EC"/>
    <w:rsid w:val="004B6A92"/>
    <w:rsid w:val="004B73C7"/>
    <w:rsid w:val="004B7763"/>
    <w:rsid w:val="004B7928"/>
    <w:rsid w:val="004C0059"/>
    <w:rsid w:val="004C10F3"/>
    <w:rsid w:val="004C1B89"/>
    <w:rsid w:val="004C22AA"/>
    <w:rsid w:val="004C28BD"/>
    <w:rsid w:val="004C2946"/>
    <w:rsid w:val="004C2BE9"/>
    <w:rsid w:val="004C3A00"/>
    <w:rsid w:val="004C3E43"/>
    <w:rsid w:val="004C3E4B"/>
    <w:rsid w:val="004C3FAC"/>
    <w:rsid w:val="004C427B"/>
    <w:rsid w:val="004C47DC"/>
    <w:rsid w:val="004C4840"/>
    <w:rsid w:val="004C4BA6"/>
    <w:rsid w:val="004C59CB"/>
    <w:rsid w:val="004C5A71"/>
    <w:rsid w:val="004C5BFE"/>
    <w:rsid w:val="004C5D13"/>
    <w:rsid w:val="004C6878"/>
    <w:rsid w:val="004C6A78"/>
    <w:rsid w:val="004C7A29"/>
    <w:rsid w:val="004D0179"/>
    <w:rsid w:val="004D0EF2"/>
    <w:rsid w:val="004D0FD2"/>
    <w:rsid w:val="004D28B4"/>
    <w:rsid w:val="004D3210"/>
    <w:rsid w:val="004D3217"/>
    <w:rsid w:val="004D3248"/>
    <w:rsid w:val="004D362D"/>
    <w:rsid w:val="004D4583"/>
    <w:rsid w:val="004D4CFE"/>
    <w:rsid w:val="004D5661"/>
    <w:rsid w:val="004D5876"/>
    <w:rsid w:val="004D5EEF"/>
    <w:rsid w:val="004D637F"/>
    <w:rsid w:val="004D67B3"/>
    <w:rsid w:val="004D7F55"/>
    <w:rsid w:val="004E01A1"/>
    <w:rsid w:val="004E0C8E"/>
    <w:rsid w:val="004E0F3C"/>
    <w:rsid w:val="004E1662"/>
    <w:rsid w:val="004E2DE0"/>
    <w:rsid w:val="004E4EE5"/>
    <w:rsid w:val="004E66A2"/>
    <w:rsid w:val="004E6D19"/>
    <w:rsid w:val="004E7592"/>
    <w:rsid w:val="004E75A9"/>
    <w:rsid w:val="004E7D78"/>
    <w:rsid w:val="004F0416"/>
    <w:rsid w:val="004F0BA4"/>
    <w:rsid w:val="004F1747"/>
    <w:rsid w:val="004F1A80"/>
    <w:rsid w:val="004F1A98"/>
    <w:rsid w:val="004F1CE0"/>
    <w:rsid w:val="004F1F31"/>
    <w:rsid w:val="004F2194"/>
    <w:rsid w:val="004F40DF"/>
    <w:rsid w:val="004F4478"/>
    <w:rsid w:val="004F4C0A"/>
    <w:rsid w:val="004F4D2E"/>
    <w:rsid w:val="004F555D"/>
    <w:rsid w:val="004F5EE7"/>
    <w:rsid w:val="004F5F21"/>
    <w:rsid w:val="004F607A"/>
    <w:rsid w:val="004F64AE"/>
    <w:rsid w:val="004F693C"/>
    <w:rsid w:val="004F6C06"/>
    <w:rsid w:val="004F6FC7"/>
    <w:rsid w:val="004F7612"/>
    <w:rsid w:val="004F766B"/>
    <w:rsid w:val="004F7871"/>
    <w:rsid w:val="004F7EBD"/>
    <w:rsid w:val="005009E2"/>
    <w:rsid w:val="00500A26"/>
    <w:rsid w:val="00500B26"/>
    <w:rsid w:val="00501195"/>
    <w:rsid w:val="005018B1"/>
    <w:rsid w:val="00502379"/>
    <w:rsid w:val="005027CE"/>
    <w:rsid w:val="00505225"/>
    <w:rsid w:val="00505FA4"/>
    <w:rsid w:val="00507499"/>
    <w:rsid w:val="0051108B"/>
    <w:rsid w:val="00511A26"/>
    <w:rsid w:val="005131E8"/>
    <w:rsid w:val="00513341"/>
    <w:rsid w:val="00513A2D"/>
    <w:rsid w:val="00514972"/>
    <w:rsid w:val="00514F0E"/>
    <w:rsid w:val="00515537"/>
    <w:rsid w:val="00515B04"/>
    <w:rsid w:val="00515CDD"/>
    <w:rsid w:val="005160EB"/>
    <w:rsid w:val="005172FF"/>
    <w:rsid w:val="00517EAD"/>
    <w:rsid w:val="00517FF6"/>
    <w:rsid w:val="00520CD4"/>
    <w:rsid w:val="00521512"/>
    <w:rsid w:val="005217C7"/>
    <w:rsid w:val="00521F1C"/>
    <w:rsid w:val="00522F1F"/>
    <w:rsid w:val="00524515"/>
    <w:rsid w:val="00524BE9"/>
    <w:rsid w:val="00525023"/>
    <w:rsid w:val="0052699B"/>
    <w:rsid w:val="00527101"/>
    <w:rsid w:val="005272DA"/>
    <w:rsid w:val="0052745D"/>
    <w:rsid w:val="0052797F"/>
    <w:rsid w:val="00527F8E"/>
    <w:rsid w:val="00530680"/>
    <w:rsid w:val="00530800"/>
    <w:rsid w:val="0053088E"/>
    <w:rsid w:val="00530B25"/>
    <w:rsid w:val="005310D8"/>
    <w:rsid w:val="00531D6D"/>
    <w:rsid w:val="00531D8A"/>
    <w:rsid w:val="00531EDA"/>
    <w:rsid w:val="00532CD0"/>
    <w:rsid w:val="00533516"/>
    <w:rsid w:val="00533BA2"/>
    <w:rsid w:val="00533E41"/>
    <w:rsid w:val="005340A2"/>
    <w:rsid w:val="0053443D"/>
    <w:rsid w:val="00534563"/>
    <w:rsid w:val="00534D6D"/>
    <w:rsid w:val="00536ADD"/>
    <w:rsid w:val="00537229"/>
    <w:rsid w:val="00537DC6"/>
    <w:rsid w:val="00540B79"/>
    <w:rsid w:val="00540C21"/>
    <w:rsid w:val="00541F2F"/>
    <w:rsid w:val="00541FD1"/>
    <w:rsid w:val="00542D58"/>
    <w:rsid w:val="00542EF5"/>
    <w:rsid w:val="00543382"/>
    <w:rsid w:val="00543788"/>
    <w:rsid w:val="00543798"/>
    <w:rsid w:val="00543DDF"/>
    <w:rsid w:val="00544483"/>
    <w:rsid w:val="005446D6"/>
    <w:rsid w:val="0054496B"/>
    <w:rsid w:val="00544E80"/>
    <w:rsid w:val="0054505B"/>
    <w:rsid w:val="0054569D"/>
    <w:rsid w:val="00546434"/>
    <w:rsid w:val="00546B85"/>
    <w:rsid w:val="00546DA1"/>
    <w:rsid w:val="00546FE3"/>
    <w:rsid w:val="00547036"/>
    <w:rsid w:val="005473FE"/>
    <w:rsid w:val="005474AE"/>
    <w:rsid w:val="00547DA6"/>
    <w:rsid w:val="00547FD6"/>
    <w:rsid w:val="00551357"/>
    <w:rsid w:val="0055223F"/>
    <w:rsid w:val="00552AA8"/>
    <w:rsid w:val="00553C61"/>
    <w:rsid w:val="00553D1A"/>
    <w:rsid w:val="00553ECC"/>
    <w:rsid w:val="00554334"/>
    <w:rsid w:val="00554CFA"/>
    <w:rsid w:val="0055556E"/>
    <w:rsid w:val="00556401"/>
    <w:rsid w:val="0055707C"/>
    <w:rsid w:val="0056054A"/>
    <w:rsid w:val="0056056A"/>
    <w:rsid w:val="00560B7C"/>
    <w:rsid w:val="00560F5E"/>
    <w:rsid w:val="00561255"/>
    <w:rsid w:val="00562CEC"/>
    <w:rsid w:val="00563A9C"/>
    <w:rsid w:val="00563F9F"/>
    <w:rsid w:val="0056467F"/>
    <w:rsid w:val="00564990"/>
    <w:rsid w:val="005649A9"/>
    <w:rsid w:val="00564E8F"/>
    <w:rsid w:val="0056501F"/>
    <w:rsid w:val="00565536"/>
    <w:rsid w:val="005660BA"/>
    <w:rsid w:val="00566AA4"/>
    <w:rsid w:val="00566AFE"/>
    <w:rsid w:val="005672FE"/>
    <w:rsid w:val="00567D95"/>
    <w:rsid w:val="00567D99"/>
    <w:rsid w:val="0057069D"/>
    <w:rsid w:val="00571E51"/>
    <w:rsid w:val="00571F04"/>
    <w:rsid w:val="00572065"/>
    <w:rsid w:val="00572655"/>
    <w:rsid w:val="00572B4E"/>
    <w:rsid w:val="005732CA"/>
    <w:rsid w:val="005739EC"/>
    <w:rsid w:val="00573E77"/>
    <w:rsid w:val="00574BC7"/>
    <w:rsid w:val="00574C35"/>
    <w:rsid w:val="00576521"/>
    <w:rsid w:val="0058066E"/>
    <w:rsid w:val="00580676"/>
    <w:rsid w:val="00580FE1"/>
    <w:rsid w:val="00581038"/>
    <w:rsid w:val="00581806"/>
    <w:rsid w:val="00582D0B"/>
    <w:rsid w:val="00583263"/>
    <w:rsid w:val="00583416"/>
    <w:rsid w:val="00583726"/>
    <w:rsid w:val="00583938"/>
    <w:rsid w:val="00584620"/>
    <w:rsid w:val="005847B0"/>
    <w:rsid w:val="005849D1"/>
    <w:rsid w:val="00584ABA"/>
    <w:rsid w:val="005856D2"/>
    <w:rsid w:val="00586232"/>
    <w:rsid w:val="005863B7"/>
    <w:rsid w:val="005871EE"/>
    <w:rsid w:val="00587847"/>
    <w:rsid w:val="005879AA"/>
    <w:rsid w:val="00590B28"/>
    <w:rsid w:val="00591C52"/>
    <w:rsid w:val="00593A1A"/>
    <w:rsid w:val="00593A49"/>
    <w:rsid w:val="00593CD4"/>
    <w:rsid w:val="00594459"/>
    <w:rsid w:val="005944E8"/>
    <w:rsid w:val="005944EE"/>
    <w:rsid w:val="00594ACF"/>
    <w:rsid w:val="00595320"/>
    <w:rsid w:val="00595386"/>
    <w:rsid w:val="00595D4B"/>
    <w:rsid w:val="00595D9F"/>
    <w:rsid w:val="0059630A"/>
    <w:rsid w:val="0059663E"/>
    <w:rsid w:val="005966BA"/>
    <w:rsid w:val="005968EC"/>
    <w:rsid w:val="00596D93"/>
    <w:rsid w:val="005979FA"/>
    <w:rsid w:val="00597AE7"/>
    <w:rsid w:val="00597B5B"/>
    <w:rsid w:val="00597D4B"/>
    <w:rsid w:val="005A0004"/>
    <w:rsid w:val="005A0186"/>
    <w:rsid w:val="005A0943"/>
    <w:rsid w:val="005A1291"/>
    <w:rsid w:val="005A1985"/>
    <w:rsid w:val="005A1B95"/>
    <w:rsid w:val="005A1E11"/>
    <w:rsid w:val="005A2304"/>
    <w:rsid w:val="005A2919"/>
    <w:rsid w:val="005A2985"/>
    <w:rsid w:val="005A2F39"/>
    <w:rsid w:val="005A335A"/>
    <w:rsid w:val="005A39A4"/>
    <w:rsid w:val="005A3BD8"/>
    <w:rsid w:val="005A3E1C"/>
    <w:rsid w:val="005A3F44"/>
    <w:rsid w:val="005A4495"/>
    <w:rsid w:val="005A46CA"/>
    <w:rsid w:val="005A495D"/>
    <w:rsid w:val="005A63AC"/>
    <w:rsid w:val="005A6432"/>
    <w:rsid w:val="005A6765"/>
    <w:rsid w:val="005A72CD"/>
    <w:rsid w:val="005B0131"/>
    <w:rsid w:val="005B121B"/>
    <w:rsid w:val="005B1C30"/>
    <w:rsid w:val="005B1F86"/>
    <w:rsid w:val="005B2674"/>
    <w:rsid w:val="005B2850"/>
    <w:rsid w:val="005B28C3"/>
    <w:rsid w:val="005B35B4"/>
    <w:rsid w:val="005B36A9"/>
    <w:rsid w:val="005B37CC"/>
    <w:rsid w:val="005B3B51"/>
    <w:rsid w:val="005B4539"/>
    <w:rsid w:val="005B4EDC"/>
    <w:rsid w:val="005B56B6"/>
    <w:rsid w:val="005B5B4E"/>
    <w:rsid w:val="005B5FBF"/>
    <w:rsid w:val="005B650E"/>
    <w:rsid w:val="005B657B"/>
    <w:rsid w:val="005B65B1"/>
    <w:rsid w:val="005C041C"/>
    <w:rsid w:val="005C0ED1"/>
    <w:rsid w:val="005C18E6"/>
    <w:rsid w:val="005C1A16"/>
    <w:rsid w:val="005C2424"/>
    <w:rsid w:val="005C29C4"/>
    <w:rsid w:val="005C58F1"/>
    <w:rsid w:val="005C5924"/>
    <w:rsid w:val="005C5B9C"/>
    <w:rsid w:val="005C5DD2"/>
    <w:rsid w:val="005C5E64"/>
    <w:rsid w:val="005C5F9B"/>
    <w:rsid w:val="005C6A0B"/>
    <w:rsid w:val="005C741D"/>
    <w:rsid w:val="005C77AE"/>
    <w:rsid w:val="005C7F37"/>
    <w:rsid w:val="005D101E"/>
    <w:rsid w:val="005D15DA"/>
    <w:rsid w:val="005D1A91"/>
    <w:rsid w:val="005D1AA4"/>
    <w:rsid w:val="005D1AE8"/>
    <w:rsid w:val="005D1CED"/>
    <w:rsid w:val="005D26DD"/>
    <w:rsid w:val="005D4599"/>
    <w:rsid w:val="005D579D"/>
    <w:rsid w:val="005D5C81"/>
    <w:rsid w:val="005D6408"/>
    <w:rsid w:val="005D6E93"/>
    <w:rsid w:val="005E06D3"/>
    <w:rsid w:val="005E07E5"/>
    <w:rsid w:val="005E0B69"/>
    <w:rsid w:val="005E1214"/>
    <w:rsid w:val="005E14BE"/>
    <w:rsid w:val="005E2397"/>
    <w:rsid w:val="005E2CC6"/>
    <w:rsid w:val="005E2FC7"/>
    <w:rsid w:val="005E30EA"/>
    <w:rsid w:val="005E336B"/>
    <w:rsid w:val="005E3538"/>
    <w:rsid w:val="005E3906"/>
    <w:rsid w:val="005E3B01"/>
    <w:rsid w:val="005E3D61"/>
    <w:rsid w:val="005E4745"/>
    <w:rsid w:val="005E4777"/>
    <w:rsid w:val="005E4E92"/>
    <w:rsid w:val="005E59F5"/>
    <w:rsid w:val="005E5ACB"/>
    <w:rsid w:val="005E6C57"/>
    <w:rsid w:val="005E6E4B"/>
    <w:rsid w:val="005E7604"/>
    <w:rsid w:val="005E7AFC"/>
    <w:rsid w:val="005F0341"/>
    <w:rsid w:val="005F1614"/>
    <w:rsid w:val="005F27F0"/>
    <w:rsid w:val="005F39F0"/>
    <w:rsid w:val="005F4429"/>
    <w:rsid w:val="005F4897"/>
    <w:rsid w:val="005F5253"/>
    <w:rsid w:val="005F5C06"/>
    <w:rsid w:val="005F6C32"/>
    <w:rsid w:val="005F75D0"/>
    <w:rsid w:val="005F7C9A"/>
    <w:rsid w:val="0060065B"/>
    <w:rsid w:val="00600A45"/>
    <w:rsid w:val="00600E96"/>
    <w:rsid w:val="00600F2D"/>
    <w:rsid w:val="00601DB3"/>
    <w:rsid w:val="00601E67"/>
    <w:rsid w:val="00601F52"/>
    <w:rsid w:val="00602549"/>
    <w:rsid w:val="0060265F"/>
    <w:rsid w:val="00602DD9"/>
    <w:rsid w:val="006038CB"/>
    <w:rsid w:val="00604092"/>
    <w:rsid w:val="00604B23"/>
    <w:rsid w:val="00604E11"/>
    <w:rsid w:val="00605749"/>
    <w:rsid w:val="00605FCC"/>
    <w:rsid w:val="006060A9"/>
    <w:rsid w:val="006105B6"/>
    <w:rsid w:val="006108A1"/>
    <w:rsid w:val="00610934"/>
    <w:rsid w:val="00610B93"/>
    <w:rsid w:val="00610C19"/>
    <w:rsid w:val="00610C34"/>
    <w:rsid w:val="00610D8A"/>
    <w:rsid w:val="00611D7A"/>
    <w:rsid w:val="006125AA"/>
    <w:rsid w:val="006130DB"/>
    <w:rsid w:val="0061392A"/>
    <w:rsid w:val="00615788"/>
    <w:rsid w:val="0061654E"/>
    <w:rsid w:val="0062122B"/>
    <w:rsid w:val="00621442"/>
    <w:rsid w:val="00621ACC"/>
    <w:rsid w:val="00621CC2"/>
    <w:rsid w:val="00622FD3"/>
    <w:rsid w:val="00625E96"/>
    <w:rsid w:val="00626815"/>
    <w:rsid w:val="00626E3D"/>
    <w:rsid w:val="00627C66"/>
    <w:rsid w:val="00630500"/>
    <w:rsid w:val="006309D3"/>
    <w:rsid w:val="0063190B"/>
    <w:rsid w:val="0063287B"/>
    <w:rsid w:val="00632BD2"/>
    <w:rsid w:val="006334E3"/>
    <w:rsid w:val="006335CE"/>
    <w:rsid w:val="0063362B"/>
    <w:rsid w:val="00635353"/>
    <w:rsid w:val="00636535"/>
    <w:rsid w:val="00640052"/>
    <w:rsid w:val="00640068"/>
    <w:rsid w:val="00640994"/>
    <w:rsid w:val="00641624"/>
    <w:rsid w:val="00641B3A"/>
    <w:rsid w:val="00642920"/>
    <w:rsid w:val="006455B4"/>
    <w:rsid w:val="00645758"/>
    <w:rsid w:val="00645DDE"/>
    <w:rsid w:val="00647B4C"/>
    <w:rsid w:val="00647BA9"/>
    <w:rsid w:val="00647DC0"/>
    <w:rsid w:val="006501DF"/>
    <w:rsid w:val="00650490"/>
    <w:rsid w:val="0065058C"/>
    <w:rsid w:val="006506D5"/>
    <w:rsid w:val="00650C16"/>
    <w:rsid w:val="0065119D"/>
    <w:rsid w:val="006513B5"/>
    <w:rsid w:val="00651463"/>
    <w:rsid w:val="0065146D"/>
    <w:rsid w:val="00651595"/>
    <w:rsid w:val="00651F81"/>
    <w:rsid w:val="00652C62"/>
    <w:rsid w:val="00652C88"/>
    <w:rsid w:val="00653C4A"/>
    <w:rsid w:val="00653DDC"/>
    <w:rsid w:val="0065461F"/>
    <w:rsid w:val="00654BFC"/>
    <w:rsid w:val="00654D85"/>
    <w:rsid w:val="00655D0B"/>
    <w:rsid w:val="00656ACB"/>
    <w:rsid w:val="00656D8A"/>
    <w:rsid w:val="00657657"/>
    <w:rsid w:val="00657D80"/>
    <w:rsid w:val="00660D20"/>
    <w:rsid w:val="0066117E"/>
    <w:rsid w:val="006613F6"/>
    <w:rsid w:val="00661C60"/>
    <w:rsid w:val="00661E6D"/>
    <w:rsid w:val="006620BB"/>
    <w:rsid w:val="00662470"/>
    <w:rsid w:val="00663289"/>
    <w:rsid w:val="00663B10"/>
    <w:rsid w:val="00663D54"/>
    <w:rsid w:val="006647C8"/>
    <w:rsid w:val="00666630"/>
    <w:rsid w:val="00666806"/>
    <w:rsid w:val="00666F7A"/>
    <w:rsid w:val="006678BA"/>
    <w:rsid w:val="00667C02"/>
    <w:rsid w:val="00670113"/>
    <w:rsid w:val="00670124"/>
    <w:rsid w:val="0067314B"/>
    <w:rsid w:val="006740E1"/>
    <w:rsid w:val="006741E7"/>
    <w:rsid w:val="006743E0"/>
    <w:rsid w:val="00674C12"/>
    <w:rsid w:val="006757CE"/>
    <w:rsid w:val="00676063"/>
    <w:rsid w:val="00676813"/>
    <w:rsid w:val="00676A57"/>
    <w:rsid w:val="0067702D"/>
    <w:rsid w:val="0067710C"/>
    <w:rsid w:val="00677F71"/>
    <w:rsid w:val="00680569"/>
    <w:rsid w:val="00680A8F"/>
    <w:rsid w:val="00680F9E"/>
    <w:rsid w:val="00680FAC"/>
    <w:rsid w:val="0068217A"/>
    <w:rsid w:val="0068246A"/>
    <w:rsid w:val="006833D6"/>
    <w:rsid w:val="00684097"/>
    <w:rsid w:val="00684B8C"/>
    <w:rsid w:val="00685C26"/>
    <w:rsid w:val="006864DE"/>
    <w:rsid w:val="00687121"/>
    <w:rsid w:val="00690A97"/>
    <w:rsid w:val="00691210"/>
    <w:rsid w:val="00691B5E"/>
    <w:rsid w:val="00691DD0"/>
    <w:rsid w:val="00691FC7"/>
    <w:rsid w:val="00692386"/>
    <w:rsid w:val="00692FA7"/>
    <w:rsid w:val="006934B8"/>
    <w:rsid w:val="00693CCD"/>
    <w:rsid w:val="00694B73"/>
    <w:rsid w:val="006950DF"/>
    <w:rsid w:val="0069514E"/>
    <w:rsid w:val="00695F1C"/>
    <w:rsid w:val="00696E8B"/>
    <w:rsid w:val="006970E6"/>
    <w:rsid w:val="00697AC4"/>
    <w:rsid w:val="006A0671"/>
    <w:rsid w:val="006A1366"/>
    <w:rsid w:val="006A1743"/>
    <w:rsid w:val="006A1808"/>
    <w:rsid w:val="006A187B"/>
    <w:rsid w:val="006A1DD0"/>
    <w:rsid w:val="006A2804"/>
    <w:rsid w:val="006A3FD6"/>
    <w:rsid w:val="006A4FD8"/>
    <w:rsid w:val="006A56B6"/>
    <w:rsid w:val="006A5AAE"/>
    <w:rsid w:val="006A5B07"/>
    <w:rsid w:val="006A5DBD"/>
    <w:rsid w:val="006A5DC0"/>
    <w:rsid w:val="006A6644"/>
    <w:rsid w:val="006A6BE6"/>
    <w:rsid w:val="006A72D8"/>
    <w:rsid w:val="006A766B"/>
    <w:rsid w:val="006A793E"/>
    <w:rsid w:val="006B032A"/>
    <w:rsid w:val="006B077E"/>
    <w:rsid w:val="006B0AE0"/>
    <w:rsid w:val="006B198E"/>
    <w:rsid w:val="006B2315"/>
    <w:rsid w:val="006B269D"/>
    <w:rsid w:val="006B2A10"/>
    <w:rsid w:val="006B2D05"/>
    <w:rsid w:val="006B2E11"/>
    <w:rsid w:val="006B31ED"/>
    <w:rsid w:val="006B3261"/>
    <w:rsid w:val="006B34D9"/>
    <w:rsid w:val="006B3600"/>
    <w:rsid w:val="006B3B0B"/>
    <w:rsid w:val="006B3D9C"/>
    <w:rsid w:val="006B423A"/>
    <w:rsid w:val="006B45E9"/>
    <w:rsid w:val="006B4924"/>
    <w:rsid w:val="006B4AD5"/>
    <w:rsid w:val="006B682C"/>
    <w:rsid w:val="006B6F5E"/>
    <w:rsid w:val="006B738C"/>
    <w:rsid w:val="006B74B8"/>
    <w:rsid w:val="006B7E6D"/>
    <w:rsid w:val="006C080F"/>
    <w:rsid w:val="006C1812"/>
    <w:rsid w:val="006C2117"/>
    <w:rsid w:val="006C25D1"/>
    <w:rsid w:val="006C270A"/>
    <w:rsid w:val="006C2BA3"/>
    <w:rsid w:val="006C3528"/>
    <w:rsid w:val="006C3826"/>
    <w:rsid w:val="006C5400"/>
    <w:rsid w:val="006C558D"/>
    <w:rsid w:val="006C69E1"/>
    <w:rsid w:val="006C7061"/>
    <w:rsid w:val="006C7140"/>
    <w:rsid w:val="006C737B"/>
    <w:rsid w:val="006D0B78"/>
    <w:rsid w:val="006D0E11"/>
    <w:rsid w:val="006D0FAE"/>
    <w:rsid w:val="006D1930"/>
    <w:rsid w:val="006D2C91"/>
    <w:rsid w:val="006D2E3E"/>
    <w:rsid w:val="006D4107"/>
    <w:rsid w:val="006D5742"/>
    <w:rsid w:val="006D654F"/>
    <w:rsid w:val="006D702B"/>
    <w:rsid w:val="006D7986"/>
    <w:rsid w:val="006D7B9A"/>
    <w:rsid w:val="006D7FF5"/>
    <w:rsid w:val="006E02C1"/>
    <w:rsid w:val="006E0BED"/>
    <w:rsid w:val="006E0E47"/>
    <w:rsid w:val="006E0F1F"/>
    <w:rsid w:val="006E1054"/>
    <w:rsid w:val="006E11D1"/>
    <w:rsid w:val="006E1460"/>
    <w:rsid w:val="006E158F"/>
    <w:rsid w:val="006E2512"/>
    <w:rsid w:val="006E3152"/>
    <w:rsid w:val="006E31E2"/>
    <w:rsid w:val="006E37FA"/>
    <w:rsid w:val="006E40E3"/>
    <w:rsid w:val="006E42B6"/>
    <w:rsid w:val="006E4BC0"/>
    <w:rsid w:val="006E5129"/>
    <w:rsid w:val="006E6354"/>
    <w:rsid w:val="006E64AE"/>
    <w:rsid w:val="006E6D9F"/>
    <w:rsid w:val="006E7432"/>
    <w:rsid w:val="006E7629"/>
    <w:rsid w:val="006E767E"/>
    <w:rsid w:val="006E7C7F"/>
    <w:rsid w:val="006E7F95"/>
    <w:rsid w:val="006F11E3"/>
    <w:rsid w:val="006F1279"/>
    <w:rsid w:val="006F1A31"/>
    <w:rsid w:val="006F2650"/>
    <w:rsid w:val="006F2D48"/>
    <w:rsid w:val="006F310E"/>
    <w:rsid w:val="006F36E2"/>
    <w:rsid w:val="006F3BA5"/>
    <w:rsid w:val="006F450E"/>
    <w:rsid w:val="006F4E58"/>
    <w:rsid w:val="006F6B67"/>
    <w:rsid w:val="006F7EA9"/>
    <w:rsid w:val="00701C06"/>
    <w:rsid w:val="00702463"/>
    <w:rsid w:val="00702B71"/>
    <w:rsid w:val="00703084"/>
    <w:rsid w:val="0070347F"/>
    <w:rsid w:val="00704D97"/>
    <w:rsid w:val="00705561"/>
    <w:rsid w:val="007055A2"/>
    <w:rsid w:val="00706457"/>
    <w:rsid w:val="00706554"/>
    <w:rsid w:val="00706A3D"/>
    <w:rsid w:val="00706D20"/>
    <w:rsid w:val="00707813"/>
    <w:rsid w:val="00710B0E"/>
    <w:rsid w:val="00710B6E"/>
    <w:rsid w:val="00711055"/>
    <w:rsid w:val="007113C9"/>
    <w:rsid w:val="007114DB"/>
    <w:rsid w:val="00712CBE"/>
    <w:rsid w:val="00714794"/>
    <w:rsid w:val="007159E8"/>
    <w:rsid w:val="007163B4"/>
    <w:rsid w:val="0071675A"/>
    <w:rsid w:val="00716AB7"/>
    <w:rsid w:val="00717276"/>
    <w:rsid w:val="007212CC"/>
    <w:rsid w:val="00721F96"/>
    <w:rsid w:val="007224A1"/>
    <w:rsid w:val="00722C0C"/>
    <w:rsid w:val="00723528"/>
    <w:rsid w:val="00723566"/>
    <w:rsid w:val="00724372"/>
    <w:rsid w:val="0072592D"/>
    <w:rsid w:val="007307CE"/>
    <w:rsid w:val="00731667"/>
    <w:rsid w:val="007316BE"/>
    <w:rsid w:val="00731A52"/>
    <w:rsid w:val="00731F3E"/>
    <w:rsid w:val="00733949"/>
    <w:rsid w:val="00734265"/>
    <w:rsid w:val="00734CC7"/>
    <w:rsid w:val="007357E1"/>
    <w:rsid w:val="007359E9"/>
    <w:rsid w:val="00735FA7"/>
    <w:rsid w:val="00736021"/>
    <w:rsid w:val="00736605"/>
    <w:rsid w:val="00737738"/>
    <w:rsid w:val="00737855"/>
    <w:rsid w:val="007404EE"/>
    <w:rsid w:val="00740DDE"/>
    <w:rsid w:val="0074139C"/>
    <w:rsid w:val="00741B7F"/>
    <w:rsid w:val="00741DFC"/>
    <w:rsid w:val="007420A7"/>
    <w:rsid w:val="007427F5"/>
    <w:rsid w:val="007428AC"/>
    <w:rsid w:val="00742FFB"/>
    <w:rsid w:val="00743A4C"/>
    <w:rsid w:val="0074402C"/>
    <w:rsid w:val="00744211"/>
    <w:rsid w:val="00744607"/>
    <w:rsid w:val="0074566A"/>
    <w:rsid w:val="007459EE"/>
    <w:rsid w:val="00745B64"/>
    <w:rsid w:val="00746534"/>
    <w:rsid w:val="00746CBC"/>
    <w:rsid w:val="00746DAF"/>
    <w:rsid w:val="0074764D"/>
    <w:rsid w:val="00747791"/>
    <w:rsid w:val="00747AE0"/>
    <w:rsid w:val="0075047B"/>
    <w:rsid w:val="007507C4"/>
    <w:rsid w:val="0075118D"/>
    <w:rsid w:val="00751571"/>
    <w:rsid w:val="00751B1C"/>
    <w:rsid w:val="00752A29"/>
    <w:rsid w:val="00753534"/>
    <w:rsid w:val="007535F8"/>
    <w:rsid w:val="00753639"/>
    <w:rsid w:val="00753E05"/>
    <w:rsid w:val="00755519"/>
    <w:rsid w:val="00756A2A"/>
    <w:rsid w:val="00756EE3"/>
    <w:rsid w:val="00757270"/>
    <w:rsid w:val="00757359"/>
    <w:rsid w:val="00757664"/>
    <w:rsid w:val="00757994"/>
    <w:rsid w:val="007579D2"/>
    <w:rsid w:val="00757EAC"/>
    <w:rsid w:val="00760437"/>
    <w:rsid w:val="00760438"/>
    <w:rsid w:val="00760ADF"/>
    <w:rsid w:val="00760F4E"/>
    <w:rsid w:val="00761AC8"/>
    <w:rsid w:val="007631E1"/>
    <w:rsid w:val="00763E4E"/>
    <w:rsid w:val="00764784"/>
    <w:rsid w:val="00764C42"/>
    <w:rsid w:val="00766972"/>
    <w:rsid w:val="00770726"/>
    <w:rsid w:val="00770DC0"/>
    <w:rsid w:val="00771068"/>
    <w:rsid w:val="007727A7"/>
    <w:rsid w:val="00773721"/>
    <w:rsid w:val="00774EC3"/>
    <w:rsid w:val="00775E38"/>
    <w:rsid w:val="007760F9"/>
    <w:rsid w:val="00776811"/>
    <w:rsid w:val="007768B8"/>
    <w:rsid w:val="00777F0D"/>
    <w:rsid w:val="0078064D"/>
    <w:rsid w:val="00781BDA"/>
    <w:rsid w:val="0078256A"/>
    <w:rsid w:val="00782855"/>
    <w:rsid w:val="00782EF9"/>
    <w:rsid w:val="007837ED"/>
    <w:rsid w:val="00784042"/>
    <w:rsid w:val="00784C74"/>
    <w:rsid w:val="0078551A"/>
    <w:rsid w:val="007856C8"/>
    <w:rsid w:val="0078576C"/>
    <w:rsid w:val="0078583C"/>
    <w:rsid w:val="00785879"/>
    <w:rsid w:val="00785907"/>
    <w:rsid w:val="00785A23"/>
    <w:rsid w:val="0078657C"/>
    <w:rsid w:val="00786B2C"/>
    <w:rsid w:val="00786F84"/>
    <w:rsid w:val="007872A6"/>
    <w:rsid w:val="00787367"/>
    <w:rsid w:val="00787487"/>
    <w:rsid w:val="00790052"/>
    <w:rsid w:val="0079133D"/>
    <w:rsid w:val="00791498"/>
    <w:rsid w:val="00792248"/>
    <w:rsid w:val="00792DF3"/>
    <w:rsid w:val="00793D94"/>
    <w:rsid w:val="0079459E"/>
    <w:rsid w:val="007949F3"/>
    <w:rsid w:val="00794A98"/>
    <w:rsid w:val="00795175"/>
    <w:rsid w:val="007953EE"/>
    <w:rsid w:val="00795C2F"/>
    <w:rsid w:val="00796586"/>
    <w:rsid w:val="0079789F"/>
    <w:rsid w:val="007978FF"/>
    <w:rsid w:val="00797FC1"/>
    <w:rsid w:val="007A18B4"/>
    <w:rsid w:val="007A21DD"/>
    <w:rsid w:val="007A222D"/>
    <w:rsid w:val="007A22D1"/>
    <w:rsid w:val="007A2956"/>
    <w:rsid w:val="007A2ABE"/>
    <w:rsid w:val="007A2BC3"/>
    <w:rsid w:val="007A2C9E"/>
    <w:rsid w:val="007A2D06"/>
    <w:rsid w:val="007A322F"/>
    <w:rsid w:val="007A3BEB"/>
    <w:rsid w:val="007A418C"/>
    <w:rsid w:val="007A4437"/>
    <w:rsid w:val="007A4641"/>
    <w:rsid w:val="007A4D16"/>
    <w:rsid w:val="007A5500"/>
    <w:rsid w:val="007A5B21"/>
    <w:rsid w:val="007A5EBB"/>
    <w:rsid w:val="007A603B"/>
    <w:rsid w:val="007A6CE5"/>
    <w:rsid w:val="007A6FDB"/>
    <w:rsid w:val="007A714D"/>
    <w:rsid w:val="007B055B"/>
    <w:rsid w:val="007B13CE"/>
    <w:rsid w:val="007B14EE"/>
    <w:rsid w:val="007B1EEE"/>
    <w:rsid w:val="007B32DB"/>
    <w:rsid w:val="007B39C3"/>
    <w:rsid w:val="007B3F50"/>
    <w:rsid w:val="007B470E"/>
    <w:rsid w:val="007B548B"/>
    <w:rsid w:val="007B629A"/>
    <w:rsid w:val="007B6F0E"/>
    <w:rsid w:val="007B6FC1"/>
    <w:rsid w:val="007B7897"/>
    <w:rsid w:val="007B7903"/>
    <w:rsid w:val="007B7D60"/>
    <w:rsid w:val="007C02D3"/>
    <w:rsid w:val="007C0A4E"/>
    <w:rsid w:val="007C1025"/>
    <w:rsid w:val="007C1536"/>
    <w:rsid w:val="007C193F"/>
    <w:rsid w:val="007C1A74"/>
    <w:rsid w:val="007C2386"/>
    <w:rsid w:val="007C268C"/>
    <w:rsid w:val="007C2E96"/>
    <w:rsid w:val="007C32B9"/>
    <w:rsid w:val="007C33D7"/>
    <w:rsid w:val="007C3719"/>
    <w:rsid w:val="007C374A"/>
    <w:rsid w:val="007C3BAD"/>
    <w:rsid w:val="007C4BF2"/>
    <w:rsid w:val="007C5CFB"/>
    <w:rsid w:val="007C5F2F"/>
    <w:rsid w:val="007C78B4"/>
    <w:rsid w:val="007C7C36"/>
    <w:rsid w:val="007C7DCB"/>
    <w:rsid w:val="007D0679"/>
    <w:rsid w:val="007D08F9"/>
    <w:rsid w:val="007D0E7B"/>
    <w:rsid w:val="007D194C"/>
    <w:rsid w:val="007D1BF2"/>
    <w:rsid w:val="007D1D31"/>
    <w:rsid w:val="007D29BB"/>
    <w:rsid w:val="007D2AD3"/>
    <w:rsid w:val="007D2C6A"/>
    <w:rsid w:val="007D37AA"/>
    <w:rsid w:val="007D3845"/>
    <w:rsid w:val="007D3AD2"/>
    <w:rsid w:val="007D514A"/>
    <w:rsid w:val="007D5311"/>
    <w:rsid w:val="007D5A1E"/>
    <w:rsid w:val="007D5ADD"/>
    <w:rsid w:val="007D6335"/>
    <w:rsid w:val="007D67BA"/>
    <w:rsid w:val="007D79AB"/>
    <w:rsid w:val="007E0592"/>
    <w:rsid w:val="007E0797"/>
    <w:rsid w:val="007E0D20"/>
    <w:rsid w:val="007E12DD"/>
    <w:rsid w:val="007E1EE6"/>
    <w:rsid w:val="007E1FFB"/>
    <w:rsid w:val="007E2285"/>
    <w:rsid w:val="007E2903"/>
    <w:rsid w:val="007E293B"/>
    <w:rsid w:val="007E3BA2"/>
    <w:rsid w:val="007E41C2"/>
    <w:rsid w:val="007E43AF"/>
    <w:rsid w:val="007E4C62"/>
    <w:rsid w:val="007E5D42"/>
    <w:rsid w:val="007E5DAF"/>
    <w:rsid w:val="007E637A"/>
    <w:rsid w:val="007E68BF"/>
    <w:rsid w:val="007F216A"/>
    <w:rsid w:val="007F2467"/>
    <w:rsid w:val="007F2DF2"/>
    <w:rsid w:val="007F3DD9"/>
    <w:rsid w:val="007F44DF"/>
    <w:rsid w:val="007F4E8E"/>
    <w:rsid w:val="007F571F"/>
    <w:rsid w:val="007F5C55"/>
    <w:rsid w:val="007F7770"/>
    <w:rsid w:val="007F783A"/>
    <w:rsid w:val="007F7B56"/>
    <w:rsid w:val="007F7BA5"/>
    <w:rsid w:val="0080015F"/>
    <w:rsid w:val="008002BA"/>
    <w:rsid w:val="00800BEC"/>
    <w:rsid w:val="0080162A"/>
    <w:rsid w:val="008017DE"/>
    <w:rsid w:val="00801ADE"/>
    <w:rsid w:val="00801CF4"/>
    <w:rsid w:val="00801DF3"/>
    <w:rsid w:val="0080292D"/>
    <w:rsid w:val="00802A94"/>
    <w:rsid w:val="00805517"/>
    <w:rsid w:val="00805603"/>
    <w:rsid w:val="00807B0F"/>
    <w:rsid w:val="00807BC1"/>
    <w:rsid w:val="00807C5A"/>
    <w:rsid w:val="00810FDC"/>
    <w:rsid w:val="008113B0"/>
    <w:rsid w:val="008114AA"/>
    <w:rsid w:val="008122FD"/>
    <w:rsid w:val="00813F10"/>
    <w:rsid w:val="00814B71"/>
    <w:rsid w:val="00814F1E"/>
    <w:rsid w:val="0081566C"/>
    <w:rsid w:val="008165AE"/>
    <w:rsid w:val="00816846"/>
    <w:rsid w:val="00817233"/>
    <w:rsid w:val="008173DD"/>
    <w:rsid w:val="00817A9B"/>
    <w:rsid w:val="00820A2A"/>
    <w:rsid w:val="008219F9"/>
    <w:rsid w:val="00821EED"/>
    <w:rsid w:val="00822327"/>
    <w:rsid w:val="00822A3E"/>
    <w:rsid w:val="00822B95"/>
    <w:rsid w:val="00822BEF"/>
    <w:rsid w:val="00824794"/>
    <w:rsid w:val="00824900"/>
    <w:rsid w:val="00824DB5"/>
    <w:rsid w:val="00824FC2"/>
    <w:rsid w:val="008252EA"/>
    <w:rsid w:val="00825CF0"/>
    <w:rsid w:val="00825DD2"/>
    <w:rsid w:val="00826419"/>
    <w:rsid w:val="008309B6"/>
    <w:rsid w:val="00830E8A"/>
    <w:rsid w:val="00831067"/>
    <w:rsid w:val="00831183"/>
    <w:rsid w:val="00831647"/>
    <w:rsid w:val="00831817"/>
    <w:rsid w:val="008319B5"/>
    <w:rsid w:val="00831F82"/>
    <w:rsid w:val="00832304"/>
    <w:rsid w:val="008324BE"/>
    <w:rsid w:val="0083281F"/>
    <w:rsid w:val="00833736"/>
    <w:rsid w:val="00833ADF"/>
    <w:rsid w:val="00834261"/>
    <w:rsid w:val="008342CE"/>
    <w:rsid w:val="0083431C"/>
    <w:rsid w:val="00834CCF"/>
    <w:rsid w:val="0083532A"/>
    <w:rsid w:val="00835575"/>
    <w:rsid w:val="0083622F"/>
    <w:rsid w:val="00836B62"/>
    <w:rsid w:val="008370D7"/>
    <w:rsid w:val="0083732F"/>
    <w:rsid w:val="00837A21"/>
    <w:rsid w:val="00837C6E"/>
    <w:rsid w:val="008412F8"/>
    <w:rsid w:val="00841E7F"/>
    <w:rsid w:val="0084242F"/>
    <w:rsid w:val="00842467"/>
    <w:rsid w:val="008435BB"/>
    <w:rsid w:val="00844BC0"/>
    <w:rsid w:val="0084510B"/>
    <w:rsid w:val="00845AF3"/>
    <w:rsid w:val="00845E89"/>
    <w:rsid w:val="008466A3"/>
    <w:rsid w:val="00846712"/>
    <w:rsid w:val="00846731"/>
    <w:rsid w:val="008468A4"/>
    <w:rsid w:val="008468CD"/>
    <w:rsid w:val="008469C3"/>
    <w:rsid w:val="00846B20"/>
    <w:rsid w:val="00846BB7"/>
    <w:rsid w:val="008477D7"/>
    <w:rsid w:val="00847EEB"/>
    <w:rsid w:val="008501EF"/>
    <w:rsid w:val="0085060F"/>
    <w:rsid w:val="0085112B"/>
    <w:rsid w:val="00851333"/>
    <w:rsid w:val="0085168A"/>
    <w:rsid w:val="00851779"/>
    <w:rsid w:val="00851C40"/>
    <w:rsid w:val="00852677"/>
    <w:rsid w:val="00852BEE"/>
    <w:rsid w:val="00852DC8"/>
    <w:rsid w:val="00853078"/>
    <w:rsid w:val="0085357A"/>
    <w:rsid w:val="008537AA"/>
    <w:rsid w:val="00853D3B"/>
    <w:rsid w:val="0085430E"/>
    <w:rsid w:val="00854BB7"/>
    <w:rsid w:val="00854C8D"/>
    <w:rsid w:val="00855429"/>
    <w:rsid w:val="0085682F"/>
    <w:rsid w:val="00856904"/>
    <w:rsid w:val="008570C8"/>
    <w:rsid w:val="00857808"/>
    <w:rsid w:val="00857957"/>
    <w:rsid w:val="00860061"/>
    <w:rsid w:val="00860CBB"/>
    <w:rsid w:val="00860E63"/>
    <w:rsid w:val="00860E6D"/>
    <w:rsid w:val="00860F35"/>
    <w:rsid w:val="00861132"/>
    <w:rsid w:val="00862E95"/>
    <w:rsid w:val="00864F1E"/>
    <w:rsid w:val="00865870"/>
    <w:rsid w:val="00867143"/>
    <w:rsid w:val="0086742B"/>
    <w:rsid w:val="00870528"/>
    <w:rsid w:val="008708E1"/>
    <w:rsid w:val="008710DC"/>
    <w:rsid w:val="008711D2"/>
    <w:rsid w:val="00871E04"/>
    <w:rsid w:val="00871F97"/>
    <w:rsid w:val="008735D6"/>
    <w:rsid w:val="0087371F"/>
    <w:rsid w:val="00873A7D"/>
    <w:rsid w:val="00873DCA"/>
    <w:rsid w:val="00874157"/>
    <w:rsid w:val="008759D8"/>
    <w:rsid w:val="00875D89"/>
    <w:rsid w:val="00875EA8"/>
    <w:rsid w:val="008770C8"/>
    <w:rsid w:val="0087780A"/>
    <w:rsid w:val="00877B36"/>
    <w:rsid w:val="00880B5A"/>
    <w:rsid w:val="00880F8A"/>
    <w:rsid w:val="00881619"/>
    <w:rsid w:val="00881AA1"/>
    <w:rsid w:val="00881CDA"/>
    <w:rsid w:val="00881D4F"/>
    <w:rsid w:val="00883375"/>
    <w:rsid w:val="00883F0E"/>
    <w:rsid w:val="00884258"/>
    <w:rsid w:val="00884644"/>
    <w:rsid w:val="00884C8C"/>
    <w:rsid w:val="00885189"/>
    <w:rsid w:val="00885803"/>
    <w:rsid w:val="008861AF"/>
    <w:rsid w:val="008862E0"/>
    <w:rsid w:val="008875BA"/>
    <w:rsid w:val="00887821"/>
    <w:rsid w:val="00887A9A"/>
    <w:rsid w:val="00887D35"/>
    <w:rsid w:val="008901C8"/>
    <w:rsid w:val="00891E1D"/>
    <w:rsid w:val="00891F7F"/>
    <w:rsid w:val="0089279B"/>
    <w:rsid w:val="008927E8"/>
    <w:rsid w:val="00893892"/>
    <w:rsid w:val="00893D31"/>
    <w:rsid w:val="00894896"/>
    <w:rsid w:val="00894C87"/>
    <w:rsid w:val="00894DE8"/>
    <w:rsid w:val="00895D7E"/>
    <w:rsid w:val="00895F70"/>
    <w:rsid w:val="0089683D"/>
    <w:rsid w:val="00897DD4"/>
    <w:rsid w:val="008A067B"/>
    <w:rsid w:val="008A0AB7"/>
    <w:rsid w:val="008A137C"/>
    <w:rsid w:val="008A26B3"/>
    <w:rsid w:val="008A2B1A"/>
    <w:rsid w:val="008A2DA3"/>
    <w:rsid w:val="008A3023"/>
    <w:rsid w:val="008A31FB"/>
    <w:rsid w:val="008A33B1"/>
    <w:rsid w:val="008A5C4D"/>
    <w:rsid w:val="008A63D7"/>
    <w:rsid w:val="008A6D51"/>
    <w:rsid w:val="008A6DA8"/>
    <w:rsid w:val="008A745F"/>
    <w:rsid w:val="008A7D00"/>
    <w:rsid w:val="008B0F3C"/>
    <w:rsid w:val="008B178D"/>
    <w:rsid w:val="008B1800"/>
    <w:rsid w:val="008B1F3A"/>
    <w:rsid w:val="008B205D"/>
    <w:rsid w:val="008B2534"/>
    <w:rsid w:val="008B2575"/>
    <w:rsid w:val="008B2BC7"/>
    <w:rsid w:val="008B2CB7"/>
    <w:rsid w:val="008B2D61"/>
    <w:rsid w:val="008B3735"/>
    <w:rsid w:val="008B4AC2"/>
    <w:rsid w:val="008B5586"/>
    <w:rsid w:val="008B5686"/>
    <w:rsid w:val="008B5D27"/>
    <w:rsid w:val="008B6751"/>
    <w:rsid w:val="008B6C87"/>
    <w:rsid w:val="008B6D46"/>
    <w:rsid w:val="008B702E"/>
    <w:rsid w:val="008B73C3"/>
    <w:rsid w:val="008C01F9"/>
    <w:rsid w:val="008C0EBA"/>
    <w:rsid w:val="008C0F6E"/>
    <w:rsid w:val="008C117F"/>
    <w:rsid w:val="008C11D0"/>
    <w:rsid w:val="008C1FDA"/>
    <w:rsid w:val="008C2C2C"/>
    <w:rsid w:val="008C3283"/>
    <w:rsid w:val="008C381D"/>
    <w:rsid w:val="008C3D84"/>
    <w:rsid w:val="008C4081"/>
    <w:rsid w:val="008C533F"/>
    <w:rsid w:val="008C63DE"/>
    <w:rsid w:val="008C64A6"/>
    <w:rsid w:val="008C76D0"/>
    <w:rsid w:val="008C7E5F"/>
    <w:rsid w:val="008D0806"/>
    <w:rsid w:val="008D1552"/>
    <w:rsid w:val="008D1AD9"/>
    <w:rsid w:val="008D1E10"/>
    <w:rsid w:val="008D1EB3"/>
    <w:rsid w:val="008D2A79"/>
    <w:rsid w:val="008D2E02"/>
    <w:rsid w:val="008D3C32"/>
    <w:rsid w:val="008D4594"/>
    <w:rsid w:val="008D4D38"/>
    <w:rsid w:val="008D54E3"/>
    <w:rsid w:val="008D5A4A"/>
    <w:rsid w:val="008D61EE"/>
    <w:rsid w:val="008D6C4B"/>
    <w:rsid w:val="008D72F1"/>
    <w:rsid w:val="008E0342"/>
    <w:rsid w:val="008E0DE0"/>
    <w:rsid w:val="008E1667"/>
    <w:rsid w:val="008E1991"/>
    <w:rsid w:val="008E1A52"/>
    <w:rsid w:val="008E2A5D"/>
    <w:rsid w:val="008E3589"/>
    <w:rsid w:val="008E380B"/>
    <w:rsid w:val="008E383C"/>
    <w:rsid w:val="008E388F"/>
    <w:rsid w:val="008E5134"/>
    <w:rsid w:val="008E5BE0"/>
    <w:rsid w:val="008E63C7"/>
    <w:rsid w:val="008E7560"/>
    <w:rsid w:val="008E76E6"/>
    <w:rsid w:val="008E7940"/>
    <w:rsid w:val="008E7F9D"/>
    <w:rsid w:val="008F0293"/>
    <w:rsid w:val="008F256B"/>
    <w:rsid w:val="008F2684"/>
    <w:rsid w:val="008F2D71"/>
    <w:rsid w:val="008F3BB2"/>
    <w:rsid w:val="008F441E"/>
    <w:rsid w:val="008F4866"/>
    <w:rsid w:val="008F4912"/>
    <w:rsid w:val="008F5358"/>
    <w:rsid w:val="008F538B"/>
    <w:rsid w:val="008F597E"/>
    <w:rsid w:val="008F5BEC"/>
    <w:rsid w:val="008F6211"/>
    <w:rsid w:val="008F709B"/>
    <w:rsid w:val="008F7E03"/>
    <w:rsid w:val="008F7E22"/>
    <w:rsid w:val="008F7E43"/>
    <w:rsid w:val="00901C3C"/>
    <w:rsid w:val="00902364"/>
    <w:rsid w:val="00902FB2"/>
    <w:rsid w:val="00904BB5"/>
    <w:rsid w:val="00905548"/>
    <w:rsid w:val="00905C3B"/>
    <w:rsid w:val="0090674A"/>
    <w:rsid w:val="009072BC"/>
    <w:rsid w:val="00907D16"/>
    <w:rsid w:val="00907F3C"/>
    <w:rsid w:val="00910BBC"/>
    <w:rsid w:val="00910EAC"/>
    <w:rsid w:val="00912219"/>
    <w:rsid w:val="00912579"/>
    <w:rsid w:val="00912864"/>
    <w:rsid w:val="00912970"/>
    <w:rsid w:val="00913134"/>
    <w:rsid w:val="009133EB"/>
    <w:rsid w:val="00914847"/>
    <w:rsid w:val="0091499B"/>
    <w:rsid w:val="00915149"/>
    <w:rsid w:val="0091517B"/>
    <w:rsid w:val="00915812"/>
    <w:rsid w:val="009161F1"/>
    <w:rsid w:val="00916487"/>
    <w:rsid w:val="009169F8"/>
    <w:rsid w:val="0091729C"/>
    <w:rsid w:val="00917957"/>
    <w:rsid w:val="0092083E"/>
    <w:rsid w:val="00920B36"/>
    <w:rsid w:val="00921F2B"/>
    <w:rsid w:val="00922058"/>
    <w:rsid w:val="009223B2"/>
    <w:rsid w:val="0092283F"/>
    <w:rsid w:val="00923638"/>
    <w:rsid w:val="00923B20"/>
    <w:rsid w:val="00923DAC"/>
    <w:rsid w:val="009244EE"/>
    <w:rsid w:val="00924DF4"/>
    <w:rsid w:val="00925095"/>
    <w:rsid w:val="009252BA"/>
    <w:rsid w:val="00925C18"/>
    <w:rsid w:val="00927066"/>
    <w:rsid w:val="0092728E"/>
    <w:rsid w:val="0093150A"/>
    <w:rsid w:val="00931776"/>
    <w:rsid w:val="00932FB6"/>
    <w:rsid w:val="0093374B"/>
    <w:rsid w:val="00934DB6"/>
    <w:rsid w:val="00935041"/>
    <w:rsid w:val="00935928"/>
    <w:rsid w:val="00936631"/>
    <w:rsid w:val="0093687D"/>
    <w:rsid w:val="00936BB4"/>
    <w:rsid w:val="00936C0A"/>
    <w:rsid w:val="00936CB6"/>
    <w:rsid w:val="00936CBC"/>
    <w:rsid w:val="009371B3"/>
    <w:rsid w:val="00937735"/>
    <w:rsid w:val="009405DA"/>
    <w:rsid w:val="00941234"/>
    <w:rsid w:val="009413BE"/>
    <w:rsid w:val="009415EF"/>
    <w:rsid w:val="009429EF"/>
    <w:rsid w:val="00942B10"/>
    <w:rsid w:val="00942FC7"/>
    <w:rsid w:val="00943048"/>
    <w:rsid w:val="00943A78"/>
    <w:rsid w:val="00943E32"/>
    <w:rsid w:val="00944306"/>
    <w:rsid w:val="009443B2"/>
    <w:rsid w:val="00944AB3"/>
    <w:rsid w:val="0094523F"/>
    <w:rsid w:val="00945686"/>
    <w:rsid w:val="00947409"/>
    <w:rsid w:val="00950609"/>
    <w:rsid w:val="00950839"/>
    <w:rsid w:val="0095209D"/>
    <w:rsid w:val="00952811"/>
    <w:rsid w:val="009535E3"/>
    <w:rsid w:val="00953602"/>
    <w:rsid w:val="00954229"/>
    <w:rsid w:val="009545A3"/>
    <w:rsid w:val="009551F2"/>
    <w:rsid w:val="00955245"/>
    <w:rsid w:val="00955711"/>
    <w:rsid w:val="00955846"/>
    <w:rsid w:val="00957370"/>
    <w:rsid w:val="009573CA"/>
    <w:rsid w:val="00957F15"/>
    <w:rsid w:val="00957F30"/>
    <w:rsid w:val="00960C07"/>
    <w:rsid w:val="00960C10"/>
    <w:rsid w:val="00960D7D"/>
    <w:rsid w:val="00960DD2"/>
    <w:rsid w:val="00963072"/>
    <w:rsid w:val="00963AD3"/>
    <w:rsid w:val="00963D08"/>
    <w:rsid w:val="00964554"/>
    <w:rsid w:val="00964ADF"/>
    <w:rsid w:val="009659EC"/>
    <w:rsid w:val="009661BD"/>
    <w:rsid w:val="00967234"/>
    <w:rsid w:val="00967279"/>
    <w:rsid w:val="00967580"/>
    <w:rsid w:val="0096766C"/>
    <w:rsid w:val="00970363"/>
    <w:rsid w:val="00970BAB"/>
    <w:rsid w:val="0097131F"/>
    <w:rsid w:val="00972EA4"/>
    <w:rsid w:val="00973172"/>
    <w:rsid w:val="00973FA3"/>
    <w:rsid w:val="009740AE"/>
    <w:rsid w:val="00974361"/>
    <w:rsid w:val="009743F4"/>
    <w:rsid w:val="00974ADF"/>
    <w:rsid w:val="0097618F"/>
    <w:rsid w:val="009765FA"/>
    <w:rsid w:val="0097722D"/>
    <w:rsid w:val="009804C1"/>
    <w:rsid w:val="00980705"/>
    <w:rsid w:val="00980F25"/>
    <w:rsid w:val="00980FE1"/>
    <w:rsid w:val="00981256"/>
    <w:rsid w:val="009816B2"/>
    <w:rsid w:val="0098170D"/>
    <w:rsid w:val="009826DC"/>
    <w:rsid w:val="00982FAC"/>
    <w:rsid w:val="009834A0"/>
    <w:rsid w:val="00983E39"/>
    <w:rsid w:val="00984DD5"/>
    <w:rsid w:val="0098532F"/>
    <w:rsid w:val="00985864"/>
    <w:rsid w:val="009858CF"/>
    <w:rsid w:val="00985D19"/>
    <w:rsid w:val="00986FC9"/>
    <w:rsid w:val="0099020D"/>
    <w:rsid w:val="009903FA"/>
    <w:rsid w:val="0099042B"/>
    <w:rsid w:val="0099073D"/>
    <w:rsid w:val="0099216D"/>
    <w:rsid w:val="00992DBB"/>
    <w:rsid w:val="00993BB9"/>
    <w:rsid w:val="00994ACD"/>
    <w:rsid w:val="00995736"/>
    <w:rsid w:val="009958C5"/>
    <w:rsid w:val="00997C9B"/>
    <w:rsid w:val="009A0165"/>
    <w:rsid w:val="009A01F5"/>
    <w:rsid w:val="009A0205"/>
    <w:rsid w:val="009A035D"/>
    <w:rsid w:val="009A06E4"/>
    <w:rsid w:val="009A0B64"/>
    <w:rsid w:val="009A0DE5"/>
    <w:rsid w:val="009A0F46"/>
    <w:rsid w:val="009A1B5D"/>
    <w:rsid w:val="009A21DA"/>
    <w:rsid w:val="009A2373"/>
    <w:rsid w:val="009A2740"/>
    <w:rsid w:val="009A2840"/>
    <w:rsid w:val="009A289D"/>
    <w:rsid w:val="009A3A3A"/>
    <w:rsid w:val="009A4249"/>
    <w:rsid w:val="009A47DB"/>
    <w:rsid w:val="009A511B"/>
    <w:rsid w:val="009A5EBE"/>
    <w:rsid w:val="009A6307"/>
    <w:rsid w:val="009A63F9"/>
    <w:rsid w:val="009A6AA5"/>
    <w:rsid w:val="009A7892"/>
    <w:rsid w:val="009B08B6"/>
    <w:rsid w:val="009B1A1F"/>
    <w:rsid w:val="009B1C49"/>
    <w:rsid w:val="009B39B1"/>
    <w:rsid w:val="009B48E8"/>
    <w:rsid w:val="009B49D6"/>
    <w:rsid w:val="009B4FC2"/>
    <w:rsid w:val="009B7FEA"/>
    <w:rsid w:val="009C0968"/>
    <w:rsid w:val="009C0CFC"/>
    <w:rsid w:val="009C0D4F"/>
    <w:rsid w:val="009C0F6B"/>
    <w:rsid w:val="009C11B4"/>
    <w:rsid w:val="009C15E8"/>
    <w:rsid w:val="009C1697"/>
    <w:rsid w:val="009C1E8C"/>
    <w:rsid w:val="009C2D54"/>
    <w:rsid w:val="009C36B6"/>
    <w:rsid w:val="009C3CB8"/>
    <w:rsid w:val="009C3E5F"/>
    <w:rsid w:val="009C3EAB"/>
    <w:rsid w:val="009C4E42"/>
    <w:rsid w:val="009C4FA9"/>
    <w:rsid w:val="009C52E2"/>
    <w:rsid w:val="009C5487"/>
    <w:rsid w:val="009C584B"/>
    <w:rsid w:val="009C5A20"/>
    <w:rsid w:val="009C6400"/>
    <w:rsid w:val="009C64D4"/>
    <w:rsid w:val="009C6662"/>
    <w:rsid w:val="009C6E84"/>
    <w:rsid w:val="009C7877"/>
    <w:rsid w:val="009D0490"/>
    <w:rsid w:val="009D0721"/>
    <w:rsid w:val="009D0A06"/>
    <w:rsid w:val="009D0A14"/>
    <w:rsid w:val="009D0B1E"/>
    <w:rsid w:val="009D10DA"/>
    <w:rsid w:val="009D153F"/>
    <w:rsid w:val="009D2585"/>
    <w:rsid w:val="009D303D"/>
    <w:rsid w:val="009D30F3"/>
    <w:rsid w:val="009D337F"/>
    <w:rsid w:val="009D3380"/>
    <w:rsid w:val="009D3685"/>
    <w:rsid w:val="009D3735"/>
    <w:rsid w:val="009D4440"/>
    <w:rsid w:val="009D4DF1"/>
    <w:rsid w:val="009D6A1D"/>
    <w:rsid w:val="009D6A85"/>
    <w:rsid w:val="009D738D"/>
    <w:rsid w:val="009D73C4"/>
    <w:rsid w:val="009D7594"/>
    <w:rsid w:val="009D7C10"/>
    <w:rsid w:val="009D7C5F"/>
    <w:rsid w:val="009E09F6"/>
    <w:rsid w:val="009E10CA"/>
    <w:rsid w:val="009E155F"/>
    <w:rsid w:val="009E160D"/>
    <w:rsid w:val="009E1A51"/>
    <w:rsid w:val="009E4701"/>
    <w:rsid w:val="009E4CF7"/>
    <w:rsid w:val="009E5195"/>
    <w:rsid w:val="009E5332"/>
    <w:rsid w:val="009E5BBD"/>
    <w:rsid w:val="009E5DBB"/>
    <w:rsid w:val="009E6BEA"/>
    <w:rsid w:val="009E6CB3"/>
    <w:rsid w:val="009E7509"/>
    <w:rsid w:val="009E7955"/>
    <w:rsid w:val="009F0646"/>
    <w:rsid w:val="009F0CEF"/>
    <w:rsid w:val="009F1492"/>
    <w:rsid w:val="009F2540"/>
    <w:rsid w:val="009F2548"/>
    <w:rsid w:val="009F27D9"/>
    <w:rsid w:val="009F2B33"/>
    <w:rsid w:val="009F2FD1"/>
    <w:rsid w:val="009F3529"/>
    <w:rsid w:val="009F3A7D"/>
    <w:rsid w:val="009F4D04"/>
    <w:rsid w:val="009F4EFB"/>
    <w:rsid w:val="009F523B"/>
    <w:rsid w:val="009F56F4"/>
    <w:rsid w:val="009F59A4"/>
    <w:rsid w:val="009F5E18"/>
    <w:rsid w:val="009F649C"/>
    <w:rsid w:val="009F68C7"/>
    <w:rsid w:val="009F709D"/>
    <w:rsid w:val="009F749C"/>
    <w:rsid w:val="009F7D19"/>
    <w:rsid w:val="00A006D8"/>
    <w:rsid w:val="00A00E28"/>
    <w:rsid w:val="00A00E8E"/>
    <w:rsid w:val="00A01655"/>
    <w:rsid w:val="00A016DA"/>
    <w:rsid w:val="00A018DB"/>
    <w:rsid w:val="00A01DAD"/>
    <w:rsid w:val="00A02130"/>
    <w:rsid w:val="00A02350"/>
    <w:rsid w:val="00A0242A"/>
    <w:rsid w:val="00A025A0"/>
    <w:rsid w:val="00A02DBB"/>
    <w:rsid w:val="00A02EC0"/>
    <w:rsid w:val="00A03175"/>
    <w:rsid w:val="00A036D3"/>
    <w:rsid w:val="00A0470C"/>
    <w:rsid w:val="00A0493F"/>
    <w:rsid w:val="00A051A8"/>
    <w:rsid w:val="00A05868"/>
    <w:rsid w:val="00A05F60"/>
    <w:rsid w:val="00A06782"/>
    <w:rsid w:val="00A0681D"/>
    <w:rsid w:val="00A069B5"/>
    <w:rsid w:val="00A075BF"/>
    <w:rsid w:val="00A10033"/>
    <w:rsid w:val="00A102C9"/>
    <w:rsid w:val="00A10C65"/>
    <w:rsid w:val="00A11B01"/>
    <w:rsid w:val="00A11B6F"/>
    <w:rsid w:val="00A11FDC"/>
    <w:rsid w:val="00A12735"/>
    <w:rsid w:val="00A12B2F"/>
    <w:rsid w:val="00A14342"/>
    <w:rsid w:val="00A149BB"/>
    <w:rsid w:val="00A152AD"/>
    <w:rsid w:val="00A16121"/>
    <w:rsid w:val="00A16CB8"/>
    <w:rsid w:val="00A1721E"/>
    <w:rsid w:val="00A17868"/>
    <w:rsid w:val="00A17A96"/>
    <w:rsid w:val="00A17BE5"/>
    <w:rsid w:val="00A17C12"/>
    <w:rsid w:val="00A203AE"/>
    <w:rsid w:val="00A20D8B"/>
    <w:rsid w:val="00A20E47"/>
    <w:rsid w:val="00A21658"/>
    <w:rsid w:val="00A21BBE"/>
    <w:rsid w:val="00A221B0"/>
    <w:rsid w:val="00A225A5"/>
    <w:rsid w:val="00A23979"/>
    <w:rsid w:val="00A23B7E"/>
    <w:rsid w:val="00A2422B"/>
    <w:rsid w:val="00A24622"/>
    <w:rsid w:val="00A247F6"/>
    <w:rsid w:val="00A24BD8"/>
    <w:rsid w:val="00A24DA0"/>
    <w:rsid w:val="00A24E80"/>
    <w:rsid w:val="00A27303"/>
    <w:rsid w:val="00A27629"/>
    <w:rsid w:val="00A27BDD"/>
    <w:rsid w:val="00A27E04"/>
    <w:rsid w:val="00A300A6"/>
    <w:rsid w:val="00A30524"/>
    <w:rsid w:val="00A31B3C"/>
    <w:rsid w:val="00A31DB4"/>
    <w:rsid w:val="00A32C85"/>
    <w:rsid w:val="00A3383E"/>
    <w:rsid w:val="00A33C91"/>
    <w:rsid w:val="00A33E44"/>
    <w:rsid w:val="00A34046"/>
    <w:rsid w:val="00A3510D"/>
    <w:rsid w:val="00A35C15"/>
    <w:rsid w:val="00A368F2"/>
    <w:rsid w:val="00A36E32"/>
    <w:rsid w:val="00A37E36"/>
    <w:rsid w:val="00A40023"/>
    <w:rsid w:val="00A41403"/>
    <w:rsid w:val="00A415F9"/>
    <w:rsid w:val="00A41CB2"/>
    <w:rsid w:val="00A43A76"/>
    <w:rsid w:val="00A44207"/>
    <w:rsid w:val="00A44394"/>
    <w:rsid w:val="00A444E7"/>
    <w:rsid w:val="00A44AB0"/>
    <w:rsid w:val="00A44E02"/>
    <w:rsid w:val="00A45429"/>
    <w:rsid w:val="00A4581E"/>
    <w:rsid w:val="00A46C1C"/>
    <w:rsid w:val="00A47559"/>
    <w:rsid w:val="00A47C7E"/>
    <w:rsid w:val="00A47DCB"/>
    <w:rsid w:val="00A47DEF"/>
    <w:rsid w:val="00A503EA"/>
    <w:rsid w:val="00A50591"/>
    <w:rsid w:val="00A50B66"/>
    <w:rsid w:val="00A50BCF"/>
    <w:rsid w:val="00A50D1E"/>
    <w:rsid w:val="00A50E95"/>
    <w:rsid w:val="00A51898"/>
    <w:rsid w:val="00A526C6"/>
    <w:rsid w:val="00A53FF8"/>
    <w:rsid w:val="00A5434E"/>
    <w:rsid w:val="00A5475B"/>
    <w:rsid w:val="00A54A27"/>
    <w:rsid w:val="00A54A39"/>
    <w:rsid w:val="00A55036"/>
    <w:rsid w:val="00A550D5"/>
    <w:rsid w:val="00A55169"/>
    <w:rsid w:val="00A551DD"/>
    <w:rsid w:val="00A55ABE"/>
    <w:rsid w:val="00A55ACC"/>
    <w:rsid w:val="00A55F72"/>
    <w:rsid w:val="00A56399"/>
    <w:rsid w:val="00A5672F"/>
    <w:rsid w:val="00A567D4"/>
    <w:rsid w:val="00A56AB9"/>
    <w:rsid w:val="00A57000"/>
    <w:rsid w:val="00A57246"/>
    <w:rsid w:val="00A57DFA"/>
    <w:rsid w:val="00A60E07"/>
    <w:rsid w:val="00A60F0B"/>
    <w:rsid w:val="00A61BB0"/>
    <w:rsid w:val="00A62B12"/>
    <w:rsid w:val="00A631C3"/>
    <w:rsid w:val="00A63248"/>
    <w:rsid w:val="00A6371C"/>
    <w:rsid w:val="00A63DD3"/>
    <w:rsid w:val="00A642B4"/>
    <w:rsid w:val="00A64FBC"/>
    <w:rsid w:val="00A66C63"/>
    <w:rsid w:val="00A66F40"/>
    <w:rsid w:val="00A66F46"/>
    <w:rsid w:val="00A66FF4"/>
    <w:rsid w:val="00A67789"/>
    <w:rsid w:val="00A6791D"/>
    <w:rsid w:val="00A7027F"/>
    <w:rsid w:val="00A705C7"/>
    <w:rsid w:val="00A7064D"/>
    <w:rsid w:val="00A71BC1"/>
    <w:rsid w:val="00A71F66"/>
    <w:rsid w:val="00A7249D"/>
    <w:rsid w:val="00A72579"/>
    <w:rsid w:val="00A72AB3"/>
    <w:rsid w:val="00A72CB3"/>
    <w:rsid w:val="00A734C0"/>
    <w:rsid w:val="00A741F5"/>
    <w:rsid w:val="00A7450C"/>
    <w:rsid w:val="00A74A1B"/>
    <w:rsid w:val="00A755B7"/>
    <w:rsid w:val="00A806F1"/>
    <w:rsid w:val="00A80BB5"/>
    <w:rsid w:val="00A818A9"/>
    <w:rsid w:val="00A81C9B"/>
    <w:rsid w:val="00A81D07"/>
    <w:rsid w:val="00A823E3"/>
    <w:rsid w:val="00A83204"/>
    <w:rsid w:val="00A83CD9"/>
    <w:rsid w:val="00A83FB5"/>
    <w:rsid w:val="00A847E6"/>
    <w:rsid w:val="00A8496C"/>
    <w:rsid w:val="00A84E4D"/>
    <w:rsid w:val="00A87C75"/>
    <w:rsid w:val="00A9060A"/>
    <w:rsid w:val="00A91447"/>
    <w:rsid w:val="00A91456"/>
    <w:rsid w:val="00A91CA2"/>
    <w:rsid w:val="00A92265"/>
    <w:rsid w:val="00A92624"/>
    <w:rsid w:val="00A92B1A"/>
    <w:rsid w:val="00A946B4"/>
    <w:rsid w:val="00A94B6A"/>
    <w:rsid w:val="00A95799"/>
    <w:rsid w:val="00A95B04"/>
    <w:rsid w:val="00A95FB7"/>
    <w:rsid w:val="00A96117"/>
    <w:rsid w:val="00A96296"/>
    <w:rsid w:val="00A964D5"/>
    <w:rsid w:val="00A96540"/>
    <w:rsid w:val="00A97F4E"/>
    <w:rsid w:val="00AA041B"/>
    <w:rsid w:val="00AA08E1"/>
    <w:rsid w:val="00AA1D75"/>
    <w:rsid w:val="00AA2097"/>
    <w:rsid w:val="00AA237D"/>
    <w:rsid w:val="00AA2499"/>
    <w:rsid w:val="00AA3291"/>
    <w:rsid w:val="00AA3B00"/>
    <w:rsid w:val="00AA3CEF"/>
    <w:rsid w:val="00AA41C1"/>
    <w:rsid w:val="00AA436D"/>
    <w:rsid w:val="00AA5AA1"/>
    <w:rsid w:val="00AA6F07"/>
    <w:rsid w:val="00AA73CD"/>
    <w:rsid w:val="00AA7499"/>
    <w:rsid w:val="00AA79E3"/>
    <w:rsid w:val="00AA7D9C"/>
    <w:rsid w:val="00AB0938"/>
    <w:rsid w:val="00AB14A1"/>
    <w:rsid w:val="00AB1AC2"/>
    <w:rsid w:val="00AB1DEF"/>
    <w:rsid w:val="00AB2333"/>
    <w:rsid w:val="00AB28F6"/>
    <w:rsid w:val="00AB2F0D"/>
    <w:rsid w:val="00AB31D2"/>
    <w:rsid w:val="00AB4076"/>
    <w:rsid w:val="00AB465D"/>
    <w:rsid w:val="00AB4822"/>
    <w:rsid w:val="00AB4C71"/>
    <w:rsid w:val="00AB51DC"/>
    <w:rsid w:val="00AB5520"/>
    <w:rsid w:val="00AB58AE"/>
    <w:rsid w:val="00AB5931"/>
    <w:rsid w:val="00AB67DB"/>
    <w:rsid w:val="00AB74B3"/>
    <w:rsid w:val="00AB7851"/>
    <w:rsid w:val="00AC1A3C"/>
    <w:rsid w:val="00AC233A"/>
    <w:rsid w:val="00AC37FA"/>
    <w:rsid w:val="00AC3DCB"/>
    <w:rsid w:val="00AC4026"/>
    <w:rsid w:val="00AC4072"/>
    <w:rsid w:val="00AC4288"/>
    <w:rsid w:val="00AC48E4"/>
    <w:rsid w:val="00AC4DBB"/>
    <w:rsid w:val="00AC64B2"/>
    <w:rsid w:val="00AC65B1"/>
    <w:rsid w:val="00AC7193"/>
    <w:rsid w:val="00AC7A65"/>
    <w:rsid w:val="00AC7F97"/>
    <w:rsid w:val="00AD068E"/>
    <w:rsid w:val="00AD0EC4"/>
    <w:rsid w:val="00AD172B"/>
    <w:rsid w:val="00AD1B27"/>
    <w:rsid w:val="00AD1C38"/>
    <w:rsid w:val="00AD2572"/>
    <w:rsid w:val="00AD2733"/>
    <w:rsid w:val="00AD2776"/>
    <w:rsid w:val="00AD2A4A"/>
    <w:rsid w:val="00AD2C18"/>
    <w:rsid w:val="00AD2D0A"/>
    <w:rsid w:val="00AD2ECF"/>
    <w:rsid w:val="00AD304B"/>
    <w:rsid w:val="00AD39CE"/>
    <w:rsid w:val="00AD3A72"/>
    <w:rsid w:val="00AD4185"/>
    <w:rsid w:val="00AD433F"/>
    <w:rsid w:val="00AD46B5"/>
    <w:rsid w:val="00AD4EC4"/>
    <w:rsid w:val="00AD4F47"/>
    <w:rsid w:val="00AD6508"/>
    <w:rsid w:val="00AD68EF"/>
    <w:rsid w:val="00AD69F5"/>
    <w:rsid w:val="00AD7E6C"/>
    <w:rsid w:val="00AE0214"/>
    <w:rsid w:val="00AE0389"/>
    <w:rsid w:val="00AE0BB2"/>
    <w:rsid w:val="00AE10F5"/>
    <w:rsid w:val="00AE11DC"/>
    <w:rsid w:val="00AE14B2"/>
    <w:rsid w:val="00AE268E"/>
    <w:rsid w:val="00AE39A1"/>
    <w:rsid w:val="00AE4C00"/>
    <w:rsid w:val="00AE5B8E"/>
    <w:rsid w:val="00AE695E"/>
    <w:rsid w:val="00AE69EE"/>
    <w:rsid w:val="00AE6D5F"/>
    <w:rsid w:val="00AE6E7D"/>
    <w:rsid w:val="00AE6E96"/>
    <w:rsid w:val="00AE778D"/>
    <w:rsid w:val="00AE7C3D"/>
    <w:rsid w:val="00AE7FF1"/>
    <w:rsid w:val="00AF03C1"/>
    <w:rsid w:val="00AF0674"/>
    <w:rsid w:val="00AF06F6"/>
    <w:rsid w:val="00AF12CF"/>
    <w:rsid w:val="00AF14FB"/>
    <w:rsid w:val="00AF1AC1"/>
    <w:rsid w:val="00AF2467"/>
    <w:rsid w:val="00AF2E56"/>
    <w:rsid w:val="00AF35F8"/>
    <w:rsid w:val="00AF3A31"/>
    <w:rsid w:val="00AF3B7F"/>
    <w:rsid w:val="00AF4074"/>
    <w:rsid w:val="00AF581A"/>
    <w:rsid w:val="00AF5981"/>
    <w:rsid w:val="00AF6545"/>
    <w:rsid w:val="00B000EB"/>
    <w:rsid w:val="00B00105"/>
    <w:rsid w:val="00B00279"/>
    <w:rsid w:val="00B00707"/>
    <w:rsid w:val="00B012A6"/>
    <w:rsid w:val="00B01FA7"/>
    <w:rsid w:val="00B02DA0"/>
    <w:rsid w:val="00B030E7"/>
    <w:rsid w:val="00B037E1"/>
    <w:rsid w:val="00B0399B"/>
    <w:rsid w:val="00B048D3"/>
    <w:rsid w:val="00B04C4B"/>
    <w:rsid w:val="00B04DDE"/>
    <w:rsid w:val="00B055AD"/>
    <w:rsid w:val="00B0607B"/>
    <w:rsid w:val="00B061AB"/>
    <w:rsid w:val="00B10DF2"/>
    <w:rsid w:val="00B121B4"/>
    <w:rsid w:val="00B12355"/>
    <w:rsid w:val="00B1235C"/>
    <w:rsid w:val="00B12B95"/>
    <w:rsid w:val="00B12EA2"/>
    <w:rsid w:val="00B133B6"/>
    <w:rsid w:val="00B138EA"/>
    <w:rsid w:val="00B13AB9"/>
    <w:rsid w:val="00B13E03"/>
    <w:rsid w:val="00B13E92"/>
    <w:rsid w:val="00B1416B"/>
    <w:rsid w:val="00B146D5"/>
    <w:rsid w:val="00B14B86"/>
    <w:rsid w:val="00B1504F"/>
    <w:rsid w:val="00B15653"/>
    <w:rsid w:val="00B15782"/>
    <w:rsid w:val="00B1588A"/>
    <w:rsid w:val="00B15980"/>
    <w:rsid w:val="00B1623C"/>
    <w:rsid w:val="00B1737E"/>
    <w:rsid w:val="00B201C0"/>
    <w:rsid w:val="00B22B65"/>
    <w:rsid w:val="00B23168"/>
    <w:rsid w:val="00B236E8"/>
    <w:rsid w:val="00B239A9"/>
    <w:rsid w:val="00B23AA5"/>
    <w:rsid w:val="00B24AD1"/>
    <w:rsid w:val="00B24B34"/>
    <w:rsid w:val="00B253A6"/>
    <w:rsid w:val="00B256A7"/>
    <w:rsid w:val="00B25B89"/>
    <w:rsid w:val="00B263D3"/>
    <w:rsid w:val="00B265BA"/>
    <w:rsid w:val="00B27668"/>
    <w:rsid w:val="00B27776"/>
    <w:rsid w:val="00B3005F"/>
    <w:rsid w:val="00B30124"/>
    <w:rsid w:val="00B319AA"/>
    <w:rsid w:val="00B3275A"/>
    <w:rsid w:val="00B3368E"/>
    <w:rsid w:val="00B33693"/>
    <w:rsid w:val="00B340EF"/>
    <w:rsid w:val="00B34638"/>
    <w:rsid w:val="00B3477D"/>
    <w:rsid w:val="00B34998"/>
    <w:rsid w:val="00B34F1B"/>
    <w:rsid w:val="00B36478"/>
    <w:rsid w:val="00B36563"/>
    <w:rsid w:val="00B3753E"/>
    <w:rsid w:val="00B37695"/>
    <w:rsid w:val="00B3776B"/>
    <w:rsid w:val="00B37A99"/>
    <w:rsid w:val="00B404DD"/>
    <w:rsid w:val="00B4119E"/>
    <w:rsid w:val="00B411C3"/>
    <w:rsid w:val="00B427BD"/>
    <w:rsid w:val="00B42BCF"/>
    <w:rsid w:val="00B42D82"/>
    <w:rsid w:val="00B433CD"/>
    <w:rsid w:val="00B43D3F"/>
    <w:rsid w:val="00B45202"/>
    <w:rsid w:val="00B455BE"/>
    <w:rsid w:val="00B4698F"/>
    <w:rsid w:val="00B46CD3"/>
    <w:rsid w:val="00B46F3E"/>
    <w:rsid w:val="00B4727B"/>
    <w:rsid w:val="00B50A08"/>
    <w:rsid w:val="00B50AFD"/>
    <w:rsid w:val="00B51237"/>
    <w:rsid w:val="00B5196E"/>
    <w:rsid w:val="00B523EB"/>
    <w:rsid w:val="00B529DE"/>
    <w:rsid w:val="00B535B9"/>
    <w:rsid w:val="00B53D68"/>
    <w:rsid w:val="00B54A08"/>
    <w:rsid w:val="00B54C29"/>
    <w:rsid w:val="00B54EA2"/>
    <w:rsid w:val="00B57120"/>
    <w:rsid w:val="00B57B4C"/>
    <w:rsid w:val="00B57E30"/>
    <w:rsid w:val="00B626EA"/>
    <w:rsid w:val="00B62720"/>
    <w:rsid w:val="00B62875"/>
    <w:rsid w:val="00B62F42"/>
    <w:rsid w:val="00B62FB9"/>
    <w:rsid w:val="00B63128"/>
    <w:rsid w:val="00B6323B"/>
    <w:rsid w:val="00B634F6"/>
    <w:rsid w:val="00B64006"/>
    <w:rsid w:val="00B646A5"/>
    <w:rsid w:val="00B64E05"/>
    <w:rsid w:val="00B64F46"/>
    <w:rsid w:val="00B64F92"/>
    <w:rsid w:val="00B64FC1"/>
    <w:rsid w:val="00B66093"/>
    <w:rsid w:val="00B665B8"/>
    <w:rsid w:val="00B702B1"/>
    <w:rsid w:val="00B706B1"/>
    <w:rsid w:val="00B70C16"/>
    <w:rsid w:val="00B71FFF"/>
    <w:rsid w:val="00B72C5A"/>
    <w:rsid w:val="00B72D45"/>
    <w:rsid w:val="00B73273"/>
    <w:rsid w:val="00B737F9"/>
    <w:rsid w:val="00B74E41"/>
    <w:rsid w:val="00B7541E"/>
    <w:rsid w:val="00B75B22"/>
    <w:rsid w:val="00B7615C"/>
    <w:rsid w:val="00B767F5"/>
    <w:rsid w:val="00B7680F"/>
    <w:rsid w:val="00B801DD"/>
    <w:rsid w:val="00B80260"/>
    <w:rsid w:val="00B8047F"/>
    <w:rsid w:val="00B8067E"/>
    <w:rsid w:val="00B80F4A"/>
    <w:rsid w:val="00B812CC"/>
    <w:rsid w:val="00B816F4"/>
    <w:rsid w:val="00B819B9"/>
    <w:rsid w:val="00B82860"/>
    <w:rsid w:val="00B82D74"/>
    <w:rsid w:val="00B82E71"/>
    <w:rsid w:val="00B83D9B"/>
    <w:rsid w:val="00B83E21"/>
    <w:rsid w:val="00B8411E"/>
    <w:rsid w:val="00B84427"/>
    <w:rsid w:val="00B844F6"/>
    <w:rsid w:val="00B8465B"/>
    <w:rsid w:val="00B84983"/>
    <w:rsid w:val="00B84A3A"/>
    <w:rsid w:val="00B85BE3"/>
    <w:rsid w:val="00B86086"/>
    <w:rsid w:val="00B86626"/>
    <w:rsid w:val="00B86B2F"/>
    <w:rsid w:val="00B904F9"/>
    <w:rsid w:val="00B90EA1"/>
    <w:rsid w:val="00B910A1"/>
    <w:rsid w:val="00B91436"/>
    <w:rsid w:val="00B91782"/>
    <w:rsid w:val="00B921E7"/>
    <w:rsid w:val="00B92943"/>
    <w:rsid w:val="00B92E2F"/>
    <w:rsid w:val="00B9354F"/>
    <w:rsid w:val="00B94979"/>
    <w:rsid w:val="00B95FA3"/>
    <w:rsid w:val="00B9740A"/>
    <w:rsid w:val="00B9755C"/>
    <w:rsid w:val="00BA09FE"/>
    <w:rsid w:val="00BA147B"/>
    <w:rsid w:val="00BA19C4"/>
    <w:rsid w:val="00BA21A6"/>
    <w:rsid w:val="00BA3A5C"/>
    <w:rsid w:val="00BA3BC8"/>
    <w:rsid w:val="00BA4BEA"/>
    <w:rsid w:val="00BA4E0A"/>
    <w:rsid w:val="00BA6950"/>
    <w:rsid w:val="00BA762E"/>
    <w:rsid w:val="00BA7D7B"/>
    <w:rsid w:val="00BB06C9"/>
    <w:rsid w:val="00BB090D"/>
    <w:rsid w:val="00BB09C3"/>
    <w:rsid w:val="00BB0A9D"/>
    <w:rsid w:val="00BB0EEF"/>
    <w:rsid w:val="00BB0FAE"/>
    <w:rsid w:val="00BB1914"/>
    <w:rsid w:val="00BB2294"/>
    <w:rsid w:val="00BB29FC"/>
    <w:rsid w:val="00BB2BD9"/>
    <w:rsid w:val="00BB3C2D"/>
    <w:rsid w:val="00BB714A"/>
    <w:rsid w:val="00BB7E3D"/>
    <w:rsid w:val="00BC0E11"/>
    <w:rsid w:val="00BC0F69"/>
    <w:rsid w:val="00BC1037"/>
    <w:rsid w:val="00BC1B49"/>
    <w:rsid w:val="00BC2CD0"/>
    <w:rsid w:val="00BC365C"/>
    <w:rsid w:val="00BC4C4D"/>
    <w:rsid w:val="00BC4DAF"/>
    <w:rsid w:val="00BC5005"/>
    <w:rsid w:val="00BC5EC0"/>
    <w:rsid w:val="00BC6022"/>
    <w:rsid w:val="00BC62CF"/>
    <w:rsid w:val="00BC637B"/>
    <w:rsid w:val="00BC7F01"/>
    <w:rsid w:val="00BD056F"/>
    <w:rsid w:val="00BD0F15"/>
    <w:rsid w:val="00BD216D"/>
    <w:rsid w:val="00BD2506"/>
    <w:rsid w:val="00BD477B"/>
    <w:rsid w:val="00BD488C"/>
    <w:rsid w:val="00BD4CB9"/>
    <w:rsid w:val="00BD4E3B"/>
    <w:rsid w:val="00BD68EF"/>
    <w:rsid w:val="00BD73E6"/>
    <w:rsid w:val="00BD7DAF"/>
    <w:rsid w:val="00BD7FAE"/>
    <w:rsid w:val="00BE09C8"/>
    <w:rsid w:val="00BE0A92"/>
    <w:rsid w:val="00BE1850"/>
    <w:rsid w:val="00BE2B4E"/>
    <w:rsid w:val="00BE2C25"/>
    <w:rsid w:val="00BE2D02"/>
    <w:rsid w:val="00BE2E37"/>
    <w:rsid w:val="00BE3060"/>
    <w:rsid w:val="00BE336E"/>
    <w:rsid w:val="00BE342F"/>
    <w:rsid w:val="00BE3984"/>
    <w:rsid w:val="00BE3B57"/>
    <w:rsid w:val="00BE51D8"/>
    <w:rsid w:val="00BE5E59"/>
    <w:rsid w:val="00BE5F8D"/>
    <w:rsid w:val="00BF10B3"/>
    <w:rsid w:val="00BF1635"/>
    <w:rsid w:val="00BF16EB"/>
    <w:rsid w:val="00BF253B"/>
    <w:rsid w:val="00BF2B9A"/>
    <w:rsid w:val="00BF2C07"/>
    <w:rsid w:val="00BF2C4C"/>
    <w:rsid w:val="00BF39D4"/>
    <w:rsid w:val="00BF3E1B"/>
    <w:rsid w:val="00BF484C"/>
    <w:rsid w:val="00BF4F6E"/>
    <w:rsid w:val="00BF52D6"/>
    <w:rsid w:val="00BF589E"/>
    <w:rsid w:val="00BF6210"/>
    <w:rsid w:val="00BF6FF7"/>
    <w:rsid w:val="00BF7044"/>
    <w:rsid w:val="00BF7132"/>
    <w:rsid w:val="00BF7202"/>
    <w:rsid w:val="00C00DD2"/>
    <w:rsid w:val="00C00EAB"/>
    <w:rsid w:val="00C02164"/>
    <w:rsid w:val="00C02B6B"/>
    <w:rsid w:val="00C03181"/>
    <w:rsid w:val="00C0323A"/>
    <w:rsid w:val="00C034FE"/>
    <w:rsid w:val="00C039C6"/>
    <w:rsid w:val="00C04005"/>
    <w:rsid w:val="00C04347"/>
    <w:rsid w:val="00C045DE"/>
    <w:rsid w:val="00C04F94"/>
    <w:rsid w:val="00C051D1"/>
    <w:rsid w:val="00C069B4"/>
    <w:rsid w:val="00C071B9"/>
    <w:rsid w:val="00C0737C"/>
    <w:rsid w:val="00C076D1"/>
    <w:rsid w:val="00C10601"/>
    <w:rsid w:val="00C1084E"/>
    <w:rsid w:val="00C11103"/>
    <w:rsid w:val="00C116F0"/>
    <w:rsid w:val="00C117C5"/>
    <w:rsid w:val="00C11EE2"/>
    <w:rsid w:val="00C12120"/>
    <w:rsid w:val="00C134A7"/>
    <w:rsid w:val="00C13F6C"/>
    <w:rsid w:val="00C14D95"/>
    <w:rsid w:val="00C15E70"/>
    <w:rsid w:val="00C161B7"/>
    <w:rsid w:val="00C17BB0"/>
    <w:rsid w:val="00C17D29"/>
    <w:rsid w:val="00C2011C"/>
    <w:rsid w:val="00C205D4"/>
    <w:rsid w:val="00C22742"/>
    <w:rsid w:val="00C22FE0"/>
    <w:rsid w:val="00C2366F"/>
    <w:rsid w:val="00C23B6F"/>
    <w:rsid w:val="00C23C97"/>
    <w:rsid w:val="00C244DE"/>
    <w:rsid w:val="00C25639"/>
    <w:rsid w:val="00C2587B"/>
    <w:rsid w:val="00C25DF8"/>
    <w:rsid w:val="00C25E28"/>
    <w:rsid w:val="00C26A67"/>
    <w:rsid w:val="00C27C89"/>
    <w:rsid w:val="00C27E35"/>
    <w:rsid w:val="00C3052F"/>
    <w:rsid w:val="00C31E6E"/>
    <w:rsid w:val="00C32664"/>
    <w:rsid w:val="00C3316D"/>
    <w:rsid w:val="00C332B3"/>
    <w:rsid w:val="00C33C90"/>
    <w:rsid w:val="00C34E83"/>
    <w:rsid w:val="00C357E6"/>
    <w:rsid w:val="00C36090"/>
    <w:rsid w:val="00C36542"/>
    <w:rsid w:val="00C368E7"/>
    <w:rsid w:val="00C36AAB"/>
    <w:rsid w:val="00C36D89"/>
    <w:rsid w:val="00C37103"/>
    <w:rsid w:val="00C37D3E"/>
    <w:rsid w:val="00C37FD6"/>
    <w:rsid w:val="00C407E5"/>
    <w:rsid w:val="00C412CC"/>
    <w:rsid w:val="00C41A04"/>
    <w:rsid w:val="00C42308"/>
    <w:rsid w:val="00C432C2"/>
    <w:rsid w:val="00C43CCF"/>
    <w:rsid w:val="00C4433A"/>
    <w:rsid w:val="00C445AB"/>
    <w:rsid w:val="00C44CAE"/>
    <w:rsid w:val="00C44D29"/>
    <w:rsid w:val="00C44FDC"/>
    <w:rsid w:val="00C4565B"/>
    <w:rsid w:val="00C46508"/>
    <w:rsid w:val="00C47C92"/>
    <w:rsid w:val="00C47DB5"/>
    <w:rsid w:val="00C507CD"/>
    <w:rsid w:val="00C50C71"/>
    <w:rsid w:val="00C51B0C"/>
    <w:rsid w:val="00C51DF2"/>
    <w:rsid w:val="00C526E0"/>
    <w:rsid w:val="00C52867"/>
    <w:rsid w:val="00C551C4"/>
    <w:rsid w:val="00C554BC"/>
    <w:rsid w:val="00C55E57"/>
    <w:rsid w:val="00C56460"/>
    <w:rsid w:val="00C56CED"/>
    <w:rsid w:val="00C56D00"/>
    <w:rsid w:val="00C57896"/>
    <w:rsid w:val="00C60395"/>
    <w:rsid w:val="00C6142B"/>
    <w:rsid w:val="00C6170D"/>
    <w:rsid w:val="00C62193"/>
    <w:rsid w:val="00C62842"/>
    <w:rsid w:val="00C62A10"/>
    <w:rsid w:val="00C62FBD"/>
    <w:rsid w:val="00C6464A"/>
    <w:rsid w:val="00C652C4"/>
    <w:rsid w:val="00C65432"/>
    <w:rsid w:val="00C6632D"/>
    <w:rsid w:val="00C667B5"/>
    <w:rsid w:val="00C67553"/>
    <w:rsid w:val="00C676DF"/>
    <w:rsid w:val="00C67E04"/>
    <w:rsid w:val="00C703F6"/>
    <w:rsid w:val="00C71DCC"/>
    <w:rsid w:val="00C725DA"/>
    <w:rsid w:val="00C728CB"/>
    <w:rsid w:val="00C73527"/>
    <w:rsid w:val="00C73E70"/>
    <w:rsid w:val="00C74C8E"/>
    <w:rsid w:val="00C750C4"/>
    <w:rsid w:val="00C751FB"/>
    <w:rsid w:val="00C75272"/>
    <w:rsid w:val="00C759CF"/>
    <w:rsid w:val="00C75D46"/>
    <w:rsid w:val="00C77136"/>
    <w:rsid w:val="00C772E9"/>
    <w:rsid w:val="00C778AE"/>
    <w:rsid w:val="00C77959"/>
    <w:rsid w:val="00C80E8B"/>
    <w:rsid w:val="00C81A64"/>
    <w:rsid w:val="00C82073"/>
    <w:rsid w:val="00C8228E"/>
    <w:rsid w:val="00C82540"/>
    <w:rsid w:val="00C82C9C"/>
    <w:rsid w:val="00C83210"/>
    <w:rsid w:val="00C833C8"/>
    <w:rsid w:val="00C83693"/>
    <w:rsid w:val="00C83D6A"/>
    <w:rsid w:val="00C84322"/>
    <w:rsid w:val="00C849D6"/>
    <w:rsid w:val="00C84EE8"/>
    <w:rsid w:val="00C85716"/>
    <w:rsid w:val="00C8682B"/>
    <w:rsid w:val="00C86F06"/>
    <w:rsid w:val="00C870C6"/>
    <w:rsid w:val="00C875AA"/>
    <w:rsid w:val="00C87B96"/>
    <w:rsid w:val="00C87CE5"/>
    <w:rsid w:val="00C90090"/>
    <w:rsid w:val="00C9022C"/>
    <w:rsid w:val="00C903A8"/>
    <w:rsid w:val="00C91702"/>
    <w:rsid w:val="00C9183A"/>
    <w:rsid w:val="00C91E57"/>
    <w:rsid w:val="00C921AA"/>
    <w:rsid w:val="00C92380"/>
    <w:rsid w:val="00C928F2"/>
    <w:rsid w:val="00C92CF0"/>
    <w:rsid w:val="00C9323E"/>
    <w:rsid w:val="00C936F8"/>
    <w:rsid w:val="00C93DF9"/>
    <w:rsid w:val="00C9436F"/>
    <w:rsid w:val="00C94CE5"/>
    <w:rsid w:val="00C9591C"/>
    <w:rsid w:val="00C95AE9"/>
    <w:rsid w:val="00C9684D"/>
    <w:rsid w:val="00C97AB4"/>
    <w:rsid w:val="00CA0173"/>
    <w:rsid w:val="00CA0325"/>
    <w:rsid w:val="00CA09C1"/>
    <w:rsid w:val="00CA0B22"/>
    <w:rsid w:val="00CA0CA1"/>
    <w:rsid w:val="00CA105A"/>
    <w:rsid w:val="00CA1B7D"/>
    <w:rsid w:val="00CA21F4"/>
    <w:rsid w:val="00CA3732"/>
    <w:rsid w:val="00CA37B4"/>
    <w:rsid w:val="00CA37C4"/>
    <w:rsid w:val="00CA44B3"/>
    <w:rsid w:val="00CA485D"/>
    <w:rsid w:val="00CA5032"/>
    <w:rsid w:val="00CA54E5"/>
    <w:rsid w:val="00CA67E5"/>
    <w:rsid w:val="00CB06BD"/>
    <w:rsid w:val="00CB07E7"/>
    <w:rsid w:val="00CB0DD9"/>
    <w:rsid w:val="00CB1285"/>
    <w:rsid w:val="00CB1ACA"/>
    <w:rsid w:val="00CB26EA"/>
    <w:rsid w:val="00CB3022"/>
    <w:rsid w:val="00CB3B59"/>
    <w:rsid w:val="00CB3E11"/>
    <w:rsid w:val="00CB44C3"/>
    <w:rsid w:val="00CB4672"/>
    <w:rsid w:val="00CB4B94"/>
    <w:rsid w:val="00CB4CD5"/>
    <w:rsid w:val="00CB50B5"/>
    <w:rsid w:val="00CB56B8"/>
    <w:rsid w:val="00CB61CC"/>
    <w:rsid w:val="00CB691B"/>
    <w:rsid w:val="00CB6C30"/>
    <w:rsid w:val="00CB7191"/>
    <w:rsid w:val="00CC03D9"/>
    <w:rsid w:val="00CC161C"/>
    <w:rsid w:val="00CC1853"/>
    <w:rsid w:val="00CC28BF"/>
    <w:rsid w:val="00CC28C3"/>
    <w:rsid w:val="00CC2BD8"/>
    <w:rsid w:val="00CC2D27"/>
    <w:rsid w:val="00CC307C"/>
    <w:rsid w:val="00CC32F6"/>
    <w:rsid w:val="00CC4B00"/>
    <w:rsid w:val="00CC5C4C"/>
    <w:rsid w:val="00CC60A9"/>
    <w:rsid w:val="00CC6886"/>
    <w:rsid w:val="00CC6FF8"/>
    <w:rsid w:val="00CC723A"/>
    <w:rsid w:val="00CC723C"/>
    <w:rsid w:val="00CC7618"/>
    <w:rsid w:val="00CD15D6"/>
    <w:rsid w:val="00CD16F8"/>
    <w:rsid w:val="00CD174C"/>
    <w:rsid w:val="00CD1BD8"/>
    <w:rsid w:val="00CD2FBC"/>
    <w:rsid w:val="00CD32A6"/>
    <w:rsid w:val="00CD3479"/>
    <w:rsid w:val="00CD3E5C"/>
    <w:rsid w:val="00CD3F01"/>
    <w:rsid w:val="00CD4705"/>
    <w:rsid w:val="00CD5159"/>
    <w:rsid w:val="00CD51F7"/>
    <w:rsid w:val="00CD5F67"/>
    <w:rsid w:val="00CD67C4"/>
    <w:rsid w:val="00CD6C10"/>
    <w:rsid w:val="00CD71B4"/>
    <w:rsid w:val="00CD7766"/>
    <w:rsid w:val="00CD7B89"/>
    <w:rsid w:val="00CE080D"/>
    <w:rsid w:val="00CE0DE1"/>
    <w:rsid w:val="00CE1D5E"/>
    <w:rsid w:val="00CE3F47"/>
    <w:rsid w:val="00CE6AE0"/>
    <w:rsid w:val="00CE6CAE"/>
    <w:rsid w:val="00CE72FD"/>
    <w:rsid w:val="00CE7678"/>
    <w:rsid w:val="00CE792A"/>
    <w:rsid w:val="00CE7C23"/>
    <w:rsid w:val="00CF04C3"/>
    <w:rsid w:val="00CF06E5"/>
    <w:rsid w:val="00CF07F5"/>
    <w:rsid w:val="00CF0D08"/>
    <w:rsid w:val="00CF2721"/>
    <w:rsid w:val="00CF2C4F"/>
    <w:rsid w:val="00CF35C0"/>
    <w:rsid w:val="00CF3779"/>
    <w:rsid w:val="00CF3C14"/>
    <w:rsid w:val="00CF3F32"/>
    <w:rsid w:val="00CF5ACA"/>
    <w:rsid w:val="00CF60E1"/>
    <w:rsid w:val="00CF621E"/>
    <w:rsid w:val="00CF6491"/>
    <w:rsid w:val="00CF6B69"/>
    <w:rsid w:val="00CF7800"/>
    <w:rsid w:val="00D00776"/>
    <w:rsid w:val="00D017F1"/>
    <w:rsid w:val="00D02389"/>
    <w:rsid w:val="00D0247C"/>
    <w:rsid w:val="00D03918"/>
    <w:rsid w:val="00D039CA"/>
    <w:rsid w:val="00D0423A"/>
    <w:rsid w:val="00D047C9"/>
    <w:rsid w:val="00D063CE"/>
    <w:rsid w:val="00D070FE"/>
    <w:rsid w:val="00D07D9A"/>
    <w:rsid w:val="00D104E8"/>
    <w:rsid w:val="00D1056B"/>
    <w:rsid w:val="00D109D9"/>
    <w:rsid w:val="00D119E2"/>
    <w:rsid w:val="00D12C34"/>
    <w:rsid w:val="00D1315D"/>
    <w:rsid w:val="00D155A0"/>
    <w:rsid w:val="00D16374"/>
    <w:rsid w:val="00D16581"/>
    <w:rsid w:val="00D16692"/>
    <w:rsid w:val="00D1738F"/>
    <w:rsid w:val="00D17F59"/>
    <w:rsid w:val="00D2003D"/>
    <w:rsid w:val="00D21046"/>
    <w:rsid w:val="00D2142C"/>
    <w:rsid w:val="00D21527"/>
    <w:rsid w:val="00D21FAF"/>
    <w:rsid w:val="00D22123"/>
    <w:rsid w:val="00D230F7"/>
    <w:rsid w:val="00D234FF"/>
    <w:rsid w:val="00D23E5C"/>
    <w:rsid w:val="00D2477B"/>
    <w:rsid w:val="00D25077"/>
    <w:rsid w:val="00D25B9A"/>
    <w:rsid w:val="00D264D7"/>
    <w:rsid w:val="00D268A6"/>
    <w:rsid w:val="00D26E9E"/>
    <w:rsid w:val="00D27604"/>
    <w:rsid w:val="00D27990"/>
    <w:rsid w:val="00D27D8C"/>
    <w:rsid w:val="00D316C8"/>
    <w:rsid w:val="00D31AC7"/>
    <w:rsid w:val="00D31DA5"/>
    <w:rsid w:val="00D31F94"/>
    <w:rsid w:val="00D3206E"/>
    <w:rsid w:val="00D32E89"/>
    <w:rsid w:val="00D343BE"/>
    <w:rsid w:val="00D34D8E"/>
    <w:rsid w:val="00D35084"/>
    <w:rsid w:val="00D35497"/>
    <w:rsid w:val="00D35795"/>
    <w:rsid w:val="00D3639F"/>
    <w:rsid w:val="00D369A6"/>
    <w:rsid w:val="00D37703"/>
    <w:rsid w:val="00D40A33"/>
    <w:rsid w:val="00D40AED"/>
    <w:rsid w:val="00D4165C"/>
    <w:rsid w:val="00D419C6"/>
    <w:rsid w:val="00D4262E"/>
    <w:rsid w:val="00D4333A"/>
    <w:rsid w:val="00D43497"/>
    <w:rsid w:val="00D43CB3"/>
    <w:rsid w:val="00D448A5"/>
    <w:rsid w:val="00D44B89"/>
    <w:rsid w:val="00D44EAC"/>
    <w:rsid w:val="00D45D31"/>
    <w:rsid w:val="00D46F90"/>
    <w:rsid w:val="00D4799B"/>
    <w:rsid w:val="00D47DF7"/>
    <w:rsid w:val="00D5009B"/>
    <w:rsid w:val="00D5017F"/>
    <w:rsid w:val="00D504A5"/>
    <w:rsid w:val="00D50F41"/>
    <w:rsid w:val="00D5120F"/>
    <w:rsid w:val="00D5156D"/>
    <w:rsid w:val="00D517EC"/>
    <w:rsid w:val="00D52A67"/>
    <w:rsid w:val="00D52D69"/>
    <w:rsid w:val="00D53031"/>
    <w:rsid w:val="00D5377A"/>
    <w:rsid w:val="00D53E68"/>
    <w:rsid w:val="00D5420E"/>
    <w:rsid w:val="00D550AB"/>
    <w:rsid w:val="00D552CE"/>
    <w:rsid w:val="00D5596C"/>
    <w:rsid w:val="00D56A27"/>
    <w:rsid w:val="00D5739A"/>
    <w:rsid w:val="00D57771"/>
    <w:rsid w:val="00D61AA2"/>
    <w:rsid w:val="00D61CF9"/>
    <w:rsid w:val="00D62B3D"/>
    <w:rsid w:val="00D630DD"/>
    <w:rsid w:val="00D6313F"/>
    <w:rsid w:val="00D633F0"/>
    <w:rsid w:val="00D63B66"/>
    <w:rsid w:val="00D64005"/>
    <w:rsid w:val="00D654D0"/>
    <w:rsid w:val="00D665CB"/>
    <w:rsid w:val="00D66740"/>
    <w:rsid w:val="00D66B84"/>
    <w:rsid w:val="00D67772"/>
    <w:rsid w:val="00D7066C"/>
    <w:rsid w:val="00D70D6E"/>
    <w:rsid w:val="00D70FAF"/>
    <w:rsid w:val="00D7197D"/>
    <w:rsid w:val="00D719E6"/>
    <w:rsid w:val="00D71A1F"/>
    <w:rsid w:val="00D71EC2"/>
    <w:rsid w:val="00D72381"/>
    <w:rsid w:val="00D72984"/>
    <w:rsid w:val="00D7357C"/>
    <w:rsid w:val="00D74DD0"/>
    <w:rsid w:val="00D7567F"/>
    <w:rsid w:val="00D75964"/>
    <w:rsid w:val="00D75FB8"/>
    <w:rsid w:val="00D76156"/>
    <w:rsid w:val="00D76732"/>
    <w:rsid w:val="00D76C89"/>
    <w:rsid w:val="00D76EC5"/>
    <w:rsid w:val="00D770D9"/>
    <w:rsid w:val="00D77F45"/>
    <w:rsid w:val="00D80A1F"/>
    <w:rsid w:val="00D813C3"/>
    <w:rsid w:val="00D81657"/>
    <w:rsid w:val="00D81C4F"/>
    <w:rsid w:val="00D8257B"/>
    <w:rsid w:val="00D82907"/>
    <w:rsid w:val="00D82E53"/>
    <w:rsid w:val="00D8317A"/>
    <w:rsid w:val="00D84601"/>
    <w:rsid w:val="00D846CE"/>
    <w:rsid w:val="00D84F7E"/>
    <w:rsid w:val="00D851EE"/>
    <w:rsid w:val="00D85A35"/>
    <w:rsid w:val="00D85DAF"/>
    <w:rsid w:val="00D87C38"/>
    <w:rsid w:val="00D87D87"/>
    <w:rsid w:val="00D87D9E"/>
    <w:rsid w:val="00D91101"/>
    <w:rsid w:val="00D922FE"/>
    <w:rsid w:val="00D93200"/>
    <w:rsid w:val="00D9454F"/>
    <w:rsid w:val="00D951DA"/>
    <w:rsid w:val="00D95C91"/>
    <w:rsid w:val="00D95EC6"/>
    <w:rsid w:val="00D95F09"/>
    <w:rsid w:val="00D95F84"/>
    <w:rsid w:val="00D96E74"/>
    <w:rsid w:val="00D979E2"/>
    <w:rsid w:val="00D97B71"/>
    <w:rsid w:val="00DA0374"/>
    <w:rsid w:val="00DA1D85"/>
    <w:rsid w:val="00DA2939"/>
    <w:rsid w:val="00DA2CCF"/>
    <w:rsid w:val="00DA2E20"/>
    <w:rsid w:val="00DA314B"/>
    <w:rsid w:val="00DA3581"/>
    <w:rsid w:val="00DA3E7E"/>
    <w:rsid w:val="00DA568D"/>
    <w:rsid w:val="00DA5AA6"/>
    <w:rsid w:val="00DA5E83"/>
    <w:rsid w:val="00DA6141"/>
    <w:rsid w:val="00DA6798"/>
    <w:rsid w:val="00DA6B8E"/>
    <w:rsid w:val="00DA70CD"/>
    <w:rsid w:val="00DA76F0"/>
    <w:rsid w:val="00DA77BA"/>
    <w:rsid w:val="00DA7CB3"/>
    <w:rsid w:val="00DB0067"/>
    <w:rsid w:val="00DB0362"/>
    <w:rsid w:val="00DB0953"/>
    <w:rsid w:val="00DB0ABB"/>
    <w:rsid w:val="00DB0F71"/>
    <w:rsid w:val="00DB11A3"/>
    <w:rsid w:val="00DB1F53"/>
    <w:rsid w:val="00DB30DD"/>
    <w:rsid w:val="00DB368A"/>
    <w:rsid w:val="00DB3B8A"/>
    <w:rsid w:val="00DB4BBE"/>
    <w:rsid w:val="00DB5644"/>
    <w:rsid w:val="00DB594F"/>
    <w:rsid w:val="00DB595B"/>
    <w:rsid w:val="00DB5D7B"/>
    <w:rsid w:val="00DB6659"/>
    <w:rsid w:val="00DB6CB1"/>
    <w:rsid w:val="00DB7710"/>
    <w:rsid w:val="00DC0723"/>
    <w:rsid w:val="00DC088D"/>
    <w:rsid w:val="00DC2873"/>
    <w:rsid w:val="00DC2B8A"/>
    <w:rsid w:val="00DC2F67"/>
    <w:rsid w:val="00DC3421"/>
    <w:rsid w:val="00DC35A7"/>
    <w:rsid w:val="00DC37C2"/>
    <w:rsid w:val="00DC3D2E"/>
    <w:rsid w:val="00DC3E43"/>
    <w:rsid w:val="00DC41DB"/>
    <w:rsid w:val="00DC4C0B"/>
    <w:rsid w:val="00DC6652"/>
    <w:rsid w:val="00DC6A73"/>
    <w:rsid w:val="00DD01A5"/>
    <w:rsid w:val="00DD0967"/>
    <w:rsid w:val="00DD110A"/>
    <w:rsid w:val="00DD1A4C"/>
    <w:rsid w:val="00DD2364"/>
    <w:rsid w:val="00DD2BDE"/>
    <w:rsid w:val="00DD313A"/>
    <w:rsid w:val="00DD3311"/>
    <w:rsid w:val="00DD335C"/>
    <w:rsid w:val="00DD35C9"/>
    <w:rsid w:val="00DD3B77"/>
    <w:rsid w:val="00DD3E7C"/>
    <w:rsid w:val="00DD460A"/>
    <w:rsid w:val="00DD4AE0"/>
    <w:rsid w:val="00DD56F6"/>
    <w:rsid w:val="00DD5897"/>
    <w:rsid w:val="00DD60B7"/>
    <w:rsid w:val="00DD65F1"/>
    <w:rsid w:val="00DD73AA"/>
    <w:rsid w:val="00DD7A43"/>
    <w:rsid w:val="00DD7FDC"/>
    <w:rsid w:val="00DE085C"/>
    <w:rsid w:val="00DE0919"/>
    <w:rsid w:val="00DE11DC"/>
    <w:rsid w:val="00DE1BD7"/>
    <w:rsid w:val="00DE2460"/>
    <w:rsid w:val="00DE365D"/>
    <w:rsid w:val="00DE4D19"/>
    <w:rsid w:val="00DE5B1F"/>
    <w:rsid w:val="00DE5C17"/>
    <w:rsid w:val="00DE68CD"/>
    <w:rsid w:val="00DE695E"/>
    <w:rsid w:val="00DE7821"/>
    <w:rsid w:val="00DE7A24"/>
    <w:rsid w:val="00DF00D6"/>
    <w:rsid w:val="00DF0577"/>
    <w:rsid w:val="00DF06EE"/>
    <w:rsid w:val="00DF0709"/>
    <w:rsid w:val="00DF0A6C"/>
    <w:rsid w:val="00DF0C06"/>
    <w:rsid w:val="00DF14B0"/>
    <w:rsid w:val="00DF1D64"/>
    <w:rsid w:val="00DF31CF"/>
    <w:rsid w:val="00DF344B"/>
    <w:rsid w:val="00DF3CCE"/>
    <w:rsid w:val="00DF4035"/>
    <w:rsid w:val="00DF4277"/>
    <w:rsid w:val="00DF46AB"/>
    <w:rsid w:val="00DF4A08"/>
    <w:rsid w:val="00DF4E7F"/>
    <w:rsid w:val="00DF4FAA"/>
    <w:rsid w:val="00DF5F90"/>
    <w:rsid w:val="00DF65B6"/>
    <w:rsid w:val="00DF700F"/>
    <w:rsid w:val="00DF7350"/>
    <w:rsid w:val="00DF7DDB"/>
    <w:rsid w:val="00E00313"/>
    <w:rsid w:val="00E00FC2"/>
    <w:rsid w:val="00E0102C"/>
    <w:rsid w:val="00E03036"/>
    <w:rsid w:val="00E036D4"/>
    <w:rsid w:val="00E03E74"/>
    <w:rsid w:val="00E042B1"/>
    <w:rsid w:val="00E049CC"/>
    <w:rsid w:val="00E04AD1"/>
    <w:rsid w:val="00E04B37"/>
    <w:rsid w:val="00E054EF"/>
    <w:rsid w:val="00E0578E"/>
    <w:rsid w:val="00E0597B"/>
    <w:rsid w:val="00E05B38"/>
    <w:rsid w:val="00E06551"/>
    <w:rsid w:val="00E06F8C"/>
    <w:rsid w:val="00E07C1B"/>
    <w:rsid w:val="00E07DD8"/>
    <w:rsid w:val="00E10760"/>
    <w:rsid w:val="00E11476"/>
    <w:rsid w:val="00E11E8F"/>
    <w:rsid w:val="00E1258F"/>
    <w:rsid w:val="00E12845"/>
    <w:rsid w:val="00E12A43"/>
    <w:rsid w:val="00E13A3B"/>
    <w:rsid w:val="00E1423A"/>
    <w:rsid w:val="00E14A41"/>
    <w:rsid w:val="00E14C73"/>
    <w:rsid w:val="00E14DAD"/>
    <w:rsid w:val="00E15E54"/>
    <w:rsid w:val="00E167C8"/>
    <w:rsid w:val="00E16CC5"/>
    <w:rsid w:val="00E20157"/>
    <w:rsid w:val="00E205B1"/>
    <w:rsid w:val="00E215AE"/>
    <w:rsid w:val="00E21658"/>
    <w:rsid w:val="00E21765"/>
    <w:rsid w:val="00E21939"/>
    <w:rsid w:val="00E222F5"/>
    <w:rsid w:val="00E2268B"/>
    <w:rsid w:val="00E23A4C"/>
    <w:rsid w:val="00E251E2"/>
    <w:rsid w:val="00E251EF"/>
    <w:rsid w:val="00E2527B"/>
    <w:rsid w:val="00E25580"/>
    <w:rsid w:val="00E256EB"/>
    <w:rsid w:val="00E25848"/>
    <w:rsid w:val="00E26E3C"/>
    <w:rsid w:val="00E2734F"/>
    <w:rsid w:val="00E27997"/>
    <w:rsid w:val="00E27AA5"/>
    <w:rsid w:val="00E27ACD"/>
    <w:rsid w:val="00E303B2"/>
    <w:rsid w:val="00E30CD4"/>
    <w:rsid w:val="00E30D22"/>
    <w:rsid w:val="00E315A9"/>
    <w:rsid w:val="00E325EC"/>
    <w:rsid w:val="00E340C8"/>
    <w:rsid w:val="00E34B7D"/>
    <w:rsid w:val="00E37096"/>
    <w:rsid w:val="00E375D4"/>
    <w:rsid w:val="00E403DC"/>
    <w:rsid w:val="00E40AD6"/>
    <w:rsid w:val="00E40DF4"/>
    <w:rsid w:val="00E40E58"/>
    <w:rsid w:val="00E40F43"/>
    <w:rsid w:val="00E41637"/>
    <w:rsid w:val="00E41A90"/>
    <w:rsid w:val="00E42AE7"/>
    <w:rsid w:val="00E43594"/>
    <w:rsid w:val="00E44F52"/>
    <w:rsid w:val="00E44F9D"/>
    <w:rsid w:val="00E452D5"/>
    <w:rsid w:val="00E4566B"/>
    <w:rsid w:val="00E4621D"/>
    <w:rsid w:val="00E46FE7"/>
    <w:rsid w:val="00E471C4"/>
    <w:rsid w:val="00E47470"/>
    <w:rsid w:val="00E478F3"/>
    <w:rsid w:val="00E501CF"/>
    <w:rsid w:val="00E5062E"/>
    <w:rsid w:val="00E522E9"/>
    <w:rsid w:val="00E53AC7"/>
    <w:rsid w:val="00E53F28"/>
    <w:rsid w:val="00E5418E"/>
    <w:rsid w:val="00E54D99"/>
    <w:rsid w:val="00E56012"/>
    <w:rsid w:val="00E5603B"/>
    <w:rsid w:val="00E560A5"/>
    <w:rsid w:val="00E57CB4"/>
    <w:rsid w:val="00E60C57"/>
    <w:rsid w:val="00E61179"/>
    <w:rsid w:val="00E61391"/>
    <w:rsid w:val="00E61689"/>
    <w:rsid w:val="00E62379"/>
    <w:rsid w:val="00E62D6E"/>
    <w:rsid w:val="00E63034"/>
    <w:rsid w:val="00E63B5A"/>
    <w:rsid w:val="00E648A2"/>
    <w:rsid w:val="00E64D47"/>
    <w:rsid w:val="00E66714"/>
    <w:rsid w:val="00E66CC8"/>
    <w:rsid w:val="00E67D89"/>
    <w:rsid w:val="00E7032B"/>
    <w:rsid w:val="00E704DC"/>
    <w:rsid w:val="00E70CE9"/>
    <w:rsid w:val="00E72987"/>
    <w:rsid w:val="00E731BC"/>
    <w:rsid w:val="00E734DB"/>
    <w:rsid w:val="00E735A8"/>
    <w:rsid w:val="00E73681"/>
    <w:rsid w:val="00E759CF"/>
    <w:rsid w:val="00E76A2A"/>
    <w:rsid w:val="00E8037B"/>
    <w:rsid w:val="00E80BEB"/>
    <w:rsid w:val="00E8201A"/>
    <w:rsid w:val="00E822CA"/>
    <w:rsid w:val="00E82AC7"/>
    <w:rsid w:val="00E82B99"/>
    <w:rsid w:val="00E82C06"/>
    <w:rsid w:val="00E82C8A"/>
    <w:rsid w:val="00E83CF7"/>
    <w:rsid w:val="00E84E31"/>
    <w:rsid w:val="00E8500B"/>
    <w:rsid w:val="00E859DF"/>
    <w:rsid w:val="00E85FC6"/>
    <w:rsid w:val="00E87465"/>
    <w:rsid w:val="00E8791B"/>
    <w:rsid w:val="00E90936"/>
    <w:rsid w:val="00E9120B"/>
    <w:rsid w:val="00E91697"/>
    <w:rsid w:val="00E9225C"/>
    <w:rsid w:val="00E93F63"/>
    <w:rsid w:val="00E94141"/>
    <w:rsid w:val="00E941F0"/>
    <w:rsid w:val="00E9422F"/>
    <w:rsid w:val="00E94255"/>
    <w:rsid w:val="00E947CB"/>
    <w:rsid w:val="00E94EAE"/>
    <w:rsid w:val="00E97CE1"/>
    <w:rsid w:val="00EA07C2"/>
    <w:rsid w:val="00EA08B9"/>
    <w:rsid w:val="00EA0C88"/>
    <w:rsid w:val="00EA14BA"/>
    <w:rsid w:val="00EA1E06"/>
    <w:rsid w:val="00EA2AB0"/>
    <w:rsid w:val="00EA2E76"/>
    <w:rsid w:val="00EA2F2F"/>
    <w:rsid w:val="00EA31D3"/>
    <w:rsid w:val="00EA3DB0"/>
    <w:rsid w:val="00EA413C"/>
    <w:rsid w:val="00EA4463"/>
    <w:rsid w:val="00EA4526"/>
    <w:rsid w:val="00EA46F2"/>
    <w:rsid w:val="00EA4FFC"/>
    <w:rsid w:val="00EA5688"/>
    <w:rsid w:val="00EA5D4F"/>
    <w:rsid w:val="00EA7BD2"/>
    <w:rsid w:val="00EA7C9C"/>
    <w:rsid w:val="00EA7CA5"/>
    <w:rsid w:val="00EA7E34"/>
    <w:rsid w:val="00EB0C9B"/>
    <w:rsid w:val="00EB0EA6"/>
    <w:rsid w:val="00EB2280"/>
    <w:rsid w:val="00EB24B9"/>
    <w:rsid w:val="00EB29A3"/>
    <w:rsid w:val="00EB29AD"/>
    <w:rsid w:val="00EB2A6B"/>
    <w:rsid w:val="00EB2BC2"/>
    <w:rsid w:val="00EB2E9D"/>
    <w:rsid w:val="00EB398A"/>
    <w:rsid w:val="00EB3A1A"/>
    <w:rsid w:val="00EB3E63"/>
    <w:rsid w:val="00EB5062"/>
    <w:rsid w:val="00EB558C"/>
    <w:rsid w:val="00EB5A6E"/>
    <w:rsid w:val="00EB61F9"/>
    <w:rsid w:val="00EB63B2"/>
    <w:rsid w:val="00EB6630"/>
    <w:rsid w:val="00EB67FB"/>
    <w:rsid w:val="00EB6967"/>
    <w:rsid w:val="00EB6ADD"/>
    <w:rsid w:val="00EB6D2B"/>
    <w:rsid w:val="00EB709C"/>
    <w:rsid w:val="00EC1247"/>
    <w:rsid w:val="00EC13B2"/>
    <w:rsid w:val="00EC13BA"/>
    <w:rsid w:val="00EC2099"/>
    <w:rsid w:val="00EC2732"/>
    <w:rsid w:val="00EC2C02"/>
    <w:rsid w:val="00EC3910"/>
    <w:rsid w:val="00EC3A3B"/>
    <w:rsid w:val="00EC3DA1"/>
    <w:rsid w:val="00EC47C3"/>
    <w:rsid w:val="00EC498E"/>
    <w:rsid w:val="00EC51A7"/>
    <w:rsid w:val="00EC558E"/>
    <w:rsid w:val="00EC5CEE"/>
    <w:rsid w:val="00EC61F5"/>
    <w:rsid w:val="00EC6772"/>
    <w:rsid w:val="00EC7CE7"/>
    <w:rsid w:val="00ED033D"/>
    <w:rsid w:val="00ED0BE0"/>
    <w:rsid w:val="00ED0D3D"/>
    <w:rsid w:val="00ED0FEF"/>
    <w:rsid w:val="00ED139A"/>
    <w:rsid w:val="00ED1C5C"/>
    <w:rsid w:val="00ED290A"/>
    <w:rsid w:val="00ED2DE4"/>
    <w:rsid w:val="00ED2F50"/>
    <w:rsid w:val="00ED3776"/>
    <w:rsid w:val="00ED3EC5"/>
    <w:rsid w:val="00ED4692"/>
    <w:rsid w:val="00ED4A24"/>
    <w:rsid w:val="00ED4F49"/>
    <w:rsid w:val="00ED501D"/>
    <w:rsid w:val="00ED501F"/>
    <w:rsid w:val="00ED5808"/>
    <w:rsid w:val="00ED58E8"/>
    <w:rsid w:val="00ED5C30"/>
    <w:rsid w:val="00ED5E09"/>
    <w:rsid w:val="00ED5E98"/>
    <w:rsid w:val="00ED5F3F"/>
    <w:rsid w:val="00ED6362"/>
    <w:rsid w:val="00ED6485"/>
    <w:rsid w:val="00ED6604"/>
    <w:rsid w:val="00ED6BEC"/>
    <w:rsid w:val="00ED6CDA"/>
    <w:rsid w:val="00ED71B4"/>
    <w:rsid w:val="00ED7887"/>
    <w:rsid w:val="00ED797B"/>
    <w:rsid w:val="00ED7D81"/>
    <w:rsid w:val="00ED7E95"/>
    <w:rsid w:val="00EE00C4"/>
    <w:rsid w:val="00EE0912"/>
    <w:rsid w:val="00EE0D13"/>
    <w:rsid w:val="00EE21B5"/>
    <w:rsid w:val="00EE26A2"/>
    <w:rsid w:val="00EE2D0F"/>
    <w:rsid w:val="00EE302A"/>
    <w:rsid w:val="00EE3557"/>
    <w:rsid w:val="00EE355C"/>
    <w:rsid w:val="00EE3651"/>
    <w:rsid w:val="00EE370E"/>
    <w:rsid w:val="00EE3C21"/>
    <w:rsid w:val="00EE45A0"/>
    <w:rsid w:val="00EE4F8D"/>
    <w:rsid w:val="00EE523A"/>
    <w:rsid w:val="00EE59B1"/>
    <w:rsid w:val="00EE618F"/>
    <w:rsid w:val="00EE6857"/>
    <w:rsid w:val="00EE7B08"/>
    <w:rsid w:val="00EF01D6"/>
    <w:rsid w:val="00EF042C"/>
    <w:rsid w:val="00EF0B99"/>
    <w:rsid w:val="00EF11F7"/>
    <w:rsid w:val="00EF317F"/>
    <w:rsid w:val="00EF32A3"/>
    <w:rsid w:val="00EF3775"/>
    <w:rsid w:val="00EF3CD1"/>
    <w:rsid w:val="00EF3D9F"/>
    <w:rsid w:val="00EF405B"/>
    <w:rsid w:val="00EF4B77"/>
    <w:rsid w:val="00EF5CD4"/>
    <w:rsid w:val="00EF6C9C"/>
    <w:rsid w:val="00EF7B69"/>
    <w:rsid w:val="00EF7C1C"/>
    <w:rsid w:val="00F0038C"/>
    <w:rsid w:val="00F00881"/>
    <w:rsid w:val="00F0122C"/>
    <w:rsid w:val="00F01D89"/>
    <w:rsid w:val="00F021F3"/>
    <w:rsid w:val="00F02E84"/>
    <w:rsid w:val="00F03293"/>
    <w:rsid w:val="00F03AA9"/>
    <w:rsid w:val="00F03C02"/>
    <w:rsid w:val="00F043BC"/>
    <w:rsid w:val="00F057D5"/>
    <w:rsid w:val="00F05F5E"/>
    <w:rsid w:val="00F05F78"/>
    <w:rsid w:val="00F066FD"/>
    <w:rsid w:val="00F06AA6"/>
    <w:rsid w:val="00F06DB4"/>
    <w:rsid w:val="00F0716D"/>
    <w:rsid w:val="00F073A9"/>
    <w:rsid w:val="00F1031D"/>
    <w:rsid w:val="00F10691"/>
    <w:rsid w:val="00F110A0"/>
    <w:rsid w:val="00F110DF"/>
    <w:rsid w:val="00F11CA9"/>
    <w:rsid w:val="00F12010"/>
    <w:rsid w:val="00F13ADA"/>
    <w:rsid w:val="00F14531"/>
    <w:rsid w:val="00F1475C"/>
    <w:rsid w:val="00F147AF"/>
    <w:rsid w:val="00F14893"/>
    <w:rsid w:val="00F15D5E"/>
    <w:rsid w:val="00F15D66"/>
    <w:rsid w:val="00F16021"/>
    <w:rsid w:val="00F1666B"/>
    <w:rsid w:val="00F166C2"/>
    <w:rsid w:val="00F16875"/>
    <w:rsid w:val="00F1732B"/>
    <w:rsid w:val="00F173CE"/>
    <w:rsid w:val="00F20206"/>
    <w:rsid w:val="00F20DA0"/>
    <w:rsid w:val="00F21214"/>
    <w:rsid w:val="00F21D94"/>
    <w:rsid w:val="00F21DAF"/>
    <w:rsid w:val="00F223E5"/>
    <w:rsid w:val="00F22599"/>
    <w:rsid w:val="00F22727"/>
    <w:rsid w:val="00F22837"/>
    <w:rsid w:val="00F2348D"/>
    <w:rsid w:val="00F238BB"/>
    <w:rsid w:val="00F239B9"/>
    <w:rsid w:val="00F23F47"/>
    <w:rsid w:val="00F23FD8"/>
    <w:rsid w:val="00F2443F"/>
    <w:rsid w:val="00F24EB7"/>
    <w:rsid w:val="00F250AF"/>
    <w:rsid w:val="00F25324"/>
    <w:rsid w:val="00F264EC"/>
    <w:rsid w:val="00F27ABA"/>
    <w:rsid w:val="00F31C45"/>
    <w:rsid w:val="00F32088"/>
    <w:rsid w:val="00F32AFA"/>
    <w:rsid w:val="00F331E6"/>
    <w:rsid w:val="00F334B9"/>
    <w:rsid w:val="00F33B4D"/>
    <w:rsid w:val="00F33FEB"/>
    <w:rsid w:val="00F34AB8"/>
    <w:rsid w:val="00F34E0E"/>
    <w:rsid w:val="00F35A2F"/>
    <w:rsid w:val="00F379EB"/>
    <w:rsid w:val="00F407F0"/>
    <w:rsid w:val="00F40B11"/>
    <w:rsid w:val="00F41A9B"/>
    <w:rsid w:val="00F41F44"/>
    <w:rsid w:val="00F42792"/>
    <w:rsid w:val="00F43303"/>
    <w:rsid w:val="00F433B9"/>
    <w:rsid w:val="00F434E0"/>
    <w:rsid w:val="00F43BFD"/>
    <w:rsid w:val="00F43C65"/>
    <w:rsid w:val="00F45394"/>
    <w:rsid w:val="00F453B8"/>
    <w:rsid w:val="00F45737"/>
    <w:rsid w:val="00F45ACA"/>
    <w:rsid w:val="00F45EE1"/>
    <w:rsid w:val="00F4659B"/>
    <w:rsid w:val="00F4706D"/>
    <w:rsid w:val="00F471C4"/>
    <w:rsid w:val="00F51AC0"/>
    <w:rsid w:val="00F51F41"/>
    <w:rsid w:val="00F52C82"/>
    <w:rsid w:val="00F5337F"/>
    <w:rsid w:val="00F53D5F"/>
    <w:rsid w:val="00F540C8"/>
    <w:rsid w:val="00F54616"/>
    <w:rsid w:val="00F54A0B"/>
    <w:rsid w:val="00F5515F"/>
    <w:rsid w:val="00F559A5"/>
    <w:rsid w:val="00F562CC"/>
    <w:rsid w:val="00F5665A"/>
    <w:rsid w:val="00F5743B"/>
    <w:rsid w:val="00F601FE"/>
    <w:rsid w:val="00F60C13"/>
    <w:rsid w:val="00F6111E"/>
    <w:rsid w:val="00F61301"/>
    <w:rsid w:val="00F613BB"/>
    <w:rsid w:val="00F61424"/>
    <w:rsid w:val="00F6150B"/>
    <w:rsid w:val="00F619D3"/>
    <w:rsid w:val="00F61BA3"/>
    <w:rsid w:val="00F62036"/>
    <w:rsid w:val="00F6204D"/>
    <w:rsid w:val="00F62287"/>
    <w:rsid w:val="00F6238B"/>
    <w:rsid w:val="00F62C2F"/>
    <w:rsid w:val="00F63086"/>
    <w:rsid w:val="00F63741"/>
    <w:rsid w:val="00F653B5"/>
    <w:rsid w:val="00F65508"/>
    <w:rsid w:val="00F65BF0"/>
    <w:rsid w:val="00F66B9E"/>
    <w:rsid w:val="00F67EBA"/>
    <w:rsid w:val="00F7022F"/>
    <w:rsid w:val="00F7049D"/>
    <w:rsid w:val="00F70D6F"/>
    <w:rsid w:val="00F721FF"/>
    <w:rsid w:val="00F728E8"/>
    <w:rsid w:val="00F72B3D"/>
    <w:rsid w:val="00F72DAE"/>
    <w:rsid w:val="00F73BD5"/>
    <w:rsid w:val="00F73D21"/>
    <w:rsid w:val="00F752B1"/>
    <w:rsid w:val="00F75B17"/>
    <w:rsid w:val="00F75B35"/>
    <w:rsid w:val="00F75F93"/>
    <w:rsid w:val="00F76496"/>
    <w:rsid w:val="00F7656E"/>
    <w:rsid w:val="00F76CFF"/>
    <w:rsid w:val="00F7766B"/>
    <w:rsid w:val="00F77BA6"/>
    <w:rsid w:val="00F80536"/>
    <w:rsid w:val="00F81309"/>
    <w:rsid w:val="00F8164A"/>
    <w:rsid w:val="00F81B08"/>
    <w:rsid w:val="00F8266E"/>
    <w:rsid w:val="00F82673"/>
    <w:rsid w:val="00F82D07"/>
    <w:rsid w:val="00F835E7"/>
    <w:rsid w:val="00F84075"/>
    <w:rsid w:val="00F84D12"/>
    <w:rsid w:val="00F85D8F"/>
    <w:rsid w:val="00F87AFA"/>
    <w:rsid w:val="00F91500"/>
    <w:rsid w:val="00F919E0"/>
    <w:rsid w:val="00F91A57"/>
    <w:rsid w:val="00F92AB8"/>
    <w:rsid w:val="00F92F76"/>
    <w:rsid w:val="00F933DF"/>
    <w:rsid w:val="00F93698"/>
    <w:rsid w:val="00F94191"/>
    <w:rsid w:val="00F9423F"/>
    <w:rsid w:val="00F9431E"/>
    <w:rsid w:val="00F94432"/>
    <w:rsid w:val="00F95997"/>
    <w:rsid w:val="00F96E7A"/>
    <w:rsid w:val="00F97648"/>
    <w:rsid w:val="00F97683"/>
    <w:rsid w:val="00F97847"/>
    <w:rsid w:val="00FA0680"/>
    <w:rsid w:val="00FA0796"/>
    <w:rsid w:val="00FA07ED"/>
    <w:rsid w:val="00FA147A"/>
    <w:rsid w:val="00FA184F"/>
    <w:rsid w:val="00FA25D4"/>
    <w:rsid w:val="00FA2D45"/>
    <w:rsid w:val="00FA3757"/>
    <w:rsid w:val="00FA3C48"/>
    <w:rsid w:val="00FA3E6D"/>
    <w:rsid w:val="00FA46C0"/>
    <w:rsid w:val="00FA4880"/>
    <w:rsid w:val="00FA4BF0"/>
    <w:rsid w:val="00FA5E6E"/>
    <w:rsid w:val="00FA64DB"/>
    <w:rsid w:val="00FA65D1"/>
    <w:rsid w:val="00FA7D75"/>
    <w:rsid w:val="00FA7F68"/>
    <w:rsid w:val="00FB03DA"/>
    <w:rsid w:val="00FB0B3B"/>
    <w:rsid w:val="00FB0E1C"/>
    <w:rsid w:val="00FB1051"/>
    <w:rsid w:val="00FB1518"/>
    <w:rsid w:val="00FB3272"/>
    <w:rsid w:val="00FB356D"/>
    <w:rsid w:val="00FB35AF"/>
    <w:rsid w:val="00FB3DEA"/>
    <w:rsid w:val="00FB4CD4"/>
    <w:rsid w:val="00FB63F8"/>
    <w:rsid w:val="00FB6444"/>
    <w:rsid w:val="00FB74AC"/>
    <w:rsid w:val="00FC0401"/>
    <w:rsid w:val="00FC1F44"/>
    <w:rsid w:val="00FC2129"/>
    <w:rsid w:val="00FC2F4B"/>
    <w:rsid w:val="00FC3755"/>
    <w:rsid w:val="00FC39A8"/>
    <w:rsid w:val="00FC3B03"/>
    <w:rsid w:val="00FC3C05"/>
    <w:rsid w:val="00FC40F4"/>
    <w:rsid w:val="00FC45D3"/>
    <w:rsid w:val="00FC7280"/>
    <w:rsid w:val="00FC78D9"/>
    <w:rsid w:val="00FD1216"/>
    <w:rsid w:val="00FD1236"/>
    <w:rsid w:val="00FD171A"/>
    <w:rsid w:val="00FD26D2"/>
    <w:rsid w:val="00FD2ED7"/>
    <w:rsid w:val="00FD3AF2"/>
    <w:rsid w:val="00FD4012"/>
    <w:rsid w:val="00FD40B7"/>
    <w:rsid w:val="00FD4189"/>
    <w:rsid w:val="00FD42C7"/>
    <w:rsid w:val="00FD455B"/>
    <w:rsid w:val="00FD4650"/>
    <w:rsid w:val="00FD4F86"/>
    <w:rsid w:val="00FD5AE9"/>
    <w:rsid w:val="00FD708B"/>
    <w:rsid w:val="00FD7271"/>
    <w:rsid w:val="00FD7B05"/>
    <w:rsid w:val="00FE14E6"/>
    <w:rsid w:val="00FE1BD6"/>
    <w:rsid w:val="00FE2022"/>
    <w:rsid w:val="00FE2419"/>
    <w:rsid w:val="00FE2E16"/>
    <w:rsid w:val="00FE394E"/>
    <w:rsid w:val="00FE4039"/>
    <w:rsid w:val="00FE555E"/>
    <w:rsid w:val="00FE5D98"/>
    <w:rsid w:val="00FE5FDB"/>
    <w:rsid w:val="00FE66AC"/>
    <w:rsid w:val="00FE6764"/>
    <w:rsid w:val="00FE6791"/>
    <w:rsid w:val="00FE67DD"/>
    <w:rsid w:val="00FE727C"/>
    <w:rsid w:val="00FE78E5"/>
    <w:rsid w:val="00FF0247"/>
    <w:rsid w:val="00FF111B"/>
    <w:rsid w:val="00FF1421"/>
    <w:rsid w:val="00FF16AF"/>
    <w:rsid w:val="00FF16FD"/>
    <w:rsid w:val="00FF1952"/>
    <w:rsid w:val="00FF1B5C"/>
    <w:rsid w:val="00FF2B8A"/>
    <w:rsid w:val="00FF2B8E"/>
    <w:rsid w:val="00FF2D8B"/>
    <w:rsid w:val="00FF2E79"/>
    <w:rsid w:val="00FF3FEA"/>
    <w:rsid w:val="00FF4202"/>
    <w:rsid w:val="00FF472C"/>
    <w:rsid w:val="00FF4A0A"/>
    <w:rsid w:val="00FF4A3E"/>
    <w:rsid w:val="00FF4B29"/>
    <w:rsid w:val="00FF67DE"/>
    <w:rsid w:val="00FF7A1B"/>
    <w:rsid w:val="012E78D6"/>
    <w:rsid w:val="01D9654D"/>
    <w:rsid w:val="01E4333E"/>
    <w:rsid w:val="0203798B"/>
    <w:rsid w:val="02551A35"/>
    <w:rsid w:val="02B35D48"/>
    <w:rsid w:val="02D0381A"/>
    <w:rsid w:val="02FF7A7B"/>
    <w:rsid w:val="030B1CC3"/>
    <w:rsid w:val="03970EF3"/>
    <w:rsid w:val="03B666BF"/>
    <w:rsid w:val="03D3399E"/>
    <w:rsid w:val="04664A43"/>
    <w:rsid w:val="065906F6"/>
    <w:rsid w:val="08186547"/>
    <w:rsid w:val="08444EBF"/>
    <w:rsid w:val="08CD1F58"/>
    <w:rsid w:val="08EF7436"/>
    <w:rsid w:val="09B513A5"/>
    <w:rsid w:val="09E81DF1"/>
    <w:rsid w:val="0A4D65AF"/>
    <w:rsid w:val="0A9C78EE"/>
    <w:rsid w:val="0B0E7430"/>
    <w:rsid w:val="0BE13394"/>
    <w:rsid w:val="0C67174B"/>
    <w:rsid w:val="0C8A286D"/>
    <w:rsid w:val="0D5364A5"/>
    <w:rsid w:val="0F980C7B"/>
    <w:rsid w:val="116A6B7F"/>
    <w:rsid w:val="11A402E3"/>
    <w:rsid w:val="12160F3D"/>
    <w:rsid w:val="12383670"/>
    <w:rsid w:val="12776559"/>
    <w:rsid w:val="129620D0"/>
    <w:rsid w:val="12E54A8E"/>
    <w:rsid w:val="1341198A"/>
    <w:rsid w:val="13807518"/>
    <w:rsid w:val="13D53A42"/>
    <w:rsid w:val="143119FB"/>
    <w:rsid w:val="14BA5793"/>
    <w:rsid w:val="15633BC1"/>
    <w:rsid w:val="174705A3"/>
    <w:rsid w:val="175B7DC1"/>
    <w:rsid w:val="17DC4231"/>
    <w:rsid w:val="181F47DA"/>
    <w:rsid w:val="182E0907"/>
    <w:rsid w:val="188D7D23"/>
    <w:rsid w:val="18EC084A"/>
    <w:rsid w:val="1A7F30B1"/>
    <w:rsid w:val="1B57738F"/>
    <w:rsid w:val="1B6028EE"/>
    <w:rsid w:val="1CFD009B"/>
    <w:rsid w:val="1F1C0096"/>
    <w:rsid w:val="1F4E5D32"/>
    <w:rsid w:val="20947009"/>
    <w:rsid w:val="20A10D9B"/>
    <w:rsid w:val="214F03B6"/>
    <w:rsid w:val="21994FB7"/>
    <w:rsid w:val="23111B23"/>
    <w:rsid w:val="24764DC1"/>
    <w:rsid w:val="251B377F"/>
    <w:rsid w:val="25766D86"/>
    <w:rsid w:val="2581355B"/>
    <w:rsid w:val="25AA584B"/>
    <w:rsid w:val="262827A7"/>
    <w:rsid w:val="285F1E1A"/>
    <w:rsid w:val="288F6CA8"/>
    <w:rsid w:val="28E54ED2"/>
    <w:rsid w:val="28F01A47"/>
    <w:rsid w:val="2A4370E4"/>
    <w:rsid w:val="2ACF254B"/>
    <w:rsid w:val="2B4C3B06"/>
    <w:rsid w:val="2BAB57EE"/>
    <w:rsid w:val="2C1106C8"/>
    <w:rsid w:val="2C4D5A62"/>
    <w:rsid w:val="2D047A30"/>
    <w:rsid w:val="2DFA1462"/>
    <w:rsid w:val="2E1848DF"/>
    <w:rsid w:val="2E9E5E3D"/>
    <w:rsid w:val="2EA25969"/>
    <w:rsid w:val="2EDF27A9"/>
    <w:rsid w:val="2F0D2540"/>
    <w:rsid w:val="30055F99"/>
    <w:rsid w:val="307643DE"/>
    <w:rsid w:val="30F96E53"/>
    <w:rsid w:val="313708CB"/>
    <w:rsid w:val="320A0628"/>
    <w:rsid w:val="322E2CC1"/>
    <w:rsid w:val="32744B8F"/>
    <w:rsid w:val="331E3107"/>
    <w:rsid w:val="3424001A"/>
    <w:rsid w:val="356928AF"/>
    <w:rsid w:val="3619454C"/>
    <w:rsid w:val="36BD46A0"/>
    <w:rsid w:val="36FB77C2"/>
    <w:rsid w:val="37061B9E"/>
    <w:rsid w:val="3707144E"/>
    <w:rsid w:val="373A1EFF"/>
    <w:rsid w:val="38551458"/>
    <w:rsid w:val="39255B4E"/>
    <w:rsid w:val="39D71CBE"/>
    <w:rsid w:val="3A3C4DBB"/>
    <w:rsid w:val="3B263C85"/>
    <w:rsid w:val="3BF645B8"/>
    <w:rsid w:val="3C7C2505"/>
    <w:rsid w:val="3C9A0C91"/>
    <w:rsid w:val="3CEF5D9F"/>
    <w:rsid w:val="3E52315F"/>
    <w:rsid w:val="3F8C3959"/>
    <w:rsid w:val="3FED2FEE"/>
    <w:rsid w:val="408C297B"/>
    <w:rsid w:val="40BB7A41"/>
    <w:rsid w:val="40D01062"/>
    <w:rsid w:val="43CB4F3C"/>
    <w:rsid w:val="45365B70"/>
    <w:rsid w:val="45FC0CDF"/>
    <w:rsid w:val="469455ED"/>
    <w:rsid w:val="47A63CAF"/>
    <w:rsid w:val="47A70B1B"/>
    <w:rsid w:val="49834D9A"/>
    <w:rsid w:val="49A3785C"/>
    <w:rsid w:val="49DE368B"/>
    <w:rsid w:val="4AD10EC2"/>
    <w:rsid w:val="4B4B5BA4"/>
    <w:rsid w:val="4B507937"/>
    <w:rsid w:val="4C59349D"/>
    <w:rsid w:val="4C713D2E"/>
    <w:rsid w:val="4DE745A3"/>
    <w:rsid w:val="4F1E3BC4"/>
    <w:rsid w:val="4F45079D"/>
    <w:rsid w:val="4F7E481F"/>
    <w:rsid w:val="4F850291"/>
    <w:rsid w:val="52715451"/>
    <w:rsid w:val="531D7080"/>
    <w:rsid w:val="535727FB"/>
    <w:rsid w:val="53C87BC3"/>
    <w:rsid w:val="54AF4E20"/>
    <w:rsid w:val="5604752C"/>
    <w:rsid w:val="56157047"/>
    <w:rsid w:val="56164708"/>
    <w:rsid w:val="56A53690"/>
    <w:rsid w:val="56D7432E"/>
    <w:rsid w:val="580544D9"/>
    <w:rsid w:val="584D1551"/>
    <w:rsid w:val="58F90B9C"/>
    <w:rsid w:val="5A9056E2"/>
    <w:rsid w:val="5B0B723D"/>
    <w:rsid w:val="5BA10461"/>
    <w:rsid w:val="5BEA3E40"/>
    <w:rsid w:val="5C341545"/>
    <w:rsid w:val="5C60789B"/>
    <w:rsid w:val="5D273664"/>
    <w:rsid w:val="5DA94893"/>
    <w:rsid w:val="5DE8500B"/>
    <w:rsid w:val="5DFD508B"/>
    <w:rsid w:val="5EAF1175"/>
    <w:rsid w:val="5EAF22C6"/>
    <w:rsid w:val="5EC12013"/>
    <w:rsid w:val="5FC324AB"/>
    <w:rsid w:val="5FF067F2"/>
    <w:rsid w:val="60731B94"/>
    <w:rsid w:val="60FE69AF"/>
    <w:rsid w:val="618168DB"/>
    <w:rsid w:val="61F4110B"/>
    <w:rsid w:val="62165216"/>
    <w:rsid w:val="62A57900"/>
    <w:rsid w:val="62FC0990"/>
    <w:rsid w:val="647C2F74"/>
    <w:rsid w:val="64D23995"/>
    <w:rsid w:val="65106F36"/>
    <w:rsid w:val="65D31C24"/>
    <w:rsid w:val="66071BDE"/>
    <w:rsid w:val="664034E9"/>
    <w:rsid w:val="66771ABA"/>
    <w:rsid w:val="66933F25"/>
    <w:rsid w:val="669623B2"/>
    <w:rsid w:val="6794231C"/>
    <w:rsid w:val="68065131"/>
    <w:rsid w:val="69382A2C"/>
    <w:rsid w:val="69434640"/>
    <w:rsid w:val="699851AD"/>
    <w:rsid w:val="69DB5D7C"/>
    <w:rsid w:val="6AFB6F7F"/>
    <w:rsid w:val="6B65083F"/>
    <w:rsid w:val="6B702DA0"/>
    <w:rsid w:val="6B9A7E53"/>
    <w:rsid w:val="6C7132C9"/>
    <w:rsid w:val="6C725123"/>
    <w:rsid w:val="6C920B69"/>
    <w:rsid w:val="6DB056A8"/>
    <w:rsid w:val="6DDF15C1"/>
    <w:rsid w:val="6DEF7AF4"/>
    <w:rsid w:val="6DF87AF7"/>
    <w:rsid w:val="6E061587"/>
    <w:rsid w:val="6E755BDC"/>
    <w:rsid w:val="6EE63E38"/>
    <w:rsid w:val="6F5517CF"/>
    <w:rsid w:val="6FE1733C"/>
    <w:rsid w:val="716A7B06"/>
    <w:rsid w:val="717A5259"/>
    <w:rsid w:val="72537542"/>
    <w:rsid w:val="72873766"/>
    <w:rsid w:val="7568015B"/>
    <w:rsid w:val="7599260A"/>
    <w:rsid w:val="766E211A"/>
    <w:rsid w:val="76A32410"/>
    <w:rsid w:val="76CE3135"/>
    <w:rsid w:val="771F0A60"/>
    <w:rsid w:val="77AF0244"/>
    <w:rsid w:val="77E36DBE"/>
    <w:rsid w:val="79B73810"/>
    <w:rsid w:val="79F71A7C"/>
    <w:rsid w:val="7A7367DF"/>
    <w:rsid w:val="7AD0650C"/>
    <w:rsid w:val="7B28499C"/>
    <w:rsid w:val="7B3A497C"/>
    <w:rsid w:val="7B7922DB"/>
    <w:rsid w:val="7B9038E4"/>
    <w:rsid w:val="7B945BA5"/>
    <w:rsid w:val="7BE9387C"/>
    <w:rsid w:val="7C4C347A"/>
    <w:rsid w:val="7C557CC4"/>
    <w:rsid w:val="7C5A65DC"/>
    <w:rsid w:val="7D7D15ED"/>
    <w:rsid w:val="7D7D678B"/>
    <w:rsid w:val="7E073678"/>
    <w:rsid w:val="7F9B7693"/>
    <w:rsid w:val="7FD924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0"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nhideWhenUsed="0" w:uiPriority="99"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qFormat="1" w:unhideWhenUsed="0" w:uiPriority="99" w:semiHidden="0" w:name="table of figures"/>
    <w:lsdException w:uiPriority="0" w:name="envelope address"/>
    <w:lsdException w:qFormat="1" w:unhideWhenUsed="0" w:uiPriority="0" w:semiHidden="0" w:name="envelope return"/>
    <w:lsdException w:uiPriority="0" w:name="footnote reference"/>
    <w:lsdException w:qFormat="1" w:unhideWhenUsed="0" w:uiPriority="99" w:name="annotation reference"/>
    <w:lsdException w:uiPriority="0" w:name="line number"/>
    <w:lsdException w:qFormat="1" w:unhideWhenUsed="0" w:uiPriority="99"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qFormat="1" w:unhideWhenUsed="0" w:uiPriority="99" w:semiHidden="0" w:name="List Number 3"/>
    <w:lsdException w:uiPriority="0" w:name="List Number 4"/>
    <w:lsdException w:qFormat="1" w:unhideWhenUsed="0" w:uiPriority="99" w:semiHidden="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99" w:semiHidden="0" w:name="Body Text"/>
    <w:lsdException w:qFormat="1" w:unhideWhenUsed="0"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99" w:semiHidden="0" w:name="Date"/>
    <w:lsdException w:qFormat="1" w:unhideWhenUsed="0" w:uiPriority="99" w:semiHidden="0" w:name="Body Text First Indent"/>
    <w:lsdException w:qFormat="1" w:unhideWhenUsed="0" w:uiPriority="0" w:semiHidden="0" w:name="Body Text First Indent 2"/>
    <w:lsdException w:uiPriority="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uiPriority="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99" w:name="Document Map"/>
    <w:lsdException w:qFormat="1" w:unhideWhenUsed="0" w:uiPriority="99"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99" w:semiHidden="0" w:name="HTML Preformatted"/>
    <w:lsdException w:uiPriority="0" w:name="HTML Sample"/>
    <w:lsdException w:qFormat="1" w:unhideWhenUsed="0" w:uiPriority="99" w:semiHidden="0" w:name="HTML Typewriter"/>
    <w:lsdException w:uiPriority="0" w:name="HTML Variable"/>
    <w:lsdException w:qFormat="1" w:uiPriority="99" w:name="Normal Table"/>
    <w:lsdException w:qFormat="1" w:unhideWhenUsed="0" w:uiPriority="99"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55"/>
    <w:qFormat/>
    <w:uiPriority w:val="9"/>
    <w:pPr>
      <w:keepNext/>
      <w:spacing w:line="380" w:lineRule="exact"/>
      <w:jc w:val="center"/>
      <w:outlineLvl w:val="0"/>
    </w:pPr>
    <w:rPr>
      <w:rFonts w:ascii="宋体" w:hAnsi="宋体"/>
      <w:b/>
      <w:kern w:val="44"/>
      <w:sz w:val="44"/>
      <w:szCs w:val="44"/>
    </w:rPr>
  </w:style>
  <w:style w:type="paragraph" w:styleId="4">
    <w:name w:val="heading 2"/>
    <w:basedOn w:val="1"/>
    <w:next w:val="1"/>
    <w:link w:val="56"/>
    <w:qFormat/>
    <w:uiPriority w:val="9"/>
    <w:pPr>
      <w:keepNext/>
      <w:keepLines/>
      <w:tabs>
        <w:tab w:val="left" w:pos="578"/>
      </w:tabs>
      <w:spacing w:beforeLines="50" w:afterLines="50" w:line="360" w:lineRule="auto"/>
      <w:ind w:left="578" w:hanging="578"/>
      <w:outlineLvl w:val="1"/>
    </w:pPr>
    <w:rPr>
      <w:rFonts w:ascii="Cambria" w:hAnsi="Cambria"/>
      <w:szCs w:val="21"/>
    </w:rPr>
  </w:style>
  <w:style w:type="paragraph" w:styleId="5">
    <w:name w:val="heading 3"/>
    <w:basedOn w:val="1"/>
    <w:next w:val="1"/>
    <w:link w:val="57"/>
    <w:qFormat/>
    <w:uiPriority w:val="9"/>
    <w:pPr>
      <w:keepNext/>
      <w:keepLines/>
      <w:tabs>
        <w:tab w:val="left" w:pos="1620"/>
      </w:tabs>
      <w:spacing w:beforeLines="50" w:afterLines="50" w:line="360" w:lineRule="auto"/>
      <w:ind w:left="1620" w:hanging="720"/>
      <w:outlineLvl w:val="2"/>
    </w:pPr>
    <w:rPr>
      <w:rFonts w:ascii="宋体" w:hAnsi="宋体"/>
      <w:b/>
      <w:sz w:val="32"/>
      <w:szCs w:val="32"/>
    </w:rPr>
  </w:style>
  <w:style w:type="paragraph" w:styleId="6">
    <w:name w:val="heading 4"/>
    <w:basedOn w:val="1"/>
    <w:next w:val="1"/>
    <w:link w:val="58"/>
    <w:qFormat/>
    <w:uiPriority w:val="0"/>
    <w:pPr>
      <w:keepNext/>
      <w:keepLines/>
      <w:tabs>
        <w:tab w:val="left" w:pos="864"/>
      </w:tabs>
      <w:spacing w:before="280" w:after="290" w:line="376" w:lineRule="auto"/>
      <w:ind w:left="864" w:hanging="864"/>
      <w:outlineLvl w:val="3"/>
    </w:pPr>
    <w:rPr>
      <w:rFonts w:ascii="Arial" w:hAnsi="Arial" w:eastAsia="黑体"/>
      <w:b/>
      <w:sz w:val="28"/>
    </w:rPr>
  </w:style>
  <w:style w:type="paragraph" w:styleId="7">
    <w:name w:val="heading 5"/>
    <w:basedOn w:val="1"/>
    <w:next w:val="1"/>
    <w:link w:val="59"/>
    <w:qFormat/>
    <w:uiPriority w:val="9"/>
    <w:pPr>
      <w:keepNext/>
      <w:keepLines/>
      <w:tabs>
        <w:tab w:val="left" w:pos="1548"/>
      </w:tabs>
      <w:spacing w:before="280" w:after="290" w:line="376" w:lineRule="auto"/>
      <w:ind w:left="1548" w:hanging="1548"/>
      <w:outlineLvl w:val="4"/>
    </w:pPr>
    <w:rPr>
      <w:b/>
      <w:sz w:val="28"/>
    </w:rPr>
  </w:style>
  <w:style w:type="paragraph" w:styleId="8">
    <w:name w:val="heading 6"/>
    <w:basedOn w:val="1"/>
    <w:next w:val="1"/>
    <w:link w:val="60"/>
    <w:qFormat/>
    <w:uiPriority w:val="9"/>
    <w:pPr>
      <w:keepNext/>
      <w:keepLines/>
      <w:spacing w:before="240" w:after="64" w:line="320" w:lineRule="auto"/>
      <w:outlineLvl w:val="5"/>
    </w:pPr>
    <w:rPr>
      <w:rFonts w:ascii="Cambria" w:hAnsi="Cambria"/>
      <w:b/>
      <w:sz w:val="24"/>
    </w:rPr>
  </w:style>
  <w:style w:type="paragraph" w:styleId="9">
    <w:name w:val="heading 7"/>
    <w:basedOn w:val="1"/>
    <w:next w:val="1"/>
    <w:link w:val="61"/>
    <w:qFormat/>
    <w:uiPriority w:val="9"/>
    <w:pPr>
      <w:keepNext/>
      <w:keepLines/>
      <w:tabs>
        <w:tab w:val="left" w:pos="1296"/>
      </w:tabs>
      <w:spacing w:before="240" w:after="64" w:line="317" w:lineRule="auto"/>
      <w:ind w:left="2940" w:hanging="420"/>
      <w:outlineLvl w:val="6"/>
    </w:pPr>
    <w:rPr>
      <w:b/>
      <w:sz w:val="24"/>
    </w:rPr>
  </w:style>
  <w:style w:type="paragraph" w:styleId="10">
    <w:name w:val="heading 8"/>
    <w:basedOn w:val="1"/>
    <w:next w:val="1"/>
    <w:link w:val="62"/>
    <w:qFormat/>
    <w:uiPriority w:val="9"/>
    <w:pPr>
      <w:keepNext/>
      <w:keepLines/>
      <w:tabs>
        <w:tab w:val="left" w:pos="1440"/>
      </w:tabs>
      <w:spacing w:before="240" w:after="64" w:line="317" w:lineRule="auto"/>
      <w:ind w:left="3360" w:hanging="420"/>
      <w:outlineLvl w:val="7"/>
    </w:pPr>
    <w:rPr>
      <w:rFonts w:ascii="Arial" w:hAnsi="Arial" w:eastAsia="黑体"/>
      <w:sz w:val="24"/>
    </w:rPr>
  </w:style>
  <w:style w:type="paragraph" w:styleId="11">
    <w:name w:val="heading 9"/>
    <w:basedOn w:val="1"/>
    <w:next w:val="1"/>
    <w:link w:val="63"/>
    <w:qFormat/>
    <w:uiPriority w:val="9"/>
    <w:pPr>
      <w:keepNext/>
      <w:keepLines/>
      <w:tabs>
        <w:tab w:val="left" w:pos="1584"/>
      </w:tabs>
      <w:spacing w:before="240" w:after="64" w:line="317" w:lineRule="auto"/>
      <w:ind w:left="3780" w:hanging="420"/>
      <w:outlineLvl w:val="8"/>
    </w:pPr>
    <w:rPr>
      <w:rFonts w:ascii="Arial" w:hAnsi="Arial" w:eastAsia="黑体"/>
    </w:rPr>
  </w:style>
  <w:style w:type="character" w:default="1" w:styleId="47">
    <w:name w:val="Default Paragraph Font"/>
    <w:semiHidden/>
    <w:unhideWhenUsed/>
    <w:qFormat/>
    <w:uiPriority w:val="1"/>
  </w:style>
  <w:style w:type="table" w:default="1" w:styleId="45">
    <w:name w:val="Normal Table"/>
    <w:semiHidden/>
    <w:unhideWhenUsed/>
    <w:qFormat/>
    <w:uiPriority w:val="99"/>
    <w:tblPr>
      <w:tblCellMar>
        <w:top w:w="0" w:type="dxa"/>
        <w:left w:w="108" w:type="dxa"/>
        <w:bottom w:w="0" w:type="dxa"/>
        <w:right w:w="108" w:type="dxa"/>
      </w:tblCellMar>
    </w:tblPr>
  </w:style>
  <w:style w:type="paragraph" w:customStyle="1" w:styleId="2">
    <w:name w:val="列出段落1"/>
    <w:basedOn w:val="1"/>
    <w:link w:val="124"/>
    <w:qFormat/>
    <w:uiPriority w:val="0"/>
    <w:pPr>
      <w:ind w:firstLine="420" w:firstLineChars="200"/>
    </w:pPr>
    <w:rPr>
      <w:rFonts w:ascii="Calibri" w:hAnsi="Calibri"/>
      <w:sz w:val="22"/>
    </w:rPr>
  </w:style>
  <w:style w:type="paragraph" w:styleId="12">
    <w:name w:val="toc 7"/>
    <w:basedOn w:val="1"/>
    <w:next w:val="1"/>
    <w:qFormat/>
    <w:uiPriority w:val="39"/>
    <w:pPr>
      <w:ind w:left="1260"/>
      <w:jc w:val="left"/>
    </w:pPr>
    <w:rPr>
      <w:sz w:val="18"/>
      <w:szCs w:val="18"/>
    </w:rPr>
  </w:style>
  <w:style w:type="paragraph" w:styleId="13">
    <w:name w:val="Normal Indent"/>
    <w:basedOn w:val="1"/>
    <w:next w:val="1"/>
    <w:link w:val="64"/>
    <w:qFormat/>
    <w:uiPriority w:val="0"/>
    <w:pPr>
      <w:ind w:firstLine="420" w:firstLineChars="200"/>
    </w:pPr>
    <w:rPr>
      <w:rFonts w:ascii="宋体" w:hAnsi="宋体"/>
      <w:spacing w:val="14"/>
      <w:kern w:val="24"/>
      <w:sz w:val="24"/>
      <w:szCs w:val="24"/>
    </w:rPr>
  </w:style>
  <w:style w:type="paragraph" w:styleId="14">
    <w:name w:val="Document Map"/>
    <w:basedOn w:val="1"/>
    <w:link w:val="65"/>
    <w:semiHidden/>
    <w:qFormat/>
    <w:uiPriority w:val="99"/>
    <w:pPr>
      <w:shd w:val="clear" w:color="auto" w:fill="000080"/>
    </w:pPr>
  </w:style>
  <w:style w:type="paragraph" w:styleId="15">
    <w:name w:val="annotation text"/>
    <w:basedOn w:val="1"/>
    <w:link w:val="66"/>
    <w:qFormat/>
    <w:uiPriority w:val="99"/>
    <w:pPr>
      <w:jc w:val="left"/>
    </w:pPr>
    <w:rPr>
      <w:rFonts w:ascii="宋体" w:hAnsi="宋体"/>
      <w:szCs w:val="21"/>
    </w:rPr>
  </w:style>
  <w:style w:type="paragraph" w:styleId="16">
    <w:name w:val="Body Text 3"/>
    <w:basedOn w:val="1"/>
    <w:link w:val="67"/>
    <w:qFormat/>
    <w:uiPriority w:val="99"/>
    <w:pPr>
      <w:spacing w:after="120" w:line="360" w:lineRule="auto"/>
    </w:pPr>
    <w:rPr>
      <w:kern w:val="0"/>
      <w:sz w:val="16"/>
    </w:rPr>
  </w:style>
  <w:style w:type="paragraph" w:styleId="17">
    <w:name w:val="Body Text"/>
    <w:basedOn w:val="1"/>
    <w:next w:val="18"/>
    <w:link w:val="68"/>
    <w:qFormat/>
    <w:uiPriority w:val="99"/>
    <w:rPr>
      <w:rFonts w:ascii="宋体" w:hAnsi="宋体"/>
      <w:kern w:val="0"/>
      <w:sz w:val="20"/>
    </w:rPr>
  </w:style>
  <w:style w:type="paragraph" w:styleId="18">
    <w:name w:val="toc 5"/>
    <w:basedOn w:val="1"/>
    <w:next w:val="1"/>
    <w:qFormat/>
    <w:uiPriority w:val="39"/>
    <w:pPr>
      <w:ind w:left="840"/>
      <w:jc w:val="left"/>
    </w:pPr>
    <w:rPr>
      <w:sz w:val="18"/>
      <w:szCs w:val="18"/>
    </w:rPr>
  </w:style>
  <w:style w:type="paragraph" w:styleId="19">
    <w:name w:val="Body Text Indent"/>
    <w:basedOn w:val="1"/>
    <w:link w:val="69"/>
    <w:qFormat/>
    <w:uiPriority w:val="99"/>
    <w:pPr>
      <w:spacing w:line="380" w:lineRule="exact"/>
      <w:ind w:firstLine="480"/>
    </w:pPr>
    <w:rPr>
      <w:rFonts w:eastAsia="方正书宋简体"/>
      <w:sz w:val="24"/>
    </w:rPr>
  </w:style>
  <w:style w:type="paragraph" w:styleId="20">
    <w:name w:val="List Number 3"/>
    <w:basedOn w:val="1"/>
    <w:qFormat/>
    <w:uiPriority w:val="99"/>
    <w:pPr>
      <w:widowControl/>
      <w:tabs>
        <w:tab w:val="left" w:pos="482"/>
      </w:tabs>
      <w:spacing w:afterLines="50"/>
      <w:ind w:left="482" w:hanging="340"/>
      <w:jc w:val="left"/>
    </w:pPr>
    <w:rPr>
      <w:kern w:val="0"/>
      <w:sz w:val="24"/>
    </w:rPr>
  </w:style>
  <w:style w:type="paragraph" w:styleId="21">
    <w:name w:val="toc 3"/>
    <w:basedOn w:val="1"/>
    <w:next w:val="1"/>
    <w:qFormat/>
    <w:uiPriority w:val="39"/>
    <w:pPr>
      <w:ind w:left="420"/>
      <w:jc w:val="left"/>
    </w:pPr>
    <w:rPr>
      <w:i/>
      <w:iCs/>
      <w:sz w:val="20"/>
    </w:rPr>
  </w:style>
  <w:style w:type="paragraph" w:styleId="22">
    <w:name w:val="Plain Text"/>
    <w:basedOn w:val="1"/>
    <w:next w:val="1"/>
    <w:link w:val="70"/>
    <w:qFormat/>
    <w:uiPriority w:val="99"/>
    <w:pPr>
      <w:widowControl/>
      <w:spacing w:before="100" w:beforeAutospacing="1" w:after="100" w:afterAutospacing="1"/>
      <w:jc w:val="left"/>
    </w:pPr>
    <w:rPr>
      <w:rFonts w:ascii="宋体" w:hAnsi="Courier New"/>
      <w:kern w:val="0"/>
      <w:sz w:val="20"/>
    </w:rPr>
  </w:style>
  <w:style w:type="paragraph" w:styleId="23">
    <w:name w:val="toc 8"/>
    <w:basedOn w:val="1"/>
    <w:next w:val="1"/>
    <w:qFormat/>
    <w:uiPriority w:val="39"/>
    <w:pPr>
      <w:ind w:left="1470"/>
      <w:jc w:val="left"/>
    </w:pPr>
    <w:rPr>
      <w:sz w:val="18"/>
      <w:szCs w:val="18"/>
    </w:rPr>
  </w:style>
  <w:style w:type="paragraph" w:styleId="24">
    <w:name w:val="Date"/>
    <w:basedOn w:val="1"/>
    <w:next w:val="1"/>
    <w:link w:val="71"/>
    <w:qFormat/>
    <w:uiPriority w:val="99"/>
    <w:pPr>
      <w:adjustRightInd w:val="0"/>
      <w:spacing w:line="312" w:lineRule="atLeast"/>
      <w:jc w:val="right"/>
      <w:textAlignment w:val="baseline"/>
    </w:pPr>
    <w:rPr>
      <w:rFonts w:ascii="宋体"/>
      <w:kern w:val="0"/>
      <w:sz w:val="24"/>
    </w:rPr>
  </w:style>
  <w:style w:type="paragraph" w:styleId="25">
    <w:name w:val="Body Text Indent 2"/>
    <w:basedOn w:val="1"/>
    <w:link w:val="72"/>
    <w:qFormat/>
    <w:uiPriority w:val="99"/>
    <w:pPr>
      <w:spacing w:line="380" w:lineRule="exact"/>
      <w:ind w:left="840" w:hanging="45"/>
    </w:pPr>
    <w:rPr>
      <w:rFonts w:ascii="宋体"/>
      <w:sz w:val="24"/>
    </w:rPr>
  </w:style>
  <w:style w:type="paragraph" w:styleId="26">
    <w:name w:val="Balloon Text"/>
    <w:basedOn w:val="1"/>
    <w:link w:val="73"/>
    <w:semiHidden/>
    <w:qFormat/>
    <w:uiPriority w:val="99"/>
    <w:rPr>
      <w:rFonts w:ascii="宋体" w:hAnsi="宋体"/>
      <w:sz w:val="18"/>
      <w:szCs w:val="18"/>
    </w:rPr>
  </w:style>
  <w:style w:type="paragraph" w:styleId="27">
    <w:name w:val="footer"/>
    <w:basedOn w:val="1"/>
    <w:link w:val="74"/>
    <w:qFormat/>
    <w:uiPriority w:val="99"/>
    <w:pPr>
      <w:tabs>
        <w:tab w:val="center" w:pos="4153"/>
        <w:tab w:val="right" w:pos="8306"/>
      </w:tabs>
      <w:snapToGrid w:val="0"/>
      <w:jc w:val="left"/>
    </w:pPr>
    <w:rPr>
      <w:rFonts w:ascii="宋体" w:hAnsi="宋体"/>
      <w:sz w:val="18"/>
      <w:szCs w:val="18"/>
    </w:rPr>
  </w:style>
  <w:style w:type="paragraph" w:styleId="28">
    <w:name w:val="envelope return"/>
    <w:basedOn w:val="1"/>
    <w:qFormat/>
    <w:uiPriority w:val="0"/>
    <w:pPr>
      <w:snapToGrid w:val="0"/>
    </w:pPr>
    <w:rPr>
      <w:rFonts w:ascii="Arial" w:hAnsi="Arial"/>
    </w:rPr>
  </w:style>
  <w:style w:type="paragraph" w:styleId="29">
    <w:name w:val="header"/>
    <w:basedOn w:val="1"/>
    <w:link w:val="75"/>
    <w:qFormat/>
    <w:uiPriority w:val="99"/>
    <w:pPr>
      <w:pBdr>
        <w:bottom w:val="single" w:color="auto" w:sz="6" w:space="1"/>
      </w:pBdr>
      <w:tabs>
        <w:tab w:val="center" w:pos="4153"/>
        <w:tab w:val="right" w:pos="8306"/>
      </w:tabs>
      <w:snapToGrid w:val="0"/>
      <w:jc w:val="center"/>
    </w:pPr>
    <w:rPr>
      <w:rFonts w:ascii="宋体" w:hAnsi="宋体"/>
      <w:sz w:val="18"/>
      <w:szCs w:val="18"/>
    </w:rPr>
  </w:style>
  <w:style w:type="paragraph" w:styleId="30">
    <w:name w:val="toc 1"/>
    <w:basedOn w:val="1"/>
    <w:next w:val="1"/>
    <w:qFormat/>
    <w:uiPriority w:val="39"/>
    <w:pPr>
      <w:tabs>
        <w:tab w:val="right" w:leader="dot" w:pos="8721"/>
      </w:tabs>
      <w:spacing w:line="480" w:lineRule="auto"/>
    </w:pPr>
    <w:rPr>
      <w:rFonts w:ascii="宋体" w:hAnsi="宋体"/>
      <w:color w:val="000000"/>
      <w:sz w:val="32"/>
      <w:szCs w:val="32"/>
    </w:rPr>
  </w:style>
  <w:style w:type="paragraph" w:styleId="31">
    <w:name w:val="toc 4"/>
    <w:basedOn w:val="1"/>
    <w:next w:val="1"/>
    <w:qFormat/>
    <w:uiPriority w:val="39"/>
    <w:pPr>
      <w:ind w:left="630"/>
      <w:jc w:val="left"/>
    </w:pPr>
    <w:rPr>
      <w:sz w:val="18"/>
      <w:szCs w:val="18"/>
    </w:rPr>
  </w:style>
  <w:style w:type="paragraph" w:styleId="32">
    <w:name w:val="List Number 5"/>
    <w:basedOn w:val="1"/>
    <w:qFormat/>
    <w:uiPriority w:val="99"/>
    <w:pPr>
      <w:tabs>
        <w:tab w:val="left" w:pos="2608"/>
      </w:tabs>
      <w:spacing w:line="360" w:lineRule="auto"/>
      <w:ind w:left="840" w:hanging="360"/>
    </w:pPr>
    <w:rPr>
      <w:sz w:val="24"/>
      <w:szCs w:val="24"/>
    </w:rPr>
  </w:style>
  <w:style w:type="paragraph" w:styleId="33">
    <w:name w:val="toc 6"/>
    <w:basedOn w:val="1"/>
    <w:next w:val="1"/>
    <w:qFormat/>
    <w:uiPriority w:val="39"/>
    <w:pPr>
      <w:ind w:left="1050"/>
      <w:jc w:val="left"/>
    </w:pPr>
    <w:rPr>
      <w:sz w:val="18"/>
      <w:szCs w:val="18"/>
    </w:rPr>
  </w:style>
  <w:style w:type="paragraph" w:styleId="34">
    <w:name w:val="Body Text Indent 3"/>
    <w:basedOn w:val="1"/>
    <w:link w:val="76"/>
    <w:qFormat/>
    <w:uiPriority w:val="99"/>
    <w:pPr>
      <w:spacing w:line="380" w:lineRule="exact"/>
      <w:ind w:left="525"/>
    </w:pPr>
    <w:rPr>
      <w:rFonts w:ascii="宋体" w:hAnsi="宋体"/>
      <w:b/>
      <w:sz w:val="24"/>
      <w:szCs w:val="24"/>
    </w:rPr>
  </w:style>
  <w:style w:type="paragraph" w:styleId="35">
    <w:name w:val="table of figures"/>
    <w:basedOn w:val="1"/>
    <w:next w:val="1"/>
    <w:qFormat/>
    <w:uiPriority w:val="99"/>
    <w:pPr>
      <w:ind w:left="420" w:hanging="420"/>
      <w:jc w:val="left"/>
    </w:pPr>
    <w:rPr>
      <w:smallCaps/>
      <w:sz w:val="20"/>
    </w:rPr>
  </w:style>
  <w:style w:type="paragraph" w:styleId="36">
    <w:name w:val="toc 2"/>
    <w:basedOn w:val="1"/>
    <w:next w:val="1"/>
    <w:qFormat/>
    <w:uiPriority w:val="39"/>
    <w:pPr>
      <w:ind w:left="210"/>
      <w:jc w:val="left"/>
    </w:pPr>
    <w:rPr>
      <w:smallCaps/>
      <w:sz w:val="20"/>
    </w:rPr>
  </w:style>
  <w:style w:type="paragraph" w:styleId="37">
    <w:name w:val="toc 9"/>
    <w:basedOn w:val="1"/>
    <w:next w:val="1"/>
    <w:qFormat/>
    <w:uiPriority w:val="39"/>
    <w:pPr>
      <w:ind w:left="1680"/>
      <w:jc w:val="left"/>
    </w:pPr>
    <w:rPr>
      <w:sz w:val="18"/>
      <w:szCs w:val="18"/>
    </w:rPr>
  </w:style>
  <w:style w:type="paragraph" w:styleId="38">
    <w:name w:val="Body Text 2"/>
    <w:basedOn w:val="1"/>
    <w:link w:val="77"/>
    <w:qFormat/>
    <w:uiPriority w:val="99"/>
    <w:pPr>
      <w:spacing w:after="120" w:line="480" w:lineRule="auto"/>
    </w:pPr>
    <w:rPr>
      <w:kern w:val="0"/>
      <w:sz w:val="24"/>
    </w:rPr>
  </w:style>
  <w:style w:type="paragraph" w:styleId="39">
    <w:name w:val="HTML Preformatted"/>
    <w:basedOn w:val="1"/>
    <w:link w:val="78"/>
    <w:qFormat/>
    <w:uiPriority w:val="99"/>
    <w:rPr>
      <w:rFonts w:ascii="Courier New" w:hAnsi="Courier New"/>
      <w:sz w:val="20"/>
    </w:rPr>
  </w:style>
  <w:style w:type="paragraph" w:styleId="40">
    <w:name w:val="Normal (Web)"/>
    <w:basedOn w:val="1"/>
    <w:qFormat/>
    <w:uiPriority w:val="0"/>
    <w:pPr>
      <w:widowControl/>
      <w:spacing w:before="100" w:beforeAutospacing="1" w:after="100" w:afterAutospacing="1" w:line="300" w:lineRule="atLeast"/>
      <w:jc w:val="left"/>
    </w:pPr>
    <w:rPr>
      <w:rFonts w:ascii="宋体" w:hAnsi="宋体" w:cs="宋体"/>
      <w:kern w:val="0"/>
      <w:sz w:val="24"/>
      <w:szCs w:val="24"/>
    </w:rPr>
  </w:style>
  <w:style w:type="paragraph" w:styleId="41">
    <w:name w:val="index 1"/>
    <w:basedOn w:val="1"/>
    <w:next w:val="1"/>
    <w:semiHidden/>
    <w:qFormat/>
    <w:uiPriority w:val="99"/>
  </w:style>
  <w:style w:type="paragraph" w:styleId="42">
    <w:name w:val="annotation subject"/>
    <w:basedOn w:val="15"/>
    <w:next w:val="15"/>
    <w:link w:val="79"/>
    <w:semiHidden/>
    <w:qFormat/>
    <w:uiPriority w:val="99"/>
    <w:rPr>
      <w:b/>
    </w:rPr>
  </w:style>
  <w:style w:type="paragraph" w:styleId="43">
    <w:name w:val="Body Text First Indent"/>
    <w:basedOn w:val="17"/>
    <w:link w:val="80"/>
    <w:qFormat/>
    <w:uiPriority w:val="99"/>
    <w:pPr>
      <w:spacing w:after="120"/>
      <w:ind w:firstLine="420" w:firstLineChars="100"/>
    </w:pPr>
    <w:rPr>
      <w:i/>
      <w:kern w:val="2"/>
      <w:sz w:val="24"/>
    </w:rPr>
  </w:style>
  <w:style w:type="paragraph" w:styleId="44">
    <w:name w:val="Body Text First Indent 2"/>
    <w:basedOn w:val="19"/>
    <w:link w:val="81"/>
    <w:qFormat/>
    <w:uiPriority w:val="0"/>
    <w:pPr>
      <w:tabs>
        <w:tab w:val="left" w:pos="2340"/>
      </w:tabs>
      <w:spacing w:line="300" w:lineRule="auto"/>
      <w:ind w:firstLine="420" w:firstLineChars="200"/>
      <w:jc w:val="left"/>
    </w:pPr>
    <w:rPr>
      <w:rFonts w:ascii="Calibri" w:hAnsi="Calibri" w:eastAsia="幼圆"/>
      <w:kern w:val="0"/>
      <w:sz w:val="20"/>
      <w:szCs w:val="24"/>
    </w:rPr>
  </w:style>
  <w:style w:type="table" w:styleId="46">
    <w:name w:val="Table Grid"/>
    <w:basedOn w:val="4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8">
    <w:name w:val="Strong"/>
    <w:qFormat/>
    <w:uiPriority w:val="22"/>
    <w:rPr>
      <w:b/>
    </w:rPr>
  </w:style>
  <w:style w:type="character" w:styleId="49">
    <w:name w:val="page number"/>
    <w:qFormat/>
    <w:uiPriority w:val="99"/>
    <w:rPr>
      <w:rFonts w:cs="Times New Roman"/>
    </w:rPr>
  </w:style>
  <w:style w:type="character" w:styleId="50">
    <w:name w:val="FollowedHyperlink"/>
    <w:qFormat/>
    <w:uiPriority w:val="99"/>
    <w:rPr>
      <w:color w:val="800080"/>
      <w:u w:val="single"/>
    </w:rPr>
  </w:style>
  <w:style w:type="character" w:styleId="51">
    <w:name w:val="Emphasis"/>
    <w:qFormat/>
    <w:uiPriority w:val="20"/>
    <w:rPr>
      <w:i/>
    </w:rPr>
  </w:style>
  <w:style w:type="character" w:styleId="52">
    <w:name w:val="HTML Typewriter"/>
    <w:qFormat/>
    <w:uiPriority w:val="99"/>
    <w:rPr>
      <w:rFonts w:ascii="Courier New" w:hAnsi="Courier New"/>
      <w:sz w:val="20"/>
    </w:rPr>
  </w:style>
  <w:style w:type="character" w:styleId="53">
    <w:name w:val="Hyperlink"/>
    <w:qFormat/>
    <w:uiPriority w:val="99"/>
    <w:rPr>
      <w:color w:val="0000FF"/>
      <w:u w:val="single"/>
    </w:rPr>
  </w:style>
  <w:style w:type="character" w:styleId="54">
    <w:name w:val="annotation reference"/>
    <w:semiHidden/>
    <w:qFormat/>
    <w:uiPriority w:val="99"/>
    <w:rPr>
      <w:sz w:val="21"/>
    </w:rPr>
  </w:style>
  <w:style w:type="character" w:customStyle="1" w:styleId="55">
    <w:name w:val="标题 1 Char1"/>
    <w:link w:val="3"/>
    <w:qFormat/>
    <w:locked/>
    <w:uiPriority w:val="9"/>
    <w:rPr>
      <w:rFonts w:ascii="宋体" w:hAnsi="宋体" w:eastAsia="宋体" w:cs="宋体"/>
      <w:b/>
      <w:kern w:val="44"/>
      <w:sz w:val="44"/>
      <w:szCs w:val="44"/>
      <w:lang w:val="en-US" w:eastAsia="zh-CN"/>
    </w:rPr>
  </w:style>
  <w:style w:type="character" w:customStyle="1" w:styleId="56">
    <w:name w:val="标题 2 Char1"/>
    <w:link w:val="4"/>
    <w:qFormat/>
    <w:locked/>
    <w:uiPriority w:val="9"/>
    <w:rPr>
      <w:rFonts w:ascii="Cambria" w:hAnsi="Cambria" w:eastAsia="宋体" w:cs="Cambria"/>
      <w:kern w:val="2"/>
      <w:sz w:val="21"/>
      <w:szCs w:val="21"/>
      <w:lang w:val="en-US" w:eastAsia="zh-CN"/>
    </w:rPr>
  </w:style>
  <w:style w:type="character" w:customStyle="1" w:styleId="57">
    <w:name w:val="标题 3 Char1"/>
    <w:link w:val="5"/>
    <w:qFormat/>
    <w:locked/>
    <w:uiPriority w:val="9"/>
    <w:rPr>
      <w:rFonts w:ascii="宋体" w:hAnsi="宋体" w:eastAsia="宋体" w:cs="宋体"/>
      <w:b/>
      <w:kern w:val="2"/>
      <w:sz w:val="32"/>
      <w:szCs w:val="32"/>
      <w:lang w:val="en-US" w:eastAsia="zh-CN"/>
    </w:rPr>
  </w:style>
  <w:style w:type="character" w:customStyle="1" w:styleId="58">
    <w:name w:val="标题 4 Char"/>
    <w:link w:val="6"/>
    <w:qFormat/>
    <w:locked/>
    <w:uiPriority w:val="0"/>
    <w:rPr>
      <w:rFonts w:ascii="Arial" w:hAnsi="Arial" w:eastAsia="黑体"/>
      <w:b/>
      <w:kern w:val="2"/>
      <w:sz w:val="28"/>
      <w:lang w:val="en-US" w:eastAsia="zh-CN"/>
    </w:rPr>
  </w:style>
  <w:style w:type="character" w:customStyle="1" w:styleId="59">
    <w:name w:val="标题 5 Char"/>
    <w:link w:val="7"/>
    <w:qFormat/>
    <w:locked/>
    <w:uiPriority w:val="9"/>
    <w:rPr>
      <w:rFonts w:eastAsia="宋体"/>
      <w:b/>
      <w:kern w:val="2"/>
      <w:sz w:val="28"/>
      <w:lang w:val="en-US" w:eastAsia="zh-CN"/>
    </w:rPr>
  </w:style>
  <w:style w:type="character" w:customStyle="1" w:styleId="60">
    <w:name w:val="标题 6 Char"/>
    <w:link w:val="8"/>
    <w:qFormat/>
    <w:locked/>
    <w:uiPriority w:val="9"/>
    <w:rPr>
      <w:rFonts w:ascii="Cambria" w:hAnsi="Cambria" w:eastAsia="宋体"/>
      <w:b/>
      <w:kern w:val="2"/>
      <w:sz w:val="24"/>
      <w:lang w:val="en-US" w:eastAsia="zh-CN"/>
    </w:rPr>
  </w:style>
  <w:style w:type="character" w:customStyle="1" w:styleId="61">
    <w:name w:val="标题 7 Char"/>
    <w:link w:val="9"/>
    <w:qFormat/>
    <w:locked/>
    <w:uiPriority w:val="9"/>
    <w:rPr>
      <w:b/>
      <w:kern w:val="2"/>
      <w:sz w:val="24"/>
    </w:rPr>
  </w:style>
  <w:style w:type="character" w:customStyle="1" w:styleId="62">
    <w:name w:val="标题 8 Char"/>
    <w:link w:val="10"/>
    <w:qFormat/>
    <w:locked/>
    <w:uiPriority w:val="9"/>
    <w:rPr>
      <w:rFonts w:ascii="Arial" w:hAnsi="Arial" w:eastAsia="黑体"/>
      <w:kern w:val="2"/>
      <w:sz w:val="24"/>
    </w:rPr>
  </w:style>
  <w:style w:type="character" w:customStyle="1" w:styleId="63">
    <w:name w:val="标题 9 Char"/>
    <w:link w:val="11"/>
    <w:qFormat/>
    <w:locked/>
    <w:uiPriority w:val="9"/>
    <w:rPr>
      <w:rFonts w:ascii="Arial" w:hAnsi="Arial" w:eastAsia="黑体"/>
      <w:kern w:val="2"/>
      <w:sz w:val="21"/>
    </w:rPr>
  </w:style>
  <w:style w:type="character" w:customStyle="1" w:styleId="64">
    <w:name w:val="正文缩进 Char1"/>
    <w:link w:val="13"/>
    <w:qFormat/>
    <w:locked/>
    <w:uiPriority w:val="0"/>
    <w:rPr>
      <w:rFonts w:ascii="宋体" w:hAnsi="宋体" w:eastAsia="宋体" w:cs="宋体"/>
      <w:spacing w:val="14"/>
      <w:kern w:val="24"/>
      <w:sz w:val="24"/>
      <w:szCs w:val="24"/>
      <w:lang w:val="en-US" w:eastAsia="zh-CN"/>
    </w:rPr>
  </w:style>
  <w:style w:type="character" w:customStyle="1" w:styleId="65">
    <w:name w:val="文档结构图 Char"/>
    <w:link w:val="14"/>
    <w:qFormat/>
    <w:locked/>
    <w:uiPriority w:val="99"/>
    <w:rPr>
      <w:rFonts w:eastAsia="宋体"/>
      <w:kern w:val="2"/>
      <w:sz w:val="21"/>
      <w:lang w:val="en-US" w:eastAsia="zh-CN"/>
    </w:rPr>
  </w:style>
  <w:style w:type="character" w:customStyle="1" w:styleId="66">
    <w:name w:val="批注文字 Char1"/>
    <w:link w:val="15"/>
    <w:qFormat/>
    <w:locked/>
    <w:uiPriority w:val="99"/>
    <w:rPr>
      <w:rFonts w:ascii="宋体" w:hAnsi="宋体" w:eastAsia="宋体" w:cs="宋体"/>
      <w:kern w:val="2"/>
      <w:sz w:val="21"/>
      <w:szCs w:val="21"/>
      <w:lang w:val="en-US" w:eastAsia="zh-CN"/>
    </w:rPr>
  </w:style>
  <w:style w:type="character" w:customStyle="1" w:styleId="67">
    <w:name w:val="正文文本 3 Char"/>
    <w:link w:val="16"/>
    <w:qFormat/>
    <w:locked/>
    <w:uiPriority w:val="99"/>
    <w:rPr>
      <w:rFonts w:eastAsia="宋体"/>
      <w:sz w:val="16"/>
    </w:rPr>
  </w:style>
  <w:style w:type="character" w:customStyle="1" w:styleId="68">
    <w:name w:val="正文文本 Char2"/>
    <w:link w:val="17"/>
    <w:qFormat/>
    <w:locked/>
    <w:uiPriority w:val="99"/>
    <w:rPr>
      <w:rFonts w:ascii="宋体" w:hAnsi="宋体" w:eastAsia="宋体" w:cs="宋体"/>
      <w:lang w:val="en-US" w:eastAsia="zh-CN"/>
    </w:rPr>
  </w:style>
  <w:style w:type="character" w:customStyle="1" w:styleId="69">
    <w:name w:val="正文文本缩进 Char2"/>
    <w:link w:val="19"/>
    <w:qFormat/>
    <w:locked/>
    <w:uiPriority w:val="99"/>
    <w:rPr>
      <w:rFonts w:eastAsia="方正书宋简体"/>
      <w:kern w:val="2"/>
      <w:sz w:val="24"/>
      <w:lang w:val="en-US" w:eastAsia="zh-CN"/>
    </w:rPr>
  </w:style>
  <w:style w:type="character" w:customStyle="1" w:styleId="70">
    <w:name w:val="纯文本 Char3"/>
    <w:link w:val="22"/>
    <w:qFormat/>
    <w:locked/>
    <w:uiPriority w:val="99"/>
    <w:rPr>
      <w:rFonts w:ascii="宋体" w:hAnsi="Courier New" w:eastAsia="宋体" w:cs="宋体"/>
      <w:lang w:val="en-US" w:eastAsia="zh-CN"/>
    </w:rPr>
  </w:style>
  <w:style w:type="character" w:customStyle="1" w:styleId="71">
    <w:name w:val="日期 Char"/>
    <w:link w:val="24"/>
    <w:qFormat/>
    <w:locked/>
    <w:uiPriority w:val="99"/>
    <w:rPr>
      <w:rFonts w:ascii="宋体" w:cs="Times New Roman"/>
      <w:sz w:val="24"/>
    </w:rPr>
  </w:style>
  <w:style w:type="character" w:customStyle="1" w:styleId="72">
    <w:name w:val="正文文本缩进 2 Char"/>
    <w:link w:val="25"/>
    <w:qFormat/>
    <w:locked/>
    <w:uiPriority w:val="99"/>
    <w:rPr>
      <w:rFonts w:ascii="宋体" w:eastAsia="宋体"/>
      <w:kern w:val="2"/>
      <w:sz w:val="24"/>
      <w:lang w:val="en-US" w:eastAsia="zh-CN"/>
    </w:rPr>
  </w:style>
  <w:style w:type="character" w:customStyle="1" w:styleId="73">
    <w:name w:val="批注框文本 Char1"/>
    <w:link w:val="26"/>
    <w:qFormat/>
    <w:locked/>
    <w:uiPriority w:val="99"/>
    <w:rPr>
      <w:rFonts w:ascii="宋体" w:hAnsi="宋体" w:eastAsia="宋体" w:cs="宋体"/>
      <w:kern w:val="2"/>
      <w:sz w:val="18"/>
      <w:szCs w:val="18"/>
      <w:lang w:val="en-US" w:eastAsia="zh-CN"/>
    </w:rPr>
  </w:style>
  <w:style w:type="character" w:customStyle="1" w:styleId="74">
    <w:name w:val="页脚 Char1"/>
    <w:link w:val="27"/>
    <w:qFormat/>
    <w:locked/>
    <w:uiPriority w:val="99"/>
    <w:rPr>
      <w:rFonts w:ascii="宋体" w:hAnsi="宋体" w:eastAsia="宋体" w:cs="宋体"/>
      <w:kern w:val="2"/>
      <w:sz w:val="18"/>
      <w:szCs w:val="18"/>
      <w:lang w:val="en-US" w:eastAsia="zh-CN"/>
    </w:rPr>
  </w:style>
  <w:style w:type="character" w:customStyle="1" w:styleId="75">
    <w:name w:val="页眉 Char1"/>
    <w:link w:val="29"/>
    <w:qFormat/>
    <w:locked/>
    <w:uiPriority w:val="99"/>
    <w:rPr>
      <w:rFonts w:ascii="宋体" w:hAnsi="宋体" w:eastAsia="宋体" w:cs="宋体"/>
      <w:kern w:val="2"/>
      <w:sz w:val="18"/>
      <w:szCs w:val="18"/>
      <w:lang w:val="en-US" w:eastAsia="zh-CN"/>
    </w:rPr>
  </w:style>
  <w:style w:type="character" w:customStyle="1" w:styleId="76">
    <w:name w:val="正文文本缩进 3 Char1"/>
    <w:link w:val="34"/>
    <w:qFormat/>
    <w:locked/>
    <w:uiPriority w:val="99"/>
    <w:rPr>
      <w:rFonts w:ascii="宋体" w:hAnsi="宋体" w:eastAsia="宋体" w:cs="宋体"/>
      <w:b/>
      <w:kern w:val="2"/>
      <w:sz w:val="24"/>
      <w:szCs w:val="24"/>
      <w:lang w:val="en-US" w:eastAsia="zh-CN"/>
    </w:rPr>
  </w:style>
  <w:style w:type="character" w:customStyle="1" w:styleId="77">
    <w:name w:val="正文文本 2 Char"/>
    <w:link w:val="38"/>
    <w:qFormat/>
    <w:locked/>
    <w:uiPriority w:val="99"/>
    <w:rPr>
      <w:rFonts w:eastAsia="宋体"/>
      <w:sz w:val="24"/>
    </w:rPr>
  </w:style>
  <w:style w:type="character" w:customStyle="1" w:styleId="78">
    <w:name w:val="HTML 预设格式 Char"/>
    <w:link w:val="39"/>
    <w:qFormat/>
    <w:locked/>
    <w:uiPriority w:val="99"/>
    <w:rPr>
      <w:rFonts w:ascii="Courier New" w:hAnsi="Courier New"/>
      <w:kern w:val="2"/>
    </w:rPr>
  </w:style>
  <w:style w:type="character" w:customStyle="1" w:styleId="79">
    <w:name w:val="批注主题 Char1"/>
    <w:link w:val="42"/>
    <w:qFormat/>
    <w:locked/>
    <w:uiPriority w:val="99"/>
    <w:rPr>
      <w:rFonts w:ascii="宋体" w:hAnsi="宋体" w:eastAsia="宋体" w:cs="宋体"/>
      <w:b/>
      <w:kern w:val="2"/>
      <w:sz w:val="21"/>
      <w:szCs w:val="21"/>
      <w:lang w:val="en-US" w:eastAsia="zh-CN"/>
    </w:rPr>
  </w:style>
  <w:style w:type="character" w:customStyle="1" w:styleId="80">
    <w:name w:val="正文首行缩进 Char"/>
    <w:link w:val="43"/>
    <w:qFormat/>
    <w:locked/>
    <w:uiPriority w:val="99"/>
    <w:rPr>
      <w:rFonts w:ascii="宋体" w:hAnsi="宋体" w:eastAsia="宋体" w:cs="宋体"/>
      <w:i/>
      <w:kern w:val="2"/>
      <w:sz w:val="24"/>
      <w:lang w:val="en-US" w:eastAsia="zh-CN"/>
    </w:rPr>
  </w:style>
  <w:style w:type="character" w:customStyle="1" w:styleId="81">
    <w:name w:val="正文首行缩进 2 Char"/>
    <w:link w:val="44"/>
    <w:qFormat/>
    <w:uiPriority w:val="0"/>
    <w:rPr>
      <w:rFonts w:ascii="Calibri" w:hAnsi="Calibri" w:eastAsia="幼圆"/>
      <w:szCs w:val="24"/>
      <w:lang w:val="en-US" w:eastAsia="zh-CN"/>
    </w:rPr>
  </w:style>
  <w:style w:type="character" w:customStyle="1" w:styleId="82">
    <w:name w:val="正文文本缩进 2 字符"/>
    <w:qFormat/>
    <w:locked/>
    <w:uiPriority w:val="99"/>
    <w:rPr>
      <w:rFonts w:ascii="宋体" w:eastAsia="宋体"/>
      <w:kern w:val="2"/>
      <w:sz w:val="24"/>
      <w:lang w:val="en-US" w:eastAsia="zh-CN"/>
    </w:rPr>
  </w:style>
  <w:style w:type="character" w:customStyle="1" w:styleId="83">
    <w:name w:val="标题 1 字符"/>
    <w:qFormat/>
    <w:locked/>
    <w:uiPriority w:val="9"/>
    <w:rPr>
      <w:rFonts w:ascii="宋体" w:hAnsi="宋体" w:eastAsia="宋体" w:cs="宋体"/>
      <w:b/>
      <w:kern w:val="44"/>
      <w:sz w:val="44"/>
      <w:szCs w:val="44"/>
      <w:lang w:val="en-US" w:eastAsia="zh-CN"/>
    </w:rPr>
  </w:style>
  <w:style w:type="character" w:customStyle="1" w:styleId="84">
    <w:name w:val="正文文本缩进 Char1"/>
    <w:qFormat/>
    <w:uiPriority w:val="0"/>
    <w:rPr>
      <w:rFonts w:eastAsia="方正书宋简体"/>
      <w:kern w:val="2"/>
      <w:sz w:val="24"/>
      <w:lang w:val="en-US" w:eastAsia="zh-CN"/>
    </w:rPr>
  </w:style>
  <w:style w:type="character" w:customStyle="1" w:styleId="85">
    <w:name w:val="正文文本 3 字符"/>
    <w:qFormat/>
    <w:locked/>
    <w:uiPriority w:val="99"/>
    <w:rPr>
      <w:rFonts w:eastAsia="宋体"/>
      <w:sz w:val="16"/>
    </w:rPr>
  </w:style>
  <w:style w:type="character" w:customStyle="1" w:styleId="86">
    <w:name w:val="样式5 Char"/>
    <w:link w:val="87"/>
    <w:qFormat/>
    <w:locked/>
    <w:uiPriority w:val="0"/>
    <w:rPr>
      <w:rFonts w:eastAsia="宋体"/>
      <w:b/>
      <w:kern w:val="2"/>
      <w:sz w:val="28"/>
      <w:lang w:val="en-US" w:eastAsia="zh-CN"/>
    </w:rPr>
  </w:style>
  <w:style w:type="paragraph" w:customStyle="1" w:styleId="87">
    <w:name w:val="样式5"/>
    <w:basedOn w:val="1"/>
    <w:link w:val="86"/>
    <w:qFormat/>
    <w:uiPriority w:val="0"/>
    <w:pPr>
      <w:keepNext/>
      <w:keepLines/>
      <w:spacing w:before="280" w:after="290" w:line="376" w:lineRule="auto"/>
      <w:ind w:left="210" w:leftChars="100" w:right="210" w:rightChars="100"/>
      <w:outlineLvl w:val="4"/>
    </w:pPr>
    <w:rPr>
      <w:b/>
      <w:sz w:val="28"/>
    </w:rPr>
  </w:style>
  <w:style w:type="character" w:customStyle="1" w:styleId="88">
    <w:name w:val="正文缩进 Char"/>
    <w:qFormat/>
    <w:uiPriority w:val="0"/>
    <w:rPr>
      <w:rFonts w:eastAsia="宋体"/>
      <w:kern w:val="2"/>
      <w:sz w:val="24"/>
      <w:lang w:val="en-US" w:eastAsia="zh-CN"/>
    </w:rPr>
  </w:style>
  <w:style w:type="character" w:customStyle="1" w:styleId="89">
    <w:name w:val="标题 3 字符"/>
    <w:qFormat/>
    <w:locked/>
    <w:uiPriority w:val="9"/>
    <w:rPr>
      <w:rFonts w:ascii="宋体" w:hAnsi="宋体" w:eastAsia="宋体" w:cs="宋体"/>
      <w:b/>
      <w:kern w:val="2"/>
      <w:sz w:val="32"/>
      <w:szCs w:val="32"/>
      <w:lang w:val="en-US" w:eastAsia="zh-CN"/>
    </w:rPr>
  </w:style>
  <w:style w:type="character" w:customStyle="1" w:styleId="90">
    <w:name w:val="标题 4 字符"/>
    <w:qFormat/>
    <w:locked/>
    <w:uiPriority w:val="9"/>
    <w:rPr>
      <w:rFonts w:ascii="Arial" w:hAnsi="Arial" w:eastAsia="黑体"/>
      <w:b/>
      <w:kern w:val="2"/>
      <w:sz w:val="28"/>
      <w:lang w:val="en-US" w:eastAsia="zh-CN"/>
    </w:rPr>
  </w:style>
  <w:style w:type="character" w:customStyle="1" w:styleId="91">
    <w:name w:val="正文文本缩进 3 Char"/>
    <w:qFormat/>
    <w:uiPriority w:val="0"/>
    <w:rPr>
      <w:rFonts w:ascii="宋体" w:eastAsia="宋体"/>
      <w:kern w:val="2"/>
      <w:sz w:val="24"/>
      <w:lang w:val="en-US" w:eastAsia="zh-CN"/>
    </w:rPr>
  </w:style>
  <w:style w:type="character" w:customStyle="1" w:styleId="92">
    <w:name w:val="标题 8 字符"/>
    <w:qFormat/>
    <w:locked/>
    <w:uiPriority w:val="9"/>
    <w:rPr>
      <w:rFonts w:ascii="Arial" w:hAnsi="Arial" w:eastAsia="黑体"/>
      <w:kern w:val="2"/>
      <w:sz w:val="24"/>
    </w:rPr>
  </w:style>
  <w:style w:type="character" w:customStyle="1" w:styleId="93">
    <w:name w:val="日期 字符1"/>
    <w:semiHidden/>
    <w:qFormat/>
    <w:uiPriority w:val="99"/>
    <w:rPr>
      <w:kern w:val="2"/>
      <w:sz w:val="21"/>
    </w:rPr>
  </w:style>
  <w:style w:type="character" w:customStyle="1" w:styleId="94">
    <w:name w:val="纯文本 Char Char"/>
    <w:link w:val="95"/>
    <w:qFormat/>
    <w:uiPriority w:val="0"/>
    <w:rPr>
      <w:rFonts w:ascii="宋体" w:hAnsi="Courier New"/>
      <w:kern w:val="2"/>
      <w:sz w:val="21"/>
    </w:rPr>
  </w:style>
  <w:style w:type="paragraph" w:customStyle="1" w:styleId="95">
    <w:name w:val="纯文本1"/>
    <w:basedOn w:val="1"/>
    <w:link w:val="94"/>
    <w:qFormat/>
    <w:uiPriority w:val="0"/>
    <w:rPr>
      <w:rFonts w:ascii="宋体" w:hAnsi="Courier New"/>
    </w:rPr>
  </w:style>
  <w:style w:type="character" w:customStyle="1" w:styleId="96">
    <w:name w:val="纯文本 字符"/>
    <w:qFormat/>
    <w:locked/>
    <w:uiPriority w:val="0"/>
    <w:rPr>
      <w:rFonts w:ascii="宋体" w:hAnsi="Courier New" w:eastAsia="宋体" w:cs="宋体"/>
      <w:lang w:val="en-US" w:eastAsia="zh-CN"/>
    </w:rPr>
  </w:style>
  <w:style w:type="character" w:customStyle="1" w:styleId="97">
    <w:name w:val="批注文字 Char"/>
    <w:qFormat/>
    <w:locked/>
    <w:uiPriority w:val="0"/>
    <w:rPr>
      <w:rFonts w:cs="Times New Roman"/>
      <w:kern w:val="2"/>
      <w:sz w:val="21"/>
    </w:rPr>
  </w:style>
  <w:style w:type="character" w:customStyle="1" w:styleId="98">
    <w:name w:val="批注框文本 字符"/>
    <w:qFormat/>
    <w:locked/>
    <w:uiPriority w:val="99"/>
    <w:rPr>
      <w:rFonts w:ascii="宋体" w:hAnsi="宋体" w:eastAsia="宋体" w:cs="宋体"/>
      <w:kern w:val="2"/>
      <w:sz w:val="18"/>
      <w:szCs w:val="18"/>
      <w:lang w:val="en-US" w:eastAsia="zh-CN"/>
    </w:rPr>
  </w:style>
  <w:style w:type="character" w:customStyle="1" w:styleId="99">
    <w:name w:val="方案－正文 Char"/>
    <w:link w:val="100"/>
    <w:qFormat/>
    <w:locked/>
    <w:uiPriority w:val="0"/>
    <w:rPr>
      <w:rFonts w:ascii="仿宋_GB2312" w:hAnsi="宋体"/>
      <w:sz w:val="24"/>
    </w:rPr>
  </w:style>
  <w:style w:type="paragraph" w:customStyle="1" w:styleId="100">
    <w:name w:val="方案－正文"/>
    <w:basedOn w:val="1"/>
    <w:link w:val="99"/>
    <w:qFormat/>
    <w:uiPriority w:val="0"/>
    <w:pPr>
      <w:spacing w:line="360" w:lineRule="auto"/>
      <w:ind w:firstLine="480" w:firstLineChars="200"/>
    </w:pPr>
    <w:rPr>
      <w:rFonts w:ascii="仿宋_GB2312" w:hAnsi="宋体"/>
      <w:kern w:val="0"/>
      <w:sz w:val="24"/>
    </w:rPr>
  </w:style>
  <w:style w:type="character" w:customStyle="1" w:styleId="101">
    <w:name w:val="apple-converted-space"/>
    <w:qFormat/>
    <w:uiPriority w:val="0"/>
    <w:rPr>
      <w:rFonts w:cs="Times New Roman"/>
    </w:rPr>
  </w:style>
  <w:style w:type="character" w:customStyle="1" w:styleId="102">
    <w:name w:val="NormalCharacter"/>
    <w:qFormat/>
    <w:uiPriority w:val="0"/>
  </w:style>
  <w:style w:type="character" w:customStyle="1" w:styleId="103">
    <w:name w:val="正文文本 Char1"/>
    <w:qFormat/>
    <w:uiPriority w:val="0"/>
    <w:rPr>
      <w:rFonts w:ascii="Times New Roman" w:hAnsi="Times New Roman" w:eastAsia="宋体" w:cs="Times New Roman"/>
      <w:sz w:val="24"/>
      <w:szCs w:val="24"/>
    </w:rPr>
  </w:style>
  <w:style w:type="character" w:customStyle="1" w:styleId="104">
    <w:name w:val="标题 1 Char Char"/>
    <w:qFormat/>
    <w:uiPriority w:val="0"/>
    <w:rPr>
      <w:rFonts w:eastAsia="宋体"/>
      <w:b/>
      <w:spacing w:val="-2"/>
      <w:sz w:val="24"/>
      <w:lang w:val="en-US" w:eastAsia="zh-CN"/>
    </w:rPr>
  </w:style>
  <w:style w:type="character" w:customStyle="1" w:styleId="105">
    <w:name w:val="标题2正文 Char Char"/>
    <w:link w:val="106"/>
    <w:qFormat/>
    <w:locked/>
    <w:uiPriority w:val="0"/>
    <w:rPr>
      <w:rFonts w:eastAsia="宋体"/>
      <w:sz w:val="24"/>
    </w:rPr>
  </w:style>
  <w:style w:type="paragraph" w:customStyle="1" w:styleId="106">
    <w:name w:val="标题2正文 Char"/>
    <w:basedOn w:val="1"/>
    <w:link w:val="105"/>
    <w:qFormat/>
    <w:uiPriority w:val="0"/>
    <w:pPr>
      <w:spacing w:beforeLines="50" w:afterLines="50"/>
      <w:ind w:right="38" w:rightChars="18" w:firstLine="420"/>
    </w:pPr>
    <w:rPr>
      <w:kern w:val="0"/>
      <w:sz w:val="24"/>
    </w:rPr>
  </w:style>
  <w:style w:type="character" w:customStyle="1" w:styleId="107">
    <w:name w:val="列出段落 Char"/>
    <w:link w:val="108"/>
    <w:qFormat/>
    <w:locked/>
    <w:uiPriority w:val="34"/>
    <w:rPr>
      <w:rFonts w:eastAsia="宋体"/>
      <w:kern w:val="2"/>
      <w:sz w:val="24"/>
      <w:lang w:val="en-US" w:eastAsia="zh-CN"/>
    </w:rPr>
  </w:style>
  <w:style w:type="paragraph" w:styleId="108">
    <w:name w:val="List Paragraph"/>
    <w:basedOn w:val="1"/>
    <w:link w:val="107"/>
    <w:qFormat/>
    <w:uiPriority w:val="34"/>
    <w:pPr>
      <w:ind w:firstLine="420" w:firstLineChars="200"/>
    </w:pPr>
    <w:rPr>
      <w:sz w:val="24"/>
    </w:rPr>
  </w:style>
  <w:style w:type="character" w:customStyle="1" w:styleId="109">
    <w:name w:val="标题 9 字符"/>
    <w:qFormat/>
    <w:locked/>
    <w:uiPriority w:val="9"/>
    <w:rPr>
      <w:rFonts w:ascii="Arial" w:hAnsi="Arial" w:eastAsia="黑体"/>
      <w:kern w:val="2"/>
      <w:sz w:val="21"/>
    </w:rPr>
  </w:style>
  <w:style w:type="character" w:customStyle="1" w:styleId="110">
    <w:name w:val="日期 字符"/>
    <w:qFormat/>
    <w:locked/>
    <w:uiPriority w:val="99"/>
    <w:rPr>
      <w:rFonts w:ascii="宋体" w:cs="Times New Roman"/>
      <w:sz w:val="24"/>
    </w:rPr>
  </w:style>
  <w:style w:type="character" w:customStyle="1" w:styleId="111">
    <w:name w:val="hui3"/>
    <w:qFormat/>
    <w:uiPriority w:val="0"/>
    <w:rPr>
      <w:color w:val="333333"/>
    </w:rPr>
  </w:style>
  <w:style w:type="character" w:customStyle="1" w:styleId="112">
    <w:name w:val="正文文本 2 字符1"/>
    <w:semiHidden/>
    <w:qFormat/>
    <w:uiPriority w:val="99"/>
    <w:rPr>
      <w:kern w:val="2"/>
      <w:sz w:val="21"/>
    </w:rPr>
  </w:style>
  <w:style w:type="character" w:customStyle="1" w:styleId="113">
    <w:name w:val="批注文字 字符1"/>
    <w:semiHidden/>
    <w:qFormat/>
    <w:uiPriority w:val="99"/>
    <w:rPr>
      <w:kern w:val="2"/>
      <w:sz w:val="21"/>
    </w:rPr>
  </w:style>
  <w:style w:type="character" w:customStyle="1" w:styleId="114">
    <w:name w:val="标题 5 字符"/>
    <w:qFormat/>
    <w:locked/>
    <w:uiPriority w:val="9"/>
    <w:rPr>
      <w:rFonts w:eastAsia="宋体"/>
      <w:b/>
      <w:kern w:val="2"/>
      <w:sz w:val="28"/>
      <w:lang w:val="en-US" w:eastAsia="zh-CN"/>
    </w:rPr>
  </w:style>
  <w:style w:type="character" w:customStyle="1" w:styleId="115">
    <w:name w:val="批注主题 字符"/>
    <w:qFormat/>
    <w:locked/>
    <w:uiPriority w:val="99"/>
    <w:rPr>
      <w:rFonts w:ascii="宋体" w:hAnsi="宋体" w:eastAsia="宋体" w:cs="宋体"/>
      <w:b/>
      <w:kern w:val="2"/>
      <w:sz w:val="21"/>
      <w:szCs w:val="21"/>
      <w:lang w:val="en-US" w:eastAsia="zh-CN"/>
    </w:rPr>
  </w:style>
  <w:style w:type="character" w:customStyle="1" w:styleId="116">
    <w:name w:val="纯文本 Char1"/>
    <w:qFormat/>
    <w:locked/>
    <w:uiPriority w:val="99"/>
    <w:rPr>
      <w:rFonts w:ascii="宋体" w:hAnsi="Courier New" w:eastAsia="宋体" w:cs="宋体"/>
      <w:lang w:val="en-US" w:eastAsia="zh-CN"/>
    </w:rPr>
  </w:style>
  <w:style w:type="character" w:customStyle="1" w:styleId="117">
    <w:name w:val="未处理的提及1"/>
    <w:unhideWhenUsed/>
    <w:qFormat/>
    <w:uiPriority w:val="99"/>
    <w:rPr>
      <w:color w:val="605E5C"/>
      <w:shd w:val="clear" w:color="auto" w:fill="E1DFDD"/>
    </w:rPr>
  </w:style>
  <w:style w:type="character" w:customStyle="1" w:styleId="118">
    <w:name w:val="标题 6 字符"/>
    <w:qFormat/>
    <w:locked/>
    <w:uiPriority w:val="9"/>
    <w:rPr>
      <w:rFonts w:ascii="Cambria" w:hAnsi="Cambria" w:eastAsia="宋体"/>
      <w:b/>
      <w:kern w:val="2"/>
      <w:sz w:val="24"/>
      <w:lang w:val="en-US" w:eastAsia="zh-CN"/>
    </w:rPr>
  </w:style>
  <w:style w:type="character" w:customStyle="1" w:styleId="119">
    <w:name w:val="h6 Char"/>
    <w:qFormat/>
    <w:uiPriority w:val="0"/>
    <w:rPr>
      <w:rFonts w:ascii="Arial" w:hAnsi="Arial" w:eastAsia="宋体"/>
      <w:b/>
      <w:kern w:val="2"/>
      <w:sz w:val="24"/>
      <w:lang w:val="en-US" w:eastAsia="zh-CN"/>
    </w:rPr>
  </w:style>
  <w:style w:type="character" w:customStyle="1" w:styleId="120">
    <w:name w:val="正文文本缩进 字符2"/>
    <w:semiHidden/>
    <w:qFormat/>
    <w:uiPriority w:val="99"/>
    <w:rPr>
      <w:kern w:val="2"/>
      <w:sz w:val="21"/>
    </w:rPr>
  </w:style>
  <w:style w:type="character" w:customStyle="1" w:styleId="121">
    <w:name w:val="无间距字符"/>
    <w:link w:val="122"/>
    <w:qFormat/>
    <w:locked/>
    <w:uiPriority w:val="0"/>
    <w:rPr>
      <w:rFonts w:ascii="Calibri" w:hAnsi="Calibri"/>
      <w:sz w:val="22"/>
      <w:lang w:val="en-US" w:eastAsia="zh-CN" w:bidi="ar-SA"/>
    </w:rPr>
  </w:style>
  <w:style w:type="paragraph" w:customStyle="1" w:styleId="122">
    <w:name w:val="无间距"/>
    <w:link w:val="121"/>
    <w:qFormat/>
    <w:uiPriority w:val="0"/>
    <w:rPr>
      <w:rFonts w:ascii="Calibri" w:hAnsi="Calibri" w:eastAsia="宋体" w:cs="Times New Roman"/>
      <w:sz w:val="22"/>
      <w:lang w:val="en-US" w:eastAsia="zh-CN" w:bidi="ar-SA"/>
    </w:rPr>
  </w:style>
  <w:style w:type="character" w:customStyle="1" w:styleId="123">
    <w:name w:val="正文首行缩进 字符"/>
    <w:qFormat/>
    <w:locked/>
    <w:uiPriority w:val="99"/>
    <w:rPr>
      <w:rFonts w:ascii="宋体" w:hAnsi="宋体" w:eastAsia="宋体" w:cs="宋体"/>
      <w:i/>
      <w:kern w:val="2"/>
      <w:sz w:val="24"/>
      <w:lang w:val="en-US" w:eastAsia="zh-CN"/>
    </w:rPr>
  </w:style>
  <w:style w:type="character" w:customStyle="1" w:styleId="124">
    <w:name w:val="List Paragraph Char"/>
    <w:link w:val="2"/>
    <w:qFormat/>
    <w:locked/>
    <w:uiPriority w:val="0"/>
    <w:rPr>
      <w:rFonts w:ascii="Calibri" w:hAnsi="Calibri" w:eastAsia="宋体"/>
      <w:kern w:val="2"/>
      <w:sz w:val="22"/>
      <w:lang w:val="en-US" w:eastAsia="zh-CN"/>
    </w:rPr>
  </w:style>
  <w:style w:type="character" w:customStyle="1" w:styleId="125">
    <w:name w:val="font61"/>
    <w:basedOn w:val="47"/>
    <w:qFormat/>
    <w:uiPriority w:val="0"/>
    <w:rPr>
      <w:rFonts w:ascii="Times New Roman" w:hAnsi="Times New Roman"/>
      <w:color w:val="000000"/>
      <w:sz w:val="20"/>
      <w:u w:val="none"/>
    </w:rPr>
  </w:style>
  <w:style w:type="character" w:customStyle="1" w:styleId="126">
    <w:name w:val="正文缩进 字符"/>
    <w:qFormat/>
    <w:locked/>
    <w:uiPriority w:val="0"/>
    <w:rPr>
      <w:rFonts w:ascii="宋体" w:hAnsi="宋体" w:eastAsia="宋体" w:cs="宋体"/>
      <w:spacing w:val="14"/>
      <w:kern w:val="24"/>
      <w:sz w:val="24"/>
      <w:szCs w:val="24"/>
      <w:lang w:val="en-US" w:eastAsia="zh-CN"/>
    </w:rPr>
  </w:style>
  <w:style w:type="character" w:customStyle="1" w:styleId="127">
    <w:name w:val="HTML 预设格式 字符1"/>
    <w:semiHidden/>
    <w:qFormat/>
    <w:uiPriority w:val="99"/>
    <w:rPr>
      <w:rFonts w:ascii="Courier New" w:hAnsi="Courier New" w:cs="Courier New"/>
      <w:kern w:val="2"/>
    </w:rPr>
  </w:style>
  <w:style w:type="character" w:customStyle="1" w:styleId="128">
    <w:name w:val="样式4 Char"/>
    <w:link w:val="129"/>
    <w:qFormat/>
    <w:locked/>
    <w:uiPriority w:val="0"/>
    <w:rPr>
      <w:rFonts w:ascii="黑体" w:hAnsi="黑体" w:eastAsia="黑体"/>
      <w:kern w:val="44"/>
      <w:sz w:val="44"/>
      <w:lang w:val="en-US" w:eastAsia="zh-CN"/>
    </w:rPr>
  </w:style>
  <w:style w:type="paragraph" w:customStyle="1" w:styleId="129">
    <w:name w:val="样式4"/>
    <w:basedOn w:val="3"/>
    <w:link w:val="128"/>
    <w:qFormat/>
    <w:uiPriority w:val="0"/>
    <w:pPr>
      <w:keepLines/>
      <w:spacing w:line="360" w:lineRule="auto"/>
    </w:pPr>
    <w:rPr>
      <w:rFonts w:ascii="黑体" w:hAnsi="黑体" w:eastAsia="黑体"/>
      <w:b w:val="0"/>
      <w:szCs w:val="20"/>
    </w:rPr>
  </w:style>
  <w:style w:type="character" w:customStyle="1" w:styleId="130">
    <w:name w:val="font21"/>
    <w:basedOn w:val="47"/>
    <w:qFormat/>
    <w:uiPriority w:val="0"/>
    <w:rPr>
      <w:rFonts w:ascii="Arial" w:hAnsi="Arial" w:eastAsia="Arial"/>
      <w:color w:val="000000"/>
      <w:sz w:val="22"/>
      <w:szCs w:val="22"/>
      <w:u w:val="none"/>
      <w:shd w:val="clear" w:color="000000" w:fill="auto"/>
    </w:rPr>
  </w:style>
  <w:style w:type="character" w:customStyle="1" w:styleId="131">
    <w:name w:val="font31"/>
    <w:basedOn w:val="47"/>
    <w:qFormat/>
    <w:uiPriority w:val="0"/>
    <w:rPr>
      <w:rFonts w:ascii="宋体" w:hAnsi="宋体" w:eastAsia="宋体"/>
      <w:color w:val="000000"/>
      <w:sz w:val="22"/>
      <w:szCs w:val="22"/>
      <w:u w:val="none"/>
      <w:shd w:val="clear" w:color="000000" w:fill="auto"/>
    </w:rPr>
  </w:style>
  <w:style w:type="character" w:customStyle="1" w:styleId="132">
    <w:name w:val="标题 7 字符"/>
    <w:qFormat/>
    <w:locked/>
    <w:uiPriority w:val="9"/>
    <w:rPr>
      <w:b/>
      <w:kern w:val="2"/>
      <w:sz w:val="24"/>
    </w:rPr>
  </w:style>
  <w:style w:type="character" w:customStyle="1" w:styleId="133">
    <w:name w:val="HTML 预设格式 字符"/>
    <w:qFormat/>
    <w:locked/>
    <w:uiPriority w:val="99"/>
    <w:rPr>
      <w:rFonts w:ascii="Courier New" w:hAnsi="Courier New"/>
      <w:kern w:val="2"/>
    </w:rPr>
  </w:style>
  <w:style w:type="character" w:customStyle="1" w:styleId="134">
    <w:name w:val="样式2 Char"/>
    <w:link w:val="135"/>
    <w:qFormat/>
    <w:locked/>
    <w:uiPriority w:val="0"/>
    <w:rPr>
      <w:rFonts w:ascii="黑体" w:hAnsi="黑体" w:eastAsia="黑体"/>
      <w:color w:val="FF0000"/>
      <w:kern w:val="2"/>
      <w:sz w:val="32"/>
      <w:lang w:val="en-US" w:eastAsia="zh-CN"/>
    </w:rPr>
  </w:style>
  <w:style w:type="paragraph" w:customStyle="1" w:styleId="135">
    <w:name w:val="样式2"/>
    <w:basedOn w:val="5"/>
    <w:link w:val="134"/>
    <w:qFormat/>
    <w:uiPriority w:val="0"/>
    <w:pPr>
      <w:adjustRightInd w:val="0"/>
      <w:spacing w:beforeLines="0" w:afterLines="0"/>
      <w:ind w:left="0" w:firstLine="0"/>
      <w:textAlignment w:val="baseline"/>
    </w:pPr>
    <w:rPr>
      <w:rFonts w:ascii="黑体" w:hAnsi="黑体" w:eastAsia="黑体"/>
      <w:b w:val="0"/>
      <w:color w:val="FF0000"/>
      <w:szCs w:val="20"/>
    </w:rPr>
  </w:style>
  <w:style w:type="character" w:customStyle="1" w:styleId="136">
    <w:name w:val="正文文本缩进 3 字符1"/>
    <w:semiHidden/>
    <w:qFormat/>
    <w:uiPriority w:val="99"/>
    <w:rPr>
      <w:kern w:val="2"/>
      <w:sz w:val="16"/>
      <w:szCs w:val="16"/>
    </w:rPr>
  </w:style>
  <w:style w:type="character" w:customStyle="1" w:styleId="137">
    <w:name w:val="font01"/>
    <w:basedOn w:val="47"/>
    <w:qFormat/>
    <w:uiPriority w:val="0"/>
    <w:rPr>
      <w:rFonts w:ascii="宋体" w:hAnsi="宋体" w:eastAsia="宋体"/>
      <w:color w:val="000000"/>
      <w:sz w:val="24"/>
      <w:u w:val="none"/>
    </w:rPr>
  </w:style>
  <w:style w:type="character" w:customStyle="1" w:styleId="138">
    <w:name w:val="页眉 字符"/>
    <w:qFormat/>
    <w:locked/>
    <w:uiPriority w:val="99"/>
    <w:rPr>
      <w:rFonts w:ascii="宋体" w:hAnsi="宋体" w:eastAsia="宋体" w:cs="宋体"/>
      <w:kern w:val="2"/>
      <w:sz w:val="18"/>
      <w:szCs w:val="18"/>
      <w:lang w:val="en-US" w:eastAsia="zh-CN"/>
    </w:rPr>
  </w:style>
  <w:style w:type="character" w:customStyle="1" w:styleId="139">
    <w:name w:val="样式1 Char"/>
    <w:link w:val="140"/>
    <w:qFormat/>
    <w:locked/>
    <w:uiPriority w:val="0"/>
    <w:rPr>
      <w:rFonts w:ascii="黑体" w:hAnsi="黑体" w:eastAsia="黑体"/>
      <w:b/>
      <w:kern w:val="2"/>
      <w:sz w:val="32"/>
    </w:rPr>
  </w:style>
  <w:style w:type="paragraph" w:customStyle="1" w:styleId="140">
    <w:name w:val="样式1"/>
    <w:basedOn w:val="4"/>
    <w:link w:val="139"/>
    <w:qFormat/>
    <w:uiPriority w:val="0"/>
    <w:pPr>
      <w:tabs>
        <w:tab w:val="clear" w:pos="578"/>
      </w:tabs>
      <w:spacing w:beforeLines="0" w:afterLines="0"/>
      <w:ind w:left="0" w:firstLine="0"/>
    </w:pPr>
    <w:rPr>
      <w:rFonts w:ascii="黑体" w:hAnsi="黑体" w:eastAsia="黑体"/>
      <w:b/>
      <w:sz w:val="32"/>
      <w:szCs w:val="20"/>
    </w:rPr>
  </w:style>
  <w:style w:type="character" w:customStyle="1" w:styleId="141">
    <w:name w:val="正文文本缩进 字符1"/>
    <w:qFormat/>
    <w:locked/>
    <w:uiPriority w:val="99"/>
    <w:rPr>
      <w:rFonts w:eastAsia="方正书宋简体"/>
      <w:kern w:val="2"/>
      <w:sz w:val="24"/>
      <w:lang w:val="en-US" w:eastAsia="zh-CN"/>
    </w:rPr>
  </w:style>
  <w:style w:type="character" w:customStyle="1" w:styleId="142">
    <w:name w:val="纯文本 Char2"/>
    <w:qFormat/>
    <w:uiPriority w:val="0"/>
    <w:rPr>
      <w:rFonts w:ascii="宋体" w:hAnsi="宋体" w:eastAsia="宋体"/>
      <w:color w:val="000000"/>
      <w:sz w:val="24"/>
      <w:lang w:val="en-US" w:eastAsia="zh-CN"/>
    </w:rPr>
  </w:style>
  <w:style w:type="character" w:customStyle="1" w:styleId="143">
    <w:name w:val="正文文本缩进 字符"/>
    <w:qFormat/>
    <w:uiPriority w:val="0"/>
    <w:rPr>
      <w:rFonts w:ascii="Calibri" w:hAnsi="Calibri" w:cs="Calibri"/>
    </w:rPr>
  </w:style>
  <w:style w:type="character" w:customStyle="1" w:styleId="144">
    <w:name w:val="纯文本 Char"/>
    <w:qFormat/>
    <w:uiPriority w:val="0"/>
    <w:rPr>
      <w:rFonts w:ascii="宋体" w:hAnsi="宋体" w:eastAsia="宋体"/>
      <w:color w:val="000000"/>
      <w:sz w:val="24"/>
      <w:lang w:val="en-US" w:eastAsia="zh-CN"/>
    </w:rPr>
  </w:style>
  <w:style w:type="character" w:customStyle="1" w:styleId="145">
    <w:name w:val="纯文本 字符1"/>
    <w:semiHidden/>
    <w:qFormat/>
    <w:uiPriority w:val="99"/>
    <w:rPr>
      <w:rFonts w:ascii="等线" w:hAnsi="Courier New" w:eastAsia="等线" w:cs="Courier New"/>
      <w:kern w:val="2"/>
      <w:sz w:val="21"/>
    </w:rPr>
  </w:style>
  <w:style w:type="character" w:customStyle="1" w:styleId="146">
    <w:name w:val="正文文本缩进 3 字符"/>
    <w:qFormat/>
    <w:locked/>
    <w:uiPriority w:val="99"/>
    <w:rPr>
      <w:rFonts w:ascii="宋体" w:hAnsi="宋体" w:eastAsia="宋体" w:cs="宋体"/>
      <w:b/>
      <w:kern w:val="2"/>
      <w:sz w:val="24"/>
      <w:szCs w:val="24"/>
      <w:lang w:val="en-US" w:eastAsia="zh-CN"/>
    </w:rPr>
  </w:style>
  <w:style w:type="character" w:customStyle="1" w:styleId="147">
    <w:name w:val="标题 1 Char"/>
    <w:qFormat/>
    <w:uiPriority w:val="0"/>
    <w:rPr>
      <w:rFonts w:ascii="宋体" w:eastAsia="宋体"/>
      <w:b/>
      <w:kern w:val="2"/>
      <w:sz w:val="28"/>
      <w:lang w:val="en-US" w:eastAsia="zh-CN"/>
    </w:rPr>
  </w:style>
  <w:style w:type="character" w:customStyle="1" w:styleId="148">
    <w:name w:val="正文文本 3 字符1"/>
    <w:semiHidden/>
    <w:qFormat/>
    <w:uiPriority w:val="99"/>
    <w:rPr>
      <w:kern w:val="2"/>
      <w:sz w:val="16"/>
      <w:szCs w:val="16"/>
    </w:rPr>
  </w:style>
  <w:style w:type="character" w:customStyle="1" w:styleId="149">
    <w:name w:val="标题 3 Char"/>
    <w:qFormat/>
    <w:uiPriority w:val="0"/>
    <w:rPr>
      <w:rFonts w:ascii="Arial" w:hAnsi="Arial" w:eastAsia="黑体"/>
      <w:b/>
      <w:kern w:val="2"/>
      <w:sz w:val="32"/>
      <w:lang w:val="en-US" w:eastAsia="zh-CN"/>
    </w:rPr>
  </w:style>
  <w:style w:type="character" w:customStyle="1" w:styleId="150">
    <w:name w:val="页脚 Char"/>
    <w:qFormat/>
    <w:uiPriority w:val="99"/>
    <w:rPr>
      <w:rFonts w:eastAsia="宋体"/>
      <w:kern w:val="2"/>
      <w:sz w:val="18"/>
      <w:lang w:val="en-US" w:eastAsia="zh-CN"/>
    </w:rPr>
  </w:style>
  <w:style w:type="character" w:customStyle="1" w:styleId="151">
    <w:name w:val="页脚 字符"/>
    <w:qFormat/>
    <w:locked/>
    <w:uiPriority w:val="99"/>
    <w:rPr>
      <w:rFonts w:ascii="宋体" w:hAnsi="宋体" w:eastAsia="宋体" w:cs="宋体"/>
      <w:kern w:val="2"/>
      <w:sz w:val="18"/>
      <w:szCs w:val="18"/>
      <w:lang w:val="en-US" w:eastAsia="zh-CN"/>
    </w:rPr>
  </w:style>
  <w:style w:type="character" w:customStyle="1" w:styleId="152">
    <w:name w:val="页脚 字符1"/>
    <w:semiHidden/>
    <w:qFormat/>
    <w:uiPriority w:val="99"/>
    <w:rPr>
      <w:kern w:val="2"/>
      <w:sz w:val="18"/>
      <w:szCs w:val="18"/>
    </w:rPr>
  </w:style>
  <w:style w:type="character" w:customStyle="1" w:styleId="153">
    <w:name w:val="批注框文本 Char"/>
    <w:semiHidden/>
    <w:qFormat/>
    <w:locked/>
    <w:uiPriority w:val="99"/>
    <w:rPr>
      <w:rFonts w:cs="Times New Roman"/>
      <w:kern w:val="2"/>
      <w:sz w:val="18"/>
      <w:szCs w:val="18"/>
    </w:rPr>
  </w:style>
  <w:style w:type="character" w:customStyle="1" w:styleId="154">
    <w:name w:val="正文文本首行缩进 字符"/>
    <w:semiHidden/>
    <w:qFormat/>
    <w:uiPriority w:val="99"/>
  </w:style>
  <w:style w:type="character" w:customStyle="1" w:styleId="155">
    <w:name w:val="标题 2 Char"/>
    <w:qFormat/>
    <w:uiPriority w:val="0"/>
    <w:rPr>
      <w:rFonts w:ascii="Arial" w:hAnsi="Arial" w:eastAsia="黑体"/>
      <w:b/>
      <w:kern w:val="2"/>
      <w:sz w:val="32"/>
      <w:lang w:val="en-US" w:eastAsia="zh-CN"/>
    </w:rPr>
  </w:style>
  <w:style w:type="character" w:customStyle="1" w:styleId="156">
    <w:name w:val="正文文本 字符"/>
    <w:qFormat/>
    <w:locked/>
    <w:uiPriority w:val="99"/>
    <w:rPr>
      <w:rFonts w:ascii="宋体" w:hAnsi="宋体" w:eastAsia="宋体" w:cs="宋体"/>
      <w:lang w:val="en-US" w:eastAsia="zh-CN"/>
    </w:rPr>
  </w:style>
  <w:style w:type="character" w:customStyle="1" w:styleId="157">
    <w:name w:val="正文文本 2 字符"/>
    <w:qFormat/>
    <w:locked/>
    <w:uiPriority w:val="99"/>
    <w:rPr>
      <w:rFonts w:eastAsia="宋体"/>
      <w:sz w:val="24"/>
    </w:rPr>
  </w:style>
  <w:style w:type="character" w:customStyle="1" w:styleId="158">
    <w:name w:val="中等深浅网格 1 - 强调文字颜色 2 Char"/>
    <w:link w:val="159"/>
    <w:qFormat/>
    <w:locked/>
    <w:uiPriority w:val="34"/>
    <w:rPr>
      <w:rFonts w:ascii="Calibri" w:hAnsi="Calibri"/>
      <w:kern w:val="2"/>
      <w:sz w:val="22"/>
    </w:rPr>
  </w:style>
  <w:style w:type="paragraph" w:customStyle="1" w:styleId="159">
    <w:name w:val="中等深浅网格 1 - 强调文字颜色 21"/>
    <w:basedOn w:val="1"/>
    <w:link w:val="158"/>
    <w:qFormat/>
    <w:uiPriority w:val="34"/>
    <w:pPr>
      <w:ind w:firstLine="420" w:firstLineChars="200"/>
    </w:pPr>
    <w:rPr>
      <w:rFonts w:ascii="Calibri" w:hAnsi="Calibri"/>
      <w:sz w:val="22"/>
    </w:rPr>
  </w:style>
  <w:style w:type="character" w:customStyle="1" w:styleId="160">
    <w:name w:val="批注文字 字符"/>
    <w:qFormat/>
    <w:locked/>
    <w:uiPriority w:val="99"/>
    <w:rPr>
      <w:rFonts w:ascii="宋体" w:hAnsi="宋体" w:eastAsia="宋体" w:cs="宋体"/>
      <w:kern w:val="2"/>
      <w:sz w:val="21"/>
      <w:szCs w:val="21"/>
      <w:lang w:val="en-US" w:eastAsia="zh-CN"/>
    </w:rPr>
  </w:style>
  <w:style w:type="character" w:customStyle="1" w:styleId="161">
    <w:name w:val="批注框文本 字符1"/>
    <w:semiHidden/>
    <w:qFormat/>
    <w:uiPriority w:val="99"/>
    <w:rPr>
      <w:kern w:val="2"/>
      <w:sz w:val="18"/>
      <w:szCs w:val="18"/>
    </w:rPr>
  </w:style>
  <w:style w:type="character" w:customStyle="1" w:styleId="162">
    <w:name w:val="文档结构图 字符"/>
    <w:qFormat/>
    <w:locked/>
    <w:uiPriority w:val="99"/>
    <w:rPr>
      <w:rFonts w:eastAsia="宋体"/>
      <w:kern w:val="2"/>
      <w:sz w:val="21"/>
      <w:lang w:val="en-US" w:eastAsia="zh-CN"/>
    </w:rPr>
  </w:style>
  <w:style w:type="character" w:customStyle="1" w:styleId="163">
    <w:name w:val="表格用 Char Char"/>
    <w:link w:val="164"/>
    <w:qFormat/>
    <w:locked/>
    <w:uiPriority w:val="0"/>
    <w:rPr>
      <w:rFonts w:ascii="宋体" w:hAnsi="宋体" w:cs="宋体"/>
      <w:szCs w:val="24"/>
    </w:rPr>
  </w:style>
  <w:style w:type="paragraph" w:customStyle="1" w:styleId="164">
    <w:name w:val="表格用"/>
    <w:basedOn w:val="1"/>
    <w:link w:val="163"/>
    <w:qFormat/>
    <w:uiPriority w:val="0"/>
    <w:pPr>
      <w:widowControl/>
      <w:spacing w:line="360" w:lineRule="auto"/>
      <w:jc w:val="left"/>
    </w:pPr>
    <w:rPr>
      <w:rFonts w:ascii="宋体" w:hAnsi="宋体"/>
      <w:kern w:val="0"/>
      <w:sz w:val="20"/>
      <w:szCs w:val="24"/>
    </w:rPr>
  </w:style>
  <w:style w:type="character" w:customStyle="1" w:styleId="165">
    <w:name w:val="正文文本 字符1"/>
    <w:semiHidden/>
    <w:qFormat/>
    <w:uiPriority w:val="99"/>
    <w:rPr>
      <w:kern w:val="2"/>
      <w:sz w:val="21"/>
    </w:rPr>
  </w:style>
  <w:style w:type="character" w:customStyle="1" w:styleId="166">
    <w:name w:val="批注主题 字符1"/>
    <w:semiHidden/>
    <w:qFormat/>
    <w:uiPriority w:val="99"/>
    <w:rPr>
      <w:b/>
      <w:bCs/>
      <w:kern w:val="2"/>
      <w:sz w:val="21"/>
    </w:rPr>
  </w:style>
  <w:style w:type="character" w:customStyle="1" w:styleId="167">
    <w:name w:val="哈哈正文 Char"/>
    <w:link w:val="168"/>
    <w:qFormat/>
    <w:locked/>
    <w:uiPriority w:val="0"/>
    <w:rPr>
      <w:rFonts w:ascii="宋体" w:hAnsi="宋体" w:eastAsia="宋体"/>
      <w:kern w:val="2"/>
      <w:sz w:val="24"/>
      <w:lang w:val="en-US" w:eastAsia="zh-CN"/>
    </w:rPr>
  </w:style>
  <w:style w:type="paragraph" w:customStyle="1" w:styleId="168">
    <w:name w:val="哈哈正文"/>
    <w:basedOn w:val="1"/>
    <w:link w:val="167"/>
    <w:qFormat/>
    <w:uiPriority w:val="0"/>
    <w:pPr>
      <w:spacing w:line="360" w:lineRule="auto"/>
      <w:ind w:firstLine="200" w:firstLineChars="200"/>
    </w:pPr>
    <w:rPr>
      <w:rFonts w:ascii="宋体" w:hAnsi="宋体"/>
      <w:sz w:val="24"/>
    </w:rPr>
  </w:style>
  <w:style w:type="character" w:customStyle="1" w:styleId="169">
    <w:name w:val="批注主题 Char"/>
    <w:semiHidden/>
    <w:qFormat/>
    <w:locked/>
    <w:uiPriority w:val="0"/>
    <w:rPr>
      <w:rFonts w:cs="Times New Roman"/>
      <w:b/>
      <w:bCs/>
      <w:kern w:val="2"/>
      <w:sz w:val="21"/>
    </w:rPr>
  </w:style>
  <w:style w:type="character" w:customStyle="1" w:styleId="170">
    <w:name w:val="文档结构图 字符1"/>
    <w:semiHidden/>
    <w:qFormat/>
    <w:uiPriority w:val="99"/>
    <w:rPr>
      <w:rFonts w:ascii="Microsoft YaHei UI" w:eastAsia="Microsoft YaHei UI"/>
      <w:kern w:val="2"/>
      <w:sz w:val="18"/>
      <w:szCs w:val="18"/>
    </w:rPr>
  </w:style>
  <w:style w:type="character" w:customStyle="1" w:styleId="171">
    <w:name w:val="正文文本缩进 Char"/>
    <w:qFormat/>
    <w:locked/>
    <w:uiPriority w:val="0"/>
    <w:rPr>
      <w:rFonts w:eastAsia="方正书宋简体"/>
      <w:kern w:val="2"/>
      <w:sz w:val="24"/>
      <w:lang w:val="en-US" w:eastAsia="zh-CN"/>
    </w:rPr>
  </w:style>
  <w:style w:type="character" w:customStyle="1" w:styleId="172">
    <w:name w:val="页眉 Char"/>
    <w:qFormat/>
    <w:uiPriority w:val="99"/>
    <w:rPr>
      <w:rFonts w:eastAsia="宋体"/>
      <w:kern w:val="2"/>
      <w:sz w:val="18"/>
      <w:lang w:val="en-US" w:eastAsia="zh-CN"/>
    </w:rPr>
  </w:style>
  <w:style w:type="character" w:customStyle="1" w:styleId="173">
    <w:name w:val="页眉 字符1"/>
    <w:semiHidden/>
    <w:qFormat/>
    <w:uiPriority w:val="99"/>
    <w:rPr>
      <w:kern w:val="2"/>
      <w:sz w:val="18"/>
      <w:szCs w:val="18"/>
    </w:rPr>
  </w:style>
  <w:style w:type="character" w:customStyle="1" w:styleId="174">
    <w:name w:val="font11"/>
    <w:qFormat/>
    <w:uiPriority w:val="0"/>
    <w:rPr>
      <w:rFonts w:ascii="Times New Roman" w:hAnsi="Times New Roman"/>
      <w:color w:val="000000"/>
      <w:sz w:val="24"/>
      <w:u w:val="none"/>
    </w:rPr>
  </w:style>
  <w:style w:type="character" w:customStyle="1" w:styleId="175">
    <w:name w:val="apple-style-span"/>
    <w:qFormat/>
    <w:uiPriority w:val="0"/>
    <w:rPr>
      <w:rFonts w:cs="Times New Roman"/>
    </w:rPr>
  </w:style>
  <w:style w:type="character" w:customStyle="1" w:styleId="176">
    <w:name w:val="正文文本 Char"/>
    <w:qFormat/>
    <w:uiPriority w:val="99"/>
    <w:rPr>
      <w:rFonts w:eastAsia="宋体"/>
      <w:i/>
      <w:kern w:val="2"/>
      <w:sz w:val="18"/>
      <w:lang w:val="en-US" w:eastAsia="zh-CN"/>
    </w:rPr>
  </w:style>
  <w:style w:type="character" w:customStyle="1" w:styleId="177">
    <w:name w:val="金保标题3 Char"/>
    <w:link w:val="178"/>
    <w:qFormat/>
    <w:locked/>
    <w:uiPriority w:val="0"/>
    <w:rPr>
      <w:rFonts w:ascii="楷体" w:hAnsi="楷体" w:eastAsia="楷体"/>
      <w:b/>
      <w:sz w:val="28"/>
    </w:rPr>
  </w:style>
  <w:style w:type="paragraph" w:customStyle="1" w:styleId="178">
    <w:name w:val="金保标题3"/>
    <w:basedOn w:val="5"/>
    <w:next w:val="1"/>
    <w:link w:val="177"/>
    <w:qFormat/>
    <w:uiPriority w:val="0"/>
    <w:pPr>
      <w:tabs>
        <w:tab w:val="left" w:pos="0"/>
        <w:tab w:val="clear" w:pos="1620"/>
      </w:tabs>
      <w:spacing w:beforeLines="0" w:afterLines="0" w:line="240" w:lineRule="auto"/>
      <w:ind w:left="0" w:firstLine="0"/>
      <w:jc w:val="left"/>
    </w:pPr>
    <w:rPr>
      <w:rFonts w:ascii="楷体" w:hAnsi="楷体" w:eastAsia="楷体"/>
      <w:kern w:val="0"/>
      <w:sz w:val="28"/>
      <w:szCs w:val="20"/>
    </w:rPr>
  </w:style>
  <w:style w:type="character" w:customStyle="1" w:styleId="179">
    <w:name w:val="正文文本缩进 2 字符1"/>
    <w:semiHidden/>
    <w:qFormat/>
    <w:uiPriority w:val="99"/>
    <w:rPr>
      <w:kern w:val="2"/>
      <w:sz w:val="21"/>
    </w:rPr>
  </w:style>
  <w:style w:type="character" w:customStyle="1" w:styleId="180">
    <w:name w:val="标题 2 字符"/>
    <w:qFormat/>
    <w:locked/>
    <w:uiPriority w:val="9"/>
    <w:rPr>
      <w:rFonts w:ascii="Cambria" w:hAnsi="Cambria" w:eastAsia="宋体" w:cs="Cambria"/>
      <w:kern w:val="2"/>
      <w:sz w:val="21"/>
      <w:szCs w:val="21"/>
      <w:lang w:val="en-US" w:eastAsia="zh-CN"/>
    </w:rPr>
  </w:style>
  <w:style w:type="character" w:customStyle="1" w:styleId="181">
    <w:name w:val="列出段落 字符"/>
    <w:qFormat/>
    <w:locked/>
    <w:uiPriority w:val="34"/>
    <w:rPr>
      <w:rFonts w:eastAsia="宋体"/>
      <w:kern w:val="2"/>
      <w:sz w:val="24"/>
      <w:lang w:val="en-US" w:eastAsia="zh-CN"/>
    </w:rPr>
  </w:style>
  <w:style w:type="paragraph" w:customStyle="1" w:styleId="182">
    <w:name w:val="表格正文"/>
    <w:basedOn w:val="1"/>
    <w:qFormat/>
    <w:uiPriority w:val="0"/>
    <w:rPr>
      <w:rFonts w:eastAsia="黑体"/>
    </w:rPr>
  </w:style>
  <w:style w:type="paragraph" w:customStyle="1" w:styleId="183">
    <w:name w:val="Char Char Char Char Char Char Char"/>
    <w:basedOn w:val="1"/>
    <w:qFormat/>
    <w:uiPriority w:val="0"/>
    <w:pPr>
      <w:tabs>
        <w:tab w:val="left" w:pos="432"/>
      </w:tabs>
      <w:ind w:left="432" w:hanging="432"/>
    </w:pPr>
    <w:rPr>
      <w:rFonts w:ascii="Tahoma" w:hAnsi="Tahoma"/>
      <w:sz w:val="24"/>
    </w:rPr>
  </w:style>
  <w:style w:type="paragraph" w:customStyle="1" w:styleId="184">
    <w:name w:val="正文段"/>
    <w:basedOn w:val="1"/>
    <w:qFormat/>
    <w:uiPriority w:val="0"/>
    <w:pPr>
      <w:widowControl/>
      <w:snapToGrid w:val="0"/>
      <w:spacing w:afterLines="50"/>
      <w:ind w:firstLine="200" w:firstLineChars="200"/>
    </w:pPr>
    <w:rPr>
      <w:kern w:val="0"/>
      <w:sz w:val="24"/>
    </w:rPr>
  </w:style>
  <w:style w:type="paragraph" w:customStyle="1" w:styleId="185">
    <w:name w:val="大标题"/>
    <w:basedOn w:val="1"/>
    <w:qFormat/>
    <w:uiPriority w:val="0"/>
    <w:pPr>
      <w:autoSpaceDE w:val="0"/>
      <w:autoSpaceDN w:val="0"/>
      <w:adjustRightInd w:val="0"/>
      <w:spacing w:after="560"/>
      <w:jc w:val="center"/>
    </w:pPr>
    <w:rPr>
      <w:rFonts w:ascii="Arial Black" w:hAnsi="Arial Black"/>
      <w:b/>
      <w:kern w:val="0"/>
      <w:sz w:val="56"/>
    </w:rPr>
  </w:style>
  <w:style w:type="paragraph" w:customStyle="1" w:styleId="186">
    <w:name w:val="普通正文"/>
    <w:basedOn w:val="1"/>
    <w:qFormat/>
    <w:uiPriority w:val="0"/>
    <w:pPr>
      <w:adjustRightInd w:val="0"/>
      <w:spacing w:before="120" w:after="120" w:line="360" w:lineRule="auto"/>
      <w:ind w:firstLine="480"/>
      <w:jc w:val="left"/>
      <w:textAlignment w:val="baseline"/>
    </w:pPr>
    <w:rPr>
      <w:rFonts w:ascii="Arial" w:hAnsi="Arial"/>
      <w:kern w:val="0"/>
      <w:sz w:val="24"/>
      <w:szCs w:val="24"/>
    </w:rPr>
  </w:style>
  <w:style w:type="paragraph" w:customStyle="1" w:styleId="187">
    <w:name w:val="Char Char1 Char Char Char Char"/>
    <w:basedOn w:val="1"/>
    <w:qFormat/>
    <w:uiPriority w:val="0"/>
    <w:rPr>
      <w:rFonts w:ascii="Tahoma" w:hAnsi="Tahoma"/>
      <w:sz w:val="24"/>
    </w:rPr>
  </w:style>
  <w:style w:type="paragraph" w:customStyle="1" w:styleId="188">
    <w:name w:val="标题3"/>
    <w:basedOn w:val="5"/>
    <w:qFormat/>
    <w:uiPriority w:val="0"/>
    <w:pPr>
      <w:tabs>
        <w:tab w:val="left" w:pos="113"/>
        <w:tab w:val="left" w:pos="840"/>
        <w:tab w:val="clear" w:pos="1620"/>
      </w:tabs>
      <w:spacing w:beforeLines="0" w:beforeAutospacing="1" w:afterLines="0" w:line="300" w:lineRule="auto"/>
      <w:ind w:left="1180" w:hanging="340"/>
    </w:pPr>
    <w:rPr>
      <w:rFonts w:ascii="Times New Roman" w:hAnsi="Times New Roman"/>
      <w:b w:val="0"/>
      <w:bCs/>
      <w:spacing w:val="6"/>
      <w:kern w:val="44"/>
      <w:sz w:val="28"/>
      <w:szCs w:val="20"/>
      <w:lang w:val="ru-RU"/>
    </w:rPr>
  </w:style>
  <w:style w:type="paragraph" w:customStyle="1" w:styleId="189">
    <w:name w:val="彩色列表 - 强调文字颜色 11"/>
    <w:basedOn w:val="1"/>
    <w:qFormat/>
    <w:uiPriority w:val="0"/>
    <w:pPr>
      <w:ind w:firstLine="420" w:firstLineChars="200"/>
    </w:pPr>
    <w:rPr>
      <w:rFonts w:ascii="Calibri" w:hAnsi="Calibri"/>
      <w:szCs w:val="22"/>
    </w:rPr>
  </w:style>
  <w:style w:type="paragraph" w:customStyle="1" w:styleId="190">
    <w:name w:val="Char Char Char1 Char"/>
    <w:basedOn w:val="1"/>
    <w:qFormat/>
    <w:uiPriority w:val="0"/>
    <w:pPr>
      <w:spacing w:line="360" w:lineRule="auto"/>
      <w:ind w:firstLine="200" w:firstLineChars="200"/>
    </w:pPr>
  </w:style>
  <w:style w:type="paragraph" w:customStyle="1" w:styleId="191">
    <w:name w:val="Normal 2"/>
    <w:basedOn w:val="1"/>
    <w:qFormat/>
    <w:uiPriority w:val="0"/>
    <w:pPr>
      <w:keepLines/>
      <w:widowControl/>
      <w:autoSpaceDE w:val="0"/>
      <w:autoSpaceDN w:val="0"/>
      <w:adjustRightInd w:val="0"/>
      <w:spacing w:before="240"/>
      <w:ind w:left="360" w:right="900"/>
      <w:jc w:val="left"/>
    </w:pPr>
    <w:rPr>
      <w:rFonts w:ascii="Arial" w:hAnsi="Arial"/>
      <w:kern w:val="0"/>
      <w:sz w:val="22"/>
      <w:lang w:eastAsia="en-US"/>
    </w:rPr>
  </w:style>
  <w:style w:type="paragraph" w:customStyle="1" w:styleId="192">
    <w:name w:val="p0"/>
    <w:basedOn w:val="1"/>
    <w:qFormat/>
    <w:uiPriority w:val="0"/>
    <w:pPr>
      <w:widowControl/>
    </w:pPr>
    <w:rPr>
      <w:kern w:val="0"/>
      <w:szCs w:val="21"/>
    </w:rPr>
  </w:style>
  <w:style w:type="paragraph" w:customStyle="1" w:styleId="193">
    <w:name w:val="标准小四"/>
    <w:basedOn w:val="1"/>
    <w:qFormat/>
    <w:uiPriority w:val="0"/>
    <w:pPr>
      <w:spacing w:line="360" w:lineRule="auto"/>
      <w:ind w:firstLine="480" w:firstLineChars="200"/>
    </w:pPr>
    <w:rPr>
      <w:rFonts w:ascii="Arial" w:hAnsi="Arial"/>
      <w:sz w:val="24"/>
      <w:szCs w:val="21"/>
    </w:rPr>
  </w:style>
  <w:style w:type="paragraph" w:customStyle="1" w:styleId="194">
    <w:name w:val="Char2"/>
    <w:basedOn w:val="1"/>
    <w:qFormat/>
    <w:uiPriority w:val="0"/>
    <w:pPr>
      <w:tabs>
        <w:tab w:val="left" w:pos="1200"/>
      </w:tabs>
      <w:ind w:left="1200" w:hanging="720"/>
    </w:pPr>
    <w:rPr>
      <w:sz w:val="24"/>
      <w:szCs w:val="24"/>
    </w:rPr>
  </w:style>
  <w:style w:type="paragraph" w:customStyle="1" w:styleId="195">
    <w:name w:val="Body"/>
    <w:qFormat/>
    <w:uiPriority w:val="0"/>
    <w:pPr>
      <w:spacing w:before="130" w:after="130" w:line="260" w:lineRule="exact"/>
    </w:pPr>
    <w:rPr>
      <w:rFonts w:ascii="Univers" w:hAnsi="Univers" w:eastAsia="宋体" w:cs="Times New Roman"/>
      <w:color w:val="000000"/>
      <w:sz w:val="22"/>
      <w:lang w:val="en-US" w:eastAsia="en-US" w:bidi="ar-SA"/>
    </w:rPr>
  </w:style>
  <w:style w:type="paragraph" w:customStyle="1" w:styleId="196">
    <w:name w:val="tabletex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97">
    <w:name w:val="无间隔1"/>
    <w:qFormat/>
    <w:uiPriority w:val="0"/>
    <w:rPr>
      <w:rFonts w:ascii="Times New Roman" w:hAnsi="Times New Roman" w:eastAsia="宋体" w:cs="Times New Roman"/>
      <w:sz w:val="21"/>
      <w:lang w:val="en-US" w:eastAsia="zh-CN" w:bidi="ar-SA"/>
    </w:rPr>
  </w:style>
  <w:style w:type="paragraph" w:customStyle="1" w:styleId="198">
    <w:name w:val="Char11"/>
    <w:basedOn w:val="1"/>
    <w:qFormat/>
    <w:uiPriority w:val="0"/>
    <w:rPr>
      <w:szCs w:val="24"/>
    </w:rPr>
  </w:style>
  <w:style w:type="paragraph" w:customStyle="1" w:styleId="199">
    <w:name w:val="UserStyle_4"/>
    <w:basedOn w:val="1"/>
    <w:qFormat/>
    <w:uiPriority w:val="0"/>
    <w:pPr>
      <w:widowControl/>
      <w:ind w:firstLine="420" w:firstLineChars="200"/>
    </w:pPr>
    <w:rPr>
      <w:rFonts w:ascii="Calibri" w:hAnsi="Calibri"/>
      <w:szCs w:val="22"/>
    </w:rPr>
  </w:style>
  <w:style w:type="paragraph" w:customStyle="1" w:styleId="200">
    <w:name w:val="正文文本缩进1"/>
    <w:basedOn w:val="1"/>
    <w:qFormat/>
    <w:uiPriority w:val="0"/>
    <w:pPr>
      <w:spacing w:after="120"/>
      <w:ind w:left="420" w:leftChars="200"/>
    </w:pPr>
    <w:rPr>
      <w:szCs w:val="24"/>
    </w:rPr>
  </w:style>
  <w:style w:type="paragraph" w:customStyle="1" w:styleId="201">
    <w:name w:val="列出段落2"/>
    <w:basedOn w:val="1"/>
    <w:qFormat/>
    <w:uiPriority w:val="0"/>
    <w:pPr>
      <w:widowControl/>
      <w:spacing w:after="200" w:line="276" w:lineRule="auto"/>
      <w:ind w:left="720"/>
      <w:contextualSpacing/>
      <w:jc w:val="left"/>
    </w:pPr>
    <w:rPr>
      <w:rFonts w:ascii="Calibri" w:hAnsi="Calibri"/>
      <w:kern w:val="0"/>
      <w:sz w:val="22"/>
      <w:szCs w:val="22"/>
    </w:rPr>
  </w:style>
  <w:style w:type="paragraph" w:customStyle="1" w:styleId="202">
    <w:name w:val="标准正文"/>
    <w:basedOn w:val="1"/>
    <w:qFormat/>
    <w:uiPriority w:val="0"/>
    <w:pPr>
      <w:adjustRightInd w:val="0"/>
      <w:spacing w:line="360" w:lineRule="auto"/>
      <w:ind w:firstLine="480" w:firstLineChars="200"/>
    </w:pPr>
    <w:rPr>
      <w:kern w:val="0"/>
      <w:sz w:val="24"/>
    </w:rPr>
  </w:style>
  <w:style w:type="paragraph" w:customStyle="1" w:styleId="203">
    <w:name w:val="正文 居中"/>
    <w:basedOn w:val="1"/>
    <w:qFormat/>
    <w:uiPriority w:val="0"/>
    <w:pPr>
      <w:spacing w:line="360" w:lineRule="auto"/>
      <w:jc w:val="center"/>
    </w:pPr>
    <w:rPr>
      <w:rFonts w:cs="宋体"/>
      <w:sz w:val="24"/>
    </w:rPr>
  </w:style>
  <w:style w:type="paragraph" w:customStyle="1" w:styleId="204">
    <w:name w:val="Char"/>
    <w:basedOn w:val="1"/>
    <w:qFormat/>
    <w:uiPriority w:val="0"/>
    <w:pPr>
      <w:widowControl/>
      <w:spacing w:after="160" w:line="240" w:lineRule="exact"/>
      <w:ind w:left="-62" w:right="36" w:rightChars="15"/>
      <w:jc w:val="left"/>
    </w:pPr>
    <w:rPr>
      <w:rFonts w:ascii="Arial" w:hAnsi="Arial"/>
      <w:kern w:val="0"/>
      <w:sz w:val="20"/>
      <w:lang w:eastAsia="en-US"/>
    </w:rPr>
  </w:style>
  <w:style w:type="paragraph" w:customStyle="1" w:styleId="205">
    <w:name w:val="tabletextcharchar"/>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06">
    <w:name w:val="正文编码"/>
    <w:basedOn w:val="43"/>
    <w:qFormat/>
    <w:uiPriority w:val="0"/>
    <w:pPr>
      <w:tabs>
        <w:tab w:val="center" w:pos="2185"/>
      </w:tabs>
      <w:spacing w:after="0" w:line="360" w:lineRule="auto"/>
      <w:ind w:left="1200" w:hanging="720" w:firstLineChars="0"/>
    </w:pPr>
    <w:rPr>
      <w:rFonts w:ascii="仿宋_GB2312" w:eastAsia="仿宋_GB2312"/>
      <w:kern w:val="0"/>
    </w:rPr>
  </w:style>
  <w:style w:type="paragraph" w:customStyle="1" w:styleId="207">
    <w:name w:val="正文文本缩进 + 四号"/>
    <w:basedOn w:val="19"/>
    <w:qFormat/>
    <w:uiPriority w:val="0"/>
    <w:pPr>
      <w:spacing w:line="360" w:lineRule="auto"/>
      <w:ind w:firstLine="560" w:firstLineChars="200"/>
    </w:pPr>
    <w:rPr>
      <w:rFonts w:ascii="仿宋_GB2312" w:eastAsia="仿宋_GB2312"/>
      <w:color w:val="000000"/>
      <w:sz w:val="28"/>
      <w:szCs w:val="28"/>
    </w:rPr>
  </w:style>
  <w:style w:type="paragraph" w:customStyle="1" w:styleId="208">
    <w:name w:val="Char Char Char"/>
    <w:basedOn w:val="1"/>
    <w:qFormat/>
    <w:uiPriority w:val="0"/>
    <w:pPr>
      <w:spacing w:before="120" w:after="120" w:line="360" w:lineRule="auto"/>
      <w:ind w:firstLine="200" w:firstLineChars="200"/>
    </w:pPr>
    <w:rPr>
      <w:rFonts w:ascii="Tahoma" w:hAnsi="Tahoma"/>
      <w:sz w:val="24"/>
    </w:rPr>
  </w:style>
  <w:style w:type="paragraph" w:customStyle="1" w:styleId="209">
    <w:name w:val="列出段落11"/>
    <w:basedOn w:val="1"/>
    <w:qFormat/>
    <w:uiPriority w:val="0"/>
    <w:pPr>
      <w:ind w:firstLine="420" w:firstLineChars="200"/>
    </w:pPr>
    <w:rPr>
      <w:szCs w:val="24"/>
    </w:rPr>
  </w:style>
  <w:style w:type="paragraph" w:customStyle="1" w:styleId="210">
    <w:name w:val="Default"/>
    <w:qFormat/>
    <w:uiPriority w:val="0"/>
    <w:pPr>
      <w:widowControl w:val="0"/>
      <w:autoSpaceDE w:val="0"/>
      <w:autoSpaceDN w:val="0"/>
      <w:adjustRightInd w:val="0"/>
      <w:ind w:left="425"/>
    </w:pPr>
    <w:rPr>
      <w:rFonts w:ascii="黑体" w:hAnsi="Calibri" w:eastAsia="黑体" w:cs="黑体"/>
      <w:color w:val="000000"/>
      <w:sz w:val="24"/>
      <w:szCs w:val="24"/>
      <w:lang w:val="en-US" w:eastAsia="zh-CN" w:bidi="ar-SA"/>
    </w:rPr>
  </w:style>
  <w:style w:type="paragraph" w:customStyle="1" w:styleId="211">
    <w:name w:val="Table Text"/>
    <w:basedOn w:val="1"/>
    <w:qFormat/>
    <w:uiPriority w:val="0"/>
    <w:pPr>
      <w:widowControl/>
      <w:jc w:val="left"/>
    </w:pPr>
    <w:rPr>
      <w:rFonts w:ascii="Arial" w:hAnsi="Arial"/>
      <w:kern w:val="0"/>
      <w:szCs w:val="21"/>
    </w:rPr>
  </w:style>
  <w:style w:type="paragraph" w:customStyle="1" w:styleId="212">
    <w:name w:val="符号 2"/>
    <w:basedOn w:val="213"/>
    <w:qFormat/>
    <w:uiPriority w:val="0"/>
    <w:pPr>
      <w:tabs>
        <w:tab w:val="left" w:pos="900"/>
        <w:tab w:val="left" w:pos="1320"/>
      </w:tabs>
      <w:ind w:left="1320" w:hanging="420"/>
    </w:pPr>
  </w:style>
  <w:style w:type="paragraph" w:customStyle="1" w:styleId="213">
    <w:name w:val="符号 1"/>
    <w:basedOn w:val="19"/>
    <w:qFormat/>
    <w:uiPriority w:val="0"/>
    <w:pPr>
      <w:tabs>
        <w:tab w:val="left" w:pos="900"/>
      </w:tabs>
      <w:spacing w:line="360" w:lineRule="auto"/>
      <w:ind w:left="1200" w:hanging="720"/>
    </w:pPr>
    <w:rPr>
      <w:rFonts w:eastAsia="宋体"/>
      <w:kern w:val="28"/>
      <w:szCs w:val="24"/>
    </w:rPr>
  </w:style>
  <w:style w:type="paragraph" w:customStyle="1" w:styleId="214">
    <w:name w:val="默认段落字体11"/>
    <w:basedOn w:val="1"/>
    <w:qFormat/>
    <w:uiPriority w:val="0"/>
    <w:pPr>
      <w:widowControl/>
      <w:spacing w:before="100" w:beforeAutospacing="1" w:after="100" w:afterAutospacing="1"/>
      <w:jc w:val="left"/>
    </w:pPr>
    <w:rPr>
      <w:szCs w:val="22"/>
    </w:rPr>
  </w:style>
  <w:style w:type="paragraph" w:customStyle="1" w:styleId="215">
    <w:name w:val="表内文字"/>
    <w:basedOn w:val="1"/>
    <w:qFormat/>
    <w:uiPriority w:val="0"/>
    <w:pPr>
      <w:tabs>
        <w:tab w:val="left" w:pos="1418"/>
      </w:tabs>
      <w:spacing w:line="360" w:lineRule="auto"/>
      <w:jc w:val="center"/>
    </w:pPr>
    <w:rPr>
      <w:rFonts w:ascii="仿宋_GB2312" w:eastAsia="仿宋_GB2312"/>
      <w:spacing w:val="-20"/>
      <w:kern w:val="0"/>
      <w:sz w:val="24"/>
      <w:szCs w:val="24"/>
    </w:rPr>
  </w:style>
  <w:style w:type="paragraph" w:customStyle="1" w:styleId="216">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17">
    <w:name w:val="正文2"/>
    <w:basedOn w:val="1"/>
    <w:qFormat/>
    <w:uiPriority w:val="0"/>
    <w:pPr>
      <w:spacing w:beforeLines="50" w:afterLines="50" w:line="360" w:lineRule="auto"/>
      <w:ind w:firstLine="480" w:firstLineChars="200"/>
    </w:pPr>
    <w:rPr>
      <w:rFonts w:ascii="宋体" w:hAnsi="宋体"/>
      <w:sz w:val="24"/>
      <w:szCs w:val="24"/>
    </w:rPr>
  </w:style>
  <w:style w:type="paragraph" w:customStyle="1" w:styleId="218">
    <w:name w:val="Char1"/>
    <w:basedOn w:val="1"/>
    <w:qFormat/>
    <w:uiPriority w:val="0"/>
    <w:rPr>
      <w:rFonts w:ascii="仿宋_GB2312" w:eastAsia="仿宋_GB2312"/>
      <w:b/>
      <w:sz w:val="32"/>
      <w:szCs w:val="32"/>
    </w:rPr>
  </w:style>
  <w:style w:type="paragraph" w:customStyle="1" w:styleId="219">
    <w:name w:val="_Style 5"/>
    <w:basedOn w:val="1"/>
    <w:qFormat/>
    <w:uiPriority w:val="0"/>
    <w:pPr>
      <w:widowControl/>
      <w:spacing w:after="160" w:line="360" w:lineRule="auto"/>
      <w:ind w:firstLine="200" w:firstLineChars="200"/>
      <w:jc w:val="left"/>
    </w:pPr>
    <w:rPr>
      <w:rFonts w:ascii="宋体" w:hAnsi="宋体"/>
      <w:sz w:val="24"/>
    </w:rPr>
  </w:style>
  <w:style w:type="paragraph" w:customStyle="1" w:styleId="220">
    <w:name w:val="正文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21">
    <w:name w:val="正文无缩进"/>
    <w:basedOn w:val="1"/>
    <w:qFormat/>
    <w:uiPriority w:val="0"/>
    <w:pPr>
      <w:widowControl/>
      <w:autoSpaceDE w:val="0"/>
      <w:autoSpaceDN w:val="0"/>
      <w:spacing w:line="300" w:lineRule="auto"/>
      <w:textAlignment w:val="bottom"/>
    </w:pPr>
    <w:rPr>
      <w:rFonts w:eastAsia="楷体_GB2312"/>
    </w:rPr>
  </w:style>
  <w:style w:type="paragraph" w:customStyle="1" w:styleId="222">
    <w:name w:val="tabletextchar"/>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23">
    <w:name w:val="xl28"/>
    <w:basedOn w:val="1"/>
    <w:qFormat/>
    <w:uiPriority w:val="0"/>
    <w:pPr>
      <w:widowControl/>
      <w:pBdr>
        <w:left w:val="single" w:color="auto" w:sz="8" w:space="0"/>
        <w:bottom w:val="single" w:color="auto" w:sz="4" w:space="0"/>
        <w:right w:val="single" w:color="auto" w:sz="4" w:space="0"/>
      </w:pBdr>
      <w:spacing w:beforeAutospacing="1" w:afterAutospacing="1"/>
      <w:jc w:val="center"/>
    </w:pPr>
    <w:rPr>
      <w:rFonts w:ascii="Arial Unicode MS" w:hAnsi="Arial Unicode MS" w:eastAsia="Arial Unicode MS"/>
      <w:kern w:val="0"/>
      <w:sz w:val="24"/>
    </w:rPr>
  </w:style>
  <w:style w:type="paragraph" w:styleId="224">
    <w:name w:val="No Spacing"/>
    <w:qFormat/>
    <w:uiPriority w:val="1"/>
    <w:pPr>
      <w:widowControl w:val="0"/>
      <w:jc w:val="both"/>
    </w:pPr>
    <w:rPr>
      <w:rFonts w:ascii="Times New Roman" w:hAnsi="Times New Roman" w:eastAsia="宋体" w:cs="Times New Roman"/>
      <w:kern w:val="2"/>
      <w:sz w:val="21"/>
      <w:lang w:val="en-US" w:eastAsia="zh-CN" w:bidi="ar-SA"/>
    </w:rPr>
  </w:style>
  <w:style w:type="paragraph" w:customStyle="1" w:styleId="225">
    <w:name w:val="此正文"/>
    <w:basedOn w:val="1"/>
    <w:qFormat/>
    <w:uiPriority w:val="0"/>
    <w:pPr>
      <w:spacing w:line="360" w:lineRule="auto"/>
      <w:ind w:firstLine="200" w:firstLineChars="200"/>
    </w:pPr>
    <w:rPr>
      <w:sz w:val="24"/>
      <w:szCs w:val="24"/>
    </w:rPr>
  </w:style>
  <w:style w:type="paragraph" w:customStyle="1" w:styleId="226">
    <w:name w:val="Char Char Char Char"/>
    <w:basedOn w:val="1"/>
    <w:qFormat/>
    <w:uiPriority w:val="0"/>
    <w:pPr>
      <w:widowControl/>
      <w:spacing w:line="400" w:lineRule="exact"/>
      <w:jc w:val="center"/>
    </w:pPr>
    <w:rPr>
      <w:rFonts w:ascii="Verdana" w:hAnsi="Verdana"/>
      <w:kern w:val="0"/>
      <w:lang w:eastAsia="en-US"/>
    </w:rPr>
  </w:style>
  <w:style w:type="paragraph" w:customStyle="1" w:styleId="227">
    <w:name w:val="xl25"/>
    <w:basedOn w:val="1"/>
    <w:qFormat/>
    <w:uiPriority w:val="0"/>
    <w:pPr>
      <w:widowControl/>
      <w:spacing w:before="100" w:beforeAutospacing="1" w:after="100" w:afterAutospacing="1"/>
      <w:jc w:val="center"/>
      <w:textAlignment w:val="center"/>
    </w:pPr>
    <w:rPr>
      <w:rFonts w:ascii="宋体" w:hAnsi="宋体"/>
      <w:kern w:val="0"/>
      <w:sz w:val="20"/>
    </w:rPr>
  </w:style>
  <w:style w:type="paragraph" w:customStyle="1" w:styleId="228">
    <w:name w:val="默认段落字体 Para Char Char Char Char Char Char Char Char Char Char"/>
    <w:basedOn w:val="1"/>
    <w:qFormat/>
    <w:uiPriority w:val="0"/>
    <w:rPr>
      <w:rFonts w:ascii="Tahoma" w:hAnsi="Tahoma"/>
      <w:sz w:val="24"/>
    </w:rPr>
  </w:style>
  <w:style w:type="paragraph" w:customStyle="1" w:styleId="229">
    <w:name w:val="标题1"/>
    <w:basedOn w:val="3"/>
    <w:qFormat/>
    <w:uiPriority w:val="0"/>
    <w:pPr>
      <w:keepLines/>
      <w:tabs>
        <w:tab w:val="left" w:pos="397"/>
      </w:tabs>
      <w:spacing w:before="120" w:after="120" w:line="300" w:lineRule="auto"/>
      <w:ind w:firstLine="340"/>
    </w:pPr>
    <w:rPr>
      <w:rFonts w:ascii="黑体" w:eastAsia="黑体"/>
      <w:b w:val="0"/>
      <w:bCs/>
      <w:spacing w:val="6"/>
      <w:sz w:val="36"/>
    </w:rPr>
  </w:style>
  <w:style w:type="paragraph" w:customStyle="1" w:styleId="230">
    <w:name w:val="itemlistintable"/>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31">
    <w:name w:val="List Paragraph1"/>
    <w:basedOn w:val="1"/>
    <w:qFormat/>
    <w:uiPriority w:val="34"/>
    <w:pPr>
      <w:ind w:firstLine="420" w:firstLineChars="200"/>
    </w:pPr>
    <w:rPr>
      <w:szCs w:val="24"/>
    </w:rPr>
  </w:style>
  <w:style w:type="paragraph" w:customStyle="1" w:styleId="232">
    <w:name w:val="font13"/>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33">
    <w:name w:val="Item List in Table"/>
    <w:basedOn w:val="1"/>
    <w:qFormat/>
    <w:uiPriority w:val="0"/>
    <w:pPr>
      <w:widowControl/>
      <w:tabs>
        <w:tab w:val="left" w:pos="284"/>
      </w:tabs>
      <w:topLinePunct/>
      <w:adjustRightInd w:val="0"/>
      <w:snapToGrid w:val="0"/>
      <w:spacing w:before="80" w:after="80" w:line="240" w:lineRule="atLeast"/>
      <w:jc w:val="left"/>
    </w:pPr>
    <w:rPr>
      <w:rFonts w:cs="Arial"/>
      <w:kern w:val="0"/>
      <w:szCs w:val="21"/>
    </w:rPr>
  </w:style>
  <w:style w:type="paragraph" w:customStyle="1" w:styleId="234">
    <w:name w:val="默认段落字体 Para Char Char Char Char Char Char Char Char Char1 Char Char Char Char"/>
    <w:basedOn w:val="1"/>
    <w:qFormat/>
    <w:uiPriority w:val="0"/>
    <w:rPr>
      <w:rFonts w:ascii="Tahoma" w:hAnsi="Tahoma"/>
      <w:sz w:val="24"/>
    </w:rPr>
  </w:style>
  <w:style w:type="paragraph" w:customStyle="1" w:styleId="235">
    <w:name w:val="Proposals body"/>
    <w:basedOn w:val="1"/>
    <w:next w:val="1"/>
    <w:qFormat/>
    <w:uiPriority w:val="0"/>
    <w:pPr>
      <w:widowControl/>
      <w:spacing w:line="360" w:lineRule="auto"/>
      <w:jc w:val="left"/>
    </w:pPr>
    <w:rPr>
      <w:rFonts w:ascii="宋体"/>
      <w:color w:val="000000"/>
      <w:kern w:val="0"/>
      <w:sz w:val="24"/>
    </w:rPr>
  </w:style>
  <w:style w:type="paragraph" w:customStyle="1" w:styleId="236">
    <w:name w:val="UserStyle_2"/>
    <w:basedOn w:val="1"/>
    <w:qFormat/>
    <w:uiPriority w:val="0"/>
    <w:pPr>
      <w:widowControl/>
      <w:ind w:firstLine="420" w:firstLineChars="200"/>
      <w:textAlignment w:val="baseline"/>
    </w:pPr>
  </w:style>
  <w:style w:type="paragraph" w:customStyle="1" w:styleId="237">
    <w:name w:val="표준11"/>
    <w:basedOn w:val="1"/>
    <w:qFormat/>
    <w:uiPriority w:val="0"/>
    <w:pPr>
      <w:wordWrap w:val="0"/>
      <w:jc w:val="left"/>
    </w:pPr>
    <w:rPr>
      <w:rFonts w:ascii="Arial" w:hAnsi="Arial" w:eastAsia="BatangChe"/>
      <w:sz w:val="22"/>
      <w:lang w:eastAsia="ko-KR"/>
    </w:rPr>
  </w:style>
  <w:style w:type="character" w:customStyle="1" w:styleId="238">
    <w:name w:val="Anrede1IhrZeichen"/>
    <w:qFormat/>
    <w:uiPriority w:val="0"/>
    <w:rPr>
      <w:rFonts w:ascii="Arial" w:hAnsi="Arial"/>
      <w:sz w:val="20"/>
    </w:rPr>
  </w:style>
  <w:style w:type="paragraph" w:customStyle="1" w:styleId="239">
    <w:name w:val="Char Char Char Char Char Char Char Char Char Char"/>
    <w:basedOn w:val="1"/>
    <w:qFormat/>
    <w:uiPriority w:val="0"/>
    <w:pPr>
      <w:widowControl/>
      <w:spacing w:after="160" w:line="240" w:lineRule="exact"/>
      <w:jc w:val="left"/>
    </w:pPr>
  </w:style>
  <w:style w:type="paragraph" w:customStyle="1" w:styleId="240">
    <w:name w:val="列表段落1"/>
    <w:basedOn w:val="1"/>
    <w:qFormat/>
    <w:uiPriority w:val="34"/>
    <w:pPr>
      <w:ind w:firstLine="420" w:firstLineChars="200"/>
    </w:pPr>
  </w:style>
  <w:style w:type="character" w:customStyle="1" w:styleId="241">
    <w:name w:val="正文文本首行缩进 2 字符"/>
    <w:link w:val="242"/>
    <w:qFormat/>
    <w:uiPriority w:val="0"/>
    <w:rPr>
      <w:rFonts w:ascii="Calibri" w:hAnsi="Calibri" w:eastAsia="幼圆"/>
      <w:szCs w:val="24"/>
    </w:rPr>
  </w:style>
  <w:style w:type="paragraph" w:customStyle="1" w:styleId="242">
    <w:name w:val="_Style 243"/>
    <w:basedOn w:val="19"/>
    <w:next w:val="44"/>
    <w:link w:val="241"/>
    <w:qFormat/>
    <w:uiPriority w:val="0"/>
    <w:pPr>
      <w:tabs>
        <w:tab w:val="left" w:pos="2340"/>
      </w:tabs>
      <w:spacing w:line="300" w:lineRule="auto"/>
      <w:ind w:firstLine="420" w:firstLineChars="200"/>
      <w:jc w:val="left"/>
    </w:pPr>
    <w:rPr>
      <w:rFonts w:ascii="Calibri" w:hAnsi="Calibri" w:eastAsia="幼圆"/>
      <w:kern w:val="0"/>
      <w:sz w:val="20"/>
      <w:szCs w:val="24"/>
    </w:rPr>
  </w:style>
  <w:style w:type="character" w:customStyle="1" w:styleId="243">
    <w:name w:val="font71"/>
    <w:basedOn w:val="47"/>
    <w:qFormat/>
    <w:uiPriority w:val="0"/>
    <w:rPr>
      <w:rFonts w:hint="default" w:ascii="Arial Unicode MS" w:hAnsi="Arial Unicode MS" w:eastAsia="Arial Unicode MS" w:cs="Arial Unicode MS"/>
      <w:color w:val="000000"/>
      <w:sz w:val="21"/>
      <w:szCs w:val="21"/>
      <w:u w:val="none"/>
    </w:rPr>
  </w:style>
  <w:style w:type="character" w:customStyle="1" w:styleId="244">
    <w:name w:val="font41"/>
    <w:basedOn w:val="47"/>
    <w:qFormat/>
    <w:uiPriority w:val="0"/>
    <w:rPr>
      <w:rFonts w:hint="eastAsia" w:ascii="宋体" w:hAnsi="宋体" w:eastAsia="宋体" w:cs="宋体"/>
      <w:b/>
      <w:bCs/>
      <w:color w:val="000000"/>
      <w:sz w:val="21"/>
      <w:szCs w:val="21"/>
      <w:u w:val="none"/>
    </w:rPr>
  </w:style>
  <w:style w:type="character" w:customStyle="1" w:styleId="245">
    <w:name w:val="font91"/>
    <w:basedOn w:val="47"/>
    <w:qFormat/>
    <w:uiPriority w:val="0"/>
    <w:rPr>
      <w:rFonts w:hint="eastAsia" w:ascii="宋体" w:hAnsi="宋体" w:eastAsia="宋体" w:cs="宋体"/>
      <w:b/>
      <w:bCs/>
      <w:color w:val="333333"/>
      <w:sz w:val="24"/>
      <w:szCs w:val="24"/>
      <w:u w:val="none"/>
    </w:rPr>
  </w:style>
  <w:style w:type="character" w:customStyle="1" w:styleId="246">
    <w:name w:val="font51"/>
    <w:basedOn w:val="47"/>
    <w:qFormat/>
    <w:uiPriority w:val="0"/>
    <w:rPr>
      <w:rFonts w:hint="eastAsia" w:ascii="宋体" w:hAnsi="宋体" w:eastAsia="宋体" w:cs="宋体"/>
      <w:color w:val="000000"/>
      <w:sz w:val="24"/>
      <w:szCs w:val="24"/>
      <w:u w:val="none"/>
    </w:rPr>
  </w:style>
  <w:style w:type="character" w:customStyle="1" w:styleId="247">
    <w:name w:val="font81"/>
    <w:basedOn w:val="47"/>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65</Pages>
  <Words>31289</Words>
  <Characters>33440</Characters>
  <Lines>340</Lines>
  <Paragraphs>95</Paragraphs>
  <TotalTime>8</TotalTime>
  <ScaleCrop>false</ScaleCrop>
  <LinksUpToDate>false</LinksUpToDate>
  <CharactersWithSpaces>36370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2023-05-08T03:41:00Z</dcterms:created>
  <dc:creator>dyp</dc:creator>
  <cp:lastModifiedBy>小白</cp:lastModifiedBy>
  <cp:lastPrinted>2023-12-15T01:37:00Z</cp:lastPrinted>
  <dcterms:modified xsi:type="dcterms:W3CDTF">2023-12-15T08:31:47Z</dcterms:modified>
  <dc:title>第一部分  投标方须知</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D83D5371C5B94F3EBB97478D7C70F5E8_13</vt:lpwstr>
  </property>
</Properties>
</file>