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eastAsia="宋体" w:cs="宋体"/>
          <w:b/>
          <w:color w:val="auto"/>
          <w:sz w:val="40"/>
          <w:szCs w:val="44"/>
          <w:highlight w:val="none"/>
          <w:lang w:eastAsia="zh-CN"/>
        </w:rPr>
      </w:pPr>
      <w:r>
        <w:rPr>
          <w:rFonts w:hint="eastAsia" w:ascii="宋体" w:hAnsi="宋体" w:cs="宋体"/>
          <w:b/>
          <w:color w:val="auto"/>
          <w:sz w:val="40"/>
          <w:szCs w:val="44"/>
          <w:highlight w:val="none"/>
          <w:lang w:eastAsia="zh-CN"/>
        </w:rPr>
        <w:t>慈溪滨海经济开发区灵峰路绿化养护、道路保洁、公厕保洁服务项目</w:t>
      </w:r>
    </w:p>
    <w:p>
      <w:pPr>
        <w:pStyle w:val="3"/>
        <w:spacing w:before="120" w:after="120"/>
        <w:rPr>
          <w:rFonts w:hint="eastAsia" w:ascii="宋体" w:hAnsi="宋体" w:eastAsia="宋体" w:cs="宋体"/>
          <w:color w:val="auto"/>
          <w:highlight w:val="none"/>
        </w:rPr>
      </w:pPr>
    </w:p>
    <w:p>
      <w:pPr>
        <w:spacing w:after="120" w:line="900" w:lineRule="exact"/>
        <w:jc w:val="center"/>
        <w:rPr>
          <w:rFonts w:hint="eastAsia" w:ascii="宋体" w:hAnsi="宋体" w:eastAsia="宋体" w:cs="宋体"/>
          <w:b/>
          <w:color w:val="auto"/>
          <w:sz w:val="46"/>
          <w:szCs w:val="50"/>
          <w:highlight w:val="none"/>
        </w:rPr>
      </w:pPr>
      <w:r>
        <w:rPr>
          <w:rFonts w:hint="eastAsia" w:ascii="宋体" w:hAnsi="宋体" w:eastAsia="宋体" w:cs="宋体"/>
          <w:b/>
          <w:color w:val="auto"/>
          <w:sz w:val="46"/>
          <w:szCs w:val="50"/>
          <w:highlight w:val="none"/>
        </w:rPr>
        <w:t>政府采购</w:t>
      </w:r>
    </w:p>
    <w:p>
      <w:pPr>
        <w:spacing w:after="120" w:line="400" w:lineRule="exact"/>
        <w:jc w:val="center"/>
        <w:rPr>
          <w:rFonts w:hint="eastAsia" w:ascii="宋体" w:hAnsi="宋体" w:eastAsia="宋体" w:cs="宋体"/>
          <w:b/>
          <w:color w:val="auto"/>
          <w:sz w:val="32"/>
          <w:szCs w:val="32"/>
          <w:highlight w:val="none"/>
        </w:rPr>
      </w:pPr>
    </w:p>
    <w:p>
      <w:pPr>
        <w:spacing w:after="120" w:line="800" w:lineRule="exact"/>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公</w:t>
      </w:r>
    </w:p>
    <w:p>
      <w:pPr>
        <w:spacing w:after="120" w:line="800" w:lineRule="exact"/>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开</w:t>
      </w:r>
    </w:p>
    <w:p>
      <w:pPr>
        <w:spacing w:after="120" w:line="800" w:lineRule="exact"/>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招</w:t>
      </w:r>
    </w:p>
    <w:p>
      <w:pPr>
        <w:spacing w:after="120" w:line="800" w:lineRule="exact"/>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标</w:t>
      </w:r>
    </w:p>
    <w:p>
      <w:pPr>
        <w:spacing w:after="120" w:line="800" w:lineRule="exact"/>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文</w:t>
      </w:r>
    </w:p>
    <w:p>
      <w:pPr>
        <w:spacing w:after="120" w:line="800" w:lineRule="exact"/>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件</w:t>
      </w:r>
    </w:p>
    <w:p>
      <w:pPr>
        <w:rPr>
          <w:rFonts w:hint="eastAsia" w:ascii="宋体" w:hAnsi="宋体" w:eastAsia="宋体" w:cs="宋体"/>
          <w:b/>
          <w:color w:val="auto"/>
          <w:sz w:val="36"/>
          <w:szCs w:val="36"/>
          <w:highlight w:val="none"/>
        </w:rPr>
      </w:pPr>
    </w:p>
    <w:p>
      <w:pPr>
        <w:spacing w:line="600" w:lineRule="exact"/>
        <w:rPr>
          <w:rFonts w:hint="eastAsia" w:ascii="宋体" w:hAnsi="宋体" w:eastAsia="宋体" w:cs="宋体"/>
          <w:b/>
          <w:color w:val="auto"/>
          <w:sz w:val="28"/>
          <w:szCs w:val="28"/>
          <w:highlight w:val="none"/>
        </w:rPr>
      </w:pPr>
    </w:p>
    <w:p>
      <w:pPr>
        <w:spacing w:line="7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330282202402000864</w:t>
      </w:r>
      <w:r>
        <w:rPr>
          <w:rFonts w:hint="eastAsia" w:ascii="宋体" w:hAnsi="宋体" w:eastAsia="宋体" w:cs="宋体"/>
          <w:b/>
          <w:color w:val="auto"/>
          <w:sz w:val="28"/>
          <w:szCs w:val="28"/>
          <w:highlight w:val="none"/>
          <w:lang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"https://pay.zcygov.cn/purchaseplan_front/" \l "/plan/list/detail?id=1000000000008565872&amp;encrypt=36fcf61aaf2e03018d9cf477be41b3bb" \t "https://www.zcygov.cn/project-center/purchasePlans/_blank"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p>
    <w:p>
      <w:pPr>
        <w:spacing w:line="700" w:lineRule="exact"/>
        <w:ind w:left="1405" w:hanging="1405" w:hangingChars="5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采购人：</w:t>
      </w:r>
      <w:r>
        <w:rPr>
          <w:rFonts w:hint="eastAsia" w:ascii="宋体" w:hAnsi="宋体" w:cs="宋体"/>
          <w:b/>
          <w:color w:val="auto"/>
          <w:sz w:val="28"/>
          <w:szCs w:val="28"/>
          <w:highlight w:val="none"/>
          <w:lang w:eastAsia="zh-CN"/>
        </w:rPr>
        <w:t>慈溪滨海经济开发区管理委员会</w:t>
      </w:r>
    </w:p>
    <w:p>
      <w:pPr>
        <w:spacing w:line="700" w:lineRule="exac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代理机构：</w:t>
      </w:r>
      <w:r>
        <w:rPr>
          <w:rFonts w:hint="eastAsia" w:ascii="宋体" w:hAnsi="宋体" w:cs="宋体"/>
          <w:b/>
          <w:color w:val="auto"/>
          <w:sz w:val="28"/>
          <w:szCs w:val="28"/>
          <w:highlight w:val="none"/>
          <w:lang w:eastAsia="zh-CN"/>
        </w:rPr>
        <w:t>宁波广兴工程管理有限公司</w:t>
      </w:r>
    </w:p>
    <w:p>
      <w:pPr>
        <w:spacing w:line="700" w:lineRule="exac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编制日期：</w:t>
      </w:r>
      <w:r>
        <w:rPr>
          <w:rFonts w:hint="eastAsia" w:ascii="宋体" w:hAnsi="宋体" w:cs="宋体"/>
          <w:b/>
          <w:color w:val="auto"/>
          <w:sz w:val="28"/>
          <w:szCs w:val="28"/>
          <w:highlight w:val="none"/>
          <w:lang w:eastAsia="zh-CN"/>
        </w:rPr>
        <w:t>2024年</w:t>
      </w: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lang w:eastAsia="zh-CN"/>
        </w:rPr>
        <w:t>月</w:t>
      </w:r>
    </w:p>
    <w:p>
      <w:pPr>
        <w:spacing w:line="1200" w:lineRule="exact"/>
        <w:jc w:val="center"/>
        <w:rPr>
          <w:rFonts w:hint="eastAsia" w:ascii="宋体" w:hAnsi="宋体" w:eastAsia="宋体" w:cs="宋体"/>
          <w:b/>
          <w:color w:val="auto"/>
          <w:sz w:val="72"/>
          <w:szCs w:val="7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72"/>
          <w:szCs w:val="72"/>
          <w:highlight w:val="none"/>
        </w:rPr>
        <w:t>温馨提醒</w:t>
      </w:r>
    </w:p>
    <w:p>
      <w:pPr>
        <w:spacing w:line="1200" w:lineRule="exact"/>
        <w:jc w:val="center"/>
        <w:rPr>
          <w:rFonts w:hint="eastAsia" w:ascii="宋体" w:hAnsi="宋体" w:eastAsia="宋体" w:cs="宋体"/>
          <w:b/>
          <w:color w:val="auto"/>
          <w:sz w:val="52"/>
          <w:szCs w:val="52"/>
          <w:highlight w:val="none"/>
        </w:rPr>
      </w:pPr>
    </w:p>
    <w:p>
      <w:pPr>
        <w:spacing w:line="1000" w:lineRule="exact"/>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1、投标文件应按招标文件要求将“资格文件”、“商务和技术文件”、“报价文件”分别编制。</w:t>
      </w:r>
    </w:p>
    <w:p>
      <w:pPr>
        <w:spacing w:line="1000" w:lineRule="exact"/>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2、“商务和技术文件”中不得出现涉及投标价格的内容，否则作无效标处理。</w:t>
      </w:r>
    </w:p>
    <w:p>
      <w:pPr>
        <w:spacing w:line="1000" w:lineRule="exact"/>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pPr>
        <w:jc w:val="center"/>
        <w:outlineLvl w:val="0"/>
        <w:rPr>
          <w:rFonts w:hint="eastAsia" w:ascii="宋体" w:hAnsi="宋体" w:eastAsia="宋体" w:cs="宋体"/>
          <w:b/>
          <w:bCs/>
          <w:color w:val="auto"/>
          <w:sz w:val="32"/>
          <w:szCs w:val="32"/>
          <w:highlight w:val="none"/>
        </w:rPr>
      </w:pPr>
    </w:p>
    <w:p>
      <w:pPr>
        <w:tabs>
          <w:tab w:val="center" w:pos="4365"/>
        </w:tabs>
        <w:spacing w:line="48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tabs>
          <w:tab w:val="center" w:pos="4365"/>
        </w:tabs>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目录</w:t>
      </w:r>
    </w:p>
    <w:p>
      <w:pPr>
        <w:pStyle w:val="33"/>
        <w:tabs>
          <w:tab w:val="right" w:leader="dot" w:pos="8393"/>
          <w:tab w:val="clear" w:pos="872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8393"/>
          <w:tab w:val="clear" w:pos="872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8393"/>
          <w:tab w:val="clear" w:pos="872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第三章评标办法及标准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8393"/>
          <w:tab w:val="clear" w:pos="872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"_Toc8117"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第四章采购合同样本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8393"/>
          <w:tab w:val="clear" w:pos="872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"_Toc11005"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第五章招标内容与技术需求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8393"/>
          <w:tab w:val="clear" w:pos="872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"_Toc28523"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第六章商务条款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_Toc28523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8393"/>
          <w:tab w:val="clear" w:pos="872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"_Toc23235"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第七章附件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_Toc23235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spacing w:line="1000" w:lineRule="exact"/>
        <w:jc w:val="center"/>
        <w:rPr>
          <w:rFonts w:hint="eastAsia" w:ascii="宋体" w:hAnsi="宋体" w:eastAsia="宋体" w:cs="宋体"/>
          <w:b/>
          <w:color w:val="auto"/>
          <w:sz w:val="32"/>
          <w:highlight w:val="none"/>
        </w:rPr>
      </w:pPr>
      <w:r>
        <w:rPr>
          <w:rFonts w:hint="eastAsia" w:ascii="宋体" w:hAnsi="宋体" w:eastAsia="宋体" w:cs="宋体"/>
          <w:color w:val="auto"/>
          <w:szCs w:val="32"/>
          <w:highlight w:val="none"/>
        </w:rPr>
        <w:fldChar w:fldCharType="end"/>
      </w:r>
    </w:p>
    <w:p>
      <w:pPr>
        <w:spacing w:line="400" w:lineRule="exact"/>
        <w:jc w:val="center"/>
        <w:rPr>
          <w:rFonts w:hint="eastAsia" w:ascii="宋体" w:hAnsi="宋体" w:eastAsia="宋体" w:cs="宋体"/>
          <w:b/>
          <w:color w:val="auto"/>
          <w:sz w:val="32"/>
          <w:highlight w:val="none"/>
        </w:rPr>
        <w:sectPr>
          <w:headerReference r:id="rId3" w:type="default"/>
          <w:footerReference r:id="rId4" w:type="default"/>
          <w:type w:val="nextColumn"/>
          <w:pgSz w:w="11907" w:h="16840"/>
          <w:pgMar w:top="1440" w:right="1080" w:bottom="1440" w:left="1080" w:header="569" w:footer="700" w:gutter="0"/>
          <w:pgBorders w:offsetFrom="page">
            <w:top w:val="none" w:sz="0" w:space="0"/>
            <w:left w:val="none" w:sz="0" w:space="0"/>
            <w:bottom w:val="none" w:sz="0" w:space="0"/>
            <w:right w:val="none" w:sz="0" w:space="0"/>
          </w:pgBorders>
          <w:pgNumType w:fmt="decimal" w:start="1"/>
          <w:cols w:space="720" w:num="1"/>
          <w:docGrid w:linePitch="285" w:charSpace="0"/>
        </w:sectPr>
      </w:pPr>
    </w:p>
    <w:p>
      <w:pPr>
        <w:spacing w:line="400" w:lineRule="exact"/>
        <w:jc w:val="center"/>
        <w:outlineLvl w:val="0"/>
        <w:rPr>
          <w:rFonts w:hint="eastAsia" w:ascii="宋体" w:hAnsi="宋体" w:eastAsia="宋体" w:cs="宋体"/>
          <w:b/>
          <w:color w:val="auto"/>
          <w:sz w:val="32"/>
          <w:highlight w:val="none"/>
        </w:rPr>
      </w:pPr>
      <w:bookmarkStart w:id="0" w:name="_Toc21800"/>
      <w:r>
        <w:rPr>
          <w:rFonts w:hint="eastAsia" w:ascii="宋体" w:hAnsi="宋体" w:eastAsia="宋体" w:cs="宋体"/>
          <w:b/>
          <w:color w:val="auto"/>
          <w:sz w:val="32"/>
          <w:highlight w:val="none"/>
        </w:rPr>
        <w:t>第一章招标公告</w:t>
      </w:r>
      <w:bookmarkEnd w:id="0"/>
    </w:p>
    <w:p>
      <w:pPr>
        <w:pStyle w:val="43"/>
        <w:spacing w:before="0" w:beforeAutospacing="0" w:after="0" w:afterAutospacing="0" w:line="400" w:lineRule="exact"/>
        <w:rPr>
          <w:rFonts w:hint="eastAsia" w:ascii="宋体" w:hAnsi="宋体" w:eastAsia="宋体" w:cs="宋体"/>
          <w:b/>
          <w:color w:val="auto"/>
          <w:sz w:val="21"/>
          <w:szCs w:val="21"/>
          <w:highlight w:val="none"/>
        </w:rPr>
      </w:pPr>
    </w:p>
    <w:p>
      <w:pPr>
        <w:pStyle w:val="43"/>
        <w:spacing w:before="0" w:beforeAutospacing="0" w:after="0" w:afterAutospacing="0"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eastAsia="zh-CN"/>
        </w:rPr>
        <w:t>慈溪滨海经济开发区灵峰路绿化养护、道路保洁、公厕保洁服务项目</w:t>
      </w:r>
      <w:r>
        <w:rPr>
          <w:rFonts w:hint="eastAsia" w:ascii="宋体" w:hAnsi="宋体" w:eastAsia="宋体" w:cs="宋体"/>
          <w:color w:val="auto"/>
          <w:sz w:val="21"/>
          <w:szCs w:val="21"/>
          <w:highlight w:val="none"/>
        </w:rPr>
        <w:t>的潜在投标人应在政府采购云平台（www.zcygov.cn）获取（下载）招标文件，并于</w:t>
      </w:r>
      <w:r>
        <w:rPr>
          <w:rFonts w:hint="eastAsia" w:cs="宋体"/>
          <w:color w:val="auto"/>
          <w:sz w:val="21"/>
          <w:szCs w:val="21"/>
          <w:highlight w:val="none"/>
          <w:lang w:eastAsia="zh-CN"/>
        </w:rPr>
        <w:t>2024年</w:t>
      </w:r>
      <w:r>
        <w:rPr>
          <w:rFonts w:hint="eastAsia" w:cs="宋体"/>
          <w:color w:val="auto"/>
          <w:sz w:val="21"/>
          <w:szCs w:val="21"/>
          <w:highlight w:val="none"/>
          <w:lang w:val="en-US" w:eastAsia="zh-CN"/>
        </w:rPr>
        <w:t>3</w:t>
      </w:r>
      <w:r>
        <w:rPr>
          <w:rFonts w:hint="eastAsia" w:cs="宋体"/>
          <w:color w:val="auto"/>
          <w:sz w:val="21"/>
          <w:szCs w:val="21"/>
          <w:highlight w:val="none"/>
          <w:lang w:eastAsia="zh-CN"/>
        </w:rPr>
        <w:t>月</w:t>
      </w:r>
      <w:r>
        <w:rPr>
          <w:rFonts w:hint="eastAsia" w:cs="宋体"/>
          <w:color w:val="auto"/>
          <w:sz w:val="21"/>
          <w:szCs w:val="21"/>
          <w:highlight w:val="none"/>
          <w:lang w:val="en-US" w:eastAsia="zh-CN"/>
        </w:rPr>
        <w:t>29</w:t>
      </w:r>
      <w:r>
        <w:rPr>
          <w:rFonts w:hint="eastAsia" w:cs="宋体"/>
          <w:color w:val="auto"/>
          <w:sz w:val="21"/>
          <w:szCs w:val="21"/>
          <w:highlight w:val="none"/>
          <w:lang w:eastAsia="zh-CN"/>
        </w:rPr>
        <w:t>日14：30</w:t>
      </w:r>
      <w:r>
        <w:rPr>
          <w:rFonts w:hint="eastAsia" w:ascii="宋体" w:hAnsi="宋体" w:eastAsia="宋体" w:cs="宋体"/>
          <w:color w:val="auto"/>
          <w:sz w:val="21"/>
          <w:szCs w:val="21"/>
          <w:highlight w:val="none"/>
        </w:rPr>
        <w:t>（北京时间）前递交（上传）投标文件。</w:t>
      </w:r>
    </w:p>
    <w:p>
      <w:pPr>
        <w:pStyle w:val="43"/>
        <w:spacing w:before="0" w:beforeAutospacing="0" w:after="0" w:afterAutospacing="0" w:line="400" w:lineRule="exact"/>
        <w:jc w:val="both"/>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一、项目基本情况</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330282202402000864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"https://pay.zcygov.cn/purchaseplan_front/" \l "/plan/list/detail?id=1000000000008565872&amp;encrypt=36fcf61aaf2e03018d9cf477be41b3bb" \t "https://www.zcygov.cn/project-center/purchasePlans/_blank"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慈溪滨海经济开发区灵峰路绿化养护、道路保洁、公厕保洁服务项目</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1500000</w:t>
      </w:r>
      <w:r>
        <w:rPr>
          <w:rFonts w:hint="eastAsia" w:cs="宋体"/>
          <w:color w:val="auto"/>
          <w:sz w:val="21"/>
          <w:szCs w:val="21"/>
          <w:highlight w:val="none"/>
          <w:lang w:eastAsia="zh-CN"/>
        </w:rPr>
        <w:tab/>
      </w:r>
      <w:r>
        <w:rPr>
          <w:rFonts w:hint="eastAsia" w:cs="宋体"/>
          <w:color w:val="auto"/>
          <w:sz w:val="21"/>
          <w:szCs w:val="21"/>
          <w:highlight w:val="none"/>
          <w:lang w:eastAsia="zh-CN"/>
        </w:rPr>
        <w:tab/>
      </w:r>
      <w:r>
        <w:rPr>
          <w:rFonts w:hint="eastAsia" w:cs="宋体"/>
          <w:color w:val="auto"/>
          <w:sz w:val="21"/>
          <w:szCs w:val="21"/>
          <w:highlight w:val="none"/>
          <w:lang w:eastAsia="zh-CN"/>
        </w:rPr>
        <w:tab/>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最高限价（元）：</w:t>
      </w:r>
      <w:r>
        <w:rPr>
          <w:rFonts w:hint="eastAsia" w:cs="宋体"/>
          <w:color w:val="auto"/>
          <w:sz w:val="21"/>
          <w:szCs w:val="21"/>
          <w:highlight w:val="none"/>
          <w:lang w:eastAsia="zh-CN"/>
        </w:rPr>
        <w:t>1500000</w:t>
      </w:r>
      <w:r>
        <w:rPr>
          <w:rFonts w:hint="eastAsia" w:cs="宋体"/>
          <w:color w:val="auto"/>
          <w:sz w:val="21"/>
          <w:szCs w:val="21"/>
          <w:highlight w:val="none"/>
          <w:lang w:eastAsia="zh-CN"/>
        </w:rPr>
        <w:tab/>
      </w:r>
      <w:r>
        <w:rPr>
          <w:rFonts w:hint="eastAsia" w:cs="宋体"/>
          <w:color w:val="auto"/>
          <w:sz w:val="21"/>
          <w:szCs w:val="21"/>
          <w:highlight w:val="none"/>
          <w:lang w:eastAsia="zh-CN"/>
        </w:rPr>
        <w:tab/>
      </w:r>
      <w:r>
        <w:rPr>
          <w:rFonts w:hint="eastAsia" w:cs="宋体"/>
          <w:color w:val="auto"/>
          <w:sz w:val="21"/>
          <w:szCs w:val="21"/>
          <w:highlight w:val="none"/>
          <w:lang w:eastAsia="zh-CN"/>
        </w:rPr>
        <w:tab/>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cs="宋体"/>
          <w:color w:val="auto"/>
          <w:sz w:val="21"/>
          <w:szCs w:val="21"/>
          <w:highlight w:val="none"/>
          <w:lang w:eastAsia="zh-CN"/>
        </w:rPr>
        <w:t>慈溪滨海经济开发区灵峰路绿化养护、道路保洁、公厕保洁服务项目</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数量：1项</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cs="宋体"/>
          <w:color w:val="auto"/>
          <w:sz w:val="21"/>
          <w:szCs w:val="21"/>
          <w:highlight w:val="none"/>
          <w:lang w:eastAsia="zh-CN"/>
        </w:rPr>
        <w:t>慈溪滨海经济开发区灵峰路绿化养护、道路保洁、公厕保洁服务等</w:t>
      </w:r>
      <w:r>
        <w:rPr>
          <w:rFonts w:hint="eastAsia" w:ascii="宋体" w:hAnsi="宋体" w:eastAsia="宋体" w:cs="宋体"/>
          <w:color w:val="auto"/>
          <w:sz w:val="21"/>
          <w:szCs w:val="21"/>
          <w:highlight w:val="none"/>
        </w:rPr>
        <w:t>。</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合同履约期限：</w:t>
      </w:r>
      <w:r>
        <w:rPr>
          <w:rFonts w:hint="eastAsia" w:cs="宋体"/>
          <w:color w:val="auto"/>
          <w:sz w:val="21"/>
          <w:szCs w:val="21"/>
          <w:highlight w:val="none"/>
          <w:lang w:eastAsia="zh-CN"/>
        </w:rPr>
        <w:t>服务期限三年，合同一年一签。第一年度合同期满后，经采购人考核合格，可续签下一年度合同，最多可续签二次。</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pStyle w:val="43"/>
        <w:spacing w:before="0" w:beforeAutospacing="0" w:after="0" w:afterAutospacing="0" w:line="400" w:lineRule="exact"/>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二、申请人的资格要求：</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3"/>
        <w:spacing w:before="0" w:beforeLines="0" w:beforeAutospacing="0" w:after="0" w:afterLines="0" w:afterAutospacing="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w:t>
      </w:r>
      <w:r>
        <w:rPr>
          <w:rFonts w:hint="eastAsia" w:ascii="宋体" w:hAnsi="宋体" w:eastAsia="宋体" w:cs="宋体"/>
          <w:color w:val="auto"/>
          <w:sz w:val="21"/>
          <w:szCs w:val="21"/>
          <w:lang w:val="en-US" w:eastAsia="zh-CN"/>
        </w:rPr>
        <w:t>本项目为专门面向中小企业采购的项目（监狱企业、残疾人福利性单位视同小型、微型企业）。</w:t>
      </w:r>
    </w:p>
    <w:p>
      <w:pPr>
        <w:pStyle w:val="43"/>
        <w:spacing w:before="0" w:beforeLines="0" w:beforeAutospacing="0" w:after="0" w:afterLines="0" w:afterAutospacing="0"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3.本项目的特定资格要求：无</w:t>
      </w:r>
      <w:r>
        <w:rPr>
          <w:rFonts w:hint="eastAsia" w:ascii="宋体" w:hAnsi="宋体" w:eastAsia="宋体" w:cs="宋体"/>
          <w:color w:val="auto"/>
          <w:sz w:val="21"/>
          <w:szCs w:val="21"/>
          <w:lang w:eastAsia="zh-CN"/>
        </w:rPr>
        <w:t>。</w:t>
      </w:r>
    </w:p>
    <w:p>
      <w:pPr>
        <w:pStyle w:val="43"/>
        <w:spacing w:before="0" w:beforeAutospacing="0" w:after="0" w:afterAutospacing="0" w:line="400" w:lineRule="exact"/>
        <w:jc w:val="both"/>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三、获取招标文件</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cs="宋体"/>
          <w:color w:val="auto"/>
          <w:sz w:val="21"/>
          <w:szCs w:val="21"/>
          <w:highlight w:val="none"/>
          <w:lang w:val="en-US" w:eastAsia="zh-CN"/>
        </w:rPr>
        <w:t>公告发出之日起</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eastAsia="zh-CN"/>
        </w:rPr>
        <w:t>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cs="宋体"/>
          <w:color w:val="auto"/>
          <w:sz w:val="21"/>
          <w:szCs w:val="21"/>
          <w:highlight w:val="none"/>
          <w:lang w:val="en-US" w:eastAsia="zh-CN"/>
        </w:rPr>
        <w:t>3月28</w:t>
      </w:r>
      <w:bookmarkStart w:id="72" w:name="_GoBack"/>
      <w:bookmarkEnd w:id="72"/>
      <w:r>
        <w:rPr>
          <w:rFonts w:hint="eastAsia" w:cs="宋体"/>
          <w:color w:val="auto"/>
          <w:sz w:val="21"/>
          <w:szCs w:val="21"/>
          <w:highlight w:val="none"/>
          <w:lang w:val="en-US" w:eastAsia="zh-CN"/>
        </w:rPr>
        <w:t>日</w:t>
      </w:r>
      <w:r>
        <w:rPr>
          <w:rFonts w:hint="eastAsia" w:ascii="宋体" w:hAnsi="宋体" w:eastAsia="宋体" w:cs="宋体"/>
          <w:color w:val="auto"/>
          <w:sz w:val="21"/>
          <w:szCs w:val="21"/>
          <w:highlight w:val="none"/>
        </w:rPr>
        <w:t>，每天上午00：00至12：00，下午12：00至23：59（北京时间，线上获取法定节假日均可）</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地点（网址）：政府采购云平台（www.zcygov.cn）</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方式：（1）供应商登录政府采购云平台（www.zcygov.cn）的注册账号后，进入政采云系统“项目采购”模块“获取采购文件”菜单，进行网上获取招标文件。如有疑问请及时咨询网站客服，咨询电话：</w:t>
      </w:r>
      <w:r>
        <w:rPr>
          <w:rFonts w:hint="eastAsia" w:cs="宋体"/>
          <w:color w:val="auto"/>
          <w:sz w:val="21"/>
          <w:szCs w:val="21"/>
          <w:highlight w:val="none"/>
          <w:lang w:eastAsia="zh-CN"/>
        </w:rPr>
        <w:t>95763</w:t>
      </w:r>
      <w:r>
        <w:rPr>
          <w:rFonts w:hint="eastAsia" w:ascii="宋体" w:hAnsi="宋体" w:eastAsia="宋体" w:cs="宋体"/>
          <w:color w:val="auto"/>
          <w:sz w:val="21"/>
          <w:szCs w:val="21"/>
          <w:highlight w:val="none"/>
        </w:rPr>
        <w:t>。（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w:t>
      </w:r>
      <w:r>
        <w:rPr>
          <w:rFonts w:hint="eastAsia" w:cs="宋体"/>
          <w:color w:val="auto"/>
          <w:sz w:val="21"/>
          <w:szCs w:val="21"/>
          <w:highlight w:val="none"/>
          <w:lang w:eastAsia="zh-CN"/>
        </w:rPr>
        <w:t>95763</w:t>
      </w:r>
      <w:r>
        <w:rPr>
          <w:rFonts w:hint="eastAsia" w:ascii="宋体" w:hAnsi="宋体" w:eastAsia="宋体" w:cs="宋体"/>
          <w:color w:val="auto"/>
          <w:sz w:val="21"/>
          <w:szCs w:val="21"/>
          <w:highlight w:val="none"/>
        </w:rPr>
        <w:t>，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w:t>
      </w:r>
    </w:p>
    <w:p>
      <w:pPr>
        <w:pStyle w:val="43"/>
        <w:spacing w:before="0" w:beforeAutospacing="0" w:after="0" w:afterAutospacing="0" w:line="400" w:lineRule="exact"/>
        <w:jc w:val="both"/>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四、提交投标文件截止时间、开标时间和地点</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cs="宋体"/>
          <w:color w:val="auto"/>
          <w:sz w:val="21"/>
          <w:szCs w:val="21"/>
          <w:highlight w:val="none"/>
          <w:lang w:eastAsia="zh-CN"/>
        </w:rPr>
        <w:t>2024年</w:t>
      </w:r>
      <w:r>
        <w:rPr>
          <w:rFonts w:hint="eastAsia" w:cs="宋体"/>
          <w:color w:val="auto"/>
          <w:sz w:val="21"/>
          <w:szCs w:val="21"/>
          <w:highlight w:val="none"/>
          <w:lang w:val="en-US" w:eastAsia="zh-CN"/>
        </w:rPr>
        <w:t>3</w:t>
      </w:r>
      <w:r>
        <w:rPr>
          <w:rFonts w:hint="eastAsia" w:cs="宋体"/>
          <w:color w:val="auto"/>
          <w:sz w:val="21"/>
          <w:szCs w:val="21"/>
          <w:highlight w:val="none"/>
          <w:lang w:eastAsia="zh-CN"/>
        </w:rPr>
        <w:t>月</w:t>
      </w:r>
      <w:r>
        <w:rPr>
          <w:rFonts w:hint="eastAsia" w:cs="宋体"/>
          <w:color w:val="auto"/>
          <w:sz w:val="21"/>
          <w:szCs w:val="21"/>
          <w:highlight w:val="none"/>
          <w:lang w:val="en-US" w:eastAsia="zh-CN"/>
        </w:rPr>
        <w:t>29</w:t>
      </w:r>
      <w:r>
        <w:rPr>
          <w:rFonts w:hint="eastAsia" w:cs="宋体"/>
          <w:color w:val="auto"/>
          <w:sz w:val="21"/>
          <w:szCs w:val="21"/>
          <w:highlight w:val="none"/>
          <w:lang w:eastAsia="zh-CN"/>
        </w:rPr>
        <w:t>日14：30</w:t>
      </w:r>
      <w:r>
        <w:rPr>
          <w:rFonts w:hint="eastAsia" w:ascii="宋体" w:hAnsi="宋体" w:eastAsia="宋体" w:cs="宋体"/>
          <w:color w:val="auto"/>
          <w:sz w:val="21"/>
          <w:szCs w:val="21"/>
          <w:highlight w:val="none"/>
        </w:rPr>
        <w:t>（北京时间）</w:t>
      </w:r>
    </w:p>
    <w:p>
      <w:pPr>
        <w:pStyle w:val="43"/>
        <w:spacing w:before="0" w:beforeAutospacing="0" w:after="0" w:afterAutospacing="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投标地点（网址）：政采云平台开标大厅</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cs="宋体"/>
          <w:color w:val="auto"/>
          <w:sz w:val="21"/>
          <w:szCs w:val="21"/>
          <w:highlight w:val="none"/>
          <w:lang w:eastAsia="zh-CN"/>
        </w:rPr>
        <w:t>2024年</w:t>
      </w:r>
      <w:r>
        <w:rPr>
          <w:rFonts w:hint="eastAsia" w:cs="宋体"/>
          <w:color w:val="auto"/>
          <w:sz w:val="21"/>
          <w:szCs w:val="21"/>
          <w:highlight w:val="none"/>
          <w:lang w:val="en-US" w:eastAsia="zh-CN"/>
        </w:rPr>
        <w:t>3</w:t>
      </w:r>
      <w:r>
        <w:rPr>
          <w:rFonts w:hint="eastAsia" w:cs="宋体"/>
          <w:color w:val="auto"/>
          <w:sz w:val="21"/>
          <w:szCs w:val="21"/>
          <w:highlight w:val="none"/>
          <w:lang w:eastAsia="zh-CN"/>
        </w:rPr>
        <w:t>月</w:t>
      </w:r>
      <w:r>
        <w:rPr>
          <w:rFonts w:hint="eastAsia" w:cs="宋体"/>
          <w:color w:val="auto"/>
          <w:sz w:val="21"/>
          <w:szCs w:val="21"/>
          <w:highlight w:val="none"/>
          <w:lang w:val="en-US" w:eastAsia="zh-CN"/>
        </w:rPr>
        <w:t>29</w:t>
      </w:r>
      <w:r>
        <w:rPr>
          <w:rFonts w:hint="eastAsia" w:cs="宋体"/>
          <w:color w:val="auto"/>
          <w:sz w:val="21"/>
          <w:szCs w:val="21"/>
          <w:highlight w:val="none"/>
          <w:lang w:eastAsia="zh-CN"/>
        </w:rPr>
        <w:t>日14：30</w:t>
      </w:r>
      <w:r>
        <w:rPr>
          <w:rFonts w:hint="eastAsia" w:ascii="宋体" w:hAnsi="宋体" w:eastAsia="宋体" w:cs="宋体"/>
          <w:color w:val="auto"/>
          <w:sz w:val="21"/>
          <w:szCs w:val="21"/>
          <w:highlight w:val="none"/>
        </w:rPr>
        <w:t>（北京时间）</w:t>
      </w:r>
    </w:p>
    <w:p>
      <w:pPr>
        <w:pStyle w:val="43"/>
        <w:spacing w:before="0" w:beforeAutospacing="0" w:after="0" w:afterAutospacing="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开标地点（网址）：政采云平台开标大厅</w:t>
      </w:r>
    </w:p>
    <w:p>
      <w:pPr>
        <w:pStyle w:val="43"/>
        <w:spacing w:before="0" w:beforeAutospacing="0" w:after="0" w:afterAutospacing="0" w:line="400" w:lineRule="exact"/>
        <w:jc w:val="both"/>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五、公告期限</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pStyle w:val="43"/>
        <w:spacing w:before="0" w:beforeAutospacing="0" w:after="0" w:afterAutospacing="0" w:line="400" w:lineRule="exact"/>
        <w:jc w:val="both"/>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六、其他补充事宜</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3"/>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pPr>
        <w:pStyle w:val="43"/>
        <w:spacing w:before="0" w:beforeAutospacing="0" w:after="0" w:afterAutospacing="0" w:line="400" w:lineRule="exact"/>
        <w:jc w:val="both"/>
        <w:rPr>
          <w:rFonts w:hint="eastAsia" w:ascii="宋体" w:hAnsi="宋体" w:eastAsia="宋体" w:cs="宋体"/>
          <w:color w:val="auto"/>
          <w:sz w:val="21"/>
          <w:szCs w:val="21"/>
          <w:highlight w:val="none"/>
        </w:rPr>
      </w:pPr>
      <w:r>
        <w:rPr>
          <w:rStyle w:val="51"/>
          <w:rFonts w:hint="eastAsia" w:ascii="宋体" w:hAnsi="宋体" w:eastAsia="宋体" w:cs="宋体"/>
          <w:color w:val="auto"/>
          <w:sz w:val="21"/>
          <w:szCs w:val="21"/>
          <w:highlight w:val="none"/>
        </w:rPr>
        <w:t>七、对本次采购提出询问、质疑、投诉，请按以下方式联系</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慈溪滨海经济开发区管理委员会</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慈溪滨海经济开发区</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w:t>
      </w:r>
      <w:r>
        <w:rPr>
          <w:rFonts w:hint="eastAsia" w:ascii="宋体" w:hAnsi="宋体" w:cs="宋体"/>
          <w:color w:val="auto"/>
          <w:kern w:val="0"/>
          <w:szCs w:val="21"/>
          <w:highlight w:val="none"/>
          <w:lang w:eastAsia="zh-CN"/>
        </w:rPr>
        <w:t>洪主任</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项目联系方式（询问）：</w:t>
      </w:r>
      <w:r>
        <w:rPr>
          <w:rFonts w:hint="eastAsia" w:ascii="宋体" w:hAnsi="宋体" w:cs="宋体"/>
          <w:color w:val="auto"/>
          <w:kern w:val="0"/>
          <w:szCs w:val="21"/>
          <w:highlight w:val="none"/>
          <w:lang w:eastAsia="zh-CN"/>
        </w:rPr>
        <w:t>13706740322</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cs="宋体"/>
          <w:color w:val="auto"/>
          <w:kern w:val="0"/>
          <w:szCs w:val="21"/>
          <w:highlight w:val="none"/>
          <w:lang w:eastAsia="zh-CN"/>
        </w:rPr>
        <w:t>袁工</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w:t>
      </w:r>
      <w:r>
        <w:rPr>
          <w:rFonts w:hint="eastAsia" w:ascii="宋体" w:hAnsi="宋体" w:cs="宋体"/>
          <w:color w:val="auto"/>
          <w:kern w:val="0"/>
          <w:szCs w:val="21"/>
          <w:highlight w:val="none"/>
          <w:lang w:eastAsia="zh-CN"/>
        </w:rPr>
        <w:t>0574-63716091</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宁波广兴工程管理有限公司</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cs="宋体"/>
          <w:color w:val="auto"/>
          <w:kern w:val="0"/>
          <w:szCs w:val="21"/>
          <w:highlight w:val="none"/>
          <w:lang w:eastAsia="zh-CN"/>
        </w:rPr>
        <w:t>叶成成</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联系电话、传真：0574-63112628</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地址：慈溪市古塘街道商检路148号2楼</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质疑联系人：陈璐璐</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质疑联系方式：0574-63112628</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3.同级政府采购监督管理部门</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名称：慈溪市财政局</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地址：慈溪市南二环东路1158号</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联系人：赵先生、王女士</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监督投诉电话：0574-63032032、0574-63837170</w:t>
      </w:r>
    </w:p>
    <w:p>
      <w:pPr>
        <w:pStyle w:val="3"/>
        <w:rPr>
          <w:rFonts w:hint="eastAsia"/>
          <w:color w:val="auto"/>
        </w:rPr>
      </w:pP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特别说明：政采云公司如对电子化开标及评审程序有调整的，按调整后的程序操作。</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pPr>
        <w:widowControl/>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CA问题联系电话（人工）：汇信CA400-888-4636；天谷CA400-087-8198。</w:t>
      </w:r>
    </w:p>
    <w:p>
      <w:pPr>
        <w:spacing w:line="400" w:lineRule="exact"/>
        <w:ind w:firstLine="420" w:firstLineChars="200"/>
        <w:outlineLvl w:val="0"/>
        <w:rPr>
          <w:rFonts w:hint="eastAsia" w:ascii="宋体" w:hAnsi="宋体" w:eastAsia="宋体" w:cs="宋体"/>
          <w:color w:val="auto"/>
          <w:szCs w:val="21"/>
          <w:highlight w:val="none"/>
        </w:rPr>
      </w:pPr>
    </w:p>
    <w:p>
      <w:pPr>
        <w:spacing w:line="400" w:lineRule="exact"/>
        <w:ind w:firstLine="420" w:firstLineChars="200"/>
        <w:outlineLvl w:val="0"/>
        <w:rPr>
          <w:rFonts w:hint="eastAsia" w:ascii="宋体" w:hAnsi="宋体" w:eastAsia="宋体" w:cs="宋体"/>
          <w:color w:val="auto"/>
          <w:szCs w:val="21"/>
          <w:highlight w:val="none"/>
        </w:rPr>
      </w:pPr>
    </w:p>
    <w:p>
      <w:pPr>
        <w:spacing w:line="400" w:lineRule="exact"/>
        <w:ind w:firstLine="420" w:firstLineChars="200"/>
        <w:outlineLvl w:val="0"/>
        <w:rPr>
          <w:rFonts w:hint="eastAsia" w:ascii="宋体" w:hAnsi="宋体" w:eastAsia="宋体" w:cs="宋体"/>
          <w:color w:val="auto"/>
          <w:szCs w:val="21"/>
          <w:highlight w:val="none"/>
        </w:rPr>
      </w:pPr>
    </w:p>
    <w:p>
      <w:pPr>
        <w:spacing w:line="400" w:lineRule="exact"/>
        <w:ind w:firstLine="420" w:firstLineChars="200"/>
        <w:jc w:val="center"/>
        <w:outlineLvl w:val="0"/>
        <w:rPr>
          <w:rFonts w:hint="eastAsia" w:ascii="宋体" w:hAnsi="宋体" w:eastAsia="宋体" w:cs="宋体"/>
          <w:b/>
          <w:color w:val="auto"/>
          <w:sz w:val="32"/>
          <w:highlight w:val="none"/>
        </w:rPr>
      </w:pPr>
      <w:r>
        <w:rPr>
          <w:rFonts w:hint="eastAsia" w:ascii="宋体" w:hAnsi="宋体" w:eastAsia="宋体" w:cs="宋体"/>
          <w:color w:val="auto"/>
          <w:szCs w:val="21"/>
          <w:highlight w:val="none"/>
        </w:rPr>
        <w:br w:type="page"/>
      </w:r>
      <w:bookmarkStart w:id="1" w:name="_Toc18831"/>
      <w:r>
        <w:rPr>
          <w:rFonts w:hint="eastAsia" w:ascii="宋体" w:hAnsi="宋体" w:eastAsia="宋体" w:cs="宋体"/>
          <w:b/>
          <w:color w:val="auto"/>
          <w:sz w:val="32"/>
          <w:highlight w:val="none"/>
        </w:rPr>
        <w:t>第二章投标须知</w:t>
      </w:r>
      <w:bookmarkEnd w:id="1"/>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本招标文件仅适用于本采购项目所叙述的货物和服务的招标、评标、定标、验收、合同履约、付款等（法律、法规另有规定的，从其规定）。</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1、“采购人”系指</w:t>
      </w:r>
      <w:r>
        <w:rPr>
          <w:rFonts w:hint="eastAsia" w:ascii="宋体" w:hAnsi="宋体" w:cs="宋体"/>
          <w:color w:val="auto"/>
          <w:szCs w:val="21"/>
          <w:highlight w:val="none"/>
          <w:lang w:eastAsia="zh-CN"/>
        </w:rPr>
        <w:t>慈溪滨海经济开发区管理委员会</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2、“代理机构”系指</w:t>
      </w:r>
      <w:r>
        <w:rPr>
          <w:rFonts w:hint="eastAsia" w:ascii="宋体" w:hAnsi="宋体" w:cs="宋体"/>
          <w:color w:val="auto"/>
          <w:szCs w:val="21"/>
          <w:highlight w:val="none"/>
          <w:lang w:eastAsia="zh-CN"/>
        </w:rPr>
        <w:t>宁波广兴工程管理有限公司</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3、“供应商（投标人）”系指向采购人提交投标文件的供应商。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4、“服务”系指招标文件规定供应商须承担的</w:t>
      </w:r>
      <w:r>
        <w:rPr>
          <w:rFonts w:hint="eastAsia" w:ascii="宋体" w:hAnsi="宋体" w:eastAsia="宋体" w:cs="宋体"/>
          <w:color w:val="auto"/>
          <w:szCs w:val="21"/>
          <w:highlight w:val="none"/>
          <w:lang w:eastAsia="zh-CN"/>
        </w:rPr>
        <w:t>慈溪滨海经济开发区灵峰路绿化养护、道路保洁、公厕保洁服务项目</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5、“同级政府采购监管部门”系指</w:t>
      </w:r>
      <w:r>
        <w:rPr>
          <w:rFonts w:hint="eastAsia" w:ascii="宋体" w:hAnsi="宋体" w:eastAsia="宋体" w:cs="宋体"/>
          <w:color w:val="auto"/>
          <w:kern w:val="10"/>
          <w:szCs w:val="21"/>
          <w:highlight w:val="none"/>
          <w:lang w:val="zh-CN"/>
        </w:rPr>
        <w:t>慈溪市财政局。</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6、“▲”系指实质性响应条款。</w:t>
      </w:r>
    </w:p>
    <w:p>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三、供应商的资格要求</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四、投标费用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无论投标过程和结果如何，供应商自行承担与投标有关的全部费用。</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五、投标报价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以人民币为结算货币，含完成本项目服务有关的人工费、设备费、差旅费、税金、合理利润以及政策性文件规定及合同包含的所有风险、责任、其他运营成本等所有费用，即采购人不再另行支付其他任何形式的费用。投标报价为最终报价，除非因特殊原因并经双方协商同意，供应商不得再要求追加任何费用。同时，除非合同条款中另有规定，否则，供应商所报价格在合同实施期间不因市场变化和政策因素而变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2、投标供应商应按招标文件要求认真填写《开标一览表》。开标时，投标文件中开标一览表内容与投标报价明细表内容不一致的，以开标一览表为准。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3、投标文件的大写金额和小写金额不一致的，以大写金额为准；总价金额与按单价汇总金额不一致的，以单价金额计算结果为准；单价金额小数点有明显错位的，应以总价为准，并修改单价。</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六、投标有效期</w:t>
      </w:r>
    </w:p>
    <w:p>
      <w:pPr>
        <w:spacing w:line="400" w:lineRule="exact"/>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▲1、投标文件从开标之日起，投标有效期为90个日历日。投标有效期不能小于招标文件的要求。</w:t>
      </w:r>
    </w:p>
    <w:p>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2、特殊情况下，采购人可与供应商协商延缓投标文件的有效期，这种要求和答复均以书面形式进行。</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3、供应商可拒绝接受延期要求。同意延长有效期的供应商不能修改投标文件。</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七、投标文件的形式和效力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1、投标文件分为电子投标文件以及备份投标文件，备份投标文件为以</w:t>
      </w:r>
      <w:r>
        <w:rPr>
          <w:rFonts w:hint="eastAsia" w:ascii="宋体" w:hAnsi="宋体" w:eastAsia="宋体" w:cs="宋体"/>
          <w:color w:val="auto"/>
          <w:kern w:val="0"/>
          <w:szCs w:val="21"/>
          <w:highlight w:val="none"/>
        </w:rPr>
        <w:t>U盘或光盘存储的电子</w:t>
      </w:r>
      <w:r>
        <w:rPr>
          <w:rFonts w:hint="eastAsia" w:ascii="宋体" w:hAnsi="宋体" w:eastAsia="宋体" w:cs="宋体"/>
          <w:color w:val="auto"/>
          <w:szCs w:val="21"/>
          <w:highlight w:val="none"/>
        </w:rPr>
        <w:t>备份投标文件。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2、电子投标文件，按“项目采购-电子招投标操作指南”及本招标文件要求制作，并加密。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w:t>
      </w:r>
      <w:r>
        <w:rPr>
          <w:rFonts w:hint="eastAsia" w:ascii="宋体" w:hAnsi="宋体" w:eastAsia="宋体" w:cs="宋体"/>
          <w:color w:val="auto"/>
          <w:kern w:val="0"/>
          <w:szCs w:val="21"/>
          <w:highlight w:val="none"/>
        </w:rPr>
        <w:t>U盘或光盘存储的电子</w:t>
      </w:r>
      <w:r>
        <w:rPr>
          <w:rFonts w:hint="eastAsia" w:ascii="宋体" w:hAnsi="宋体" w:eastAsia="宋体" w:cs="宋体"/>
          <w:color w:val="auto"/>
          <w:szCs w:val="21"/>
          <w:highlight w:val="none"/>
        </w:rPr>
        <w:t>备份投标文件，按“项目采购-电子招投标操作指南”制作的电子备份文件。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4、投标文件填写字迹必须清楚、工整，对不同文字文本投标文件的解释发生异议的，以中文文本为准。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5、投标文件的效力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投标文件的启用，按先后顺位分别为电子投标文件、以</w:t>
      </w:r>
      <w:r>
        <w:rPr>
          <w:rFonts w:hint="eastAsia" w:ascii="宋体" w:hAnsi="宋体" w:eastAsia="宋体" w:cs="宋体"/>
          <w:color w:val="auto"/>
          <w:kern w:val="0"/>
          <w:szCs w:val="21"/>
          <w:highlight w:val="none"/>
        </w:rPr>
        <w:t>U盘或光盘存储的电子</w:t>
      </w:r>
      <w:r>
        <w:rPr>
          <w:rFonts w:hint="eastAsia" w:ascii="宋体" w:hAnsi="宋体" w:eastAsia="宋体" w:cs="宋体"/>
          <w:color w:val="auto"/>
          <w:szCs w:val="21"/>
          <w:highlight w:val="none"/>
        </w:rPr>
        <w:t>备份投标文件。在下一顺位的投标文件启用时，前一顺位的投标文件自动失效。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八、投标文件的组成、份数、制作</w:t>
      </w:r>
      <w:r>
        <w:rPr>
          <w:rFonts w:hint="eastAsia" w:ascii="宋体" w:hAnsi="宋体" w:eastAsia="宋体" w:cs="宋体"/>
          <w:b/>
          <w:color w:val="auto"/>
          <w:szCs w:val="21"/>
          <w:highlight w:val="none"/>
        </w:rPr>
        <w:t>（投标文件中电子公章采用CA签章）</w:t>
      </w:r>
    </w:p>
    <w:p>
      <w:pPr>
        <w:snapToGrid w:val="0"/>
        <w:spacing w:beforeLines="0" w:afterLines="0" w:line="400" w:lineRule="exact"/>
        <w:ind w:firstLine="411" w:firstLineChars="196"/>
        <w:rPr>
          <w:rFonts w:hint="eastAsia" w:ascii="宋体" w:hAnsi="宋体" w:eastAsia="宋体" w:cs="宋体"/>
          <w:color w:val="auto"/>
          <w:sz w:val="21"/>
          <w:szCs w:val="21"/>
        </w:rPr>
      </w:pPr>
      <w:bookmarkStart w:id="2" w:name="_Hlk23150950"/>
      <w:bookmarkStart w:id="3" w:name="_Hlk39154056"/>
      <w:r>
        <w:rPr>
          <w:rFonts w:hint="eastAsia" w:ascii="宋体" w:hAnsi="宋体" w:eastAsia="宋体" w:cs="宋体"/>
          <w:color w:val="auto"/>
          <w:sz w:val="21"/>
          <w:szCs w:val="21"/>
        </w:rPr>
        <w:t>1、投标文件的组成：</w:t>
      </w:r>
    </w:p>
    <w:p>
      <w:pPr>
        <w:snapToGrid w:val="0"/>
        <w:spacing w:beforeLines="0" w:afterLines="0" w:line="400" w:lineRule="exact"/>
        <w:ind w:firstLine="413" w:firstLineChars="196"/>
        <w:rPr>
          <w:rFonts w:hint="eastAsia" w:ascii="宋体" w:hAnsi="宋体" w:eastAsia="宋体" w:cs="宋体"/>
          <w:b/>
          <w:color w:val="auto"/>
          <w:sz w:val="21"/>
          <w:szCs w:val="21"/>
        </w:rPr>
      </w:pPr>
      <w:bookmarkStart w:id="4" w:name="_Hlk23147633"/>
      <w:r>
        <w:rPr>
          <w:rFonts w:hint="eastAsia" w:ascii="宋体" w:hAnsi="宋体" w:eastAsia="宋体" w:cs="宋体"/>
          <w:b/>
          <w:color w:val="auto"/>
          <w:sz w:val="21"/>
          <w:szCs w:val="21"/>
        </w:rPr>
        <w:t>A、第一册：资格文件</w:t>
      </w:r>
    </w:p>
    <w:p>
      <w:pPr>
        <w:spacing w:beforeLines="0" w:afterLines="0" w:line="400" w:lineRule="exact"/>
        <w:ind w:firstLine="420" w:firstLineChars="200"/>
        <w:rPr>
          <w:rFonts w:hint="eastAsia" w:ascii="宋体" w:hAnsi="宋体" w:eastAsia="宋体" w:cs="宋体"/>
          <w:color w:val="auto"/>
          <w:sz w:val="21"/>
          <w:szCs w:val="21"/>
        </w:rPr>
      </w:pPr>
      <w:bookmarkStart w:id="5" w:name="_Hlk4309479"/>
      <w:r>
        <w:rPr>
          <w:rFonts w:hint="eastAsia" w:ascii="宋体" w:hAnsi="宋体" w:eastAsia="宋体" w:cs="宋体"/>
          <w:color w:val="auto"/>
          <w:sz w:val="21"/>
          <w:szCs w:val="21"/>
        </w:rPr>
        <w:t>A1、关于资格的承诺函；</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A2、营业执照（或事业法人登记证或其他登记证明材料）复印件加盖供应商公章（供应商如果有名称变更的，应提供由行政主管部门出具的变更证明文件复印件加盖供应商公章）；</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A3.中小企业声明函（格式见附件）；</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A4.残疾人福利性单位的：提供残疾人福利性单位声明函（如有需提供）（格式见附件）；</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A5.监狱企业（监狱和戒毒企业）提供自己企业的产品（服务）的：提供由省级以上监狱管理局、戒毒管理局（含新疆生产建设兵团）出具的属于监狱企业的证明文件扫描件（如有需提供）。</w:t>
      </w:r>
    </w:p>
    <w:p>
      <w:pPr>
        <w:spacing w:beforeLines="0" w:afterLines="0" w:line="40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B、第二册：商务和技术文件</w:t>
      </w:r>
    </w:p>
    <w:bookmarkEnd w:id="5"/>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B1、投标书；</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B2、法定代表人身份证明；</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B3、法定代表人授权书（投标文件由授权代表签字的须提供）；</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B4、供应商一般情况表；</w:t>
      </w:r>
    </w:p>
    <w:p>
      <w:pPr>
        <w:spacing w:beforeLines="0" w:afterLines="0" w:line="400" w:lineRule="exact"/>
        <w:ind w:firstLine="420" w:firstLineChars="200"/>
        <w:rPr>
          <w:rFonts w:hint="eastAsia" w:ascii="宋体" w:hAnsi="宋体" w:eastAsia="宋体" w:cs="宋体"/>
          <w:color w:val="auto"/>
          <w:sz w:val="21"/>
          <w:szCs w:val="21"/>
        </w:rPr>
      </w:pPr>
      <w:bookmarkStart w:id="6" w:name="_Hlk37403535"/>
      <w:r>
        <w:rPr>
          <w:rFonts w:hint="eastAsia" w:ascii="宋体" w:hAnsi="宋体" w:eastAsia="宋体" w:cs="宋体"/>
          <w:color w:val="auto"/>
          <w:sz w:val="21"/>
          <w:szCs w:val="21"/>
        </w:rPr>
        <w:t>B5、商务条款响应表；</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B6、合同条款响应表；</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B7、技术条款响应表；</w:t>
      </w:r>
    </w:p>
    <w:bookmarkEnd w:id="6"/>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、第三章“评标办法及标准”中要求提供的资料（如有需提供）；</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、供应商认为需要的其他资料（如有需提供）。</w:t>
      </w:r>
    </w:p>
    <w:p>
      <w:pPr>
        <w:spacing w:beforeLines="0" w:afterLines="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▲“商务和技术文件”中不得出现涉及投标价格的内容，否则作无效标处理。</w:t>
      </w:r>
    </w:p>
    <w:bookmarkEnd w:id="4"/>
    <w:p>
      <w:pPr>
        <w:spacing w:beforeLines="0" w:afterLines="0" w:line="40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C、第三册：报价文件</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C1、开标一览表；</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分项报价表；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、供应商认为需要的其他资料（如有需提供）。</w:t>
      </w:r>
    </w:p>
    <w:bookmarkEnd w:id="2"/>
    <w:bookmarkEnd w:id="3"/>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2、投标文件的份数：</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本项目实行网上投标，供应商应准备以下投标文件：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上传到政府采购云平台的电子投标文件（含</w:t>
      </w:r>
      <w:r>
        <w:rPr>
          <w:rFonts w:hint="eastAsia" w:ascii="宋体" w:hAnsi="宋体" w:eastAsia="宋体" w:cs="宋体"/>
          <w:color w:val="auto"/>
          <w:szCs w:val="21"/>
          <w:highlight w:val="none"/>
        </w:rPr>
        <w:t>资格文件、商务和技术文件、报价文件）</w:t>
      </w:r>
      <w:r>
        <w:rPr>
          <w:rFonts w:hint="eastAsia" w:ascii="宋体" w:hAnsi="宋体" w:eastAsia="宋体" w:cs="宋体"/>
          <w:color w:val="auto"/>
          <w:kern w:val="0"/>
          <w:szCs w:val="21"/>
          <w:highlight w:val="none"/>
        </w:rPr>
        <w:t>1份</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可</w:t>
      </w:r>
      <w:r>
        <w:rPr>
          <w:rFonts w:hint="eastAsia" w:ascii="宋体" w:hAnsi="宋体" w:eastAsia="宋体" w:cs="宋体"/>
          <w:color w:val="auto"/>
          <w:kern w:val="0"/>
          <w:szCs w:val="21"/>
          <w:highlight w:val="none"/>
        </w:rPr>
        <w:t>以U盘或光盘存储的电子备份投标文件（含</w:t>
      </w:r>
      <w:r>
        <w:rPr>
          <w:rFonts w:hint="eastAsia" w:ascii="宋体" w:hAnsi="宋体" w:eastAsia="宋体" w:cs="宋体"/>
          <w:color w:val="auto"/>
          <w:szCs w:val="21"/>
          <w:highlight w:val="none"/>
        </w:rPr>
        <w:t>资格文件、商务和技术文件、报价文件）</w:t>
      </w:r>
      <w:r>
        <w:rPr>
          <w:rFonts w:hint="eastAsia" w:ascii="宋体" w:hAnsi="宋体" w:eastAsia="宋体" w:cs="宋体"/>
          <w:color w:val="auto"/>
          <w:kern w:val="0"/>
          <w:szCs w:val="21"/>
          <w:highlight w:val="none"/>
        </w:rPr>
        <w:t>1份</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投标文件制作：</w:t>
      </w:r>
    </w:p>
    <w:p>
      <w:pPr>
        <w:adjustRightInd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bCs/>
          <w:color w:val="auto"/>
          <w:szCs w:val="21"/>
          <w:highlight w:val="none"/>
          <w:lang w:eastAsia="zh-CN"/>
        </w:rPr>
        <w:t>95763</w:t>
      </w:r>
      <w:r>
        <w:rPr>
          <w:rFonts w:hint="eastAsia" w:ascii="宋体" w:hAnsi="宋体" w:eastAsia="宋体" w:cs="宋体"/>
          <w:bCs/>
          <w:color w:val="auto"/>
          <w:szCs w:val="21"/>
          <w:highlight w:val="none"/>
        </w:rPr>
        <w:t>。</w:t>
      </w:r>
    </w:p>
    <w:p>
      <w:pPr>
        <w:adjustRightInd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（2）供应商通过政府采购云平台电子投标工具制作投标文件。电子投标工具请供应商自行前往浙江政府采购网下载并安装。</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（3）以U盘或光盘存储的电子备份投标文件1份，即按“项目采购-电子招投标操作指南”制作的电子备份文件，以用于异常情况处理。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九、投标文件的签署盖章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1、招标文件第七章“附件”中标明加盖单位公章或签字的，加盖单位公章部分采用CA签章，签字部分由法定代表人或授权代表签字后扫描上传。授权代表签字的，还应附法定代表人签署的法定代表人授权书。</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十、投标文件的密封和标记</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1、电子投标文件：供应商应根据“项目采购-电子招投标操作指南”及本招标文件规定的格式和顺序编制电子投标文件并进行关联定位。</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以U盘或光盘存储的电子备份投标文件</w:t>
      </w:r>
      <w:r>
        <w:rPr>
          <w:rFonts w:hint="eastAsia" w:ascii="宋体" w:hAnsi="宋体" w:eastAsia="宋体" w:cs="宋体"/>
          <w:color w:val="auto"/>
          <w:szCs w:val="21"/>
          <w:highlight w:val="none"/>
        </w:rPr>
        <w:t>用封袋密封后递交。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电子备份投标文件须在</w:t>
      </w:r>
      <w:r>
        <w:rPr>
          <w:rFonts w:hint="eastAsia" w:ascii="宋体" w:hAnsi="宋体" w:eastAsia="宋体" w:cs="宋体"/>
          <w:color w:val="auto"/>
          <w:szCs w:val="21"/>
          <w:highlight w:val="none"/>
        </w:rPr>
        <w:t>封袋上分别注明：</w:t>
      </w:r>
    </w:p>
    <w:p>
      <w:pPr>
        <w:tabs>
          <w:tab w:val="left" w:pos="900"/>
        </w:tabs>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（1）注明：</w:t>
      </w:r>
      <w:r>
        <w:rPr>
          <w:rFonts w:hint="eastAsia" w:ascii="宋体" w:hAnsi="宋体" w:eastAsia="宋体" w:cs="宋体"/>
          <w:color w:val="auto"/>
          <w:szCs w:val="21"/>
          <w:highlight w:val="none"/>
          <w:u w:val="single"/>
        </w:rPr>
        <w:t>“电子备份投标文件”</w:t>
      </w:r>
      <w:r>
        <w:rPr>
          <w:rFonts w:hint="eastAsia" w:ascii="宋体" w:hAnsi="宋体" w:eastAsia="宋体" w:cs="宋体"/>
          <w:color w:val="auto"/>
          <w:szCs w:val="21"/>
          <w:highlight w:val="none"/>
        </w:rPr>
        <w:t>；</w:t>
      </w:r>
    </w:p>
    <w:p>
      <w:pPr>
        <w:tabs>
          <w:tab w:val="left" w:pos="90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tabs>
          <w:tab w:val="left" w:pos="90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（3）项目名称：</w:t>
      </w:r>
      <w:r>
        <w:rPr>
          <w:rFonts w:hint="eastAsia" w:ascii="宋体" w:hAnsi="宋体" w:cs="宋体"/>
          <w:color w:val="auto"/>
          <w:szCs w:val="21"/>
          <w:highlight w:val="none"/>
          <w:u w:val="single"/>
          <w:lang w:eastAsia="zh-CN"/>
        </w:rPr>
        <w:t>慈溪滨海经济开发区灵峰路绿化养护、道路保洁、公厕保洁服务项目</w:t>
      </w:r>
      <w:r>
        <w:rPr>
          <w:rFonts w:hint="eastAsia" w:ascii="宋体" w:hAnsi="宋体" w:eastAsia="宋体" w:cs="宋体"/>
          <w:color w:val="auto"/>
          <w:szCs w:val="21"/>
          <w:highlight w:val="none"/>
        </w:rPr>
        <w:t>；</w:t>
      </w:r>
    </w:p>
    <w:p>
      <w:pPr>
        <w:tabs>
          <w:tab w:val="left" w:pos="90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（4）所投标项（如有多个标项须填写）：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tabs>
          <w:tab w:val="left" w:pos="90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（5）在年月日（规定的开标日期和时间）前不准启封；</w:t>
      </w:r>
    </w:p>
    <w:p>
      <w:pPr>
        <w:tabs>
          <w:tab w:val="left" w:pos="90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（6）供应商的名称：。</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供应商须在包封上加盖供应商公章或由其法定代表人（或授权代表）签字。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供应商未按上述要求标记的，采购人（代理机构）不承担错放或提前开封的责任。</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十一、投标文件的递交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1、投标文件递交的具体要求：</w:t>
      </w:r>
    </w:p>
    <w:p>
      <w:pPr>
        <w:adjustRightInd w:val="0"/>
        <w:snapToGrid w:val="0"/>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（1）供应商应于提交投标文件截止时间前将电子投标文件上传到政府采购云平台（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 </w:instrText>
      </w:r>
      <w:r>
        <w:rPr>
          <w:rFonts w:hint="eastAsia" w:ascii="宋体" w:hAnsi="宋体" w:eastAsia="宋体" w:cs="宋体"/>
          <w:color w:val="auto"/>
          <w:highlight w:val="none"/>
        </w:rPr>
        <w:fldChar w:fldCharType="separate"/>
      </w:r>
      <w:r>
        <w:rPr>
          <w:rStyle w:val="56"/>
          <w:rFonts w:hint="eastAsia" w:ascii="宋体" w:hAnsi="宋体" w:eastAsia="宋体" w:cs="宋体"/>
          <w:b/>
          <w:bCs/>
          <w:color w:val="auto"/>
          <w:kern w:val="0"/>
          <w:highlight w:val="none"/>
          <w:u w:val="none"/>
        </w:rPr>
        <w:t>www.zcygov.cn</w:t>
      </w:r>
      <w:r>
        <w:rPr>
          <w:rStyle w:val="56"/>
          <w:rFonts w:hint="eastAsia" w:ascii="宋体" w:hAnsi="宋体" w:eastAsia="宋体" w:cs="宋体"/>
          <w:b/>
          <w:bCs/>
          <w:color w:val="auto"/>
          <w:kern w:val="0"/>
          <w:highlight w:val="none"/>
          <w:u w:val="none"/>
        </w:rPr>
        <w:fldChar w:fldCharType="end"/>
      </w:r>
      <w:r>
        <w:rPr>
          <w:rFonts w:hint="eastAsia" w:ascii="宋体" w:hAnsi="宋体" w:eastAsia="宋体" w:cs="宋体"/>
          <w:b/>
          <w:bCs/>
          <w:color w:val="auto"/>
          <w:kern w:val="0"/>
          <w:szCs w:val="21"/>
          <w:highlight w:val="none"/>
        </w:rPr>
        <w:t>），并</w:t>
      </w:r>
      <w:r>
        <w:rPr>
          <w:rFonts w:hint="eastAsia" w:ascii="宋体" w:hAnsi="宋体" w:eastAsia="宋体" w:cs="宋体"/>
          <w:b/>
          <w:bCs/>
          <w:color w:val="auto"/>
          <w:szCs w:val="21"/>
          <w:highlight w:val="none"/>
        </w:rPr>
        <w:t>可以于提交投标文件截止时间</w:t>
      </w:r>
      <w:r>
        <w:rPr>
          <w:rFonts w:hint="eastAsia" w:ascii="宋体" w:hAnsi="宋体" w:eastAsia="宋体" w:cs="宋体"/>
          <w:b/>
          <w:bCs/>
          <w:color w:val="auto"/>
          <w:kern w:val="0"/>
          <w:szCs w:val="21"/>
          <w:highlight w:val="none"/>
        </w:rPr>
        <w:t>前，将以U盘或光盘存储的电子备份投标文件密封后按以下方式送达：</w:t>
      </w:r>
    </w:p>
    <w:p>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邮寄送达地址：宁波广兴工程管理有限公司（慈溪市古塘街道商检路148号2楼），联系方式0574-63112628、18367448463。供应商邮寄后须将邮件单号发送至代理机构电子邮箱（电子邮箱：542370551@qq.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备份的电子投标文件。各供应商自行考虑邮寄在途时间，投标文件送达时间以代理机构工作人员实际签收时间为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2、供应商未按上述要求密封的电子备份投标文件，代理机构不予受理。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3、逾期送达的或者未送达指定地点的，代理机构不予受理。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4、投标文件的补充、修改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十二、开标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1、代理机构在招标文件规定的时间和地点公开开标。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2、电子投标开标及评审程序：分两阶段开标。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第一阶段开标（资格文件及商务和技术文件）：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本项目实行网上投标，采用电子投标文件。若供应商参与投标，自行承担投标一切费用。</w:t>
      </w:r>
      <w:r>
        <w:rPr>
          <w:rFonts w:hint="eastAsia" w:ascii="宋体" w:hAnsi="宋体" w:eastAsia="宋体" w:cs="宋体"/>
          <w:color w:val="auto"/>
          <w:szCs w:val="21"/>
          <w:highlight w:val="none"/>
        </w:rPr>
        <w:t>投标截止时间后，供应商登录</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，用“项目采购-开标评标”功能对电子投标文件进行在线解密，在线解密电子投标文件时间为开标时间后半小时内。</w:t>
      </w:r>
      <w:r>
        <w:rPr>
          <w:rFonts w:hint="eastAsia" w:ascii="宋体" w:hAnsi="宋体" w:eastAsia="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（3）介绍开标现场的人员情况；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（4）宣读递交投标文件的供应商名单、开标纪律、应当回避的情形等注意事项；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（5）按顺序开启“资格文件”、“商务和技术文件”，宣读供应商名称，并做开标记录；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（6）第一阶段开标记录签字确认；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（7）告知供应商第二阶段开标的有关事宜；</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（8）第一阶段开标结束。</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休会，评标委员会对“资格文件”、“商务和技术文件”进行评审。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第二阶段开标（报价文件）：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宣告第一阶段评审无效供应商名单及理由；</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（2）公布经第一阶段评审符合招标文件要求的供应商的商务和技术得分情况；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（3）按第一阶段开标顺序在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（4）第二阶段开标记录签字确认；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休会，评标委员会对“报价文件”进行评审。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公布中标候选人名单及采购人最终确定中标供应商名单的时间和公告方式等；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（6）第二阶段开标结束。</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3、特别说明：</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如对电子化开标及评审程序有调整的，按调整后的程序操作。</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本项目原则上采用政采云电子投标开标及评审程序，但有下情形之一的，按以下情况处理：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（1）若供应商在规定时间内无法解密或解密失败，代理机构将开启上述供应商递交的</w:t>
      </w:r>
      <w:r>
        <w:rPr>
          <w:rFonts w:hint="eastAsia" w:ascii="宋体" w:hAnsi="宋体" w:eastAsia="宋体" w:cs="宋体"/>
          <w:color w:val="auto"/>
          <w:kern w:val="0"/>
          <w:szCs w:val="21"/>
          <w:highlight w:val="none"/>
        </w:rPr>
        <w:t>以U盘或光盘存储的电子备份投标文件</w:t>
      </w:r>
      <w:r>
        <w:rPr>
          <w:rFonts w:hint="eastAsia" w:ascii="宋体" w:hAnsi="宋体" w:eastAsia="宋体" w:cs="宋体"/>
          <w:color w:val="auto"/>
          <w:szCs w:val="21"/>
          <w:highlight w:val="none"/>
        </w:rPr>
        <w:t>，上传至政采云平台项目采购模块，以完成开标，电子投标文件自动失效。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2.1电子交易平台发生故障而无法登录访问的；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2.2电子交易平台应用或数据库出现错误，不能进行正常操作的；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2.3电子交易平台发现严重安全漏洞，有潜在泄密危险的；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2.4病毒发作导致不能进行正常操作的；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2.5其他无法保证电子交易的公平、公正和安全的情况。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十三、评标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2、评标活动遵循公开、公平、公正、科学和择优的原则。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3、评标委员会按照第三章“评标办法及标准”对投标文件进行评审。第三章“评标办法及标准”没有规定的方法、评审因素和标准，不作为评标依据。</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十四、招标文件的澄清和修改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eastAsia="宋体" w:cs="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十五、质疑</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提出质疑应当提交质疑函和必要的证明材料，质疑函应当以书面形式或者通过政采云平台在线提出，质疑函格式和内容须符合财政部《质疑函范本》要求，供应商可到浙江政府采购网自行下载财政部《质疑函范本》。</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5、采购人、采购代理机构接收质疑函的方式：只接收供应商以当面递交、邮寄、传真或电子邮件或者通过政采云平台在线方式提出的质疑函，以其他方式提出的质疑不予接收。</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采取邮寄方式的，提出质疑的时间为质疑函原件交邮的时间（以邮戳时间或快递收件时间为准）。</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采取政采云平台在线方式提出的质疑函，供应商应当在政采云平台在线提出质疑后将质疑函原件邮寄给被质疑人，提出质疑的时间为质疑函原件交邮的时间（以邮戳时间或快递收件时间为准）。</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6、采购人、采购代理机构以实际收到质疑函原件之日作为收到质疑函的日期，将在收到质疑函后7个工作日内作出答复。</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7、采购人、采购代理机构接收质疑函的联系人、联系电话和通讯地址等信息详见采购公告。</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8、供应商对采购人或采购代理机构的质疑答复不满意或者采购人或采购代理机构未在规定时间内作出答复的，可以在答复期满后十五个工作日内向同级采购监管部门投诉。</w:t>
      </w:r>
    </w:p>
    <w:p>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▲十六、预算价及招标限价</w:t>
      </w:r>
    </w:p>
    <w:p>
      <w:pPr>
        <w:topLinePunct/>
        <w:spacing w:line="400" w:lineRule="exact"/>
        <w:ind w:firstLine="420" w:firstLineChars="200"/>
        <w:rPr>
          <w:rFonts w:hint="eastAsia" w:ascii="宋体" w:hAnsi="宋体" w:eastAsia="宋体" w:cs="宋体"/>
          <w:color w:val="auto"/>
          <w:szCs w:val="21"/>
          <w:highlight w:val="none"/>
        </w:rPr>
      </w:pPr>
      <w:bookmarkStart w:id="7" w:name="_Hlk37142004"/>
      <w:r>
        <w:rPr>
          <w:rFonts w:hint="eastAsia" w:ascii="宋体" w:hAnsi="宋体" w:eastAsia="宋体" w:cs="宋体"/>
          <w:color w:val="auto"/>
          <w:szCs w:val="21"/>
          <w:highlight w:val="none"/>
        </w:rPr>
        <w:t>1、本次公开招标设有预算价</w:t>
      </w:r>
      <w:r>
        <w:rPr>
          <w:rFonts w:hint="eastAsia" w:ascii="宋体" w:hAnsi="宋体" w:cs="宋体"/>
          <w:color w:val="auto"/>
          <w:szCs w:val="21"/>
          <w:highlight w:val="none"/>
          <w:lang w:val="en-US" w:eastAsia="zh-CN"/>
        </w:rPr>
        <w:t>及最高限价</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1500000</w:t>
      </w:r>
      <w:r>
        <w:rPr>
          <w:rFonts w:hint="eastAsia" w:ascii="宋体" w:hAnsi="宋体" w:eastAsia="宋体" w:cs="宋体"/>
          <w:color w:val="auto"/>
          <w:szCs w:val="21"/>
          <w:highlight w:val="none"/>
          <w:lang w:eastAsia="zh-CN"/>
        </w:rPr>
        <w:t>元</w:t>
      </w:r>
      <w:r>
        <w:rPr>
          <w:rFonts w:hint="eastAsia" w:ascii="宋体" w:hAnsi="宋体" w:eastAsia="宋体" w:cs="宋体"/>
          <w:color w:val="auto"/>
          <w:szCs w:val="21"/>
          <w:highlight w:val="none"/>
        </w:rPr>
        <w:t>；投标报价超出对应预算价的投标无效。</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十七、招标代理服务费</w:t>
      </w:r>
    </w:p>
    <w:bookmarkEnd w:id="7"/>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1、招标代理服务费金额：</w:t>
      </w:r>
      <w:r>
        <w:rPr>
          <w:rFonts w:hint="eastAsia" w:ascii="宋体" w:hAnsi="宋体" w:cs="宋体"/>
          <w:color w:val="000000"/>
        </w:rPr>
        <w:t>本次代理服务费以中标金额为计费额，参照《招标代理服务收费管理暂行办法》（计价格[2002]1980号文件）和《国家发展改革委关于降低部分建设项目收费标准规范收费行为等有关问题的通知》发改价格[2011]534号文件规定服务收费标准计算，向中标人收取代理服务费，供应商请综合考虑报价</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2、中标供应商应在代理机构发出中标通知书5个工作日内向本代理机构支付招标代理服务费。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3、招标代理服务费只收现金、银行票汇款、电汇款。</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账户名称：</w:t>
      </w:r>
      <w:r>
        <w:rPr>
          <w:rFonts w:hint="eastAsia" w:ascii="宋体" w:hAnsi="宋体" w:cs="宋体"/>
          <w:color w:val="000000"/>
          <w:szCs w:val="21"/>
        </w:rPr>
        <w:t>宁波广兴工程管理有限公司</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cs="宋体"/>
          <w:color w:val="000000"/>
          <w:szCs w:val="21"/>
        </w:rPr>
        <w:t>台州银行宁波分行</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cs="宋体"/>
          <w:color w:val="000000"/>
          <w:szCs w:val="21"/>
        </w:rPr>
        <w:t>550590697400015</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十八、特别说明</w:t>
      </w:r>
    </w:p>
    <w:p>
      <w:pPr>
        <w:spacing w:line="400" w:lineRule="exact"/>
        <w:ind w:firstLine="420" w:firstLineChars="200"/>
        <w:rPr>
          <w:rFonts w:hint="eastAsia" w:ascii="宋体" w:hAnsi="宋体" w:eastAsia="宋体" w:cs="宋体"/>
          <w:color w:val="auto"/>
          <w:szCs w:val="21"/>
          <w:highlight w:val="none"/>
        </w:rPr>
      </w:pPr>
      <w:bookmarkStart w:id="8" w:name="_Toc21541007"/>
      <w:bookmarkStart w:id="9" w:name="_Toc436408700"/>
      <w:bookmarkStart w:id="10" w:name="_Toc441316546"/>
      <w:bookmarkStart w:id="11" w:name="_Toc419729150"/>
      <w:r>
        <w:rPr>
          <w:rFonts w:hint="eastAsia" w:ascii="宋体" w:hAnsi="宋体" w:eastAsia="宋体" w:cs="宋体"/>
          <w:color w:val="auto"/>
          <w:szCs w:val="21"/>
          <w:highlight w:val="none"/>
        </w:rPr>
        <w:t>1.执行财政部、工业和信息化部《政府采购促进中小企业发展管理办法》（财库〔2020〕46号）。政府采购活动中有关中小企业的相关规定如下：</w:t>
      </w:r>
      <w:bookmarkEnd w:id="8"/>
      <w:bookmarkEnd w:id="9"/>
      <w:bookmarkEnd w:id="10"/>
      <w:bookmarkEnd w:id="11"/>
    </w:p>
    <w:p>
      <w:pPr>
        <w:spacing w:line="400" w:lineRule="exact"/>
        <w:ind w:firstLine="420" w:firstLineChars="200"/>
        <w:rPr>
          <w:rFonts w:hint="eastAsia" w:ascii="宋体" w:hAnsi="宋体" w:eastAsia="宋体" w:cs="宋体"/>
          <w:color w:val="auto"/>
          <w:szCs w:val="21"/>
          <w:highlight w:val="none"/>
        </w:rPr>
      </w:pPr>
      <w:bookmarkStart w:id="12" w:name="_Toc419729151"/>
      <w:bookmarkStart w:id="13" w:name="_Toc441316547"/>
      <w:bookmarkStart w:id="14" w:name="_Toc436408701"/>
      <w:bookmarkStart w:id="15" w:name="_Toc21541008"/>
      <w:r>
        <w:rPr>
          <w:rFonts w:hint="eastAsia" w:ascii="宋体" w:hAnsi="宋体" w:eastAsia="宋体" w:cs="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2"/>
      <w:bookmarkEnd w:id="13"/>
      <w:bookmarkEnd w:id="14"/>
      <w:bookmarkEnd w:id="15"/>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hint="eastAsia" w:ascii="宋体" w:hAnsi="宋体" w:eastAsia="宋体" w:cs="宋体"/>
          <w:color w:val="auto"/>
          <w:szCs w:val="21"/>
          <w:highlight w:val="none"/>
        </w:rPr>
      </w:pPr>
      <w:bookmarkStart w:id="16" w:name="_Toc441316548"/>
      <w:bookmarkStart w:id="17" w:name="_Toc436408702"/>
      <w:bookmarkStart w:id="18" w:name="_Toc419729152"/>
      <w:bookmarkStart w:id="19" w:name="_Toc21541009"/>
      <w:r>
        <w:rPr>
          <w:rFonts w:hint="eastAsia" w:ascii="宋体" w:hAnsi="宋体" w:eastAsia="宋体" w:cs="宋体"/>
          <w:color w:val="auto"/>
          <w:szCs w:val="21"/>
          <w:highlight w:val="none"/>
        </w:rPr>
        <w:t>①在货物采购项目中，货物由中小企业制造，即货物由中小企业生产且使用该中小企业商号或者注册商标；</w:t>
      </w:r>
      <w:bookmarkEnd w:id="16"/>
      <w:bookmarkEnd w:id="17"/>
      <w:bookmarkEnd w:id="18"/>
      <w:bookmarkEnd w:id="19"/>
    </w:p>
    <w:p>
      <w:pPr>
        <w:spacing w:line="400" w:lineRule="exact"/>
        <w:ind w:firstLine="420" w:firstLineChars="200"/>
        <w:rPr>
          <w:rFonts w:hint="eastAsia" w:ascii="宋体" w:hAnsi="宋体" w:eastAsia="宋体" w:cs="宋体"/>
          <w:color w:val="auto"/>
          <w:szCs w:val="21"/>
          <w:highlight w:val="none"/>
        </w:rPr>
      </w:pPr>
      <w:bookmarkStart w:id="20" w:name="_Toc419729153"/>
      <w:bookmarkStart w:id="21" w:name="_Toc21541010"/>
      <w:bookmarkStart w:id="22" w:name="_Toc441316549"/>
      <w:bookmarkStart w:id="23" w:name="_Toc436408703"/>
      <w:r>
        <w:rPr>
          <w:rFonts w:hint="eastAsia" w:ascii="宋体" w:hAnsi="宋体" w:eastAsia="宋体" w:cs="宋体"/>
          <w:color w:val="auto"/>
          <w:szCs w:val="21"/>
          <w:highlight w:val="none"/>
        </w:rPr>
        <w:t>②在工程采购项目中，工程由中小企业承建，即工程施工单位为中小企业</w:t>
      </w:r>
      <w:bookmarkEnd w:id="20"/>
      <w:bookmarkEnd w:id="21"/>
      <w:bookmarkEnd w:id="22"/>
      <w:bookmarkEnd w:id="23"/>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③在服务采购项目中，服务由中小企业承接，即提供服务的人员为中小企业依照《中华人民共和国劳动民法典》订立劳动合同的从业人员。</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（3）中小企业参加政府采购活动，应当出具《政府采购促进中小企业发展管理办法》规定的《中小企业声明函》（格式见第七章）。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hint="eastAsia" w:ascii="宋体" w:hAnsi="宋体" w:eastAsia="宋体" w:cs="宋体"/>
          <w:color w:val="auto"/>
          <w:szCs w:val="21"/>
          <w:highlight w:val="none"/>
        </w:rPr>
      </w:pPr>
      <w:bookmarkStart w:id="24" w:name="_Toc21541015"/>
      <w:bookmarkStart w:id="25" w:name="_Toc495244277"/>
      <w:r>
        <w:rPr>
          <w:rFonts w:hint="eastAsia" w:ascii="宋体" w:hAnsi="宋体" w:eastAsia="宋体" w:cs="宋体"/>
          <w:color w:val="auto"/>
          <w:szCs w:val="21"/>
          <w:highlight w:val="none"/>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4"/>
      <w:bookmarkEnd w:id="25"/>
    </w:p>
    <w:p>
      <w:pPr>
        <w:spacing w:line="400" w:lineRule="exact"/>
        <w:ind w:firstLine="420" w:firstLineChars="200"/>
        <w:rPr>
          <w:rFonts w:hint="eastAsia" w:ascii="宋体" w:hAnsi="宋体" w:eastAsia="宋体" w:cs="宋体"/>
          <w:color w:val="auto"/>
          <w:szCs w:val="21"/>
          <w:highlight w:val="none"/>
        </w:rPr>
      </w:pPr>
      <w:bookmarkStart w:id="26" w:name="_Toc21541016"/>
      <w:r>
        <w:rPr>
          <w:rFonts w:hint="eastAsia" w:ascii="宋体" w:hAnsi="宋体" w:eastAsia="宋体" w:cs="宋体"/>
          <w:color w:val="auto"/>
          <w:szCs w:val="21"/>
          <w:highlight w:val="none"/>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6"/>
    </w:p>
    <w:p>
      <w:pPr>
        <w:spacing w:line="400" w:lineRule="exact"/>
        <w:ind w:firstLine="420" w:firstLineChars="200"/>
        <w:rPr>
          <w:rFonts w:hint="eastAsia" w:ascii="宋体" w:hAnsi="宋体" w:eastAsia="宋体" w:cs="宋体"/>
          <w:color w:val="auto"/>
          <w:szCs w:val="21"/>
          <w:highlight w:val="none"/>
        </w:rPr>
      </w:pPr>
      <w:bookmarkStart w:id="27" w:name="_Toc21541017"/>
      <w:bookmarkStart w:id="28" w:name="_Toc419729158"/>
      <w:r>
        <w:rPr>
          <w:rFonts w:hint="eastAsia" w:ascii="宋体" w:hAnsi="宋体" w:eastAsia="宋体" w:cs="宋体"/>
          <w:color w:val="auto"/>
          <w:szCs w:val="21"/>
          <w:highlight w:val="none"/>
        </w:rPr>
        <w:t>4.本项目不组织潜在供应商现场考察或者召开开标前答疑。</w:t>
      </w:r>
      <w:bookmarkEnd w:id="27"/>
    </w:p>
    <w:p>
      <w:pPr>
        <w:spacing w:line="400" w:lineRule="exact"/>
        <w:ind w:firstLine="420" w:firstLineChars="200"/>
        <w:rPr>
          <w:rFonts w:hint="eastAsia" w:ascii="宋体" w:hAnsi="宋体" w:eastAsia="宋体" w:cs="宋体"/>
          <w:color w:val="auto"/>
          <w:szCs w:val="21"/>
          <w:highlight w:val="none"/>
        </w:rPr>
      </w:pPr>
      <w:bookmarkStart w:id="29" w:name="_Toc21541018"/>
      <w:r>
        <w:rPr>
          <w:rFonts w:hint="eastAsia" w:ascii="宋体" w:hAnsi="宋体" w:eastAsia="宋体" w:cs="宋体"/>
          <w:color w:val="auto"/>
          <w:szCs w:val="21"/>
          <w:highlight w:val="none"/>
        </w:rPr>
        <w:t>5.本文件未及事项，在签订合同时供需及使用方友好商定。</w:t>
      </w:r>
      <w:bookmarkEnd w:id="28"/>
      <w:bookmarkEnd w:id="29"/>
    </w:p>
    <w:p>
      <w:pPr>
        <w:spacing w:line="400" w:lineRule="exact"/>
        <w:ind w:firstLine="420" w:firstLineChars="200"/>
        <w:rPr>
          <w:rFonts w:hint="eastAsia" w:ascii="宋体" w:hAnsi="宋体" w:eastAsia="宋体" w:cs="宋体"/>
          <w:b/>
          <w:color w:val="auto"/>
          <w:szCs w:val="21"/>
          <w:highlight w:val="none"/>
        </w:rPr>
      </w:pPr>
      <w:bookmarkStart w:id="30" w:name="_Toc419729159"/>
      <w:r>
        <w:rPr>
          <w:rFonts w:hint="eastAsia" w:ascii="宋体" w:hAnsi="宋体" w:eastAsia="宋体" w:cs="宋体"/>
          <w:color w:val="auto"/>
          <w:szCs w:val="21"/>
          <w:highlight w:val="none"/>
        </w:rPr>
        <w:t>6.本招标文件解释权归采购人。</w:t>
      </w:r>
      <w:bookmarkEnd w:id="30"/>
    </w:p>
    <w:p>
      <w:pPr>
        <w:spacing w:line="400" w:lineRule="exact"/>
        <w:ind w:firstLine="422" w:firstLineChars="200"/>
        <w:rPr>
          <w:rFonts w:hint="eastAsia" w:ascii="宋体" w:hAnsi="宋体" w:eastAsia="宋体" w:cs="宋体"/>
          <w:b/>
          <w:color w:val="auto"/>
          <w:szCs w:val="21"/>
          <w:highlight w:val="none"/>
        </w:rPr>
        <w:sectPr>
          <w:footerReference r:id="rId5" w:type="default"/>
          <w:pgSz w:w="11907" w:h="16840"/>
          <w:pgMar w:top="1440" w:right="1080" w:bottom="1440" w:left="1080" w:header="285" w:footer="442" w:gutter="0"/>
          <w:pgBorders w:offsetFrom="page">
            <w:top w:val="none" w:sz="0" w:space="0"/>
            <w:left w:val="none" w:sz="0" w:space="0"/>
            <w:bottom w:val="none" w:sz="0" w:space="0"/>
            <w:right w:val="none" w:sz="0" w:space="0"/>
          </w:pgBorders>
          <w:pgNumType w:fmt="decimal"/>
          <w:cols w:space="720" w:num="1"/>
          <w:docGrid w:linePitch="285" w:charSpace="0"/>
        </w:sectPr>
      </w:pPr>
    </w:p>
    <w:p>
      <w:pPr>
        <w:spacing w:line="400" w:lineRule="exact"/>
        <w:jc w:val="center"/>
        <w:outlineLvl w:val="0"/>
        <w:rPr>
          <w:rFonts w:hint="eastAsia" w:ascii="宋体" w:hAnsi="宋体" w:eastAsia="宋体" w:cs="宋体"/>
          <w:b/>
          <w:color w:val="auto"/>
          <w:sz w:val="32"/>
          <w:highlight w:val="none"/>
        </w:rPr>
      </w:pPr>
      <w:bookmarkStart w:id="31" w:name="_Toc18469"/>
      <w:r>
        <w:rPr>
          <w:rFonts w:hint="eastAsia" w:ascii="宋体" w:hAnsi="宋体" w:eastAsia="宋体" w:cs="宋体"/>
          <w:b/>
          <w:color w:val="auto"/>
          <w:sz w:val="32"/>
          <w:highlight w:val="none"/>
        </w:rPr>
        <w:t>第三章评标办法及标准</w:t>
      </w:r>
      <w:bookmarkEnd w:id="31"/>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一、评标办法</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1.1本项目评标采用综合评分法。</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beforeLines="0" w:afterLines="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4"/>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beforeLines="0" w:afterLines="0" w:line="400" w:lineRule="exact"/>
        <w:ind w:firstLine="420" w:firstLineChars="200"/>
        <w:jc w:val="left"/>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1.4</w:t>
      </w:r>
      <w:r>
        <w:rPr>
          <w:rFonts w:hint="eastAsia" w:ascii="宋体" w:hAnsi="宋体" w:eastAsia="宋体" w:cs="宋体"/>
          <w:b/>
          <w:color w:val="auto"/>
          <w:sz w:val="21"/>
          <w:szCs w:val="21"/>
        </w:rPr>
        <w:t>本次采购为专门面向中小企业</w:t>
      </w:r>
      <w:r>
        <w:rPr>
          <w:rFonts w:hint="eastAsia" w:ascii="宋体" w:hAnsi="宋体" w:eastAsia="宋体" w:cs="宋体"/>
          <w:color w:val="auto"/>
          <w:sz w:val="21"/>
          <w:szCs w:val="21"/>
        </w:rPr>
        <w:t>，采购标的对应的中小企业划分标准所属行业：</w:t>
      </w:r>
      <w:r>
        <w:rPr>
          <w:rFonts w:hint="eastAsia" w:ascii="宋体" w:hAnsi="宋体" w:eastAsia="宋体" w:cs="宋体"/>
          <w:b/>
          <w:bCs/>
          <w:color w:val="auto"/>
          <w:sz w:val="21"/>
          <w:szCs w:val="21"/>
          <w:u w:val="single"/>
        </w:rPr>
        <w:t>其他未列明行业。</w:t>
      </w:r>
    </w:p>
    <w:p>
      <w:pPr>
        <w:spacing w:beforeLines="0" w:afterLines="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1.5评标委员会成员对需要共同认定的事项存在争议的，应当按照少数服从多数的原则作出结论。</w:t>
      </w:r>
    </w:p>
    <w:p>
      <w:pPr>
        <w:spacing w:line="40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二、</w:t>
      </w:r>
      <w:r>
        <w:rPr>
          <w:rFonts w:hint="eastAsia" w:ascii="宋体" w:hAnsi="宋体" w:eastAsia="宋体" w:cs="宋体"/>
          <w:b/>
          <w:bCs/>
          <w:color w:val="auto"/>
          <w:szCs w:val="21"/>
          <w:highlight w:val="none"/>
        </w:rPr>
        <w:t>评标程序</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2.1第一阶段评审</w:t>
      </w:r>
    </w:p>
    <w:p>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2.1.1资格文件、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eastAsia="宋体" w:cs="宋体"/>
          <w:b/>
          <w:color w:val="auto"/>
          <w:szCs w:val="21"/>
          <w:highlight w:val="none"/>
        </w:rPr>
        <w:t>资格性审查和符合性审查中，有任意一项审查结论不合格的，作无效标处理。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eastAsia="宋体" w:cs="宋体"/>
          <w:color w:val="auto"/>
          <w:szCs w:val="21"/>
          <w:highlight w:val="none"/>
          <w:lang w:val="zh-CN"/>
        </w:rPr>
        <w:t>比较与评价：</w:t>
      </w:r>
      <w:r>
        <w:rPr>
          <w:rFonts w:hint="eastAsia" w:ascii="宋体" w:hAnsi="宋体" w:eastAsia="宋体" w:cs="宋体"/>
          <w:color w:val="auto"/>
          <w:szCs w:val="21"/>
          <w:highlight w:val="none"/>
        </w:rPr>
        <w:t>评标委员会根据“附表3商务和技术评分表”的要求，</w:t>
      </w:r>
      <w:r>
        <w:rPr>
          <w:rFonts w:hint="eastAsia" w:ascii="宋体" w:hAnsi="宋体" w:eastAsia="宋体" w:cs="宋体"/>
          <w:color w:val="auto"/>
          <w:szCs w:val="21"/>
          <w:highlight w:val="none"/>
          <w:lang w:val="zh-CN"/>
        </w:rPr>
        <w:t>对照投标文件的应答进行比较，判定其偏差性质和程度，</w:t>
      </w:r>
      <w:r>
        <w:rPr>
          <w:rFonts w:hint="eastAsia" w:ascii="宋体" w:hAnsi="宋体" w:eastAsia="宋体" w:cs="宋体"/>
          <w:color w:val="auto"/>
          <w:szCs w:val="21"/>
          <w:highlight w:val="none"/>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2.2第二阶段评审</w:t>
      </w:r>
    </w:p>
    <w:p>
      <w:pPr>
        <w:spacing w:line="40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2.2.1报价文件初步审查：报价文件初步审查是指评标委员会根据“附表4初步审查表”的要求对投标文件逐一进行评审。</w:t>
      </w:r>
      <w:r>
        <w:rPr>
          <w:rFonts w:hint="eastAsia" w:ascii="宋体" w:hAnsi="宋体" w:eastAsia="宋体" w:cs="宋体"/>
          <w:b/>
          <w:color w:val="auto"/>
          <w:szCs w:val="21"/>
          <w:highlight w:val="none"/>
        </w:rPr>
        <w:t>初步审查中，审查结论不合格的，作无效标处理。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2.2.2在评标过程中，发现的价格计算错误按下述原则修正：</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（1）投标文件中开标一览表内容与政采云系统“开标一览表”中录入的内容不一致的，以投标文件中开标一览表为准；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（2）投标文件中开标一览表内容与投标文件中相应内容不一致的，以开标一览表为准；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（3）大写金额和小写金额不一致的，以大写金额为准；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（4）单价金额小数点或者百分比有明显错位的，以开标一览表的总价为准，并修改单价；</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（5）总价金额与按单价汇总金额不一致的，以单价金额计算结果为准。</w:t>
      </w:r>
    </w:p>
    <w:p>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2.2.3</w:t>
      </w:r>
      <w:r>
        <w:rPr>
          <w:rFonts w:hint="eastAsia" w:ascii="宋体" w:hAnsi="宋体" w:eastAsia="宋体" w:cs="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eastAsia="宋体" w:cs="宋体"/>
          <w:color w:val="auto"/>
          <w:szCs w:val="21"/>
          <w:highlight w:val="none"/>
        </w:rPr>
        <w:t>候选</w:t>
      </w:r>
      <w:r>
        <w:rPr>
          <w:rFonts w:hint="eastAsia" w:ascii="宋体" w:hAnsi="宋体" w:eastAsia="宋体" w:cs="宋体"/>
          <w:color w:val="auto"/>
          <w:highlight w:val="none"/>
        </w:rPr>
        <w:t>人推荐资格；综合得分相同的，由评标委员会采取随机抽取方式确定，其他同品牌供应商不作为中标候选人。</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非单一产品采购项目，多家供应商提供的核心产品品牌相同的，按上述规定处理。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2.2.4评标委员会根据“附表5价格评分表”的规定，计算供应商报价得分（小数点后保留二位数）。</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2.2.5综合评估：供应商的综合得分为商务和技术得分与报价得分之和。</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2.2.6推荐中标候选人：按综合得分由高到低的排序，推荐中标候选人。若供应商的综合得分相等，则投标报价低者列前；若投标报价也相同时，采取随机抽签的方式确定排序。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2.3确定中标供应商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三、投标的澄清</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3.2政采云具体操作如下：</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路径：用户中心—项目采购—询标澄清</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（1）政采云平台通过待办事项和短信提醒供应商在截止时间前完成澄清。</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（2）供应商在“询标澄清-待办理”标签页下选择状态为“待澄清”的项目，点击操作栏【澄清】。</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（4）签章完成，文件名称处显示“已签章”，供应商可“撤回签章”修改澄清函和“查看文件”。</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（6）完成状态：供应商澄清文件提交成功后，在“询标澄清-全部”标签页下显示状态为“已澄清”。</w:t>
      </w:r>
    </w:p>
    <w:p>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3.3供应商未在截止时间前完成澄清，将被视作自动放弃。</w:t>
      </w:r>
    </w:p>
    <w:p>
      <w:pPr>
        <w:spacing w:line="40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四、特别声明：价格是评标的重要因素之一，但最低价不是中标的唯一依据。</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五、重新招标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有下列情形之一的，采购人将重新招标：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5.1投标截止时间止，供应商少于3个的；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5.2评标委员会评标过程中，有效供应商少于3个的；</w:t>
      </w:r>
    </w:p>
    <w:p>
      <w:pPr>
        <w:widowControl/>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Cs w:val="21"/>
          <w:highlight w:val="none"/>
        </w:rPr>
        <w:t>附表1：</w:t>
      </w:r>
    </w:p>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资格性审查表</w:t>
      </w:r>
    </w:p>
    <w:tbl>
      <w:tblPr>
        <w:tblStyle w:val="48"/>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38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要求说明</w:t>
            </w:r>
          </w:p>
        </w:tc>
        <w:tc>
          <w:tcPr>
            <w:tcW w:w="54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8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A1、关于资格的承诺函；</w:t>
            </w:r>
          </w:p>
          <w:p>
            <w:pPr>
              <w:keepNext w:val="0"/>
              <w:keepLines w:val="0"/>
              <w:suppressLineNumbers w:val="0"/>
              <w:spacing w:before="0" w:beforeLines="0" w:beforeAutospacing="0" w:after="0" w:afterLines="0" w:afterAutospacing="0" w:line="40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A2、营业执照（或事业法人登记证或其他登记证明材料）扫描件或电子营业执照加盖供应商公章（供应商如果有名称变更的，应提供由行政主管部门出具的变更证明文件扫描件加盖供应商公章）；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8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落实政府采购政策需满足的资格要求：本项目为专门面向中小企业采购的项目（监狱企业、残疾人福利性单位视同小型、微型企业）。</w:t>
            </w:r>
          </w:p>
        </w:tc>
        <w:tc>
          <w:tcPr>
            <w:tcW w:w="54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1、中小企业声明函；</w:t>
            </w:r>
          </w:p>
          <w:p>
            <w:pPr>
              <w:keepNext w:val="0"/>
              <w:keepLines w:val="0"/>
              <w:suppressLineNumbers w:val="0"/>
              <w:spacing w:before="0" w:beforeLines="0" w:beforeAutospacing="0" w:after="0" w:afterLines="0" w:afterAutospacing="0" w:line="40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2、残疾人福利性单位的：提供残疾人福利性单位声明函（如有需提供）；</w:t>
            </w:r>
          </w:p>
          <w:p>
            <w:pPr>
              <w:keepNext w:val="0"/>
              <w:keepLines w:val="0"/>
              <w:suppressLineNumbers w:val="0"/>
              <w:spacing w:before="0" w:beforeLines="0" w:beforeAutospacing="0" w:after="0" w:afterLines="0" w:afterAutospacing="0" w:line="40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3、监狱企业（监狱和戒毒企业）提供自己企业的产品（服务）的：提供由省级以上监狱管理局、戒毒管理局（含新疆生产建设兵团）出具的属于监狱企业的证明文件扫描件（如有需提供）。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color w:val="auto"/>
                <w:sz w:val="21"/>
                <w:szCs w:val="20"/>
              </w:rPr>
            </w:pPr>
            <w:r>
              <w:rPr>
                <w:rFonts w:hint="eastAsia" w:ascii="宋体" w:hAnsi="宋体" w:eastAsia="宋体" w:cs="宋体"/>
                <w:b/>
                <w:color w:val="auto"/>
                <w:sz w:val="21"/>
                <w:szCs w:val="21"/>
              </w:rPr>
              <w:t>资格性审查结论</w:t>
            </w:r>
          </w:p>
        </w:tc>
        <w:tc>
          <w:tcPr>
            <w:tcW w:w="54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color w:val="auto"/>
                <w:sz w:val="21"/>
                <w:szCs w:val="21"/>
              </w:rPr>
            </w:pPr>
          </w:p>
        </w:tc>
      </w:tr>
    </w:tbl>
    <w:p>
      <w:pPr>
        <w:spacing w:line="340" w:lineRule="exact"/>
        <w:rPr>
          <w:rFonts w:hint="eastAsia" w:ascii="宋体" w:hAnsi="宋体" w:eastAsia="宋体" w:cs="宋体"/>
          <w:b/>
          <w:color w:val="auto"/>
          <w:highlight w:val="none"/>
        </w:rPr>
      </w:pPr>
      <w:r>
        <w:rPr>
          <w:rFonts w:hint="eastAsia" w:ascii="宋体" w:hAnsi="宋体" w:eastAsia="宋体" w:cs="宋体"/>
          <w:b/>
          <w:color w:val="auto"/>
          <w:highlight w:val="none"/>
        </w:rPr>
        <w:t>注：1、上述资格证明文件未按招标文件要求附入投标文件中的，资格性审查不合格。</w:t>
      </w:r>
    </w:p>
    <w:p>
      <w:pPr>
        <w:spacing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2、上述审查项目中，任意一项不符合的，资格性审查不合格。</w:t>
      </w:r>
    </w:p>
    <w:p>
      <w:pPr>
        <w:spacing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附表2：</w:t>
      </w:r>
    </w:p>
    <w:p>
      <w:pPr>
        <w:widowControl/>
        <w:snapToGrid w:val="0"/>
        <w:spacing w:line="5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符合性审查表</w:t>
      </w:r>
    </w:p>
    <w:tbl>
      <w:tblPr>
        <w:tblStyle w:val="4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782"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要求说明</w:t>
            </w:r>
          </w:p>
        </w:tc>
        <w:tc>
          <w:tcPr>
            <w:tcW w:w="3913"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投标有效期：符合第二章“投标须知”第六、1条的要求。</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法定代表人身份证明、法定代表人授权书。</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（1）投标文件由法定代表人签字的，提供“法定代表人身份证明”。</w:t>
            </w:r>
          </w:p>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符合第二章“投标须知”第九、1条的要求。</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商务和技术文件中不得出现涉及投标价格的内容。</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对同个标项不允许提供两个投标方案。</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供应商不得在投标活动中提供任何虚假材料或从事其他违法活动的。</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评标委员会经过审查，认定供应商虚假应标、串通投标的，有下列情形之一的，视为供应商串通投标：</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（1）不同供应商的投标文件由同一单位或者个人编制；</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（2）不同供应商委托同一单位或者个人办理投标事宜；</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（3）不同供应商的投标文件载明的项目管理成员或者联系人员为同一人；</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（4）不同供应商的投标文件异常一致或者投标报价呈规律性差异；</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（5）不同供应商的投标文件相互混装。</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符合法律、法规和招标文件中规定的其他实质性要求（实质性要求招标文件中“</w:t>
            </w:r>
            <w:r>
              <w:rPr>
                <w:rFonts w:hint="eastAsia" w:ascii="宋体" w:hAnsi="宋体" w:eastAsia="宋体" w:cs="宋体"/>
                <w:b/>
                <w:color w:val="auto"/>
                <w:sz w:val="24"/>
                <w:szCs w:val="20"/>
                <w:highlight w:val="none"/>
              </w:rPr>
              <w:t>▲</w:t>
            </w:r>
            <w:r>
              <w:rPr>
                <w:rFonts w:hint="eastAsia" w:ascii="宋体" w:hAnsi="宋体" w:eastAsia="宋体" w:cs="宋体"/>
                <w:color w:val="auto"/>
                <w:szCs w:val="21"/>
                <w:highlight w:val="none"/>
              </w:rPr>
              <w:t>”标记）。</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782"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tc>
        <w:tc>
          <w:tcPr>
            <w:tcW w:w="3913" w:type="dxa"/>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符合性审查结论</w:t>
            </w:r>
          </w:p>
        </w:tc>
        <w:tc>
          <w:tcPr>
            <w:tcW w:w="3913"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r>
    </w:tbl>
    <w:p>
      <w:pPr>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注：1、上述审查项目中，任意一项不符合的，符合性审查不合格。</w:t>
      </w:r>
    </w:p>
    <w:p>
      <w:pPr>
        <w:spacing w:line="400" w:lineRule="exact"/>
        <w:rPr>
          <w:rFonts w:hint="eastAsia" w:ascii="宋体" w:hAnsi="宋体" w:eastAsia="宋体" w:cs="宋体"/>
          <w:color w:val="auto"/>
          <w:szCs w:val="21"/>
          <w:highlight w:val="none"/>
        </w:rPr>
      </w:pPr>
      <w:r>
        <w:rPr>
          <w:rFonts w:hint="eastAsia" w:ascii="宋体" w:hAnsi="宋体" w:eastAsia="宋体" w:cs="宋体"/>
          <w:b/>
          <w:color w:val="auto"/>
          <w:highlight w:val="none"/>
        </w:rPr>
        <w:t xml:space="preserve">    2、序号3-序号9在政采云上无须添加关联点。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附表3：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商务和技术评分表</w:t>
      </w:r>
    </w:p>
    <w:tbl>
      <w:tblPr>
        <w:tblStyle w:val="48"/>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84"/>
        <w:gridCol w:w="709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jc w:val="center"/>
        </w:trPr>
        <w:tc>
          <w:tcPr>
            <w:tcW w:w="56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商务技术分</w:t>
            </w:r>
            <w:r>
              <w:rPr>
                <w:rFonts w:hint="eastAsia" w:ascii="宋体" w:hAnsi="宋体" w:eastAsia="宋体" w:cs="宋体"/>
                <w:color w:val="auto"/>
                <w:sz w:val="21"/>
                <w:szCs w:val="21"/>
                <w:lang w:val="en-US" w:eastAsia="zh-CN"/>
              </w:rPr>
              <w:t>8</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148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项目业绩</w:t>
            </w:r>
          </w:p>
        </w:tc>
        <w:tc>
          <w:tcPr>
            <w:tcW w:w="709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供应商具有20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年1月1日至今（以合同签订时间为准）</w:t>
            </w:r>
            <w:r>
              <w:rPr>
                <w:rFonts w:hint="eastAsia" w:ascii="宋体" w:hAnsi="宋体" w:eastAsia="宋体" w:cs="宋体"/>
                <w:color w:val="auto"/>
                <w:sz w:val="21"/>
                <w:szCs w:val="21"/>
                <w:lang w:val="en-US" w:eastAsia="zh-CN"/>
              </w:rPr>
              <w:t>承接的</w:t>
            </w:r>
            <w:r>
              <w:rPr>
                <w:rFonts w:hint="eastAsia" w:ascii="宋体" w:hAnsi="宋体" w:cs="宋体"/>
                <w:sz w:val="21"/>
                <w:szCs w:val="21"/>
              </w:rPr>
              <w:t>类似</w:t>
            </w:r>
            <w:r>
              <w:rPr>
                <w:rFonts w:hint="eastAsia" w:ascii="宋体" w:hAnsi="宋体" w:eastAsia="宋体" w:cs="宋体"/>
                <w:color w:val="auto"/>
                <w:sz w:val="21"/>
                <w:szCs w:val="21"/>
              </w:rPr>
              <w:t>相关服务项目</w:t>
            </w:r>
            <w:r>
              <w:rPr>
                <w:rFonts w:hint="eastAsia" w:ascii="宋体" w:hAnsi="宋体" w:cs="宋体"/>
                <w:color w:val="auto"/>
                <w:sz w:val="21"/>
                <w:szCs w:val="21"/>
                <w:lang w:val="en-US" w:eastAsia="zh-CN"/>
              </w:rPr>
              <w:t>(</w:t>
            </w:r>
            <w:r>
              <w:rPr>
                <w:rFonts w:hint="eastAsia" w:ascii="宋体" w:hAnsi="宋体" w:cs="宋体"/>
                <w:sz w:val="21"/>
                <w:szCs w:val="21"/>
              </w:rPr>
              <w:t>含道路保洁或绿化养护</w:t>
            </w:r>
            <w:r>
              <w:rPr>
                <w:rFonts w:hint="eastAsia" w:ascii="宋体" w:hAnsi="宋体" w:cs="宋体"/>
                <w:sz w:val="21"/>
                <w:szCs w:val="21"/>
                <w:lang w:val="en-US" w:eastAsia="zh-CN"/>
              </w:rPr>
              <w:t>)</w:t>
            </w: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的，每提供1个得</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.5分，最高得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注：提供合同扫描件加盖投标人公章，并能体现所要求的内容。若提供的资料无法反映所要求的相关内容的，还</w:t>
            </w:r>
            <w:r>
              <w:rPr>
                <w:rFonts w:hint="eastAsia" w:ascii="宋体" w:hAnsi="宋体" w:eastAsia="宋体" w:cs="宋体"/>
                <w:b/>
                <w:color w:val="auto"/>
                <w:sz w:val="21"/>
                <w:szCs w:val="21"/>
                <w:lang w:val="en-US" w:eastAsia="zh-CN"/>
              </w:rPr>
              <w:t>需</w:t>
            </w:r>
            <w:r>
              <w:rPr>
                <w:rFonts w:hint="eastAsia" w:ascii="宋体" w:hAnsi="宋体" w:eastAsia="宋体" w:cs="宋体"/>
                <w:b/>
                <w:color w:val="auto"/>
                <w:sz w:val="21"/>
                <w:szCs w:val="21"/>
              </w:rPr>
              <w:t>提供业主相关证明；时间以合同签订时间为准。</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rPr>
            </w:pPr>
            <w:r>
              <w:rPr>
                <w:rFonts w:hint="eastAsia" w:ascii="宋体" w:hAnsi="宋体" w:cs="宋体"/>
                <w:sz w:val="21"/>
                <w:szCs w:val="21"/>
              </w:rPr>
              <w:t>公厕保洁方案</w:t>
            </w: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b/>
                <w:color w:val="auto"/>
                <w:sz w:val="21"/>
                <w:szCs w:val="21"/>
              </w:rPr>
            </w:pPr>
            <w:r>
              <w:rPr>
                <w:rFonts w:hint="eastAsia" w:ascii="宋体" w:hAnsi="宋体" w:cs="宋体"/>
                <w:sz w:val="21"/>
                <w:szCs w:val="21"/>
              </w:rPr>
              <w:t>评委根据投标人的此项方案进行评比：方案全面、合理的得</w:t>
            </w:r>
            <w:r>
              <w:rPr>
                <w:rFonts w:hint="eastAsia" w:ascii="宋体" w:hAnsi="宋体" w:cs="宋体"/>
                <w:sz w:val="21"/>
                <w:szCs w:val="21"/>
                <w:lang w:val="en-US" w:eastAsia="zh-CN"/>
              </w:rPr>
              <w:t>8</w:t>
            </w:r>
            <w:r>
              <w:rPr>
                <w:rFonts w:hint="eastAsia" w:ascii="宋体" w:hAnsi="宋体" w:cs="宋体"/>
                <w:sz w:val="21"/>
                <w:szCs w:val="21"/>
              </w:rPr>
              <w:t>分，基本全面、合理的得</w:t>
            </w:r>
            <w:r>
              <w:rPr>
                <w:rFonts w:hint="eastAsia" w:ascii="宋体" w:hAnsi="宋体" w:cs="宋体"/>
                <w:sz w:val="21"/>
                <w:szCs w:val="21"/>
                <w:lang w:val="en-US" w:eastAsia="zh-CN"/>
              </w:rPr>
              <w:t>5</w:t>
            </w:r>
            <w:r>
              <w:rPr>
                <w:rFonts w:hint="eastAsia" w:ascii="宋体" w:hAnsi="宋体" w:cs="宋体"/>
                <w:sz w:val="21"/>
                <w:szCs w:val="21"/>
              </w:rPr>
              <w:t>分，不全面、不合理的得</w:t>
            </w:r>
            <w:r>
              <w:rPr>
                <w:rFonts w:hint="eastAsia" w:ascii="宋体" w:hAnsi="宋体" w:cs="宋体"/>
                <w:sz w:val="21"/>
                <w:szCs w:val="21"/>
                <w:lang w:val="en-US" w:eastAsia="zh-CN"/>
              </w:rPr>
              <w:t>2</w:t>
            </w:r>
            <w:r>
              <w:rPr>
                <w:rFonts w:hint="eastAsia" w:ascii="宋体" w:hAnsi="宋体" w:cs="宋体"/>
                <w:sz w:val="21"/>
                <w:szCs w:val="21"/>
              </w:rPr>
              <w:t>分。未提供的不得分。</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sz w:val="21"/>
                <w:szCs w:val="21"/>
                <w:lang w:eastAsia="zh-CN"/>
              </w:rPr>
              <w:t>健身跑道</w:t>
            </w:r>
            <w:r>
              <w:rPr>
                <w:rFonts w:hint="eastAsia" w:ascii="宋体" w:hAnsi="宋体" w:cs="宋体"/>
                <w:sz w:val="21"/>
                <w:szCs w:val="21"/>
              </w:rPr>
              <w:t>保洁方案</w:t>
            </w: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cs="宋体"/>
                <w:sz w:val="21"/>
                <w:szCs w:val="21"/>
              </w:rPr>
              <w:t>评委根据投标人的此项方案进行评比：方案全面、合理的得</w:t>
            </w:r>
            <w:r>
              <w:rPr>
                <w:rFonts w:hint="eastAsia" w:ascii="宋体" w:hAnsi="宋体" w:cs="宋体"/>
                <w:sz w:val="21"/>
                <w:szCs w:val="21"/>
                <w:lang w:val="en-US" w:eastAsia="zh-CN"/>
              </w:rPr>
              <w:t>8</w:t>
            </w:r>
            <w:r>
              <w:rPr>
                <w:rFonts w:hint="eastAsia" w:ascii="宋体" w:hAnsi="宋体" w:cs="宋体"/>
                <w:sz w:val="21"/>
                <w:szCs w:val="21"/>
              </w:rPr>
              <w:t>分，基本全面、合理的得</w:t>
            </w:r>
            <w:r>
              <w:rPr>
                <w:rFonts w:hint="eastAsia" w:ascii="宋体" w:hAnsi="宋体" w:cs="宋体"/>
                <w:sz w:val="21"/>
                <w:szCs w:val="21"/>
                <w:lang w:val="en-US" w:eastAsia="zh-CN"/>
              </w:rPr>
              <w:t>5</w:t>
            </w:r>
            <w:r>
              <w:rPr>
                <w:rFonts w:hint="eastAsia" w:ascii="宋体" w:hAnsi="宋体" w:cs="宋体"/>
                <w:sz w:val="21"/>
                <w:szCs w:val="21"/>
              </w:rPr>
              <w:t>分，不全面、不合理的得</w:t>
            </w:r>
            <w:r>
              <w:rPr>
                <w:rFonts w:hint="eastAsia" w:ascii="宋体" w:hAnsi="宋体" w:cs="宋体"/>
                <w:sz w:val="21"/>
                <w:szCs w:val="21"/>
                <w:lang w:val="en-US" w:eastAsia="zh-CN"/>
              </w:rPr>
              <w:t>2</w:t>
            </w:r>
            <w:r>
              <w:rPr>
                <w:rFonts w:hint="eastAsia" w:ascii="宋体" w:hAnsi="宋体" w:cs="宋体"/>
                <w:sz w:val="21"/>
                <w:szCs w:val="21"/>
              </w:rPr>
              <w:t>分。未提供的不得分。</w:t>
            </w:r>
          </w:p>
        </w:tc>
        <w:tc>
          <w:tcPr>
            <w:tcW w:w="690"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拟投入人员情况</w:t>
            </w: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项目管理机构设置及人员配置：评委根据投标人提供的方案进行评定，机构设置科学合理、人员配置优于招标要求的得</w:t>
            </w:r>
            <w:r>
              <w:rPr>
                <w:rFonts w:hint="eastAsia" w:ascii="宋体" w:hAnsi="宋体" w:cs="宋体"/>
                <w:color w:val="auto"/>
                <w:sz w:val="21"/>
                <w:szCs w:val="21"/>
                <w:lang w:val="en-US" w:eastAsia="zh-CN"/>
              </w:rPr>
              <w:t>16</w:t>
            </w:r>
            <w:r>
              <w:rPr>
                <w:rFonts w:hint="eastAsia" w:ascii="宋体" w:hAnsi="宋体" w:eastAsia="宋体" w:cs="宋体"/>
                <w:color w:val="auto"/>
                <w:sz w:val="21"/>
                <w:szCs w:val="21"/>
              </w:rPr>
              <w:t>分，机构设置合理、人员配置符合招标要求的得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分，机构设置和人员配置基本符合招标要求的得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分，机构设置和人员配置不能满足招标要求或缺项得0分。</w:t>
            </w:r>
          </w:p>
        </w:tc>
        <w:tc>
          <w:tcPr>
            <w:tcW w:w="690"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养护方案</w:t>
            </w: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服务的内容及方案：评委根据投标人提供的保洁方案进行评定，保洁方案优秀、完整、合理的得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分，保洁方案符合要求、思路一般的得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分，保洁方案勉强符合招标要求的</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分，保洁方案不符合招标要求或缺项得0分。</w:t>
            </w:r>
          </w:p>
        </w:tc>
        <w:tc>
          <w:tcPr>
            <w:tcW w:w="690" w:type="dxa"/>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rPr>
            </w:pP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服务的内容及方案：评委根据投标人提供的绿化养护方案进行评定，绿化养护方案优秀、完整、合理的得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分，绿化养护方案符合要求、思路一般的得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分，绿化方案勉强符合招标要求的</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分，绿化方案不符合招标要求或缺项得0分。</w:t>
            </w:r>
          </w:p>
        </w:tc>
        <w:tc>
          <w:tcPr>
            <w:tcW w:w="690"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lang w:val="en-US" w:eastAsia="zh-CN"/>
              </w:rPr>
            </w:pP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管理方案、岗位职责、操作规程：评委根据投标人提供的方案进行评定，管理方案完善、岗位职责明确、操作规范清晰的得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分，管理方案可行、岗位职责基本明确、操作规范可行的得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分，管理方案、岗位职责、操作规程一般的得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分，不能满足招标要求或缺项得0分。</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firstLine="210" w:firstLineChars="100"/>
              <w:jc w:val="both"/>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rPr>
            </w:pP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突发事故应急处理方案：评委根据投标人提供的方案进行评定，应急处理方案完整且合理可行、响应及时的得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分；应急处理方案完整、响应较及时、基本可行的得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分；应急处理方案较完整，响应较及时的得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分，不能满足招标要求或缺项得0分。</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rPr>
            </w:pP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合理化建议：评委根据投标人提供的建议进行评定，合理化建议科学、合理，符合实际，操作性强的得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分；合理化建议基本科学、合理，基本符合实际，操作性一般的得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分；合理化建议基本符合实际，操作性差的得1分，不能满足招标要求或缺项得0分。</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rPr>
            </w:pP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本地化服务：根据投标人的机构设置、人员配置、承接项目情况和办公场地等情况进行综合评审。本地化服务能力优秀、服务到位、有利于开展服务工作的得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分，本地化服务到位、基本满足服务工作要求的得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分，本地化服务基本到位、基本满足服务工作要求的得1分，不能满足招标要求或缺项得0分。</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63"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rPr>
            </w:pPr>
          </w:p>
        </w:tc>
        <w:tc>
          <w:tcPr>
            <w:tcW w:w="1484"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宋体" w:hAnsi="宋体" w:eastAsia="宋体" w:cs="宋体"/>
                <w:color w:val="auto"/>
                <w:sz w:val="21"/>
                <w:szCs w:val="21"/>
                <w:lang w:val="en-US" w:eastAsia="zh-CN"/>
              </w:rPr>
            </w:pPr>
          </w:p>
        </w:tc>
        <w:tc>
          <w:tcPr>
            <w:tcW w:w="70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投标人优惠承诺：评委根据投标人提供的方案进行评定，优惠承诺有利于明显提高服务质量的得3</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分，优惠承诺有利于提高服务质量的得2分，其他优惠承诺得1分，缺项得0分。</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r>
              <w:rPr>
                <w:rFonts w:hint="eastAsia" w:ascii="宋体" w:hAnsi="宋体" w:cs="宋体"/>
                <w:b w:val="0"/>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1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58" w:beforeLines="20" w:beforeAutospacing="0" w:after="58" w:afterLines="20" w:afterAutospacing="0" w:line="26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85</w:t>
            </w: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w:t>
      </w:r>
    </w:p>
    <w:p>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附表4</w:t>
      </w:r>
    </w:p>
    <w:p>
      <w:pPr>
        <w:widowControl/>
        <w:snapToGrid w:val="0"/>
        <w:spacing w:line="5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初步审查表</w:t>
      </w:r>
    </w:p>
    <w:tbl>
      <w:tblPr>
        <w:tblStyle w:val="4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0"/>
              </w:rPr>
            </w:pPr>
            <w:r>
              <w:rPr>
                <w:rFonts w:hint="eastAsia" w:ascii="宋体" w:hAnsi="宋体" w:eastAsia="宋体" w:cs="宋体"/>
                <w:color w:val="auto"/>
                <w:szCs w:val="20"/>
              </w:rPr>
              <w:t>序号</w:t>
            </w:r>
          </w:p>
        </w:tc>
        <w:tc>
          <w:tcPr>
            <w:tcW w:w="58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0"/>
              </w:rPr>
            </w:pPr>
            <w:r>
              <w:rPr>
                <w:rFonts w:hint="eastAsia" w:ascii="宋体" w:hAnsi="宋体" w:eastAsia="宋体" w:cs="宋体"/>
                <w:color w:val="auto"/>
                <w:szCs w:val="20"/>
              </w:rPr>
              <w:t>要求说明</w:t>
            </w:r>
          </w:p>
        </w:tc>
        <w:tc>
          <w:tcPr>
            <w:tcW w:w="283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0"/>
              </w:rPr>
            </w:pPr>
            <w:r>
              <w:rPr>
                <w:rFonts w:hint="eastAsia" w:ascii="宋体" w:hAnsi="宋体" w:eastAsia="宋体" w:cs="宋体"/>
                <w:color w:val="auto"/>
                <w:szCs w:val="20"/>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0"/>
              </w:rPr>
            </w:pPr>
            <w:r>
              <w:rPr>
                <w:rFonts w:hint="eastAsia" w:ascii="宋体" w:hAnsi="宋体" w:eastAsia="宋体" w:cs="宋体"/>
                <w:color w:val="auto"/>
                <w:szCs w:val="20"/>
              </w:rPr>
              <w:t>1</w:t>
            </w:r>
          </w:p>
        </w:tc>
        <w:tc>
          <w:tcPr>
            <w:tcW w:w="585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0"/>
              </w:rPr>
            </w:pPr>
            <w:r>
              <w:rPr>
                <w:rFonts w:hint="eastAsia" w:ascii="宋体" w:hAnsi="宋体" w:eastAsia="宋体" w:cs="宋体"/>
                <w:color w:val="auto"/>
                <w:szCs w:val="20"/>
              </w:rPr>
              <w:t>本次公开招标设有最高投标报价，投标报价超过预算价的按无效标处理。</w:t>
            </w:r>
          </w:p>
        </w:tc>
        <w:tc>
          <w:tcPr>
            <w:tcW w:w="2836"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0"/>
              </w:rPr>
            </w:pPr>
            <w:r>
              <w:rPr>
                <w:rFonts w:hint="eastAsia" w:ascii="宋体" w:hAnsi="宋体" w:eastAsia="宋体" w:cs="宋体"/>
                <w:color w:val="auto"/>
                <w:szCs w:val="20"/>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0"/>
              </w:rPr>
            </w:pPr>
            <w:r>
              <w:rPr>
                <w:rFonts w:hint="eastAsia" w:ascii="宋体" w:hAnsi="宋体" w:eastAsia="宋体" w:cs="宋体"/>
                <w:color w:val="auto"/>
                <w:szCs w:val="20"/>
              </w:rPr>
              <w:t>2</w:t>
            </w:r>
          </w:p>
        </w:tc>
        <w:tc>
          <w:tcPr>
            <w:tcW w:w="585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0"/>
              </w:rPr>
            </w:pPr>
            <w:r>
              <w:rPr>
                <w:rFonts w:hint="eastAsia" w:ascii="宋体" w:hAnsi="宋体" w:eastAsia="宋体" w:cs="宋体"/>
                <w:color w:val="auto"/>
                <w:szCs w:val="20"/>
              </w:rPr>
              <w:t>符合第二章“投标须知”第九、1条的要求。</w:t>
            </w:r>
          </w:p>
        </w:tc>
        <w:tc>
          <w:tcPr>
            <w:tcW w:w="2836"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0"/>
              </w:rPr>
            </w:pPr>
            <w:r>
              <w:rPr>
                <w:rFonts w:hint="eastAsia" w:ascii="宋体" w:hAnsi="宋体" w:eastAsia="宋体" w:cs="宋体"/>
                <w:color w:val="auto"/>
                <w:szCs w:val="20"/>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0"/>
              </w:rPr>
            </w:pPr>
            <w:r>
              <w:rPr>
                <w:rFonts w:hint="eastAsia" w:ascii="宋体" w:hAnsi="宋体" w:eastAsia="宋体" w:cs="宋体"/>
                <w:color w:val="auto"/>
                <w:szCs w:val="20"/>
              </w:rPr>
              <w:t>3</w:t>
            </w:r>
          </w:p>
        </w:tc>
        <w:tc>
          <w:tcPr>
            <w:tcW w:w="5859"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0"/>
              </w:rPr>
            </w:pPr>
            <w:r>
              <w:rPr>
                <w:rFonts w:hint="eastAsia" w:ascii="宋体" w:hAnsi="宋体" w:eastAsia="宋体" w:cs="宋体"/>
                <w:color w:val="auto"/>
                <w:szCs w:val="20"/>
              </w:rPr>
              <w:t>评标委员会认为供应商的报价明显低于其他通过第一阶段评审供应商的报价，有可能影响</w:t>
            </w:r>
            <w:r>
              <w:rPr>
                <w:rFonts w:hint="eastAsia" w:ascii="宋体" w:hAnsi="宋体" w:cs="宋体"/>
                <w:color w:val="auto"/>
                <w:szCs w:val="20"/>
                <w:lang w:val="en-US" w:eastAsia="zh-CN"/>
              </w:rPr>
              <w:t>服务</w:t>
            </w:r>
            <w:r>
              <w:rPr>
                <w:rFonts w:hint="eastAsia" w:ascii="宋体" w:hAnsi="宋体" w:eastAsia="宋体" w:cs="宋体"/>
                <w:color w:val="auto"/>
                <w:szCs w:val="20"/>
              </w:rPr>
              <w:t>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0"/>
              </w:rPr>
            </w:pPr>
            <w:r>
              <w:rPr>
                <w:rFonts w:hint="eastAsia" w:ascii="宋体" w:hAnsi="宋体" w:eastAsia="宋体" w:cs="宋体"/>
                <w:color w:val="auto"/>
                <w:szCs w:val="20"/>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859"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符合法律、法规和招标文件中规定的其他实质性要求（实质性要求招标文件中“</w:t>
            </w:r>
            <w:r>
              <w:rPr>
                <w:rFonts w:hint="eastAsia" w:ascii="宋体" w:hAnsi="宋体" w:eastAsia="宋体" w:cs="宋体"/>
                <w:b/>
                <w:color w:val="auto"/>
                <w:sz w:val="24"/>
                <w:szCs w:val="20"/>
                <w:highlight w:val="none"/>
              </w:rPr>
              <w:t>▲</w:t>
            </w:r>
            <w:r>
              <w:rPr>
                <w:rFonts w:hint="eastAsia" w:ascii="宋体" w:hAnsi="宋体" w:eastAsia="宋体" w:cs="宋体"/>
                <w:color w:val="auto"/>
                <w:szCs w:val="21"/>
                <w:highlight w:val="none"/>
              </w:rPr>
              <w:t>”标记）</w:t>
            </w:r>
          </w:p>
        </w:tc>
        <w:tc>
          <w:tcPr>
            <w:tcW w:w="2836"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初步审查结论</w:t>
            </w:r>
          </w:p>
        </w:tc>
        <w:tc>
          <w:tcPr>
            <w:tcW w:w="2836"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r>
    </w:tbl>
    <w:p>
      <w:pPr>
        <w:spacing w:line="400" w:lineRule="exact"/>
        <w:rPr>
          <w:rFonts w:hint="eastAsia" w:ascii="宋体" w:hAnsi="宋体" w:eastAsia="宋体" w:cs="宋体"/>
          <w:color w:val="auto"/>
          <w:szCs w:val="21"/>
          <w:highlight w:val="none"/>
        </w:rPr>
      </w:pPr>
      <w:r>
        <w:rPr>
          <w:rFonts w:hint="eastAsia" w:ascii="宋体" w:hAnsi="宋体" w:eastAsia="宋体" w:cs="宋体"/>
          <w:b/>
          <w:color w:val="auto"/>
          <w:highlight w:val="none"/>
        </w:rPr>
        <w:t>注：1、上述审查项目中，任意一项不符合的，初步审查不合格。</w:t>
      </w:r>
    </w:p>
    <w:p>
      <w:pPr>
        <w:spacing w:line="400" w:lineRule="exact"/>
        <w:rPr>
          <w:rFonts w:hint="eastAsia" w:ascii="宋体" w:hAnsi="宋体" w:eastAsia="宋体" w:cs="宋体"/>
          <w:color w:val="auto"/>
          <w:szCs w:val="21"/>
          <w:highlight w:val="none"/>
        </w:rPr>
      </w:pPr>
      <w:r>
        <w:rPr>
          <w:rFonts w:hint="eastAsia" w:ascii="宋体" w:hAnsi="宋体" w:eastAsia="宋体" w:cs="宋体"/>
          <w:b/>
          <w:color w:val="auto"/>
          <w:highlight w:val="none"/>
        </w:rPr>
        <w:t xml:space="preserve">    2、序号2-序号4在政采云上无须添加关联点。</w:t>
      </w:r>
    </w:p>
    <w:p>
      <w:pPr>
        <w:spacing w:line="400" w:lineRule="exact"/>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附表5</w:t>
      </w:r>
    </w:p>
    <w:p>
      <w:pPr>
        <w:widowControl/>
        <w:snapToGrid w:val="0"/>
        <w:spacing w:line="5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价格评分表</w:t>
      </w:r>
    </w:p>
    <w:p>
      <w:pPr>
        <w:spacing w:line="32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tbl>
      <w:tblPr>
        <w:tblStyle w:val="4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7317"/>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line="320" w:lineRule="exact"/>
              <w:ind w:left="0" w:right="0" w:firstLine="4410" w:firstLineChars="2100"/>
              <w:rPr>
                <w:rFonts w:hint="eastAsia" w:ascii="宋体" w:hAnsi="宋体" w:eastAsia="宋体" w:cs="宋体"/>
                <w:color w:val="auto"/>
                <w:sz w:val="21"/>
                <w:szCs w:val="21"/>
              </w:rPr>
            </w:pPr>
            <w:r>
              <w:rPr>
                <w:rFonts w:hint="eastAsia" w:ascii="宋体" w:hAnsi="宋体" w:eastAsia="宋体" w:cs="宋体"/>
                <w:color w:val="auto"/>
                <w:sz w:val="21"/>
                <w:szCs w:val="21"/>
              </w:rPr>
              <w:t>供应商</w:t>
            </w:r>
          </w:p>
          <w:p>
            <w:pPr>
              <w:keepNext w:val="0"/>
              <w:keepLines w:val="0"/>
              <w:suppressLineNumbers w:val="0"/>
              <w:spacing w:before="0" w:beforeLines="0" w:beforeAutospacing="0" w:after="0" w:afterLines="0" w:afterAutospacing="0" w:line="320" w:lineRule="exact"/>
              <w:ind w:left="0" w:right="0" w:firstLine="945" w:firstLineChars="450"/>
              <w:rPr>
                <w:rFonts w:hint="eastAsia" w:ascii="宋体" w:hAnsi="宋体" w:eastAsia="宋体" w:cs="宋体"/>
                <w:color w:val="auto"/>
                <w:sz w:val="21"/>
                <w:szCs w:val="21"/>
                <w:lang w:val="ru-RU"/>
              </w:rPr>
            </w:pPr>
            <w:r>
              <w:rPr>
                <w:rFonts w:hint="eastAsia" w:ascii="宋体" w:hAnsi="宋体" w:eastAsia="宋体" w:cs="宋体"/>
                <w:color w:val="auto"/>
                <w:sz w:val="21"/>
                <w:szCs w:val="21"/>
              </w:rPr>
              <w:t>分值</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宋体"/>
                <w:color w:val="auto"/>
                <w:sz w:val="21"/>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jc w:val="center"/>
        </w:trPr>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价格分</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7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4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评标基准价=满足招标文件要求且“参与评审的价格”中最低的价格为评标基准价</w:t>
            </w:r>
          </w:p>
          <w:p>
            <w:pPr>
              <w:keepNext w:val="0"/>
              <w:keepLines w:val="0"/>
              <w:suppressLineNumbers w:val="0"/>
              <w:spacing w:before="0" w:beforeLines="0" w:beforeAutospacing="0" w:after="0" w:afterLines="0" w:afterAutospacing="0" w:line="34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基准价得分为满分</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分，其他供应商报价得分计算公式如下：</w:t>
            </w:r>
          </w:p>
          <w:p>
            <w:pPr>
              <w:keepNext w:val="0"/>
              <w:keepLines w:val="0"/>
              <w:suppressLineNumbers w:val="0"/>
              <w:spacing w:before="0" w:beforeLines="0" w:beforeAutospacing="0" w:after="0" w:afterLines="0" w:afterAutospacing="0" w:line="340" w:lineRule="exact"/>
              <w:ind w:left="0" w:righ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其他供应商报价得分=（评标基准价/参与评审的价格）×</w:t>
            </w:r>
            <w:r>
              <w:rPr>
                <w:rFonts w:hint="eastAsia" w:ascii="宋体" w:hAnsi="宋体" w:cs="宋体"/>
                <w:color w:val="auto"/>
                <w:sz w:val="21"/>
                <w:szCs w:val="21"/>
                <w:lang w:val="en-US" w:eastAsia="zh-CN"/>
              </w:rPr>
              <w:t>15</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b/>
                <w:color w:val="auto"/>
                <w:sz w:val="21"/>
                <w:szCs w:val="21"/>
              </w:rPr>
              <w:t>报价得分（</w:t>
            </w:r>
            <w:r>
              <w:rPr>
                <w:rFonts w:hint="eastAsia" w:ascii="宋体" w:hAnsi="宋体" w:cs="宋体"/>
                <w:b/>
                <w:color w:val="auto"/>
                <w:sz w:val="21"/>
                <w:szCs w:val="21"/>
                <w:lang w:val="en-US" w:eastAsia="zh-CN"/>
              </w:rPr>
              <w:t>15</w:t>
            </w:r>
            <w:r>
              <w:rPr>
                <w:rFonts w:hint="eastAsia" w:ascii="宋体" w:hAnsi="宋体" w:eastAsia="宋体" w:cs="宋体"/>
                <w:b/>
                <w:color w:val="auto"/>
                <w:sz w:val="21"/>
                <w:szCs w:val="21"/>
              </w:rPr>
              <w:t>分）</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宋体"/>
                <w:color w:val="auto"/>
                <w:sz w:val="21"/>
                <w:szCs w:val="21"/>
              </w:rPr>
            </w:pPr>
          </w:p>
        </w:tc>
      </w:tr>
    </w:tbl>
    <w:p>
      <w:pPr>
        <w:spacing w:line="320" w:lineRule="exact"/>
        <w:rPr>
          <w:rFonts w:ascii="宋体" w:hAnsi="宋体"/>
          <w:color w:val="auto"/>
          <w:sz w:val="28"/>
          <w:szCs w:val="28"/>
          <w:highlight w:val="none"/>
        </w:rPr>
      </w:pPr>
    </w:p>
    <w:p>
      <w:pPr>
        <w:ind w:right="-1226" w:rightChars="-584"/>
        <w:jc w:val="left"/>
        <w:rPr>
          <w:rFonts w:ascii="宋体" w:hAnsi="宋体"/>
          <w:color w:val="auto"/>
          <w:sz w:val="28"/>
          <w:szCs w:val="28"/>
          <w:highlight w:val="none"/>
        </w:rPr>
      </w:pPr>
    </w:p>
    <w:p>
      <w:pPr>
        <w:ind w:right="-1226" w:rightChars="-584"/>
        <w:jc w:val="center"/>
        <w:rPr>
          <w:rFonts w:ascii="宋体" w:hAnsi="宋体"/>
          <w:color w:val="auto"/>
          <w:sz w:val="28"/>
          <w:szCs w:val="28"/>
          <w:highlight w:val="none"/>
        </w:rPr>
        <w:sectPr>
          <w:headerReference r:id="rId6" w:type="default"/>
          <w:footerReference r:id="rId7" w:type="default"/>
          <w:type w:val="nextColumn"/>
          <w:pgSz w:w="11907" w:h="16840"/>
          <w:pgMar w:top="1440" w:right="1080" w:bottom="1440" w:left="1080" w:header="285" w:footer="616" w:gutter="0"/>
          <w:pgBorders w:offsetFrom="page">
            <w:top w:val="none" w:sz="0" w:space="0"/>
            <w:left w:val="none" w:sz="0" w:space="0"/>
            <w:bottom w:val="none" w:sz="0" w:space="0"/>
            <w:right w:val="none" w:sz="0" w:space="0"/>
          </w:pgBorders>
          <w:pgNumType w:fmt="decimal"/>
          <w:cols w:space="720" w:num="1"/>
          <w:docGrid w:linePitch="285" w:charSpace="0"/>
        </w:sectPr>
      </w:pPr>
    </w:p>
    <w:p>
      <w:pPr>
        <w:spacing w:line="400" w:lineRule="exact"/>
        <w:jc w:val="center"/>
        <w:outlineLvl w:val="0"/>
        <w:rPr>
          <w:rFonts w:ascii="宋体" w:hAnsi="宋体"/>
          <w:b/>
          <w:color w:val="auto"/>
          <w:sz w:val="32"/>
          <w:highlight w:val="none"/>
        </w:rPr>
      </w:pPr>
      <w:bookmarkStart w:id="32" w:name="_Toc8117"/>
      <w:r>
        <w:rPr>
          <w:rFonts w:hint="eastAsia" w:ascii="宋体" w:hAnsi="宋体"/>
          <w:b/>
          <w:color w:val="auto"/>
          <w:sz w:val="32"/>
          <w:highlight w:val="none"/>
        </w:rPr>
        <w:t>第四章采购合同样本</w:t>
      </w:r>
      <w:bookmarkEnd w:id="32"/>
    </w:p>
    <w:p>
      <w:pPr>
        <w:pStyle w:val="25"/>
        <w:snapToGrid w:val="0"/>
        <w:spacing w:beforeLines="0" w:afterLines="0" w:line="400" w:lineRule="exact"/>
        <w:jc w:val="center"/>
        <w:rPr>
          <w:rFonts w:hint="eastAsia" w:ascii="宋体" w:hAnsi="宋体" w:eastAsia="宋体" w:cs="宋体"/>
          <w:b/>
          <w:color w:val="auto"/>
          <w:sz w:val="22"/>
          <w:szCs w:val="20"/>
        </w:rPr>
      </w:pPr>
      <w:bookmarkStart w:id="33" w:name="_Toc216662965"/>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采购人（甲方）：</w:t>
      </w:r>
      <w:r>
        <w:rPr>
          <w:rFonts w:hint="eastAsia" w:ascii="宋体" w:hAnsi="宋体" w:cs="宋体"/>
          <w:color w:val="auto"/>
          <w:sz w:val="21"/>
          <w:szCs w:val="21"/>
          <w:lang w:eastAsia="zh-CN"/>
        </w:rPr>
        <w:t>慈溪滨海经济开发区管理委员会</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供应商（乙方）： </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为明确甲乙双方的权利义务，依照《中华人民共和国民法典》及其他有关法律、法规的规定，遵循平等、自愿、公平和诚实信用的原则，双方就甲方所属</w:t>
      </w:r>
      <w:r>
        <w:rPr>
          <w:rFonts w:hint="eastAsia" w:ascii="宋体" w:hAnsi="宋体" w:cs="宋体"/>
          <w:color w:val="auto"/>
          <w:sz w:val="21"/>
          <w:szCs w:val="21"/>
          <w:lang w:eastAsia="zh-CN"/>
        </w:rPr>
        <w:t>慈溪滨海经济开发区灵峰路绿化养护、道路保洁、公厕保洁服务项目</w:t>
      </w:r>
      <w:r>
        <w:rPr>
          <w:rFonts w:hint="eastAsia" w:ascii="宋体" w:hAnsi="宋体" w:eastAsia="宋体" w:cs="宋体"/>
          <w:color w:val="auto"/>
          <w:sz w:val="21"/>
          <w:szCs w:val="21"/>
        </w:rPr>
        <w:t>的采购事宜协商一致，订立本合同。</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第一条  项目名称</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慈溪滨海经济开发区灵峰路绿化养护、道路保洁、公厕保洁服务项目</w:t>
      </w:r>
      <w:r>
        <w:rPr>
          <w:rFonts w:hint="eastAsia" w:ascii="宋体" w:hAnsi="宋体" w:eastAsia="宋体" w:cs="宋体"/>
          <w:color w:val="auto"/>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服务范围</w:t>
      </w:r>
    </w:p>
    <w:tbl>
      <w:tblPr>
        <w:tblStyle w:val="48"/>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58"/>
        <w:gridCol w:w="549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358" w:type="dxa"/>
            <w:noWrap w:val="0"/>
            <w:vAlign w:val="center"/>
          </w:tcPr>
          <w:p>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内容</w:t>
            </w:r>
          </w:p>
        </w:tc>
        <w:tc>
          <w:tcPr>
            <w:tcW w:w="5490" w:type="dxa"/>
            <w:noWrap w:val="0"/>
            <w:vAlign w:val="center"/>
          </w:tcPr>
          <w:p>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项目名称</w:t>
            </w:r>
          </w:p>
        </w:tc>
        <w:tc>
          <w:tcPr>
            <w:tcW w:w="1739" w:type="dxa"/>
            <w:noWrap w:val="0"/>
            <w:vAlign w:val="center"/>
          </w:tcPr>
          <w:p>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大部分</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175200m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橫七路—入口交界处</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7800m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入口景观处</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6500m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市民广场滨水绿化带</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17500m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沿海北线-慈东大道中间路段</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2940m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金融中心</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5266.9m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办公大楼内</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9249m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南楼+进口处绿化</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7493m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灵绪路垃圾分拣中心</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道路保洁</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健身跑道</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18440m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公厕</w:t>
            </w:r>
            <w:r>
              <w:rPr>
                <w:rStyle w:val="130"/>
                <w:rFonts w:hint="eastAsia" w:asciiTheme="minorEastAsia" w:hAnsiTheme="minorEastAsia" w:eastAsiaTheme="minorEastAsia" w:cstheme="minorEastAsia"/>
                <w:sz w:val="21"/>
                <w:szCs w:val="21"/>
                <w:lang w:val="en-US" w:eastAsia="zh-CN" w:bidi="ar"/>
              </w:rPr>
              <w:t>保洁</w:t>
            </w:r>
          </w:p>
        </w:tc>
        <w:tc>
          <w:tcPr>
            <w:tcW w:w="549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公厕</w:t>
            </w:r>
            <w:r>
              <w:rPr>
                <w:rStyle w:val="130"/>
                <w:rFonts w:hint="eastAsia" w:asciiTheme="minorEastAsia" w:hAnsiTheme="minorEastAsia" w:eastAsiaTheme="minorEastAsia" w:cstheme="minorEastAsia"/>
                <w:sz w:val="21"/>
                <w:szCs w:val="21"/>
                <w:lang w:val="en-US" w:eastAsia="zh-CN" w:bidi="ar"/>
              </w:rPr>
              <w:t>保洁</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2个</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质量要求、人员要求</w:t>
      </w:r>
    </w:p>
    <w:p>
      <w:pPr>
        <w:pStyle w:val="47"/>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Theme="minorEastAsia" w:hAnsiTheme="minorEastAsia" w:eastAsiaTheme="minorEastAsia" w:cstheme="minorEastAsia"/>
          <w:b/>
          <w:bCs/>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绿化</w:t>
      </w:r>
      <w:r>
        <w:rPr>
          <w:rFonts w:hint="eastAsia" w:asciiTheme="minorEastAsia" w:hAnsiTheme="minorEastAsia" w:eastAsiaTheme="minorEastAsia" w:cstheme="minorEastAsia"/>
          <w:color w:val="000000"/>
          <w:spacing w:val="0"/>
          <w:sz w:val="21"/>
          <w:szCs w:val="21"/>
          <w:lang w:val="en-US"/>
        </w:rPr>
        <w:t>养护：</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（1）</w:t>
      </w:r>
      <w:r>
        <w:rPr>
          <w:rFonts w:hint="eastAsia" w:asciiTheme="minorEastAsia" w:hAnsiTheme="minorEastAsia" w:eastAsiaTheme="minorEastAsia" w:cstheme="minorEastAsia"/>
          <w:color w:val="000000"/>
          <w:spacing w:val="0"/>
          <w:sz w:val="21"/>
          <w:szCs w:val="21"/>
          <w:lang w:val="en-US"/>
        </w:rPr>
        <w:t>绿化充分，植物配置合理，达到黄土不</w:t>
      </w:r>
      <w:r>
        <w:rPr>
          <w:rFonts w:hint="eastAsia" w:asciiTheme="minorEastAsia" w:hAnsiTheme="minorEastAsia" w:eastAsiaTheme="minorEastAsia" w:cstheme="minorEastAsia"/>
          <w:color w:val="000000"/>
          <w:spacing w:val="0"/>
          <w:sz w:val="21"/>
          <w:szCs w:val="21"/>
          <w:lang w:val="en-US" w:eastAsia="zh-CN"/>
        </w:rPr>
        <w:t>露天</w:t>
      </w:r>
      <w:r>
        <w:rPr>
          <w:rFonts w:hint="eastAsia" w:asciiTheme="minorEastAsia" w:hAnsiTheme="minorEastAsia" w:eastAsiaTheme="minorEastAsia" w:cstheme="minorEastAsia"/>
          <w:color w:val="000000"/>
          <w:spacing w:val="0"/>
          <w:sz w:val="21"/>
          <w:szCs w:val="21"/>
          <w:lang w:val="en-US"/>
        </w:rPr>
        <w:t>。</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2）园林植物达到：</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1)生长势：好。生长超过该树种该规格的平均生长量(平均生长量待以后调查确定)。</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2)叶子健壮：①叶色正常，叶大而肥厚、在正常的条件下不黄叶，不焦叶、不卷叶、不落叶，叶上无虫尿虫网灰尘；②被啃咬的叶片最严重的每株在5%以下(包括5%，以下同)。</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3)枝、干健壮：①无明显枯枝、枯杈、枝条粗壮，过冬前新梢木质化；②无蛀干害虫的活卵活虫；③介壳虫最严重处主枝干上100平方厘米1头活虫以下(包括1头，以下同)，较细的枝条每尺长的一段上在5头活虫以下(包括5头，以下同);株数都在2%以下(包括2%，以下同)；④树冠完整：分支点合适，主侧枝分布均称和数量适宜、内膛不乱、通风透光。</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4)措施好：按一级技术措施要求认真进行养护。</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5)行道树基本无缺株。</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6)草坪覆盖率应基本达到100%；草坪内杂草控制在10%以内；生长茂盛颜色正常，不枯黄；每年修剪暖地型6次以上，冷地型15次以上；无病虫害。</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3）行道树和绿地内无死树，树木修剪合理，树形美观，能及时很好地解决树木与电线、建筑物、交通等之间的矛盾。</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4）绿化生产垃圾(如：树枝、树叶、草沫等)重点地区路段能做到随产随清，其它地区和路段做到日产日清;绿地整洁，无砖石瓦块、筐和塑料袋等废弃物，并做到经常保洁。</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5）栏杆、园路、桌椅、井盖和牌饰等园林设施完整，做到及时维护和油饰。</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6）无明显地人为损坏，绿地、草坪内无堆物堆料、搭棚或侵占等；行道树树干上无钉栓刻画的现象，树下距树干2米范围内无堆物堆料、搭棚设摊、圈栏等影响树木养护管理和生长的现象（2米以内如有），则应有保护措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公厕保洁：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1）提供公厕保洁人员名单和联系电话号码，保洁人员有变化应及时提供新名册；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2）保洁人员必须穿着工作服上岗，严格禁止穿拖鞋，言行举止有损形象，严禁上班时间做与工作无关之事。8点之后进入巡回动态保洁，严禁提前撤退，上班脱岗、缺岗、串岗，酒后工作。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3）公厕要求落实专人24小时保洁；保持公厕上下四壁无尘网、无蝇蛆、无尿碱、无痰迹、无积灰、无恶臭、无满溢，地面、蹲台面、小便池、门窗墙裙清洁无垃圾，公厕外无垃圾或“牛皮癣”。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4）公厕外（有绿化带的，以绿化带外围为界限；无绿化带的，外墙起3米范围内）无可见垃圾，无乱吊挂、杂物堆放；保洁用具摆放整洁晾晒隐蔽，及时放入工具间。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5）化粪池定期清理,确保管道畅通，无满溢。吸粪池内不得有沉淀物、必须每</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rPr>
        <w:t>清理不少于一次。应保持作业场地清洁卫生、无遗撒粪便、吸粪结束后，应盖严粪口，保持周围清洁；粪便运输车辆在运输过程中全密闭，无滴漏。不能发现出粪口无盖。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6）公厕设施设备无破损缺失，使用正常，标识标牌规范。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bCs/>
          <w:color w:val="000000"/>
          <w:spacing w:val="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健身跑道</w:t>
      </w:r>
      <w:r>
        <w:rPr>
          <w:rFonts w:hint="eastAsia" w:asciiTheme="minorEastAsia" w:hAnsiTheme="minorEastAsia" w:eastAsiaTheme="minorEastAsia" w:cstheme="minorEastAsia"/>
          <w:kern w:val="0"/>
          <w:sz w:val="21"/>
          <w:szCs w:val="21"/>
          <w:lang w:val="en-US" w:eastAsia="zh-CN"/>
        </w:rPr>
        <w:t>保洁：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健身跑道</w:t>
      </w:r>
      <w:r>
        <w:rPr>
          <w:rFonts w:hint="eastAsia" w:asciiTheme="minorEastAsia" w:hAnsiTheme="minorEastAsia" w:eastAsiaTheme="minorEastAsia" w:cstheme="minorEastAsia"/>
          <w:kern w:val="0"/>
          <w:sz w:val="21"/>
          <w:szCs w:val="21"/>
        </w:rPr>
        <w:t>清扫保洁质量：应达到路面整洁，无烟蒂白色垃圾,无果皮纸屑，路面无土石杂物，无积水积泥，无堆积物，雨水口、窨井口无积泥杂物。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首次普扫应在上午7:30时前结束，其余时间为巡回保洁（实行八小时制巡回保洁），生活垃圾收集，并运到慈溪中科众茂环保热电有限公司进行处理。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保洁人员应文明作业，不得将垃圾、污水扫到或溅到行人身上，禁止将垃圾堆入或留在窨井盖上，禁止将垃圾扫入或倒入窨井（如导致窨井堵塞，由乙方负责疏通）、道路绿地、河道等处，不得焚烧垃圾，必须运到慈溪中科众茂环保热电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乙方应当遵守《宁波市市容环境卫生管理条例》、《宁波市建筑垃圾管理办法》等法律法规及有关规定。</w:t>
      </w:r>
    </w:p>
    <w:p>
      <w:pPr>
        <w:keepNext w:val="0"/>
        <w:keepLines w:val="0"/>
        <w:pageBreakBefore w:val="0"/>
        <w:kinsoku/>
        <w:wordWrap/>
        <w:overflowPunct/>
        <w:topLinePunct w:val="0"/>
        <w:autoSpaceDE/>
        <w:autoSpaceDN/>
        <w:bidi w:val="0"/>
        <w:adjustRightInd/>
        <w:snapToGrid/>
        <w:spacing w:beforeLines="0" w:afterLines="0"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冰雪天气，做好</w:t>
      </w:r>
      <w:r>
        <w:rPr>
          <w:rFonts w:hint="eastAsia" w:asciiTheme="minorEastAsia" w:hAnsiTheme="minorEastAsia" w:eastAsiaTheme="minorEastAsia" w:cstheme="minorEastAsia"/>
          <w:kern w:val="0"/>
          <w:sz w:val="21"/>
          <w:szCs w:val="21"/>
          <w:lang w:eastAsia="zh-CN"/>
        </w:rPr>
        <w:t>跑道</w:t>
      </w:r>
      <w:r>
        <w:rPr>
          <w:rFonts w:hint="eastAsia" w:asciiTheme="minorEastAsia" w:hAnsiTheme="minorEastAsia" w:eastAsiaTheme="minorEastAsia" w:cstheme="minorEastAsia"/>
          <w:kern w:val="0"/>
          <w:sz w:val="21"/>
          <w:szCs w:val="21"/>
        </w:rPr>
        <w:t>的除冰工作。</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人员配备要求：</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（1）乙方</w:t>
      </w:r>
      <w:r>
        <w:rPr>
          <w:rFonts w:hint="eastAsia" w:asciiTheme="minorEastAsia" w:hAnsiTheme="minorEastAsia" w:eastAsiaTheme="minorEastAsia" w:cstheme="minorEastAsia"/>
          <w:color w:val="000000"/>
          <w:spacing w:val="0"/>
          <w:sz w:val="21"/>
          <w:szCs w:val="21"/>
          <w:lang w:val="en-US"/>
        </w:rPr>
        <w:t>须至少应配备如下人员：</w:t>
      </w:r>
      <w:r>
        <w:rPr>
          <w:rFonts w:hint="eastAsia" w:asciiTheme="minorEastAsia" w:hAnsiTheme="minorEastAsia" w:eastAsiaTheme="minorEastAsia" w:cstheme="minorEastAsia"/>
          <w:color w:val="000000"/>
          <w:spacing w:val="0"/>
          <w:sz w:val="21"/>
          <w:szCs w:val="21"/>
          <w:lang w:val="en-US" w:eastAsia="zh-CN"/>
        </w:rPr>
        <w:t>项目经理</w:t>
      </w:r>
      <w:r>
        <w:rPr>
          <w:rFonts w:hint="eastAsia" w:asciiTheme="minorEastAsia" w:hAnsiTheme="minorEastAsia" w:eastAsiaTheme="minorEastAsia" w:cstheme="minorEastAsia"/>
          <w:color w:val="000000"/>
          <w:spacing w:val="0"/>
          <w:sz w:val="21"/>
          <w:szCs w:val="21"/>
          <w:lang w:val="en-US"/>
        </w:rPr>
        <w:t>1名，技术人员</w:t>
      </w:r>
      <w:r>
        <w:rPr>
          <w:rFonts w:hint="eastAsia" w:asciiTheme="minorEastAsia" w:hAnsiTheme="minorEastAsia" w:eastAsiaTheme="minorEastAsia" w:cstheme="minorEastAsia"/>
          <w:color w:val="000000"/>
          <w:spacing w:val="0"/>
          <w:sz w:val="21"/>
          <w:szCs w:val="21"/>
          <w:lang w:val="en-US" w:eastAsia="zh-CN"/>
        </w:rPr>
        <w:t>1名，</w:t>
      </w:r>
      <w:r>
        <w:rPr>
          <w:rFonts w:hint="eastAsia" w:asciiTheme="minorEastAsia" w:hAnsiTheme="minorEastAsia" w:eastAsiaTheme="minorEastAsia" w:cstheme="minorEastAsia"/>
          <w:color w:val="000000"/>
          <w:spacing w:val="0"/>
          <w:sz w:val="21"/>
          <w:szCs w:val="21"/>
          <w:lang w:val="en-US"/>
        </w:rPr>
        <w:t>管理人员1名，驾驶员</w:t>
      </w:r>
      <w:r>
        <w:rPr>
          <w:rFonts w:hint="eastAsia" w:asciiTheme="minorEastAsia" w:hAnsiTheme="minorEastAsia" w:eastAsiaTheme="minorEastAsia" w:cstheme="minorEastAsia"/>
          <w:color w:val="000000"/>
          <w:spacing w:val="0"/>
          <w:sz w:val="21"/>
          <w:szCs w:val="21"/>
          <w:lang w:val="en-US" w:eastAsia="zh-CN"/>
        </w:rPr>
        <w:t>3</w:t>
      </w:r>
      <w:r>
        <w:rPr>
          <w:rFonts w:hint="eastAsia" w:asciiTheme="minorEastAsia" w:hAnsiTheme="minorEastAsia" w:eastAsiaTheme="minorEastAsia" w:cstheme="minorEastAsia"/>
          <w:color w:val="000000"/>
          <w:spacing w:val="0"/>
          <w:sz w:val="21"/>
          <w:szCs w:val="21"/>
          <w:lang w:val="en-US"/>
        </w:rPr>
        <w:t>名。</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（2）绿化</w:t>
      </w:r>
      <w:r>
        <w:rPr>
          <w:rFonts w:hint="eastAsia" w:asciiTheme="minorEastAsia" w:hAnsiTheme="minorEastAsia" w:eastAsiaTheme="minorEastAsia" w:cstheme="minorEastAsia"/>
          <w:color w:val="000000"/>
          <w:spacing w:val="0"/>
          <w:sz w:val="21"/>
          <w:szCs w:val="21"/>
          <w:lang w:val="en-US"/>
        </w:rPr>
        <w:t>养护作业人员</w:t>
      </w:r>
      <w:r>
        <w:rPr>
          <w:rFonts w:hint="eastAsia" w:asciiTheme="minorEastAsia" w:hAnsiTheme="minorEastAsia" w:eastAsiaTheme="minorEastAsia" w:cstheme="minorEastAsia"/>
          <w:color w:val="000000"/>
          <w:spacing w:val="0"/>
          <w:sz w:val="21"/>
          <w:szCs w:val="21"/>
          <w:lang w:val="en-US" w:eastAsia="zh-CN"/>
        </w:rPr>
        <w:t>10名</w:t>
      </w:r>
      <w:r>
        <w:rPr>
          <w:rFonts w:hint="eastAsia" w:asciiTheme="minorEastAsia" w:hAnsiTheme="minorEastAsia" w:eastAsiaTheme="minorEastAsia" w:cstheme="minorEastAsia"/>
          <w:color w:val="000000"/>
          <w:spacing w:val="0"/>
          <w:sz w:val="21"/>
          <w:szCs w:val="21"/>
          <w:lang w:val="en-US"/>
        </w:rPr>
        <w:t>，</w:t>
      </w:r>
      <w:r>
        <w:rPr>
          <w:rFonts w:hint="eastAsia" w:asciiTheme="minorEastAsia" w:hAnsiTheme="minorEastAsia" w:eastAsiaTheme="minorEastAsia" w:cstheme="minorEastAsia"/>
          <w:color w:val="000000"/>
          <w:spacing w:val="0"/>
          <w:sz w:val="21"/>
          <w:szCs w:val="21"/>
          <w:lang w:val="en-US" w:eastAsia="zh-CN"/>
        </w:rPr>
        <w:t>健身跑道保洁人员3名，公厕保洁人员2名</w:t>
      </w:r>
      <w:r>
        <w:rPr>
          <w:rFonts w:hint="eastAsia" w:asciiTheme="minorEastAsia" w:hAnsiTheme="minorEastAsia" w:eastAsiaTheme="minorEastAsia" w:cstheme="minorEastAsia"/>
          <w:color w:val="000000"/>
          <w:spacing w:val="0"/>
          <w:sz w:val="21"/>
          <w:szCs w:val="21"/>
          <w:lang w:val="en-US"/>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spacing w:val="0"/>
          <w:sz w:val="21"/>
          <w:szCs w:val="21"/>
          <w:lang w:val="en-US" w:eastAsia="zh-CN"/>
        </w:rPr>
      </w:pPr>
      <w:r>
        <w:rPr>
          <w:rFonts w:hint="eastAsia" w:asciiTheme="minorEastAsia" w:hAnsiTheme="minorEastAsia" w:eastAsiaTheme="minorEastAsia" w:cstheme="minorEastAsia"/>
          <w:color w:val="000000"/>
          <w:spacing w:val="0"/>
          <w:sz w:val="21"/>
          <w:szCs w:val="21"/>
          <w:lang w:val="en-US" w:eastAsia="zh-CN"/>
        </w:rPr>
        <w:t>（3）要求乙方在合同签订前将所有人员配备到位。</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作业人员服装配备要求：</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z w:val="21"/>
          <w:szCs w:val="21"/>
        </w:rPr>
        <w:t>一线作业人员和巡查人员需穿着辨识度较高的作业服装。</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绿化</w:t>
      </w:r>
      <w:r>
        <w:rPr>
          <w:rFonts w:hint="eastAsia" w:asciiTheme="minorEastAsia" w:hAnsiTheme="minorEastAsia" w:eastAsiaTheme="minorEastAsia" w:cstheme="minorEastAsia"/>
          <w:color w:val="000000"/>
          <w:spacing w:val="0"/>
          <w:sz w:val="21"/>
          <w:szCs w:val="21"/>
          <w:lang w:val="en-US"/>
        </w:rPr>
        <w:t>养护设备配备要求：</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（1）根据养护的设施量、养护质量标准及考核标准等，由</w:t>
      </w:r>
      <w:r>
        <w:rPr>
          <w:rFonts w:hint="eastAsia" w:asciiTheme="minorEastAsia" w:hAnsiTheme="minorEastAsia" w:eastAsiaTheme="minorEastAsia" w:cstheme="minorEastAsia"/>
          <w:color w:val="000000"/>
          <w:spacing w:val="0"/>
          <w:sz w:val="21"/>
          <w:szCs w:val="21"/>
          <w:lang w:val="en-US" w:eastAsia="zh-CN"/>
        </w:rPr>
        <w:t>乙方</w:t>
      </w:r>
      <w:r>
        <w:rPr>
          <w:rFonts w:hint="eastAsia" w:asciiTheme="minorEastAsia" w:hAnsiTheme="minorEastAsia" w:eastAsiaTheme="minorEastAsia" w:cstheme="minorEastAsia"/>
          <w:color w:val="000000"/>
          <w:spacing w:val="0"/>
          <w:sz w:val="21"/>
          <w:szCs w:val="21"/>
          <w:lang w:val="en-US"/>
        </w:rPr>
        <w:t>按要求自行配置巡查、作业所需的车辆、机械和设备。</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（2）</w:t>
      </w:r>
      <w:r>
        <w:rPr>
          <w:rFonts w:hint="eastAsia" w:asciiTheme="minorEastAsia" w:hAnsiTheme="minorEastAsia" w:eastAsiaTheme="minorEastAsia" w:cstheme="minorEastAsia"/>
          <w:color w:val="000000"/>
          <w:spacing w:val="0"/>
          <w:sz w:val="21"/>
          <w:szCs w:val="21"/>
          <w:lang w:val="en-US" w:eastAsia="zh-CN"/>
        </w:rPr>
        <w:t>乙方</w:t>
      </w:r>
      <w:r>
        <w:rPr>
          <w:rFonts w:hint="eastAsia" w:asciiTheme="minorEastAsia" w:hAnsiTheme="minorEastAsia" w:eastAsiaTheme="minorEastAsia" w:cstheme="minorEastAsia"/>
          <w:color w:val="000000"/>
          <w:spacing w:val="0"/>
          <w:sz w:val="21"/>
          <w:szCs w:val="21"/>
          <w:lang w:val="en-US"/>
        </w:rPr>
        <w:t>须配备以下种类的养护作业车辆和设备：吊机、运输车、登高车、洒水车、树枝粉碎机、割草机、割灌机、绿篱机、喷雾机、打药机、打药泵、水泵、油锯</w:t>
      </w:r>
      <w:r>
        <w:rPr>
          <w:rFonts w:hint="eastAsia" w:asciiTheme="minorEastAsia" w:hAnsiTheme="minorEastAsia" w:eastAsiaTheme="minorEastAsia" w:cstheme="minorEastAsia"/>
          <w:color w:val="000000"/>
          <w:spacing w:val="0"/>
          <w:sz w:val="21"/>
          <w:szCs w:val="21"/>
          <w:lang w:val="en-US" w:eastAsia="zh-CN"/>
        </w:rPr>
        <w:t>、抗寒设备</w:t>
      </w:r>
      <w:r>
        <w:rPr>
          <w:rFonts w:hint="eastAsia" w:asciiTheme="minorEastAsia" w:hAnsiTheme="minorEastAsia" w:eastAsiaTheme="minorEastAsia" w:cstheme="minorEastAsia"/>
          <w:color w:val="000000"/>
          <w:spacing w:val="0"/>
          <w:sz w:val="21"/>
          <w:szCs w:val="21"/>
          <w:lang w:val="en-US"/>
        </w:rPr>
        <w:t>及其他</w:t>
      </w:r>
      <w:r>
        <w:rPr>
          <w:rFonts w:hint="eastAsia" w:asciiTheme="minorEastAsia" w:hAnsiTheme="minorEastAsia" w:eastAsiaTheme="minorEastAsia" w:cstheme="minorEastAsia"/>
          <w:color w:val="000000"/>
          <w:spacing w:val="0"/>
          <w:sz w:val="21"/>
          <w:szCs w:val="21"/>
          <w:lang w:val="en-US" w:eastAsia="zh-CN"/>
        </w:rPr>
        <w:t>乙方</w:t>
      </w:r>
      <w:r>
        <w:rPr>
          <w:rFonts w:hint="eastAsia" w:asciiTheme="minorEastAsia" w:hAnsiTheme="minorEastAsia" w:eastAsiaTheme="minorEastAsia" w:cstheme="minorEastAsia"/>
          <w:color w:val="000000"/>
          <w:spacing w:val="0"/>
          <w:sz w:val="21"/>
          <w:szCs w:val="21"/>
          <w:lang w:val="en-US"/>
        </w:rPr>
        <w:t>完成本项目需要提供的机具。</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（3）养护用房由</w:t>
      </w:r>
      <w:r>
        <w:rPr>
          <w:rFonts w:hint="eastAsia" w:asciiTheme="minorEastAsia" w:hAnsiTheme="minorEastAsia" w:eastAsiaTheme="minorEastAsia" w:cstheme="minorEastAsia"/>
          <w:color w:val="000000"/>
          <w:spacing w:val="0"/>
          <w:sz w:val="21"/>
          <w:szCs w:val="21"/>
          <w:lang w:val="en-US" w:eastAsia="zh-CN"/>
        </w:rPr>
        <w:t>乙方</w:t>
      </w:r>
      <w:r>
        <w:rPr>
          <w:rFonts w:hint="eastAsia" w:asciiTheme="minorEastAsia" w:hAnsiTheme="minorEastAsia" w:eastAsiaTheme="minorEastAsia" w:cstheme="minorEastAsia"/>
          <w:color w:val="000000"/>
          <w:spacing w:val="0"/>
          <w:sz w:val="21"/>
          <w:szCs w:val="21"/>
          <w:lang w:val="en-US"/>
        </w:rPr>
        <w:t>自行解决并承担所需费用。</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道路保洁</w:t>
      </w:r>
      <w:r>
        <w:rPr>
          <w:rFonts w:hint="eastAsia" w:asciiTheme="minorEastAsia" w:hAnsiTheme="minorEastAsia" w:eastAsiaTheme="minorEastAsia" w:cstheme="minorEastAsia"/>
          <w:color w:val="000000"/>
          <w:spacing w:val="0"/>
          <w:sz w:val="21"/>
          <w:szCs w:val="21"/>
          <w:lang w:val="en-US"/>
        </w:rPr>
        <w:t>设备配备要求：</w:t>
      </w:r>
    </w:p>
    <w:p>
      <w:pPr>
        <w:keepNext w:val="0"/>
        <w:keepLines w:val="0"/>
        <w:pageBreakBefore w:val="0"/>
        <w:kinsoku/>
        <w:wordWrap/>
        <w:overflowPunct/>
        <w:topLinePunct w:val="0"/>
        <w:autoSpaceDE/>
        <w:autoSpaceDN/>
        <w:bidi w:val="0"/>
        <w:adjustRightInd/>
        <w:snapToGrid/>
        <w:spacing w:beforeLines="0" w:afterLines="0" w:line="360" w:lineRule="exact"/>
        <w:ind w:firstLine="420" w:firstLineChars="200"/>
        <w:textAlignment w:val="auto"/>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kern w:val="0"/>
          <w:sz w:val="21"/>
          <w:szCs w:val="21"/>
        </w:rPr>
        <w:t>电动三轮车</w:t>
      </w:r>
      <w:r>
        <w:rPr>
          <w:rFonts w:hint="eastAsia" w:asciiTheme="minorEastAsia" w:hAnsiTheme="minorEastAsia" w:eastAsiaTheme="minorEastAsia" w:cstheme="minorEastAsia"/>
          <w:kern w:val="0"/>
          <w:sz w:val="21"/>
          <w:szCs w:val="21"/>
          <w:lang w:val="en-US" w:eastAsia="zh-CN"/>
        </w:rPr>
        <w:t>两</w:t>
      </w:r>
      <w:r>
        <w:rPr>
          <w:rFonts w:hint="eastAsia" w:asciiTheme="minorEastAsia" w:hAnsiTheme="minorEastAsia" w:eastAsiaTheme="minorEastAsia" w:cstheme="minorEastAsia"/>
          <w:kern w:val="0"/>
          <w:sz w:val="21"/>
          <w:szCs w:val="21"/>
        </w:rPr>
        <w:t>辆</w:t>
      </w:r>
      <w:r>
        <w:rPr>
          <w:rFonts w:hint="eastAsia" w:asciiTheme="minorEastAsia" w:hAnsiTheme="minorEastAsia" w:eastAsiaTheme="minorEastAsia" w:cstheme="minorEastAsia"/>
          <w:snapToGrid w:val="0"/>
          <w:color w:val="auto"/>
          <w:sz w:val="21"/>
          <w:szCs w:val="21"/>
        </w:rPr>
        <w:t>。</w:t>
      </w:r>
    </w:p>
    <w:p>
      <w:pPr>
        <w:pStyle w:val="24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p>
      <w:pPr>
        <w:pStyle w:val="24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）绿化</w:t>
      </w:r>
      <w:r>
        <w:rPr>
          <w:rFonts w:hint="eastAsia" w:asciiTheme="minorEastAsia" w:hAnsiTheme="minorEastAsia" w:eastAsiaTheme="minorEastAsia" w:cstheme="minorEastAsia"/>
          <w:sz w:val="21"/>
          <w:szCs w:val="21"/>
        </w:rPr>
        <w:t>养护要求：</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必须严格按合同条款及园林绿化养护标准精心组织养护，确保绿化长势良好，养护质量不低于《城市绿地养护质量等级》一级养护标准中的各个条款的养护标准</w:t>
      </w:r>
      <w:r>
        <w:rPr>
          <w:rFonts w:hint="eastAsia" w:asciiTheme="minorEastAsia" w:hAnsiTheme="minorEastAsia" w:eastAsiaTheme="minorEastAsia" w:cstheme="minorEastAsia"/>
          <w:sz w:val="21"/>
          <w:szCs w:val="21"/>
          <w:lang w:eastAsia="zh-CN"/>
        </w:rPr>
        <w:t>（详见附件</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24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作业人员应穿戴统一的安全服装，遵守交通、市容、卫生等有关规定。承包过程中的各种意外，包括</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与第三方发生质量造成安全事故，其责任由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承担，</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不承担任何责任。</w:t>
      </w:r>
    </w:p>
    <w:p>
      <w:pPr>
        <w:pStyle w:val="24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乔木支撑：并对标段内所有歪树进行扶正。</w:t>
      </w:r>
    </w:p>
    <w:p>
      <w:pPr>
        <w:pStyle w:val="24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台风季节要做好乔木的支撑、抗台防台措施。</w:t>
      </w:r>
    </w:p>
    <w:p>
      <w:pPr>
        <w:pStyle w:val="24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定期对绿化植物进行叶面喷洒，确保绿化植物的叶面清洁；定期对绿地内的设施进行清洗，确保设施整洁。</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20" w:firstLineChars="200"/>
        <w:jc w:val="left"/>
        <w:textAlignment w:val="auto"/>
        <w:rPr>
          <w:rFonts w:hint="eastAsia" w:ascii="宋体" w:hAnsi="宋体" w:eastAsia="宋体" w:cs="宋体"/>
          <w:color w:val="auto"/>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本项目内的绿化补种及行道树木补种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除了自然灾害等不可抗力因素导致的树木损坏外，遇到因人为或其它因素造成的树木损坏，必须无条件在</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规定的时间内补种完毕。对于灌木绿篱补植原则上按照同一品种、同一规格补植，对于无法达到同一规格的苗木，必须做到密植，且在感官上要达到统一性。对于行道树补植，行道树补植在同一品种的前提下，苗木胸径一般不小于原规格，且在一个路段补植需要做到统一性。</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四</w:t>
      </w:r>
      <w:r>
        <w:rPr>
          <w:rFonts w:hint="eastAsia" w:ascii="宋体" w:hAnsi="宋体" w:eastAsia="宋体" w:cs="宋体"/>
          <w:b/>
          <w:color w:val="auto"/>
          <w:sz w:val="21"/>
          <w:szCs w:val="21"/>
        </w:rPr>
        <w:t>条  服务期限</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b/>
          <w:color w:val="auto"/>
          <w:sz w:val="21"/>
          <w:szCs w:val="21"/>
        </w:rPr>
      </w:pPr>
      <w:r>
        <w:rPr>
          <w:rFonts w:hint="default" w:ascii="宋体" w:cs="宋体"/>
          <w:color w:val="auto"/>
          <w:sz w:val="21"/>
          <w:szCs w:val="21"/>
        </w:rPr>
        <w:t>服务期限三年，合同一年一签</w:t>
      </w:r>
      <w:r>
        <w:rPr>
          <w:rFonts w:hint="eastAsia" w:ascii="宋体" w:cs="宋体"/>
          <w:color w:val="auto"/>
          <w:sz w:val="21"/>
          <w:szCs w:val="21"/>
          <w:lang w:eastAsia="zh-CN"/>
        </w:rPr>
        <w:t>，</w:t>
      </w:r>
      <w:r>
        <w:rPr>
          <w:rFonts w:hint="eastAsia" w:ascii="宋体" w:cs="宋体"/>
          <w:color w:val="auto"/>
          <w:sz w:val="21"/>
          <w:szCs w:val="21"/>
          <w:u w:val="single"/>
          <w:lang w:eastAsia="zh-CN"/>
        </w:rPr>
        <w:t>自      年    月    日起至      年    月    日止</w:t>
      </w:r>
      <w:r>
        <w:rPr>
          <w:rFonts w:hint="default" w:ascii="宋体" w:cs="宋体"/>
          <w:color w:val="auto"/>
          <w:sz w:val="21"/>
          <w:szCs w:val="21"/>
        </w:rPr>
        <w:t>。第一年度合同期满后，经采购人考核合格，可续签下一年度合同，最多可续签二次。</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五</w:t>
      </w:r>
      <w:r>
        <w:rPr>
          <w:rFonts w:hint="eastAsia" w:ascii="宋体" w:hAnsi="宋体" w:eastAsia="宋体" w:cs="宋体"/>
          <w:b/>
          <w:color w:val="auto"/>
          <w:sz w:val="21"/>
          <w:szCs w:val="21"/>
        </w:rPr>
        <w:t>条  合同金额</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本合同总金额为（大写）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（￥____________元）</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六</w:t>
      </w:r>
      <w:r>
        <w:rPr>
          <w:rFonts w:hint="eastAsia" w:ascii="宋体" w:hAnsi="宋体" w:eastAsia="宋体" w:cs="宋体"/>
          <w:b/>
          <w:color w:val="auto"/>
          <w:sz w:val="21"/>
          <w:szCs w:val="21"/>
        </w:rPr>
        <w:t>条  考核验收：考核总分100 分。</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一、</w:t>
      </w:r>
      <w:r>
        <w:rPr>
          <w:rFonts w:hint="eastAsia" w:asciiTheme="minorEastAsia" w:hAnsiTheme="minorEastAsia" w:eastAsiaTheme="minorEastAsia" w:cstheme="minorEastAsia"/>
          <w:color w:val="000000"/>
          <w:sz w:val="21"/>
          <w:szCs w:val="21"/>
        </w:rPr>
        <w:t>考核</w:t>
      </w:r>
      <w:r>
        <w:rPr>
          <w:rFonts w:hint="eastAsia" w:asciiTheme="minorEastAsia" w:hAnsiTheme="minorEastAsia" w:eastAsiaTheme="minorEastAsia" w:cstheme="minorEastAsia"/>
          <w:color w:val="000000"/>
          <w:sz w:val="21"/>
          <w:szCs w:val="21"/>
          <w:lang w:eastAsia="zh-CN"/>
        </w:rPr>
        <w:t>记录表</w:t>
      </w:r>
      <w:r>
        <w:rPr>
          <w:rFonts w:hint="eastAsia" w:asciiTheme="minorEastAsia" w:hAnsiTheme="minorEastAsia" w:eastAsiaTheme="minorEastAsia" w:cstheme="minorEastAsia"/>
          <w:color w:val="000000"/>
          <w:sz w:val="21"/>
          <w:szCs w:val="21"/>
        </w:rPr>
        <w:t>：考核</w:t>
      </w:r>
      <w:r>
        <w:rPr>
          <w:rFonts w:hint="eastAsia" w:asciiTheme="minorEastAsia" w:hAnsiTheme="minorEastAsia" w:eastAsiaTheme="minorEastAsia" w:cstheme="minorEastAsia"/>
          <w:color w:val="000000"/>
          <w:sz w:val="21"/>
          <w:szCs w:val="21"/>
          <w:lang w:eastAsia="zh-CN"/>
        </w:rPr>
        <w:t>记录表根据本项目</w:t>
      </w:r>
      <w:r>
        <w:rPr>
          <w:rFonts w:hint="eastAsia" w:asciiTheme="minorEastAsia" w:hAnsiTheme="minorEastAsia" w:eastAsiaTheme="minorEastAsia" w:cstheme="minorEastAsia"/>
          <w:color w:val="000000"/>
          <w:sz w:val="21"/>
          <w:szCs w:val="21"/>
        </w:rPr>
        <w:t>编制而成，（</w:t>
      </w:r>
      <w:r>
        <w:rPr>
          <w:rFonts w:hint="eastAsia" w:ascii="宋体" w:hAnsi="宋体" w:eastAsia="宋体" w:cs="宋体"/>
          <w:b/>
          <w:color w:val="auto"/>
          <w:spacing w:val="4"/>
          <w:sz w:val="21"/>
          <w:szCs w:val="21"/>
          <w:lang w:val="en-US" w:eastAsia="zh-CN"/>
        </w:rPr>
        <w:t>附件1</w:t>
      </w:r>
      <w:r>
        <w:rPr>
          <w:rFonts w:hint="eastAsia" w:asciiTheme="minorEastAsia" w:hAnsiTheme="minorEastAsia" w:eastAsiaTheme="minorEastAsia" w:cstheme="minorEastAsia"/>
          <w:color w:val="000000"/>
          <w:sz w:val="21"/>
          <w:szCs w:val="21"/>
        </w:rPr>
        <w:t>）。实行百分等级评定。</w:t>
      </w:r>
      <w:r>
        <w:rPr>
          <w:rFonts w:hint="eastAsia" w:asciiTheme="minorEastAsia" w:hAnsiTheme="minorEastAsia" w:eastAsiaTheme="minorEastAsia" w:cstheme="minorEastAsia"/>
          <w:color w:val="000000"/>
          <w:sz w:val="21"/>
          <w:szCs w:val="21"/>
          <w:lang w:eastAsia="zh-CN"/>
        </w:rPr>
        <w:t>按月考核，</w:t>
      </w:r>
      <w:r>
        <w:rPr>
          <w:rFonts w:hint="eastAsia" w:asciiTheme="minorEastAsia" w:hAnsiTheme="minorEastAsia" w:eastAsiaTheme="minorEastAsia" w:cstheme="minorEastAsia"/>
          <w:color w:val="000000"/>
          <w:sz w:val="21"/>
          <w:szCs w:val="21"/>
        </w:rPr>
        <w:t>每</w:t>
      </w:r>
      <w:r>
        <w:rPr>
          <w:rFonts w:hint="eastAsia" w:asciiTheme="minorEastAsia" w:hAnsiTheme="minorEastAsia" w:eastAsiaTheme="minorEastAsia" w:cstheme="minorEastAsia"/>
          <w:color w:val="000000"/>
          <w:sz w:val="21"/>
          <w:szCs w:val="21"/>
          <w:lang w:eastAsia="zh-CN"/>
        </w:rPr>
        <w:t>季度</w:t>
      </w:r>
      <w:r>
        <w:rPr>
          <w:rFonts w:hint="eastAsia" w:asciiTheme="minorEastAsia" w:hAnsiTheme="minorEastAsia" w:eastAsiaTheme="minorEastAsia" w:cstheme="minorEastAsia"/>
          <w:color w:val="000000"/>
          <w:sz w:val="21"/>
          <w:szCs w:val="21"/>
        </w:rPr>
        <w:t>平均考核得分在95分以上（包含95分）的为合格。低于95分的，每下降一分，扣除当</w:t>
      </w:r>
      <w:r>
        <w:rPr>
          <w:rFonts w:hint="eastAsia" w:asciiTheme="minorEastAsia" w:hAnsiTheme="minorEastAsia" w:eastAsiaTheme="minorEastAsia" w:cstheme="minorEastAsia"/>
          <w:color w:val="000000"/>
          <w:sz w:val="21"/>
          <w:szCs w:val="21"/>
          <w:lang w:eastAsia="zh-CN"/>
        </w:rPr>
        <w:t>季度</w:t>
      </w:r>
      <w:r>
        <w:rPr>
          <w:rFonts w:hint="eastAsia" w:asciiTheme="minorEastAsia" w:hAnsiTheme="minorEastAsia" w:eastAsiaTheme="minorEastAsia" w:cstheme="minorEastAsia"/>
          <w:color w:val="000000"/>
          <w:sz w:val="21"/>
          <w:szCs w:val="21"/>
          <w:lang w:val="en-US" w:eastAsia="zh-CN"/>
        </w:rPr>
        <w:t>合同价款</w:t>
      </w:r>
      <w:r>
        <w:rPr>
          <w:rFonts w:hint="eastAsia" w:asciiTheme="minorEastAsia" w:hAnsiTheme="minorEastAsia" w:eastAsiaTheme="minorEastAsia" w:cstheme="minorEastAsia"/>
          <w:color w:val="000000"/>
          <w:sz w:val="21"/>
          <w:szCs w:val="21"/>
        </w:rPr>
        <w:t>的百分之</w:t>
      </w:r>
      <w:r>
        <w:rPr>
          <w:rFonts w:hint="eastAsia" w:asciiTheme="minorEastAsia" w:hAnsiTheme="minorEastAsia" w:eastAsiaTheme="minorEastAsia" w:cstheme="minorEastAsia"/>
          <w:color w:val="000000"/>
          <w:sz w:val="21"/>
          <w:szCs w:val="21"/>
          <w:lang w:val="en-US" w:eastAsia="zh-CN"/>
        </w:rPr>
        <w:t>一</w:t>
      </w:r>
      <w:r>
        <w:rPr>
          <w:rFonts w:hint="eastAsia" w:asciiTheme="minorEastAsia" w:hAnsiTheme="minorEastAsia" w:eastAsiaTheme="minorEastAsia" w:cstheme="minorEastAsia"/>
          <w:color w:val="000000"/>
          <w:sz w:val="21"/>
          <w:szCs w:val="21"/>
        </w:rPr>
        <w:t>；低于80分的为不合格，</w:t>
      </w:r>
      <w:r>
        <w:rPr>
          <w:rFonts w:hint="eastAsia" w:ascii="宋体" w:hAnsi="宋体" w:eastAsiaTheme="minorEastAsia"/>
          <w:sz w:val="21"/>
          <w:szCs w:val="21"/>
          <w:lang w:eastAsia="zh-CN"/>
        </w:rPr>
        <w:t>甲方</w:t>
      </w:r>
      <w:r>
        <w:rPr>
          <w:rFonts w:ascii="宋体" w:hAnsi="宋体"/>
          <w:sz w:val="21"/>
          <w:szCs w:val="21"/>
        </w:rPr>
        <w:t>有权终止合同</w:t>
      </w:r>
      <w:r>
        <w:rPr>
          <w:rFonts w:hint="eastAsia" w:asciiTheme="minorEastAsia" w:hAnsiTheme="minorEastAsia" w:eastAsiaTheme="minorEastAsia" w:cstheme="minorEastAsia"/>
          <w:color w:val="000000"/>
          <w:sz w:val="21"/>
          <w:szCs w:val="21"/>
        </w:rPr>
        <w:t>。</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如遇下列情况，处理办法如下：</w:t>
      </w:r>
    </w:p>
    <w:p>
      <w:pPr>
        <w:keepNext w:val="0"/>
        <w:keepLines w:val="0"/>
        <w:pageBreakBefore w:val="0"/>
        <w:numPr>
          <w:ilvl w:val="0"/>
          <w:numId w:val="4"/>
        </w:numPr>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镇及镇以上</w:t>
      </w:r>
      <w:r>
        <w:rPr>
          <w:rFonts w:hint="eastAsia" w:asciiTheme="minorEastAsia" w:hAnsiTheme="minorEastAsia" w:eastAsiaTheme="minorEastAsia" w:cstheme="minorEastAsia"/>
          <w:color w:val="auto"/>
          <w:sz w:val="21"/>
          <w:szCs w:val="21"/>
        </w:rPr>
        <w:t>领导提出批评的，每次扣</w:t>
      </w: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分，并扣除当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000</w:t>
      </w:r>
      <w:r>
        <w:rPr>
          <w:rFonts w:hint="eastAsia" w:asciiTheme="minorEastAsia" w:hAnsiTheme="minorEastAsia" w:eastAsiaTheme="minorEastAsia" w:cstheme="minorEastAsia"/>
          <w:color w:val="auto"/>
          <w:sz w:val="21"/>
          <w:szCs w:val="21"/>
          <w:lang w:val="en-US" w:eastAsia="zh-CN"/>
        </w:rPr>
        <w:t>-3000</w:t>
      </w:r>
      <w:r>
        <w:rPr>
          <w:rFonts w:hint="eastAsia" w:asciiTheme="minorEastAsia" w:hAnsiTheme="minorEastAsia" w:eastAsiaTheme="minorEastAsia" w:cstheme="minorEastAsia"/>
          <w:color w:val="auto"/>
          <w:sz w:val="21"/>
          <w:szCs w:val="21"/>
        </w:rPr>
        <w:t>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2、受到</w:t>
      </w:r>
      <w:r>
        <w:rPr>
          <w:rFonts w:hint="eastAsia" w:asciiTheme="minorEastAsia" w:hAnsiTheme="minorEastAsia" w:eastAsiaTheme="minorEastAsia" w:cstheme="minorEastAsia"/>
          <w:color w:val="auto"/>
          <w:sz w:val="21"/>
          <w:szCs w:val="21"/>
          <w:lang w:eastAsia="zh-CN"/>
        </w:rPr>
        <w:t>市、镇</w:t>
      </w:r>
      <w:r>
        <w:rPr>
          <w:rFonts w:hint="eastAsia" w:asciiTheme="minorEastAsia" w:hAnsiTheme="minorEastAsia" w:eastAsiaTheme="minorEastAsia" w:cstheme="minorEastAsia"/>
          <w:color w:val="auto"/>
          <w:sz w:val="21"/>
          <w:szCs w:val="21"/>
          <w:lang w:val="en-US" w:eastAsia="zh-CN"/>
        </w:rPr>
        <w:t>相关管理部门</w:t>
      </w:r>
      <w:r>
        <w:rPr>
          <w:rFonts w:hint="eastAsia" w:asciiTheme="minorEastAsia" w:hAnsiTheme="minorEastAsia" w:eastAsiaTheme="minorEastAsia" w:cstheme="minorEastAsia"/>
          <w:color w:val="auto"/>
          <w:sz w:val="21"/>
          <w:szCs w:val="21"/>
        </w:rPr>
        <w:t>养护督查反馈书面批评意见的，每次扣2分，并扣除当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养护费2000元</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3、受到</w:t>
      </w:r>
      <w:r>
        <w:rPr>
          <w:rFonts w:hint="eastAsia" w:asciiTheme="minorEastAsia" w:hAnsiTheme="minorEastAsia" w:eastAsiaTheme="minorEastAsia" w:cstheme="minorEastAsia"/>
          <w:color w:val="auto"/>
          <w:sz w:val="21"/>
          <w:szCs w:val="21"/>
          <w:lang w:val="en-US" w:eastAsia="zh-CN"/>
        </w:rPr>
        <w:t>政府性</w:t>
      </w:r>
      <w:r>
        <w:rPr>
          <w:rFonts w:hint="eastAsia" w:asciiTheme="minorEastAsia" w:hAnsiTheme="minorEastAsia" w:eastAsiaTheme="minorEastAsia" w:cstheme="minorEastAsia"/>
          <w:color w:val="auto"/>
          <w:sz w:val="21"/>
          <w:szCs w:val="21"/>
        </w:rPr>
        <w:t>新闻媒体</w:t>
      </w:r>
      <w:r>
        <w:rPr>
          <w:rFonts w:hint="eastAsia" w:asciiTheme="minorEastAsia" w:hAnsiTheme="minorEastAsia" w:eastAsiaTheme="minorEastAsia" w:cstheme="minorEastAsia"/>
          <w:color w:val="auto"/>
          <w:sz w:val="21"/>
          <w:szCs w:val="21"/>
          <w:lang w:val="en-US" w:eastAsia="zh-CN"/>
        </w:rPr>
        <w:t>曝光并造成不良影响</w:t>
      </w:r>
      <w:r>
        <w:rPr>
          <w:rFonts w:hint="eastAsia" w:asciiTheme="minorEastAsia" w:hAnsiTheme="minorEastAsia" w:eastAsiaTheme="minorEastAsia" w:cstheme="minorEastAsia"/>
          <w:color w:val="auto"/>
          <w:sz w:val="21"/>
          <w:szCs w:val="21"/>
        </w:rPr>
        <w:t>的，每次扣</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5分，视情节扣除当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养护费3000-5000元，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4、对重大节庆和重大活动布置的临时任务完成不好，视情节每次扣2-5分，并扣当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000-</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5、防火、抗台、抗旱及预防各类自然灾害措施不力，灾后救治不力，未按要求人员及时到位、未及时上报受灾情况，每次扣2-5分，并扣除当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000-5000元。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6、发生安全事故，有死亡人员，每人次扣10分，并扣当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w:t>
      </w: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000元；有重伤人员，每人次扣5分，并扣当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000元；有轻伤人员及设施损坏，除负责赔偿外，每次扣2分，并扣当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养护费2000元。未及时上报安全事故，视情节每次扣5-15分，情节严重的，扣当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养护费5000-1</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000元。养护人员在作业中未穿反光背心或工作衣的，每人、每次扣50元。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7、每年施肥不到位或减少一次，每次扣</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8、对清除的垃圾及生产垃圾乱堆乱倒，未出具消纳场地证明或垃圾乱堆乱倒被相关部门查处，每次扣</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000元；所用的农药包装物未集中收集，未办好转移单手续，每次扣1000元。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9、未按规定清卫统一使用封闭专用三轮车或未按要求数量配备的，少一辆每辆每年扣1000元。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10、发生绿地火灾，面积大于1000平方米的，每次扣2分，并扣当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养护费2000元；1000~500平方米的，每次扣1分，并扣除当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养护费1000元；500~300平方米的，扣0.5分, 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养护费500元；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11、在适宜种植的季节不及时对死株、缺株、草坪进行补种的，超过业主通知的期限，每延期一天扣除苗木价的10%。</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12、不及时清除管养范围内未经审批设置标牌的，发现一块扣2000元。对所管养范围内，不及时阻止、24小时内不报告未经审批擅自占用绿地情况或擅自作主同意占用，发现一处扣1000元。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13、突发性事故，未及时向甲方汇报，对上报处置方案及损失统计不实的、对台风过后不及时上报损失统计或数字不实的，扣1000元。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14、项目经理每年参加业主召开的各种会议到会率在75%以下的，扣1000元。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15、全年无火灾发生的，考核加2分。</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16、受到</w:t>
      </w:r>
      <w:r>
        <w:rPr>
          <w:rFonts w:hint="eastAsia" w:asciiTheme="minorEastAsia" w:hAnsiTheme="minorEastAsia" w:eastAsiaTheme="minorEastAsia" w:cstheme="minorEastAsia"/>
          <w:color w:val="000000"/>
          <w:sz w:val="21"/>
          <w:szCs w:val="21"/>
          <w:lang w:eastAsia="zh-CN"/>
        </w:rPr>
        <w:t>市、镇</w:t>
      </w:r>
      <w:r>
        <w:rPr>
          <w:rFonts w:hint="eastAsia" w:asciiTheme="minorEastAsia" w:hAnsiTheme="minorEastAsia" w:eastAsiaTheme="minorEastAsia" w:cstheme="minorEastAsia"/>
          <w:color w:val="000000"/>
          <w:sz w:val="21"/>
          <w:szCs w:val="21"/>
          <w:lang w:val="en-US" w:eastAsia="zh-CN"/>
        </w:rPr>
        <w:t>相关管理部门</w:t>
      </w:r>
      <w:r>
        <w:rPr>
          <w:rFonts w:hint="eastAsia" w:asciiTheme="minorEastAsia" w:hAnsiTheme="minorEastAsia" w:eastAsiaTheme="minorEastAsia" w:cstheme="minorEastAsia"/>
          <w:color w:val="000000"/>
          <w:sz w:val="21"/>
          <w:szCs w:val="21"/>
        </w:rPr>
        <w:t>、新闻媒体表扬的，每次加2分。</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二</w:t>
      </w:r>
      <w:r>
        <w:rPr>
          <w:rFonts w:hint="eastAsia" w:asciiTheme="minorEastAsia" w:hAnsiTheme="minorEastAsia" w:eastAsiaTheme="minorEastAsia" w:cstheme="minorEastAsia"/>
          <w:color w:val="000000"/>
          <w:sz w:val="21"/>
          <w:szCs w:val="21"/>
        </w:rPr>
        <w:t>、考核内容：主要有植物养护、绿地保洁、人员到位、养护计划台帐</w:t>
      </w:r>
      <w:r>
        <w:rPr>
          <w:rFonts w:hint="eastAsia" w:asciiTheme="minorEastAsia" w:hAnsiTheme="minorEastAsia" w:eastAsiaTheme="minorEastAsia" w:cstheme="minorEastAsia"/>
          <w:color w:val="000000"/>
          <w:sz w:val="21"/>
          <w:szCs w:val="21"/>
          <w:lang w:eastAsia="zh-CN"/>
        </w:rPr>
        <w:t>、道路保洁、公厕保洁</w:t>
      </w:r>
      <w:r>
        <w:rPr>
          <w:rFonts w:hint="eastAsia" w:asciiTheme="minorEastAsia" w:hAnsiTheme="minorEastAsia" w:eastAsiaTheme="minorEastAsia" w:cstheme="minorEastAsia"/>
          <w:color w:val="000000"/>
          <w:sz w:val="21"/>
          <w:szCs w:val="21"/>
        </w:rPr>
        <w:t>等。养护计划、台帐按月上报并考核，每月25日前上报下月计划，当月台帐在下月8日前上报。</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七</w:t>
      </w:r>
      <w:r>
        <w:rPr>
          <w:rFonts w:hint="eastAsia" w:ascii="宋体" w:hAnsi="宋体" w:eastAsia="宋体" w:cs="宋体"/>
          <w:b/>
          <w:color w:val="auto"/>
          <w:sz w:val="21"/>
          <w:szCs w:val="21"/>
        </w:rPr>
        <w:t>条</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付款办法</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合同生效后支付合同总价的40%作为预付款，</w:t>
      </w:r>
      <w:r>
        <w:rPr>
          <w:rFonts w:hint="default" w:asciiTheme="minorEastAsia" w:hAnsiTheme="minorEastAsia" w:eastAsiaTheme="minorEastAsia" w:cstheme="minorEastAsia"/>
          <w:color w:val="000000"/>
          <w:sz w:val="21"/>
          <w:szCs w:val="21"/>
          <w:lang w:val="en-US" w:eastAsia="zh-CN"/>
        </w:rPr>
        <w:t>其余部分合同款按季度结算</w:t>
      </w:r>
      <w:r>
        <w:rPr>
          <w:rFonts w:hint="eastAsia" w:asciiTheme="minorEastAsia" w:hAnsiTheme="minorEastAsia" w:eastAsiaTheme="minorEastAsia" w:cstheme="minorEastAsia"/>
          <w:color w:val="000000"/>
          <w:sz w:val="21"/>
          <w:szCs w:val="21"/>
          <w:lang w:val="en-US" w:eastAsia="zh-CN"/>
        </w:rPr>
        <w:t>（扣除应扣款）。经甲方审核无误后，乙方提交考核结果及有效正规税务发票给甲方作为付款凭据后甲方予以支付。</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hAnsi="宋体" w:cs="宋体"/>
          <w:b w:val="0"/>
          <w:bCs/>
          <w:color w:val="000000"/>
          <w:lang w:eastAsia="zh-CN"/>
        </w:rPr>
      </w:pPr>
      <w:r>
        <w:rPr>
          <w:rFonts w:hint="eastAsia" w:asciiTheme="minorEastAsia" w:hAnsiTheme="minorEastAsia" w:eastAsiaTheme="minorEastAsia" w:cstheme="minorEastAsia"/>
          <w:color w:val="000000"/>
          <w:sz w:val="21"/>
          <w:szCs w:val="21"/>
        </w:rPr>
        <w:t>每</w:t>
      </w:r>
      <w:r>
        <w:rPr>
          <w:rFonts w:hint="eastAsia" w:ascii="宋体" w:hAnsi="宋体" w:cs="宋体"/>
          <w:sz w:val="21"/>
          <w:szCs w:val="21"/>
        </w:rPr>
        <w:t>季度</w:t>
      </w:r>
      <w:r>
        <w:rPr>
          <w:rFonts w:hint="eastAsia" w:asciiTheme="minorEastAsia" w:hAnsiTheme="minorEastAsia" w:eastAsiaTheme="minorEastAsia" w:cstheme="minorEastAsia"/>
          <w:color w:val="000000"/>
          <w:sz w:val="21"/>
          <w:szCs w:val="21"/>
        </w:rPr>
        <w:t>平均考核得分在95分以上（包含95分）的为合格</w:t>
      </w:r>
      <w:r>
        <w:rPr>
          <w:rFonts w:hint="eastAsia" w:asciiTheme="minorEastAsia" w:hAnsiTheme="minorEastAsia" w:eastAsiaTheme="minorEastAsia" w:cstheme="minorEastAsia"/>
          <w:color w:val="000000"/>
          <w:sz w:val="21"/>
          <w:szCs w:val="21"/>
          <w:lang w:val="en-US" w:eastAsia="zh-CN"/>
        </w:rPr>
        <w:t>,全额支付当次应付合同价款</w:t>
      </w:r>
      <w:r>
        <w:rPr>
          <w:rFonts w:hint="eastAsia" w:asciiTheme="minorEastAsia" w:hAnsiTheme="minorEastAsia" w:eastAsiaTheme="minorEastAsia" w:cstheme="minorEastAsia"/>
          <w:color w:val="000000"/>
          <w:sz w:val="21"/>
          <w:szCs w:val="21"/>
        </w:rPr>
        <w:t>。低于95分的，每下降一分，扣除当</w:t>
      </w:r>
      <w:r>
        <w:rPr>
          <w:rFonts w:hint="eastAsia" w:ascii="宋体" w:hAnsi="宋体" w:cs="宋体"/>
          <w:sz w:val="21"/>
          <w:szCs w:val="21"/>
        </w:rPr>
        <w:t>季度</w:t>
      </w:r>
      <w:r>
        <w:rPr>
          <w:rFonts w:hint="eastAsia" w:asciiTheme="minorEastAsia" w:hAnsiTheme="minorEastAsia" w:eastAsiaTheme="minorEastAsia" w:cstheme="minorEastAsia"/>
          <w:color w:val="000000"/>
          <w:sz w:val="21"/>
          <w:szCs w:val="21"/>
          <w:lang w:val="en-US" w:eastAsia="zh-CN"/>
        </w:rPr>
        <w:t>合同价款</w:t>
      </w:r>
      <w:r>
        <w:rPr>
          <w:rFonts w:hint="eastAsia" w:asciiTheme="minorEastAsia" w:hAnsiTheme="minorEastAsia" w:eastAsiaTheme="minorEastAsia" w:cstheme="minorEastAsia"/>
          <w:color w:val="000000"/>
          <w:sz w:val="21"/>
          <w:szCs w:val="21"/>
        </w:rPr>
        <w:t>的百分之</w:t>
      </w:r>
      <w:r>
        <w:rPr>
          <w:rFonts w:hint="eastAsia" w:asciiTheme="minorEastAsia" w:hAnsiTheme="minorEastAsia" w:eastAsiaTheme="minorEastAsia" w:cstheme="minorEastAsia"/>
          <w:color w:val="000000"/>
          <w:sz w:val="21"/>
          <w:szCs w:val="21"/>
          <w:lang w:val="en-US" w:eastAsia="zh-CN"/>
        </w:rPr>
        <w:t>一</w:t>
      </w:r>
      <w:r>
        <w:rPr>
          <w:rFonts w:hint="eastAsia" w:asciiTheme="minorEastAsia" w:hAnsiTheme="minorEastAsia" w:eastAsiaTheme="minorEastAsia" w:cstheme="minorEastAsia"/>
          <w:color w:val="000000"/>
          <w:sz w:val="21"/>
          <w:szCs w:val="21"/>
        </w:rPr>
        <w:t>；低于80分的为不合格，不核拨当</w:t>
      </w:r>
      <w:r>
        <w:rPr>
          <w:rFonts w:hint="eastAsia" w:ascii="宋体" w:hAnsi="宋体" w:cs="宋体"/>
          <w:sz w:val="21"/>
          <w:szCs w:val="21"/>
        </w:rPr>
        <w:t>季度</w:t>
      </w:r>
      <w:r>
        <w:rPr>
          <w:rFonts w:hint="eastAsia" w:asciiTheme="minorEastAsia" w:hAnsiTheme="minorEastAsia" w:eastAsiaTheme="minorEastAsia" w:cstheme="minorEastAsia"/>
          <w:color w:val="000000"/>
          <w:sz w:val="21"/>
          <w:szCs w:val="21"/>
          <w:lang w:val="en-US" w:eastAsia="zh-CN"/>
        </w:rPr>
        <w:t>合同价款</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八</w:t>
      </w:r>
      <w:r>
        <w:rPr>
          <w:rFonts w:hint="eastAsia" w:ascii="宋体" w:hAnsi="宋体" w:eastAsia="宋体" w:cs="宋体"/>
          <w:b/>
          <w:color w:val="auto"/>
          <w:sz w:val="21"/>
          <w:szCs w:val="21"/>
        </w:rPr>
        <w:t>条  双方一般权利和义务</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1．甲方工作</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olor w:val="auto"/>
          <w:sz w:val="21"/>
          <w:szCs w:val="24"/>
        </w:rPr>
      </w:pPr>
      <w:r>
        <w:rPr>
          <w:rFonts w:hint="eastAsia" w:ascii="宋体" w:hAnsi="宋体" w:eastAsia="宋体" w:cs="宋体"/>
          <w:color w:val="auto"/>
          <w:sz w:val="21"/>
          <w:szCs w:val="21"/>
        </w:rPr>
        <w:t>（1）</w:t>
      </w:r>
      <w:r>
        <w:rPr>
          <w:rFonts w:hint="eastAsia" w:ascii="宋体" w:hAnsi="宋体" w:cs="宋体"/>
          <w:bCs/>
          <w:color w:val="000000"/>
          <w:szCs w:val="21"/>
        </w:rPr>
        <w:t>提供给乙方本合同所述养护项目有关养护设施量及图纸资料</w:t>
      </w:r>
      <w:r>
        <w:rPr>
          <w:rFonts w:hint="eastAsia" w:ascii="宋体" w:hAnsi="宋体" w:eastAsia="宋体"/>
          <w:color w:val="auto"/>
          <w:sz w:val="21"/>
          <w:szCs w:val="24"/>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bCs/>
          <w:color w:val="000000"/>
          <w:szCs w:val="21"/>
        </w:rPr>
        <w:t>对乙方养护管理项目进行监督和考核检查</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bCs/>
          <w:color w:val="000000"/>
          <w:szCs w:val="21"/>
        </w:rPr>
        <w:t>合同期限届满，对本合同养护项目设施量进行清点</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2．乙方工作</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color w:val="000000"/>
          <w:szCs w:val="21"/>
        </w:rPr>
        <w:t>由乙方承包养护的本合同养护项目应达到招标文件、《宁波市城市绿地等级标准》及相关标准标准）。承包养护期限内，乙方应按照园林绿化养护操作规程及园林绿化养护质量标准，合理组织，精心养护，保质、保量完成养护管理任务</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color w:val="000000"/>
          <w:szCs w:val="21"/>
        </w:rPr>
        <w:t>对本合同养护项目实施养护管理所需的一切劳动力、材料、设备和服务由乙方自行组织，由此产生的一切费用由乙方承担</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color w:val="000000"/>
          <w:szCs w:val="21"/>
        </w:rPr>
        <w:t>对本合同养护项目实施养护管理所需的养护管理房由乙方自行解决</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color w:val="000000"/>
          <w:szCs w:val="21"/>
        </w:rPr>
        <w:t>承包期限内，本合同养护项目设施量发生减少及毁损的，乙方应予及时补齐或修复，并自行承担所需费用。合同期限届满时，乙方应保证本合同养护项目设施量无减少、无毁损</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color w:val="000000"/>
          <w:szCs w:val="21"/>
        </w:rPr>
        <w:t>乙方在搞好日常养护工作的同时，必须配合甲方参加</w:t>
      </w:r>
      <w:r>
        <w:rPr>
          <w:rFonts w:hint="eastAsia" w:ascii="宋体"/>
          <w:color w:val="000000"/>
          <w:szCs w:val="21"/>
          <w:lang w:eastAsia="zh-CN"/>
        </w:rPr>
        <w:t>市、镇</w:t>
      </w:r>
      <w:r>
        <w:rPr>
          <w:rFonts w:hint="eastAsia" w:ascii="宋体"/>
          <w:color w:val="000000"/>
          <w:szCs w:val="21"/>
        </w:rPr>
        <w:t>布置的各重大节庆和重大活动的临时布置任务</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color w:val="000000"/>
          <w:szCs w:val="21"/>
        </w:rPr>
        <w:t>乙方应每月定期向甲方提供养护管理计划及有关措施，以便甲方进行监督考核，并按照投标文件中上报的主要机械设备到位</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color w:val="000000"/>
          <w:szCs w:val="21"/>
        </w:rPr>
        <w:t>乙方必须重视安全工作确保全年不出安全事故，如发生安全事故的，甲方概不负责</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r>
        <w:rPr>
          <w:rFonts w:hint="eastAsia" w:ascii="宋体"/>
          <w:color w:val="000000"/>
          <w:szCs w:val="21"/>
        </w:rPr>
        <w:t>乙方负责对绿地进行施肥，基肥以有机肥为主，追肥以复合肥为主，一般为</w:t>
      </w:r>
      <w:r>
        <w:rPr>
          <w:rFonts w:ascii="宋体"/>
          <w:color w:val="000000"/>
          <w:szCs w:val="21"/>
        </w:rPr>
        <w:t>3-4</w:t>
      </w:r>
      <w:r>
        <w:rPr>
          <w:rFonts w:hint="eastAsia" w:ascii="宋体"/>
          <w:color w:val="000000"/>
          <w:szCs w:val="21"/>
        </w:rPr>
        <w:t>次</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color w:val="000000"/>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9</w:t>
      </w:r>
      <w:r>
        <w:rPr>
          <w:rFonts w:hint="eastAsia" w:ascii="宋体" w:hAnsi="宋体" w:cs="宋体"/>
          <w:color w:val="auto"/>
          <w:sz w:val="21"/>
          <w:szCs w:val="21"/>
          <w:lang w:eastAsia="zh-CN"/>
        </w:rPr>
        <w:t>）</w:t>
      </w:r>
      <w:r>
        <w:rPr>
          <w:rFonts w:hint="eastAsia" w:ascii="宋体"/>
          <w:color w:val="000000"/>
          <w:szCs w:val="21"/>
        </w:rPr>
        <w:t>乙方对管养范围内发生的各种违反《宁波市城市绿化条例》的行为应及时劝阻；对未经审批擅自占用绿地的需及时劝阻，不得擅自作主同意占用；对未经审批擅自在绿地中设置标牌的，负责及时清除。如情况特殊，难以清除的，应及时向执法中队报案、向业主报案。</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color w:val="000000"/>
          <w:szCs w:val="21"/>
        </w:rPr>
      </w:pPr>
      <w:r>
        <w:rPr>
          <w:rFonts w:hint="eastAsia" w:ascii="宋体"/>
          <w:color w:val="000000"/>
          <w:szCs w:val="21"/>
          <w:lang w:eastAsia="zh-CN"/>
        </w:rPr>
        <w:t>（</w:t>
      </w:r>
      <w:r>
        <w:rPr>
          <w:rFonts w:hint="eastAsia" w:ascii="宋体"/>
          <w:color w:val="000000"/>
          <w:szCs w:val="21"/>
          <w:lang w:val="en-US" w:eastAsia="zh-CN"/>
        </w:rPr>
        <w:t>10</w:t>
      </w:r>
      <w:r>
        <w:rPr>
          <w:rFonts w:hint="eastAsia" w:ascii="宋体"/>
          <w:color w:val="000000"/>
          <w:szCs w:val="21"/>
          <w:lang w:eastAsia="zh-CN"/>
        </w:rPr>
        <w:t>）</w:t>
      </w:r>
      <w:r>
        <w:rPr>
          <w:rFonts w:hint="eastAsia" w:ascii="宋体"/>
          <w:color w:val="000000"/>
          <w:szCs w:val="21"/>
        </w:rPr>
        <w:t>乙方要做好绿地保洁，有节假日或重要活动时，做到八小时保洁。对清除的各类垃圾应当日清理，不得随处乱倒。</w:t>
      </w:r>
    </w:p>
    <w:p>
      <w:pPr>
        <w:spacing w:line="500" w:lineRule="exact"/>
        <w:ind w:firstLine="420" w:firstLineChars="200"/>
        <w:rPr>
          <w:rFonts w:hint="eastAsia" w:ascii="宋体"/>
          <w:color w:val="000000"/>
          <w:szCs w:val="21"/>
        </w:rPr>
      </w:pPr>
      <w:r>
        <w:rPr>
          <w:rFonts w:hint="eastAsia" w:ascii="宋体"/>
          <w:color w:val="000000"/>
          <w:szCs w:val="21"/>
          <w:lang w:val="en-US" w:eastAsia="zh-CN"/>
        </w:rPr>
        <w:t>（11）</w:t>
      </w:r>
      <w:r>
        <w:rPr>
          <w:rFonts w:hint="eastAsia" w:ascii="宋体"/>
          <w:color w:val="000000"/>
          <w:szCs w:val="21"/>
        </w:rPr>
        <w:t>乙方应按甲方通知要求禁止使用高毒高残留农药，所用的农药包装物必须分类收集。</w:t>
      </w:r>
    </w:p>
    <w:p>
      <w:pPr>
        <w:spacing w:line="500" w:lineRule="exact"/>
        <w:ind w:firstLine="420" w:firstLineChars="200"/>
        <w:rPr>
          <w:rFonts w:hint="eastAsia" w:ascii="宋体"/>
          <w:color w:val="000000"/>
          <w:szCs w:val="21"/>
        </w:rPr>
      </w:pPr>
      <w:r>
        <w:rPr>
          <w:rFonts w:hint="eastAsia" w:ascii="宋体"/>
          <w:color w:val="000000"/>
          <w:szCs w:val="21"/>
          <w:lang w:eastAsia="zh-CN"/>
        </w:rPr>
        <w:t>（</w:t>
      </w:r>
      <w:r>
        <w:rPr>
          <w:rFonts w:hint="eastAsia" w:ascii="宋体"/>
          <w:color w:val="000000"/>
          <w:szCs w:val="21"/>
          <w:lang w:val="en-US" w:eastAsia="zh-CN"/>
        </w:rPr>
        <w:t>12</w:t>
      </w:r>
      <w:r>
        <w:rPr>
          <w:rFonts w:hint="eastAsia" w:ascii="宋体"/>
          <w:color w:val="000000"/>
          <w:szCs w:val="21"/>
          <w:lang w:eastAsia="zh-CN"/>
        </w:rPr>
        <w:t>）</w:t>
      </w:r>
      <w:r>
        <w:rPr>
          <w:rFonts w:hint="eastAsia" w:ascii="宋体"/>
          <w:color w:val="000000"/>
          <w:szCs w:val="21"/>
        </w:rPr>
        <w:t>乙方对甲方在日常考核、监督中提出的存在问题，要及时予以整改。同一问题被连续三次发现未及时整改的，无论当月考核成绩如何，加扣当月养护经费</w:t>
      </w:r>
      <w:r>
        <w:rPr>
          <w:rFonts w:ascii="宋体"/>
          <w:color w:val="000000"/>
          <w:szCs w:val="21"/>
        </w:rPr>
        <w:t>1%</w:t>
      </w:r>
      <w:r>
        <w:rPr>
          <w:rFonts w:hint="eastAsia" w:ascii="宋体"/>
          <w:color w:val="000000"/>
          <w:szCs w:val="21"/>
        </w:rPr>
        <w:t>。</w:t>
      </w:r>
    </w:p>
    <w:p>
      <w:pPr>
        <w:spacing w:line="500" w:lineRule="exact"/>
        <w:ind w:firstLine="420" w:firstLineChars="200"/>
        <w:rPr>
          <w:rFonts w:hint="eastAsia" w:ascii="宋体"/>
          <w:color w:val="000000"/>
          <w:szCs w:val="21"/>
        </w:rPr>
      </w:pPr>
      <w:r>
        <w:rPr>
          <w:rFonts w:hint="eastAsia" w:ascii="宋体"/>
          <w:color w:val="000000"/>
          <w:szCs w:val="21"/>
          <w:lang w:eastAsia="zh-CN"/>
        </w:rPr>
        <w:t>（</w:t>
      </w:r>
      <w:r>
        <w:rPr>
          <w:rFonts w:hint="eastAsia" w:ascii="宋体"/>
          <w:color w:val="000000"/>
          <w:szCs w:val="21"/>
          <w:lang w:val="en-US" w:eastAsia="zh-CN"/>
        </w:rPr>
        <w:t>13</w:t>
      </w:r>
      <w:r>
        <w:rPr>
          <w:rFonts w:hint="eastAsia" w:ascii="宋体"/>
          <w:color w:val="000000"/>
          <w:szCs w:val="21"/>
          <w:lang w:eastAsia="zh-CN"/>
        </w:rPr>
        <w:t>）</w:t>
      </w:r>
      <w:r>
        <w:rPr>
          <w:rFonts w:hint="eastAsia" w:ascii="宋体"/>
          <w:color w:val="000000"/>
          <w:szCs w:val="21"/>
        </w:rPr>
        <w:t>发生突发性事故，应立即向甲方汇报，并及时上报处置方案及损失统计。</w:t>
      </w:r>
    </w:p>
    <w:p>
      <w:pPr>
        <w:spacing w:line="500" w:lineRule="exact"/>
        <w:ind w:firstLine="420" w:firstLineChars="200"/>
        <w:rPr>
          <w:rFonts w:hint="eastAsia" w:ascii="宋体"/>
          <w:color w:val="000000"/>
          <w:szCs w:val="21"/>
        </w:rPr>
      </w:pPr>
      <w:r>
        <w:rPr>
          <w:rFonts w:hint="eastAsia" w:ascii="宋体"/>
          <w:color w:val="000000"/>
          <w:szCs w:val="21"/>
          <w:lang w:eastAsia="zh-CN"/>
        </w:rPr>
        <w:t>（</w:t>
      </w:r>
      <w:r>
        <w:rPr>
          <w:rFonts w:hint="eastAsia" w:ascii="宋体"/>
          <w:color w:val="000000"/>
          <w:szCs w:val="21"/>
          <w:lang w:val="en-US" w:eastAsia="zh-CN"/>
        </w:rPr>
        <w:t>14</w:t>
      </w:r>
      <w:r>
        <w:rPr>
          <w:rFonts w:hint="eastAsia" w:ascii="宋体"/>
          <w:color w:val="000000"/>
          <w:szCs w:val="21"/>
          <w:lang w:eastAsia="zh-CN"/>
        </w:rPr>
        <w:t>）</w:t>
      </w:r>
      <w:r>
        <w:rPr>
          <w:rFonts w:hint="eastAsia" w:ascii="宋体"/>
          <w:color w:val="000000"/>
          <w:szCs w:val="21"/>
        </w:rPr>
        <w:t>乙方必须认真做好爱国卫生除</w:t>
      </w:r>
      <w:r>
        <w:rPr>
          <w:rFonts w:ascii="宋体"/>
          <w:color w:val="000000"/>
          <w:szCs w:val="21"/>
        </w:rPr>
        <w:t>“</w:t>
      </w:r>
      <w:r>
        <w:rPr>
          <w:rFonts w:hint="eastAsia" w:ascii="宋体"/>
          <w:color w:val="000000"/>
          <w:szCs w:val="21"/>
        </w:rPr>
        <w:t>四害</w:t>
      </w:r>
      <w:r>
        <w:rPr>
          <w:rFonts w:ascii="宋体"/>
          <w:color w:val="000000"/>
          <w:szCs w:val="21"/>
        </w:rPr>
        <w:t>”</w:t>
      </w:r>
      <w:r>
        <w:rPr>
          <w:rFonts w:hint="eastAsia" w:ascii="宋体"/>
          <w:color w:val="000000"/>
          <w:szCs w:val="21"/>
        </w:rPr>
        <w:t>工作，自觉接受业主单位及上级有关部门的考核检查。</w:t>
      </w:r>
    </w:p>
    <w:p>
      <w:pPr>
        <w:spacing w:line="500" w:lineRule="exact"/>
        <w:ind w:firstLine="420" w:firstLineChars="200"/>
        <w:rPr>
          <w:rFonts w:hint="eastAsia" w:ascii="宋体" w:eastAsia="宋体"/>
          <w:color w:val="000000"/>
          <w:szCs w:val="21"/>
          <w:lang w:val="en-US" w:eastAsia="zh-CN"/>
        </w:rPr>
      </w:pPr>
      <w:r>
        <w:rPr>
          <w:rFonts w:hint="eastAsia" w:ascii="宋体"/>
          <w:color w:val="000000"/>
          <w:szCs w:val="21"/>
          <w:lang w:eastAsia="zh-CN"/>
        </w:rPr>
        <w:t>（</w:t>
      </w:r>
      <w:r>
        <w:rPr>
          <w:rFonts w:hint="eastAsia" w:ascii="宋体"/>
          <w:color w:val="000000"/>
          <w:szCs w:val="21"/>
          <w:lang w:val="en-US" w:eastAsia="zh-CN"/>
        </w:rPr>
        <w:t>15</w:t>
      </w:r>
      <w:r>
        <w:rPr>
          <w:rFonts w:hint="eastAsia" w:ascii="宋体"/>
          <w:color w:val="000000"/>
          <w:szCs w:val="21"/>
          <w:lang w:eastAsia="zh-CN"/>
        </w:rPr>
        <w:t>）</w:t>
      </w:r>
      <w:r>
        <w:rPr>
          <w:rFonts w:hint="eastAsia" w:ascii="宋体"/>
          <w:color w:val="000000"/>
          <w:szCs w:val="21"/>
        </w:rPr>
        <w:t>乙方必须负责绿化带后</w:t>
      </w:r>
      <w:r>
        <w:rPr>
          <w:rFonts w:ascii="宋体"/>
          <w:color w:val="000000"/>
          <w:szCs w:val="21"/>
        </w:rPr>
        <w:t>1</w:t>
      </w:r>
      <w:r>
        <w:rPr>
          <w:rFonts w:hint="eastAsia" w:ascii="宋体"/>
          <w:color w:val="000000"/>
          <w:szCs w:val="21"/>
        </w:rPr>
        <w:t>米的清卫、除草，如有围墙，需负责绿地与围墙间裸地的清卫、除草。</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九</w:t>
      </w:r>
      <w:r>
        <w:rPr>
          <w:rFonts w:hint="eastAsia" w:ascii="宋体" w:hAnsi="宋体" w:eastAsia="宋体" w:cs="宋体"/>
          <w:b/>
          <w:color w:val="auto"/>
          <w:sz w:val="21"/>
          <w:szCs w:val="21"/>
        </w:rPr>
        <w:t>条  履约保证金</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乙方交纳合同金额的1%作为本合同的履约保证金。待项目到期并考核验收合格后7个工作日内，甲方将此履约保证金无息返还给乙方。</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十</w:t>
      </w:r>
      <w:r>
        <w:rPr>
          <w:rFonts w:hint="eastAsia" w:ascii="宋体" w:hAnsi="宋体" w:eastAsia="宋体" w:cs="宋体"/>
          <w:b/>
          <w:color w:val="auto"/>
          <w:sz w:val="21"/>
          <w:szCs w:val="21"/>
        </w:rPr>
        <w:t>条 违约责任</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乙方在合同有效期内，不得以任何理由终止合同，确有特殊情况的，须提前两个月向甲方书面申请，经甲方同意后，方可终止合同，同时酌情赔偿经济损失。</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十一</w:t>
      </w:r>
      <w:r>
        <w:rPr>
          <w:rFonts w:hint="eastAsia" w:ascii="宋体" w:hAnsi="宋体" w:eastAsia="宋体" w:cs="宋体"/>
          <w:b/>
          <w:color w:val="auto"/>
          <w:sz w:val="21"/>
          <w:szCs w:val="21"/>
        </w:rPr>
        <w:t>条  争议的解决</w:t>
      </w:r>
    </w:p>
    <w:p>
      <w:pPr>
        <w:keepNext w:val="0"/>
        <w:keepLines w:val="0"/>
        <w:pageBreakBefore w:val="0"/>
        <w:widowControl w:val="0"/>
        <w:kinsoku/>
        <w:wordWrap/>
        <w:overflowPunct/>
        <w:topLinePunct w:val="0"/>
        <w:autoSpaceDE/>
        <w:autoSpaceDN/>
        <w:bidi w:val="0"/>
        <w:adjustRightInd/>
        <w:snapToGrid/>
        <w:spacing w:beforeLines="0" w:afterLines="0" w:line="50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本合同在履行过程中发生争议时，当事人双方应及时协调解决。协商不成时，向慈溪市人民法院起诉。</w:t>
      </w:r>
    </w:p>
    <w:p>
      <w:pPr>
        <w:keepNext w:val="0"/>
        <w:keepLines w:val="0"/>
        <w:pageBreakBefore w:val="0"/>
        <w:widowControl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w:t>
      </w:r>
      <w:r>
        <w:rPr>
          <w:rFonts w:hint="eastAsia" w:ascii="宋体" w:hAnsi="宋体" w:cs="宋体"/>
          <w:b/>
          <w:color w:val="auto"/>
          <w:sz w:val="21"/>
          <w:szCs w:val="21"/>
          <w:lang w:eastAsia="zh-CN"/>
        </w:rPr>
        <w:t>十二</w:t>
      </w:r>
      <w:r>
        <w:rPr>
          <w:rFonts w:hint="eastAsia" w:ascii="宋体" w:hAnsi="宋体" w:eastAsia="宋体" w:cs="宋体"/>
          <w:b/>
          <w:color w:val="auto"/>
          <w:sz w:val="21"/>
          <w:szCs w:val="21"/>
        </w:rPr>
        <w:t>条</w:t>
      </w:r>
      <w:r>
        <w:rPr>
          <w:rFonts w:hint="eastAsia" w:ascii="宋体" w:hAnsi="宋体" w:eastAsia="宋体" w:cs="宋体"/>
          <w:color w:val="auto"/>
          <w:sz w:val="21"/>
          <w:szCs w:val="21"/>
        </w:rPr>
        <w:t xml:space="preserve">  本合同一式七份，签字、盖章后有效，甲乙各持三份，招标代理公司存档一份，均具有同等法律效力，本合同签字盖章之日起生效。</w:t>
      </w:r>
    </w:p>
    <w:p>
      <w:pPr>
        <w:keepNext w:val="0"/>
        <w:keepLines w:val="0"/>
        <w:pageBreakBefore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color w:val="auto"/>
          <w:sz w:val="21"/>
          <w:szCs w:val="21"/>
          <w:highlight w:val="red"/>
        </w:rPr>
      </w:pPr>
    </w:p>
    <w:p>
      <w:pPr>
        <w:pStyle w:val="254"/>
        <w:keepNext w:val="0"/>
        <w:keepLines w:val="0"/>
        <w:pageBreakBefore w:val="0"/>
        <w:kinsoku/>
        <w:wordWrap/>
        <w:overflowPunct/>
        <w:topLinePunct w:val="0"/>
        <w:autoSpaceDE/>
        <w:autoSpaceDN/>
        <w:bidi w:val="0"/>
        <w:adjustRightInd/>
        <w:snapToGrid/>
        <w:spacing w:beforeLines="0" w:afterLines="0" w:line="500" w:lineRule="atLeast"/>
        <w:textAlignment w:val="auto"/>
        <w:rPr>
          <w:rFonts w:hint="default"/>
          <w:color w:val="auto"/>
          <w:sz w:val="24"/>
          <w:szCs w:val="24"/>
          <w:lang w:eastAsia="zh-CN"/>
        </w:rPr>
      </w:pPr>
    </w:p>
    <w:p>
      <w:pPr>
        <w:keepNext w:val="0"/>
        <w:keepLines w:val="0"/>
        <w:pageBreakBefore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甲方：                                        乙方： </w:t>
      </w:r>
    </w:p>
    <w:p>
      <w:pPr>
        <w:keepNext w:val="0"/>
        <w:keepLines w:val="0"/>
        <w:pageBreakBefore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地址：                                        地址： </w:t>
      </w:r>
    </w:p>
    <w:p>
      <w:pPr>
        <w:keepNext w:val="0"/>
        <w:keepLines w:val="0"/>
        <w:pageBreakBefore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法定代表人或授权代表 ：                       法定代表人或授权代表：                        </w:t>
      </w:r>
    </w:p>
    <w:p>
      <w:pPr>
        <w:keepNext w:val="0"/>
        <w:keepLines w:val="0"/>
        <w:pageBreakBefore w:val="0"/>
        <w:kinsoku/>
        <w:wordWrap/>
        <w:overflowPunct/>
        <w:topLinePunct w:val="0"/>
        <w:autoSpaceDE/>
        <w:autoSpaceDN/>
        <w:bidi w:val="0"/>
        <w:adjustRightInd/>
        <w:snapToGrid/>
        <w:spacing w:beforeLines="0" w:afterLines="0" w:line="500" w:lineRule="atLeas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签订日期：      年  月  日</w:t>
      </w:r>
    </w:p>
    <w:p>
      <w:pPr>
        <w:pStyle w:val="230"/>
        <w:rPr>
          <w:rFonts w:ascii="宋体" w:hAnsi="宋体" w:cs="宋体"/>
          <w:color w:val="auto"/>
          <w:szCs w:val="21"/>
          <w:highlight w:val="none"/>
        </w:rPr>
      </w:pPr>
    </w:p>
    <w:p>
      <w:pPr>
        <w:rPr>
          <w:color w:val="auto"/>
          <w:highlight w:val="none"/>
        </w:rPr>
      </w:pPr>
    </w:p>
    <w:p>
      <w:pPr>
        <w:rPr>
          <w:rFonts w:hint="eastAsia" w:ascii="宋体" w:hAnsi="宋体"/>
          <w:color w:val="auto"/>
          <w:highlight w:val="none"/>
        </w:rPr>
      </w:pPr>
      <w:r>
        <w:rPr>
          <w:rFonts w:hint="eastAsia" w:ascii="宋体" w:hAnsi="宋体"/>
          <w:color w:val="auto"/>
          <w:highlight w:val="none"/>
        </w:rPr>
        <w:br w:type="page"/>
      </w:r>
    </w:p>
    <w:p>
      <w:pPr>
        <w:rPr>
          <w:rFonts w:hint="eastAsia" w:ascii="宋体" w:hAnsi="宋体"/>
          <w:color w:val="auto"/>
          <w:highlight w:val="none"/>
        </w:rPr>
      </w:pPr>
    </w:p>
    <w:p>
      <w:pPr>
        <w:spacing w:line="400" w:lineRule="exact"/>
        <w:jc w:val="center"/>
        <w:outlineLvl w:val="0"/>
        <w:rPr>
          <w:rFonts w:hint="eastAsia" w:ascii="宋体" w:hAnsi="宋体"/>
          <w:b/>
          <w:color w:val="auto"/>
          <w:sz w:val="32"/>
          <w:highlight w:val="none"/>
        </w:rPr>
      </w:pPr>
      <w:bookmarkStart w:id="34" w:name="_Toc11005"/>
      <w:r>
        <w:rPr>
          <w:rFonts w:hint="eastAsia" w:ascii="宋体" w:hAnsi="宋体"/>
          <w:b/>
          <w:color w:val="auto"/>
          <w:sz w:val="32"/>
          <w:highlight w:val="none"/>
        </w:rPr>
        <w:t>第五章招标内容与技术需求</w:t>
      </w:r>
      <w:bookmarkEnd w:id="34"/>
    </w:p>
    <w:p>
      <w:pPr>
        <w:pStyle w:val="25"/>
        <w:widowControl w:val="0"/>
        <w:autoSpaceDE w:val="0"/>
        <w:snapToGrid w:val="0"/>
        <w:spacing w:before="0" w:beforeAutospacing="0" w:after="0" w:afterAutospacing="0" w:line="360" w:lineRule="auto"/>
        <w:ind w:firstLine="420" w:firstLineChars="200"/>
        <w:rPr>
          <w:rFonts w:hAnsi="宋体" w:cs="宋体"/>
          <w:color w:val="auto"/>
          <w:sz w:val="21"/>
          <w:szCs w:val="21"/>
          <w:highlight w:val="none"/>
        </w:rPr>
      </w:pPr>
    </w:p>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一、采购范围</w:t>
      </w:r>
    </w:p>
    <w:tbl>
      <w:tblPr>
        <w:tblStyle w:val="48"/>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58"/>
        <w:gridCol w:w="549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358" w:type="dxa"/>
            <w:noWrap w:val="0"/>
            <w:vAlign w:val="center"/>
          </w:tcPr>
          <w:p>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内容</w:t>
            </w:r>
          </w:p>
        </w:tc>
        <w:tc>
          <w:tcPr>
            <w:tcW w:w="5490" w:type="dxa"/>
            <w:noWrap w:val="0"/>
            <w:vAlign w:val="center"/>
          </w:tcPr>
          <w:p>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项目名称</w:t>
            </w:r>
          </w:p>
        </w:tc>
        <w:tc>
          <w:tcPr>
            <w:tcW w:w="1739" w:type="dxa"/>
            <w:noWrap w:val="0"/>
            <w:vAlign w:val="center"/>
          </w:tcPr>
          <w:p>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大部分</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175200m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橫七路—入口交界处</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7800m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入口景观处</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6500m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市民广场滨水绿化带</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17500m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沿海北线-慈东大道中间路段</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2940m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金融中心</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5266.9m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办公大楼内</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9249m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南楼+进口处绿化</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7493m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绿化养护</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灵绪路垃圾分拣中心</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2500m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58"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道路保洁</w:t>
            </w:r>
          </w:p>
        </w:tc>
        <w:tc>
          <w:tcPr>
            <w:tcW w:w="549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健身跑道</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18440m</w:t>
            </w:r>
            <w:r>
              <w:rPr>
                <w:rFonts w:hint="eastAsia" w:asciiTheme="minorEastAsia" w:hAnsiTheme="minorEastAsia" w:eastAsiaTheme="minorEastAsia" w:cstheme="minorEastAsia"/>
                <w:i w:val="0"/>
                <w:iCs w:val="0"/>
                <w:color w:val="000000"/>
                <w:kern w:val="0"/>
                <w:sz w:val="21"/>
                <w:szCs w:val="21"/>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6"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5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公厕</w:t>
            </w:r>
            <w:r>
              <w:rPr>
                <w:rStyle w:val="130"/>
                <w:rFonts w:hint="eastAsia" w:asciiTheme="minorEastAsia" w:hAnsiTheme="minorEastAsia" w:eastAsiaTheme="minorEastAsia" w:cstheme="minorEastAsia"/>
                <w:sz w:val="21"/>
                <w:szCs w:val="21"/>
                <w:lang w:val="en-US" w:eastAsia="zh-CN" w:bidi="ar"/>
              </w:rPr>
              <w:t>保洁</w:t>
            </w:r>
          </w:p>
        </w:tc>
        <w:tc>
          <w:tcPr>
            <w:tcW w:w="549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公厕</w:t>
            </w:r>
            <w:r>
              <w:rPr>
                <w:rStyle w:val="130"/>
                <w:rFonts w:hint="eastAsia" w:asciiTheme="minorEastAsia" w:hAnsiTheme="minorEastAsia" w:eastAsiaTheme="minorEastAsia" w:cstheme="minorEastAsia"/>
                <w:sz w:val="21"/>
                <w:szCs w:val="21"/>
                <w:lang w:val="en-US" w:eastAsia="zh-CN" w:bidi="ar"/>
              </w:rPr>
              <w:t>保洁</w:t>
            </w:r>
          </w:p>
        </w:tc>
        <w:tc>
          <w:tcPr>
            <w:tcW w:w="1739"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2个</w:t>
            </w:r>
          </w:p>
        </w:tc>
      </w:tr>
    </w:tbl>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二、工作内容</w:t>
      </w:r>
    </w:p>
    <w:p>
      <w:pPr>
        <w:pStyle w:val="47"/>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Theme="minorEastAsia" w:hAnsiTheme="minorEastAsia" w:eastAsiaTheme="minorEastAsia" w:cstheme="minorEastAsia"/>
          <w:b/>
          <w:bCs/>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1、绿化</w:t>
      </w:r>
      <w:r>
        <w:rPr>
          <w:rFonts w:hint="eastAsia" w:asciiTheme="minorEastAsia" w:hAnsiTheme="minorEastAsia" w:eastAsiaTheme="minorEastAsia" w:cstheme="minorEastAsia"/>
          <w:color w:val="000000"/>
          <w:spacing w:val="0"/>
          <w:sz w:val="21"/>
          <w:szCs w:val="21"/>
          <w:lang w:val="en-US"/>
        </w:rPr>
        <w:t>养护：</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（1）</w:t>
      </w:r>
      <w:r>
        <w:rPr>
          <w:rFonts w:hint="eastAsia" w:asciiTheme="minorEastAsia" w:hAnsiTheme="minorEastAsia" w:eastAsiaTheme="minorEastAsia" w:cstheme="minorEastAsia"/>
          <w:color w:val="000000"/>
          <w:spacing w:val="0"/>
          <w:sz w:val="21"/>
          <w:szCs w:val="21"/>
          <w:lang w:val="en-US"/>
        </w:rPr>
        <w:t>绿化充分，植物配置合理，达到黄土不</w:t>
      </w:r>
      <w:r>
        <w:rPr>
          <w:rFonts w:hint="eastAsia" w:asciiTheme="minorEastAsia" w:hAnsiTheme="minorEastAsia" w:eastAsiaTheme="minorEastAsia" w:cstheme="minorEastAsia"/>
          <w:color w:val="000000"/>
          <w:spacing w:val="0"/>
          <w:sz w:val="21"/>
          <w:szCs w:val="21"/>
          <w:lang w:val="en-US" w:eastAsia="zh-CN"/>
        </w:rPr>
        <w:t>露天</w:t>
      </w:r>
      <w:r>
        <w:rPr>
          <w:rFonts w:hint="eastAsia" w:asciiTheme="minorEastAsia" w:hAnsiTheme="minorEastAsia" w:eastAsiaTheme="minorEastAsia" w:cstheme="minorEastAsia"/>
          <w:color w:val="000000"/>
          <w:spacing w:val="0"/>
          <w:sz w:val="21"/>
          <w:szCs w:val="21"/>
          <w:lang w:val="en-US"/>
        </w:rPr>
        <w:t>。</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2）园林植物达到：</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1)生长势：好。生长超过该树种该规格的平均生长量(平均生长量待以后调查确定)。</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2)叶子健壮：①叶色正常，叶大而肥厚、在正常的条件下不黄叶，不焦叶、不卷叶、不落叶，叶上无虫尿虫网灰尘；②被啃咬的叶片最严重的每株在5%以下(包括5%，以下同)。</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3)枝、干健壮：①无明显枯枝、枯杈、枝条粗壮，过冬前新梢木质化；②无蛀干害虫的活卵活虫；③介壳虫最严重处主枝干上100平方厘米1头活虫以下(包括1头，以下同)，较细的枝条每尺长的一段上在5头活虫以下(包括5头，以下同);株数都在2%以下(包括2%，以下同)；④树冠完整：分支点合适，主侧枝分布均称和数量适宜、内膛不乱、通风透光。</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4)措施好：按一级技术措施要求认真进行养护。</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5)行道树基本无缺株。</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6)草坪覆盖率应基本达到100%；草坪内杂草控制在10%以内；生长茂盛颜色正常，不枯黄；每年修剪暖地型6次以上，冷地型15次以上；无病虫害。</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3）行道树和绿地内无死树，树木修剪合理，树形美观，能及时很好地解决树木与电线、建筑物、交通等之间的矛盾。</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4）绿化生产垃圾(如：树枝、树叶、草沫等)重点地区路段能做到随产随清，其它地区和路段做到日产日清;绿地整洁，无砖石瓦块、筐和塑料袋等废弃物，并做到经常保洁。</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5）栏杆、园路、桌椅、井盖和牌饰等园林设施完整，做到及时维护和油饰。</w:t>
      </w:r>
    </w:p>
    <w:p>
      <w:pPr>
        <w:pStyle w:val="4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color w:val="000000"/>
          <w:spacing w:val="0"/>
          <w:sz w:val="21"/>
          <w:szCs w:val="21"/>
          <w:lang w:val="en-US"/>
        </w:rPr>
        <w:t>6）无明显地人为损坏，绿地、草坪内无堆物堆料、搭棚或侵占等；行道树树干上无钉栓刻画的现象，树下距树干2米范围内无堆物堆料、搭棚设摊、圈栏等影响树木养护管理和生长的现象（2米以内如有），则应有保护措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2、公厕保洁：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1）提供公厕保洁人员名单和联系电话号码，保洁人员有变化应及时提供新名册；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2）保洁人员必须穿着工作服上岗，严格禁止穿拖鞋，言行举止有损形象，严禁上班时间做与工作无关之事。8点之后进入巡回动态保洁，严禁提前撤退，上班脱岗、缺岗、串岗，酒后工作。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3）公厕要求落实专人24小时保洁；保持公厕上下四壁无尘网、无蝇蛆、无尿碱、无痰迹、无积灰、无恶臭、无满溢，地面、蹲台面、小便池、门窗墙裙清洁无垃圾，公厕外无垃圾或“牛皮癣”。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4）公厕外（有绿化带的，以绿化带外围为界限；无绿化带的，外墙起3米范围内）无可见垃圾，无乱吊挂、杂物堆放；保洁用具摆放整洁晾晒隐蔽，及时放入工具间。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5）化粪池定期清理,确保管道畅通，无满溢。吸粪池内不得有沉淀物、必须每</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rPr>
        <w:t>清理不少于一次。应保持作业场地清洁卫生、无遗撒粪便、吸粪结束后，应盖严粪口，保持周围清洁；粪便运输车辆在运输过程中全密闭，无滴漏。不能发现出粪口无盖。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sz w:val="21"/>
          <w:szCs w:val="21"/>
        </w:rPr>
        <w:t>6）公厕设施设备无破损缺失，使用正常，标识标牌规范。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bCs/>
          <w:color w:val="000000"/>
          <w:spacing w:val="0"/>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color w:val="000000"/>
          <w:kern w:val="0"/>
          <w:sz w:val="21"/>
          <w:szCs w:val="21"/>
          <w:lang w:val="en-US" w:eastAsia="zh-CN"/>
        </w:rPr>
        <w:t>健身跑道</w:t>
      </w:r>
      <w:r>
        <w:rPr>
          <w:rFonts w:hint="eastAsia" w:asciiTheme="minorEastAsia" w:hAnsiTheme="minorEastAsia" w:eastAsiaTheme="minorEastAsia" w:cstheme="minorEastAsia"/>
          <w:kern w:val="0"/>
          <w:sz w:val="21"/>
          <w:szCs w:val="21"/>
          <w:lang w:val="en-US" w:eastAsia="zh-CN"/>
        </w:rPr>
        <w:t>保洁：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健身跑道</w:t>
      </w:r>
      <w:r>
        <w:rPr>
          <w:rFonts w:hint="eastAsia" w:asciiTheme="minorEastAsia" w:hAnsiTheme="minorEastAsia" w:eastAsiaTheme="minorEastAsia" w:cstheme="minorEastAsia"/>
          <w:kern w:val="0"/>
          <w:sz w:val="21"/>
          <w:szCs w:val="21"/>
        </w:rPr>
        <w:t>清扫保洁质量：应达到路面整洁，无烟蒂白色垃圾,无果皮纸屑，路面无土石杂物，无积水积泥，无堆积物，雨水口、窨井口无积泥杂物。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首次普扫应在上午7:30时前结束，其余时间为巡回保洁（实行八小时制巡回保洁），生活垃圾收集，并运到慈溪中科众茂环保热电有限公司进行处理。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保洁人员应文明作业，不得将垃圾、污水扫到或溅到行人身上，禁止将垃圾堆入或留在窨井盖上，禁止将垃圾扫入或倒入窨井（如导致窨井堵塞，由乙方负责疏通）、道路绿地、河道等处，不得焚烧垃圾，必须运到慈溪中科众茂环保热电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乙方应当遵守《宁波市市容环境卫生管理条例》、《宁波市建筑垃圾管理办法》等法律法规及有关规定。</w:t>
      </w:r>
    </w:p>
    <w:p>
      <w:pPr>
        <w:keepNext w:val="0"/>
        <w:keepLines w:val="0"/>
        <w:pageBreakBefore w:val="0"/>
        <w:kinsoku/>
        <w:wordWrap/>
        <w:overflowPunct/>
        <w:topLinePunct w:val="0"/>
        <w:autoSpaceDE/>
        <w:autoSpaceDN/>
        <w:bidi w:val="0"/>
        <w:adjustRightInd/>
        <w:snapToGrid/>
        <w:spacing w:beforeLines="0" w:afterLines="0" w:line="36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pacing w:val="0"/>
          <w:sz w:val="21"/>
          <w:szCs w:val="21"/>
          <w:lang w:val="en-US" w:eastAsia="zh-CN"/>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冰雪天气，做好</w:t>
      </w:r>
      <w:r>
        <w:rPr>
          <w:rFonts w:hint="eastAsia" w:asciiTheme="minorEastAsia" w:hAnsiTheme="minorEastAsia" w:eastAsiaTheme="minorEastAsia" w:cstheme="minorEastAsia"/>
          <w:kern w:val="0"/>
          <w:sz w:val="21"/>
          <w:szCs w:val="21"/>
          <w:lang w:eastAsia="zh-CN"/>
        </w:rPr>
        <w:t>跑道</w:t>
      </w:r>
      <w:r>
        <w:rPr>
          <w:rFonts w:hint="eastAsia" w:asciiTheme="minorEastAsia" w:hAnsiTheme="minorEastAsia" w:eastAsiaTheme="minorEastAsia" w:cstheme="minorEastAsia"/>
          <w:kern w:val="0"/>
          <w:sz w:val="21"/>
          <w:szCs w:val="21"/>
        </w:rPr>
        <w:t>的除冰工作。</w:t>
      </w:r>
    </w:p>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三、要求配备的人员和设备设施要求</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1、</w:t>
      </w:r>
      <w:r>
        <w:rPr>
          <w:rFonts w:hint="eastAsia" w:asciiTheme="minorEastAsia" w:hAnsiTheme="minorEastAsia" w:eastAsiaTheme="minorEastAsia" w:cstheme="minorEastAsia"/>
          <w:color w:val="000000"/>
          <w:spacing w:val="0"/>
          <w:sz w:val="21"/>
          <w:szCs w:val="21"/>
          <w:lang w:val="en-US"/>
        </w:rPr>
        <w:t>人员配备要求：</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（1）</w:t>
      </w:r>
      <w:r>
        <w:rPr>
          <w:rFonts w:hint="eastAsia" w:asciiTheme="minorEastAsia" w:hAnsiTheme="minorEastAsia" w:eastAsiaTheme="minorEastAsia" w:cstheme="minorEastAsia"/>
          <w:color w:val="000000"/>
          <w:spacing w:val="0"/>
          <w:sz w:val="21"/>
          <w:szCs w:val="21"/>
          <w:lang w:val="en-US"/>
        </w:rPr>
        <w:t>投标人须至少应配备如下人员：</w:t>
      </w:r>
      <w:r>
        <w:rPr>
          <w:rFonts w:hint="eastAsia" w:asciiTheme="minorEastAsia" w:hAnsiTheme="minorEastAsia" w:eastAsiaTheme="minorEastAsia" w:cstheme="minorEastAsia"/>
          <w:color w:val="000000"/>
          <w:spacing w:val="0"/>
          <w:sz w:val="21"/>
          <w:szCs w:val="21"/>
          <w:lang w:val="en-US" w:eastAsia="zh-CN"/>
        </w:rPr>
        <w:t>项目经理</w:t>
      </w:r>
      <w:r>
        <w:rPr>
          <w:rFonts w:hint="eastAsia" w:asciiTheme="minorEastAsia" w:hAnsiTheme="minorEastAsia" w:eastAsiaTheme="minorEastAsia" w:cstheme="minorEastAsia"/>
          <w:color w:val="000000"/>
          <w:spacing w:val="0"/>
          <w:sz w:val="21"/>
          <w:szCs w:val="21"/>
          <w:lang w:val="en-US"/>
        </w:rPr>
        <w:t>1名，技术人员</w:t>
      </w:r>
      <w:r>
        <w:rPr>
          <w:rFonts w:hint="eastAsia" w:asciiTheme="minorEastAsia" w:hAnsiTheme="minorEastAsia" w:eastAsiaTheme="minorEastAsia" w:cstheme="minorEastAsia"/>
          <w:color w:val="000000"/>
          <w:spacing w:val="0"/>
          <w:sz w:val="21"/>
          <w:szCs w:val="21"/>
          <w:lang w:val="en-US" w:eastAsia="zh-CN"/>
        </w:rPr>
        <w:t>1名，</w:t>
      </w:r>
      <w:r>
        <w:rPr>
          <w:rFonts w:hint="eastAsia" w:asciiTheme="minorEastAsia" w:hAnsiTheme="minorEastAsia" w:eastAsiaTheme="minorEastAsia" w:cstheme="minorEastAsia"/>
          <w:color w:val="000000"/>
          <w:spacing w:val="0"/>
          <w:sz w:val="21"/>
          <w:szCs w:val="21"/>
          <w:lang w:val="en-US"/>
        </w:rPr>
        <w:t>管理人员1名，驾驶员</w:t>
      </w:r>
      <w:r>
        <w:rPr>
          <w:rFonts w:hint="eastAsia" w:asciiTheme="minorEastAsia" w:hAnsiTheme="minorEastAsia" w:eastAsiaTheme="minorEastAsia" w:cstheme="minorEastAsia"/>
          <w:color w:val="000000"/>
          <w:spacing w:val="0"/>
          <w:sz w:val="21"/>
          <w:szCs w:val="21"/>
          <w:lang w:val="en-US" w:eastAsia="zh-CN"/>
        </w:rPr>
        <w:t>3</w:t>
      </w:r>
      <w:r>
        <w:rPr>
          <w:rFonts w:hint="eastAsia" w:asciiTheme="minorEastAsia" w:hAnsiTheme="minorEastAsia" w:eastAsiaTheme="minorEastAsia" w:cstheme="minorEastAsia"/>
          <w:color w:val="000000"/>
          <w:spacing w:val="0"/>
          <w:sz w:val="21"/>
          <w:szCs w:val="21"/>
          <w:lang w:val="en-US"/>
        </w:rPr>
        <w:t>名。</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（2）绿化</w:t>
      </w:r>
      <w:r>
        <w:rPr>
          <w:rFonts w:hint="eastAsia" w:asciiTheme="minorEastAsia" w:hAnsiTheme="minorEastAsia" w:eastAsiaTheme="minorEastAsia" w:cstheme="minorEastAsia"/>
          <w:color w:val="000000"/>
          <w:spacing w:val="0"/>
          <w:sz w:val="21"/>
          <w:szCs w:val="21"/>
          <w:lang w:val="en-US"/>
        </w:rPr>
        <w:t>养护作业人员</w:t>
      </w:r>
      <w:r>
        <w:rPr>
          <w:rFonts w:hint="eastAsia" w:asciiTheme="minorEastAsia" w:hAnsiTheme="minorEastAsia" w:eastAsiaTheme="minorEastAsia" w:cstheme="minorEastAsia"/>
          <w:color w:val="000000"/>
          <w:spacing w:val="0"/>
          <w:sz w:val="21"/>
          <w:szCs w:val="21"/>
          <w:lang w:val="en-US" w:eastAsia="zh-CN"/>
        </w:rPr>
        <w:t>10名</w:t>
      </w:r>
      <w:r>
        <w:rPr>
          <w:rFonts w:hint="eastAsia" w:asciiTheme="minorEastAsia" w:hAnsiTheme="minorEastAsia" w:eastAsiaTheme="minorEastAsia" w:cstheme="minorEastAsia"/>
          <w:color w:val="000000"/>
          <w:spacing w:val="0"/>
          <w:sz w:val="21"/>
          <w:szCs w:val="21"/>
          <w:lang w:val="en-US"/>
        </w:rPr>
        <w:t>，</w:t>
      </w:r>
      <w:r>
        <w:rPr>
          <w:rFonts w:hint="eastAsia" w:asciiTheme="minorEastAsia" w:hAnsiTheme="minorEastAsia" w:eastAsiaTheme="minorEastAsia" w:cstheme="minorEastAsia"/>
          <w:color w:val="000000"/>
          <w:spacing w:val="0"/>
          <w:sz w:val="21"/>
          <w:szCs w:val="21"/>
          <w:lang w:val="en-US" w:eastAsia="zh-CN"/>
        </w:rPr>
        <w:t>健身跑道保洁人员3名，公厕保洁人员2名</w:t>
      </w:r>
      <w:r>
        <w:rPr>
          <w:rFonts w:hint="eastAsia" w:asciiTheme="minorEastAsia" w:hAnsiTheme="minorEastAsia" w:eastAsiaTheme="minorEastAsia" w:cstheme="minorEastAsia"/>
          <w:color w:val="000000"/>
          <w:spacing w:val="0"/>
          <w:sz w:val="21"/>
          <w:szCs w:val="21"/>
          <w:lang w:val="en-US"/>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eastAsia="zh-CN"/>
        </w:rPr>
      </w:pPr>
      <w:r>
        <w:rPr>
          <w:rFonts w:hint="eastAsia" w:asciiTheme="minorEastAsia" w:hAnsiTheme="minorEastAsia" w:eastAsiaTheme="minorEastAsia" w:cstheme="minorEastAsia"/>
          <w:color w:val="000000"/>
          <w:spacing w:val="0"/>
          <w:sz w:val="21"/>
          <w:szCs w:val="21"/>
          <w:lang w:val="en-US" w:eastAsia="zh-CN"/>
        </w:rPr>
        <w:t>（3）要求投标人在合同签订前将所有人员配备到位。</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2、</w:t>
      </w:r>
      <w:r>
        <w:rPr>
          <w:rFonts w:hint="eastAsia" w:asciiTheme="minorEastAsia" w:hAnsiTheme="minorEastAsia" w:eastAsiaTheme="minorEastAsia" w:cstheme="minorEastAsia"/>
          <w:color w:val="000000"/>
          <w:spacing w:val="0"/>
          <w:sz w:val="21"/>
          <w:szCs w:val="21"/>
          <w:lang w:val="en-US"/>
        </w:rPr>
        <w:t>作业人员服装配备要求：</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840" w:firstLineChars="4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z w:val="21"/>
          <w:szCs w:val="21"/>
        </w:rPr>
        <w:t>一线作业人员和巡查人员需穿着辨识度较高的作业服装。</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3、绿化</w:t>
      </w:r>
      <w:r>
        <w:rPr>
          <w:rFonts w:hint="eastAsia" w:asciiTheme="minorEastAsia" w:hAnsiTheme="minorEastAsia" w:eastAsiaTheme="minorEastAsia" w:cstheme="minorEastAsia"/>
          <w:color w:val="000000"/>
          <w:spacing w:val="0"/>
          <w:sz w:val="21"/>
          <w:szCs w:val="21"/>
          <w:lang w:val="en-US"/>
        </w:rPr>
        <w:t>养护设备配备要求：</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（1）根据养护的设施量、养护质量标准及考核标准等，由投标人按要求自行配置巡查、作业所需的车辆、机械和设备。</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（2）投标人须配备以下种类的养护作业车辆和设备：吊机、运输车、登高车、洒水车、树枝粉碎机、割草机、割灌机、绿篱机、喷雾机、打药机、打药泵、水泵、油锯</w:t>
      </w:r>
      <w:r>
        <w:rPr>
          <w:rFonts w:hint="eastAsia" w:asciiTheme="minorEastAsia" w:hAnsiTheme="minorEastAsia" w:eastAsiaTheme="minorEastAsia" w:cstheme="minorEastAsia"/>
          <w:color w:val="000000"/>
          <w:spacing w:val="0"/>
          <w:sz w:val="21"/>
          <w:szCs w:val="21"/>
          <w:lang w:val="en-US" w:eastAsia="zh-CN"/>
        </w:rPr>
        <w:t>、抗寒设备</w:t>
      </w:r>
      <w:r>
        <w:rPr>
          <w:rFonts w:hint="eastAsia" w:asciiTheme="minorEastAsia" w:hAnsiTheme="minorEastAsia" w:eastAsiaTheme="minorEastAsia" w:cstheme="minorEastAsia"/>
          <w:color w:val="000000"/>
          <w:spacing w:val="0"/>
          <w:sz w:val="21"/>
          <w:szCs w:val="21"/>
          <w:lang w:val="en-US"/>
        </w:rPr>
        <w:t>及其他投标人完成本项目需要提供的机具。</w:t>
      </w:r>
    </w:p>
    <w:p>
      <w:pPr>
        <w:pStyle w:val="47"/>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rPr>
        <w:t>（3）养护用房由中标人自行解决并承担所需费用。</w:t>
      </w:r>
    </w:p>
    <w:p>
      <w:pPr>
        <w:pStyle w:val="47"/>
        <w:keepNext w:val="0"/>
        <w:keepLines w:val="0"/>
        <w:pageBreakBefore w:val="0"/>
        <w:widowControl w:val="0"/>
        <w:kinsoku/>
        <w:wordWrap/>
        <w:overflowPunct/>
        <w:topLinePunct w:val="0"/>
        <w:autoSpaceDE/>
        <w:autoSpaceDN/>
        <w:bidi w:val="0"/>
        <w:adjustRightInd/>
        <w:snapToGrid/>
        <w:spacing w:line="360" w:lineRule="exact"/>
        <w:ind w:firstLine="840" w:firstLineChars="400"/>
        <w:jc w:val="left"/>
        <w:textAlignment w:val="auto"/>
        <w:rPr>
          <w:rFonts w:hint="eastAsia" w:asciiTheme="minorEastAsia" w:hAnsiTheme="minorEastAsia" w:eastAsiaTheme="minorEastAsia" w:cstheme="minorEastAsia"/>
          <w:color w:val="000000"/>
          <w:spacing w:val="0"/>
          <w:sz w:val="21"/>
          <w:szCs w:val="21"/>
          <w:lang w:val="en-US"/>
        </w:rPr>
      </w:pPr>
      <w:r>
        <w:rPr>
          <w:rFonts w:hint="eastAsia" w:asciiTheme="minorEastAsia" w:hAnsiTheme="minorEastAsia" w:eastAsiaTheme="minorEastAsia" w:cstheme="minorEastAsia"/>
          <w:color w:val="000000"/>
          <w:spacing w:val="0"/>
          <w:sz w:val="21"/>
          <w:szCs w:val="21"/>
          <w:lang w:val="en-US" w:eastAsia="zh-CN"/>
        </w:rPr>
        <w:t>4、道路保洁</w:t>
      </w:r>
      <w:r>
        <w:rPr>
          <w:rFonts w:hint="eastAsia" w:asciiTheme="minorEastAsia" w:hAnsiTheme="minorEastAsia" w:eastAsiaTheme="minorEastAsia" w:cstheme="minorEastAsia"/>
          <w:color w:val="000000"/>
          <w:spacing w:val="0"/>
          <w:sz w:val="21"/>
          <w:szCs w:val="21"/>
          <w:lang w:val="en-US"/>
        </w:rPr>
        <w:t>设备配备要求：</w:t>
      </w:r>
    </w:p>
    <w:p>
      <w:pPr>
        <w:keepNext w:val="0"/>
        <w:keepLines w:val="0"/>
        <w:pageBreakBefore w:val="0"/>
        <w:kinsoku/>
        <w:wordWrap/>
        <w:overflowPunct/>
        <w:topLinePunct w:val="0"/>
        <w:autoSpaceDE/>
        <w:autoSpaceDN/>
        <w:bidi w:val="0"/>
        <w:adjustRightInd/>
        <w:snapToGrid/>
        <w:spacing w:beforeLines="0" w:afterLines="0" w:line="360" w:lineRule="exact"/>
        <w:ind w:firstLine="840" w:firstLineChars="400"/>
        <w:textAlignment w:val="auto"/>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kern w:val="0"/>
          <w:sz w:val="21"/>
          <w:szCs w:val="21"/>
        </w:rPr>
        <w:t>电动三轮车</w:t>
      </w:r>
      <w:r>
        <w:rPr>
          <w:rFonts w:hint="eastAsia" w:asciiTheme="minorEastAsia" w:hAnsiTheme="minorEastAsia" w:eastAsiaTheme="minorEastAsia" w:cstheme="minorEastAsia"/>
          <w:kern w:val="0"/>
          <w:sz w:val="21"/>
          <w:szCs w:val="21"/>
          <w:lang w:val="en-US" w:eastAsia="zh-CN"/>
        </w:rPr>
        <w:t>两</w:t>
      </w:r>
      <w:r>
        <w:rPr>
          <w:rFonts w:hint="eastAsia" w:asciiTheme="minorEastAsia" w:hAnsiTheme="minorEastAsia" w:eastAsiaTheme="minorEastAsia" w:cstheme="minorEastAsia"/>
          <w:kern w:val="0"/>
          <w:sz w:val="21"/>
          <w:szCs w:val="21"/>
        </w:rPr>
        <w:t>辆</w:t>
      </w:r>
      <w:r>
        <w:rPr>
          <w:rFonts w:hint="eastAsia" w:asciiTheme="minorEastAsia" w:hAnsiTheme="minorEastAsia" w:eastAsiaTheme="minorEastAsia" w:cstheme="minorEastAsia"/>
          <w:snapToGrid w:val="0"/>
          <w:color w:val="auto"/>
          <w:sz w:val="21"/>
          <w:szCs w:val="21"/>
        </w:rPr>
        <w:t>。</w:t>
      </w:r>
    </w:p>
    <w:p>
      <w:pPr>
        <w:pStyle w:val="241"/>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四、其他要求</w:t>
      </w:r>
    </w:p>
    <w:p>
      <w:pPr>
        <w:pStyle w:val="241"/>
        <w:keepNext w:val="0"/>
        <w:keepLines w:val="0"/>
        <w:pageBreakBefore w:val="0"/>
        <w:numPr>
          <w:ilvl w:val="0"/>
          <w:numId w:val="0"/>
        </w:numPr>
        <w:kinsoku/>
        <w:wordWrap/>
        <w:overflowPunct/>
        <w:topLinePunct w:val="0"/>
        <w:autoSpaceDE/>
        <w:autoSpaceDN/>
        <w:bidi w:val="0"/>
        <w:adjustRightInd/>
        <w:snapToGrid/>
        <w:spacing w:line="360" w:lineRule="exact"/>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绿化</w:t>
      </w:r>
      <w:r>
        <w:rPr>
          <w:rFonts w:hint="eastAsia" w:asciiTheme="minorEastAsia" w:hAnsiTheme="minorEastAsia" w:eastAsiaTheme="minorEastAsia" w:cstheme="minorEastAsia"/>
          <w:sz w:val="21"/>
          <w:szCs w:val="21"/>
        </w:rPr>
        <w:t>养护要求</w:t>
      </w:r>
    </w:p>
    <w:p>
      <w:pPr>
        <w:pStyle w:val="241"/>
        <w:keepNext w:val="0"/>
        <w:keepLines w:val="0"/>
        <w:pageBreakBefore w:val="0"/>
        <w:kinsoku/>
        <w:wordWrap/>
        <w:overflowPunct/>
        <w:topLinePunct w:val="0"/>
        <w:autoSpaceDE/>
        <w:autoSpaceDN/>
        <w:bidi w:val="0"/>
        <w:adjustRightInd/>
        <w:snapToGrid/>
        <w:spacing w:line="360" w:lineRule="exact"/>
        <w:ind w:firstLine="768" w:firstLineChars="36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）绿化</w:t>
      </w:r>
      <w:r>
        <w:rPr>
          <w:rFonts w:hint="eastAsia" w:asciiTheme="minorEastAsia" w:hAnsiTheme="minorEastAsia" w:eastAsiaTheme="minorEastAsia" w:cstheme="minorEastAsia"/>
          <w:sz w:val="21"/>
          <w:szCs w:val="21"/>
        </w:rPr>
        <w:t>养护要求：中标人必须严格按合同条款及园林绿化养护标准精心组织养护，确保绿化长势良好，养护质量不低于《城市绿地养护质量等级》一级养护标准中的各个条款的养护标准</w:t>
      </w:r>
      <w:r>
        <w:rPr>
          <w:rFonts w:hint="eastAsia" w:asciiTheme="minorEastAsia" w:hAnsiTheme="minorEastAsia" w:eastAsiaTheme="minorEastAsia" w:cstheme="minorEastAsia"/>
          <w:sz w:val="21"/>
          <w:szCs w:val="21"/>
          <w:lang w:eastAsia="zh-CN"/>
        </w:rPr>
        <w:t>（详见附件</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241"/>
        <w:keepNext w:val="0"/>
        <w:keepLines w:val="0"/>
        <w:pageBreakBefore w:val="0"/>
        <w:kinsoku/>
        <w:wordWrap/>
        <w:overflowPunct/>
        <w:topLinePunct w:val="0"/>
        <w:autoSpaceDE/>
        <w:autoSpaceDN/>
        <w:bidi w:val="0"/>
        <w:adjustRightInd/>
        <w:snapToGrid/>
        <w:spacing w:line="360" w:lineRule="exact"/>
        <w:ind w:firstLine="768" w:firstLineChars="36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作业人员应穿戴统一的安全服装，遵守交通、市容、卫生等有关规定。承包过程中的各种意外，包括中标者与第三方发生质量造成安全事故，其责任由中标单位承担，招标人不承担任何责任。</w:t>
      </w:r>
    </w:p>
    <w:p>
      <w:pPr>
        <w:pStyle w:val="241"/>
        <w:keepNext w:val="0"/>
        <w:keepLines w:val="0"/>
        <w:pageBreakBefore w:val="0"/>
        <w:kinsoku/>
        <w:wordWrap/>
        <w:overflowPunct/>
        <w:topLinePunct w:val="0"/>
        <w:autoSpaceDE/>
        <w:autoSpaceDN/>
        <w:bidi w:val="0"/>
        <w:adjustRightInd/>
        <w:snapToGrid/>
        <w:spacing w:line="360" w:lineRule="exact"/>
        <w:ind w:firstLine="768" w:firstLineChars="36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乔木支撑：并对标段内所有歪树进行扶正。</w:t>
      </w:r>
    </w:p>
    <w:p>
      <w:pPr>
        <w:pStyle w:val="241"/>
        <w:keepNext w:val="0"/>
        <w:keepLines w:val="0"/>
        <w:pageBreakBefore w:val="0"/>
        <w:kinsoku/>
        <w:wordWrap/>
        <w:overflowPunct/>
        <w:topLinePunct w:val="0"/>
        <w:autoSpaceDE/>
        <w:autoSpaceDN/>
        <w:bidi w:val="0"/>
        <w:adjustRightInd/>
        <w:snapToGrid/>
        <w:spacing w:line="360" w:lineRule="exact"/>
        <w:ind w:firstLine="768" w:firstLineChars="36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台风季节要做好乔木的支撑、抗台防台措施。</w:t>
      </w:r>
    </w:p>
    <w:p>
      <w:pPr>
        <w:pStyle w:val="241"/>
        <w:keepNext w:val="0"/>
        <w:keepLines w:val="0"/>
        <w:pageBreakBefore w:val="0"/>
        <w:kinsoku/>
        <w:wordWrap/>
        <w:overflowPunct/>
        <w:topLinePunct w:val="0"/>
        <w:autoSpaceDE/>
        <w:autoSpaceDN/>
        <w:bidi w:val="0"/>
        <w:adjustRightInd/>
        <w:snapToGrid/>
        <w:spacing w:line="360" w:lineRule="exact"/>
        <w:ind w:firstLine="768" w:firstLineChars="36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定期对绿化植物进行叶面喷洒，确保绿化植物的叶面清洁；定期对绿地内的设施进行清洗，确保设施整洁。</w:t>
      </w:r>
    </w:p>
    <w:p>
      <w:pPr>
        <w:keepNext w:val="0"/>
        <w:keepLines w:val="0"/>
        <w:pageBreakBefore w:val="0"/>
        <w:kinsoku/>
        <w:wordWrap/>
        <w:overflowPunct/>
        <w:topLinePunct w:val="0"/>
        <w:autoSpaceDE/>
        <w:autoSpaceDN/>
        <w:bidi w:val="0"/>
        <w:adjustRightInd/>
        <w:snapToGrid/>
        <w:spacing w:beforeLines="0" w:afterLines="0" w:line="360" w:lineRule="exact"/>
        <w:ind w:firstLine="840" w:firstLineChars="4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本项目内的绿化补种及行道树木补种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除了自然灾害等不可抗力因素导致的树木损坏外，遇到因人为或其它因素造成的树木损坏，必须无条件在招标人规定的时间内补种完毕。对于灌木绿篱补植原则上按照同一品种、同一规格补植，对于无法达到同一规格的苗木，必须做到密植，且在感官上要达到统一性。对于行道树补植，行道树补植在同一品种的前提下，苗木胸径一般不小于原规格，且在一个路段补植需要做到统一性。请投标供应商报价时充分考虑补植养护费用。</w:t>
      </w:r>
    </w:p>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b/>
          <w:bCs/>
          <w:snapToGrid w:val="0"/>
          <w:color w:val="auto"/>
          <w:sz w:val="21"/>
          <w:szCs w:val="21"/>
        </w:rPr>
      </w:pPr>
      <w:r>
        <w:rPr>
          <w:rFonts w:hint="eastAsia" w:asciiTheme="minorEastAsia" w:hAnsiTheme="minorEastAsia" w:eastAsiaTheme="minorEastAsia" w:cstheme="minorEastAsia"/>
          <w:b/>
          <w:bCs/>
          <w:color w:val="auto"/>
          <w:sz w:val="21"/>
          <w:szCs w:val="21"/>
          <w:lang w:val="en-US" w:eastAsia="zh-CN"/>
        </w:rPr>
        <w:t>五、考核办法</w:t>
      </w:r>
    </w:p>
    <w:p>
      <w:pPr>
        <w:keepNext w:val="0"/>
        <w:keepLines w:val="0"/>
        <w:pageBreakBefore w:val="0"/>
        <w:kinsoku/>
        <w:wordWrap/>
        <w:overflowPunct/>
        <w:topLinePunct w:val="0"/>
        <w:autoSpaceDE/>
        <w:autoSpaceDN/>
        <w:bidi w:val="0"/>
        <w:adjustRightInd/>
        <w:snapToGrid/>
        <w:spacing w:beforeLines="0" w:afterLines="0" w:line="360" w:lineRule="exact"/>
        <w:ind w:firstLine="422" w:firstLineChars="200"/>
        <w:jc w:val="center"/>
        <w:textAlignment w:val="auto"/>
        <w:rPr>
          <w:rFonts w:hint="eastAsia" w:asciiTheme="minorEastAsia" w:hAnsiTheme="minorEastAsia" w:eastAsiaTheme="minorEastAsia" w:cstheme="minorEastAsia"/>
          <w:b/>
          <w:bCs/>
          <w:snapToGrid w:val="0"/>
          <w:color w:val="auto"/>
          <w:sz w:val="21"/>
          <w:szCs w:val="21"/>
          <w:lang w:eastAsia="zh-CN"/>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val="en-US" w:eastAsia="zh-CN"/>
        </w:rPr>
        <w:t>慈溪滨海经济开发区灵峰路绿化养护、道路保洁、公厕保洁服务项目</w:t>
      </w:r>
      <w:r>
        <w:rPr>
          <w:rFonts w:hint="eastAsia" w:asciiTheme="minorEastAsia" w:hAnsiTheme="minorEastAsia" w:eastAsiaTheme="minorEastAsia" w:cstheme="minorEastAsia"/>
          <w:b/>
          <w:color w:val="000000"/>
          <w:sz w:val="21"/>
          <w:szCs w:val="21"/>
        </w:rPr>
        <w:t>考核办法</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highlight w:val="none"/>
        </w:rPr>
        <w:t>为进一步加强</w:t>
      </w:r>
      <w:r>
        <w:rPr>
          <w:rFonts w:hint="eastAsia" w:asciiTheme="minorEastAsia" w:hAnsiTheme="minorEastAsia" w:eastAsiaTheme="minorEastAsia" w:cstheme="minorEastAsia"/>
          <w:color w:val="auto"/>
          <w:sz w:val="21"/>
          <w:szCs w:val="21"/>
          <w:highlight w:val="none"/>
          <w:lang w:eastAsia="zh-CN"/>
        </w:rPr>
        <w:t>本项目</w:t>
      </w:r>
      <w:r>
        <w:rPr>
          <w:rFonts w:hint="eastAsia" w:asciiTheme="minorEastAsia" w:hAnsiTheme="minorEastAsia" w:eastAsiaTheme="minorEastAsia" w:cstheme="minorEastAsia"/>
          <w:color w:val="auto"/>
          <w:sz w:val="21"/>
          <w:szCs w:val="21"/>
          <w:highlight w:val="none"/>
        </w:rPr>
        <w:t>管理工作，建立长期的管理机制，</w:t>
      </w:r>
      <w:r>
        <w:rPr>
          <w:rFonts w:hint="eastAsia" w:asciiTheme="minorEastAsia" w:hAnsiTheme="minorEastAsia" w:eastAsiaTheme="minorEastAsia" w:cstheme="minorEastAsia"/>
          <w:color w:val="000000"/>
          <w:sz w:val="21"/>
          <w:szCs w:val="21"/>
        </w:rPr>
        <w:t>根据《宁波市城市绿地等级标准》《宁波市城市绿地养护技术规程》文件精神</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auto"/>
          <w:sz w:val="21"/>
          <w:szCs w:val="21"/>
          <w:highlight w:val="none"/>
        </w:rPr>
        <w:t>结合我市绿化养护管理实际制定</w:t>
      </w:r>
      <w:r>
        <w:rPr>
          <w:rFonts w:hint="eastAsia" w:asciiTheme="minorEastAsia" w:hAnsiTheme="minorEastAsia" w:eastAsiaTheme="minorEastAsia" w:cstheme="minorEastAsia"/>
          <w:color w:val="auto"/>
          <w:sz w:val="21"/>
          <w:szCs w:val="21"/>
          <w:highlight w:val="none"/>
          <w:lang w:eastAsia="zh-CN"/>
        </w:rPr>
        <w:t>本</w:t>
      </w:r>
      <w:r>
        <w:rPr>
          <w:rFonts w:hint="eastAsia" w:asciiTheme="minorEastAsia" w:hAnsiTheme="minorEastAsia" w:eastAsiaTheme="minorEastAsia" w:cstheme="minorEastAsia"/>
          <w:color w:val="auto"/>
          <w:sz w:val="21"/>
          <w:szCs w:val="21"/>
          <w:highlight w:val="none"/>
        </w:rPr>
        <w:t>考核办法。</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、考核</w:t>
      </w:r>
      <w:r>
        <w:rPr>
          <w:rFonts w:hint="eastAsia" w:asciiTheme="minorEastAsia" w:hAnsiTheme="minorEastAsia" w:eastAsiaTheme="minorEastAsia" w:cstheme="minorEastAsia"/>
          <w:color w:val="000000"/>
          <w:sz w:val="21"/>
          <w:szCs w:val="21"/>
          <w:lang w:eastAsia="zh-CN"/>
        </w:rPr>
        <w:t>记录表</w:t>
      </w:r>
      <w:r>
        <w:rPr>
          <w:rFonts w:hint="eastAsia" w:asciiTheme="minorEastAsia" w:hAnsiTheme="minorEastAsia" w:eastAsiaTheme="minorEastAsia" w:cstheme="minorEastAsia"/>
          <w:color w:val="000000"/>
          <w:sz w:val="21"/>
          <w:szCs w:val="21"/>
        </w:rPr>
        <w:t>：考核</w:t>
      </w:r>
      <w:r>
        <w:rPr>
          <w:rFonts w:hint="eastAsia" w:asciiTheme="minorEastAsia" w:hAnsiTheme="minorEastAsia" w:eastAsiaTheme="minorEastAsia" w:cstheme="minorEastAsia"/>
          <w:color w:val="000000"/>
          <w:sz w:val="21"/>
          <w:szCs w:val="21"/>
          <w:lang w:eastAsia="zh-CN"/>
        </w:rPr>
        <w:t>记录表根据本项目</w:t>
      </w:r>
      <w:r>
        <w:rPr>
          <w:rFonts w:hint="eastAsia" w:asciiTheme="minorEastAsia" w:hAnsiTheme="minorEastAsia" w:eastAsiaTheme="minorEastAsia" w:cstheme="minorEastAsia"/>
          <w:color w:val="000000"/>
          <w:sz w:val="21"/>
          <w:szCs w:val="21"/>
        </w:rPr>
        <w:t>编制而成，（</w:t>
      </w:r>
      <w:r>
        <w:rPr>
          <w:rFonts w:hint="eastAsia" w:ascii="宋体" w:hAnsi="宋体" w:eastAsia="宋体" w:cs="宋体"/>
          <w:b/>
          <w:color w:val="auto"/>
          <w:spacing w:val="4"/>
          <w:sz w:val="21"/>
          <w:szCs w:val="21"/>
          <w:lang w:val="en-US" w:eastAsia="zh-CN"/>
        </w:rPr>
        <w:t>附件1</w:t>
      </w:r>
      <w:r>
        <w:rPr>
          <w:rFonts w:hint="eastAsia" w:asciiTheme="minorEastAsia" w:hAnsiTheme="minorEastAsia" w:eastAsiaTheme="minorEastAsia" w:cstheme="minorEastAsia"/>
          <w:color w:val="000000"/>
          <w:sz w:val="21"/>
          <w:szCs w:val="21"/>
        </w:rPr>
        <w:t>）。实行百分等级评定。</w:t>
      </w:r>
      <w:r>
        <w:rPr>
          <w:rFonts w:hint="eastAsia" w:asciiTheme="minorEastAsia" w:hAnsiTheme="minorEastAsia" w:eastAsiaTheme="minorEastAsia" w:cstheme="minorEastAsia"/>
          <w:color w:val="000000"/>
          <w:sz w:val="21"/>
          <w:szCs w:val="21"/>
          <w:lang w:eastAsia="zh-CN"/>
        </w:rPr>
        <w:t>按月考核，</w:t>
      </w:r>
      <w:r>
        <w:rPr>
          <w:rFonts w:hint="eastAsia" w:asciiTheme="minorEastAsia" w:hAnsiTheme="minorEastAsia" w:eastAsiaTheme="minorEastAsia" w:cstheme="minorEastAsia"/>
          <w:color w:val="000000"/>
          <w:sz w:val="21"/>
          <w:szCs w:val="21"/>
        </w:rPr>
        <w:t>每</w:t>
      </w:r>
      <w:r>
        <w:rPr>
          <w:rFonts w:hint="eastAsia" w:asciiTheme="minorEastAsia" w:hAnsiTheme="minorEastAsia" w:eastAsiaTheme="minorEastAsia" w:cstheme="minorEastAsia"/>
          <w:color w:val="000000"/>
          <w:sz w:val="21"/>
          <w:szCs w:val="21"/>
          <w:lang w:eastAsia="zh-CN"/>
        </w:rPr>
        <w:t>季度</w:t>
      </w:r>
      <w:r>
        <w:rPr>
          <w:rFonts w:hint="eastAsia" w:asciiTheme="minorEastAsia" w:hAnsiTheme="minorEastAsia" w:eastAsiaTheme="minorEastAsia" w:cstheme="minorEastAsia"/>
          <w:color w:val="000000"/>
          <w:sz w:val="21"/>
          <w:szCs w:val="21"/>
        </w:rPr>
        <w:t>平均考核得分在95分以上（包含95分）的为合格。低于95分的，每下降一分，扣除当</w:t>
      </w:r>
      <w:r>
        <w:rPr>
          <w:rFonts w:hint="eastAsia" w:asciiTheme="minorEastAsia" w:hAnsiTheme="minorEastAsia" w:eastAsiaTheme="minorEastAsia" w:cstheme="minorEastAsia"/>
          <w:color w:val="000000"/>
          <w:sz w:val="21"/>
          <w:szCs w:val="21"/>
          <w:lang w:eastAsia="zh-CN"/>
        </w:rPr>
        <w:t>季度</w:t>
      </w:r>
      <w:r>
        <w:rPr>
          <w:rFonts w:hint="eastAsia" w:asciiTheme="minorEastAsia" w:hAnsiTheme="minorEastAsia" w:eastAsiaTheme="minorEastAsia" w:cstheme="minorEastAsia"/>
          <w:color w:val="000000"/>
          <w:sz w:val="21"/>
          <w:szCs w:val="21"/>
          <w:lang w:val="en-US" w:eastAsia="zh-CN"/>
        </w:rPr>
        <w:t>合同价款</w:t>
      </w:r>
      <w:r>
        <w:rPr>
          <w:rFonts w:hint="eastAsia" w:asciiTheme="minorEastAsia" w:hAnsiTheme="minorEastAsia" w:eastAsiaTheme="minorEastAsia" w:cstheme="minorEastAsia"/>
          <w:color w:val="000000"/>
          <w:sz w:val="21"/>
          <w:szCs w:val="21"/>
        </w:rPr>
        <w:t>的百分之</w:t>
      </w:r>
      <w:r>
        <w:rPr>
          <w:rFonts w:hint="eastAsia" w:asciiTheme="minorEastAsia" w:hAnsiTheme="minorEastAsia" w:eastAsiaTheme="minorEastAsia" w:cstheme="minorEastAsia"/>
          <w:color w:val="000000"/>
          <w:sz w:val="21"/>
          <w:szCs w:val="21"/>
          <w:lang w:val="en-US" w:eastAsia="zh-CN"/>
        </w:rPr>
        <w:t>一</w:t>
      </w:r>
      <w:r>
        <w:rPr>
          <w:rFonts w:hint="eastAsia" w:asciiTheme="minorEastAsia" w:hAnsiTheme="minorEastAsia" w:eastAsiaTheme="minorEastAsia" w:cstheme="minorEastAsia"/>
          <w:color w:val="000000"/>
          <w:sz w:val="21"/>
          <w:szCs w:val="21"/>
        </w:rPr>
        <w:t>；低于80分的为不合格，</w:t>
      </w:r>
      <w:r>
        <w:rPr>
          <w:rFonts w:ascii="宋体" w:hAnsi="宋体"/>
          <w:sz w:val="21"/>
          <w:szCs w:val="21"/>
        </w:rPr>
        <w:t>采购人有权终止合同</w:t>
      </w:r>
      <w:r>
        <w:rPr>
          <w:rFonts w:hint="eastAsia" w:asciiTheme="minorEastAsia" w:hAnsiTheme="minorEastAsia" w:eastAsiaTheme="minorEastAsia" w:cstheme="minorEastAsia"/>
          <w:color w:val="000000"/>
          <w:sz w:val="21"/>
          <w:szCs w:val="21"/>
        </w:rPr>
        <w:t>。</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如遇下列情况，处理办法如下：</w:t>
      </w:r>
    </w:p>
    <w:p>
      <w:pPr>
        <w:keepNext w:val="0"/>
        <w:keepLines w:val="0"/>
        <w:pageBreakBefore w:val="0"/>
        <w:numPr>
          <w:ilvl w:val="0"/>
          <w:numId w:val="4"/>
        </w:numPr>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镇及镇以上</w:t>
      </w:r>
      <w:r>
        <w:rPr>
          <w:rFonts w:hint="eastAsia" w:asciiTheme="minorEastAsia" w:hAnsiTheme="minorEastAsia" w:eastAsiaTheme="minorEastAsia" w:cstheme="minorEastAsia"/>
          <w:color w:val="auto"/>
          <w:sz w:val="21"/>
          <w:szCs w:val="21"/>
        </w:rPr>
        <w:t>领导提出批评的，每次扣</w:t>
      </w: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分，并扣除当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000</w:t>
      </w:r>
      <w:r>
        <w:rPr>
          <w:rFonts w:hint="eastAsia" w:asciiTheme="minorEastAsia" w:hAnsiTheme="minorEastAsia" w:eastAsiaTheme="minorEastAsia" w:cstheme="minorEastAsia"/>
          <w:color w:val="auto"/>
          <w:sz w:val="21"/>
          <w:szCs w:val="21"/>
          <w:lang w:val="en-US" w:eastAsia="zh-CN"/>
        </w:rPr>
        <w:t>-3000</w:t>
      </w:r>
      <w:r>
        <w:rPr>
          <w:rFonts w:hint="eastAsia" w:asciiTheme="minorEastAsia" w:hAnsiTheme="minorEastAsia" w:eastAsiaTheme="minorEastAsia" w:cstheme="minorEastAsia"/>
          <w:color w:val="auto"/>
          <w:sz w:val="21"/>
          <w:szCs w:val="21"/>
        </w:rPr>
        <w:t>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2、受到</w:t>
      </w:r>
      <w:r>
        <w:rPr>
          <w:rFonts w:hint="eastAsia" w:asciiTheme="minorEastAsia" w:hAnsiTheme="minorEastAsia" w:eastAsiaTheme="minorEastAsia" w:cstheme="minorEastAsia"/>
          <w:color w:val="auto"/>
          <w:sz w:val="21"/>
          <w:szCs w:val="21"/>
          <w:lang w:eastAsia="zh-CN"/>
        </w:rPr>
        <w:t>市、镇</w:t>
      </w:r>
      <w:r>
        <w:rPr>
          <w:rFonts w:hint="eastAsia" w:asciiTheme="minorEastAsia" w:hAnsiTheme="minorEastAsia" w:eastAsiaTheme="minorEastAsia" w:cstheme="minorEastAsia"/>
          <w:color w:val="auto"/>
          <w:sz w:val="21"/>
          <w:szCs w:val="21"/>
          <w:lang w:val="en-US" w:eastAsia="zh-CN"/>
        </w:rPr>
        <w:t>相关管理部门</w:t>
      </w:r>
      <w:r>
        <w:rPr>
          <w:rFonts w:hint="eastAsia" w:asciiTheme="minorEastAsia" w:hAnsiTheme="minorEastAsia" w:eastAsiaTheme="minorEastAsia" w:cstheme="minorEastAsia"/>
          <w:color w:val="auto"/>
          <w:sz w:val="21"/>
          <w:szCs w:val="21"/>
        </w:rPr>
        <w:t>养护督查反馈书面批评意见的，每次扣2分，并扣除当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养护费2000元</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3、受到</w:t>
      </w:r>
      <w:r>
        <w:rPr>
          <w:rFonts w:hint="eastAsia" w:asciiTheme="minorEastAsia" w:hAnsiTheme="minorEastAsia" w:eastAsiaTheme="minorEastAsia" w:cstheme="minorEastAsia"/>
          <w:color w:val="auto"/>
          <w:sz w:val="21"/>
          <w:szCs w:val="21"/>
          <w:lang w:val="en-US" w:eastAsia="zh-CN"/>
        </w:rPr>
        <w:t>政府性</w:t>
      </w:r>
      <w:r>
        <w:rPr>
          <w:rFonts w:hint="eastAsia" w:asciiTheme="minorEastAsia" w:hAnsiTheme="minorEastAsia" w:eastAsiaTheme="minorEastAsia" w:cstheme="minorEastAsia"/>
          <w:color w:val="auto"/>
          <w:sz w:val="21"/>
          <w:szCs w:val="21"/>
        </w:rPr>
        <w:t>新闻媒体</w:t>
      </w:r>
      <w:r>
        <w:rPr>
          <w:rFonts w:hint="eastAsia" w:asciiTheme="minorEastAsia" w:hAnsiTheme="minorEastAsia" w:eastAsiaTheme="minorEastAsia" w:cstheme="minorEastAsia"/>
          <w:color w:val="auto"/>
          <w:sz w:val="21"/>
          <w:szCs w:val="21"/>
          <w:lang w:val="en-US" w:eastAsia="zh-CN"/>
        </w:rPr>
        <w:t>曝光并造成不良影响</w:t>
      </w:r>
      <w:r>
        <w:rPr>
          <w:rFonts w:hint="eastAsia" w:asciiTheme="minorEastAsia" w:hAnsiTheme="minorEastAsia" w:eastAsiaTheme="minorEastAsia" w:cstheme="minorEastAsia"/>
          <w:color w:val="auto"/>
          <w:sz w:val="21"/>
          <w:szCs w:val="21"/>
        </w:rPr>
        <w:t>的，每次扣</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5分，视情节扣除当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养护费3000-5000元，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4、对重大节庆和重大活动布置的临时任务完成不好，视情节每次扣2-5分，并扣当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000-</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5、防火、抗台、抗旱及预防各类自然灾害措施不力，灾后救治不力，未按要求人员及时到位、未及时上报受灾情况，每次扣2-5分，并扣除当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000-5000元。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6、发生安全事故，有死亡人员，每人次扣10分，并扣当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w:t>
      </w: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000元；有重伤人员，每人次扣5分，并扣当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000元；有轻伤人员及设施损坏，除负责赔偿外，每次扣2分，并扣当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养护费2000元。未及时上报安全事故，视情节每次扣5-15分，情节严重的，扣当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养护费5000-1</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000元。养护人员在作业中未穿反光背心或工作衣的，每人、每次扣50元。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7、每年施肥不到位或减少一次，每次扣</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8、对清除的垃圾及生产垃圾乱堆乱倒，未出具消纳场地证明或垃圾乱堆乱倒被相关部门查处，每次扣</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分，并扣当</w:t>
      </w:r>
      <w:r>
        <w:rPr>
          <w:rFonts w:hint="eastAsia" w:asciiTheme="minorEastAsia" w:hAnsiTheme="minorEastAsia" w:eastAsiaTheme="minorEastAsia" w:cstheme="minorEastAsia"/>
          <w:color w:val="000000"/>
          <w:sz w:val="21"/>
          <w:szCs w:val="21"/>
          <w:lang w:val="en-US" w:eastAsia="zh-CN"/>
        </w:rPr>
        <w:t>月</w:t>
      </w:r>
      <w:r>
        <w:rPr>
          <w:rFonts w:hint="eastAsia" w:asciiTheme="minorEastAsia" w:hAnsiTheme="minorEastAsia" w:eastAsiaTheme="minorEastAsia" w:cstheme="minorEastAsia"/>
          <w:color w:val="000000"/>
          <w:sz w:val="21"/>
          <w:szCs w:val="21"/>
        </w:rPr>
        <w:t>养护费</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000元；所用的农药包装物未集中收集，未办好转移单手续，每次扣1000元。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9、未按规定清卫统一使用封闭专用三轮车或未按要求数量配备的，少一辆每辆每年扣1000元。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10、发生绿地火灾，面积大于1000平方米的，每次扣2分，并扣当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养护费2000元；1000~500平方米的，每次扣1分，并扣除当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养护费1000元；500~300平方米的，扣0.5分, 扣除当</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养护费500元；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11、在适宜种植的季节不及时对死株、缺株、草坪进行补种的，超过业主通知的期限，每延期一天扣除苗木价的10%。</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12、不及时清除管养范围内未经审批设置标牌的，发现一块扣2000元。对所管养范围内，不及时阻止、24小时内不报告未经审批擅自占用绿地情况或擅自作主同意占用，发现一处扣1000元。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13、突发性事故，未及时向甲方汇报，对上报处置方案及损失统计不实的、对台风过后不及时上报损失统计或数字不实的，扣1000元。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14、项目经理每年参加业主召开的各种会议到会率在75%以下的，扣1000元。</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15、全年无火灾发生的，考核加2分。</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16、受到</w:t>
      </w:r>
      <w:r>
        <w:rPr>
          <w:rFonts w:hint="eastAsia" w:asciiTheme="minorEastAsia" w:hAnsiTheme="minorEastAsia" w:eastAsiaTheme="minorEastAsia" w:cstheme="minorEastAsia"/>
          <w:color w:val="000000"/>
          <w:sz w:val="21"/>
          <w:szCs w:val="21"/>
          <w:lang w:eastAsia="zh-CN"/>
        </w:rPr>
        <w:t>市、镇</w:t>
      </w:r>
      <w:r>
        <w:rPr>
          <w:rFonts w:hint="eastAsia" w:asciiTheme="minorEastAsia" w:hAnsiTheme="minorEastAsia" w:eastAsiaTheme="minorEastAsia" w:cstheme="minorEastAsia"/>
          <w:color w:val="000000"/>
          <w:sz w:val="21"/>
          <w:szCs w:val="21"/>
          <w:lang w:val="en-US" w:eastAsia="zh-CN"/>
        </w:rPr>
        <w:t>相关管理部门</w:t>
      </w:r>
      <w:r>
        <w:rPr>
          <w:rFonts w:hint="eastAsia" w:asciiTheme="minorEastAsia" w:hAnsiTheme="minorEastAsia" w:eastAsiaTheme="minorEastAsia" w:cstheme="minorEastAsia"/>
          <w:color w:val="000000"/>
          <w:sz w:val="21"/>
          <w:szCs w:val="21"/>
        </w:rPr>
        <w:t>、新闻媒体表扬的，每次加2分。</w:t>
      </w:r>
    </w:p>
    <w:p>
      <w:pPr>
        <w:keepNext w:val="0"/>
        <w:keepLines w:val="0"/>
        <w:pageBreakBefore w:val="0"/>
        <w:kinsoku/>
        <w:wordWrap/>
        <w:overflowPunct/>
        <w:topLinePunct w:val="0"/>
        <w:autoSpaceDE/>
        <w:autoSpaceDN/>
        <w:bidi w:val="0"/>
        <w:adjustRightInd/>
        <w:snapToGrid/>
        <w:spacing w:beforeLines="0" w:afterLines="0" w:line="360" w:lineRule="exact"/>
        <w:ind w:firstLine="420" w:firstLineChars="200"/>
        <w:textAlignment w:val="auto"/>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color w:val="000000"/>
          <w:sz w:val="21"/>
          <w:szCs w:val="21"/>
          <w:lang w:val="en-US" w:eastAsia="zh-CN"/>
        </w:rPr>
        <w:t>二</w:t>
      </w:r>
      <w:r>
        <w:rPr>
          <w:rFonts w:hint="eastAsia" w:asciiTheme="minorEastAsia" w:hAnsiTheme="minorEastAsia" w:eastAsiaTheme="minorEastAsia" w:cstheme="minorEastAsia"/>
          <w:color w:val="000000"/>
          <w:sz w:val="21"/>
          <w:szCs w:val="21"/>
        </w:rPr>
        <w:t>、考核内容：主要有植物养护、绿地保洁、人员到位、养护计划台帐</w:t>
      </w:r>
      <w:r>
        <w:rPr>
          <w:rFonts w:hint="eastAsia" w:asciiTheme="minorEastAsia" w:hAnsiTheme="minorEastAsia" w:eastAsiaTheme="minorEastAsia" w:cstheme="minorEastAsia"/>
          <w:color w:val="000000"/>
          <w:sz w:val="21"/>
          <w:szCs w:val="21"/>
          <w:lang w:eastAsia="zh-CN"/>
        </w:rPr>
        <w:t>、道路保洁、公厕保洁</w:t>
      </w:r>
      <w:r>
        <w:rPr>
          <w:rFonts w:hint="eastAsia" w:asciiTheme="minorEastAsia" w:hAnsiTheme="minorEastAsia" w:eastAsiaTheme="minorEastAsia" w:cstheme="minorEastAsia"/>
          <w:color w:val="000000"/>
          <w:sz w:val="21"/>
          <w:szCs w:val="21"/>
        </w:rPr>
        <w:t>等。养护计划、台帐按月上报并考核，每月25日前上报下月计划，当月台帐在下月8日前上报。</w:t>
      </w:r>
    </w:p>
    <w:p>
      <w:pPr>
        <w:keepNext w:val="0"/>
        <w:keepLines w:val="0"/>
        <w:pageBreakBefore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b/>
          <w:color w:val="auto"/>
          <w:spacing w:val="4"/>
          <w:sz w:val="21"/>
          <w:szCs w:val="21"/>
          <w:lang w:val="en-US" w:eastAsia="zh-CN"/>
        </w:rPr>
      </w:pPr>
    </w:p>
    <w:p>
      <w:pPr>
        <w:spacing w:beforeLines="0" w:afterLines="0" w:line="360" w:lineRule="exact"/>
        <w:jc w:val="both"/>
        <w:rPr>
          <w:rFonts w:hint="eastAsia" w:ascii="宋体" w:hAnsi="宋体" w:eastAsia="宋体" w:cs="宋体"/>
          <w:b/>
          <w:color w:val="auto"/>
          <w:spacing w:val="4"/>
          <w:sz w:val="21"/>
          <w:szCs w:val="21"/>
        </w:rPr>
      </w:pPr>
      <w:r>
        <w:rPr>
          <w:rFonts w:hint="eastAsia" w:ascii="宋体" w:hAnsi="宋体" w:eastAsia="宋体" w:cs="宋体"/>
          <w:b/>
          <w:color w:val="auto"/>
          <w:spacing w:val="4"/>
          <w:sz w:val="21"/>
          <w:szCs w:val="21"/>
          <w:lang w:val="en-US" w:eastAsia="zh-CN"/>
        </w:rPr>
        <w:t>附件1</w:t>
      </w:r>
      <w:r>
        <w:rPr>
          <w:rFonts w:hint="eastAsia" w:ascii="宋体" w:hAnsi="宋体" w:eastAsia="宋体" w:cs="宋体"/>
          <w:b/>
          <w:color w:val="auto"/>
          <w:spacing w:val="4"/>
          <w:sz w:val="21"/>
          <w:szCs w:val="21"/>
        </w:rPr>
        <w:t>：《</w:t>
      </w:r>
      <w:r>
        <w:rPr>
          <w:rFonts w:hint="eastAsia" w:ascii="宋体" w:hAnsi="宋体" w:cs="宋体"/>
          <w:b/>
          <w:color w:val="auto"/>
          <w:spacing w:val="4"/>
          <w:sz w:val="21"/>
          <w:szCs w:val="21"/>
          <w:lang w:eastAsia="zh-CN"/>
        </w:rPr>
        <w:t>慈溪滨海经济开发区灵峰路绿化养护、道路保洁、公厕保洁服务项目</w:t>
      </w:r>
      <w:r>
        <w:rPr>
          <w:rFonts w:hint="eastAsia" w:ascii="宋体" w:hAnsi="宋体" w:eastAsia="宋体" w:cs="宋体"/>
          <w:b/>
          <w:color w:val="auto"/>
          <w:spacing w:val="4"/>
          <w:sz w:val="21"/>
          <w:szCs w:val="21"/>
        </w:rPr>
        <w:t>管理考核评分表》</w:t>
      </w:r>
    </w:p>
    <w:tbl>
      <w:tblPr>
        <w:tblStyle w:val="245"/>
        <w:tblW w:w="100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3600"/>
        <w:gridCol w:w="3076"/>
        <w:gridCol w:w="825"/>
        <w:gridCol w:w="1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1453"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Cs w:val="21"/>
              </w:rPr>
              <w:t>考核项目</w:t>
            </w:r>
          </w:p>
        </w:tc>
        <w:tc>
          <w:tcPr>
            <w:tcW w:w="3600"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Cs w:val="21"/>
              </w:rPr>
              <w:t>考核标准</w:t>
            </w:r>
          </w:p>
        </w:tc>
        <w:tc>
          <w:tcPr>
            <w:tcW w:w="3076"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Cs w:val="21"/>
              </w:rPr>
              <w:t>考核评分办法</w:t>
            </w:r>
          </w:p>
        </w:tc>
        <w:tc>
          <w:tcPr>
            <w:tcW w:w="825"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Cs w:val="21"/>
              </w:rPr>
              <w:t>扣分</w:t>
            </w:r>
          </w:p>
        </w:tc>
        <w:tc>
          <w:tcPr>
            <w:tcW w:w="1068"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Cs w:val="21"/>
              </w:rPr>
              <w:t>扣分原因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53" w:type="dxa"/>
            <w:tcBorders>
              <w:bottom w:val="single" w:color="000000" w:sz="2" w:space="0"/>
            </w:tcBorders>
            <w:vAlign w:val="center"/>
          </w:tcPr>
          <w:p>
            <w:pPr>
              <w:spacing w:line="220" w:lineRule="atLeast"/>
              <w:jc w:val="both"/>
              <w:rPr>
                <w:rFonts w:hint="eastAsia" w:ascii="宋体" w:hAnsi="宋体" w:eastAsia="宋体" w:cs="宋体"/>
                <w:snapToGrid w:val="0"/>
                <w:color w:val="auto"/>
                <w:sz w:val="21"/>
                <w:szCs w:val="21"/>
              </w:rPr>
            </w:pPr>
            <w:r>
              <w:rPr>
                <w:rFonts w:hint="eastAsia" w:ascii="宋体" w:hAnsi="宋体"/>
                <w:snapToGrid w:val="0"/>
                <w:color w:val="000000"/>
                <w:szCs w:val="21"/>
                <w:lang w:eastAsia="zh-CN"/>
              </w:rPr>
              <w:t>一、</w:t>
            </w:r>
            <w:r>
              <w:rPr>
                <w:rFonts w:hint="eastAsia" w:ascii="宋体" w:hAnsi="宋体"/>
                <w:snapToGrid w:val="0"/>
                <w:color w:val="000000"/>
                <w:szCs w:val="21"/>
              </w:rPr>
              <w:t>一级养护标准中的内容</w:t>
            </w:r>
          </w:p>
        </w:tc>
        <w:tc>
          <w:tcPr>
            <w:tcW w:w="3600" w:type="dxa"/>
            <w:tcBorders>
              <w:bottom w:val="single" w:color="000000" w:sz="2" w:space="0"/>
            </w:tcBorders>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Cs w:val="21"/>
              </w:rPr>
              <w:t>参照公园绿地，道路绿地，居住区绿地的一级养护标准中的各个条款的养护标准</w:t>
            </w:r>
          </w:p>
        </w:tc>
        <w:tc>
          <w:tcPr>
            <w:tcW w:w="3076"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Cs w:val="21"/>
              </w:rPr>
              <w:t>发现现实中养护的质量标准条款中的不符合的，发现不符合的每次每条款扣0.5分，扣完为止。</w:t>
            </w:r>
          </w:p>
        </w:tc>
        <w:tc>
          <w:tcPr>
            <w:tcW w:w="825" w:type="dxa"/>
            <w:vAlign w:val="top"/>
          </w:tcPr>
          <w:p>
            <w:pPr>
              <w:spacing w:before="58" w:line="221" w:lineRule="auto"/>
              <w:ind w:left="254"/>
              <w:rPr>
                <w:rFonts w:hint="eastAsia" w:ascii="宋体" w:hAnsi="宋体" w:eastAsia="宋体" w:cs="宋体"/>
                <w:snapToGrid w:val="0"/>
                <w:color w:val="auto"/>
                <w:sz w:val="21"/>
                <w:szCs w:val="21"/>
              </w:rPr>
            </w:pPr>
          </w:p>
        </w:tc>
        <w:tc>
          <w:tcPr>
            <w:tcW w:w="1068" w:type="dxa"/>
            <w:vAlign w:val="top"/>
          </w:tcPr>
          <w:p>
            <w:pPr>
              <w:rPr>
                <w:rFonts w:hint="eastAsia" w:ascii="宋体" w:hAnsi="宋体" w:eastAsia="宋体" w:cs="宋体"/>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jc w:val="center"/>
        </w:trPr>
        <w:tc>
          <w:tcPr>
            <w:tcW w:w="1453" w:type="dxa"/>
            <w:tcBorders>
              <w:top w:val="single" w:color="000000" w:sz="2" w:space="0"/>
              <w:bottom w:val="single" w:color="000000" w:sz="2" w:space="0"/>
            </w:tcBorders>
            <w:vAlign w:val="center"/>
          </w:tcPr>
          <w:p>
            <w:pPr>
              <w:numPr>
                <w:ilvl w:val="0"/>
                <w:numId w:val="0"/>
              </w:numPr>
              <w:jc w:val="both"/>
              <w:rPr>
                <w:rFonts w:ascii="宋体"/>
                <w:b/>
                <w:snapToGrid w:val="0"/>
                <w:color w:val="000000"/>
                <w:sz w:val="28"/>
                <w:szCs w:val="28"/>
              </w:rPr>
            </w:pPr>
            <w:r>
              <w:rPr>
                <w:rFonts w:hint="eastAsia" w:ascii="宋体" w:hAnsi="宋体"/>
                <w:snapToGrid w:val="0"/>
                <w:color w:val="000000"/>
                <w:szCs w:val="21"/>
                <w:lang w:val="en-US" w:eastAsia="zh-CN"/>
              </w:rPr>
              <w:t>二、</w:t>
            </w:r>
            <w:r>
              <w:rPr>
                <w:rFonts w:hint="eastAsia" w:ascii="宋体" w:hAnsi="宋体" w:eastAsia="宋体" w:cs="Times New Roman"/>
                <w:snapToGrid w:val="0"/>
                <w:color w:val="000000"/>
                <w:szCs w:val="21"/>
                <w:lang w:val="en-US" w:eastAsia="zh-CN"/>
              </w:rPr>
              <w:t>慈溪滨海经济开发区灵峰路</w:t>
            </w:r>
            <w:r>
              <w:rPr>
                <w:rFonts w:hint="default" w:ascii="宋体" w:hAnsi="宋体" w:eastAsia="宋体" w:cs="Times New Roman"/>
                <w:snapToGrid w:val="0"/>
                <w:color w:val="000000"/>
                <w:szCs w:val="21"/>
                <w:lang w:val="en-US" w:eastAsia="zh-CN"/>
              </w:rPr>
              <w:t>绿化养护</w:t>
            </w:r>
            <w:r>
              <w:rPr>
                <w:rFonts w:hint="eastAsia" w:ascii="宋体" w:hAnsi="宋体" w:eastAsia="宋体" w:cs="Times New Roman"/>
                <w:snapToGrid w:val="0"/>
                <w:color w:val="000000"/>
                <w:szCs w:val="21"/>
                <w:lang w:val="en-US" w:eastAsia="zh-CN"/>
              </w:rPr>
              <w:t>、道路保洁、公厕保洁</w:t>
            </w:r>
            <w:r>
              <w:rPr>
                <w:rFonts w:hint="default" w:ascii="宋体" w:hAnsi="宋体" w:eastAsia="宋体" w:cs="Times New Roman"/>
                <w:snapToGrid w:val="0"/>
                <w:color w:val="000000"/>
                <w:szCs w:val="21"/>
                <w:lang w:val="en-US" w:eastAsia="zh-CN"/>
              </w:rPr>
              <w:t>服务</w:t>
            </w:r>
            <w:r>
              <w:rPr>
                <w:rFonts w:hint="eastAsia" w:ascii="宋体" w:hAnsi="宋体" w:eastAsia="宋体" w:cs="Times New Roman"/>
                <w:snapToGrid w:val="0"/>
                <w:color w:val="000000"/>
                <w:szCs w:val="21"/>
                <w:lang w:val="en-US" w:eastAsia="zh-CN"/>
              </w:rPr>
              <w:t>项目</w:t>
            </w:r>
            <w:r>
              <w:rPr>
                <w:rFonts w:hint="eastAsia" w:ascii="宋体" w:hAnsi="宋体"/>
                <w:snapToGrid w:val="0"/>
                <w:color w:val="000000"/>
                <w:szCs w:val="21"/>
              </w:rPr>
              <w:t>考核办法</w:t>
            </w:r>
            <w:r>
              <w:rPr>
                <w:rFonts w:hint="eastAsia" w:ascii="宋体" w:hAnsi="宋体" w:eastAsia="宋体" w:cs="Times New Roman"/>
                <w:snapToGrid w:val="0"/>
                <w:color w:val="000000"/>
                <w:szCs w:val="21"/>
              </w:rPr>
              <w:t>中</w:t>
            </w:r>
            <w:r>
              <w:rPr>
                <w:rFonts w:hint="eastAsia" w:ascii="宋体" w:hAnsi="宋体"/>
                <w:snapToGrid w:val="0"/>
                <w:color w:val="000000"/>
                <w:szCs w:val="21"/>
              </w:rPr>
              <w:t>的有关内容</w:t>
            </w:r>
          </w:p>
          <w:p>
            <w:pPr>
              <w:spacing w:line="220" w:lineRule="atLeast"/>
              <w:jc w:val="both"/>
              <w:rPr>
                <w:rFonts w:hint="eastAsia" w:ascii="宋体" w:hAnsi="宋体" w:eastAsia="宋体" w:cs="宋体"/>
                <w:snapToGrid w:val="0"/>
                <w:color w:val="auto"/>
                <w:sz w:val="21"/>
                <w:szCs w:val="21"/>
              </w:rPr>
            </w:pPr>
          </w:p>
        </w:tc>
        <w:tc>
          <w:tcPr>
            <w:tcW w:w="3600" w:type="dxa"/>
            <w:tcBorders>
              <w:top w:val="single" w:color="000000" w:sz="2" w:space="0"/>
              <w:bottom w:val="single" w:color="000000" w:sz="2" w:space="0"/>
            </w:tcBorders>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Cs w:val="21"/>
              </w:rPr>
              <w:t>参照《</w:t>
            </w:r>
            <w:r>
              <w:rPr>
                <w:rFonts w:hint="eastAsia" w:ascii="宋体" w:hAnsi="宋体" w:eastAsia="宋体" w:cs="Times New Roman"/>
                <w:snapToGrid w:val="0"/>
                <w:color w:val="000000"/>
                <w:szCs w:val="21"/>
                <w:lang w:val="en-US" w:eastAsia="zh-CN"/>
              </w:rPr>
              <w:t>慈溪滨海经济开发区灵峰路</w:t>
            </w:r>
            <w:r>
              <w:rPr>
                <w:rFonts w:hint="default" w:ascii="宋体" w:hAnsi="宋体" w:eastAsia="宋体" w:cs="Times New Roman"/>
                <w:snapToGrid w:val="0"/>
                <w:color w:val="000000"/>
                <w:szCs w:val="21"/>
                <w:lang w:val="en-US" w:eastAsia="zh-CN"/>
              </w:rPr>
              <w:t>绿化养护</w:t>
            </w:r>
            <w:r>
              <w:rPr>
                <w:rFonts w:hint="eastAsia" w:ascii="宋体" w:hAnsi="宋体" w:eastAsia="宋体" w:cs="Times New Roman"/>
                <w:snapToGrid w:val="0"/>
                <w:color w:val="000000"/>
                <w:szCs w:val="21"/>
                <w:lang w:val="en-US" w:eastAsia="zh-CN"/>
              </w:rPr>
              <w:t>、道路保洁、公厕保洁</w:t>
            </w:r>
            <w:r>
              <w:rPr>
                <w:rFonts w:hint="default" w:ascii="宋体" w:hAnsi="宋体" w:eastAsia="宋体" w:cs="Times New Roman"/>
                <w:snapToGrid w:val="0"/>
                <w:color w:val="000000"/>
                <w:szCs w:val="21"/>
                <w:lang w:val="en-US" w:eastAsia="zh-CN"/>
              </w:rPr>
              <w:t>服务</w:t>
            </w:r>
            <w:r>
              <w:rPr>
                <w:rFonts w:hint="eastAsia" w:ascii="宋体" w:hAnsi="宋体" w:eastAsia="宋体" w:cs="Times New Roman"/>
                <w:snapToGrid w:val="0"/>
                <w:color w:val="000000"/>
                <w:szCs w:val="21"/>
                <w:lang w:val="en-US" w:eastAsia="zh-CN"/>
              </w:rPr>
              <w:t>项目</w:t>
            </w:r>
            <w:r>
              <w:rPr>
                <w:rFonts w:hint="eastAsia" w:ascii="宋体" w:hAnsi="宋体"/>
                <w:snapToGrid w:val="0"/>
                <w:color w:val="000000"/>
                <w:szCs w:val="21"/>
              </w:rPr>
              <w:t>考核办法》中的有关内容</w:t>
            </w:r>
          </w:p>
        </w:tc>
        <w:tc>
          <w:tcPr>
            <w:tcW w:w="3076" w:type="dxa"/>
            <w:vAlign w:val="center"/>
          </w:tcPr>
          <w:p>
            <w:pPr>
              <w:spacing w:line="220" w:lineRule="atLeast"/>
              <w:jc w:val="center"/>
              <w:rPr>
                <w:rFonts w:hint="default" w:ascii="宋体" w:hAnsi="宋体" w:eastAsia="宋体" w:cs="宋体"/>
                <w:snapToGrid w:val="0"/>
                <w:color w:val="auto"/>
                <w:sz w:val="21"/>
                <w:szCs w:val="21"/>
                <w:lang w:val="en-US" w:eastAsia="zh-CN"/>
              </w:rPr>
            </w:pPr>
            <w:r>
              <w:rPr>
                <w:rFonts w:hint="eastAsia" w:ascii="宋体" w:hAnsi="宋体"/>
                <w:snapToGrid w:val="0"/>
                <w:color w:val="000000"/>
                <w:szCs w:val="21"/>
              </w:rPr>
              <w:t>发现现实中养护的状况与条款中不符合的，发现不符合的，按照条款中的规定扣分或扣钱，扣完为止。</w:t>
            </w:r>
          </w:p>
        </w:tc>
        <w:tc>
          <w:tcPr>
            <w:tcW w:w="825" w:type="dxa"/>
            <w:vAlign w:val="top"/>
          </w:tcPr>
          <w:p>
            <w:pPr>
              <w:spacing w:before="59" w:line="221" w:lineRule="auto"/>
              <w:ind w:left="254"/>
              <w:rPr>
                <w:rFonts w:hint="eastAsia" w:ascii="宋体" w:hAnsi="宋体" w:eastAsia="宋体" w:cs="宋体"/>
                <w:snapToGrid w:val="0"/>
                <w:color w:val="auto"/>
                <w:sz w:val="21"/>
                <w:szCs w:val="21"/>
              </w:rPr>
            </w:pPr>
          </w:p>
        </w:tc>
        <w:tc>
          <w:tcPr>
            <w:tcW w:w="1068" w:type="dxa"/>
            <w:vAlign w:val="top"/>
          </w:tcPr>
          <w:p>
            <w:pPr>
              <w:rPr>
                <w:rFonts w:hint="eastAsia" w:ascii="宋体" w:hAnsi="宋体" w:eastAsia="宋体" w:cs="宋体"/>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453" w:type="dxa"/>
            <w:vMerge w:val="restart"/>
            <w:tcBorders>
              <w:top w:val="single" w:color="000000" w:sz="2" w:space="0"/>
            </w:tcBorders>
            <w:vAlign w:val="center"/>
          </w:tcPr>
          <w:p>
            <w:pPr>
              <w:jc w:val="center"/>
              <w:rPr>
                <w:rFonts w:hint="eastAsia" w:ascii="宋体" w:hAnsi="宋体" w:eastAsia="宋体" w:cs="宋体"/>
                <w:snapToGrid w:val="0"/>
                <w:color w:val="auto"/>
                <w:sz w:val="21"/>
                <w:szCs w:val="21"/>
              </w:rPr>
            </w:pPr>
            <w:r>
              <w:rPr>
                <w:rFonts w:hint="eastAsia" w:ascii="宋体" w:hAnsi="宋体"/>
                <w:snapToGrid w:val="0"/>
                <w:color w:val="000000"/>
                <w:sz w:val="21"/>
                <w:szCs w:val="21"/>
                <w:lang w:eastAsia="zh-CN"/>
              </w:rPr>
              <w:t>三、</w:t>
            </w:r>
            <w:r>
              <w:rPr>
                <w:rFonts w:hint="eastAsia" w:ascii="宋体" w:hAnsi="宋体"/>
                <w:snapToGrid w:val="0"/>
                <w:color w:val="000000"/>
                <w:sz w:val="21"/>
                <w:szCs w:val="21"/>
              </w:rPr>
              <w:t>人员配备</w:t>
            </w:r>
          </w:p>
        </w:tc>
        <w:tc>
          <w:tcPr>
            <w:tcW w:w="3600" w:type="dxa"/>
            <w:tcBorders>
              <w:top w:val="single" w:color="000000" w:sz="2" w:space="0"/>
              <w:bottom w:val="single" w:color="000000" w:sz="2" w:space="0"/>
            </w:tcBorders>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 w:val="21"/>
                <w:szCs w:val="21"/>
              </w:rPr>
              <w:t>中标单位在进场前须按采购需求规定人数配备</w:t>
            </w:r>
          </w:p>
        </w:tc>
        <w:tc>
          <w:tcPr>
            <w:tcW w:w="3076"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 w:val="21"/>
                <w:szCs w:val="21"/>
              </w:rPr>
              <w:t>未做到的，每次扣1分</w:t>
            </w:r>
          </w:p>
        </w:tc>
        <w:tc>
          <w:tcPr>
            <w:tcW w:w="825" w:type="dxa"/>
            <w:vAlign w:val="top"/>
          </w:tcPr>
          <w:p>
            <w:pPr>
              <w:spacing w:before="59" w:line="221" w:lineRule="auto"/>
              <w:ind w:left="254"/>
              <w:rPr>
                <w:rFonts w:hint="eastAsia" w:ascii="宋体" w:hAnsi="宋体" w:eastAsia="宋体" w:cs="宋体"/>
                <w:snapToGrid w:val="0"/>
                <w:color w:val="auto"/>
                <w:sz w:val="21"/>
                <w:szCs w:val="21"/>
              </w:rPr>
            </w:pPr>
          </w:p>
        </w:tc>
        <w:tc>
          <w:tcPr>
            <w:tcW w:w="1068" w:type="dxa"/>
            <w:vAlign w:val="top"/>
          </w:tcPr>
          <w:p>
            <w:pPr>
              <w:rPr>
                <w:rFonts w:hint="eastAsia" w:ascii="宋体" w:hAnsi="宋体" w:eastAsia="宋体" w:cs="宋体"/>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jc w:val="center"/>
        </w:trPr>
        <w:tc>
          <w:tcPr>
            <w:tcW w:w="1453" w:type="dxa"/>
            <w:vMerge w:val="continue"/>
            <w:tcBorders>
              <w:bottom w:val="single" w:color="000000" w:sz="2" w:space="0"/>
            </w:tcBorders>
            <w:vAlign w:val="top"/>
          </w:tcPr>
          <w:p>
            <w:pPr>
              <w:rPr>
                <w:rFonts w:hint="eastAsia" w:ascii="宋体" w:hAnsi="宋体" w:eastAsia="宋体" w:cs="宋体"/>
                <w:snapToGrid w:val="0"/>
                <w:color w:val="auto"/>
                <w:sz w:val="21"/>
                <w:szCs w:val="21"/>
              </w:rPr>
            </w:pPr>
          </w:p>
        </w:tc>
        <w:tc>
          <w:tcPr>
            <w:tcW w:w="3600" w:type="dxa"/>
            <w:tcBorders>
              <w:top w:val="single" w:color="000000" w:sz="2" w:space="0"/>
              <w:bottom w:val="single" w:color="000000" w:sz="2" w:space="0"/>
            </w:tcBorders>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 w:val="21"/>
                <w:szCs w:val="21"/>
              </w:rPr>
              <w:t>社保缴费情况</w:t>
            </w:r>
          </w:p>
        </w:tc>
        <w:tc>
          <w:tcPr>
            <w:tcW w:w="3076"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 w:val="21"/>
                <w:szCs w:val="21"/>
              </w:rPr>
              <w:t>采购人在中标人员进场前及每月对中标单位人员到位情况和社保缴费情况作重点检查考核，发现未按规定给员工缴纳养老保险等社保或拟派人员无法缴纳的，采购人支付合同款项时扣除该笔款项，每发现1次扣1分。</w:t>
            </w:r>
          </w:p>
        </w:tc>
        <w:tc>
          <w:tcPr>
            <w:tcW w:w="825" w:type="dxa"/>
            <w:vAlign w:val="top"/>
          </w:tcPr>
          <w:p>
            <w:pPr>
              <w:spacing w:before="59" w:line="221" w:lineRule="auto"/>
              <w:ind w:left="254"/>
              <w:rPr>
                <w:rFonts w:hint="eastAsia" w:ascii="宋体" w:hAnsi="宋体" w:eastAsia="宋体" w:cs="宋体"/>
                <w:snapToGrid w:val="0"/>
                <w:color w:val="auto"/>
                <w:sz w:val="21"/>
                <w:szCs w:val="21"/>
              </w:rPr>
            </w:pPr>
          </w:p>
        </w:tc>
        <w:tc>
          <w:tcPr>
            <w:tcW w:w="1068" w:type="dxa"/>
            <w:vAlign w:val="top"/>
          </w:tcPr>
          <w:p>
            <w:pPr>
              <w:rPr>
                <w:rFonts w:hint="eastAsia" w:ascii="宋体" w:hAnsi="宋体" w:eastAsia="宋体" w:cs="宋体"/>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jc w:val="center"/>
        </w:trPr>
        <w:tc>
          <w:tcPr>
            <w:tcW w:w="1453" w:type="dxa"/>
            <w:vMerge w:val="restart"/>
            <w:tcBorders>
              <w:top w:val="single" w:color="000000" w:sz="2" w:space="0"/>
            </w:tcBorders>
            <w:vAlign w:val="center"/>
          </w:tcPr>
          <w:p>
            <w:pPr>
              <w:jc w:val="center"/>
              <w:rPr>
                <w:rFonts w:hint="eastAsia" w:ascii="宋体" w:hAnsi="宋体" w:eastAsia="宋体" w:cs="宋体"/>
                <w:snapToGrid w:val="0"/>
                <w:color w:val="auto"/>
                <w:sz w:val="21"/>
                <w:szCs w:val="21"/>
              </w:rPr>
            </w:pPr>
            <w:r>
              <w:rPr>
                <w:rFonts w:hint="eastAsia" w:ascii="宋体" w:hAnsi="宋体" w:eastAsia="宋体" w:cs="Times New Roman"/>
                <w:snapToGrid w:val="0"/>
                <w:color w:val="000000"/>
                <w:szCs w:val="21"/>
                <w:lang w:eastAsia="zh-CN"/>
              </w:rPr>
              <w:t>四</w:t>
            </w:r>
            <w:r>
              <w:rPr>
                <w:rFonts w:hint="eastAsia" w:ascii="宋体" w:hAnsi="宋体" w:eastAsia="宋体" w:cs="Times New Roman"/>
                <w:snapToGrid w:val="0"/>
                <w:color w:val="000000"/>
                <w:szCs w:val="21"/>
              </w:rPr>
              <w:t>、</w:t>
            </w:r>
            <w:r>
              <w:rPr>
                <w:rFonts w:hint="eastAsia" w:ascii="宋体" w:hAnsi="宋体" w:eastAsia="宋体" w:cs="宋体"/>
                <w:snapToGrid w:val="0"/>
                <w:color w:val="auto"/>
                <w:sz w:val="21"/>
                <w:szCs w:val="21"/>
                <w:lang w:val="en-US" w:eastAsia="zh-CN"/>
              </w:rPr>
              <w:t>健身跑道</w:t>
            </w:r>
            <w:r>
              <w:rPr>
                <w:rFonts w:hint="eastAsia" w:ascii="宋体" w:hAnsi="宋体" w:eastAsia="宋体" w:cs="宋体"/>
                <w:snapToGrid w:val="0"/>
                <w:color w:val="auto"/>
                <w:sz w:val="21"/>
                <w:szCs w:val="21"/>
                <w:lang w:eastAsia="zh-CN"/>
              </w:rPr>
              <w:t>保洁</w:t>
            </w:r>
            <w:r>
              <w:rPr>
                <w:rFonts w:hint="eastAsia" w:ascii="宋体" w:hAnsi="宋体" w:eastAsia="宋体" w:cs="宋体"/>
                <w:snapToGrid w:val="0"/>
                <w:color w:val="auto"/>
                <w:sz w:val="21"/>
                <w:szCs w:val="21"/>
              </w:rPr>
              <w:t>内容</w:t>
            </w:r>
          </w:p>
        </w:tc>
        <w:tc>
          <w:tcPr>
            <w:tcW w:w="3600" w:type="dxa"/>
            <w:tcBorders>
              <w:top w:val="single" w:color="000000" w:sz="2" w:space="0"/>
              <w:bottom w:val="single" w:color="000000" w:sz="2" w:space="0"/>
            </w:tcBorders>
            <w:vAlign w:val="center"/>
          </w:tcPr>
          <w:p>
            <w:pPr>
              <w:spacing w:line="220" w:lineRule="atLeast"/>
              <w:jc w:val="center"/>
              <w:rPr>
                <w:rFonts w:hint="eastAsia" w:ascii="宋体" w:hAnsi="宋体" w:eastAsia="宋体" w:cs="宋体"/>
                <w:snapToGrid w:val="0"/>
                <w:color w:val="auto"/>
                <w:sz w:val="21"/>
                <w:szCs w:val="21"/>
              </w:rPr>
            </w:pPr>
            <w:r>
              <w:rPr>
                <w:rFonts w:hint="eastAsia" w:asciiTheme="minorEastAsia" w:hAnsiTheme="minorEastAsia" w:eastAsiaTheme="minorEastAsia" w:cstheme="minorEastAsia"/>
                <w:snapToGrid w:val="0"/>
                <w:color w:val="000000"/>
                <w:kern w:val="0"/>
                <w:sz w:val="21"/>
                <w:szCs w:val="21"/>
              </w:rPr>
              <w:t>应达到路面整洁，无烟蒂白色垃圾,无果皮纸屑，路面无土石杂物，无积水积泥，无堆积物，雨水口、窨井口无积泥杂物</w:t>
            </w:r>
          </w:p>
        </w:tc>
        <w:tc>
          <w:tcPr>
            <w:tcW w:w="3076"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eastAsia="宋体" w:cs="Times New Roman"/>
                <w:snapToGrid w:val="0"/>
                <w:color w:val="000000"/>
                <w:szCs w:val="21"/>
              </w:rPr>
              <w:t>未做到的，每次扣</w:t>
            </w:r>
            <w:r>
              <w:rPr>
                <w:rFonts w:hint="eastAsia" w:ascii="宋体" w:hAnsi="宋体" w:cs="Times New Roman"/>
                <w:snapToGrid w:val="0"/>
                <w:color w:val="000000"/>
                <w:szCs w:val="21"/>
                <w:lang w:val="en-US" w:eastAsia="zh-CN"/>
              </w:rPr>
              <w:t>0.5</w:t>
            </w:r>
            <w:r>
              <w:rPr>
                <w:rFonts w:hint="eastAsia" w:ascii="宋体" w:hAnsi="宋体" w:eastAsia="宋体" w:cs="Times New Roman"/>
                <w:snapToGrid w:val="0"/>
                <w:color w:val="000000"/>
                <w:szCs w:val="21"/>
              </w:rPr>
              <w:t>分。</w:t>
            </w:r>
          </w:p>
        </w:tc>
        <w:tc>
          <w:tcPr>
            <w:tcW w:w="825" w:type="dxa"/>
            <w:vAlign w:val="top"/>
          </w:tcPr>
          <w:p>
            <w:pPr>
              <w:spacing w:before="59" w:line="221" w:lineRule="auto"/>
              <w:ind w:left="254"/>
              <w:rPr>
                <w:rFonts w:hint="eastAsia" w:ascii="宋体" w:hAnsi="宋体" w:eastAsia="宋体" w:cs="宋体"/>
                <w:snapToGrid w:val="0"/>
                <w:color w:val="auto"/>
                <w:sz w:val="21"/>
                <w:szCs w:val="21"/>
              </w:rPr>
            </w:pPr>
          </w:p>
        </w:tc>
        <w:tc>
          <w:tcPr>
            <w:tcW w:w="1068" w:type="dxa"/>
            <w:vAlign w:val="top"/>
          </w:tcPr>
          <w:p>
            <w:pPr>
              <w:rPr>
                <w:rFonts w:hint="eastAsia" w:ascii="宋体" w:hAnsi="宋体" w:eastAsia="宋体" w:cs="宋体"/>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jc w:val="center"/>
        </w:trPr>
        <w:tc>
          <w:tcPr>
            <w:tcW w:w="1453" w:type="dxa"/>
            <w:vMerge w:val="continue"/>
            <w:vAlign w:val="top"/>
          </w:tcPr>
          <w:p>
            <w:pPr>
              <w:rPr>
                <w:rFonts w:hint="eastAsia" w:ascii="宋体" w:hAnsi="宋体" w:eastAsia="宋体" w:cs="宋体"/>
                <w:snapToGrid w:val="0"/>
                <w:color w:val="auto"/>
                <w:sz w:val="21"/>
                <w:szCs w:val="21"/>
              </w:rPr>
            </w:pPr>
          </w:p>
        </w:tc>
        <w:tc>
          <w:tcPr>
            <w:tcW w:w="3600" w:type="dxa"/>
            <w:tcBorders>
              <w:top w:val="single" w:color="000000" w:sz="2" w:space="0"/>
              <w:bottom w:val="single" w:color="000000" w:sz="2" w:space="0"/>
            </w:tcBorders>
            <w:vAlign w:val="center"/>
          </w:tcPr>
          <w:p>
            <w:pPr>
              <w:spacing w:line="220" w:lineRule="atLeast"/>
              <w:jc w:val="center"/>
              <w:rPr>
                <w:rFonts w:hint="eastAsia" w:ascii="宋体" w:hAnsi="宋体" w:eastAsia="宋体" w:cs="宋体"/>
                <w:snapToGrid w:val="0"/>
                <w:color w:val="auto"/>
                <w:sz w:val="21"/>
                <w:szCs w:val="21"/>
              </w:rPr>
            </w:pPr>
            <w:r>
              <w:rPr>
                <w:rFonts w:hint="eastAsia" w:asciiTheme="minorEastAsia" w:hAnsiTheme="minorEastAsia" w:eastAsiaTheme="minorEastAsia" w:cstheme="minorEastAsia"/>
                <w:snapToGrid w:val="0"/>
                <w:color w:val="000000"/>
                <w:kern w:val="0"/>
                <w:sz w:val="21"/>
                <w:szCs w:val="21"/>
              </w:rPr>
              <w:t>首次普扫应在上午7:30时前结束，其余时间为巡回保洁（实行八小时制巡回保洁），生活垃圾收集，并运到慈溪中科众茂环保热电有限公司进行处理</w:t>
            </w:r>
            <w:r>
              <w:rPr>
                <w:rFonts w:hint="eastAsia" w:ascii="宋体" w:hAnsi="宋体" w:cs="宋体"/>
                <w:snapToGrid w:val="0"/>
                <w:color w:val="000000"/>
                <w:kern w:val="0"/>
                <w:sz w:val="21"/>
                <w:szCs w:val="21"/>
              </w:rPr>
              <w:t>。</w:t>
            </w:r>
          </w:p>
        </w:tc>
        <w:tc>
          <w:tcPr>
            <w:tcW w:w="3076"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 w:val="21"/>
                <w:szCs w:val="21"/>
              </w:rPr>
              <w:t>未做到的，每处扣0.5分</w:t>
            </w:r>
          </w:p>
        </w:tc>
        <w:tc>
          <w:tcPr>
            <w:tcW w:w="825" w:type="dxa"/>
            <w:vAlign w:val="top"/>
          </w:tcPr>
          <w:p>
            <w:pPr>
              <w:spacing w:before="59" w:line="221" w:lineRule="auto"/>
              <w:ind w:left="258"/>
              <w:rPr>
                <w:rFonts w:hint="eastAsia" w:ascii="宋体" w:hAnsi="宋体" w:eastAsia="宋体" w:cs="宋体"/>
                <w:snapToGrid w:val="0"/>
                <w:color w:val="auto"/>
                <w:sz w:val="21"/>
                <w:szCs w:val="21"/>
              </w:rPr>
            </w:pPr>
          </w:p>
        </w:tc>
        <w:tc>
          <w:tcPr>
            <w:tcW w:w="1068" w:type="dxa"/>
            <w:vAlign w:val="top"/>
          </w:tcPr>
          <w:p>
            <w:pPr>
              <w:rPr>
                <w:rFonts w:hint="eastAsia" w:ascii="宋体" w:hAnsi="宋体" w:eastAsia="宋体" w:cs="宋体"/>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4" w:hRule="atLeast"/>
          <w:jc w:val="center"/>
        </w:trPr>
        <w:tc>
          <w:tcPr>
            <w:tcW w:w="1453" w:type="dxa"/>
            <w:vMerge w:val="continue"/>
            <w:vAlign w:val="top"/>
          </w:tcPr>
          <w:p>
            <w:pPr>
              <w:rPr>
                <w:rFonts w:hint="eastAsia" w:ascii="宋体" w:hAnsi="宋体" w:eastAsia="宋体" w:cs="宋体"/>
                <w:snapToGrid w:val="0"/>
                <w:color w:val="auto"/>
                <w:sz w:val="21"/>
                <w:szCs w:val="21"/>
              </w:rPr>
            </w:pPr>
          </w:p>
        </w:tc>
        <w:tc>
          <w:tcPr>
            <w:tcW w:w="3600" w:type="dxa"/>
            <w:tcBorders>
              <w:top w:val="single" w:color="000000" w:sz="2" w:space="0"/>
            </w:tcBorders>
            <w:vAlign w:val="center"/>
          </w:tcPr>
          <w:p>
            <w:pPr>
              <w:spacing w:line="220" w:lineRule="atLeast"/>
              <w:jc w:val="center"/>
              <w:rPr>
                <w:rFonts w:hint="eastAsia" w:ascii="宋体" w:hAnsi="宋体" w:eastAsia="宋体" w:cs="宋体"/>
                <w:snapToGrid w:val="0"/>
                <w:color w:val="auto"/>
                <w:sz w:val="21"/>
                <w:szCs w:val="21"/>
              </w:rPr>
            </w:pPr>
            <w:r>
              <w:rPr>
                <w:rFonts w:hint="eastAsia" w:asciiTheme="minorEastAsia" w:hAnsiTheme="minorEastAsia" w:eastAsiaTheme="minorEastAsia" w:cstheme="minorEastAsia"/>
                <w:snapToGrid w:val="0"/>
                <w:color w:val="000000"/>
                <w:kern w:val="0"/>
                <w:sz w:val="21"/>
                <w:szCs w:val="21"/>
              </w:rPr>
              <w:t>保洁人员应文明作业，不得将垃圾、污水扫到或溅到行人身上，禁止将垃圾堆入或留在窨井盖上，禁止将垃圾扫入或倒入窨井（如导致窨井堵塞，由乙方负责疏通）、道路绿地、河道等处，不得焚烧垃圾，必须运到慈溪中科众茂环保热电有限公司</w:t>
            </w:r>
            <w:r>
              <w:rPr>
                <w:rFonts w:hint="eastAsia" w:ascii="宋体" w:hAnsi="宋体" w:cs="宋体"/>
                <w:snapToGrid w:val="0"/>
                <w:color w:val="000000"/>
                <w:kern w:val="0"/>
                <w:sz w:val="21"/>
                <w:szCs w:val="21"/>
              </w:rPr>
              <w:t>。</w:t>
            </w:r>
          </w:p>
        </w:tc>
        <w:tc>
          <w:tcPr>
            <w:tcW w:w="3076" w:type="dxa"/>
            <w:vAlign w:val="center"/>
          </w:tcPr>
          <w:p>
            <w:pPr>
              <w:spacing w:line="220" w:lineRule="atLeast"/>
              <w:jc w:val="center"/>
              <w:rPr>
                <w:rFonts w:hint="eastAsia" w:ascii="宋体" w:hAnsi="宋体" w:eastAsia="宋体" w:cs="宋体"/>
                <w:snapToGrid w:val="0"/>
                <w:color w:val="auto"/>
                <w:sz w:val="21"/>
                <w:szCs w:val="21"/>
              </w:rPr>
            </w:pPr>
            <w:r>
              <w:rPr>
                <w:rFonts w:hint="eastAsia" w:ascii="宋体" w:hAnsi="宋体"/>
                <w:snapToGrid w:val="0"/>
                <w:color w:val="000000"/>
                <w:sz w:val="21"/>
                <w:szCs w:val="21"/>
              </w:rPr>
              <w:t>未做到的，每次扣0.5分</w:t>
            </w:r>
          </w:p>
        </w:tc>
        <w:tc>
          <w:tcPr>
            <w:tcW w:w="825" w:type="dxa"/>
            <w:vAlign w:val="top"/>
          </w:tcPr>
          <w:p>
            <w:pPr>
              <w:spacing w:before="224" w:line="221" w:lineRule="auto"/>
              <w:ind w:left="257"/>
              <w:rPr>
                <w:rFonts w:hint="eastAsia" w:ascii="宋体" w:hAnsi="宋体" w:eastAsia="宋体" w:cs="宋体"/>
                <w:snapToGrid w:val="0"/>
                <w:color w:val="auto"/>
                <w:sz w:val="21"/>
                <w:szCs w:val="21"/>
              </w:rPr>
            </w:pPr>
          </w:p>
        </w:tc>
        <w:tc>
          <w:tcPr>
            <w:tcW w:w="1068" w:type="dxa"/>
            <w:tcBorders>
              <w:bottom w:val="single" w:color="000000" w:sz="2" w:space="0"/>
            </w:tcBorders>
            <w:vAlign w:val="top"/>
          </w:tcPr>
          <w:p>
            <w:pPr>
              <w:rPr>
                <w:rFonts w:hint="eastAsia" w:ascii="宋体" w:hAnsi="宋体" w:eastAsia="宋体" w:cs="宋体"/>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453" w:type="dxa"/>
            <w:tcBorders>
              <w:top w:val="single" w:color="000000" w:sz="2" w:space="0"/>
              <w:bottom w:val="single" w:color="000000" w:sz="2" w:space="0"/>
            </w:tcBorders>
            <w:vAlign w:val="center"/>
          </w:tcPr>
          <w:p>
            <w:pPr>
              <w:spacing w:line="220" w:lineRule="atLeast"/>
              <w:jc w:val="center"/>
              <w:rPr>
                <w:rFonts w:ascii="Arial"/>
                <w:snapToGrid w:val="0"/>
                <w:color w:val="auto"/>
                <w:sz w:val="21"/>
                <w:szCs w:val="21"/>
              </w:rPr>
            </w:pPr>
            <w:r>
              <w:rPr>
                <w:rFonts w:hint="eastAsia" w:ascii="宋体" w:hAnsi="宋体"/>
                <w:snapToGrid w:val="0"/>
                <w:color w:val="000000"/>
                <w:szCs w:val="21"/>
                <w:lang w:eastAsia="zh-CN"/>
              </w:rPr>
              <w:t>五</w:t>
            </w:r>
            <w:r>
              <w:rPr>
                <w:rFonts w:hint="eastAsia" w:ascii="宋体" w:hAnsi="宋体"/>
                <w:snapToGrid w:val="0"/>
                <w:color w:val="000000"/>
                <w:szCs w:val="21"/>
              </w:rPr>
              <w:t>、合同中的双方职责中的乙方职责</w:t>
            </w:r>
          </w:p>
        </w:tc>
        <w:tc>
          <w:tcPr>
            <w:tcW w:w="3600" w:type="dxa"/>
            <w:tcBorders>
              <w:top w:val="single" w:color="000000" w:sz="2" w:space="0"/>
              <w:bottom w:val="single" w:color="000000" w:sz="2" w:space="0"/>
            </w:tcBorders>
            <w:vAlign w:val="center"/>
          </w:tcPr>
          <w:p>
            <w:pPr>
              <w:spacing w:line="220" w:lineRule="atLeast"/>
              <w:jc w:val="center"/>
              <w:rPr>
                <w:snapToGrid w:val="0"/>
                <w:color w:val="auto"/>
                <w:sz w:val="21"/>
                <w:szCs w:val="21"/>
              </w:rPr>
            </w:pPr>
            <w:r>
              <w:rPr>
                <w:rFonts w:hint="eastAsia" w:ascii="宋体" w:hAnsi="宋体"/>
                <w:snapToGrid w:val="0"/>
                <w:color w:val="000000"/>
                <w:szCs w:val="21"/>
              </w:rPr>
              <w:t>合同中的双方职责中的乙方职责的内容</w:t>
            </w:r>
          </w:p>
        </w:tc>
        <w:tc>
          <w:tcPr>
            <w:tcW w:w="3076" w:type="dxa"/>
            <w:tcBorders>
              <w:top w:val="single" w:color="000000" w:sz="2" w:space="0"/>
              <w:bottom w:val="single" w:color="000000" w:sz="2" w:space="0"/>
            </w:tcBorders>
            <w:vAlign w:val="center"/>
          </w:tcPr>
          <w:p>
            <w:pPr>
              <w:spacing w:line="220" w:lineRule="atLeast"/>
              <w:jc w:val="center"/>
              <w:rPr>
                <w:rFonts w:ascii="新宋体" w:hAnsi="新宋体" w:eastAsia="新宋体" w:cs="新宋体"/>
                <w:snapToGrid w:val="0"/>
                <w:color w:val="auto"/>
                <w:sz w:val="21"/>
                <w:szCs w:val="21"/>
              </w:rPr>
            </w:pPr>
            <w:r>
              <w:rPr>
                <w:rFonts w:hint="eastAsia" w:ascii="宋体" w:hAnsi="宋体"/>
                <w:snapToGrid w:val="0"/>
                <w:color w:val="000000"/>
                <w:szCs w:val="21"/>
              </w:rPr>
              <w:t>发现违背乙方职责中的有关内容的状况，发现不符合的每次每条款扣0.5分，扣完为止。</w:t>
            </w:r>
          </w:p>
        </w:tc>
        <w:tc>
          <w:tcPr>
            <w:tcW w:w="825" w:type="dxa"/>
            <w:tcBorders>
              <w:top w:val="single" w:color="000000" w:sz="2" w:space="0"/>
              <w:bottom w:val="single" w:color="000000" w:sz="2" w:space="0"/>
            </w:tcBorders>
            <w:vAlign w:val="top"/>
          </w:tcPr>
          <w:p>
            <w:pPr>
              <w:spacing w:before="59" w:line="221" w:lineRule="auto"/>
              <w:ind w:left="255"/>
              <w:rPr>
                <w:rFonts w:ascii="新宋体" w:hAnsi="新宋体" w:eastAsia="新宋体" w:cs="新宋体"/>
                <w:snapToGrid w:val="0"/>
                <w:color w:val="auto"/>
                <w:sz w:val="21"/>
                <w:szCs w:val="21"/>
              </w:rPr>
            </w:pPr>
          </w:p>
        </w:tc>
        <w:tc>
          <w:tcPr>
            <w:tcW w:w="1068" w:type="dxa"/>
            <w:tcBorders>
              <w:top w:val="single" w:color="000000" w:sz="2" w:space="0"/>
              <w:bottom w:val="single" w:color="000000" w:sz="2" w:space="0"/>
            </w:tcBorders>
            <w:vAlign w:val="top"/>
          </w:tcPr>
          <w:p>
            <w:pPr>
              <w:rPr>
                <w:rFonts w:ascii="Arial"/>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1453" w:type="dxa"/>
            <w:tcBorders>
              <w:top w:val="single" w:color="000000" w:sz="2" w:space="0"/>
              <w:bottom w:val="single" w:color="000000" w:sz="2" w:space="0"/>
            </w:tcBorders>
            <w:vAlign w:val="center"/>
          </w:tcPr>
          <w:p>
            <w:pPr>
              <w:spacing w:line="220" w:lineRule="atLeast"/>
              <w:jc w:val="center"/>
              <w:rPr>
                <w:snapToGrid w:val="0"/>
                <w:color w:val="auto"/>
                <w:sz w:val="21"/>
                <w:szCs w:val="21"/>
              </w:rPr>
            </w:pPr>
            <w:r>
              <w:rPr>
                <w:rFonts w:hint="eastAsia" w:ascii="宋体" w:hAnsi="宋体"/>
                <w:snapToGrid w:val="0"/>
                <w:color w:val="000000"/>
                <w:szCs w:val="21"/>
                <w:lang w:eastAsia="zh-CN"/>
              </w:rPr>
              <w:t>六</w:t>
            </w:r>
            <w:r>
              <w:rPr>
                <w:rFonts w:hint="eastAsia" w:ascii="宋体" w:hAnsi="宋体"/>
                <w:snapToGrid w:val="0"/>
                <w:color w:val="000000"/>
                <w:szCs w:val="21"/>
              </w:rPr>
              <w:t>、计划台账</w:t>
            </w:r>
          </w:p>
        </w:tc>
        <w:tc>
          <w:tcPr>
            <w:tcW w:w="3600" w:type="dxa"/>
            <w:tcBorders>
              <w:top w:val="single" w:color="000000" w:sz="2" w:space="0"/>
              <w:bottom w:val="single" w:color="000000" w:sz="2" w:space="0"/>
            </w:tcBorders>
            <w:vAlign w:val="center"/>
          </w:tcPr>
          <w:p>
            <w:pPr>
              <w:spacing w:line="220" w:lineRule="atLeast"/>
              <w:jc w:val="center"/>
              <w:rPr>
                <w:rFonts w:ascii="宋体" w:hAnsi="宋体"/>
                <w:snapToGrid w:val="0"/>
                <w:color w:val="000000"/>
                <w:szCs w:val="21"/>
              </w:rPr>
            </w:pPr>
            <w:r>
              <w:rPr>
                <w:rFonts w:hint="eastAsia" w:ascii="宋体" w:hAnsi="宋体"/>
                <w:snapToGrid w:val="0"/>
                <w:color w:val="000000"/>
                <w:szCs w:val="21"/>
              </w:rPr>
              <w:t>1、月度计划具体完整，上报及时</w:t>
            </w:r>
          </w:p>
          <w:p>
            <w:pPr>
              <w:spacing w:line="220" w:lineRule="atLeast"/>
              <w:jc w:val="center"/>
              <w:rPr>
                <w:snapToGrid w:val="0"/>
                <w:color w:val="auto"/>
                <w:sz w:val="21"/>
                <w:szCs w:val="21"/>
              </w:rPr>
            </w:pPr>
            <w:r>
              <w:rPr>
                <w:rFonts w:hint="eastAsia" w:ascii="宋体" w:hAnsi="宋体"/>
                <w:snapToGrid w:val="0"/>
                <w:color w:val="000000"/>
                <w:szCs w:val="21"/>
              </w:rPr>
              <w:t>2、台账记录清晰明了，实事求是</w:t>
            </w:r>
          </w:p>
        </w:tc>
        <w:tc>
          <w:tcPr>
            <w:tcW w:w="3076" w:type="dxa"/>
            <w:tcBorders>
              <w:top w:val="single" w:color="000000" w:sz="2" w:space="0"/>
              <w:bottom w:val="single" w:color="000000" w:sz="2" w:space="0"/>
            </w:tcBorders>
            <w:vAlign w:val="center"/>
          </w:tcPr>
          <w:p>
            <w:pPr>
              <w:spacing w:line="220" w:lineRule="atLeast"/>
              <w:jc w:val="center"/>
              <w:rPr>
                <w:rFonts w:ascii="宋体" w:hAnsi="宋体"/>
                <w:snapToGrid w:val="0"/>
                <w:color w:val="000000"/>
                <w:szCs w:val="21"/>
              </w:rPr>
            </w:pPr>
            <w:r>
              <w:rPr>
                <w:rFonts w:hint="eastAsia" w:ascii="宋体" w:hAnsi="宋体"/>
                <w:snapToGrid w:val="0"/>
                <w:color w:val="000000"/>
                <w:szCs w:val="21"/>
              </w:rPr>
              <w:t>上报不及时扣0.5分，内容不全扣0.1—1分</w:t>
            </w:r>
          </w:p>
          <w:p>
            <w:pPr>
              <w:spacing w:line="220" w:lineRule="atLeast"/>
              <w:jc w:val="center"/>
              <w:rPr>
                <w:rFonts w:ascii="新宋体" w:hAnsi="新宋体" w:eastAsia="新宋体" w:cs="新宋体"/>
                <w:snapToGrid w:val="0"/>
                <w:color w:val="auto"/>
                <w:sz w:val="21"/>
                <w:szCs w:val="21"/>
              </w:rPr>
            </w:pPr>
            <w:r>
              <w:rPr>
                <w:rFonts w:hint="eastAsia" w:ascii="宋体" w:hAnsi="宋体"/>
                <w:snapToGrid w:val="0"/>
                <w:color w:val="000000"/>
                <w:szCs w:val="21"/>
              </w:rPr>
              <w:t>不按时上报扣0.5分，弄虚作假扣2分</w:t>
            </w:r>
          </w:p>
        </w:tc>
        <w:tc>
          <w:tcPr>
            <w:tcW w:w="825" w:type="dxa"/>
            <w:tcBorders>
              <w:top w:val="single" w:color="000000" w:sz="2" w:space="0"/>
              <w:bottom w:val="single" w:color="000000" w:sz="2" w:space="0"/>
            </w:tcBorders>
            <w:vAlign w:val="top"/>
          </w:tcPr>
          <w:p>
            <w:pPr>
              <w:spacing w:before="59" w:line="221" w:lineRule="auto"/>
              <w:ind w:left="257"/>
              <w:rPr>
                <w:rFonts w:ascii="新宋体" w:hAnsi="新宋体" w:eastAsia="新宋体" w:cs="新宋体"/>
                <w:snapToGrid w:val="0"/>
                <w:color w:val="auto"/>
                <w:sz w:val="21"/>
                <w:szCs w:val="21"/>
              </w:rPr>
            </w:pPr>
          </w:p>
        </w:tc>
        <w:tc>
          <w:tcPr>
            <w:tcW w:w="1068" w:type="dxa"/>
            <w:tcBorders>
              <w:top w:val="single" w:color="000000" w:sz="2" w:space="0"/>
              <w:bottom w:val="single" w:color="000000" w:sz="2" w:space="0"/>
            </w:tcBorders>
            <w:vAlign w:val="top"/>
          </w:tcPr>
          <w:p>
            <w:pPr>
              <w:rPr>
                <w:rFonts w:ascii="Arial"/>
                <w:snapToGrid w:val="0"/>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 w:hRule="atLeast"/>
          <w:jc w:val="center"/>
        </w:trPr>
        <w:tc>
          <w:tcPr>
            <w:tcW w:w="1453" w:type="dxa"/>
            <w:vAlign w:val="center"/>
          </w:tcPr>
          <w:p>
            <w:pPr>
              <w:jc w:val="center"/>
              <w:rPr>
                <w:rFonts w:ascii="Arial"/>
                <w:snapToGrid w:val="0"/>
                <w:color w:val="auto"/>
                <w:sz w:val="21"/>
                <w:szCs w:val="21"/>
              </w:rPr>
            </w:pPr>
            <w:r>
              <w:rPr>
                <w:rFonts w:ascii="新宋体" w:hAnsi="新宋体" w:eastAsia="新宋体" w:cs="新宋体"/>
                <w:snapToGrid w:val="0"/>
                <w:color w:val="auto"/>
                <w:sz w:val="21"/>
                <w:szCs w:val="21"/>
              </w:rPr>
              <w:t>合计</w:t>
            </w:r>
          </w:p>
        </w:tc>
        <w:tc>
          <w:tcPr>
            <w:tcW w:w="3600" w:type="dxa"/>
            <w:vAlign w:val="top"/>
          </w:tcPr>
          <w:p>
            <w:pPr>
              <w:rPr>
                <w:rFonts w:ascii="Arial"/>
                <w:snapToGrid w:val="0"/>
                <w:color w:val="auto"/>
                <w:sz w:val="21"/>
                <w:szCs w:val="21"/>
              </w:rPr>
            </w:pPr>
          </w:p>
        </w:tc>
        <w:tc>
          <w:tcPr>
            <w:tcW w:w="3076" w:type="dxa"/>
            <w:vAlign w:val="top"/>
          </w:tcPr>
          <w:p>
            <w:pPr>
              <w:spacing w:before="212" w:line="222" w:lineRule="auto"/>
              <w:ind w:left="1762"/>
              <w:rPr>
                <w:rFonts w:ascii="新宋体" w:hAnsi="新宋体" w:eastAsia="新宋体" w:cs="新宋体"/>
                <w:snapToGrid w:val="0"/>
                <w:color w:val="auto"/>
                <w:sz w:val="21"/>
                <w:szCs w:val="21"/>
              </w:rPr>
            </w:pPr>
          </w:p>
        </w:tc>
        <w:tc>
          <w:tcPr>
            <w:tcW w:w="825" w:type="dxa"/>
            <w:vAlign w:val="top"/>
          </w:tcPr>
          <w:p>
            <w:pPr>
              <w:spacing w:before="212" w:line="221" w:lineRule="auto"/>
              <w:ind w:left="173"/>
              <w:rPr>
                <w:rFonts w:ascii="新宋体" w:hAnsi="新宋体" w:eastAsia="新宋体" w:cs="新宋体"/>
                <w:snapToGrid w:val="0"/>
                <w:color w:val="auto"/>
                <w:sz w:val="21"/>
                <w:szCs w:val="21"/>
              </w:rPr>
            </w:pPr>
          </w:p>
        </w:tc>
        <w:tc>
          <w:tcPr>
            <w:tcW w:w="1068" w:type="dxa"/>
            <w:vAlign w:val="top"/>
          </w:tcPr>
          <w:p>
            <w:pPr>
              <w:rPr>
                <w:rFonts w:ascii="Arial"/>
                <w:snapToGrid w:val="0"/>
                <w:color w:val="auto"/>
                <w:sz w:val="21"/>
                <w:szCs w:val="21"/>
              </w:rPr>
            </w:pPr>
          </w:p>
        </w:tc>
      </w:tr>
    </w:tbl>
    <w:p>
      <w:pPr>
        <w:spacing w:beforeLines="0" w:afterLines="0" w:line="360" w:lineRule="exact"/>
        <w:rPr>
          <w:rFonts w:hint="eastAsia" w:ascii="宋体" w:hAnsi="宋体" w:eastAsia="宋体"/>
          <w:snapToGrid w:val="0"/>
          <w:color w:val="auto"/>
          <w:sz w:val="21"/>
          <w:szCs w:val="24"/>
        </w:rPr>
      </w:pPr>
    </w:p>
    <w:p>
      <w:pPr>
        <w:spacing w:beforeLines="0" w:afterLines="0" w:line="360" w:lineRule="exact"/>
        <w:rPr>
          <w:rFonts w:hint="eastAsia" w:ascii="宋体" w:hAnsi="宋体" w:eastAsia="宋体"/>
          <w:snapToGrid w:val="0"/>
          <w:color w:val="auto"/>
          <w:sz w:val="21"/>
          <w:szCs w:val="24"/>
        </w:rPr>
      </w:pPr>
    </w:p>
    <w:p>
      <w:pPr>
        <w:spacing w:beforeLines="0" w:afterLines="0" w:line="360" w:lineRule="exact"/>
        <w:rPr>
          <w:rFonts w:hint="eastAsia" w:ascii="宋体" w:hAnsi="宋体" w:eastAsia="宋体" w:cs="宋体"/>
          <w:color w:val="auto"/>
          <w:spacing w:val="4"/>
          <w:sz w:val="21"/>
          <w:szCs w:val="21"/>
        </w:rPr>
      </w:pPr>
      <w:r>
        <w:rPr>
          <w:rFonts w:hint="eastAsia" w:ascii="宋体" w:hAnsi="宋体" w:eastAsia="宋体" w:cs="宋体"/>
          <w:b/>
          <w:color w:val="auto"/>
          <w:spacing w:val="4"/>
          <w:sz w:val="21"/>
          <w:szCs w:val="21"/>
        </w:rPr>
        <w:t>附件2：城市绿地养护质量等级</w:t>
      </w:r>
    </w:p>
    <w:p>
      <w:pPr>
        <w:pStyle w:val="255"/>
        <w:keepNext w:val="0"/>
        <w:keepLines w:val="0"/>
        <w:pageBreakBefore w:val="0"/>
        <w:widowControl/>
        <w:numPr>
          <w:ilvl w:val="1"/>
          <w:numId w:val="0"/>
        </w:numPr>
        <w:kinsoku/>
        <w:wordWrap/>
        <w:overflowPunct/>
        <w:topLinePunct w:val="0"/>
        <w:bidi w:val="0"/>
        <w:adjustRightInd/>
        <w:snapToGrid/>
        <w:spacing w:before="0" w:beforeLines="0" w:after="0" w:afterLines="0" w:line="320" w:lineRule="exact"/>
        <w:ind w:left="420"/>
        <w:textAlignment w:val="auto"/>
        <w:rPr>
          <w:rFonts w:hint="eastAsia" w:ascii="宋体" w:hAnsi="宋体" w:eastAsia="宋体" w:cs="宋体"/>
          <w:color w:val="auto"/>
          <w:sz w:val="21"/>
          <w:szCs w:val="21"/>
        </w:rPr>
      </w:pPr>
    </w:p>
    <w:p>
      <w:pPr>
        <w:pStyle w:val="255"/>
        <w:keepNext w:val="0"/>
        <w:keepLines w:val="0"/>
        <w:pageBreakBefore w:val="0"/>
        <w:widowControl/>
        <w:numPr>
          <w:ilvl w:val="1"/>
          <w:numId w:val="0"/>
        </w:numPr>
        <w:kinsoku/>
        <w:wordWrap/>
        <w:overflowPunct/>
        <w:topLinePunct w:val="0"/>
        <w:bidi w:val="0"/>
        <w:adjustRightInd/>
        <w:snapToGrid/>
        <w:spacing w:before="0" w:beforeLines="0" w:after="0" w:afterLines="0" w:line="32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1范围</w:t>
      </w:r>
    </w:p>
    <w:p>
      <w:pPr>
        <w:pStyle w:val="225"/>
        <w:keepNext w:val="0"/>
        <w:keepLines w:val="0"/>
        <w:pageBreakBefore w:val="0"/>
        <w:widowControl/>
        <w:kinsoku/>
        <w:wordWrap/>
        <w:overflowPunct/>
        <w:topLinePunct w:val="0"/>
        <w:bidi w:val="0"/>
        <w:adjustRightInd/>
        <w:snapToGrid/>
        <w:spacing w:line="320" w:lineRule="exact"/>
        <w:ind w:firstLine="420"/>
        <w:textAlignment w:val="auto"/>
        <w:rPr>
          <w:rFonts w:hint="eastAsia" w:hAnsi="宋体" w:cs="宋体"/>
          <w:color w:val="auto"/>
          <w:sz w:val="21"/>
          <w:szCs w:val="21"/>
        </w:rPr>
      </w:pPr>
      <w:r>
        <w:rPr>
          <w:rFonts w:hint="eastAsia" w:hAnsi="宋体" w:cs="宋体"/>
          <w:color w:val="auto"/>
          <w:sz w:val="21"/>
          <w:szCs w:val="21"/>
        </w:rPr>
        <w:t>本标准规定了宁波市城市公园绿地养护质量等级、道路绿地养护质量等级、居住区绿地养护质量等级、单位绿地养护质量等级、防护绿地养护质量等级。</w:t>
      </w:r>
    </w:p>
    <w:p>
      <w:pPr>
        <w:pStyle w:val="225"/>
        <w:keepNext w:val="0"/>
        <w:keepLines w:val="0"/>
        <w:pageBreakBefore w:val="0"/>
        <w:widowControl/>
        <w:kinsoku/>
        <w:wordWrap/>
        <w:overflowPunct/>
        <w:topLinePunct w:val="0"/>
        <w:bidi w:val="0"/>
        <w:adjustRightInd/>
        <w:snapToGrid/>
        <w:spacing w:line="320" w:lineRule="exact"/>
        <w:ind w:firstLine="420"/>
        <w:textAlignment w:val="auto"/>
        <w:rPr>
          <w:rFonts w:hint="eastAsia" w:hAnsi="宋体" w:cs="宋体"/>
          <w:color w:val="auto"/>
          <w:sz w:val="21"/>
          <w:szCs w:val="21"/>
        </w:rPr>
      </w:pPr>
      <w:r>
        <w:rPr>
          <w:rFonts w:hint="eastAsia" w:hAnsi="宋体" w:cs="宋体"/>
          <w:color w:val="auto"/>
          <w:sz w:val="21"/>
          <w:szCs w:val="21"/>
        </w:rPr>
        <w:t>本标准适用于宁波市城市规划区、县级市城市规划区及县人民政府所在地城市规划区内的绿地养护。各建制镇可参照本标准执行。</w:t>
      </w:r>
    </w:p>
    <w:p>
      <w:pPr>
        <w:pStyle w:val="255"/>
        <w:keepNext w:val="0"/>
        <w:keepLines w:val="0"/>
        <w:pageBreakBefore w:val="0"/>
        <w:widowControl/>
        <w:numPr>
          <w:ilvl w:val="1"/>
          <w:numId w:val="0"/>
        </w:numPr>
        <w:kinsoku/>
        <w:wordWrap/>
        <w:overflowPunct/>
        <w:topLinePunct w:val="0"/>
        <w:bidi w:val="0"/>
        <w:adjustRightInd/>
        <w:snapToGrid/>
        <w:spacing w:before="0" w:beforeLines="0" w:after="0" w:afterLines="0" w:line="32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2总则</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pacing w:val="8"/>
          <w:sz w:val="21"/>
          <w:szCs w:val="21"/>
        </w:rPr>
      </w:pPr>
      <w:r>
        <w:rPr>
          <w:rFonts w:hint="eastAsia" w:ascii="宋体" w:hAnsi="宋体" w:eastAsia="宋体" w:cs="宋体"/>
          <w:color w:val="auto"/>
          <w:sz w:val="21"/>
          <w:szCs w:val="21"/>
        </w:rPr>
        <w:t>2.1加强宁波市绿地养护的管理，提高绿地养护质量。</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2.2绿地养护管理应遵守国家、行业、地方有关标准规范。</w:t>
      </w:r>
    </w:p>
    <w:p>
      <w:pPr>
        <w:pStyle w:val="255"/>
        <w:keepNext w:val="0"/>
        <w:keepLines w:val="0"/>
        <w:pageBreakBefore w:val="0"/>
        <w:widowControl/>
        <w:numPr>
          <w:ilvl w:val="1"/>
          <w:numId w:val="0"/>
        </w:numPr>
        <w:kinsoku/>
        <w:wordWrap/>
        <w:overflowPunct/>
        <w:topLinePunct w:val="0"/>
        <w:bidi w:val="0"/>
        <w:adjustRightInd/>
        <w:snapToGrid/>
        <w:spacing w:before="0" w:beforeLines="0" w:after="0" w:afterLines="0" w:line="32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3术语和定义。</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525" w:left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下列术语和定义适用于本标准。</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3.1公园绿地</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420" w:left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城市中向公众开放的、以游憩为主要功能，有一定的游憩设施和服务设施，同时兼有健全生态、美化景观、防灾减灾等综合作用的绿化用地。它是城市建设用地、城市绿地系统和城市市政公用设施的重要组成部分，是表示城市整体环境水平和居民生活质量的一项重要指标。</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3.2道路绿地</w:t>
      </w:r>
    </w:p>
    <w:p>
      <w:pPr>
        <w:pStyle w:val="225"/>
        <w:keepNext w:val="0"/>
        <w:keepLines w:val="0"/>
        <w:pageBreakBefore w:val="0"/>
        <w:widowControl/>
        <w:kinsoku/>
        <w:wordWrap/>
        <w:overflowPunct/>
        <w:topLinePunct w:val="0"/>
        <w:bidi w:val="0"/>
        <w:adjustRightInd/>
        <w:snapToGrid/>
        <w:spacing w:line="320" w:lineRule="exact"/>
        <w:ind w:firstLine="420"/>
        <w:textAlignment w:val="auto"/>
        <w:rPr>
          <w:rFonts w:hint="eastAsia" w:hAnsi="宋体" w:cs="宋体"/>
          <w:color w:val="auto"/>
          <w:sz w:val="21"/>
          <w:szCs w:val="21"/>
        </w:rPr>
      </w:pPr>
      <w:r>
        <w:rPr>
          <w:rFonts w:hint="eastAsia" w:hAnsi="宋体" w:cs="宋体"/>
          <w:color w:val="auto"/>
          <w:sz w:val="21"/>
          <w:szCs w:val="21"/>
        </w:rPr>
        <w:t>常常结合城市道路而建设，是城市生态系统的带状走廊，其以行道树为主体绿化内容，是构筑城市主要带状绿地的构成部分，是城市道路交通枢纽的生态景观主体。</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3.3居住区绿地</w:t>
      </w:r>
    </w:p>
    <w:p>
      <w:pPr>
        <w:pStyle w:val="225"/>
        <w:keepNext w:val="0"/>
        <w:keepLines w:val="0"/>
        <w:pageBreakBefore w:val="0"/>
        <w:widowControl/>
        <w:kinsoku/>
        <w:wordWrap/>
        <w:overflowPunct/>
        <w:topLinePunct w:val="0"/>
        <w:bidi w:val="0"/>
        <w:adjustRightInd/>
        <w:snapToGrid/>
        <w:spacing w:line="320" w:lineRule="exact"/>
        <w:ind w:firstLine="302" w:firstLineChars="144"/>
        <w:textAlignment w:val="auto"/>
        <w:rPr>
          <w:rFonts w:hint="eastAsia" w:hAnsi="宋体" w:cs="宋体"/>
          <w:color w:val="auto"/>
          <w:sz w:val="21"/>
          <w:szCs w:val="21"/>
        </w:rPr>
      </w:pPr>
      <w:r>
        <w:rPr>
          <w:rFonts w:hint="eastAsia" w:hAnsi="宋体" w:cs="宋体"/>
          <w:color w:val="auto"/>
          <w:sz w:val="21"/>
          <w:szCs w:val="21"/>
        </w:rPr>
        <w:t>居民日常使用频率最高的绿地类型，属于城市附属绿地范畴，是附属于居住用地的绿化用地，其与城市生活密切相关，代表城市生活环境水平的直接体现。</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3.4单位绿地</w:t>
      </w:r>
    </w:p>
    <w:p>
      <w:pPr>
        <w:pStyle w:val="225"/>
        <w:keepNext w:val="0"/>
        <w:keepLines w:val="0"/>
        <w:pageBreakBefore w:val="0"/>
        <w:widowControl/>
        <w:kinsoku/>
        <w:wordWrap/>
        <w:overflowPunct/>
        <w:topLinePunct w:val="0"/>
        <w:bidi w:val="0"/>
        <w:adjustRightInd/>
        <w:snapToGrid/>
        <w:spacing w:line="320" w:lineRule="exact"/>
        <w:ind w:firstLine="0" w:firstLineChars="0"/>
        <w:textAlignment w:val="auto"/>
        <w:rPr>
          <w:rFonts w:hint="eastAsia" w:hAnsi="宋体" w:cs="宋体"/>
          <w:color w:val="auto"/>
          <w:sz w:val="21"/>
          <w:szCs w:val="21"/>
        </w:rPr>
      </w:pPr>
      <w:r>
        <w:rPr>
          <w:rFonts w:hint="eastAsia" w:hAnsi="宋体" w:cs="宋体"/>
          <w:color w:val="auto"/>
          <w:sz w:val="21"/>
          <w:szCs w:val="21"/>
        </w:rPr>
        <w:t>属城市附属绿地范畴，是附属于单位用地的绿化用地，以景观绿化美化为主要功能，抑或兼具休憩设施。</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3.5防护绿地</w:t>
      </w:r>
    </w:p>
    <w:p>
      <w:pPr>
        <w:pStyle w:val="225"/>
        <w:keepNext w:val="0"/>
        <w:keepLines w:val="0"/>
        <w:pageBreakBefore w:val="0"/>
        <w:widowControl/>
        <w:kinsoku/>
        <w:wordWrap/>
        <w:overflowPunct/>
        <w:topLinePunct w:val="0"/>
        <w:bidi w:val="0"/>
        <w:adjustRightInd/>
        <w:snapToGrid/>
        <w:spacing w:line="320" w:lineRule="exact"/>
        <w:ind w:firstLine="405" w:firstLineChars="193"/>
        <w:textAlignment w:val="auto"/>
        <w:rPr>
          <w:rFonts w:hint="eastAsia" w:hAnsi="宋体" w:cs="宋体"/>
          <w:color w:val="auto"/>
          <w:sz w:val="21"/>
          <w:szCs w:val="21"/>
        </w:rPr>
      </w:pPr>
      <w:r>
        <w:rPr>
          <w:rFonts w:hint="eastAsia" w:hAnsi="宋体" w:cs="宋体"/>
          <w:color w:val="auto"/>
          <w:sz w:val="21"/>
          <w:szCs w:val="21"/>
        </w:rPr>
        <w:t>为了满足城市对卫生、隔离、安全的要求而设置的，其功能是对自然灾害和城市公害起到一定的防护或减弱作用，不宜兼作公园绿地使用。</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3.6水（湿）生植物</w:t>
      </w:r>
    </w:p>
    <w:p>
      <w:pPr>
        <w:pStyle w:val="225"/>
        <w:keepNext w:val="0"/>
        <w:keepLines w:val="0"/>
        <w:pageBreakBefore w:val="0"/>
        <w:widowControl/>
        <w:kinsoku/>
        <w:wordWrap/>
        <w:overflowPunct/>
        <w:topLinePunct w:val="0"/>
        <w:bidi w:val="0"/>
        <w:adjustRightInd/>
        <w:snapToGrid/>
        <w:spacing w:line="320" w:lineRule="exact"/>
        <w:ind w:firstLine="480" w:firstLineChars="0"/>
        <w:textAlignment w:val="auto"/>
        <w:rPr>
          <w:rFonts w:hint="eastAsia" w:hAnsi="宋体" w:cs="宋体"/>
          <w:color w:val="auto"/>
          <w:spacing w:val="8"/>
          <w:sz w:val="21"/>
          <w:szCs w:val="21"/>
        </w:rPr>
      </w:pPr>
      <w:r>
        <w:rPr>
          <w:rFonts w:hint="eastAsia" w:hAnsi="宋体" w:cs="宋体"/>
          <w:color w:val="auto"/>
          <w:sz w:val="21"/>
          <w:szCs w:val="21"/>
        </w:rPr>
        <w:t>大部分时间或全部时间正常</w:t>
      </w:r>
      <w:r>
        <w:rPr>
          <w:rFonts w:hint="eastAsia" w:hAnsi="宋体" w:cs="宋体"/>
          <w:color w:val="auto"/>
          <w:spacing w:val="8"/>
          <w:sz w:val="21"/>
          <w:szCs w:val="21"/>
        </w:rPr>
        <w:t>生长及生活在水域或潮湿环境中的植物。</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pacing w:val="8"/>
          <w:sz w:val="21"/>
          <w:szCs w:val="21"/>
        </w:rPr>
      </w:pPr>
      <w:r>
        <w:rPr>
          <w:rFonts w:hint="eastAsia" w:ascii="宋体" w:hAnsi="宋体" w:eastAsia="宋体" w:cs="宋体"/>
          <w:color w:val="auto"/>
          <w:sz w:val="21"/>
          <w:szCs w:val="21"/>
        </w:rPr>
        <w:t>3.7</w:t>
      </w:r>
      <w:r>
        <w:rPr>
          <w:rFonts w:hint="eastAsia" w:ascii="宋体" w:hAnsi="宋体" w:eastAsia="宋体" w:cs="宋体"/>
          <w:color w:val="auto"/>
          <w:spacing w:val="8"/>
          <w:sz w:val="21"/>
          <w:szCs w:val="21"/>
        </w:rPr>
        <w:t>古树名木及古树名木后备资源</w:t>
      </w:r>
    </w:p>
    <w:p>
      <w:pPr>
        <w:pStyle w:val="225"/>
        <w:keepNext w:val="0"/>
        <w:keepLines w:val="0"/>
        <w:pageBreakBefore w:val="0"/>
        <w:widowControl/>
        <w:kinsoku/>
        <w:wordWrap/>
        <w:overflowPunct/>
        <w:topLinePunct w:val="0"/>
        <w:bidi w:val="0"/>
        <w:adjustRightInd/>
        <w:snapToGrid/>
        <w:spacing w:line="320" w:lineRule="exact"/>
        <w:ind w:firstLine="452"/>
        <w:textAlignment w:val="auto"/>
        <w:rPr>
          <w:rFonts w:hint="eastAsia" w:hAnsi="宋体" w:cs="宋体"/>
          <w:color w:val="auto"/>
          <w:spacing w:val="8"/>
          <w:sz w:val="21"/>
          <w:szCs w:val="21"/>
        </w:rPr>
      </w:pPr>
      <w:r>
        <w:rPr>
          <w:rFonts w:hint="eastAsia" w:hAnsi="宋体" w:cs="宋体"/>
          <w:color w:val="auto"/>
          <w:spacing w:val="8"/>
          <w:sz w:val="21"/>
          <w:szCs w:val="21"/>
        </w:rPr>
        <w:t>一般树龄在百年以上的大树即为古树；而那些树种稀有、名贵或具有历史价值、纪念意义的树木则可称为名木。古树名木后备资源是指树龄在80年以上100年以下的树木。</w:t>
      </w:r>
    </w:p>
    <w:p>
      <w:pPr>
        <w:pStyle w:val="256"/>
        <w:keepNext w:val="0"/>
        <w:keepLines w:val="0"/>
        <w:pageBreakBefore w:val="0"/>
        <w:widowControl/>
        <w:numPr>
          <w:ilvl w:val="2"/>
          <w:numId w:val="0"/>
        </w:numPr>
        <w:kinsoku/>
        <w:wordWrap/>
        <w:overflowPunct/>
        <w:topLinePunct w:val="0"/>
        <w:bidi w:val="0"/>
        <w:adjustRightInd/>
        <w:snapToGrid/>
        <w:spacing w:beforeLines="0" w:afterLines="0" w:line="320" w:lineRule="exact"/>
        <w:ind w:left="840"/>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3.8立体绿化</w:t>
      </w:r>
    </w:p>
    <w:p>
      <w:pPr>
        <w:pStyle w:val="225"/>
        <w:keepNext w:val="0"/>
        <w:keepLines w:val="0"/>
        <w:pageBreakBefore w:val="0"/>
        <w:widowControl/>
        <w:kinsoku/>
        <w:wordWrap/>
        <w:overflowPunct/>
        <w:topLinePunct w:val="0"/>
        <w:bidi w:val="0"/>
        <w:adjustRightInd/>
        <w:snapToGrid/>
        <w:spacing w:line="320" w:lineRule="exact"/>
        <w:ind w:firstLine="452"/>
        <w:textAlignment w:val="auto"/>
        <w:rPr>
          <w:rFonts w:hint="eastAsia" w:hAnsi="宋体" w:cs="宋体"/>
          <w:color w:val="auto"/>
          <w:sz w:val="21"/>
          <w:szCs w:val="21"/>
        </w:rPr>
      </w:pPr>
      <w:r>
        <w:rPr>
          <w:rFonts w:hint="eastAsia" w:hAnsi="宋体" w:cs="宋体"/>
          <w:color w:val="auto"/>
          <w:spacing w:val="8"/>
          <w:sz w:val="21"/>
          <w:szCs w:val="21"/>
        </w:rPr>
        <w:t>利用除地面资源以外的其他空间资源进行绿地的方式，如垂直绿化、屋顶绿化等绿化方式。</w:t>
      </w:r>
    </w:p>
    <w:p>
      <w:pPr>
        <w:pStyle w:val="255"/>
        <w:keepNext w:val="0"/>
        <w:keepLines w:val="0"/>
        <w:pageBreakBefore w:val="0"/>
        <w:widowControl/>
        <w:numPr>
          <w:ilvl w:val="1"/>
          <w:numId w:val="0"/>
        </w:numPr>
        <w:kinsoku/>
        <w:wordWrap/>
        <w:overflowPunct/>
        <w:topLinePunct w:val="0"/>
        <w:bidi w:val="0"/>
        <w:adjustRightInd/>
        <w:snapToGrid/>
        <w:spacing w:before="0" w:beforeLines="0" w:after="0" w:afterLines="0" w:line="320" w:lineRule="exact"/>
        <w:ind w:left="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4公园绿地养护质量等级</w:t>
      </w:r>
    </w:p>
    <w:p>
      <w:pPr>
        <w:pStyle w:val="225"/>
        <w:keepNext w:val="0"/>
        <w:keepLines w:val="0"/>
        <w:pageBreakBefore w:val="0"/>
        <w:widowControl/>
        <w:kinsoku/>
        <w:wordWrap/>
        <w:overflowPunct/>
        <w:topLinePunct w:val="0"/>
        <w:bidi w:val="0"/>
        <w:adjustRightInd/>
        <w:snapToGrid/>
        <w:spacing w:line="320" w:lineRule="exact"/>
        <w:ind w:firstLine="420"/>
        <w:textAlignment w:val="auto"/>
        <w:rPr>
          <w:rFonts w:hint="eastAsia" w:ascii="宋体" w:hAnsi="宋体" w:eastAsia="宋体" w:cs="宋体"/>
          <w:color w:val="auto"/>
          <w:sz w:val="21"/>
          <w:szCs w:val="21"/>
        </w:rPr>
      </w:pPr>
      <w:r>
        <w:rPr>
          <w:rFonts w:hint="eastAsia" w:hAnsi="宋体" w:cs="宋体"/>
          <w:color w:val="auto"/>
          <w:sz w:val="21"/>
          <w:szCs w:val="21"/>
        </w:rPr>
        <w:t>分为一级公园绿地、二级公园绿地和三级公园绿地，各等级应符合表1规定。</w:t>
      </w:r>
    </w:p>
    <w:p>
      <w:pPr>
        <w:pStyle w:val="257"/>
        <w:numPr>
          <w:ilvl w:val="0"/>
          <w:numId w:val="0"/>
        </w:numPr>
        <w:tabs>
          <w:tab w:val="clear" w:pos="360"/>
        </w:tabs>
        <w:spacing w:beforeLines="0" w:afterLines="0"/>
        <w:rPr>
          <w:rFonts w:hint="eastAsia" w:ascii="宋体" w:hAnsi="宋体" w:eastAsia="宋体" w:cs="宋体"/>
          <w:color w:val="auto"/>
          <w:sz w:val="21"/>
          <w:szCs w:val="21"/>
        </w:rPr>
      </w:pPr>
    </w:p>
    <w:p>
      <w:pPr>
        <w:pStyle w:val="257"/>
        <w:numPr>
          <w:ilvl w:val="0"/>
          <w:numId w:val="0"/>
        </w:numPr>
        <w:tabs>
          <w:tab w:val="clear" w:pos="360"/>
        </w:tabs>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公园绿地养护质量等级</w:t>
      </w:r>
    </w:p>
    <w:tbl>
      <w:tblPr>
        <w:tblStyle w:val="4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1432"/>
        <w:gridCol w:w="2891"/>
        <w:gridCol w:w="2929"/>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c>
          <w:tcPr>
            <w:tcW w:w="71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项目</w:t>
            </w: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一级</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二级</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c>
          <w:tcPr>
            <w:tcW w:w="71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111" w:leftChars="-53" w:right="-108" w:firstLine="0" w:firstLineChars="0"/>
              <w:jc w:val="center"/>
              <w:rPr>
                <w:rFonts w:hint="eastAsia" w:hAnsi="宋体" w:cs="宋体"/>
                <w:color w:val="auto"/>
                <w:sz w:val="21"/>
                <w:szCs w:val="21"/>
              </w:rPr>
            </w:pPr>
            <w:r>
              <w:rPr>
                <w:rFonts w:hint="eastAsia" w:hAnsi="宋体" w:cs="宋体"/>
                <w:color w:val="auto"/>
                <w:sz w:val="21"/>
                <w:szCs w:val="21"/>
              </w:rPr>
              <w:t>景观效果</w:t>
            </w: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绿量充分，乔、灌、草（地被）搭配合理，比例合宜，达到黄土不露天，绿化景观效果显著。</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绿量比较充分，乔、灌、草（地被）搭配较合理，比例较合宜，基本达到黄土不露天，绿化景观效果良好。</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绿量基本充分，乔、灌、草（地被）搭配基本合理，比例基本合宜，裸露土地不明显，绿化景观效果尚可。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738" w:hRule="atLeast"/>
        </w:trPr>
        <w:tc>
          <w:tcPr>
            <w:tcW w:w="718"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111" w:leftChars="-53" w:right="-108" w:firstLine="0" w:firstLineChars="0"/>
              <w:jc w:val="center"/>
              <w:rPr>
                <w:rFonts w:hint="eastAsia" w:hAnsi="宋体" w:cs="宋体"/>
                <w:color w:val="auto"/>
                <w:sz w:val="21"/>
                <w:szCs w:val="21"/>
              </w:rPr>
            </w:pPr>
            <w:r>
              <w:rPr>
                <w:rFonts w:hint="eastAsia" w:hAnsi="宋体" w:cs="宋体"/>
                <w:color w:val="auto"/>
                <w:sz w:val="21"/>
                <w:szCs w:val="21"/>
              </w:rPr>
              <w:t>植物生长状况</w:t>
            </w: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植株生长强健，生长发育良好，无枯枝、徒长枝、病虫枝、死杈。</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植株生长较强健，生长发育良好，无明显枯枝、徒长枝、死杈，病虫害枝控制在5%以下。</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植株生长健康，生长发育正常，无明显枯枝、徒长枝、死杈，病虫害枝控制在8%以下。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424"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vMerge w:val="restart"/>
            <w:tcBorders>
              <w:top w:val="nil"/>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树木树冠圆满，分支点合适，主侧枝分布均衡、数量适宜、内膛不乱、通风透光。</w:t>
            </w:r>
          </w:p>
        </w:tc>
        <w:tc>
          <w:tcPr>
            <w:tcW w:w="1468" w:type="pct"/>
            <w:vMerge w:val="restart"/>
            <w:tcBorders>
              <w:top w:val="nil"/>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树木树冠基本完整，主侧枝分布较为均衡，通风透光。</w:t>
            </w:r>
          </w:p>
        </w:tc>
        <w:tc>
          <w:tcPr>
            <w:tcW w:w="1363" w:type="pct"/>
            <w:vMerge w:val="restart"/>
            <w:tcBorders>
              <w:top w:val="nil"/>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90%以上的树冠基本完整。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12"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6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363"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92"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叶色、叶形正常，无病虫害叶，叶上无虫粪虫网灰尘。</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叶色、叶形、大小正常，病虫害叶及叶面虫粪虫网灰尘情况控制在5%以下。</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叶色基本正常，病虫害叶及叶面虫粪虫网灰尘情况控制在8%以下。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1406" w:hRule="atLeast"/>
        </w:trPr>
        <w:tc>
          <w:tcPr>
            <w:tcW w:w="718"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111" w:leftChars="-53" w:right="-108" w:firstLine="0" w:firstLineChars="0"/>
              <w:jc w:val="center"/>
              <w:rPr>
                <w:rFonts w:hint="eastAsia" w:hAnsi="宋体" w:cs="宋体"/>
                <w:color w:val="auto"/>
                <w:sz w:val="21"/>
                <w:szCs w:val="21"/>
              </w:rPr>
            </w:pPr>
            <w:r>
              <w:rPr>
                <w:rFonts w:hint="eastAsia" w:hAnsi="宋体" w:cs="宋体"/>
                <w:color w:val="auto"/>
                <w:sz w:val="21"/>
                <w:szCs w:val="21"/>
              </w:rPr>
              <w:t>植物养护状况</w:t>
            </w: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绿地内无死株、缺株，无明显倾斜或倒伏植株（保留树种、依景观需要的除外），乔灌木保存率98%以上；绿地内植株扶正、补植及时；所有乔木主干每年涂白一次。</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绿地内基本无死株、缺株，无明显倾斜或倒伏植株（保留树种、依景观需要的除外），乔灌木保存率95%以上；绿地内植株扶正、补植较及时；胸径3cm以上乔木主干每年涂白一次。</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绿地内无明显死株、缺株，无明显倾斜或倒伏植株（保留树种、依景观需要的除外），对绿地内死株、缺株、倾斜或倒伏株能予扶正、补植；乔灌木保存率92%以上；胸径5cm以上乔木主干每年涂白一次。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540"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绿篱、色块根据其生长特性及配置要求合理修剪，无过度修剪现象，高度适宜，无5cm以上徒长枝，无杂草。</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绿篱、色块根据其生长特性及配置要求合理修剪，基本无过度修剪现象，高度适宜，无10cm以上徒长枝，无杂草。</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绿篱、色块根据其生长特性及配置要求合理修剪，基本无过度修剪现象，高度适宜，无15cm以上徒长枝，无杂草。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1128"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草坪、地被覆盖率达到100%；草坪高度控制在6公分以内，切边完整，草坪内杂草控制在5%以内且无10cm以上杂草、无积水；生长茂盛，颜色正常。</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eastAsia="宋体" w:cs="宋体"/>
                <w:color w:val="auto"/>
                <w:sz w:val="21"/>
                <w:szCs w:val="21"/>
                <w:lang w:eastAsia="zh-CN"/>
              </w:rPr>
            </w:pPr>
            <w:r>
              <w:rPr>
                <w:rFonts w:hint="eastAsia" w:hAnsi="宋体" w:cs="宋体"/>
                <w:color w:val="auto"/>
                <w:sz w:val="21"/>
                <w:szCs w:val="21"/>
              </w:rPr>
              <w:t>草坪、地被覆盖率达到95%以上；草坪高度控制在7公分以内，切边较完整，草坪内杂草控制在10%以内且无15cm以上杂草、无积水；生长和颜色基本正常。</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 xml:space="preserve">草坪、地被覆盖率达到90%以上；草坪高度控制在8公分以内，草坪内杂草控制在20%以内且无20cm以上杂草、基本无积水；生长和颜色无明显异常。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706"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绿地内四季有花，草花花色鲜艳，无败叶、残花，最佳观赏期后及时更换；花境内无杂草。</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绿地内三季有花，草花花色鲜艳，基本无败叶、残花，最佳观赏期后及时更换；花境内基本无杂草。</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绿地内两季有花，草花花色较鲜艳，无明显败叶、残花；花境内无明显杂草。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90"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乔灌木修剪得当，时间适合，修剪作业符合植物生长特性。</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乔灌木修剪基本得当，时间适合，修剪作业基本符合植物生长特性。</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乔灌木修剪基本合理，时间较为适合，修剪作业能基本符合植物生长特性。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00"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病虫害防治措施效果显著，无常见病虫害发生情况。</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病虫害防治措施效果明显，常见病虫害率控制在5%以下。</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有病虫害防治措施，常见病虫害危害率控制在8%以下。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00"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古树名木及古树后备资源由责任单位负责管护，措施有力，资料备案完善，抢救和复壮及时。</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古树名木及古树后备资源由责任单位负责管护，措施得当，资料备案较完善，抢救和复壮及时。</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古树名木及古树后备资源由责任单位负责管护，措施得当，资料备案较完善，抢救和复壮及时。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00"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 xml:space="preserve">立体绿化及水（湿）生环境植物配置合理，生长健壮，内容丰富。 </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立体绿化及水（湿）生环境植物配置较合理，生长良好，内容较为丰富。</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立体绿化及水（湿）生环境植物生长尚可。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1566" w:hRule="atLeast"/>
        </w:trPr>
        <w:tc>
          <w:tcPr>
            <w:tcW w:w="718"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111" w:leftChars="-53" w:right="-108" w:firstLine="0" w:firstLineChars="0"/>
              <w:jc w:val="center"/>
              <w:rPr>
                <w:rFonts w:hint="eastAsia" w:hAnsi="宋体" w:cs="宋体"/>
                <w:color w:val="auto"/>
                <w:sz w:val="21"/>
                <w:szCs w:val="21"/>
              </w:rPr>
            </w:pPr>
            <w:r>
              <w:rPr>
                <w:rFonts w:hint="eastAsia" w:hAnsi="宋体" w:cs="宋体"/>
                <w:color w:val="auto"/>
                <w:sz w:val="21"/>
                <w:szCs w:val="21"/>
              </w:rPr>
              <w:t>卫生状况</w:t>
            </w: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园路、广场等公园设施整洁，绿化生产垃圾（如：树枝、草末等）做到随产随清，无砖石瓦块、纸屑果皮和塑料袋及其他废弃物、垃圾，绿地实行十二小时动态保洁；有节假日或重要活动时，做到十八小时保洁。</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绿地、园路、广场等公园设施较整洁，绿化生产垃圾（如：树枝、草末等）做到日产日清，绿地内无明显的废弃物或垃圾，绿地实行十小时保洁，并能坚持在节假日或重要活动前进行突击清理。</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绿地、园路、广场等公园设施基本整洁，绿化生产垃圾（如：树枝、草末等）做到日产日清，绿地内无明显的废弃物或垃圾，绿地实行八小时保洁，并能坚持在节假日或重要活动前进行突击清理。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555"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水面清澈，无无关漂浮物和沉淀物。</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水面清澈，基本无关漂浮物和沉淀物。</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水面较清澈，无明显无关漂浮物和沉淀物。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880" w:hRule="atLeast"/>
        </w:trPr>
        <w:tc>
          <w:tcPr>
            <w:tcW w:w="718"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111" w:leftChars="-53" w:right="-108" w:firstLine="0" w:firstLineChars="0"/>
              <w:jc w:val="center"/>
              <w:rPr>
                <w:rFonts w:hint="eastAsia" w:hAnsi="宋体" w:cs="宋体"/>
                <w:color w:val="auto"/>
                <w:sz w:val="21"/>
                <w:szCs w:val="21"/>
              </w:rPr>
            </w:pPr>
            <w:r>
              <w:rPr>
                <w:rFonts w:hint="eastAsia" w:hAnsi="宋体" w:cs="宋体"/>
                <w:color w:val="auto"/>
                <w:sz w:val="21"/>
                <w:szCs w:val="21"/>
              </w:rPr>
              <w:t>园林设施维护</w:t>
            </w: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栏杆、园路、桌椅、井盖、假山、园灯和牌饰等园林设施完整，基本无乱张贴、乱涂写、乱刻画，做到及时维护和油饰。</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栏杆、园路、桌椅、井盖、假山、园灯和牌饰等园林设施基本完整，无明显乱张贴、乱涂写、乱刻画现象，基本做到及时维护和油饰。</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栏杆、园路、园灯、假山、和井盖等园林设施比较完整，能进行维护和油饰。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77" w:hRule="atLeast"/>
        </w:trPr>
        <w:tc>
          <w:tcPr>
            <w:tcW w:w="718"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绿地内园灯完好，亮灯率在100%，景观灯、喷泉按规定开放。</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绿地内园灯完好，亮灯率在98%以上，景观灯、喷泉按规定开放。</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绿地内园灯基本完好，亮灯率在95%以上，景观灯、喷泉按规定开放。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c>
          <w:tcPr>
            <w:tcW w:w="71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111" w:leftChars="-53" w:right="-108" w:firstLine="0" w:firstLineChars="0"/>
              <w:jc w:val="center"/>
              <w:rPr>
                <w:rFonts w:hint="eastAsia" w:hAnsi="宋体" w:cs="宋体"/>
                <w:color w:val="auto"/>
                <w:sz w:val="21"/>
                <w:szCs w:val="21"/>
              </w:rPr>
            </w:pPr>
            <w:r>
              <w:rPr>
                <w:rFonts w:hint="eastAsia" w:hAnsi="宋体" w:cs="宋体"/>
                <w:color w:val="auto"/>
                <w:sz w:val="21"/>
                <w:szCs w:val="21"/>
              </w:rPr>
              <w:t>其它</w:t>
            </w:r>
          </w:p>
        </w:tc>
        <w:tc>
          <w:tcPr>
            <w:tcW w:w="144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无擅自占用绿地现象，无明显人为损坏。</w:t>
            </w:r>
          </w:p>
        </w:tc>
        <w:tc>
          <w:tcPr>
            <w:tcW w:w="1468"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无擅自占用绿地现象，无明显人为损坏。对轻微或偶尔发生难以控制的人为损坏，能及时发现和处理。绿地、草坪内无堆物堆料、搭棚侵占等。</w:t>
            </w:r>
          </w:p>
        </w:tc>
        <w:tc>
          <w:tcPr>
            <w:tcW w:w="136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无擅自占用绿地现象，无严重人为损坏。对人为破坏能及时进行处理。绿地内无堆物堆料、搭棚侵占等。</w:t>
            </w:r>
          </w:p>
        </w:tc>
      </w:tr>
    </w:tbl>
    <w:p>
      <w:pPr>
        <w:pStyle w:val="255"/>
        <w:numPr>
          <w:ilvl w:val="0"/>
          <w:numId w:val="0"/>
        </w:numPr>
        <w:ind w:left="840"/>
        <w:rPr>
          <w:rFonts w:hint="eastAsia" w:ascii="宋体" w:hAnsi="宋体" w:eastAsia="宋体" w:cs="宋体"/>
          <w:color w:val="auto"/>
          <w:sz w:val="21"/>
          <w:szCs w:val="21"/>
        </w:rPr>
      </w:pPr>
      <w:r>
        <w:rPr>
          <w:rFonts w:hint="eastAsia" w:ascii="宋体" w:hAnsi="宋体" w:eastAsia="宋体" w:cs="宋体"/>
          <w:color w:val="auto"/>
          <w:sz w:val="21"/>
          <w:szCs w:val="21"/>
        </w:rPr>
        <w:t>5 道路绿地养护质量等级</w:t>
      </w:r>
    </w:p>
    <w:p>
      <w:pPr>
        <w:pStyle w:val="225"/>
        <w:spacing w:beforeLines="0" w:afterLines="0"/>
        <w:ind w:firstLine="420"/>
        <w:rPr>
          <w:rFonts w:hint="eastAsia" w:hAnsi="宋体" w:cs="宋体"/>
          <w:color w:val="auto"/>
          <w:sz w:val="21"/>
          <w:szCs w:val="21"/>
        </w:rPr>
      </w:pPr>
      <w:r>
        <w:rPr>
          <w:rFonts w:hint="eastAsia" w:hAnsi="宋体" w:cs="宋体"/>
          <w:color w:val="auto"/>
          <w:sz w:val="21"/>
          <w:szCs w:val="21"/>
        </w:rPr>
        <w:t>分为一级道路绿地、二级道路绿地和三级道路绿地，各等级应符合表2规定。</w:t>
      </w:r>
    </w:p>
    <w:p>
      <w:pPr>
        <w:pStyle w:val="257"/>
        <w:numPr>
          <w:ilvl w:val="0"/>
          <w:numId w:val="0"/>
        </w:numPr>
        <w:tabs>
          <w:tab w:val="clear" w:pos="360"/>
        </w:tabs>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道路绿地养护质量等级</w:t>
      </w:r>
    </w:p>
    <w:tbl>
      <w:tblPr>
        <w:tblStyle w:val="4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1453"/>
        <w:gridCol w:w="2978"/>
        <w:gridCol w:w="28"/>
        <w:gridCol w:w="3130"/>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jc w:val="center"/>
        </w:trPr>
        <w:tc>
          <w:tcPr>
            <w:tcW w:w="72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项目</w:t>
            </w:r>
          </w:p>
        </w:tc>
        <w:tc>
          <w:tcPr>
            <w:tcW w:w="15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一级</w:t>
            </w:r>
          </w:p>
        </w:tc>
        <w:tc>
          <w:tcPr>
            <w:tcW w:w="156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二级</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422" w:hRule="atLeast"/>
          <w:jc w:val="center"/>
        </w:trPr>
        <w:tc>
          <w:tcPr>
            <w:tcW w:w="72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景观效果</w:t>
            </w:r>
          </w:p>
        </w:tc>
        <w:tc>
          <w:tcPr>
            <w:tcW w:w="1507"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道路绿量充分，绿化覆盖率高，绿地率达25%以上。</w:t>
            </w:r>
          </w:p>
        </w:tc>
        <w:tc>
          <w:tcPr>
            <w:tcW w:w="156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道路绿量较为充足，覆盖率较高，绿地率达20%以上。</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道路绿量较为充足，绿地率达15%以上。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247"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07"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道路红线范围内无绿化死角。</w:t>
            </w:r>
          </w:p>
        </w:tc>
        <w:tc>
          <w:tcPr>
            <w:tcW w:w="156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道路红线范围内无绿化死角。</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道路红线范围内基本无绿化死角。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237"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07"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道路整体视觉效果佳。</w:t>
            </w:r>
          </w:p>
        </w:tc>
        <w:tc>
          <w:tcPr>
            <w:tcW w:w="156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道路整体视觉效果较佳。</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道路整体视觉效果良好。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228" w:hRule="atLeast"/>
          <w:jc w:val="center"/>
        </w:trPr>
        <w:tc>
          <w:tcPr>
            <w:tcW w:w="72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 xml:space="preserve">行道树 </w:t>
            </w:r>
          </w:p>
        </w:tc>
        <w:tc>
          <w:tcPr>
            <w:tcW w:w="1507"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生长强健，无病虫害现象，树形优美，通直高大。</w:t>
            </w:r>
          </w:p>
        </w:tc>
        <w:tc>
          <w:tcPr>
            <w:tcW w:w="156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生长健康，病虫害现象控制在5%以下，树形良好，基本通直高大。</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生长健康，病虫害现象控制在8%以下。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275"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07"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叶色健康、叶形正常。</w:t>
            </w:r>
          </w:p>
        </w:tc>
        <w:tc>
          <w:tcPr>
            <w:tcW w:w="1569"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叶色、叶形基本正常。</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叶色、叶形基本正常。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1297"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枝、干健壮：基本无枯枝、徒长枝、病虫枝、死杈，枝条粗壮，无萌蘖；树干通直，树冠圆满；分枝点一致，距离地面3.5米以上，主侧枝分布匀称和数量适宜，内膛不乱，通风透光。</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枝、干正常：无明显枯枝、徒长枝、病虫枝、死杈，枝条粗壮，无萌蘖；树冠基本完整；分支点基本一致，距离地面3.2米以上，主侧枝分布匀称，通风透光。</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枝、干基本正常：无明显枯枝、徒长枝、病虫枝、死杈，无明显萌蘖；90%以上的树冠基本完整，分支点距离地面2.8米以上，主侧枝分布较为匀称，通风透光。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1886"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行道树无缺株、死树，新种树无倾斜，植株扶正、补植及时；树木修剪合理、及时，树形美观，能及时对病虫害进行防治；能及时处理好树木与电线、建筑物、交通等之间的矛盾，及时做好指示及围护措施；树干每年涂白一次。</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木保存率95%以上，新种树倾斜度不超过5度，倾斜率不超过3%，植株扶正、补植较及时；树木修剪基本合理，树形较美观，病虫害防治较及时；能较好地解决树木与电线、建筑物、交通等之间的矛盾，有一定的指示及围护措施；树干每年涂白一次。</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木保存率90%以上，新种树倾斜度不超过10度，倾斜率不超过5%，对死株、缺株、倾斜或倒伏株能予扶正、补植；树木修剪较合理，适时防治病虫害；能解决树木与电线、建筑物、交通等之间的矛盾；树干每年涂白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988" w:hRule="atLeast"/>
          <w:jc w:val="center"/>
        </w:trPr>
        <w:tc>
          <w:tcPr>
            <w:tcW w:w="72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植物养护状况</w:t>
            </w: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绿篱、色块根据其生长特性及配置要求合理修剪，无过度修剪现象，高度控制得当，造型植物形态优美，生长旺盛，无死株、残株，无5cm以上徒长枝，无杂草。</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绿篱、色块根据其生长特性及配置要求合理修剪，基本无过度修剪现象，高度控制较好，造型植物形态较优美，生长旺盛，基本无死株、残株，无8cm以上徒长枝，基本无杂草。</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绿篱、色块根据其生长特性及配置要求合理修剪，基本无过度修剪现象，生长较好，无明显死株、残株，无10cm以上徒长枝，无明显杂草。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495"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草花、盆花布置及时，无死株、缺株，基本无枯叶、残花，花盆整洁、无破损，最佳观赏期后及时更换。</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草花、盆花布置较及时，无死株、缺株，无明显枯叶、残花，花盆较清洁、无破损，最佳观赏期后及时更换。</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草花、盆花布置较及时，无明显枯叶、残花，花盆基本清洁、无破损。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70"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草坪生长良好，高度控制适宜，无裸地、杂草、积水。</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草坪生长良好，高度控制适宜，无裸地、杂草、积水。</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草坪生长良好，高度控制适宜，无明显裸地、杂草、积水。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31"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病虫害防治措施效果显著，无常见病虫害现象。</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病虫害防治措施效果明显，常见病虫害危害率控制在5%以下。</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有病虫害防治措施，常见病虫害危害率控制在8%以下。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589" w:hRule="atLeast"/>
          <w:jc w:val="center"/>
        </w:trPr>
        <w:tc>
          <w:tcPr>
            <w:tcW w:w="72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卫生状况</w:t>
            </w: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绿化生产垃圾（如：树枝、草末等）做到随产随清。</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绿化生产垃圾（如：树枝、草末等）做到日产日清。</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绿化生产垃圾（如：树枝、草末等）做到日产日清。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880"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绿篱、树穴平时实行十二小时动态保洁；有节假日或重要活动时，做到十八小时保洁。</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绿篱、树穴十二小时保洁，并能坚持在节假日或重要活动前进行突击清理。</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绿篱、树穴八小时保洁，并能坚持在节假日或重要活动前进行突击清理。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995" w:hRule="atLeast"/>
          <w:jc w:val="center"/>
        </w:trPr>
        <w:tc>
          <w:tcPr>
            <w:tcW w:w="72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其它</w:t>
            </w: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基本无人为损坏；行道树树干上无钉拴刻画、无关挂牌、架线现象。</w:t>
            </w:r>
          </w:p>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p>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无明显的人为损坏。对轻微或偶尔发生难以控制的人为损坏，能及时发现和处理；行道树树干无明显地钉拴刻画、无关挂牌、架线现象。</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无较严重的人为损坏。对轻微或偶尔发生难以控制的人为损坏，能及时发现和处理；行道树树干无明显地钉拴刻画、无关挂牌、架线现象。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826" w:hRule="atLeast"/>
          <w:jc w:val="center"/>
        </w:trPr>
        <w:tc>
          <w:tcPr>
            <w:tcW w:w="72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93"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树穴及绿地范围内无任何堆积物、无搭棚设摊、圈栏等影响树木养护管理和生长的现象。</w:t>
            </w:r>
          </w:p>
        </w:tc>
        <w:tc>
          <w:tcPr>
            <w:tcW w:w="1583" w:type="pct"/>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树穴及绿地范围内基本无堆积物、无搭棚、圈栏等影响树木养护管理和生长的现象。</w:t>
            </w:r>
          </w:p>
        </w:tc>
        <w:tc>
          <w:tcPr>
            <w:tcW w:w="119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树穴及绿地范围内基本无堆积物、基本无搭棚、圈栏等影响树木养护管理和生长的现象。</w:t>
            </w:r>
          </w:p>
        </w:tc>
      </w:tr>
    </w:tbl>
    <w:p>
      <w:pPr>
        <w:spacing w:beforeLines="0" w:afterLines="0" w:line="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255"/>
        <w:numPr>
          <w:ilvl w:val="1"/>
          <w:numId w:val="0"/>
        </w:numPr>
        <w:ind w:left="420"/>
        <w:rPr>
          <w:rFonts w:hint="eastAsia" w:ascii="宋体" w:hAnsi="宋体" w:eastAsia="宋体" w:cs="宋体"/>
          <w:color w:val="auto"/>
          <w:sz w:val="21"/>
          <w:szCs w:val="21"/>
        </w:rPr>
      </w:pPr>
      <w:r>
        <w:rPr>
          <w:rFonts w:hint="eastAsia" w:ascii="宋体" w:hAnsi="宋体" w:eastAsia="宋体" w:cs="宋体"/>
          <w:color w:val="auto"/>
          <w:sz w:val="21"/>
          <w:szCs w:val="21"/>
        </w:rPr>
        <w:t>6  居住区养护质量等级</w:t>
      </w:r>
    </w:p>
    <w:p>
      <w:pPr>
        <w:pStyle w:val="257"/>
        <w:numPr>
          <w:ilvl w:val="0"/>
          <w:numId w:val="0"/>
        </w:numPr>
        <w:spacing w:beforeLines="0" w:afterLines="0"/>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分为一级居住区绿地、二级居住区绿地和三级居住区绿地，各等级应符合表3规定。</w:t>
      </w:r>
    </w:p>
    <w:p>
      <w:pPr>
        <w:pStyle w:val="257"/>
        <w:numPr>
          <w:ilvl w:val="0"/>
          <w:numId w:val="0"/>
        </w:numPr>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 xml:space="preserve"> 表3   居住区绿地养护质量等级</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1406"/>
        <w:gridCol w:w="3140"/>
        <w:gridCol w:w="296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c>
          <w:tcPr>
            <w:tcW w:w="70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项目</w:t>
            </w: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一级</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二级</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238" w:hRule="atLeast"/>
        </w:trPr>
        <w:tc>
          <w:tcPr>
            <w:tcW w:w="705"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景观效果</w:t>
            </w: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植物配置科学，绿地布局合理，绿量充分，无裸露土地，绿化景观效果显著。</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植物配置基本合理，绿量较充分，基本无裸露土地，绿化景观效果良好。</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植物配置尚可，绿量基本充分，无明显裸露土地，绿化景观效果尚可。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70"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乔、灌、花、草搭配适当，三季有花，能突出小区特色。</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乔、灌、花、草齐全，二季有花。</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乔、灌、花、草有一定搭配。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1373" w:hRule="atLeast"/>
        </w:trPr>
        <w:tc>
          <w:tcPr>
            <w:tcW w:w="705"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绿化养护状况</w:t>
            </w: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植株生长健壮，乔灌木保存率在98%以上，无枯枝死杈；树冠完整、美观，修剪适当，主侧枝分布匀称，内膛不乱，通风透光；在正常条件下无黄叶、焦叶、卷叶、落叶；树木无钉拴、捆绑现象。</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植株生长正常，乔灌木保存率在95%以上；无明显枯枝死杈；树冠基本完整，内膛不乱，通风透光，修剪及时，在正常条件下，无明显黄叶、焦叶、卷叶、落叶；树木基本无钉拴、捆绑现象。</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植株生长基本正常，乔灌木保存率在92%以上；无明显枯枝死杈；在正常条件下，无严重黄叶、焦叶、卷叶；树木无明显的钉拴、捆绑现象。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594"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绿篱、色块生长健壮，叶色正常，修剪造型美观，无死株和干枯枝。</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绿篱、色块生长正常，叶色正常，修剪及时，基本无死株和干死枝。</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绿篱生长造型基本正常，叶色基本正常，无明显的死株和枯死枝。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433"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草坪覆盖率达到100%，修剪适时，整齐美观，叶色正常，无杂草。</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草坪覆盖率达到95%以上，修剪适时，叶色正常，无明显杂草。</w:t>
            </w:r>
          </w:p>
        </w:tc>
        <w:tc>
          <w:tcPr>
            <w:tcW w:w="1234" w:type="pct"/>
            <w:vMerge w:val="restart"/>
            <w:tcBorders>
              <w:top w:val="nil"/>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草坪、宿根花卉生长基本正常，草坪斑秃和宿根花卉缺株不明显，基本无草荒。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568"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宿根花卉管理及时，花期长，花色正，无明显缺株。</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宿根花卉管理基本及时，花期正常，缺株率在5%以下。</w:t>
            </w:r>
          </w:p>
        </w:tc>
        <w:tc>
          <w:tcPr>
            <w:tcW w:w="1234"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406"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病虫害控制措施效果显著，常见病虫害危害率控制在2%以下。</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病虫害控制措施效果基本明显，常见病虫害危害率控制在5%以下。</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有病虫害控制措施，常见病虫害危害率控制在8%以下。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15"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绿地无积水。</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绿地无积水。</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绿地无明显积水。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15"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绿化养护有专业队伍负责。</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绿化养护有专人负责。</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绿化养护有专人负责。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53" w:hRule="atLeast"/>
        </w:trPr>
        <w:tc>
          <w:tcPr>
            <w:tcW w:w="705"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卫生状况</w:t>
            </w: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绿地整洁，无生活垃圾，绿化生产垃圾（如：树枝、草末等）做到随产随清。无堆物堆料、搭棚、侵占、无关吊挂等现象，绿地保洁平时实行十二小时动态保洁，有节假日或重要活动时，做到十八小时保洁。</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绿地整洁，基本无生活垃圾，绿化生产垃圾（如：树枝、草末等）做到日产日清。基本无堆物堆料、搭棚、侵占、无关吊挂等现象，能做到十二小时保洁。</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绿地较整洁，无明显生活垃圾，绿化生产垃圾（如：树枝、草末等）做到日产日清。无明显堆物堆料、搭棚、侵占、无关吊挂等现象，能做到八小时保洁。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131"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水面清澈、无漂浮物和沉淀物。</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水面清澈、基本无漂浮物和沉淀物。</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水面较清澈、无明显漂浮物和沉淀物。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15" w:hRule="atLeast"/>
        </w:trPr>
        <w:tc>
          <w:tcPr>
            <w:tcW w:w="705"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其它</w:t>
            </w: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园林设施完好，无人为损坏，能做到正常性维护和油饰。</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园林设施基本完好，基本无人为损坏，能做到必要的维护和油饰。</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园林设施无明显人为损坏，有损坏应予以维护。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430" w:hRule="atLeast"/>
        </w:trPr>
        <w:tc>
          <w:tcPr>
            <w:tcW w:w="705"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7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无擅自改变绿地性质的现象，对违法行为能及时发现和处理。</w:t>
            </w:r>
          </w:p>
        </w:tc>
        <w:tc>
          <w:tcPr>
            <w:tcW w:w="148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无擅自改变绿地性质的现象，对违法行为能及时发现和处理。</w:t>
            </w:r>
          </w:p>
        </w:tc>
        <w:tc>
          <w:tcPr>
            <w:tcW w:w="1234"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无擅自改变绿地性质的现象，对违法行为能及时发现和处理。</w:t>
            </w:r>
          </w:p>
        </w:tc>
      </w:tr>
    </w:tbl>
    <w:p>
      <w:pPr>
        <w:pStyle w:val="225"/>
        <w:spacing w:beforeLines="0" w:afterLines="0"/>
        <w:ind w:firstLine="420"/>
        <w:rPr>
          <w:rFonts w:hint="eastAsia" w:hAnsi="宋体" w:cs="宋体"/>
          <w:color w:val="auto"/>
          <w:sz w:val="21"/>
          <w:szCs w:val="21"/>
        </w:rPr>
      </w:pPr>
      <w:r>
        <w:rPr>
          <w:rFonts w:hint="eastAsia" w:hAnsi="宋体" w:cs="宋体"/>
          <w:color w:val="auto"/>
          <w:sz w:val="21"/>
          <w:szCs w:val="21"/>
        </w:rPr>
        <w:t xml:space="preserve"> </w:t>
      </w:r>
    </w:p>
    <w:p>
      <w:pPr>
        <w:pStyle w:val="225"/>
        <w:spacing w:beforeLines="0" w:afterLines="0"/>
        <w:ind w:firstLine="420"/>
        <w:rPr>
          <w:rFonts w:hint="eastAsia" w:hAnsi="宋体" w:cs="宋体"/>
          <w:b/>
          <w:color w:val="auto"/>
          <w:sz w:val="21"/>
          <w:szCs w:val="21"/>
        </w:rPr>
      </w:pPr>
      <w:r>
        <w:rPr>
          <w:rFonts w:hint="eastAsia" w:hAnsi="宋体" w:cs="宋体"/>
          <w:color w:val="auto"/>
          <w:sz w:val="21"/>
          <w:szCs w:val="21"/>
        </w:rPr>
        <w:t>7  单位绿地养护质量等级</w:t>
      </w:r>
    </w:p>
    <w:p>
      <w:pPr>
        <w:pStyle w:val="225"/>
        <w:spacing w:beforeLines="0" w:afterLines="0"/>
        <w:ind w:firstLine="420"/>
        <w:rPr>
          <w:rFonts w:hint="eastAsia" w:hAnsi="宋体" w:cs="宋体"/>
          <w:color w:val="auto"/>
          <w:sz w:val="21"/>
          <w:szCs w:val="21"/>
        </w:rPr>
      </w:pPr>
      <w:r>
        <w:rPr>
          <w:rFonts w:hint="eastAsia" w:hAnsi="宋体" w:cs="宋体"/>
          <w:color w:val="auto"/>
          <w:sz w:val="21"/>
          <w:szCs w:val="21"/>
        </w:rPr>
        <w:t>分为一级单位绿地、二级单位绿地和三级单位绿地，各等级应符合表4规定。</w:t>
      </w:r>
    </w:p>
    <w:p>
      <w:pPr>
        <w:pStyle w:val="257"/>
        <w:numPr>
          <w:ilvl w:val="0"/>
          <w:numId w:val="0"/>
        </w:numPr>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 xml:space="preserve"> 表4  单位绿地养护质量等级</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1314"/>
        <w:gridCol w:w="3185"/>
        <w:gridCol w:w="303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c>
          <w:tcPr>
            <w:tcW w:w="659"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项目</w:t>
            </w: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一级</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二级</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88" w:hRule="atLeast"/>
        </w:trPr>
        <w:tc>
          <w:tcPr>
            <w:tcW w:w="65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景观效果</w:t>
            </w: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绿化设计合理，植物配置符合单位性质，绿量充分，无裸露土地。</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绿化设计基本合理，绿量较充分，基本无裸露土地。</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绿化设计尚可，绿量基本充分，无明显裸露土地。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82"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乔、灌、花、草搭配适当，三季有花，能突出单位特色。</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乔、灌、花、草齐全，二季有花。</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乔、灌、花、草有一定搭配。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1492" w:hRule="atLeast"/>
        </w:trPr>
        <w:tc>
          <w:tcPr>
            <w:tcW w:w="65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绿化养护状况</w:t>
            </w: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植株生长健壮，树冠完整、美观，修剪适当，主侧枝分布匀称，内膛不乱，通风透光，无枯枝死杈；在正常条件下无黄叶、焦叶、卷叶、落叶；树木缺株率在2%以下；树木无钉拴、捆绑现象。</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植株生长正常，树冠基本完整，内膛不乱，通风透光，修剪及时，无明显枯枝死杈；在正常条件下，无明显黄叶、焦叶、卷叶、落叶；树木缺株率在4%以下；树木基本无钉拴、捆绑现象。</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树木生长基本正常，无明显枯枝死杈；在正常条件下，无严重黄叶、焦叶、卷叶；树木缺株率在6%以下；树木无明显的钉拴、捆绑现象。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846"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绿篱生长健壮，叶色正常，根据其生长特性修剪，修剪合理及时，造型美观，无死株、枯枝、病虫株。</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绿篱生长造型正常，叶色正常，根据其生长特性修剪，修剪较合理及时，基本无死株、枯枝、病虫株。</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绿篱生长造型基本正常，叶色基本正常，无明显死株、枯枝、病虫株。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532"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草坪覆盖率达到100%，修剪及时，整齐美观，叶色正常，无杂草。</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草坪覆盖率达到95%以上，修剪及时，叶色正常，无明显杂草。</w:t>
            </w:r>
          </w:p>
        </w:tc>
        <w:tc>
          <w:tcPr>
            <w:tcW w:w="1220" w:type="pct"/>
            <w:vMerge w:val="restart"/>
            <w:tcBorders>
              <w:top w:val="nil"/>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草坪、宿根花卉生长基本正常，草坪斑秃和宿根花卉缺株不明显，基本无草荒。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71"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宿根花卉管理及时，花期长，无明显缺株及残花。</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宿根花卉管理基本及时，花期正常，缺株率在5%以下。</w:t>
            </w:r>
          </w:p>
        </w:tc>
        <w:tc>
          <w:tcPr>
            <w:tcW w:w="1220"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51"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病虫害控制措施效果显著，常见病虫害危害率控制在5%以下。</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病虫害控制措施效果基本明显，常见病虫害危害率控制在8%以下。</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有病虫害控制措施，常见病虫害危害率控制在10%以下。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45"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绿地无积水。</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绿地无积水。</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绿地无明显积水。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45"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绿化养护有专业队伍负责。</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绿化养护有专人负责。</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绿化养护有专人负责。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43" w:hRule="atLeast"/>
        </w:trPr>
        <w:tc>
          <w:tcPr>
            <w:tcW w:w="65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卫生状况</w:t>
            </w: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绿地整洁，绿化生产垃圾（如：树枝、草末等）做到随产随清。无堆物堆料、搭棚、侵占、无关吊挂等现象。</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绿地整洁，基本无生活垃圾，绿化生产垃圾（如：树枝、草末等）做到日产日清。基本无堆物堆料、搭棚、侵占、无关吊挂等现象。</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绿地较整洁，基本无生活垃圾，无明显堆物堆料、搭棚、侵占、无关吊挂等现象。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417"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水面清澈、无漂浮物和沉淀物。</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水面清澈、基本无漂浮物和沉淀物。</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水面较清澈、无明显漂浮物和沉淀物。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00" w:hRule="atLeast"/>
        </w:trPr>
        <w:tc>
          <w:tcPr>
            <w:tcW w:w="659"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其它</w:t>
            </w: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园林设施完好，无人为损坏，能做到正常性维护和油饰。</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园林设施基本完好，能做到必要的维护和油饰。</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园林设施无明显损坏，有损坏能予以维护。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70" w:hRule="atLeast"/>
        </w:trPr>
        <w:tc>
          <w:tcPr>
            <w:tcW w:w="659"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597"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无擅自改变绿地性质现象。</w:t>
            </w:r>
          </w:p>
        </w:tc>
        <w:tc>
          <w:tcPr>
            <w:tcW w:w="152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无擅自改变绿地性质的现象。</w:t>
            </w:r>
          </w:p>
        </w:tc>
        <w:tc>
          <w:tcPr>
            <w:tcW w:w="122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无擅自改变绿地性质的现象。</w:t>
            </w:r>
          </w:p>
        </w:tc>
      </w:tr>
    </w:tbl>
    <w:p>
      <w:pPr>
        <w:pStyle w:val="225"/>
        <w:spacing w:beforeLines="0" w:afterLines="0"/>
        <w:ind w:firstLine="420"/>
        <w:rPr>
          <w:rFonts w:hint="eastAsia"/>
          <w:color w:val="auto"/>
          <w:sz w:val="21"/>
          <w:szCs w:val="24"/>
        </w:rPr>
      </w:pPr>
      <w:r>
        <w:rPr>
          <w:rFonts w:hint="eastAsia"/>
          <w:color w:val="auto"/>
          <w:sz w:val="21"/>
          <w:szCs w:val="24"/>
        </w:rPr>
        <w:t>8  防护绿地养护质量等级</w:t>
      </w:r>
    </w:p>
    <w:p>
      <w:pPr>
        <w:pStyle w:val="225"/>
        <w:spacing w:beforeLines="0" w:afterLines="0"/>
        <w:ind w:right="-307" w:rightChars="-146" w:firstLine="420"/>
        <w:rPr>
          <w:rFonts w:hint="eastAsia" w:hAnsi="宋体" w:cs="宋体"/>
          <w:color w:val="auto"/>
          <w:sz w:val="21"/>
          <w:szCs w:val="21"/>
        </w:rPr>
      </w:pPr>
      <w:r>
        <w:rPr>
          <w:rFonts w:hint="eastAsia" w:hAnsi="宋体" w:cs="宋体"/>
          <w:color w:val="auto"/>
          <w:sz w:val="21"/>
          <w:szCs w:val="21"/>
        </w:rPr>
        <w:t>分为一级生态防护绿地、二级生态防护绿地和三级生态防护绿地，各等级应符合表5规定。</w:t>
      </w:r>
    </w:p>
    <w:p>
      <w:pPr>
        <w:pStyle w:val="257"/>
        <w:numPr>
          <w:ilvl w:val="0"/>
          <w:numId w:val="0"/>
        </w:numPr>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表5  防护绿地养护质量等级</w:t>
      </w:r>
    </w:p>
    <w:tbl>
      <w:tblPr>
        <w:tblStyle w:val="48"/>
        <w:tblW w:w="51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1409"/>
        <w:gridCol w:w="2992"/>
        <w:gridCol w:w="3198"/>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c>
          <w:tcPr>
            <w:tcW w:w="68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项目</w:t>
            </w: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一级</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二级</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jc w:val="center"/>
              <w:rPr>
                <w:rFonts w:hint="eastAsia" w:hAnsi="宋体" w:cs="宋体"/>
                <w:color w:val="auto"/>
                <w:sz w:val="21"/>
                <w:szCs w:val="21"/>
              </w:rPr>
            </w:pPr>
            <w:r>
              <w:rPr>
                <w:rFonts w:hint="eastAsia" w:hAnsi="宋体" w:cs="宋体"/>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c>
          <w:tcPr>
            <w:tcW w:w="68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景观效果</w:t>
            </w: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绿量充分，防护效果显著。</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绿量较充分，防护效果良好。</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绿量基本充分，防护效果一般。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78" w:hRule="atLeast"/>
        </w:trPr>
        <w:tc>
          <w:tcPr>
            <w:tcW w:w="684"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植物生长状况</w:t>
            </w: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植株年生长良好，基本无枯枝、病虫枝、死杈。</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0" w:right="0" w:firstLine="0" w:firstLineChars="0"/>
              <w:rPr>
                <w:rFonts w:hint="eastAsia" w:hAnsi="宋体" w:cs="宋体"/>
                <w:color w:val="auto"/>
                <w:sz w:val="21"/>
                <w:szCs w:val="21"/>
              </w:rPr>
            </w:pPr>
            <w:r>
              <w:rPr>
                <w:rFonts w:hint="eastAsia" w:hAnsi="宋体" w:cs="宋体"/>
                <w:color w:val="auto"/>
                <w:sz w:val="21"/>
                <w:szCs w:val="21"/>
              </w:rPr>
              <w:t>植株生长正常，基本无枯枝、死杈，病虫害枝控制在10%以下。</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植株生长基本正常，无明显枯枝、死杈，病虫害枝控制在15%以下。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575" w:hRule="atLeast"/>
        </w:trPr>
        <w:tc>
          <w:tcPr>
            <w:tcW w:w="684"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树木树冠完整，主侧枝分布匀称，数量适宜，内膛不乱，通风透光。</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树木树冠基本完整，主侧枝分布较为匀称，数量基本适宜。   </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90%以上树木树冠基本完整。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82" w:hRule="atLeast"/>
        </w:trPr>
        <w:tc>
          <w:tcPr>
            <w:tcW w:w="68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植物生长状况</w:t>
            </w: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叶色健康、叶形正常，基本无病虫害枝叶，叶面虫粪虫网灰尘比例在5%以下。</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叶色、叶型正常，病虫害枝叶及叶面虫粪虫网灰尘比例在10%以下。</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叶色无明显异常，病虫害枝叶及叶面虫粪虫网灰尘比例在15%以下。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939" w:hRule="atLeast"/>
        </w:trPr>
        <w:tc>
          <w:tcPr>
            <w:tcW w:w="684"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植物养护状况</w:t>
            </w: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乔灌木保存率95%以上，无明显倾斜或倒伏植株，新种树成活率90%以上；绿地内植株扶正、补植及时。</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乔灌木保存率90%以上，无明显倾斜或倒伏植株，新种树成活率85%以上；绿地内植株扶正、补植较及时。</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乔灌木保存率85%以上，无明显倾斜或倒伏植株，新种树成活率80%以上；绿地内植株扶正、补植较及时。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367" w:hRule="atLeast"/>
        </w:trPr>
        <w:tc>
          <w:tcPr>
            <w:tcW w:w="684"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林内杂草控制在15%以内，无15cm以上杂草，无积水。</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林内杂草控制在25%以内，无20cm以上杂草，无明显积水。</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林内杂草控制在30%以内，无20cm以上杂草。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600" w:hRule="atLeast"/>
        </w:trPr>
        <w:tc>
          <w:tcPr>
            <w:tcW w:w="684"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病虫害防治措施效果显著，常见病虫害危害率控制在5%以下。</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病虫害防治措施效果较明显，常见病虫害危害率控制在10%以下。</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有病虫害防治措施，常见病虫害危害率控制在15%以下。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226" w:hRule="atLeast"/>
        </w:trPr>
        <w:tc>
          <w:tcPr>
            <w:tcW w:w="684"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畦平沟通基本无积水。</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畦平沟通无明显积水。</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畦平沟通。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485" w:hRule="atLeast"/>
        </w:trPr>
        <w:tc>
          <w:tcPr>
            <w:tcW w:w="684" w:type="pct"/>
            <w:vMerge w:val="restart"/>
            <w:tcBorders>
              <w:top w:val="nil"/>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卫生状况</w:t>
            </w: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绿化生产垃圾做到日产日清，绿地内基本无纸屑果皮、塑料袋及其他废弃物、垃圾，无5cm</w:t>
            </w:r>
            <w:r>
              <w:rPr>
                <w:rFonts w:hint="eastAsia" w:hAnsi="宋体" w:cs="宋体"/>
                <w:color w:val="auto"/>
                <w:sz w:val="21"/>
                <w:szCs w:val="21"/>
                <w:vertAlign w:val="superscript"/>
              </w:rPr>
              <w:t>3</w:t>
            </w:r>
            <w:r>
              <w:rPr>
                <w:rFonts w:hint="eastAsia" w:hAnsi="宋体" w:cs="宋体"/>
                <w:color w:val="auto"/>
                <w:sz w:val="21"/>
                <w:szCs w:val="21"/>
              </w:rPr>
              <w:t>以上石块。</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绿化生产垃圾做到及时清理，绿地内无明显纸屑果皮、塑料袋及其他废弃物、垃圾，无8cm</w:t>
            </w:r>
            <w:r>
              <w:rPr>
                <w:rFonts w:hint="eastAsia" w:hAnsi="宋体" w:cs="宋体"/>
                <w:color w:val="auto"/>
                <w:sz w:val="21"/>
                <w:szCs w:val="21"/>
                <w:vertAlign w:val="superscript"/>
              </w:rPr>
              <w:t>3</w:t>
            </w:r>
            <w:r>
              <w:rPr>
                <w:rFonts w:hint="eastAsia" w:hAnsi="宋体" w:cs="宋体"/>
                <w:color w:val="auto"/>
                <w:sz w:val="21"/>
                <w:szCs w:val="21"/>
              </w:rPr>
              <w:t>以上石块。</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绿化生产垃圾在短时间内清理，绿地内无明显纸屑果皮、塑料袋及其他废弃物、垃圾，无10cm</w:t>
            </w:r>
            <w:r>
              <w:rPr>
                <w:rFonts w:hint="eastAsia" w:hAnsi="宋体" w:cs="宋体"/>
                <w:color w:val="auto"/>
                <w:sz w:val="21"/>
                <w:szCs w:val="21"/>
                <w:vertAlign w:val="superscript"/>
              </w:rPr>
              <w:t>3</w:t>
            </w:r>
            <w:r>
              <w:rPr>
                <w:rFonts w:hint="eastAsia" w:hAnsi="宋体" w:cs="宋体"/>
                <w:color w:val="auto"/>
                <w:sz w:val="21"/>
                <w:szCs w:val="21"/>
              </w:rPr>
              <w:t>以上石块。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cantSplit/>
          <w:trHeight w:val="294" w:hRule="atLeast"/>
        </w:trPr>
        <w:tc>
          <w:tcPr>
            <w:tcW w:w="684" w:type="pct"/>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auto"/>
                <w:kern w:val="0"/>
                <w:sz w:val="21"/>
                <w:szCs w:val="21"/>
              </w:rPr>
            </w:pP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水面清澈、无漂浮物和沉淀物。</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水面较清澈、基本无漂浮物和沉淀物。</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水面较清澈、无明显漂浮物和沉淀物。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70" w:hRule="atLeast"/>
        </w:trPr>
        <w:tc>
          <w:tcPr>
            <w:tcW w:w="68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5"/>
              <w:keepNext w:val="0"/>
              <w:keepLines w:val="0"/>
              <w:widowControl/>
              <w:suppressLineNumbers w:val="0"/>
              <w:spacing w:before="0" w:beforeLines="0" w:beforeAutospacing="0" w:after="0" w:afterLines="0" w:afterAutospacing="0"/>
              <w:ind w:left="-71" w:leftChars="-34" w:right="-67" w:rightChars="-32" w:firstLine="0" w:firstLineChars="0"/>
              <w:jc w:val="center"/>
              <w:rPr>
                <w:rFonts w:hint="eastAsia" w:hAnsi="宋体" w:cs="宋体"/>
                <w:color w:val="auto"/>
                <w:sz w:val="21"/>
                <w:szCs w:val="21"/>
              </w:rPr>
            </w:pPr>
            <w:r>
              <w:rPr>
                <w:rFonts w:hint="eastAsia" w:hAnsi="宋体" w:cs="宋体"/>
                <w:color w:val="auto"/>
                <w:sz w:val="21"/>
                <w:szCs w:val="21"/>
              </w:rPr>
              <w:t>其它</w:t>
            </w:r>
          </w:p>
        </w:tc>
        <w:tc>
          <w:tcPr>
            <w:tcW w:w="14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无擅自占用绿地现象，基本无人为损坏。</w:t>
            </w:r>
          </w:p>
        </w:tc>
        <w:tc>
          <w:tcPr>
            <w:tcW w:w="1552"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无擅自占用绿地现象，无明显人为损坏，有破坏的能及时恢复。</w:t>
            </w:r>
          </w:p>
        </w:tc>
        <w:tc>
          <w:tcPr>
            <w:tcW w:w="1310" w:type="pct"/>
            <w:tcBorders>
              <w:top w:val="single" w:color="auto" w:sz="4" w:space="0"/>
              <w:left w:val="single" w:color="auto" w:sz="4" w:space="0"/>
              <w:bottom w:val="single" w:color="auto" w:sz="4" w:space="0"/>
              <w:right w:val="single" w:color="auto" w:sz="4" w:space="0"/>
              <w:tl2br w:val="nil"/>
              <w:tr2bl w:val="nil"/>
            </w:tcBorders>
            <w:noWrap w:val="0"/>
            <w:vAlign w:val="top"/>
          </w:tcPr>
          <w:p>
            <w:pPr>
              <w:pStyle w:val="225"/>
              <w:keepNext w:val="0"/>
              <w:keepLines w:val="0"/>
              <w:widowControl/>
              <w:suppressLineNumbers w:val="0"/>
              <w:spacing w:before="0" w:beforeLines="0" w:beforeAutospacing="0" w:after="0" w:afterLines="0" w:afterAutospacing="0"/>
              <w:ind w:left="-71" w:leftChars="-34" w:right="-67" w:rightChars="-32" w:firstLine="0" w:firstLineChars="0"/>
              <w:rPr>
                <w:rFonts w:hint="eastAsia" w:hAnsi="宋体" w:cs="宋体"/>
                <w:color w:val="auto"/>
                <w:sz w:val="21"/>
                <w:szCs w:val="21"/>
              </w:rPr>
            </w:pPr>
            <w:r>
              <w:rPr>
                <w:rFonts w:hint="eastAsia" w:hAnsi="宋体" w:cs="宋体"/>
                <w:color w:val="auto"/>
                <w:sz w:val="21"/>
                <w:szCs w:val="21"/>
              </w:rPr>
              <w:t>无擅自占用绿地现象，无明显人为损坏，有破坏的能予恢复。</w:t>
            </w:r>
          </w:p>
        </w:tc>
      </w:tr>
    </w:tbl>
    <w:p>
      <w:pPr>
        <w:spacing w:beforeLines="0" w:afterLines="0"/>
        <w:rPr>
          <w:rFonts w:hint="eastAsia" w:ascii="宋体" w:hAnsi="宋体" w:eastAsia="宋体" w:cs="宋体"/>
          <w:b/>
          <w:color w:val="auto"/>
          <w:sz w:val="22"/>
          <w:szCs w:val="22"/>
        </w:rPr>
      </w:pPr>
      <w:r>
        <w:rPr>
          <w:rFonts w:hint="eastAsia" w:hAnsi="宋体" w:cs="宋体"/>
          <w:color w:val="auto"/>
          <w:sz w:val="21"/>
          <w:szCs w:val="21"/>
        </w:rPr>
        <w:t xml:space="preserve"> </w:t>
      </w:r>
      <w:r>
        <w:rPr>
          <w:rFonts w:hint="eastAsia" w:ascii="宋体" w:hAnsi="宋体" w:eastAsia="宋体" w:cs="宋体"/>
          <w:b/>
          <w:color w:val="auto"/>
          <w:sz w:val="22"/>
          <w:szCs w:val="22"/>
        </w:rPr>
        <w:t>附件3：宁波市城市绿地养护技术规程</w:t>
      </w:r>
    </w:p>
    <w:p>
      <w:pPr>
        <w:pStyle w:val="254"/>
        <w:spacing w:before="0" w:beforeLines="0" w:after="0" w:afterLines="0" w:line="240" w:lineRule="auto"/>
        <w:ind w:firstLine="482"/>
        <w:rPr>
          <w:rFonts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第一章    总  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第1.0.1条 为了加强本市园林植物养护技术管理、提高园林植物养护技术水平，确保植物生长繁茂，特制订本技术规程。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第1.0.2条 本规程适用于本市的县（市）、区各类绿地内树木、花卉、藤本和攀援、地被和草坪等植物的养护。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第1.0.3条 凡经栽植成活一年以上(大树二年后)的乔木、灌木、花卉、藤本和攀援、地被和草坪等植物，其保存率均应达到98％。因不可抗力造成死亡的除外。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第1.0.4条 树木与架空线、地下管线、照明、交通及各种信号标志的关系与要求，按《宁波市园林绿化建植技术规程》有关条文规定执行。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第1.0.5条 各单位应根据分级养护管理要求、质量标准制订全年养护计划，并严格遵守本规程。</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第二章  树木养护</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第一节  浇灌与排水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第2.1.1条 各类绿地，应有各自完整的浇灌与排水系统。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第2.1.2条 对新栽植的树木应根据不同树种和不同立地条件进行适期、适量的浇灌，应保持土壤中有效水分。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第2.1.3条 已栽植成活的树木，在土壤干旱的环境中也应及时进行浇灌，对水分和空气湿度要求较高的树种，须在清晨或傍晚进行，特别是新栽或立地环境较差的树木，还应适当地进行叶面喷雾。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第2.1.4条 浇灌前应先松土。夏季浇灌宜早、晚进行，冬季浇灌选在中午进行。灌溉要一次浇透。</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第2.1.5条 树木周围积水应及时排除，新栽树木周围积水尤应尽快排除。</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第二节  中耕除草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第2.2.1条 乔木、灌木下的大型野草必须铲除，特别是对树木危害严重的各类藤蔓，例如菟丝子等。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第2.2.2条 树木根部附近的土壤要保持疏松，易板结的土壤，应及时松土。</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第2.2.3条 中耕除草应选在晴朗天气，过分潮湿的土壤不宜中耕除草。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第2.2.4条 中耕深度以不影响根系生长为限。</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第三节   施  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第2.3.1条 树木休眠期和栽植前，需施基肥。树木生长期施追肥，可以按照植株的生长势进行。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第2.3.2条 施肥量应视树木生长情况、土壤肥力而定。一般乔木胸径15CM以下的，每3CM胸径应施堆肥1.0公斤，胸径在1 5CM以上的，每3CM胸径施堆肥1.0—2.0公斤。树木青壮年期欲扩大树冠及观花、观果植物，应适当增加施肥量。</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第2.3.3条 乔木和灌木均应先挖好施肥环沟，其外径应与树木的冠幅相适应，深度和宽度一般为25—30CM。</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第2.3.4条 施用的肥料种类选择应视树种、生长期及观赏和土壤缺肥状况等不同要求而定。早期欲扩大冠幅，宜施氮肥，观花观果树种应增施磷、钾肥。注意应用微量元素和根外施肥的技术，并推广应用复合肥料。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第2.3.5条 有机肥应腐熟后施用。根部施肥宜在晴天，且土壤干燥时施肥；根外施肥应控制浓度，防止肥害。</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第2.3.6条 花灌木宜在花后施肥，果木类应按果木种类不同的养护技术要求进行，乔木类宜春季进行。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第四节   整形、修剪</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第2.4.1条 乔木和灌木的修剪应以自然构形为主。观赏树木可根据生长发育的特性对树木整形，将树冠修成一定形状。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第2.4.2条 园林树木整形修剪的时期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（一）休眠期修剪  以整形为主，可稍重剪。落叶树中观花的花芽类树种宜在花后修剪，其它一般为落叶后至萌芽前修剪。常绿树及抗寒力差的树种在严冬不进行修剪，宜早春剪。</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（二）生长期修剪  以调整树势为主，宜轻剪。有伤流的树种应在夏秋两季进行。应根据各类树木的生长特性及不同要求进行疏枝、剥芽、摘心、去残花、疏蕾、疏果等。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第2.4.3条 乔木类：主要修剪徒长枝、病虫枝、交叉枝、并生枝、下垂枝、扭伤枝以及枯枝和烂头。遇有架空线者应按杯状形修剪，树冠圆整，分枝均衡；树冠幅度，不宜覆盖全部路面，道路中间高空宜留有散放废气的空隙。常绿树应通过逐年修剪，提高主干高度以达到标准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第2.4.4条 灌木类：灌木修剪应使枝叶繁茂，分布匀称，花灌木修剪要有利于促进短枝和花芽形成；根据不同树种的习性可将老枝齐根剪去，留下新枝。修剪应遵循“先上后下，先内后外，去弱留强，去老留新”的原则进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第2.4.5条 绿篱类：绿篱修剪，应促其分枝，保持全株枝叶丰满；也可作整形修剪，特殊造型绿篱应逐步修剪成形，整形重修剪宜在早春进行，隔离带绿篱高度应控制在距地面80cm以下。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第2.4.6条 地被、攀援类：地被、攀援植物修剪应促进分枝，加速覆盖和攀缠的功能；对多年生的攀援植物要定期翻蔓，清除枯枝，疏删老弱的藤蔓，留新枝。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第2.4.7条 修剪时，切口都必须靠节，剪口应在剪口芽的反侧呈45度倾斜，剪口部位在剪口芽上方2—3CM；剪口要平整，按培养方向选剪口芽的方向。对过于粗壮的大枝应采取分段截枝法，防扯裂，并涂抹防腐剂，操作时必须保证安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第2.4.8条 根据树木年龄差异进行修剪。</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（一）幼年期树木宜轻剪，一般树冠厚度不得低于树高1／2—1／3，小苗偏于2／3为宜。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（二）成年期修剪的目的是保持树木完整优美的树冠和健壮成长，为达到调节均衡目的应遵循如下原则：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１.对强主枝强剪(留得短些)，进行抑制；弱主枝弱剪(留得长些)促使生长。对强主枝弱剪(留得长些)进行保持；弱主枝强剪(留得短些)促使发芽生长，使侧枝分布均匀。</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２.行道树侧枝粗度大于主干粗度或接近主干粗度时，一律从基部剪除，绿地乔木可酌情处理。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３.凡侧枝与主干并列或有争夺养分趋势的应予剪除。</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（三）老年期修剪应以恢复其生长势进行更新为主。而对于方向性好的徒长枝应予保留，用于复壮。</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第2.4.9条 果木的修剪应按各类不同果木的修剪技术要求进行。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第2.4.10条 行道树与公用设施有矛盾的枝条应及时剪去，具体要求应不小于附表一的规定。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第2.4.11条 行道树修剪必须按如下规定进行安全操作：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（一）修剪行道树应事先将操作进行的路线与交通、公交、环卫、供电等部门联系，取得密切协作，相互配合。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（二）上树工上树前应将扶梯脚用橡皮包扎，扶梯应放置平稳，扶梯档子用铅丝加固，上下扶梯应面向扶梯。扶梯位置应放在人行道两侧。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（三）集中思想，不准酒后上树，不准树上吸烟，不准嘻笑打闹。必须穿胶鞋，系好安全带并系扣在粗壮的大枝上，戴好安全帽，随带工具放置在工具袋内，手锯柄应系好绳索套在手腕上。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（四）树上不准两人在同一分枝和同一方位上下作业。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（五）上树工将大枝分段锯下前，应与地勤人员联络后，方可下落。</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（六）操作区内，必须用红、白小旗拉好安全区域。</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（七）修剪下来的树枝，落在房屋、围墙、架空线及搭挂在树上的，必须加以清除。修剪下来的树枝，应当日清除运走，属检疫对象的病虫枝应予以烧毁。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（八）雨雪天、积雪、浓雾，树皮未干及风力七级以上，不得上树操作。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（九）患有高血压、心脏病、严重关节炎、贫血者不得上树登高作业。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（十）上树修剪必须有专业训练，机械作业应专人使用。</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第五节   防护设施</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第2.5.1条 围栏：为防止人畜或车辆碰撞树木，可在不影响游览、观赏和景观的条件下，在树木周围用各种栏栅、绿篱或其它措施围栏。</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第2.5.2条 浅根性高大乔木在风暴来临前，应以“预防为主，综合防护”的原则，在六月下旬以前做好立支柱、绑扎、加土、扶正、疏枝、打地桩等六项综合措施。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第2.5.3条 因自然灾害等造成树木倒伏的，应及时扶正加固，影响交通等公用设施的应及时修剪并采取相应措施。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第2.5.4条 凡易受冻害的树木，冬季应采取根际培土主干包扎等防寒措施。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第2.5.5条 枝叶积雪时应及时清除；有倒伏危险的树木应树立支柱支撑保护。</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第六节   补植树木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第2.6.1条 树木缺株应尽早适时补植。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第2.6.2条 补植季节应以春秋两季种植为主，非种植季节补植时，应采取相应措施并加强补植后的养护工作。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第2.6.3条 补植的树木，应选用原来树种，规格也应相近似；若改变树种或规格则须与原来的景观相协调。补植行道树树种必须与同路段树种一致。</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第七节  枯死树木的挖除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第2.7.1条 枯死树木应连同根部及时挖除，并结合做好补植工作。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第2.7.2条 古树名木在挖除前，必须报经市主管部门审批，任何单位和个人均无权擅自挖除。</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第三章   地被和草坪养护</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第一节  地  被</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第3.1.1条 地被植物在未覆盖前期，每年应及时中耕除草，促进地被植物覆盖。</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第3.1.2条 早春发芽前期要普遍进行施肥，采取薄肥勤施的方法。土壤干燥时要适时、适量进行浇水。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第3.1.3条  发现枯死植株应及时挖除和补植；枯叶残花要随时整理清除。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第3.1.4条 木本地被植物萌发能力强者，应在冬季休眠期进行修剪。应使植株在生长期间，始终保持在高度不超过60CM的低矮状态.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第3.1.5条 球根、宿根类地被植物，经3—4年生长后，根部分蘖已影响其正常发育时，应进行分株更新。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草  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第3.2.1条 草坪中杂草应及时剔除，杂草过多又无法净化时，应淘汰重铺。凡低洼常年积水处，要填土整平或浅沟排水。空秃地段应及时补种。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第3.2.2条 采用化学除莠剂除草时，必须选用已经过试验成功的药剂。严格掌握施用的浓度和时间。第3.2.3条  草坪在生长季节，应适时进行中耕、加土、镇压保持土壤平整和良好的透气性。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第3.2.4条 草坪应适时进行修剪，高度视不同品种及不同季节，一般控制在4—10CM，普通草坪不超8CM。冷季型草坪(如高羊草)生长季宜控制在8CM，休眠期宜控制在10—12CM；暖季型草坪生长季控制在4—6CM，休眠期控制在4CM。</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第3.2.5条 草坪靠近道路一边和树穴的草要修剪整齐，保持线条清晰，修剪前必须清除草坪上的石子、瓦砾、树枝等杂物。修剪要平整，边角无遗漏，草屑应及时清除。</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第3.2.6条 草坪生长期应及时浇水，特别注意夏季、秋冬季的抗旱工作。冷季型草坪夏季应充分浇水，暖季型草坪应在早春和11月份各浇一次透水，以后视情况而定。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第3.2.7条 草坪施肥应遵循“薄肥勤施原则”，以有机肥和复合肥为主，对冷季型草坪施肥宜在10—3月进行，一般3—5次，对高羊草等品种应视具体情况而定，适当增加次数。暖季型草坪视生长而定，宜在4—9月进行，一般l—2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第3.2.8条 草坪萌芽期，土壤过湿或浇水后应暂停开放。</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第3.2.9条 在春季可行加泥滚压，不使草根暴露。</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第3.2.10条 发现病虫害应及时防治。对冷季型草坪应注意夜蛾害虫发生，定时预防，预防时间4—9月。</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第3.2.11条 草坪可采用打孔松土进行土壤疏松，冷季型草坪宜在秋季进行，暖季型宜在早春进行。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第四章  花坛及花坛花卉的养护</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第一节  花  坛</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第4.1.1条 应根据不同花卉品种和花坛的分级标准，制定花坛养护分级技术措施和管理质量标准。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第4.1.2条 花坛换花移栽前必须要深耕细耙，清除土中石块、草屑、残茎和落叶等杂物并施足基肥。重点花坛换花应用脱盆大苗。</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第4.1.3条 花坛的防护设施应经常保持清洁完好，发现损坏，应及时修复。</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第二节  花  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第4.2.1条 夏季花苗的移栽应在早晨或傍晚进行。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第4.2.2条 移栽后，应随即浇透水。移栽后的4—5天内视天气和土壤干湿情况补充水分。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第4.2.3条 在花卉生长盛期，要及时中耕除草，追施肥料，施肥后应立即喷洒清水。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第4.2.4条 枯萎的花蒂和黄叶要及时剪除，以保持花坛清洁，缺株要及时补栽；凡须摘心的品种，应及时进行。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第4.2.5条 木本花卉要及时修枝、整形；易倒伏的，要立支柱绑扎。</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第五章  古树名木养护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第5.0.1条 古树名木要建立档案和标志，进行重点保护，并指定专人负责养护。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第5.0.2条 对古树名木生长不利的立地条件须及时改进；对腐烂的部位应按外科方法进行治疗，并保持其古老苍劲的形态。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第5.0.3条 古树名木易受蛀蚀性害虫危害，应制定切实可行的措施及时防治。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第5.0.4条 对生长日益衰弱的古树名木，应组织有关科技人员，制定复壮措施。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第5.0.5条 已倾斜的古树要予以支撑，防止倒状，并应注意美观。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第5.0.6条 对有历史背景和具有纪念性意义的已枯死的古木应立碑保留。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第5.0.7条 严禁砍伐、擅自移植及其他损害古树名木的行为。</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第六章  园林病虫、杂草防治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第一节  病虫害防治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第6.1.1条 贯彻“预防为主、综合治理”的病虫害防治方针。充分利用园林间植被的多样化来保护和增殖天敌，抑制病虫害。</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第6.1.2条 引进和输出种苗，必须严格遵守国家和本市有关植物检疫法和有关规章制度。</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(一)从外地引入苗木、花卉、草坪及绿化材料必须先经植保专业人员检查，确无检疫性病、虫、草害，才能种植，若有其它严重病虫必须经植保人员进行技术处理后方可种植。</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(二)本地苗圃出售苗木、花卉、草被及绿化材料，严禁附带病虫源出圃。</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(三)对有检疫性危险病、虫、草害源的进口园林植物，必须在隔离温室或隔离区观察或处理，经一年以上确无危险病、虫、草后才能繁殖或定植。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第6.1.3条 应做好园林植物病虫害的预测预报工作，制订长期和短期的防治计划。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第6.1.4条 发现危害严重，且大面积发生的，应及时组织力量进行调查、分析，针对性采取措施。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第6.1.5条 必须对本市园林植物危害既普遍又严重的各类蚧壳虫、蚜虫、叶螨、粉虱、天牛、木蠡等害虫，以及白粉病、炭疽病、褐斑病、黑斑病等病害进行综合防治。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第6.1.6条 园艺防治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(一)加强养护管理、夏、秋生长季节应适量控制氮肥，增施磷、钾肥，禁止施用未腐熟的堆肥、厩肥、饼肥和植物残体，做好排水工作。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(二)适度修剪，剪除病、虫枝，挡风、遮光徒长枝，过密的内膛枝。</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(三)对病叶、病枝、病根、病株应及时集中焚毁。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(四)结合中耕(冬耕)除草，消灭地下害虫。</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(五)有土传病原的土壤，应及时消毒。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第6.1.7条 人工防治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(一)摘除休眠虫体，悬挂或依附在植物体和建筑物上的越冬虫茧、虫囊和卵块、卵囊并集中焚烧。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(二)直接捕杀个体大、危害状明显的害虫、有假死性或飞翔力不强的成虫(天蛾、尺蠖、蚱蝉、天牛、金龟子、叶甲)。</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(三)刮刷枝干虫体，要注意刮刷干净，不要损伤枝干皮层。刮除枝干病斑时尽可能不损伤树体，病斑的伤口处应进行消毒(可用千分之一升汞消毒)，然后涂抹保护剂(波尔多液浆：硫酸铜：生石灰：水=1：3：15-20)。</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(四)冬季做好乔木涂白工作。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第6.1.8条 生物防治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(一)保护和利用天敌资源。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(二)积极推广和施用微生物制剂、BT乳剂、白僵菌制剂以及性引诱剂。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第6.1.9条 物理防治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(一)在成虫发生期应利用有一定装置规格的黑光灯(短光波3600—4000)诱杀成虫。在诱杀害虫时应防止误伤益虫(主要开灯期5月下旬—6月下旬，8月中旬—9月中旬)。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(二)利用热力(干温或湿温)处理种籽、种球以及植物组织，以消灭内、外病虫原。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第6.1.10条 化学防治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采用化学农药防治病虫害，必须掌握对症下药、合理使用、适地防治、用量适当、安全使用等原则。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(一)应用化学农药，必须选用低毒，低残留(易分解)及无公害的药物。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(二)同—种化学药剂，不宜连续施用。</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(三)在—定植物群落范围内应针对性施药，以免伤及天敌。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(四)化学药剂混用，必须掌握药剂的理化性质。</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(五)严禁使用剧毒化学药剂和有机氯、有机汞化学农药，严禁使用国家或地方禁止使用的化学农药。</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(六)操作者未经技术人员同意，不得任意把二种不同的药剂混合使用。</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(七)化学农药应按规定浓度施用，不得任意提高浓度。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第6.1.11条 应严格遵照如下安全操作规程：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１.配药、喷药人员必须有安全保护措施，穿工作服、胶鞋、戴胶皮手套、口罩、风镜等。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２.体弱多病者、药物过敏者和月经期、孕期、哺乳期妇女不要参加施药工作。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３.配药、喷药时作业人员不准吸烟、喝酒、饮水、进食，不得用手擦抹眼、脸和口鼻，不准嬉闹。工作后必须用肥皂洗净手脸后才能取食，喷施人员在操作过程中感到不适或头痛、目眩时应立即离开现场或去医院就诊，不可延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４.在公共场所喷药时，应注意行人及车辆的安全，对于可能污染食物、器具、物体等应事先招呼，待放妥后才能喷施。</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５.配制药剂，洗刷药械时要远离水源、厨房等地，剩余或洗刷的药液不得乱倒，不得倒入池、湖、河中。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６.药剂的保管与领用应建立一定的制度，以确保安全。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第6.1.1 2条 药剂的喷施应掌握如下原则：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１.应在无风晴朗天喷药，操作人员应站在顺风的上方顺风喷施，避免在大风、炎热高温的中午进行。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２.在树种较多的绿地喷药时，应注意有的农药对某些园林植物的药害。(如梅、樱花、杏、柑桔、沙朴等对乐果及氧化乐果敏感，易发生药害)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３.在植物开花期间避免喷施农药，以防落花，对果树、药用植物应在收获前20—30天内停止用药，</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４.喷药时应尽量做到药液成雾状，枝叶上附药均匀，对有些虫在叶背上危害的，叶正、反面均应喷剂。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５.对蛀干害虫采用药剂注射时，必须事先清除孔内的粪便杂物，使药液通畅进入穴内。虫孔，排粪孔均需注满药液，注射后用泥团塞堵孔口。碰到一虫多孔时，应先堵塞注射孔洞以下的虫孔，然后注射。</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第二节  除莠剂的使用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第6.2.1条 使用除莠剂应了解药剂性能、杂草种类和生态习性以及使用地区上的花木种类对药剂的敏感程度，并经过小面积的试验，确定使用药剂的品种、比例以及方法，切实做到安全、有效。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第6.2.2条 调配药剂应采用标准量具，按照经过试验而确定的比例配比，随配随用；已配好的药剂，应避免烈日曝晒。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第6.2.3条 喷药要严格防止沾染到花木上，对敏感性强的花木应设置保护物隔离。喷药要均匀，有风时应注意风向，风大时不宜喷药。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第6.2.4条 在草坪上操作时，药桶下要有保护物衬垫，药液不得外溢。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第6.2.5条 药剂用完后，工具要立即洗净，洗下的水不得倒在植物根部附近和草坪上或水体中。施药工作人员完工后应洗净双手和脸部。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第6.2.6条 施用化学除草剂的机具(动力部分除外)，必须专用，不得与防治病虫的机具混用。</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第6.2.7条 严禁工作中吸烟；孕妇不应参加除莠剂的操作。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第6.2.8条 除莠剂使用后的地区在药剂残效期间应停止开放。</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第三节  防治效果要求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第6.3.1条 对园林病虫害的防治，其效果应达到95％以上，各类绿地与行道树能基本控制病虫害危害，其危害率在5％以下。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第6.3.2条 防莠剂使用效果应达到95％以上。</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第七章  园林植物技术档案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第7.0.1条 各绿化单位必须建立完整的植物养护技术档案，要及时收集、积累、整理分析和总结经验。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第7.0.2条 档案内容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(一)绿地气候、物候、水文、土质地形、地下构筑物等自然条件变化资料(注：气候：当年每月最高、最低，平均气温及特殊气候，如连续高温、干旱、暴雨、积水等状况)及调查报告。</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(二)绿地建设历史及其发展。</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(三)植物种类：按植物分类记载，地区名称、规格、来源、栽植年月，生长势和日常养护措施及其成效等。(附表二)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(四)应用新技术、新工艺和新成果的单项技术资料。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(五)植保：病虫害发生期、发生量、虫口密度、病害率；综合防治措施、防治效果数据，以及防治新技术、新药剂的应用及其效果；由于病虫危害枯萎死亡伐除的乔灌木数量及草本、小苗面积等。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(六)各类统计报表和调查总结报告等。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(七)枯死树木凡经挖除后必须记录归档。其内容是：编号地区、树种、规格、枯死原因、死亡日期、挖除日期、经过何种措施救护、挖除人、记录人、主管人姓名等。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第7.0.3条 技术档案应每年分期整理，装订成册，编好目录，分类归档。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第7.0.4条 建立一路一卡制度和一园一卡制度，实行园、路的动态管理。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第7.0.5条 机械设备应有专人管理并建立档案制度，及时跟踪，提高机械设备的使用率。</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rPr>
        <w:t>第7.0.6条 有条件的单位，可将技术档案纳入软件管理之中。</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58" w:beforeLines="20" w:after="58" w:afterLines="20" w:line="360" w:lineRule="auto"/>
        <w:jc w:val="center"/>
        <w:textAlignment w:val="auto"/>
        <w:outlineLvl w:val="0"/>
        <w:rPr>
          <w:rFonts w:ascii="宋体" w:hAnsi="宋体"/>
          <w:b/>
          <w:color w:val="auto"/>
          <w:sz w:val="32"/>
          <w:highlight w:val="none"/>
        </w:rPr>
      </w:pPr>
      <w:r>
        <w:rPr>
          <w:rFonts w:hint="eastAsia" w:ascii="宋体" w:hAnsi="宋体"/>
          <w:b/>
          <w:color w:val="auto"/>
          <w:sz w:val="32"/>
          <w:highlight w:val="none"/>
        </w:rPr>
        <w:t>第六章</w:t>
      </w:r>
      <w:bookmarkStart w:id="35" w:name="_Toc28523"/>
      <w:r>
        <w:rPr>
          <w:rFonts w:hint="eastAsia" w:ascii="宋体" w:hAnsi="宋体"/>
          <w:b/>
          <w:color w:val="auto"/>
          <w:sz w:val="32"/>
          <w:highlight w:val="none"/>
        </w:rPr>
        <w:t>商务条款</w:t>
      </w:r>
      <w:bookmarkEnd w:id="35"/>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hAnsi="宋体" w:cs="宋体"/>
          <w:b w:val="0"/>
          <w:bCs/>
          <w:color w:val="000000"/>
          <w:lang w:eastAsia="zh-CN"/>
        </w:rPr>
      </w:pPr>
      <w:r>
        <w:rPr>
          <w:rFonts w:hint="eastAsia" w:ascii="宋体" w:hAnsi="宋体" w:eastAsia="宋体"/>
          <w:bCs/>
          <w:color w:val="auto"/>
          <w:szCs w:val="21"/>
          <w:highlight w:val="none"/>
          <w:lang w:eastAsia="zh-CN"/>
        </w:rPr>
        <w:t>▲</w:t>
      </w:r>
      <w:r>
        <w:rPr>
          <w:rFonts w:hint="eastAsia" w:ascii="宋体" w:hAnsi="宋体" w:eastAsia="宋体" w:cs="宋体"/>
          <w:color w:val="auto"/>
          <w:sz w:val="21"/>
          <w:szCs w:val="21"/>
        </w:rPr>
        <w:t>一、付款方式：</w:t>
      </w:r>
      <w:r>
        <w:rPr>
          <w:rFonts w:hint="default" w:ascii="宋体" w:hAnsi="宋体" w:eastAsia="宋体" w:cs="宋体"/>
          <w:color w:val="auto"/>
          <w:sz w:val="21"/>
          <w:szCs w:val="21"/>
        </w:rPr>
        <w:t>合同签订后，采购人向中标单位支付总合同金额的40%作为预付款</w:t>
      </w:r>
      <w:r>
        <w:rPr>
          <w:rFonts w:hint="eastAsia" w:hAnsi="宋体" w:cs="宋体"/>
          <w:b w:val="0"/>
          <w:bCs/>
          <w:color w:val="000000"/>
        </w:rPr>
        <w:t>。</w:t>
      </w:r>
      <w:r>
        <w:rPr>
          <w:rFonts w:hint="default" w:ascii="宋体" w:hAnsi="宋体" w:eastAsia="宋体" w:cs="宋体"/>
          <w:color w:val="auto"/>
          <w:sz w:val="21"/>
          <w:szCs w:val="21"/>
        </w:rPr>
        <w:t>其余部分合同款按季度结算</w:t>
      </w:r>
      <w:r>
        <w:rPr>
          <w:rFonts w:hint="eastAsia" w:ascii="宋体" w:hAnsi="宋体" w:eastAsia="宋体" w:cs="宋体"/>
          <w:color w:val="auto"/>
          <w:sz w:val="21"/>
          <w:szCs w:val="21"/>
        </w:rPr>
        <w:t>（扣除应扣款）</w:t>
      </w:r>
      <w:r>
        <w:rPr>
          <w:rFonts w:hint="eastAsia" w:hAnsi="宋体" w:cs="宋体"/>
          <w:b w:val="0"/>
          <w:bCs/>
          <w:color w:val="000000"/>
        </w:rPr>
        <w:t>。经采购人审核无误后，中标方提交考核结果及有效正规税务发票给采购人作为付款凭据后采购人予以支付。</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lang w:eastAsia="zh-CN"/>
        </w:rPr>
      </w:pPr>
      <w:r>
        <w:rPr>
          <w:rFonts w:hint="eastAsia" w:asciiTheme="minorEastAsia" w:hAnsiTheme="minorEastAsia" w:eastAsiaTheme="minorEastAsia" w:cstheme="minorEastAsia"/>
          <w:color w:val="000000"/>
          <w:sz w:val="21"/>
          <w:szCs w:val="21"/>
        </w:rPr>
        <w:t>每</w:t>
      </w:r>
      <w:r>
        <w:rPr>
          <w:rFonts w:hint="eastAsia" w:ascii="宋体" w:hAnsi="宋体" w:cs="宋体"/>
          <w:sz w:val="21"/>
          <w:szCs w:val="21"/>
        </w:rPr>
        <w:t>季度</w:t>
      </w:r>
      <w:r>
        <w:rPr>
          <w:rFonts w:hint="eastAsia" w:asciiTheme="minorEastAsia" w:hAnsiTheme="minorEastAsia" w:eastAsiaTheme="minorEastAsia" w:cstheme="minorEastAsia"/>
          <w:color w:val="000000"/>
          <w:sz w:val="21"/>
          <w:szCs w:val="21"/>
        </w:rPr>
        <w:t>平均考核得分在95分以上（包含95分）的为合格</w:t>
      </w:r>
      <w:r>
        <w:rPr>
          <w:rFonts w:hint="eastAsia" w:asciiTheme="minorEastAsia" w:hAnsiTheme="minorEastAsia" w:eastAsiaTheme="minorEastAsia" w:cstheme="minorEastAsia"/>
          <w:color w:val="000000"/>
          <w:sz w:val="21"/>
          <w:szCs w:val="21"/>
          <w:lang w:val="en-US" w:eastAsia="zh-CN"/>
        </w:rPr>
        <w:t>,全额支付当次应付合同价款</w:t>
      </w:r>
      <w:r>
        <w:rPr>
          <w:rFonts w:hint="eastAsia" w:asciiTheme="minorEastAsia" w:hAnsiTheme="minorEastAsia" w:eastAsiaTheme="minorEastAsia" w:cstheme="minorEastAsia"/>
          <w:color w:val="000000"/>
          <w:sz w:val="21"/>
          <w:szCs w:val="21"/>
        </w:rPr>
        <w:t>。低于95分的，每下降一分，扣除当</w:t>
      </w:r>
      <w:r>
        <w:rPr>
          <w:rFonts w:hint="eastAsia" w:ascii="宋体" w:hAnsi="宋体" w:cs="宋体"/>
          <w:sz w:val="21"/>
          <w:szCs w:val="21"/>
        </w:rPr>
        <w:t>季度</w:t>
      </w:r>
      <w:r>
        <w:rPr>
          <w:rFonts w:hint="eastAsia" w:asciiTheme="minorEastAsia" w:hAnsiTheme="minorEastAsia" w:eastAsiaTheme="minorEastAsia" w:cstheme="minorEastAsia"/>
          <w:color w:val="000000"/>
          <w:sz w:val="21"/>
          <w:szCs w:val="21"/>
          <w:lang w:val="en-US" w:eastAsia="zh-CN"/>
        </w:rPr>
        <w:t>合同价款</w:t>
      </w:r>
      <w:r>
        <w:rPr>
          <w:rFonts w:hint="eastAsia" w:asciiTheme="minorEastAsia" w:hAnsiTheme="minorEastAsia" w:eastAsiaTheme="minorEastAsia" w:cstheme="minorEastAsia"/>
          <w:color w:val="000000"/>
          <w:sz w:val="21"/>
          <w:szCs w:val="21"/>
        </w:rPr>
        <w:t>的百分之</w:t>
      </w:r>
      <w:r>
        <w:rPr>
          <w:rFonts w:hint="eastAsia" w:asciiTheme="minorEastAsia" w:hAnsiTheme="minorEastAsia" w:eastAsiaTheme="minorEastAsia" w:cstheme="minorEastAsia"/>
          <w:color w:val="000000"/>
          <w:sz w:val="21"/>
          <w:szCs w:val="21"/>
          <w:lang w:val="en-US" w:eastAsia="zh-CN"/>
        </w:rPr>
        <w:t>一</w:t>
      </w:r>
      <w:r>
        <w:rPr>
          <w:rFonts w:hint="eastAsia" w:asciiTheme="minorEastAsia" w:hAnsiTheme="minorEastAsia" w:eastAsiaTheme="minorEastAsia" w:cstheme="minorEastAsia"/>
          <w:color w:val="000000"/>
          <w:sz w:val="21"/>
          <w:szCs w:val="21"/>
        </w:rPr>
        <w:t>；低于80分的为不合格，不核拨当</w:t>
      </w:r>
      <w:r>
        <w:rPr>
          <w:rFonts w:hint="eastAsia" w:ascii="宋体" w:hAnsi="宋体" w:cs="宋体"/>
          <w:sz w:val="21"/>
          <w:szCs w:val="21"/>
        </w:rPr>
        <w:t>季度</w:t>
      </w:r>
      <w:r>
        <w:rPr>
          <w:rFonts w:hint="eastAsia" w:asciiTheme="minorEastAsia" w:hAnsiTheme="minorEastAsia" w:eastAsiaTheme="minorEastAsia" w:cstheme="minorEastAsia"/>
          <w:color w:val="000000"/>
          <w:sz w:val="21"/>
          <w:szCs w:val="21"/>
          <w:lang w:val="en-US" w:eastAsia="zh-CN"/>
        </w:rPr>
        <w:t>合同价款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rPr>
        <w:t>二、履约保证</w:t>
      </w:r>
      <w:r>
        <w:rPr>
          <w:rFonts w:hint="eastAsia" w:ascii="宋体" w:hAnsi="宋体" w:eastAsia="宋体" w:cs="Times New Roman"/>
          <w:bCs/>
          <w:color w:val="auto"/>
          <w:szCs w:val="21"/>
          <w:highlight w:val="none"/>
        </w:rPr>
        <w:t>金：乙方签订合同后15日内须向甲方递交合同金额的1%作为履约保证金，待项目到期并考核验收合格后7个工作日内，甲方将此履约保证金无息返还给乙方。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履约担保的形式：银行保函、保险公司保函等均可。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▲三、服务期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服务期限三年，合同一年一签。第一年度合同期满后，经采购人考核合格，可续签下一年度合同，最多可续签二次。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四、其他说明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rPr>
        <w:t>1、本次投标报价为一年合同服务费用。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2、中标人不得将承包的</w:t>
      </w:r>
      <w:r>
        <w:rPr>
          <w:rFonts w:hint="eastAsia" w:ascii="宋体" w:hAnsi="宋体"/>
          <w:bCs/>
          <w:color w:val="auto"/>
          <w:szCs w:val="21"/>
          <w:highlight w:val="none"/>
          <w:lang w:eastAsia="zh-CN"/>
        </w:rPr>
        <w:t>本</w:t>
      </w:r>
      <w:r>
        <w:rPr>
          <w:rFonts w:hint="eastAsia" w:ascii="宋体" w:hAnsi="宋体"/>
          <w:bCs/>
          <w:color w:val="auto"/>
          <w:szCs w:val="21"/>
          <w:highlight w:val="none"/>
        </w:rPr>
        <w:t>项目进行分包或转包给他人，给采购人造成损失的，应承担赔偿责任；同时，采购人有权解除合同，并没收中标人的履约保证金。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3、中标人须遵守采购人的各项规章制度，参加和接受采购人的日常检查与考评，考评结果直接与经济挂钩。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4、本次合同对拟派入本项目的服务人员所有费用及为完成本项目服务内容所产生的相关费用均由投标人承担，包括人工工资、社保等社会福利费、企业管理费、税金，以及养护所需园林工具、登高车等各类费用。在履行合同过程中，合同金额不作调整。</w:t>
      </w:r>
    </w:p>
    <w:p>
      <w:pPr>
        <w:spacing w:line="400" w:lineRule="exact"/>
        <w:outlineLvl w:val="0"/>
        <w:rPr>
          <w:rFonts w:ascii="宋体" w:hAnsi="宋体"/>
          <w:bCs/>
          <w:color w:val="auto"/>
          <w:sz w:val="24"/>
          <w:highlight w:val="none"/>
        </w:rPr>
      </w:pPr>
    </w:p>
    <w:bookmarkEnd w:id="33"/>
    <w:p>
      <w:pPr>
        <w:rPr>
          <w:rFonts w:ascii="宋体" w:hAnsi="宋体"/>
          <w:b/>
          <w:color w:val="auto"/>
          <w:sz w:val="32"/>
          <w:highlight w:val="none"/>
        </w:rPr>
      </w:pPr>
      <w:bookmarkStart w:id="36" w:name="_Toc23235"/>
      <w:r>
        <w:rPr>
          <w:rFonts w:hint="eastAsia" w:ascii="宋体" w:hAnsi="宋体"/>
          <w:b/>
          <w:color w:val="auto"/>
          <w:sz w:val="32"/>
          <w:highlight w:val="none"/>
        </w:rPr>
        <w:br w:type="page"/>
      </w:r>
    </w:p>
    <w:p>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第七章附件</w:t>
      </w:r>
      <w:bookmarkEnd w:id="36"/>
    </w:p>
    <w:p>
      <w:pPr>
        <w:autoSpaceDE w:val="0"/>
        <w:autoSpaceDN w:val="0"/>
        <w:adjustRightInd w:val="0"/>
        <w:spacing w:before="960" w:beforeLines="400" w:line="420" w:lineRule="exact"/>
        <w:jc w:val="center"/>
        <w:rPr>
          <w:rStyle w:val="171"/>
          <w:rFonts w:ascii="宋体" w:hAnsi="宋体"/>
          <w:color w:val="auto"/>
          <w:sz w:val="32"/>
          <w:szCs w:val="32"/>
          <w:highlight w:val="none"/>
        </w:rPr>
      </w:pPr>
      <w:r>
        <w:rPr>
          <w:rStyle w:val="171"/>
          <w:rFonts w:ascii="宋体" w:hAnsi="宋体"/>
          <w:color w:val="auto"/>
          <w:sz w:val="32"/>
          <w:szCs w:val="32"/>
          <w:highlight w:val="none"/>
        </w:rPr>
        <w:t>A.</w:t>
      </w:r>
      <w:r>
        <w:rPr>
          <w:rStyle w:val="171"/>
          <w:rFonts w:hint="eastAsia" w:ascii="宋体" w:hAnsi="宋体"/>
          <w:color w:val="auto"/>
          <w:sz w:val="32"/>
          <w:szCs w:val="32"/>
          <w:highlight w:val="none"/>
        </w:rPr>
        <w:t>资格文件</w:t>
      </w:r>
    </w:p>
    <w:p>
      <w:pPr>
        <w:spacing w:line="360" w:lineRule="auto"/>
        <w:ind w:firstLine="1120" w:firstLineChars="400"/>
        <w:rPr>
          <w:rFonts w:ascii="宋体" w:hAnsi="宋体"/>
          <w:color w:val="auto"/>
          <w:sz w:val="28"/>
          <w:highlight w:val="none"/>
        </w:rPr>
      </w:pPr>
    </w:p>
    <w:p>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p>
    <w:p>
      <w:pPr>
        <w:spacing w:line="360" w:lineRule="auto"/>
        <w:rPr>
          <w:rFonts w:ascii="宋体" w:hAnsi="宋体"/>
          <w:color w:val="auto"/>
          <w:sz w:val="28"/>
          <w:szCs w:val="28"/>
          <w:highlight w:val="none"/>
        </w:rPr>
      </w:pPr>
    </w:p>
    <w:p>
      <w:pPr>
        <w:pStyle w:val="60"/>
        <w:rPr>
          <w:color w:val="auto"/>
          <w:highlight w:val="none"/>
        </w:rPr>
      </w:pPr>
    </w:p>
    <w:p>
      <w:pPr>
        <w:spacing w:line="360" w:lineRule="auto"/>
        <w:jc w:val="center"/>
        <w:rPr>
          <w:rFonts w:hint="eastAsia" w:ascii="宋体" w:hAnsi="宋体" w:eastAsia="宋体"/>
          <w:color w:val="auto"/>
          <w:sz w:val="40"/>
          <w:szCs w:val="48"/>
          <w:highlight w:val="none"/>
          <w:lang w:eastAsia="zh-CN"/>
        </w:rPr>
      </w:pPr>
      <w:r>
        <w:rPr>
          <w:rFonts w:hint="eastAsia" w:ascii="宋体" w:hAnsi="宋体"/>
          <w:b/>
          <w:color w:val="auto"/>
          <w:sz w:val="40"/>
          <w:szCs w:val="48"/>
          <w:highlight w:val="none"/>
          <w:lang w:eastAsia="zh-CN"/>
        </w:rPr>
        <w:t>慈溪滨海经济开发区灵峰路绿化养护、道路保洁、公厕保洁服务项目</w:t>
      </w:r>
    </w:p>
    <w:p>
      <w:pPr>
        <w:spacing w:line="360" w:lineRule="auto"/>
        <w:jc w:val="center"/>
        <w:rPr>
          <w:rFonts w:ascii="宋体" w:hAnsi="宋体"/>
          <w:color w:val="auto"/>
          <w:sz w:val="36"/>
          <w:szCs w:val="36"/>
          <w:highlight w:val="none"/>
        </w:rPr>
      </w:pPr>
    </w:p>
    <w:p>
      <w:pPr>
        <w:spacing w:line="360" w:lineRule="auto"/>
        <w:ind w:firstLine="2160" w:firstLineChars="600"/>
        <w:rPr>
          <w:rFonts w:ascii="宋体" w:hAnsi="宋体"/>
          <w:color w:val="auto"/>
          <w:sz w:val="36"/>
          <w:szCs w:val="36"/>
          <w:highlight w:val="none"/>
        </w:rPr>
      </w:pPr>
      <w:r>
        <w:rPr>
          <w:rFonts w:hint="eastAsia" w:ascii="宋体" w:hAnsi="宋体"/>
          <w:color w:val="auto"/>
          <w:sz w:val="36"/>
          <w:szCs w:val="36"/>
          <w:highlight w:val="none"/>
        </w:rPr>
        <w:t>项目编号：</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标项：</w:t>
      </w:r>
      <w:r>
        <w:rPr>
          <w:rFonts w:hint="eastAsia" w:ascii="宋体" w:hAnsi="宋体"/>
          <w:color w:val="auto"/>
          <w:sz w:val="36"/>
          <w:szCs w:val="36"/>
          <w:highlight w:val="none"/>
          <w:u w:val="single"/>
        </w:rPr>
        <w:t>（如有多个标项）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7"/>
        <w:ind w:left="101" w:leftChars="48" w:firstLine="1920" w:firstLineChars="800"/>
        <w:jc w:val="left"/>
        <w:rPr>
          <w:rFonts w:hAnsi="宋体"/>
          <w:color w:val="auto"/>
          <w:kern w:val="2"/>
          <w:szCs w:val="28"/>
          <w:highlight w:val="none"/>
          <w:u w:val="singl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年月日</w:t>
      </w:r>
    </w:p>
    <w:p>
      <w:pPr>
        <w:spacing w:line="360" w:lineRule="auto"/>
        <w:rPr>
          <w:rStyle w:val="171"/>
          <w:rFonts w:ascii="宋体" w:hAnsi="宋体"/>
          <w:color w:val="auto"/>
          <w:sz w:val="21"/>
          <w:szCs w:val="21"/>
          <w:highlight w:val="none"/>
        </w:rPr>
      </w:pPr>
      <w:r>
        <w:rPr>
          <w:rStyle w:val="171"/>
          <w:rFonts w:ascii="宋体" w:hAnsi="宋体"/>
          <w:color w:val="auto"/>
          <w:sz w:val="21"/>
          <w:szCs w:val="21"/>
          <w:highlight w:val="none"/>
        </w:rPr>
        <w:br w:type="page"/>
      </w:r>
    </w:p>
    <w:p>
      <w:pPr>
        <w:spacing w:line="400" w:lineRule="exact"/>
        <w:jc w:val="center"/>
        <w:rPr>
          <w:rFonts w:ascii="宋体" w:hAnsi="宋体"/>
          <w:b/>
          <w:color w:val="auto"/>
          <w:szCs w:val="21"/>
          <w:highlight w:val="none"/>
        </w:rPr>
      </w:pPr>
      <w:r>
        <w:rPr>
          <w:rFonts w:hint="eastAsia" w:ascii="宋体" w:hAnsi="宋体"/>
          <w:b/>
          <w:color w:val="auto"/>
          <w:szCs w:val="21"/>
          <w:highlight w:val="none"/>
        </w:rPr>
        <w:t>A1关于资格的承诺函</w:t>
      </w:r>
    </w:p>
    <w:p>
      <w:pPr>
        <w:spacing w:line="400" w:lineRule="exact"/>
        <w:ind w:left="540" w:firstLine="30"/>
        <w:jc w:val="center"/>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我单位满足《中华人民共和国政府采购法》第二十二条供应商参加政府采购活动应当具备的下列条件：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Style w:val="43"/>
        <w:spacing w:before="0" w:beforeAutospacing="0" w:after="0" w:afterAutospacing="0" w:line="400" w:lineRule="exact"/>
        <w:ind w:right="159" w:firstLine="660"/>
        <w:jc w:val="both"/>
        <w:rPr>
          <w:bCs/>
          <w:color w:val="auto"/>
          <w:sz w:val="21"/>
          <w:szCs w:val="21"/>
          <w:highlight w:val="none"/>
        </w:rPr>
      </w:pPr>
    </w:p>
    <w:p>
      <w:pPr>
        <w:pStyle w:val="43"/>
        <w:spacing w:before="0" w:beforeAutospacing="0" w:after="0" w:afterAutospacing="0" w:line="400" w:lineRule="exact"/>
        <w:ind w:right="159" w:firstLine="660"/>
        <w:jc w:val="both"/>
        <w:rPr>
          <w:bCs/>
          <w:color w:val="auto"/>
          <w:sz w:val="21"/>
          <w:szCs w:val="21"/>
          <w:highlight w:val="none"/>
        </w:rPr>
      </w:pPr>
    </w:p>
    <w:p>
      <w:pPr>
        <w:spacing w:line="400" w:lineRule="exact"/>
        <w:rPr>
          <w:bCs/>
          <w:color w:val="auto"/>
          <w:szCs w:val="21"/>
          <w:highlight w:val="none"/>
        </w:rPr>
      </w:pPr>
      <w:r>
        <w:rPr>
          <w:rFonts w:hint="eastAsia" w:ascii="宋体" w:hAnsi="宋体"/>
          <w:bCs/>
          <w:color w:val="auto"/>
          <w:szCs w:val="21"/>
          <w:highlight w:val="none"/>
        </w:rPr>
        <w:t>注：</w:t>
      </w:r>
      <w:r>
        <w:rPr>
          <w:rFonts w:hint="eastAsia"/>
          <w:bCs/>
          <w:color w:val="auto"/>
          <w:szCs w:val="21"/>
          <w:highlight w:val="none"/>
        </w:rPr>
        <w:t>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color w:val="auto"/>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r>
        <w:rPr>
          <w:rStyle w:val="171"/>
          <w:rFonts w:ascii="宋体" w:hAnsi="宋体"/>
          <w:color w:val="auto"/>
          <w:sz w:val="21"/>
          <w:szCs w:val="21"/>
          <w:highlight w:val="none"/>
        </w:rPr>
        <w:br w:type="page"/>
      </w:r>
      <w:r>
        <w:rPr>
          <w:rFonts w:hint="eastAsia" w:ascii="宋体" w:hAnsi="宋体"/>
          <w:b/>
          <w:color w:val="auto"/>
          <w:szCs w:val="21"/>
          <w:highlight w:val="none"/>
        </w:rPr>
        <w:t>A2、营业执照（或事业法人登记证或其他登记证明材料）复印件加盖供应商公章（供应商如果有名称变更的，应提供由行政主管部门出具的变更证明文件复印件加盖供应商公章）；</w:t>
      </w:r>
    </w:p>
    <w:p>
      <w:pPr>
        <w:spacing w:line="400" w:lineRule="exact"/>
        <w:jc w:val="left"/>
        <w:rPr>
          <w:rStyle w:val="171"/>
          <w:rFonts w:ascii="宋体" w:hAnsi="宋体"/>
          <w:color w:val="auto"/>
          <w:sz w:val="21"/>
          <w:szCs w:val="21"/>
          <w:highlight w:val="none"/>
        </w:rPr>
      </w:pPr>
    </w:p>
    <w:p>
      <w:pPr>
        <w:spacing w:line="400" w:lineRule="exact"/>
        <w:rPr>
          <w:rStyle w:val="171"/>
          <w:rFonts w:ascii="宋体" w:hAnsi="宋体"/>
          <w:color w:val="auto"/>
          <w:sz w:val="28"/>
          <w:szCs w:val="28"/>
          <w:highlight w:val="none"/>
        </w:rPr>
      </w:pPr>
      <w:r>
        <w:rPr>
          <w:rStyle w:val="171"/>
          <w:rFonts w:ascii="宋体" w:hAnsi="宋体"/>
          <w:color w:val="auto"/>
          <w:sz w:val="21"/>
          <w:szCs w:val="21"/>
          <w:highlight w:val="none"/>
        </w:rPr>
        <w:br w:type="page"/>
      </w:r>
    </w:p>
    <w:p>
      <w:pPr>
        <w:autoSpaceDE w:val="0"/>
        <w:autoSpaceDN w:val="0"/>
        <w:adjustRightInd w:val="0"/>
        <w:spacing w:before="960" w:beforeLines="400" w:line="420" w:lineRule="exact"/>
        <w:jc w:val="center"/>
        <w:rPr>
          <w:rStyle w:val="171"/>
          <w:rFonts w:ascii="宋体" w:hAnsi="宋体"/>
          <w:color w:val="auto"/>
          <w:sz w:val="32"/>
          <w:szCs w:val="32"/>
          <w:highlight w:val="none"/>
        </w:rPr>
      </w:pPr>
      <w:bookmarkStart w:id="37" w:name="_Toc74987461"/>
      <w:bookmarkStart w:id="38" w:name="_Toc74987429"/>
      <w:bookmarkStart w:id="39" w:name="_Toc21541026"/>
      <w:r>
        <w:rPr>
          <w:rStyle w:val="171"/>
          <w:rFonts w:ascii="宋体" w:hAnsi="宋体"/>
          <w:color w:val="auto"/>
          <w:sz w:val="32"/>
          <w:szCs w:val="32"/>
          <w:highlight w:val="none"/>
        </w:rPr>
        <w:t>B.</w:t>
      </w:r>
      <w:r>
        <w:rPr>
          <w:rStyle w:val="171"/>
          <w:rFonts w:hint="eastAsia" w:ascii="宋体" w:hAnsi="宋体"/>
          <w:color w:val="auto"/>
          <w:sz w:val="32"/>
          <w:szCs w:val="32"/>
          <w:highlight w:val="none"/>
        </w:rPr>
        <w:t>商务和技术文件</w:t>
      </w:r>
      <w:bookmarkEnd w:id="37"/>
      <w:bookmarkEnd w:id="38"/>
      <w:bookmarkEnd w:id="39"/>
    </w:p>
    <w:p>
      <w:pPr>
        <w:autoSpaceDE w:val="0"/>
        <w:autoSpaceDN w:val="0"/>
        <w:adjustRightInd w:val="0"/>
        <w:spacing w:line="420" w:lineRule="exact"/>
        <w:rPr>
          <w:rStyle w:val="171"/>
          <w:rFonts w:ascii="宋体" w:hAnsi="宋体"/>
          <w:b w:val="0"/>
          <w:color w:val="auto"/>
          <w:highlight w:val="none"/>
          <w:lang w:val="zh-CN"/>
        </w:rPr>
      </w:pPr>
      <w:r>
        <w:rPr>
          <w:rStyle w:val="171"/>
          <w:rFonts w:ascii="宋体" w:hAnsi="宋体"/>
          <w:color w:val="auto"/>
          <w:sz w:val="32"/>
          <w:szCs w:val="32"/>
          <w:highlight w:val="none"/>
        </w:rPr>
        <w:br w:type="page"/>
      </w:r>
      <w:r>
        <w:rPr>
          <w:rStyle w:val="171"/>
          <w:rFonts w:hint="eastAsia" w:ascii="宋体" w:hAnsi="宋体"/>
          <w:color w:val="auto"/>
          <w:sz w:val="21"/>
          <w:szCs w:val="21"/>
          <w:highlight w:val="none"/>
        </w:rPr>
        <w:t>封面</w:t>
      </w:r>
    </w:p>
    <w:p>
      <w:pPr>
        <w:spacing w:line="360" w:lineRule="auto"/>
        <w:rPr>
          <w:rFonts w:ascii="宋体" w:hAnsi="宋体"/>
          <w:color w:val="auto"/>
          <w:sz w:val="28"/>
          <w:szCs w:val="28"/>
          <w:highlight w:val="none"/>
        </w:rPr>
      </w:pPr>
    </w:p>
    <w:p>
      <w:pPr>
        <w:pStyle w:val="60"/>
        <w:rPr>
          <w:color w:val="auto"/>
          <w:highlight w:val="none"/>
        </w:rPr>
      </w:pPr>
    </w:p>
    <w:p>
      <w:pPr>
        <w:spacing w:line="360" w:lineRule="auto"/>
        <w:jc w:val="center"/>
        <w:rPr>
          <w:rFonts w:hint="eastAsia" w:ascii="宋体" w:hAnsi="宋体" w:eastAsia="宋体"/>
          <w:color w:val="auto"/>
          <w:sz w:val="40"/>
          <w:szCs w:val="48"/>
          <w:highlight w:val="none"/>
          <w:u w:val="single"/>
          <w:lang w:eastAsia="zh-CN"/>
        </w:rPr>
      </w:pPr>
      <w:r>
        <w:rPr>
          <w:rFonts w:hint="eastAsia" w:ascii="宋体" w:hAnsi="宋体"/>
          <w:b/>
          <w:color w:val="auto"/>
          <w:sz w:val="40"/>
          <w:szCs w:val="48"/>
          <w:highlight w:val="none"/>
          <w:lang w:eastAsia="zh-CN"/>
        </w:rPr>
        <w:t>慈溪滨海经济开发区灵峰路绿化养护、道路保洁、公厕保洁服务项目</w:t>
      </w:r>
    </w:p>
    <w:p>
      <w:pPr>
        <w:spacing w:line="360" w:lineRule="auto"/>
        <w:ind w:firstLine="2520" w:firstLineChars="700"/>
        <w:rPr>
          <w:rFonts w:hint="default" w:ascii="宋体" w:hAnsi="宋体" w:eastAsia="宋体"/>
          <w:color w:val="auto"/>
          <w:sz w:val="36"/>
          <w:szCs w:val="36"/>
          <w:highlight w:val="none"/>
          <w:u w:val="single"/>
          <w:lang w:val="en-US"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val="en-US" w:eastAsia="zh-CN"/>
        </w:rPr>
        <w:t xml:space="preserve">            </w:t>
      </w:r>
    </w:p>
    <w:p>
      <w:pPr>
        <w:spacing w:line="360" w:lineRule="auto"/>
        <w:ind w:firstLine="2700" w:firstLineChars="750"/>
        <w:rPr>
          <w:rFonts w:ascii="宋体" w:hAnsi="宋体"/>
          <w:color w:val="auto"/>
          <w:sz w:val="36"/>
          <w:szCs w:val="36"/>
          <w:highlight w:val="none"/>
        </w:rPr>
      </w:pPr>
      <w:r>
        <w:rPr>
          <w:rFonts w:hint="eastAsia" w:ascii="宋体" w:hAnsi="宋体"/>
          <w:color w:val="auto"/>
          <w:sz w:val="36"/>
          <w:szCs w:val="36"/>
          <w:highlight w:val="none"/>
          <w:u w:val="single"/>
        </w:rPr>
        <w:t>标项：（如有多个标项）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7"/>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71"/>
          <w:rFonts w:ascii="宋体" w:hAnsi="宋体"/>
          <w:color w:val="auto"/>
          <w:sz w:val="28"/>
          <w:szCs w:val="28"/>
          <w:highlight w:val="none"/>
        </w:rPr>
      </w:pPr>
      <w:bookmarkStart w:id="40" w:name="_Toc21541027"/>
      <w:bookmarkStart w:id="41" w:name="_Toc27777"/>
      <w:bookmarkStart w:id="42" w:name="_Toc6520"/>
      <w:bookmarkStart w:id="43" w:name="_Toc74987561"/>
      <w:bookmarkStart w:id="44" w:name="_Toc74987430"/>
      <w:bookmarkStart w:id="45" w:name="_Toc74987462"/>
      <w:bookmarkStart w:id="46" w:name="_Toc85732608"/>
      <w:r>
        <w:rPr>
          <w:rFonts w:hint="eastAsia" w:ascii="宋体" w:hAnsi="宋体"/>
          <w:color w:val="auto"/>
          <w:sz w:val="36"/>
          <w:szCs w:val="36"/>
          <w:highlight w:val="none"/>
        </w:rPr>
        <w:t>年月日</w:t>
      </w:r>
      <w:bookmarkEnd w:id="40"/>
      <w:bookmarkEnd w:id="41"/>
      <w:bookmarkEnd w:id="42"/>
      <w:bookmarkEnd w:id="43"/>
      <w:bookmarkEnd w:id="44"/>
      <w:bookmarkEnd w:id="45"/>
      <w:bookmarkEnd w:id="46"/>
    </w:p>
    <w:p>
      <w:pPr>
        <w:spacing w:line="360" w:lineRule="auto"/>
        <w:ind w:firstLine="4200" w:firstLineChars="2000"/>
        <w:jc w:val="left"/>
        <w:rPr>
          <w:rFonts w:ascii="宋体" w:hAnsi="宋体"/>
          <w:color w:val="auto"/>
          <w:szCs w:val="21"/>
          <w:highlight w:val="none"/>
        </w:rPr>
      </w:pPr>
    </w:p>
    <w:p>
      <w:pPr>
        <w:spacing w:line="360" w:lineRule="auto"/>
        <w:jc w:val="center"/>
        <w:rPr>
          <w:rFonts w:ascii="宋体" w:hAnsi="宋体"/>
          <w:b/>
          <w:color w:val="auto"/>
          <w:szCs w:val="21"/>
          <w:highlight w:val="none"/>
        </w:rPr>
      </w:pPr>
      <w:r>
        <w:rPr>
          <w:rStyle w:val="171"/>
          <w:rFonts w:ascii="宋体" w:hAnsi="宋体"/>
          <w:color w:val="auto"/>
          <w:sz w:val="21"/>
          <w:szCs w:val="21"/>
          <w:highlight w:val="none"/>
        </w:rPr>
        <w:br w:type="page"/>
      </w:r>
      <w:r>
        <w:rPr>
          <w:rFonts w:hint="eastAsia" w:ascii="宋体" w:hAnsi="宋体"/>
          <w:b/>
          <w:color w:val="auto"/>
          <w:szCs w:val="21"/>
          <w:highlight w:val="none"/>
        </w:rPr>
        <w:t>B1投标书</w:t>
      </w: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宁波广兴工程管理有限公司</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（全名、职务）</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慈溪滨海经济开发区灵峰路绿化养护、道路保洁、公厕保洁服务项目</w:t>
      </w:r>
      <w:r>
        <w:rPr>
          <w:rFonts w:hint="eastAsia" w:ascii="宋体" w:hAnsi="宋体"/>
          <w:color w:val="auto"/>
          <w:szCs w:val="21"/>
          <w:highlight w:val="none"/>
        </w:rPr>
        <w:t>（项目编号：）招标活动并投标，为便于采购人公正、择优地确定中标供应商及其服务，我方就本次投标有关事项郑重声明如下：</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color w:val="auto"/>
          <w:highlight w:val="none"/>
        </w:rPr>
        <w:t>保证遵守招标文件有关条款规定。</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400" w:lineRule="exact"/>
        <w:ind w:firstLine="420" w:firstLineChars="200"/>
        <w:jc w:val="left"/>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color w:val="auto"/>
          <w:highlight w:val="none"/>
        </w:rPr>
        <w:t>保证在中标后忠实地执行与采购人所签署的合同，并承担合同规定的责任义务。</w:t>
      </w:r>
    </w:p>
    <w:p>
      <w:pPr>
        <w:spacing w:line="400" w:lineRule="exact"/>
        <w:ind w:firstLine="420" w:firstLineChars="200"/>
        <w:jc w:val="left"/>
        <w:rPr>
          <w:rFonts w:ascii="宋体"/>
          <w:color w:val="auto"/>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9、</w:t>
      </w:r>
      <w:r>
        <w:rPr>
          <w:rFonts w:hint="eastAsia"/>
          <w:color w:val="auto"/>
          <w:highlight w:val="none"/>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10、与本投标有关的一切正式来往通讯请寄：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地址：邮编：。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电话：传真：。</w:t>
      </w:r>
    </w:p>
    <w:p>
      <w:pPr>
        <w:spacing w:line="400" w:lineRule="exact"/>
        <w:ind w:left="540" w:firstLine="30"/>
        <w:jc w:val="left"/>
        <w:rPr>
          <w:rFonts w:ascii="宋体" w:hAnsi="宋体"/>
          <w:color w:val="auto"/>
          <w:szCs w:val="21"/>
          <w:highlight w:val="none"/>
        </w:rPr>
      </w:pPr>
    </w:p>
    <w:p>
      <w:pPr>
        <w:spacing w:line="400" w:lineRule="exac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日期：</w:t>
      </w:r>
    </w:p>
    <w:p>
      <w:pPr>
        <w:spacing w:line="360" w:lineRule="auto"/>
        <w:jc w:val="center"/>
        <w:rPr>
          <w:rFonts w:ascii="宋体" w:hAnsi="宋体"/>
          <w:b/>
          <w:color w:val="auto"/>
          <w:szCs w:val="21"/>
          <w:highlight w:val="none"/>
        </w:rPr>
      </w:pPr>
      <w:r>
        <w:rPr>
          <w:rStyle w:val="171"/>
          <w:rFonts w:ascii="宋体" w:hAnsi="宋体"/>
          <w:color w:val="auto"/>
          <w:sz w:val="21"/>
          <w:szCs w:val="21"/>
          <w:highlight w:val="none"/>
        </w:rPr>
        <w:br w:type="page"/>
      </w:r>
      <w:r>
        <w:rPr>
          <w:rStyle w:val="171"/>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成立时间：年月日</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姓名：性别：年龄：职务：</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后附：法定代表人身份证复印件（不同页的须加盖供应商公章）。</w:t>
      </w:r>
    </w:p>
    <w:p>
      <w:pPr>
        <w:spacing w:line="400" w:lineRule="atLeast"/>
        <w:rPr>
          <w:rFonts w:ascii="宋体" w:hAnsi="宋体"/>
          <w:color w:val="auto"/>
          <w:szCs w:val="21"/>
          <w:highlight w:val="none"/>
          <w:u w:val="single"/>
        </w:rPr>
      </w:pPr>
    </w:p>
    <w:p>
      <w:pPr>
        <w:spacing w:line="400" w:lineRule="exact"/>
        <w:jc w:val="center"/>
        <w:rPr>
          <w:rFonts w:ascii="宋体" w:hAnsi="宋体"/>
          <w:b/>
          <w:color w:val="auto"/>
          <w:szCs w:val="21"/>
          <w:highlight w:val="none"/>
        </w:rPr>
      </w:pPr>
      <w:r>
        <w:rPr>
          <w:rStyle w:val="171"/>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360" w:lineRule="auto"/>
        <w:rPr>
          <w:rFonts w:ascii="宋体" w:hAnsi="宋体"/>
          <w:color w:val="auto"/>
          <w:szCs w:val="21"/>
          <w:highlight w:val="none"/>
        </w:rPr>
      </w:pPr>
      <w:r>
        <w:rPr>
          <w:rFonts w:hint="eastAsia" w:ascii="宋体" w:hAnsi="宋体"/>
          <w:color w:val="auto"/>
          <w:szCs w:val="21"/>
          <w:highlight w:val="none"/>
        </w:rPr>
        <w:t>致：采购人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慈溪滨海经济开发区灵峰路绿化养护、道路保洁、公厕保洁服务项目</w:t>
      </w:r>
      <w:r>
        <w:rPr>
          <w:rFonts w:hint="eastAsia" w:ascii="宋体" w:hAnsi="宋体"/>
          <w:color w:val="auto"/>
          <w:szCs w:val="21"/>
          <w:highlight w:val="none"/>
        </w:rPr>
        <w:t>，项目编号为</w:t>
      </w:r>
      <w:r>
        <w:rPr>
          <w:rFonts w:hint="eastAsia" w:ascii="宋体" w:hAnsi="宋体"/>
          <w:color w:val="auto"/>
          <w:szCs w:val="21"/>
          <w:highlight w:val="none"/>
          <w:u w:val="single"/>
        </w:rPr>
        <w:t xml:space="preserve">         </w:t>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p>
    <w:p>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、授权代表身份证复印件（不同页的须加盖供应商公章）；</w:t>
      </w:r>
    </w:p>
    <w:p>
      <w:pPr>
        <w:spacing w:line="360" w:lineRule="auto"/>
        <w:ind w:firstLine="517" w:firstLineChars="250"/>
        <w:jc w:val="center"/>
        <w:rPr>
          <w:rFonts w:ascii="宋体" w:hAnsi="宋体"/>
          <w:b/>
          <w:color w:val="auto"/>
          <w:szCs w:val="21"/>
          <w:highlight w:val="none"/>
        </w:rPr>
      </w:pPr>
      <w:r>
        <w:rPr>
          <w:rStyle w:val="171"/>
          <w:rFonts w:ascii="宋体" w:hAnsi="宋体"/>
          <w:color w:val="auto"/>
          <w:sz w:val="21"/>
          <w:szCs w:val="21"/>
          <w:highlight w:val="none"/>
        </w:rPr>
        <w:br w:type="page"/>
      </w:r>
    </w:p>
    <w:p>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1</w:t>
            </w:r>
          </w:p>
        </w:tc>
        <w:tc>
          <w:tcPr>
            <w:tcW w:w="8147" w:type="dxa"/>
            <w:gridSpan w:val="3"/>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2</w:t>
            </w:r>
          </w:p>
        </w:tc>
        <w:tc>
          <w:tcPr>
            <w:tcW w:w="8147" w:type="dxa"/>
            <w:gridSpan w:val="3"/>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3</w:t>
            </w:r>
          </w:p>
        </w:tc>
        <w:tc>
          <w:tcPr>
            <w:tcW w:w="8147" w:type="dxa"/>
            <w:gridSpan w:val="3"/>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4</w:t>
            </w:r>
          </w:p>
        </w:tc>
        <w:tc>
          <w:tcPr>
            <w:tcW w:w="4305" w:type="dxa"/>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电话：</w:t>
            </w:r>
          </w:p>
        </w:tc>
        <w:tc>
          <w:tcPr>
            <w:tcW w:w="3842" w:type="dxa"/>
            <w:gridSpan w:val="2"/>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5</w:t>
            </w:r>
          </w:p>
        </w:tc>
        <w:tc>
          <w:tcPr>
            <w:tcW w:w="4305" w:type="dxa"/>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传真：</w:t>
            </w:r>
          </w:p>
        </w:tc>
        <w:tc>
          <w:tcPr>
            <w:tcW w:w="3842" w:type="dxa"/>
            <w:gridSpan w:val="2"/>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6</w:t>
            </w:r>
          </w:p>
        </w:tc>
        <w:tc>
          <w:tcPr>
            <w:tcW w:w="4305" w:type="dxa"/>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7</w:t>
            </w:r>
          </w:p>
        </w:tc>
        <w:tc>
          <w:tcPr>
            <w:tcW w:w="8147" w:type="dxa"/>
            <w:gridSpan w:val="3"/>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8</w:t>
            </w:r>
          </w:p>
        </w:tc>
        <w:tc>
          <w:tcPr>
            <w:tcW w:w="8147" w:type="dxa"/>
            <w:gridSpan w:val="3"/>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9</w:t>
            </w:r>
          </w:p>
        </w:tc>
        <w:tc>
          <w:tcPr>
            <w:tcW w:w="4314" w:type="dxa"/>
            <w:gridSpan w:val="2"/>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10</w:t>
            </w:r>
          </w:p>
        </w:tc>
        <w:tc>
          <w:tcPr>
            <w:tcW w:w="4314" w:type="dxa"/>
            <w:gridSpan w:val="2"/>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default" w:ascii="宋体" w:hAnsi="宋体"/>
                <w:color w:val="auto"/>
                <w:szCs w:val="21"/>
                <w:highlight w:val="none"/>
              </w:rPr>
              <w:t>11</w:t>
            </w:r>
          </w:p>
        </w:tc>
        <w:tc>
          <w:tcPr>
            <w:tcW w:w="4314" w:type="dxa"/>
            <w:gridSpan w:val="2"/>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r>
    </w:tbl>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w:t>
      </w:r>
    </w:p>
    <w:p>
      <w:pPr>
        <w:spacing w:line="360" w:lineRule="auto"/>
        <w:rPr>
          <w:rStyle w:val="171"/>
          <w:rFonts w:ascii="宋体" w:hAnsi="宋体"/>
          <w:color w:val="auto"/>
          <w:sz w:val="21"/>
          <w:szCs w:val="21"/>
          <w:highlight w:val="none"/>
        </w:rPr>
      </w:pPr>
      <w:r>
        <w:rPr>
          <w:rFonts w:ascii="宋体" w:hAnsi="宋体"/>
          <w:color w:val="auto"/>
          <w:szCs w:val="21"/>
          <w:highlight w:val="none"/>
        </w:rPr>
        <w:br w:type="page"/>
      </w:r>
    </w:p>
    <w:p>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慈溪滨海经济开发区灵峰路绿化养护、道路保洁、公厕保洁服务项目</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369"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369"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369"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369"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369"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bl>
    <w:p>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注：须与商务条款逐项比较填写。</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bookmarkStart w:id="47" w:name="_Toc436408720"/>
      <w:bookmarkStart w:id="48" w:name="_Toc441316563"/>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日期：</w:t>
      </w:r>
    </w:p>
    <w:p>
      <w:pPr>
        <w:spacing w:line="360" w:lineRule="auto"/>
        <w:jc w:val="center"/>
        <w:rPr>
          <w:rFonts w:ascii="宋体" w:hAnsi="宋体"/>
          <w:b/>
          <w:color w:val="auto"/>
          <w:szCs w:val="21"/>
          <w:highlight w:val="none"/>
        </w:rPr>
      </w:pPr>
      <w:r>
        <w:rPr>
          <w:rFonts w:ascii="宋体" w:hAnsi="宋体"/>
          <w:color w:val="auto"/>
          <w:szCs w:val="21"/>
          <w:highlight w:val="none"/>
        </w:rPr>
        <w:br w:type="page"/>
      </w:r>
      <w:bookmarkEnd w:id="47"/>
      <w:bookmarkStart w:id="49" w:name="_Toc441316564"/>
    </w:p>
    <w:p>
      <w:pPr>
        <w:spacing w:line="360" w:lineRule="auto"/>
        <w:jc w:val="center"/>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6</w:t>
      </w:r>
      <w:r>
        <w:rPr>
          <w:rFonts w:hint="eastAsia" w:ascii="宋体" w:hAnsi="宋体"/>
          <w:b/>
          <w:bCs/>
          <w:color w:val="auto"/>
          <w:szCs w:val="21"/>
          <w:highlight w:val="none"/>
        </w:rPr>
        <w:t>合同条款响应表</w:t>
      </w:r>
    </w:p>
    <w:p>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慈溪滨海经济开发区灵峰路绿化养护、道路保洁、公厕保洁服务项目</w:t>
      </w:r>
    </w:p>
    <w:p>
      <w:pPr>
        <w:adjustRightInd w:val="0"/>
        <w:snapToGrid w:val="0"/>
        <w:spacing w:line="360" w:lineRule="auto"/>
        <w:rPr>
          <w:rFonts w:ascii="宋体" w:hAnsi="宋体"/>
          <w:b/>
          <w:bCs/>
          <w:color w:val="auto"/>
          <w:szCs w:val="21"/>
          <w:highlight w:val="none"/>
        </w:rPr>
      </w:pPr>
      <w:r>
        <w:rPr>
          <w:rFonts w:hint="eastAsia" w:ascii="宋体" w:hAnsi="宋体"/>
          <w:color w:val="auto"/>
          <w:szCs w:val="21"/>
          <w:highlight w:val="none"/>
        </w:rPr>
        <w:t>项目编号：</w:t>
      </w:r>
    </w:p>
    <w:tbl>
      <w:tblPr>
        <w:tblStyle w:val="4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四章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日期：</w:t>
      </w:r>
    </w:p>
    <w:p>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B7</w:t>
      </w:r>
      <w:r>
        <w:rPr>
          <w:rFonts w:hint="eastAsia" w:ascii="宋体" w:hAnsi="宋体"/>
          <w:b/>
          <w:bCs/>
          <w:color w:val="auto"/>
          <w:szCs w:val="21"/>
          <w:highlight w:val="none"/>
        </w:rPr>
        <w:t>技术条款响应表</w:t>
      </w:r>
    </w:p>
    <w:p>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慈溪滨海经济开发区灵峰路绿化养护、道路保洁、公厕保洁服务项目</w:t>
      </w:r>
    </w:p>
    <w:p>
      <w:pPr>
        <w:adjustRightInd w:val="0"/>
        <w:snapToGrid w:val="0"/>
        <w:spacing w:line="360" w:lineRule="auto"/>
        <w:rPr>
          <w:rFonts w:ascii="宋体" w:hAnsi="宋体"/>
          <w:b/>
          <w:bCs/>
          <w:color w:val="auto"/>
          <w:szCs w:val="21"/>
          <w:highlight w:val="none"/>
        </w:rPr>
      </w:pPr>
      <w:r>
        <w:rPr>
          <w:rFonts w:hint="eastAsia" w:ascii="宋体" w:hAnsi="宋体"/>
          <w:color w:val="auto"/>
          <w:szCs w:val="21"/>
          <w:highlight w:val="none"/>
        </w:rPr>
        <w:t>项目编号：</w:t>
      </w:r>
    </w:p>
    <w:tbl>
      <w:tblPr>
        <w:tblStyle w:val="4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24"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835"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2533"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w:t>
      </w:r>
    </w:p>
    <w:p>
      <w:pPr>
        <w:spacing w:line="400" w:lineRule="atLeast"/>
        <w:rPr>
          <w:rFonts w:ascii="宋体" w:hAnsi="宋体"/>
          <w:color w:val="auto"/>
          <w:szCs w:val="21"/>
          <w:highlight w:val="none"/>
          <w:u w:val="single"/>
        </w:rPr>
      </w:pPr>
    </w:p>
    <w:p>
      <w:pPr>
        <w:spacing w:line="400" w:lineRule="exact"/>
        <w:rPr>
          <w:rStyle w:val="171"/>
          <w:rFonts w:ascii="宋体" w:hAnsi="宋体"/>
          <w:color w:val="auto"/>
          <w:sz w:val="21"/>
          <w:szCs w:val="21"/>
          <w:highlight w:val="none"/>
        </w:rPr>
      </w:pPr>
      <w:r>
        <w:rPr>
          <w:rStyle w:val="171"/>
          <w:rFonts w:ascii="宋体" w:hAnsi="宋体"/>
          <w:color w:val="auto"/>
          <w:sz w:val="21"/>
          <w:szCs w:val="21"/>
          <w:highlight w:val="none"/>
        </w:rPr>
        <w:br w:type="page"/>
      </w: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autoSpaceDE w:val="0"/>
        <w:autoSpaceDN w:val="0"/>
        <w:adjustRightInd w:val="0"/>
        <w:spacing w:before="960" w:beforeLines="400" w:line="420" w:lineRule="exact"/>
        <w:jc w:val="center"/>
        <w:rPr>
          <w:rStyle w:val="171"/>
          <w:rFonts w:ascii="宋体" w:hAnsi="宋体"/>
          <w:color w:val="auto"/>
          <w:sz w:val="32"/>
          <w:szCs w:val="32"/>
          <w:highlight w:val="none"/>
        </w:rPr>
      </w:pPr>
      <w:bookmarkStart w:id="50" w:name="_Toc74987431"/>
      <w:bookmarkStart w:id="51" w:name="_Toc74987463"/>
      <w:bookmarkStart w:id="52" w:name="_Toc21541028"/>
      <w:bookmarkStart w:id="53" w:name="_Toc443468293"/>
      <w:r>
        <w:rPr>
          <w:rStyle w:val="171"/>
          <w:rFonts w:ascii="宋体" w:hAnsi="宋体"/>
          <w:color w:val="auto"/>
          <w:sz w:val="32"/>
          <w:szCs w:val="32"/>
          <w:highlight w:val="none"/>
        </w:rPr>
        <w:t>C.</w:t>
      </w:r>
      <w:r>
        <w:rPr>
          <w:rStyle w:val="171"/>
          <w:rFonts w:hint="eastAsia" w:ascii="宋体" w:hAnsi="宋体"/>
          <w:color w:val="auto"/>
          <w:sz w:val="32"/>
          <w:szCs w:val="32"/>
          <w:highlight w:val="none"/>
        </w:rPr>
        <w:t>报价文件</w:t>
      </w:r>
      <w:bookmarkEnd w:id="50"/>
      <w:bookmarkEnd w:id="51"/>
      <w:bookmarkEnd w:id="52"/>
      <w:bookmarkEnd w:id="53"/>
    </w:p>
    <w:p>
      <w:pPr>
        <w:autoSpaceDE w:val="0"/>
        <w:autoSpaceDN w:val="0"/>
        <w:adjustRightInd w:val="0"/>
        <w:spacing w:line="420" w:lineRule="exact"/>
        <w:rPr>
          <w:rStyle w:val="171"/>
          <w:rFonts w:ascii="宋体" w:hAnsi="宋体"/>
          <w:b w:val="0"/>
          <w:color w:val="auto"/>
          <w:highlight w:val="none"/>
          <w:lang w:val="zh-CN"/>
        </w:rPr>
      </w:pPr>
      <w:r>
        <w:rPr>
          <w:rStyle w:val="171"/>
          <w:rFonts w:ascii="宋体" w:hAnsi="宋体"/>
          <w:color w:val="auto"/>
          <w:sz w:val="32"/>
          <w:szCs w:val="32"/>
          <w:highlight w:val="none"/>
        </w:rPr>
        <w:br w:type="page"/>
      </w:r>
      <w:r>
        <w:rPr>
          <w:rStyle w:val="171"/>
          <w:rFonts w:hint="eastAsia" w:ascii="宋体" w:hAnsi="宋体"/>
          <w:color w:val="auto"/>
          <w:sz w:val="21"/>
          <w:szCs w:val="21"/>
          <w:highlight w:val="none"/>
        </w:rPr>
        <w:t>封面</w:t>
      </w:r>
    </w:p>
    <w:p>
      <w:pPr>
        <w:spacing w:line="360" w:lineRule="auto"/>
        <w:rPr>
          <w:rFonts w:ascii="宋体" w:hAnsi="宋体"/>
          <w:color w:val="auto"/>
          <w:sz w:val="28"/>
          <w:szCs w:val="28"/>
          <w:highlight w:val="none"/>
        </w:rPr>
      </w:pPr>
    </w:p>
    <w:p>
      <w:pPr>
        <w:pStyle w:val="60"/>
        <w:rPr>
          <w:color w:val="auto"/>
          <w:highlight w:val="none"/>
        </w:rPr>
      </w:pPr>
    </w:p>
    <w:p>
      <w:pPr>
        <w:spacing w:line="360" w:lineRule="auto"/>
        <w:jc w:val="center"/>
        <w:rPr>
          <w:rFonts w:hint="eastAsia" w:ascii="宋体" w:hAnsi="宋体" w:eastAsia="宋体"/>
          <w:color w:val="auto"/>
          <w:sz w:val="40"/>
          <w:szCs w:val="48"/>
          <w:highlight w:val="none"/>
          <w:u w:val="single"/>
          <w:lang w:eastAsia="zh-CN"/>
        </w:rPr>
      </w:pPr>
      <w:r>
        <w:rPr>
          <w:rFonts w:hint="eastAsia" w:ascii="宋体" w:hAnsi="宋体"/>
          <w:b/>
          <w:color w:val="auto"/>
          <w:sz w:val="40"/>
          <w:szCs w:val="48"/>
          <w:highlight w:val="none"/>
          <w:lang w:eastAsia="zh-CN"/>
        </w:rPr>
        <w:t>慈溪滨海经济开发区灵峰路绿化养护、道路保洁、公厕保洁服务项目</w:t>
      </w:r>
    </w:p>
    <w:p>
      <w:pPr>
        <w:spacing w:line="360" w:lineRule="auto"/>
        <w:jc w:val="center"/>
        <w:rPr>
          <w:rFonts w:ascii="宋体" w:hAnsi="宋体"/>
          <w:color w:val="auto"/>
          <w:sz w:val="36"/>
          <w:szCs w:val="36"/>
          <w:highlight w:val="none"/>
          <w:u w:val="single"/>
        </w:rPr>
      </w:pPr>
    </w:p>
    <w:p>
      <w:pPr>
        <w:spacing w:line="360" w:lineRule="auto"/>
        <w:ind w:firstLine="2160" w:firstLineChars="600"/>
        <w:rPr>
          <w:rFonts w:ascii="宋体" w:hAnsi="宋体"/>
          <w:color w:val="auto"/>
          <w:sz w:val="36"/>
          <w:szCs w:val="36"/>
          <w:highlight w:val="none"/>
          <w:u w:val="single"/>
        </w:rPr>
      </w:pPr>
      <w:r>
        <w:rPr>
          <w:rFonts w:hint="eastAsia" w:ascii="宋体" w:hAnsi="宋体"/>
          <w:color w:val="auto"/>
          <w:sz w:val="36"/>
          <w:szCs w:val="36"/>
          <w:highlight w:val="none"/>
          <w:u w:val="single"/>
        </w:rPr>
        <w:t>项目编号：</w:t>
      </w:r>
    </w:p>
    <w:p>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标项：（如有多个标项）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7"/>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71"/>
          <w:rFonts w:ascii="宋体" w:hAnsi="宋体"/>
          <w:color w:val="auto"/>
          <w:sz w:val="28"/>
          <w:szCs w:val="28"/>
          <w:highlight w:val="none"/>
        </w:rPr>
      </w:pPr>
      <w:bookmarkStart w:id="54" w:name="_Toc74987464"/>
      <w:bookmarkStart w:id="55" w:name="_Toc745"/>
      <w:bookmarkStart w:id="56" w:name="_Toc85732609"/>
      <w:bookmarkStart w:id="57" w:name="_Toc21541029"/>
      <w:bookmarkStart w:id="58" w:name="_Toc443468294"/>
      <w:bookmarkStart w:id="59" w:name="_Toc74987562"/>
      <w:bookmarkStart w:id="60" w:name="_Toc1675"/>
      <w:bookmarkStart w:id="61" w:name="_Toc74987432"/>
      <w:r>
        <w:rPr>
          <w:rFonts w:hint="eastAsia" w:ascii="宋体" w:hAnsi="宋体"/>
          <w:color w:val="auto"/>
          <w:sz w:val="36"/>
          <w:szCs w:val="36"/>
          <w:highlight w:val="none"/>
        </w:rPr>
        <w:t>年月日</w:t>
      </w:r>
      <w:bookmarkEnd w:id="54"/>
      <w:bookmarkEnd w:id="55"/>
      <w:bookmarkEnd w:id="56"/>
      <w:bookmarkEnd w:id="57"/>
      <w:bookmarkEnd w:id="58"/>
      <w:bookmarkEnd w:id="59"/>
      <w:bookmarkEnd w:id="60"/>
      <w:bookmarkEnd w:id="61"/>
    </w:p>
    <w:p>
      <w:pPr>
        <w:autoSpaceDE w:val="0"/>
        <w:autoSpaceDN w:val="0"/>
        <w:adjustRightInd w:val="0"/>
        <w:spacing w:line="400" w:lineRule="exact"/>
        <w:jc w:val="center"/>
        <w:outlineLvl w:val="0"/>
        <w:rPr>
          <w:rStyle w:val="171"/>
          <w:rFonts w:ascii="宋体" w:hAnsi="宋体"/>
          <w:color w:val="auto"/>
          <w:sz w:val="28"/>
          <w:szCs w:val="28"/>
          <w:highlight w:val="none"/>
        </w:rPr>
      </w:pPr>
    </w:p>
    <w:p>
      <w:pPr>
        <w:spacing w:line="360" w:lineRule="auto"/>
        <w:jc w:val="center"/>
        <w:rPr>
          <w:rFonts w:ascii="宋体" w:hAnsi="宋体"/>
          <w:b/>
          <w:color w:val="auto"/>
          <w:szCs w:val="21"/>
          <w:highlight w:val="none"/>
        </w:rPr>
      </w:pPr>
      <w:r>
        <w:rPr>
          <w:rStyle w:val="171"/>
          <w:rFonts w:ascii="宋体" w:hAnsi="宋体"/>
          <w:color w:val="auto"/>
          <w:sz w:val="28"/>
          <w:szCs w:val="28"/>
          <w:highlight w:val="none"/>
        </w:rPr>
        <w:br w:type="page"/>
      </w:r>
      <w:bookmarkEnd w:id="48"/>
      <w:bookmarkEnd w:id="49"/>
      <w:bookmarkStart w:id="62" w:name="_Toc74987465"/>
      <w:bookmarkStart w:id="63" w:name="_Toc21541030"/>
      <w:bookmarkStart w:id="64" w:name="_Toc74987433"/>
      <w:r>
        <w:rPr>
          <w:rFonts w:ascii="宋体" w:hAnsi="宋体"/>
          <w:b/>
          <w:color w:val="auto"/>
          <w:szCs w:val="21"/>
          <w:highlight w:val="none"/>
        </w:rPr>
        <w:t>C1</w:t>
      </w:r>
      <w:r>
        <w:rPr>
          <w:rFonts w:hint="eastAsia" w:ascii="宋体" w:hAnsi="宋体"/>
          <w:b/>
          <w:color w:val="auto"/>
          <w:szCs w:val="21"/>
          <w:highlight w:val="none"/>
        </w:rPr>
        <w:t>开标一览表</w:t>
      </w:r>
      <w:bookmarkEnd w:id="62"/>
      <w:bookmarkEnd w:id="63"/>
      <w:bookmarkEnd w:id="64"/>
    </w:p>
    <w:p>
      <w:pPr>
        <w:pStyle w:val="21"/>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慈溪滨海经济开发区灵峰路绿化养护、道路保洁、公厕保洁服务项目</w:t>
      </w:r>
    </w:p>
    <w:p>
      <w:pPr>
        <w:pStyle w:val="21"/>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p>
    <w:p>
      <w:pPr>
        <w:pStyle w:val="31"/>
        <w:rPr>
          <w:color w:val="auto"/>
          <w:highlight w:val="none"/>
        </w:rPr>
      </w:pPr>
    </w:p>
    <w:tbl>
      <w:tblPr>
        <w:tblStyle w:val="4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4116"/>
        <w:gridCol w:w="2747"/>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5" w:type="pc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标项</w:t>
            </w:r>
          </w:p>
        </w:tc>
        <w:tc>
          <w:tcPr>
            <w:tcW w:w="2065" w:type="pc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1379" w:type="pc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投标报价（元）</w:t>
            </w:r>
          </w:p>
        </w:tc>
        <w:tc>
          <w:tcPr>
            <w:tcW w:w="1199" w:type="pc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55" w:type="pc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一</w:t>
            </w:r>
          </w:p>
        </w:tc>
        <w:tc>
          <w:tcPr>
            <w:tcW w:w="2065"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慈溪滨海经济开发区灵峰路绿化养护、道路保洁、公厕保洁服务项目</w:t>
            </w:r>
          </w:p>
        </w:tc>
        <w:tc>
          <w:tcPr>
            <w:tcW w:w="1379" w:type="pct"/>
            <w:vAlign w:val="center"/>
          </w:tcPr>
          <w:p>
            <w:pPr>
              <w:keepNext w:val="0"/>
              <w:keepLines w:val="0"/>
              <w:suppressLineNumbers w:val="0"/>
              <w:snapToGrid w:val="0"/>
              <w:spacing w:before="0" w:beforeAutospacing="0" w:after="0" w:afterAutospacing="0" w:line="400" w:lineRule="exact"/>
              <w:ind w:left="0" w:right="0"/>
              <w:jc w:val="both"/>
              <w:rPr>
                <w:rFonts w:hint="eastAsia"/>
                <w:color w:val="auto"/>
                <w:szCs w:val="20"/>
                <w:lang w:val="en-US" w:eastAsia="zh-CN"/>
              </w:rPr>
            </w:pPr>
            <w:r>
              <w:rPr>
                <w:rFonts w:hint="eastAsia"/>
                <w:color w:val="auto"/>
                <w:szCs w:val="20"/>
                <w:lang w:val="en-US" w:eastAsia="zh-CN"/>
              </w:rPr>
              <w:t>大写：</w:t>
            </w:r>
          </w:p>
          <w:p>
            <w:pPr>
              <w:pStyle w:val="3"/>
              <w:suppressLineNumbers w:val="0"/>
              <w:spacing w:before="0" w:beforeAutospacing="0" w:after="0" w:afterAutospacing="0"/>
              <w:ind w:right="0"/>
              <w:rPr>
                <w:rFonts w:hint="default"/>
                <w:color w:val="auto"/>
                <w:lang w:val="en-US" w:eastAsia="zh-CN"/>
              </w:rPr>
            </w:pPr>
            <w:r>
              <w:rPr>
                <w:rFonts w:hint="eastAsia" w:ascii="宋体" w:hAnsi="宋体"/>
                <w:color w:val="auto"/>
                <w:szCs w:val="21"/>
                <w:highlight w:val="none"/>
                <w:lang w:val="en-US" w:eastAsia="zh-CN"/>
              </w:rPr>
              <w:t>小写：</w:t>
            </w:r>
          </w:p>
        </w:tc>
        <w:tc>
          <w:tcPr>
            <w:tcW w:w="1199" w:type="pct"/>
            <w:vMerge w:val="restar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421" w:type="pct"/>
            <w:gridSpan w:val="2"/>
            <w:vAlign w:val="center"/>
          </w:tcPr>
          <w:p>
            <w:pPr>
              <w:keepNext w:val="0"/>
              <w:keepLines w:val="0"/>
              <w:suppressLineNumbers w:val="0"/>
              <w:snapToGrid w:val="0"/>
              <w:spacing w:before="0" w:beforeAutospacing="0" w:after="0" w:afterAutospacing="0" w:line="400" w:lineRule="exact"/>
              <w:ind w:left="0" w:right="0"/>
              <w:jc w:val="center"/>
              <w:rPr>
                <w:rFonts w:hint="default"/>
                <w:color w:val="auto"/>
                <w:szCs w:val="20"/>
                <w:highlight w:val="none"/>
              </w:rPr>
            </w:pPr>
            <w:r>
              <w:rPr>
                <w:rFonts w:hint="eastAsia"/>
                <w:color w:val="auto"/>
                <w:szCs w:val="20"/>
                <w:highlight w:val="none"/>
              </w:rPr>
              <w:t>合计：投标报价</w:t>
            </w:r>
          </w:p>
        </w:tc>
        <w:tc>
          <w:tcPr>
            <w:tcW w:w="1379" w:type="pc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199" w:type="pct"/>
            <w:vMerge w:val="continue"/>
            <w:vAlign w:val="center"/>
          </w:tcPr>
          <w:p>
            <w:pPr>
              <w:keepNext w:val="0"/>
              <w:keepLines w:val="0"/>
              <w:suppressLineNumbers w:val="0"/>
              <w:snapToGrid w:val="0"/>
              <w:spacing w:before="0" w:beforeAutospacing="0" w:after="0" w:afterAutospacing="0" w:line="400" w:lineRule="exact"/>
              <w:ind w:left="0" w:right="0"/>
              <w:jc w:val="center"/>
              <w:rPr>
                <w:rFonts w:hint="default"/>
                <w:color w:val="auto"/>
                <w:szCs w:val="20"/>
                <w:highlight w:val="none"/>
              </w:rPr>
            </w:pPr>
          </w:p>
        </w:tc>
      </w:tr>
    </w:tbl>
    <w:p>
      <w:pPr>
        <w:spacing w:line="400" w:lineRule="atLeast"/>
        <w:jc w:val="left"/>
        <w:rPr>
          <w:rFonts w:ascii="宋体" w:hAnsi="宋体"/>
          <w:color w:val="auto"/>
          <w:szCs w:val="21"/>
          <w:highlight w:val="none"/>
        </w:rPr>
      </w:pPr>
      <w:r>
        <w:rPr>
          <w:rFonts w:hint="eastAsia" w:ascii="宋体" w:hAnsi="宋体"/>
          <w:color w:val="auto"/>
          <w:szCs w:val="21"/>
          <w:highlight w:val="none"/>
        </w:rPr>
        <w:t>备注：1、投标报价以人民币为结算单位，投标总价超出采购预算价无效。</w:t>
      </w:r>
    </w:p>
    <w:p>
      <w:pPr>
        <w:spacing w:line="400" w:lineRule="atLeast"/>
        <w:jc w:val="left"/>
        <w:rPr>
          <w:rFonts w:ascii="宋体" w:hAnsi="宋体"/>
          <w:color w:val="auto"/>
          <w:szCs w:val="21"/>
          <w:highlight w:val="none"/>
        </w:rPr>
      </w:pPr>
      <w:r>
        <w:rPr>
          <w:rFonts w:hint="eastAsia" w:ascii="宋体" w:hAnsi="宋体"/>
          <w:color w:val="auto"/>
          <w:szCs w:val="21"/>
          <w:highlight w:val="none"/>
        </w:rPr>
        <w:t>2、此表在不改变格式内容时，可自行制作。</w:t>
      </w:r>
    </w:p>
    <w:p>
      <w:pPr>
        <w:spacing w:line="400" w:lineRule="atLeast"/>
        <w:jc w:val="left"/>
        <w:rPr>
          <w:rFonts w:ascii="宋体" w:hAnsi="宋体"/>
          <w:color w:val="auto"/>
          <w:szCs w:val="21"/>
          <w:highlight w:val="none"/>
        </w:rPr>
      </w:pPr>
      <w:r>
        <w:rPr>
          <w:rFonts w:hint="eastAsia" w:ascii="宋体" w:hAnsi="宋体"/>
          <w:color w:val="auto"/>
          <w:szCs w:val="21"/>
          <w:highlight w:val="none"/>
        </w:rPr>
        <w:t>3、投标报价金额必须与C2 《分项报价表》投标报价中的金额一致。</w:t>
      </w:r>
    </w:p>
    <w:p>
      <w:pPr>
        <w:spacing w:line="400" w:lineRule="atLeast"/>
        <w:jc w:val="left"/>
        <w:rPr>
          <w:rFonts w:ascii="宋体" w:hAnsi="宋体"/>
          <w:color w:val="auto"/>
          <w:szCs w:val="21"/>
          <w:highlight w:val="none"/>
        </w:rPr>
      </w:pPr>
      <w:r>
        <w:rPr>
          <w:rFonts w:hint="eastAsia" w:ascii="宋体" w:hAnsi="宋体"/>
          <w:color w:val="auto"/>
          <w:szCs w:val="21"/>
          <w:highlight w:val="none"/>
        </w:rPr>
        <w:t>4、公开招标实行一次性报价，投标价即为最终有效价。</w:t>
      </w:r>
    </w:p>
    <w:p>
      <w:pPr>
        <w:spacing w:line="400" w:lineRule="atLeast"/>
        <w:jc w:val="left"/>
        <w:rPr>
          <w:rFonts w:hint="eastAsia" w:ascii="宋体" w:hAnsi="宋体"/>
          <w:color w:val="auto"/>
          <w:szCs w:val="21"/>
          <w:highlight w:val="none"/>
        </w:rPr>
      </w:pPr>
    </w:p>
    <w:p>
      <w:pPr>
        <w:spacing w:line="400" w:lineRule="atLeast"/>
        <w:jc w:val="left"/>
        <w:rPr>
          <w:rFonts w:hint="eastAsia"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pPr>
        <w:spacing w:line="400" w:lineRule="atLeast"/>
        <w:rPr>
          <w:rFonts w:ascii="宋体" w:hAnsi="宋体" w:cs="宋体"/>
          <w:color w:val="auto"/>
          <w:szCs w:val="21"/>
          <w:highlight w:val="none"/>
        </w:rPr>
      </w:pPr>
      <w:r>
        <w:rPr>
          <w:rFonts w:hint="eastAsia" w:ascii="宋体" w:hAnsi="宋体"/>
          <w:color w:val="auto"/>
          <w:szCs w:val="21"/>
          <w:highlight w:val="none"/>
        </w:rPr>
        <w:t>日期：</w:t>
      </w:r>
    </w:p>
    <w:p>
      <w:pPr>
        <w:rPr>
          <w:rFonts w:ascii="宋体" w:hAnsi="宋体"/>
          <w:color w:val="auto"/>
          <w:szCs w:val="21"/>
          <w:highlight w:val="none"/>
        </w:rPr>
      </w:pPr>
    </w:p>
    <w:p>
      <w:pPr>
        <w:autoSpaceDE w:val="0"/>
        <w:autoSpaceDN w:val="0"/>
        <w:adjustRightInd w:val="0"/>
        <w:spacing w:beforeLines="0" w:afterLines="0" w:line="400" w:lineRule="exact"/>
        <w:jc w:val="center"/>
        <w:outlineLvl w:val="0"/>
        <w:rPr>
          <w:rFonts w:hint="eastAsia" w:ascii="宋体" w:hAnsi="宋体" w:eastAsia="宋体"/>
          <w:b/>
          <w:color w:val="auto"/>
          <w:sz w:val="21"/>
          <w:szCs w:val="21"/>
        </w:rPr>
      </w:pPr>
      <w:r>
        <w:rPr>
          <w:rFonts w:hint="eastAsia" w:ascii="宋体" w:hAnsi="宋体"/>
          <w:b/>
          <w:color w:val="auto"/>
          <w:szCs w:val="21"/>
          <w:highlight w:val="none"/>
        </w:rPr>
        <w:br w:type="page"/>
      </w:r>
      <w:bookmarkStart w:id="65" w:name="_Toc77694049"/>
      <w:bookmarkStart w:id="66" w:name="_Toc63587390"/>
      <w:bookmarkStart w:id="67" w:name="_Toc63587452"/>
      <w:r>
        <w:rPr>
          <w:rFonts w:hint="eastAsia" w:ascii="宋体" w:hAnsi="宋体" w:eastAsia="宋体"/>
          <w:b/>
          <w:color w:val="auto"/>
          <w:sz w:val="21"/>
          <w:szCs w:val="21"/>
        </w:rPr>
        <w:t>C2分项报价表</w:t>
      </w:r>
      <w:bookmarkEnd w:id="65"/>
      <w:bookmarkEnd w:id="66"/>
      <w:bookmarkEnd w:id="67"/>
    </w:p>
    <w:p>
      <w:pPr>
        <w:snapToGrid w:val="0"/>
        <w:spacing w:line="44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项目编号：</w:t>
      </w:r>
    </w:p>
    <w:p>
      <w:pPr>
        <w:snapToGri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p>
      <w:pPr>
        <w:snapToGrid w:val="0"/>
        <w:spacing w:line="44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货币单位：人民币（元）</w:t>
      </w:r>
    </w:p>
    <w:tbl>
      <w:tblPr>
        <w:tblStyle w:val="48"/>
        <w:tblW w:w="51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87"/>
        <w:gridCol w:w="3772"/>
        <w:gridCol w:w="686"/>
        <w:gridCol w:w="849"/>
        <w:gridCol w:w="1093"/>
        <w:gridCol w:w="847"/>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19" w:type="pct"/>
            <w:tcBorders>
              <w:tl2br w:val="nil"/>
              <w:tr2bl w:val="nil"/>
            </w:tcBorders>
            <w:shd w:val="solid" w:color="FFFFFF"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 w:val="18"/>
                <w:szCs w:val="24"/>
              </w:rPr>
            </w:pPr>
            <w:r>
              <w:rPr>
                <w:rFonts w:hint="eastAsia" w:ascii="宋体" w:hAnsi="宋体" w:eastAsia="宋体"/>
                <w:color w:val="auto"/>
                <w:sz w:val="18"/>
                <w:szCs w:val="24"/>
              </w:rPr>
              <w:t>序号</w:t>
            </w:r>
          </w:p>
        </w:tc>
        <w:tc>
          <w:tcPr>
            <w:tcW w:w="724"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工作内容</w:t>
            </w:r>
          </w:p>
        </w:tc>
        <w:tc>
          <w:tcPr>
            <w:tcW w:w="1838"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项目名称</w:t>
            </w:r>
          </w:p>
        </w:tc>
        <w:tc>
          <w:tcPr>
            <w:tcW w:w="334" w:type="pct"/>
            <w:tcBorders>
              <w:tl2br w:val="nil"/>
              <w:tr2bl w:val="nil"/>
            </w:tcBorders>
            <w:shd w:val="solid" w:color="FFFFFF"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 w:val="18"/>
                <w:szCs w:val="24"/>
                <w:lang w:val="en-US" w:eastAsia="zh-CN"/>
              </w:rPr>
            </w:pPr>
            <w:r>
              <w:rPr>
                <w:rFonts w:hint="eastAsia" w:ascii="宋体" w:hAnsi="宋体" w:eastAsia="宋体"/>
                <w:color w:val="auto"/>
                <w:sz w:val="18"/>
                <w:szCs w:val="24"/>
                <w:lang w:val="en-US" w:eastAsia="zh-CN"/>
              </w:rPr>
              <w:t>单位</w:t>
            </w:r>
          </w:p>
        </w:tc>
        <w:tc>
          <w:tcPr>
            <w:tcW w:w="413" w:type="pct"/>
            <w:tcBorders>
              <w:tl2br w:val="nil"/>
              <w:tr2bl w:val="nil"/>
            </w:tcBorders>
            <w:shd w:val="solid" w:color="FFFFFF"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24"/>
                <w:lang w:val="en-US" w:eastAsia="zh-CN"/>
              </w:rPr>
            </w:pPr>
            <w:r>
              <w:rPr>
                <w:rFonts w:hint="eastAsia" w:ascii="宋体" w:hAnsi="宋体" w:eastAsia="宋体"/>
                <w:color w:val="auto"/>
                <w:sz w:val="18"/>
                <w:szCs w:val="24"/>
                <w:lang w:val="en-US" w:eastAsia="zh-CN"/>
              </w:rPr>
              <w:t>数量</w:t>
            </w:r>
          </w:p>
        </w:tc>
        <w:tc>
          <w:tcPr>
            <w:tcW w:w="532" w:type="pct"/>
            <w:tcBorders>
              <w:tl2br w:val="nil"/>
              <w:tr2bl w:val="nil"/>
            </w:tcBorders>
            <w:shd w:val="solid" w:color="FFFFFF"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24"/>
                <w:lang w:val="en-US" w:eastAsia="zh-CN"/>
              </w:rPr>
            </w:pPr>
            <w:r>
              <w:rPr>
                <w:rFonts w:hint="eastAsia" w:ascii="宋体" w:hAnsi="宋体"/>
                <w:color w:val="auto"/>
                <w:sz w:val="18"/>
                <w:szCs w:val="24"/>
                <w:lang w:val="en-US" w:eastAsia="zh-CN"/>
              </w:rPr>
              <w:t>综合单价</w:t>
            </w:r>
          </w:p>
        </w:tc>
        <w:tc>
          <w:tcPr>
            <w:tcW w:w="412" w:type="pct"/>
            <w:tcBorders>
              <w:tl2br w:val="nil"/>
              <w:tr2bl w:val="nil"/>
            </w:tcBorders>
            <w:shd w:val="solid" w:color="FFFFFF"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24"/>
                <w:lang w:val="en-US" w:eastAsia="zh-CN"/>
              </w:rPr>
            </w:pPr>
            <w:r>
              <w:rPr>
                <w:rFonts w:hint="eastAsia" w:ascii="宋体" w:hAnsi="宋体"/>
                <w:color w:val="auto"/>
                <w:sz w:val="18"/>
                <w:szCs w:val="24"/>
                <w:lang w:val="en-US" w:eastAsia="zh-CN"/>
              </w:rPr>
              <w:t>金额</w:t>
            </w:r>
          </w:p>
        </w:tc>
        <w:tc>
          <w:tcPr>
            <w:tcW w:w="323" w:type="pct"/>
            <w:tcBorders>
              <w:tl2br w:val="nil"/>
              <w:tr2bl w:val="nil"/>
            </w:tcBorders>
            <w:shd w:val="solid" w:color="FFFFFF" w:fill="auto"/>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24"/>
                <w:lang w:val="en-US" w:eastAsia="zh-CN"/>
              </w:rPr>
            </w:pPr>
            <w:r>
              <w:rPr>
                <w:rFonts w:hint="eastAsia" w:ascii="宋体" w:hAnsi="宋体"/>
                <w:color w:val="auto"/>
                <w:sz w:val="18"/>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大部分</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175200</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橫七路—入口交界处</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7800</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入口景观处</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6500</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市民广场滨水绿化带</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17500</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沿海北线-慈东大道中间路段</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2940</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金融中心</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5266.9</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7</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办公大楼内</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9249</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8</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南楼+进口处绿化</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7493</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9</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绿化养护</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灵绪路垃圾分拣中心</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2500</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道路保洁</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健身跑道</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18440</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19"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11</w:t>
            </w:r>
          </w:p>
        </w:tc>
        <w:tc>
          <w:tcPr>
            <w:tcW w:w="1487"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公厕保洁</w:t>
            </w:r>
          </w:p>
        </w:tc>
        <w:tc>
          <w:tcPr>
            <w:tcW w:w="3772"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公厕保洁</w:t>
            </w:r>
          </w:p>
        </w:tc>
        <w:tc>
          <w:tcPr>
            <w:tcW w:w="686"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个</w:t>
            </w:r>
          </w:p>
        </w:tc>
        <w:tc>
          <w:tcPr>
            <w:tcW w:w="849" w:type="dxa"/>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53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63" w:type="pct"/>
            <w:gridSpan w:val="6"/>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投标报价（元）</w:t>
            </w:r>
          </w:p>
        </w:tc>
        <w:tc>
          <w:tcPr>
            <w:tcW w:w="412"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p>
        </w:tc>
        <w:tc>
          <w:tcPr>
            <w:tcW w:w="323" w:type="pct"/>
            <w:tcBorders>
              <w:tl2br w:val="nil"/>
              <w:tr2bl w:val="nil"/>
            </w:tcBorders>
            <w:shd w:val="solid" w:color="FFFFFF"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u w:val="none"/>
                <w:lang w:val="en-US" w:eastAsia="zh-CN" w:bidi="ar"/>
              </w:rPr>
            </w:pPr>
          </w:p>
        </w:tc>
      </w:tr>
    </w:tbl>
    <w:p>
      <w:pPr>
        <w:spacing w:line="440" w:lineRule="exact"/>
        <w:ind w:firstLine="42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注：1.本表“投标价合计”应与“开标一览表”中的“投标总价”保持一致。</w:t>
      </w:r>
    </w:p>
    <w:p>
      <w:pPr>
        <w:spacing w:line="440" w:lineRule="exact"/>
        <w:ind w:firstLine="840" w:firstLineChars="4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2.投标人所报价应综合考虑完成本项工作所需的以上投标报价费用已综合考虑了包括人工工资、社保等社会福利费、企业管理费、税金，以及养护所需园林工具、登高车等各类费用等费用。</w:t>
      </w:r>
    </w:p>
    <w:p>
      <w:pPr>
        <w:spacing w:line="400" w:lineRule="atLeast"/>
        <w:jc w:val="left"/>
        <w:rPr>
          <w:rFonts w:hint="eastAsia" w:ascii="宋体" w:hAnsi="宋体" w:eastAsia="宋体" w:cs="宋体"/>
          <w:color w:val="auto"/>
          <w:sz w:val="21"/>
          <w:szCs w:val="21"/>
        </w:rPr>
      </w:pPr>
    </w:p>
    <w:p>
      <w:pPr>
        <w:spacing w:line="40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供应商（盖章）：</w:t>
      </w:r>
    </w:p>
    <w:p>
      <w:pPr>
        <w:spacing w:line="40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日期：</w:t>
      </w:r>
    </w:p>
    <w:p>
      <w:pPr>
        <w:spacing w:line="40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lang w:bidi="ar"/>
        </w:rPr>
        <w:t>注：总计金额需与开标一览表中投标报价一致。</w:t>
      </w:r>
    </w:p>
    <w:p>
      <w:pPr>
        <w:rPr>
          <w:rFonts w:hint="eastAsia"/>
          <w:color w:val="auto"/>
        </w:rPr>
      </w:pPr>
    </w:p>
    <w:p>
      <w:pPr>
        <w:rPr>
          <w:rFonts w:hint="eastAsia" w:ascii="宋体" w:hAnsi="宋体"/>
          <w:b/>
          <w:color w:val="auto"/>
          <w:szCs w:val="21"/>
          <w:highlight w:val="none"/>
        </w:rPr>
      </w:pPr>
      <w:r>
        <w:rPr>
          <w:rFonts w:hint="eastAsia" w:ascii="宋体" w:hAnsi="宋体"/>
          <w:b/>
          <w:color w:val="auto"/>
          <w:szCs w:val="21"/>
          <w:highlight w:val="none"/>
        </w:rPr>
        <w:br w:type="page"/>
      </w:r>
    </w:p>
    <w:p>
      <w:pPr>
        <w:spacing w:line="360" w:lineRule="auto"/>
        <w:jc w:val="center"/>
        <w:rPr>
          <w:rFonts w:ascii="宋体" w:hAnsi="宋体"/>
          <w:b/>
          <w:color w:val="auto"/>
          <w:szCs w:val="21"/>
          <w:highlight w:val="none"/>
        </w:rPr>
      </w:pPr>
      <w:r>
        <w:rPr>
          <w:rFonts w:hint="eastAsia" w:ascii="宋体" w:hAnsi="宋体"/>
          <w:b/>
          <w:color w:val="auto"/>
          <w:szCs w:val="21"/>
          <w:highlight w:val="none"/>
        </w:rPr>
        <w:t>中小企业声明函（工程、服务）</w:t>
      </w:r>
    </w:p>
    <w:p>
      <w:pPr>
        <w:spacing w:line="400" w:lineRule="exact"/>
        <w:rPr>
          <w:rFonts w:ascii="宋体" w:hAnsi="宋体"/>
          <w:b/>
          <w:color w:val="auto"/>
          <w:spacing w:val="6"/>
          <w:szCs w:val="21"/>
          <w:highlight w:val="none"/>
        </w:rPr>
      </w:pPr>
    </w:p>
    <w:p>
      <w:pPr>
        <w:pStyle w:val="19"/>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9"/>
        <w:spacing w:line="400" w:lineRule="exact"/>
        <w:ind w:firstLine="420" w:firstLineChars="200"/>
        <w:rPr>
          <w:rFonts w:cs="宋体"/>
          <w:color w:val="auto"/>
          <w:sz w:val="21"/>
          <w:szCs w:val="21"/>
          <w:highlight w:val="none"/>
        </w:rPr>
      </w:pPr>
      <w:r>
        <w:rPr>
          <w:rFonts w:hint="eastAsia" w:cs="宋体"/>
          <w:color w:val="auto"/>
          <w:sz w:val="21"/>
          <w:szCs w:val="21"/>
          <w:highlight w:val="none"/>
        </w:rPr>
        <w:t>1.</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，从业人员人，营业收入为万元，资产总额为万元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9"/>
        <w:spacing w:line="40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，从业人员人，营业收入为万元，资产总额为万元，属于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9"/>
        <w:spacing w:line="400" w:lineRule="exact"/>
        <w:ind w:firstLine="420" w:firstLineChars="200"/>
        <w:rPr>
          <w:rFonts w:cs="宋体"/>
          <w:color w:val="auto"/>
          <w:sz w:val="21"/>
          <w:szCs w:val="21"/>
          <w:highlight w:val="none"/>
        </w:rPr>
      </w:pPr>
      <w:r>
        <w:rPr>
          <w:rFonts w:hint="eastAsia" w:cs="宋体"/>
          <w:color w:val="auto"/>
          <w:sz w:val="21"/>
          <w:szCs w:val="21"/>
          <w:highlight w:val="none"/>
        </w:rPr>
        <w:t>……</w:t>
      </w:r>
    </w:p>
    <w:p>
      <w:pPr>
        <w:pStyle w:val="19"/>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pPr>
        <w:pStyle w:val="19"/>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pPr>
        <w:pStyle w:val="19"/>
        <w:spacing w:line="400" w:lineRule="exact"/>
        <w:ind w:firstLine="3360" w:firstLineChars="1600"/>
        <w:jc w:val="left"/>
        <w:rPr>
          <w:rFonts w:cs="宋体"/>
          <w:color w:val="auto"/>
          <w:sz w:val="21"/>
          <w:szCs w:val="21"/>
          <w:highlight w:val="none"/>
        </w:rPr>
      </w:pPr>
    </w:p>
    <w:p>
      <w:pPr>
        <w:pStyle w:val="19"/>
        <w:spacing w:line="400" w:lineRule="exact"/>
        <w:ind w:firstLine="4095" w:firstLineChars="1950"/>
        <w:jc w:val="left"/>
        <w:rPr>
          <w:rFonts w:cs="宋体"/>
          <w:color w:val="auto"/>
          <w:sz w:val="21"/>
          <w:szCs w:val="21"/>
          <w:highlight w:val="none"/>
        </w:rPr>
      </w:pPr>
      <w:r>
        <w:rPr>
          <w:rFonts w:hint="eastAsia" w:cs="宋体"/>
          <w:color w:val="auto"/>
          <w:sz w:val="21"/>
          <w:szCs w:val="21"/>
          <w:highlight w:val="none"/>
        </w:rPr>
        <w:t>企业名称（盖章）：</w:t>
      </w:r>
    </w:p>
    <w:p>
      <w:pPr>
        <w:pStyle w:val="21"/>
        <w:spacing w:line="400" w:lineRule="exact"/>
        <w:ind w:firstLine="4095" w:firstLineChars="1950"/>
        <w:rPr>
          <w:rFonts w:ascii="宋体" w:hAnsi="宋体" w:eastAsia="宋体"/>
          <w:color w:val="auto"/>
          <w:sz w:val="21"/>
          <w:szCs w:val="21"/>
          <w:highlight w:val="none"/>
        </w:rPr>
      </w:pPr>
      <w:r>
        <w:rPr>
          <w:rFonts w:hint="eastAsia" w:ascii="宋体" w:hAnsi="宋体" w:eastAsia="宋体" w:cs="宋体"/>
          <w:color w:val="auto"/>
          <w:sz w:val="21"/>
          <w:szCs w:val="21"/>
          <w:highlight w:val="none"/>
        </w:rPr>
        <w:t>日期：</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p>
    <w:p>
      <w:pPr>
        <w:spacing w:line="400" w:lineRule="exact"/>
        <w:ind w:firstLine="3780" w:firstLineChars="1800"/>
        <w:rPr>
          <w:rFonts w:ascii="宋体" w:hAnsi="宋体"/>
          <w:color w:val="auto"/>
          <w:szCs w:val="21"/>
          <w:highlight w:val="none"/>
        </w:rPr>
      </w:pPr>
    </w:p>
    <w:p>
      <w:pPr>
        <w:numPr>
          <w:ilvl w:val="0"/>
          <w:numId w:val="5"/>
        </w:numPr>
        <w:spacing w:line="588" w:lineRule="exact"/>
        <w:jc w:val="center"/>
        <w:rPr>
          <w:rFonts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pPr>
        <w:numPr>
          <w:ilvl w:val="0"/>
          <w:numId w:val="5"/>
        </w:numPr>
        <w:spacing w:line="588" w:lineRule="exact"/>
        <w:rPr>
          <w:rFonts w:ascii="宋体" w:hAnsi="宋体"/>
          <w:color w:val="auto"/>
          <w:szCs w:val="21"/>
          <w:highlight w:val="none"/>
        </w:rPr>
      </w:pPr>
      <w:r>
        <w:rPr>
          <w:rFonts w:hint="eastAsia" w:ascii="宋体" w:hAnsi="宋体"/>
          <w:color w:val="auto"/>
          <w:szCs w:val="21"/>
          <w:highlight w:val="none"/>
        </w:rPr>
        <w:t>采购文件中明确的所属行业：详见招标文件第三章。</w:t>
      </w:r>
    </w:p>
    <w:p>
      <w:pPr>
        <w:spacing w:line="400" w:lineRule="exact"/>
        <w:ind w:firstLine="420" w:firstLineChars="200"/>
        <w:jc w:val="center"/>
        <w:rPr>
          <w:rFonts w:ascii="宋体" w:hAnsi="宋体"/>
          <w:color w:val="auto"/>
          <w:szCs w:val="21"/>
          <w:highlight w:val="none"/>
        </w:rPr>
      </w:pPr>
    </w:p>
    <w:p>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残疾人福利性单位声明函（如有需提供）</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本单位郑重声明，根据《财政部民政部中国残疾人联合会关于促进残疾人就业政府采购政策的通知》（财库〔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hint="eastAsia" w:ascii="宋体" w:hAnsi="宋体"/>
          <w:color w:val="auto"/>
          <w:szCs w:val="21"/>
          <w:highlight w:val="none"/>
        </w:rPr>
        <w:t>单位名称（盖章）：</w:t>
      </w:r>
    </w:p>
    <w:p>
      <w:pPr>
        <w:tabs>
          <w:tab w:val="left" w:pos="4860"/>
        </w:tabs>
        <w:spacing w:line="588" w:lineRule="exact"/>
        <w:ind w:right="1560" w:firstLine="420" w:firstLineChars="200"/>
        <w:jc w:val="center"/>
        <w:rPr>
          <w:rFonts w:ascii="宋体" w:hAnsi="宋体"/>
          <w:color w:val="auto"/>
          <w:szCs w:val="21"/>
          <w:highlight w:val="none"/>
        </w:rPr>
      </w:pPr>
      <w:r>
        <w:rPr>
          <w:rFonts w:hint="eastAsia" w:ascii="宋体" w:hAnsi="宋体"/>
          <w:color w:val="auto"/>
          <w:szCs w:val="21"/>
          <w:highlight w:val="none"/>
        </w:rPr>
        <w:t>日期：</w:t>
      </w:r>
    </w:p>
    <w:p>
      <w:pPr>
        <w:spacing w:line="400" w:lineRule="exact"/>
        <w:ind w:firstLine="422" w:firstLineChars="200"/>
        <w:rPr>
          <w:rFonts w:ascii="宋体" w:hAnsi="宋体"/>
          <w:b/>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auto"/>
          <w:sz w:val="44"/>
          <w:szCs w:val="44"/>
          <w:highlight w:val="none"/>
        </w:rPr>
      </w:pPr>
    </w:p>
    <w:p>
      <w:pPr>
        <w:spacing w:line="360" w:lineRule="auto"/>
        <w:jc w:val="center"/>
        <w:rPr>
          <w:rFonts w:ascii="宋体" w:hAnsi="宋体"/>
          <w:b/>
          <w:color w:val="auto"/>
          <w:szCs w:val="21"/>
          <w:highlight w:val="none"/>
        </w:rPr>
      </w:pPr>
      <w:r>
        <w:rPr>
          <w:rStyle w:val="171"/>
          <w:rFonts w:ascii="宋体" w:hAnsi="宋体"/>
          <w:color w:val="auto"/>
          <w:sz w:val="21"/>
          <w:szCs w:val="21"/>
          <w:highlight w:val="none"/>
        </w:rPr>
        <w:br w:type="page"/>
      </w:r>
      <w:bookmarkStart w:id="68" w:name="_Toc74987436"/>
      <w:bookmarkStart w:id="69" w:name="_Toc74987468"/>
      <w:r>
        <w:rPr>
          <w:rFonts w:hint="eastAsia" w:ascii="宋体" w:hAnsi="宋体"/>
          <w:b/>
          <w:color w:val="auto"/>
          <w:szCs w:val="21"/>
          <w:highlight w:val="none"/>
        </w:rPr>
        <w:t>政府采购活动现场确认声明书</w:t>
      </w:r>
      <w:bookmarkEnd w:id="68"/>
      <w:bookmarkEnd w:id="69"/>
    </w:p>
    <w:p>
      <w:pPr>
        <w:pStyle w:val="139"/>
        <w:snapToGrid w:val="0"/>
        <w:spacing w:line="400" w:lineRule="exact"/>
        <w:rPr>
          <w:rFonts w:hAnsi="宋体"/>
          <w:color w:val="auto"/>
          <w:szCs w:val="21"/>
          <w:highlight w:val="none"/>
        </w:rPr>
      </w:pPr>
      <w:r>
        <w:rPr>
          <w:rFonts w:hint="eastAsia" w:hAnsi="宋体"/>
          <w:color w:val="auto"/>
          <w:szCs w:val="21"/>
          <w:highlight w:val="none"/>
        </w:rPr>
        <w:t>致：采购人</w:t>
      </w:r>
    </w:p>
    <w:p>
      <w:pPr>
        <w:pStyle w:val="139"/>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慈溪滨海经济开发区灵峰路绿化养护、道路保洁、公厕保洁服务项目</w:t>
      </w:r>
      <w:r>
        <w:rPr>
          <w:rFonts w:hint="eastAsia" w:hAnsi="宋体"/>
          <w:color w:val="auto"/>
          <w:szCs w:val="21"/>
          <w:highlight w:val="none"/>
        </w:rPr>
        <w:t>（项目编号：</w:t>
      </w:r>
      <w:r>
        <w:rPr>
          <w:rFonts w:hint="eastAsia" w:hAnsi="宋体"/>
          <w:color w:val="auto"/>
          <w:szCs w:val="21"/>
          <w:highlight w:val="none"/>
          <w:u w:val="single"/>
        </w:rPr>
        <w:t xml:space="preserve">        </w:t>
      </w:r>
      <w:r>
        <w:rPr>
          <w:rFonts w:hint="eastAsia" w:hAnsi="宋体"/>
          <w:color w:val="auto"/>
          <w:szCs w:val="21"/>
          <w:highlight w:val="none"/>
        </w:rPr>
        <w:t>）政府采购活动，经与本单位法人代表（负责人）联系确认，现就有关公平竞争事项郑重声明如下：</w:t>
      </w:r>
    </w:p>
    <w:p>
      <w:pPr>
        <w:pStyle w:val="140"/>
        <w:widowControl/>
        <w:numPr>
          <w:ilvl w:val="0"/>
          <w:numId w:val="6"/>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pPr>
        <w:pStyle w:val="140"/>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pPr>
        <w:pStyle w:val="140"/>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pPr>
        <w:pStyle w:val="140"/>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pPr>
        <w:pStyle w:val="140"/>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hint="eastAsia" w:ascii="宋体" w:hAnsi="宋体"/>
          <w:color w:val="auto"/>
          <w:szCs w:val="21"/>
          <w:highlight w:val="none"/>
        </w:rPr>
        <w:t>。</w:t>
      </w:r>
    </w:p>
    <w:p>
      <w:pPr>
        <w:pStyle w:val="140"/>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pPr>
        <w:pStyle w:val="140"/>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pPr>
        <w:pStyle w:val="140"/>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pPr>
        <w:pStyle w:val="140"/>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pPr>
        <w:pStyle w:val="140"/>
        <w:widowControl/>
        <w:numPr>
          <w:ilvl w:val="0"/>
          <w:numId w:val="7"/>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pPr>
        <w:pStyle w:val="140"/>
        <w:widowControl/>
        <w:numPr>
          <w:ilvl w:val="0"/>
          <w:numId w:val="7"/>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hint="eastAsia" w:ascii="宋体" w:hAnsi="宋体"/>
          <w:color w:val="auto"/>
          <w:szCs w:val="21"/>
          <w:highlight w:val="none"/>
          <w:u w:val="single"/>
        </w:rPr>
        <w:t>供应商</w:t>
      </w:r>
      <w:r>
        <w:rPr>
          <w:rFonts w:hint="eastAsia" w:ascii="宋体" w:hAnsi="宋体"/>
          <w:color w:val="auto"/>
          <w:szCs w:val="21"/>
          <w:highlight w:val="none"/>
        </w:rPr>
        <w:t>之间存在或可能存在上述第二条第项利害关系。</w:t>
      </w:r>
    </w:p>
    <w:p>
      <w:pPr>
        <w:pStyle w:val="139"/>
        <w:snapToGrid w:val="0"/>
        <w:spacing w:line="400" w:lineRule="exact"/>
        <w:ind w:firstLine="420" w:firstLineChars="200"/>
        <w:rPr>
          <w:rFonts w:hAnsi="宋体"/>
          <w:color w:val="auto"/>
          <w:szCs w:val="21"/>
          <w:highlight w:val="none"/>
        </w:rPr>
      </w:pPr>
    </w:p>
    <w:p>
      <w:pPr>
        <w:pStyle w:val="139"/>
        <w:snapToGrid w:val="0"/>
        <w:spacing w:line="400" w:lineRule="exact"/>
        <w:ind w:firstLine="1365" w:firstLineChars="650"/>
        <w:rPr>
          <w:rFonts w:hAnsi="宋体"/>
          <w:color w:val="auto"/>
          <w:szCs w:val="21"/>
          <w:highlight w:val="none"/>
        </w:rPr>
      </w:pPr>
      <w:r>
        <w:rPr>
          <w:rFonts w:hint="eastAsia"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hint="eastAsia" w:ascii="宋体" w:hAnsi="宋体"/>
          <w:color w:val="auto"/>
          <w:szCs w:val="21"/>
          <w:highlight w:val="none"/>
        </w:rPr>
        <w:t>年月日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pPr>
        <w:spacing w:line="360" w:lineRule="auto"/>
        <w:jc w:val="center"/>
        <w:rPr>
          <w:rFonts w:ascii="宋体" w:hAnsi="宋体"/>
          <w:b/>
          <w:color w:val="auto"/>
          <w:szCs w:val="21"/>
          <w:highlight w:val="none"/>
        </w:rPr>
      </w:pPr>
      <w:r>
        <w:rPr>
          <w:rFonts w:ascii="宋体" w:hAnsi="宋体"/>
          <w:b/>
          <w:color w:val="auto"/>
          <w:sz w:val="28"/>
          <w:szCs w:val="28"/>
          <w:highlight w:val="none"/>
        </w:rPr>
        <w:br w:type="page"/>
      </w:r>
      <w:bookmarkStart w:id="70" w:name="_Toc74987469"/>
      <w:bookmarkStart w:id="71" w:name="_Toc74987437"/>
      <w:r>
        <w:rPr>
          <w:rFonts w:hint="eastAsia" w:ascii="宋体" w:hAnsi="宋体"/>
          <w:b/>
          <w:color w:val="auto"/>
          <w:szCs w:val="21"/>
          <w:highlight w:val="none"/>
        </w:rPr>
        <w:t>评分索引表（建议放在目录之前）</w:t>
      </w:r>
      <w:bookmarkEnd w:id="70"/>
      <w:bookmarkEnd w:id="71"/>
    </w:p>
    <w:tbl>
      <w:tblPr>
        <w:tblStyle w:val="4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pPr>
              <w:keepNext w:val="0"/>
              <w:keepLines w:val="0"/>
              <w:suppressLineNumbers w:val="0"/>
              <w:spacing w:before="0" w:beforeAutospacing="0" w:after="0" w:afterAutospacing="0" w:line="300" w:lineRule="exact"/>
              <w:ind w:left="0" w:right="420" w:firstLine="3885" w:firstLineChars="1850"/>
              <w:jc w:val="right"/>
              <w:rPr>
                <w:rFonts w:hint="default" w:ascii="宋体" w:hAnsi="宋体"/>
                <w:color w:val="auto"/>
                <w:szCs w:val="21"/>
                <w:highlight w:val="none"/>
              </w:rPr>
            </w:pPr>
            <w:r>
              <w:rPr>
                <w:rFonts w:hint="eastAsia" w:ascii="宋体" w:hAnsi="宋体"/>
                <w:color w:val="auto"/>
                <w:szCs w:val="21"/>
                <w:highlight w:val="none"/>
              </w:rPr>
              <w:t>供应商</w:t>
            </w:r>
          </w:p>
          <w:p>
            <w:pPr>
              <w:keepNext w:val="0"/>
              <w:keepLines w:val="0"/>
              <w:suppressLineNumbers w:val="0"/>
              <w:spacing w:before="0" w:beforeAutospacing="0" w:after="0" w:afterAutospacing="0" w:line="300" w:lineRule="exact"/>
              <w:ind w:left="0" w:right="0"/>
              <w:rPr>
                <w:rFonts w:hint="default"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lang w:val="ru-RU"/>
              </w:rPr>
            </w:pPr>
            <w:r>
              <w:rPr>
                <w:rFonts w:hint="eastAsia" w:ascii="宋体" w:hAnsi="宋体"/>
                <w:color w:val="auto"/>
                <w:szCs w:val="21"/>
                <w:highlight w:val="none"/>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p>
        </w:tc>
        <w:tc>
          <w:tcPr>
            <w:tcW w:w="17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171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r>
    </w:tbl>
    <w:p>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附表3“商务和技术评分表”。</w:t>
      </w:r>
    </w:p>
    <w:p>
      <w:pPr>
        <w:spacing w:line="400" w:lineRule="exact"/>
        <w:rPr>
          <w:rFonts w:ascii="宋体" w:hAnsi="宋体"/>
          <w:b/>
          <w:color w:val="auto"/>
          <w:sz w:val="28"/>
          <w:szCs w:val="28"/>
          <w:highlight w:val="none"/>
        </w:rPr>
      </w:pPr>
    </w:p>
    <w:p>
      <w:pPr>
        <w:spacing w:line="500" w:lineRule="exact"/>
        <w:rPr>
          <w:rFonts w:ascii="宋体" w:hAnsi="宋体"/>
          <w:b/>
          <w:color w:val="auto"/>
          <w:sz w:val="28"/>
          <w:szCs w:val="28"/>
          <w:highlight w:val="none"/>
        </w:rPr>
      </w:pPr>
    </w:p>
    <w:p>
      <w:pPr>
        <w:pStyle w:val="27"/>
        <w:spacing w:line="360" w:lineRule="auto"/>
        <w:ind w:left="101" w:leftChars="48" w:firstLine="2880" w:firstLineChars="800"/>
        <w:jc w:val="left"/>
        <w:rPr>
          <w:rFonts w:hAnsi="宋体"/>
          <w:color w:val="auto"/>
          <w:sz w:val="36"/>
          <w:szCs w:val="36"/>
          <w:highlight w:val="none"/>
        </w:rPr>
        <w:sectPr>
          <w:footerReference r:id="rId8" w:type="default"/>
          <w:pgSz w:w="11907" w:h="16840"/>
          <w:pgMar w:top="1440" w:right="1080" w:bottom="1440" w:left="1080" w:header="285" w:footer="990" w:gutter="0"/>
          <w:pgBorders w:offsetFrom="page">
            <w:top w:val="none" w:sz="0" w:space="0"/>
            <w:left w:val="none" w:sz="0" w:space="0"/>
            <w:bottom w:val="none" w:sz="0" w:space="0"/>
            <w:right w:val="none" w:sz="0" w:space="0"/>
          </w:pgBorders>
          <w:pgNumType w:fmt="decimal"/>
          <w:cols w:space="720" w:num="1"/>
          <w:docGrid w:linePitch="285" w:charSpace="0"/>
        </w:sectPr>
      </w:pPr>
    </w:p>
    <w:tbl>
      <w:tblPr>
        <w:tblStyle w:val="48"/>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32"/>
                <w:szCs w:val="32"/>
                <w:highlight w:val="none"/>
              </w:rPr>
            </w:pPr>
            <w:r>
              <w:rPr>
                <w:rFonts w:hint="eastAsia" w:ascii="宋体" w:hAnsi="宋体" w:cs="宋体"/>
                <w:b/>
                <w:bCs/>
                <w:color w:val="auto"/>
                <w:kern w:val="0"/>
                <w:sz w:val="24"/>
                <w:szCs w:val="20"/>
                <w:highlight w:val="none"/>
              </w:rPr>
              <w:t>中小微行业划型标准规定（根据工信部联企业〔</w:t>
            </w:r>
            <w:r>
              <w:rPr>
                <w:rFonts w:hint="default" w:ascii="宋体" w:hAnsi="宋体" w:cs="宋体"/>
                <w:b/>
                <w:bCs/>
                <w:color w:val="auto"/>
                <w:kern w:val="0"/>
                <w:sz w:val="24"/>
                <w:szCs w:val="20"/>
                <w:highlight w:val="none"/>
              </w:rPr>
              <w:t>2011</w:t>
            </w:r>
            <w:r>
              <w:rPr>
                <w:rFonts w:hint="eastAsia" w:ascii="宋体" w:hAnsi="宋体" w:cs="宋体"/>
                <w:b/>
                <w:bCs/>
                <w:color w:val="auto"/>
                <w:kern w:val="0"/>
                <w:sz w:val="24"/>
                <w:szCs w:val="20"/>
                <w:highlight w:val="none"/>
              </w:rPr>
              <w:t>〕</w:t>
            </w:r>
            <w:r>
              <w:rPr>
                <w:rFonts w:hint="default" w:ascii="宋体" w:hAnsi="宋体" w:cs="宋体"/>
                <w:b/>
                <w:bCs/>
                <w:color w:val="auto"/>
                <w:kern w:val="0"/>
                <w:sz w:val="24"/>
                <w:szCs w:val="20"/>
                <w:highlight w:val="none"/>
              </w:rPr>
              <w:t>300</w:t>
            </w:r>
            <w:r>
              <w:rPr>
                <w:rFonts w:hint="eastAsia" w:ascii="宋体" w:hAnsi="宋体" w:cs="宋体"/>
                <w:b/>
                <w:bCs/>
                <w:color w:val="auto"/>
                <w:kern w:val="0"/>
                <w:sz w:val="24"/>
                <w:szCs w:val="20"/>
                <w:highlight w:val="none"/>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24"/>
                <w:szCs w:val="20"/>
                <w:highlight w:val="none"/>
              </w:rPr>
            </w:pPr>
          </w:p>
        </w:tc>
        <w:tc>
          <w:tcPr>
            <w:tcW w:w="1512"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从业人员</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（人）</w:t>
            </w:r>
          </w:p>
        </w:tc>
        <w:tc>
          <w:tcPr>
            <w:tcW w:w="1779"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营业收入</w:t>
            </w:r>
            <w:r>
              <w:rPr>
                <w:rFonts w:hint="default" w:ascii="宋体" w:hAnsi="宋体" w:cs="宋体"/>
                <w:color w:val="auto"/>
                <w:kern w:val="0"/>
                <w:sz w:val="20"/>
                <w:szCs w:val="20"/>
                <w:highlight w:val="none"/>
              </w:rPr>
              <w:t>Y</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677"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资产总额</w:t>
            </w:r>
            <w:r>
              <w:rPr>
                <w:rFonts w:hint="default" w:ascii="宋体" w:hAnsi="宋体" w:cs="宋体"/>
                <w:color w:val="auto"/>
                <w:kern w:val="0"/>
                <w:sz w:val="20"/>
                <w:szCs w:val="20"/>
                <w:highlight w:val="none"/>
              </w:rPr>
              <w:t>Z</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252"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从业人员</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（人）</w:t>
            </w:r>
          </w:p>
        </w:tc>
        <w:tc>
          <w:tcPr>
            <w:tcW w:w="1494"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营业收入</w:t>
            </w:r>
            <w:r>
              <w:rPr>
                <w:rFonts w:hint="default" w:ascii="宋体" w:hAnsi="宋体" w:cs="宋体"/>
                <w:color w:val="auto"/>
                <w:kern w:val="0"/>
                <w:sz w:val="20"/>
                <w:szCs w:val="20"/>
                <w:highlight w:val="none"/>
              </w:rPr>
              <w:t>Y</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536"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资产总额</w:t>
            </w:r>
            <w:r>
              <w:rPr>
                <w:rFonts w:hint="default" w:ascii="宋体" w:hAnsi="宋体" w:cs="宋体"/>
                <w:color w:val="auto"/>
                <w:kern w:val="0"/>
                <w:sz w:val="20"/>
                <w:szCs w:val="20"/>
                <w:highlight w:val="none"/>
              </w:rPr>
              <w:t>Z</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1297"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从业人员</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（人）</w:t>
            </w:r>
          </w:p>
        </w:tc>
        <w:tc>
          <w:tcPr>
            <w:tcW w:w="1287"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营业收入</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（万元）</w:t>
            </w:r>
          </w:p>
        </w:tc>
        <w:tc>
          <w:tcPr>
            <w:tcW w:w="1234"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资产总额</w:t>
            </w: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1</w:t>
            </w:r>
            <w:r>
              <w:rPr>
                <w:rFonts w:hint="eastAsia" w:ascii="宋体" w:hAnsi="宋体" w:cs="宋体"/>
                <w:color w:val="auto"/>
                <w:kern w:val="0"/>
                <w:sz w:val="20"/>
                <w:szCs w:val="20"/>
                <w:highlight w:val="none"/>
              </w:rPr>
              <w:t>、农林牧渔业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500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50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2</w:t>
            </w:r>
            <w:r>
              <w:rPr>
                <w:rFonts w:hint="eastAsia" w:ascii="宋体" w:hAnsi="宋体" w:cs="宋体"/>
                <w:color w:val="auto"/>
                <w:kern w:val="0"/>
                <w:sz w:val="20"/>
                <w:szCs w:val="20"/>
                <w:highlight w:val="none"/>
              </w:rPr>
              <w:t>、工业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300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40000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300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3</w:t>
            </w:r>
            <w:r>
              <w:rPr>
                <w:rFonts w:hint="eastAsia" w:ascii="宋体" w:hAnsi="宋体" w:cs="宋体"/>
                <w:color w:val="auto"/>
                <w:kern w:val="0"/>
                <w:sz w:val="20"/>
                <w:szCs w:val="20"/>
                <w:highlight w:val="none"/>
              </w:rPr>
              <w:t>、建筑业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6000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80000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5000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80000</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300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6000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300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5000</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4</w:t>
            </w:r>
            <w:r>
              <w:rPr>
                <w:rFonts w:hint="eastAsia" w:ascii="宋体" w:hAnsi="宋体" w:cs="宋体"/>
                <w:color w:val="auto"/>
                <w:kern w:val="0"/>
                <w:sz w:val="20"/>
                <w:szCs w:val="20"/>
                <w:highlight w:val="none"/>
              </w:rPr>
              <w:t>、批发业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20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5000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40000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5</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5</w:t>
            </w:r>
            <w:r>
              <w:rPr>
                <w:rFonts w:hint="eastAsia" w:ascii="宋体" w:hAnsi="宋体" w:cs="宋体"/>
                <w:color w:val="auto"/>
                <w:kern w:val="0"/>
                <w:sz w:val="20"/>
                <w:szCs w:val="20"/>
                <w:highlight w:val="none"/>
              </w:rPr>
              <w:t>、零售业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50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500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6</w:t>
            </w:r>
            <w:r>
              <w:rPr>
                <w:rFonts w:hint="eastAsia" w:ascii="宋体" w:hAnsi="宋体" w:cs="宋体"/>
                <w:color w:val="auto"/>
                <w:kern w:val="0"/>
                <w:sz w:val="20"/>
                <w:szCs w:val="20"/>
                <w:highlight w:val="none"/>
              </w:rPr>
              <w:t>、交通运输业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300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3000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V</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7</w:t>
            </w:r>
            <w:r>
              <w:rPr>
                <w:rFonts w:hint="eastAsia" w:ascii="宋体" w:hAnsi="宋体" w:cs="宋体"/>
                <w:color w:val="auto"/>
                <w:kern w:val="0"/>
                <w:sz w:val="20"/>
                <w:szCs w:val="20"/>
                <w:highlight w:val="none"/>
              </w:rPr>
              <w:t>、仓储业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8</w:t>
            </w:r>
            <w:r>
              <w:rPr>
                <w:rFonts w:hint="eastAsia" w:ascii="宋体" w:hAnsi="宋体" w:cs="宋体"/>
                <w:color w:val="auto"/>
                <w:kern w:val="0"/>
                <w:sz w:val="20"/>
                <w:szCs w:val="20"/>
                <w:highlight w:val="none"/>
              </w:rPr>
              <w:t>、邮政业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300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9</w:t>
            </w:r>
            <w:r>
              <w:rPr>
                <w:rFonts w:hint="eastAsia" w:ascii="宋体" w:hAnsi="宋体" w:cs="宋体"/>
                <w:color w:val="auto"/>
                <w:kern w:val="0"/>
                <w:sz w:val="20"/>
                <w:szCs w:val="20"/>
                <w:highlight w:val="none"/>
              </w:rPr>
              <w:t>、住宿业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w:t>
            </w:r>
            <w:r>
              <w:rPr>
                <w:rFonts w:hint="eastAsia" w:ascii="宋体" w:hAnsi="宋体" w:cs="宋体"/>
                <w:color w:val="auto"/>
                <w:kern w:val="0"/>
                <w:sz w:val="20"/>
                <w:szCs w:val="20"/>
                <w:highlight w:val="none"/>
              </w:rPr>
              <w:t>、餐饮业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V</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11</w:t>
            </w:r>
            <w:r>
              <w:rPr>
                <w:rFonts w:hint="eastAsia" w:ascii="宋体" w:hAnsi="宋体" w:cs="宋体"/>
                <w:color w:val="auto"/>
                <w:kern w:val="0"/>
                <w:sz w:val="20"/>
                <w:szCs w:val="20"/>
                <w:highlight w:val="none"/>
              </w:rPr>
              <w:t>、信息传输业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12</w:t>
            </w:r>
            <w:r>
              <w:rPr>
                <w:rFonts w:hint="eastAsia" w:ascii="宋体" w:hAnsi="宋体" w:cs="宋体"/>
                <w:color w:val="auto"/>
                <w:kern w:val="0"/>
                <w:sz w:val="20"/>
                <w:szCs w:val="20"/>
                <w:highlight w:val="none"/>
              </w:rPr>
              <w:t>、软件和信息技术服务业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50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13</w:t>
            </w:r>
            <w:r>
              <w:rPr>
                <w:rFonts w:hint="eastAsia" w:ascii="宋体" w:hAnsi="宋体" w:cs="宋体"/>
                <w:color w:val="auto"/>
                <w:kern w:val="0"/>
                <w:sz w:val="20"/>
                <w:szCs w:val="20"/>
                <w:highlight w:val="none"/>
              </w:rPr>
              <w:t>、房地产开发经营</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5000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10000</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5000</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14</w:t>
            </w:r>
            <w:r>
              <w:rPr>
                <w:rFonts w:hint="eastAsia" w:ascii="宋体" w:hAnsi="宋体" w:cs="宋体"/>
                <w:color w:val="auto"/>
                <w:kern w:val="0"/>
                <w:sz w:val="20"/>
                <w:szCs w:val="20"/>
                <w:highlight w:val="none"/>
              </w:rPr>
              <w:t>、物业管理</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300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5000</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500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1000</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Y</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500</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15</w:t>
            </w:r>
            <w:r>
              <w:rPr>
                <w:rFonts w:hint="eastAsia" w:ascii="宋体" w:hAnsi="宋体" w:cs="宋体"/>
                <w:color w:val="auto"/>
                <w:kern w:val="0"/>
                <w:sz w:val="20"/>
                <w:szCs w:val="20"/>
                <w:highlight w:val="none"/>
              </w:rPr>
              <w:t>、租赁和商务服务业</w:t>
            </w:r>
          </w:p>
        </w:tc>
        <w:tc>
          <w:tcPr>
            <w:tcW w:w="151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7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7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8000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120000</w:t>
            </w:r>
          </w:p>
        </w:tc>
        <w:tc>
          <w:tcPr>
            <w:tcW w:w="125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4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 xml:space="preserve"> 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8000</w:t>
            </w:r>
          </w:p>
        </w:tc>
        <w:tc>
          <w:tcPr>
            <w:tcW w:w="129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34"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Z</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16</w:t>
            </w:r>
            <w:r>
              <w:rPr>
                <w:rFonts w:hint="eastAsia" w:ascii="宋体" w:hAnsi="宋体" w:cs="宋体"/>
                <w:color w:val="auto"/>
                <w:kern w:val="0"/>
                <w:sz w:val="20"/>
                <w:szCs w:val="20"/>
                <w:highlight w:val="none"/>
              </w:rPr>
              <w:t>、其他未列明行业</w:t>
            </w:r>
          </w:p>
        </w:tc>
        <w:tc>
          <w:tcPr>
            <w:tcW w:w="1512"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300</w:t>
            </w:r>
          </w:p>
        </w:tc>
        <w:tc>
          <w:tcPr>
            <w:tcW w:w="1779"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77"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52"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10</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100</w:t>
            </w:r>
          </w:p>
        </w:tc>
        <w:tc>
          <w:tcPr>
            <w:tcW w:w="1494"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3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97"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X</w:t>
            </w:r>
            <w:r>
              <w:rPr>
                <w:rFonts w:hint="eastAsia" w:ascii="宋体" w:hAnsi="宋体" w:cs="宋体"/>
                <w:color w:val="auto"/>
                <w:kern w:val="0"/>
                <w:sz w:val="20"/>
                <w:szCs w:val="20"/>
                <w:highlight w:val="none"/>
              </w:rPr>
              <w:t>＜</w:t>
            </w:r>
            <w:r>
              <w:rPr>
                <w:rFonts w:hint="default" w:ascii="宋体" w:hAnsi="宋体" w:cs="宋体"/>
                <w:color w:val="auto"/>
                <w:kern w:val="0"/>
                <w:sz w:val="20"/>
                <w:szCs w:val="20"/>
                <w:highlight w:val="none"/>
              </w:rPr>
              <w:t>10</w:t>
            </w:r>
          </w:p>
        </w:tc>
        <w:tc>
          <w:tcPr>
            <w:tcW w:w="1287"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3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说明　</w:t>
            </w:r>
            <w:r>
              <w:rPr>
                <w:rFonts w:hint="default" w:ascii="宋体" w:hAnsi="宋体" w:cs="宋体"/>
                <w:color w:val="auto"/>
                <w:kern w:val="0"/>
                <w:sz w:val="20"/>
                <w:szCs w:val="20"/>
                <w:highlight w:val="none"/>
              </w:rPr>
              <w:t>1</w:t>
            </w:r>
            <w:r>
              <w:rPr>
                <w:rFonts w:hint="eastAsia" w:ascii="宋体" w:hAnsi="宋体" w:cs="宋体"/>
                <w:color w:val="auto"/>
                <w:kern w:val="0"/>
                <w:sz w:val="20"/>
                <w:szCs w:val="20"/>
                <w:highlight w:val="none"/>
              </w:rPr>
              <w:t>、企业类型的划分以统计部门的统计数据为依据。</w:t>
            </w:r>
          </w:p>
          <w:p>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2</w:t>
            </w:r>
            <w:r>
              <w:rPr>
                <w:rFonts w:hint="eastAsia" w:ascii="宋体" w:hAnsi="宋体" w:cs="宋体"/>
                <w:color w:val="auto"/>
                <w:kern w:val="0"/>
                <w:sz w:val="20"/>
                <w:szCs w:val="20"/>
                <w:highlight w:val="none"/>
              </w:rPr>
              <w:t>、个体工商户和本规定以外的行业，参照本规定进行划型。</w:t>
            </w:r>
          </w:p>
          <w:p>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auto"/>
                <w:kern w:val="0"/>
                <w:sz w:val="20"/>
                <w:szCs w:val="20"/>
                <w:highlight w:val="none"/>
              </w:rPr>
            </w:pPr>
            <w:r>
              <w:rPr>
                <w:rFonts w:hint="default" w:ascii="宋体" w:hAnsi="宋体" w:cs="宋体"/>
                <w:color w:val="auto"/>
                <w:kern w:val="0"/>
                <w:sz w:val="20"/>
                <w:szCs w:val="20"/>
                <w:highlight w:val="none"/>
              </w:rPr>
              <w:t>3</w:t>
            </w:r>
            <w:r>
              <w:rPr>
                <w:rFonts w:hint="eastAsia" w:ascii="宋体" w:hAnsi="宋体" w:cs="宋体"/>
                <w:color w:val="auto"/>
                <w:kern w:val="0"/>
                <w:sz w:val="20"/>
                <w:szCs w:val="20"/>
                <w:highlight w:val="none"/>
              </w:rPr>
              <w:t>、本规定的中型企业标准上限即为大型企业标准的下限。</w:t>
            </w:r>
          </w:p>
        </w:tc>
      </w:tr>
    </w:tbl>
    <w:p>
      <w:pPr>
        <w:pStyle w:val="27"/>
        <w:tabs>
          <w:tab w:val="left" w:pos="811"/>
        </w:tabs>
        <w:spacing w:line="360" w:lineRule="auto"/>
        <w:jc w:val="left"/>
        <w:rPr>
          <w:rFonts w:hAnsi="宋体"/>
          <w:color w:val="auto"/>
          <w:sz w:val="36"/>
          <w:szCs w:val="36"/>
          <w:highlight w:val="none"/>
        </w:rPr>
      </w:pPr>
    </w:p>
    <w:sectPr>
      <w:pgSz w:w="16838" w:h="11906" w:orient="landscape"/>
      <w:pgMar w:top="526" w:right="1440" w:bottom="433" w:left="1440" w:header="737" w:footer="624"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3</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Gh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ZM&#10;8vQ+VlR156kOh9cwpNIpHimYWA9tsOlPfBjlSdzzVVw1IJPp0Hq1XpeUkpSbHcIp7o/7EPGtAsuS&#10;UfNAt5dFFaf3EcfSuSR1c3CrjaG4qIz7K0CYY0TlFZhOJybjxMnCYT9MN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X8aH2wEAAMADAAAOAAAAAAAAAAEA&#10;IAAAAB4BAABkcnMvZTJvRG9jLnhtbFBLBQYAAAAABgAGAFkBAABr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rPr>
                              <w:rStyle w:val="52"/>
                            </w:rPr>
                          </w:pPr>
                          <w:r>
                            <w:fldChar w:fldCharType="begin"/>
                          </w:r>
                          <w:r>
                            <w:rPr>
                              <w:rStyle w:val="52"/>
                            </w:rPr>
                            <w:instrText xml:space="preserve">PAGE  </w:instrText>
                          </w:r>
                          <w:r>
                            <w:fldChar w:fldCharType="separate"/>
                          </w:r>
                          <w:r>
                            <w:rPr>
                              <w:rStyle w:val="52"/>
                            </w:rPr>
                            <w:t>11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pPr>
                      <w:pStyle w:val="30"/>
                      <w:rPr>
                        <w:rStyle w:val="52"/>
                      </w:rPr>
                    </w:pPr>
                    <w:r>
                      <w:fldChar w:fldCharType="begin"/>
                    </w:r>
                    <w:r>
                      <w:rPr>
                        <w:rStyle w:val="52"/>
                      </w:rPr>
                      <w:instrText xml:space="preserve">PAGE  </w:instrText>
                    </w:r>
                    <w:r>
                      <w:fldChar w:fldCharType="separate"/>
                    </w:r>
                    <w:r>
                      <w:rPr>
                        <w:rStyle w:val="52"/>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rPr>
                              <w:rStyle w:val="52"/>
                            </w:rPr>
                          </w:pPr>
                          <w:r>
                            <w:fldChar w:fldCharType="begin"/>
                          </w:r>
                          <w:r>
                            <w:rPr>
                              <w:rStyle w:val="52"/>
                            </w:rPr>
                            <w:instrText xml:space="preserve">PAGE  </w:instrText>
                          </w:r>
                          <w:r>
                            <w:fldChar w:fldCharType="separate"/>
                          </w:r>
                          <w:r>
                            <w:rPr>
                              <w:rStyle w:val="52"/>
                            </w:rPr>
                            <w:t>13</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3s5twBAADA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Cb3s5twBAADAAwAADgAAAAAAAAAB&#10;ACAAAAAeAQAAZHJzL2Uyb0RvYy54bWxQSwUGAAAAAAYABgBZAQAAbAUAAAAA&#10;">
              <v:fill on="f" focussize="0,0"/>
              <v:stroke on="f"/>
              <v:imagedata o:title=""/>
              <o:lock v:ext="edit" aspectratio="f"/>
              <v:textbox inset="0mm,0mm,0mm,0mm" style="mso-fit-shape-to-text:t;">
                <w:txbxContent>
                  <w:p>
                    <w:pPr>
                      <w:pStyle w:val="30"/>
                      <w:rPr>
                        <w:rStyle w:val="52"/>
                      </w:rPr>
                    </w:pPr>
                    <w:r>
                      <w:fldChar w:fldCharType="begin"/>
                    </w:r>
                    <w:r>
                      <w:rPr>
                        <w:rStyle w:val="52"/>
                      </w:rPr>
                      <w:instrText xml:space="preserve">PAGE  </w:instrText>
                    </w:r>
                    <w:r>
                      <w:fldChar w:fldCharType="separate"/>
                    </w:r>
                    <w:r>
                      <w:rPr>
                        <w:rStyle w:val="52"/>
                      </w:rP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A469C"/>
    <w:multiLevelType w:val="singleLevel"/>
    <w:tmpl w:val="D8EA469C"/>
    <w:lvl w:ilvl="0" w:tentative="0">
      <w:start w:val="2"/>
      <w:numFmt w:val="chineseCounting"/>
      <w:suff w:val="space"/>
      <w:lvlText w:val="第%1条"/>
      <w:lvlJc w:val="left"/>
      <w:rPr>
        <w:rFonts w:hint="eastAsia"/>
      </w:rPr>
    </w:lvl>
  </w:abstractNum>
  <w:abstractNum w:abstractNumId="1">
    <w:nsid w:val="E372E750"/>
    <w:multiLevelType w:val="singleLevel"/>
    <w:tmpl w:val="E372E750"/>
    <w:lvl w:ilvl="0" w:tentative="0">
      <w:start w:val="1"/>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45"/>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F6A777F"/>
    <w:multiLevelType w:val="singleLevel"/>
    <w:tmpl w:val="1F6A777F"/>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abstractNum w:abstractNumId="6">
    <w:nsid w:val="57A74C8F"/>
    <w:multiLevelType w:val="singleLevel"/>
    <w:tmpl w:val="57A74C8F"/>
    <w:lvl w:ilvl="0" w:tentative="0">
      <w:start w:val="1"/>
      <w:numFmt w:val="chineseCounting"/>
      <w:pStyle w:val="194"/>
      <w:suff w:val="nothing"/>
      <w:lvlText w:val="%1、"/>
      <w:lvlJc w:val="left"/>
      <w:rPr>
        <w:rFonts w:hint="eastAsia" w:cs="Times New Roman"/>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OTU1NzQwYjcyYjllZTU4ZDRjMzU4NzM5NzM5NWY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5B76"/>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C09"/>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FC3"/>
    <w:rsid w:val="0017189E"/>
    <w:rsid w:val="00171CC9"/>
    <w:rsid w:val="001728DE"/>
    <w:rsid w:val="00172A27"/>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189"/>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6C0"/>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4F30"/>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29A5"/>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0D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D7C18"/>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408"/>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91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6BA"/>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64E6"/>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ED"/>
    <w:rsid w:val="00822327"/>
    <w:rsid w:val="00822A3E"/>
    <w:rsid w:val="00822B95"/>
    <w:rsid w:val="00822BEF"/>
    <w:rsid w:val="00824794"/>
    <w:rsid w:val="00824900"/>
    <w:rsid w:val="00824DB5"/>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622F"/>
    <w:rsid w:val="00836B62"/>
    <w:rsid w:val="0083732F"/>
    <w:rsid w:val="008376C3"/>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3A2"/>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1FF7"/>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456"/>
    <w:rsid w:val="00A17868"/>
    <w:rsid w:val="00A17A96"/>
    <w:rsid w:val="00A17C12"/>
    <w:rsid w:val="00A203AE"/>
    <w:rsid w:val="00A20D8B"/>
    <w:rsid w:val="00A20E47"/>
    <w:rsid w:val="00A21658"/>
    <w:rsid w:val="00A21BBE"/>
    <w:rsid w:val="00A221B0"/>
    <w:rsid w:val="00A224E3"/>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6FD"/>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74C7E"/>
    <w:rsid w:val="00A806F1"/>
    <w:rsid w:val="00A80BB5"/>
    <w:rsid w:val="00A818A9"/>
    <w:rsid w:val="00A81C9B"/>
    <w:rsid w:val="00A81D07"/>
    <w:rsid w:val="00A83204"/>
    <w:rsid w:val="00A83CD9"/>
    <w:rsid w:val="00A83FB5"/>
    <w:rsid w:val="00A847E6"/>
    <w:rsid w:val="00A8496C"/>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978D2"/>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B7CE7"/>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3E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B68"/>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10F0"/>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1D57C13"/>
    <w:rsid w:val="02136E6F"/>
    <w:rsid w:val="02404E4B"/>
    <w:rsid w:val="02585CCA"/>
    <w:rsid w:val="02863EDE"/>
    <w:rsid w:val="02AC72AB"/>
    <w:rsid w:val="02B35D48"/>
    <w:rsid w:val="02CE0832"/>
    <w:rsid w:val="02D0381A"/>
    <w:rsid w:val="02FD1971"/>
    <w:rsid w:val="02FF7A7B"/>
    <w:rsid w:val="03111B2B"/>
    <w:rsid w:val="03795B54"/>
    <w:rsid w:val="03970EF3"/>
    <w:rsid w:val="03D3399E"/>
    <w:rsid w:val="03E31506"/>
    <w:rsid w:val="04021815"/>
    <w:rsid w:val="04664A43"/>
    <w:rsid w:val="04820ADC"/>
    <w:rsid w:val="049115E6"/>
    <w:rsid w:val="049D2E3B"/>
    <w:rsid w:val="056A376A"/>
    <w:rsid w:val="05E14A0C"/>
    <w:rsid w:val="060348EC"/>
    <w:rsid w:val="061162AF"/>
    <w:rsid w:val="0642564C"/>
    <w:rsid w:val="065906F6"/>
    <w:rsid w:val="06691980"/>
    <w:rsid w:val="06C968FB"/>
    <w:rsid w:val="06E57A2A"/>
    <w:rsid w:val="06FA21AA"/>
    <w:rsid w:val="07025928"/>
    <w:rsid w:val="07147BAB"/>
    <w:rsid w:val="071E0080"/>
    <w:rsid w:val="073F2CB4"/>
    <w:rsid w:val="07541C4C"/>
    <w:rsid w:val="07703E47"/>
    <w:rsid w:val="07852402"/>
    <w:rsid w:val="07AD486E"/>
    <w:rsid w:val="07B47EE7"/>
    <w:rsid w:val="07BA597C"/>
    <w:rsid w:val="080A7A63"/>
    <w:rsid w:val="08210E81"/>
    <w:rsid w:val="087C6AEC"/>
    <w:rsid w:val="088A79A8"/>
    <w:rsid w:val="08AC25CB"/>
    <w:rsid w:val="08BC62FE"/>
    <w:rsid w:val="08D557ED"/>
    <w:rsid w:val="08EF7436"/>
    <w:rsid w:val="099B705D"/>
    <w:rsid w:val="09AF4075"/>
    <w:rsid w:val="09B513A5"/>
    <w:rsid w:val="0A041DCA"/>
    <w:rsid w:val="0A0F7CB6"/>
    <w:rsid w:val="0A2E6961"/>
    <w:rsid w:val="0A37287E"/>
    <w:rsid w:val="0A4206A4"/>
    <w:rsid w:val="0A886720"/>
    <w:rsid w:val="0AFA60E7"/>
    <w:rsid w:val="0B0E7430"/>
    <w:rsid w:val="0B561C40"/>
    <w:rsid w:val="0B6A6D1C"/>
    <w:rsid w:val="0B6F0DFA"/>
    <w:rsid w:val="0BE13394"/>
    <w:rsid w:val="0BE75377"/>
    <w:rsid w:val="0C29496A"/>
    <w:rsid w:val="0C2974B8"/>
    <w:rsid w:val="0C6C08E8"/>
    <w:rsid w:val="0C70010D"/>
    <w:rsid w:val="0C73630C"/>
    <w:rsid w:val="0C7B4F16"/>
    <w:rsid w:val="0C8C6E7D"/>
    <w:rsid w:val="0CFA013F"/>
    <w:rsid w:val="0D352AAD"/>
    <w:rsid w:val="0D423522"/>
    <w:rsid w:val="0D5364A5"/>
    <w:rsid w:val="0DD97F01"/>
    <w:rsid w:val="0E015041"/>
    <w:rsid w:val="0E4D7884"/>
    <w:rsid w:val="0E7228AC"/>
    <w:rsid w:val="0E9D4A1E"/>
    <w:rsid w:val="0F001570"/>
    <w:rsid w:val="0F167413"/>
    <w:rsid w:val="0F6E2388"/>
    <w:rsid w:val="0F7678CD"/>
    <w:rsid w:val="0F980C7B"/>
    <w:rsid w:val="0F9E4EC6"/>
    <w:rsid w:val="0FAB689A"/>
    <w:rsid w:val="0FEF7BF8"/>
    <w:rsid w:val="100B3B19"/>
    <w:rsid w:val="103C4477"/>
    <w:rsid w:val="10BB15FD"/>
    <w:rsid w:val="112C3AAC"/>
    <w:rsid w:val="113B73FF"/>
    <w:rsid w:val="114525FF"/>
    <w:rsid w:val="115F625F"/>
    <w:rsid w:val="117B20CF"/>
    <w:rsid w:val="11D24C0A"/>
    <w:rsid w:val="12160F3D"/>
    <w:rsid w:val="12294108"/>
    <w:rsid w:val="12320CA3"/>
    <w:rsid w:val="123413B9"/>
    <w:rsid w:val="12383670"/>
    <w:rsid w:val="126D15E8"/>
    <w:rsid w:val="126D75D0"/>
    <w:rsid w:val="127C16A5"/>
    <w:rsid w:val="128A3E26"/>
    <w:rsid w:val="1299424E"/>
    <w:rsid w:val="12AC765E"/>
    <w:rsid w:val="12BB4CD2"/>
    <w:rsid w:val="12BC47C8"/>
    <w:rsid w:val="12C97C91"/>
    <w:rsid w:val="12CD3CFD"/>
    <w:rsid w:val="12D733E8"/>
    <w:rsid w:val="12E54A8E"/>
    <w:rsid w:val="12EA5713"/>
    <w:rsid w:val="12EA74CE"/>
    <w:rsid w:val="12F21D1C"/>
    <w:rsid w:val="12F45512"/>
    <w:rsid w:val="1326458A"/>
    <w:rsid w:val="1354736C"/>
    <w:rsid w:val="13584B02"/>
    <w:rsid w:val="13CC2474"/>
    <w:rsid w:val="13CC4D06"/>
    <w:rsid w:val="13E61EB2"/>
    <w:rsid w:val="14072AA6"/>
    <w:rsid w:val="14176A98"/>
    <w:rsid w:val="141A2ADF"/>
    <w:rsid w:val="14311447"/>
    <w:rsid w:val="143119FB"/>
    <w:rsid w:val="148D41AD"/>
    <w:rsid w:val="14B51B4F"/>
    <w:rsid w:val="14DE791E"/>
    <w:rsid w:val="15633BC1"/>
    <w:rsid w:val="15910B7E"/>
    <w:rsid w:val="15C35ACC"/>
    <w:rsid w:val="15C828F5"/>
    <w:rsid w:val="15E00B72"/>
    <w:rsid w:val="1658748E"/>
    <w:rsid w:val="165F1C73"/>
    <w:rsid w:val="16767C1F"/>
    <w:rsid w:val="167F6012"/>
    <w:rsid w:val="16A13286"/>
    <w:rsid w:val="16A40ED4"/>
    <w:rsid w:val="16FC2033"/>
    <w:rsid w:val="175A41BD"/>
    <w:rsid w:val="178B36A1"/>
    <w:rsid w:val="17DC4231"/>
    <w:rsid w:val="17E772A6"/>
    <w:rsid w:val="180670CC"/>
    <w:rsid w:val="182D596B"/>
    <w:rsid w:val="18334A8E"/>
    <w:rsid w:val="185E0E87"/>
    <w:rsid w:val="18A5319B"/>
    <w:rsid w:val="18B52B28"/>
    <w:rsid w:val="18C61BB3"/>
    <w:rsid w:val="19315E61"/>
    <w:rsid w:val="197457D0"/>
    <w:rsid w:val="1977452F"/>
    <w:rsid w:val="197F4F1D"/>
    <w:rsid w:val="199A2D8C"/>
    <w:rsid w:val="19D17EB1"/>
    <w:rsid w:val="19E16C17"/>
    <w:rsid w:val="19F44FB8"/>
    <w:rsid w:val="1A404835"/>
    <w:rsid w:val="1A817E26"/>
    <w:rsid w:val="1A8A3DEE"/>
    <w:rsid w:val="1B012852"/>
    <w:rsid w:val="1B045BC5"/>
    <w:rsid w:val="1B213FC1"/>
    <w:rsid w:val="1B32070E"/>
    <w:rsid w:val="1B55386C"/>
    <w:rsid w:val="1B5643D9"/>
    <w:rsid w:val="1B57738F"/>
    <w:rsid w:val="1B6028EE"/>
    <w:rsid w:val="1B7D578C"/>
    <w:rsid w:val="1B8B7B68"/>
    <w:rsid w:val="1BC2179C"/>
    <w:rsid w:val="1BFB39E5"/>
    <w:rsid w:val="1C8D3242"/>
    <w:rsid w:val="1CAC4C2B"/>
    <w:rsid w:val="1CFD009B"/>
    <w:rsid w:val="1D6F07CA"/>
    <w:rsid w:val="1DBC14DB"/>
    <w:rsid w:val="1DFA3861"/>
    <w:rsid w:val="1E04274B"/>
    <w:rsid w:val="1E0E2DA5"/>
    <w:rsid w:val="1E300313"/>
    <w:rsid w:val="1E5E4B58"/>
    <w:rsid w:val="1EC84321"/>
    <w:rsid w:val="1ECC3DE0"/>
    <w:rsid w:val="1ED8487F"/>
    <w:rsid w:val="1EE87F8C"/>
    <w:rsid w:val="1F000FF3"/>
    <w:rsid w:val="1F102097"/>
    <w:rsid w:val="1F1C0096"/>
    <w:rsid w:val="1F473FF8"/>
    <w:rsid w:val="1F535294"/>
    <w:rsid w:val="1F7C216A"/>
    <w:rsid w:val="1F917602"/>
    <w:rsid w:val="1FA60D4D"/>
    <w:rsid w:val="1FCA4FB8"/>
    <w:rsid w:val="1FD87281"/>
    <w:rsid w:val="200C1B87"/>
    <w:rsid w:val="20C15E2A"/>
    <w:rsid w:val="20C626AD"/>
    <w:rsid w:val="21196B08"/>
    <w:rsid w:val="214F03B6"/>
    <w:rsid w:val="218515D4"/>
    <w:rsid w:val="21C015A7"/>
    <w:rsid w:val="22747AA1"/>
    <w:rsid w:val="22B30AAF"/>
    <w:rsid w:val="22B87B0C"/>
    <w:rsid w:val="23111B23"/>
    <w:rsid w:val="2342795C"/>
    <w:rsid w:val="23CE2E77"/>
    <w:rsid w:val="24113F6E"/>
    <w:rsid w:val="2415322B"/>
    <w:rsid w:val="2432177F"/>
    <w:rsid w:val="246C1C9B"/>
    <w:rsid w:val="24764DC1"/>
    <w:rsid w:val="24936568"/>
    <w:rsid w:val="249D0F5E"/>
    <w:rsid w:val="24CC6C3E"/>
    <w:rsid w:val="24FF4FE2"/>
    <w:rsid w:val="251E1681"/>
    <w:rsid w:val="251E2843"/>
    <w:rsid w:val="253F0A36"/>
    <w:rsid w:val="256E2D8B"/>
    <w:rsid w:val="25762C3A"/>
    <w:rsid w:val="2581355B"/>
    <w:rsid w:val="259A6C17"/>
    <w:rsid w:val="25A80150"/>
    <w:rsid w:val="25AA584B"/>
    <w:rsid w:val="25B13282"/>
    <w:rsid w:val="25D446E3"/>
    <w:rsid w:val="25FA2109"/>
    <w:rsid w:val="26117431"/>
    <w:rsid w:val="262827A7"/>
    <w:rsid w:val="26390EBE"/>
    <w:rsid w:val="26396EA7"/>
    <w:rsid w:val="26DC0EAD"/>
    <w:rsid w:val="26EC45CA"/>
    <w:rsid w:val="27276082"/>
    <w:rsid w:val="275512D9"/>
    <w:rsid w:val="277504A6"/>
    <w:rsid w:val="277B654D"/>
    <w:rsid w:val="27851151"/>
    <w:rsid w:val="2792313A"/>
    <w:rsid w:val="27A26165"/>
    <w:rsid w:val="27CA4A35"/>
    <w:rsid w:val="27CC3AD6"/>
    <w:rsid w:val="27CF2B89"/>
    <w:rsid w:val="27D41926"/>
    <w:rsid w:val="27E25FF9"/>
    <w:rsid w:val="281752F4"/>
    <w:rsid w:val="281D1A18"/>
    <w:rsid w:val="281D353C"/>
    <w:rsid w:val="281F0B45"/>
    <w:rsid w:val="285C6CD6"/>
    <w:rsid w:val="285F1E1A"/>
    <w:rsid w:val="287F06EA"/>
    <w:rsid w:val="28E54ED2"/>
    <w:rsid w:val="29161A85"/>
    <w:rsid w:val="29186946"/>
    <w:rsid w:val="29586604"/>
    <w:rsid w:val="2967011C"/>
    <w:rsid w:val="2A09789C"/>
    <w:rsid w:val="2A153CC4"/>
    <w:rsid w:val="2A203752"/>
    <w:rsid w:val="2A4370E4"/>
    <w:rsid w:val="2A5155A0"/>
    <w:rsid w:val="2A6A2C93"/>
    <w:rsid w:val="2A6C6D93"/>
    <w:rsid w:val="2ACF254B"/>
    <w:rsid w:val="2AD52EFE"/>
    <w:rsid w:val="2B067AA9"/>
    <w:rsid w:val="2B4C3B06"/>
    <w:rsid w:val="2B660BC1"/>
    <w:rsid w:val="2BA13519"/>
    <w:rsid w:val="2BA86AE8"/>
    <w:rsid w:val="2BBE1B4A"/>
    <w:rsid w:val="2BE94A1E"/>
    <w:rsid w:val="2BFD702F"/>
    <w:rsid w:val="2C1106C8"/>
    <w:rsid w:val="2C5100AD"/>
    <w:rsid w:val="2C8935BA"/>
    <w:rsid w:val="2CCD0CF3"/>
    <w:rsid w:val="2D3630AA"/>
    <w:rsid w:val="2D4042E6"/>
    <w:rsid w:val="2D49569E"/>
    <w:rsid w:val="2D9C0B72"/>
    <w:rsid w:val="2DAB7016"/>
    <w:rsid w:val="2DB14301"/>
    <w:rsid w:val="2E251993"/>
    <w:rsid w:val="2EAA2490"/>
    <w:rsid w:val="2EB21E3A"/>
    <w:rsid w:val="2EDF11B3"/>
    <w:rsid w:val="2EF24CD6"/>
    <w:rsid w:val="2F0D2540"/>
    <w:rsid w:val="2F5A693F"/>
    <w:rsid w:val="2F624903"/>
    <w:rsid w:val="2F7C34F1"/>
    <w:rsid w:val="2F843CC3"/>
    <w:rsid w:val="2F8476B9"/>
    <w:rsid w:val="2F8B5E11"/>
    <w:rsid w:val="2F953F5B"/>
    <w:rsid w:val="300264A9"/>
    <w:rsid w:val="301A3026"/>
    <w:rsid w:val="309A75BA"/>
    <w:rsid w:val="30A532D8"/>
    <w:rsid w:val="30A765B4"/>
    <w:rsid w:val="30F96E53"/>
    <w:rsid w:val="31330C72"/>
    <w:rsid w:val="313708CB"/>
    <w:rsid w:val="313C35D6"/>
    <w:rsid w:val="318B25E6"/>
    <w:rsid w:val="322E2CC1"/>
    <w:rsid w:val="32744B8F"/>
    <w:rsid w:val="32980E5F"/>
    <w:rsid w:val="329C77E0"/>
    <w:rsid w:val="32B05DBB"/>
    <w:rsid w:val="32D05E8C"/>
    <w:rsid w:val="32EB145B"/>
    <w:rsid w:val="331E30E7"/>
    <w:rsid w:val="334D33A5"/>
    <w:rsid w:val="33601ACE"/>
    <w:rsid w:val="33734E32"/>
    <w:rsid w:val="33A33ECB"/>
    <w:rsid w:val="3424001A"/>
    <w:rsid w:val="34ED6F22"/>
    <w:rsid w:val="356928AF"/>
    <w:rsid w:val="356D7C04"/>
    <w:rsid w:val="357B028B"/>
    <w:rsid w:val="35AB258B"/>
    <w:rsid w:val="35B20F11"/>
    <w:rsid w:val="36215AC7"/>
    <w:rsid w:val="363C351B"/>
    <w:rsid w:val="365C08C4"/>
    <w:rsid w:val="36B02B98"/>
    <w:rsid w:val="36FB77C2"/>
    <w:rsid w:val="372F5723"/>
    <w:rsid w:val="373A1EFF"/>
    <w:rsid w:val="37514E7C"/>
    <w:rsid w:val="3758249B"/>
    <w:rsid w:val="37796963"/>
    <w:rsid w:val="37C318AF"/>
    <w:rsid w:val="380C3557"/>
    <w:rsid w:val="385F6769"/>
    <w:rsid w:val="3861125C"/>
    <w:rsid w:val="386F40C2"/>
    <w:rsid w:val="38901352"/>
    <w:rsid w:val="38F55846"/>
    <w:rsid w:val="39045761"/>
    <w:rsid w:val="39255B4E"/>
    <w:rsid w:val="39572990"/>
    <w:rsid w:val="398A17A7"/>
    <w:rsid w:val="39A570A9"/>
    <w:rsid w:val="39B34CB8"/>
    <w:rsid w:val="39B56588"/>
    <w:rsid w:val="3A5D0F7E"/>
    <w:rsid w:val="3A6073BE"/>
    <w:rsid w:val="3A7043E9"/>
    <w:rsid w:val="3A8217E4"/>
    <w:rsid w:val="3AC570EC"/>
    <w:rsid w:val="3AF9358F"/>
    <w:rsid w:val="3AFB7978"/>
    <w:rsid w:val="3B263C85"/>
    <w:rsid w:val="3B2C1E26"/>
    <w:rsid w:val="3B445BC8"/>
    <w:rsid w:val="3B83614B"/>
    <w:rsid w:val="3BFD4FB1"/>
    <w:rsid w:val="3C161445"/>
    <w:rsid w:val="3C2679C3"/>
    <w:rsid w:val="3C4B19ED"/>
    <w:rsid w:val="3C7523AB"/>
    <w:rsid w:val="3C7C2505"/>
    <w:rsid w:val="3C7D6CD6"/>
    <w:rsid w:val="3C956C5B"/>
    <w:rsid w:val="3CA12871"/>
    <w:rsid w:val="3CA73F97"/>
    <w:rsid w:val="3D400D67"/>
    <w:rsid w:val="3D5630FB"/>
    <w:rsid w:val="3D6D3DCE"/>
    <w:rsid w:val="3D726FAC"/>
    <w:rsid w:val="3DB702E0"/>
    <w:rsid w:val="3E236C28"/>
    <w:rsid w:val="3E32032E"/>
    <w:rsid w:val="3E775CC2"/>
    <w:rsid w:val="3ED967CE"/>
    <w:rsid w:val="3F141074"/>
    <w:rsid w:val="3F677DCF"/>
    <w:rsid w:val="3F7D1F21"/>
    <w:rsid w:val="3F9A5837"/>
    <w:rsid w:val="3FC07303"/>
    <w:rsid w:val="3FED2FEE"/>
    <w:rsid w:val="3FF0411E"/>
    <w:rsid w:val="3FF55292"/>
    <w:rsid w:val="3FF64C40"/>
    <w:rsid w:val="40364E7B"/>
    <w:rsid w:val="40571709"/>
    <w:rsid w:val="40696B2E"/>
    <w:rsid w:val="40985EF2"/>
    <w:rsid w:val="40A51E05"/>
    <w:rsid w:val="40D01062"/>
    <w:rsid w:val="40FA4465"/>
    <w:rsid w:val="4122784B"/>
    <w:rsid w:val="415F37E9"/>
    <w:rsid w:val="4199675D"/>
    <w:rsid w:val="419B135E"/>
    <w:rsid w:val="41A35612"/>
    <w:rsid w:val="41B01DF0"/>
    <w:rsid w:val="41C95125"/>
    <w:rsid w:val="42060D4C"/>
    <w:rsid w:val="42226EC9"/>
    <w:rsid w:val="42A41845"/>
    <w:rsid w:val="42AA00FC"/>
    <w:rsid w:val="42B97A25"/>
    <w:rsid w:val="43225FD1"/>
    <w:rsid w:val="43B52B82"/>
    <w:rsid w:val="440C5933"/>
    <w:rsid w:val="447B1F1F"/>
    <w:rsid w:val="449C614E"/>
    <w:rsid w:val="44E939B9"/>
    <w:rsid w:val="44EF24B6"/>
    <w:rsid w:val="450F35C7"/>
    <w:rsid w:val="45365B70"/>
    <w:rsid w:val="455521A0"/>
    <w:rsid w:val="45775602"/>
    <w:rsid w:val="45952C02"/>
    <w:rsid w:val="45AF695B"/>
    <w:rsid w:val="45C55E76"/>
    <w:rsid w:val="45FB06B0"/>
    <w:rsid w:val="45FC0CDF"/>
    <w:rsid w:val="4622025B"/>
    <w:rsid w:val="46772ACA"/>
    <w:rsid w:val="468A243D"/>
    <w:rsid w:val="46AF0C47"/>
    <w:rsid w:val="46CB6859"/>
    <w:rsid w:val="46CD5CDF"/>
    <w:rsid w:val="46F7008C"/>
    <w:rsid w:val="470E1780"/>
    <w:rsid w:val="47197576"/>
    <w:rsid w:val="475F1299"/>
    <w:rsid w:val="47643C7B"/>
    <w:rsid w:val="479C06A6"/>
    <w:rsid w:val="47DD2C1E"/>
    <w:rsid w:val="48226394"/>
    <w:rsid w:val="48950A55"/>
    <w:rsid w:val="48ED301E"/>
    <w:rsid w:val="49036E36"/>
    <w:rsid w:val="49A3785C"/>
    <w:rsid w:val="49A55F90"/>
    <w:rsid w:val="49D825AA"/>
    <w:rsid w:val="4A781081"/>
    <w:rsid w:val="4A970C13"/>
    <w:rsid w:val="4A971ED9"/>
    <w:rsid w:val="4ABF7808"/>
    <w:rsid w:val="4AC74AE9"/>
    <w:rsid w:val="4AF60F17"/>
    <w:rsid w:val="4B101F6A"/>
    <w:rsid w:val="4B393502"/>
    <w:rsid w:val="4B4B5BA4"/>
    <w:rsid w:val="4BED4C7B"/>
    <w:rsid w:val="4C334FE0"/>
    <w:rsid w:val="4C4107B8"/>
    <w:rsid w:val="4C63431C"/>
    <w:rsid w:val="4C9C4380"/>
    <w:rsid w:val="4CC354DE"/>
    <w:rsid w:val="4CF50A7A"/>
    <w:rsid w:val="4D860F34"/>
    <w:rsid w:val="4DC454A6"/>
    <w:rsid w:val="4DD672BD"/>
    <w:rsid w:val="4DDF7903"/>
    <w:rsid w:val="4E0D632B"/>
    <w:rsid w:val="4E133DDC"/>
    <w:rsid w:val="4E330DD9"/>
    <w:rsid w:val="4E502928"/>
    <w:rsid w:val="4E5702D1"/>
    <w:rsid w:val="4E745978"/>
    <w:rsid w:val="4E7A0A5F"/>
    <w:rsid w:val="4E944871"/>
    <w:rsid w:val="4EAA276D"/>
    <w:rsid w:val="4ED31D40"/>
    <w:rsid w:val="4EDD0DB8"/>
    <w:rsid w:val="4F35438F"/>
    <w:rsid w:val="4F45079D"/>
    <w:rsid w:val="4F5720DE"/>
    <w:rsid w:val="4F574C2C"/>
    <w:rsid w:val="4F6A72D7"/>
    <w:rsid w:val="4FA4450F"/>
    <w:rsid w:val="4FAD1288"/>
    <w:rsid w:val="4FB61C03"/>
    <w:rsid w:val="4FD63E34"/>
    <w:rsid w:val="500B0859"/>
    <w:rsid w:val="501D511A"/>
    <w:rsid w:val="507D7AD7"/>
    <w:rsid w:val="509F13A6"/>
    <w:rsid w:val="50C87602"/>
    <w:rsid w:val="50F008D2"/>
    <w:rsid w:val="51095C3F"/>
    <w:rsid w:val="51113740"/>
    <w:rsid w:val="51181B78"/>
    <w:rsid w:val="511B3F94"/>
    <w:rsid w:val="51C42855"/>
    <w:rsid w:val="51CB045D"/>
    <w:rsid w:val="52343541"/>
    <w:rsid w:val="524A77D1"/>
    <w:rsid w:val="5256588E"/>
    <w:rsid w:val="52715451"/>
    <w:rsid w:val="52891E6C"/>
    <w:rsid w:val="53725DB9"/>
    <w:rsid w:val="53886D04"/>
    <w:rsid w:val="539E1218"/>
    <w:rsid w:val="53EE7AA3"/>
    <w:rsid w:val="53F964C6"/>
    <w:rsid w:val="54200B65"/>
    <w:rsid w:val="542A08ED"/>
    <w:rsid w:val="54632C3F"/>
    <w:rsid w:val="549C61AB"/>
    <w:rsid w:val="54EE7370"/>
    <w:rsid w:val="553E63DC"/>
    <w:rsid w:val="555F2C98"/>
    <w:rsid w:val="559D10FC"/>
    <w:rsid w:val="5604752C"/>
    <w:rsid w:val="56193EF6"/>
    <w:rsid w:val="56620961"/>
    <w:rsid w:val="568A1826"/>
    <w:rsid w:val="56A30260"/>
    <w:rsid w:val="56D7432E"/>
    <w:rsid w:val="56DE45E7"/>
    <w:rsid w:val="57303F7D"/>
    <w:rsid w:val="5763497E"/>
    <w:rsid w:val="57BE75FE"/>
    <w:rsid w:val="57D7310F"/>
    <w:rsid w:val="57DC0F29"/>
    <w:rsid w:val="58386DA6"/>
    <w:rsid w:val="584D1551"/>
    <w:rsid w:val="58B32187"/>
    <w:rsid w:val="58CB5CCA"/>
    <w:rsid w:val="58D01B24"/>
    <w:rsid w:val="58EC42C6"/>
    <w:rsid w:val="5939034E"/>
    <w:rsid w:val="594B22F7"/>
    <w:rsid w:val="598C5340"/>
    <w:rsid w:val="59E432DB"/>
    <w:rsid w:val="5A683843"/>
    <w:rsid w:val="5A9056E2"/>
    <w:rsid w:val="5B0B723D"/>
    <w:rsid w:val="5B2A25C0"/>
    <w:rsid w:val="5B5344D3"/>
    <w:rsid w:val="5BA10461"/>
    <w:rsid w:val="5BEA3E40"/>
    <w:rsid w:val="5BED61BD"/>
    <w:rsid w:val="5C3F6338"/>
    <w:rsid w:val="5C4224A2"/>
    <w:rsid w:val="5C60789B"/>
    <w:rsid w:val="5C7B0889"/>
    <w:rsid w:val="5CF40B40"/>
    <w:rsid w:val="5D000F6D"/>
    <w:rsid w:val="5D1E5CA6"/>
    <w:rsid w:val="5D4B3FA0"/>
    <w:rsid w:val="5D841C8F"/>
    <w:rsid w:val="5DB55BCD"/>
    <w:rsid w:val="5DE8500B"/>
    <w:rsid w:val="5E2E09FE"/>
    <w:rsid w:val="5E4E15E4"/>
    <w:rsid w:val="5ED41DB6"/>
    <w:rsid w:val="5EED6B4B"/>
    <w:rsid w:val="5F021772"/>
    <w:rsid w:val="5FC324AB"/>
    <w:rsid w:val="5FD82410"/>
    <w:rsid w:val="5FF067F2"/>
    <w:rsid w:val="60156163"/>
    <w:rsid w:val="60315CFC"/>
    <w:rsid w:val="6065139F"/>
    <w:rsid w:val="607C7AE6"/>
    <w:rsid w:val="609C1EB0"/>
    <w:rsid w:val="60FE69AF"/>
    <w:rsid w:val="61066D33"/>
    <w:rsid w:val="615871ED"/>
    <w:rsid w:val="61762801"/>
    <w:rsid w:val="618A197E"/>
    <w:rsid w:val="61A86492"/>
    <w:rsid w:val="61C77383"/>
    <w:rsid w:val="61C82748"/>
    <w:rsid w:val="61DE154A"/>
    <w:rsid w:val="61DE49E7"/>
    <w:rsid w:val="61F93380"/>
    <w:rsid w:val="62165216"/>
    <w:rsid w:val="621C2B4B"/>
    <w:rsid w:val="6320666B"/>
    <w:rsid w:val="634B2557"/>
    <w:rsid w:val="635418F9"/>
    <w:rsid w:val="635D664F"/>
    <w:rsid w:val="637644ED"/>
    <w:rsid w:val="63EB4ECB"/>
    <w:rsid w:val="64495C49"/>
    <w:rsid w:val="64A85D79"/>
    <w:rsid w:val="64AB2F5C"/>
    <w:rsid w:val="64C10E6B"/>
    <w:rsid w:val="654E0AAD"/>
    <w:rsid w:val="657C7B9E"/>
    <w:rsid w:val="65D3075C"/>
    <w:rsid w:val="66064F5F"/>
    <w:rsid w:val="66071BDE"/>
    <w:rsid w:val="661F54CE"/>
    <w:rsid w:val="664034E9"/>
    <w:rsid w:val="66A004F9"/>
    <w:rsid w:val="66AD3C65"/>
    <w:rsid w:val="67472418"/>
    <w:rsid w:val="677D63AA"/>
    <w:rsid w:val="67801DCE"/>
    <w:rsid w:val="6782463C"/>
    <w:rsid w:val="67CB5B20"/>
    <w:rsid w:val="67CC22D9"/>
    <w:rsid w:val="68065131"/>
    <w:rsid w:val="681B6E66"/>
    <w:rsid w:val="685108FC"/>
    <w:rsid w:val="68631016"/>
    <w:rsid w:val="68A01D6E"/>
    <w:rsid w:val="691A3DDD"/>
    <w:rsid w:val="692129A9"/>
    <w:rsid w:val="69360585"/>
    <w:rsid w:val="69382A2C"/>
    <w:rsid w:val="69434640"/>
    <w:rsid w:val="69565192"/>
    <w:rsid w:val="69D723EE"/>
    <w:rsid w:val="69DB5D7C"/>
    <w:rsid w:val="6ABD3F91"/>
    <w:rsid w:val="6AD667D8"/>
    <w:rsid w:val="6AF54FE2"/>
    <w:rsid w:val="6AFB6F7F"/>
    <w:rsid w:val="6B385C49"/>
    <w:rsid w:val="6B9036E7"/>
    <w:rsid w:val="6B9C3AE5"/>
    <w:rsid w:val="6BB24174"/>
    <w:rsid w:val="6BDC2773"/>
    <w:rsid w:val="6C3F7B62"/>
    <w:rsid w:val="6C4E33F1"/>
    <w:rsid w:val="6C545122"/>
    <w:rsid w:val="6C920B69"/>
    <w:rsid w:val="6C9446F5"/>
    <w:rsid w:val="6CB3536E"/>
    <w:rsid w:val="6CC4639B"/>
    <w:rsid w:val="6D1D63C6"/>
    <w:rsid w:val="6D2C7C0D"/>
    <w:rsid w:val="6D626411"/>
    <w:rsid w:val="6D89249D"/>
    <w:rsid w:val="6DEF7AF4"/>
    <w:rsid w:val="6DF87AF7"/>
    <w:rsid w:val="6E8A7F3F"/>
    <w:rsid w:val="6EA02659"/>
    <w:rsid w:val="6EB3379C"/>
    <w:rsid w:val="6F1359BD"/>
    <w:rsid w:val="6F16439A"/>
    <w:rsid w:val="6F2B2260"/>
    <w:rsid w:val="6F653D83"/>
    <w:rsid w:val="6FE1733C"/>
    <w:rsid w:val="700E4CD4"/>
    <w:rsid w:val="70221C74"/>
    <w:rsid w:val="704B62AC"/>
    <w:rsid w:val="70660451"/>
    <w:rsid w:val="708366D3"/>
    <w:rsid w:val="70CD2A9F"/>
    <w:rsid w:val="70E70B82"/>
    <w:rsid w:val="70F13180"/>
    <w:rsid w:val="710E63FD"/>
    <w:rsid w:val="715E6A26"/>
    <w:rsid w:val="717A5259"/>
    <w:rsid w:val="71CA7AE9"/>
    <w:rsid w:val="71CF0CBA"/>
    <w:rsid w:val="725F4BB0"/>
    <w:rsid w:val="72927005"/>
    <w:rsid w:val="72B24FED"/>
    <w:rsid w:val="72E53669"/>
    <w:rsid w:val="72E70F53"/>
    <w:rsid w:val="73505BF0"/>
    <w:rsid w:val="73F33BCF"/>
    <w:rsid w:val="745D1E7A"/>
    <w:rsid w:val="74870DF6"/>
    <w:rsid w:val="74C01F04"/>
    <w:rsid w:val="74C141E4"/>
    <w:rsid w:val="74C27582"/>
    <w:rsid w:val="74FF2224"/>
    <w:rsid w:val="752E7064"/>
    <w:rsid w:val="755E1FBF"/>
    <w:rsid w:val="75A74C9F"/>
    <w:rsid w:val="761600B6"/>
    <w:rsid w:val="76646422"/>
    <w:rsid w:val="766E211A"/>
    <w:rsid w:val="76BE7127"/>
    <w:rsid w:val="77843806"/>
    <w:rsid w:val="77C269C6"/>
    <w:rsid w:val="77E26464"/>
    <w:rsid w:val="77E36DBE"/>
    <w:rsid w:val="780633AF"/>
    <w:rsid w:val="780650B1"/>
    <w:rsid w:val="7810076B"/>
    <w:rsid w:val="781403A3"/>
    <w:rsid w:val="781E05C8"/>
    <w:rsid w:val="78216233"/>
    <w:rsid w:val="784870D5"/>
    <w:rsid w:val="789255F2"/>
    <w:rsid w:val="78950E64"/>
    <w:rsid w:val="78E4686E"/>
    <w:rsid w:val="78FA337A"/>
    <w:rsid w:val="79274A44"/>
    <w:rsid w:val="79776003"/>
    <w:rsid w:val="797801A0"/>
    <w:rsid w:val="79B73810"/>
    <w:rsid w:val="79C476A6"/>
    <w:rsid w:val="79F6450D"/>
    <w:rsid w:val="7A7333F4"/>
    <w:rsid w:val="7A9B5F62"/>
    <w:rsid w:val="7A9C2C1C"/>
    <w:rsid w:val="7AB079F9"/>
    <w:rsid w:val="7AD0650C"/>
    <w:rsid w:val="7B28499C"/>
    <w:rsid w:val="7B2D37A3"/>
    <w:rsid w:val="7B3A497C"/>
    <w:rsid w:val="7B7223D6"/>
    <w:rsid w:val="7BB17C45"/>
    <w:rsid w:val="7BB65736"/>
    <w:rsid w:val="7BEE4101"/>
    <w:rsid w:val="7C4C347A"/>
    <w:rsid w:val="7C5A65DC"/>
    <w:rsid w:val="7C6258BE"/>
    <w:rsid w:val="7CA63DB6"/>
    <w:rsid w:val="7CAB0541"/>
    <w:rsid w:val="7D2B6244"/>
    <w:rsid w:val="7D513857"/>
    <w:rsid w:val="7D710719"/>
    <w:rsid w:val="7D7D15ED"/>
    <w:rsid w:val="7D7D678B"/>
    <w:rsid w:val="7DBA0D19"/>
    <w:rsid w:val="7DDE12FB"/>
    <w:rsid w:val="7E130E17"/>
    <w:rsid w:val="7E320B69"/>
    <w:rsid w:val="7E6B21F2"/>
    <w:rsid w:val="7ECF746B"/>
    <w:rsid w:val="7EE43213"/>
    <w:rsid w:val="7F7D5AE6"/>
    <w:rsid w:val="7F9B7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5"/>
    <w:autoRedefine/>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66"/>
    <w:autoRedefine/>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67"/>
    <w:autoRedefine/>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68"/>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9"/>
    <w:autoRedefine/>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70"/>
    <w:autoRedefine/>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71"/>
    <w:autoRedefine/>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72"/>
    <w:autoRedefine/>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73"/>
    <w:autoRedefine/>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index 8"/>
    <w:basedOn w:val="1"/>
    <w:next w:val="1"/>
    <w:autoRedefine/>
    <w:qFormat/>
    <w:uiPriority w:val="99"/>
    <w:pPr>
      <w:jc w:val="center"/>
    </w:pPr>
    <w:rPr>
      <w:rFonts w:hint="eastAsia" w:ascii="宋体" w:hAnsi="宋体"/>
      <w:color w:val="000000"/>
      <w:sz w:val="32"/>
      <w:szCs w:val="32"/>
    </w:rPr>
  </w:style>
  <w:style w:type="paragraph" w:styleId="13">
    <w:name w:val="Normal Indent"/>
    <w:basedOn w:val="1"/>
    <w:next w:val="1"/>
    <w:link w:val="74"/>
    <w:autoRedefine/>
    <w:qFormat/>
    <w:uiPriority w:val="0"/>
    <w:pPr>
      <w:ind w:firstLine="420" w:firstLineChars="200"/>
    </w:pPr>
    <w:rPr>
      <w:rFonts w:ascii="宋体" w:hAnsi="宋体"/>
      <w:spacing w:val="14"/>
      <w:kern w:val="24"/>
      <w:sz w:val="24"/>
      <w:szCs w:val="24"/>
    </w:rPr>
  </w:style>
  <w:style w:type="paragraph" w:styleId="14">
    <w:name w:val="caption"/>
    <w:basedOn w:val="1"/>
    <w:next w:val="1"/>
    <w:autoRedefine/>
    <w:unhideWhenUsed/>
    <w:qFormat/>
    <w:uiPriority w:val="0"/>
    <w:pPr>
      <w:spacing w:line="360" w:lineRule="auto"/>
    </w:pPr>
    <w:rPr>
      <w:rFonts w:ascii="Cambria" w:hAnsi="Cambria" w:eastAsia="黑体" w:cs="宋体"/>
      <w:sz w:val="20"/>
      <w:szCs w:val="24"/>
    </w:rPr>
  </w:style>
  <w:style w:type="paragraph" w:styleId="15">
    <w:name w:val="Document Map"/>
    <w:basedOn w:val="1"/>
    <w:link w:val="75"/>
    <w:autoRedefine/>
    <w:semiHidden/>
    <w:qFormat/>
    <w:uiPriority w:val="99"/>
    <w:pPr>
      <w:shd w:val="clear" w:color="auto" w:fill="000080"/>
    </w:pPr>
  </w:style>
  <w:style w:type="paragraph" w:styleId="16">
    <w:name w:val="toa heading"/>
    <w:basedOn w:val="1"/>
    <w:next w:val="1"/>
    <w:autoRedefine/>
    <w:qFormat/>
    <w:uiPriority w:val="0"/>
    <w:pPr>
      <w:spacing w:before="120"/>
    </w:pPr>
    <w:rPr>
      <w:rFonts w:ascii="Arial" w:hAnsi="Arial" w:cs="Arial"/>
      <w:sz w:val="24"/>
    </w:rPr>
  </w:style>
  <w:style w:type="paragraph" w:styleId="17">
    <w:name w:val="annotation text"/>
    <w:basedOn w:val="1"/>
    <w:link w:val="76"/>
    <w:autoRedefine/>
    <w:qFormat/>
    <w:uiPriority w:val="99"/>
    <w:pPr>
      <w:jc w:val="left"/>
    </w:pPr>
    <w:rPr>
      <w:rFonts w:ascii="宋体" w:hAnsi="宋体"/>
      <w:szCs w:val="21"/>
    </w:rPr>
  </w:style>
  <w:style w:type="paragraph" w:styleId="18">
    <w:name w:val="Body Text 3"/>
    <w:basedOn w:val="1"/>
    <w:link w:val="77"/>
    <w:autoRedefine/>
    <w:qFormat/>
    <w:uiPriority w:val="99"/>
    <w:pPr>
      <w:spacing w:after="120" w:line="360" w:lineRule="auto"/>
    </w:pPr>
    <w:rPr>
      <w:kern w:val="0"/>
      <w:sz w:val="16"/>
    </w:rPr>
  </w:style>
  <w:style w:type="paragraph" w:styleId="19">
    <w:name w:val="Body Text"/>
    <w:basedOn w:val="1"/>
    <w:next w:val="20"/>
    <w:link w:val="78"/>
    <w:autoRedefine/>
    <w:qFormat/>
    <w:uiPriority w:val="99"/>
    <w:rPr>
      <w:rFonts w:ascii="宋体" w:hAnsi="宋体"/>
      <w:kern w:val="0"/>
      <w:sz w:val="20"/>
    </w:rPr>
  </w:style>
  <w:style w:type="paragraph" w:styleId="20">
    <w:name w:val="Body Text First Indent"/>
    <w:basedOn w:val="19"/>
    <w:link w:val="89"/>
    <w:autoRedefine/>
    <w:qFormat/>
    <w:uiPriority w:val="99"/>
    <w:pPr>
      <w:spacing w:after="120"/>
      <w:ind w:firstLine="420" w:firstLineChars="100"/>
    </w:pPr>
    <w:rPr>
      <w:i/>
      <w:kern w:val="2"/>
      <w:sz w:val="24"/>
    </w:rPr>
  </w:style>
  <w:style w:type="paragraph" w:styleId="21">
    <w:name w:val="Body Text Indent"/>
    <w:basedOn w:val="1"/>
    <w:link w:val="79"/>
    <w:autoRedefine/>
    <w:qFormat/>
    <w:uiPriority w:val="99"/>
    <w:pPr>
      <w:spacing w:line="380" w:lineRule="exact"/>
      <w:ind w:firstLine="480"/>
    </w:pPr>
    <w:rPr>
      <w:rFonts w:eastAsia="方正书宋简体"/>
      <w:sz w:val="24"/>
    </w:rPr>
  </w:style>
  <w:style w:type="paragraph" w:styleId="22">
    <w:name w:val="List Number 3"/>
    <w:basedOn w:val="1"/>
    <w:autoRedefine/>
    <w:qFormat/>
    <w:uiPriority w:val="99"/>
    <w:pPr>
      <w:widowControl/>
      <w:tabs>
        <w:tab w:val="left" w:pos="482"/>
      </w:tabs>
      <w:spacing w:afterLines="50"/>
      <w:ind w:left="482" w:hanging="340"/>
      <w:jc w:val="left"/>
    </w:pPr>
    <w:rPr>
      <w:kern w:val="0"/>
      <w:sz w:val="24"/>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rPr>
  </w:style>
  <w:style w:type="paragraph" w:styleId="25">
    <w:name w:val="Plain Text"/>
    <w:basedOn w:val="1"/>
    <w:link w:val="64"/>
    <w:autoRedefine/>
    <w:qFormat/>
    <w:uiPriority w:val="0"/>
    <w:pPr>
      <w:widowControl/>
      <w:spacing w:before="100" w:beforeAutospacing="1" w:after="100" w:afterAutospacing="1"/>
      <w:jc w:val="left"/>
    </w:pPr>
    <w:rPr>
      <w:rFonts w:ascii="宋体" w:hAnsi="Courier New"/>
      <w:kern w:val="0"/>
      <w:sz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link w:val="80"/>
    <w:autoRedefine/>
    <w:qFormat/>
    <w:uiPriority w:val="99"/>
    <w:pPr>
      <w:adjustRightInd w:val="0"/>
      <w:spacing w:line="312" w:lineRule="atLeast"/>
      <w:jc w:val="right"/>
      <w:textAlignment w:val="baseline"/>
    </w:pPr>
    <w:rPr>
      <w:rFonts w:ascii="宋体"/>
      <w:kern w:val="0"/>
      <w:sz w:val="24"/>
    </w:rPr>
  </w:style>
  <w:style w:type="paragraph" w:styleId="28">
    <w:name w:val="Body Text Indent 2"/>
    <w:basedOn w:val="1"/>
    <w:link w:val="81"/>
    <w:autoRedefine/>
    <w:qFormat/>
    <w:uiPriority w:val="99"/>
    <w:pPr>
      <w:spacing w:line="380" w:lineRule="exact"/>
      <w:ind w:left="840" w:hanging="45"/>
    </w:pPr>
    <w:rPr>
      <w:rFonts w:ascii="宋体"/>
      <w:sz w:val="24"/>
    </w:rPr>
  </w:style>
  <w:style w:type="paragraph" w:styleId="29">
    <w:name w:val="Balloon Text"/>
    <w:basedOn w:val="1"/>
    <w:link w:val="82"/>
    <w:autoRedefine/>
    <w:semiHidden/>
    <w:qFormat/>
    <w:uiPriority w:val="99"/>
    <w:rPr>
      <w:rFonts w:ascii="宋体" w:hAnsi="宋体"/>
      <w:sz w:val="18"/>
      <w:szCs w:val="18"/>
    </w:rPr>
  </w:style>
  <w:style w:type="paragraph" w:styleId="30">
    <w:name w:val="footer"/>
    <w:basedOn w:val="1"/>
    <w:link w:val="83"/>
    <w:autoRedefine/>
    <w:qFormat/>
    <w:uiPriority w:val="99"/>
    <w:pPr>
      <w:tabs>
        <w:tab w:val="center" w:pos="4153"/>
        <w:tab w:val="right" w:pos="8306"/>
      </w:tabs>
      <w:snapToGrid w:val="0"/>
      <w:jc w:val="left"/>
    </w:pPr>
    <w:rPr>
      <w:rFonts w:ascii="宋体" w:hAnsi="宋体"/>
      <w:sz w:val="18"/>
      <w:szCs w:val="18"/>
    </w:rPr>
  </w:style>
  <w:style w:type="paragraph" w:styleId="31">
    <w:name w:val="envelope return"/>
    <w:basedOn w:val="1"/>
    <w:autoRedefine/>
    <w:qFormat/>
    <w:uiPriority w:val="0"/>
    <w:pPr>
      <w:snapToGrid w:val="0"/>
    </w:pPr>
    <w:rPr>
      <w:rFonts w:ascii="Arial" w:hAnsi="Arial"/>
    </w:rPr>
  </w:style>
  <w:style w:type="paragraph" w:styleId="32">
    <w:name w:val="header"/>
    <w:basedOn w:val="1"/>
    <w:link w:val="84"/>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3">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34">
    <w:name w:val="toc 4"/>
    <w:basedOn w:val="1"/>
    <w:next w:val="1"/>
    <w:autoRedefine/>
    <w:qFormat/>
    <w:uiPriority w:val="39"/>
    <w:pPr>
      <w:ind w:left="630"/>
      <w:jc w:val="left"/>
    </w:pPr>
    <w:rPr>
      <w:sz w:val="18"/>
      <w:szCs w:val="18"/>
    </w:rPr>
  </w:style>
  <w:style w:type="paragraph" w:styleId="35">
    <w:name w:val="List Number 5"/>
    <w:basedOn w:val="1"/>
    <w:autoRedefine/>
    <w:qFormat/>
    <w:uiPriority w:val="99"/>
    <w:pPr>
      <w:tabs>
        <w:tab w:val="left" w:pos="2608"/>
      </w:tabs>
      <w:spacing w:line="360" w:lineRule="auto"/>
      <w:ind w:left="840" w:hanging="360"/>
    </w:pPr>
    <w:rPr>
      <w:sz w:val="24"/>
      <w:szCs w:val="24"/>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85"/>
    <w:autoRedefine/>
    <w:qFormat/>
    <w:uiPriority w:val="99"/>
    <w:pPr>
      <w:spacing w:line="380" w:lineRule="exact"/>
      <w:ind w:left="525"/>
    </w:pPr>
    <w:rPr>
      <w:rFonts w:ascii="宋体" w:hAnsi="宋体"/>
      <w:b/>
      <w:sz w:val="24"/>
      <w:szCs w:val="24"/>
    </w:rPr>
  </w:style>
  <w:style w:type="paragraph" w:styleId="38">
    <w:name w:val="table of figures"/>
    <w:basedOn w:val="1"/>
    <w:next w:val="1"/>
    <w:autoRedefine/>
    <w:qFormat/>
    <w:uiPriority w:val="99"/>
    <w:pPr>
      <w:ind w:left="420" w:hanging="420"/>
      <w:jc w:val="left"/>
    </w:pPr>
    <w:rPr>
      <w:smallCaps/>
      <w:sz w:val="20"/>
    </w:rPr>
  </w:style>
  <w:style w:type="paragraph" w:styleId="39">
    <w:name w:val="toc 2"/>
    <w:basedOn w:val="1"/>
    <w:next w:val="1"/>
    <w:autoRedefine/>
    <w:qFormat/>
    <w:uiPriority w:val="39"/>
    <w:pPr>
      <w:ind w:left="210"/>
      <w:jc w:val="left"/>
    </w:pPr>
    <w:rPr>
      <w:smallCaps/>
      <w:sz w:val="20"/>
    </w:rPr>
  </w:style>
  <w:style w:type="paragraph" w:styleId="40">
    <w:name w:val="toc 9"/>
    <w:basedOn w:val="1"/>
    <w:next w:val="1"/>
    <w:autoRedefine/>
    <w:qFormat/>
    <w:uiPriority w:val="39"/>
    <w:pPr>
      <w:ind w:left="1680"/>
      <w:jc w:val="left"/>
    </w:pPr>
    <w:rPr>
      <w:sz w:val="18"/>
      <w:szCs w:val="18"/>
    </w:rPr>
  </w:style>
  <w:style w:type="paragraph" w:styleId="41">
    <w:name w:val="Body Text 2"/>
    <w:basedOn w:val="1"/>
    <w:link w:val="86"/>
    <w:autoRedefine/>
    <w:qFormat/>
    <w:uiPriority w:val="99"/>
    <w:pPr>
      <w:spacing w:after="120" w:line="480" w:lineRule="auto"/>
    </w:pPr>
    <w:rPr>
      <w:kern w:val="0"/>
      <w:sz w:val="24"/>
    </w:rPr>
  </w:style>
  <w:style w:type="paragraph" w:styleId="42">
    <w:name w:val="HTML Preformatted"/>
    <w:basedOn w:val="1"/>
    <w:link w:val="87"/>
    <w:autoRedefine/>
    <w:qFormat/>
    <w:uiPriority w:val="99"/>
    <w:rPr>
      <w:rFonts w:ascii="Courier New" w:hAnsi="Courier New"/>
      <w:sz w:val="20"/>
    </w:rPr>
  </w:style>
  <w:style w:type="paragraph" w:styleId="43">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4">
    <w:name w:val="index 1"/>
    <w:basedOn w:val="1"/>
    <w:next w:val="1"/>
    <w:autoRedefine/>
    <w:semiHidden/>
    <w:qFormat/>
    <w:uiPriority w:val="99"/>
  </w:style>
  <w:style w:type="paragraph" w:styleId="45">
    <w:name w:val="Title"/>
    <w:basedOn w:val="1"/>
    <w:next w:val="1"/>
    <w:autoRedefine/>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6">
    <w:name w:val="annotation subject"/>
    <w:basedOn w:val="17"/>
    <w:next w:val="17"/>
    <w:link w:val="88"/>
    <w:autoRedefine/>
    <w:semiHidden/>
    <w:qFormat/>
    <w:uiPriority w:val="99"/>
    <w:rPr>
      <w:b/>
    </w:rPr>
  </w:style>
  <w:style w:type="paragraph" w:styleId="47">
    <w:name w:val="Body Text First Indent 2"/>
    <w:basedOn w:val="21"/>
    <w:next w:val="1"/>
    <w:autoRedefine/>
    <w:qFormat/>
    <w:uiPriority w:val="0"/>
    <w:pPr>
      <w:ind w:firstLine="420" w:firstLineChars="200"/>
    </w:p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1">
    <w:name w:val="Strong"/>
    <w:autoRedefine/>
    <w:qFormat/>
    <w:uiPriority w:val="22"/>
    <w:rPr>
      <w:b/>
    </w:rPr>
  </w:style>
  <w:style w:type="character" w:styleId="52">
    <w:name w:val="page number"/>
    <w:autoRedefine/>
    <w:qFormat/>
    <w:uiPriority w:val="99"/>
    <w:rPr>
      <w:rFonts w:cs="Times New Roman"/>
    </w:rPr>
  </w:style>
  <w:style w:type="character" w:styleId="53">
    <w:name w:val="FollowedHyperlink"/>
    <w:autoRedefine/>
    <w:qFormat/>
    <w:uiPriority w:val="99"/>
    <w:rPr>
      <w:color w:val="800080"/>
      <w:u w:val="single"/>
    </w:rPr>
  </w:style>
  <w:style w:type="character" w:styleId="54">
    <w:name w:val="Emphasis"/>
    <w:autoRedefine/>
    <w:qFormat/>
    <w:uiPriority w:val="20"/>
    <w:rPr>
      <w:i/>
    </w:rPr>
  </w:style>
  <w:style w:type="character" w:styleId="55">
    <w:name w:val="HTML Typewriter"/>
    <w:autoRedefine/>
    <w:qFormat/>
    <w:uiPriority w:val="99"/>
    <w:rPr>
      <w:rFonts w:ascii="Courier New" w:hAnsi="Courier New"/>
      <w:sz w:val="20"/>
    </w:rPr>
  </w:style>
  <w:style w:type="character" w:styleId="56">
    <w:name w:val="Hyperlink"/>
    <w:autoRedefine/>
    <w:qFormat/>
    <w:uiPriority w:val="99"/>
    <w:rPr>
      <w:color w:val="0000FF"/>
      <w:u w:val="single"/>
    </w:rPr>
  </w:style>
  <w:style w:type="character" w:styleId="57">
    <w:name w:val="annotation reference"/>
    <w:autoRedefine/>
    <w:semiHidden/>
    <w:qFormat/>
    <w:uiPriority w:val="99"/>
    <w:rPr>
      <w:sz w:val="21"/>
    </w:rPr>
  </w:style>
  <w:style w:type="paragraph" w:customStyle="1" w:styleId="58">
    <w:name w:val="表格文字"/>
    <w:basedOn w:val="59"/>
    <w:next w:val="19"/>
    <w:autoRedefine/>
    <w:unhideWhenUsed/>
    <w:qFormat/>
    <w:uiPriority w:val="99"/>
    <w:pPr>
      <w:adjustRightInd w:val="0"/>
      <w:spacing w:beforeLines="0" w:afterLines="0" w:line="420" w:lineRule="atLeast"/>
      <w:jc w:val="left"/>
      <w:textAlignment w:val="baseline"/>
    </w:pPr>
    <w:rPr>
      <w:rFonts w:hint="eastAsia"/>
      <w:kern w:val="0"/>
      <w:sz w:val="24"/>
      <w:szCs w:val="24"/>
    </w:rPr>
  </w:style>
  <w:style w:type="paragraph" w:customStyle="1" w:styleId="59">
    <w:name w:val="表格文字（两侧对齐）"/>
    <w:autoRedefine/>
    <w:unhideWhenUsed/>
    <w:qFormat/>
    <w:uiPriority w:val="0"/>
    <w:pPr>
      <w:widowControl w:val="0"/>
      <w:snapToGrid w:val="0"/>
      <w:spacing w:beforeLines="0" w:afterLines="0"/>
      <w:jc w:val="both"/>
    </w:pPr>
    <w:rPr>
      <w:rFonts w:hint="eastAsia" w:ascii="Times New Roman" w:hAnsi="Times New Roman" w:eastAsia="Times New Roman" w:cs="Times New Roman"/>
      <w:kern w:val="2"/>
      <w:sz w:val="24"/>
      <w:szCs w:val="24"/>
      <w:lang w:val="en-US" w:eastAsia="zh-CN" w:bidi="ar-SA"/>
    </w:rPr>
  </w:style>
  <w:style w:type="paragraph" w:customStyle="1" w:styleId="60">
    <w:name w:val="首行缩进"/>
    <w:basedOn w:val="1"/>
    <w:autoRedefine/>
    <w:qFormat/>
    <w:uiPriority w:val="0"/>
    <w:pPr>
      <w:spacing w:line="360" w:lineRule="auto"/>
      <w:ind w:firstLine="480" w:firstLineChars="200"/>
      <w:jc w:val="left"/>
    </w:pPr>
    <w:rPr>
      <w:rFonts w:ascii="宋体" w:hAnsi="宋体"/>
      <w:sz w:val="24"/>
    </w:rPr>
  </w:style>
  <w:style w:type="character" w:customStyle="1" w:styleId="61">
    <w:name w:val="标题 2 Char"/>
    <w:autoRedefine/>
    <w:qFormat/>
    <w:uiPriority w:val="0"/>
    <w:rPr>
      <w:rFonts w:ascii="Arial" w:hAnsi="Arial" w:eastAsia="黑体"/>
      <w:b/>
      <w:kern w:val="2"/>
      <w:sz w:val="32"/>
      <w:lang w:val="en-US" w:eastAsia="zh-CN"/>
    </w:rPr>
  </w:style>
  <w:style w:type="character" w:customStyle="1" w:styleId="62">
    <w:name w:val="标题 3 Char"/>
    <w:autoRedefine/>
    <w:qFormat/>
    <w:uiPriority w:val="0"/>
    <w:rPr>
      <w:rFonts w:ascii="Arial" w:hAnsi="Arial" w:eastAsia="黑体"/>
      <w:b/>
      <w:kern w:val="2"/>
      <w:sz w:val="32"/>
      <w:lang w:val="en-US" w:eastAsia="zh-CN"/>
    </w:rPr>
  </w:style>
  <w:style w:type="paragraph" w:customStyle="1" w:styleId="63">
    <w:name w:val="[Normal]"/>
    <w:autoRedefine/>
    <w:unhideWhenUsed/>
    <w:qFormat/>
    <w:uiPriority w:val="0"/>
    <w:rPr>
      <w:rFonts w:ascii="宋体" w:hAnsi="宋体" w:eastAsia="宋体" w:cs="Times New Roman"/>
      <w:sz w:val="24"/>
      <w:szCs w:val="22"/>
      <w:lang w:val="zh-CN" w:eastAsia="zh-CN" w:bidi="ar-SA"/>
    </w:rPr>
  </w:style>
  <w:style w:type="character" w:customStyle="1" w:styleId="64">
    <w:name w:val="纯文本 Char3"/>
    <w:link w:val="25"/>
    <w:autoRedefine/>
    <w:qFormat/>
    <w:locked/>
    <w:uiPriority w:val="0"/>
    <w:rPr>
      <w:rFonts w:ascii="宋体" w:hAnsi="Courier New" w:eastAsia="宋体" w:cs="宋体"/>
      <w:lang w:val="en-US" w:eastAsia="zh-CN"/>
    </w:rPr>
  </w:style>
  <w:style w:type="character" w:customStyle="1" w:styleId="65">
    <w:name w:val="标题 1 Char1"/>
    <w:link w:val="2"/>
    <w:autoRedefine/>
    <w:qFormat/>
    <w:locked/>
    <w:uiPriority w:val="9"/>
    <w:rPr>
      <w:rFonts w:ascii="宋体" w:hAnsi="宋体" w:eastAsia="宋体" w:cs="宋体"/>
      <w:b/>
      <w:kern w:val="44"/>
      <w:sz w:val="44"/>
      <w:szCs w:val="44"/>
      <w:lang w:val="en-US" w:eastAsia="zh-CN"/>
    </w:rPr>
  </w:style>
  <w:style w:type="character" w:customStyle="1" w:styleId="66">
    <w:name w:val="标题 2 Char1"/>
    <w:link w:val="3"/>
    <w:autoRedefine/>
    <w:qFormat/>
    <w:locked/>
    <w:uiPriority w:val="9"/>
    <w:rPr>
      <w:rFonts w:ascii="Cambria" w:hAnsi="Cambria" w:eastAsia="宋体" w:cs="Cambria"/>
      <w:kern w:val="2"/>
      <w:sz w:val="21"/>
      <w:szCs w:val="21"/>
      <w:lang w:val="en-US" w:eastAsia="zh-CN"/>
    </w:rPr>
  </w:style>
  <w:style w:type="character" w:customStyle="1" w:styleId="67">
    <w:name w:val="标题 3 Char1"/>
    <w:link w:val="4"/>
    <w:autoRedefine/>
    <w:qFormat/>
    <w:locked/>
    <w:uiPriority w:val="9"/>
    <w:rPr>
      <w:rFonts w:ascii="宋体" w:hAnsi="宋体" w:eastAsia="宋体" w:cs="宋体"/>
      <w:b/>
      <w:kern w:val="2"/>
      <w:sz w:val="32"/>
      <w:szCs w:val="32"/>
      <w:lang w:val="en-US" w:eastAsia="zh-CN"/>
    </w:rPr>
  </w:style>
  <w:style w:type="character" w:customStyle="1" w:styleId="68">
    <w:name w:val="标题 4 Char"/>
    <w:link w:val="5"/>
    <w:autoRedefine/>
    <w:qFormat/>
    <w:locked/>
    <w:uiPriority w:val="0"/>
    <w:rPr>
      <w:rFonts w:ascii="Arial" w:hAnsi="Arial" w:eastAsia="黑体"/>
      <w:b/>
      <w:kern w:val="2"/>
      <w:sz w:val="28"/>
      <w:lang w:val="en-US" w:eastAsia="zh-CN"/>
    </w:rPr>
  </w:style>
  <w:style w:type="character" w:customStyle="1" w:styleId="69">
    <w:name w:val="标题 5 Char"/>
    <w:link w:val="6"/>
    <w:autoRedefine/>
    <w:qFormat/>
    <w:locked/>
    <w:uiPriority w:val="9"/>
    <w:rPr>
      <w:rFonts w:eastAsia="宋体"/>
      <w:b/>
      <w:kern w:val="2"/>
      <w:sz w:val="28"/>
      <w:lang w:val="en-US" w:eastAsia="zh-CN"/>
    </w:rPr>
  </w:style>
  <w:style w:type="character" w:customStyle="1" w:styleId="70">
    <w:name w:val="标题 6 Char"/>
    <w:link w:val="7"/>
    <w:autoRedefine/>
    <w:qFormat/>
    <w:locked/>
    <w:uiPriority w:val="9"/>
    <w:rPr>
      <w:rFonts w:ascii="Cambria" w:hAnsi="Cambria" w:eastAsia="宋体"/>
      <w:b/>
      <w:kern w:val="2"/>
      <w:sz w:val="24"/>
      <w:lang w:val="en-US" w:eastAsia="zh-CN"/>
    </w:rPr>
  </w:style>
  <w:style w:type="character" w:customStyle="1" w:styleId="71">
    <w:name w:val="标题 7 Char"/>
    <w:link w:val="8"/>
    <w:autoRedefine/>
    <w:qFormat/>
    <w:locked/>
    <w:uiPriority w:val="9"/>
    <w:rPr>
      <w:b/>
      <w:kern w:val="2"/>
      <w:sz w:val="24"/>
    </w:rPr>
  </w:style>
  <w:style w:type="character" w:customStyle="1" w:styleId="72">
    <w:name w:val="标题 8 Char"/>
    <w:link w:val="9"/>
    <w:autoRedefine/>
    <w:qFormat/>
    <w:locked/>
    <w:uiPriority w:val="9"/>
    <w:rPr>
      <w:rFonts w:ascii="Arial" w:hAnsi="Arial" w:eastAsia="黑体"/>
      <w:kern w:val="2"/>
      <w:sz w:val="24"/>
    </w:rPr>
  </w:style>
  <w:style w:type="character" w:customStyle="1" w:styleId="73">
    <w:name w:val="标题 9 Char"/>
    <w:link w:val="10"/>
    <w:autoRedefine/>
    <w:qFormat/>
    <w:locked/>
    <w:uiPriority w:val="9"/>
    <w:rPr>
      <w:rFonts w:ascii="Arial" w:hAnsi="Arial" w:eastAsia="黑体"/>
      <w:kern w:val="2"/>
      <w:sz w:val="21"/>
    </w:rPr>
  </w:style>
  <w:style w:type="character" w:customStyle="1" w:styleId="74">
    <w:name w:val="正文缩进 Char1"/>
    <w:link w:val="13"/>
    <w:autoRedefine/>
    <w:qFormat/>
    <w:locked/>
    <w:uiPriority w:val="0"/>
    <w:rPr>
      <w:rFonts w:ascii="宋体" w:hAnsi="宋体" w:eastAsia="宋体" w:cs="宋体"/>
      <w:spacing w:val="14"/>
      <w:kern w:val="24"/>
      <w:sz w:val="24"/>
      <w:szCs w:val="24"/>
      <w:lang w:val="en-US" w:eastAsia="zh-CN"/>
    </w:rPr>
  </w:style>
  <w:style w:type="character" w:customStyle="1" w:styleId="75">
    <w:name w:val="文档结构图 Char"/>
    <w:link w:val="15"/>
    <w:autoRedefine/>
    <w:qFormat/>
    <w:locked/>
    <w:uiPriority w:val="99"/>
    <w:rPr>
      <w:rFonts w:eastAsia="宋体"/>
      <w:kern w:val="2"/>
      <w:sz w:val="21"/>
      <w:lang w:val="en-US" w:eastAsia="zh-CN"/>
    </w:rPr>
  </w:style>
  <w:style w:type="character" w:customStyle="1" w:styleId="76">
    <w:name w:val="批注文字 Char1"/>
    <w:link w:val="17"/>
    <w:autoRedefine/>
    <w:qFormat/>
    <w:locked/>
    <w:uiPriority w:val="99"/>
    <w:rPr>
      <w:rFonts w:ascii="宋体" w:hAnsi="宋体" w:eastAsia="宋体" w:cs="宋体"/>
      <w:kern w:val="2"/>
      <w:sz w:val="21"/>
      <w:szCs w:val="21"/>
      <w:lang w:val="en-US" w:eastAsia="zh-CN"/>
    </w:rPr>
  </w:style>
  <w:style w:type="character" w:customStyle="1" w:styleId="77">
    <w:name w:val="正文文本 3 Char"/>
    <w:link w:val="18"/>
    <w:autoRedefine/>
    <w:qFormat/>
    <w:locked/>
    <w:uiPriority w:val="99"/>
    <w:rPr>
      <w:rFonts w:eastAsia="宋体"/>
      <w:sz w:val="16"/>
    </w:rPr>
  </w:style>
  <w:style w:type="character" w:customStyle="1" w:styleId="78">
    <w:name w:val="正文文本 Char2"/>
    <w:link w:val="19"/>
    <w:autoRedefine/>
    <w:qFormat/>
    <w:locked/>
    <w:uiPriority w:val="99"/>
    <w:rPr>
      <w:rFonts w:ascii="宋体" w:hAnsi="宋体" w:eastAsia="宋体" w:cs="宋体"/>
      <w:lang w:val="en-US" w:eastAsia="zh-CN"/>
    </w:rPr>
  </w:style>
  <w:style w:type="character" w:customStyle="1" w:styleId="79">
    <w:name w:val="正文文本缩进 Char2"/>
    <w:link w:val="21"/>
    <w:autoRedefine/>
    <w:qFormat/>
    <w:locked/>
    <w:uiPriority w:val="99"/>
    <w:rPr>
      <w:rFonts w:eastAsia="方正书宋简体"/>
      <w:kern w:val="2"/>
      <w:sz w:val="24"/>
      <w:lang w:val="en-US" w:eastAsia="zh-CN"/>
    </w:rPr>
  </w:style>
  <w:style w:type="character" w:customStyle="1" w:styleId="80">
    <w:name w:val="日期 Char"/>
    <w:link w:val="27"/>
    <w:autoRedefine/>
    <w:qFormat/>
    <w:locked/>
    <w:uiPriority w:val="99"/>
    <w:rPr>
      <w:rFonts w:ascii="宋体" w:cs="Times New Roman"/>
      <w:sz w:val="24"/>
    </w:rPr>
  </w:style>
  <w:style w:type="character" w:customStyle="1" w:styleId="81">
    <w:name w:val="正文文本缩进 2 Char"/>
    <w:link w:val="28"/>
    <w:autoRedefine/>
    <w:qFormat/>
    <w:locked/>
    <w:uiPriority w:val="99"/>
    <w:rPr>
      <w:rFonts w:ascii="宋体" w:eastAsia="宋体"/>
      <w:kern w:val="2"/>
      <w:sz w:val="24"/>
      <w:lang w:val="en-US" w:eastAsia="zh-CN"/>
    </w:rPr>
  </w:style>
  <w:style w:type="character" w:customStyle="1" w:styleId="82">
    <w:name w:val="批注框文本 Char1"/>
    <w:link w:val="29"/>
    <w:autoRedefine/>
    <w:qFormat/>
    <w:locked/>
    <w:uiPriority w:val="99"/>
    <w:rPr>
      <w:rFonts w:ascii="宋体" w:hAnsi="宋体" w:eastAsia="宋体" w:cs="宋体"/>
      <w:kern w:val="2"/>
      <w:sz w:val="18"/>
      <w:szCs w:val="18"/>
      <w:lang w:val="en-US" w:eastAsia="zh-CN"/>
    </w:rPr>
  </w:style>
  <w:style w:type="character" w:customStyle="1" w:styleId="83">
    <w:name w:val="页脚 Char1"/>
    <w:link w:val="30"/>
    <w:autoRedefine/>
    <w:qFormat/>
    <w:locked/>
    <w:uiPriority w:val="99"/>
    <w:rPr>
      <w:rFonts w:ascii="宋体" w:hAnsi="宋体" w:eastAsia="宋体" w:cs="宋体"/>
      <w:kern w:val="2"/>
      <w:sz w:val="18"/>
      <w:szCs w:val="18"/>
      <w:lang w:val="en-US" w:eastAsia="zh-CN"/>
    </w:rPr>
  </w:style>
  <w:style w:type="character" w:customStyle="1" w:styleId="84">
    <w:name w:val="页眉 Char1"/>
    <w:link w:val="32"/>
    <w:autoRedefine/>
    <w:qFormat/>
    <w:locked/>
    <w:uiPriority w:val="99"/>
    <w:rPr>
      <w:rFonts w:ascii="宋体" w:hAnsi="宋体" w:eastAsia="宋体" w:cs="宋体"/>
      <w:kern w:val="2"/>
      <w:sz w:val="18"/>
      <w:szCs w:val="18"/>
      <w:lang w:val="en-US" w:eastAsia="zh-CN"/>
    </w:rPr>
  </w:style>
  <w:style w:type="character" w:customStyle="1" w:styleId="85">
    <w:name w:val="正文文本缩进 3 Char1"/>
    <w:link w:val="37"/>
    <w:autoRedefine/>
    <w:qFormat/>
    <w:locked/>
    <w:uiPriority w:val="99"/>
    <w:rPr>
      <w:rFonts w:ascii="宋体" w:hAnsi="宋体" w:eastAsia="宋体" w:cs="宋体"/>
      <w:b/>
      <w:kern w:val="2"/>
      <w:sz w:val="24"/>
      <w:szCs w:val="24"/>
      <w:lang w:val="en-US" w:eastAsia="zh-CN"/>
    </w:rPr>
  </w:style>
  <w:style w:type="character" w:customStyle="1" w:styleId="86">
    <w:name w:val="正文文本 2 Char"/>
    <w:link w:val="41"/>
    <w:autoRedefine/>
    <w:qFormat/>
    <w:locked/>
    <w:uiPriority w:val="99"/>
    <w:rPr>
      <w:rFonts w:eastAsia="宋体"/>
      <w:sz w:val="24"/>
    </w:rPr>
  </w:style>
  <w:style w:type="character" w:customStyle="1" w:styleId="87">
    <w:name w:val="HTML 预设格式 Char"/>
    <w:link w:val="42"/>
    <w:autoRedefine/>
    <w:qFormat/>
    <w:locked/>
    <w:uiPriority w:val="99"/>
    <w:rPr>
      <w:rFonts w:ascii="Courier New" w:hAnsi="Courier New"/>
      <w:kern w:val="2"/>
    </w:rPr>
  </w:style>
  <w:style w:type="character" w:customStyle="1" w:styleId="88">
    <w:name w:val="批注主题 Char1"/>
    <w:link w:val="46"/>
    <w:autoRedefine/>
    <w:qFormat/>
    <w:locked/>
    <w:uiPriority w:val="99"/>
    <w:rPr>
      <w:rFonts w:ascii="宋体" w:hAnsi="宋体" w:eastAsia="宋体" w:cs="宋体"/>
      <w:b/>
      <w:kern w:val="2"/>
      <w:sz w:val="21"/>
      <w:szCs w:val="21"/>
      <w:lang w:val="en-US" w:eastAsia="zh-CN"/>
    </w:rPr>
  </w:style>
  <w:style w:type="character" w:customStyle="1" w:styleId="89">
    <w:name w:val="正文首行缩进 Char"/>
    <w:link w:val="20"/>
    <w:autoRedefine/>
    <w:qFormat/>
    <w:locked/>
    <w:uiPriority w:val="99"/>
    <w:rPr>
      <w:rFonts w:ascii="宋体" w:hAnsi="宋体" w:eastAsia="宋体" w:cs="宋体"/>
      <w:i/>
      <w:kern w:val="2"/>
      <w:sz w:val="24"/>
      <w:lang w:val="en-US" w:eastAsia="zh-CN"/>
    </w:rPr>
  </w:style>
  <w:style w:type="character" w:customStyle="1" w:styleId="90">
    <w:name w:val="正文文本 字符"/>
    <w:autoRedefine/>
    <w:qFormat/>
    <w:locked/>
    <w:uiPriority w:val="99"/>
    <w:rPr>
      <w:rFonts w:ascii="宋体" w:hAnsi="宋体" w:eastAsia="宋体" w:cs="宋体"/>
      <w:lang w:val="en-US" w:eastAsia="zh-CN"/>
    </w:rPr>
  </w:style>
  <w:style w:type="character" w:customStyle="1" w:styleId="91">
    <w:name w:val="正文文本 Char"/>
    <w:autoRedefine/>
    <w:qFormat/>
    <w:uiPriority w:val="0"/>
    <w:rPr>
      <w:rFonts w:eastAsia="宋体"/>
      <w:i/>
      <w:kern w:val="2"/>
      <w:sz w:val="18"/>
      <w:lang w:val="en-US" w:eastAsia="zh-CN"/>
    </w:rPr>
  </w:style>
  <w:style w:type="character" w:customStyle="1" w:styleId="92">
    <w:name w:val="List Paragraph Char"/>
    <w:link w:val="93"/>
    <w:autoRedefine/>
    <w:qFormat/>
    <w:locked/>
    <w:uiPriority w:val="0"/>
    <w:rPr>
      <w:rFonts w:ascii="Calibri" w:hAnsi="Calibri" w:eastAsia="宋体"/>
      <w:kern w:val="2"/>
      <w:sz w:val="22"/>
      <w:lang w:val="en-US" w:eastAsia="zh-CN"/>
    </w:rPr>
  </w:style>
  <w:style w:type="paragraph" w:customStyle="1" w:styleId="93">
    <w:name w:val="列出段落1"/>
    <w:basedOn w:val="1"/>
    <w:link w:val="92"/>
    <w:autoRedefine/>
    <w:qFormat/>
    <w:uiPriority w:val="0"/>
    <w:pPr>
      <w:ind w:firstLine="420" w:firstLineChars="200"/>
    </w:pPr>
    <w:rPr>
      <w:rFonts w:ascii="Calibri" w:hAnsi="Calibri"/>
      <w:sz w:val="22"/>
    </w:rPr>
  </w:style>
  <w:style w:type="character" w:customStyle="1" w:styleId="94">
    <w:name w:val="无间距字符"/>
    <w:link w:val="95"/>
    <w:autoRedefine/>
    <w:qFormat/>
    <w:locked/>
    <w:uiPriority w:val="0"/>
    <w:rPr>
      <w:rFonts w:ascii="Calibri" w:hAnsi="Calibri"/>
      <w:sz w:val="22"/>
      <w:lang w:val="en-US" w:eastAsia="zh-CN" w:bidi="ar-SA"/>
    </w:rPr>
  </w:style>
  <w:style w:type="paragraph" w:customStyle="1" w:styleId="95">
    <w:name w:val="无间距"/>
    <w:link w:val="94"/>
    <w:autoRedefine/>
    <w:qFormat/>
    <w:uiPriority w:val="0"/>
    <w:rPr>
      <w:rFonts w:ascii="Calibri" w:hAnsi="Calibri" w:eastAsia="宋体" w:cs="Times New Roman"/>
      <w:sz w:val="22"/>
      <w:lang w:val="en-US" w:eastAsia="zh-CN" w:bidi="ar-SA"/>
    </w:rPr>
  </w:style>
  <w:style w:type="character" w:customStyle="1" w:styleId="96">
    <w:name w:val="日期 字符1"/>
    <w:autoRedefine/>
    <w:semiHidden/>
    <w:qFormat/>
    <w:uiPriority w:val="99"/>
    <w:rPr>
      <w:kern w:val="2"/>
      <w:sz w:val="21"/>
    </w:rPr>
  </w:style>
  <w:style w:type="character" w:customStyle="1" w:styleId="97">
    <w:name w:val="正文文本 字符1"/>
    <w:autoRedefine/>
    <w:semiHidden/>
    <w:qFormat/>
    <w:uiPriority w:val="99"/>
    <w:rPr>
      <w:kern w:val="2"/>
      <w:sz w:val="21"/>
    </w:rPr>
  </w:style>
  <w:style w:type="character" w:customStyle="1" w:styleId="98">
    <w:name w:val="纯文本 Char"/>
    <w:autoRedefine/>
    <w:qFormat/>
    <w:uiPriority w:val="0"/>
    <w:rPr>
      <w:rFonts w:ascii="宋体" w:hAnsi="宋体" w:eastAsia="宋体"/>
      <w:color w:val="000000"/>
      <w:sz w:val="24"/>
      <w:lang w:val="en-US" w:eastAsia="zh-CN"/>
    </w:rPr>
  </w:style>
  <w:style w:type="character" w:customStyle="1" w:styleId="99">
    <w:name w:val="纯文本 Char2"/>
    <w:autoRedefine/>
    <w:qFormat/>
    <w:uiPriority w:val="0"/>
    <w:rPr>
      <w:rFonts w:ascii="宋体" w:hAnsi="宋体" w:eastAsia="宋体"/>
      <w:color w:val="000000"/>
      <w:sz w:val="24"/>
      <w:lang w:val="en-US" w:eastAsia="zh-CN"/>
    </w:rPr>
  </w:style>
  <w:style w:type="character" w:customStyle="1" w:styleId="100">
    <w:name w:val="中等深浅网格 1 - 强调文字颜色 2 Char"/>
    <w:link w:val="101"/>
    <w:autoRedefine/>
    <w:qFormat/>
    <w:locked/>
    <w:uiPriority w:val="34"/>
    <w:rPr>
      <w:rFonts w:ascii="Calibri" w:hAnsi="Calibri"/>
      <w:kern w:val="2"/>
      <w:sz w:val="22"/>
    </w:rPr>
  </w:style>
  <w:style w:type="paragraph" w:customStyle="1" w:styleId="101">
    <w:name w:val="中等深浅网格 1 - 强调文字颜色 21"/>
    <w:basedOn w:val="1"/>
    <w:link w:val="100"/>
    <w:autoRedefine/>
    <w:qFormat/>
    <w:uiPriority w:val="34"/>
    <w:pPr>
      <w:ind w:firstLine="420" w:firstLineChars="200"/>
    </w:pPr>
    <w:rPr>
      <w:rFonts w:ascii="Calibri" w:hAnsi="Calibri"/>
      <w:sz w:val="22"/>
    </w:rPr>
  </w:style>
  <w:style w:type="character" w:customStyle="1" w:styleId="102">
    <w:name w:val="纯文本 Char1"/>
    <w:autoRedefine/>
    <w:qFormat/>
    <w:locked/>
    <w:uiPriority w:val="99"/>
    <w:rPr>
      <w:rFonts w:ascii="宋体" w:hAnsi="Courier New" w:eastAsia="宋体" w:cs="宋体"/>
      <w:lang w:val="en-US" w:eastAsia="zh-CN"/>
    </w:rPr>
  </w:style>
  <w:style w:type="character" w:customStyle="1" w:styleId="103">
    <w:name w:val="页眉 Char"/>
    <w:autoRedefine/>
    <w:qFormat/>
    <w:uiPriority w:val="99"/>
    <w:rPr>
      <w:rFonts w:eastAsia="宋体"/>
      <w:kern w:val="2"/>
      <w:sz w:val="18"/>
      <w:lang w:val="en-US" w:eastAsia="zh-CN"/>
    </w:rPr>
  </w:style>
  <w:style w:type="character" w:customStyle="1" w:styleId="104">
    <w:name w:val="样式2 Char"/>
    <w:link w:val="105"/>
    <w:autoRedefine/>
    <w:qFormat/>
    <w:locked/>
    <w:uiPriority w:val="0"/>
    <w:rPr>
      <w:rFonts w:ascii="黑体" w:hAnsi="黑体" w:eastAsia="黑体"/>
      <w:color w:val="FF0000"/>
      <w:kern w:val="2"/>
      <w:sz w:val="32"/>
      <w:lang w:val="en-US" w:eastAsia="zh-CN"/>
    </w:rPr>
  </w:style>
  <w:style w:type="paragraph" w:customStyle="1" w:styleId="105">
    <w:name w:val="样式2"/>
    <w:basedOn w:val="4"/>
    <w:link w:val="104"/>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6">
    <w:name w:val="标题2正文 Char Char"/>
    <w:link w:val="107"/>
    <w:autoRedefine/>
    <w:qFormat/>
    <w:locked/>
    <w:uiPriority w:val="0"/>
    <w:rPr>
      <w:rFonts w:eastAsia="宋体"/>
      <w:sz w:val="24"/>
    </w:rPr>
  </w:style>
  <w:style w:type="paragraph" w:customStyle="1" w:styleId="107">
    <w:name w:val="标题2正文 Char"/>
    <w:basedOn w:val="1"/>
    <w:link w:val="106"/>
    <w:autoRedefine/>
    <w:qFormat/>
    <w:uiPriority w:val="0"/>
    <w:pPr>
      <w:spacing w:beforeLines="50" w:afterLines="50"/>
      <w:ind w:right="38" w:rightChars="18" w:firstLine="420"/>
    </w:pPr>
    <w:rPr>
      <w:kern w:val="0"/>
      <w:sz w:val="24"/>
    </w:rPr>
  </w:style>
  <w:style w:type="character" w:customStyle="1" w:styleId="108">
    <w:name w:val="正文缩进 Char"/>
    <w:autoRedefine/>
    <w:qFormat/>
    <w:uiPriority w:val="0"/>
    <w:rPr>
      <w:rFonts w:eastAsia="宋体"/>
      <w:kern w:val="2"/>
      <w:sz w:val="24"/>
      <w:lang w:val="en-US" w:eastAsia="zh-CN"/>
    </w:rPr>
  </w:style>
  <w:style w:type="character" w:customStyle="1" w:styleId="109">
    <w:name w:val="批注框文本 字符1"/>
    <w:autoRedefine/>
    <w:semiHidden/>
    <w:qFormat/>
    <w:uiPriority w:val="99"/>
    <w:rPr>
      <w:kern w:val="2"/>
      <w:sz w:val="18"/>
      <w:szCs w:val="18"/>
    </w:rPr>
  </w:style>
  <w:style w:type="character" w:customStyle="1" w:styleId="110">
    <w:name w:val="apple-converted-space"/>
    <w:autoRedefine/>
    <w:qFormat/>
    <w:uiPriority w:val="0"/>
    <w:rPr>
      <w:rFonts w:cs="Times New Roman"/>
    </w:rPr>
  </w:style>
  <w:style w:type="character" w:customStyle="1" w:styleId="111">
    <w:name w:val="页脚 Char"/>
    <w:autoRedefine/>
    <w:qFormat/>
    <w:uiPriority w:val="99"/>
    <w:rPr>
      <w:rFonts w:eastAsia="宋体"/>
      <w:kern w:val="2"/>
      <w:sz w:val="18"/>
      <w:lang w:val="en-US" w:eastAsia="zh-CN"/>
    </w:rPr>
  </w:style>
  <w:style w:type="character" w:customStyle="1" w:styleId="112">
    <w:name w:val="正文文本 3 字符1"/>
    <w:autoRedefine/>
    <w:semiHidden/>
    <w:qFormat/>
    <w:uiPriority w:val="99"/>
    <w:rPr>
      <w:kern w:val="2"/>
      <w:sz w:val="16"/>
      <w:szCs w:val="16"/>
    </w:rPr>
  </w:style>
  <w:style w:type="character" w:customStyle="1" w:styleId="113">
    <w:name w:val="font61"/>
    <w:autoRedefine/>
    <w:qFormat/>
    <w:uiPriority w:val="0"/>
    <w:rPr>
      <w:rFonts w:ascii="Times New Roman" w:hAnsi="Times New Roman"/>
      <w:color w:val="000000"/>
      <w:sz w:val="20"/>
      <w:u w:val="none"/>
    </w:rPr>
  </w:style>
  <w:style w:type="character" w:customStyle="1" w:styleId="114">
    <w:name w:val="font01"/>
    <w:autoRedefine/>
    <w:qFormat/>
    <w:uiPriority w:val="0"/>
    <w:rPr>
      <w:rFonts w:ascii="宋体" w:hAnsi="宋体" w:eastAsia="宋体"/>
      <w:color w:val="000000"/>
      <w:sz w:val="24"/>
      <w:u w:val="none"/>
    </w:rPr>
  </w:style>
  <w:style w:type="character" w:customStyle="1" w:styleId="115">
    <w:name w:val="日期 字符"/>
    <w:autoRedefine/>
    <w:qFormat/>
    <w:locked/>
    <w:uiPriority w:val="99"/>
    <w:rPr>
      <w:rFonts w:ascii="宋体" w:cs="Times New Roman"/>
      <w:sz w:val="24"/>
    </w:rPr>
  </w:style>
  <w:style w:type="character" w:customStyle="1" w:styleId="116">
    <w:name w:val="纯文本 字符"/>
    <w:autoRedefine/>
    <w:qFormat/>
    <w:locked/>
    <w:uiPriority w:val="0"/>
    <w:rPr>
      <w:rFonts w:ascii="宋体" w:hAnsi="Courier New" w:eastAsia="宋体" w:cs="宋体"/>
      <w:lang w:val="en-US" w:eastAsia="zh-CN"/>
    </w:rPr>
  </w:style>
  <w:style w:type="character" w:customStyle="1" w:styleId="117">
    <w:name w:val="标题 9 字符"/>
    <w:autoRedefine/>
    <w:qFormat/>
    <w:locked/>
    <w:uiPriority w:val="9"/>
    <w:rPr>
      <w:rFonts w:ascii="Arial" w:hAnsi="Arial" w:eastAsia="黑体"/>
      <w:kern w:val="2"/>
      <w:sz w:val="21"/>
    </w:rPr>
  </w:style>
  <w:style w:type="character" w:customStyle="1" w:styleId="118">
    <w:name w:val="标题 6 字符"/>
    <w:autoRedefine/>
    <w:qFormat/>
    <w:locked/>
    <w:uiPriority w:val="9"/>
    <w:rPr>
      <w:rFonts w:ascii="Cambria" w:hAnsi="Cambria" w:eastAsia="宋体"/>
      <w:b/>
      <w:kern w:val="2"/>
      <w:sz w:val="24"/>
      <w:lang w:val="en-US" w:eastAsia="zh-CN"/>
    </w:rPr>
  </w:style>
  <w:style w:type="character" w:customStyle="1" w:styleId="119">
    <w:name w:val="h6 Char"/>
    <w:autoRedefine/>
    <w:qFormat/>
    <w:uiPriority w:val="0"/>
    <w:rPr>
      <w:rFonts w:ascii="Arial" w:hAnsi="Arial" w:eastAsia="宋体"/>
      <w:b/>
      <w:kern w:val="2"/>
      <w:sz w:val="24"/>
      <w:lang w:val="en-US" w:eastAsia="zh-CN"/>
    </w:rPr>
  </w:style>
  <w:style w:type="character" w:customStyle="1" w:styleId="120">
    <w:name w:val="文档结构图 字符"/>
    <w:autoRedefine/>
    <w:qFormat/>
    <w:locked/>
    <w:uiPriority w:val="99"/>
    <w:rPr>
      <w:rFonts w:eastAsia="宋体"/>
      <w:kern w:val="2"/>
      <w:sz w:val="21"/>
      <w:lang w:val="en-US" w:eastAsia="zh-CN"/>
    </w:rPr>
  </w:style>
  <w:style w:type="character" w:customStyle="1" w:styleId="121">
    <w:name w:val="列出段落 字符"/>
    <w:autoRedefine/>
    <w:qFormat/>
    <w:locked/>
    <w:uiPriority w:val="34"/>
    <w:rPr>
      <w:rFonts w:eastAsia="宋体"/>
      <w:kern w:val="2"/>
      <w:sz w:val="24"/>
      <w:lang w:val="en-US" w:eastAsia="zh-CN"/>
    </w:rPr>
  </w:style>
  <w:style w:type="character" w:customStyle="1" w:styleId="122">
    <w:name w:val="正文文本 3 字符"/>
    <w:autoRedefine/>
    <w:qFormat/>
    <w:locked/>
    <w:uiPriority w:val="99"/>
    <w:rPr>
      <w:rFonts w:eastAsia="宋体"/>
      <w:sz w:val="16"/>
    </w:rPr>
  </w:style>
  <w:style w:type="character" w:customStyle="1" w:styleId="123">
    <w:name w:val="方案－正文 Char"/>
    <w:link w:val="124"/>
    <w:autoRedefine/>
    <w:qFormat/>
    <w:locked/>
    <w:uiPriority w:val="0"/>
    <w:rPr>
      <w:rFonts w:ascii="仿宋_GB2312" w:hAnsi="宋体"/>
      <w:sz w:val="24"/>
    </w:rPr>
  </w:style>
  <w:style w:type="paragraph" w:customStyle="1" w:styleId="124">
    <w:name w:val="方案－正文"/>
    <w:basedOn w:val="1"/>
    <w:link w:val="123"/>
    <w:autoRedefine/>
    <w:qFormat/>
    <w:uiPriority w:val="0"/>
    <w:pPr>
      <w:spacing w:line="360" w:lineRule="auto"/>
      <w:ind w:firstLine="480" w:firstLineChars="200"/>
    </w:pPr>
    <w:rPr>
      <w:rFonts w:ascii="仿宋_GB2312" w:hAnsi="宋体"/>
      <w:kern w:val="0"/>
      <w:sz w:val="24"/>
    </w:rPr>
  </w:style>
  <w:style w:type="character" w:customStyle="1" w:styleId="125">
    <w:name w:val="正文文本缩进 2 字符"/>
    <w:autoRedefine/>
    <w:qFormat/>
    <w:locked/>
    <w:uiPriority w:val="99"/>
    <w:rPr>
      <w:rFonts w:ascii="宋体" w:eastAsia="宋体"/>
      <w:kern w:val="2"/>
      <w:sz w:val="24"/>
      <w:lang w:val="en-US" w:eastAsia="zh-CN"/>
    </w:rPr>
  </w:style>
  <w:style w:type="character" w:customStyle="1" w:styleId="126">
    <w:name w:val="标题 1 Char"/>
    <w:autoRedefine/>
    <w:qFormat/>
    <w:uiPriority w:val="0"/>
    <w:rPr>
      <w:rFonts w:ascii="宋体" w:eastAsia="宋体"/>
      <w:b/>
      <w:kern w:val="2"/>
      <w:sz w:val="28"/>
      <w:lang w:val="en-US" w:eastAsia="zh-CN"/>
    </w:rPr>
  </w:style>
  <w:style w:type="character" w:customStyle="1" w:styleId="127">
    <w:name w:val="批注文字 Char"/>
    <w:autoRedefine/>
    <w:qFormat/>
    <w:locked/>
    <w:uiPriority w:val="0"/>
    <w:rPr>
      <w:rFonts w:cs="Times New Roman"/>
      <w:kern w:val="2"/>
      <w:sz w:val="21"/>
    </w:rPr>
  </w:style>
  <w:style w:type="character" w:customStyle="1" w:styleId="128">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129">
    <w:name w:val="批注框文本 Char"/>
    <w:autoRedefine/>
    <w:semiHidden/>
    <w:qFormat/>
    <w:locked/>
    <w:uiPriority w:val="99"/>
    <w:rPr>
      <w:rFonts w:cs="Times New Roman"/>
      <w:kern w:val="2"/>
      <w:sz w:val="18"/>
      <w:szCs w:val="18"/>
    </w:rPr>
  </w:style>
  <w:style w:type="character" w:customStyle="1" w:styleId="130">
    <w:name w:val="font11"/>
    <w:basedOn w:val="50"/>
    <w:autoRedefine/>
    <w:qFormat/>
    <w:uiPriority w:val="0"/>
    <w:rPr>
      <w:rFonts w:ascii="Times New Roman" w:hAnsi="Times New Roman"/>
      <w:color w:val="000000"/>
      <w:sz w:val="24"/>
      <w:u w:val="none"/>
    </w:rPr>
  </w:style>
  <w:style w:type="character" w:customStyle="1" w:styleId="131">
    <w:name w:val="批注文字 字符"/>
    <w:autoRedefine/>
    <w:qFormat/>
    <w:locked/>
    <w:uiPriority w:val="99"/>
    <w:rPr>
      <w:rFonts w:ascii="宋体" w:hAnsi="宋体" w:eastAsia="宋体" w:cs="宋体"/>
      <w:kern w:val="2"/>
      <w:sz w:val="21"/>
      <w:szCs w:val="21"/>
      <w:lang w:val="en-US" w:eastAsia="zh-CN"/>
    </w:rPr>
  </w:style>
  <w:style w:type="character" w:customStyle="1" w:styleId="132">
    <w:name w:val="批注主题 字符"/>
    <w:autoRedefine/>
    <w:qFormat/>
    <w:locked/>
    <w:uiPriority w:val="99"/>
    <w:rPr>
      <w:rFonts w:ascii="宋体" w:hAnsi="宋体" w:eastAsia="宋体" w:cs="宋体"/>
      <w:b/>
      <w:kern w:val="2"/>
      <w:sz w:val="21"/>
      <w:szCs w:val="21"/>
      <w:lang w:val="en-US" w:eastAsia="zh-CN"/>
    </w:rPr>
  </w:style>
  <w:style w:type="character" w:customStyle="1" w:styleId="133">
    <w:name w:val="批注文字 字符1"/>
    <w:autoRedefine/>
    <w:semiHidden/>
    <w:qFormat/>
    <w:uiPriority w:val="99"/>
    <w:rPr>
      <w:kern w:val="2"/>
      <w:sz w:val="21"/>
    </w:rPr>
  </w:style>
  <w:style w:type="character" w:customStyle="1" w:styleId="134">
    <w:name w:val="列出段落 Char"/>
    <w:link w:val="135"/>
    <w:autoRedefine/>
    <w:qFormat/>
    <w:locked/>
    <w:uiPriority w:val="34"/>
    <w:rPr>
      <w:rFonts w:eastAsia="宋体"/>
      <w:kern w:val="2"/>
      <w:sz w:val="24"/>
      <w:lang w:val="en-US" w:eastAsia="zh-CN"/>
    </w:rPr>
  </w:style>
  <w:style w:type="paragraph" w:styleId="135">
    <w:name w:val="List Paragraph"/>
    <w:basedOn w:val="1"/>
    <w:link w:val="134"/>
    <w:autoRedefine/>
    <w:qFormat/>
    <w:uiPriority w:val="34"/>
    <w:pPr>
      <w:ind w:firstLine="420" w:firstLineChars="200"/>
    </w:pPr>
    <w:rPr>
      <w:sz w:val="24"/>
    </w:rPr>
  </w:style>
  <w:style w:type="character" w:customStyle="1" w:styleId="136">
    <w:name w:val="正文文本缩进 Char1"/>
    <w:autoRedefine/>
    <w:qFormat/>
    <w:uiPriority w:val="0"/>
    <w:rPr>
      <w:rFonts w:eastAsia="方正书宋简体"/>
      <w:kern w:val="2"/>
      <w:sz w:val="24"/>
      <w:lang w:val="en-US" w:eastAsia="zh-CN"/>
    </w:rPr>
  </w:style>
  <w:style w:type="character" w:customStyle="1" w:styleId="137">
    <w:name w:val="hui3"/>
    <w:autoRedefine/>
    <w:qFormat/>
    <w:uiPriority w:val="0"/>
    <w:rPr>
      <w:color w:val="333333"/>
    </w:rPr>
  </w:style>
  <w:style w:type="character" w:customStyle="1" w:styleId="138">
    <w:name w:val="纯文本 Char Char"/>
    <w:link w:val="139"/>
    <w:autoRedefine/>
    <w:qFormat/>
    <w:uiPriority w:val="0"/>
    <w:rPr>
      <w:rFonts w:ascii="宋体" w:hAnsi="Courier New"/>
      <w:kern w:val="2"/>
      <w:sz w:val="21"/>
    </w:rPr>
  </w:style>
  <w:style w:type="paragraph" w:customStyle="1" w:styleId="139">
    <w:name w:val="纯文本1"/>
    <w:basedOn w:val="140"/>
    <w:link w:val="138"/>
    <w:autoRedefine/>
    <w:qFormat/>
    <w:uiPriority w:val="0"/>
    <w:rPr>
      <w:rFonts w:ascii="宋体" w:hAnsi="Courier New"/>
    </w:rPr>
  </w:style>
  <w:style w:type="paragraph" w:customStyle="1" w:styleId="140">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1">
    <w:name w:val="NormalCharacter"/>
    <w:autoRedefine/>
    <w:semiHidden/>
    <w:qFormat/>
    <w:uiPriority w:val="0"/>
  </w:style>
  <w:style w:type="character" w:customStyle="1" w:styleId="142">
    <w:name w:val="页脚 字符"/>
    <w:autoRedefine/>
    <w:qFormat/>
    <w:locked/>
    <w:uiPriority w:val="99"/>
    <w:rPr>
      <w:rFonts w:ascii="宋体" w:hAnsi="宋体" w:eastAsia="宋体" w:cs="宋体"/>
      <w:kern w:val="2"/>
      <w:sz w:val="18"/>
      <w:szCs w:val="18"/>
      <w:lang w:val="en-US" w:eastAsia="zh-CN"/>
    </w:rPr>
  </w:style>
  <w:style w:type="character" w:customStyle="1" w:styleId="143">
    <w:name w:val="正文文本 2 字符"/>
    <w:autoRedefine/>
    <w:qFormat/>
    <w:locked/>
    <w:uiPriority w:val="99"/>
    <w:rPr>
      <w:rFonts w:eastAsia="宋体"/>
      <w:sz w:val="24"/>
    </w:rPr>
  </w:style>
  <w:style w:type="character" w:customStyle="1" w:styleId="144">
    <w:name w:val="批注主题 字符1"/>
    <w:autoRedefine/>
    <w:semiHidden/>
    <w:qFormat/>
    <w:uiPriority w:val="99"/>
    <w:rPr>
      <w:b/>
      <w:bCs/>
      <w:kern w:val="2"/>
      <w:sz w:val="21"/>
    </w:rPr>
  </w:style>
  <w:style w:type="character" w:customStyle="1" w:styleId="145">
    <w:name w:val="页眉 字符1"/>
    <w:autoRedefine/>
    <w:semiHidden/>
    <w:qFormat/>
    <w:uiPriority w:val="99"/>
    <w:rPr>
      <w:kern w:val="2"/>
      <w:sz w:val="18"/>
      <w:szCs w:val="18"/>
    </w:rPr>
  </w:style>
  <w:style w:type="character" w:customStyle="1" w:styleId="146">
    <w:name w:val="正文文本缩进 2 字符1"/>
    <w:autoRedefine/>
    <w:semiHidden/>
    <w:qFormat/>
    <w:uiPriority w:val="99"/>
    <w:rPr>
      <w:kern w:val="2"/>
      <w:sz w:val="21"/>
    </w:rPr>
  </w:style>
  <w:style w:type="character" w:customStyle="1" w:styleId="147">
    <w:name w:val="正文首行缩进 字符"/>
    <w:autoRedefine/>
    <w:qFormat/>
    <w:locked/>
    <w:uiPriority w:val="99"/>
    <w:rPr>
      <w:rFonts w:ascii="宋体" w:hAnsi="宋体" w:eastAsia="宋体" w:cs="宋体"/>
      <w:i/>
      <w:kern w:val="2"/>
      <w:sz w:val="24"/>
      <w:lang w:val="en-US" w:eastAsia="zh-CN"/>
    </w:rPr>
  </w:style>
  <w:style w:type="character" w:customStyle="1" w:styleId="148">
    <w:name w:val="正文文本缩进 字符1"/>
    <w:autoRedefine/>
    <w:qFormat/>
    <w:locked/>
    <w:uiPriority w:val="99"/>
    <w:rPr>
      <w:rFonts w:eastAsia="方正书宋简体"/>
      <w:kern w:val="2"/>
      <w:sz w:val="24"/>
      <w:lang w:val="en-US" w:eastAsia="zh-CN"/>
    </w:rPr>
  </w:style>
  <w:style w:type="character" w:customStyle="1" w:styleId="149">
    <w:name w:val="纯文本 字符1"/>
    <w:autoRedefine/>
    <w:semiHidden/>
    <w:qFormat/>
    <w:uiPriority w:val="99"/>
    <w:rPr>
      <w:rFonts w:ascii="等线" w:hAnsi="Courier New" w:eastAsia="等线" w:cs="Courier New"/>
      <w:kern w:val="2"/>
      <w:sz w:val="21"/>
    </w:rPr>
  </w:style>
  <w:style w:type="character" w:customStyle="1" w:styleId="150">
    <w:name w:val="纯文本 字符2"/>
    <w:autoRedefine/>
    <w:qFormat/>
    <w:locked/>
    <w:uiPriority w:val="99"/>
    <w:rPr>
      <w:rFonts w:ascii="宋体" w:hAnsi="Courier New" w:cs="宋体"/>
    </w:rPr>
  </w:style>
  <w:style w:type="character" w:customStyle="1" w:styleId="151">
    <w:name w:val="HTML 预设格式 字符"/>
    <w:autoRedefine/>
    <w:qFormat/>
    <w:locked/>
    <w:uiPriority w:val="99"/>
    <w:rPr>
      <w:rFonts w:ascii="Courier New" w:hAnsi="Courier New"/>
      <w:kern w:val="2"/>
    </w:rPr>
  </w:style>
  <w:style w:type="character" w:customStyle="1" w:styleId="152">
    <w:name w:val="标题 5 字符"/>
    <w:autoRedefine/>
    <w:qFormat/>
    <w:locked/>
    <w:uiPriority w:val="9"/>
    <w:rPr>
      <w:rFonts w:eastAsia="宋体"/>
      <w:b/>
      <w:kern w:val="2"/>
      <w:sz w:val="28"/>
      <w:lang w:val="en-US" w:eastAsia="zh-CN"/>
    </w:rPr>
  </w:style>
  <w:style w:type="character" w:customStyle="1" w:styleId="153">
    <w:name w:val="金保标题3 Char"/>
    <w:link w:val="154"/>
    <w:autoRedefine/>
    <w:qFormat/>
    <w:locked/>
    <w:uiPriority w:val="0"/>
    <w:rPr>
      <w:rFonts w:ascii="楷体" w:hAnsi="楷体" w:eastAsia="楷体"/>
      <w:b/>
      <w:sz w:val="28"/>
    </w:rPr>
  </w:style>
  <w:style w:type="paragraph" w:customStyle="1" w:styleId="154">
    <w:name w:val="金保标题3"/>
    <w:basedOn w:val="4"/>
    <w:next w:val="1"/>
    <w:link w:val="153"/>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5">
    <w:name w:val="文档结构图 字符1"/>
    <w:autoRedefine/>
    <w:semiHidden/>
    <w:qFormat/>
    <w:uiPriority w:val="99"/>
    <w:rPr>
      <w:rFonts w:ascii="Microsoft YaHei UI" w:eastAsia="Microsoft YaHei UI"/>
      <w:kern w:val="2"/>
      <w:sz w:val="18"/>
      <w:szCs w:val="18"/>
    </w:rPr>
  </w:style>
  <w:style w:type="character" w:customStyle="1" w:styleId="156">
    <w:name w:val="页脚 字符1"/>
    <w:autoRedefine/>
    <w:semiHidden/>
    <w:qFormat/>
    <w:uiPriority w:val="99"/>
    <w:rPr>
      <w:kern w:val="2"/>
      <w:sz w:val="18"/>
      <w:szCs w:val="18"/>
    </w:rPr>
  </w:style>
  <w:style w:type="character" w:customStyle="1" w:styleId="157">
    <w:name w:val="HTML 预设格式 字符1"/>
    <w:autoRedefine/>
    <w:semiHidden/>
    <w:qFormat/>
    <w:uiPriority w:val="99"/>
    <w:rPr>
      <w:rFonts w:ascii="Courier New" w:hAnsi="Courier New" w:cs="Courier New"/>
      <w:kern w:val="2"/>
    </w:rPr>
  </w:style>
  <w:style w:type="character" w:customStyle="1" w:styleId="158">
    <w:name w:val="批注框文本 字符"/>
    <w:autoRedefine/>
    <w:qFormat/>
    <w:locked/>
    <w:uiPriority w:val="99"/>
    <w:rPr>
      <w:rFonts w:ascii="宋体" w:hAnsi="宋体" w:eastAsia="宋体" w:cs="宋体"/>
      <w:kern w:val="2"/>
      <w:sz w:val="18"/>
      <w:szCs w:val="18"/>
      <w:lang w:val="en-US" w:eastAsia="zh-CN"/>
    </w:rPr>
  </w:style>
  <w:style w:type="character" w:customStyle="1" w:styleId="159">
    <w:name w:val="标题 8 字符"/>
    <w:autoRedefine/>
    <w:qFormat/>
    <w:locked/>
    <w:uiPriority w:val="9"/>
    <w:rPr>
      <w:rFonts w:ascii="Arial" w:hAnsi="Arial" w:eastAsia="黑体"/>
      <w:kern w:val="2"/>
      <w:sz w:val="24"/>
    </w:rPr>
  </w:style>
  <w:style w:type="character" w:customStyle="1" w:styleId="160">
    <w:name w:val="正文文本缩进 3 Char"/>
    <w:autoRedefine/>
    <w:qFormat/>
    <w:uiPriority w:val="0"/>
    <w:rPr>
      <w:rFonts w:ascii="宋体" w:eastAsia="宋体"/>
      <w:kern w:val="2"/>
      <w:sz w:val="24"/>
      <w:lang w:val="en-US" w:eastAsia="zh-CN"/>
    </w:rPr>
  </w:style>
  <w:style w:type="character" w:customStyle="1" w:styleId="161">
    <w:name w:val="正文文本缩进 字符2"/>
    <w:autoRedefine/>
    <w:semiHidden/>
    <w:qFormat/>
    <w:uiPriority w:val="99"/>
    <w:rPr>
      <w:kern w:val="2"/>
      <w:sz w:val="21"/>
    </w:rPr>
  </w:style>
  <w:style w:type="character" w:customStyle="1" w:styleId="162">
    <w:name w:val="标题 3 字符"/>
    <w:autoRedefine/>
    <w:qFormat/>
    <w:locked/>
    <w:uiPriority w:val="9"/>
    <w:rPr>
      <w:rFonts w:ascii="宋体" w:hAnsi="宋体" w:eastAsia="宋体" w:cs="宋体"/>
      <w:b/>
      <w:kern w:val="2"/>
      <w:sz w:val="32"/>
      <w:szCs w:val="32"/>
      <w:lang w:val="en-US" w:eastAsia="zh-CN"/>
    </w:rPr>
  </w:style>
  <w:style w:type="character" w:customStyle="1" w:styleId="163">
    <w:name w:val="标题 4 字符"/>
    <w:autoRedefine/>
    <w:qFormat/>
    <w:locked/>
    <w:uiPriority w:val="9"/>
    <w:rPr>
      <w:rFonts w:ascii="Arial" w:hAnsi="Arial" w:eastAsia="黑体"/>
      <w:b/>
      <w:kern w:val="2"/>
      <w:sz w:val="28"/>
      <w:lang w:val="en-US" w:eastAsia="zh-CN"/>
    </w:rPr>
  </w:style>
  <w:style w:type="character" w:customStyle="1" w:styleId="164">
    <w:name w:val="样式4 Char"/>
    <w:link w:val="165"/>
    <w:autoRedefine/>
    <w:qFormat/>
    <w:locked/>
    <w:uiPriority w:val="0"/>
    <w:rPr>
      <w:rFonts w:ascii="黑体" w:hAnsi="黑体" w:eastAsia="黑体"/>
      <w:kern w:val="44"/>
      <w:sz w:val="44"/>
      <w:lang w:val="en-US" w:eastAsia="zh-CN"/>
    </w:rPr>
  </w:style>
  <w:style w:type="paragraph" w:customStyle="1" w:styleId="165">
    <w:name w:val="样式4"/>
    <w:basedOn w:val="2"/>
    <w:link w:val="164"/>
    <w:autoRedefine/>
    <w:qFormat/>
    <w:uiPriority w:val="0"/>
    <w:pPr>
      <w:keepLines/>
      <w:spacing w:line="360" w:lineRule="auto"/>
    </w:pPr>
    <w:rPr>
      <w:rFonts w:ascii="黑体" w:hAnsi="黑体" w:eastAsia="黑体"/>
      <w:b w:val="0"/>
      <w:szCs w:val="20"/>
    </w:rPr>
  </w:style>
  <w:style w:type="character" w:customStyle="1" w:styleId="166">
    <w:name w:val="正文文本缩进 字符"/>
    <w:autoRedefine/>
    <w:qFormat/>
    <w:uiPriority w:val="0"/>
    <w:rPr>
      <w:rFonts w:ascii="Calibri" w:hAnsi="Calibri" w:cs="Calibri"/>
    </w:rPr>
  </w:style>
  <w:style w:type="character" w:customStyle="1" w:styleId="167">
    <w:name w:val="表格用 Char Char"/>
    <w:link w:val="168"/>
    <w:autoRedefine/>
    <w:qFormat/>
    <w:locked/>
    <w:uiPriority w:val="0"/>
    <w:rPr>
      <w:rFonts w:ascii="宋体" w:hAnsi="宋体" w:cs="宋体"/>
      <w:szCs w:val="24"/>
    </w:rPr>
  </w:style>
  <w:style w:type="paragraph" w:customStyle="1" w:styleId="168">
    <w:name w:val="表格用"/>
    <w:basedOn w:val="1"/>
    <w:link w:val="167"/>
    <w:autoRedefine/>
    <w:qFormat/>
    <w:uiPriority w:val="0"/>
    <w:pPr>
      <w:widowControl/>
      <w:spacing w:line="360" w:lineRule="auto"/>
      <w:jc w:val="left"/>
    </w:pPr>
    <w:rPr>
      <w:rFonts w:ascii="宋体" w:hAnsi="宋体"/>
      <w:kern w:val="0"/>
      <w:sz w:val="20"/>
      <w:szCs w:val="24"/>
    </w:rPr>
  </w:style>
  <w:style w:type="character" w:customStyle="1" w:styleId="169">
    <w:name w:val="批注主题 Char"/>
    <w:autoRedefine/>
    <w:semiHidden/>
    <w:qFormat/>
    <w:locked/>
    <w:uiPriority w:val="0"/>
    <w:rPr>
      <w:rFonts w:cs="Times New Roman"/>
      <w:b/>
      <w:bCs/>
      <w:kern w:val="2"/>
      <w:sz w:val="21"/>
    </w:rPr>
  </w:style>
  <w:style w:type="character" w:customStyle="1" w:styleId="170">
    <w:name w:val="标题 1 字符"/>
    <w:autoRedefine/>
    <w:qFormat/>
    <w:locked/>
    <w:uiPriority w:val="9"/>
    <w:rPr>
      <w:rFonts w:ascii="宋体" w:hAnsi="宋体" w:eastAsia="宋体" w:cs="宋体"/>
      <w:b/>
      <w:kern w:val="44"/>
      <w:sz w:val="44"/>
      <w:szCs w:val="44"/>
      <w:lang w:val="en-US" w:eastAsia="zh-CN"/>
    </w:rPr>
  </w:style>
  <w:style w:type="character" w:customStyle="1" w:styleId="171">
    <w:name w:val="标题 1 Char Char"/>
    <w:autoRedefine/>
    <w:qFormat/>
    <w:uiPriority w:val="0"/>
    <w:rPr>
      <w:rFonts w:eastAsia="宋体"/>
      <w:b/>
      <w:spacing w:val="-2"/>
      <w:sz w:val="24"/>
      <w:lang w:val="en-US" w:eastAsia="zh-CN"/>
    </w:rPr>
  </w:style>
  <w:style w:type="character" w:customStyle="1" w:styleId="172">
    <w:name w:val="正文文本 Char1"/>
    <w:autoRedefine/>
    <w:qFormat/>
    <w:uiPriority w:val="0"/>
    <w:rPr>
      <w:rFonts w:ascii="Times New Roman" w:hAnsi="Times New Roman" w:eastAsia="宋体" w:cs="Times New Roman"/>
      <w:sz w:val="24"/>
      <w:szCs w:val="24"/>
    </w:rPr>
  </w:style>
  <w:style w:type="character" w:customStyle="1" w:styleId="173">
    <w:name w:val="正文文本缩进 Char"/>
    <w:autoRedefine/>
    <w:qFormat/>
    <w:locked/>
    <w:uiPriority w:val="0"/>
    <w:rPr>
      <w:rFonts w:eastAsia="方正书宋简体"/>
      <w:kern w:val="2"/>
      <w:sz w:val="24"/>
      <w:lang w:val="en-US" w:eastAsia="zh-CN"/>
    </w:rPr>
  </w:style>
  <w:style w:type="character" w:customStyle="1" w:styleId="174">
    <w:name w:val="正文文本 2 字符1"/>
    <w:autoRedefine/>
    <w:semiHidden/>
    <w:qFormat/>
    <w:uiPriority w:val="99"/>
    <w:rPr>
      <w:kern w:val="2"/>
      <w:sz w:val="21"/>
    </w:rPr>
  </w:style>
  <w:style w:type="character" w:customStyle="1" w:styleId="175">
    <w:name w:val="页眉 字符"/>
    <w:autoRedefine/>
    <w:qFormat/>
    <w:locked/>
    <w:uiPriority w:val="99"/>
    <w:rPr>
      <w:rFonts w:ascii="宋体" w:hAnsi="宋体" w:eastAsia="宋体" w:cs="宋体"/>
      <w:kern w:val="2"/>
      <w:sz w:val="18"/>
      <w:szCs w:val="18"/>
      <w:lang w:val="en-US" w:eastAsia="zh-CN"/>
    </w:rPr>
  </w:style>
  <w:style w:type="character" w:customStyle="1" w:styleId="176">
    <w:name w:val="正文文本首行缩进 字符"/>
    <w:autoRedefine/>
    <w:semiHidden/>
    <w:qFormat/>
    <w:uiPriority w:val="99"/>
  </w:style>
  <w:style w:type="character" w:customStyle="1" w:styleId="177">
    <w:name w:val="样式5 Char"/>
    <w:link w:val="178"/>
    <w:autoRedefine/>
    <w:qFormat/>
    <w:locked/>
    <w:uiPriority w:val="0"/>
    <w:rPr>
      <w:rFonts w:eastAsia="宋体"/>
      <w:b/>
      <w:kern w:val="2"/>
      <w:sz w:val="28"/>
      <w:lang w:val="en-US" w:eastAsia="zh-CN"/>
    </w:rPr>
  </w:style>
  <w:style w:type="paragraph" w:customStyle="1" w:styleId="178">
    <w:name w:val="样式5"/>
    <w:basedOn w:val="1"/>
    <w:link w:val="177"/>
    <w:autoRedefine/>
    <w:qFormat/>
    <w:uiPriority w:val="0"/>
    <w:pPr>
      <w:keepNext/>
      <w:keepLines/>
      <w:spacing w:before="280" w:after="290" w:line="376" w:lineRule="auto"/>
      <w:ind w:left="210" w:leftChars="100" w:right="210" w:rightChars="100"/>
      <w:outlineLvl w:val="4"/>
    </w:pPr>
    <w:rPr>
      <w:b/>
      <w:sz w:val="28"/>
    </w:rPr>
  </w:style>
  <w:style w:type="character" w:customStyle="1" w:styleId="179">
    <w:name w:val="样式1 Char"/>
    <w:link w:val="180"/>
    <w:autoRedefine/>
    <w:qFormat/>
    <w:locked/>
    <w:uiPriority w:val="0"/>
    <w:rPr>
      <w:rFonts w:ascii="黑体" w:hAnsi="黑体" w:eastAsia="黑体"/>
      <w:b/>
      <w:kern w:val="2"/>
      <w:sz w:val="32"/>
    </w:rPr>
  </w:style>
  <w:style w:type="paragraph" w:customStyle="1" w:styleId="180">
    <w:name w:val="样式1"/>
    <w:basedOn w:val="3"/>
    <w:link w:val="179"/>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81">
    <w:name w:val="apple-style-span"/>
    <w:autoRedefine/>
    <w:qFormat/>
    <w:uiPriority w:val="0"/>
    <w:rPr>
      <w:rFonts w:cs="Times New Roman"/>
    </w:rPr>
  </w:style>
  <w:style w:type="character" w:customStyle="1" w:styleId="182">
    <w:name w:val="标题 7 字符"/>
    <w:autoRedefine/>
    <w:qFormat/>
    <w:locked/>
    <w:uiPriority w:val="9"/>
    <w:rPr>
      <w:b/>
      <w:kern w:val="2"/>
      <w:sz w:val="24"/>
    </w:rPr>
  </w:style>
  <w:style w:type="character" w:customStyle="1" w:styleId="183">
    <w:name w:val="_Style 173"/>
    <w:autoRedefine/>
    <w:unhideWhenUsed/>
    <w:qFormat/>
    <w:uiPriority w:val="99"/>
    <w:rPr>
      <w:color w:val="605E5C"/>
      <w:shd w:val="clear" w:color="auto" w:fill="E1DFDD"/>
    </w:rPr>
  </w:style>
  <w:style w:type="character" w:customStyle="1" w:styleId="184">
    <w:name w:val="哈哈正文 Char"/>
    <w:link w:val="185"/>
    <w:autoRedefine/>
    <w:qFormat/>
    <w:locked/>
    <w:uiPriority w:val="0"/>
    <w:rPr>
      <w:rFonts w:ascii="宋体" w:hAnsi="宋体" w:eastAsia="宋体"/>
      <w:kern w:val="2"/>
      <w:sz w:val="24"/>
      <w:lang w:val="en-US" w:eastAsia="zh-CN"/>
    </w:rPr>
  </w:style>
  <w:style w:type="paragraph" w:customStyle="1" w:styleId="185">
    <w:name w:val="哈哈正文"/>
    <w:basedOn w:val="1"/>
    <w:link w:val="184"/>
    <w:autoRedefine/>
    <w:qFormat/>
    <w:uiPriority w:val="0"/>
    <w:pPr>
      <w:spacing w:line="360" w:lineRule="auto"/>
      <w:ind w:firstLine="200" w:firstLineChars="200"/>
    </w:pPr>
    <w:rPr>
      <w:rFonts w:ascii="宋体" w:hAnsi="宋体"/>
      <w:sz w:val="24"/>
    </w:rPr>
  </w:style>
  <w:style w:type="character" w:customStyle="1" w:styleId="186">
    <w:name w:val="标题 2 字符"/>
    <w:autoRedefine/>
    <w:qFormat/>
    <w:locked/>
    <w:uiPriority w:val="9"/>
    <w:rPr>
      <w:rFonts w:ascii="Cambria" w:hAnsi="Cambria" w:eastAsia="宋体" w:cs="Cambria"/>
      <w:kern w:val="2"/>
      <w:sz w:val="21"/>
      <w:szCs w:val="21"/>
      <w:lang w:val="en-US" w:eastAsia="zh-CN"/>
    </w:rPr>
  </w:style>
  <w:style w:type="character" w:customStyle="1" w:styleId="187">
    <w:name w:val="正文文本缩进 3 字符"/>
    <w:autoRedefine/>
    <w:qFormat/>
    <w:locked/>
    <w:uiPriority w:val="99"/>
    <w:rPr>
      <w:rFonts w:ascii="宋体" w:hAnsi="宋体" w:eastAsia="宋体" w:cs="宋体"/>
      <w:b/>
      <w:kern w:val="2"/>
      <w:sz w:val="24"/>
      <w:szCs w:val="24"/>
      <w:lang w:val="en-US" w:eastAsia="zh-CN"/>
    </w:rPr>
  </w:style>
  <w:style w:type="character" w:customStyle="1" w:styleId="188">
    <w:name w:val="正文文本缩进 3 字符1"/>
    <w:autoRedefine/>
    <w:semiHidden/>
    <w:qFormat/>
    <w:uiPriority w:val="99"/>
    <w:rPr>
      <w:kern w:val="2"/>
      <w:sz w:val="16"/>
      <w:szCs w:val="16"/>
    </w:rPr>
  </w:style>
  <w:style w:type="paragraph" w:customStyle="1" w:styleId="189">
    <w:name w:val="Char"/>
    <w:basedOn w:val="1"/>
    <w:autoRedefine/>
    <w:qFormat/>
    <w:uiPriority w:val="0"/>
    <w:rPr>
      <w:rFonts w:ascii="仿宋_GB2312" w:eastAsia="仿宋_GB2312"/>
      <w:b/>
      <w:sz w:val="32"/>
      <w:szCs w:val="32"/>
    </w:rPr>
  </w:style>
  <w:style w:type="paragraph" w:customStyle="1" w:styleId="190">
    <w:name w:val="Char Char Char1 Char"/>
    <w:basedOn w:val="1"/>
    <w:autoRedefine/>
    <w:qFormat/>
    <w:uiPriority w:val="0"/>
    <w:pPr>
      <w:spacing w:line="360" w:lineRule="auto"/>
      <w:ind w:firstLine="200" w:firstLineChars="200"/>
    </w:pPr>
  </w:style>
  <w:style w:type="paragraph" w:customStyle="1" w:styleId="191">
    <w:name w:val="无间隔1"/>
    <w:autoRedefine/>
    <w:qFormat/>
    <w:uiPriority w:val="0"/>
    <w:rPr>
      <w:rFonts w:ascii="Times New Roman" w:hAnsi="Times New Roman" w:eastAsia="宋体" w:cs="Times New Roman"/>
      <w:sz w:val="21"/>
      <w:lang w:val="en-US" w:eastAsia="zh-CN" w:bidi="ar-SA"/>
    </w:rPr>
  </w:style>
  <w:style w:type="paragraph" w:customStyle="1" w:styleId="192">
    <w:name w:val="默认段落字体11"/>
    <w:basedOn w:val="1"/>
    <w:autoRedefine/>
    <w:qFormat/>
    <w:uiPriority w:val="0"/>
    <w:pPr>
      <w:widowControl/>
      <w:spacing w:before="100" w:beforeAutospacing="1" w:after="100" w:afterAutospacing="1"/>
      <w:jc w:val="left"/>
    </w:pPr>
    <w:rPr>
      <w:szCs w:val="22"/>
    </w:rPr>
  </w:style>
  <w:style w:type="paragraph" w:customStyle="1" w:styleId="193">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94">
    <w:name w:val="Item List in Table"/>
    <w:basedOn w:val="1"/>
    <w:autoRedefine/>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95">
    <w:name w:val="符号 1"/>
    <w:basedOn w:val="21"/>
    <w:autoRedefine/>
    <w:qFormat/>
    <w:uiPriority w:val="0"/>
    <w:pPr>
      <w:tabs>
        <w:tab w:val="left" w:pos="900"/>
      </w:tabs>
      <w:spacing w:line="360" w:lineRule="auto"/>
      <w:ind w:left="1200" w:hanging="720"/>
    </w:pPr>
    <w:rPr>
      <w:rFonts w:eastAsia="宋体"/>
      <w:kern w:val="28"/>
      <w:szCs w:val="24"/>
    </w:rPr>
  </w:style>
  <w:style w:type="paragraph" w:customStyle="1" w:styleId="196">
    <w:name w:val="Char Char Char Char Char Char Char"/>
    <w:basedOn w:val="1"/>
    <w:autoRedefine/>
    <w:qFormat/>
    <w:uiPriority w:val="0"/>
    <w:pPr>
      <w:tabs>
        <w:tab w:val="left" w:pos="432"/>
      </w:tabs>
      <w:ind w:left="432" w:hanging="432"/>
    </w:pPr>
    <w:rPr>
      <w:rFonts w:ascii="Tahoma" w:hAnsi="Tahoma"/>
      <w:sz w:val="24"/>
    </w:rPr>
  </w:style>
  <w:style w:type="paragraph" w:customStyle="1" w:styleId="197">
    <w:name w:val="标题1"/>
    <w:basedOn w:val="2"/>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98">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9">
    <w:name w:val="Char11"/>
    <w:basedOn w:val="1"/>
    <w:autoRedefine/>
    <w:qFormat/>
    <w:uiPriority w:val="0"/>
    <w:rPr>
      <w:szCs w:val="24"/>
    </w:rPr>
  </w:style>
  <w:style w:type="paragraph" w:customStyle="1" w:styleId="200">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Char12"/>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2">
    <w:name w:val="正文 居中"/>
    <w:basedOn w:val="1"/>
    <w:autoRedefine/>
    <w:qFormat/>
    <w:uiPriority w:val="0"/>
    <w:pPr>
      <w:spacing w:line="360" w:lineRule="auto"/>
      <w:jc w:val="center"/>
    </w:pPr>
    <w:rPr>
      <w:rFonts w:cs="宋体"/>
      <w:sz w:val="24"/>
    </w:rPr>
  </w:style>
  <w:style w:type="paragraph" w:customStyle="1" w:styleId="203">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4">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205">
    <w:name w:val="默认段落字体 Para Char Char Char Char Char Char Char Char Char Char"/>
    <w:basedOn w:val="1"/>
    <w:autoRedefine/>
    <w:qFormat/>
    <w:uiPriority w:val="0"/>
    <w:rPr>
      <w:rFonts w:ascii="Tahoma" w:hAnsi="Tahoma"/>
      <w:sz w:val="24"/>
    </w:rPr>
  </w:style>
  <w:style w:type="paragraph" w:customStyle="1" w:styleId="206">
    <w:name w:val="样式 正文缩进 + 首行缩进:  2 字符"/>
    <w:basedOn w:val="13"/>
    <w:autoRedefine/>
    <w:qFormat/>
    <w:uiPriority w:val="99"/>
    <w:pPr>
      <w:spacing w:line="360" w:lineRule="auto"/>
      <w:ind w:firstLine="200"/>
    </w:pPr>
  </w:style>
  <w:style w:type="paragraph" w:customStyle="1" w:styleId="207">
    <w:name w:val="Default"/>
    <w:autoRedefine/>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08">
    <w:name w:val="列出段落11"/>
    <w:basedOn w:val="1"/>
    <w:autoRedefine/>
    <w:qFormat/>
    <w:uiPriority w:val="0"/>
    <w:pPr>
      <w:ind w:firstLine="420" w:firstLineChars="200"/>
    </w:pPr>
    <w:rPr>
      <w:szCs w:val="24"/>
    </w:rPr>
  </w:style>
  <w:style w:type="paragraph" w:customStyle="1" w:styleId="209">
    <w:name w:val="正文文本缩进 + 四号"/>
    <w:basedOn w:val="21"/>
    <w:autoRedefine/>
    <w:qFormat/>
    <w:uiPriority w:val="0"/>
    <w:pPr>
      <w:spacing w:line="360" w:lineRule="auto"/>
      <w:ind w:firstLine="560" w:firstLineChars="200"/>
    </w:pPr>
    <w:rPr>
      <w:rFonts w:ascii="仿宋_GB2312" w:eastAsia="仿宋_GB2312"/>
      <w:color w:val="000000"/>
      <w:sz w:val="28"/>
      <w:szCs w:val="28"/>
    </w:rPr>
  </w:style>
  <w:style w:type="paragraph" w:customStyle="1" w:styleId="210">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11">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12">
    <w:name w:val="Char2"/>
    <w:basedOn w:val="1"/>
    <w:autoRedefine/>
    <w:qFormat/>
    <w:uiPriority w:val="0"/>
    <w:pPr>
      <w:tabs>
        <w:tab w:val="left" w:pos="1200"/>
      </w:tabs>
      <w:ind w:left="1200" w:hanging="720"/>
    </w:pPr>
    <w:rPr>
      <w:sz w:val="24"/>
      <w:szCs w:val="24"/>
    </w:rPr>
  </w:style>
  <w:style w:type="paragraph" w:customStyle="1" w:styleId="213">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此正文"/>
    <w:basedOn w:val="1"/>
    <w:autoRedefine/>
    <w:qFormat/>
    <w:uiPriority w:val="0"/>
    <w:pPr>
      <w:spacing w:line="360" w:lineRule="auto"/>
      <w:ind w:firstLine="200" w:firstLineChars="200"/>
    </w:pPr>
    <w:rPr>
      <w:sz w:val="24"/>
      <w:szCs w:val="24"/>
    </w:rPr>
  </w:style>
  <w:style w:type="paragraph" w:customStyle="1" w:styleId="215">
    <w:name w:val="Char Char1 Char Char Char Char"/>
    <w:basedOn w:val="1"/>
    <w:autoRedefine/>
    <w:qFormat/>
    <w:uiPriority w:val="0"/>
    <w:rPr>
      <w:rFonts w:ascii="Tahoma" w:hAnsi="Tahoma"/>
      <w:sz w:val="24"/>
    </w:rPr>
  </w:style>
  <w:style w:type="paragraph" w:customStyle="1" w:styleId="216">
    <w:name w:val="标准正文"/>
    <w:basedOn w:val="1"/>
    <w:autoRedefine/>
    <w:qFormat/>
    <w:uiPriority w:val="0"/>
    <w:pPr>
      <w:adjustRightInd w:val="0"/>
      <w:spacing w:line="360" w:lineRule="auto"/>
      <w:ind w:firstLine="480" w:firstLineChars="200"/>
    </w:pPr>
    <w:rPr>
      <w:kern w:val="0"/>
      <w:sz w:val="24"/>
    </w:rPr>
  </w:style>
  <w:style w:type="paragraph" w:customStyle="1" w:styleId="217">
    <w:name w:val="表格正文"/>
    <w:basedOn w:val="1"/>
    <w:autoRedefine/>
    <w:qFormat/>
    <w:uiPriority w:val="0"/>
    <w:rPr>
      <w:rFonts w:eastAsia="黑体"/>
    </w:rPr>
  </w:style>
  <w:style w:type="paragraph" w:customStyle="1" w:styleId="218">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219">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20">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22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2">
    <w:name w:val="彩色列表 - 强调文字颜色 11"/>
    <w:basedOn w:val="1"/>
    <w:autoRedefine/>
    <w:qFormat/>
    <w:uiPriority w:val="0"/>
    <w:pPr>
      <w:ind w:firstLine="420" w:firstLineChars="200"/>
    </w:pPr>
    <w:rPr>
      <w:rFonts w:ascii="Calibri" w:hAnsi="Calibri"/>
      <w:szCs w:val="22"/>
    </w:rPr>
  </w:style>
  <w:style w:type="paragraph" w:customStyle="1" w:styleId="223">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22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6">
    <w:name w:val="正文文本缩进1"/>
    <w:basedOn w:val="1"/>
    <w:autoRedefine/>
    <w:qFormat/>
    <w:uiPriority w:val="0"/>
    <w:pPr>
      <w:spacing w:after="120"/>
      <w:ind w:left="420" w:leftChars="200"/>
    </w:pPr>
    <w:rPr>
      <w:szCs w:val="24"/>
    </w:rPr>
  </w:style>
  <w:style w:type="paragraph" w:styleId="227">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8">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9">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30">
    <w:name w:val="List Paragraph1"/>
    <w:basedOn w:val="1"/>
    <w:autoRedefine/>
    <w:qFormat/>
    <w:uiPriority w:val="34"/>
    <w:pPr>
      <w:ind w:firstLine="420" w:firstLineChars="200"/>
    </w:pPr>
    <w:rPr>
      <w:szCs w:val="24"/>
    </w:rPr>
  </w:style>
  <w:style w:type="paragraph" w:customStyle="1" w:styleId="231">
    <w:name w:val="标题3"/>
    <w:basedOn w:val="4"/>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32">
    <w:name w:val="Char1"/>
    <w:basedOn w:val="1"/>
    <w:autoRedefine/>
    <w:qFormat/>
    <w:uiPriority w:val="0"/>
    <w:rPr>
      <w:rFonts w:ascii="仿宋_GB2312" w:eastAsia="仿宋_GB2312"/>
      <w:b/>
      <w:sz w:val="32"/>
      <w:szCs w:val="32"/>
    </w:rPr>
  </w:style>
  <w:style w:type="paragraph" w:customStyle="1" w:styleId="233">
    <w:name w:val="正文2"/>
    <w:basedOn w:val="1"/>
    <w:autoRedefine/>
    <w:qFormat/>
    <w:uiPriority w:val="0"/>
    <w:pPr>
      <w:spacing w:beforeLines="50" w:afterLines="50" w:line="360" w:lineRule="auto"/>
      <w:ind w:firstLine="480" w:firstLineChars="200"/>
    </w:pPr>
    <w:rPr>
      <w:rFonts w:ascii="宋体" w:hAnsi="宋体"/>
      <w:sz w:val="24"/>
      <w:szCs w:val="24"/>
    </w:rPr>
  </w:style>
  <w:style w:type="paragraph" w:customStyle="1" w:styleId="234">
    <w:name w:val="符号 2"/>
    <w:basedOn w:val="195"/>
    <w:autoRedefine/>
    <w:qFormat/>
    <w:uiPriority w:val="0"/>
    <w:pPr>
      <w:tabs>
        <w:tab w:val="left" w:pos="1320"/>
        <w:tab w:val="clear" w:pos="900"/>
      </w:tabs>
      <w:ind w:left="1320" w:hanging="420"/>
    </w:pPr>
  </w:style>
  <w:style w:type="paragraph" w:customStyle="1" w:styleId="235">
    <w:name w:val="默认段落字体 Para Char Char Char Char Char Char Char Char Char1 Char Char Char Char"/>
    <w:basedOn w:val="1"/>
    <w:autoRedefine/>
    <w:qFormat/>
    <w:uiPriority w:val="0"/>
    <w:rPr>
      <w:rFonts w:ascii="Tahoma" w:hAnsi="Tahoma"/>
      <w:sz w:val="24"/>
    </w:rPr>
  </w:style>
  <w:style w:type="paragraph" w:customStyle="1" w:styleId="236">
    <w:name w:val="UserStyle_4"/>
    <w:basedOn w:val="1"/>
    <w:autoRedefine/>
    <w:qFormat/>
    <w:uiPriority w:val="0"/>
    <w:pPr>
      <w:widowControl/>
      <w:ind w:firstLine="420" w:firstLineChars="200"/>
    </w:pPr>
    <w:rPr>
      <w:rFonts w:ascii="Calibri" w:hAnsi="Calibri"/>
      <w:szCs w:val="22"/>
    </w:rPr>
  </w:style>
  <w:style w:type="paragraph" w:customStyle="1" w:styleId="237">
    <w:name w:val="正文编码"/>
    <w:basedOn w:val="20"/>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38">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9">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40">
    <w:name w:val="正文段"/>
    <w:basedOn w:val="1"/>
    <w:autoRedefine/>
    <w:qFormat/>
    <w:uiPriority w:val="0"/>
    <w:pPr>
      <w:widowControl/>
      <w:snapToGrid w:val="0"/>
      <w:spacing w:afterLines="50"/>
      <w:ind w:firstLine="200" w:firstLineChars="200"/>
    </w:pPr>
    <w:rPr>
      <w:kern w:val="0"/>
      <w:sz w:val="24"/>
    </w:rPr>
  </w:style>
  <w:style w:type="paragraph" w:customStyle="1" w:styleId="241">
    <w:name w:val="p0"/>
    <w:basedOn w:val="1"/>
    <w:autoRedefine/>
    <w:qFormat/>
    <w:uiPriority w:val="0"/>
    <w:pPr>
      <w:widowControl/>
    </w:pPr>
    <w:rPr>
      <w:kern w:val="0"/>
      <w:szCs w:val="21"/>
    </w:rPr>
  </w:style>
  <w:style w:type="paragraph" w:customStyle="1" w:styleId="242">
    <w:name w:val="Table Text"/>
    <w:basedOn w:val="1"/>
    <w:autoRedefine/>
    <w:qFormat/>
    <w:uiPriority w:val="0"/>
    <w:pPr>
      <w:widowControl/>
      <w:jc w:val="left"/>
    </w:pPr>
    <w:rPr>
      <w:rFonts w:ascii="Arial" w:hAnsi="Arial"/>
      <w:kern w:val="0"/>
      <w:szCs w:val="21"/>
    </w:rPr>
  </w:style>
  <w:style w:type="paragraph" w:customStyle="1" w:styleId="243">
    <w:name w:val="Other|1"/>
    <w:basedOn w:val="1"/>
    <w:autoRedefine/>
    <w:qFormat/>
    <w:uiPriority w:val="0"/>
    <w:pPr>
      <w:spacing w:line="427" w:lineRule="auto"/>
      <w:ind w:firstLine="400"/>
    </w:pPr>
    <w:rPr>
      <w:rFonts w:ascii="宋体" w:hAnsi="宋体" w:cs="宋体"/>
      <w:color w:val="6A6D74"/>
      <w:sz w:val="19"/>
      <w:szCs w:val="19"/>
      <w:lang w:val="zh-TW" w:eastAsia="zh-TW" w:bidi="zh-TW"/>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table" w:customStyle="1" w:styleId="245">
    <w:name w:val="Table Normal"/>
    <w:autoRedefine/>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246">
    <w:name w:val="列表段落 字符"/>
    <w:autoRedefine/>
    <w:qFormat/>
    <w:locked/>
    <w:uiPriority w:val="34"/>
    <w:rPr>
      <w:rFonts w:eastAsia="宋体"/>
      <w:sz w:val="24"/>
    </w:rPr>
  </w:style>
  <w:style w:type="paragraph" w:customStyle="1" w:styleId="247">
    <w:name w:val="Table Paragraph"/>
    <w:basedOn w:val="1"/>
    <w:autoRedefine/>
    <w:qFormat/>
    <w:uiPriority w:val="1"/>
    <w:rPr>
      <w:rFonts w:ascii="宋体" w:hAnsi="宋体" w:cs="宋体"/>
      <w:lang w:val="zh-CN" w:bidi="zh-CN"/>
    </w:rPr>
  </w:style>
  <w:style w:type="paragraph" w:customStyle="1" w:styleId="248">
    <w:name w:val="表格内文字"/>
    <w:basedOn w:val="1"/>
    <w:autoRedefine/>
    <w:qFormat/>
    <w:uiPriority w:val="0"/>
    <w:pPr>
      <w:jc w:val="center"/>
    </w:pPr>
  </w:style>
  <w:style w:type="paragraph" w:customStyle="1" w:styleId="249">
    <w:name w:val="章正文"/>
    <w:basedOn w:val="1"/>
    <w:autoRedefine/>
    <w:unhideWhenUsed/>
    <w:qFormat/>
    <w:uiPriority w:val="0"/>
    <w:pPr>
      <w:spacing w:beforeLines="50" w:after="120" w:line="300" w:lineRule="auto"/>
      <w:ind w:firstLine="480"/>
    </w:pPr>
    <w:rPr>
      <w:rFonts w:ascii="Helvetica" w:hAnsi="Helvetica"/>
      <w:kern w:val="0"/>
      <w:szCs w:val="24"/>
    </w:rPr>
  </w:style>
  <w:style w:type="character" w:customStyle="1" w:styleId="250">
    <w:name w:val="font31"/>
    <w:basedOn w:val="50"/>
    <w:autoRedefine/>
    <w:qFormat/>
    <w:uiPriority w:val="0"/>
    <w:rPr>
      <w:rFonts w:hint="default" w:ascii="Arial" w:hAnsi="Arial" w:cs="Arial"/>
      <w:color w:val="000000"/>
      <w:sz w:val="20"/>
      <w:szCs w:val="20"/>
      <w:u w:val="none"/>
    </w:rPr>
  </w:style>
  <w:style w:type="character" w:customStyle="1" w:styleId="251">
    <w:name w:val="font51"/>
    <w:basedOn w:val="50"/>
    <w:autoRedefine/>
    <w:qFormat/>
    <w:uiPriority w:val="0"/>
    <w:rPr>
      <w:rFonts w:hint="eastAsia" w:ascii="宋体" w:hAnsi="宋体" w:eastAsia="宋体" w:cs="宋体"/>
      <w:color w:val="000000"/>
      <w:sz w:val="20"/>
      <w:szCs w:val="20"/>
      <w:u w:val="none"/>
    </w:rPr>
  </w:style>
  <w:style w:type="paragraph" w:customStyle="1" w:styleId="252">
    <w:name w:val="*正文"/>
    <w:basedOn w:val="1"/>
    <w:autoRedefine/>
    <w:unhideWhenUsed/>
    <w:qFormat/>
    <w:uiPriority w:val="0"/>
    <w:pPr>
      <w:spacing w:line="300" w:lineRule="auto"/>
      <w:ind w:firstLine="480" w:firstLineChars="200"/>
    </w:pPr>
    <w:rPr>
      <w:rFonts w:hint="eastAsia" w:ascii="宋体" w:hAnsi="宋体"/>
      <w:sz w:val="24"/>
      <w:szCs w:val="24"/>
    </w:rPr>
  </w:style>
  <w:style w:type="character" w:customStyle="1" w:styleId="253">
    <w:name w:val="15"/>
    <w:basedOn w:val="50"/>
    <w:autoRedefine/>
    <w:qFormat/>
    <w:uiPriority w:val="0"/>
    <w:rPr>
      <w:rFonts w:hint="default" w:ascii="Times New Roman" w:hAnsi="Times New Roman" w:cs="Times New Roman"/>
    </w:rPr>
  </w:style>
  <w:style w:type="paragraph" w:customStyle="1" w:styleId="254">
    <w:name w:val="标书正文"/>
    <w:autoRedefine/>
    <w:unhideWhenUsed/>
    <w:qFormat/>
    <w:uiPriority w:val="0"/>
    <w:pPr>
      <w:suppressAutoHyphens/>
      <w:spacing w:before="280" w:beforeLines="0" w:after="280" w:afterLines="0" w:line="360" w:lineRule="auto"/>
      <w:ind w:firstLine="480"/>
    </w:pPr>
    <w:rPr>
      <w:rFonts w:hint="default" w:ascii="Calibri" w:hAnsi="Calibri" w:eastAsia="宋体" w:cs="Times New Roman"/>
      <w:kern w:val="1"/>
      <w:sz w:val="24"/>
      <w:szCs w:val="24"/>
      <w:lang w:val="en-US" w:eastAsia="ar-SA" w:bidi="ar-SA"/>
    </w:rPr>
  </w:style>
  <w:style w:type="paragraph" w:customStyle="1" w:styleId="255">
    <w:name w:val="章标题"/>
    <w:next w:val="225"/>
    <w:autoRedefine/>
    <w:unhideWhenUsed/>
    <w:qFormat/>
    <w:uiPriority w:val="0"/>
    <w:pPr>
      <w:numPr>
        <w:ilvl w:val="1"/>
        <w:numId w:val="0"/>
      </w:numPr>
      <w:tabs>
        <w:tab w:val="left" w:pos="840"/>
        <w:tab w:val="left" w:pos="1440"/>
      </w:tabs>
      <w:spacing w:before="156" w:beforeLines="50" w:after="156" w:afterLines="50"/>
      <w:jc w:val="both"/>
      <w:outlineLvl w:val="1"/>
    </w:pPr>
    <w:rPr>
      <w:rFonts w:hint="eastAsia" w:ascii="黑体" w:hAnsi="Times New Roman" w:eastAsia="黑体" w:cs="Times New Roman"/>
      <w:sz w:val="21"/>
      <w:szCs w:val="24"/>
      <w:lang w:val="en-US" w:eastAsia="zh-CN" w:bidi="ar-SA"/>
    </w:rPr>
  </w:style>
  <w:style w:type="paragraph" w:customStyle="1" w:styleId="256">
    <w:name w:val="一级条标题"/>
    <w:next w:val="225"/>
    <w:autoRedefine/>
    <w:unhideWhenUsed/>
    <w:qFormat/>
    <w:uiPriority w:val="0"/>
    <w:pPr>
      <w:numPr>
        <w:ilvl w:val="2"/>
        <w:numId w:val="0"/>
      </w:numPr>
      <w:tabs>
        <w:tab w:val="left" w:pos="1260"/>
        <w:tab w:val="left" w:pos="2160"/>
      </w:tabs>
      <w:spacing w:beforeLines="0" w:afterLines="0"/>
      <w:outlineLvl w:val="2"/>
    </w:pPr>
    <w:rPr>
      <w:rFonts w:hint="default" w:ascii="Times New Roman" w:hAnsi="Times New Roman" w:eastAsia="黑体" w:cs="Times New Roman"/>
      <w:sz w:val="21"/>
      <w:szCs w:val="24"/>
      <w:lang w:val="en-US" w:eastAsia="zh-CN" w:bidi="ar-SA"/>
    </w:rPr>
  </w:style>
  <w:style w:type="paragraph" w:customStyle="1" w:styleId="257">
    <w:name w:val="正文表标题"/>
    <w:next w:val="225"/>
    <w:autoRedefine/>
    <w:unhideWhenUsed/>
    <w:qFormat/>
    <w:uiPriority w:val="0"/>
    <w:pPr>
      <w:numPr>
        <w:ilvl w:val="0"/>
        <w:numId w:val="0"/>
      </w:numPr>
      <w:tabs>
        <w:tab w:val="left" w:pos="360"/>
        <w:tab w:val="left" w:pos="510"/>
      </w:tabs>
      <w:spacing w:beforeLines="0" w:afterLines="0"/>
      <w:jc w:val="center"/>
    </w:pPr>
    <w:rPr>
      <w:rFonts w:hint="eastAsia" w:ascii="黑体" w:hAnsi="Times New Roman" w:eastAsia="黑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0EDCF-50D2-49F0-8036-7DA14CD550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26805</Words>
  <Characters>28016</Characters>
  <Lines>1</Lines>
  <Paragraphs>1</Paragraphs>
  <TotalTime>20</TotalTime>
  <ScaleCrop>false</ScaleCrop>
  <LinksUpToDate>false</LinksUpToDate>
  <CharactersWithSpaces>28405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2023-04-10T06:34:00Z</dcterms:created>
  <dc:creator>dyp</dc:creator>
  <cp:lastModifiedBy>Administrator</cp:lastModifiedBy>
  <cp:lastPrinted>2024-02-01T11:36:00Z</cp:lastPrinted>
  <dcterms:modified xsi:type="dcterms:W3CDTF">2024-03-07T03:11:20Z</dcterms:modified>
  <dc:title>第一部分  投标方须知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134074772EFF4D3EB3CDA61A267A5C46_13</vt:lpwstr>
  </property>
</Properties>
</file>