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48"/>
          <w:szCs w:val="48"/>
        </w:rPr>
        <w:t>慈溪市政府采购中心集中采购项目</w:t>
      </w: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pStyle w:val="28"/>
      </w:pPr>
    </w:p>
    <w:p>
      <w:pPr>
        <w:jc w:val="center"/>
        <w:rPr>
          <w:rFonts w:ascii="仿宋_GB2312" w:hAnsi="仿宋_GB2312" w:eastAsia="仿宋_GB2312" w:cs="仿宋_GB2312"/>
          <w:color w:val="000000"/>
          <w:kern w:val="0"/>
          <w:sz w:val="72"/>
          <w:szCs w:val="72"/>
        </w:rPr>
      </w:pPr>
      <w:r>
        <w:rPr>
          <w:rFonts w:hint="eastAsia" w:ascii="仿宋_GB2312" w:hAnsi="仿宋_GB2312" w:eastAsia="仿宋_GB2312" w:cs="仿宋_GB2312"/>
          <w:color w:val="000000"/>
          <w:kern w:val="0"/>
          <w:sz w:val="72"/>
          <w:szCs w:val="72"/>
        </w:rPr>
        <w:t>公</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开</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招</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标</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jc w:val="center"/>
        <w:rPr>
          <w:rFonts w:ascii="仿宋_GB2312" w:hAnsi="仿宋_GB2312" w:eastAsia="仿宋_GB2312" w:cs="仿宋_GB2312"/>
          <w:color w:val="000000"/>
          <w:kern w:val="0"/>
          <w:sz w:val="72"/>
          <w:szCs w:val="72"/>
        </w:rPr>
      </w:pPr>
    </w:p>
    <w:p>
      <w:pPr>
        <w:rPr>
          <w:rFonts w:ascii="仿宋_GB2312" w:hAnsi="仿宋_GB2312" w:eastAsia="仿宋_GB2312" w:cs="仿宋_GB2312"/>
          <w:color w:val="000000"/>
          <w:kern w:val="0"/>
          <w:sz w:val="72"/>
          <w:szCs w:val="72"/>
        </w:rPr>
      </w:pPr>
    </w:p>
    <w:p>
      <w:pPr>
        <w:ind w:firstLine="2240" w:firstLineChars="800"/>
        <w:jc w:val="left"/>
        <w:rPr>
          <w:rFonts w:hint="default" w:ascii="仿宋_GB2312" w:hAnsi="仿宋_GB2312" w:eastAsia="仿宋_GB2312" w:cs="仿宋_GB2312"/>
          <w:color w:val="auto"/>
          <w:kern w:val="0"/>
          <w:sz w:val="28"/>
          <w:szCs w:val="28"/>
          <w:highlight w:val="none"/>
          <w:lang w:eastAsia="zh-CN"/>
        </w:rPr>
      </w:pPr>
      <w:r>
        <w:rPr>
          <w:rFonts w:ascii="仿宋_GB2312" w:hAnsi="仿宋_GB2312" w:eastAsia="仿宋_GB2312" w:cs="仿宋_GB2312"/>
          <w:color w:val="000000"/>
          <w:kern w:val="0"/>
          <w:sz w:val="28"/>
          <w:szCs w:val="28"/>
        </w:rPr>
        <w:t>招标编号：</w:t>
      </w:r>
      <w:r>
        <w:rPr>
          <w:rFonts w:hint="eastAsia" w:ascii="仿宋_GB2312" w:hAnsi="仿宋_GB2312" w:eastAsia="仿宋_GB2312" w:cs="仿宋_GB2312"/>
          <w:color w:val="auto"/>
          <w:kern w:val="0"/>
          <w:sz w:val="28"/>
          <w:szCs w:val="28"/>
          <w:highlight w:val="none"/>
          <w:lang w:eastAsia="zh-CN"/>
        </w:rPr>
        <w:t>NBCXZFCG2024013</w:t>
      </w:r>
    </w:p>
    <w:p>
      <w:pPr>
        <w:ind w:firstLine="2240" w:firstLineChars="8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项目名称：</w:t>
      </w:r>
      <w:r>
        <w:rPr>
          <w:rFonts w:hint="eastAsia" w:ascii="仿宋_GB2312" w:hAnsi="仿宋_GB2312" w:eastAsia="仿宋_GB2312" w:cs="仿宋_GB2312"/>
          <w:color w:val="000000"/>
          <w:kern w:val="0"/>
          <w:sz w:val="28"/>
          <w:szCs w:val="28"/>
        </w:rPr>
        <w:t>物业管理服务</w:t>
      </w:r>
    </w:p>
    <w:p>
      <w:pPr>
        <w:ind w:firstLine="2240" w:firstLineChars="800"/>
        <w:jc w:val="left"/>
        <w:rPr>
          <w:rFonts w:hint="eastAsia" w:ascii="仿宋_GB2312" w:hAnsi="仿宋_GB2312" w:eastAsia="仿宋_GB2312" w:cs="仿宋_GB2312"/>
          <w:color w:val="000000"/>
          <w:kern w:val="0"/>
          <w:sz w:val="28"/>
          <w:szCs w:val="28"/>
          <w:highlight w:val="yellow"/>
          <w:lang w:eastAsia="zh-CN"/>
        </w:rPr>
      </w:pPr>
      <w:r>
        <w:rPr>
          <w:rFonts w:ascii="仿宋_GB2312" w:hAnsi="仿宋_GB2312" w:eastAsia="仿宋_GB2312" w:cs="仿宋_GB2312"/>
          <w:color w:val="000000"/>
          <w:kern w:val="0"/>
          <w:sz w:val="28"/>
          <w:szCs w:val="28"/>
        </w:rPr>
        <w:t>采 购 人：</w:t>
      </w:r>
      <w:r>
        <w:rPr>
          <w:rFonts w:hint="eastAsia" w:ascii="仿宋_GB2312" w:hAnsi="仿宋_GB2312" w:eastAsia="仿宋_GB2312" w:cs="仿宋_GB2312"/>
          <w:color w:val="000000"/>
          <w:kern w:val="0"/>
          <w:sz w:val="28"/>
          <w:szCs w:val="28"/>
          <w:lang w:eastAsia="zh-CN"/>
        </w:rPr>
        <w:t>慈溪市坎墩街道坎东小学</w:t>
      </w:r>
    </w:p>
    <w:p>
      <w:pPr>
        <w:ind w:firstLine="2240" w:firstLineChars="8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代理机构：慈溪市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p>
    <w:p>
      <w:pPr>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二〇</w:t>
      </w: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四</w:t>
      </w:r>
      <w:r>
        <w:rPr>
          <w:rFonts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lang w:eastAsia="zh-CN"/>
        </w:rPr>
        <w:t>四</w:t>
      </w:r>
      <w:r>
        <w:rPr>
          <w:rFonts w:ascii="仿宋_GB2312" w:hAnsi="仿宋_GB2312" w:eastAsia="仿宋_GB2312" w:cs="仿宋_GB2312"/>
          <w:color w:val="000000"/>
          <w:kern w:val="0"/>
          <w:sz w:val="28"/>
          <w:szCs w:val="28"/>
        </w:rPr>
        <w:t>月</w:t>
      </w:r>
    </w:p>
    <w:p>
      <w:pPr>
        <w:pStyle w:val="29"/>
        <w:ind w:firstLine="0" w:firstLineChars="0"/>
        <w:rPr>
          <w:rFonts w:ascii="仿宋_GB2312" w:hAnsi="仿宋_GB2312" w:eastAsia="仿宋_GB2312" w:cs="仿宋_GB2312"/>
          <w:color w:val="000000"/>
          <w:kern w:val="0"/>
          <w:sz w:val="48"/>
          <w:szCs w:val="48"/>
        </w:rPr>
      </w:pPr>
    </w:p>
    <w:p>
      <w:pPr>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48"/>
          <w:szCs w:val="48"/>
        </w:rPr>
        <w:t>目 录</w:t>
      </w:r>
    </w:p>
    <w:p>
      <w:pPr>
        <w:jc w:val="center"/>
        <w:rPr>
          <w:rFonts w:ascii="仿宋_GB2312" w:hAnsi="仿宋_GB2312" w:eastAsia="仿宋_GB2312" w:cs="仿宋_GB2312"/>
          <w:color w:val="000000"/>
          <w:kern w:val="0"/>
          <w:sz w:val="28"/>
          <w:szCs w:val="28"/>
        </w:rPr>
      </w:pPr>
    </w:p>
    <w:p>
      <w:pPr>
        <w:pStyle w:val="49"/>
        <w:spacing w:line="520" w:lineRule="exact"/>
        <w:rPr>
          <w:rFonts w:ascii="仿宋_GB2312" w:hAnsi="仿宋_GB2312" w:eastAsia="仿宋_GB2312" w:cs="仿宋_GB2312"/>
          <w:b w:val="0"/>
          <w:color w:val="000000"/>
          <w:kern w:val="0"/>
          <w:sz w:val="28"/>
          <w:szCs w:val="28"/>
        </w:rPr>
      </w:pPr>
      <w:bookmarkStart w:id="0" w:name="_Hlt154576457"/>
      <w:bookmarkEnd w:id="0"/>
      <w:r>
        <w:rPr>
          <w:rFonts w:ascii="仿宋_GB2312" w:hAnsi="仿宋_GB2312" w:eastAsia="仿宋_GB2312" w:cs="仿宋_GB2312"/>
          <w:b w:val="0"/>
          <w:color w:val="000000"/>
          <w:kern w:val="0"/>
          <w:sz w:val="28"/>
          <w:szCs w:val="28"/>
        </w:rPr>
        <w:fldChar w:fldCharType="begin"/>
      </w:r>
      <w:r>
        <w:rPr>
          <w:rFonts w:ascii="仿宋_GB2312" w:hAnsi="仿宋_GB2312" w:eastAsia="仿宋_GB2312" w:cs="仿宋_GB2312"/>
          <w:b w:val="0"/>
          <w:color w:val="000000"/>
          <w:kern w:val="0"/>
          <w:sz w:val="28"/>
          <w:szCs w:val="28"/>
        </w:rPr>
        <w:instrText xml:space="preserve"> HYPERLINK \l "_Toc437251183"</w:instrText>
      </w:r>
      <w:r>
        <w:rPr>
          <w:rFonts w:ascii="仿宋_GB2312" w:hAnsi="仿宋_GB2312" w:eastAsia="仿宋_GB2312" w:cs="仿宋_GB2312"/>
          <w:b w:val="0"/>
          <w:color w:val="000000"/>
          <w:kern w:val="0"/>
          <w:sz w:val="28"/>
          <w:szCs w:val="28"/>
        </w:rPr>
        <w:fldChar w:fldCharType="separate"/>
      </w:r>
      <w:r>
        <w:rPr>
          <w:rFonts w:ascii="仿宋_GB2312" w:hAnsi="仿宋_GB2312" w:eastAsia="仿宋_GB2312" w:cs="仿宋_GB2312"/>
          <w:b w:val="0"/>
          <w:color w:val="000000"/>
          <w:kern w:val="0"/>
          <w:sz w:val="28"/>
          <w:szCs w:val="28"/>
        </w:rPr>
        <w:t>第一部分  招标公告</w:t>
      </w:r>
      <w:r>
        <w:rPr>
          <w:rFonts w:ascii="仿宋_GB2312" w:hAnsi="仿宋_GB2312" w:eastAsia="仿宋_GB2312" w:cs="仿宋_GB2312"/>
          <w:b w:val="0"/>
          <w:color w:val="000000"/>
          <w:kern w:val="0"/>
          <w:sz w:val="28"/>
          <w:szCs w:val="28"/>
        </w:rPr>
        <w:tab/>
      </w:r>
      <w:r>
        <w:rPr>
          <w:rFonts w:ascii="仿宋_GB2312" w:hAnsi="仿宋_GB2312" w:eastAsia="仿宋_GB2312" w:cs="仿宋_GB2312"/>
          <w:b w:val="0"/>
          <w:color w:val="000000"/>
          <w:kern w:val="0"/>
          <w:sz w:val="28"/>
          <w:szCs w:val="28"/>
        </w:rPr>
        <w:t>3</w:t>
      </w:r>
      <w:r>
        <w:rPr>
          <w:rFonts w:ascii="仿宋_GB2312" w:hAnsi="仿宋_GB2312" w:eastAsia="仿宋_GB2312" w:cs="仿宋_GB2312"/>
          <w:b w:val="0"/>
          <w:color w:val="000000"/>
          <w:kern w:val="0"/>
          <w:sz w:val="28"/>
          <w:szCs w:val="28"/>
        </w:rPr>
        <w:fldChar w:fldCharType="end"/>
      </w:r>
    </w:p>
    <w:p>
      <w:pPr>
        <w:pStyle w:val="49"/>
        <w:spacing w:line="520" w:lineRule="exact"/>
        <w:rPr>
          <w:rFonts w:ascii="仿宋_GB2312" w:hAnsi="仿宋_GB2312" w:eastAsia="仿宋_GB2312" w:cs="仿宋_GB2312"/>
          <w:b w:val="0"/>
          <w:color w:val="000000"/>
          <w:kern w:val="0"/>
          <w:sz w:val="28"/>
          <w:szCs w:val="28"/>
        </w:rPr>
      </w:pPr>
      <w:r>
        <w:rPr>
          <w:rFonts w:ascii="仿宋_GB2312" w:hAnsi="仿宋_GB2312" w:eastAsia="仿宋_GB2312" w:cs="仿宋_GB2312"/>
          <w:b w:val="0"/>
          <w:color w:val="000000"/>
          <w:kern w:val="0"/>
          <w:sz w:val="28"/>
          <w:szCs w:val="28"/>
        </w:rPr>
        <w:fldChar w:fldCharType="begin"/>
      </w:r>
      <w:r>
        <w:rPr>
          <w:rFonts w:ascii="仿宋_GB2312" w:hAnsi="仿宋_GB2312" w:eastAsia="仿宋_GB2312" w:cs="仿宋_GB2312"/>
          <w:b w:val="0"/>
          <w:color w:val="000000"/>
          <w:kern w:val="0"/>
          <w:sz w:val="28"/>
          <w:szCs w:val="28"/>
        </w:rPr>
        <w:instrText xml:space="preserve"> TOC \o "1-1" \h \z \u </w:instrText>
      </w:r>
      <w:r>
        <w:rPr>
          <w:rFonts w:ascii="仿宋_GB2312" w:hAnsi="仿宋_GB2312" w:eastAsia="仿宋_GB2312" w:cs="仿宋_GB2312"/>
          <w:b w:val="0"/>
          <w:color w:val="000000"/>
          <w:kern w:val="0"/>
          <w:sz w:val="28"/>
          <w:szCs w:val="28"/>
        </w:rPr>
        <w:fldChar w:fldCharType="separate"/>
      </w:r>
      <w:r>
        <w:fldChar w:fldCharType="begin"/>
      </w:r>
      <w:r>
        <w:instrText xml:space="preserve"> HYPERLINK \l "_Toc437251183" </w:instrText>
      </w:r>
      <w:r>
        <w:fldChar w:fldCharType="separate"/>
      </w:r>
      <w:r>
        <w:rPr>
          <w:rFonts w:ascii="仿宋_GB2312" w:hAnsi="仿宋_GB2312" w:eastAsia="仿宋_GB2312" w:cs="仿宋_GB2312"/>
          <w:b w:val="0"/>
          <w:color w:val="000000"/>
          <w:kern w:val="0"/>
          <w:sz w:val="28"/>
          <w:szCs w:val="28"/>
        </w:rPr>
        <w:t>第二部分  招标需求</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7</w:t>
      </w:r>
      <w:r>
        <w:rPr>
          <w:rFonts w:hint="eastAsia" w:ascii="仿宋_GB2312" w:hAnsi="仿宋_GB2312" w:eastAsia="仿宋_GB2312" w:cs="仿宋_GB2312"/>
          <w:b w:val="0"/>
          <w:color w:val="000000"/>
          <w:kern w:val="0"/>
          <w:sz w:val="28"/>
          <w:szCs w:val="28"/>
        </w:rPr>
        <w:fldChar w:fldCharType="end"/>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"_Toc437251185" </w:instrText>
      </w:r>
      <w:r>
        <w:fldChar w:fldCharType="separate"/>
      </w:r>
      <w:r>
        <w:rPr>
          <w:rFonts w:ascii="仿宋_GB2312" w:hAnsi="仿宋_GB2312" w:eastAsia="仿宋_GB2312" w:cs="仿宋_GB2312"/>
          <w:b w:val="0"/>
          <w:color w:val="000000"/>
          <w:kern w:val="0"/>
          <w:sz w:val="28"/>
          <w:szCs w:val="28"/>
        </w:rPr>
        <w:t>第三部分  投标人须知</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1</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2</w:t>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"_Toc437251186" </w:instrText>
      </w:r>
      <w:r>
        <w:fldChar w:fldCharType="separate"/>
      </w:r>
      <w:r>
        <w:rPr>
          <w:rFonts w:ascii="仿宋_GB2312" w:hAnsi="仿宋_GB2312" w:eastAsia="仿宋_GB2312" w:cs="仿宋_GB2312"/>
          <w:b w:val="0"/>
          <w:color w:val="000000"/>
          <w:kern w:val="0"/>
          <w:sz w:val="28"/>
          <w:szCs w:val="28"/>
        </w:rPr>
        <w:t>第四部分  开标、评标和定标</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2</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5</w:t>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"_Toc437251186" </w:instrText>
      </w:r>
      <w:r>
        <w:fldChar w:fldCharType="separate"/>
      </w:r>
      <w:r>
        <w:rPr>
          <w:rFonts w:ascii="仿宋_GB2312" w:hAnsi="仿宋_GB2312" w:eastAsia="仿宋_GB2312" w:cs="仿宋_GB2312"/>
          <w:b w:val="0"/>
          <w:color w:val="000000"/>
          <w:kern w:val="0"/>
          <w:sz w:val="28"/>
          <w:szCs w:val="28"/>
        </w:rPr>
        <w:t>第五部分  评标办法及评分标准</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3</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1</w:t>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"_Toc437251187" </w:instrText>
      </w:r>
      <w:r>
        <w:fldChar w:fldCharType="separate"/>
      </w:r>
      <w:r>
        <w:rPr>
          <w:rFonts w:ascii="仿宋_GB2312" w:hAnsi="仿宋_GB2312" w:eastAsia="仿宋_GB2312" w:cs="仿宋_GB2312"/>
          <w:b w:val="0"/>
          <w:color w:val="000000"/>
          <w:kern w:val="0"/>
          <w:sz w:val="28"/>
          <w:szCs w:val="28"/>
        </w:rPr>
        <w:t xml:space="preserve">第六部分  </w:t>
      </w:r>
      <w:r>
        <w:rPr>
          <w:rFonts w:hint="eastAsia" w:ascii="仿宋_GB2312" w:hAnsi="仿宋_GB2312" w:eastAsia="仿宋_GB2312" w:cs="仿宋_GB2312"/>
          <w:b w:val="0"/>
          <w:color w:val="000000"/>
          <w:kern w:val="0"/>
          <w:sz w:val="28"/>
          <w:szCs w:val="28"/>
        </w:rPr>
        <w:t>拟</w:t>
      </w:r>
      <w:r>
        <w:rPr>
          <w:rFonts w:ascii="仿宋_GB2312" w:hAnsi="仿宋_GB2312" w:eastAsia="仿宋_GB2312" w:cs="仿宋_GB2312"/>
          <w:b w:val="0"/>
          <w:color w:val="000000"/>
          <w:kern w:val="0"/>
          <w:sz w:val="28"/>
          <w:szCs w:val="28"/>
        </w:rPr>
        <w:t>签订合同样本</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3</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4</w:t>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"_Toc437251188" </w:instrText>
      </w:r>
      <w:r>
        <w:fldChar w:fldCharType="separate"/>
      </w:r>
      <w:r>
        <w:rPr>
          <w:rFonts w:ascii="仿宋_GB2312" w:hAnsi="仿宋_GB2312" w:eastAsia="仿宋_GB2312" w:cs="仿宋_GB2312"/>
          <w:b w:val="0"/>
          <w:color w:val="000000"/>
          <w:kern w:val="0"/>
          <w:sz w:val="28"/>
          <w:szCs w:val="28"/>
        </w:rPr>
        <w:t>第七部分  投标文件格式</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4</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6</w:t>
      </w:r>
    </w:p>
    <w:p>
      <w:pPr>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fldChar w:fldCharType="end"/>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9"/>
        <w:ind w:firstLine="0" w:firstLineChars="0"/>
      </w:pPr>
    </w:p>
    <w:p>
      <w:pPr>
        <w:pStyle w:val="29"/>
        <w:ind w:firstLine="0" w:firstLineChars="0"/>
      </w:pPr>
    </w:p>
    <w:p>
      <w:pPr>
        <w:pStyle w:val="29"/>
        <w:ind w:firstLine="0" w:firstLineChars="0"/>
      </w:pPr>
    </w:p>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第一部分   招标公告</w:t>
      </w:r>
    </w:p>
    <w:p>
      <w:pPr>
        <w:spacing w:line="360" w:lineRule="auto"/>
        <w:jc w:val="center"/>
        <w:rPr>
          <w:rFonts w:ascii="Arial" w:hAnsi="Arial" w:eastAsia="仿宋" w:cs="Arial"/>
          <w:b/>
          <w:sz w:val="36"/>
          <w:szCs w:val="36"/>
        </w:rPr>
      </w:pP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根据《中华人民共和国政府采购法》等有关法律规定，慈溪市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中心受</w:t>
      </w:r>
      <w:r>
        <w:rPr>
          <w:rFonts w:hint="eastAsia" w:ascii="仿宋_GB2312" w:hAnsi="仿宋_GB2312" w:eastAsia="仿宋_GB2312" w:cs="仿宋_GB2312"/>
          <w:color w:val="000000"/>
          <w:kern w:val="0"/>
          <w:sz w:val="28"/>
          <w:szCs w:val="28"/>
          <w:lang w:eastAsia="zh-CN"/>
        </w:rPr>
        <w:t>慈溪市坎墩街道坎东小学</w:t>
      </w:r>
      <w:r>
        <w:rPr>
          <w:rFonts w:ascii="仿宋_GB2312" w:hAnsi="仿宋_GB2312" w:eastAsia="仿宋_GB2312" w:cs="仿宋_GB2312"/>
          <w:color w:val="000000"/>
          <w:kern w:val="0"/>
          <w:sz w:val="28"/>
          <w:szCs w:val="28"/>
          <w:highlight w:val="none"/>
        </w:rPr>
        <w:t>委</w:t>
      </w:r>
      <w:r>
        <w:rPr>
          <w:rFonts w:ascii="仿宋_GB2312" w:hAnsi="仿宋_GB2312" w:eastAsia="仿宋_GB2312" w:cs="仿宋_GB2312"/>
          <w:color w:val="000000"/>
          <w:kern w:val="0"/>
          <w:sz w:val="28"/>
          <w:szCs w:val="28"/>
        </w:rPr>
        <w:t>托，经政府采购管理部门批准，就</w:t>
      </w:r>
      <w:r>
        <w:rPr>
          <w:rFonts w:hint="eastAsia" w:ascii="仿宋_GB2312" w:hAnsi="仿宋_GB2312" w:eastAsia="仿宋_GB2312" w:cs="仿宋_GB2312"/>
          <w:color w:val="000000"/>
          <w:kern w:val="0"/>
          <w:sz w:val="28"/>
          <w:szCs w:val="28"/>
        </w:rPr>
        <w:t>下列</w:t>
      </w:r>
      <w:r>
        <w:rPr>
          <w:rFonts w:ascii="仿宋_GB2312" w:hAnsi="仿宋_GB2312" w:eastAsia="仿宋_GB2312" w:cs="仿宋_GB2312"/>
          <w:color w:val="000000"/>
          <w:kern w:val="0"/>
          <w:sz w:val="28"/>
          <w:szCs w:val="28"/>
        </w:rPr>
        <w:t>项目进行公开招标，</w:t>
      </w:r>
      <w:r>
        <w:rPr>
          <w:rFonts w:hint="eastAsia" w:ascii="仿宋_GB2312" w:hAnsi="仿宋_GB2312" w:eastAsia="仿宋_GB2312" w:cs="仿宋_GB2312"/>
          <w:color w:val="000000"/>
          <w:kern w:val="0"/>
          <w:sz w:val="28"/>
          <w:szCs w:val="28"/>
        </w:rPr>
        <w:t>现将</w:t>
      </w:r>
      <w:r>
        <w:rPr>
          <w:rFonts w:ascii="仿宋_GB2312" w:hAnsi="仿宋_GB2312" w:eastAsia="仿宋_GB2312" w:cs="仿宋_GB2312"/>
          <w:color w:val="000000"/>
          <w:kern w:val="0"/>
          <w:sz w:val="28"/>
          <w:szCs w:val="28"/>
        </w:rPr>
        <w:t>有关事项公告如下</w:t>
      </w:r>
      <w:r>
        <w:rPr>
          <w:rFonts w:hint="eastAsia" w:ascii="仿宋_GB2312" w:hAnsi="仿宋_GB2312" w:eastAsia="仿宋_GB2312" w:cs="仿宋_GB2312"/>
          <w:color w:val="000000"/>
          <w:kern w:val="0"/>
          <w:sz w:val="28"/>
          <w:szCs w:val="28"/>
        </w:rPr>
        <w:t>：</w:t>
      </w:r>
    </w:p>
    <w:p>
      <w:pPr>
        <w:numPr>
          <w:ilvl w:val="0"/>
          <w:numId w:val="2"/>
        </w:numPr>
        <w:spacing w:line="360" w:lineRule="auto"/>
        <w:ind w:firstLine="562" w:firstLineChars="20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b/>
          <w:bCs/>
          <w:color w:val="000000"/>
          <w:kern w:val="0"/>
          <w:sz w:val="28"/>
          <w:szCs w:val="28"/>
          <w:highlight w:val="none"/>
        </w:rPr>
        <w:t>招标编号：</w:t>
      </w:r>
      <w:r>
        <w:rPr>
          <w:rFonts w:hint="eastAsia" w:ascii="仿宋_GB2312" w:hAnsi="仿宋_GB2312" w:eastAsia="仿宋_GB2312" w:cs="仿宋_GB2312"/>
          <w:b/>
          <w:bCs/>
          <w:color w:val="auto"/>
          <w:kern w:val="0"/>
          <w:sz w:val="28"/>
          <w:szCs w:val="28"/>
          <w:highlight w:val="none"/>
          <w:lang w:eastAsia="zh-CN"/>
        </w:rPr>
        <w:t>NBCXZFCG2024013</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二、采购组织类型</w:t>
      </w:r>
      <w:r>
        <w:rPr>
          <w:rFonts w:hint="eastAsia" w:ascii="仿宋_GB2312" w:hAnsi="仿宋_GB2312" w:eastAsia="仿宋_GB2312" w:cs="仿宋_GB2312"/>
          <w:b/>
          <w:color w:val="000000"/>
          <w:kern w:val="0"/>
          <w:sz w:val="28"/>
          <w:szCs w:val="28"/>
        </w:rPr>
        <w:t>：</w:t>
      </w:r>
      <w:r>
        <w:rPr>
          <w:rFonts w:ascii="仿宋_GB2312" w:hAnsi="仿宋_GB2312" w:eastAsia="仿宋_GB2312" w:cs="仿宋_GB2312"/>
          <w:color w:val="000000"/>
          <w:kern w:val="0"/>
          <w:sz w:val="28"/>
          <w:szCs w:val="28"/>
        </w:rPr>
        <w:t>政府集中采购</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三、招标项目名称及数量：</w:t>
      </w:r>
      <w:r>
        <w:rPr>
          <w:rFonts w:ascii="仿宋_GB2312" w:hAnsi="仿宋_GB2312" w:eastAsia="仿宋_GB2312" w:cs="仿宋_GB2312"/>
          <w:color w:val="000000"/>
          <w:kern w:val="0"/>
          <w:sz w:val="28"/>
          <w:szCs w:val="28"/>
        </w:rPr>
        <w:t>见招标文件</w:t>
      </w:r>
    </w:p>
    <w:tbl>
      <w:tblPr>
        <w:tblStyle w:val="67"/>
        <w:tblW w:w="451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1050"/>
        <w:gridCol w:w="1979"/>
        <w:gridCol w:w="1214"/>
        <w:gridCol w:w="990"/>
        <w:gridCol w:w="915"/>
        <w:gridCol w:w="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0" w:hRule="atLeast"/>
          <w:jc w:val="center"/>
        </w:trPr>
        <w:tc>
          <w:tcPr>
            <w:tcW w:w="405"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标项</w:t>
            </w:r>
          </w:p>
        </w:tc>
        <w:tc>
          <w:tcPr>
            <w:tcW w:w="682"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标项名称</w:t>
            </w:r>
          </w:p>
        </w:tc>
        <w:tc>
          <w:tcPr>
            <w:tcW w:w="1286"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服务内容及期限</w:t>
            </w:r>
          </w:p>
        </w:tc>
        <w:tc>
          <w:tcPr>
            <w:tcW w:w="789"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预算金额(万元)</w:t>
            </w:r>
          </w:p>
        </w:tc>
        <w:tc>
          <w:tcPr>
            <w:tcW w:w="643"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简要规格描述或标项基本概况介绍</w:t>
            </w:r>
          </w:p>
        </w:tc>
        <w:tc>
          <w:tcPr>
            <w:tcW w:w="594"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采购单位</w:t>
            </w:r>
          </w:p>
        </w:tc>
        <w:tc>
          <w:tcPr>
            <w:tcW w:w="596"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5"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p>
        </w:tc>
        <w:tc>
          <w:tcPr>
            <w:tcW w:w="682"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物业管理服务</w:t>
            </w:r>
          </w:p>
        </w:tc>
        <w:tc>
          <w:tcPr>
            <w:tcW w:w="1286"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auto"/>
                <w:kern w:val="0"/>
                <w:sz w:val="24"/>
                <w:lang w:val="en-US" w:eastAsia="zh-CN"/>
              </w:rPr>
              <w:t>本次招标服务期限为一年，一年期满后经采购人年度考核合格，双方协商一致，报相关主管部门备案，可续签下一年度合同，最多可续签二年。</w:t>
            </w:r>
          </w:p>
        </w:tc>
        <w:tc>
          <w:tcPr>
            <w:tcW w:w="789" w:type="pct"/>
          </w:tcPr>
          <w:p>
            <w:pPr>
              <w:spacing w:line="360" w:lineRule="auto"/>
              <w:rPr>
                <w:rFonts w:hint="default" w:ascii="仿宋_GB2312" w:hAnsi="仿宋_GB2312" w:eastAsia="仿宋_GB2312" w:cs="仿宋_GB2312"/>
                <w:color w:val="0070C0"/>
                <w:kern w:val="0"/>
                <w:sz w:val="24"/>
                <w:lang w:val="en-US" w:eastAsia="zh-CN"/>
              </w:rPr>
            </w:pPr>
            <w:r>
              <w:rPr>
                <w:rFonts w:hint="eastAsia" w:ascii="仿宋_GB2312" w:hAnsi="仿宋_GB2312" w:eastAsia="仿宋_GB2312" w:cs="仿宋_GB2312"/>
                <w:color w:val="auto"/>
                <w:kern w:val="0"/>
                <w:sz w:val="24"/>
                <w:lang w:val="en-US" w:eastAsia="zh-CN"/>
              </w:rPr>
              <w:t>68.34</w:t>
            </w:r>
          </w:p>
        </w:tc>
        <w:tc>
          <w:tcPr>
            <w:tcW w:w="643"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见招标文件</w:t>
            </w:r>
          </w:p>
        </w:tc>
        <w:tc>
          <w:tcPr>
            <w:tcW w:w="594" w:type="pct"/>
          </w:tcPr>
          <w:p>
            <w:pPr>
              <w:spacing w:line="360" w:lineRule="auto"/>
              <w:rPr>
                <w:rFonts w:hint="default"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慈溪市坎墩街道坎东小学</w:t>
            </w:r>
          </w:p>
        </w:tc>
        <w:tc>
          <w:tcPr>
            <w:tcW w:w="596" w:type="pct"/>
          </w:tcPr>
          <w:p>
            <w:pPr>
              <w:spacing w:line="360" w:lineRule="auto"/>
              <w:rPr>
                <w:rFonts w:ascii="仿宋_GB2312" w:hAnsi="仿宋_GB2312" w:eastAsia="仿宋_GB2312" w:cs="仿宋_GB2312"/>
                <w:color w:val="000000"/>
                <w:kern w:val="0"/>
                <w:sz w:val="24"/>
              </w:rPr>
            </w:pPr>
          </w:p>
        </w:tc>
      </w:tr>
    </w:tbl>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四、</w:t>
      </w:r>
      <w:r>
        <w:rPr>
          <w:rFonts w:ascii="仿宋_GB2312" w:hAnsi="仿宋_GB2312" w:eastAsia="仿宋_GB2312" w:cs="仿宋_GB2312"/>
          <w:b/>
          <w:bCs/>
          <w:color w:val="000000"/>
          <w:kern w:val="0"/>
          <w:sz w:val="28"/>
          <w:szCs w:val="28"/>
        </w:rPr>
        <w:t>合格投标人的资格要求：</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pPr>
        <w:spacing w:line="360" w:lineRule="auto"/>
        <w:ind w:firstLine="560" w:firstLineChars="200"/>
        <w:jc w:val="left"/>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2.本项目资金为中小企业预留，投标人或联合体各方均须为中小企业（符合中小企业划分标准的个体工商户视同中小企业，监狱企业、残疾人福利性单位视同小型、微型企业）。</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3.本项目不接受联合体投标。</w:t>
      </w:r>
    </w:p>
    <w:p>
      <w:pPr>
        <w:spacing w:line="360" w:lineRule="auto"/>
        <w:ind w:firstLine="562" w:firstLineChars="200"/>
        <w:jc w:val="left"/>
        <w:rPr>
          <w:rFonts w:ascii="仿宋_GB2312" w:hAnsi="仿宋_GB2312" w:eastAsia="仿宋_GB2312" w:cs="仿宋_GB2312"/>
          <w:b/>
          <w:bCs/>
          <w:color w:val="000000"/>
          <w:kern w:val="0"/>
          <w:sz w:val="28"/>
          <w:szCs w:val="28"/>
          <w:highlight w:val="none"/>
        </w:rPr>
      </w:pPr>
      <w:r>
        <w:rPr>
          <w:rFonts w:hint="eastAsia" w:ascii="仿宋_GB2312" w:hAnsi="仿宋_GB2312" w:eastAsia="仿宋_GB2312" w:cs="仿宋_GB2312"/>
          <w:b/>
          <w:bCs/>
          <w:color w:val="000000"/>
          <w:kern w:val="0"/>
          <w:sz w:val="28"/>
          <w:szCs w:val="28"/>
        </w:rPr>
        <w:t>五、</w:t>
      </w:r>
      <w:r>
        <w:rPr>
          <w:rFonts w:hint="eastAsia" w:ascii="仿宋_GB2312" w:hAnsi="仿宋_GB2312" w:eastAsia="仿宋_GB2312" w:cs="仿宋_GB2312"/>
          <w:b/>
          <w:color w:val="000000"/>
          <w:kern w:val="0"/>
          <w:sz w:val="28"/>
          <w:szCs w:val="28"/>
        </w:rPr>
        <w:t>招标文件获取方式、时间</w:t>
      </w:r>
      <w:r>
        <w:rPr>
          <w:rFonts w:hint="eastAsia" w:ascii="仿宋_GB2312" w:hAnsi="仿宋_GB2312" w:eastAsia="仿宋_GB2312" w:cs="仿宋_GB2312"/>
          <w:b/>
          <w:color w:val="000000"/>
          <w:kern w:val="0"/>
          <w:sz w:val="28"/>
          <w:szCs w:val="28"/>
          <w:highlight w:val="none"/>
        </w:rPr>
        <w:t>及地点等</w:t>
      </w:r>
      <w:r>
        <w:rPr>
          <w:rFonts w:hint="eastAsia" w:ascii="仿宋_GB2312" w:hAnsi="仿宋_GB2312" w:eastAsia="仿宋_GB2312" w:cs="仿宋_GB2312"/>
          <w:b/>
          <w:bCs/>
          <w:color w:val="000000"/>
          <w:kern w:val="0"/>
          <w:sz w:val="28"/>
          <w:szCs w:val="28"/>
          <w:highlight w:val="none"/>
        </w:rPr>
        <w:t>：</w:t>
      </w:r>
    </w:p>
    <w:p>
      <w:pPr>
        <w:spacing w:line="360" w:lineRule="auto"/>
        <w:ind w:firstLine="560" w:firstLineChars="20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000000"/>
          <w:kern w:val="0"/>
          <w:sz w:val="28"/>
          <w:szCs w:val="28"/>
          <w:highlight w:val="none"/>
        </w:rPr>
        <w:t>1.</w:t>
      </w:r>
      <w:r>
        <w:rPr>
          <w:rFonts w:ascii="仿宋_GB2312" w:hAnsi="仿宋_GB2312" w:eastAsia="仿宋_GB2312" w:cs="仿宋_GB2312"/>
          <w:color w:val="000000"/>
          <w:kern w:val="0"/>
          <w:sz w:val="28"/>
          <w:szCs w:val="28"/>
          <w:highlight w:val="none"/>
        </w:rPr>
        <w:t>招标文件发售/获取截止日期</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5</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9</w:t>
      </w:r>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时止</w:t>
      </w:r>
      <w:r>
        <w:rPr>
          <w:rFonts w:hint="eastAsia" w:ascii="仿宋_GB2312" w:hAnsi="仿宋_GB2312" w:eastAsia="仿宋_GB2312" w:cs="仿宋_GB2312"/>
          <w:color w:val="auto"/>
          <w:kern w:val="0"/>
          <w:sz w:val="28"/>
          <w:szCs w:val="28"/>
          <w:highlight w:val="none"/>
        </w:rPr>
        <w:t>。</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highlight w:val="none"/>
        </w:rPr>
        <w:t>2.</w:t>
      </w:r>
      <w:r>
        <w:rPr>
          <w:rFonts w:ascii="仿宋_GB2312" w:hAnsi="仿宋_GB2312" w:eastAsia="仿宋_GB2312" w:cs="仿宋_GB2312"/>
          <w:color w:val="000000"/>
          <w:kern w:val="0"/>
          <w:sz w:val="28"/>
          <w:szCs w:val="28"/>
          <w:highlight w:val="none"/>
        </w:rPr>
        <w:t>招标文件发售/获取截止时间之后获取招标文件的潜在供</w:t>
      </w:r>
      <w:r>
        <w:rPr>
          <w:rFonts w:ascii="仿宋_GB2312" w:hAnsi="仿宋_GB2312" w:eastAsia="仿宋_GB2312" w:cs="仿宋_GB2312"/>
          <w:color w:val="000000"/>
          <w:kern w:val="0"/>
          <w:sz w:val="28"/>
          <w:szCs w:val="28"/>
        </w:rPr>
        <w:t>应商，视为未依法获取采购文件，投标时将被拒绝。</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招标文件发售/获取地址：政府采购云平台</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招标文件发售／获取方式：政府采购云平台→“政采云用户”登录→【项目采购】→【获取采购文件】</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招标文件售价：免费</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招标人可以对已发出的招标文件进行必要的澄清或者修改，将以“澄清公告”的形式发布在“</w:t>
      </w:r>
      <w:r>
        <w:rPr>
          <w:rFonts w:hint="eastAsia" w:ascii="仿宋_GB2312" w:hAnsi="仿宋_GB2312" w:eastAsia="仿宋_GB2312" w:cs="仿宋_GB2312"/>
          <w:color w:val="000000"/>
          <w:kern w:val="0"/>
          <w:sz w:val="28"/>
          <w:szCs w:val="28"/>
          <w:lang w:eastAsia="zh-CN"/>
        </w:rPr>
        <w:t>浙江政府采购网</w:t>
      </w:r>
      <w:r>
        <w:rPr>
          <w:rFonts w:ascii="仿宋_GB2312" w:hAnsi="仿宋_GB2312" w:eastAsia="仿宋_GB2312" w:cs="仿宋_GB2312"/>
          <w:color w:val="000000"/>
          <w:kern w:val="0"/>
          <w:sz w:val="28"/>
          <w:szCs w:val="28"/>
        </w:rPr>
        <w:t>”政采云平台上，供应商应及时登录政采云平台查看和下载，未及时查看和下载的责任自负。</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六</w:t>
      </w:r>
      <w:r>
        <w:rPr>
          <w:rFonts w:hint="eastAsia" w:ascii="仿宋_GB2312" w:hAnsi="仿宋_GB2312" w:eastAsia="仿宋_GB2312" w:cs="仿宋_GB2312"/>
          <w:b/>
          <w:bCs/>
          <w:color w:val="000000"/>
          <w:kern w:val="0"/>
          <w:sz w:val="28"/>
          <w:szCs w:val="28"/>
        </w:rPr>
        <w:t>、投标说明：</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本项目实行电子投标，应按照本项目招标文件和政采云平台的要求编制、加密并递交投标文件（</w:t>
      </w:r>
      <w:r>
        <w:rPr>
          <w:rFonts w:hint="eastAsia" w:ascii="仿宋_GB2312" w:hAnsi="仿宋_GB2312" w:eastAsia="仿宋_GB2312" w:cs="仿宋_GB2312"/>
          <w:color w:val="000000"/>
          <w:kern w:val="0"/>
          <w:sz w:val="28"/>
          <w:szCs w:val="28"/>
        </w:rPr>
        <w:t>供应商在使用系统进行投标的过程中遇到涉及平台使用的任何问题，可致电政采云平台技术支持热线95763</w:t>
      </w:r>
      <w:r>
        <w:rPr>
          <w:rFonts w:ascii="仿宋_GB2312" w:hAnsi="仿宋_GB2312" w:eastAsia="仿宋_GB2312" w:cs="仿宋_GB2312"/>
          <w:color w:val="000000"/>
          <w:kern w:val="0"/>
          <w:sz w:val="28"/>
          <w:szCs w:val="28"/>
        </w:rPr>
        <w:t>或政采云服务专员电话</w:t>
      </w:r>
      <w:r>
        <w:rPr>
          <w:rFonts w:hint="eastAsia" w:ascii="仿宋_GB2312" w:hAnsi="仿宋_GB2312" w:eastAsia="仿宋_GB2312" w:cs="仿宋_GB2312"/>
          <w:color w:val="000000"/>
          <w:kern w:val="0"/>
          <w:sz w:val="28"/>
          <w:szCs w:val="28"/>
        </w:rPr>
        <w:t>0574-63917219</w:t>
      </w:r>
      <w:r>
        <w:rPr>
          <w:rFonts w:ascii="仿宋_GB2312" w:hAnsi="仿宋_GB2312" w:eastAsia="仿宋_GB2312" w:cs="仿宋_GB2312"/>
          <w:color w:val="000000"/>
          <w:kern w:val="0"/>
          <w:sz w:val="28"/>
          <w:szCs w:val="28"/>
        </w:rPr>
        <w:t>）。</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投标人应在开标前完成CA数字证书办理（如遇问题可</w:t>
      </w:r>
      <w:r>
        <w:rPr>
          <w:rFonts w:hint="eastAsia" w:ascii="仿宋_GB2312" w:hAnsi="仿宋_GB2312" w:eastAsia="仿宋_GB2312" w:cs="仿宋_GB2312"/>
          <w:color w:val="000000"/>
          <w:kern w:val="0"/>
          <w:sz w:val="28"/>
          <w:szCs w:val="28"/>
        </w:rPr>
        <w:t>致电政采云平台技术支持热线95763</w:t>
      </w:r>
      <w:r>
        <w:rPr>
          <w:rFonts w:ascii="仿宋_GB2312" w:hAnsi="仿宋_GB2312" w:eastAsia="仿宋_GB2312" w:cs="仿宋_GB2312"/>
          <w:color w:val="000000"/>
          <w:kern w:val="0"/>
          <w:sz w:val="28"/>
          <w:szCs w:val="28"/>
        </w:rPr>
        <w:t>），用于电子投标文件的制作。</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 xml:space="preserve"> 投标人通过政采云平台电子投标工具制作投标文件，电子投标工具请供应商自行前往</w:t>
      </w:r>
      <w:r>
        <w:rPr>
          <w:rFonts w:hint="eastAsia" w:ascii="仿宋_GB2312" w:hAnsi="仿宋_GB2312" w:eastAsia="仿宋_GB2312" w:cs="仿宋_GB2312"/>
          <w:color w:val="000000"/>
          <w:kern w:val="0"/>
          <w:sz w:val="28"/>
          <w:szCs w:val="28"/>
          <w:lang w:eastAsia="zh-CN"/>
        </w:rPr>
        <w:t>浙江政府采购网</w:t>
      </w:r>
      <w:r>
        <w:rPr>
          <w:rFonts w:hint="eastAsia" w:ascii="仿宋_GB2312" w:hAnsi="仿宋_GB2312" w:eastAsia="仿宋_GB2312" w:cs="仿宋_GB2312"/>
          <w:color w:val="000000"/>
          <w:kern w:val="0"/>
          <w:sz w:val="28"/>
          <w:szCs w:val="28"/>
        </w:rPr>
        <w:t>下载并安装</w:t>
      </w:r>
      <w:r>
        <w:rPr>
          <w:rFonts w:ascii="仿宋_GB2312" w:hAnsi="仿宋_GB2312" w:eastAsia="仿宋_GB2312" w:cs="仿宋_GB2312"/>
          <w:color w:val="000000"/>
          <w:kern w:val="0"/>
          <w:sz w:val="28"/>
          <w:szCs w:val="28"/>
        </w:rPr>
        <w:t>（如遇问题可</w:t>
      </w:r>
      <w:r>
        <w:rPr>
          <w:rFonts w:hint="eastAsia" w:ascii="仿宋_GB2312" w:hAnsi="仿宋_GB2312" w:eastAsia="仿宋_GB2312" w:cs="仿宋_GB2312"/>
          <w:color w:val="000000"/>
          <w:kern w:val="0"/>
          <w:sz w:val="28"/>
          <w:szCs w:val="28"/>
        </w:rPr>
        <w:t>致电政采云平台技术支持热线95763</w:t>
      </w:r>
      <w:r>
        <w:rPr>
          <w:rFonts w:ascii="仿宋_GB2312" w:hAnsi="仿宋_GB2312" w:eastAsia="仿宋_GB2312" w:cs="仿宋_GB2312"/>
          <w:color w:val="000000"/>
          <w:kern w:val="0"/>
          <w:sz w:val="28"/>
          <w:szCs w:val="28"/>
        </w:rPr>
        <w:t>）。</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七、</w:t>
      </w:r>
      <w:r>
        <w:rPr>
          <w:rFonts w:ascii="仿宋_GB2312" w:hAnsi="仿宋_GB2312" w:eastAsia="仿宋_GB2312" w:cs="仿宋_GB2312"/>
          <w:b/>
          <w:bCs/>
          <w:color w:val="000000"/>
          <w:kern w:val="0"/>
          <w:sz w:val="28"/>
          <w:szCs w:val="28"/>
        </w:rPr>
        <w:t>投标截止时间、地点及要求</w:t>
      </w:r>
      <w:r>
        <w:rPr>
          <w:rFonts w:hint="eastAsia" w:ascii="仿宋_GB2312" w:hAnsi="仿宋_GB2312" w:eastAsia="仿宋_GB2312" w:cs="仿宋_GB2312"/>
          <w:b/>
          <w:bCs/>
          <w:color w:val="000000"/>
          <w:kern w:val="0"/>
          <w:sz w:val="28"/>
          <w:szCs w:val="28"/>
        </w:rPr>
        <w:t>：</w:t>
      </w:r>
    </w:p>
    <w:p>
      <w:pPr>
        <w:spacing w:line="360" w:lineRule="auto"/>
        <w:ind w:firstLine="560" w:firstLineChars="20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bCs/>
          <w:color w:val="000000"/>
          <w:kern w:val="0"/>
          <w:sz w:val="28"/>
          <w:szCs w:val="28"/>
        </w:rPr>
        <w:t>1.投标截</w:t>
      </w:r>
      <w:r>
        <w:rPr>
          <w:rFonts w:ascii="仿宋_GB2312" w:hAnsi="仿宋_GB2312" w:eastAsia="仿宋_GB2312" w:cs="仿宋_GB2312"/>
          <w:bCs/>
          <w:kern w:val="0"/>
          <w:sz w:val="28"/>
          <w:szCs w:val="28"/>
        </w:rPr>
        <w:t>止时</w:t>
      </w:r>
      <w:r>
        <w:rPr>
          <w:rFonts w:ascii="仿宋_GB2312" w:hAnsi="仿宋_GB2312" w:eastAsia="仿宋_GB2312" w:cs="仿宋_GB2312"/>
          <w:bCs/>
          <w:kern w:val="0"/>
          <w:sz w:val="28"/>
          <w:szCs w:val="28"/>
          <w:highlight w:val="none"/>
        </w:rPr>
        <w:t>间</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5</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9</w:t>
      </w:r>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时止</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Cs/>
          <w:color w:val="000000"/>
          <w:kern w:val="0"/>
          <w:sz w:val="28"/>
          <w:szCs w:val="28"/>
        </w:rPr>
        <w:t>2.投标地址</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政府采购云平台</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3.投标人应当在投标截止时间前完成电子投标文件的传输递</w:t>
      </w:r>
      <w:r>
        <w:rPr>
          <w:rFonts w:hint="eastAsia" w:ascii="仿宋_GB2312" w:hAnsi="仿宋_GB2312" w:eastAsia="仿宋_GB2312" w:cs="仿宋_GB2312"/>
          <w:color w:val="000000"/>
          <w:kern w:val="0"/>
          <w:sz w:val="28"/>
          <w:szCs w:val="28"/>
        </w:rPr>
        <w:t>交</w:t>
      </w:r>
      <w:r>
        <w:rPr>
          <w:rFonts w:ascii="仿宋_GB2312" w:hAnsi="仿宋_GB2312" w:eastAsia="仿宋_GB2312" w:cs="仿宋_GB2312"/>
          <w:color w:val="000000"/>
          <w:kern w:val="0"/>
          <w:sz w:val="28"/>
          <w:szCs w:val="28"/>
        </w:rPr>
        <w:t>，并可以补充、修改或者撤回电子投标文件。补充或者修改电子投标文件的，应当先行撤回原文件，补充、修改后重新传输递交。投标截止时间前未完成传输的，视为撤回投标文件。投标、响应截止时间后</w:t>
      </w:r>
      <w:r>
        <w:rPr>
          <w:rFonts w:hint="eastAsia" w:ascii="仿宋_GB2312" w:hAnsi="仿宋_GB2312" w:eastAsia="仿宋_GB2312" w:cs="仿宋_GB2312"/>
          <w:color w:val="000000"/>
          <w:kern w:val="0"/>
          <w:sz w:val="28"/>
          <w:szCs w:val="28"/>
          <w:lang w:eastAsia="zh-CN"/>
        </w:rPr>
        <w:t>提交</w:t>
      </w:r>
      <w:r>
        <w:rPr>
          <w:rFonts w:ascii="仿宋_GB2312" w:hAnsi="仿宋_GB2312" w:eastAsia="仿宋_GB2312" w:cs="仿宋_GB2312"/>
          <w:color w:val="000000"/>
          <w:kern w:val="0"/>
          <w:sz w:val="28"/>
          <w:szCs w:val="28"/>
        </w:rPr>
        <w:t>的投标、响应文件，将被政采云平台拒收。</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八、开标时间及地点：</w:t>
      </w:r>
    </w:p>
    <w:p>
      <w:pPr>
        <w:spacing w:line="360" w:lineRule="auto"/>
        <w:ind w:firstLine="560" w:firstLineChars="200"/>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bCs/>
          <w:color w:val="000000"/>
          <w:kern w:val="0"/>
          <w:sz w:val="28"/>
          <w:szCs w:val="28"/>
        </w:rPr>
        <w:t>1.</w:t>
      </w:r>
      <w:r>
        <w:rPr>
          <w:rFonts w:ascii="仿宋_GB2312" w:hAnsi="仿宋_GB2312" w:eastAsia="仿宋_GB2312" w:cs="仿宋_GB2312"/>
          <w:bCs/>
          <w:color w:val="000000"/>
          <w:kern w:val="0"/>
          <w:sz w:val="28"/>
          <w:szCs w:val="28"/>
        </w:rPr>
        <w:t>开</w:t>
      </w:r>
      <w:r>
        <w:rPr>
          <w:rFonts w:ascii="仿宋_GB2312" w:hAnsi="仿宋_GB2312" w:eastAsia="仿宋_GB2312" w:cs="仿宋_GB2312"/>
          <w:bCs/>
          <w:kern w:val="0"/>
          <w:sz w:val="28"/>
          <w:szCs w:val="28"/>
        </w:rPr>
        <w:t>标</w:t>
      </w:r>
      <w:r>
        <w:rPr>
          <w:rFonts w:ascii="仿宋_GB2312" w:hAnsi="仿宋_GB2312" w:eastAsia="仿宋_GB2312" w:cs="仿宋_GB2312"/>
          <w:bCs/>
          <w:color w:val="auto"/>
          <w:kern w:val="0"/>
          <w:sz w:val="28"/>
          <w:szCs w:val="28"/>
        </w:rPr>
        <w:t>时</w:t>
      </w:r>
      <w:r>
        <w:rPr>
          <w:rFonts w:ascii="仿宋_GB2312" w:hAnsi="仿宋_GB2312" w:eastAsia="仿宋_GB2312" w:cs="仿宋_GB2312"/>
          <w:bCs/>
          <w:color w:val="auto"/>
          <w:kern w:val="0"/>
          <w:sz w:val="28"/>
          <w:szCs w:val="28"/>
          <w:highlight w:val="none"/>
        </w:rPr>
        <w:t>间</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5</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9</w:t>
      </w:r>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lang w:eastAsia="zh-CN"/>
        </w:rPr>
        <w:t>整</w:t>
      </w:r>
    </w:p>
    <w:p>
      <w:pPr>
        <w:spacing w:line="360" w:lineRule="auto"/>
        <w:ind w:firstLine="560" w:firstLineChars="200"/>
        <w:jc w:val="left"/>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2.开标地址/网址：浙江省慈溪市公共资源交易中心二楼第五开标室（慈溪市白沙路街道南二环东路1355号）/政府采购云平台</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九、</w:t>
      </w:r>
      <w:r>
        <w:rPr>
          <w:rFonts w:ascii="仿宋_GB2312" w:hAnsi="仿宋_GB2312" w:eastAsia="仿宋_GB2312" w:cs="仿宋_GB2312"/>
          <w:b/>
          <w:bCs/>
          <w:color w:val="000000"/>
          <w:kern w:val="0"/>
          <w:sz w:val="28"/>
          <w:szCs w:val="28"/>
        </w:rPr>
        <w:t>投标保证金</w:t>
      </w:r>
      <w:r>
        <w:rPr>
          <w:rFonts w:ascii="仿宋_GB2312" w:hAnsi="仿宋_GB2312" w:eastAsia="仿宋_GB2312" w:cs="仿宋_GB2312"/>
          <w:b/>
          <w:color w:val="000000"/>
          <w:kern w:val="0"/>
          <w:sz w:val="28"/>
          <w:szCs w:val="28"/>
        </w:rPr>
        <w:t>：</w:t>
      </w:r>
      <w:r>
        <w:rPr>
          <w:rFonts w:ascii="仿宋_GB2312" w:hAnsi="仿宋_GB2312" w:eastAsia="仿宋_GB2312" w:cs="仿宋_GB2312"/>
          <w:color w:val="000000"/>
          <w:kern w:val="0"/>
          <w:sz w:val="28"/>
          <w:szCs w:val="28"/>
        </w:rPr>
        <w:t>无</w:t>
      </w:r>
    </w:p>
    <w:p>
      <w:pPr>
        <w:spacing w:line="360" w:lineRule="auto"/>
        <w:ind w:firstLine="562" w:firstLineChars="200"/>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十、</w:t>
      </w:r>
      <w:r>
        <w:rPr>
          <w:rFonts w:ascii="仿宋_GB2312" w:hAnsi="仿宋_GB2312" w:eastAsia="仿宋_GB2312" w:cs="仿宋_GB2312"/>
          <w:b/>
          <w:color w:val="000000"/>
          <w:kern w:val="0"/>
          <w:sz w:val="28"/>
          <w:szCs w:val="28"/>
        </w:rPr>
        <w:t>本次招标有关信息公告媒体：</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浙江政府采购网</w:t>
      </w:r>
    </w:p>
    <w:p>
      <w:pPr>
        <w:spacing w:line="360" w:lineRule="auto"/>
        <w:ind w:left="559" w:leftChars="266"/>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宁波市政务服务办公室-宁波市公共资源交易电子服务系统（慈溪）</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十一</w:t>
      </w:r>
      <w:r>
        <w:rPr>
          <w:rFonts w:hint="eastAsia" w:ascii="仿宋_GB2312" w:hAnsi="仿宋_GB2312" w:eastAsia="仿宋_GB2312" w:cs="仿宋_GB2312"/>
          <w:b/>
          <w:color w:val="000000"/>
          <w:kern w:val="0"/>
          <w:sz w:val="28"/>
          <w:szCs w:val="28"/>
        </w:rPr>
        <w:t>、本项目</w:t>
      </w:r>
      <w:r>
        <w:rPr>
          <w:rFonts w:ascii="仿宋_GB2312" w:hAnsi="仿宋_GB2312" w:eastAsia="仿宋_GB2312" w:cs="仿宋_GB2312"/>
          <w:b/>
          <w:color w:val="000000"/>
          <w:kern w:val="0"/>
          <w:sz w:val="28"/>
          <w:szCs w:val="28"/>
        </w:rPr>
        <w:t>公告期限：</w:t>
      </w:r>
      <w:r>
        <w:rPr>
          <w:rFonts w:ascii="仿宋_GB2312" w:hAnsi="仿宋_GB2312" w:eastAsia="仿宋_GB2312" w:cs="仿宋_GB2312"/>
          <w:color w:val="000000"/>
          <w:kern w:val="0"/>
          <w:sz w:val="28"/>
          <w:szCs w:val="28"/>
        </w:rPr>
        <w:t>本公告发布之日起5个工作日。</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十二、</w:t>
      </w:r>
      <w:r>
        <w:rPr>
          <w:rFonts w:ascii="仿宋_GB2312" w:hAnsi="仿宋_GB2312" w:eastAsia="仿宋_GB2312" w:cs="仿宋_GB2312"/>
          <w:color w:val="000000"/>
          <w:kern w:val="0"/>
          <w:sz w:val="28"/>
          <w:szCs w:val="28"/>
        </w:rPr>
        <w:t>供应商认为采购文件、采购过程、中标或者成交结果使自己的权益受到损害的，可以在知道或者应知其权益受到损害之日起7个工作日内，以书面形式提出质疑。</w:t>
      </w:r>
      <w:r>
        <w:rPr>
          <w:rFonts w:ascii="仿宋_GB2312" w:hAnsi="仿宋_GB2312" w:eastAsia="仿宋_GB2312" w:cs="仿宋_GB2312"/>
          <w:b/>
          <w:bCs/>
          <w:color w:val="000000"/>
          <w:kern w:val="0"/>
          <w:sz w:val="28"/>
          <w:szCs w:val="28"/>
          <w:u w:val="single"/>
        </w:rPr>
        <w:t>对采购文件需求条款、评分标准等内容的质疑向采购人提出，对开评标程序的质疑向采购代理机构提出。</w:t>
      </w:r>
      <w:r>
        <w:rPr>
          <w:rFonts w:ascii="仿宋_GB2312" w:hAnsi="仿宋_GB2312" w:eastAsia="仿宋_GB2312" w:cs="仿宋_GB2312"/>
          <w:color w:val="000000"/>
          <w:kern w:val="0"/>
          <w:sz w:val="28"/>
          <w:szCs w:val="28"/>
        </w:rPr>
        <w:t>质疑相关事项见招标文件“第</w:t>
      </w:r>
      <w:r>
        <w:rPr>
          <w:rFonts w:hint="eastAsia" w:ascii="仿宋_GB2312" w:hAnsi="仿宋_GB2312" w:eastAsia="仿宋_GB2312" w:cs="仿宋_GB2312"/>
          <w:color w:val="000000"/>
          <w:kern w:val="0"/>
          <w:sz w:val="28"/>
          <w:szCs w:val="28"/>
          <w:lang w:eastAsia="zh-CN"/>
        </w:rPr>
        <w:t>三</w:t>
      </w:r>
      <w:r>
        <w:rPr>
          <w:rFonts w:ascii="仿宋_GB2312" w:hAnsi="仿宋_GB2312" w:eastAsia="仿宋_GB2312" w:cs="仿宋_GB2312"/>
          <w:color w:val="000000"/>
          <w:kern w:val="0"/>
          <w:sz w:val="28"/>
          <w:szCs w:val="28"/>
        </w:rPr>
        <w:t>部分-六、质疑”。</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lang w:eastAsia="zh-CN"/>
        </w:rPr>
        <w:t>十三、</w:t>
      </w:r>
      <w:r>
        <w:rPr>
          <w:rFonts w:ascii="仿宋_GB2312" w:hAnsi="仿宋_GB2312" w:eastAsia="仿宋_GB2312" w:cs="仿宋_GB2312"/>
          <w:b/>
          <w:bCs/>
          <w:color w:val="000000"/>
          <w:kern w:val="0"/>
          <w:sz w:val="28"/>
          <w:szCs w:val="28"/>
        </w:rPr>
        <w:t>联系方式：</w:t>
      </w:r>
    </w:p>
    <w:p>
      <w:pPr>
        <w:pStyle w:val="29"/>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1.采购人信息</w:t>
      </w:r>
    </w:p>
    <w:p>
      <w:pPr>
        <w:pStyle w:val="29"/>
        <w:ind w:firstLine="560" w:firstLineChars="200"/>
        <w:rPr>
          <w:rFonts w:ascii="仿宋_GB2312" w:hAnsi="仿宋_GB2312" w:eastAsia="仿宋_GB2312" w:cs="仿宋_GB2312"/>
          <w:color w:val="000000"/>
          <w:kern w:val="0"/>
          <w:szCs w:val="28"/>
          <w:highlight w:val="none"/>
        </w:rPr>
      </w:pPr>
      <w:r>
        <w:rPr>
          <w:rFonts w:hint="eastAsia" w:ascii="仿宋_GB2312" w:hAnsi="仿宋_GB2312" w:eastAsia="仿宋_GB2312" w:cs="仿宋_GB2312"/>
          <w:color w:val="000000"/>
          <w:kern w:val="0"/>
          <w:szCs w:val="28"/>
          <w:highlight w:val="none"/>
          <w:lang w:eastAsia="zh-CN"/>
        </w:rPr>
        <w:t>慈溪市坎墩街道坎东小学</w:t>
      </w:r>
      <w:r>
        <w:rPr>
          <w:rFonts w:hint="eastAsia" w:ascii="仿宋_GB2312" w:hAnsi="仿宋_GB2312" w:eastAsia="仿宋_GB2312" w:cs="仿宋_GB2312"/>
          <w:color w:val="000000"/>
          <w:kern w:val="0"/>
          <w:szCs w:val="28"/>
          <w:highlight w:val="none"/>
        </w:rPr>
        <w:t>（</w:t>
      </w:r>
      <w:r>
        <w:rPr>
          <w:rFonts w:hint="eastAsia" w:ascii="仿宋_GB2312" w:hAnsi="仿宋_GB2312" w:eastAsia="仿宋_GB2312" w:cs="仿宋_GB2312"/>
          <w:color w:val="000000"/>
          <w:kern w:val="0"/>
          <w:szCs w:val="28"/>
          <w:highlight w:val="none"/>
          <w:lang w:eastAsia="zh-CN"/>
        </w:rPr>
        <w:t>慈溪市</w:t>
      </w:r>
      <w:r>
        <w:rPr>
          <w:rFonts w:hint="eastAsia" w:ascii="仿宋_GB2312" w:hAnsi="仿宋_GB2312" w:eastAsia="仿宋_GB2312" w:cs="仿宋_GB2312"/>
          <w:color w:val="000000"/>
          <w:kern w:val="0"/>
          <w:szCs w:val="28"/>
          <w:highlight w:val="none"/>
        </w:rPr>
        <w:t>坎墩街道三群小区46号）</w:t>
      </w:r>
    </w:p>
    <w:p>
      <w:pPr>
        <w:pStyle w:val="29"/>
        <w:ind w:firstLine="560" w:firstLineChars="200"/>
        <w:rPr>
          <w:rFonts w:hint="eastAsia" w:ascii="仿宋_GB2312" w:hAnsi="仿宋_GB2312" w:eastAsia="仿宋_GB2312" w:cs="仿宋_GB2312"/>
          <w:color w:val="auto"/>
          <w:kern w:val="0"/>
          <w:szCs w:val="28"/>
          <w:highlight w:val="none"/>
        </w:rPr>
      </w:pPr>
      <w:r>
        <w:rPr>
          <w:rFonts w:hint="eastAsia" w:ascii="仿宋_GB2312" w:hAnsi="仿宋_GB2312" w:eastAsia="仿宋_GB2312" w:cs="仿宋_GB2312"/>
          <w:color w:val="000000"/>
          <w:kern w:val="0"/>
          <w:szCs w:val="28"/>
          <w:highlight w:val="none"/>
        </w:rPr>
        <w:t>项目联系人（询</w:t>
      </w:r>
      <w:r>
        <w:rPr>
          <w:rFonts w:hint="eastAsia" w:ascii="仿宋_GB2312" w:hAnsi="仿宋_GB2312" w:eastAsia="仿宋_GB2312" w:cs="仿宋_GB2312"/>
          <w:color w:val="auto"/>
          <w:kern w:val="0"/>
          <w:szCs w:val="28"/>
          <w:highlight w:val="none"/>
        </w:rPr>
        <w:t>问）：童迪科，13777180777</w:t>
      </w:r>
    </w:p>
    <w:p>
      <w:pPr>
        <w:pStyle w:val="29"/>
        <w:ind w:firstLine="560" w:firstLineChars="200"/>
        <w:rPr>
          <w:rFonts w:hint="eastAsia" w:ascii="仿宋_GB2312" w:hAnsi="仿宋_GB2312" w:eastAsia="仿宋_GB2312" w:cs="仿宋_GB2312"/>
          <w:color w:val="auto"/>
          <w:kern w:val="0"/>
          <w:szCs w:val="28"/>
          <w:highlight w:val="none"/>
        </w:rPr>
      </w:pPr>
      <w:r>
        <w:rPr>
          <w:rFonts w:hint="eastAsia" w:ascii="仿宋_GB2312" w:hAnsi="仿宋_GB2312" w:eastAsia="仿宋_GB2312" w:cs="仿宋_GB2312"/>
          <w:color w:val="auto"/>
          <w:kern w:val="0"/>
          <w:szCs w:val="28"/>
          <w:highlight w:val="none"/>
        </w:rPr>
        <w:t>质疑联系人：胡杰，18058566961</w:t>
      </w:r>
    </w:p>
    <w:p>
      <w:pPr>
        <w:pStyle w:val="29"/>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2.采购代理机构信息</w:t>
      </w:r>
    </w:p>
    <w:p>
      <w:pPr>
        <w:pStyle w:val="29"/>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慈溪市政府采购中心</w:t>
      </w:r>
      <w:r>
        <w:rPr>
          <w:rFonts w:hint="eastAsia" w:hAnsi="宋体" w:cs="宋体"/>
          <w:color w:val="000000"/>
          <w:kern w:val="0"/>
          <w:szCs w:val="28"/>
        </w:rPr>
        <w:t>（</w:t>
      </w:r>
      <w:r>
        <w:rPr>
          <w:rFonts w:hint="eastAsia" w:ascii="仿宋_GB2312" w:hAnsi="仿宋_GB2312" w:eastAsia="仿宋_GB2312" w:cs="仿宋_GB2312"/>
          <w:color w:val="000000"/>
          <w:kern w:val="0"/>
          <w:szCs w:val="28"/>
        </w:rPr>
        <w:t>慈溪市白沙路街道南二环东路1355号）</w:t>
      </w:r>
    </w:p>
    <w:p>
      <w:pPr>
        <w:pStyle w:val="29"/>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项目联系人（询问）：陆溶溶</w:t>
      </w:r>
      <w:r>
        <w:rPr>
          <w:rFonts w:hint="eastAsia" w:hAnsi="宋体" w:cs="宋体"/>
          <w:color w:val="000000"/>
          <w:kern w:val="0"/>
          <w:szCs w:val="28"/>
        </w:rPr>
        <w:t>，</w:t>
      </w:r>
      <w:r>
        <w:rPr>
          <w:rFonts w:hint="eastAsia" w:ascii="仿宋_GB2312" w:hAnsi="仿宋_GB2312" w:eastAsia="仿宋_GB2312" w:cs="仿宋_GB2312"/>
          <w:color w:val="000000"/>
          <w:kern w:val="0"/>
          <w:szCs w:val="28"/>
        </w:rPr>
        <w:t>0574-63661116</w:t>
      </w:r>
    </w:p>
    <w:p>
      <w:pPr>
        <w:pStyle w:val="29"/>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质疑联系人：陈倩芸，0574-63037955</w:t>
      </w:r>
    </w:p>
    <w:p>
      <w:pPr>
        <w:pStyle w:val="29"/>
        <w:ind w:firstLine="560" w:firstLineChars="200"/>
        <w:rPr>
          <w:rFonts w:hint="eastAsia"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xml:space="preserve">3.同级政府采购监督管理部门 </w:t>
      </w:r>
    </w:p>
    <w:p>
      <w:pPr>
        <w:pStyle w:val="29"/>
        <w:ind w:firstLine="560" w:firstLineChars="200"/>
        <w:rPr>
          <w:rFonts w:hint="eastAsia"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xml:space="preserve">慈溪市财政局（慈溪市南二环东路1158号6楼621室） </w:t>
      </w:r>
    </w:p>
    <w:p>
      <w:pPr>
        <w:pStyle w:val="29"/>
        <w:ind w:firstLine="560" w:firstLineChars="200"/>
        <w:rPr>
          <w:rFonts w:hint="eastAsia"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xml:space="preserve">联系人 ：赵老师 </w:t>
      </w:r>
    </w:p>
    <w:p>
      <w:pPr>
        <w:pStyle w:val="29"/>
        <w:ind w:firstLine="560" w:firstLineChars="200"/>
        <w:rPr>
          <w:rFonts w:hint="eastAsia"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监督投诉电话：0574-63032032</w:t>
      </w: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28"/>
          <w:szCs w:val="28"/>
          <w:highlight w:val="yellow"/>
        </w:rPr>
      </w:pPr>
      <w:r>
        <w:rPr>
          <w:rFonts w:ascii="仿宋_GB2312" w:hAnsi="仿宋_GB2312" w:eastAsia="仿宋_GB2312" w:cs="仿宋_GB2312"/>
          <w:color w:val="000000"/>
          <w:kern w:val="0"/>
          <w:sz w:val="36"/>
          <w:szCs w:val="36"/>
        </w:rPr>
        <w:t>第二部分   招标需求</w:t>
      </w:r>
    </w:p>
    <w:p>
      <w:pPr>
        <w:snapToGrid w:val="0"/>
        <w:spacing w:beforeLines="50" w:afterLines="50" w:line="360" w:lineRule="auto"/>
        <w:rPr>
          <w:rFonts w:ascii="仿宋_GB2312" w:hAnsi="仿宋_GB2312" w:eastAsia="仿宋_GB2312" w:cs="仿宋_GB2312"/>
          <w:b/>
          <w:color w:val="000000"/>
          <w:kern w:val="0"/>
          <w:sz w:val="28"/>
          <w:szCs w:val="28"/>
          <w:u w:val="single"/>
        </w:rPr>
      </w:pPr>
      <w:r>
        <w:rPr>
          <w:rFonts w:ascii="仿宋_GB2312" w:hAnsi="仿宋_GB2312" w:eastAsia="仿宋_GB2312" w:cs="仿宋_GB2312"/>
          <w:b/>
          <w:color w:val="000000"/>
          <w:kern w:val="0"/>
          <w:sz w:val="28"/>
          <w:szCs w:val="28"/>
        </w:rPr>
        <w:t>特别说明：</w:t>
      </w:r>
      <w:r>
        <w:rPr>
          <w:rFonts w:ascii="仿宋_GB2312" w:hAnsi="仿宋_GB2312" w:eastAsia="仿宋_GB2312" w:cs="仿宋_GB2312"/>
          <w:b/>
          <w:color w:val="000000"/>
          <w:kern w:val="0"/>
          <w:sz w:val="28"/>
          <w:szCs w:val="28"/>
          <w:u w:val="single"/>
        </w:rPr>
        <w:t>需求中不允许负偏离的实质性要求和条件，以“★”号标明，如投标人未响应的，将被视为无效。</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一、项目概况：</w:t>
      </w:r>
    </w:p>
    <w:p>
      <w:pPr>
        <w:pStyle w:val="38"/>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color w:val="000000"/>
          <w:kern w:val="0"/>
          <w:sz w:val="28"/>
          <w:szCs w:val="28"/>
          <w:lang w:val="en-US" w:eastAsia="zh-CN" w:bidi="ar-SA"/>
          <w14:ligatures w14:val="none"/>
        </w:rPr>
        <w:t>坎墩街道坎东小学位于担山北路与永安东路交叉口，占地23476平方米，现有27个班级、59名专任教师。多年来，学校把“办人民满意的学校”作为第一目标，坚持“为学生的幸福人生奠基”的办学理念，着力发展学生个性特长，努力培育具有“博、学、雅、慧”品质的学生。经过不懈努力，学校走出了一条符合本校实际且特色鲜明的发展之路，综合办学水平逐年提高，获得较广泛的社会赞誉，先后获得宁波市智慧校园、宁波市5A级平安校园、宁波市文明校园等宁波市级及以上荣誉15项，慈溪市文明单位、慈溪市行为规范示范学校、慈溪市清风校园等慈溪市级荣誉18项。　</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二、人员配置及服务内容：</w:t>
      </w:r>
    </w:p>
    <w:p>
      <w:pPr>
        <w:keepNext w:val="0"/>
        <w:keepLines w:val="0"/>
        <w:pageBreakBefore w:val="0"/>
        <w:widowControl w:val="0"/>
        <w:kinsoku/>
        <w:wordWrap/>
        <w:overflowPunct/>
        <w:topLinePunct w:val="0"/>
        <w:autoSpaceDE/>
        <w:autoSpaceDN/>
        <w:bidi w:val="0"/>
        <w:adjustRightInd/>
        <w:spacing w:line="240" w:lineRule="auto"/>
        <w:ind w:firstLine="560" w:firstLineChars="200"/>
        <w:jc w:val="left"/>
        <w:textAlignment w:val="auto"/>
        <w:rPr>
          <w:rFonts w:hint="eastAsia" w:ascii="仿宋" w:hAnsi="仿宋" w:eastAsia="仿宋"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 w:hAnsi="仿宋" w:eastAsia="仿宋" w:cs="仿宋_GB2312"/>
          <w:color w:val="000000"/>
          <w:kern w:val="0"/>
          <w:sz w:val="28"/>
          <w:szCs w:val="28"/>
        </w:rPr>
        <w:t>项目人员配置：</w:t>
      </w:r>
      <w:r>
        <w:rPr>
          <w:rFonts w:hint="eastAsia" w:ascii="仿宋_GB2312" w:hAnsi="仿宋_GB2312" w:eastAsia="仿宋_GB2312" w:cs="仿宋_GB2312"/>
          <w:color w:val="auto"/>
          <w:kern w:val="0"/>
          <w:sz w:val="28"/>
          <w:szCs w:val="28"/>
        </w:rPr>
        <w:t>本项目岗位总人数为</w:t>
      </w:r>
      <w:r>
        <w:rPr>
          <w:rFonts w:hint="eastAsia" w:ascii="仿宋_GB2312" w:hAnsi="仿宋_GB2312" w:eastAsia="仿宋_GB2312" w:cs="仿宋_GB2312"/>
          <w:color w:val="auto"/>
          <w:kern w:val="0"/>
          <w:sz w:val="28"/>
          <w:szCs w:val="28"/>
          <w:u w:val="none"/>
          <w:lang w:val="en-US" w:eastAsia="zh-CN"/>
        </w:rPr>
        <w:t>17</w:t>
      </w:r>
      <w:r>
        <w:rPr>
          <w:rFonts w:hint="eastAsia" w:ascii="仿宋_GB2312" w:hAnsi="仿宋_GB2312" w:eastAsia="仿宋_GB2312" w:cs="仿宋_GB2312"/>
          <w:color w:val="auto"/>
          <w:kern w:val="0"/>
          <w:sz w:val="28"/>
          <w:szCs w:val="28"/>
          <w:u w:val="none"/>
        </w:rPr>
        <w:t>人，</w:t>
      </w:r>
      <w:r>
        <w:rPr>
          <w:rFonts w:hint="eastAsia" w:ascii="仿宋_GB2312" w:hAnsi="仿宋_GB2312" w:eastAsia="仿宋_GB2312" w:cs="仿宋_GB2312"/>
          <w:color w:val="000000"/>
          <w:kern w:val="0"/>
          <w:sz w:val="28"/>
          <w:szCs w:val="28"/>
        </w:rPr>
        <w:t>具体要求见岗位配置表：</w:t>
      </w:r>
    </w:p>
    <w:tbl>
      <w:tblPr>
        <w:tblStyle w:val="67"/>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1791"/>
        <w:gridCol w:w="709"/>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8613" w:type="dxa"/>
            <w:gridSpan w:val="4"/>
            <w:noWrap w:val="0"/>
            <w:vAlign w:val="center"/>
          </w:tcPr>
          <w:p>
            <w:pPr>
              <w:tabs>
                <w:tab w:val="left" w:pos="3011"/>
              </w:tabs>
              <w:spacing w:line="360" w:lineRule="auto"/>
              <w:jc w:val="center"/>
              <w:rPr>
                <w:rFonts w:ascii="宋体" w:hAnsi="宋体" w:cs="宋体"/>
                <w:lang w:bidi="zh-CN"/>
              </w:rPr>
            </w:pPr>
            <w:r>
              <w:rPr>
                <w:rFonts w:hint="eastAsia" w:ascii="仿宋" w:hAnsi="仿宋" w:eastAsia="仿宋" w:cs="仿宋"/>
                <w:color w:val="000000"/>
                <w:kern w:val="0"/>
                <w:sz w:val="28"/>
                <w:szCs w:val="28"/>
                <w:lang w:val="en-US" w:eastAsia="zh-CN"/>
              </w:rPr>
              <w:t xml:space="preserve">  慈溪市坎墩街道坎东小学物业人员</w:t>
            </w:r>
            <w:r>
              <w:rPr>
                <w:rFonts w:hint="eastAsia" w:ascii="仿宋_GB2312" w:hAnsi="仿宋_GB2312" w:eastAsia="仿宋_GB2312" w:cs="仿宋_GB2312"/>
                <w:snapToGrid w:val="0"/>
                <w:spacing w:val="-4"/>
                <w:sz w:val="28"/>
                <w:szCs w:val="28"/>
              </w:rPr>
              <w:t>岗位配置表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727" w:type="dxa"/>
            <w:noWrap w:val="0"/>
            <w:vAlign w:val="center"/>
          </w:tcPr>
          <w:p>
            <w:pPr>
              <w:widowControl/>
              <w:snapToGrid w:val="0"/>
              <w:spacing w:line="216" w:lineRule="auto"/>
              <w:jc w:val="center"/>
              <w:rPr>
                <w:rFonts w:ascii="仿宋_GB2312" w:hAnsi="仿宋_GB2312" w:eastAsia="仿宋_GB2312" w:cs="仿宋_GB2312"/>
                <w:snapToGrid w:val="0"/>
                <w:color w:val="auto"/>
                <w:spacing w:val="-4"/>
                <w:sz w:val="24"/>
              </w:rPr>
            </w:pPr>
            <w:r>
              <w:rPr>
                <w:rFonts w:hint="eastAsia" w:ascii="仿宋_GB2312" w:hAnsi="仿宋_GB2312" w:eastAsia="仿宋_GB2312" w:cs="仿宋_GB2312"/>
                <w:snapToGrid w:val="0"/>
                <w:color w:val="auto"/>
                <w:spacing w:val="-4"/>
                <w:sz w:val="24"/>
              </w:rPr>
              <w:t>序号</w:t>
            </w:r>
          </w:p>
        </w:tc>
        <w:tc>
          <w:tcPr>
            <w:tcW w:w="1791" w:type="dxa"/>
            <w:noWrap w:val="0"/>
            <w:vAlign w:val="center"/>
          </w:tcPr>
          <w:p>
            <w:pPr>
              <w:widowControl/>
              <w:snapToGrid w:val="0"/>
              <w:spacing w:line="216" w:lineRule="auto"/>
              <w:jc w:val="center"/>
              <w:rPr>
                <w:rFonts w:ascii="仿宋_GB2312" w:hAnsi="仿宋_GB2312" w:eastAsia="仿宋_GB2312" w:cs="仿宋_GB2312"/>
                <w:snapToGrid w:val="0"/>
                <w:color w:val="auto"/>
                <w:spacing w:val="-4"/>
                <w:sz w:val="24"/>
              </w:rPr>
            </w:pPr>
            <w:r>
              <w:rPr>
                <w:rFonts w:hint="eastAsia" w:ascii="仿宋_GB2312" w:hAnsi="仿宋_GB2312" w:eastAsia="仿宋_GB2312" w:cs="仿宋_GB2312"/>
                <w:snapToGrid w:val="0"/>
                <w:color w:val="auto"/>
                <w:spacing w:val="-4"/>
                <w:sz w:val="24"/>
              </w:rPr>
              <w:t>岗位名称</w:t>
            </w:r>
          </w:p>
        </w:tc>
        <w:tc>
          <w:tcPr>
            <w:tcW w:w="709" w:type="dxa"/>
            <w:noWrap w:val="0"/>
            <w:vAlign w:val="center"/>
          </w:tcPr>
          <w:p>
            <w:pPr>
              <w:widowControl/>
              <w:snapToGrid w:val="0"/>
              <w:spacing w:line="216" w:lineRule="auto"/>
              <w:jc w:val="center"/>
              <w:rPr>
                <w:rFonts w:ascii="仿宋_GB2312" w:hAnsi="仿宋_GB2312" w:eastAsia="仿宋_GB2312" w:cs="仿宋_GB2312"/>
                <w:snapToGrid w:val="0"/>
                <w:color w:val="auto"/>
                <w:spacing w:val="-4"/>
                <w:sz w:val="24"/>
              </w:rPr>
            </w:pPr>
            <w:r>
              <w:rPr>
                <w:rFonts w:hint="eastAsia" w:ascii="仿宋_GB2312" w:hAnsi="仿宋_GB2312" w:eastAsia="仿宋_GB2312" w:cs="仿宋_GB2312"/>
                <w:snapToGrid w:val="0"/>
                <w:color w:val="auto"/>
                <w:spacing w:val="-4"/>
                <w:sz w:val="24"/>
              </w:rPr>
              <w:t>数量</w:t>
            </w:r>
          </w:p>
        </w:tc>
        <w:tc>
          <w:tcPr>
            <w:tcW w:w="5386" w:type="dxa"/>
            <w:noWrap w:val="0"/>
            <w:vAlign w:val="center"/>
          </w:tcPr>
          <w:p>
            <w:pPr>
              <w:widowControl/>
              <w:snapToGrid w:val="0"/>
              <w:spacing w:line="216" w:lineRule="auto"/>
              <w:jc w:val="center"/>
              <w:rPr>
                <w:rFonts w:ascii="仿宋_GB2312" w:hAnsi="仿宋_GB2312" w:eastAsia="仿宋_GB2312" w:cs="仿宋_GB2312"/>
                <w:snapToGrid w:val="0"/>
                <w:color w:val="auto"/>
                <w:spacing w:val="-4"/>
                <w:sz w:val="24"/>
              </w:rPr>
            </w:pPr>
            <w:r>
              <w:rPr>
                <w:rFonts w:hint="eastAsia" w:ascii="仿宋_GB2312" w:hAnsi="仿宋_GB2312" w:eastAsia="仿宋_GB2312" w:cs="仿宋_GB2312"/>
                <w:snapToGrid w:val="0"/>
                <w:color w:val="auto"/>
                <w:spacing w:val="-4"/>
                <w:sz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727" w:type="dxa"/>
            <w:noWrap w:val="0"/>
            <w:vAlign w:val="center"/>
          </w:tcPr>
          <w:p>
            <w:pPr>
              <w:spacing w:line="360" w:lineRule="auto"/>
              <w:jc w:val="center"/>
              <w:rPr>
                <w:rFonts w:ascii="宋体" w:hAnsi="宋体" w:cs="宋体"/>
                <w:color w:val="auto"/>
              </w:rPr>
            </w:pPr>
            <w:r>
              <w:rPr>
                <w:rFonts w:hint="eastAsia" w:ascii="仿宋_GB2312" w:hAnsi="仿宋_GB2312" w:eastAsia="仿宋_GB2312" w:cs="仿宋_GB2312"/>
                <w:snapToGrid w:val="0"/>
                <w:color w:val="auto"/>
                <w:spacing w:val="-4"/>
                <w:sz w:val="24"/>
              </w:rPr>
              <w:t>1</w:t>
            </w:r>
          </w:p>
        </w:tc>
        <w:tc>
          <w:tcPr>
            <w:tcW w:w="1791" w:type="dxa"/>
            <w:noWrap w:val="0"/>
            <w:vAlign w:val="center"/>
          </w:tcPr>
          <w:p>
            <w:pPr>
              <w:spacing w:line="360" w:lineRule="auto"/>
              <w:jc w:val="center"/>
              <w:rPr>
                <w:rFonts w:hint="eastAsia" w:eastAsia="仿宋"/>
                <w:lang w:eastAsia="zh-CN"/>
              </w:rPr>
            </w:pPr>
            <w:r>
              <w:rPr>
                <w:rFonts w:hint="eastAsia" w:ascii="仿宋_GB2312" w:hAnsi="仿宋_GB2312" w:eastAsia="仿宋_GB2312" w:cs="仿宋_GB2312"/>
                <w:snapToGrid w:val="0"/>
                <w:spacing w:val="-4"/>
                <w:sz w:val="24"/>
                <w:highlight w:val="none"/>
                <w:lang w:val="en-US" w:eastAsia="zh-CN"/>
              </w:rPr>
              <w:t>保安</w:t>
            </w:r>
          </w:p>
        </w:tc>
        <w:tc>
          <w:tcPr>
            <w:tcW w:w="709" w:type="dxa"/>
            <w:noWrap w:val="0"/>
            <w:vAlign w:val="center"/>
          </w:tcPr>
          <w:p>
            <w:pPr>
              <w:spacing w:line="360" w:lineRule="auto"/>
              <w:jc w:val="center"/>
              <w:rPr>
                <w:rFonts w:hint="eastAsia" w:ascii="宋体" w:hAnsi="宋体" w:eastAsia="宋体" w:cs="宋体"/>
                <w:color w:val="auto"/>
                <w:lang w:eastAsia="zh-CN"/>
              </w:rPr>
            </w:pPr>
            <w:r>
              <w:rPr>
                <w:rFonts w:hint="eastAsia" w:ascii="仿宋_GB2312" w:hAnsi="仿宋_GB2312" w:eastAsia="仿宋_GB2312" w:cs="仿宋_GB2312"/>
                <w:snapToGrid w:val="0"/>
                <w:spacing w:val="-4"/>
                <w:sz w:val="24"/>
                <w:lang w:val="en-US" w:eastAsia="zh-CN"/>
              </w:rPr>
              <w:t>3</w:t>
            </w:r>
          </w:p>
        </w:tc>
        <w:tc>
          <w:tcPr>
            <w:tcW w:w="5386" w:type="dxa"/>
            <w:noWrap w:val="0"/>
            <w:vAlign w:val="center"/>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男性，60周岁以下，</w:t>
            </w:r>
            <w:r>
              <w:rPr>
                <w:rFonts w:hint="eastAsia" w:ascii="仿宋" w:hAnsi="仿宋" w:eastAsia="仿宋" w:cs="仿宋"/>
                <w:color w:val="auto"/>
                <w:sz w:val="24"/>
                <w:szCs w:val="24"/>
                <w:u w:val="single"/>
                <w:lang w:val="en-US" w:eastAsia="zh-CN"/>
              </w:rPr>
              <w:t>持有公安部门颁发的保安证</w:t>
            </w:r>
            <w:r>
              <w:rPr>
                <w:rFonts w:hint="eastAsia" w:ascii="仿宋" w:hAnsi="仿宋" w:eastAsia="仿宋" w:cs="仿宋"/>
                <w:color w:val="auto"/>
                <w:sz w:val="24"/>
                <w:szCs w:val="24"/>
                <w:u w:val="none"/>
                <w:lang w:val="en-US" w:eastAsia="zh-CN"/>
              </w:rPr>
              <w:t>，</w:t>
            </w:r>
            <w:r>
              <w:rPr>
                <w:rFonts w:hint="eastAsia" w:ascii="仿宋" w:hAnsi="仿宋" w:eastAsia="仿宋" w:cs="仿宋"/>
                <w:color w:val="auto"/>
                <w:sz w:val="24"/>
                <w:szCs w:val="24"/>
                <w:lang w:val="en-US" w:eastAsia="zh-CN"/>
              </w:rPr>
              <w:t>身体健康，品行端正。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727" w:type="dxa"/>
            <w:noWrap w:val="0"/>
            <w:vAlign w:val="center"/>
          </w:tcPr>
          <w:p>
            <w:pPr>
              <w:spacing w:line="360" w:lineRule="auto"/>
              <w:jc w:val="center"/>
              <w:rPr>
                <w:rFonts w:ascii="宋体" w:hAnsi="宋体" w:cs="宋体"/>
                <w:color w:val="auto"/>
                <w:highlight w:val="none"/>
              </w:rPr>
            </w:pPr>
            <w:r>
              <w:rPr>
                <w:rFonts w:hint="eastAsia" w:ascii="仿宋_GB2312" w:hAnsi="仿宋_GB2312" w:eastAsia="仿宋_GB2312" w:cs="仿宋_GB2312"/>
                <w:snapToGrid w:val="0"/>
                <w:color w:val="auto"/>
                <w:spacing w:val="-4"/>
                <w:sz w:val="24"/>
                <w:highlight w:val="none"/>
              </w:rPr>
              <w:t>2</w:t>
            </w:r>
          </w:p>
        </w:tc>
        <w:tc>
          <w:tcPr>
            <w:tcW w:w="1791" w:type="dxa"/>
            <w:noWrap w:val="0"/>
            <w:vAlign w:val="center"/>
          </w:tcPr>
          <w:p>
            <w:pPr>
              <w:spacing w:line="360" w:lineRule="exact"/>
              <w:jc w:val="center"/>
              <w:rPr>
                <w:rFonts w:hint="eastAsia" w:ascii="仿宋_GB2312" w:hAnsi="仿宋_GB2312" w:eastAsia="仿宋_GB2312" w:cs="仿宋_GB2312"/>
                <w:snapToGrid w:val="0"/>
                <w:spacing w:val="-4"/>
                <w:sz w:val="24"/>
                <w:lang w:val="en-US" w:eastAsia="zh-CN"/>
              </w:rPr>
            </w:pPr>
            <w:r>
              <w:rPr>
                <w:rFonts w:hint="eastAsia" w:ascii="仿宋_GB2312" w:hAnsi="仿宋_GB2312" w:eastAsia="仿宋_GB2312" w:cs="仿宋_GB2312"/>
                <w:snapToGrid w:val="0"/>
                <w:spacing w:val="-4"/>
                <w:sz w:val="24"/>
                <w:lang w:val="en-US" w:eastAsia="zh-CN"/>
              </w:rPr>
              <w:t>食堂厨师</w:t>
            </w:r>
          </w:p>
        </w:tc>
        <w:tc>
          <w:tcPr>
            <w:tcW w:w="709" w:type="dxa"/>
            <w:noWrap w:val="0"/>
            <w:vAlign w:val="center"/>
          </w:tcPr>
          <w:p>
            <w:pPr>
              <w:spacing w:line="360" w:lineRule="auto"/>
              <w:jc w:val="center"/>
              <w:rPr>
                <w:rFonts w:hint="default" w:ascii="仿宋_GB2312" w:hAnsi="仿宋_GB2312" w:eastAsia="仿宋_GB2312" w:cs="仿宋_GB2312"/>
                <w:snapToGrid w:val="0"/>
                <w:spacing w:val="-4"/>
                <w:sz w:val="24"/>
                <w:lang w:val="en-US" w:eastAsia="zh-CN"/>
              </w:rPr>
            </w:pPr>
            <w:r>
              <w:rPr>
                <w:rFonts w:hint="eastAsia" w:ascii="仿宋_GB2312" w:hAnsi="仿宋_GB2312" w:eastAsia="仿宋_GB2312" w:cs="仿宋_GB2312"/>
                <w:snapToGrid w:val="0"/>
                <w:spacing w:val="-4"/>
                <w:sz w:val="24"/>
                <w:lang w:val="en-US" w:eastAsia="zh-CN"/>
              </w:rPr>
              <w:t>1</w:t>
            </w:r>
          </w:p>
        </w:tc>
        <w:tc>
          <w:tcPr>
            <w:tcW w:w="5386" w:type="dxa"/>
            <w:noWrap w:val="0"/>
            <w:vAlign w:val="center"/>
          </w:tcPr>
          <w:p>
            <w:pPr>
              <w:spacing w:line="360" w:lineRule="auto"/>
              <w:rPr>
                <w:rFonts w:hint="eastAsia" w:ascii="仿宋" w:hAnsi="仿宋" w:eastAsia="仿宋" w:cs="仿宋"/>
                <w:color w:val="auto"/>
                <w:sz w:val="24"/>
                <w:szCs w:val="24"/>
                <w:highlight w:val="none"/>
                <w:lang w:bidi="zh-CN"/>
              </w:rPr>
            </w:pPr>
            <w:r>
              <w:rPr>
                <w:rFonts w:hint="eastAsia" w:ascii="仿宋" w:hAnsi="仿宋" w:eastAsia="仿宋" w:cs="仿宋"/>
                <w:color w:val="auto"/>
                <w:sz w:val="24"/>
                <w:szCs w:val="24"/>
                <w:highlight w:val="none"/>
                <w:lang w:bidi="zh-CN"/>
              </w:rPr>
              <w:t>身体健康，无疾病</w:t>
            </w:r>
            <w:r>
              <w:rPr>
                <w:rFonts w:hint="eastAsia" w:ascii="仿宋" w:hAnsi="仿宋" w:eastAsia="仿宋" w:cs="仿宋"/>
                <w:color w:val="auto"/>
                <w:sz w:val="24"/>
                <w:szCs w:val="24"/>
                <w:highlight w:val="none"/>
                <w:lang w:eastAsia="zh-CN" w:bidi="zh-CN"/>
              </w:rPr>
              <w:t>，</w:t>
            </w:r>
            <w:r>
              <w:rPr>
                <w:rFonts w:hint="eastAsia" w:ascii="仿宋" w:hAnsi="仿宋" w:eastAsia="仿宋" w:cs="仿宋"/>
                <w:color w:val="auto"/>
                <w:sz w:val="24"/>
                <w:szCs w:val="24"/>
                <w:highlight w:val="none"/>
                <w:lang w:val="en-US" w:eastAsia="zh-CN" w:bidi="zh-CN"/>
              </w:rPr>
              <w:t>无犯罪前科</w:t>
            </w:r>
            <w:r>
              <w:rPr>
                <w:rFonts w:hint="eastAsia" w:ascii="仿宋" w:hAnsi="仿宋" w:eastAsia="仿宋" w:cs="仿宋"/>
                <w:color w:val="auto"/>
                <w:sz w:val="24"/>
                <w:szCs w:val="24"/>
                <w:highlight w:val="none"/>
                <w:lang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727" w:type="dxa"/>
            <w:noWrap w:val="0"/>
            <w:vAlign w:val="center"/>
          </w:tcPr>
          <w:p>
            <w:pPr>
              <w:spacing w:line="360" w:lineRule="auto"/>
              <w:jc w:val="center"/>
              <w:rPr>
                <w:rFonts w:ascii="宋体" w:hAnsi="宋体" w:cs="宋体"/>
                <w:color w:val="auto"/>
                <w:highlight w:val="none"/>
              </w:rPr>
            </w:pPr>
            <w:r>
              <w:rPr>
                <w:rFonts w:hint="eastAsia" w:ascii="仿宋_GB2312" w:hAnsi="仿宋_GB2312" w:eastAsia="仿宋_GB2312" w:cs="仿宋_GB2312"/>
                <w:snapToGrid w:val="0"/>
                <w:color w:val="auto"/>
                <w:spacing w:val="-4"/>
                <w:sz w:val="24"/>
                <w:highlight w:val="none"/>
              </w:rPr>
              <w:t>3</w:t>
            </w:r>
          </w:p>
        </w:tc>
        <w:tc>
          <w:tcPr>
            <w:tcW w:w="1791"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仿宋_GB2312" w:hAnsi="仿宋_GB2312" w:eastAsia="仿宋_GB2312" w:cs="仿宋_GB2312"/>
                <w:snapToGrid w:val="0"/>
                <w:spacing w:val="-4"/>
                <w:sz w:val="24"/>
                <w:lang w:val="en-US" w:eastAsia="zh-CN"/>
              </w:rPr>
              <w:t>食堂人员</w:t>
            </w:r>
          </w:p>
        </w:tc>
        <w:tc>
          <w:tcPr>
            <w:tcW w:w="709" w:type="dxa"/>
            <w:noWrap w:val="0"/>
            <w:vAlign w:val="center"/>
          </w:tcPr>
          <w:p>
            <w:pPr>
              <w:spacing w:line="360" w:lineRule="auto"/>
              <w:jc w:val="center"/>
              <w:rPr>
                <w:rFonts w:hint="default" w:ascii="宋体" w:hAnsi="宋体" w:cs="宋体"/>
                <w:color w:val="auto"/>
                <w:highlight w:val="none"/>
                <w:lang w:val="en-US"/>
              </w:rPr>
            </w:pPr>
            <w:r>
              <w:rPr>
                <w:rFonts w:hint="eastAsia" w:ascii="仿宋" w:hAnsi="仿宋" w:eastAsia="仿宋" w:cs="仿宋"/>
                <w:color w:val="000000"/>
                <w:kern w:val="0"/>
                <w:sz w:val="24"/>
                <w:lang w:val="en-US" w:eastAsia="zh-CN"/>
              </w:rPr>
              <w:t>10</w:t>
            </w:r>
          </w:p>
        </w:tc>
        <w:tc>
          <w:tcPr>
            <w:tcW w:w="5386" w:type="dxa"/>
            <w:noWrap w:val="0"/>
            <w:vAlign w:val="center"/>
          </w:tcPr>
          <w:p>
            <w:pPr>
              <w:spacing w:line="360" w:lineRule="auto"/>
              <w:rPr>
                <w:rFonts w:hint="eastAsia" w:ascii="仿宋" w:hAnsi="仿宋" w:eastAsia="仿宋" w:cs="仿宋"/>
                <w:strike w:val="0"/>
                <w:dstrike w:val="0"/>
                <w:snapToGrid w:val="0"/>
                <w:spacing w:val="-4"/>
                <w:sz w:val="24"/>
                <w:szCs w:val="24"/>
                <w:highlight w:val="none"/>
                <w:u w:val="none"/>
                <w:lang w:val="en-US" w:eastAsia="zh-CN"/>
              </w:rPr>
            </w:pPr>
            <w:r>
              <w:rPr>
                <w:rFonts w:hint="eastAsia" w:ascii="仿宋" w:hAnsi="仿宋" w:eastAsia="仿宋" w:cs="仿宋"/>
                <w:color w:val="auto"/>
                <w:sz w:val="24"/>
                <w:szCs w:val="24"/>
                <w:highlight w:val="none"/>
                <w:lang w:bidi="zh-CN"/>
              </w:rPr>
              <w:t>身体健康，无疾病</w:t>
            </w:r>
            <w:r>
              <w:rPr>
                <w:rFonts w:hint="eastAsia" w:ascii="仿宋" w:hAnsi="仿宋" w:eastAsia="仿宋" w:cs="仿宋"/>
                <w:color w:val="auto"/>
                <w:sz w:val="24"/>
                <w:szCs w:val="24"/>
                <w:highlight w:val="none"/>
                <w:lang w:eastAsia="zh-CN" w:bidi="zh-CN"/>
              </w:rPr>
              <w:t>，</w:t>
            </w:r>
            <w:r>
              <w:rPr>
                <w:rFonts w:hint="eastAsia" w:ascii="仿宋" w:hAnsi="仿宋" w:eastAsia="仿宋" w:cs="仿宋"/>
                <w:color w:val="auto"/>
                <w:sz w:val="24"/>
                <w:szCs w:val="24"/>
                <w:highlight w:val="none"/>
                <w:lang w:val="en-US" w:eastAsia="zh-CN" w:bidi="zh-CN"/>
              </w:rPr>
              <w:t>无犯罪前科</w:t>
            </w:r>
            <w:r>
              <w:rPr>
                <w:rFonts w:hint="eastAsia" w:ascii="仿宋" w:hAnsi="仿宋" w:eastAsia="仿宋" w:cs="仿宋"/>
                <w:color w:val="auto"/>
                <w:sz w:val="24"/>
                <w:szCs w:val="24"/>
                <w:highlight w:val="none"/>
                <w:lang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727" w:type="dxa"/>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4</w:t>
            </w:r>
          </w:p>
        </w:tc>
        <w:tc>
          <w:tcPr>
            <w:tcW w:w="1791" w:type="dxa"/>
            <w:noWrap w:val="0"/>
            <w:vAlign w:val="center"/>
          </w:tcPr>
          <w:p>
            <w:pPr>
              <w:widowControl/>
              <w:snapToGrid w:val="0"/>
              <w:spacing w:line="216" w:lineRule="auto"/>
              <w:jc w:val="center"/>
              <w:rPr>
                <w:rFonts w:hint="eastAsia" w:ascii="仿宋_GB2312" w:hAnsi="仿宋_GB2312" w:eastAsia="仿宋_GB2312" w:cs="仿宋_GB2312"/>
                <w:snapToGrid w:val="0"/>
                <w:spacing w:val="-4"/>
                <w:sz w:val="24"/>
                <w:lang w:val="en-US" w:eastAsia="zh-CN"/>
              </w:rPr>
            </w:pPr>
            <w:r>
              <w:rPr>
                <w:rFonts w:hint="eastAsia" w:ascii="仿宋_GB2312" w:hAnsi="仿宋_GB2312" w:eastAsia="仿宋_GB2312" w:cs="仿宋_GB2312"/>
                <w:snapToGrid w:val="0"/>
                <w:spacing w:val="-4"/>
                <w:sz w:val="24"/>
                <w:lang w:val="en-US" w:eastAsia="zh-CN"/>
              </w:rPr>
              <w:t>保洁员</w:t>
            </w:r>
          </w:p>
        </w:tc>
        <w:tc>
          <w:tcPr>
            <w:tcW w:w="709" w:type="dxa"/>
            <w:noWrap w:val="0"/>
            <w:vAlign w:val="center"/>
          </w:tcPr>
          <w:p>
            <w:pPr>
              <w:widowControl/>
              <w:snapToGrid w:val="0"/>
              <w:spacing w:line="216" w:lineRule="auto"/>
              <w:jc w:val="center"/>
              <w:rPr>
                <w:rFonts w:hint="default" w:ascii="仿宋_GB2312" w:hAnsi="仿宋_GB2312" w:eastAsia="仿宋_GB2312" w:cs="仿宋_GB2312"/>
                <w:snapToGrid w:val="0"/>
                <w:spacing w:val="-4"/>
                <w:sz w:val="24"/>
                <w:lang w:val="en-US" w:eastAsia="zh-CN"/>
              </w:rPr>
            </w:pPr>
            <w:r>
              <w:rPr>
                <w:rFonts w:hint="eastAsia" w:ascii="仿宋_GB2312" w:hAnsi="仿宋_GB2312" w:eastAsia="仿宋_GB2312" w:cs="仿宋_GB2312"/>
                <w:snapToGrid w:val="0"/>
                <w:spacing w:val="-4"/>
                <w:sz w:val="24"/>
                <w:lang w:val="en-US" w:eastAsia="zh-CN"/>
              </w:rPr>
              <w:t>3</w:t>
            </w:r>
          </w:p>
        </w:tc>
        <w:tc>
          <w:tcPr>
            <w:tcW w:w="5386" w:type="dxa"/>
            <w:noWrap w:val="0"/>
            <w:vAlign w:val="center"/>
          </w:tcPr>
          <w:p>
            <w:pPr>
              <w:spacing w:line="360" w:lineRule="auto"/>
              <w:rPr>
                <w:rFonts w:hint="eastAsia" w:ascii="仿宋" w:hAnsi="仿宋" w:eastAsia="仿宋" w:cs="仿宋"/>
                <w:snapToGrid w:val="0"/>
                <w:spacing w:val="-4"/>
                <w:sz w:val="24"/>
                <w:szCs w:val="24"/>
                <w:lang w:val="en-US" w:eastAsia="zh-CN"/>
              </w:rPr>
            </w:pPr>
            <w:r>
              <w:rPr>
                <w:rFonts w:hint="eastAsia" w:ascii="仿宋" w:hAnsi="仿宋" w:eastAsia="仿宋" w:cs="仿宋"/>
                <w:snapToGrid w:val="0"/>
                <w:spacing w:val="-4"/>
                <w:sz w:val="24"/>
                <w:szCs w:val="24"/>
                <w:lang w:val="en-US" w:eastAsia="zh-CN"/>
              </w:rPr>
              <w:t>身体健康，无犯罪前科。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727" w:type="dxa"/>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p>
        </w:tc>
        <w:tc>
          <w:tcPr>
            <w:tcW w:w="1791" w:type="dxa"/>
            <w:noWrap w:val="0"/>
            <w:vAlign w:val="center"/>
          </w:tcPr>
          <w:p>
            <w:pPr>
              <w:widowControl/>
              <w:snapToGrid w:val="0"/>
              <w:spacing w:line="216"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合计</w:t>
            </w:r>
          </w:p>
        </w:tc>
        <w:tc>
          <w:tcPr>
            <w:tcW w:w="709" w:type="dxa"/>
            <w:noWrap w:val="0"/>
            <w:vAlign w:val="center"/>
          </w:tcPr>
          <w:p>
            <w:pPr>
              <w:widowControl/>
              <w:snapToGrid w:val="0"/>
              <w:spacing w:line="216" w:lineRule="auto"/>
              <w:jc w:val="center"/>
              <w:rPr>
                <w:rFonts w:hint="default" w:ascii="仿宋_GB2312" w:hAnsi="仿宋_GB2312" w:eastAsia="仿宋_GB2312" w:cs="仿宋_GB2312"/>
                <w:snapToGrid w:val="0"/>
                <w:spacing w:val="-4"/>
                <w:sz w:val="24"/>
                <w:lang w:val="en-US" w:eastAsia="zh-CN"/>
              </w:rPr>
            </w:pPr>
            <w:r>
              <w:rPr>
                <w:rFonts w:hint="eastAsia" w:ascii="仿宋_GB2312" w:hAnsi="仿宋_GB2312" w:eastAsia="仿宋_GB2312" w:cs="仿宋_GB2312"/>
                <w:snapToGrid w:val="0"/>
                <w:spacing w:val="-4"/>
                <w:sz w:val="24"/>
                <w:lang w:val="en-US" w:eastAsia="zh-CN"/>
              </w:rPr>
              <w:t>17</w:t>
            </w:r>
          </w:p>
        </w:tc>
        <w:tc>
          <w:tcPr>
            <w:tcW w:w="5386" w:type="dxa"/>
            <w:noWrap w:val="0"/>
            <w:vAlign w:val="center"/>
          </w:tcPr>
          <w:p>
            <w:pPr>
              <w:spacing w:line="360" w:lineRule="auto"/>
              <w:rPr>
                <w:rFonts w:hint="eastAsia" w:ascii="仿宋" w:hAnsi="仿宋" w:eastAsia="仿宋" w:cs="仿宋"/>
                <w:color w:val="000000"/>
                <w:kern w:val="0"/>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
          <w:bCs/>
          <w:color w:val="000000"/>
          <w:kern w:val="0"/>
          <w:sz w:val="28"/>
          <w:szCs w:val="28"/>
          <w:u w:val="single"/>
        </w:rPr>
        <w:t>注：人员岗位配置表中划线部分须提供相关证书复印件。</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0" w:left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岗位</w:t>
      </w:r>
      <w:r>
        <w:rPr>
          <w:rFonts w:hint="eastAsia" w:ascii="仿宋_GB2312" w:hAnsi="仿宋_GB2312" w:eastAsia="仿宋_GB2312" w:cs="仿宋_GB2312"/>
          <w:color w:val="000000"/>
          <w:kern w:val="0"/>
          <w:sz w:val="28"/>
          <w:szCs w:val="28"/>
        </w:rPr>
        <w:t>服务内容及要求：</w:t>
      </w:r>
    </w:p>
    <w:p>
      <w:pPr>
        <w:spacing w:line="360" w:lineRule="auto"/>
        <w:ind w:firstLine="562" w:firstLineChars="200"/>
        <w:rPr>
          <w:rFonts w:hint="eastAsia" w:ascii="仿宋" w:hAnsi="仿宋" w:eastAsia="仿宋" w:cs="仿宋"/>
          <w:b/>
          <w:bCs/>
          <w:sz w:val="28"/>
          <w:szCs w:val="28"/>
          <w:lang w:val="en-US" w:eastAsia="zh-CN"/>
          <w14:ligatures w14:val="none"/>
        </w:rPr>
      </w:pPr>
      <w:r>
        <w:rPr>
          <w:rFonts w:hint="eastAsia" w:ascii="仿宋" w:hAnsi="仿宋" w:eastAsia="仿宋" w:cs="仿宋"/>
          <w:b/>
          <w:bCs/>
          <w:sz w:val="28"/>
          <w:szCs w:val="28"/>
          <w:lang w:val="en-US" w:eastAsia="zh-CN"/>
          <w14:ligatures w14:val="none"/>
        </w:rPr>
        <w:t>1、保安：</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（1）实施24小时全面防范，“三岗”结合，即巡逻岗、守卫岗、监控岗联合防范，做好点、线、面的配合与互动。</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（2）保安员巡逻统筹安排，根据学校的地形、地貌、建筑及功能布局，合理制定学校的安全护卫巡逻路线与时段，并随时对巡逻进行有效监控。</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（3）门岗建立外来人员来访、车辆和物资出入登记制度，确保校区无广告推销、广告张贴及拾荒等现象。</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（4）所有在岗秩序维护队员都须配备对讲机，发现异常情况及时汇报、沟通，确保无重大刑事案件、火灾或交通事故；事故处理及时率100%。</w:t>
      </w:r>
    </w:p>
    <w:p>
      <w:pPr>
        <w:spacing w:line="360" w:lineRule="auto"/>
        <w:ind w:firstLine="562" w:firstLineChars="200"/>
        <w:rPr>
          <w:rFonts w:hint="eastAsia" w:ascii="仿宋" w:hAnsi="仿宋" w:eastAsia="仿宋" w:cs="仿宋"/>
          <w:b/>
          <w:bCs/>
          <w:sz w:val="28"/>
          <w:szCs w:val="28"/>
          <w:lang w:val="en-US" w:eastAsia="zh-CN"/>
          <w14:ligatures w14:val="none"/>
        </w:rPr>
      </w:pPr>
      <w:r>
        <w:rPr>
          <w:rFonts w:hint="eastAsia" w:ascii="仿宋" w:hAnsi="仿宋" w:eastAsia="仿宋" w:cs="仿宋"/>
          <w:b/>
          <w:bCs/>
          <w:sz w:val="28"/>
          <w:szCs w:val="28"/>
          <w:lang w:val="en-US" w:eastAsia="zh-CN"/>
          <w14:ligatures w14:val="none"/>
        </w:rPr>
        <w:t>2、食堂人员</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食堂厨师长1名，厨师必须持有厨师证上岗，食堂从业人员必须身体健康、品貌端正，能吃苦耐劳，工作勤恳负责，品行端正，个人卫生好，无不良记录和嗜好，会烹饪家常菜。其中厨师精通厨艺，能按采购方要求烹饪各类特色菜。</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服务要求：</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（1）保证采购人所有人员每日的正常就餐，全年实行有序轮休制。</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2）全面负责食堂食品安全、消防安全、成本控制等工作，保证食品安全卫生，无过期变质食品，杜绝食品中毒事故的发生。所有食堂人员统一着装上岗，工作服装要求干净整洁，无明显污渍，并及时清洗清理工作服装，讲究个人卫生；用餐服务中佩戴口罩或其他防护用具。</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（3）严格按照《中华人民共和国食品卫生法》和</w:t>
      </w:r>
      <w:r>
        <w:rPr>
          <w:rFonts w:hint="eastAsia" w:ascii="仿宋" w:hAnsi="仿宋" w:eastAsia="仿宋" w:cs="仿宋"/>
          <w:sz w:val="28"/>
          <w:szCs w:val="28"/>
          <w:lang w:val="en-US" w:eastAsia="zh-CN"/>
          <w14:ligatures w14:val="none"/>
        </w:rPr>
        <w:t>学校</w:t>
      </w:r>
      <w:r>
        <w:rPr>
          <w:rFonts w:hint="eastAsia" w:ascii="仿宋" w:hAnsi="仿宋" w:eastAsia="仿宋" w:cs="仿宋"/>
          <w:sz w:val="28"/>
          <w:szCs w:val="28"/>
          <w14:ligatures w14:val="none"/>
        </w:rPr>
        <w:t>服务机构有关要求规定，建立严格的日常操作和管理制度。</w:t>
      </w:r>
    </w:p>
    <w:p>
      <w:pPr>
        <w:spacing w:line="360" w:lineRule="auto"/>
        <w:ind w:firstLine="480"/>
        <w:rPr>
          <w:rFonts w:hint="eastAsia" w:ascii="仿宋" w:hAnsi="仿宋" w:eastAsia="仿宋" w:cs="仿宋"/>
          <w:sz w:val="28"/>
          <w:szCs w:val="28"/>
          <w:lang w:eastAsia="zh-CN"/>
          <w14:ligatures w14:val="none"/>
        </w:rPr>
      </w:pPr>
      <w:r>
        <w:rPr>
          <w:rFonts w:hint="eastAsia" w:ascii="仿宋" w:hAnsi="仿宋" w:eastAsia="仿宋" w:cs="仿宋"/>
          <w:sz w:val="28"/>
          <w:szCs w:val="28"/>
          <w14:ligatures w14:val="none"/>
        </w:rPr>
        <w:t>（4）合理制定菜单，必须做到饭菜卫生，要适合</w:t>
      </w:r>
      <w:r>
        <w:rPr>
          <w:rFonts w:hint="eastAsia" w:ascii="仿宋" w:hAnsi="仿宋" w:eastAsia="仿宋" w:cs="仿宋"/>
          <w:sz w:val="28"/>
          <w:szCs w:val="28"/>
          <w:lang w:val="en-US" w:eastAsia="zh-CN"/>
          <w14:ligatures w14:val="none"/>
        </w:rPr>
        <w:t>学校</w:t>
      </w:r>
      <w:r>
        <w:rPr>
          <w:rFonts w:hint="eastAsia" w:ascii="仿宋" w:hAnsi="仿宋" w:eastAsia="仿宋" w:cs="仿宋"/>
          <w:sz w:val="28"/>
          <w:szCs w:val="28"/>
          <w14:ligatures w14:val="none"/>
        </w:rPr>
        <w:t>服务机构特点的口味，荤素搭配合理</w:t>
      </w:r>
      <w:r>
        <w:rPr>
          <w:rFonts w:hint="eastAsia" w:ascii="仿宋" w:hAnsi="仿宋" w:eastAsia="仿宋" w:cs="仿宋"/>
          <w:sz w:val="28"/>
          <w:szCs w:val="28"/>
          <w:lang w:eastAsia="zh-CN"/>
          <w14:ligatures w14:val="none"/>
        </w:rPr>
        <w:t>。</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（5）所有厨房员工必须节约用水、用电、油、燃料等，注意消防安全，要做到人走灯灭、水停、门关，所有厨房燃料关好阀门，各种菜式收捡好方可下班。</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6）厨房清洁建立岗位责任制，所有日常用厨具每天在工作后都必须进行严格消毒清洗时要做到一洗、二刷、三冲、四消毒、五保洁，在消毒后要加盖保管，防止再污染，未经消毒的厨具不得使用。注意各种厨具轻拿轻放，避免餐具损坏、打破等现象，保证餐具清洗干净、卫生。</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（7）积极帮助完成采购人授权的食堂食材采购工作，做到食材新鲜、价廉物美、不缺斤短量、票据真实。</w:t>
      </w:r>
    </w:p>
    <w:p>
      <w:pPr>
        <w:spacing w:line="360" w:lineRule="auto"/>
        <w:ind w:firstLine="562" w:firstLineChars="200"/>
        <w:rPr>
          <w:rFonts w:hint="eastAsia" w:ascii="仿宋" w:hAnsi="仿宋" w:eastAsia="仿宋" w:cs="仿宋"/>
          <w:b/>
          <w:bCs/>
          <w:sz w:val="28"/>
          <w:szCs w:val="28"/>
          <w:lang w:val="en-US" w:eastAsia="zh-CN"/>
          <w14:ligatures w14:val="none"/>
        </w:rPr>
      </w:pPr>
      <w:r>
        <w:rPr>
          <w:rFonts w:hint="eastAsia" w:ascii="仿宋" w:hAnsi="仿宋" w:eastAsia="仿宋" w:cs="仿宋"/>
          <w:b/>
          <w:bCs/>
          <w:sz w:val="28"/>
          <w:szCs w:val="28"/>
          <w:lang w:val="en-US" w:eastAsia="zh-CN"/>
          <w14:ligatures w14:val="none"/>
        </w:rPr>
        <w:t>3、保洁员：</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（1）创建环境：运用公共标识、宣传栏等多种形式做好卫生宣传工作，大力宣扬良好的卫生习惯、爱护各种卫生设施及保持公共场所清洁卫生的行为。</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（2）维护环境：根据校区工作生活特点，把握不同区域、不同时段的环境维护特性，从时间和空间上划分工作重点，合理安排保洁工作时间和频次，适时、高效地开展环境保洁工作。</w:t>
      </w:r>
    </w:p>
    <w:p>
      <w:pPr>
        <w:spacing w:line="360" w:lineRule="auto"/>
        <w:ind w:firstLine="480"/>
        <w:rPr>
          <w:rFonts w:hint="eastAsia" w:ascii="仿宋" w:hAnsi="仿宋" w:eastAsia="仿宋" w:cs="仿宋"/>
          <w:sz w:val="28"/>
          <w:szCs w:val="28"/>
          <w14:ligatures w14:val="none"/>
        </w:rPr>
      </w:pPr>
      <w:r>
        <w:rPr>
          <w:rFonts w:hint="eastAsia" w:ascii="仿宋" w:hAnsi="仿宋" w:eastAsia="仿宋" w:cs="仿宋"/>
          <w:sz w:val="28"/>
          <w:szCs w:val="28"/>
          <w14:ligatures w14:val="none"/>
        </w:rPr>
        <w:t>（3）改善和提升环境：针对气候特点和各种常见有害微生物的习性，采取视察诊断、作业效果跟踪确认等步骤进行调查分析，制定对策，定期对老鼠、蚊、蝇及白蚁等有害生物进行消杀，以防治有害生物的滋生和各种不同类型灾害发生，通过“清洁、改造、消杀、隔离”等步骤使内、外环境得到改善。</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0" w:left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服务内容：</w:t>
      </w:r>
    </w:p>
    <w:tbl>
      <w:tblPr>
        <w:tblStyle w:val="67"/>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1198"/>
        <w:gridCol w:w="6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r>
              <w:rPr>
                <w:rFonts w:hint="eastAsia" w:ascii="仿宋" w:hAnsi="仿宋" w:eastAsia="仿宋" w:cs="仿宋"/>
                <w:sz w:val="28"/>
                <w:szCs w:val="28"/>
                <w14:ligatures w14:val="none"/>
              </w:rPr>
              <w:t>项目</w:t>
            </w: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14:ligatures w14:val="none"/>
              </w:rPr>
            </w:pPr>
            <w:r>
              <w:rPr>
                <w:rFonts w:hint="eastAsia" w:ascii="仿宋" w:hAnsi="仿宋" w:eastAsia="仿宋" w:cs="仿宋"/>
                <w:sz w:val="28"/>
                <w:szCs w:val="28"/>
                <w14:ligatures w14:val="none"/>
              </w:rPr>
              <w:t>区域主要范围</w:t>
            </w:r>
          </w:p>
        </w:tc>
        <w:tc>
          <w:tcPr>
            <w:tcW w:w="694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r>
              <w:rPr>
                <w:rFonts w:hint="eastAsia" w:ascii="仿宋" w:hAnsi="仿宋" w:eastAsia="仿宋" w:cs="仿宋"/>
                <w:sz w:val="28"/>
                <w:szCs w:val="28"/>
                <w14:ligatures w14:val="none"/>
              </w:rPr>
              <w:t>作业内容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14:ligatures w14:val="none"/>
              </w:rPr>
            </w:pPr>
            <w:r>
              <w:rPr>
                <w:rFonts w:hint="eastAsia" w:ascii="仿宋" w:hAnsi="仿宋" w:eastAsia="仿宋" w:cs="仿宋"/>
                <w:sz w:val="28"/>
                <w:szCs w:val="28"/>
                <w14:ligatures w14:val="none"/>
              </w:rPr>
              <w:t>保洁</w:t>
            </w: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14:ligatures w14:val="none"/>
              </w:rPr>
            </w:pPr>
            <w:r>
              <w:rPr>
                <w:rFonts w:hint="eastAsia" w:ascii="仿宋" w:hAnsi="仿宋" w:eastAsia="仿宋" w:cs="仿宋"/>
                <w:sz w:val="28"/>
                <w:szCs w:val="28"/>
                <w14:ligatures w14:val="none"/>
              </w:rPr>
              <w:t>行政楼</w:t>
            </w:r>
          </w:p>
        </w:tc>
        <w:tc>
          <w:tcPr>
            <w:tcW w:w="694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sz w:val="28"/>
                <w:szCs w:val="28"/>
                <w14:ligatures w14:val="none"/>
              </w:rPr>
            </w:pPr>
            <w:r>
              <w:rPr>
                <w:rFonts w:hint="eastAsia" w:ascii="仿宋" w:hAnsi="仿宋" w:eastAsia="仿宋" w:cs="仿宋"/>
                <w:sz w:val="28"/>
                <w:szCs w:val="28"/>
                <w14:ligatures w14:val="none"/>
              </w:rPr>
              <w:t>1.走廊、楼梯每日至少一次推尘，保证地面干净、有光泽、无污渍垃圾。2.垃圾每天日清两次，垃圾桶无污渍、无异味。3.电源开关、扶手、栏杆每日擦拭一次，保证无积灰。4.卫生间保洁5.会议室、办公室、门窗、地面保洁。6.确保整个建筑及周边可视范围内无积尘、无蜘蛛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3" w:hRule="atLeast"/>
        </w:trPr>
        <w:tc>
          <w:tcPr>
            <w:tcW w:w="8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14:ligatures w14:val="none"/>
              </w:rPr>
            </w:pPr>
            <w:r>
              <w:rPr>
                <w:rFonts w:hint="eastAsia" w:ascii="仿宋" w:hAnsi="仿宋" w:eastAsia="仿宋" w:cs="仿宋"/>
                <w:sz w:val="28"/>
                <w:szCs w:val="28"/>
                <w14:ligatures w14:val="none"/>
              </w:rPr>
              <w:t>食堂</w:t>
            </w: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14:ligatures w14:val="none"/>
              </w:rPr>
            </w:pPr>
            <w:r>
              <w:rPr>
                <w:rFonts w:hint="eastAsia" w:ascii="仿宋" w:hAnsi="仿宋" w:eastAsia="仿宋" w:cs="仿宋"/>
                <w:sz w:val="28"/>
                <w:szCs w:val="28"/>
                <w14:ligatures w14:val="none"/>
              </w:rPr>
              <w:t>校园食堂</w:t>
            </w:r>
          </w:p>
        </w:tc>
        <w:tc>
          <w:tcPr>
            <w:tcW w:w="694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rPr>
                <w:rFonts w:hint="eastAsia" w:ascii="仿宋" w:hAnsi="仿宋" w:eastAsia="仿宋" w:cs="仿宋"/>
                <w:sz w:val="28"/>
                <w:szCs w:val="28"/>
                <w:lang w:eastAsia="zh-CN"/>
                <w14:ligatures w14:val="none"/>
              </w:rPr>
            </w:pPr>
            <w:r>
              <w:rPr>
                <w:rFonts w:hint="eastAsia" w:ascii="仿宋" w:hAnsi="仿宋" w:eastAsia="仿宋" w:cs="仿宋"/>
                <w:sz w:val="28"/>
                <w:szCs w:val="28"/>
                <w14:ligatures w14:val="none"/>
              </w:rPr>
              <w:t>1.保证服务单位全体人员正常就餐，饭菜可口、卫生，营养均衡。2.食堂保持干净、整洁，厨用具、餐具必须及时清洗消毒；节约用水、电、燃气和用料，杜绝消防等各类事故发生。3.严格采购食物标准，要求营养、荤素、新鲜等搭配</w:t>
            </w:r>
            <w:r>
              <w:rPr>
                <w:rFonts w:hint="eastAsia" w:ascii="仿宋" w:hAnsi="仿宋" w:eastAsia="仿宋" w:cs="仿宋"/>
                <w:sz w:val="28"/>
                <w:szCs w:val="28"/>
                <w:lang w:eastAsia="zh-CN"/>
                <w14:ligatures w14:val="none"/>
              </w:rPr>
              <w:t>。</w:t>
            </w:r>
          </w:p>
          <w:p>
            <w:pPr>
              <w:spacing w:line="360" w:lineRule="auto"/>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仿宋" w:hAnsi="仿宋" w:eastAsia="仿宋" w:cs="仿宋"/>
                <w:sz w:val="28"/>
                <w:szCs w:val="28"/>
                <w14:ligatures w14:val="none"/>
              </w:rPr>
            </w:pPr>
            <w:r>
              <w:rPr>
                <w:rFonts w:hint="eastAsia" w:ascii="仿宋" w:hAnsi="仿宋" w:eastAsia="仿宋" w:cs="仿宋"/>
                <w:sz w:val="28"/>
                <w:szCs w:val="28"/>
                <w14:ligatures w14:val="none"/>
              </w:rPr>
              <w:t>秩序维护</w:t>
            </w: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8"/>
                <w:szCs w:val="28"/>
                <w14:ligatures w14:val="none"/>
              </w:rPr>
            </w:pPr>
            <w:r>
              <w:rPr>
                <w:rFonts w:hint="eastAsia" w:ascii="仿宋" w:hAnsi="仿宋" w:eastAsia="仿宋" w:cs="仿宋"/>
                <w:sz w:val="28"/>
                <w:szCs w:val="28"/>
                <w14:ligatures w14:val="none"/>
              </w:rPr>
              <w:t>门卫校园安全</w:t>
            </w:r>
          </w:p>
        </w:tc>
        <w:tc>
          <w:tcPr>
            <w:tcW w:w="6946" w:type="dxa"/>
            <w:tcBorders>
              <w:top w:val="single" w:color="000000" w:sz="4" w:space="0"/>
              <w:left w:val="single" w:color="000000" w:sz="4" w:space="0"/>
              <w:bottom w:val="single" w:color="000000" w:sz="4" w:space="0"/>
              <w:right w:val="single" w:color="000000" w:sz="4" w:space="0"/>
            </w:tcBorders>
          </w:tcPr>
          <w:p>
            <w:pPr>
              <w:spacing w:line="360" w:lineRule="auto"/>
              <w:ind w:firstLine="560" w:firstLineChars="200"/>
              <w:rPr>
                <w:rFonts w:ascii="宋体" w:hAnsi="宋体" w:eastAsia="宋体" w:cs="宋体"/>
                <w:sz w:val="28"/>
                <w:szCs w:val="28"/>
                <w14:ligatures w14:val="none"/>
              </w:rPr>
            </w:pPr>
            <w:r>
              <w:rPr>
                <w:rFonts w:hint="eastAsia" w:ascii="仿宋" w:hAnsi="仿宋" w:eastAsia="仿宋" w:cs="仿宋"/>
                <w:sz w:val="28"/>
                <w:szCs w:val="28"/>
                <w14:ligatures w14:val="none"/>
              </w:rPr>
              <w:t>要求有3人安保力量，24小时在岗，定时巡查校园安全，并做好校内各个开关门，晚间教学楼、行政楼节能、报刊信件收发工作等。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8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仿宋" w:hAnsi="仿宋" w:eastAsia="仿宋" w:cs="仿宋"/>
                <w:sz w:val="28"/>
                <w:szCs w:val="28"/>
                <w14:ligatures w14:val="none"/>
              </w:rPr>
            </w:pPr>
            <w:r>
              <w:rPr>
                <w:rFonts w:hint="eastAsia" w:ascii="仿宋" w:hAnsi="仿宋" w:eastAsia="仿宋" w:cs="仿宋"/>
                <w:sz w:val="28"/>
                <w:szCs w:val="28"/>
                <w14:ligatures w14:val="none"/>
              </w:rPr>
              <w:t>临时</w:t>
            </w:r>
          </w:p>
          <w:p>
            <w:pPr>
              <w:spacing w:line="360" w:lineRule="auto"/>
              <w:rPr>
                <w:rFonts w:hint="eastAsia" w:ascii="仿宋" w:hAnsi="仿宋" w:eastAsia="仿宋" w:cs="仿宋"/>
                <w:sz w:val="28"/>
                <w:szCs w:val="28"/>
                <w14:ligatures w14:val="none"/>
              </w:rPr>
            </w:pPr>
            <w:r>
              <w:rPr>
                <w:rFonts w:hint="eastAsia" w:ascii="仿宋" w:hAnsi="仿宋" w:eastAsia="仿宋" w:cs="仿宋"/>
                <w:sz w:val="28"/>
                <w:szCs w:val="28"/>
                <w14:ligatures w14:val="none"/>
              </w:rPr>
              <w:t>工</w:t>
            </w:r>
          </w:p>
          <w:p>
            <w:pPr>
              <w:spacing w:line="360" w:lineRule="auto"/>
              <w:rPr>
                <w:rFonts w:ascii="宋体" w:hAnsi="宋体" w:eastAsia="宋体" w:cs="宋体"/>
                <w:sz w:val="28"/>
                <w:szCs w:val="28"/>
                <w14:ligatures w14:val="none"/>
              </w:rPr>
            </w:pPr>
            <w:r>
              <w:rPr>
                <w:rFonts w:hint="eastAsia" w:ascii="仿宋" w:hAnsi="仿宋" w:eastAsia="仿宋" w:cs="仿宋"/>
                <w:sz w:val="28"/>
                <w:szCs w:val="28"/>
                <w14:ligatures w14:val="none"/>
              </w:rPr>
              <w:t>作</w:t>
            </w:r>
          </w:p>
        </w:tc>
        <w:tc>
          <w:tcPr>
            <w:tcW w:w="814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560" w:firstLineChars="200"/>
              <w:rPr>
                <w:rFonts w:ascii="宋体" w:hAnsi="宋体" w:eastAsia="宋体" w:cs="宋体"/>
                <w:sz w:val="28"/>
                <w:szCs w:val="28"/>
                <w14:ligatures w14:val="none"/>
              </w:rPr>
            </w:pPr>
            <w:r>
              <w:rPr>
                <w:rFonts w:hint="eastAsia" w:ascii="仿宋" w:hAnsi="仿宋" w:eastAsia="仿宋" w:cs="仿宋"/>
                <w:sz w:val="28"/>
                <w:szCs w:val="28"/>
                <w14:ligatures w14:val="none"/>
              </w:rPr>
              <w:t>完成学校安排的临时性工作，如试场布置，卫生大扫除，搬运物品等。</w:t>
            </w:r>
          </w:p>
        </w:tc>
      </w:tr>
    </w:tbl>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eastAsia="zh-CN"/>
        </w:rPr>
        <w:t>三</w:t>
      </w:r>
      <w:r>
        <w:rPr>
          <w:rFonts w:hint="eastAsia" w:ascii="仿宋_GB2312" w:hAnsi="仿宋_GB2312" w:eastAsia="仿宋_GB2312" w:cs="仿宋_GB2312"/>
          <w:b/>
          <w:bCs/>
          <w:color w:val="000000"/>
          <w:kern w:val="0"/>
          <w:sz w:val="28"/>
          <w:szCs w:val="28"/>
        </w:rPr>
        <w:t>、其他</w:t>
      </w:r>
    </w:p>
    <w:p>
      <w:pPr>
        <w:spacing w:line="360" w:lineRule="auto"/>
        <w:ind w:firstLine="548" w:firstLineChars="196"/>
        <w:rPr>
          <w:rFonts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kern w:val="0"/>
          <w:sz w:val="28"/>
          <w:szCs w:val="28"/>
        </w:rPr>
        <w:t>日常保洁项目所需耗材及各类工具设备由中标供应商负责提供，学校师生日常所用物品由学校自行解决。</w:t>
      </w:r>
    </w:p>
    <w:p>
      <w:pPr>
        <w:spacing w:line="360" w:lineRule="auto"/>
        <w:ind w:firstLine="551" w:firstLineChars="196"/>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eastAsia="zh-CN"/>
        </w:rPr>
        <w:t>四</w:t>
      </w:r>
      <w:r>
        <w:rPr>
          <w:rFonts w:hint="eastAsia" w:ascii="仿宋_GB2312" w:hAnsi="仿宋_GB2312" w:eastAsia="仿宋_GB2312" w:cs="仿宋_GB2312"/>
          <w:b/>
          <w:bCs/>
          <w:color w:val="000000"/>
          <w:kern w:val="0"/>
          <w:sz w:val="28"/>
          <w:szCs w:val="28"/>
        </w:rPr>
        <w:t>、商务条款</w:t>
      </w:r>
    </w:p>
    <w:p>
      <w:pPr>
        <w:ind w:firstLine="560" w:firstLineChars="200"/>
        <w:rPr>
          <w:rFonts w:hint="eastAsia" w:ascii="仿宋_GB2312" w:hAnsi="仿宋_GB2312" w:eastAsia="仿宋_GB2312" w:cs="仿宋_GB2312"/>
          <w:color w:val="auto"/>
          <w:kern w:val="0"/>
          <w:sz w:val="28"/>
          <w:szCs w:val="28"/>
          <w:highlight w:val="yellow"/>
        </w:rPr>
      </w:pPr>
      <w:r>
        <w:rPr>
          <w:rFonts w:hint="eastAsia" w:ascii="仿宋" w:hAnsi="仿宋" w:eastAsia="仿宋" w:cs="仿宋"/>
          <w:color w:val="auto"/>
          <w:kern w:val="2"/>
          <w:sz w:val="28"/>
          <w:szCs w:val="28"/>
          <w:lang w:val="en-US" w:eastAsia="zh-CN" w:bidi="ar-SA"/>
        </w:rPr>
        <w:t>1、本次招标服务期限为一年，一年期满后经采购人年度考核合格，双方协商一致，报相关主管部门备案，可续签下一年度合同，最多可续签二年。合同期间和续签合同期间的服务要求和合同价格不变。</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2、预付款：在合同生效以及具备实施条件后7</w:t>
      </w:r>
      <w:r>
        <w:rPr>
          <w:rFonts w:hint="eastAsia" w:ascii="仿宋_GB2312" w:hAnsi="仿宋_GB2312" w:eastAsia="仿宋_GB2312" w:cs="仿宋_GB2312"/>
          <w:color w:val="000000"/>
          <w:kern w:val="0"/>
          <w:sz w:val="28"/>
          <w:szCs w:val="28"/>
          <w:lang w:eastAsia="zh-CN"/>
        </w:rPr>
        <w:t>个工作日</w:t>
      </w:r>
      <w:r>
        <w:rPr>
          <w:rFonts w:hint="eastAsia" w:ascii="仿宋_GB2312" w:hAnsi="仿宋_GB2312" w:eastAsia="仿宋_GB2312" w:cs="仿宋_GB2312"/>
          <w:color w:val="000000"/>
          <w:kern w:val="0"/>
          <w:sz w:val="28"/>
          <w:szCs w:val="28"/>
        </w:rPr>
        <w:t>内，采购人向中标方支付合同金额</w:t>
      </w:r>
      <w:r>
        <w:rPr>
          <w:rFonts w:hint="eastAsia" w:ascii="仿宋_GB2312" w:hAnsi="仿宋_GB2312" w:eastAsia="仿宋_GB2312" w:cs="仿宋_GB2312"/>
          <w:color w:val="000000"/>
          <w:kern w:val="0"/>
          <w:sz w:val="28"/>
          <w:szCs w:val="28"/>
          <w:highlight w:val="none"/>
          <w:lang w:val="en-US" w:eastAsia="zh-CN"/>
        </w:rPr>
        <w:t>40</w:t>
      </w:r>
      <w:r>
        <w:rPr>
          <w:rFonts w:hint="eastAsia" w:ascii="仿宋_GB2312" w:hAnsi="仿宋_GB2312" w:eastAsia="仿宋_GB2312" w:cs="仿宋_GB2312"/>
          <w:color w:val="000000"/>
          <w:kern w:val="0"/>
          <w:sz w:val="28"/>
          <w:szCs w:val="28"/>
          <w:highlight w:val="none"/>
        </w:rPr>
        <w:t>%的预付款</w:t>
      </w:r>
      <w:r>
        <w:rPr>
          <w:rFonts w:hint="eastAsia" w:ascii="仿宋_GB2312" w:hAnsi="仿宋_GB2312" w:eastAsia="仿宋_GB2312" w:cs="仿宋_GB2312"/>
          <w:color w:val="000000"/>
          <w:kern w:val="0"/>
          <w:sz w:val="28"/>
          <w:szCs w:val="28"/>
        </w:rPr>
        <w:t>。下一年度预付时间为次年相对应月份，以此类推；当年度预付款尚未扣回的，次年不重复安排。在签订合同时，供应商明确表示无需预付款或者主动要求降低预付款比例的，采购单位可不适用前述规定。</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3、履约保证金：如需收取履约保证金，最高比例不得超过合同金额的1%，由甲乙双方在合同中自行约定退回的方式和时间。履约保证金可以现金或银行、保险公司出具的保函形式提交。</w:t>
      </w:r>
    </w:p>
    <w:p>
      <w:pPr>
        <w:pStyle w:val="66"/>
        <w:ind w:left="0" w:leftChars="0" w:firstLine="560"/>
        <w:rPr>
          <w:rFonts w:hint="eastAsia"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4、费用结算为每季度结算。剩余合同价款平均分四次，经考核合格后于次月10日前结算，结算时中标方需提供合法票据，采购人自收到发票后7个工作日内将资金支付到合同约定的</w:t>
      </w:r>
      <w:r>
        <w:rPr>
          <w:rFonts w:hint="eastAsia" w:ascii="仿宋_GB2312" w:hAnsi="仿宋_GB2312" w:eastAsia="仿宋_GB2312" w:cs="仿宋_GB2312"/>
          <w:color w:val="000000"/>
          <w:kern w:val="0"/>
          <w:szCs w:val="28"/>
          <w:lang w:eastAsia="zh-CN"/>
        </w:rPr>
        <w:t>供应商</w:t>
      </w:r>
      <w:r>
        <w:rPr>
          <w:rFonts w:hint="eastAsia" w:ascii="仿宋_GB2312" w:hAnsi="仿宋_GB2312" w:eastAsia="仿宋_GB2312" w:cs="仿宋_GB2312"/>
          <w:color w:val="000000"/>
          <w:kern w:val="0"/>
          <w:szCs w:val="28"/>
        </w:rPr>
        <w:t>账户。在遵守相关法律法规的前提下，总公司中标后，若具体服务全部由项目属地所在分公司提供，且服务质量不低于投标承诺的，经中标方与采购人协商一致，可由分公司开具发票，相关事宜由双方在采购合同中予以约定。</w:t>
      </w:r>
    </w:p>
    <w:p>
      <w:pPr>
        <w:pStyle w:val="66"/>
        <w:keepNext w:val="0"/>
        <w:keepLines w:val="0"/>
        <w:pageBreakBefore w:val="0"/>
        <w:widowControl w:val="0"/>
        <w:kinsoku/>
        <w:wordWrap/>
        <w:overflowPunct/>
        <w:topLinePunct w:val="0"/>
        <w:autoSpaceDE/>
        <w:autoSpaceDN/>
        <w:bidi w:val="0"/>
        <w:adjustRightInd/>
        <w:snapToGrid/>
        <w:ind w:left="0" w:leftChars="0" w:firstLine="560"/>
        <w:textAlignment w:val="auto"/>
        <w:rPr>
          <w:rFonts w:hint="eastAsia" w:ascii="仿宋_GB2312" w:hAnsi="仿宋_GB2312" w:eastAsia="仿宋_GB2312" w:cs="仿宋_GB2312"/>
          <w:color w:val="000000"/>
          <w:kern w:val="0"/>
          <w:szCs w:val="28"/>
          <w:lang w:eastAsia="zh-CN"/>
        </w:rPr>
      </w:pPr>
      <w:r>
        <w:rPr>
          <w:rFonts w:hint="eastAsia" w:ascii="仿宋_GB2312" w:hAnsi="仿宋_GB2312" w:eastAsia="仿宋_GB2312" w:cs="仿宋_GB2312"/>
          <w:color w:val="000000"/>
          <w:kern w:val="0"/>
          <w:szCs w:val="28"/>
          <w:lang w:val="en-US" w:eastAsia="zh-CN"/>
        </w:rPr>
        <w:t>5</w:t>
      </w:r>
      <w:r>
        <w:rPr>
          <w:rFonts w:hint="eastAsia" w:ascii="仿宋_GB2312" w:hAnsi="仿宋_GB2312" w:eastAsia="仿宋_GB2312" w:cs="仿宋_GB2312"/>
          <w:color w:val="000000"/>
          <w:kern w:val="0"/>
          <w:szCs w:val="28"/>
        </w:rPr>
        <w:t>、中标方须在合同签订前向采购人提供本项目投入人员具体名单</w:t>
      </w:r>
      <w:r>
        <w:rPr>
          <w:rFonts w:hint="eastAsia" w:ascii="仿宋_GB2312" w:hAnsi="仿宋_GB2312" w:eastAsia="仿宋_GB2312" w:cs="仿宋_GB2312"/>
          <w:color w:val="000000"/>
          <w:kern w:val="0"/>
          <w:szCs w:val="28"/>
          <w:lang w:eastAsia="zh-CN"/>
        </w:rPr>
        <w:t>。</w:t>
      </w:r>
    </w:p>
    <w:p>
      <w:pPr>
        <w:pStyle w:val="66"/>
        <w:keepNext w:val="0"/>
        <w:keepLines w:val="0"/>
        <w:pageBreakBefore w:val="0"/>
        <w:widowControl w:val="0"/>
        <w:kinsoku/>
        <w:wordWrap/>
        <w:overflowPunct/>
        <w:topLinePunct w:val="0"/>
        <w:autoSpaceDE/>
        <w:autoSpaceDN/>
        <w:bidi w:val="0"/>
        <w:adjustRightInd/>
        <w:snapToGrid/>
        <w:ind w:left="0" w:leftChars="0" w:firstLine="560"/>
        <w:textAlignment w:val="auto"/>
        <w:rPr>
          <w:rFonts w:hint="eastAsia" w:ascii="仿宋_GB2312" w:hAnsi="仿宋_GB2312" w:eastAsia="仿宋_GB2312" w:cs="仿宋_GB2312"/>
          <w:color w:val="000000"/>
          <w:kern w:val="0"/>
          <w:szCs w:val="28"/>
          <w:lang w:val="en-US" w:eastAsia="zh-CN"/>
        </w:rPr>
      </w:pPr>
      <w:r>
        <w:rPr>
          <w:rFonts w:hint="eastAsia" w:ascii="仿宋_GB2312" w:hAnsi="仿宋_GB2312" w:eastAsia="仿宋_GB2312" w:cs="仿宋_GB2312"/>
          <w:color w:val="000000"/>
          <w:kern w:val="0"/>
          <w:szCs w:val="28"/>
          <w:lang w:val="en-US" w:eastAsia="zh-CN"/>
        </w:rPr>
        <w:t>6、</w:t>
      </w:r>
      <w:r>
        <w:rPr>
          <w:rFonts w:hint="eastAsia" w:ascii="仿宋_GB2312" w:hAnsi="仿宋_GB2312" w:eastAsia="仿宋_GB2312" w:cs="仿宋_GB2312"/>
          <w:color w:val="000000"/>
          <w:kern w:val="0"/>
          <w:szCs w:val="28"/>
        </w:rPr>
        <w:t>中标方提供的所有配置岗位人员的劳动争议、工伤事故和一切意外伤害均由中标方自行全权负责，相关费用由中标方自行承担。</w:t>
      </w:r>
      <w:r>
        <w:rPr>
          <w:rFonts w:hint="eastAsia" w:ascii="仿宋_GB2312" w:hAnsi="仿宋_GB2312" w:eastAsia="仿宋_GB2312" w:cs="仿宋_GB2312"/>
          <w:color w:val="000000"/>
          <w:kern w:val="0"/>
          <w:szCs w:val="28"/>
          <w:lang w:val="en-US" w:eastAsia="zh-CN"/>
        </w:rPr>
        <w:t xml:space="preserve">  </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7、中标供应商无条件接受采购人定期或不定期检查监督。检查监督由采购人总务处全面负责，各科室配合做好日常督查工作，发现存在问题，统一汇总到总务处，总务处以通知单形式告知中标人，经项目负责人签字确认。考核要求及奖罚如下：每月按学校制定考核评分细则考核。考核满分100分（定期考核分占60分，平时抽查分占40分），考核分数≥95分，不扣款；考核分数＜90分，每分扣500元；考核分数＜80分，视为当月考核不合格，连续两个月或一年内出现3次考核不合格，采购人有权单方终止合同，不予退还履约保证金，并保留追究中标人因此给采购人造成的一切经济损失及违约责任。</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（一）定期考核（60分）</w:t>
      </w:r>
    </w:p>
    <w:tbl>
      <w:tblPr>
        <w:tblStyle w:val="67"/>
        <w:tblW w:w="9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12"/>
        <w:gridCol w:w="775"/>
        <w:gridCol w:w="2525"/>
        <w:gridCol w:w="809"/>
        <w:gridCol w:w="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trPr>
        <w:tc>
          <w:tcPr>
            <w:tcW w:w="4712" w:type="dxa"/>
            <w:tcBorders>
              <w:top w:val="single" w:color="000000" w:sz="4" w:space="0"/>
              <w:left w:val="single" w:color="000000" w:sz="4" w:space="0"/>
              <w:bottom w:val="single" w:color="000000" w:sz="4" w:space="0"/>
              <w:right w:val="single" w:color="000000" w:sz="4" w:space="0"/>
            </w:tcBorders>
            <w:vAlign w:val="center"/>
          </w:tcPr>
          <w:p>
            <w:pPr>
              <w:ind w:firstLine="560" w:firstLineChars="200"/>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评分要求</w:t>
            </w:r>
          </w:p>
        </w:tc>
        <w:tc>
          <w:tcPr>
            <w:tcW w:w="775" w:type="dxa"/>
            <w:tcBorders>
              <w:top w:val="single" w:color="000000" w:sz="4" w:space="0"/>
              <w:left w:val="nil"/>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分值</w:t>
            </w:r>
          </w:p>
        </w:tc>
        <w:tc>
          <w:tcPr>
            <w:tcW w:w="2525" w:type="dxa"/>
            <w:tcBorders>
              <w:top w:val="single" w:color="000000" w:sz="4" w:space="0"/>
              <w:left w:val="nil"/>
              <w:bottom w:val="single" w:color="000000" w:sz="4" w:space="0"/>
              <w:right w:val="single" w:color="000000" w:sz="4" w:space="0"/>
            </w:tcBorders>
            <w:vAlign w:val="center"/>
          </w:tcPr>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评分方法</w:t>
            </w:r>
          </w:p>
        </w:tc>
        <w:tc>
          <w:tcPr>
            <w:tcW w:w="809" w:type="dxa"/>
            <w:tcBorders>
              <w:top w:val="single" w:color="000000" w:sz="4" w:space="0"/>
              <w:left w:val="nil"/>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扣分原因</w:t>
            </w:r>
          </w:p>
        </w:tc>
        <w:tc>
          <w:tcPr>
            <w:tcW w:w="716" w:type="dxa"/>
            <w:tcBorders>
              <w:top w:val="single" w:color="000000" w:sz="4" w:space="0"/>
              <w:left w:val="nil"/>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2"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着装整齐，佩证上岗，夏天不穿拖鞋，储藏室不得摆放私人物品，不得使用电器，推车、卫生用具等整齐有序，清洁定位。</w:t>
            </w:r>
          </w:p>
        </w:tc>
        <w:tc>
          <w:tcPr>
            <w:tcW w:w="775"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8</w:t>
            </w:r>
          </w:p>
        </w:tc>
        <w:tc>
          <w:tcPr>
            <w:tcW w:w="252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发现一处不符扣0.5分</w:t>
            </w:r>
          </w:p>
        </w:tc>
        <w:tc>
          <w:tcPr>
            <w:tcW w:w="80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c>
          <w:tcPr>
            <w:tcW w:w="7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宋体"/>
                <w:sz w:val="28"/>
                <w:szCs w:val="28"/>
                <w14:ligatures w14:val="none"/>
              </w:rPr>
            </w:pPr>
            <w:r>
              <w:rPr>
                <w:rFonts w:hint="eastAsia" w:ascii="仿宋_GB2312" w:hAnsi="仿宋_GB2312" w:eastAsia="仿宋_GB2312" w:cs="仿宋_GB2312"/>
                <w:color w:val="000000"/>
                <w:kern w:val="0"/>
                <w:sz w:val="28"/>
                <w:szCs w:val="28"/>
                <w:lang w:val="en-US" w:eastAsia="zh-CN" w:bidi="ar-SA"/>
              </w:rPr>
              <w:t>环境整洁，视野内垃圾不超过2处。门窗玻璃明亮、目视无尘。内墙面定期清洁，无积尘、无蛛网。</w:t>
            </w:r>
          </w:p>
        </w:tc>
        <w:tc>
          <w:tcPr>
            <w:tcW w:w="77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10</w:t>
            </w:r>
          </w:p>
        </w:tc>
        <w:tc>
          <w:tcPr>
            <w:tcW w:w="252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发现一处不符扣1分</w:t>
            </w:r>
          </w:p>
        </w:tc>
        <w:tc>
          <w:tcPr>
            <w:tcW w:w="80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c>
          <w:tcPr>
            <w:tcW w:w="7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2"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公共设施、标牌、宣传栏摆放整齐有序，定点定位、清洁，电器开关等无污渍、灰尘。</w:t>
            </w:r>
          </w:p>
        </w:tc>
        <w:tc>
          <w:tcPr>
            <w:tcW w:w="77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8</w:t>
            </w:r>
          </w:p>
        </w:tc>
        <w:tc>
          <w:tcPr>
            <w:tcW w:w="252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发现一处不符扣0.5分</w:t>
            </w:r>
          </w:p>
        </w:tc>
        <w:tc>
          <w:tcPr>
            <w:tcW w:w="80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c>
          <w:tcPr>
            <w:tcW w:w="7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2"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直饮水机保持清洁、无污垢。卫生间无异味、地面干燥、瓷砖光亮，便器无污垢。</w:t>
            </w:r>
          </w:p>
        </w:tc>
        <w:tc>
          <w:tcPr>
            <w:tcW w:w="77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15</w:t>
            </w:r>
          </w:p>
        </w:tc>
        <w:tc>
          <w:tcPr>
            <w:tcW w:w="252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发现一处不符扣1分</w:t>
            </w:r>
          </w:p>
        </w:tc>
        <w:tc>
          <w:tcPr>
            <w:tcW w:w="80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c>
          <w:tcPr>
            <w:tcW w:w="7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4712"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拖把、抹布分类使用放置，标志明显，用后挂起，保持干燥，做到一房一拖。</w:t>
            </w:r>
          </w:p>
        </w:tc>
        <w:tc>
          <w:tcPr>
            <w:tcW w:w="77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8</w:t>
            </w:r>
          </w:p>
        </w:tc>
        <w:tc>
          <w:tcPr>
            <w:tcW w:w="252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发现一处不符扣0.5分</w:t>
            </w:r>
          </w:p>
        </w:tc>
        <w:tc>
          <w:tcPr>
            <w:tcW w:w="80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c>
          <w:tcPr>
            <w:tcW w:w="7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2"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学校垃圾严格按照有关规定处置，生活垃圾日产日清。</w:t>
            </w:r>
          </w:p>
        </w:tc>
        <w:tc>
          <w:tcPr>
            <w:tcW w:w="77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6</w:t>
            </w:r>
          </w:p>
        </w:tc>
        <w:tc>
          <w:tcPr>
            <w:tcW w:w="252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发现一处不符扣0.5分</w:t>
            </w:r>
          </w:p>
        </w:tc>
        <w:tc>
          <w:tcPr>
            <w:tcW w:w="80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c>
          <w:tcPr>
            <w:tcW w:w="7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2"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设备物资运送不得遗失、损坏。</w:t>
            </w:r>
          </w:p>
        </w:tc>
        <w:tc>
          <w:tcPr>
            <w:tcW w:w="77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5</w:t>
            </w:r>
          </w:p>
        </w:tc>
        <w:tc>
          <w:tcPr>
            <w:tcW w:w="2525"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发现一处不符扣0.5分</w:t>
            </w:r>
          </w:p>
        </w:tc>
        <w:tc>
          <w:tcPr>
            <w:tcW w:w="80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c>
          <w:tcPr>
            <w:tcW w:w="7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宋体"/>
                <w:sz w:val="28"/>
                <w:szCs w:val="28"/>
                <w14:ligatures w14:val="none"/>
              </w:rPr>
            </w:pPr>
          </w:p>
        </w:tc>
      </w:tr>
    </w:tbl>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（二）平时抽查（40分）</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人员要求考核：人数或人员素质不符招标文件要求，按实际缺席天数扣除人员费用，一周后仍没到位，加扣当月服务费的50%。每一岗位允许人员变动不超过3次，超过3次，每次扣2分，依次类推。每一人员所在科室工作满意度测评，连续2个月不满意，扣2分。</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2、服务项目缺漏按实际测算价格扣除。</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3、核心条款要求考核：</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3.1上班脱岗、缺岗、串岗，上班时间做与工作无关之事，酒后工作，着装不规范，言行举止有损学校形象，发现一次扣0.5分；</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3.2校内发生任何纠纷和火警，应在5分钟内到达现场，采取适当措施进行阻止和处理，特别是阻止各种伤害师生的现象或违法犯罪活动，如故意躲避或任由事态发展，造成后果，每次扣4分，同时按实际损失赔偿；</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3.3违反学校规章制度，被行风检查查实每次扣0.1-0.2分；被教育局以上组织查实每次扣3分；</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3.4校内物品出入不检查、不控制，安保不到位，导致学校财产损失，每发现一次扣0.1-1分，造成学校损失的照价赔偿；</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 xml:space="preserve">3.5未按处理垃圾的扣2-4分，并承担由此而引起的法律责任； </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3.6 遇紧急事态处理不及时、不配合，视情况及产生的后果严重程度每次扣2-25分；</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3.7 校园绿化养护工作不到位，不仔细，视情况及产生的后果严重程度每次扣2-25分。</w:t>
      </w:r>
    </w:p>
    <w:p>
      <w:pPr>
        <w:ind w:firstLine="560" w:firstLineChars="200"/>
        <w:rPr>
          <w:rFonts w:ascii="宋体" w:hAnsi="宋体" w:eastAsia="宋体" w:cs="宋体"/>
          <w:sz w:val="28"/>
          <w:szCs w:val="28"/>
          <w14:ligatures w14:val="none"/>
        </w:rPr>
      </w:pPr>
      <w:r>
        <w:rPr>
          <w:rFonts w:hint="eastAsia" w:ascii="仿宋_GB2312" w:hAnsi="仿宋_GB2312" w:eastAsia="仿宋_GB2312" w:cs="仿宋_GB2312"/>
          <w:color w:val="000000"/>
          <w:kern w:val="0"/>
          <w:sz w:val="28"/>
          <w:szCs w:val="28"/>
          <w:lang w:val="en-US" w:eastAsia="zh-CN" w:bidi="ar-SA"/>
        </w:rPr>
        <w:t xml:space="preserve"> 3.8 因维护不当造成学校财产损失，视情况及产生的后果严重程度每次扣0.5-5分。并赔偿相应损失。</w:t>
      </w:r>
    </w:p>
    <w:p>
      <w:pPr>
        <w:ind w:firstLine="560" w:firstLineChars="200"/>
        <w:jc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学校物业管理奖励细则</w:t>
      </w:r>
    </w:p>
    <w:tbl>
      <w:tblPr>
        <w:tblStyle w:val="67"/>
        <w:tblW w:w="69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4"/>
        <w:gridCol w:w="1262"/>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4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200"/>
              <w:jc w:val="center"/>
              <w:rPr>
                <w:rFonts w:ascii="宋体" w:hAnsi="宋体" w:eastAsia="宋体" w:cs="宋体"/>
                <w:sz w:val="28"/>
                <w:szCs w:val="28"/>
                <w14:ligatures w14:val="none"/>
              </w:rPr>
            </w:pPr>
            <w:r>
              <w:rPr>
                <w:rFonts w:hint="eastAsia" w:ascii="宋体" w:hAnsi="宋体" w:eastAsia="宋体" w:cs="宋体"/>
                <w:sz w:val="28"/>
                <w:szCs w:val="28"/>
                <w14:ligatures w14:val="none"/>
              </w:rPr>
              <w:t>评分要求</w:t>
            </w:r>
          </w:p>
        </w:tc>
        <w:tc>
          <w:tcPr>
            <w:tcW w:w="1262"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r>
              <w:rPr>
                <w:rFonts w:hint="eastAsia" w:ascii="宋体" w:hAnsi="宋体" w:eastAsia="宋体" w:cs="宋体"/>
                <w:sz w:val="28"/>
                <w:szCs w:val="28"/>
                <w14:ligatures w14:val="none"/>
              </w:rPr>
              <w:t>评分方法</w:t>
            </w:r>
          </w:p>
        </w:tc>
        <w:tc>
          <w:tcPr>
            <w:tcW w:w="1368"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r>
              <w:rPr>
                <w:rFonts w:hint="eastAsia" w:ascii="宋体" w:hAnsi="宋体" w:eastAsia="宋体" w:cs="宋体"/>
                <w:sz w:val="28"/>
                <w:szCs w:val="28"/>
                <w14:ligatures w14: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4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宋体" w:hAnsi="宋体" w:eastAsia="宋体" w:cs="宋体"/>
                <w:sz w:val="28"/>
                <w:szCs w:val="28"/>
                <w14:ligatures w14:val="none"/>
              </w:rPr>
            </w:pPr>
            <w:r>
              <w:rPr>
                <w:rFonts w:hint="eastAsia" w:ascii="宋体" w:hAnsi="宋体" w:eastAsia="宋体" w:cs="宋体"/>
                <w:sz w:val="28"/>
                <w:szCs w:val="28"/>
                <w14:ligatures w14:val="none"/>
              </w:rPr>
              <w:t>拾到钱包、手机等有价物品上交学校的，或受到表扬的（收到表扬信、锦旗的）</w:t>
            </w:r>
          </w:p>
        </w:tc>
        <w:tc>
          <w:tcPr>
            <w:tcW w:w="1262"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r>
              <w:rPr>
                <w:rFonts w:hint="eastAsia" w:ascii="宋体" w:hAnsi="宋体" w:eastAsia="宋体" w:cs="宋体"/>
                <w:sz w:val="28"/>
                <w:szCs w:val="28"/>
                <w14:ligatures w14:val="none"/>
              </w:rPr>
              <w:t>每起奖励2分</w:t>
            </w:r>
          </w:p>
        </w:tc>
        <w:tc>
          <w:tcPr>
            <w:tcW w:w="1368"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4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宋体" w:hAnsi="宋体" w:eastAsia="宋体" w:cs="宋体"/>
                <w:sz w:val="28"/>
                <w:szCs w:val="28"/>
                <w14:ligatures w14:val="none"/>
              </w:rPr>
            </w:pPr>
            <w:r>
              <w:rPr>
                <w:rFonts w:hint="eastAsia" w:ascii="宋体" w:hAnsi="宋体" w:eastAsia="宋体" w:cs="宋体"/>
                <w:sz w:val="28"/>
                <w:szCs w:val="28"/>
                <w14:ligatures w14:val="none"/>
              </w:rPr>
              <w:t>配合学校完成上级各项任务和各项应急工作，并取得显著成绩的</w:t>
            </w:r>
          </w:p>
        </w:tc>
        <w:tc>
          <w:tcPr>
            <w:tcW w:w="1262"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r>
              <w:rPr>
                <w:rFonts w:hint="eastAsia" w:ascii="宋体" w:hAnsi="宋体" w:eastAsia="宋体" w:cs="宋体"/>
                <w:sz w:val="28"/>
                <w:szCs w:val="28"/>
                <w14:ligatures w14:val="none"/>
              </w:rPr>
              <w:t>每项奖励2分</w:t>
            </w:r>
          </w:p>
        </w:tc>
        <w:tc>
          <w:tcPr>
            <w:tcW w:w="1368"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4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宋体" w:hAnsi="宋体" w:eastAsia="宋体" w:cs="宋体"/>
                <w:sz w:val="28"/>
                <w:szCs w:val="28"/>
                <w14:ligatures w14:val="none"/>
              </w:rPr>
            </w:pPr>
            <w:r>
              <w:rPr>
                <w:rFonts w:hint="eastAsia" w:ascii="宋体" w:hAnsi="宋体" w:eastAsia="宋体" w:cs="宋体"/>
                <w:sz w:val="28"/>
                <w:szCs w:val="28"/>
                <w14:ligatures w14:val="none"/>
              </w:rPr>
              <w:t>提出合理化建议或排除隐患，使学校免受重大损失的</w:t>
            </w:r>
          </w:p>
        </w:tc>
        <w:tc>
          <w:tcPr>
            <w:tcW w:w="1262"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r>
              <w:rPr>
                <w:rFonts w:hint="eastAsia" w:ascii="宋体" w:hAnsi="宋体" w:eastAsia="宋体" w:cs="宋体"/>
                <w:sz w:val="28"/>
                <w:szCs w:val="28"/>
                <w14:ligatures w14:val="none"/>
              </w:rPr>
              <w:t>每项奖励3分</w:t>
            </w:r>
          </w:p>
        </w:tc>
        <w:tc>
          <w:tcPr>
            <w:tcW w:w="1368"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7" w:hRule="atLeast"/>
          <w:jc w:val="center"/>
        </w:trPr>
        <w:tc>
          <w:tcPr>
            <w:tcW w:w="4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left"/>
              <w:rPr>
                <w:rFonts w:ascii="宋体" w:hAnsi="宋体" w:eastAsia="宋体" w:cs="宋体"/>
                <w:sz w:val="28"/>
                <w:szCs w:val="28"/>
                <w14:ligatures w14:val="none"/>
              </w:rPr>
            </w:pPr>
            <w:r>
              <w:rPr>
                <w:rFonts w:hint="eastAsia" w:ascii="宋体" w:hAnsi="宋体" w:eastAsia="宋体" w:cs="宋体"/>
                <w:sz w:val="28"/>
                <w:szCs w:val="28"/>
                <w14:ligatures w14:val="none"/>
              </w:rPr>
              <w:t>积极参与学校管理，为学校建设提出合理化建议，并被采纳的</w:t>
            </w:r>
          </w:p>
        </w:tc>
        <w:tc>
          <w:tcPr>
            <w:tcW w:w="1262"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r>
              <w:rPr>
                <w:rFonts w:hint="eastAsia" w:ascii="宋体" w:hAnsi="宋体" w:eastAsia="宋体" w:cs="宋体"/>
                <w:sz w:val="28"/>
                <w:szCs w:val="28"/>
                <w14:ligatures w14:val="none"/>
              </w:rPr>
              <w:t>每项奖励1分</w:t>
            </w:r>
          </w:p>
        </w:tc>
        <w:tc>
          <w:tcPr>
            <w:tcW w:w="1368" w:type="dxa"/>
            <w:tcBorders>
              <w:top w:val="single" w:color="000000" w:sz="4" w:space="0"/>
              <w:left w:val="nil"/>
              <w:bottom w:val="single" w:color="000000" w:sz="4" w:space="0"/>
              <w:right w:val="single" w:color="000000" w:sz="4" w:space="0"/>
            </w:tcBorders>
            <w:shd w:val="clear" w:color="auto" w:fill="FFFFFF"/>
            <w:vAlign w:val="center"/>
          </w:tcPr>
          <w:p>
            <w:pPr>
              <w:spacing w:line="360" w:lineRule="auto"/>
              <w:ind w:firstLine="200"/>
              <w:rPr>
                <w:rFonts w:ascii="宋体" w:hAnsi="宋体" w:eastAsia="宋体" w:cs="宋体"/>
                <w:sz w:val="28"/>
                <w:szCs w:val="28"/>
                <w14:ligatures w14:val="none"/>
              </w:rPr>
            </w:pPr>
          </w:p>
        </w:tc>
      </w:tr>
    </w:tbl>
    <w:p>
      <w:pPr>
        <w:ind w:firstLine="562" w:firstLineChars="200"/>
        <w:rPr>
          <w:rFonts w:hint="eastAsia" w:ascii="仿宋_GB2312" w:hAnsi="仿宋_GB2312" w:eastAsia="仿宋_GB2312" w:cs="仿宋_GB2312"/>
          <w:b/>
          <w:bCs/>
          <w:color w:val="000000"/>
          <w:kern w:val="0"/>
          <w:sz w:val="28"/>
          <w:szCs w:val="28"/>
        </w:rPr>
      </w:pPr>
    </w:p>
    <w:p>
      <w:pPr>
        <w:ind w:firstLine="562"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特别说明：</w:t>
      </w:r>
      <w:r>
        <w:rPr>
          <w:rFonts w:hint="eastAsia" w:ascii="仿宋_GB2312" w:hAnsi="仿宋_GB2312" w:eastAsia="仿宋_GB2312" w:cs="仿宋_GB2312"/>
          <w:color w:val="000000"/>
          <w:kern w:val="0"/>
          <w:sz w:val="28"/>
          <w:szCs w:val="28"/>
        </w:rPr>
        <w:t>供应商可自行进行了解项目相关信息及查阅有关资料，不另行统一安排，未进行了解项目相关信息所造成的一切风险由投标方自行承担。采购单位联系人及联系电话见招标公告。</w:t>
      </w:r>
    </w:p>
    <w:p>
      <w:pPr>
        <w:spacing w:line="360" w:lineRule="auto"/>
        <w:jc w:val="both"/>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三</w:t>
      </w:r>
      <w:r>
        <w:rPr>
          <w:rFonts w:ascii="仿宋_GB2312" w:hAnsi="仿宋_GB2312" w:eastAsia="仿宋_GB2312" w:cs="仿宋_GB2312"/>
          <w:color w:val="000000"/>
          <w:kern w:val="0"/>
          <w:sz w:val="36"/>
          <w:szCs w:val="36"/>
        </w:rPr>
        <w:t>部分   投标人须知</w:t>
      </w:r>
    </w:p>
    <w:p>
      <w:pPr>
        <w:autoSpaceDE w:val="0"/>
        <w:autoSpaceDN w:val="0"/>
        <w:adjustRightInd w:val="0"/>
        <w:spacing w:line="360" w:lineRule="auto"/>
        <w:jc w:val="both"/>
        <w:outlineLvl w:val="0"/>
        <w:rPr>
          <w:rFonts w:ascii="Arial" w:hAnsi="仿宋" w:eastAsia="仿宋" w:cs="Arial"/>
          <w:b/>
          <w:bCs/>
          <w:sz w:val="36"/>
          <w:szCs w:val="36"/>
          <w:lang w:val="zh-CN"/>
        </w:rPr>
      </w:pPr>
    </w:p>
    <w:p>
      <w:pPr>
        <w:spacing w:line="360" w:lineRule="auto"/>
        <w:jc w:val="center"/>
        <w:rPr>
          <w:rFonts w:ascii="仿宋_GB2312" w:hAnsi="仿宋_GB2312" w:eastAsia="仿宋_GB2312" w:cs="仿宋_GB2312"/>
          <w:color w:val="000000"/>
          <w:kern w:val="0"/>
          <w:sz w:val="32"/>
          <w:szCs w:val="32"/>
        </w:rPr>
      </w:pPr>
      <w:bookmarkStart w:id="1" w:name="_Toc243192595"/>
      <w:r>
        <w:rPr>
          <w:rFonts w:ascii="仿宋_GB2312" w:hAnsi="仿宋_GB2312" w:eastAsia="仿宋_GB2312" w:cs="仿宋_GB2312"/>
          <w:color w:val="000000"/>
          <w:kern w:val="0"/>
          <w:sz w:val="32"/>
          <w:szCs w:val="32"/>
        </w:rPr>
        <w:t>前   附  表</w:t>
      </w:r>
      <w:bookmarkEnd w:id="1"/>
    </w:p>
    <w:tbl>
      <w:tblPr>
        <w:tblStyle w:val="67"/>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473"/>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  目</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采购人</w:t>
            </w:r>
          </w:p>
        </w:tc>
        <w:tc>
          <w:tcPr>
            <w:tcW w:w="6074" w:type="dxa"/>
            <w:vAlign w:val="center"/>
          </w:tcPr>
          <w:p>
            <w:pPr>
              <w:spacing w:line="360" w:lineRule="auto"/>
              <w:jc w:val="center"/>
              <w:rPr>
                <w:rFonts w:hint="default"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慈溪市坎墩街道坎东小学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项目名称</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物业管理服务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招标编号</w:t>
            </w:r>
          </w:p>
        </w:tc>
        <w:tc>
          <w:tcPr>
            <w:tcW w:w="6074" w:type="dxa"/>
            <w:vAlign w:val="center"/>
          </w:tcPr>
          <w:p>
            <w:pPr>
              <w:spacing w:line="360" w:lineRule="auto"/>
              <w:jc w:val="center"/>
              <w:rPr>
                <w:rFonts w:hint="default"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auto"/>
                <w:kern w:val="0"/>
                <w:sz w:val="24"/>
                <w:highlight w:val="none"/>
                <w:lang w:eastAsia="zh-CN"/>
              </w:rPr>
              <w:t>NBCXZFCG2024013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服务</w:t>
            </w:r>
            <w:r>
              <w:rPr>
                <w:rFonts w:hint="eastAsia" w:ascii="仿宋_GB2312" w:hAnsi="仿宋_GB2312" w:eastAsia="仿宋_GB2312" w:cs="仿宋_GB2312"/>
                <w:color w:val="000000"/>
                <w:kern w:val="0"/>
                <w:sz w:val="24"/>
              </w:rPr>
              <w:t>内容及</w:t>
            </w:r>
            <w:r>
              <w:rPr>
                <w:rFonts w:ascii="仿宋_GB2312" w:hAnsi="仿宋_GB2312" w:eastAsia="仿宋_GB2312" w:cs="仿宋_GB2312"/>
                <w:color w:val="000000"/>
                <w:kern w:val="0"/>
                <w:sz w:val="24"/>
              </w:rPr>
              <w:t>期限</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投标保证金</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投标文件的编制</w:t>
            </w:r>
          </w:p>
        </w:tc>
        <w:tc>
          <w:tcPr>
            <w:tcW w:w="6074" w:type="dxa"/>
            <w:vAlign w:val="center"/>
          </w:tcPr>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本项目实行网上投标。</w:t>
            </w:r>
          </w:p>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一、电子投标文件，按政采云平台</w:t>
            </w:r>
            <w:r>
              <w:rPr>
                <w:rFonts w:ascii="仿宋_GB2312" w:hAnsi="仿宋_GB2312" w:eastAsia="仿宋_GB2312" w:cs="仿宋_GB2312"/>
                <w:color w:val="000000"/>
                <w:kern w:val="0"/>
                <w:sz w:val="24"/>
                <w:u w:val="single"/>
              </w:rPr>
              <w:t>项目采购</w:t>
            </w:r>
            <w:r>
              <w:rPr>
                <w:rFonts w:hint="eastAsia" w:ascii="仿宋_GB2312" w:hAnsi="仿宋_GB2312" w:eastAsia="仿宋_GB2312" w:cs="仿宋_GB2312"/>
                <w:color w:val="000000"/>
                <w:kern w:val="0"/>
                <w:sz w:val="24"/>
                <w:u w:val="single"/>
              </w:rPr>
              <w:t>-</w:t>
            </w:r>
            <w:r>
              <w:rPr>
                <w:rFonts w:ascii="仿宋_GB2312" w:hAnsi="仿宋_GB2312" w:eastAsia="仿宋_GB2312" w:cs="仿宋_GB2312"/>
                <w:color w:val="000000"/>
                <w:kern w:val="0"/>
                <w:sz w:val="24"/>
                <w:u w:val="single"/>
              </w:rPr>
              <w:t>电子招投标操作指南</w:t>
            </w:r>
            <w:r>
              <w:rPr>
                <w:rFonts w:ascii="仿宋_GB2312" w:hAnsi="仿宋_GB2312" w:eastAsia="仿宋_GB2312" w:cs="仿宋_GB2312"/>
                <w:color w:val="000000"/>
                <w:kern w:val="0"/>
                <w:sz w:val="24"/>
              </w:rPr>
              <w:t>及本招标文件要求制作、加密并递交</w:t>
            </w:r>
            <w:r>
              <w:rPr>
                <w:rFonts w:hint="eastAsia" w:ascii="仿宋_GB2312" w:hAnsi="仿宋_GB2312" w:eastAsia="仿宋_GB2312" w:cs="仿宋_GB2312"/>
                <w:color w:val="000000"/>
                <w:kern w:val="0"/>
                <w:sz w:val="24"/>
              </w:rPr>
              <w:t>；</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w:t>
            </w:r>
            <w:r>
              <w:rPr>
                <w:rFonts w:ascii="仿宋_GB2312" w:hAnsi="仿宋_GB2312" w:eastAsia="仿宋_GB2312" w:cs="仿宋_GB2312"/>
                <w:color w:val="000000"/>
                <w:kern w:val="0"/>
                <w:sz w:val="24"/>
              </w:rPr>
              <w:t>投标文件均由资格证明、</w:t>
            </w:r>
            <w:r>
              <w:rPr>
                <w:rFonts w:hint="eastAsia" w:ascii="仿宋_GB2312" w:hAnsi="仿宋_GB2312" w:eastAsia="仿宋_GB2312" w:cs="仿宋_GB2312"/>
                <w:color w:val="000000"/>
                <w:kern w:val="0"/>
                <w:sz w:val="24"/>
              </w:rPr>
              <w:t>商务技术和</w:t>
            </w:r>
            <w:r>
              <w:rPr>
                <w:rFonts w:ascii="仿宋_GB2312" w:hAnsi="仿宋_GB2312" w:eastAsia="仿宋_GB2312" w:cs="仿宋_GB2312"/>
                <w:color w:val="000000"/>
                <w:kern w:val="0"/>
                <w:sz w:val="24"/>
              </w:rPr>
              <w:t>报价三部分组成。电子投标文件中所须加盖公章部分均采用CA签章。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投标文件的接收</w:t>
            </w:r>
          </w:p>
        </w:tc>
        <w:tc>
          <w:tcPr>
            <w:tcW w:w="6074" w:type="dxa"/>
            <w:vAlign w:val="center"/>
          </w:tcPr>
          <w:p>
            <w:pPr>
              <w:autoSpaceDE w:val="0"/>
              <w:autoSpaceDN w:val="0"/>
              <w:snapToGrid w:val="0"/>
              <w:spacing w:line="360" w:lineRule="auto"/>
              <w:ind w:firstLine="470" w:firstLineChars="196"/>
              <w:jc w:val="left"/>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w:t>
            </w:r>
            <w:r>
              <w:rPr>
                <w:rFonts w:hint="eastAsia" w:ascii="仿宋_GB2312" w:hAnsi="仿宋_GB2312" w:eastAsia="仿宋_GB2312" w:cs="仿宋_GB2312"/>
                <w:color w:val="000000"/>
                <w:kern w:val="0"/>
                <w:sz w:val="24"/>
                <w:lang w:eastAsia="zh-CN"/>
              </w:rPr>
              <w:t>提交</w:t>
            </w:r>
            <w:r>
              <w:rPr>
                <w:rFonts w:hint="eastAsia" w:ascii="仿宋_GB2312" w:hAnsi="仿宋_GB2312" w:eastAsia="仿宋_GB2312" w:cs="仿宋_GB2312"/>
                <w:color w:val="000000"/>
                <w:kern w:val="0"/>
                <w:sz w:val="24"/>
              </w:rPr>
              <w:t>的投标、响应文件，将被政采云平台拒收。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9</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投标文件提交</w:t>
            </w:r>
          </w:p>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截止时间</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10</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投标文件提交地点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11</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开标时间</w:t>
            </w:r>
          </w:p>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（投标截止时间）</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12</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13</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投标有效期</w:t>
            </w:r>
          </w:p>
        </w:tc>
        <w:tc>
          <w:tcPr>
            <w:tcW w:w="6074" w:type="dxa"/>
            <w:vAlign w:val="center"/>
          </w:tcPr>
          <w:p>
            <w:pPr>
              <w:snapToGrid w:val="0"/>
              <w:spacing w:line="360" w:lineRule="auto"/>
              <w:ind w:left="-2" w:firstLine="436"/>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自投标文件提交截止之日起90日历天。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4</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评标办法及标准</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5</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信用记录</w:t>
            </w:r>
          </w:p>
        </w:tc>
        <w:tc>
          <w:tcPr>
            <w:tcW w:w="6074"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6</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hint="eastAsia" w:ascii="Arial" w:hAnsi="仿宋" w:eastAsia="仿宋" w:cs="Arial"/>
                <w:sz w:val="24"/>
              </w:rPr>
              <w:t>中小企业有关政策</w:t>
            </w:r>
          </w:p>
        </w:tc>
        <w:tc>
          <w:tcPr>
            <w:tcW w:w="6074" w:type="dxa"/>
            <w:vAlign w:val="center"/>
          </w:tcPr>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1、投标人须符合《</w:t>
            </w:r>
            <w:r>
              <w:rPr>
                <w:rFonts w:ascii="仿宋_GB2312" w:hAnsi="仿宋_GB2312" w:eastAsia="仿宋_GB2312" w:cs="仿宋_GB2312"/>
                <w:color w:val="000000"/>
                <w:kern w:val="0"/>
                <w:sz w:val="24"/>
              </w:rPr>
              <w:t>关于印发中小企业划型标准规定的通知》（工信部联企业〔2011〕300号）文件规定的中小企业划分标准</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属于中小微型企业的</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投标文件中必须提供</w:t>
            </w:r>
            <w:r>
              <w:rPr>
                <w:rFonts w:hint="eastAsia" w:ascii="仿宋_GB2312" w:hAnsi="仿宋_GB2312" w:eastAsia="仿宋_GB2312" w:cs="仿宋_GB2312"/>
                <w:color w:val="000000"/>
                <w:kern w:val="0"/>
                <w:sz w:val="24"/>
              </w:rPr>
              <w:t>《中小企业声明函》（如提供其他中小微型企业制造的货物，请提供该企业为中小微型企业的证明材料）。（注：未提供以上材料的，视为非中小企业投标，投标无效）</w:t>
            </w:r>
          </w:p>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20</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46</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符合中小企业划分标准的个体工商户视同中小企业</w:t>
            </w:r>
            <w:r>
              <w:rPr>
                <w:rFonts w:hint="eastAsia" w:ascii="仿宋_GB2312" w:hAnsi="仿宋_GB2312" w:eastAsia="仿宋_GB2312" w:cs="仿宋_GB2312"/>
                <w:color w:val="000000"/>
                <w:kern w:val="0"/>
                <w:sz w:val="24"/>
              </w:rPr>
              <w:t>。</w:t>
            </w:r>
          </w:p>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14</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68</w:t>
            </w:r>
            <w:r>
              <w:rPr>
                <w:rFonts w:ascii="仿宋_GB2312" w:hAnsi="仿宋_GB2312" w:eastAsia="仿宋_GB2312" w:cs="仿宋_GB2312"/>
                <w:color w:val="000000"/>
                <w:kern w:val="0"/>
                <w:sz w:val="24"/>
              </w:rPr>
              <w:t>号</w:t>
            </w:r>
            <w:r>
              <w:rPr>
                <w:rFonts w:hint="eastAsia" w:ascii="仿宋_GB2312" w:hAnsi="仿宋_GB2312" w:eastAsia="仿宋_GB2312" w:cs="仿宋_GB2312"/>
                <w:color w:val="000000"/>
                <w:kern w:val="0"/>
                <w:sz w:val="24"/>
              </w:rPr>
              <w:t>、财库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17</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141</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，监狱企业、残疾人福利性单位</w:t>
            </w:r>
            <w:r>
              <w:rPr>
                <w:rFonts w:ascii="仿宋_GB2312" w:hAnsi="仿宋_GB2312" w:eastAsia="仿宋_GB2312" w:cs="仿宋_GB2312"/>
                <w:color w:val="000000"/>
                <w:kern w:val="0"/>
                <w:sz w:val="24"/>
              </w:rPr>
              <w:t>视同小型</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微型企业</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本次招标有关信息公告媒体</w:t>
            </w:r>
          </w:p>
        </w:tc>
        <w:tc>
          <w:tcPr>
            <w:tcW w:w="6074"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浙江政府采购网</w:t>
            </w:r>
          </w:p>
          <w:p>
            <w:pPr>
              <w:spacing w:line="360" w:lineRule="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宁波市政务服务办公室-宁波市公共资源交易电子服务系统（慈溪）</w:t>
            </w:r>
          </w:p>
          <w:p>
            <w:pPr>
              <w:snapToGrid w:val="0"/>
              <w:spacing w:line="360" w:lineRule="auto"/>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请供应商随时关注本项目自发布采购公告后后续可能出现的修改通知，澄清说明等等，如有错过，后果自负。</w:t>
            </w:r>
          </w:p>
        </w:tc>
      </w:tr>
    </w:tbl>
    <w:p>
      <w:pPr>
        <w:pStyle w:val="3"/>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2" w:name="_Toc360457873"/>
      <w:bookmarkStart w:id="3" w:name="_Toc345423462"/>
      <w:r>
        <w:rPr>
          <w:rFonts w:ascii="仿宋_GB2312" w:hAnsi="仿宋_GB2312" w:eastAsia="仿宋_GB2312" w:cs="仿宋_GB2312"/>
          <w:b w:val="0"/>
          <w:bCs w:val="0"/>
          <w:color w:val="000000"/>
          <w:kern w:val="0"/>
          <w:sz w:val="28"/>
          <w:szCs w:val="28"/>
        </w:rPr>
        <w:t>一、总则</w:t>
      </w:r>
      <w:bookmarkEnd w:id="2"/>
      <w:bookmarkEnd w:id="3"/>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（一）适用范围</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本招标文件适用于本项目投标、评标、定标、验收、合同履约、付款等行为（法律、法规另有规定的，从其规定）。</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（二）定义</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1、“招标方”系指组织本项目采购的慈溪市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2、“投标人”系指向招标方提交投标文件的供应商。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3、“采购人” 系指委托招标方采购本次项目的国家机关、事业单位和团体组织。</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4、“货物”系指招标文件规定投标人须向采购人提供的一切材料、设备、机械、仪器仪表、工具及其它有关技术资料和文字材料。</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5、“服务”系指招标文件规定投标人须承担的安装、调试、技术协助、校准、培训、技术指导以及其他类似的义务。</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6、“项目”系指投标人按招标文件规定向采购人提供的需求总称。</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7、“★”系指实质性要求条款。</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（三）合格的投标货物或服务</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应该是中国境内提供的投标货物或服务。</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若投标货物或服务属于国家实行许可证制度或生产注册证制度的货物或服务，则应具备相应有效的证书。</w:t>
      </w:r>
    </w:p>
    <w:p>
      <w:pPr>
        <w:spacing w:line="360" w:lineRule="auto"/>
        <w:ind w:left="56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（四）合格的投标人</w:t>
      </w:r>
    </w:p>
    <w:p>
      <w:pPr>
        <w:spacing w:line="360" w:lineRule="auto"/>
        <w:ind w:left="481" w:leftChars="229" w:firstLine="140" w:firstLineChars="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符合《中华人民共和国政府采购法》第二十二条规定的条件；</w:t>
      </w:r>
    </w:p>
    <w:p>
      <w:pPr>
        <w:spacing w:line="360" w:lineRule="auto"/>
        <w:ind w:left="481" w:leftChars="229" w:firstLine="140" w:firstLineChars="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符合本招标文件招标公告中规定的资格要求。</w:t>
      </w:r>
    </w:p>
    <w:p>
      <w:pPr>
        <w:spacing w:line="360" w:lineRule="auto"/>
        <w:ind w:firstLine="560" w:firstLineChars="200"/>
        <w:rPr>
          <w:rFonts w:ascii="仿宋_GB2312" w:hAnsi="仿宋_GB2312" w:eastAsia="仿宋_GB2312" w:cs="仿宋_GB2312"/>
          <w:color w:val="000000"/>
          <w:kern w:val="0"/>
          <w:sz w:val="28"/>
          <w:szCs w:val="28"/>
        </w:rPr>
      </w:pPr>
      <w:bookmarkStart w:id="4" w:name="_Toc317685562"/>
      <w:bookmarkStart w:id="5" w:name="_Toc304292180"/>
      <w:r>
        <w:rPr>
          <w:rFonts w:ascii="仿宋_GB2312" w:hAnsi="仿宋_GB2312" w:eastAsia="仿宋_GB2312" w:cs="仿宋_GB2312"/>
          <w:color w:val="000000"/>
          <w:kern w:val="0"/>
          <w:sz w:val="28"/>
          <w:szCs w:val="28"/>
        </w:rPr>
        <w:t>（五）投标委</w:t>
      </w:r>
      <w:bookmarkEnd w:id="4"/>
      <w:bookmarkEnd w:id="5"/>
      <w:r>
        <w:rPr>
          <w:rFonts w:ascii="仿宋_GB2312" w:hAnsi="仿宋_GB2312" w:eastAsia="仿宋_GB2312" w:cs="仿宋_GB2312"/>
          <w:color w:val="000000"/>
          <w:kern w:val="0"/>
          <w:sz w:val="28"/>
          <w:szCs w:val="28"/>
        </w:rPr>
        <w:t>托有关说明</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、单位负责人为同一人或者存在直接控股、管理关系的不同供应商，不得参加同一合同项下的政府采购活动。</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、除单一来源外，为项目提供整体设计、规范编制或者项目管理、监理、检测等服务的供应商不得参加同一合同项下的政府采购活动。</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、投标人应仔细阅读招标文件的所有内容，按照招标文件的要求提交投标文件，并对所提供的全部资料的真实性承担法律责任。</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（六）投标费用</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无论投标过程和结果如何，投标人自行承担与投标活动有关的全部费用。</w:t>
      </w:r>
    </w:p>
    <w:p>
      <w:pPr>
        <w:pStyle w:val="3"/>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6" w:name="_Toc345423463"/>
      <w:bookmarkStart w:id="7" w:name="_Toc360457874"/>
      <w:r>
        <w:rPr>
          <w:rFonts w:ascii="仿宋_GB2312" w:hAnsi="仿宋_GB2312" w:eastAsia="仿宋_GB2312" w:cs="仿宋_GB2312"/>
          <w:b w:val="0"/>
          <w:bCs w:val="0"/>
          <w:color w:val="000000"/>
          <w:kern w:val="0"/>
          <w:sz w:val="28"/>
          <w:szCs w:val="28"/>
        </w:rPr>
        <w:t>二、招标文件的说明</w:t>
      </w:r>
      <w:bookmarkEnd w:id="6"/>
      <w:bookmarkEnd w:id="7"/>
    </w:p>
    <w:p>
      <w:pPr>
        <w:spacing w:line="360" w:lineRule="auto"/>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ascii="仿宋_GB2312" w:hAnsi="仿宋_GB2312" w:eastAsia="仿宋_GB2312" w:cs="仿宋_GB2312"/>
          <w:color w:val="000000"/>
          <w:kern w:val="0"/>
          <w:sz w:val="28"/>
          <w:szCs w:val="28"/>
        </w:rPr>
        <w:t>招标文件的</w:t>
      </w:r>
      <w:r>
        <w:rPr>
          <w:rFonts w:hint="eastAsia" w:ascii="仿宋_GB2312" w:hAnsi="仿宋_GB2312" w:eastAsia="仿宋_GB2312" w:cs="仿宋_GB2312"/>
          <w:color w:val="000000"/>
          <w:kern w:val="0"/>
          <w:sz w:val="28"/>
          <w:szCs w:val="28"/>
        </w:rPr>
        <w:t>组成</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1、招标公告；</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2、招标需求；</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、投标人须知；</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、开标</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评标和定标；</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5、评标办法及评分标准；</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拟签订合同样本</w:t>
      </w:r>
      <w:r>
        <w:rPr>
          <w:rFonts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、投标文件格式；</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hint="eastAsia" w:ascii="仿宋_GB2312" w:hAnsi="仿宋_GB2312" w:eastAsia="仿宋_GB2312" w:cs="仿宋_GB2312"/>
          <w:color w:val="000000"/>
          <w:kern w:val="0"/>
          <w:sz w:val="28"/>
          <w:szCs w:val="28"/>
        </w:rPr>
        <w:t>或</w:t>
      </w:r>
      <w:r>
        <w:rPr>
          <w:rFonts w:hint="eastAsia" w:ascii="仿宋_GB2312" w:hAnsi="仿宋_GB2312" w:eastAsia="仿宋_GB2312" w:cs="仿宋_GB2312"/>
          <w:color w:val="000000"/>
          <w:kern w:val="0"/>
          <w:sz w:val="28"/>
          <w:szCs w:val="28"/>
          <w:u w:val="single"/>
        </w:rPr>
        <w:t>电子投标文件内容未指向指定链接、模块，导致投标文件被误读、漏读或者查找不到相关内容的</w:t>
      </w:r>
      <w:r>
        <w:rPr>
          <w:rFonts w:ascii="仿宋_GB2312" w:hAnsi="仿宋_GB2312" w:eastAsia="仿宋_GB2312" w:cs="仿宋_GB2312"/>
          <w:color w:val="000000"/>
          <w:kern w:val="0"/>
          <w:sz w:val="28"/>
          <w:szCs w:val="28"/>
          <w:u w:val="single"/>
        </w:rPr>
        <w:t>，</w:t>
      </w:r>
      <w:r>
        <w:rPr>
          <w:rFonts w:hint="eastAsia" w:ascii="仿宋_GB2312" w:hAnsi="仿宋_GB2312" w:eastAsia="仿宋_GB2312" w:cs="仿宋_GB2312"/>
          <w:color w:val="000000"/>
          <w:kern w:val="0"/>
          <w:sz w:val="28"/>
          <w:szCs w:val="28"/>
          <w:u w:val="single"/>
        </w:rPr>
        <w:t>由投标人自行承担可能被视作无效标的风险</w:t>
      </w:r>
      <w:r>
        <w:rPr>
          <w:rFonts w:ascii="仿宋_GB2312" w:hAnsi="仿宋_GB2312" w:eastAsia="仿宋_GB2312" w:cs="仿宋_GB2312"/>
          <w:color w:val="000000"/>
          <w:kern w:val="0"/>
          <w:sz w:val="28"/>
          <w:szCs w:val="28"/>
          <w:u w:val="single"/>
        </w:rPr>
        <w:t>。没有实质性响应招标文件要求的投标将</w:t>
      </w:r>
      <w:r>
        <w:rPr>
          <w:rFonts w:hint="eastAsia" w:ascii="仿宋_GB2312" w:hAnsi="仿宋_GB2312" w:eastAsia="仿宋_GB2312" w:cs="仿宋_GB2312"/>
          <w:color w:val="000000"/>
          <w:kern w:val="0"/>
          <w:sz w:val="28"/>
          <w:szCs w:val="28"/>
          <w:u w:val="single"/>
        </w:rPr>
        <w:t>作</w:t>
      </w:r>
      <w:r>
        <w:rPr>
          <w:rFonts w:ascii="仿宋_GB2312" w:hAnsi="仿宋_GB2312" w:eastAsia="仿宋_GB2312" w:cs="仿宋_GB2312"/>
          <w:color w:val="000000"/>
          <w:kern w:val="0"/>
          <w:sz w:val="28"/>
          <w:szCs w:val="28"/>
          <w:u w:val="single"/>
        </w:rPr>
        <w:t>无效标处理。</w:t>
      </w:r>
    </w:p>
    <w:p>
      <w:pPr>
        <w:spacing w:line="360" w:lineRule="auto"/>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ascii="仿宋_GB2312" w:hAnsi="仿宋_GB2312" w:eastAsia="仿宋_GB2312" w:cs="仿宋_GB2312"/>
          <w:color w:val="000000"/>
          <w:kern w:val="0"/>
          <w:sz w:val="28"/>
          <w:szCs w:val="28"/>
        </w:rPr>
        <w:t>招标文件的澄清与修改</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w:t>
      </w:r>
      <w:r>
        <w:rPr>
          <w:rFonts w:hint="eastAsia" w:ascii="仿宋_GB2312" w:hAnsi="仿宋_GB2312" w:eastAsia="仿宋_GB2312" w:cs="仿宋_GB2312"/>
          <w:color w:val="000000"/>
          <w:kern w:val="0"/>
          <w:szCs w:val="28"/>
          <w:lang w:eastAsia="zh-CN"/>
        </w:rPr>
        <w:t>浙江政府采购网</w:t>
      </w:r>
      <w:r>
        <w:rPr>
          <w:rFonts w:ascii="仿宋_GB2312" w:hAnsi="仿宋_GB2312" w:eastAsia="仿宋_GB2312" w:cs="仿宋_GB2312"/>
          <w:color w:val="000000"/>
          <w:kern w:val="0"/>
          <w:szCs w:val="28"/>
        </w:rPr>
        <w:t>”政采云平台上发布更正公告。逾期提出招标方将不予受理。</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2、招标方主动进行的澄清、修改：招标方无论出于何种原因，均可主动对招标文件中的相关事项，用</w:t>
      </w:r>
      <w:r>
        <w:rPr>
          <w:rFonts w:hint="eastAsia" w:ascii="仿宋_GB2312" w:hAnsi="仿宋_GB2312" w:eastAsia="仿宋_GB2312" w:cs="仿宋_GB2312"/>
          <w:color w:val="000000"/>
          <w:kern w:val="0"/>
          <w:szCs w:val="28"/>
        </w:rPr>
        <w:t>补充</w:t>
      </w:r>
      <w:r>
        <w:rPr>
          <w:rFonts w:ascii="仿宋_GB2312" w:hAnsi="仿宋_GB2312" w:eastAsia="仿宋_GB2312" w:cs="仿宋_GB2312"/>
          <w:color w:val="000000"/>
          <w:kern w:val="0"/>
          <w:szCs w:val="28"/>
        </w:rPr>
        <w:t>公告等方式进行澄清和修改。</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hint="eastAsia" w:ascii="仿宋_GB2312" w:hAnsi="仿宋_GB2312" w:eastAsia="仿宋_GB2312" w:cs="仿宋_GB2312"/>
          <w:color w:val="000000"/>
          <w:kern w:val="0"/>
          <w:szCs w:val="28"/>
        </w:rPr>
        <w:t>内容</w:t>
      </w:r>
      <w:r>
        <w:rPr>
          <w:rFonts w:ascii="仿宋_GB2312" w:hAnsi="仿宋_GB2312" w:eastAsia="仿宋_GB2312" w:cs="仿宋_GB2312"/>
          <w:color w:val="000000"/>
          <w:kern w:val="0"/>
          <w:szCs w:val="28"/>
        </w:rPr>
        <w:t>为准。</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4、招标人可以对已发出的招标文件进行必要的澄清或者修改，将以“澄清公告”的形式发布在“</w:t>
      </w:r>
      <w:r>
        <w:rPr>
          <w:rFonts w:hint="eastAsia" w:ascii="仿宋_GB2312" w:hAnsi="仿宋_GB2312" w:eastAsia="仿宋_GB2312" w:cs="仿宋_GB2312"/>
          <w:color w:val="000000"/>
          <w:kern w:val="0"/>
          <w:szCs w:val="28"/>
          <w:lang w:eastAsia="zh-CN"/>
        </w:rPr>
        <w:t>浙江政府采购网</w:t>
      </w:r>
      <w:r>
        <w:rPr>
          <w:rFonts w:ascii="仿宋_GB2312" w:hAnsi="仿宋_GB2312" w:eastAsia="仿宋_GB2312" w:cs="仿宋_GB2312"/>
          <w:color w:val="000000"/>
          <w:kern w:val="0"/>
          <w:szCs w:val="28"/>
        </w:rPr>
        <w:t>”政采云平台上，供应商应及时登录政采云平台查看和下载，未及时查看和下载的责任自负。</w:t>
      </w:r>
    </w:p>
    <w:p>
      <w:pPr>
        <w:pStyle w:val="3"/>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8" w:name="_Toc360457875"/>
      <w:bookmarkStart w:id="9" w:name="_Toc345423464"/>
      <w:r>
        <w:rPr>
          <w:rFonts w:ascii="仿宋_GB2312" w:hAnsi="仿宋_GB2312" w:eastAsia="仿宋_GB2312" w:cs="仿宋_GB2312"/>
          <w:b w:val="0"/>
          <w:bCs w:val="0"/>
          <w:color w:val="000000"/>
          <w:kern w:val="0"/>
          <w:sz w:val="28"/>
          <w:szCs w:val="28"/>
        </w:rPr>
        <w:t>三、投标文件</w:t>
      </w:r>
      <w:bookmarkEnd w:id="8"/>
      <w:bookmarkEnd w:id="9"/>
    </w:p>
    <w:p>
      <w:pPr>
        <w:snapToGrid w:val="0"/>
        <w:spacing w:line="360" w:lineRule="auto"/>
        <w:ind w:firstLine="411" w:firstLineChars="147"/>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（一）电子投标文件，按“政采云供应商项目采购-电子招投标操作指南”及本招标文件要求制作、加密并递交。</w:t>
      </w:r>
    </w:p>
    <w:p>
      <w:pPr>
        <w:spacing w:line="360" w:lineRule="auto"/>
        <w:ind w:firstLine="411" w:firstLineChars="147"/>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（二）投标文件的组成</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投标文件均由</w:t>
      </w:r>
      <w:r>
        <w:rPr>
          <w:rFonts w:hint="eastAsia" w:ascii="仿宋_GB2312" w:hAnsi="仿宋_GB2312" w:eastAsia="仿宋_GB2312" w:cs="仿宋_GB2312"/>
          <w:color w:val="000000"/>
          <w:kern w:val="0"/>
          <w:sz w:val="28"/>
          <w:szCs w:val="28"/>
        </w:rPr>
        <w:t>资格证明</w:t>
      </w:r>
      <w:r>
        <w:rPr>
          <w:rFonts w:ascii="仿宋_GB2312" w:hAnsi="仿宋_GB2312" w:eastAsia="仿宋_GB2312" w:cs="仿宋_GB2312"/>
          <w:color w:val="000000"/>
          <w:kern w:val="0"/>
          <w:sz w:val="28"/>
          <w:szCs w:val="28"/>
        </w:rPr>
        <w:t>、商务</w:t>
      </w:r>
      <w:r>
        <w:rPr>
          <w:rFonts w:hint="eastAsia" w:ascii="仿宋_GB2312" w:hAnsi="仿宋_GB2312" w:eastAsia="仿宋_GB2312" w:cs="仿宋_GB2312"/>
          <w:color w:val="000000"/>
          <w:kern w:val="0"/>
          <w:sz w:val="28"/>
          <w:szCs w:val="28"/>
        </w:rPr>
        <w:t>技术</w:t>
      </w:r>
      <w:r>
        <w:rPr>
          <w:rFonts w:ascii="仿宋_GB2312" w:hAnsi="仿宋_GB2312" w:eastAsia="仿宋_GB2312" w:cs="仿宋_GB2312"/>
          <w:color w:val="000000"/>
          <w:kern w:val="0"/>
          <w:sz w:val="28"/>
          <w:szCs w:val="28"/>
        </w:rPr>
        <w:t>和报价三部分组成。其中电子投标文件中所须加盖公章部分均采用CA签章。</w:t>
      </w:r>
    </w:p>
    <w:p>
      <w:pPr>
        <w:spacing w:line="360" w:lineRule="auto"/>
        <w:ind w:firstLine="560" w:firstLineChars="200"/>
        <w:rPr>
          <w:rFonts w:ascii="仿宋_GB2312" w:hAnsi="仿宋_GB2312" w:eastAsia="仿宋_GB2312" w:cs="仿宋_GB2312"/>
          <w:color w:val="000000"/>
          <w:kern w:val="0"/>
          <w:sz w:val="28"/>
          <w:szCs w:val="28"/>
          <w:highlight w:val="yellow"/>
        </w:rPr>
      </w:pPr>
      <w:r>
        <w:rPr>
          <w:rFonts w:ascii="仿宋_GB2312" w:hAnsi="仿宋_GB2312" w:eastAsia="仿宋_GB2312" w:cs="仿宋_GB2312"/>
          <w:color w:val="000000"/>
          <w:kern w:val="0"/>
          <w:sz w:val="28"/>
          <w:szCs w:val="28"/>
        </w:rPr>
        <w:t>1、资格证明文件包括：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r>
        <w:rPr>
          <w:rFonts w:ascii="仿宋_GB2312" w:hAnsi="仿宋_GB2312" w:eastAsia="仿宋_GB2312" w:cs="仿宋_GB2312"/>
          <w:color w:val="000000"/>
          <w:kern w:val="0"/>
          <w:sz w:val="28"/>
          <w:szCs w:val="28"/>
        </w:rPr>
        <w:t>投标函（格式见附件</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u w:val="single"/>
        </w:rPr>
        <w:t>未按附件格式内容提供的视为资格审查未通过，将作无效标处理</w:t>
      </w:r>
      <w:r>
        <w:rPr>
          <w:rFonts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r>
        <w:rPr>
          <w:rFonts w:ascii="仿宋_GB2312" w:hAnsi="仿宋_GB2312" w:eastAsia="仿宋_GB2312" w:cs="仿宋_GB2312"/>
          <w:color w:val="000000"/>
          <w:kern w:val="0"/>
          <w:sz w:val="28"/>
          <w:szCs w:val="28"/>
        </w:rPr>
        <w:t>提供有效的营业执照复印件（加盖投标人单位公章）；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r>
        <w:rPr>
          <w:rFonts w:ascii="仿宋_GB2312" w:hAnsi="仿宋_GB2312" w:eastAsia="仿宋_GB2312" w:cs="仿宋_GB2312"/>
          <w:color w:val="000000"/>
          <w:kern w:val="0"/>
          <w:sz w:val="28"/>
          <w:szCs w:val="28"/>
        </w:rPr>
        <w:t>法定代表人/负责人授权书（</w:t>
      </w:r>
      <w:r>
        <w:rPr>
          <w:rFonts w:ascii="仿宋_GB2312" w:hAnsi="仿宋_GB2312" w:eastAsia="仿宋_GB2312" w:cs="仿宋_GB2312"/>
          <w:bCs/>
          <w:color w:val="000000"/>
          <w:kern w:val="0"/>
          <w:sz w:val="28"/>
          <w:szCs w:val="28"/>
          <w:u w:val="single"/>
        </w:rPr>
        <w:t>格式见附件，注意按要求签署盖章</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如供应商代表是法定代表人／负责人的，提供法定代表人／负责人身份证复印件即可）；</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1.6投标人须通过“信用中国”网站、中国政府采购网信用查询，</w:t>
      </w:r>
      <w:r>
        <w:rPr>
          <w:rFonts w:ascii="仿宋_GB2312" w:hAnsi="仿宋_GB2312" w:eastAsia="仿宋_GB2312" w:cs="仿宋_GB2312"/>
          <w:color w:val="000000"/>
          <w:kern w:val="0"/>
          <w:sz w:val="28"/>
          <w:szCs w:val="28"/>
        </w:rPr>
        <w:t>以开标当日采购人或由采购人委托的评标委员会核实的网页查询记录为准</w:t>
      </w:r>
      <w:r>
        <w:rPr>
          <w:rFonts w:hint="eastAsia"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1.7中小企业声明函（格式见附件，</w:t>
      </w:r>
      <w:r>
        <w:rPr>
          <w:rFonts w:hint="eastAsia" w:ascii="仿宋_GB2312" w:hAnsi="仿宋_GB2312" w:eastAsia="仿宋_GB2312" w:cs="仿宋_GB2312"/>
          <w:color w:val="000000"/>
          <w:kern w:val="0"/>
          <w:sz w:val="28"/>
          <w:szCs w:val="28"/>
          <w:u w:val="single"/>
        </w:rPr>
        <w:t>未按附件格式内容提供的由投标人自行承担可能被视作无效标的风险）；</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r>
        <w:rPr>
          <w:rFonts w:ascii="仿宋_GB2312" w:hAnsi="仿宋_GB2312" w:eastAsia="仿宋_GB2312" w:cs="仿宋_GB2312"/>
          <w:color w:val="000000"/>
          <w:kern w:val="0"/>
          <w:sz w:val="28"/>
          <w:szCs w:val="28"/>
        </w:rPr>
        <w:t>投标人认为需要提供的其它说明和资料（如有请提供）。</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2、商务技术文件包括：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r>
        <w:rPr>
          <w:rFonts w:ascii="仿宋_GB2312" w:hAnsi="仿宋_GB2312" w:eastAsia="仿宋_GB2312" w:cs="仿宋_GB2312"/>
          <w:color w:val="000000"/>
          <w:kern w:val="0"/>
          <w:sz w:val="28"/>
          <w:szCs w:val="28"/>
        </w:rPr>
        <w:t>评分索引表（格式见附件，主要用于评标委员会对应评分内容）；</w:t>
      </w:r>
    </w:p>
    <w:p>
      <w:pPr>
        <w:snapToGrid w:val="0"/>
        <w:spacing w:after="240" w:line="360" w:lineRule="auto"/>
        <w:ind w:firstLine="551" w:firstLineChars="196"/>
        <w:jc w:val="left"/>
        <w:rPr>
          <w:rFonts w:ascii="仿宋_GB2312" w:hAnsi="仿宋_GB2312" w:eastAsia="仿宋_GB2312" w:cs="仿宋_GB2312"/>
          <w:b/>
          <w:color w:val="000000"/>
          <w:kern w:val="0"/>
          <w:sz w:val="28"/>
          <w:szCs w:val="28"/>
          <w:u w:val="single"/>
        </w:rPr>
      </w:pPr>
      <w:r>
        <w:rPr>
          <w:rFonts w:ascii="仿宋_GB2312" w:hAnsi="仿宋_GB2312" w:eastAsia="仿宋_GB2312" w:cs="仿宋_GB2312"/>
          <w:b/>
          <w:color w:val="000000"/>
          <w:kern w:val="0"/>
          <w:sz w:val="28"/>
          <w:szCs w:val="28"/>
          <w:u w:val="single"/>
        </w:rPr>
        <w:t>未尽事宜请各投标人按评分标准技术部分制作。</w:t>
      </w: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3.报价文件包括：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3.2投标一览表（格式见附件）；</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3.3报价明细表（格式见附件）；</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3.4人员费用明细</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3.5中小企业声明函（格式见附件，</w:t>
      </w:r>
      <w:r>
        <w:rPr>
          <w:rFonts w:hint="eastAsia" w:ascii="仿宋_GB2312" w:hAnsi="仿宋_GB2312" w:eastAsia="仿宋_GB2312" w:cs="仿宋_GB2312"/>
          <w:color w:val="000000"/>
          <w:kern w:val="0"/>
          <w:sz w:val="28"/>
          <w:szCs w:val="28"/>
          <w:u w:val="single"/>
        </w:rPr>
        <w:t>未按附件格式内容提供的由投标人自行承担可能被视作无效标的风险）；</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3.6残疾人福利企业声明函（若有，格式见附件）；</w:t>
      </w:r>
    </w:p>
    <w:p>
      <w:pPr>
        <w:spacing w:line="360" w:lineRule="auto"/>
        <w:ind w:firstLine="560" w:firstLineChars="200"/>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3.7投标人针对报价需要说明的其他文件和说明（格式自拟）。</w:t>
      </w:r>
      <w:r>
        <w:rPr>
          <w:rFonts w:ascii="仿宋_GB2312" w:hAnsi="仿宋_GB2312" w:eastAsia="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hint="eastAsia" w:ascii="仿宋_GB2312" w:hAnsi="仿宋_GB2312" w:eastAsia="仿宋_GB2312" w:cs="仿宋_GB2312"/>
          <w:color w:val="000000"/>
          <w:kern w:val="0"/>
          <w:sz w:val="28"/>
          <w:szCs w:val="28"/>
          <w:u w:val="single"/>
        </w:rPr>
        <w:t>。</w:t>
      </w:r>
      <w:r>
        <w:rPr>
          <w:rFonts w:ascii="仿宋_GB2312" w:hAnsi="仿宋_GB2312" w:eastAsia="仿宋_GB2312" w:cs="仿宋_GB2312"/>
          <w:color w:val="000000"/>
          <w:kern w:val="0"/>
          <w:sz w:val="28"/>
          <w:szCs w:val="28"/>
          <w:u w:val="single"/>
        </w:rPr>
        <w:t>否则将作无效标处理。</w:t>
      </w: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（三）投标文件的语言及计量</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7"/>
        <w:tabs>
          <w:tab w:val="left" w:pos="720"/>
          <w:tab w:val="clear" w:pos="360"/>
        </w:tabs>
        <w:snapToGrid w:val="0"/>
        <w:spacing w:beforeLines="50" w:line="360" w:lineRule="auto"/>
        <w:ind w:left="0"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（四）投标有效期</w:t>
      </w:r>
    </w:p>
    <w:p>
      <w:pPr>
        <w:tabs>
          <w:tab w:val="left" w:pos="7740"/>
        </w:tabs>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2、中标人的投标文件自开标之日起至合同履行完毕止均应保持有效。</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（五）投标文件的</w:t>
      </w:r>
      <w:r>
        <w:rPr>
          <w:rFonts w:hint="eastAsia" w:ascii="仿宋_GB2312" w:hAnsi="仿宋_GB2312" w:eastAsia="仿宋_GB2312" w:cs="仿宋_GB2312"/>
          <w:color w:val="000000"/>
          <w:kern w:val="0"/>
          <w:sz w:val="28"/>
          <w:szCs w:val="28"/>
        </w:rPr>
        <w:t>制作</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投标人应根据“政采云供应商项目采购-电子招投标操作指南”及本招标文件规定的格式和顺序编制电子投标文件并进行关联定位。</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（六）投标报价</w:t>
      </w:r>
    </w:p>
    <w:p>
      <w:pPr>
        <w:tabs>
          <w:tab w:val="left" w:pos="525"/>
        </w:tabs>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pPr>
        <w:pStyle w:val="38"/>
        <w:snapToGrid w:val="0"/>
        <w:spacing w:before="12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2、投标报价应包含项目所需全部货物、服务，不得缺漏，是履行合同的最终价格（含</w:t>
      </w:r>
      <w:r>
        <w:rPr>
          <w:rFonts w:ascii="仿宋_GB2312" w:hAnsi="仿宋_GB2312" w:eastAsia="仿宋_GB2312" w:cs="仿宋_GB2312"/>
          <w:color w:val="000000"/>
          <w:kern w:val="0"/>
          <w:szCs w:val="21"/>
        </w:rPr>
        <w:t>人工费用(工资、社保、人身意外伤害保险、高温补贴、法定节假日加班费、福利、服装、其他等）、物耗费用、添置费用、管理酬金、税费等项目涉及的所有费用</w:t>
      </w:r>
      <w:r>
        <w:rPr>
          <w:rFonts w:ascii="仿宋_GB2312" w:hAnsi="仿宋_GB2312" w:eastAsia="仿宋_GB2312" w:cs="仿宋_GB2312"/>
          <w:color w:val="000000"/>
          <w:kern w:val="0"/>
          <w:szCs w:val="28"/>
        </w:rPr>
        <w:t>）。</w:t>
      </w:r>
    </w:p>
    <w:p>
      <w:pPr>
        <w:pStyle w:val="38"/>
        <w:snapToGrid w:val="0"/>
        <w:spacing w:before="12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3、投标报价总价金额到元为止，如投标报价总价出现角、分，将被抹除。</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七</w:t>
      </w:r>
      <w:r>
        <w:rPr>
          <w:rFonts w:ascii="仿宋_GB2312" w:hAnsi="仿宋_GB2312" w:eastAsia="仿宋_GB2312" w:cs="仿宋_GB2312"/>
          <w:color w:val="000000"/>
          <w:kern w:val="0"/>
          <w:sz w:val="28"/>
          <w:szCs w:val="28"/>
        </w:rPr>
        <w:t>）投标文件的提交</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补充和修改</w:t>
      </w:r>
      <w:r>
        <w:rPr>
          <w:rFonts w:hint="eastAsia" w:ascii="仿宋_GB2312" w:hAnsi="仿宋_GB2312" w:eastAsia="仿宋_GB2312" w:cs="仿宋_GB2312"/>
          <w:color w:val="000000"/>
          <w:kern w:val="0"/>
          <w:sz w:val="28"/>
          <w:szCs w:val="28"/>
        </w:rPr>
        <w:t>：</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见招标公告。</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八</w:t>
      </w:r>
      <w:r>
        <w:rPr>
          <w:rFonts w:ascii="仿宋_GB2312" w:hAnsi="仿宋_GB2312" w:eastAsia="仿宋_GB2312" w:cs="仿宋_GB2312"/>
          <w:color w:val="000000"/>
          <w:kern w:val="0"/>
          <w:sz w:val="28"/>
          <w:szCs w:val="28"/>
        </w:rPr>
        <w:t>）串通投标认定</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有下列情形之一的，视为投标人串通投标，其投标无效：</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1、不同投标人的投标文件由同一单位或者个人编制；</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2、不同投标人委托同一单位或者个人办理投标事宜；</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3、不同投标人的投标文件载明的项目管理成员或者联系人员为同一人；</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4、不同投标人的投标文件异常一致或者投标报价呈规律性差异；</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5、不同投标人的投标文件出自同一终端设备或在相同Internet主机分配地址（相同IP地址）网上报名投标。</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r>
        <w:rPr>
          <w:rFonts w:hint="eastAsia" w:ascii="仿宋_GB2312" w:hAnsi="仿宋_GB2312" w:eastAsia="仿宋_GB2312" w:cs="仿宋_GB2312"/>
          <w:color w:val="000000"/>
          <w:kern w:val="0"/>
          <w:szCs w:val="28"/>
        </w:rPr>
        <w:t>九</w:t>
      </w:r>
      <w:r>
        <w:rPr>
          <w:rFonts w:ascii="仿宋_GB2312" w:hAnsi="仿宋_GB2312" w:eastAsia="仿宋_GB2312" w:cs="仿宋_GB2312"/>
          <w:color w:val="000000"/>
          <w:kern w:val="0"/>
          <w:szCs w:val="28"/>
        </w:rPr>
        <w:t>）投标无效的情形</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如发现下列情形之一的，投标文件将被视为无效：</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、投标方未能提供合格的资格文件、投标有效期不足的；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、电子投标文件解密失败的；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3</w:t>
      </w:r>
      <w:r>
        <w:rPr>
          <w:rFonts w:ascii="仿宋_GB2312" w:hAnsi="仿宋_GB2312" w:eastAsia="仿宋_GB2312" w:cs="仿宋_GB2312"/>
          <w:color w:val="000000"/>
          <w:kern w:val="0"/>
          <w:szCs w:val="28"/>
        </w:rPr>
        <w:t>、投标人被列入失信被执行人、重大税收违法案件当事人名单、政府采购严重违法失信行为记录名单的；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、投标文件未按招标文件要求签署、盖章的；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5</w:t>
      </w:r>
      <w:r>
        <w:rPr>
          <w:rFonts w:ascii="仿宋_GB2312" w:hAnsi="仿宋_GB2312" w:eastAsia="仿宋_GB2312" w:cs="仿宋_GB2312"/>
          <w:color w:val="000000"/>
          <w:kern w:val="0"/>
          <w:szCs w:val="28"/>
        </w:rPr>
        <w:t>、投标文件与招标文件有重大偏离、未满足带“★”号实质性指标的；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6</w:t>
      </w:r>
      <w:r>
        <w:rPr>
          <w:rFonts w:ascii="仿宋_GB2312" w:hAnsi="仿宋_GB2312" w:eastAsia="仿宋_GB2312" w:cs="仿宋_GB2312"/>
          <w:color w:val="000000"/>
          <w:kern w:val="0"/>
          <w:szCs w:val="28"/>
        </w:rPr>
        <w:t>、资质文件、技术及商务文件中出现投标价格信息的、投标报价超出招标文件中规定的预算金额或者最高限价的；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7</w:t>
      </w:r>
      <w:r>
        <w:rPr>
          <w:rFonts w:ascii="仿宋_GB2312" w:hAnsi="仿宋_GB2312" w:eastAsia="仿宋_GB2312" w:cs="仿宋_GB2312"/>
          <w:color w:val="000000"/>
          <w:kern w:val="0"/>
          <w:szCs w:val="28"/>
        </w:rPr>
        <w:t>、标项以赠送方式投标的、对一个标项提供两个投标方案或两个报价的；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8</w:t>
      </w:r>
      <w:r>
        <w:rPr>
          <w:rFonts w:ascii="仿宋_GB2312" w:hAnsi="仿宋_GB2312" w:eastAsia="仿宋_GB2312" w:cs="仿宋_GB2312"/>
          <w:color w:val="000000"/>
          <w:kern w:val="0"/>
          <w:szCs w:val="28"/>
        </w:rPr>
        <w:t>、评标委员会认为投标人的报价明显低于其他通过符合性审查投标人的报价，有可能影响产品质量或者不能诚信履约，且在评标现场合理的时间内不能证明其报价合理性的；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9</w:t>
      </w:r>
      <w:r>
        <w:rPr>
          <w:rFonts w:ascii="仿宋_GB2312" w:hAnsi="仿宋_GB2312" w:eastAsia="仿宋_GB2312" w:cs="仿宋_GB2312"/>
          <w:color w:val="000000"/>
          <w:kern w:val="0"/>
          <w:szCs w:val="28"/>
        </w:rPr>
        <w:t>、投标人不接受报价文件中修正后的报价的；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10</w:t>
      </w:r>
      <w:r>
        <w:rPr>
          <w:rFonts w:ascii="仿宋_GB2312" w:hAnsi="仿宋_GB2312" w:eastAsia="仿宋_GB2312" w:cs="仿宋_GB2312"/>
          <w:color w:val="000000"/>
          <w:kern w:val="0"/>
          <w:szCs w:val="28"/>
        </w:rPr>
        <w:t>、未按本章“</w:t>
      </w:r>
      <w:r>
        <w:rPr>
          <w:rFonts w:hint="eastAsia" w:ascii="仿宋_GB2312" w:hAnsi="仿宋_GB2312" w:eastAsia="仿宋_GB2312" w:cs="仿宋_GB2312"/>
          <w:color w:val="000000"/>
          <w:kern w:val="0"/>
          <w:szCs w:val="28"/>
        </w:rPr>
        <w:t>三</w:t>
      </w:r>
      <w:r>
        <w:rPr>
          <w:rFonts w:ascii="仿宋_GB2312" w:hAnsi="仿宋_GB2312" w:eastAsia="仿宋_GB2312" w:cs="仿宋_GB2312"/>
          <w:color w:val="000000"/>
          <w:kern w:val="0"/>
          <w:szCs w:val="28"/>
        </w:rPr>
        <w:t>、投标文件</w:t>
      </w:r>
      <w:r>
        <w:rPr>
          <w:rFonts w:hint="eastAsia" w:ascii="仿宋_GB2312" w:hAnsi="仿宋_GB2312" w:eastAsia="仿宋_GB2312" w:cs="仿宋_GB2312"/>
          <w:color w:val="000000"/>
          <w:kern w:val="0"/>
          <w:szCs w:val="28"/>
        </w:rPr>
        <w:t>（六）</w:t>
      </w:r>
      <w:r>
        <w:rPr>
          <w:rFonts w:ascii="仿宋_GB2312" w:hAnsi="仿宋_GB2312" w:eastAsia="仿宋_GB2312" w:cs="仿宋_GB2312"/>
          <w:color w:val="000000"/>
          <w:kern w:val="0"/>
          <w:szCs w:val="28"/>
        </w:rPr>
        <w:t>投标报价</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要求报价的；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11、评审委员会要求</w:t>
      </w:r>
      <w:r>
        <w:rPr>
          <w:rFonts w:hint="eastAsia" w:ascii="仿宋_GB2312" w:hAnsi="仿宋_GB2312" w:eastAsia="仿宋_GB2312" w:cs="仿宋_GB2312"/>
          <w:color w:val="000000"/>
          <w:kern w:val="0"/>
          <w:szCs w:val="28"/>
          <w:lang w:eastAsia="zh-CN"/>
        </w:rPr>
        <w:t>投标</w:t>
      </w:r>
      <w:r>
        <w:rPr>
          <w:rFonts w:hint="eastAsia" w:ascii="仿宋_GB2312" w:hAnsi="仿宋_GB2312" w:eastAsia="仿宋_GB2312" w:cs="仿宋_GB2312"/>
          <w:color w:val="000000"/>
          <w:kern w:val="0"/>
          <w:szCs w:val="28"/>
        </w:rPr>
        <w:t>人予以澄清说明的事项，</w:t>
      </w:r>
      <w:r>
        <w:rPr>
          <w:rFonts w:hint="eastAsia" w:ascii="仿宋_GB2312" w:hAnsi="仿宋_GB2312" w:eastAsia="仿宋_GB2312" w:cs="仿宋_GB2312"/>
          <w:color w:val="000000"/>
          <w:kern w:val="0"/>
          <w:szCs w:val="28"/>
          <w:lang w:eastAsia="zh-CN"/>
        </w:rPr>
        <w:t>投标</w:t>
      </w:r>
      <w:r>
        <w:rPr>
          <w:rFonts w:hint="eastAsia" w:ascii="仿宋_GB2312" w:hAnsi="仿宋_GB2312" w:eastAsia="仿宋_GB2312" w:cs="仿宋_GB2312"/>
          <w:color w:val="000000"/>
          <w:kern w:val="0"/>
          <w:szCs w:val="28"/>
        </w:rPr>
        <w:t>人拒绝澄清说明的；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12、单位负责人为同一人或者存在直接控股、管理关系的不同供应商同时参加本项目的（均无效）；</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3</w:t>
      </w:r>
      <w:r>
        <w:rPr>
          <w:rFonts w:ascii="仿宋_GB2312" w:hAnsi="仿宋_GB2312" w:eastAsia="仿宋_GB2312" w:cs="仿宋_GB2312"/>
          <w:color w:val="000000"/>
          <w:kern w:val="0"/>
          <w:szCs w:val="28"/>
        </w:rPr>
        <w:t>、投标文件含有采购人不能接受的附加条件的；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、投标人被视为串通投标的；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5</w:t>
      </w:r>
      <w:r>
        <w:rPr>
          <w:rFonts w:ascii="仿宋_GB2312" w:hAnsi="仿宋_GB2312" w:eastAsia="仿宋_GB2312" w:cs="仿宋_GB2312"/>
          <w:color w:val="000000"/>
          <w:kern w:val="0"/>
          <w:szCs w:val="28"/>
        </w:rPr>
        <w:t>、不符合法律、法规和本招标文件规定的其他实质性要求的。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bookmarkStart w:id="10" w:name="_Toc345423467"/>
      <w:bookmarkStart w:id="11" w:name="_Toc360457878"/>
      <w:r>
        <w:rPr>
          <w:rFonts w:ascii="仿宋_GB2312" w:hAnsi="仿宋_GB2312" w:eastAsia="仿宋_GB2312" w:cs="仿宋_GB2312"/>
          <w:color w:val="000000"/>
          <w:kern w:val="0"/>
          <w:szCs w:val="28"/>
        </w:rPr>
        <w:t>（十）错误修正</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投标文件报价出现前后不一致的，除招标文件另有规定外，按照下列规定修正：</w:t>
      </w:r>
    </w:p>
    <w:p>
      <w:pPr>
        <w:pStyle w:val="66"/>
        <w:ind w:left="0" w:leftChars="0" w:firstLine="560"/>
        <w:rPr>
          <w:rFonts w:ascii="仿宋_GB2312" w:hAnsi="仿宋_GB2312" w:eastAsia="仿宋_GB2312" w:cs="仿宋_GB2312"/>
          <w:kern w:val="0"/>
          <w:szCs w:val="28"/>
        </w:rPr>
      </w:pPr>
      <w:r>
        <w:rPr>
          <w:rFonts w:hint="eastAsia" w:ascii="仿宋_GB2312" w:hAnsi="仿宋_GB2312" w:eastAsia="仿宋_GB2312" w:cs="仿宋_GB2312"/>
          <w:kern w:val="0"/>
          <w:szCs w:val="28"/>
        </w:rPr>
        <w:t>1、政采云平台输入的开标记录表报价与电子投标文件中的报价文件不一致的，以政采云平台输入的开标记录表为准；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电子投标文件中报价明细表内容与电子投标文件中相应内容不一致的，以报价明细表为准；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大写金额和小写金额不一致的，以大写金额为准；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单价金额小数点或者百分比有明显错位的，以报价明细表的总价为准，并修改单价；</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总价金额与按单价汇总金额不一致的，以单价金额计算结果为准。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pPr>
        <w:pStyle w:val="3"/>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四、开标、评标</w:t>
      </w:r>
      <w:bookmarkEnd w:id="10"/>
      <w:bookmarkEnd w:id="11"/>
      <w:r>
        <w:rPr>
          <w:rFonts w:ascii="仿宋_GB2312" w:hAnsi="仿宋_GB2312" w:eastAsia="仿宋_GB2312" w:cs="仿宋_GB2312"/>
          <w:b w:val="0"/>
          <w:bCs w:val="0"/>
          <w:color w:val="000000"/>
          <w:kern w:val="0"/>
          <w:sz w:val="28"/>
          <w:szCs w:val="28"/>
        </w:rPr>
        <w:t>和定标</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开标、评标和定标见本招标文件第四部分内容。</w:t>
      </w:r>
    </w:p>
    <w:p>
      <w:pPr>
        <w:pStyle w:val="3"/>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12" w:name="_Toc360457879"/>
      <w:bookmarkStart w:id="13" w:name="_Toc345423468"/>
      <w:r>
        <w:rPr>
          <w:rFonts w:ascii="仿宋_GB2312" w:hAnsi="仿宋_GB2312" w:eastAsia="仿宋_GB2312" w:cs="仿宋_GB2312"/>
          <w:b w:val="0"/>
          <w:bCs w:val="0"/>
          <w:color w:val="000000"/>
          <w:kern w:val="0"/>
          <w:sz w:val="28"/>
          <w:szCs w:val="28"/>
        </w:rPr>
        <w:t>五、合同的授予</w:t>
      </w:r>
      <w:bookmarkEnd w:id="12"/>
      <w:bookmarkEnd w:id="13"/>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1、授予合同的依据</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（1）中标通知书；</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（2）招标文件、招标文件的修改及补充文件；</w:t>
      </w:r>
    </w:p>
    <w:p>
      <w:pPr>
        <w:pStyle w:val="31"/>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（4）《中华人民共和国</w:t>
      </w:r>
      <w:r>
        <w:rPr>
          <w:rFonts w:hint="eastAsia" w:ascii="仿宋_GB2312" w:hAnsi="仿宋_GB2312" w:eastAsia="仿宋_GB2312" w:cs="仿宋_GB2312"/>
          <w:color w:val="000000"/>
          <w:kern w:val="0"/>
          <w:sz w:val="28"/>
          <w:szCs w:val="28"/>
        </w:rPr>
        <w:t>民法典</w:t>
      </w:r>
      <w:r>
        <w:rPr>
          <w:rFonts w:ascii="仿宋_GB2312" w:hAnsi="仿宋_GB2312" w:eastAsia="仿宋_GB2312" w:cs="仿宋_GB2312"/>
          <w:color w:val="000000"/>
          <w:kern w:val="0"/>
          <w:sz w:val="28"/>
          <w:szCs w:val="28"/>
        </w:rPr>
        <w:t>》的规定。</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2、签署合同的要求</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（1）采购人与中标人按照中标通知书规定的时间、地点签订书面合同；</w:t>
      </w:r>
    </w:p>
    <w:p>
      <w:pPr>
        <w:spacing w:line="360" w:lineRule="auto"/>
        <w:ind w:firstLine="700" w:firstLineChars="2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(2)签订合同的时间必须在自中标通知书收到之日起</w:t>
      </w:r>
      <w:r>
        <w:rPr>
          <w:rFonts w:hint="eastAsia" w:ascii="仿宋_GB2312" w:hAnsi="仿宋_GB2312" w:eastAsia="仿宋_GB2312" w:cs="仿宋_GB2312"/>
          <w:color w:val="000000"/>
          <w:kern w:val="0"/>
          <w:sz w:val="28"/>
          <w:szCs w:val="28"/>
        </w:rPr>
        <w:t>三十</w:t>
      </w:r>
      <w:r>
        <w:rPr>
          <w:rFonts w:ascii="仿宋_GB2312" w:hAnsi="仿宋_GB2312" w:eastAsia="仿宋_GB2312" w:cs="仿宋_GB2312"/>
          <w:color w:val="000000"/>
          <w:kern w:val="0"/>
          <w:sz w:val="28"/>
          <w:szCs w:val="28"/>
        </w:rPr>
        <w:t>日内；</w:t>
      </w:r>
    </w:p>
    <w:p>
      <w:pPr>
        <w:spacing w:line="360" w:lineRule="auto"/>
        <w:ind w:firstLine="700" w:firstLineChars="2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(3)所签订的合同内容不得对招标文件和中标人的投标文件作实质性修改；</w:t>
      </w:r>
    </w:p>
    <w:p>
      <w:pPr>
        <w:spacing w:line="360" w:lineRule="auto"/>
        <w:ind w:left="2" w:leftChars="1" w:firstLine="700" w:firstLineChars="25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(4)采购人不得向中标人提出任何不合理的要求，作为签订合同的条件，不得与中标人私下订立背离合同实质性内容的协议</w:t>
      </w:r>
      <w:r>
        <w:rPr>
          <w:rFonts w:hint="eastAsia" w:ascii="仿宋_GB2312" w:hAnsi="仿宋_GB2312" w:eastAsia="仿宋_GB2312" w:cs="仿宋_GB2312"/>
          <w:color w:val="000000"/>
          <w:kern w:val="0"/>
          <w:sz w:val="28"/>
          <w:szCs w:val="28"/>
        </w:rPr>
        <w:t>。</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3.合同签订</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（1）采购人与中标人将根据《中华人民共和国</w:t>
      </w:r>
      <w:r>
        <w:rPr>
          <w:rFonts w:hint="eastAsia" w:ascii="仿宋_GB2312" w:hAnsi="仿宋_GB2312" w:eastAsia="仿宋_GB2312" w:cs="仿宋_GB2312"/>
          <w:color w:val="000000"/>
          <w:kern w:val="0"/>
          <w:sz w:val="28"/>
          <w:szCs w:val="28"/>
        </w:rPr>
        <w:t>民法典</w:t>
      </w:r>
      <w:r>
        <w:rPr>
          <w:rFonts w:ascii="仿宋_GB2312" w:hAnsi="仿宋_GB2312" w:eastAsia="仿宋_GB2312" w:cs="仿宋_GB2312"/>
          <w:color w:val="000000"/>
          <w:kern w:val="0"/>
          <w:sz w:val="28"/>
          <w:szCs w:val="28"/>
        </w:rPr>
        <w:t>》的规定，依据招标文件和中标人的投标文件签订书面合同</w:t>
      </w:r>
      <w:r>
        <w:rPr>
          <w:rFonts w:hint="eastAsia" w:ascii="仿宋_GB2312" w:hAnsi="仿宋_GB2312" w:eastAsia="仿宋_GB2312" w:cs="仿宋_GB2312"/>
          <w:color w:val="000000"/>
          <w:kern w:val="0"/>
          <w:sz w:val="28"/>
          <w:szCs w:val="28"/>
        </w:rPr>
        <w:t>。</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 中标人应当按照合同约定履行义务，完成中标项目各项工作，不得将中标项目转让（转包）给他人。</w:t>
      </w:r>
      <w:bookmarkStart w:id="14" w:name="_Toc360457880"/>
      <w:bookmarkStart w:id="15" w:name="_Toc345423469"/>
    </w:p>
    <w:p>
      <w:pPr>
        <w:pStyle w:val="3"/>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六、质疑</w:t>
      </w:r>
      <w:bookmarkEnd w:id="14"/>
      <w:bookmarkEnd w:id="15"/>
    </w:p>
    <w:p>
      <w:pPr>
        <w:spacing w:line="360" w:lineRule="auto"/>
        <w:ind w:firstLine="700" w:firstLineChars="250"/>
        <w:rPr>
          <w:rFonts w:hint="eastAsia" w:ascii="仿宋_GB2312" w:hAnsi="仿宋_GB2312" w:eastAsia="仿宋_GB2312" w:cs="仿宋_GB2312"/>
          <w:color w:val="000000"/>
          <w:kern w:val="0"/>
          <w:sz w:val="28"/>
          <w:szCs w:val="28"/>
        </w:rPr>
      </w:pPr>
      <w:bookmarkStart w:id="16" w:name="_Toc345423470"/>
      <w:bookmarkStart w:id="17" w:name="_Toc360457881"/>
      <w:r>
        <w:rPr>
          <w:rFonts w:hint="eastAsia" w:ascii="仿宋_GB2312" w:hAnsi="仿宋_GB2312" w:eastAsia="仿宋_GB2312" w:cs="仿宋_GB2312"/>
          <w:color w:val="000000"/>
          <w:kern w:val="0"/>
          <w:sz w:val="28"/>
          <w:szCs w:val="28"/>
        </w:rPr>
        <w:t>1、供应商认为采购文件、采购过程、中标或者成交结果使自己的权益受到损害的，可以在知道或者应知其权益受到损害之日起7个工作日内，以书面形式提出质疑。对采购文件需求条款、评分标准等内容的质疑向采购人提出，对开评标程序的质疑向采购代理机构提出。供应商须在法定质疑期内一次性提出针对同一采购程序环节的质疑。</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3、供应商提出质疑应当提交质疑函和必要的证明材料。质疑函应当包括下列内容：</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a供应商的姓名或者名称、地址、邮编、联系人及联系电话；</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b质疑项目的名称、编号；</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c具体、明确的质疑事项和与质疑事项相关的请求；</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d事实依据；</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e必要的法律依据；</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f提出质疑的日期。</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供应商为自然人的，应当由本人签字；供应商为法人或其他组织的，应当由法定代表人、主要负责人，或者其授权代表签字或者盖章，并加盖公章。</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（质疑函范本可从财政部网站下载）</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4、采购人、采购代理机构将在收到质疑函后7个工作日内作出答复，并以书面形式通知质疑供应商。质疑答复的内容不得涉及商业秘密。</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质疑供应商对采购人、采购代理机构的答复不满意，或者采购人、采购代理机构未在规定时间内作出答复的，可以在答复期满后15个工作日内向同级政府采购监督管理部门提起投诉（联系方式、地址等见招标公告）。</w:t>
      </w:r>
    </w:p>
    <w:p>
      <w:pPr>
        <w:pStyle w:val="3"/>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七、保密和披露</w:t>
      </w:r>
      <w:bookmarkEnd w:id="16"/>
      <w:bookmarkEnd w:id="17"/>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1、投标人自购买招标文件之日起，须承诺承担本招标项目下保密义务，不得将因本次招标获得的信息向第三方外传。</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2、招标方有权</w:t>
      </w:r>
      <w:r>
        <w:rPr>
          <w:rFonts w:hint="eastAsia" w:ascii="仿宋_GB2312" w:hAnsi="仿宋_GB2312" w:eastAsia="仿宋_GB2312" w:cs="仿宋_GB2312"/>
          <w:color w:val="000000"/>
          <w:kern w:val="0"/>
          <w:sz w:val="28"/>
          <w:szCs w:val="28"/>
        </w:rPr>
        <w:t>将</w:t>
      </w:r>
      <w:r>
        <w:rPr>
          <w:rFonts w:ascii="仿宋_GB2312" w:hAnsi="仿宋_GB2312" w:eastAsia="仿宋_GB2312" w:cs="仿宋_GB2312"/>
          <w:color w:val="000000"/>
          <w:kern w:val="0"/>
          <w:sz w:val="28"/>
          <w:szCs w:val="28"/>
        </w:rPr>
        <w:t>投标人提供的所有资料向其他政府部门或有关的非政府机构负责评审标书的人员或与评标有关的人员披露。</w:t>
      </w:r>
    </w:p>
    <w:p>
      <w:pPr>
        <w:spacing w:line="360" w:lineRule="auto"/>
        <w:ind w:firstLine="560" w:firstLineChars="200"/>
        <w:rPr>
          <w:rFonts w:ascii="Arial" w:hAnsi="Arial" w:eastAsia="仿宋" w:cs="Arial"/>
          <w:sz w:val="28"/>
          <w:szCs w:val="28"/>
        </w:rPr>
      </w:pPr>
      <w:r>
        <w:rPr>
          <w:rFonts w:ascii="仿宋_GB2312" w:hAnsi="仿宋_GB2312" w:eastAsia="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pPr>
        <w:pStyle w:val="3"/>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18" w:name="_Toc360457882"/>
      <w:bookmarkStart w:id="19" w:name="_Toc345423471"/>
      <w:r>
        <w:rPr>
          <w:rFonts w:hint="eastAsia" w:ascii="仿宋_GB2312" w:hAnsi="仿宋_GB2312" w:eastAsia="仿宋_GB2312" w:cs="仿宋_GB2312"/>
          <w:b w:val="0"/>
          <w:bCs w:val="0"/>
          <w:color w:val="000000"/>
          <w:kern w:val="0"/>
          <w:sz w:val="28"/>
          <w:szCs w:val="28"/>
        </w:rPr>
        <w:t>八</w:t>
      </w:r>
      <w:r>
        <w:rPr>
          <w:rFonts w:ascii="仿宋_GB2312" w:hAnsi="仿宋_GB2312" w:eastAsia="仿宋_GB2312" w:cs="仿宋_GB2312"/>
          <w:b w:val="0"/>
          <w:bCs w:val="0"/>
          <w:color w:val="000000"/>
          <w:kern w:val="0"/>
          <w:sz w:val="28"/>
          <w:szCs w:val="28"/>
        </w:rPr>
        <w:t>、特别声明</w:t>
      </w:r>
      <w:bookmarkEnd w:id="18"/>
      <w:bookmarkEnd w:id="19"/>
    </w:p>
    <w:p>
      <w:pPr>
        <w:spacing w:line="360" w:lineRule="auto"/>
        <w:ind w:firstLine="482" w:firstLineChars="200"/>
        <w:jc w:val="left"/>
        <w:rPr>
          <w:rFonts w:ascii="仿宋_GB2312" w:hAnsi="仿宋_GB2312" w:eastAsia="仿宋_GB2312" w:cs="仿宋_GB2312"/>
          <w:b/>
          <w:color w:val="000000"/>
          <w:kern w:val="0"/>
          <w:sz w:val="24"/>
          <w:u w:val="single"/>
        </w:rPr>
      </w:pPr>
      <w:r>
        <w:rPr>
          <w:rFonts w:ascii="仿宋_GB2312" w:hAnsi="仿宋_GB2312" w:eastAsia="仿宋_GB2312" w:cs="仿宋_GB2312"/>
          <w:b/>
          <w:color w:val="000000"/>
          <w:kern w:val="0"/>
          <w:sz w:val="24"/>
          <w:u w:val="single"/>
        </w:rPr>
        <w:t>1、最高限价：本次公开招标设有最高限价，</w:t>
      </w:r>
      <w:r>
        <w:rPr>
          <w:rFonts w:ascii="仿宋_GB2312" w:hAnsi="仿宋_GB2312" w:eastAsia="仿宋_GB2312" w:cs="仿宋_GB2312"/>
          <w:b/>
          <w:color w:val="000000"/>
          <w:kern w:val="0"/>
          <w:sz w:val="24"/>
          <w:highlight w:val="none"/>
          <w:u w:val="single"/>
        </w:rPr>
        <w:t>最高限价是</w:t>
      </w:r>
      <w:r>
        <w:rPr>
          <w:rFonts w:hint="eastAsia" w:ascii="仿宋_GB2312" w:hAnsi="仿宋_GB2312" w:eastAsia="仿宋_GB2312" w:cs="仿宋_GB2312"/>
          <w:b/>
          <w:color w:val="000000"/>
          <w:kern w:val="0"/>
          <w:sz w:val="24"/>
          <w:highlight w:val="none"/>
          <w:u w:val="single"/>
        </w:rPr>
        <w:t>68.34</w:t>
      </w:r>
      <w:r>
        <w:rPr>
          <w:rFonts w:hint="eastAsia" w:ascii="仿宋_GB2312" w:hAnsi="仿宋_GB2312" w:eastAsia="仿宋_GB2312" w:cs="仿宋_GB2312"/>
          <w:b/>
          <w:color w:val="000000"/>
          <w:kern w:val="0"/>
          <w:sz w:val="24"/>
          <w:highlight w:val="none"/>
          <w:u w:val="single"/>
          <w:lang w:val="en-US" w:eastAsia="zh-CN"/>
        </w:rPr>
        <w:t>万元</w:t>
      </w:r>
      <w:r>
        <w:rPr>
          <w:rFonts w:ascii="仿宋_GB2312" w:hAnsi="仿宋_GB2312" w:eastAsia="仿宋_GB2312" w:cs="仿宋_GB2312"/>
          <w:b/>
          <w:color w:val="000000"/>
          <w:kern w:val="0"/>
          <w:sz w:val="24"/>
          <w:highlight w:val="none"/>
          <w:u w:val="single"/>
        </w:rPr>
        <w:t>整，</w:t>
      </w:r>
      <w:r>
        <w:rPr>
          <w:rFonts w:ascii="仿宋_GB2312" w:hAnsi="仿宋_GB2312" w:eastAsia="仿宋_GB2312" w:cs="仿宋_GB2312"/>
          <w:b/>
          <w:color w:val="000000"/>
          <w:kern w:val="0"/>
          <w:sz w:val="24"/>
          <w:u w:val="single"/>
        </w:rPr>
        <w:t>超出最高限价的视为无效标。</w:t>
      </w:r>
    </w:p>
    <w:p>
      <w:pPr>
        <w:spacing w:line="360" w:lineRule="auto"/>
        <w:ind w:firstLine="480" w:firstLineChars="200"/>
        <w:jc w:val="left"/>
        <w:rPr>
          <w:rFonts w:ascii="仿宋_GB2312" w:hAnsi="仿宋_GB2312" w:eastAsia="仿宋_GB2312" w:cs="仿宋_GB2312"/>
          <w:color w:val="000000"/>
          <w:kern w:val="0"/>
          <w:sz w:val="24"/>
        </w:rPr>
      </w:pPr>
      <w:bookmarkStart w:id="20" w:name="_Toc437251186"/>
      <w:bookmarkStart w:id="21" w:name="_Toc360457883"/>
      <w:bookmarkStart w:id="22" w:name="_Toc345423472"/>
      <w:bookmarkStart w:id="23" w:name="_Toc285440050"/>
      <w:r>
        <w:rPr>
          <w:rFonts w:hint="eastAsia" w:ascii="仿宋_GB2312" w:hAnsi="仿宋_GB2312" w:eastAsia="仿宋_GB2312" w:cs="仿宋_GB2312"/>
          <w:color w:val="000000"/>
          <w:kern w:val="0"/>
          <w:sz w:val="24"/>
        </w:rPr>
        <w:t>2、中型、小型、微型企业投标的，应当符合以下条件：</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（2）提供本企业制造的货物、承担的工程或者服务，或者提供其他中小企业制造的货物。</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（3）根据财库〔2020〕46号文件规定，符合中小企业划分标准的个体工商户视同中小企业。</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（4）根据财库〔2014〕68号、财库〔2017〕141号文件规定，监狱企业、残疾人福利性单位视同小型、微型企业。</w:t>
      </w:r>
    </w:p>
    <w:p>
      <w:pPr>
        <w:pStyle w:val="3"/>
        <w:keepNext w:val="0"/>
        <w:keepLines w:val="0"/>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30"/>
        <w:ind w:left="0"/>
      </w:pPr>
    </w:p>
    <w:bookmarkEnd w:id="20"/>
    <w:bookmarkEnd w:id="21"/>
    <w:bookmarkEnd w:id="22"/>
    <w:bookmarkEnd w:id="23"/>
    <w:p>
      <w:pPr>
        <w:numPr>
          <w:ilvl w:val="0"/>
          <w:numId w:val="4"/>
        </w:num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开标、评标和定标</w:t>
      </w:r>
    </w:p>
    <w:p>
      <w:pPr>
        <w:pStyle w:val="3"/>
        <w:keepNext w:val="0"/>
        <w:keepLines w:val="0"/>
        <w:spacing w:before="0" w:after="0" w:line="415" w:lineRule="auto"/>
        <w:jc w:val="center"/>
      </w:pP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一、电子招投标开标及评审程序</w:t>
      </w:r>
    </w:p>
    <w:p>
      <w:pPr>
        <w:pStyle w:val="38"/>
        <w:snapToGrid w:val="0"/>
        <w:spacing w:before="120" w:after="120" w:line="360" w:lineRule="auto"/>
        <w:ind w:firstLine="548" w:firstLineChars="196"/>
        <w:rPr>
          <w:rFonts w:ascii="仿宋_GB2312" w:hAnsi="仿宋_GB2312" w:eastAsia="仿宋_GB2312" w:cs="仿宋_GB2312"/>
          <w:color w:val="000000"/>
          <w:kern w:val="0"/>
          <w:szCs w:val="28"/>
          <w:u w:val="single"/>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.1投标截止时间后，投标人登录政采云平台，用“项目采购-开标评标”功能对电子投标文件进行在线解密。</w:t>
      </w:r>
      <w:r>
        <w:rPr>
          <w:rFonts w:ascii="仿宋_GB2312" w:hAnsi="仿宋_GB2312" w:eastAsia="仿宋_GB2312" w:cs="仿宋_GB2312"/>
          <w:color w:val="000000"/>
          <w:kern w:val="0"/>
          <w:szCs w:val="28"/>
          <w:u w:val="single"/>
        </w:rPr>
        <w:t>在线解密电子投标文件时间为开标时间起半个小时内。</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.2评标委员会对资格和商务技术响应文件进行评审；</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.3在系统上公开资格和商务技术评审结果；</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.4在系统上公开报价开标情况；</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.5评标委员会对报价情况进行评审；</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.6在系统上公布评审结果。</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特别说明：政采云公司如对电子化开标及评审程序有调整的，按调整后的程序操作。</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.1电子交易平台发生故障而无法登录访问的； </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.2电子交易平台应用或数据库出现错误，不能进行正常操作的；</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.3电子交易平台发现严重安全漏洞，有潜在泄密危险的；</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.4病毒发作导致不能进行正常操作的； </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.5其他无法保证电子交易的公平、公正和安全的情况。</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二、组织评标程序</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招标方将按照招标文件规定的时间、地点和程序组织评标，各评审专家及相关人员应参加评审活动并接受核验、签到，无关人员不得进入评审现场。</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采购人可以在评标前说明项目背景和采购需求，说明内容不得含有歧视性、倾向性意见，不得超出招标文件所述范围。</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3、市政府采购中心依法组建评标委员会，推选评标委员会组长。</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、评标委员会组长组织评审人员独立评审。</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4.1</w:t>
      </w:r>
      <w:r>
        <w:rPr>
          <w:rFonts w:ascii="仿宋_GB2312" w:hAnsi="仿宋_GB2312" w:eastAsia="仿宋_GB2312" w:cs="仿宋_GB2312"/>
          <w:color w:val="000000"/>
          <w:kern w:val="0"/>
          <w:szCs w:val="28"/>
        </w:rPr>
        <w:t>资格性审查</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资格审查小组依据法律、法规和招标文件规定，对投标文件中的资格证明等进行审查，以确定投标人是否具备投标资格。资格性审查资料表如下：</w:t>
      </w:r>
    </w:p>
    <w:tbl>
      <w:tblPr>
        <w:tblStyle w:val="67"/>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649"/>
        <w:gridCol w:w="2970"/>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649"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审查因素</w:t>
            </w:r>
          </w:p>
        </w:tc>
        <w:tc>
          <w:tcPr>
            <w:tcW w:w="2970"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审查内容</w:t>
            </w:r>
          </w:p>
        </w:tc>
        <w:tc>
          <w:tcPr>
            <w:tcW w:w="3098"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授权书</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 xml:space="preserve">授权书 </w:t>
            </w:r>
          </w:p>
        </w:tc>
        <w:tc>
          <w:tcPr>
            <w:tcW w:w="3098"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w:t>
            </w:r>
            <w:r>
              <w:rPr>
                <w:rFonts w:ascii="仿宋_GB2312" w:hAnsi="仿宋_GB2312" w:eastAsia="仿宋_GB2312" w:cs="仿宋_GB2312"/>
                <w:color w:val="000000"/>
                <w:kern w:val="0"/>
                <w:sz w:val="24"/>
              </w:rPr>
              <w:t>法定代表人授权委托书</w:t>
            </w:r>
            <w:r>
              <w:rPr>
                <w:rFonts w:hint="eastAsia" w:ascii="仿宋_GB2312" w:hAnsi="仿宋_GB2312" w:eastAsia="仿宋_GB2312" w:cs="仿宋_GB2312"/>
                <w:color w:val="000000"/>
                <w:kern w:val="0"/>
                <w:sz w:val="24"/>
              </w:rPr>
              <w:t>，</w:t>
            </w:r>
            <w:r>
              <w:rPr>
                <w:rFonts w:ascii="仿宋_GB2312" w:hAnsi="仿宋_GB2312" w:eastAsia="仿宋_GB2312" w:cs="仿宋_GB2312"/>
                <w:bCs/>
                <w:color w:val="000000"/>
                <w:kern w:val="0"/>
                <w:sz w:val="24"/>
                <w:u w:val="single"/>
              </w:rPr>
              <w:t>格式以附件为准</w:t>
            </w:r>
            <w:r>
              <w:rPr>
                <w:rFonts w:hint="eastAsia" w:ascii="仿宋_GB2312" w:hAnsi="仿宋_GB2312" w:eastAsia="仿宋_GB2312" w:cs="仿宋_GB2312"/>
                <w:bCs/>
                <w:color w:val="000000"/>
                <w:kern w:val="0"/>
                <w:sz w:val="24"/>
                <w:u w:val="single"/>
              </w:rPr>
              <w:t>，</w:t>
            </w:r>
            <w:r>
              <w:rPr>
                <w:rFonts w:ascii="仿宋_GB2312" w:hAnsi="仿宋_GB2312" w:eastAsia="仿宋_GB2312" w:cs="仿宋_GB2312"/>
                <w:bCs/>
                <w:color w:val="000000"/>
                <w:kern w:val="0"/>
                <w:sz w:val="24"/>
                <w:u w:val="single"/>
              </w:rPr>
              <w:t>注意按要求签署盖章</w:t>
            </w:r>
            <w:r>
              <w:rPr>
                <w:rFonts w:hint="eastAsia" w:ascii="仿宋_GB2312" w:hAnsi="仿宋_GB2312" w:eastAsia="仿宋_GB2312" w:cs="仿宋_GB2312"/>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具有独立承担民事责任的能力</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营业执照（副本）复印件 </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中小企业资格认定</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中小企业声明函</w:t>
            </w:r>
          </w:p>
        </w:tc>
        <w:tc>
          <w:tcPr>
            <w:tcW w:w="3098" w:type="dxa"/>
            <w:vAlign w:val="center"/>
          </w:tcPr>
          <w:p>
            <w:pPr>
              <w:spacing w:line="360" w:lineRule="auto"/>
              <w:rPr>
                <w:rFonts w:ascii="仿宋_GB2312" w:hAnsi="仿宋_GB2312" w:eastAsia="仿宋" w:cs="仿宋_GB2312"/>
                <w:color w:val="000000"/>
                <w:kern w:val="0"/>
                <w:sz w:val="24"/>
              </w:rPr>
            </w:pPr>
            <w:r>
              <w:rPr>
                <w:rFonts w:hint="eastAsia" w:ascii="仿宋_GB2312" w:hAnsi="仿宋_GB2312" w:eastAsia="仿宋_GB2312" w:cs="仿宋_GB2312"/>
                <w:color w:val="000000"/>
                <w:kern w:val="0"/>
                <w:sz w:val="24"/>
              </w:rPr>
              <w:t>提供《中小企业声明函》（格式见附件）。</w:t>
            </w:r>
            <w:r>
              <w:rPr>
                <w:rFonts w:hint="eastAsia" w:ascii="仿宋_GB2312" w:hAnsi="仿宋_GB2312" w:eastAsia="仿宋_GB2312" w:cs="仿宋_GB2312"/>
                <w:color w:val="000000"/>
                <w:kern w:val="0"/>
                <w:sz w:val="24"/>
                <w:u w:val="single"/>
              </w:rPr>
              <w:t>未按附件格式内容提供的由投标人自行承担可能被视作无效标的风险。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投标资格及各项承诺</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投标函</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提供投标函</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u w:val="single"/>
              </w:rPr>
              <w:t>格式以附件为准，注意按要求签署盖章。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诚信记录</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投标人“信用中国”网站、中国政府采购网信用记录情况无不良记录。</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pPr>
        <w:spacing w:line="360" w:lineRule="auto"/>
        <w:ind w:firstLine="560" w:firstLineChars="200"/>
        <w:jc w:val="left"/>
        <w:outlineLvl w:val="1"/>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hAnsi="仿宋_GB2312" w:eastAsia="仿宋_GB2312" w:cs="仿宋_GB2312"/>
          <w:bCs/>
          <w:color w:val="000000"/>
          <w:kern w:val="0"/>
          <w:sz w:val="28"/>
          <w:szCs w:val="28"/>
          <w:u w:val="single"/>
        </w:rPr>
        <w:t>资格审查不合格的为无效的投标</w:t>
      </w:r>
      <w:r>
        <w:rPr>
          <w:rFonts w:ascii="仿宋_GB2312" w:hAnsi="仿宋_GB2312" w:eastAsia="仿宋_GB2312" w:cs="仿宋_GB2312"/>
          <w:bCs/>
          <w:color w:val="000000"/>
          <w:kern w:val="0"/>
          <w:sz w:val="28"/>
          <w:szCs w:val="28"/>
        </w:rPr>
        <w:t>。</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4.2</w:t>
      </w:r>
      <w:r>
        <w:rPr>
          <w:rFonts w:ascii="仿宋_GB2312" w:hAnsi="仿宋_GB2312" w:eastAsia="仿宋_GB2312" w:cs="仿宋_GB2312"/>
          <w:color w:val="000000"/>
          <w:kern w:val="0"/>
          <w:szCs w:val="28"/>
        </w:rPr>
        <w:t>符合性审查</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00"/>
      </w:pPr>
      <w:r>
        <w:rPr>
          <w:rFonts w:hint="eastAsia" w:ascii="仿宋_GB2312" w:hAnsi="仿宋_GB2312" w:eastAsia="仿宋_GB2312" w:cs="仿宋_GB2312"/>
          <w:b/>
          <w:bCs/>
          <w:color w:val="000000"/>
          <w:kern w:val="0"/>
          <w:sz w:val="28"/>
          <w:szCs w:val="28"/>
          <w:u w:val="single"/>
        </w:rPr>
        <w:t>若投标人递交的电子投标文件内容未指向指定链接、模块，导致投标文件被误读、漏读或者查找不到相关内容的</w:t>
      </w:r>
      <w:r>
        <w:rPr>
          <w:rFonts w:ascii="仿宋_GB2312" w:hAnsi="仿宋_GB2312" w:eastAsia="仿宋_GB2312" w:cs="仿宋_GB2312"/>
          <w:b/>
          <w:bCs/>
          <w:color w:val="000000"/>
          <w:kern w:val="0"/>
          <w:sz w:val="28"/>
          <w:szCs w:val="28"/>
          <w:u w:val="single"/>
        </w:rPr>
        <w:t>，</w:t>
      </w:r>
      <w:r>
        <w:rPr>
          <w:rFonts w:hint="eastAsia" w:ascii="仿宋_GB2312" w:hAnsi="仿宋_GB2312" w:eastAsia="仿宋_GB2312" w:cs="仿宋_GB2312"/>
          <w:b/>
          <w:bCs/>
          <w:color w:val="000000"/>
          <w:kern w:val="0"/>
          <w:sz w:val="28"/>
          <w:szCs w:val="28"/>
          <w:u w:val="single"/>
        </w:rPr>
        <w:t>由投标人自行承担可能被视作无效标的风险</w:t>
      </w:r>
      <w:r>
        <w:rPr>
          <w:rFonts w:ascii="仿宋_GB2312" w:hAnsi="仿宋_GB2312" w:eastAsia="仿宋_GB2312" w:cs="仿宋_GB2312"/>
          <w:b/>
          <w:bCs/>
          <w:color w:val="000000"/>
          <w:kern w:val="0"/>
          <w:sz w:val="28"/>
          <w:szCs w:val="28"/>
          <w:u w:val="single"/>
        </w:rPr>
        <w:t>。</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4.3</w:t>
      </w:r>
      <w:r>
        <w:rPr>
          <w:rFonts w:ascii="仿宋_GB2312" w:hAnsi="仿宋_GB2312" w:eastAsia="仿宋_GB2312" w:cs="仿宋_GB2312"/>
          <w:color w:val="000000"/>
          <w:kern w:val="0"/>
          <w:szCs w:val="28"/>
        </w:rPr>
        <w:t>技术和商务评审</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评审人员按招标文件规定的评审方法和评审标准，依法独立对投标人投标文件进行评估、比较，并给予评价或打分，不受任何单位和个人的干预。</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说明或纠正</w:t>
      </w:r>
      <w:r>
        <w:rPr>
          <w:rFonts w:hint="eastAsia" w:ascii="仿宋_GB2312" w:hAnsi="仿宋_GB2312" w:eastAsia="仿宋_GB2312" w:cs="仿宋_GB2312"/>
          <w:color w:val="000000"/>
          <w:kern w:val="0"/>
          <w:szCs w:val="28"/>
        </w:rPr>
        <w:t>。该过程由</w:t>
      </w:r>
      <w:r>
        <w:rPr>
          <w:rFonts w:ascii="仿宋_GB2312" w:hAnsi="仿宋_GB2312" w:eastAsia="仿宋_GB2312" w:cs="仿宋_GB2312"/>
          <w:color w:val="000000"/>
          <w:kern w:val="0"/>
          <w:szCs w:val="28"/>
        </w:rPr>
        <w:t>投标人与评审小组通过电子交易平台交换数据电文的形式进行</w:t>
      </w:r>
      <w:r>
        <w:rPr>
          <w:rFonts w:hint="eastAsia" w:ascii="仿宋_GB2312" w:hAnsi="仿宋_GB2312" w:eastAsia="仿宋_GB2312" w:cs="仿宋_GB2312"/>
          <w:color w:val="000000"/>
          <w:kern w:val="0"/>
          <w:szCs w:val="28"/>
        </w:rPr>
        <w:t>，给予投标人提交澄清说明或补正的时间不少于半小时，投标人已经明确表示澄清说明或补正完毕的除外。</w:t>
      </w:r>
      <w:r>
        <w:rPr>
          <w:rFonts w:ascii="仿宋_GB2312" w:hAnsi="仿宋_GB2312" w:eastAsia="仿宋_GB2312" w:cs="仿宋_GB2312"/>
          <w:color w:val="000000"/>
          <w:kern w:val="0"/>
          <w:szCs w:val="28"/>
        </w:rPr>
        <w:t>澄清说明</w:t>
      </w:r>
      <w:r>
        <w:rPr>
          <w:rFonts w:hint="eastAsia" w:ascii="仿宋_GB2312" w:hAnsi="仿宋_GB2312" w:eastAsia="仿宋_GB2312" w:cs="仿宋_GB2312"/>
          <w:color w:val="000000"/>
          <w:kern w:val="0"/>
          <w:szCs w:val="28"/>
        </w:rPr>
        <w:t>内容</w:t>
      </w:r>
      <w:r>
        <w:rPr>
          <w:rFonts w:ascii="仿宋_GB2312" w:hAnsi="仿宋_GB2312" w:eastAsia="仿宋_GB2312" w:cs="仿宋_GB2312"/>
          <w:color w:val="000000"/>
          <w:kern w:val="0"/>
          <w:szCs w:val="28"/>
        </w:rPr>
        <w:t>不得超出投标文件的范围或者改变投标文件的实质性内容。</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具体操作步骤及要点：</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供应商在“询标澄清-待办理”标签页下选择状态为“待澄清”的项目，点击操作栏【澄清】；</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查看询标函内容，在澄清截止时间前上传澄清文件并对澄清文件进行签章（注：澄清文件必须以 PDF 格式上传，文件大小：50M）；</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签章完成，文件名称处显示“已签章”，供应商可“撤回签章”修改澄清函和“查看文件”；</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完成状态：供应商澄清文件提交成功后，在“询标澄清-全部”标签页下显示状态为“已澄清”。</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4.4</w:t>
      </w:r>
      <w:r>
        <w:rPr>
          <w:rFonts w:ascii="仿宋_GB2312" w:hAnsi="仿宋_GB2312" w:eastAsia="仿宋_GB2312" w:cs="仿宋_GB2312"/>
          <w:color w:val="000000"/>
          <w:kern w:val="0"/>
          <w:szCs w:val="28"/>
        </w:rPr>
        <w:t>评审人员需对评审结果进行确认。如发现分值汇总计算错误、分项评分超出评分标准范围、客观评分不一致以及存在评分畸高、畸低情形（其总评分偏离平均分30%以上的）的，应由相关人员当场改正或作出说明；拒不改正又不作说明的，由现场监督员据实记录。</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4.5</w:t>
      </w:r>
      <w:r>
        <w:rPr>
          <w:rFonts w:ascii="仿宋_GB2312" w:hAnsi="仿宋_GB2312" w:eastAsia="仿宋_GB2312" w:cs="仿宋_GB2312"/>
          <w:color w:val="000000"/>
          <w:kern w:val="0"/>
          <w:szCs w:val="28"/>
        </w:rPr>
        <w:t xml:space="preserve">评标委员会根据评审汇总情况和招标文件规定确定中标候选供应商排序名单。 </w:t>
      </w:r>
    </w:p>
    <w:p>
      <w:pPr>
        <w:pStyle w:val="38"/>
        <w:snapToGrid w:val="0"/>
        <w:spacing w:before="120" w:after="120" w:line="360" w:lineRule="auto"/>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三</w:t>
      </w:r>
      <w:r>
        <w:rPr>
          <w:rFonts w:ascii="仿宋_GB2312" w:hAnsi="仿宋_GB2312" w:eastAsia="仿宋_GB2312" w:cs="仿宋_GB2312"/>
          <w:color w:val="000000"/>
          <w:kern w:val="0"/>
          <w:szCs w:val="28"/>
        </w:rPr>
        <w:t>、评审原则</w:t>
      </w:r>
    </w:p>
    <w:p>
      <w:pPr>
        <w:pStyle w:val="38"/>
        <w:snapToGrid w:val="0"/>
        <w:spacing w:beforeLines="100" w:afterLines="10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8"/>
        <w:snapToGrid w:val="0"/>
        <w:spacing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四、废标</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在招标采购中，出现下列情形之一的，应予废标：</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1、符合专业条件的供应商或者对招标文件作实质响应的供应商不足三家的；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2、出现影响采购公正的违法、违规行为的；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3、投标人的报价均超过了采购预算，采购人不能支付的；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4、因重大变故，采购任务取消的。</w:t>
      </w:r>
    </w:p>
    <w:p>
      <w:pPr>
        <w:spacing w:line="360" w:lineRule="auto"/>
        <w:ind w:firstLine="560" w:firstLineChars="200"/>
        <w:outlineLvl w:val="1"/>
        <w:rPr>
          <w:rFonts w:ascii="仿宋_GB2312" w:hAnsi="仿宋_GB2312" w:eastAsia="仿宋_GB2312" w:cs="仿宋_GB2312"/>
          <w:color w:val="000000"/>
          <w:kern w:val="0"/>
          <w:sz w:val="28"/>
          <w:szCs w:val="28"/>
        </w:rPr>
      </w:pPr>
      <w:bookmarkStart w:id="24" w:name="_Toc345423475"/>
      <w:bookmarkStart w:id="25" w:name="_Toc360457886"/>
      <w:r>
        <w:rPr>
          <w:rFonts w:hint="eastAsia" w:ascii="仿宋_GB2312" w:hAnsi="仿宋_GB2312" w:eastAsia="仿宋_GB2312" w:cs="仿宋_GB2312"/>
          <w:color w:val="000000"/>
          <w:kern w:val="0"/>
          <w:sz w:val="28"/>
          <w:szCs w:val="28"/>
        </w:rPr>
        <w:t>五</w:t>
      </w:r>
      <w:r>
        <w:rPr>
          <w:rFonts w:ascii="仿宋_GB2312" w:hAnsi="仿宋_GB2312" w:eastAsia="仿宋_GB2312" w:cs="仿宋_GB2312"/>
          <w:color w:val="000000"/>
          <w:kern w:val="0"/>
          <w:sz w:val="28"/>
          <w:szCs w:val="28"/>
        </w:rPr>
        <w:t>、定标</w:t>
      </w:r>
      <w:bookmarkEnd w:id="24"/>
      <w:bookmarkEnd w:id="25"/>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1、评标委员会</w:t>
      </w:r>
      <w:r>
        <w:rPr>
          <w:rFonts w:hint="eastAsia" w:ascii="仿宋_GB2312" w:hAnsi="仿宋_GB2312" w:eastAsia="仿宋_GB2312" w:cs="仿宋_GB2312"/>
          <w:color w:val="000000"/>
          <w:kern w:val="0"/>
          <w:szCs w:val="28"/>
        </w:rPr>
        <w:t>依法</w:t>
      </w:r>
      <w:r>
        <w:rPr>
          <w:rFonts w:ascii="仿宋_GB2312" w:hAnsi="仿宋_GB2312" w:eastAsia="仿宋_GB2312" w:cs="仿宋_GB2312"/>
          <w:color w:val="000000"/>
          <w:kern w:val="0"/>
          <w:szCs w:val="28"/>
        </w:rPr>
        <w:t>提出中标候选人排序。</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2、采购人应当自收到评审报告之日起５个工作日内在评审报告推荐的中标候选人中按顺序确定中标供应商</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采购人在收到评审报告5个工作日内未按评审报告推荐的中标候选人顺序确定中标供应商，又不能说明合法理由的，视同按评审报告推荐的顺序确定排名第一的中标候选人为中标人。</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 xml:space="preserve"> 3、招标方将于中标供应商确定之日起2个工作日内在政采云平台</w:t>
      </w:r>
      <w:r>
        <w:rPr>
          <w:rFonts w:hint="eastAsia" w:ascii="仿宋_GB2312" w:hAnsi="仿宋_GB2312" w:eastAsia="仿宋_GB2312" w:cs="仿宋_GB2312"/>
          <w:color w:val="000000"/>
          <w:kern w:val="0"/>
          <w:sz w:val="28"/>
          <w:szCs w:val="28"/>
        </w:rPr>
        <w:t>发出</w:t>
      </w:r>
      <w:r>
        <w:rPr>
          <w:rFonts w:ascii="仿宋_GB2312" w:hAnsi="仿宋_GB2312" w:eastAsia="仿宋_GB2312" w:cs="仿宋_GB2312"/>
          <w:color w:val="000000"/>
          <w:kern w:val="0"/>
          <w:sz w:val="28"/>
          <w:szCs w:val="28"/>
        </w:rPr>
        <w:t>中标通知书</w:t>
      </w:r>
      <w:r>
        <w:rPr>
          <w:rFonts w:hint="eastAsia" w:ascii="仿宋_GB2312" w:hAnsi="仿宋_GB2312" w:eastAsia="仿宋_GB2312" w:cs="仿宋_GB2312"/>
          <w:color w:val="000000"/>
          <w:kern w:val="0"/>
          <w:sz w:val="28"/>
          <w:szCs w:val="28"/>
        </w:rPr>
        <w:t>，并</w:t>
      </w:r>
      <w:r>
        <w:rPr>
          <w:rFonts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rPr>
        <w:t>浙江政府采购网</w:t>
      </w:r>
      <w:r>
        <w:rPr>
          <w:rFonts w:ascii="仿宋_GB2312" w:hAnsi="仿宋_GB2312" w:eastAsia="仿宋_GB2312" w:cs="仿宋_GB2312"/>
          <w:color w:val="000000"/>
          <w:kern w:val="0"/>
          <w:sz w:val="28"/>
          <w:szCs w:val="28"/>
        </w:rPr>
        <w:t>和</w:t>
      </w:r>
      <w:r>
        <w:rPr>
          <w:rFonts w:hint="eastAsia" w:ascii="仿宋_GB2312" w:hAnsi="仿宋_GB2312" w:eastAsia="仿宋_GB2312" w:cs="仿宋_GB2312"/>
          <w:color w:val="000000"/>
          <w:kern w:val="0"/>
          <w:sz w:val="28"/>
          <w:szCs w:val="28"/>
          <w:lang w:eastAsia="zh-CN"/>
        </w:rPr>
        <w:t>宁波市政务服务办公室-宁波市公共资源交易电子服务系统（慈溪）</w:t>
      </w:r>
      <w:r>
        <w:rPr>
          <w:rFonts w:ascii="仿宋_GB2312" w:hAnsi="仿宋_GB2312" w:eastAsia="仿宋_GB2312" w:cs="仿宋_GB2312"/>
          <w:color w:val="000000"/>
          <w:kern w:val="0"/>
          <w:sz w:val="28"/>
          <w:szCs w:val="28"/>
        </w:rPr>
        <w:t>发布中标公告。中标人</w:t>
      </w:r>
      <w:r>
        <w:rPr>
          <w:rFonts w:hint="eastAsia" w:ascii="仿宋_GB2312" w:hAnsi="仿宋_GB2312" w:eastAsia="仿宋_GB2312" w:cs="仿宋_GB2312"/>
          <w:color w:val="000000"/>
          <w:kern w:val="0"/>
          <w:sz w:val="28"/>
          <w:szCs w:val="28"/>
        </w:rPr>
        <w:t>自行登录政采云平台</w:t>
      </w:r>
      <w:r>
        <w:rPr>
          <w:rFonts w:ascii="仿宋_GB2312" w:hAnsi="仿宋_GB2312" w:eastAsia="仿宋_GB2312" w:cs="仿宋_GB2312"/>
          <w:color w:val="000000"/>
          <w:kern w:val="0"/>
          <w:sz w:val="28"/>
          <w:szCs w:val="28"/>
        </w:rPr>
        <w:t>获取中标通知书</w:t>
      </w:r>
      <w:r>
        <w:rPr>
          <w:rFonts w:hint="eastAsia" w:ascii="仿宋_GB2312" w:hAnsi="仿宋_GB2312" w:eastAsia="仿宋_GB2312" w:cs="仿宋_GB2312"/>
          <w:color w:val="000000"/>
          <w:kern w:val="0"/>
          <w:sz w:val="28"/>
          <w:szCs w:val="28"/>
        </w:rPr>
        <w:t>，并于</w:t>
      </w:r>
      <w:r>
        <w:rPr>
          <w:rFonts w:ascii="仿宋_GB2312" w:hAnsi="仿宋_GB2312" w:eastAsia="仿宋_GB2312" w:cs="仿宋_GB2312"/>
          <w:color w:val="000000"/>
          <w:kern w:val="0"/>
          <w:sz w:val="28"/>
          <w:szCs w:val="28"/>
        </w:rPr>
        <w:t>中标通知书</w:t>
      </w:r>
      <w:r>
        <w:rPr>
          <w:rFonts w:hint="eastAsia" w:ascii="仿宋_GB2312" w:hAnsi="仿宋_GB2312" w:eastAsia="仿宋_GB2312" w:cs="仿宋_GB2312"/>
          <w:color w:val="000000"/>
          <w:kern w:val="0"/>
          <w:sz w:val="28"/>
          <w:szCs w:val="28"/>
        </w:rPr>
        <w:t>发出之日起三十</w:t>
      </w:r>
      <w:r>
        <w:rPr>
          <w:rFonts w:ascii="仿宋_GB2312" w:hAnsi="仿宋_GB2312" w:eastAsia="仿宋_GB2312" w:cs="仿宋_GB2312"/>
          <w:color w:val="000000"/>
          <w:kern w:val="0"/>
          <w:sz w:val="28"/>
          <w:szCs w:val="28"/>
        </w:rPr>
        <w:t>日内与采购人签订合同。</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中标通知书发出后，若中标人无故放弃中标，须承担相应的法律责任，中标通知书对采购人和中标人具有同等法律效力。</w:t>
      </w: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五</w:t>
      </w:r>
      <w:r>
        <w:rPr>
          <w:rFonts w:ascii="仿宋_GB2312" w:hAnsi="仿宋_GB2312" w:eastAsia="仿宋_GB2312" w:cs="仿宋_GB2312"/>
          <w:color w:val="000000"/>
          <w:kern w:val="0"/>
          <w:sz w:val="36"/>
          <w:szCs w:val="36"/>
        </w:rPr>
        <w:t>部分   评标办法及评分标准</w:t>
      </w:r>
    </w:p>
    <w:p>
      <w:pPr>
        <w:autoSpaceDE w:val="0"/>
        <w:autoSpaceDN w:val="0"/>
        <w:adjustRightInd w:val="0"/>
        <w:spacing w:line="360" w:lineRule="auto"/>
        <w:jc w:val="center"/>
        <w:outlineLvl w:val="0"/>
        <w:rPr>
          <w:rFonts w:ascii="仿宋_GB2312" w:hAnsi="仿宋_GB2312" w:eastAsia="仿宋_GB2312" w:cs="仿宋_GB2312"/>
          <w:color w:val="000000"/>
          <w:kern w:val="0"/>
          <w:sz w:val="28"/>
          <w:szCs w:val="28"/>
        </w:rPr>
      </w:pPr>
    </w:p>
    <w:p>
      <w:pPr>
        <w:spacing w:beforeLines="50" w:afterLines="50" w:line="360" w:lineRule="auto"/>
        <w:ind w:firstLine="42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根据《中华人民共和国政府采购法》等有关法律法规，结合本项目的实际需求，制定本办法。</w:t>
      </w:r>
    </w:p>
    <w:p>
      <w:pPr>
        <w:spacing w:beforeLines="50" w:afterLines="50"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一、总则</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Lines="50" w:afterLines="50"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二、分值的计算</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技术、商务及其他分按照评标委员会成员的独立评分结果汇总后的算术平均分计算，计算公式为：</w:t>
      </w:r>
    </w:p>
    <w:p>
      <w:pPr>
        <w:spacing w:beforeLines="50" w:afterLines="50" w:line="360" w:lineRule="auto"/>
        <w:ind w:firstLine="495"/>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技术、商务及其他分=评标委员会所有成员评分合计数/评标委员会组成人员数</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投标人评标综合得分=价格分+(技术分+商务及其他分)</w:t>
      </w:r>
    </w:p>
    <w:p>
      <w:pPr>
        <w:spacing w:line="360" w:lineRule="auto"/>
        <w:outlineLvl w:val="1"/>
        <w:rPr>
          <w:rFonts w:ascii="仿宋_GB2312" w:hAnsi="仿宋_GB2312" w:eastAsia="仿宋_GB2312" w:cs="仿宋_GB2312"/>
          <w:color w:val="000000"/>
          <w:kern w:val="0"/>
          <w:sz w:val="32"/>
          <w:szCs w:val="32"/>
        </w:rPr>
      </w:pPr>
    </w:p>
    <w:p>
      <w:pPr>
        <w:pStyle w:val="3"/>
        <w:keepNext w:val="0"/>
        <w:keepLines w:val="0"/>
      </w:pPr>
    </w:p>
    <w:p>
      <w:pPr>
        <w:spacing w:line="360" w:lineRule="auto"/>
        <w:jc w:val="center"/>
        <w:outlineLvl w:val="1"/>
        <w:rPr>
          <w:rFonts w:ascii="仿宋_GB2312" w:hAnsi="仿宋_GB2312" w:eastAsia="仿宋_GB2312" w:cs="仿宋_GB2312"/>
          <w:color w:val="000000"/>
          <w:kern w:val="0"/>
          <w:sz w:val="32"/>
          <w:szCs w:val="32"/>
        </w:rPr>
      </w:pPr>
    </w:p>
    <w:p>
      <w:pPr>
        <w:spacing w:line="360" w:lineRule="auto"/>
        <w:jc w:val="center"/>
        <w:outlineLvl w:val="1"/>
        <w:rPr>
          <w:rFonts w:ascii="仿宋_GB2312" w:hAnsi="仿宋_GB2312" w:eastAsia="仿宋_GB2312" w:cs="仿宋_GB2312"/>
          <w:color w:val="000000"/>
          <w:kern w:val="0"/>
          <w:sz w:val="32"/>
          <w:szCs w:val="32"/>
          <w:highlight w:val="none"/>
        </w:rPr>
      </w:pPr>
      <w:r>
        <w:rPr>
          <w:rFonts w:ascii="仿宋_GB2312" w:hAnsi="仿宋_GB2312" w:eastAsia="仿宋_GB2312" w:cs="仿宋_GB2312"/>
          <w:color w:val="000000"/>
          <w:kern w:val="0"/>
          <w:sz w:val="32"/>
          <w:szCs w:val="32"/>
          <w:highlight w:val="none"/>
        </w:rPr>
        <w:t>评分标准表</w:t>
      </w:r>
    </w:p>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招标编号：</w:t>
      </w:r>
      <w:r>
        <w:rPr>
          <w:rFonts w:hint="eastAsia" w:ascii="仿宋_GB2312" w:hAnsi="仿宋_GB2312" w:eastAsia="仿宋_GB2312" w:cs="仿宋_GB2312"/>
          <w:color w:val="auto"/>
          <w:kern w:val="0"/>
          <w:sz w:val="24"/>
          <w:highlight w:val="none"/>
          <w:lang w:eastAsia="zh-CN"/>
        </w:rPr>
        <w:t>NBCXZFCG2024013</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总分：100分</w:t>
      </w:r>
    </w:p>
    <w:tbl>
      <w:tblPr>
        <w:tblStyle w:val="67"/>
        <w:tblW w:w="9269" w:type="dxa"/>
        <w:tblInd w:w="-28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990"/>
        <w:gridCol w:w="946"/>
        <w:gridCol w:w="6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39" w:type="dxa"/>
            <w:tcBorders>
              <w:top w:val="single" w:color="auto" w:sz="12" w:space="0"/>
              <w:left w:val="single" w:color="auto" w:sz="12" w:space="0"/>
              <w:bottom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990" w:type="dxa"/>
            <w:tcBorders>
              <w:top w:val="single" w:color="auto" w:sz="12" w:space="0"/>
              <w:left w:val="single" w:color="auto" w:sz="4" w:space="0"/>
              <w:bottom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评分内容</w:t>
            </w:r>
          </w:p>
        </w:tc>
        <w:tc>
          <w:tcPr>
            <w:tcW w:w="946" w:type="dxa"/>
            <w:tcBorders>
              <w:top w:val="single" w:color="auto" w:sz="12" w:space="0"/>
              <w:left w:val="single" w:color="auto" w:sz="4" w:space="0"/>
              <w:bottom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分值（分）</w:t>
            </w:r>
          </w:p>
        </w:tc>
        <w:tc>
          <w:tcPr>
            <w:tcW w:w="6794" w:type="dxa"/>
            <w:tcBorders>
              <w:top w:val="single" w:color="auto" w:sz="12" w:space="0"/>
              <w:left w:val="single" w:color="auto" w:sz="4" w:space="0"/>
              <w:bottom w:val="single" w:color="auto" w:sz="12" w:space="0"/>
              <w:right w:val="single" w:color="auto" w:sz="12" w:space="0"/>
            </w:tcBorders>
            <w:noWrap/>
            <w:vAlign w:val="center"/>
          </w:tcPr>
          <w:p>
            <w:pPr>
              <w:widowControl/>
              <w:spacing w:line="36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评分标准说明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9" w:type="dxa"/>
            <w:tcBorders>
              <w:top w:val="single" w:color="auto" w:sz="12"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w:t>
            </w:r>
          </w:p>
        </w:tc>
        <w:tc>
          <w:tcPr>
            <w:tcW w:w="990" w:type="dxa"/>
            <w:tcBorders>
              <w:top w:val="single" w:color="auto" w:sz="12"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投标报价</w:t>
            </w:r>
          </w:p>
        </w:tc>
        <w:tc>
          <w:tcPr>
            <w:tcW w:w="946" w:type="dxa"/>
            <w:tcBorders>
              <w:top w:val="single" w:color="auto" w:sz="12" w:space="0"/>
              <w:left w:val="single" w:color="auto" w:sz="4" w:space="0"/>
              <w:bottom w:val="single" w:color="auto" w:sz="4" w:space="0"/>
              <w:right w:val="single" w:color="auto" w:sz="4" w:space="0"/>
            </w:tcBorders>
            <w:noWrap/>
            <w:vAlign w:val="center"/>
          </w:tcPr>
          <w:p>
            <w:pPr>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20</w:t>
            </w:r>
          </w:p>
        </w:tc>
        <w:tc>
          <w:tcPr>
            <w:tcW w:w="6794" w:type="dxa"/>
            <w:tcBorders>
              <w:top w:val="single" w:color="auto" w:sz="12"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有效投标报价的最低价作为评标基准价，其最低报价为满分；按照［投标报价得分=（评标基准价/投标报价）*价格权值*100］的计算公式计算；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539" w:type="dxa"/>
            <w:vMerge w:val="restart"/>
            <w:tcBorders>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w:t>
            </w:r>
          </w:p>
        </w:tc>
        <w:tc>
          <w:tcPr>
            <w:tcW w:w="990" w:type="dxa"/>
            <w:vMerge w:val="restart"/>
            <w:tcBorders>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项目整体方案及策划</w:t>
            </w:r>
          </w:p>
        </w:tc>
        <w:tc>
          <w:tcPr>
            <w:tcW w:w="946" w:type="dxa"/>
            <w:vMerge w:val="restart"/>
            <w:tcBorders>
              <w:left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22</w:t>
            </w: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对本项目的整体策划、管理方式和措施、工作计划进行综合评分（</w:t>
            </w:r>
            <w:r>
              <w:rPr>
                <w:rFonts w:hint="eastAsia" w:ascii="仿宋_GB2312" w:hAnsi="仿宋_GB2312" w:eastAsia="仿宋_GB2312" w:cs="仿宋_GB2312"/>
                <w:b w:val="0"/>
                <w:bCs w:val="0"/>
                <w:color w:val="auto"/>
                <w:kern w:val="0"/>
                <w:sz w:val="21"/>
                <w:szCs w:val="21"/>
                <w:lang w:val="en-US" w:eastAsia="zh-CN"/>
              </w:rPr>
              <w:t>10</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整体策划合理、管理方式和措施针对性强、工作计划明确的，得</w:t>
            </w:r>
            <w:r>
              <w:rPr>
                <w:rFonts w:hint="eastAsia" w:ascii="仿宋_GB2312" w:hAnsi="仿宋_GB2312" w:eastAsia="仿宋_GB2312" w:cs="仿宋_GB2312"/>
                <w:b w:val="0"/>
                <w:bCs w:val="0"/>
                <w:color w:val="auto"/>
                <w:kern w:val="0"/>
                <w:sz w:val="21"/>
                <w:szCs w:val="21"/>
                <w:lang w:val="en-US" w:eastAsia="zh-CN"/>
              </w:rPr>
              <w:t>10</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整体策划较为合理、管理方式和措施针对性较强、工作计划较为明确的，得</w:t>
            </w:r>
            <w:r>
              <w:rPr>
                <w:rFonts w:hint="eastAsia" w:ascii="仿宋_GB2312" w:hAnsi="仿宋_GB2312" w:eastAsia="仿宋_GB2312" w:cs="仿宋_GB2312"/>
                <w:b w:val="0"/>
                <w:bCs w:val="0"/>
                <w:color w:val="auto"/>
                <w:kern w:val="0"/>
                <w:sz w:val="21"/>
                <w:szCs w:val="21"/>
                <w:lang w:val="en-US" w:eastAsia="zh-CN"/>
              </w:rPr>
              <w:t>8</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整体策划较不合理、管理方式和措施针对性较</w:t>
            </w:r>
            <w:r>
              <w:rPr>
                <w:rFonts w:hint="eastAsia" w:ascii="仿宋_GB2312" w:hAnsi="仿宋_GB2312" w:eastAsia="仿宋_GB2312" w:cs="仿宋_GB2312"/>
                <w:b w:val="0"/>
                <w:bCs w:val="0"/>
                <w:color w:val="auto"/>
                <w:kern w:val="0"/>
                <w:sz w:val="21"/>
                <w:szCs w:val="21"/>
                <w:lang w:eastAsia="zh-CN"/>
              </w:rPr>
              <w:t>一般</w:t>
            </w:r>
            <w:r>
              <w:rPr>
                <w:rFonts w:hint="eastAsia" w:ascii="仿宋_GB2312" w:hAnsi="仿宋_GB2312" w:eastAsia="仿宋_GB2312" w:cs="仿宋_GB2312"/>
                <w:b w:val="0"/>
                <w:bCs w:val="0"/>
                <w:color w:val="auto"/>
                <w:kern w:val="0"/>
                <w:sz w:val="21"/>
                <w:szCs w:val="21"/>
              </w:rPr>
              <w:t>、工作计划较不明确的，得</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39" w:type="dxa"/>
            <w:vMerge w:val="continue"/>
            <w:tcBorders>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990" w:type="dxa"/>
            <w:vMerge w:val="continue"/>
            <w:tcBorders>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p>
        </w:tc>
        <w:tc>
          <w:tcPr>
            <w:tcW w:w="946" w:type="dxa"/>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rPr>
              <w:t>人员配置方案。对各岗位人员配置方案的可行性、合理性、优越性进行综合评分（</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人员配置方案可行性、合理性、针对性强的，得</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人员配置方案可行性、合理性、针对性较强的，得</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人员配置方案可行性、合理性、针对性</w:t>
            </w:r>
            <w:r>
              <w:rPr>
                <w:rFonts w:hint="eastAsia" w:ascii="仿宋_GB2312" w:hAnsi="仿宋_GB2312" w:eastAsia="仿宋_GB2312" w:cs="仿宋_GB2312"/>
                <w:b w:val="0"/>
                <w:bCs w:val="0"/>
                <w:color w:val="auto"/>
                <w:kern w:val="0"/>
                <w:sz w:val="21"/>
                <w:szCs w:val="21"/>
                <w:lang w:eastAsia="zh-CN"/>
              </w:rPr>
              <w:t>一般</w:t>
            </w:r>
            <w:r>
              <w:rPr>
                <w:rFonts w:hint="eastAsia" w:ascii="仿宋_GB2312" w:hAnsi="仿宋_GB2312" w:eastAsia="仿宋_GB2312" w:cs="仿宋_GB2312"/>
                <w:b w:val="0"/>
                <w:bCs w:val="0"/>
                <w:color w:val="auto"/>
                <w:kern w:val="0"/>
                <w:sz w:val="21"/>
                <w:szCs w:val="21"/>
              </w:rPr>
              <w:t>的，得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39" w:type="dxa"/>
            <w:vMerge w:val="continue"/>
            <w:tcBorders>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990" w:type="dxa"/>
            <w:vMerge w:val="continue"/>
            <w:tcBorders>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p>
        </w:tc>
        <w:tc>
          <w:tcPr>
            <w:tcW w:w="946" w:type="dxa"/>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rPr>
              <w:t>人员管理方案。对人员管理方案的可行性、合理性、优越性，及与物业服务单位的统一协调性进行综合评分（</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人员管理方案可行性、合理性、针对性强，与物业服务单位协调性高的，得</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人员管理方案可行性、合理性、针对性较强，与物业服务单位协调性较高的，得</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人员管理方案可行性、合理性、针对性</w:t>
            </w:r>
            <w:r>
              <w:rPr>
                <w:rFonts w:hint="eastAsia" w:ascii="仿宋_GB2312" w:hAnsi="仿宋_GB2312" w:eastAsia="仿宋_GB2312" w:cs="仿宋_GB2312"/>
                <w:b w:val="0"/>
                <w:bCs w:val="0"/>
                <w:color w:val="auto"/>
                <w:kern w:val="0"/>
                <w:sz w:val="21"/>
                <w:szCs w:val="21"/>
                <w:lang w:eastAsia="zh-CN"/>
              </w:rPr>
              <w:t>一般</w:t>
            </w:r>
            <w:r>
              <w:rPr>
                <w:rFonts w:hint="eastAsia" w:ascii="仿宋_GB2312" w:hAnsi="仿宋_GB2312" w:eastAsia="仿宋_GB2312" w:cs="仿宋_GB2312"/>
                <w:b w:val="0"/>
                <w:bCs w:val="0"/>
                <w:color w:val="auto"/>
                <w:kern w:val="0"/>
                <w:sz w:val="21"/>
                <w:szCs w:val="21"/>
              </w:rPr>
              <w:t>，与物业服务单位协调性较低的，得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9" w:type="dxa"/>
            <w:tcBorders>
              <w:top w:val="single" w:color="auto" w:sz="4" w:space="0"/>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3</w:t>
            </w:r>
          </w:p>
        </w:tc>
        <w:tc>
          <w:tcPr>
            <w:tcW w:w="990" w:type="dxa"/>
            <w:tcBorders>
              <w:top w:val="single" w:color="auto" w:sz="4" w:space="0"/>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具体服务方案</w:t>
            </w:r>
          </w:p>
        </w:tc>
        <w:tc>
          <w:tcPr>
            <w:tcW w:w="946"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15</w:t>
            </w:r>
          </w:p>
        </w:tc>
        <w:tc>
          <w:tcPr>
            <w:tcW w:w="6794" w:type="dxa"/>
            <w:tcBorders>
              <w:top w:val="single" w:color="auto" w:sz="4" w:space="0"/>
              <w:left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 w:hAnsi="仿宋" w:eastAsia="仿宋" w:cs="仿宋_GB2312"/>
                <w:color w:val="auto"/>
                <w:kern w:val="0"/>
                <w:szCs w:val="21"/>
              </w:rPr>
              <w:t>根据采购文件“第二部分招标需求”提供以下各类服务的具体方案措施：</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服务区域内公共环境卫生的维护和保洁工作的具体方案措施。（</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w:t>
            </w:r>
            <w:r>
              <w:rPr>
                <w:rFonts w:hint="eastAsia" w:ascii="仿宋_GB2312" w:hAnsi="仿宋_GB2312" w:eastAsia="仿宋_GB2312" w:cs="仿宋_GB2312"/>
                <w:b w:val="0"/>
                <w:bCs w:val="0"/>
                <w:color w:val="auto"/>
                <w:kern w:val="0"/>
                <w:sz w:val="21"/>
                <w:szCs w:val="21"/>
                <w:lang w:eastAsia="zh-CN"/>
              </w:rPr>
              <w:t>一般的，得</w:t>
            </w:r>
            <w:r>
              <w:rPr>
                <w:rFonts w:hint="eastAsia" w:ascii="仿宋_GB2312" w:hAnsi="仿宋_GB2312" w:eastAsia="仿宋_GB2312" w:cs="仿宋_GB2312"/>
                <w:b w:val="0"/>
                <w:bCs w:val="0"/>
                <w:color w:val="auto"/>
                <w:kern w:val="0"/>
                <w:sz w:val="21"/>
                <w:szCs w:val="21"/>
              </w:rPr>
              <w:t>2分；</w:t>
            </w:r>
          </w:p>
          <w:p>
            <w:pPr>
              <w:widowControl/>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0"/>
                <w:sz w:val="21"/>
                <w:szCs w:val="21"/>
              </w:rPr>
              <w:t>方案内容完整性、专业性、可操作性较</w:t>
            </w:r>
            <w:r>
              <w:rPr>
                <w:rFonts w:hint="eastAsia" w:ascii="仿宋_GB2312" w:hAnsi="仿宋_GB2312" w:eastAsia="仿宋_GB2312" w:cs="仿宋_GB2312"/>
                <w:b w:val="0"/>
                <w:bCs w:val="0"/>
                <w:color w:val="auto"/>
                <w:kern w:val="0"/>
                <w:sz w:val="21"/>
                <w:szCs w:val="21"/>
                <w:lang w:eastAsia="zh-CN"/>
              </w:rPr>
              <w:t>差的，得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服务区域内的保安管理服务的具体方案措施。（</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w:t>
            </w:r>
            <w:r>
              <w:rPr>
                <w:rFonts w:hint="eastAsia" w:ascii="仿宋_GB2312" w:hAnsi="仿宋_GB2312" w:eastAsia="仿宋_GB2312" w:cs="仿宋_GB2312"/>
                <w:b w:val="0"/>
                <w:bCs w:val="0"/>
                <w:color w:val="auto"/>
                <w:kern w:val="0"/>
                <w:sz w:val="21"/>
                <w:szCs w:val="21"/>
                <w:lang w:eastAsia="zh-CN"/>
              </w:rPr>
              <w:t>一般的，得</w:t>
            </w:r>
            <w:r>
              <w:rPr>
                <w:rFonts w:hint="eastAsia" w:ascii="仿宋_GB2312" w:hAnsi="仿宋_GB2312" w:eastAsia="仿宋_GB2312" w:cs="仿宋_GB2312"/>
                <w:b w:val="0"/>
                <w:bCs w:val="0"/>
                <w:color w:val="auto"/>
                <w:kern w:val="0"/>
                <w:sz w:val="21"/>
                <w:szCs w:val="21"/>
              </w:rPr>
              <w:t>2分；</w:t>
            </w:r>
          </w:p>
          <w:p>
            <w:pPr>
              <w:widowControl/>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0"/>
                <w:sz w:val="21"/>
                <w:szCs w:val="21"/>
              </w:rPr>
              <w:t>方案内容完整性、专业性、可操作性较</w:t>
            </w:r>
            <w:r>
              <w:rPr>
                <w:rFonts w:hint="eastAsia" w:ascii="仿宋_GB2312" w:hAnsi="仿宋_GB2312" w:eastAsia="仿宋_GB2312" w:cs="仿宋_GB2312"/>
                <w:b w:val="0"/>
                <w:bCs w:val="0"/>
                <w:color w:val="auto"/>
                <w:kern w:val="0"/>
                <w:sz w:val="21"/>
                <w:szCs w:val="21"/>
                <w:lang w:eastAsia="zh-CN"/>
              </w:rPr>
              <w:t>差的，得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服务区</w:t>
            </w:r>
            <w:r>
              <w:rPr>
                <w:rFonts w:hint="eastAsia" w:ascii="仿宋_GB2312" w:hAnsi="仿宋_GB2312" w:eastAsia="仿宋_GB2312" w:cs="仿宋_GB2312"/>
                <w:b w:val="0"/>
                <w:bCs w:val="0"/>
                <w:color w:val="auto"/>
                <w:kern w:val="0"/>
                <w:sz w:val="21"/>
                <w:szCs w:val="21"/>
                <w:lang w:val="en-US" w:eastAsia="zh-CN"/>
              </w:rPr>
              <w:t>域内食堂服务的</w:t>
            </w:r>
            <w:r>
              <w:rPr>
                <w:rFonts w:hint="eastAsia" w:ascii="仿宋_GB2312" w:hAnsi="仿宋_GB2312" w:eastAsia="仿宋_GB2312" w:cs="仿宋_GB2312"/>
                <w:b w:val="0"/>
                <w:bCs w:val="0"/>
                <w:color w:val="auto"/>
                <w:kern w:val="0"/>
                <w:sz w:val="21"/>
                <w:szCs w:val="21"/>
              </w:rPr>
              <w:t>具体方案措施。（</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w:t>
            </w:r>
            <w:r>
              <w:rPr>
                <w:rFonts w:hint="eastAsia" w:ascii="仿宋_GB2312" w:hAnsi="仿宋_GB2312" w:eastAsia="仿宋_GB2312" w:cs="仿宋_GB2312"/>
                <w:b w:val="0"/>
                <w:bCs w:val="0"/>
                <w:color w:val="auto"/>
                <w:kern w:val="0"/>
                <w:sz w:val="21"/>
                <w:szCs w:val="21"/>
                <w:lang w:eastAsia="zh-CN"/>
              </w:rPr>
              <w:t>一般的，得</w:t>
            </w:r>
            <w:r>
              <w:rPr>
                <w:rFonts w:hint="eastAsia" w:ascii="仿宋_GB2312" w:hAnsi="仿宋_GB2312" w:eastAsia="仿宋_GB2312" w:cs="仿宋_GB2312"/>
                <w:b w:val="0"/>
                <w:bCs w:val="0"/>
                <w:color w:val="auto"/>
                <w:kern w:val="0"/>
                <w:sz w:val="21"/>
                <w:szCs w:val="21"/>
              </w:rPr>
              <w:t>2分；</w:t>
            </w:r>
          </w:p>
          <w:p>
            <w:pPr>
              <w:widowControl/>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0"/>
                <w:sz w:val="21"/>
                <w:szCs w:val="21"/>
              </w:rPr>
              <w:t>方案内容完整性、专业性、可操作性较</w:t>
            </w:r>
            <w:r>
              <w:rPr>
                <w:rFonts w:hint="eastAsia" w:ascii="仿宋_GB2312" w:hAnsi="仿宋_GB2312" w:eastAsia="仿宋_GB2312" w:cs="仿宋_GB2312"/>
                <w:b w:val="0"/>
                <w:bCs w:val="0"/>
                <w:color w:val="auto"/>
                <w:kern w:val="0"/>
                <w:sz w:val="21"/>
                <w:szCs w:val="21"/>
                <w:lang w:eastAsia="zh-CN"/>
              </w:rPr>
              <w:t>差的，得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r>
              <w:rPr>
                <w:rFonts w:hint="eastAsia" w:ascii="仿宋_GB2312" w:hAnsi="仿宋_GB2312" w:eastAsia="仿宋_GB2312" w:cs="仿宋_GB2312"/>
                <w:b w:val="0"/>
                <w:bCs w:val="0"/>
                <w:color w:val="auto"/>
                <w:kern w:val="0"/>
                <w:sz w:val="21"/>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9" w:type="dxa"/>
            <w:vMerge w:val="restart"/>
            <w:tcBorders>
              <w:top w:val="single" w:color="auto" w:sz="4" w:space="0"/>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4</w:t>
            </w:r>
          </w:p>
        </w:tc>
        <w:tc>
          <w:tcPr>
            <w:tcW w:w="990" w:type="dxa"/>
            <w:vMerge w:val="restart"/>
            <w:tcBorders>
              <w:top w:val="single" w:color="auto" w:sz="4" w:space="0"/>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highlight w:val="none"/>
              </w:rPr>
            </w:pPr>
            <w:r>
              <w:rPr>
                <w:rFonts w:hint="eastAsia" w:ascii="仿宋_GB2312" w:hAnsi="仿宋_GB2312" w:eastAsia="仿宋_GB2312" w:cs="仿宋_GB2312"/>
                <w:b w:val="0"/>
                <w:bCs w:val="0"/>
                <w:color w:val="auto"/>
                <w:kern w:val="0"/>
                <w:sz w:val="21"/>
                <w:szCs w:val="21"/>
                <w:highlight w:val="none"/>
              </w:rPr>
              <w:t>投入人员</w:t>
            </w:r>
          </w:p>
        </w:tc>
        <w:tc>
          <w:tcPr>
            <w:tcW w:w="946" w:type="dxa"/>
            <w:vMerge w:val="restart"/>
            <w:tcBorders>
              <w:top w:val="single" w:color="auto" w:sz="4" w:space="0"/>
              <w:left w:val="single" w:color="auto" w:sz="4" w:space="0"/>
              <w:right w:val="single" w:color="auto" w:sz="4" w:space="0"/>
            </w:tcBorders>
            <w:noWrap/>
            <w:vAlign w:val="center"/>
          </w:tcPr>
          <w:p>
            <w:pPr>
              <w:spacing w:line="276"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highlight w:val="none"/>
                <w:lang w:val="en-US" w:eastAsia="zh-CN"/>
              </w:rPr>
              <w:t>15</w:t>
            </w:r>
          </w:p>
        </w:tc>
        <w:tc>
          <w:tcPr>
            <w:tcW w:w="6794" w:type="dxa"/>
            <w:tcBorders>
              <w:top w:val="single" w:color="auto" w:sz="4" w:space="0"/>
              <w:left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本项目投入人员的素质、经验、资格、能力等（保安人员</w:t>
            </w:r>
            <w:r>
              <w:rPr>
                <w:rFonts w:hint="eastAsia" w:ascii="仿宋_GB2312" w:hAnsi="仿宋_GB2312" w:eastAsia="仿宋_GB2312" w:cs="仿宋_GB2312"/>
                <w:b w:val="0"/>
                <w:bCs w:val="0"/>
                <w:color w:val="auto"/>
                <w:kern w:val="0"/>
                <w:sz w:val="21"/>
                <w:szCs w:val="21"/>
                <w:lang w:eastAsia="zh-CN"/>
              </w:rPr>
              <w:t>、厨师长</w:t>
            </w:r>
            <w:r>
              <w:rPr>
                <w:rFonts w:hint="eastAsia" w:ascii="仿宋_GB2312" w:hAnsi="仿宋_GB2312" w:eastAsia="仿宋_GB2312" w:cs="仿宋_GB2312"/>
                <w:b w:val="0"/>
                <w:bCs w:val="0"/>
                <w:color w:val="auto"/>
                <w:kern w:val="0"/>
                <w:sz w:val="21"/>
                <w:szCs w:val="21"/>
              </w:rPr>
              <w:t>不在此项中进行比较）。（</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本项目投入人员的素质高、经验丰富、资格能力强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本项目投入人员的素质较高、经验较丰富、资格能力较强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本项目投入人员的素质较差、经验</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不足、资格能力较</w:t>
            </w:r>
            <w:r>
              <w:rPr>
                <w:rFonts w:hint="eastAsia" w:ascii="仿宋_GB2312" w:hAnsi="仿宋_GB2312" w:eastAsia="仿宋_GB2312" w:cs="仿宋_GB2312"/>
                <w:b w:val="0"/>
                <w:bCs w:val="0"/>
                <w:color w:val="auto"/>
                <w:kern w:val="0"/>
                <w:sz w:val="21"/>
                <w:szCs w:val="21"/>
                <w:lang w:eastAsia="zh-CN"/>
              </w:rPr>
              <w:t>一般</w:t>
            </w:r>
            <w:bookmarkStart w:id="33" w:name="_GoBack"/>
            <w:bookmarkEnd w:id="33"/>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rPr>
              <w:t>1分；</w:t>
            </w:r>
          </w:p>
          <w:p>
            <w:pPr>
              <w:spacing w:line="276" w:lineRule="auto"/>
              <w:rPr>
                <w:rFonts w:hint="default"/>
                <w:lang w:val="en-US"/>
              </w:rPr>
            </w:pPr>
            <w:r>
              <w:rPr>
                <w:rFonts w:hint="eastAsia" w:ascii="仿宋_GB2312" w:hAnsi="仿宋_GB2312" w:eastAsia="仿宋_GB2312" w:cs="仿宋_GB2312"/>
                <w:b w:val="0"/>
                <w:bCs w:val="0"/>
                <w:color w:val="auto"/>
                <w:kern w:val="0"/>
                <w:sz w:val="21"/>
                <w:szCs w:val="21"/>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9" w:type="dxa"/>
            <w:vMerge w:val="continue"/>
            <w:tcBorders>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990" w:type="dxa"/>
            <w:vMerge w:val="continue"/>
            <w:tcBorders>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p>
        </w:tc>
        <w:tc>
          <w:tcPr>
            <w:tcW w:w="946" w:type="dxa"/>
            <w:vMerge w:val="continue"/>
            <w:tcBorders>
              <w:left w:val="single" w:color="auto" w:sz="4" w:space="0"/>
              <w:right w:val="single" w:color="auto" w:sz="4" w:space="0"/>
            </w:tcBorders>
            <w:noWrap/>
            <w:vAlign w:val="center"/>
          </w:tcPr>
          <w:p>
            <w:pPr>
              <w:spacing w:line="276" w:lineRule="auto"/>
              <w:jc w:val="center"/>
              <w:rPr>
                <w:rFonts w:hint="eastAsia" w:ascii="仿宋_GB2312" w:hAnsi="仿宋_GB2312" w:eastAsia="仿宋_GB2312" w:cs="仿宋_GB2312"/>
                <w:b w:val="0"/>
                <w:bCs w:val="0"/>
                <w:color w:val="auto"/>
                <w:kern w:val="0"/>
                <w:sz w:val="21"/>
                <w:szCs w:val="21"/>
                <w:lang w:val="en-US" w:eastAsia="zh-CN"/>
              </w:rPr>
            </w:pPr>
          </w:p>
        </w:tc>
        <w:tc>
          <w:tcPr>
            <w:tcW w:w="6794" w:type="dxa"/>
            <w:tcBorders>
              <w:top w:val="single" w:color="auto" w:sz="4" w:space="0"/>
              <w:left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拟派本项目</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保安</w:t>
            </w:r>
            <w:r>
              <w:rPr>
                <w:rFonts w:hint="eastAsia" w:ascii="仿宋_GB2312" w:hAnsi="仿宋_GB2312" w:eastAsia="仿宋_GB2312" w:cs="仿宋_GB2312"/>
                <w:b w:val="0"/>
                <w:bCs w:val="0"/>
                <w:color w:val="auto"/>
                <w:kern w:val="0"/>
                <w:sz w:val="21"/>
                <w:szCs w:val="21"/>
                <w:lang w:eastAsia="zh-CN"/>
              </w:rPr>
              <w:t>人员</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spacing w:line="360"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年龄55周岁以内，持有人社局颁发的保安员职业资格证的，每个得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分，最多得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numPr>
                <w:ilvl w:val="0"/>
                <w:numId w:val="0"/>
              </w:numPr>
              <w:spacing w:line="276" w:lineRule="auto"/>
              <w:rPr>
                <w:rFonts w:hint="eastAsia" w:ascii="仿宋" w:hAnsi="仿宋" w:eastAsia="仿宋" w:cs="仿宋"/>
                <w:b w:val="0"/>
                <w:kern w:val="0"/>
                <w:sz w:val="21"/>
                <w:szCs w:val="21"/>
                <w:lang w:val="en-US" w:eastAsia="zh-CN" w:bidi="ar-SA"/>
              </w:rPr>
            </w:pPr>
            <w:r>
              <w:rPr>
                <w:rFonts w:hint="eastAsia" w:ascii="仿宋" w:hAnsi="仿宋" w:eastAsia="仿宋" w:cs="仿宋"/>
                <w:b w:val="0"/>
                <w:kern w:val="0"/>
                <w:sz w:val="21"/>
                <w:szCs w:val="21"/>
                <w:lang w:val="en-US" w:eastAsia="zh-CN" w:bidi="ar-SA"/>
              </w:rPr>
              <w:t>提供相关证书/证明材料复印件及</w:t>
            </w:r>
            <w:r>
              <w:rPr>
                <w:rFonts w:hint="eastAsia" w:ascii="仿宋" w:hAnsi="仿宋" w:eastAsia="仿宋" w:cs="仿宋"/>
                <w:kern w:val="0"/>
                <w:szCs w:val="21"/>
                <w:shd w:val="clear" w:color="auto" w:fill="FFFFFF" w:themeFill="background1"/>
                <w:lang w:val="en-US" w:eastAsia="zh-CN"/>
              </w:rPr>
              <w:t>2024</w:t>
            </w:r>
            <w:r>
              <w:rPr>
                <w:rFonts w:hint="eastAsia" w:ascii="仿宋" w:hAnsi="仿宋" w:eastAsia="仿宋" w:cs="仿宋"/>
                <w:kern w:val="0"/>
                <w:szCs w:val="21"/>
                <w:shd w:val="clear" w:color="auto" w:fill="FFFFFF" w:themeFill="background1"/>
              </w:rPr>
              <w:t>年</w:t>
            </w:r>
            <w:r>
              <w:rPr>
                <w:rFonts w:hint="eastAsia" w:ascii="仿宋" w:hAnsi="仿宋" w:eastAsia="仿宋" w:cs="仿宋"/>
                <w:kern w:val="0"/>
                <w:szCs w:val="21"/>
                <w:shd w:val="clear" w:color="auto" w:fill="FFFFFF" w:themeFill="background1"/>
                <w:lang w:val="en-US" w:eastAsia="zh-CN"/>
              </w:rPr>
              <w:t>2</w:t>
            </w:r>
            <w:r>
              <w:rPr>
                <w:rFonts w:hint="eastAsia" w:ascii="仿宋" w:hAnsi="仿宋" w:eastAsia="仿宋" w:cs="仿宋"/>
                <w:kern w:val="0"/>
                <w:szCs w:val="21"/>
                <w:shd w:val="clear" w:color="auto" w:fill="FFFFFF" w:themeFill="background1"/>
              </w:rPr>
              <w:t>月-202</w:t>
            </w:r>
            <w:r>
              <w:rPr>
                <w:rFonts w:hint="eastAsia" w:ascii="仿宋" w:hAnsi="仿宋" w:eastAsia="仿宋" w:cs="仿宋"/>
                <w:kern w:val="0"/>
                <w:szCs w:val="21"/>
                <w:shd w:val="clear" w:color="auto" w:fill="FFFFFF" w:themeFill="background1"/>
                <w:lang w:val="en-US" w:eastAsia="zh-CN"/>
              </w:rPr>
              <w:t>4</w:t>
            </w:r>
            <w:r>
              <w:rPr>
                <w:rFonts w:hint="eastAsia" w:ascii="仿宋" w:hAnsi="仿宋" w:eastAsia="仿宋" w:cs="仿宋"/>
                <w:kern w:val="0"/>
                <w:szCs w:val="21"/>
                <w:shd w:val="clear" w:color="auto" w:fill="FFFFFF" w:themeFill="background1"/>
              </w:rPr>
              <w:t>年</w:t>
            </w:r>
            <w:r>
              <w:rPr>
                <w:rFonts w:hint="eastAsia" w:ascii="仿宋" w:hAnsi="仿宋" w:eastAsia="仿宋" w:cs="仿宋"/>
                <w:kern w:val="0"/>
                <w:szCs w:val="21"/>
                <w:shd w:val="clear" w:color="auto" w:fill="FFFFFF" w:themeFill="background1"/>
                <w:lang w:val="en-US" w:eastAsia="zh-CN"/>
              </w:rPr>
              <w:t>4</w:t>
            </w:r>
            <w:r>
              <w:rPr>
                <w:rFonts w:hint="eastAsia" w:ascii="仿宋" w:hAnsi="仿宋" w:eastAsia="仿宋" w:cs="仿宋"/>
                <w:kern w:val="0"/>
                <w:szCs w:val="21"/>
                <w:shd w:val="clear" w:color="auto" w:fill="FFFFFF" w:themeFill="background1"/>
              </w:rPr>
              <w:t>月</w:t>
            </w:r>
            <w:r>
              <w:rPr>
                <w:rFonts w:hint="eastAsia" w:ascii="仿宋" w:hAnsi="仿宋" w:eastAsia="仿宋" w:cs="仿宋"/>
                <w:b w:val="0"/>
                <w:kern w:val="0"/>
                <w:sz w:val="21"/>
                <w:szCs w:val="21"/>
                <w:lang w:val="en-US" w:eastAsia="zh-CN" w:bidi="ar-SA"/>
              </w:rPr>
              <w:t>投标人为其缴纳的任意一个月的社保证明复印件，否则不得分。</w:t>
            </w:r>
          </w:p>
          <w:p>
            <w:pPr>
              <w:numPr>
                <w:ilvl w:val="0"/>
                <w:numId w:val="5"/>
              </w:numPr>
              <w:spacing w:line="276" w:lineRule="auto"/>
              <w:rPr>
                <w:rFonts w:hint="eastAsia"/>
              </w:rPr>
            </w:pPr>
            <w:r>
              <w:rPr>
                <w:rFonts w:hint="eastAsia" w:ascii="仿宋_GB2312" w:hAnsi="仿宋_GB2312" w:eastAsia="仿宋_GB2312" w:cs="仿宋_GB2312"/>
                <w:b w:val="0"/>
                <w:bCs w:val="0"/>
                <w:color w:val="auto"/>
                <w:kern w:val="0"/>
                <w:sz w:val="21"/>
                <w:szCs w:val="21"/>
              </w:rPr>
              <w:t>拟派本项目</w:t>
            </w:r>
            <w:r>
              <w:rPr>
                <w:rFonts w:hint="eastAsia" w:ascii="仿宋_GB2312" w:hAnsi="仿宋_GB2312" w:eastAsia="仿宋_GB2312" w:cs="仿宋_GB2312"/>
                <w:b w:val="0"/>
                <w:bCs w:val="0"/>
                <w:color w:val="auto"/>
                <w:kern w:val="0"/>
                <w:sz w:val="21"/>
                <w:szCs w:val="21"/>
                <w:lang w:eastAsia="zh-CN"/>
              </w:rPr>
              <w:t>的食堂厨师</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numPr>
                <w:ilvl w:val="0"/>
                <w:numId w:val="0"/>
              </w:numPr>
              <w:spacing w:line="276" w:lineRule="auto"/>
              <w:ind w:left="0" w:leftChars="0" w:firstLine="0" w:firstLineChars="0"/>
              <w:rPr>
                <w:rFonts w:hint="eastAsia" w:ascii="仿宋" w:hAnsi="仿宋" w:eastAsia="仿宋" w:cs="仿宋"/>
                <w:b w:val="0"/>
                <w:bCs w:val="0"/>
                <w:kern w:val="0"/>
                <w:sz w:val="21"/>
                <w:szCs w:val="21"/>
                <w:lang w:val="en-US" w:eastAsia="zh-CN" w:bidi="ar-SA"/>
              </w:rPr>
            </w:pPr>
            <w:r>
              <w:rPr>
                <w:rFonts w:hint="eastAsia" w:ascii="仿宋" w:hAnsi="仿宋" w:eastAsia="仿宋" w:cs="仿宋"/>
                <w:b w:val="0"/>
                <w:bCs w:val="0"/>
                <w:kern w:val="0"/>
                <w:sz w:val="21"/>
                <w:szCs w:val="21"/>
                <w:lang w:val="en-US" w:eastAsia="zh-CN" w:bidi="ar-SA"/>
              </w:rPr>
              <w:t>持有人社部门颁发的中式烹调师职业资格证书（2021年前）或人社部备案的社会评价组织颁发的中式烹调师职业技能等级证书（2021年起）的，得3分；</w:t>
            </w:r>
          </w:p>
          <w:p>
            <w:pPr>
              <w:numPr>
                <w:ilvl w:val="0"/>
                <w:numId w:val="0"/>
              </w:numPr>
              <w:spacing w:line="276" w:lineRule="auto"/>
              <w:rPr>
                <w:rFonts w:hint="eastAsia" w:ascii="仿宋" w:hAnsi="仿宋" w:eastAsia="仿宋" w:cs="仿宋"/>
                <w:b w:val="0"/>
                <w:kern w:val="0"/>
                <w:sz w:val="21"/>
                <w:szCs w:val="21"/>
                <w:lang w:val="en-US" w:eastAsia="zh-CN" w:bidi="ar-SA"/>
              </w:rPr>
            </w:pPr>
            <w:r>
              <w:rPr>
                <w:rFonts w:hint="eastAsia" w:ascii="仿宋" w:hAnsi="仿宋" w:eastAsia="仿宋" w:cs="仿宋"/>
                <w:b w:val="0"/>
                <w:kern w:val="0"/>
                <w:sz w:val="21"/>
                <w:szCs w:val="21"/>
                <w:lang w:val="en-US" w:eastAsia="zh-CN" w:bidi="ar-SA"/>
              </w:rPr>
              <w:t>提供相关证书复印件及</w:t>
            </w:r>
            <w:r>
              <w:rPr>
                <w:rFonts w:hint="eastAsia" w:ascii="仿宋" w:hAnsi="仿宋" w:eastAsia="仿宋" w:cs="仿宋"/>
                <w:kern w:val="0"/>
                <w:szCs w:val="21"/>
                <w:shd w:val="clear" w:color="auto" w:fill="FFFFFF" w:themeFill="background1"/>
                <w:lang w:val="en-US" w:eastAsia="zh-CN"/>
              </w:rPr>
              <w:t>2024</w:t>
            </w:r>
            <w:r>
              <w:rPr>
                <w:rFonts w:hint="eastAsia" w:ascii="仿宋" w:hAnsi="仿宋" w:eastAsia="仿宋" w:cs="仿宋"/>
                <w:kern w:val="0"/>
                <w:szCs w:val="21"/>
                <w:shd w:val="clear" w:color="auto" w:fill="FFFFFF" w:themeFill="background1"/>
              </w:rPr>
              <w:t>年</w:t>
            </w:r>
            <w:r>
              <w:rPr>
                <w:rFonts w:hint="eastAsia" w:ascii="仿宋" w:hAnsi="仿宋" w:eastAsia="仿宋" w:cs="仿宋"/>
                <w:kern w:val="0"/>
                <w:szCs w:val="21"/>
                <w:shd w:val="clear" w:color="auto" w:fill="FFFFFF" w:themeFill="background1"/>
                <w:lang w:val="en-US" w:eastAsia="zh-CN"/>
              </w:rPr>
              <w:t>2</w:t>
            </w:r>
            <w:r>
              <w:rPr>
                <w:rFonts w:hint="eastAsia" w:ascii="仿宋" w:hAnsi="仿宋" w:eastAsia="仿宋" w:cs="仿宋"/>
                <w:kern w:val="0"/>
                <w:szCs w:val="21"/>
                <w:shd w:val="clear" w:color="auto" w:fill="FFFFFF" w:themeFill="background1"/>
              </w:rPr>
              <w:t>月-202</w:t>
            </w:r>
            <w:r>
              <w:rPr>
                <w:rFonts w:hint="eastAsia" w:ascii="仿宋" w:hAnsi="仿宋" w:eastAsia="仿宋" w:cs="仿宋"/>
                <w:kern w:val="0"/>
                <w:szCs w:val="21"/>
                <w:shd w:val="clear" w:color="auto" w:fill="FFFFFF" w:themeFill="background1"/>
                <w:lang w:val="en-US" w:eastAsia="zh-CN"/>
              </w:rPr>
              <w:t>4</w:t>
            </w:r>
            <w:r>
              <w:rPr>
                <w:rFonts w:hint="eastAsia" w:ascii="仿宋" w:hAnsi="仿宋" w:eastAsia="仿宋" w:cs="仿宋"/>
                <w:kern w:val="0"/>
                <w:szCs w:val="21"/>
                <w:shd w:val="clear" w:color="auto" w:fill="FFFFFF" w:themeFill="background1"/>
              </w:rPr>
              <w:t>年</w:t>
            </w:r>
            <w:r>
              <w:rPr>
                <w:rFonts w:hint="eastAsia" w:ascii="仿宋" w:hAnsi="仿宋" w:eastAsia="仿宋" w:cs="仿宋"/>
                <w:kern w:val="0"/>
                <w:szCs w:val="21"/>
                <w:shd w:val="clear" w:color="auto" w:fill="FFFFFF" w:themeFill="background1"/>
                <w:lang w:val="en-US" w:eastAsia="zh-CN"/>
              </w:rPr>
              <w:t>4</w:t>
            </w:r>
            <w:r>
              <w:rPr>
                <w:rFonts w:hint="eastAsia" w:ascii="仿宋" w:hAnsi="仿宋" w:eastAsia="仿宋" w:cs="仿宋"/>
                <w:kern w:val="0"/>
                <w:szCs w:val="21"/>
                <w:shd w:val="clear" w:color="auto" w:fill="FFFFFF" w:themeFill="background1"/>
              </w:rPr>
              <w:t>月</w:t>
            </w:r>
            <w:r>
              <w:rPr>
                <w:rFonts w:hint="eastAsia" w:ascii="仿宋" w:hAnsi="仿宋" w:eastAsia="仿宋" w:cs="仿宋"/>
                <w:b w:val="0"/>
                <w:kern w:val="0"/>
                <w:sz w:val="21"/>
                <w:szCs w:val="21"/>
                <w:lang w:val="en-US" w:eastAsia="zh-CN" w:bidi="ar-SA"/>
              </w:rPr>
              <w:t>投标人为其缴纳的任意一个月的社保证明复印件，否则不得分。</w:t>
            </w:r>
          </w:p>
          <w:p>
            <w:pPr>
              <w:numPr>
                <w:ilvl w:val="0"/>
                <w:numId w:val="5"/>
              </w:numPr>
              <w:spacing w:line="276" w:lineRule="auto"/>
              <w:rPr>
                <w:rFonts w:hint="eastAsia"/>
              </w:rPr>
            </w:pPr>
            <w:r>
              <w:rPr>
                <w:rFonts w:hint="eastAsia" w:ascii="仿宋_GB2312" w:hAnsi="仿宋_GB2312" w:eastAsia="仿宋_GB2312" w:cs="仿宋_GB2312"/>
                <w:b w:val="0"/>
                <w:bCs w:val="0"/>
                <w:color w:val="auto"/>
                <w:kern w:val="0"/>
                <w:sz w:val="21"/>
                <w:szCs w:val="21"/>
              </w:rPr>
              <w:t>拟派本项目</w:t>
            </w:r>
            <w:r>
              <w:rPr>
                <w:rFonts w:hint="eastAsia" w:ascii="仿宋_GB2312" w:hAnsi="仿宋_GB2312" w:eastAsia="仿宋_GB2312" w:cs="仿宋_GB2312"/>
                <w:b w:val="0"/>
                <w:bCs w:val="0"/>
                <w:color w:val="auto"/>
                <w:kern w:val="0"/>
                <w:sz w:val="21"/>
                <w:szCs w:val="21"/>
                <w:lang w:eastAsia="zh-CN"/>
              </w:rPr>
              <w:t>的食堂人员</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numPr>
                <w:ilvl w:val="0"/>
                <w:numId w:val="0"/>
              </w:numPr>
              <w:spacing w:line="276" w:lineRule="auto"/>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lang w:val="en-US" w:eastAsia="zh-CN" w:bidi="ar-SA"/>
              </w:rPr>
              <w:t>年龄60周岁以内，持有</w:t>
            </w:r>
            <w:r>
              <w:rPr>
                <w:rFonts w:hint="eastAsia" w:ascii="仿宋_GB2312" w:hAnsi="仿宋_GB2312" w:eastAsia="仿宋_GB2312" w:cs="仿宋_GB2312"/>
                <w:b w:val="0"/>
                <w:bCs w:val="0"/>
                <w:color w:val="auto"/>
                <w:kern w:val="0"/>
                <w:sz w:val="21"/>
                <w:szCs w:val="21"/>
                <w:lang w:val="en-US" w:eastAsia="zh-CN"/>
              </w:rPr>
              <w:t>健康证的，每个</w:t>
            </w:r>
            <w:r>
              <w:rPr>
                <w:rFonts w:hint="eastAsia" w:ascii="仿宋_GB2312" w:hAnsi="仿宋_GB2312" w:eastAsia="仿宋_GB2312" w:cs="仿宋_GB2312"/>
                <w:b w:val="0"/>
                <w:bCs w:val="0"/>
                <w:color w:val="auto"/>
                <w:kern w:val="0"/>
                <w:sz w:val="21"/>
                <w:szCs w:val="21"/>
              </w:rPr>
              <w:t>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分，最多得</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numPr>
                <w:ilvl w:val="0"/>
                <w:numId w:val="0"/>
              </w:numPr>
              <w:spacing w:line="276" w:lineRule="auto"/>
              <w:rPr>
                <w:rFonts w:hint="eastAsia"/>
                <w:lang w:val="en-US" w:eastAsia="zh-CN"/>
              </w:rPr>
            </w:pPr>
            <w:r>
              <w:rPr>
                <w:rFonts w:hint="eastAsia" w:ascii="仿宋" w:hAnsi="仿宋" w:eastAsia="仿宋" w:cs="仿宋"/>
                <w:b w:val="0"/>
                <w:kern w:val="0"/>
                <w:sz w:val="21"/>
                <w:szCs w:val="21"/>
                <w:lang w:val="en-US" w:eastAsia="zh-CN" w:bidi="ar-SA"/>
              </w:rPr>
              <w:t>提供相关证书/证明材料复印件及</w:t>
            </w:r>
            <w:r>
              <w:rPr>
                <w:rFonts w:hint="eastAsia" w:ascii="仿宋" w:hAnsi="仿宋" w:eastAsia="仿宋" w:cs="仿宋"/>
                <w:kern w:val="0"/>
                <w:szCs w:val="21"/>
                <w:shd w:val="clear" w:color="auto" w:fill="FFFFFF" w:themeFill="background1"/>
                <w:lang w:val="en-US" w:eastAsia="zh-CN"/>
              </w:rPr>
              <w:t>2024</w:t>
            </w:r>
            <w:r>
              <w:rPr>
                <w:rFonts w:hint="eastAsia" w:ascii="仿宋" w:hAnsi="仿宋" w:eastAsia="仿宋" w:cs="仿宋"/>
                <w:kern w:val="0"/>
                <w:szCs w:val="21"/>
                <w:shd w:val="clear" w:color="auto" w:fill="FFFFFF" w:themeFill="background1"/>
              </w:rPr>
              <w:t>年</w:t>
            </w:r>
            <w:r>
              <w:rPr>
                <w:rFonts w:hint="eastAsia" w:ascii="仿宋" w:hAnsi="仿宋" w:eastAsia="仿宋" w:cs="仿宋"/>
                <w:kern w:val="0"/>
                <w:szCs w:val="21"/>
                <w:shd w:val="clear" w:color="auto" w:fill="FFFFFF" w:themeFill="background1"/>
                <w:lang w:val="en-US" w:eastAsia="zh-CN"/>
              </w:rPr>
              <w:t>2</w:t>
            </w:r>
            <w:r>
              <w:rPr>
                <w:rFonts w:hint="eastAsia" w:ascii="仿宋" w:hAnsi="仿宋" w:eastAsia="仿宋" w:cs="仿宋"/>
                <w:kern w:val="0"/>
                <w:szCs w:val="21"/>
                <w:shd w:val="clear" w:color="auto" w:fill="FFFFFF" w:themeFill="background1"/>
              </w:rPr>
              <w:t>月-202</w:t>
            </w:r>
            <w:r>
              <w:rPr>
                <w:rFonts w:hint="eastAsia" w:ascii="仿宋" w:hAnsi="仿宋" w:eastAsia="仿宋" w:cs="仿宋"/>
                <w:kern w:val="0"/>
                <w:szCs w:val="21"/>
                <w:shd w:val="clear" w:color="auto" w:fill="FFFFFF" w:themeFill="background1"/>
                <w:lang w:val="en-US" w:eastAsia="zh-CN"/>
              </w:rPr>
              <w:t>4</w:t>
            </w:r>
            <w:r>
              <w:rPr>
                <w:rFonts w:hint="eastAsia" w:ascii="仿宋" w:hAnsi="仿宋" w:eastAsia="仿宋" w:cs="仿宋"/>
                <w:kern w:val="0"/>
                <w:szCs w:val="21"/>
                <w:shd w:val="clear" w:color="auto" w:fill="FFFFFF" w:themeFill="background1"/>
              </w:rPr>
              <w:t>年</w:t>
            </w:r>
            <w:r>
              <w:rPr>
                <w:rFonts w:hint="eastAsia" w:ascii="仿宋" w:hAnsi="仿宋" w:eastAsia="仿宋" w:cs="仿宋"/>
                <w:kern w:val="0"/>
                <w:szCs w:val="21"/>
                <w:shd w:val="clear" w:color="auto" w:fill="FFFFFF" w:themeFill="background1"/>
                <w:lang w:val="en-US" w:eastAsia="zh-CN"/>
              </w:rPr>
              <w:t>4</w:t>
            </w:r>
            <w:r>
              <w:rPr>
                <w:rFonts w:hint="eastAsia" w:ascii="仿宋" w:hAnsi="仿宋" w:eastAsia="仿宋" w:cs="仿宋"/>
                <w:kern w:val="0"/>
                <w:szCs w:val="21"/>
                <w:shd w:val="clear" w:color="auto" w:fill="FFFFFF" w:themeFill="background1"/>
              </w:rPr>
              <w:t>月</w:t>
            </w:r>
            <w:r>
              <w:rPr>
                <w:rFonts w:hint="eastAsia" w:ascii="仿宋" w:hAnsi="仿宋" w:eastAsia="仿宋" w:cs="仿宋"/>
                <w:b w:val="0"/>
                <w:kern w:val="0"/>
                <w:sz w:val="21"/>
                <w:szCs w:val="21"/>
                <w:lang w:val="en-US" w:eastAsia="zh-CN" w:bidi="ar-SA"/>
              </w:rPr>
              <w:t>投标人为其缴纳的任意一个月的社保证明复印件，否则不得分。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39" w:type="dxa"/>
            <w:tcBorders>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5</w:t>
            </w:r>
          </w:p>
        </w:tc>
        <w:tc>
          <w:tcPr>
            <w:tcW w:w="990" w:type="dxa"/>
            <w:tcBorders>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制度和保障措施</w:t>
            </w:r>
          </w:p>
        </w:tc>
        <w:tc>
          <w:tcPr>
            <w:tcW w:w="946" w:type="dxa"/>
            <w:tcBorders>
              <w:top w:val="single" w:color="auto" w:sz="4" w:space="0"/>
              <w:left w:val="single" w:color="auto" w:sz="4" w:space="0"/>
              <w:right w:val="single" w:color="auto" w:sz="4" w:space="0"/>
            </w:tcBorders>
            <w:noWrap/>
            <w:vAlign w:val="center"/>
          </w:tcPr>
          <w:p>
            <w:pPr>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highlight w:val="none"/>
                <w:lang w:val="en-US" w:eastAsia="zh-CN"/>
              </w:rPr>
              <w:t>8</w:t>
            </w: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1、管理机构设置、管理构架和各岗位职责。（</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管理机构设置合理，管理构架和各岗位职责明确</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管理机构设置较合理，管理构架和各岗位职责较明确</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管理机构设置</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不合理，管理构架和各岗位职责</w:t>
            </w:r>
            <w:r>
              <w:rPr>
                <w:rFonts w:hint="eastAsia" w:ascii="仿宋_GB2312" w:hAnsi="仿宋_GB2312" w:eastAsia="仿宋_GB2312" w:cs="仿宋_GB2312"/>
                <w:b w:val="0"/>
                <w:bCs w:val="0"/>
                <w:color w:val="auto"/>
                <w:kern w:val="0"/>
                <w:sz w:val="21"/>
                <w:szCs w:val="21"/>
                <w:lang w:eastAsia="zh-CN"/>
              </w:rPr>
              <w:t>较不明确的，得</w:t>
            </w:r>
            <w:r>
              <w:rPr>
                <w:rFonts w:hint="eastAsia" w:ascii="仿宋_GB2312" w:hAnsi="仿宋_GB2312" w:eastAsia="仿宋_GB2312" w:cs="仿宋_GB2312"/>
                <w:b w:val="0"/>
                <w:bCs w:val="0"/>
                <w:color w:val="auto"/>
                <w:kern w:val="0"/>
                <w:sz w:val="21"/>
                <w:szCs w:val="21"/>
                <w:lang w:val="en-US" w:eastAsia="zh-CN"/>
              </w:rPr>
              <w:t>0.5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2、内部管理、激励、监督、考核、奖惩等规章制度，安全保障及质量保障体系和措施，体系和措施。（</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规章制度健全规范，体系和措施可行性、可靠性强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规章制度较健全规范，体系和措施可行性、可靠性较强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规章制度</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不健全、</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不规范，体系和措施可行性、可靠性</w:t>
            </w:r>
            <w:r>
              <w:rPr>
                <w:rFonts w:hint="eastAsia" w:ascii="仿宋_GB2312" w:hAnsi="仿宋_GB2312" w:eastAsia="仿宋_GB2312" w:cs="仿宋_GB2312"/>
                <w:b w:val="0"/>
                <w:bCs w:val="0"/>
                <w:color w:val="auto"/>
                <w:kern w:val="0"/>
                <w:sz w:val="21"/>
                <w:szCs w:val="21"/>
                <w:lang w:eastAsia="zh-CN"/>
              </w:rPr>
              <w:t>一般的，得</w:t>
            </w:r>
            <w:r>
              <w:rPr>
                <w:rFonts w:hint="eastAsia" w:ascii="仿宋_GB2312" w:hAnsi="仿宋_GB2312" w:eastAsia="仿宋_GB2312" w:cs="仿宋_GB2312"/>
                <w:b w:val="0"/>
                <w:bCs w:val="0"/>
                <w:color w:val="auto"/>
                <w:kern w:val="0"/>
                <w:sz w:val="21"/>
                <w:szCs w:val="21"/>
                <w:lang w:val="en-US" w:eastAsia="zh-CN"/>
              </w:rPr>
              <w:t>0.5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3、人员培训措施。（</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内容详细，方式多样</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内容较详细，方式较多样</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内容</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不详细，方式单一</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0.5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4、人员稳定性保障措施和方案。（</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人员稳定性保障措施和方案合理、完善，可行性强的，得2分；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人员稳定性保障措施和方案比较合理、比较完善，可行性较强的，得1分；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人员稳定性保障措施和方案较不合理、较不完善，可行性一般的，得0.5分；</w:t>
            </w:r>
          </w:p>
          <w:p>
            <w:pPr>
              <w:spacing w:line="276"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0"/>
                <w:sz w:val="21"/>
                <w:szCs w:val="21"/>
                <w:lang w:val="en-US" w:eastAsia="zh-CN" w:bidi="ar-SA"/>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lang w:val="en-US" w:eastAsia="zh-CN" w:bidi="ar-SA"/>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5"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lang w:val="en-US" w:eastAsia="zh-CN"/>
              </w:rPr>
              <w:t>6</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应急措施</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8</w:t>
            </w: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1、对物业突发事件（包括发生台风、暴雨等灾害性天气及其他突发事件）时的应急预案及相应的措施。（</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应急预案及相应的措施</w:t>
            </w:r>
            <w:r>
              <w:rPr>
                <w:rFonts w:hint="eastAsia" w:ascii="仿宋_GB2312" w:hAnsi="仿宋_GB2312" w:eastAsia="仿宋_GB2312" w:cs="仿宋_GB2312"/>
                <w:b w:val="0"/>
                <w:bCs w:val="0"/>
                <w:color w:val="auto"/>
                <w:kern w:val="0"/>
                <w:sz w:val="21"/>
                <w:szCs w:val="21"/>
                <w:lang w:val="en-US" w:eastAsia="zh-CN"/>
              </w:rPr>
              <w:t>合理、完善，可行性强的</w:t>
            </w:r>
            <w:r>
              <w:rPr>
                <w:rFonts w:hint="eastAsia" w:ascii="仿宋_GB2312" w:hAnsi="仿宋_GB2312" w:eastAsia="仿宋_GB2312" w:cs="仿宋_GB2312"/>
                <w:b w:val="0"/>
                <w:bCs w:val="0"/>
                <w:color w:val="auto"/>
                <w:kern w:val="0"/>
                <w:sz w:val="21"/>
                <w:szCs w:val="21"/>
                <w:lang w:eastAsia="zh-CN"/>
              </w:rPr>
              <w:t>，得</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应急预案及相应的措施</w:t>
            </w:r>
            <w:r>
              <w:rPr>
                <w:rFonts w:hint="eastAsia" w:ascii="仿宋_GB2312" w:hAnsi="仿宋_GB2312" w:eastAsia="仿宋_GB2312" w:cs="仿宋_GB2312"/>
                <w:b w:val="0"/>
                <w:bCs w:val="0"/>
                <w:color w:val="auto"/>
                <w:kern w:val="0"/>
                <w:sz w:val="21"/>
                <w:szCs w:val="21"/>
                <w:lang w:val="en-US" w:eastAsia="zh-CN"/>
              </w:rPr>
              <w:t>比较合理、比较完善，可行性较强的</w:t>
            </w:r>
            <w:r>
              <w:rPr>
                <w:rFonts w:hint="eastAsia" w:ascii="仿宋_GB2312" w:hAnsi="仿宋_GB2312" w:eastAsia="仿宋_GB2312" w:cs="仿宋_GB2312"/>
                <w:b w:val="0"/>
                <w:bCs w:val="0"/>
                <w:color w:val="auto"/>
                <w:kern w:val="0"/>
                <w:sz w:val="21"/>
                <w:szCs w:val="21"/>
                <w:lang w:eastAsia="zh-CN"/>
              </w:rPr>
              <w:t>，得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应急预案及相应的措施</w:t>
            </w:r>
            <w:r>
              <w:rPr>
                <w:rFonts w:hint="eastAsia" w:ascii="仿宋_GB2312" w:hAnsi="仿宋_GB2312" w:eastAsia="仿宋_GB2312" w:cs="仿宋_GB2312"/>
                <w:b w:val="0"/>
                <w:bCs w:val="0"/>
                <w:color w:val="auto"/>
                <w:kern w:val="0"/>
                <w:sz w:val="21"/>
                <w:szCs w:val="21"/>
                <w:lang w:val="en-US" w:eastAsia="zh-CN"/>
              </w:rPr>
              <w:t>较不合理、较不完善，可行性一般的</w:t>
            </w:r>
            <w:r>
              <w:rPr>
                <w:rFonts w:hint="eastAsia" w:ascii="仿宋_GB2312" w:hAnsi="仿宋_GB2312" w:eastAsia="仿宋_GB2312" w:cs="仿宋_GB2312"/>
                <w:b w:val="0"/>
                <w:bCs w:val="0"/>
                <w:color w:val="auto"/>
                <w:kern w:val="0"/>
                <w:sz w:val="21"/>
                <w:szCs w:val="21"/>
                <w:lang w:eastAsia="zh-CN"/>
              </w:rPr>
              <w:t>，得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2、对物业管理区域内的防盗、防火的安全防范巡查、应急供电系统、给排水设备、电气照明装置等设备应急管理服务措施。（</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应急管理服务措施</w:t>
            </w:r>
            <w:r>
              <w:rPr>
                <w:rFonts w:hint="eastAsia" w:ascii="仿宋_GB2312" w:hAnsi="仿宋_GB2312" w:eastAsia="仿宋_GB2312" w:cs="仿宋_GB2312"/>
                <w:b w:val="0"/>
                <w:bCs w:val="0"/>
                <w:color w:val="auto"/>
                <w:kern w:val="0"/>
                <w:sz w:val="21"/>
                <w:szCs w:val="21"/>
                <w:lang w:val="en-US" w:eastAsia="zh-CN"/>
              </w:rPr>
              <w:t>合理、完善，可行性强的，得4</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应急管理服务措施</w:t>
            </w:r>
            <w:r>
              <w:rPr>
                <w:rFonts w:hint="eastAsia" w:ascii="仿宋_GB2312" w:hAnsi="仿宋_GB2312" w:eastAsia="仿宋_GB2312" w:cs="仿宋_GB2312"/>
                <w:b w:val="0"/>
                <w:bCs w:val="0"/>
                <w:color w:val="auto"/>
                <w:kern w:val="0"/>
                <w:sz w:val="21"/>
                <w:szCs w:val="21"/>
                <w:lang w:val="en-US" w:eastAsia="zh-CN"/>
              </w:rPr>
              <w:t>比较合理、比较完善，可行性较强的</w:t>
            </w:r>
            <w:r>
              <w:rPr>
                <w:rFonts w:hint="eastAsia" w:ascii="仿宋_GB2312" w:hAnsi="仿宋_GB2312" w:eastAsia="仿宋_GB2312" w:cs="仿宋_GB2312"/>
                <w:b w:val="0"/>
                <w:bCs w:val="0"/>
                <w:color w:val="auto"/>
                <w:kern w:val="0"/>
                <w:sz w:val="21"/>
                <w:szCs w:val="21"/>
                <w:lang w:eastAsia="zh-CN"/>
              </w:rPr>
              <w:t>，得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rPr>
              <w:t>应急管理服务措施</w:t>
            </w:r>
            <w:r>
              <w:rPr>
                <w:rFonts w:hint="eastAsia" w:ascii="仿宋_GB2312" w:hAnsi="仿宋_GB2312" w:eastAsia="仿宋_GB2312" w:cs="仿宋_GB2312"/>
                <w:b w:val="0"/>
                <w:bCs w:val="0"/>
                <w:color w:val="auto"/>
                <w:kern w:val="0"/>
                <w:sz w:val="21"/>
                <w:szCs w:val="21"/>
                <w:lang w:val="en-US" w:eastAsia="zh-CN"/>
              </w:rPr>
              <w:t>较不合理、较不完善，可行性一般的</w:t>
            </w:r>
            <w:r>
              <w:rPr>
                <w:rFonts w:hint="eastAsia" w:ascii="仿宋_GB2312" w:hAnsi="仿宋_GB2312" w:eastAsia="仿宋_GB2312" w:cs="仿宋_GB2312"/>
                <w:b w:val="0"/>
                <w:bCs w:val="0"/>
                <w:color w:val="auto"/>
                <w:kern w:val="0"/>
                <w:sz w:val="21"/>
                <w:szCs w:val="21"/>
                <w:lang w:eastAsia="zh-CN"/>
              </w:rPr>
              <w:t>，得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eastAsia="zh-CN"/>
              </w:rPr>
              <w:t>。</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7</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highlight w:val="none"/>
                <w:lang w:eastAsia="zh-CN"/>
              </w:rPr>
            </w:pPr>
            <w:r>
              <w:rPr>
                <w:rFonts w:hint="eastAsia" w:ascii="仿宋_GB2312" w:hAnsi="仿宋_GB2312" w:eastAsia="仿宋_GB2312" w:cs="仿宋_GB2312"/>
                <w:b w:val="0"/>
                <w:bCs w:val="0"/>
                <w:color w:val="auto"/>
                <w:kern w:val="0"/>
                <w:sz w:val="21"/>
                <w:szCs w:val="21"/>
                <w:highlight w:val="none"/>
              </w:rPr>
              <w:t>设备配置情况</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lang w:val="en-US" w:eastAsia="zh-CN"/>
              </w:rPr>
              <w:t>3</w:t>
            </w: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根据本项目招标需求配置的日常保洁项目所需耗材及各类工具设备</w:t>
            </w:r>
            <w:r>
              <w:rPr>
                <w:rFonts w:hint="eastAsia" w:ascii="仿宋_GB2312" w:hAnsi="仿宋_GB2312" w:eastAsia="仿宋_GB2312" w:cs="仿宋_GB2312"/>
                <w:kern w:val="0"/>
                <w:szCs w:val="21"/>
                <w:highlight w:val="none"/>
              </w:rPr>
              <w:t>是</w:t>
            </w:r>
            <w:r>
              <w:rPr>
                <w:rFonts w:hint="eastAsia" w:ascii="仿宋_GB2312" w:hAnsi="仿宋_GB2312" w:eastAsia="仿宋_GB2312" w:cs="仿宋_GB2312"/>
                <w:kern w:val="0"/>
                <w:szCs w:val="21"/>
              </w:rPr>
              <w:t>否科学、合理，数量配置是否充足进行评议（</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分）：</w:t>
            </w:r>
          </w:p>
          <w:p>
            <w:pPr>
              <w:spacing w:line="276" w:lineRule="auto"/>
              <w:rPr>
                <w:rFonts w:ascii="仿宋" w:hAnsi="仿宋" w:eastAsia="仿宋" w:cs="仿宋_GB2312"/>
                <w:kern w:val="0"/>
                <w:szCs w:val="21"/>
              </w:rPr>
            </w:pPr>
            <w:r>
              <w:rPr>
                <w:rFonts w:hint="eastAsia" w:ascii="仿宋" w:hAnsi="仿宋" w:eastAsia="仿宋" w:cs="仿宋_GB2312"/>
                <w:kern w:val="0"/>
                <w:szCs w:val="21"/>
              </w:rPr>
              <w:t>配置科学性、合理性强，数量能满足项目需求的，得</w:t>
            </w:r>
            <w:r>
              <w:rPr>
                <w:rFonts w:hint="eastAsia" w:ascii="仿宋" w:hAnsi="仿宋" w:eastAsia="仿宋" w:cs="仿宋_GB2312"/>
                <w:kern w:val="0"/>
                <w:szCs w:val="21"/>
                <w:lang w:val="en-US" w:eastAsia="zh-CN"/>
              </w:rPr>
              <w:t>3</w:t>
            </w:r>
            <w:r>
              <w:rPr>
                <w:rFonts w:hint="eastAsia" w:ascii="仿宋" w:hAnsi="仿宋" w:eastAsia="仿宋" w:cs="仿宋_GB2312"/>
                <w:kern w:val="0"/>
                <w:szCs w:val="21"/>
              </w:rPr>
              <w:t>分；</w:t>
            </w:r>
          </w:p>
          <w:p>
            <w:pPr>
              <w:spacing w:line="276" w:lineRule="auto"/>
              <w:rPr>
                <w:rFonts w:ascii="仿宋" w:hAnsi="仿宋" w:eastAsia="仿宋" w:cs="仿宋_GB2312"/>
                <w:kern w:val="0"/>
                <w:szCs w:val="21"/>
              </w:rPr>
            </w:pPr>
            <w:r>
              <w:rPr>
                <w:rFonts w:hint="eastAsia" w:ascii="仿宋" w:hAnsi="仿宋" w:eastAsia="仿宋" w:cs="仿宋_GB2312"/>
                <w:kern w:val="0"/>
                <w:szCs w:val="21"/>
              </w:rPr>
              <w:t>配置科学性、合理性较强，数量能基本满足项目需求的，得</w:t>
            </w:r>
            <w:r>
              <w:rPr>
                <w:rFonts w:hint="eastAsia" w:ascii="仿宋" w:hAnsi="仿宋" w:eastAsia="仿宋" w:cs="仿宋_GB2312"/>
                <w:kern w:val="0"/>
                <w:szCs w:val="21"/>
                <w:lang w:val="en-US" w:eastAsia="zh-CN"/>
              </w:rPr>
              <w:t>2</w:t>
            </w:r>
            <w:r>
              <w:rPr>
                <w:rFonts w:hint="eastAsia" w:ascii="仿宋" w:hAnsi="仿宋" w:eastAsia="仿宋" w:cs="仿宋_GB2312"/>
                <w:kern w:val="0"/>
                <w:szCs w:val="21"/>
              </w:rPr>
              <w:t>分；</w:t>
            </w:r>
          </w:p>
          <w:p>
            <w:pPr>
              <w:spacing w:line="276" w:lineRule="auto"/>
              <w:rPr>
                <w:rFonts w:ascii="仿宋" w:hAnsi="仿宋" w:eastAsia="仿宋" w:cs="仿宋_GB2312"/>
                <w:kern w:val="0"/>
                <w:szCs w:val="21"/>
              </w:rPr>
            </w:pPr>
            <w:r>
              <w:rPr>
                <w:rFonts w:hint="eastAsia" w:ascii="仿宋" w:hAnsi="仿宋" w:eastAsia="仿宋" w:cs="仿宋_GB2312"/>
                <w:kern w:val="0"/>
                <w:szCs w:val="21"/>
              </w:rPr>
              <w:t>配置科学性、合理性一般，数量能基本满足项目需求的，得</w:t>
            </w:r>
            <w:r>
              <w:rPr>
                <w:rFonts w:hint="eastAsia" w:ascii="仿宋" w:hAnsi="仿宋" w:eastAsia="仿宋" w:cs="仿宋_GB2312"/>
                <w:kern w:val="0"/>
                <w:szCs w:val="21"/>
                <w:lang w:val="en-US" w:eastAsia="zh-CN"/>
              </w:rPr>
              <w:t>1</w:t>
            </w:r>
            <w:r>
              <w:rPr>
                <w:rFonts w:hint="eastAsia" w:ascii="仿宋" w:hAnsi="仿宋" w:eastAsia="仿宋" w:cs="仿宋_GB2312"/>
                <w:kern w:val="0"/>
                <w:szCs w:val="21"/>
              </w:rPr>
              <w:t>分；</w:t>
            </w:r>
          </w:p>
          <w:p>
            <w:pPr>
              <w:spacing w:line="276" w:lineRule="auto"/>
              <w:rPr>
                <w:rFonts w:ascii="仿宋_GB2312" w:hAnsi="仿宋_GB2312" w:eastAsia="仿宋_GB2312" w:cs="仿宋_GB2312"/>
                <w:kern w:val="0"/>
                <w:szCs w:val="21"/>
              </w:rPr>
            </w:pPr>
            <w:r>
              <w:rPr>
                <w:rFonts w:hint="eastAsia" w:ascii="仿宋" w:hAnsi="仿宋" w:eastAsia="仿宋" w:cs="仿宋_GB2312"/>
                <w:kern w:val="0"/>
                <w:szCs w:val="21"/>
              </w:rPr>
              <w:t>配置和数量不能满足项目需求的，不得分。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kern w:val="0"/>
                <w:szCs w:val="21"/>
                <w:highlight w:val="none"/>
                <w:lang w:eastAsia="zh-CN"/>
              </w:rPr>
              <w:t>提供</w:t>
            </w:r>
            <w:r>
              <w:rPr>
                <w:rFonts w:hint="eastAsia" w:ascii="仿宋_GB2312" w:hAnsi="仿宋_GB2312" w:eastAsia="仿宋_GB2312" w:cs="仿宋_GB2312"/>
                <w:kern w:val="0"/>
                <w:szCs w:val="21"/>
                <w:highlight w:val="none"/>
              </w:rPr>
              <w:t>相关证明材料</w:t>
            </w:r>
            <w:r>
              <w:rPr>
                <w:rFonts w:hint="eastAsia" w:ascii="仿宋_GB2312" w:hAnsi="仿宋_GB2312" w:eastAsia="仿宋_GB2312" w:cs="仿宋_GB2312"/>
                <w:kern w:val="0"/>
                <w:szCs w:val="21"/>
                <w:highlight w:val="none"/>
                <w:lang w:eastAsia="zh-CN"/>
              </w:rPr>
              <w:t>（如：</w:t>
            </w:r>
            <w:r>
              <w:rPr>
                <w:rFonts w:hint="eastAsia" w:ascii="仿宋_GB2312" w:hAnsi="仿宋_GB2312" w:eastAsia="仿宋_GB2312" w:cs="仿宋_GB2312"/>
                <w:kern w:val="0"/>
                <w:szCs w:val="21"/>
                <w:highlight w:val="none"/>
              </w:rPr>
              <w:t>附彩图、产品型号、生产厂家等</w:t>
            </w:r>
            <w:r>
              <w:rPr>
                <w:rFonts w:hint="eastAsia" w:ascii="仿宋_GB2312" w:hAnsi="仿宋_GB2312" w:eastAsia="仿宋_GB2312" w:cs="仿宋_GB2312"/>
                <w:kern w:val="0"/>
                <w:szCs w:val="21"/>
                <w:highlight w:val="none"/>
                <w:lang w:eastAsia="zh-CN"/>
              </w:rPr>
              <w:t>）</w:t>
            </w:r>
            <w:r>
              <w:rPr>
                <w:rFonts w:hint="eastAsia" w:ascii="仿宋_GB2312" w:hAnsi="仿宋_GB2312" w:eastAsia="仿宋_GB2312" w:cs="仿宋_GB2312"/>
                <w:kern w:val="0"/>
                <w:szCs w:val="21"/>
                <w:highlight w:val="none"/>
              </w:rPr>
              <w:t>，不提供的不得分。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lang w:val="en-US" w:eastAsia="zh-CN"/>
              </w:rPr>
              <w:t>8</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其他特色服务</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5</w:t>
            </w: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投标人根据本项目情况提供的合理化建议、其他特色服务方案及实质性优惠承诺等。（</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ascii="仿宋" w:hAnsi="仿宋" w:eastAsia="仿宋" w:cs="仿宋_GB2312"/>
                <w:color w:val="auto"/>
                <w:kern w:val="0"/>
                <w:szCs w:val="21"/>
              </w:rPr>
            </w:pPr>
            <w:r>
              <w:rPr>
                <w:rFonts w:hint="eastAsia" w:ascii="仿宋" w:hAnsi="仿宋" w:eastAsia="仿宋" w:cs="仿宋_GB2312"/>
                <w:color w:val="auto"/>
                <w:kern w:val="0"/>
                <w:szCs w:val="21"/>
              </w:rPr>
              <w:t>合理化建议、其他特色服务方案及实质性优惠承诺针对性</w:t>
            </w:r>
            <w:r>
              <w:rPr>
                <w:rFonts w:hint="eastAsia" w:ascii="仿宋" w:hAnsi="仿宋" w:eastAsia="仿宋" w:cs="仿宋_GB2312"/>
                <w:color w:val="auto"/>
                <w:kern w:val="0"/>
                <w:szCs w:val="21"/>
                <w:lang w:eastAsia="zh-CN"/>
              </w:rPr>
              <w:t>、可行性</w:t>
            </w:r>
            <w:r>
              <w:rPr>
                <w:rFonts w:hint="eastAsia" w:ascii="仿宋" w:hAnsi="仿宋" w:eastAsia="仿宋" w:cs="仿宋_GB2312"/>
                <w:color w:val="auto"/>
                <w:kern w:val="0"/>
                <w:szCs w:val="21"/>
              </w:rPr>
              <w:t>强</w:t>
            </w:r>
            <w:r>
              <w:rPr>
                <w:rFonts w:hint="eastAsia" w:ascii="仿宋" w:hAnsi="仿宋" w:eastAsia="仿宋" w:cs="仿宋_GB2312"/>
                <w:color w:val="auto"/>
                <w:kern w:val="0"/>
                <w:szCs w:val="21"/>
                <w:lang w:eastAsia="zh-CN"/>
              </w:rPr>
              <w:t>的，得</w:t>
            </w:r>
            <w:r>
              <w:rPr>
                <w:rFonts w:hint="eastAsia" w:ascii="仿宋" w:hAnsi="仿宋" w:eastAsia="仿宋" w:cs="仿宋_GB2312"/>
                <w:color w:val="auto"/>
                <w:kern w:val="0"/>
                <w:szCs w:val="21"/>
                <w:lang w:val="en-US" w:eastAsia="zh-CN"/>
              </w:rPr>
              <w:t>5</w:t>
            </w:r>
            <w:r>
              <w:rPr>
                <w:rFonts w:hint="eastAsia" w:ascii="仿宋" w:hAnsi="仿宋" w:eastAsia="仿宋" w:cs="仿宋_GB2312"/>
                <w:color w:val="auto"/>
                <w:kern w:val="0"/>
                <w:szCs w:val="21"/>
              </w:rPr>
              <w:t>分；</w:t>
            </w:r>
          </w:p>
          <w:p>
            <w:pPr>
              <w:spacing w:line="276" w:lineRule="auto"/>
              <w:rPr>
                <w:rFonts w:ascii="仿宋" w:hAnsi="仿宋" w:eastAsia="仿宋" w:cs="仿宋_GB2312"/>
                <w:color w:val="auto"/>
                <w:kern w:val="0"/>
                <w:szCs w:val="21"/>
              </w:rPr>
            </w:pPr>
            <w:r>
              <w:rPr>
                <w:rFonts w:hint="eastAsia" w:ascii="仿宋" w:hAnsi="仿宋" w:eastAsia="仿宋" w:cs="仿宋_GB2312"/>
                <w:color w:val="auto"/>
                <w:kern w:val="0"/>
                <w:szCs w:val="21"/>
              </w:rPr>
              <w:t>合理化建议、其他特色服务方案及实质性优惠承诺针对性</w:t>
            </w:r>
            <w:r>
              <w:rPr>
                <w:rFonts w:hint="eastAsia" w:ascii="仿宋" w:hAnsi="仿宋" w:eastAsia="仿宋" w:cs="仿宋_GB2312"/>
                <w:color w:val="auto"/>
                <w:kern w:val="0"/>
                <w:szCs w:val="21"/>
                <w:lang w:eastAsia="zh-CN"/>
              </w:rPr>
              <w:t>、可行性</w:t>
            </w:r>
            <w:r>
              <w:rPr>
                <w:rFonts w:hint="eastAsia" w:ascii="仿宋" w:hAnsi="仿宋" w:eastAsia="仿宋" w:cs="仿宋_GB2312"/>
                <w:color w:val="auto"/>
                <w:kern w:val="0"/>
                <w:szCs w:val="21"/>
              </w:rPr>
              <w:t>较强</w:t>
            </w:r>
            <w:r>
              <w:rPr>
                <w:rFonts w:hint="eastAsia" w:ascii="仿宋" w:hAnsi="仿宋" w:eastAsia="仿宋" w:cs="仿宋_GB2312"/>
                <w:color w:val="auto"/>
                <w:kern w:val="0"/>
                <w:szCs w:val="21"/>
                <w:lang w:eastAsia="zh-CN"/>
              </w:rPr>
              <w:t>的，得</w:t>
            </w:r>
            <w:r>
              <w:rPr>
                <w:rFonts w:hint="eastAsia" w:ascii="仿宋" w:hAnsi="仿宋" w:eastAsia="仿宋" w:cs="仿宋_GB2312"/>
                <w:color w:val="auto"/>
                <w:kern w:val="0"/>
                <w:szCs w:val="21"/>
                <w:lang w:val="en-US" w:eastAsia="zh-CN"/>
              </w:rPr>
              <w:t>4</w:t>
            </w:r>
            <w:r>
              <w:rPr>
                <w:rFonts w:hint="eastAsia" w:ascii="仿宋" w:hAnsi="仿宋" w:eastAsia="仿宋" w:cs="仿宋_GB2312"/>
                <w:color w:val="auto"/>
                <w:kern w:val="0"/>
                <w:szCs w:val="21"/>
              </w:rPr>
              <w:t>分；</w:t>
            </w:r>
          </w:p>
          <w:p>
            <w:pPr>
              <w:spacing w:line="276" w:lineRule="auto"/>
              <w:rPr>
                <w:rFonts w:ascii="仿宋" w:hAnsi="仿宋" w:eastAsia="仿宋" w:cs="仿宋_GB2312"/>
                <w:color w:val="auto"/>
                <w:kern w:val="0"/>
                <w:szCs w:val="21"/>
              </w:rPr>
            </w:pPr>
            <w:r>
              <w:rPr>
                <w:rFonts w:hint="eastAsia" w:ascii="仿宋" w:hAnsi="仿宋" w:eastAsia="仿宋" w:cs="仿宋_GB2312"/>
                <w:color w:val="auto"/>
                <w:kern w:val="0"/>
                <w:szCs w:val="21"/>
              </w:rPr>
              <w:t>合理化建议、其他特色服务方案及实质性优惠承诺针对性</w:t>
            </w:r>
            <w:r>
              <w:rPr>
                <w:rFonts w:hint="eastAsia" w:ascii="仿宋" w:hAnsi="仿宋" w:eastAsia="仿宋" w:cs="仿宋_GB2312"/>
                <w:color w:val="auto"/>
                <w:kern w:val="0"/>
                <w:szCs w:val="21"/>
                <w:lang w:eastAsia="zh-CN"/>
              </w:rPr>
              <w:t>、可行性一般的，得</w:t>
            </w:r>
            <w:r>
              <w:rPr>
                <w:rFonts w:hint="eastAsia" w:ascii="仿宋" w:hAnsi="仿宋" w:eastAsia="仿宋" w:cs="仿宋_GB2312"/>
                <w:color w:val="auto"/>
                <w:kern w:val="0"/>
                <w:szCs w:val="21"/>
                <w:lang w:val="en-US" w:eastAsia="zh-CN"/>
              </w:rPr>
              <w:t>3</w:t>
            </w:r>
            <w:r>
              <w:rPr>
                <w:rFonts w:hint="eastAsia" w:ascii="仿宋" w:hAnsi="仿宋" w:eastAsia="仿宋" w:cs="仿宋_GB2312"/>
                <w:color w:val="auto"/>
                <w:kern w:val="0"/>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 w:hAnsi="仿宋" w:eastAsia="仿宋" w:cs="仿宋_GB2312"/>
                <w:color w:val="auto"/>
                <w:kern w:val="0"/>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 w:hAnsi="仿宋" w:eastAsia="仿宋" w:cs="仿宋_GB2312"/>
                <w:color w:val="auto"/>
                <w:kern w:val="0"/>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9</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体系认证</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highlight w:val="none"/>
                <w:lang w:val="en-US" w:eastAsia="zh-CN"/>
              </w:rPr>
              <w:t>3</w:t>
            </w: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具有以下体系证书的，</w:t>
            </w:r>
            <w:r>
              <w:rPr>
                <w:rFonts w:hint="eastAsia" w:ascii="仿宋_GB2312" w:hAnsi="仿宋_GB2312" w:eastAsia="仿宋_GB2312" w:cs="仿宋_GB2312"/>
                <w:b w:val="0"/>
                <w:bCs w:val="0"/>
                <w:color w:val="auto"/>
                <w:kern w:val="0"/>
                <w:sz w:val="21"/>
                <w:szCs w:val="21"/>
              </w:rPr>
              <w:t>每个得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分，最多得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r>
              <w:rPr>
                <w:rFonts w:hint="eastAsia" w:ascii="仿宋_GB2312" w:hAnsi="仿宋_GB2312" w:eastAsia="仿宋_GB2312" w:cs="仿宋_GB2312"/>
                <w:b w:val="0"/>
                <w:bCs w:val="0"/>
                <w:color w:val="auto"/>
                <w:kern w:val="0"/>
                <w:sz w:val="21"/>
                <w:szCs w:val="21"/>
                <w:lang w:val="en-US" w:eastAsia="zh-CN"/>
              </w:rPr>
              <w:t>：</w:t>
            </w:r>
          </w:p>
          <w:p>
            <w:pPr>
              <w:numPr>
                <w:ilvl w:val="0"/>
                <w:numId w:val="6"/>
              </w:numPr>
              <w:suppressAutoHyphens/>
              <w:spacing w:line="276" w:lineRule="auto"/>
              <w:ind w:left="0" w:leftChars="0" w:firstLineChars="0"/>
              <w:rPr>
                <w:rFonts w:hint="eastAsia" w:ascii="仿宋" w:hAnsi="仿宋" w:eastAsia="仿宋" w:cs="仿宋_GB2312"/>
                <w:color w:val="000000"/>
                <w:kern w:val="0"/>
                <w:szCs w:val="21"/>
              </w:rPr>
            </w:pPr>
            <w:r>
              <w:rPr>
                <w:rFonts w:hint="eastAsia" w:ascii="仿宋" w:hAnsi="仿宋" w:eastAsia="仿宋" w:cs="仿宋_GB2312"/>
                <w:color w:val="000000"/>
                <w:kern w:val="0"/>
                <w:szCs w:val="21"/>
              </w:rPr>
              <w:t>具有质量管理体系认证证书</w:t>
            </w:r>
            <w:r>
              <w:rPr>
                <w:rFonts w:hint="eastAsia" w:ascii="仿宋" w:hAnsi="仿宋" w:eastAsia="仿宋" w:cs="仿宋_GB2312"/>
                <w:color w:val="000000"/>
                <w:kern w:val="0"/>
                <w:szCs w:val="21"/>
                <w:lang w:val="en-US" w:eastAsia="zh-CN"/>
              </w:rPr>
              <w:t>（ISO9001）</w:t>
            </w:r>
            <w:r>
              <w:rPr>
                <w:rFonts w:hint="eastAsia" w:ascii="仿宋" w:hAnsi="仿宋" w:eastAsia="仿宋" w:cs="仿宋_GB2312"/>
                <w:color w:val="000000"/>
                <w:kern w:val="0"/>
                <w:szCs w:val="21"/>
              </w:rPr>
              <w:t>；</w:t>
            </w:r>
          </w:p>
          <w:p>
            <w:pPr>
              <w:numPr>
                <w:ilvl w:val="0"/>
                <w:numId w:val="6"/>
              </w:numPr>
              <w:suppressAutoHyphens/>
              <w:spacing w:line="276" w:lineRule="auto"/>
              <w:ind w:left="0" w:leftChars="0" w:firstLineChars="0"/>
              <w:rPr>
                <w:rFonts w:hint="eastAsia" w:ascii="仿宋" w:hAnsi="仿宋" w:eastAsia="仿宋" w:cs="仿宋_GB2312"/>
                <w:color w:val="000000"/>
                <w:kern w:val="0"/>
                <w:szCs w:val="21"/>
              </w:rPr>
            </w:pPr>
            <w:r>
              <w:rPr>
                <w:rFonts w:hint="eastAsia" w:ascii="仿宋" w:hAnsi="仿宋" w:eastAsia="仿宋" w:cs="仿宋_GB2312"/>
                <w:color w:val="000000"/>
                <w:kern w:val="0"/>
                <w:szCs w:val="21"/>
              </w:rPr>
              <w:t>具有环境管理体系认证证书</w:t>
            </w:r>
            <w:r>
              <w:rPr>
                <w:rFonts w:hint="eastAsia" w:ascii="仿宋" w:hAnsi="仿宋" w:eastAsia="仿宋" w:cs="仿宋_GB2312"/>
                <w:color w:val="000000"/>
                <w:kern w:val="0"/>
                <w:szCs w:val="21"/>
                <w:lang w:val="en-US" w:eastAsia="zh-CN"/>
              </w:rPr>
              <w:t>（ISO14001）</w:t>
            </w:r>
            <w:r>
              <w:rPr>
                <w:rFonts w:hint="eastAsia" w:ascii="仿宋" w:hAnsi="仿宋" w:eastAsia="仿宋" w:cs="仿宋_GB2312"/>
                <w:color w:val="000000"/>
                <w:kern w:val="0"/>
                <w:szCs w:val="21"/>
              </w:rPr>
              <w:t>；</w:t>
            </w:r>
          </w:p>
          <w:p>
            <w:pPr>
              <w:numPr>
                <w:ilvl w:val="0"/>
                <w:numId w:val="6"/>
              </w:numPr>
              <w:suppressAutoHyphens/>
              <w:spacing w:line="276" w:lineRule="auto"/>
              <w:ind w:left="0" w:leftChars="0" w:firstLineChars="0"/>
              <w:rPr>
                <w:rFonts w:hint="eastAsia" w:ascii="仿宋" w:hAnsi="仿宋" w:eastAsia="仿宋" w:cs="仿宋_GB2312"/>
                <w:color w:val="000000"/>
                <w:kern w:val="0"/>
                <w:szCs w:val="21"/>
                <w:lang w:val="en-US" w:eastAsia="zh-CN"/>
              </w:rPr>
            </w:pPr>
            <w:r>
              <w:rPr>
                <w:rFonts w:hint="eastAsia" w:ascii="仿宋" w:hAnsi="仿宋" w:eastAsia="仿宋" w:cs="仿宋_GB2312"/>
                <w:color w:val="000000"/>
                <w:kern w:val="0"/>
                <w:szCs w:val="21"/>
              </w:rPr>
              <w:t>具有职业健康与安全管理体系认证证书</w:t>
            </w:r>
            <w:r>
              <w:rPr>
                <w:rFonts w:hint="eastAsia" w:ascii="仿宋" w:hAnsi="仿宋" w:eastAsia="仿宋" w:cs="仿宋_GB2312"/>
                <w:color w:val="000000"/>
                <w:kern w:val="0"/>
                <w:szCs w:val="21"/>
                <w:lang w:val="en-US" w:eastAsia="zh-CN"/>
              </w:rPr>
              <w:t>（ISO45001或OHSAS18000）</w:t>
            </w:r>
            <w:r>
              <w:rPr>
                <w:rFonts w:hint="eastAsia" w:ascii="仿宋" w:hAnsi="仿宋" w:eastAsia="仿宋" w:cs="仿宋_GB2312"/>
                <w:color w:val="000000"/>
                <w:kern w:val="0"/>
                <w:szCs w:val="21"/>
              </w:rPr>
              <w:t>。</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 w:hAnsi="仿宋" w:eastAsia="仿宋" w:cs="仿宋_GB2312"/>
                <w:color w:val="000000"/>
                <w:kern w:val="0"/>
                <w:szCs w:val="21"/>
              </w:rPr>
              <w:t>（提供证书复印件，且相关证书需可在“全国认证认可信息公共服务平台 http://cx.cnca.cn/”查询</w:t>
            </w:r>
            <w:r>
              <w:rPr>
                <w:rFonts w:hint="eastAsia" w:ascii="仿宋" w:hAnsi="仿宋" w:eastAsia="仿宋" w:cs="仿宋_GB2312"/>
                <w:color w:val="000000"/>
                <w:kern w:val="0"/>
                <w:szCs w:val="21"/>
                <w:lang w:eastAsia="zh-CN"/>
              </w:rPr>
              <w:t>有效</w:t>
            </w:r>
            <w:r>
              <w:rPr>
                <w:rFonts w:hint="eastAsia" w:ascii="仿宋" w:hAnsi="仿宋" w:eastAsia="仿宋" w:cs="仿宋_GB2312"/>
                <w:color w:val="000000"/>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10</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业绩及经验</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highlight w:val="none"/>
                <w:lang w:val="en-US" w:eastAsia="zh-CN"/>
              </w:rPr>
              <w:t>1</w:t>
            </w:r>
          </w:p>
        </w:tc>
        <w:tc>
          <w:tcPr>
            <w:tcW w:w="6794" w:type="dxa"/>
            <w:tcBorders>
              <w:top w:val="single" w:color="auto" w:sz="4" w:space="0"/>
              <w:left w:val="single" w:color="auto" w:sz="4" w:space="0"/>
              <w:bottom w:val="single" w:color="auto" w:sz="4" w:space="0"/>
              <w:right w:val="single" w:color="auto" w:sz="12" w:space="0"/>
            </w:tcBorders>
            <w:noWrap/>
            <w:vAlign w:val="center"/>
          </w:tcPr>
          <w:p>
            <w:pPr>
              <w:spacing w:line="360" w:lineRule="auto"/>
              <w:rPr>
                <w:rFonts w:hint="default" w:ascii="仿宋_GB2312" w:hAnsi="仿宋_GB2312" w:eastAsia="仿宋_GB2312" w:cs="仿宋_GB2312"/>
                <w:b w:val="0"/>
                <w:bCs w:val="0"/>
                <w:color w:val="auto"/>
                <w:kern w:val="0"/>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rPr>
              <w:t>202</w:t>
            </w:r>
            <w:r>
              <w:rPr>
                <w:rFonts w:hint="eastAsia" w:ascii="仿宋_GB2312" w:hAnsi="仿宋_GB2312" w:eastAsia="仿宋_GB2312" w:cs="仿宋_GB2312"/>
                <w:b w:val="0"/>
                <w:bCs w:val="0"/>
                <w:color w:val="auto"/>
                <w:kern w:val="0"/>
                <w:sz w:val="21"/>
                <w:szCs w:val="21"/>
                <w:highlight w:val="none"/>
                <w:lang w:val="en-US" w:eastAsia="zh-CN"/>
              </w:rPr>
              <w:t>1</w:t>
            </w:r>
            <w:r>
              <w:rPr>
                <w:rFonts w:hint="eastAsia" w:ascii="仿宋_GB2312" w:hAnsi="仿宋_GB2312" w:eastAsia="仿宋_GB2312" w:cs="仿宋_GB2312"/>
                <w:b w:val="0"/>
                <w:bCs w:val="0"/>
                <w:color w:val="auto"/>
                <w:kern w:val="0"/>
                <w:sz w:val="21"/>
                <w:szCs w:val="21"/>
                <w:highlight w:val="none"/>
              </w:rPr>
              <w:t>年</w:t>
            </w:r>
            <w:r>
              <w:rPr>
                <w:rFonts w:hint="eastAsia" w:ascii="仿宋_GB2312" w:hAnsi="仿宋_GB2312" w:eastAsia="仿宋_GB2312" w:cs="仿宋_GB2312"/>
                <w:b w:val="0"/>
                <w:bCs w:val="0"/>
                <w:color w:val="auto"/>
                <w:kern w:val="0"/>
                <w:sz w:val="21"/>
                <w:szCs w:val="21"/>
                <w:highlight w:val="none"/>
                <w:lang w:val="en-US" w:eastAsia="zh-CN"/>
              </w:rPr>
              <w:t>以来，单个同类物业管理服务项目已履约或正在履约的合同，得1分，最多得1分。</w:t>
            </w:r>
          </w:p>
          <w:p>
            <w:pPr>
              <w:spacing w:line="360" w:lineRule="auto"/>
              <w:rPr>
                <w:rFonts w:hint="eastAsia" w:ascii="仿宋_GB2312" w:hAnsi="仿宋_GB2312" w:eastAsia="仿宋_GB2312" w:cs="仿宋_GB2312"/>
                <w:b w:val="0"/>
                <w:bCs w:val="0"/>
                <w:color w:val="auto"/>
                <w:kern w:val="0"/>
                <w:sz w:val="21"/>
                <w:szCs w:val="21"/>
                <w:lang w:val="en-US" w:eastAsia="zh-CN" w:bidi="ar-SA"/>
              </w:rPr>
            </w:pPr>
            <w:r>
              <w:rPr>
                <w:rFonts w:hint="eastAsia" w:ascii="仿宋_GB2312" w:hAnsi="仿宋_GB2312" w:eastAsia="仿宋_GB2312" w:cs="仿宋_GB2312"/>
                <w:b w:val="0"/>
                <w:bCs w:val="0"/>
                <w:color w:val="auto"/>
                <w:kern w:val="0"/>
                <w:sz w:val="21"/>
                <w:szCs w:val="21"/>
              </w:rPr>
              <w:t>提供</w:t>
            </w:r>
            <w:r>
              <w:rPr>
                <w:rFonts w:hint="eastAsia" w:ascii="仿宋_GB2312" w:hAnsi="仿宋_GB2312" w:eastAsia="仿宋_GB2312" w:cs="仿宋_GB2312"/>
                <w:b w:val="0"/>
                <w:bCs w:val="0"/>
                <w:color w:val="auto"/>
                <w:kern w:val="0"/>
                <w:sz w:val="21"/>
                <w:szCs w:val="21"/>
                <w:lang w:val="en-US" w:eastAsia="zh-CN"/>
              </w:rPr>
              <w:t>项目合同复印件，不提供的不得分。</w:t>
            </w:r>
          </w:p>
        </w:tc>
      </w:tr>
    </w:tbl>
    <w:p>
      <w:pPr>
        <w:spacing w:line="360" w:lineRule="auto"/>
        <w:rPr>
          <w:rFonts w:ascii="仿宋" w:hAnsi="仿宋" w:eastAsia="仿宋" w:cs="仿宋_GB2312"/>
          <w:color w:val="000000"/>
          <w:kern w:val="0"/>
          <w:szCs w:val="21"/>
        </w:rPr>
      </w:pPr>
    </w:p>
    <w:p>
      <w:pPr>
        <w:spacing w:line="360" w:lineRule="auto"/>
        <w:rPr>
          <w:rFonts w:ascii="仿宋" w:hAnsi="仿宋" w:eastAsia="仿宋" w:cs="仿宋_GB2312"/>
          <w:color w:val="000000"/>
          <w:kern w:val="0"/>
          <w:szCs w:val="21"/>
        </w:rPr>
      </w:pPr>
      <w:r>
        <w:rPr>
          <w:rFonts w:ascii="仿宋" w:hAnsi="仿宋" w:eastAsia="仿宋" w:cs="仿宋_GB2312"/>
          <w:color w:val="000000"/>
          <w:kern w:val="0"/>
          <w:szCs w:val="21"/>
        </w:rPr>
        <w:t>注:1、各项得分保留小数点后二位小数，第三位四舍五入。</w:t>
      </w:r>
    </w:p>
    <w:p>
      <w:pPr>
        <w:spacing w:line="440" w:lineRule="exact"/>
        <w:ind w:firstLine="422" w:firstLineChars="200"/>
        <w:rPr>
          <w:rFonts w:ascii="仿宋" w:hAnsi="仿宋" w:eastAsia="仿宋" w:cs="仿宋_GB2312"/>
          <w:color w:val="000000"/>
          <w:kern w:val="0"/>
          <w:sz w:val="36"/>
          <w:szCs w:val="36"/>
        </w:rPr>
      </w:pPr>
      <w:r>
        <w:rPr>
          <w:rFonts w:ascii="仿宋" w:hAnsi="仿宋" w:eastAsia="仿宋" w:cs="仿宋_GB2312"/>
          <w:b/>
          <w:color w:val="000000"/>
          <w:kern w:val="0"/>
          <w:szCs w:val="21"/>
          <w:u w:val="single"/>
        </w:rPr>
        <w:t>2、有关证书均应在有效期内。</w:t>
      </w:r>
    </w:p>
    <w:p/>
    <w:p>
      <w:pPr>
        <w:pStyle w:val="4"/>
        <w:ind w:left="0" w:leftChars="0" w:firstLine="0" w:firstLineChars="0"/>
        <w:rPr>
          <w:rFonts w:ascii="仿宋_GB2312" w:hAnsi="仿宋_GB2312" w:eastAsia="仿宋_GB2312" w:cs="仿宋_GB2312"/>
          <w:color w:val="000000"/>
          <w:kern w:val="0"/>
          <w:sz w:val="36"/>
          <w:szCs w:val="36"/>
        </w:rPr>
      </w:pPr>
    </w:p>
    <w:p>
      <w:pPr>
        <w:pStyle w:val="4"/>
        <w:ind w:left="0" w:leftChars="0" w:firstLine="0" w:firstLineChars="0"/>
        <w:rPr>
          <w:rFonts w:ascii="仿宋_GB2312" w:hAnsi="仿宋_GB2312" w:eastAsia="仿宋_GB2312" w:cs="仿宋_GB2312"/>
          <w:color w:val="000000"/>
          <w:kern w:val="0"/>
          <w:sz w:val="36"/>
          <w:szCs w:val="36"/>
        </w:rPr>
      </w:pPr>
    </w:p>
    <w:p>
      <w:pPr>
        <w:pStyle w:val="4"/>
        <w:ind w:left="0" w:leftChars="0" w:firstLine="0" w:firstLineChars="0"/>
        <w:rPr>
          <w:rFonts w:ascii="仿宋_GB2312" w:hAnsi="仿宋_GB2312" w:eastAsia="仿宋_GB2312" w:cs="仿宋_GB2312"/>
          <w:color w:val="000000"/>
          <w:kern w:val="0"/>
          <w:sz w:val="36"/>
          <w:szCs w:val="36"/>
        </w:rPr>
      </w:pPr>
    </w:p>
    <w:p>
      <w:pPr>
        <w:pStyle w:val="4"/>
        <w:ind w:left="0" w:leftChars="0" w:firstLine="0" w:firstLineChars="0"/>
        <w:rPr>
          <w:rFonts w:ascii="仿宋_GB2312" w:hAnsi="仿宋_GB2312" w:eastAsia="仿宋_GB2312" w:cs="仿宋_GB2312"/>
          <w:color w:val="000000"/>
          <w:kern w:val="0"/>
          <w:sz w:val="36"/>
          <w:szCs w:val="36"/>
        </w:rPr>
      </w:pPr>
    </w:p>
    <w:p>
      <w:pPr>
        <w:pStyle w:val="4"/>
        <w:ind w:left="0" w:leftChars="0" w:firstLine="0" w:firstLineChars="0"/>
        <w:rPr>
          <w:rFonts w:ascii="仿宋_GB2312" w:hAnsi="仿宋_GB2312" w:eastAsia="仿宋_GB2312" w:cs="仿宋_GB2312"/>
          <w:color w:val="000000"/>
          <w:kern w:val="0"/>
          <w:sz w:val="36"/>
          <w:szCs w:val="36"/>
        </w:rPr>
      </w:pPr>
    </w:p>
    <w:p>
      <w:pPr>
        <w:pStyle w:val="4"/>
        <w:ind w:left="0" w:leftChars="0" w:firstLine="0" w:firstLineChars="0"/>
        <w:rPr>
          <w:rFonts w:ascii="仿宋_GB2312" w:hAnsi="仿宋_GB2312" w:eastAsia="仿宋_GB2312" w:cs="仿宋_GB2312"/>
          <w:color w:val="000000"/>
          <w:kern w:val="0"/>
          <w:sz w:val="36"/>
          <w:szCs w:val="36"/>
        </w:rPr>
      </w:pPr>
    </w:p>
    <w:p>
      <w:pPr>
        <w:pStyle w:val="4"/>
        <w:ind w:left="0" w:leftChars="0" w:firstLine="0" w:firstLineChars="0"/>
        <w:rPr>
          <w:rFonts w:ascii="仿宋_GB2312" w:hAnsi="仿宋_GB2312" w:eastAsia="仿宋_GB2312" w:cs="仿宋_GB2312"/>
          <w:color w:val="000000"/>
          <w:kern w:val="0"/>
          <w:sz w:val="36"/>
          <w:szCs w:val="36"/>
        </w:rPr>
      </w:pPr>
    </w:p>
    <w:p>
      <w:pPr>
        <w:pStyle w:val="4"/>
        <w:ind w:left="0" w:leftChars="0" w:firstLine="0" w:firstLineChars="0"/>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六</w:t>
      </w:r>
      <w:r>
        <w:rPr>
          <w:rFonts w:ascii="仿宋_GB2312" w:hAnsi="仿宋_GB2312" w:eastAsia="仿宋_GB2312" w:cs="仿宋_GB2312"/>
          <w:color w:val="000000"/>
          <w:kern w:val="0"/>
          <w:sz w:val="36"/>
          <w:szCs w:val="36"/>
        </w:rPr>
        <w:t xml:space="preserve">部分   </w:t>
      </w:r>
      <w:r>
        <w:rPr>
          <w:rFonts w:hint="eastAsia" w:ascii="仿宋_GB2312" w:hAnsi="仿宋_GB2312" w:eastAsia="仿宋_GB2312" w:cs="仿宋_GB2312"/>
          <w:color w:val="000000"/>
          <w:kern w:val="0"/>
          <w:sz w:val="36"/>
          <w:szCs w:val="36"/>
        </w:rPr>
        <w:t>拟签订</w:t>
      </w:r>
      <w:r>
        <w:rPr>
          <w:rFonts w:ascii="仿宋_GB2312" w:hAnsi="仿宋_GB2312" w:eastAsia="仿宋_GB2312" w:cs="仿宋_GB2312"/>
          <w:color w:val="000000"/>
          <w:kern w:val="0"/>
          <w:sz w:val="36"/>
          <w:szCs w:val="36"/>
        </w:rPr>
        <w:t>合同样本</w:t>
      </w:r>
    </w:p>
    <w:p>
      <w:pPr>
        <w:pStyle w:val="38"/>
        <w:snapToGrid w:val="0"/>
        <w:spacing w:line="360" w:lineRule="auto"/>
        <w:ind w:firstLine="602"/>
        <w:jc w:val="center"/>
        <w:rPr>
          <w:rFonts w:ascii="仿宋_GB2312" w:hAnsi="仿宋_GB2312" w:eastAsia="仿宋_GB2312" w:cs="仿宋_GB2312"/>
          <w:b/>
          <w:color w:val="000000"/>
          <w:kern w:val="0"/>
          <w:sz w:val="24"/>
          <w:szCs w:val="24"/>
          <w:u w:val="single"/>
        </w:rPr>
      </w:pPr>
      <w:r>
        <w:rPr>
          <w:rFonts w:ascii="仿宋_GB2312" w:hAnsi="仿宋_GB2312" w:eastAsia="仿宋_GB2312" w:cs="仿宋_GB2312"/>
          <w:b/>
          <w:color w:val="000000"/>
          <w:kern w:val="0"/>
          <w:sz w:val="24"/>
          <w:szCs w:val="24"/>
          <w:u w:val="single"/>
        </w:rPr>
        <w:t>（本合同</w:t>
      </w:r>
      <w:r>
        <w:rPr>
          <w:rFonts w:hint="eastAsia" w:ascii="仿宋_GB2312" w:hAnsi="仿宋_GB2312" w:eastAsia="仿宋_GB2312" w:cs="仿宋_GB2312"/>
          <w:b/>
          <w:color w:val="000000"/>
          <w:kern w:val="0"/>
          <w:sz w:val="24"/>
          <w:szCs w:val="24"/>
          <w:u w:val="single"/>
        </w:rPr>
        <w:t>样本</w:t>
      </w:r>
      <w:r>
        <w:rPr>
          <w:rFonts w:ascii="仿宋_GB2312" w:hAnsi="仿宋_GB2312" w:eastAsia="仿宋_GB2312" w:cs="仿宋_GB2312"/>
          <w:b/>
          <w:color w:val="000000"/>
          <w:kern w:val="0"/>
          <w:sz w:val="24"/>
          <w:szCs w:val="24"/>
          <w:u w:val="single"/>
        </w:rPr>
        <w:t>由采购人提供，</w:t>
      </w:r>
      <w:r>
        <w:rPr>
          <w:rFonts w:hint="eastAsia" w:ascii="仿宋_GB2312" w:hAnsi="仿宋_GB2312" w:eastAsia="仿宋_GB2312" w:cs="仿宋_GB2312"/>
          <w:b/>
          <w:color w:val="000000"/>
          <w:kern w:val="0"/>
          <w:sz w:val="24"/>
          <w:szCs w:val="24"/>
          <w:u w:val="single"/>
        </w:rPr>
        <w:t>招标文件已约定的条款以招标文件为准，其他具体条款内容</w:t>
      </w:r>
      <w:r>
        <w:rPr>
          <w:rFonts w:ascii="仿宋_GB2312" w:hAnsi="仿宋_GB2312" w:eastAsia="仿宋_GB2312" w:cs="仿宋_GB2312"/>
          <w:b/>
          <w:color w:val="000000"/>
          <w:kern w:val="0"/>
          <w:sz w:val="24"/>
          <w:szCs w:val="24"/>
          <w:u w:val="single"/>
        </w:rPr>
        <w:t>由甲乙双方协商后</w:t>
      </w:r>
      <w:r>
        <w:rPr>
          <w:rFonts w:hint="eastAsia" w:ascii="仿宋_GB2312" w:hAnsi="仿宋_GB2312" w:eastAsia="仿宋_GB2312" w:cs="仿宋_GB2312"/>
          <w:b/>
          <w:color w:val="000000"/>
          <w:kern w:val="0"/>
          <w:sz w:val="24"/>
          <w:szCs w:val="24"/>
          <w:u w:val="single"/>
        </w:rPr>
        <w:t>根据实际情况</w:t>
      </w:r>
      <w:r>
        <w:rPr>
          <w:rFonts w:ascii="仿宋_GB2312" w:hAnsi="仿宋_GB2312" w:eastAsia="仿宋_GB2312" w:cs="仿宋_GB2312"/>
          <w:b/>
          <w:color w:val="000000"/>
          <w:kern w:val="0"/>
          <w:sz w:val="24"/>
          <w:szCs w:val="24"/>
          <w:u w:val="single"/>
        </w:rPr>
        <w:t xml:space="preserve">确定）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s="宋体"/>
          <w:color w:val="auto"/>
          <w:kern w:val="0"/>
          <w:sz w:val="24"/>
          <w:szCs w:val="24"/>
          <w:lang w:val="en-US" w:eastAsia="zh-CN" w:bidi="ar-SA"/>
        </w:rPr>
      </w:pPr>
      <w:bookmarkStart w:id="26" w:name="_Toc231780370"/>
      <w:bookmarkStart w:id="27" w:name="_Toc437251188"/>
      <w:bookmarkStart w:id="28" w:name="_Toc360457889"/>
    </w:p>
    <w:p>
      <w:pPr>
        <w:pStyle w:val="38"/>
        <w:snapToGrid w:val="0"/>
        <w:spacing w:line="360" w:lineRule="auto"/>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甲  方（</w:t>
      </w:r>
      <w:r>
        <w:rPr>
          <w:rFonts w:hint="eastAsia" w:ascii="仿宋_GB2312" w:hAnsi="仿宋_GB2312" w:eastAsia="仿宋_GB2312" w:cs="仿宋_GB2312"/>
          <w:color w:val="000000"/>
          <w:kern w:val="0"/>
          <w:szCs w:val="28"/>
        </w:rPr>
        <w:t>招标</w:t>
      </w:r>
      <w:r>
        <w:rPr>
          <w:rFonts w:ascii="仿宋_GB2312" w:hAnsi="仿宋_GB2312" w:eastAsia="仿宋_GB2312" w:cs="仿宋_GB2312"/>
          <w:color w:val="000000"/>
          <w:kern w:val="0"/>
          <w:szCs w:val="28"/>
        </w:rPr>
        <w:t xml:space="preserve">方）： </w:t>
      </w:r>
    </w:p>
    <w:p>
      <w:pPr>
        <w:pStyle w:val="38"/>
        <w:snapToGrid w:val="0"/>
        <w:spacing w:line="360" w:lineRule="auto"/>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  方（供应商）:</w:t>
      </w:r>
    </w:p>
    <w:p>
      <w:pPr>
        <w:spacing w:line="360" w:lineRule="auto"/>
        <w:ind w:right="-147" w:rightChars="-70"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根据《中华人民共和国政府采购法》《中华人民共和国</w:t>
      </w:r>
      <w:r>
        <w:rPr>
          <w:rFonts w:hint="eastAsia" w:ascii="仿宋_GB2312" w:hAnsi="仿宋_GB2312" w:eastAsia="仿宋_GB2312" w:cs="仿宋_GB2312"/>
          <w:color w:val="000000"/>
          <w:kern w:val="0"/>
          <w:sz w:val="28"/>
          <w:szCs w:val="28"/>
        </w:rPr>
        <w:t>民法典</w:t>
      </w:r>
      <w:r>
        <w:rPr>
          <w:rFonts w:ascii="仿宋_GB2312" w:hAnsi="仿宋_GB2312" w:eastAsia="仿宋_GB2312" w:cs="仿宋_GB2312"/>
          <w:color w:val="000000"/>
          <w:kern w:val="0"/>
          <w:sz w:val="28"/>
          <w:szCs w:val="28"/>
        </w:rPr>
        <w:t>》等相关法律，甲乙双方根据慈溪市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中心关于</w:t>
      </w:r>
      <w:r>
        <w:rPr>
          <w:rFonts w:hint="eastAsia" w:ascii="仿宋_GB2312" w:hAnsi="仿宋_GB2312" w:eastAsia="仿宋_GB2312" w:cs="仿宋_GB2312"/>
          <w:color w:val="000000"/>
          <w:kern w:val="0"/>
          <w:sz w:val="28"/>
          <w:szCs w:val="28"/>
        </w:rPr>
        <w:t xml:space="preserve">招标编号：NBCXZFCG        </w:t>
      </w:r>
      <w:r>
        <w:rPr>
          <w:rFonts w:ascii="仿宋_GB2312" w:hAnsi="仿宋_GB2312" w:eastAsia="仿宋_GB2312" w:cs="仿宋_GB2312"/>
          <w:color w:val="000000"/>
          <w:kern w:val="0"/>
          <w:sz w:val="28"/>
          <w:szCs w:val="28"/>
        </w:rPr>
        <w:t>项目的公开招标结果，双方充分协商达成合同如下：</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第一条：服务内容及合同价格</w:t>
      </w:r>
    </w:p>
    <w:p>
      <w:pPr>
        <w:pStyle w:val="38"/>
        <w:snapToGrid w:val="0"/>
        <w:spacing w:line="360" w:lineRule="auto"/>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金额单位：元</w:t>
      </w:r>
    </w:p>
    <w:tbl>
      <w:tblPr>
        <w:tblStyle w:val="6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320"/>
        <w:gridCol w:w="108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44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标项</w:t>
            </w:r>
          </w:p>
        </w:tc>
        <w:tc>
          <w:tcPr>
            <w:tcW w:w="432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服务内容</w:t>
            </w:r>
          </w:p>
        </w:tc>
        <w:tc>
          <w:tcPr>
            <w:tcW w:w="108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数量</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单价</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trPr>
        <w:tc>
          <w:tcPr>
            <w:tcW w:w="1440" w:type="dxa"/>
            <w:vAlign w:val="center"/>
          </w:tcPr>
          <w:p>
            <w:pPr>
              <w:spacing w:line="360" w:lineRule="auto"/>
              <w:jc w:val="center"/>
              <w:rPr>
                <w:rFonts w:ascii="仿宋_GB2312" w:hAnsi="仿宋_GB2312" w:eastAsia="仿宋_GB2312" w:cs="仿宋_GB2312"/>
                <w:color w:val="000000"/>
                <w:kern w:val="0"/>
                <w:sz w:val="28"/>
                <w:szCs w:val="28"/>
              </w:rPr>
            </w:pPr>
          </w:p>
        </w:tc>
        <w:tc>
          <w:tcPr>
            <w:tcW w:w="4320"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物业管理服务</w:t>
            </w:r>
          </w:p>
        </w:tc>
        <w:tc>
          <w:tcPr>
            <w:tcW w:w="2340" w:type="dxa"/>
            <w:gridSpan w:val="2"/>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详见乙方投标文件中投标服务报价表</w:t>
            </w:r>
          </w:p>
        </w:tc>
        <w:tc>
          <w:tcPr>
            <w:tcW w:w="1260" w:type="dxa"/>
            <w:tcBorders>
              <w:bottom w:val="single" w:color="auto" w:sz="4" w:space="0"/>
            </w:tcBorders>
            <w:vAlign w:val="center"/>
          </w:tcPr>
          <w:p>
            <w:pPr>
              <w:spacing w:line="360" w:lineRule="auto"/>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8100" w:type="dxa"/>
            <w:gridSpan w:val="4"/>
            <w:vAlign w:val="center"/>
          </w:tcPr>
          <w:p>
            <w:pPr>
              <w:spacing w:line="360" w:lineRule="auto"/>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合计：</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9360" w:type="dxa"/>
            <w:gridSpan w:val="5"/>
            <w:vAlign w:val="center"/>
          </w:tcPr>
          <w:p>
            <w:pPr>
              <w:spacing w:line="360" w:lineRule="auto"/>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合同总价（人民币大写）：                     元整</w:t>
            </w:r>
          </w:p>
        </w:tc>
      </w:tr>
    </w:tbl>
    <w:p>
      <w:pPr>
        <w:pStyle w:val="38"/>
        <w:snapToGrid w:val="0"/>
        <w:spacing w:line="360" w:lineRule="auto"/>
        <w:ind w:right="-687" w:rightChars="-327"/>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注：以上合同总价应为含税全包价，包括与提供服务相关的人工、设备、保险、税费、验收及知识产权等一切费用。</w:t>
      </w:r>
    </w:p>
    <w:p>
      <w:pPr>
        <w:pStyle w:val="38"/>
        <w:snapToGrid w:val="0"/>
        <w:spacing w:line="360" w:lineRule="auto"/>
        <w:ind w:right="-687" w:rightChars="-327"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物业基本情况：（可另附合同附件）</w:t>
      </w:r>
    </w:p>
    <w:p>
      <w:pPr>
        <w:pStyle w:val="38"/>
        <w:snapToGrid w:val="0"/>
        <w:spacing w:line="360" w:lineRule="auto"/>
        <w:ind w:right="-687" w:rightChars="-327"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物业管理范围</w:t>
      </w:r>
      <w:r>
        <w:rPr>
          <w:rFonts w:hint="eastAsia" w:ascii="仿宋_GB2312" w:hAnsi="仿宋_GB2312" w:eastAsia="仿宋_GB2312" w:cs="仿宋_GB2312"/>
          <w:color w:val="000000"/>
          <w:kern w:val="0"/>
          <w:szCs w:val="28"/>
        </w:rPr>
        <w:t>：（可另附合同附件）</w:t>
      </w:r>
    </w:p>
    <w:p>
      <w:pPr>
        <w:pStyle w:val="38"/>
        <w:snapToGrid w:val="0"/>
        <w:spacing w:line="360" w:lineRule="auto"/>
        <w:ind w:right="-687" w:rightChars="-327" w:firstLine="54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具体服务内容：（可另附合同附件）</w:t>
      </w:r>
    </w:p>
    <w:p>
      <w:pPr>
        <w:pStyle w:val="38"/>
        <w:snapToGrid w:val="0"/>
        <w:spacing w:line="360" w:lineRule="auto"/>
        <w:ind w:right="-687" w:rightChars="-327" w:firstLine="54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物业管理期限</w:t>
      </w:r>
      <w:r>
        <w:rPr>
          <w:rFonts w:hint="eastAsia" w:ascii="仿宋_GB2312" w:hAnsi="仿宋_GB2312" w:eastAsia="仿宋_GB2312" w:cs="仿宋_GB2312"/>
          <w:color w:val="000000"/>
          <w:kern w:val="0"/>
          <w:szCs w:val="28"/>
        </w:rPr>
        <w:t>：（可另附合同附件）</w:t>
      </w:r>
    </w:p>
    <w:p>
      <w:pPr>
        <w:spacing w:line="360" w:lineRule="auto"/>
        <w:ind w:firstLine="420" w:firstLineChars="1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第二条：服务质量要求、技术标准、乙方对质量负责的条件和期限及售后服务的承诺</w:t>
      </w:r>
    </w:p>
    <w:p>
      <w:pPr>
        <w:spacing w:line="360" w:lineRule="auto"/>
        <w:ind w:firstLine="420" w:firstLineChars="1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1、乙方应按招标文件规定的技术要求、质量标准向甲方提供服务，同时乙方保证提供的服务符合国家或行业规定的标准。</w:t>
      </w:r>
    </w:p>
    <w:p>
      <w:pPr>
        <w:spacing w:line="360" w:lineRule="auto"/>
        <w:ind w:firstLine="420" w:firstLineChars="1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2、乙方没有甲方事先书面同意，不得将由甲方提供的有关合同或任何合同条文或资料提供给与履行本合同无关的任何其他人。即使向履行本合同有关的人员提供，也应注意保密并限于履行合同的必需范围。</w:t>
      </w:r>
    </w:p>
    <w:p>
      <w:pPr>
        <w:spacing w:line="360" w:lineRule="auto"/>
        <w:ind w:firstLine="420" w:firstLineChars="1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p>
    <w:p>
      <w:pPr>
        <w:pStyle w:val="38"/>
        <w:adjustRightInd w:val="0"/>
        <w:snapToGrid w:val="0"/>
        <w:spacing w:before="120" w:after="120" w:line="360" w:lineRule="auto"/>
        <w:ind w:firstLine="554" w:firstLineChars="198"/>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第三条： 知识产权</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乙方应保证所提供的服务或其任何一部分均不会侵犯任何第三方的知识产权。</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第四条：转包或分包</w:t>
      </w:r>
    </w:p>
    <w:p>
      <w:pPr>
        <w:adjustRightInd w:val="0"/>
        <w:snapToGrid w:val="0"/>
        <w:spacing w:beforeLines="50" w:afterLines="50" w:line="360" w:lineRule="auto"/>
        <w:ind w:firstLine="596" w:firstLineChars="213"/>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不允许转包，不允许分包。如乙方将项目转包或分包的，甲方有权解除合同，并追究乙方的违约责任。</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第五条：履约保证金</w:t>
      </w:r>
      <w:r>
        <w:rPr>
          <w:rFonts w:hint="eastAsia" w:ascii="仿宋_GB2312" w:hAnsi="仿宋_GB2312" w:eastAsia="仿宋_GB2312" w:cs="仿宋_GB2312"/>
          <w:color w:val="000000"/>
          <w:kern w:val="0"/>
          <w:szCs w:val="28"/>
        </w:rPr>
        <w:t>：</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第六条：服务期限及服务地点</w:t>
      </w:r>
    </w:p>
    <w:p>
      <w:pPr>
        <w:pStyle w:val="38"/>
        <w:snapToGrid w:val="0"/>
        <w:spacing w:line="360" w:lineRule="auto"/>
        <w:ind w:firstLine="48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1、服务期限： </w:t>
      </w:r>
    </w:p>
    <w:p>
      <w:pPr>
        <w:pStyle w:val="38"/>
        <w:snapToGrid w:val="0"/>
        <w:spacing w:line="360" w:lineRule="auto"/>
        <w:ind w:firstLine="48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2、服务地点：甲方指定地点。</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第七条：合同款支付</w:t>
      </w:r>
    </w:p>
    <w:p>
      <w:pPr>
        <w:adjustRightInd w:val="0"/>
        <w:snapToGrid w:val="0"/>
        <w:spacing w:beforeLines="50" w:afterLines="50" w:line="360" w:lineRule="auto"/>
        <w:ind w:firstLine="596" w:firstLineChars="213"/>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预付款：在合同生效以及具备实施条件后7日内，甲方向乙方支付合同金额</w:t>
      </w:r>
      <w:r>
        <w:rPr>
          <w:rFonts w:hint="eastAsia" w:ascii="仿宋_GB2312" w:hAnsi="仿宋_GB2312" w:eastAsia="仿宋_GB2312" w:cs="仿宋_GB2312"/>
          <w:color w:val="000000"/>
          <w:kern w:val="0"/>
          <w:sz w:val="28"/>
          <w:szCs w:val="28"/>
          <w:lang w:val="en-US" w:eastAsia="zh-CN"/>
        </w:rPr>
        <w:t>40</w:t>
      </w:r>
      <w:r>
        <w:rPr>
          <w:rFonts w:hint="eastAsia" w:ascii="仿宋_GB2312" w:hAnsi="仿宋_GB2312" w:eastAsia="仿宋_GB2312" w:cs="仿宋_GB2312"/>
          <w:color w:val="000000"/>
          <w:kern w:val="0"/>
          <w:sz w:val="28"/>
          <w:szCs w:val="28"/>
        </w:rPr>
        <w:t>%的预付款。下一年度预付时间为次年相对应月份，以此类推；当年度预付款尚未扣回的，次年不重复安排；</w:t>
      </w:r>
    </w:p>
    <w:p>
      <w:pPr>
        <w:adjustRightInd w:val="0"/>
        <w:snapToGrid w:val="0"/>
        <w:spacing w:beforeLines="50" w:afterLines="50" w:line="360" w:lineRule="auto"/>
        <w:ind w:firstLine="596" w:firstLineChars="213"/>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费用结算：费用结算为每季度结算。剩余合同价款平均分四次，经考核合格后于次月10日前结算，结算时乙方需提供合法票据，甲方自收到发票后7个工作日内将资金支付到合同约定的乙方账户。</w:t>
      </w:r>
    </w:p>
    <w:p>
      <w:pPr>
        <w:adjustRightInd w:val="0"/>
        <w:snapToGrid w:val="0"/>
        <w:spacing w:beforeLines="50" w:afterLines="50" w:line="360" w:lineRule="auto"/>
        <w:ind w:firstLine="596" w:firstLineChars="213"/>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上述款项均通过银行转帐结算。</w:t>
      </w:r>
    </w:p>
    <w:p>
      <w:pPr>
        <w:adjustRightInd w:val="0"/>
        <w:snapToGrid w:val="0"/>
        <w:spacing w:beforeLines="50" w:afterLines="50" w:line="360" w:lineRule="auto"/>
        <w:ind w:firstLine="596" w:firstLineChars="213"/>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第八条：税费</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本合同执行中相关的一切税费均由乙方负担。</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第九条  甲、乙双方的权利和义务</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1、甲方的权利和义务</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1</w:t>
      </w:r>
      <w:r>
        <w:rPr>
          <w:rFonts w:ascii="仿宋_GB2312" w:hAnsi="仿宋_GB2312" w:eastAsia="仿宋_GB2312" w:cs="仿宋_GB2312"/>
          <w:kern w:val="0"/>
          <w:sz w:val="28"/>
          <w:szCs w:val="28"/>
        </w:rPr>
        <w:t>）按本合同的要求对乙方的履约质量进行验收，汇总；</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2</w:t>
      </w:r>
      <w:r>
        <w:rPr>
          <w:rFonts w:ascii="仿宋_GB2312" w:hAnsi="仿宋_GB2312" w:eastAsia="仿宋_GB2312" w:cs="仿宋_GB2312"/>
          <w:kern w:val="0"/>
          <w:sz w:val="28"/>
          <w:szCs w:val="28"/>
        </w:rPr>
        <w:t>）按本合同的约定按时支付费用</w:t>
      </w:r>
      <w:r>
        <w:rPr>
          <w:rFonts w:hint="eastAsia"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2、乙方权利和义务</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第十条  甲、乙双方责任限定</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第十一条  合同的变更、终止及违约责任</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1、甲方在乙方存在如下违约情况时，有权单方面终止全部或部分合同，并保留进一步追究乙方责任的权利（包括经济赔偿）。</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2、乙方如要提前中止合同，需提前</w:t>
      </w:r>
      <w:r>
        <w:rPr>
          <w:rFonts w:hint="eastAsia" w:ascii="仿宋_GB2312" w:hAnsi="仿宋_GB2312" w:eastAsia="仿宋_GB2312" w:cs="仿宋_GB2312"/>
          <w:kern w:val="0"/>
          <w:sz w:val="28"/>
          <w:szCs w:val="28"/>
        </w:rPr>
        <w:t>_______</w:t>
      </w:r>
      <w:r>
        <w:rPr>
          <w:rFonts w:ascii="仿宋_GB2312" w:hAnsi="仿宋_GB2312" w:eastAsia="仿宋_GB2312" w:cs="仿宋_GB2312"/>
          <w:kern w:val="0"/>
          <w:sz w:val="28"/>
          <w:szCs w:val="28"/>
        </w:rPr>
        <w:t>，并征得甲方同意，否则按合同执行。</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除不可抗力以外，如发生乙方不能履行合同义务，或甲方发生中途终止合同等情况，应及时以书面形式通知对方。甲乙双方应本着友好的态度进行协商，妥善解决。如协商无效，按下列规定计算并支付违约金：</w:t>
      </w:r>
    </w:p>
    <w:p>
      <w:pPr>
        <w:pStyle w:val="144"/>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pStyle w:val="144"/>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4、乙方因工作疏忽而造成甲方财产损失的，乙方应按损失的价值照价赔偿。</w:t>
      </w:r>
    </w:p>
    <w:p>
      <w:pPr>
        <w:pStyle w:val="144"/>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ascii="仿宋_GB2312" w:hAnsi="仿宋_GB2312" w:eastAsia="仿宋_GB2312" w:cs="仿宋_GB2312"/>
          <w:kern w:val="0"/>
          <w:sz w:val="28"/>
          <w:szCs w:val="28"/>
        </w:rPr>
        <w:t>、乙方应在响应文件中承诺本项目的负责人，并不得随意变更。更换前须征得甲方同意，否则</w:t>
      </w:r>
      <w:r>
        <w:rPr>
          <w:rFonts w:hint="eastAsia" w:ascii="仿宋_GB2312" w:hAnsi="仿宋_GB2312" w:eastAsia="仿宋_GB2312" w:cs="仿宋_GB2312"/>
          <w:kern w:val="0"/>
          <w:sz w:val="28"/>
          <w:szCs w:val="28"/>
        </w:rPr>
        <w:t>_____________</w:t>
      </w: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r>
        <w:rPr>
          <w:rFonts w:ascii="仿宋_GB2312" w:hAnsi="仿宋_GB2312" w:eastAsia="仿宋_GB2312" w:cs="仿宋_GB2312"/>
          <w:kern w:val="0"/>
          <w:sz w:val="28"/>
          <w:szCs w:val="28"/>
        </w:rPr>
        <w:t>、考核：</w:t>
      </w:r>
    </w:p>
    <w:p>
      <w:pPr>
        <w:pStyle w:val="144"/>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r>
        <w:rPr>
          <w:rFonts w:ascii="仿宋_GB2312" w:hAnsi="仿宋_GB2312" w:eastAsia="仿宋_GB2312" w:cs="仿宋_GB2312"/>
          <w:kern w:val="0"/>
          <w:sz w:val="28"/>
          <w:szCs w:val="28"/>
        </w:rPr>
        <w:t>、其他违约情形：</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（1）乙方未确保响应承诺的人员到位，或人员素质不符合招标文件要求，或与响应承诺不一致的，</w:t>
      </w:r>
      <w:r>
        <w:rPr>
          <w:rFonts w:hint="eastAsia" w:ascii="仿宋_GB2312" w:hAnsi="仿宋_GB2312" w:eastAsia="仿宋_GB2312" w:cs="仿宋_GB2312"/>
          <w:kern w:val="0"/>
          <w:sz w:val="28"/>
          <w:szCs w:val="28"/>
        </w:rPr>
        <w:t xml:space="preserve"> ____________</w:t>
      </w: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（2）甲方要求乙方变动或更换人员，乙方未在规定时间内变动或更换的，</w:t>
      </w:r>
      <w:r>
        <w:rPr>
          <w:rFonts w:hint="eastAsia" w:ascii="仿宋_GB2312" w:hAnsi="仿宋_GB2312" w:eastAsia="仿宋_GB2312" w:cs="仿宋_GB2312"/>
          <w:kern w:val="0"/>
          <w:sz w:val="28"/>
          <w:szCs w:val="28"/>
        </w:rPr>
        <w:t>________________</w:t>
      </w: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3</w:t>
      </w:r>
      <w:r>
        <w:rPr>
          <w:rFonts w:ascii="仿宋_GB2312" w:hAnsi="仿宋_GB2312" w:eastAsia="仿宋_GB2312" w:cs="仿宋_GB2312"/>
          <w:kern w:val="0"/>
          <w:sz w:val="28"/>
          <w:szCs w:val="28"/>
        </w:rPr>
        <w:t>）乙方未按响应文件承诺配置设备及耗材的，或配置设备及耗材质量、数量不能满足日常需要的，</w:t>
      </w:r>
      <w:r>
        <w:rPr>
          <w:rFonts w:hint="eastAsia" w:ascii="仿宋_GB2312" w:hAnsi="仿宋_GB2312" w:eastAsia="仿宋_GB2312" w:cs="仿宋_GB2312"/>
          <w:kern w:val="0"/>
          <w:sz w:val="28"/>
          <w:szCs w:val="28"/>
        </w:rPr>
        <w:t>_________________</w:t>
      </w: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第十二条  其它约定事项</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如果乙方破产或无清偿能力时，甲方可在任何时候以书面通知乙方终止合同。该终止合同将不损害或影响甲方已经采取或将要采取的补救措施的权利。</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第十三条  不可抗力事件处理</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1、在合同有效期内，任何一方因不可抗力事件导致不能履行合同，则合同履行期可延长，其延长期与不可抗力影响期相同。</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2、不可抗力事件发生后，应立即通知对方，并寄送有关权威机构出具的证明。</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3、不可抗力事件延续10天及以上，双方应通过友好协商，确定是否继续履行合同。</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第十四条  其他事项</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1、自本合同生效之日起</w:t>
      </w:r>
      <w:r>
        <w:rPr>
          <w:rFonts w:hint="eastAsia" w:ascii="仿宋_GB2312" w:hAnsi="仿宋_GB2312" w:eastAsia="仿宋_GB2312" w:cs="仿宋_GB2312"/>
          <w:kern w:val="0"/>
          <w:sz w:val="28"/>
          <w:szCs w:val="28"/>
        </w:rPr>
        <w:t>_____</w:t>
      </w:r>
      <w:r>
        <w:rPr>
          <w:rFonts w:ascii="仿宋_GB2312" w:hAnsi="仿宋_GB2312" w:eastAsia="仿宋_GB2312" w:cs="仿宋_GB2312"/>
          <w:kern w:val="0"/>
          <w:sz w:val="28"/>
          <w:szCs w:val="28"/>
        </w:rPr>
        <w:t>天内，根据甲方委托管理事项，办理完交接验收手续；</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2、甲、乙方对《招标文件》以外的服务项目及维修，可根据实际情况另行签订补充协议。补充协议和本合同的附件与本合同具有同等效力；</w:t>
      </w:r>
    </w:p>
    <w:p>
      <w:pPr>
        <w:pStyle w:val="144"/>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ascii="仿宋_GB2312" w:hAnsi="仿宋_GB2312" w:eastAsia="仿宋_GB2312" w:cs="仿宋_GB2312"/>
          <w:kern w:val="0"/>
          <w:sz w:val="28"/>
          <w:szCs w:val="28"/>
        </w:rPr>
        <w:t>、如因政策性调整，乙方在服务期间因国家相关政策调整致使中途服务停止，乙方不得提出任何索赔</w:t>
      </w:r>
      <w:r>
        <w:rPr>
          <w:rFonts w:hint="eastAsia" w:ascii="仿宋_GB2312" w:hAnsi="仿宋_GB2312" w:eastAsia="仿宋_GB2312" w:cs="仿宋_GB2312"/>
          <w:kern w:val="0"/>
          <w:sz w:val="28"/>
          <w:szCs w:val="28"/>
        </w:rPr>
        <w:t>;</w:t>
      </w:r>
    </w:p>
    <w:p>
      <w:pPr>
        <w:pStyle w:val="144"/>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第十五条：诉讼</w:t>
      </w:r>
    </w:p>
    <w:p>
      <w:pPr>
        <w:pStyle w:val="38"/>
        <w:adjustRightInd w:val="0"/>
        <w:snapToGrid w:val="0"/>
        <w:spacing w:before="120" w:after="120" w:line="360" w:lineRule="auto"/>
        <w:ind w:left="2"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双方在执行合同中所发生的一切争议，应通过协商解决。如协商不成，可向甲方所在地法院起诉。</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第十六条：合同生效及其它</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1、合同经甲、乙</w:t>
      </w:r>
      <w:r>
        <w:rPr>
          <w:rFonts w:hint="eastAsia" w:ascii="仿宋_GB2312" w:hAnsi="仿宋_GB2312" w:eastAsia="仿宋_GB2312" w:cs="仿宋_GB2312"/>
          <w:color w:val="000000"/>
          <w:kern w:val="0"/>
          <w:szCs w:val="28"/>
        </w:rPr>
        <w:t>双</w:t>
      </w:r>
      <w:r>
        <w:rPr>
          <w:rFonts w:ascii="仿宋_GB2312" w:hAnsi="仿宋_GB2312" w:eastAsia="仿宋_GB2312" w:cs="仿宋_GB2312"/>
          <w:color w:val="000000"/>
          <w:kern w:val="0"/>
          <w:szCs w:val="28"/>
        </w:rPr>
        <w:t>方签名并加盖单位公章后生效。</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2、招标文件、投标文件与本合同具有同等法律效力。</w:t>
      </w:r>
    </w:p>
    <w:p>
      <w:pPr>
        <w:pStyle w:val="38"/>
        <w:adjustRightInd w:val="0"/>
        <w:snapToGrid w:val="0"/>
        <w:spacing w:before="120" w:after="120"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3、本合同未尽事宜，遵照《中华人民共和国</w:t>
      </w:r>
      <w:r>
        <w:rPr>
          <w:rFonts w:hint="eastAsia" w:ascii="仿宋_GB2312" w:hAnsi="仿宋_GB2312" w:eastAsia="仿宋_GB2312" w:cs="仿宋_GB2312"/>
          <w:color w:val="000000"/>
          <w:kern w:val="0"/>
          <w:szCs w:val="28"/>
        </w:rPr>
        <w:t>民法典</w:t>
      </w:r>
      <w:r>
        <w:rPr>
          <w:rFonts w:ascii="仿宋_GB2312" w:hAnsi="仿宋_GB2312" w:eastAsia="仿宋_GB2312" w:cs="仿宋_GB2312"/>
          <w:color w:val="000000"/>
          <w:kern w:val="0"/>
          <w:szCs w:val="28"/>
        </w:rPr>
        <w:t>》有关条文执行。</w:t>
      </w:r>
    </w:p>
    <w:p>
      <w:pPr>
        <w:pStyle w:val="38"/>
        <w:adjustRightInd w:val="0"/>
        <w:snapToGrid w:val="0"/>
        <w:spacing w:before="120" w:after="120" w:line="360" w:lineRule="auto"/>
        <w:ind w:left="2" w:leftChars="1"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4、本合同一式肆份，具有同等法律效力，甲、乙各执贰份。</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第十七条：其他需要补充的内容：无。</w:t>
      </w:r>
    </w:p>
    <w:p>
      <w:pPr>
        <w:pStyle w:val="38"/>
        <w:adjustRightInd w:val="0"/>
        <w:snapToGrid w:val="0"/>
        <w:spacing w:before="120" w:after="120" w:line="360" w:lineRule="auto"/>
        <w:rPr>
          <w:rFonts w:ascii="仿宋_GB2312" w:hAnsi="仿宋_GB2312" w:eastAsia="仿宋_GB2312" w:cs="仿宋_GB2312"/>
          <w:color w:val="000000"/>
          <w:kern w:val="0"/>
          <w:szCs w:val="28"/>
        </w:rPr>
      </w:pPr>
    </w:p>
    <w:p>
      <w:pPr>
        <w:pStyle w:val="38"/>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甲方（盖章）：                                   </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地址：                                   </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法定（授权）代表人：                   </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签名日期：     年   月   日           </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乙方（盖章）：</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地址： </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开户行：</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开户帐号：</w:t>
      </w:r>
    </w:p>
    <w:p>
      <w:pPr>
        <w:pStyle w:val="38"/>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法定（授权）代表人：</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签名日期：      年   月   日</w:t>
      </w: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rPr>
          <w:rFonts w:hint="eastAsia" w:ascii="宋体" w:hAnsi="宋体" w:eastAsia="宋体" w:cs="宋体"/>
          <w:color w:val="auto"/>
          <w:kern w:val="0"/>
          <w:sz w:val="24"/>
          <w:szCs w:val="24"/>
          <w:lang w:val="en-US" w:eastAsia="zh-CN" w:bidi="ar-SA"/>
        </w:rPr>
      </w:pPr>
    </w:p>
    <w:p>
      <w:pPr>
        <w:pStyle w:val="4"/>
        <w:ind w:left="0" w:leftChars="0" w:firstLine="0" w:firstLineChars="0"/>
        <w:rPr>
          <w:rFonts w:hint="eastAsia" w:ascii="宋体" w:hAnsi="宋体" w:eastAsia="宋体" w:cs="宋体"/>
          <w:color w:val="auto"/>
          <w:sz w:val="28"/>
          <w:szCs w:val="28"/>
        </w:rPr>
      </w:pPr>
    </w:p>
    <w:p>
      <w:pPr>
        <w:pStyle w:val="38"/>
        <w:adjustRightInd w:val="0"/>
        <w:snapToGrid w:val="0"/>
        <w:spacing w:before="120" w:after="120" w:line="360" w:lineRule="auto"/>
        <w:jc w:val="center"/>
        <w:rPr>
          <w:rFonts w:ascii="Arial" w:hAnsi="Arial" w:eastAsia="仿宋" w:cs="Arial"/>
          <w:snapToGrid w:val="0"/>
          <w:sz w:val="24"/>
          <w:szCs w:val="24"/>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七</w:t>
      </w:r>
      <w:r>
        <w:rPr>
          <w:rFonts w:ascii="仿宋_GB2312" w:hAnsi="仿宋_GB2312" w:eastAsia="仿宋_GB2312" w:cs="仿宋_GB2312"/>
          <w:color w:val="000000"/>
          <w:kern w:val="0"/>
          <w:sz w:val="36"/>
          <w:szCs w:val="36"/>
        </w:rPr>
        <w:t>部分   投标文件格式</w:t>
      </w:r>
      <w:bookmarkEnd w:id="26"/>
      <w:bookmarkEnd w:id="27"/>
      <w:bookmarkEnd w:id="28"/>
    </w:p>
    <w:p>
      <w:pPr>
        <w:spacing w:line="360" w:lineRule="auto"/>
        <w:jc w:val="center"/>
        <w:rPr>
          <w:rFonts w:ascii="Arial" w:hAnsi="Arial" w:eastAsia="仿宋" w:cs="Arial"/>
          <w:b/>
          <w:sz w:val="30"/>
        </w:rPr>
      </w:pPr>
    </w:p>
    <w:p>
      <w:pPr>
        <w:spacing w:line="360" w:lineRule="auto"/>
        <w:jc w:val="center"/>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投标人提交投标文件须知</w:t>
      </w:r>
    </w:p>
    <w:p>
      <w:pPr>
        <w:spacing w:line="360" w:lineRule="auto"/>
        <w:jc w:val="center"/>
        <w:rPr>
          <w:rFonts w:ascii="仿宋_GB2312" w:hAnsi="仿宋_GB2312" w:eastAsia="仿宋_GB2312" w:cs="仿宋_GB2312"/>
          <w:color w:val="000000"/>
          <w:kern w:val="0"/>
          <w:sz w:val="28"/>
          <w:szCs w:val="28"/>
        </w:rPr>
      </w:pP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2、所附表格中要求回答全部问题、信息都必须正面回答。</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3、本资格声明的签字人应保证全部声明和问题的回答是真实的和正确的。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 招标方将应用投标人提交的资料判断和考虑决定投标人履行合同的合格性及能力。</w:t>
      </w: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pStyle w:val="66"/>
        <w:ind w:firstLine="560"/>
      </w:pPr>
    </w:p>
    <w:p>
      <w:pPr>
        <w:spacing w:line="440" w:lineRule="exact"/>
        <w:ind w:firstLine="560" w:firstLineChars="200"/>
        <w:rPr>
          <w:rFonts w:ascii="仿宋_GB2312" w:hAnsi="仿宋_GB2312" w:eastAsia="仿宋_GB2312" w:cs="仿宋_GB2312"/>
          <w:color w:val="000000"/>
          <w:kern w:val="0"/>
          <w:sz w:val="28"/>
          <w:szCs w:val="28"/>
        </w:rPr>
      </w:pPr>
    </w:p>
    <w:p>
      <w:pPr>
        <w:pStyle w:val="66"/>
        <w:ind w:firstLine="560"/>
        <w:rPr>
          <w:rFonts w:ascii="仿宋_GB2312" w:hAnsi="仿宋_GB2312" w:eastAsia="仿宋_GB2312" w:cs="仿宋_GB2312"/>
          <w:color w:val="000000"/>
          <w:kern w:val="0"/>
          <w:szCs w:val="28"/>
        </w:rPr>
      </w:pPr>
    </w:p>
    <w:p>
      <w:pPr>
        <w:pStyle w:val="66"/>
        <w:ind w:firstLine="560"/>
        <w:rPr>
          <w:rFonts w:ascii="仿宋_GB2312" w:hAnsi="仿宋_GB2312" w:eastAsia="仿宋_GB2312" w:cs="仿宋_GB2312"/>
          <w:color w:val="000000"/>
          <w:kern w:val="0"/>
          <w:szCs w:val="28"/>
        </w:rPr>
      </w:pPr>
    </w:p>
    <w:p>
      <w:pPr>
        <w:pStyle w:val="66"/>
        <w:ind w:firstLine="560"/>
        <w:rPr>
          <w:rFonts w:ascii="仿宋_GB2312" w:hAnsi="仿宋_GB2312" w:eastAsia="仿宋_GB2312" w:cs="仿宋_GB2312"/>
          <w:color w:val="000000"/>
          <w:kern w:val="0"/>
          <w:szCs w:val="28"/>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附件1</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spacing w:beforeLines="100" w:line="240" w:lineRule="atLeast"/>
        <w:ind w:right="-108"/>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hint="eastAsia" w:ascii="仿宋_GB2312" w:hAnsi="仿宋_GB2312" w:eastAsia="仿宋_GB2312" w:cs="仿宋_GB2312"/>
          <w:color w:val="auto"/>
          <w:kern w:val="0"/>
          <w:sz w:val="36"/>
          <w:szCs w:val="36"/>
          <w:highlight w:val="none"/>
          <w:lang w:eastAsia="zh-CN"/>
        </w:rPr>
        <w:t>NBCXZFCG2024013</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w:t>
      </w:r>
    </w:p>
    <w:p>
      <w:pPr>
        <w:spacing w:after="100" w:afterAutospacing="1" w:line="800" w:lineRule="exact"/>
        <w:ind w:right="-108"/>
        <w:jc w:val="center"/>
        <w:rPr>
          <w:rFonts w:ascii="仿宋_GB2312" w:hAnsi="仿宋_GB2312" w:eastAsia="仿宋_GB2312" w:cs="仿宋_GB2312"/>
          <w:color w:val="000000"/>
          <w:kern w:val="0"/>
          <w:sz w:val="36"/>
          <w:szCs w:val="36"/>
        </w:rPr>
      </w:pP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资</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格</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证</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明</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投标人全称（公章）：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pacing w:line="440" w:lineRule="exact"/>
        <w:outlineLvl w:val="1"/>
        <w:rPr>
          <w:rFonts w:ascii="仿宋_GB2312" w:hAnsi="仿宋_GB2312" w:eastAsia="仿宋_GB2312" w:cs="仿宋_GB2312"/>
          <w:color w:val="000000"/>
          <w:kern w:val="0"/>
          <w:sz w:val="32"/>
          <w:szCs w:val="32"/>
        </w:rPr>
      </w:pPr>
      <w:bookmarkStart w:id="29" w:name="_Toc360457890"/>
      <w:bookmarkStart w:id="30" w:name="_Toc231780371"/>
    </w:p>
    <w:p>
      <w:pPr>
        <w:spacing w:line="440" w:lineRule="exact"/>
        <w:outlineLvl w:val="1"/>
        <w:rPr>
          <w:rFonts w:ascii="仿宋_GB2312" w:hAnsi="仿宋_GB2312" w:eastAsia="仿宋_GB2312" w:cs="仿宋_GB2312"/>
          <w:color w:val="000000"/>
          <w:kern w:val="0"/>
          <w:sz w:val="32"/>
          <w:szCs w:val="32"/>
        </w:rPr>
      </w:pPr>
    </w:p>
    <w:p>
      <w:pPr>
        <w:pStyle w:val="66"/>
        <w:ind w:firstLine="560"/>
      </w:pPr>
    </w:p>
    <w:bookmarkEnd w:id="29"/>
    <w:bookmarkEnd w:id="30"/>
    <w:p>
      <w:pPr>
        <w:spacing w:line="440" w:lineRule="exact"/>
        <w:outlineLvl w:val="1"/>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2"/>
          <w:szCs w:val="32"/>
        </w:rPr>
        <w:t xml:space="preserve">附件2  </w:t>
      </w:r>
    </w:p>
    <w:p>
      <w:pPr>
        <w:spacing w:after="240" w:line="440" w:lineRule="exact"/>
        <w:jc w:val="center"/>
        <w:outlineLvl w:val="1"/>
        <w:rPr>
          <w:rFonts w:ascii="Arial" w:hAnsi="Arial" w:eastAsia="仿宋" w:cs="Arial"/>
          <w:b/>
          <w:sz w:val="36"/>
          <w:szCs w:val="30"/>
        </w:rPr>
      </w:pPr>
      <w:r>
        <w:rPr>
          <w:rFonts w:ascii="仿宋_GB2312" w:hAnsi="仿宋_GB2312" w:eastAsia="仿宋_GB2312" w:cs="仿宋_GB2312"/>
          <w:color w:val="000000"/>
          <w:kern w:val="0"/>
          <w:sz w:val="36"/>
          <w:szCs w:val="36"/>
        </w:rPr>
        <w:t>投标函</w:t>
      </w:r>
    </w:p>
    <w:p>
      <w:pPr>
        <w:snapToGrid w:val="0"/>
        <w:spacing w:beforeLines="50" w:line="44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致慈溪市政府采购中心：</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u w:val="single"/>
        </w:rPr>
        <w:t xml:space="preserve">（投标人名称）      </w:t>
      </w:r>
      <w:r>
        <w:rPr>
          <w:rFonts w:ascii="仿宋_GB2312" w:hAnsi="仿宋_GB2312" w:eastAsia="仿宋_GB2312" w:cs="仿宋_GB2312"/>
          <w:color w:val="000000"/>
          <w:kern w:val="0"/>
          <w:sz w:val="24"/>
        </w:rPr>
        <w:t>系中华人民共和国合法企业，经营地址</w:t>
      </w:r>
      <w:r>
        <w:rPr>
          <w:rFonts w:hint="eastAsia" w:ascii="仿宋_GB2312" w:hAnsi="仿宋_GB2312" w:eastAsia="仿宋_GB2312" w:cs="仿宋_GB2312"/>
          <w:color w:val="000000"/>
          <w:kern w:val="0"/>
          <w:sz w:val="24"/>
        </w:rPr>
        <w:t>____________</w:t>
      </w:r>
      <w:r>
        <w:rPr>
          <w:rFonts w:ascii="仿宋_GB2312" w:hAnsi="仿宋_GB2312" w:eastAsia="仿宋_GB2312" w:cs="仿宋_GB2312"/>
          <w:color w:val="000000"/>
          <w:kern w:val="0"/>
          <w:sz w:val="24"/>
        </w:rPr>
        <w:t>。</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我</w:t>
      </w:r>
      <w:r>
        <w:rPr>
          <w:rFonts w:ascii="仿宋_GB2312" w:hAnsi="仿宋_GB2312" w:eastAsia="仿宋_GB2312" w:cs="仿宋_GB2312"/>
          <w:color w:val="000000"/>
          <w:kern w:val="0"/>
          <w:sz w:val="24"/>
          <w:u w:val="single"/>
        </w:rPr>
        <w:t>（姓名）</w:t>
      </w:r>
      <w:r>
        <w:rPr>
          <w:rFonts w:ascii="仿宋_GB2312" w:hAnsi="仿宋_GB2312" w:eastAsia="仿宋_GB2312" w:cs="仿宋_GB2312"/>
          <w:color w:val="000000"/>
          <w:kern w:val="0"/>
          <w:sz w:val="24"/>
        </w:rPr>
        <w:t>系</w:t>
      </w:r>
      <w:r>
        <w:rPr>
          <w:rFonts w:ascii="仿宋_GB2312" w:hAnsi="仿宋_GB2312" w:eastAsia="仿宋_GB2312" w:cs="仿宋_GB2312"/>
          <w:color w:val="000000"/>
          <w:kern w:val="0"/>
          <w:sz w:val="24"/>
          <w:u w:val="single"/>
        </w:rPr>
        <w:t>（投标人名称）</w:t>
      </w:r>
      <w:r>
        <w:rPr>
          <w:rFonts w:ascii="仿宋_GB2312" w:hAnsi="仿宋_GB2312" w:eastAsia="仿宋_GB2312" w:cs="仿宋_GB2312"/>
          <w:color w:val="000000"/>
          <w:kern w:val="0"/>
          <w:sz w:val="24"/>
        </w:rPr>
        <w:t>的法定代表人/负责人，我方愿意参加贵方组织的</w:t>
      </w:r>
      <w:r>
        <w:rPr>
          <w:rFonts w:ascii="仿宋_GB2312" w:hAnsi="仿宋_GB2312" w:eastAsia="仿宋_GB2312" w:cs="仿宋_GB2312"/>
          <w:color w:val="000000"/>
          <w:kern w:val="0"/>
          <w:sz w:val="24"/>
          <w:u w:val="single"/>
        </w:rPr>
        <w:t>（招标项目名称）</w:t>
      </w:r>
      <w:r>
        <w:rPr>
          <w:rFonts w:ascii="仿宋_GB2312" w:hAnsi="仿宋_GB2312" w:eastAsia="仿宋_GB2312" w:cs="仿宋_GB2312"/>
          <w:color w:val="000000"/>
          <w:kern w:val="0"/>
          <w:sz w:val="24"/>
        </w:rPr>
        <w:t>（招标编号为</w:t>
      </w:r>
      <w:r>
        <w:rPr>
          <w:rFonts w:hint="eastAsia" w:ascii="仿宋_GB2312" w:hAnsi="仿宋_GB2312" w:eastAsia="仿宋_GB2312" w:cs="仿宋_GB2312"/>
          <w:color w:val="000000"/>
          <w:kern w:val="0"/>
          <w:sz w:val="24"/>
          <w:highlight w:val="none"/>
          <w:u w:val="single"/>
          <w:lang w:eastAsia="zh-CN"/>
        </w:rPr>
        <w:t>NBCXZFCG2024013</w:t>
      </w:r>
      <w:r>
        <w:rPr>
          <w:rFonts w:ascii="仿宋_GB2312" w:hAnsi="仿宋_GB2312" w:eastAsia="仿宋_GB2312" w:cs="仿宋_GB2312"/>
          <w:color w:val="000000"/>
          <w:kern w:val="0"/>
          <w:sz w:val="24"/>
          <w:highlight w:val="none"/>
        </w:rPr>
        <w:t>）的</w:t>
      </w:r>
      <w:r>
        <w:rPr>
          <w:rFonts w:ascii="仿宋_GB2312" w:hAnsi="仿宋_GB2312" w:eastAsia="仿宋_GB2312" w:cs="仿宋_GB2312"/>
          <w:color w:val="000000"/>
          <w:kern w:val="0"/>
          <w:sz w:val="24"/>
        </w:rPr>
        <w:t>投标，为此，我方就本次投标有关事项郑重声明如下：</w:t>
      </w:r>
    </w:p>
    <w:p>
      <w:pPr>
        <w:snapToGrid w:val="0"/>
        <w:spacing w:beforeLines="50"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r>
        <w:rPr>
          <w:rFonts w:ascii="仿宋_GB2312" w:hAnsi="仿宋_GB2312" w:eastAsia="仿宋_GB2312" w:cs="仿宋_GB2312"/>
          <w:color w:val="000000"/>
          <w:kern w:val="0"/>
          <w:sz w:val="24"/>
        </w:rPr>
        <w:t>、我方已详细审查全部招标文件，同意招标文件的各项要求。</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r>
        <w:rPr>
          <w:rFonts w:ascii="仿宋_GB2312" w:hAnsi="仿宋_GB2312" w:eastAsia="仿宋_GB2312" w:cs="仿宋_GB2312"/>
          <w:color w:val="000000"/>
          <w:kern w:val="0"/>
          <w:sz w:val="24"/>
        </w:rPr>
        <w:t>、我方向贵方提交的所有投标文件、资料都是准确的和真实的。</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r>
        <w:rPr>
          <w:rFonts w:ascii="仿宋_GB2312" w:hAnsi="仿宋_GB2312" w:eastAsia="仿宋_GB2312" w:cs="仿宋_GB2312"/>
          <w:color w:val="000000"/>
          <w:kern w:val="0"/>
          <w:sz w:val="24"/>
        </w:rPr>
        <w:t>、若中标，我方将按招标文件规定履行合同责任和义务。</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r>
        <w:rPr>
          <w:rFonts w:ascii="仿宋_GB2312" w:hAnsi="仿宋_GB2312" w:eastAsia="仿宋_GB2312" w:cs="仿宋_GB2312"/>
          <w:color w:val="000000"/>
          <w:kern w:val="0"/>
          <w:sz w:val="24"/>
        </w:rPr>
        <w:t>、我方不是采购人的附属机构；在获知本项目采购信息后，与采购人聘请的为此项目提供咨询服务的公司及其附属机构没有任何联系。</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r>
        <w:rPr>
          <w:rFonts w:ascii="仿宋_GB2312" w:hAnsi="仿宋_GB2312" w:eastAsia="仿宋_GB2312" w:cs="仿宋_GB2312"/>
          <w:color w:val="000000"/>
          <w:kern w:val="0"/>
          <w:sz w:val="24"/>
        </w:rPr>
        <w:t>、投标有效期为自投标文件提交截止之日起90日历天。</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r>
        <w:rPr>
          <w:rFonts w:ascii="仿宋_GB2312" w:hAnsi="仿宋_GB2312" w:eastAsia="仿宋_GB2312" w:cs="仿宋_GB2312"/>
          <w:color w:val="000000"/>
          <w:kern w:val="0"/>
          <w:sz w:val="24"/>
        </w:rPr>
        <w:t>、我方通过“信用中国”网站、中国政府采购网查询，未被列入失信被执行人、重大税收违法案件当事人名单、政府采购严重违法失信行为记录名单。</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r>
        <w:rPr>
          <w:rFonts w:ascii="仿宋_GB2312" w:hAnsi="仿宋_GB2312" w:eastAsia="仿宋_GB2312" w:cs="仿宋_GB2312"/>
          <w:color w:val="000000"/>
          <w:kern w:val="0"/>
          <w:sz w:val="24"/>
        </w:rPr>
        <w:t>、以上事项如有虚假或隐瞒，我方愿意承担一切后果，并不再寻求任何旨在减轻或免除法律责任的辩解。</w:t>
      </w:r>
    </w:p>
    <w:p>
      <w:pPr>
        <w:snapToGrid w:val="0"/>
        <w:spacing w:beforeLines="50" w:line="440" w:lineRule="exact"/>
        <w:ind w:firstLine="120" w:firstLineChars="50"/>
        <w:rPr>
          <w:rFonts w:ascii="仿宋_GB2312" w:hAnsi="仿宋_GB2312" w:eastAsia="仿宋_GB2312" w:cs="仿宋_GB2312"/>
          <w:color w:val="000000"/>
          <w:kern w:val="0"/>
          <w:sz w:val="24"/>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法定代表人签名（或签名章</w:t>
      </w:r>
      <w:r>
        <w:rPr>
          <w:rFonts w:hint="eastAsia" w:ascii="仿宋_GB2312" w:hAnsi="仿宋_GB2312" w:eastAsia="仿宋_GB2312" w:cs="仿宋_GB2312"/>
          <w:color w:val="000000"/>
          <w:kern w:val="0"/>
          <w:sz w:val="24"/>
        </w:rPr>
        <w:t>/法人章</w:t>
      </w:r>
      <w:r>
        <w:rPr>
          <w:rFonts w:ascii="仿宋_GB2312" w:hAnsi="仿宋_GB2312" w:eastAsia="仿宋_GB2312" w:cs="仿宋_GB2312"/>
          <w:color w:val="000000"/>
          <w:kern w:val="0"/>
          <w:sz w:val="24"/>
        </w:rPr>
        <w:t xml:space="preserve">）：          </w:t>
      </w:r>
    </w:p>
    <w:p>
      <w:pPr>
        <w:snapToGrid w:val="0"/>
        <w:spacing w:line="440" w:lineRule="exact"/>
        <w:ind w:firstLine="3480" w:firstLineChars="1450"/>
        <w:rPr>
          <w:rFonts w:ascii="Arial" w:hAnsi="Arial" w:eastAsia="仿宋" w:cs="Arial"/>
          <w:kern w:val="0"/>
          <w:sz w:val="24"/>
        </w:rPr>
      </w:pPr>
      <w:r>
        <w:rPr>
          <w:rFonts w:ascii="仿宋_GB2312" w:hAnsi="仿宋_GB2312" w:eastAsia="仿宋_GB2312" w:cs="仿宋_GB2312"/>
          <w:color w:val="000000"/>
          <w:kern w:val="0"/>
          <w:sz w:val="24"/>
        </w:rPr>
        <w:t>日期：       年      月      日</w:t>
      </w:r>
    </w:p>
    <w:p>
      <w:pPr>
        <w:spacing w:line="440" w:lineRule="exact"/>
        <w:outlineLvl w:val="1"/>
        <w:rPr>
          <w:rFonts w:ascii="Arial" w:hAnsi="Arial" w:eastAsia="仿宋" w:cs="Arial"/>
          <w:b/>
          <w:sz w:val="36"/>
          <w:szCs w:val="30"/>
        </w:rPr>
      </w:pPr>
      <w:bookmarkStart w:id="31" w:name="_Toc231780373"/>
      <w:bookmarkStart w:id="32" w:name="_Toc360457892"/>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3</w:t>
      </w:r>
    </w:p>
    <w:p>
      <w:pPr>
        <w:spacing w:line="440" w:lineRule="exact"/>
        <w:jc w:val="center"/>
        <w:outlineLvl w:val="1"/>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法定代表人授权委托书</w:t>
      </w:r>
      <w:bookmarkEnd w:id="31"/>
      <w:bookmarkEnd w:id="32"/>
    </w:p>
    <w:p>
      <w:pPr>
        <w:spacing w:line="440" w:lineRule="exact"/>
        <w:jc w:val="center"/>
        <w:rPr>
          <w:rFonts w:ascii="Arial" w:hAnsi="Arial" w:eastAsia="仿宋" w:cs="Arial"/>
          <w:b/>
          <w:sz w:val="28"/>
          <w:szCs w:val="28"/>
        </w:rPr>
      </w:pP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慈溪市政府采购中心：</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本人</w:t>
      </w:r>
      <w:r>
        <w:rPr>
          <w:rFonts w:ascii="仿宋_GB2312" w:hAnsi="仿宋_GB2312" w:eastAsia="仿宋_GB2312" w:cs="仿宋_GB2312"/>
          <w:color w:val="000000"/>
          <w:kern w:val="0"/>
          <w:sz w:val="24"/>
          <w:u w:val="single"/>
        </w:rPr>
        <w:t xml:space="preserve">  （姓名） </w:t>
      </w:r>
      <w:r>
        <w:rPr>
          <w:rFonts w:ascii="仿宋_GB2312" w:hAnsi="仿宋_GB2312" w:eastAsia="仿宋_GB2312" w:cs="仿宋_GB2312"/>
          <w:color w:val="000000"/>
          <w:kern w:val="0"/>
          <w:sz w:val="24"/>
        </w:rPr>
        <w:t>系</w:t>
      </w:r>
      <w:r>
        <w:rPr>
          <w:rFonts w:ascii="仿宋_GB2312" w:hAnsi="仿宋_GB2312" w:eastAsia="仿宋_GB2312" w:cs="仿宋_GB2312"/>
          <w:color w:val="000000"/>
          <w:kern w:val="0"/>
          <w:sz w:val="24"/>
          <w:u w:val="single"/>
        </w:rPr>
        <w:t>（投标人名称）</w:t>
      </w:r>
      <w:r>
        <w:rPr>
          <w:rFonts w:ascii="仿宋_GB2312" w:hAnsi="仿宋_GB2312" w:eastAsia="仿宋_GB2312" w:cs="仿宋_GB2312"/>
          <w:color w:val="000000"/>
          <w:kern w:val="0"/>
          <w:sz w:val="24"/>
        </w:rPr>
        <w:t>的法定代表人，现授权委托本单位在职职工</w:t>
      </w:r>
      <w:r>
        <w:rPr>
          <w:rFonts w:hint="eastAsia" w:ascii="仿宋_GB2312" w:hAnsi="仿宋_GB2312" w:eastAsia="仿宋_GB2312" w:cs="仿宋_GB2312"/>
          <w:color w:val="000000"/>
          <w:kern w:val="0"/>
          <w:sz w:val="24"/>
          <w:u w:val="single"/>
        </w:rPr>
        <w:t>（姓名）</w:t>
      </w:r>
      <w:r>
        <w:rPr>
          <w:rFonts w:ascii="仿宋_GB2312" w:hAnsi="仿宋_GB2312" w:eastAsia="仿宋_GB2312" w:cs="仿宋_GB2312"/>
          <w:color w:val="000000"/>
          <w:kern w:val="0"/>
          <w:sz w:val="24"/>
        </w:rPr>
        <w:t>为</w:t>
      </w:r>
      <w:r>
        <w:rPr>
          <w:rFonts w:hint="eastAsia" w:ascii="仿宋_GB2312" w:hAnsi="仿宋_GB2312" w:eastAsia="仿宋_GB2312" w:cs="仿宋_GB2312"/>
          <w:color w:val="000000"/>
          <w:kern w:val="0"/>
          <w:sz w:val="24"/>
        </w:rPr>
        <w:t>我方代理人</w:t>
      </w:r>
      <w:r>
        <w:rPr>
          <w:rFonts w:ascii="仿宋_GB2312" w:hAnsi="仿宋_GB2312" w:eastAsia="仿宋_GB2312" w:cs="仿宋_GB2312"/>
          <w:color w:val="000000"/>
          <w:kern w:val="0"/>
          <w:sz w:val="24"/>
        </w:rPr>
        <w:t>，以我方的名义参加</w:t>
      </w:r>
      <w:r>
        <w:rPr>
          <w:rFonts w:ascii="仿宋_GB2312" w:hAnsi="仿宋_GB2312" w:eastAsia="仿宋_GB2312" w:cs="仿宋_GB2312"/>
          <w:color w:val="000000"/>
          <w:kern w:val="0"/>
          <w:sz w:val="24"/>
          <w:u w:val="single"/>
        </w:rPr>
        <w:t>（招标项目名称）</w:t>
      </w:r>
      <w:r>
        <w:rPr>
          <w:rFonts w:ascii="仿宋_GB2312" w:hAnsi="仿宋_GB2312" w:eastAsia="仿宋_GB2312" w:cs="仿宋_GB2312"/>
          <w:color w:val="000000"/>
          <w:kern w:val="0"/>
          <w:sz w:val="24"/>
        </w:rPr>
        <w:t>（招标编号为</w:t>
      </w:r>
      <w:r>
        <w:rPr>
          <w:rFonts w:hint="eastAsia" w:ascii="仿宋_GB2312" w:hAnsi="仿宋_GB2312" w:eastAsia="仿宋_GB2312" w:cs="仿宋_GB2312"/>
          <w:color w:val="000000"/>
          <w:kern w:val="0"/>
          <w:sz w:val="24"/>
          <w:highlight w:val="none"/>
          <w:u w:val="single"/>
          <w:lang w:eastAsia="zh-CN"/>
        </w:rPr>
        <w:t>NBCXZFCG2024013</w:t>
      </w:r>
      <w:r>
        <w:rPr>
          <w:rFonts w:ascii="仿宋_GB2312" w:hAnsi="仿宋_GB2312" w:eastAsia="仿宋_GB2312" w:cs="仿宋_GB2312"/>
          <w:color w:val="000000"/>
          <w:kern w:val="0"/>
          <w:sz w:val="24"/>
          <w:highlight w:val="none"/>
        </w:rPr>
        <w:t>）的</w:t>
      </w:r>
      <w:r>
        <w:rPr>
          <w:rFonts w:ascii="仿宋_GB2312" w:hAnsi="仿宋_GB2312" w:eastAsia="仿宋_GB2312" w:cs="仿宋_GB2312"/>
          <w:color w:val="000000"/>
          <w:kern w:val="0"/>
          <w:sz w:val="24"/>
        </w:rPr>
        <w:t>投标活动，并代表我方全权办理针对上述项目的投标、开标、评标、签约等</w:t>
      </w:r>
      <w:r>
        <w:rPr>
          <w:rFonts w:hint="eastAsia" w:ascii="仿宋_GB2312" w:hAnsi="仿宋_GB2312" w:eastAsia="仿宋_GB2312" w:cs="仿宋_GB2312"/>
          <w:color w:val="000000"/>
          <w:kern w:val="0"/>
          <w:sz w:val="24"/>
        </w:rPr>
        <w:t>相关事宜</w:t>
      </w:r>
      <w:r>
        <w:rPr>
          <w:rFonts w:ascii="仿宋_GB2312" w:hAnsi="仿宋_GB2312" w:eastAsia="仿宋_GB2312" w:cs="仿宋_GB2312"/>
          <w:color w:val="000000"/>
          <w:kern w:val="0"/>
          <w:sz w:val="24"/>
        </w:rPr>
        <w:t>。我方</w:t>
      </w:r>
      <w:r>
        <w:rPr>
          <w:rFonts w:hint="eastAsia" w:ascii="仿宋_GB2312" w:hAnsi="仿宋_GB2312" w:eastAsia="仿宋_GB2312" w:cs="仿宋_GB2312"/>
          <w:color w:val="000000"/>
          <w:kern w:val="0"/>
          <w:sz w:val="24"/>
        </w:rPr>
        <w:t>对</w:t>
      </w:r>
      <w:r>
        <w:rPr>
          <w:rFonts w:ascii="仿宋_GB2312" w:hAnsi="仿宋_GB2312" w:eastAsia="仿宋_GB2312" w:cs="仿宋_GB2312"/>
          <w:color w:val="000000"/>
          <w:kern w:val="0"/>
          <w:sz w:val="24"/>
        </w:rPr>
        <w:t>代理人的签名事项负全部责任。</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在撤销授权的书面通知以前，本授权书一直有效。</w:t>
      </w:r>
      <w:r>
        <w:rPr>
          <w:rFonts w:hint="eastAsia" w:ascii="仿宋_GB2312" w:hAnsi="仿宋_GB2312" w:eastAsia="仿宋_GB2312" w:cs="仿宋_GB2312"/>
          <w:color w:val="000000"/>
          <w:kern w:val="0"/>
          <w:sz w:val="24"/>
        </w:rPr>
        <w:t>代理人</w:t>
      </w:r>
      <w:r>
        <w:rPr>
          <w:rFonts w:ascii="仿宋_GB2312" w:hAnsi="仿宋_GB2312" w:eastAsia="仿宋_GB2312" w:cs="仿宋_GB2312"/>
          <w:color w:val="000000"/>
          <w:kern w:val="0"/>
          <w:sz w:val="24"/>
        </w:rPr>
        <w:t>在授权书有效期内签署的所有文件不因授权的撤销而失效。</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委托期限：</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代理人</w:t>
      </w:r>
      <w:r>
        <w:rPr>
          <w:rFonts w:ascii="仿宋_GB2312" w:hAnsi="仿宋_GB2312" w:eastAsia="仿宋_GB2312" w:cs="仿宋_GB2312"/>
          <w:color w:val="000000"/>
          <w:kern w:val="0"/>
          <w:sz w:val="24"/>
        </w:rPr>
        <w:t>无转委托权。</w:t>
      </w:r>
    </w:p>
    <w:p>
      <w:pPr>
        <w:pStyle w:val="38"/>
        <w:snapToGrid w:val="0"/>
        <w:spacing w:line="440" w:lineRule="exact"/>
        <w:ind w:firstLine="480" w:firstLineChars="200"/>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本授权委托书于     年   月   日签字之日起生效，特此声明。</w:t>
      </w:r>
    </w:p>
    <w:p>
      <w:pPr>
        <w:snapToGrid w:val="0"/>
        <w:spacing w:beforeLines="50" w:line="440" w:lineRule="exact"/>
        <w:rPr>
          <w:rFonts w:ascii="仿宋_GB2312" w:hAnsi="仿宋_GB2312" w:eastAsia="仿宋_GB2312" w:cs="仿宋_GB2312"/>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r>
        <w:rPr>
          <w:rFonts w:ascii="仿宋_GB2312" w:hAnsi="仿宋_GB2312" w:eastAsia="仿宋_GB2312" w:cs="仿宋_GB2312"/>
          <w:b/>
          <w:color w:val="000000"/>
          <w:kern w:val="0"/>
          <w:sz w:val="24"/>
        </w:rPr>
        <w:t>（附：法定代表人身份证正反面复印件及其</w:t>
      </w:r>
      <w:r>
        <w:rPr>
          <w:rFonts w:hint="eastAsia" w:ascii="仿宋_GB2312" w:hAnsi="仿宋_GB2312" w:eastAsia="仿宋_GB2312" w:cs="仿宋_GB2312"/>
          <w:b/>
          <w:color w:val="000000"/>
          <w:kern w:val="0"/>
          <w:sz w:val="24"/>
        </w:rPr>
        <w:t>委托</w:t>
      </w:r>
      <w:r>
        <w:rPr>
          <w:rFonts w:ascii="仿宋_GB2312" w:hAnsi="仿宋_GB2312" w:eastAsia="仿宋_GB2312" w:cs="仿宋_GB2312"/>
          <w:b/>
          <w:color w:val="000000"/>
          <w:kern w:val="0"/>
          <w:sz w:val="24"/>
        </w:rPr>
        <w:t>代理人身份证</w:t>
      </w:r>
      <w:r>
        <w:rPr>
          <w:rFonts w:hint="eastAsia" w:ascii="仿宋_GB2312" w:hAnsi="仿宋_GB2312" w:eastAsia="仿宋_GB2312" w:cs="仿宋_GB2312"/>
          <w:b/>
          <w:color w:val="000000"/>
          <w:kern w:val="0"/>
          <w:sz w:val="24"/>
        </w:rPr>
        <w:t>正反面</w:t>
      </w:r>
      <w:r>
        <w:rPr>
          <w:rFonts w:ascii="仿宋_GB2312" w:hAnsi="仿宋_GB2312" w:eastAsia="仿宋_GB2312" w:cs="仿宋_GB2312"/>
          <w:b/>
          <w:color w:val="000000"/>
          <w:kern w:val="0"/>
          <w:sz w:val="24"/>
        </w:rPr>
        <w:t>复印件）</w:t>
      </w:r>
    </w:p>
    <w:p>
      <w:pPr>
        <w:snapToGrid w:val="0"/>
        <w:spacing w:beforeLines="50" w:after="50" w:line="460" w:lineRule="exact"/>
        <w:rPr>
          <w:rFonts w:ascii="仿宋_GB2312" w:hAnsi="仿宋_GB2312" w:eastAsia="仿宋_GB2312" w:cs="仿宋_GB2312"/>
          <w:color w:val="000000"/>
          <w:kern w:val="0"/>
          <w:sz w:val="24"/>
        </w:rPr>
      </w:pPr>
    </w:p>
    <w:p>
      <w:pPr>
        <w:snapToGrid w:val="0"/>
        <w:spacing w:beforeLines="50" w:after="50" w:line="460" w:lineRule="exact"/>
        <w:rPr>
          <w:rFonts w:ascii="仿宋_GB2312" w:hAnsi="仿宋_GB2312" w:eastAsia="仿宋_GB2312" w:cs="仿宋_GB2312"/>
          <w:color w:val="000000"/>
          <w:kern w:val="0"/>
          <w:sz w:val="24"/>
        </w:rPr>
      </w:pPr>
    </w:p>
    <w:p>
      <w:pPr>
        <w:tabs>
          <w:tab w:val="left" w:pos="7980"/>
        </w:tabs>
        <w:snapToGrid w:val="0"/>
        <w:spacing w:beforeLines="50" w:after="50" w:line="460" w:lineRule="exact"/>
        <w:ind w:right="-18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w:t>
      </w:r>
      <w:r>
        <w:rPr>
          <w:rFonts w:hint="eastAsia" w:ascii="仿宋_GB2312" w:hAnsi="仿宋_GB2312" w:eastAsia="仿宋_GB2312" w:cs="仿宋_GB2312"/>
          <w:color w:val="000000"/>
          <w:kern w:val="0"/>
          <w:sz w:val="24"/>
        </w:rPr>
        <w:t>字</w:t>
      </w:r>
      <w:r>
        <w:rPr>
          <w:rFonts w:ascii="仿宋_GB2312" w:hAnsi="仿宋_GB2312" w:eastAsia="仿宋_GB2312" w:cs="仿宋_GB2312"/>
          <w:color w:val="000000"/>
          <w:kern w:val="0"/>
          <w:sz w:val="24"/>
        </w:rPr>
        <w:t xml:space="preserve">：          </w:t>
      </w: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法定代表人身份证号码：                         </w:t>
      </w: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投标人全称（单位公章）：                                   </w:t>
      </w:r>
    </w:p>
    <w:p>
      <w:pPr>
        <w:snapToGrid w:val="0"/>
        <w:spacing w:beforeLines="50" w:line="440" w:lineRule="exact"/>
        <w:ind w:right="600" w:firstLine="4320" w:firstLineChars="1800"/>
        <w:rPr>
          <w:rFonts w:ascii="仿宋_GB2312" w:hAnsi="仿宋_GB2312" w:eastAsia="仿宋_GB2312" w:cs="仿宋_GB2312"/>
          <w:color w:val="000000"/>
          <w:kern w:val="0"/>
          <w:sz w:val="24"/>
        </w:rPr>
      </w:pPr>
    </w:p>
    <w:p>
      <w:pPr>
        <w:snapToGrid w:val="0"/>
        <w:spacing w:beforeLines="50" w:line="440" w:lineRule="exact"/>
        <w:ind w:right="600" w:firstLine="4320" w:firstLineChars="18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Arial" w:hAnsi="Arial" w:eastAsia="仿宋_GB2312" w:cs="Arial"/>
          <w:b/>
          <w:sz w:val="30"/>
          <w:szCs w:val="30"/>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4</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ascii="仿宋_GB2312" w:hAnsi="仿宋_GB2312" w:eastAsia="仿宋_GB2312" w:cs="仿宋_GB2312"/>
          <w:color w:val="000000"/>
          <w:kern w:val="0"/>
          <w:sz w:val="36"/>
          <w:szCs w:val="36"/>
          <w:highlight w:val="none"/>
        </w:rPr>
        <w:t>：</w:t>
      </w:r>
      <w:r>
        <w:rPr>
          <w:rFonts w:hint="eastAsia" w:ascii="仿宋_GB2312" w:hAnsi="仿宋_GB2312" w:eastAsia="仿宋_GB2312" w:cs="仿宋_GB2312"/>
          <w:color w:val="000000"/>
          <w:kern w:val="0"/>
          <w:sz w:val="36"/>
          <w:szCs w:val="36"/>
          <w:highlight w:val="none"/>
          <w:lang w:eastAsia="zh-CN"/>
        </w:rPr>
        <w:t>NBCXZFCG2024013</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  ）</w:t>
      </w:r>
    </w:p>
    <w:p>
      <w:pPr>
        <w:spacing w:after="100" w:afterAutospacing="1" w:line="800" w:lineRule="exact"/>
        <w:ind w:right="-108"/>
        <w:jc w:val="center"/>
        <w:rPr>
          <w:rFonts w:ascii="Arial" w:hAnsi="Arial" w:eastAsia="仿宋" w:cs="Arial"/>
          <w:b/>
          <w:spacing w:val="40"/>
          <w:sz w:val="84"/>
          <w:szCs w:val="84"/>
        </w:rPr>
      </w:pP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商</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务</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技</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术</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供应商全称（公章）：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pStyle w:val="28"/>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5</w:t>
      </w:r>
    </w:p>
    <w:p>
      <w:pPr>
        <w:snapToGrid w:val="0"/>
        <w:spacing w:before="50" w:after="50"/>
        <w:jc w:val="left"/>
        <w:rPr>
          <w:rFonts w:ascii="Arial" w:hAnsi="仿宋" w:eastAsia="仿宋" w:cs="Arial"/>
          <w:b/>
          <w:sz w:val="32"/>
          <w:szCs w:val="32"/>
        </w:rPr>
      </w:pP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评分索引表</w:t>
      </w:r>
    </w:p>
    <w:p>
      <w:pPr>
        <w:snapToGrid w:val="0"/>
        <w:spacing w:before="50"/>
        <w:jc w:val="center"/>
        <w:rPr>
          <w:rFonts w:ascii="Arial" w:hAnsi="Arial" w:eastAsia="仿宋" w:cs="Arial"/>
          <w:b/>
          <w:sz w:val="32"/>
          <w:szCs w:val="32"/>
        </w:rPr>
      </w:pPr>
    </w:p>
    <w:tbl>
      <w:tblPr>
        <w:tblStyle w:val="6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对应招标文件评分办法及评分标准（报价除外）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bl>
    <w:p>
      <w:pPr>
        <w:snapToGrid w:val="0"/>
        <w:spacing w:beforeLines="50" w:line="440" w:lineRule="exact"/>
        <w:ind w:firstLine="140" w:firstLineChars="50"/>
        <w:rPr>
          <w:rFonts w:ascii="Arial" w:hAnsi="Arial" w:eastAsia="仿宋" w:cs="Arial"/>
          <w:sz w:val="28"/>
          <w:szCs w:val="28"/>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法定代表人签名（或签名章</w:t>
      </w:r>
      <w:r>
        <w:rPr>
          <w:rFonts w:hint="eastAsia" w:ascii="仿宋_GB2312" w:hAnsi="仿宋_GB2312" w:eastAsia="仿宋_GB2312" w:cs="仿宋_GB2312"/>
          <w:color w:val="000000"/>
          <w:kern w:val="0"/>
          <w:sz w:val="24"/>
        </w:rPr>
        <w:t>/法人章</w:t>
      </w:r>
      <w:r>
        <w:rPr>
          <w:rFonts w:ascii="仿宋_GB2312" w:hAnsi="仿宋_GB2312" w:eastAsia="仿宋_GB2312" w:cs="仿宋_GB2312"/>
          <w:color w:val="000000"/>
          <w:kern w:val="0"/>
          <w:sz w:val="24"/>
        </w:rPr>
        <w:t xml:space="preserve">）：          </w:t>
      </w:r>
    </w:p>
    <w:p>
      <w:pPr>
        <w:spacing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6</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项目实施人员</w:t>
      </w:r>
    </w:p>
    <w:p>
      <w:pPr>
        <w:pStyle w:val="3"/>
        <w:keepNext w:val="0"/>
        <w:keepLines w:val="0"/>
        <w:spacing w:before="120" w:after="120" w:line="360" w:lineRule="auto"/>
        <w:jc w:val="center"/>
        <w:rPr>
          <w:rFonts w:ascii="仿宋_GB2312" w:hAnsi="仿宋_GB2312" w:eastAsia="仿宋_GB2312" w:cs="仿宋_GB2312"/>
          <w:b w:val="0"/>
          <w:bCs w:val="0"/>
          <w:color w:val="000000"/>
          <w:kern w:val="0"/>
          <w:sz w:val="21"/>
          <w:szCs w:val="21"/>
        </w:rPr>
      </w:pPr>
      <w:r>
        <w:rPr>
          <w:rFonts w:ascii="仿宋_GB2312" w:hAnsi="仿宋_GB2312" w:eastAsia="仿宋_GB2312" w:cs="仿宋_GB2312"/>
          <w:b w:val="0"/>
          <w:bCs w:val="0"/>
          <w:color w:val="000000"/>
          <w:kern w:val="0"/>
          <w:sz w:val="21"/>
          <w:szCs w:val="21"/>
        </w:rPr>
        <w:t>服务人员配备一览表</w:t>
      </w:r>
    </w:p>
    <w:tbl>
      <w:tblPr>
        <w:tblStyle w:val="67"/>
        <w:tblW w:w="8474" w:type="dxa"/>
        <w:jc w:val="center"/>
        <w:tblLayout w:type="fixed"/>
        <w:tblCellMar>
          <w:top w:w="0" w:type="dxa"/>
          <w:left w:w="54" w:type="dxa"/>
          <w:bottom w:w="0" w:type="dxa"/>
          <w:right w:w="54" w:type="dxa"/>
        </w:tblCellMar>
      </w:tblPr>
      <w:tblGrid>
        <w:gridCol w:w="740"/>
        <w:gridCol w:w="1130"/>
        <w:gridCol w:w="705"/>
        <w:gridCol w:w="845"/>
        <w:gridCol w:w="1691"/>
        <w:gridCol w:w="1692"/>
        <w:gridCol w:w="1671"/>
      </w:tblGrid>
      <w:tr>
        <w:tblPrEx>
          <w:tblCellMar>
            <w:top w:w="0" w:type="dxa"/>
            <w:left w:w="54" w:type="dxa"/>
            <w:bottom w:w="0" w:type="dxa"/>
            <w:right w:w="54" w:type="dxa"/>
          </w:tblCellMar>
        </w:tblPrEx>
        <w:trPr>
          <w:trHeight w:val="391" w:hRule="atLeas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序号</w:t>
            </w:r>
          </w:p>
        </w:tc>
        <w:tc>
          <w:tcPr>
            <w:tcW w:w="113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姓名</w:t>
            </w:r>
          </w:p>
        </w:tc>
        <w:tc>
          <w:tcPr>
            <w:tcW w:w="705" w:type="dxa"/>
            <w:tcBorders>
              <w:top w:val="single" w:color="auto" w:sz="6" w:space="0"/>
              <w:left w:val="single" w:color="auto" w:sz="6" w:space="0"/>
              <w:bottom w:val="single" w:color="auto" w:sz="6" w:space="0"/>
              <w:right w:val="single" w:color="auto" w:sz="4"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年龄</w:t>
            </w:r>
          </w:p>
        </w:tc>
        <w:tc>
          <w:tcPr>
            <w:tcW w:w="845" w:type="dxa"/>
            <w:tcBorders>
              <w:top w:val="single" w:color="auto" w:sz="6" w:space="0"/>
              <w:left w:val="single" w:color="auto" w:sz="4" w:space="0"/>
              <w:bottom w:val="single" w:color="auto" w:sz="6" w:space="0"/>
              <w:right w:val="single" w:color="auto" w:sz="4"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性别</w:t>
            </w:r>
          </w:p>
        </w:tc>
        <w:tc>
          <w:tcPr>
            <w:tcW w:w="1691" w:type="dxa"/>
            <w:tcBorders>
              <w:top w:val="single" w:color="auto" w:sz="6" w:space="0"/>
              <w:left w:val="single" w:color="auto" w:sz="4"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从事本工作</w:t>
            </w:r>
            <w:r>
              <w:rPr>
                <w:rFonts w:ascii="仿宋_GB2312" w:hAnsi="仿宋_GB2312" w:eastAsia="仿宋_GB2312" w:cs="仿宋_GB2312"/>
                <w:color w:val="000000"/>
                <w:kern w:val="0"/>
                <w:szCs w:val="21"/>
              </w:rPr>
              <w:t>时间</w:t>
            </w:r>
          </w:p>
        </w:tc>
        <w:tc>
          <w:tcPr>
            <w:tcW w:w="1692"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相关资格证书</w:t>
            </w:r>
          </w:p>
        </w:tc>
        <w:tc>
          <w:tcPr>
            <w:tcW w:w="1671"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拟任岗位及工作量</w:t>
            </w: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p>
        </w:tc>
        <w:tc>
          <w:tcPr>
            <w:tcW w:w="1130" w:type="dxa"/>
            <w:tcBorders>
              <w:top w:val="single" w:color="auto" w:sz="6" w:space="0"/>
              <w:left w:val="single" w:color="auto" w:sz="6" w:space="0"/>
              <w:bottom w:val="single" w:color="auto" w:sz="6" w:space="0"/>
              <w:right w:val="single" w:color="auto" w:sz="6" w:space="0"/>
            </w:tcBorders>
            <w:noWrap/>
          </w:tcPr>
          <w:p>
            <w:pPr>
              <w:pStyle w:val="49"/>
              <w:rPr>
                <w:rFonts w:ascii="仿宋_GB2312" w:hAnsi="仿宋_GB2312" w:eastAsia="仿宋_GB2312" w:cs="仿宋_GB2312"/>
                <w:b w:val="0"/>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5</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6</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14"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bl>
    <w:p>
      <w:pPr>
        <w:ind w:left="630" w:leftChars="200" w:hanging="210" w:hangingChars="100"/>
        <w:rPr>
          <w:rFonts w:ascii="仿宋_GB2312" w:hAnsi="仿宋_GB2312" w:eastAsia="仿宋_GB2312" w:cs="仿宋_GB2312"/>
          <w:color w:val="000000"/>
          <w:kern w:val="0"/>
          <w:szCs w:val="21"/>
        </w:rPr>
      </w:pPr>
    </w:p>
    <w:p>
      <w:pPr>
        <w:spacing w:line="360" w:lineRule="auto"/>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w:t>
      </w:r>
      <w:r>
        <w:rPr>
          <w:rFonts w:hint="eastAsia" w:ascii="仿宋_GB2312" w:hAnsi="仿宋_GB2312" w:eastAsia="仿宋_GB2312" w:cs="仿宋_GB2312"/>
          <w:color w:val="000000"/>
          <w:kern w:val="0"/>
          <w:szCs w:val="21"/>
          <w:lang w:val="en-US" w:eastAsia="zh-CN"/>
        </w:rPr>
        <w:t>1、</w:t>
      </w:r>
      <w:r>
        <w:rPr>
          <w:rFonts w:ascii="仿宋_GB2312" w:hAnsi="仿宋_GB2312" w:eastAsia="仿宋_GB2312" w:cs="仿宋_GB2312"/>
          <w:color w:val="000000"/>
          <w:kern w:val="0"/>
          <w:szCs w:val="21"/>
        </w:rPr>
        <w:t>“项目实施人员”指投标单位针对完成本项目所配备的人员；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★2、招标文件第二部分招标需求《人员岗位配置表》中要求提供相关证书、证明材料的人员须明确姓名并按要求提供相关证书、证明材料；</w:t>
      </w:r>
    </w:p>
    <w:p>
      <w:pPr>
        <w:numPr>
          <w:ilvl w:val="0"/>
          <w:numId w:val="0"/>
        </w:numPr>
        <w:spacing w:line="360" w:lineRule="auto"/>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b w:val="0"/>
          <w:bCs w:val="0"/>
          <w:color w:val="000000"/>
          <w:kern w:val="0"/>
          <w:szCs w:val="21"/>
          <w:u w:val="single"/>
        </w:rPr>
        <w:t>★3、物业经理（项目负责人）等重要岗位人员须明确姓名，若有加分情形须根据评分标准表要求提供相关证书、证明材料；</w:t>
      </w:r>
    </w:p>
    <w:p>
      <w:pPr>
        <w:numPr>
          <w:ilvl w:val="0"/>
          <w:numId w:val="0"/>
        </w:numPr>
        <w:spacing w:line="360" w:lineRule="auto"/>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★4、投标单位中标后实际投入本项目人员须与本表填写人员一致。如有特殊情况需更换人员，须与采购人协商一致，且人员素质不得低于原承诺投入人员。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_GB2312" w:hAnsi="仿宋_GB2312" w:eastAsia="仿宋_GB2312" w:cs="仿宋_GB2312"/>
          <w:color w:val="000000"/>
          <w:kern w:val="0"/>
          <w:szCs w:val="21"/>
        </w:rPr>
      </w:pPr>
    </w:p>
    <w:p>
      <w:pPr>
        <w:spacing w:line="360" w:lineRule="auto"/>
        <w:ind w:firstLine="1108" w:firstLineChars="396"/>
        <w:rPr>
          <w:rFonts w:ascii="仿宋_GB2312" w:hAnsi="仿宋_GB2312" w:eastAsia="仿宋_GB2312" w:cs="仿宋_GB2312"/>
          <w:color w:val="000000"/>
          <w:kern w:val="0"/>
          <w:sz w:val="28"/>
          <w:szCs w:val="28"/>
          <w:highlight w:val="yellow"/>
          <w:u w:val="single"/>
        </w:rPr>
      </w:pPr>
    </w:p>
    <w:p>
      <w:pPr>
        <w:ind w:right="-110"/>
        <w:jc w:val="center"/>
        <w:rPr>
          <w:rFonts w:ascii="仿宋_GB2312" w:hAnsi="仿宋_GB2312" w:eastAsia="仿宋_GB2312" w:cs="仿宋_GB2312"/>
          <w:color w:val="000000"/>
          <w:kern w:val="0"/>
          <w:sz w:val="36"/>
          <w:szCs w:val="36"/>
        </w:rPr>
      </w:pPr>
    </w:p>
    <w:p>
      <w:pPr>
        <w:snapToGrid w:val="0"/>
        <w:spacing w:beforeLines="50" w:line="440" w:lineRule="exact"/>
        <w:ind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法定代表人或其授权代表签字：            </w:t>
      </w:r>
    </w:p>
    <w:p>
      <w:pPr>
        <w:spacing w:line="440" w:lineRule="exact"/>
        <w:ind w:firstLine="3120" w:firstLineChars="1300"/>
        <w:rPr>
          <w:rFonts w:ascii="Arial" w:hAnsi="仿宋" w:eastAsia="仿宋" w:cs="Arial"/>
          <w:sz w:val="24"/>
        </w:rPr>
      </w:pPr>
      <w:r>
        <w:rPr>
          <w:rFonts w:ascii="仿宋_GB2312" w:hAnsi="仿宋_GB2312" w:eastAsia="仿宋_GB2312" w:cs="仿宋_GB2312"/>
          <w:color w:val="000000"/>
          <w:kern w:val="0"/>
          <w:sz w:val="24"/>
        </w:rPr>
        <w:t>日 期：       年      月      日</w:t>
      </w:r>
    </w:p>
    <w:p>
      <w:pPr>
        <w:spacing w:line="440" w:lineRule="exact"/>
        <w:ind w:firstLine="3480" w:firstLineChars="1450"/>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7</w:t>
      </w:r>
    </w:p>
    <w:p>
      <w:pPr>
        <w:spacing w:after="240"/>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投入设备一览表</w:t>
      </w:r>
    </w:p>
    <w:p>
      <w:pPr>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（一）办公设备</w:t>
      </w:r>
    </w:p>
    <w:tbl>
      <w:tblPr>
        <w:tblStyle w:val="6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26"/>
        <w:gridCol w:w="908"/>
        <w:gridCol w:w="910"/>
        <w:gridCol w:w="909"/>
        <w:gridCol w:w="909"/>
        <w:gridCol w:w="909"/>
        <w:gridCol w:w="910"/>
        <w:gridCol w:w="9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41" w:type="dxa"/>
            <w:vAlign w:val="center"/>
          </w:tcPr>
          <w:p>
            <w:pPr>
              <w:rPr>
                <w:rFonts w:ascii="黑体" w:hAnsi="黑体" w:eastAsia="黑体"/>
                <w:szCs w:val="21"/>
              </w:rPr>
            </w:pPr>
            <w:r>
              <w:rPr>
                <w:rFonts w:ascii="黑体" w:hAnsi="黑体" w:eastAsia="黑体"/>
                <w:szCs w:val="21"/>
              </w:rPr>
              <w:t>序号</w:t>
            </w:r>
          </w:p>
        </w:tc>
        <w:tc>
          <w:tcPr>
            <w:tcW w:w="1226" w:type="dxa"/>
            <w:vAlign w:val="center"/>
          </w:tcPr>
          <w:p>
            <w:pPr>
              <w:rPr>
                <w:rFonts w:ascii="黑体" w:hAnsi="黑体" w:eastAsia="黑体"/>
                <w:szCs w:val="21"/>
              </w:rPr>
            </w:pPr>
            <w:r>
              <w:rPr>
                <w:rFonts w:ascii="黑体" w:hAnsi="黑体" w:eastAsia="黑体"/>
                <w:szCs w:val="21"/>
              </w:rPr>
              <w:t>名称</w:t>
            </w:r>
          </w:p>
        </w:tc>
        <w:tc>
          <w:tcPr>
            <w:tcW w:w="908" w:type="dxa"/>
            <w:vAlign w:val="center"/>
          </w:tcPr>
          <w:p>
            <w:pPr>
              <w:rPr>
                <w:rFonts w:ascii="黑体" w:hAnsi="黑体" w:eastAsia="黑体"/>
                <w:szCs w:val="21"/>
              </w:rPr>
            </w:pPr>
            <w:r>
              <w:rPr>
                <w:rFonts w:ascii="黑体" w:hAnsi="黑体" w:eastAsia="黑体"/>
                <w:szCs w:val="21"/>
              </w:rPr>
              <w:t>数量</w:t>
            </w:r>
          </w:p>
        </w:tc>
        <w:tc>
          <w:tcPr>
            <w:tcW w:w="910" w:type="dxa"/>
            <w:vAlign w:val="center"/>
          </w:tcPr>
          <w:p>
            <w:pPr>
              <w:rPr>
                <w:rFonts w:ascii="黑体" w:hAnsi="黑体" w:eastAsia="黑体"/>
                <w:szCs w:val="21"/>
              </w:rPr>
            </w:pPr>
            <w:r>
              <w:rPr>
                <w:rFonts w:ascii="黑体" w:hAnsi="黑体" w:eastAsia="黑体"/>
                <w:szCs w:val="21"/>
              </w:rPr>
              <w:t>单价</w:t>
            </w:r>
          </w:p>
        </w:tc>
        <w:tc>
          <w:tcPr>
            <w:tcW w:w="909" w:type="dxa"/>
            <w:vAlign w:val="center"/>
          </w:tcPr>
          <w:p>
            <w:pPr>
              <w:rPr>
                <w:rFonts w:ascii="黑体" w:hAnsi="黑体" w:eastAsia="黑体"/>
                <w:szCs w:val="21"/>
              </w:rPr>
            </w:pPr>
            <w:r>
              <w:rPr>
                <w:rFonts w:ascii="黑体" w:hAnsi="黑体" w:eastAsia="黑体"/>
                <w:szCs w:val="21"/>
              </w:rPr>
              <w:t>金额</w:t>
            </w:r>
          </w:p>
        </w:tc>
        <w:tc>
          <w:tcPr>
            <w:tcW w:w="909" w:type="dxa"/>
            <w:vAlign w:val="center"/>
          </w:tcPr>
          <w:p>
            <w:pPr>
              <w:rPr>
                <w:rFonts w:ascii="黑体" w:hAnsi="黑体" w:eastAsia="黑体"/>
                <w:szCs w:val="21"/>
              </w:rPr>
            </w:pPr>
            <w:r>
              <w:rPr>
                <w:rFonts w:ascii="黑体" w:hAnsi="黑体" w:eastAsia="黑体"/>
                <w:szCs w:val="21"/>
              </w:rPr>
              <w:t>序号</w:t>
            </w:r>
          </w:p>
        </w:tc>
        <w:tc>
          <w:tcPr>
            <w:tcW w:w="909" w:type="dxa"/>
            <w:vAlign w:val="center"/>
          </w:tcPr>
          <w:p>
            <w:pPr>
              <w:rPr>
                <w:rFonts w:ascii="黑体" w:hAnsi="黑体" w:eastAsia="黑体"/>
                <w:szCs w:val="21"/>
              </w:rPr>
            </w:pPr>
            <w:r>
              <w:rPr>
                <w:rFonts w:ascii="黑体" w:hAnsi="黑体" w:eastAsia="黑体"/>
                <w:szCs w:val="21"/>
              </w:rPr>
              <w:t>名称</w:t>
            </w:r>
          </w:p>
        </w:tc>
        <w:tc>
          <w:tcPr>
            <w:tcW w:w="910" w:type="dxa"/>
            <w:vAlign w:val="center"/>
          </w:tcPr>
          <w:p>
            <w:pPr>
              <w:rPr>
                <w:rFonts w:ascii="黑体" w:hAnsi="黑体" w:eastAsia="黑体"/>
                <w:szCs w:val="21"/>
              </w:rPr>
            </w:pPr>
            <w:r>
              <w:rPr>
                <w:rFonts w:ascii="黑体" w:hAnsi="黑体" w:eastAsia="黑体"/>
                <w:szCs w:val="21"/>
              </w:rPr>
              <w:t>数量</w:t>
            </w:r>
          </w:p>
        </w:tc>
        <w:tc>
          <w:tcPr>
            <w:tcW w:w="909" w:type="dxa"/>
            <w:vAlign w:val="center"/>
          </w:tcPr>
          <w:p>
            <w:pPr>
              <w:rPr>
                <w:rFonts w:ascii="黑体" w:hAnsi="黑体" w:eastAsia="黑体"/>
                <w:szCs w:val="21"/>
              </w:rPr>
            </w:pPr>
            <w:r>
              <w:rPr>
                <w:rFonts w:ascii="黑体" w:hAnsi="黑体" w:eastAsia="黑体"/>
                <w:szCs w:val="21"/>
              </w:rPr>
              <w:t>单价</w:t>
            </w:r>
          </w:p>
        </w:tc>
        <w:tc>
          <w:tcPr>
            <w:tcW w:w="909" w:type="dxa"/>
            <w:vAlign w:val="center"/>
          </w:tcPr>
          <w:p>
            <w:pPr>
              <w:rPr>
                <w:rFonts w:ascii="黑体" w:hAnsi="黑体" w:eastAsia="黑体"/>
                <w:szCs w:val="21"/>
              </w:rPr>
            </w:pPr>
            <w:r>
              <w:rPr>
                <w:rFonts w:ascii="黑体" w:hAnsi="黑体" w:eastAsia="黑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41" w:type="dxa"/>
            <w:vAlign w:val="center"/>
          </w:tcPr>
          <w:p>
            <w:pPr>
              <w:rPr>
                <w:rFonts w:ascii="黑体" w:hAnsi="黑体" w:eastAsia="黑体"/>
                <w:szCs w:val="21"/>
              </w:rPr>
            </w:pPr>
            <w:r>
              <w:rPr>
                <w:rFonts w:ascii="黑体" w:hAnsi="黑体" w:eastAsia="黑体"/>
                <w:szCs w:val="21"/>
              </w:rPr>
              <w:t>1</w:t>
            </w:r>
          </w:p>
        </w:tc>
        <w:tc>
          <w:tcPr>
            <w:tcW w:w="1226" w:type="dxa"/>
            <w:vAlign w:val="center"/>
          </w:tcPr>
          <w:p>
            <w:pPr>
              <w:rPr>
                <w:rFonts w:ascii="黑体" w:hAnsi="黑体" w:eastAsia="黑体"/>
                <w:szCs w:val="21"/>
              </w:rPr>
            </w:pPr>
          </w:p>
        </w:tc>
        <w:tc>
          <w:tcPr>
            <w:tcW w:w="908"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r>
              <w:rPr>
                <w:rFonts w:ascii="黑体" w:hAnsi="黑体" w:eastAsia="黑体"/>
                <w:szCs w:val="21"/>
              </w:rPr>
              <w:t>5</w:t>
            </w:r>
          </w:p>
        </w:tc>
        <w:tc>
          <w:tcPr>
            <w:tcW w:w="909"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1" w:type="dxa"/>
            <w:vAlign w:val="center"/>
          </w:tcPr>
          <w:p>
            <w:pPr>
              <w:rPr>
                <w:rFonts w:ascii="黑体" w:hAnsi="黑体" w:eastAsia="黑体"/>
                <w:szCs w:val="21"/>
              </w:rPr>
            </w:pPr>
            <w:r>
              <w:rPr>
                <w:rFonts w:ascii="黑体" w:hAnsi="黑体" w:eastAsia="黑体"/>
                <w:szCs w:val="21"/>
              </w:rPr>
              <w:t>2</w:t>
            </w:r>
          </w:p>
        </w:tc>
        <w:tc>
          <w:tcPr>
            <w:tcW w:w="1226" w:type="dxa"/>
            <w:vAlign w:val="center"/>
          </w:tcPr>
          <w:p>
            <w:pPr>
              <w:rPr>
                <w:rFonts w:ascii="黑体" w:hAnsi="黑体" w:eastAsia="黑体"/>
                <w:szCs w:val="21"/>
              </w:rPr>
            </w:pPr>
          </w:p>
        </w:tc>
        <w:tc>
          <w:tcPr>
            <w:tcW w:w="908"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r>
              <w:rPr>
                <w:rFonts w:ascii="黑体" w:hAnsi="黑体" w:eastAsia="黑体"/>
                <w:szCs w:val="21"/>
              </w:rPr>
              <w:t>6</w:t>
            </w:r>
          </w:p>
        </w:tc>
        <w:tc>
          <w:tcPr>
            <w:tcW w:w="909"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1" w:type="dxa"/>
            <w:vAlign w:val="center"/>
          </w:tcPr>
          <w:p>
            <w:pPr>
              <w:rPr>
                <w:rFonts w:ascii="黑体" w:hAnsi="黑体" w:eastAsia="黑体"/>
                <w:szCs w:val="21"/>
              </w:rPr>
            </w:pPr>
            <w:r>
              <w:rPr>
                <w:rFonts w:ascii="黑体" w:hAnsi="黑体" w:eastAsia="黑体"/>
                <w:szCs w:val="21"/>
              </w:rPr>
              <w:t>3</w:t>
            </w:r>
          </w:p>
        </w:tc>
        <w:tc>
          <w:tcPr>
            <w:tcW w:w="1226" w:type="dxa"/>
            <w:vAlign w:val="center"/>
          </w:tcPr>
          <w:p>
            <w:pPr>
              <w:rPr>
                <w:rFonts w:ascii="黑体" w:hAnsi="黑体" w:eastAsia="黑体"/>
                <w:szCs w:val="21"/>
              </w:rPr>
            </w:pPr>
          </w:p>
        </w:tc>
        <w:tc>
          <w:tcPr>
            <w:tcW w:w="908"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r>
              <w:rPr>
                <w:rFonts w:ascii="黑体" w:hAnsi="黑体" w:eastAsia="黑体"/>
                <w:szCs w:val="21"/>
              </w:rPr>
              <w:t>7</w:t>
            </w:r>
          </w:p>
        </w:tc>
        <w:tc>
          <w:tcPr>
            <w:tcW w:w="909"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1" w:type="dxa"/>
            <w:vAlign w:val="center"/>
          </w:tcPr>
          <w:p>
            <w:pPr>
              <w:rPr>
                <w:rFonts w:ascii="黑体" w:hAnsi="黑体" w:eastAsia="黑体"/>
                <w:szCs w:val="21"/>
              </w:rPr>
            </w:pPr>
            <w:r>
              <w:rPr>
                <w:rFonts w:ascii="黑体" w:hAnsi="黑体" w:eastAsia="黑体"/>
                <w:szCs w:val="21"/>
              </w:rPr>
              <w:t>4</w:t>
            </w:r>
          </w:p>
        </w:tc>
        <w:tc>
          <w:tcPr>
            <w:tcW w:w="1226" w:type="dxa"/>
            <w:vAlign w:val="center"/>
          </w:tcPr>
          <w:p>
            <w:pPr>
              <w:rPr>
                <w:rFonts w:ascii="黑体" w:hAnsi="黑体" w:eastAsia="黑体"/>
                <w:szCs w:val="21"/>
              </w:rPr>
            </w:pPr>
          </w:p>
        </w:tc>
        <w:tc>
          <w:tcPr>
            <w:tcW w:w="908"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r>
              <w:rPr>
                <w:rFonts w:ascii="黑体" w:hAnsi="黑体" w:eastAsia="黑体"/>
                <w:szCs w:val="21"/>
              </w:rPr>
              <w:t>8</w:t>
            </w:r>
          </w:p>
        </w:tc>
        <w:tc>
          <w:tcPr>
            <w:tcW w:w="909"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p>
        </w:tc>
      </w:tr>
    </w:tbl>
    <w:p>
      <w:pPr>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（二）清卫设备（按项目实际需求，无涉及的不需填写）</w:t>
      </w:r>
    </w:p>
    <w:tbl>
      <w:tblPr>
        <w:tblStyle w:val="67"/>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55"/>
        <w:gridCol w:w="907"/>
        <w:gridCol w:w="907"/>
        <w:gridCol w:w="907"/>
        <w:gridCol w:w="907"/>
        <w:gridCol w:w="907"/>
        <w:gridCol w:w="908"/>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1155"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9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1</w:t>
            </w:r>
          </w:p>
        </w:tc>
        <w:tc>
          <w:tcPr>
            <w:tcW w:w="1155"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5</w:t>
            </w:r>
          </w:p>
        </w:tc>
        <w:tc>
          <w:tcPr>
            <w:tcW w:w="907" w:type="dxa"/>
            <w:vAlign w:val="center"/>
          </w:tcPr>
          <w:p>
            <w:pPr>
              <w:jc w:val="center"/>
              <w:rPr>
                <w:rFonts w:ascii="黑体" w:hAnsi="黑体" w:eastAsia="黑体" w:cs="仿宋_GB2312"/>
                <w:color w:val="000000"/>
                <w:kern w:val="0"/>
                <w:szCs w:val="21"/>
              </w:rPr>
            </w:pPr>
          </w:p>
        </w:tc>
        <w:tc>
          <w:tcPr>
            <w:tcW w:w="908"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2</w:t>
            </w:r>
          </w:p>
        </w:tc>
        <w:tc>
          <w:tcPr>
            <w:tcW w:w="1155"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6</w:t>
            </w:r>
          </w:p>
        </w:tc>
        <w:tc>
          <w:tcPr>
            <w:tcW w:w="907" w:type="dxa"/>
            <w:vAlign w:val="center"/>
          </w:tcPr>
          <w:p>
            <w:pPr>
              <w:jc w:val="center"/>
              <w:rPr>
                <w:rFonts w:ascii="黑体" w:hAnsi="黑体" w:eastAsia="黑体" w:cs="仿宋_GB2312"/>
                <w:color w:val="000000"/>
                <w:kern w:val="0"/>
                <w:szCs w:val="21"/>
              </w:rPr>
            </w:pPr>
          </w:p>
        </w:tc>
        <w:tc>
          <w:tcPr>
            <w:tcW w:w="908"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3</w:t>
            </w:r>
          </w:p>
        </w:tc>
        <w:tc>
          <w:tcPr>
            <w:tcW w:w="1155"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7</w:t>
            </w:r>
          </w:p>
        </w:tc>
        <w:tc>
          <w:tcPr>
            <w:tcW w:w="907" w:type="dxa"/>
            <w:vAlign w:val="center"/>
          </w:tcPr>
          <w:p>
            <w:pPr>
              <w:jc w:val="center"/>
              <w:rPr>
                <w:rFonts w:ascii="黑体" w:hAnsi="黑体" w:eastAsia="黑体" w:cs="仿宋_GB2312"/>
                <w:color w:val="000000"/>
                <w:kern w:val="0"/>
                <w:szCs w:val="21"/>
              </w:rPr>
            </w:pPr>
          </w:p>
        </w:tc>
        <w:tc>
          <w:tcPr>
            <w:tcW w:w="908"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4</w:t>
            </w:r>
          </w:p>
        </w:tc>
        <w:tc>
          <w:tcPr>
            <w:tcW w:w="1155"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8</w:t>
            </w:r>
          </w:p>
        </w:tc>
        <w:tc>
          <w:tcPr>
            <w:tcW w:w="907" w:type="dxa"/>
            <w:vAlign w:val="center"/>
          </w:tcPr>
          <w:p>
            <w:pPr>
              <w:jc w:val="center"/>
              <w:rPr>
                <w:rFonts w:ascii="黑体" w:hAnsi="黑体" w:eastAsia="黑体" w:cs="仿宋_GB2312"/>
                <w:color w:val="000000"/>
                <w:kern w:val="0"/>
                <w:szCs w:val="21"/>
              </w:rPr>
            </w:pPr>
          </w:p>
        </w:tc>
        <w:tc>
          <w:tcPr>
            <w:tcW w:w="908"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r>
    </w:tbl>
    <w:p>
      <w:pPr>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（三）安保设备（按项目实际需求，无涉及的不需填写）</w:t>
      </w:r>
    </w:p>
    <w:tbl>
      <w:tblPr>
        <w:tblStyle w:val="6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521"/>
        <w:gridCol w:w="820"/>
        <w:gridCol w:w="822"/>
        <w:gridCol w:w="820"/>
        <w:gridCol w:w="821"/>
        <w:gridCol w:w="821"/>
        <w:gridCol w:w="821"/>
        <w:gridCol w:w="82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15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82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82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82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82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82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1</w:t>
            </w:r>
          </w:p>
        </w:tc>
        <w:tc>
          <w:tcPr>
            <w:tcW w:w="1521"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5</w:t>
            </w:r>
          </w:p>
        </w:tc>
        <w:tc>
          <w:tcPr>
            <w:tcW w:w="821"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2</w:t>
            </w:r>
          </w:p>
        </w:tc>
        <w:tc>
          <w:tcPr>
            <w:tcW w:w="1521"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6</w:t>
            </w:r>
          </w:p>
        </w:tc>
        <w:tc>
          <w:tcPr>
            <w:tcW w:w="821"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3</w:t>
            </w:r>
          </w:p>
        </w:tc>
        <w:tc>
          <w:tcPr>
            <w:tcW w:w="1521"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7</w:t>
            </w:r>
          </w:p>
        </w:tc>
        <w:tc>
          <w:tcPr>
            <w:tcW w:w="821"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4</w:t>
            </w:r>
          </w:p>
        </w:tc>
        <w:tc>
          <w:tcPr>
            <w:tcW w:w="1521"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8</w:t>
            </w:r>
          </w:p>
        </w:tc>
        <w:tc>
          <w:tcPr>
            <w:tcW w:w="821"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r>
    </w:tbl>
    <w:p>
      <w:pPr>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（四）工程（设备设施维修）设备（按项目实际需求，无涉及的不需填写）</w:t>
      </w:r>
    </w:p>
    <w:tbl>
      <w:tblPr>
        <w:tblStyle w:val="6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538"/>
        <w:gridCol w:w="829"/>
        <w:gridCol w:w="830"/>
        <w:gridCol w:w="829"/>
        <w:gridCol w:w="831"/>
        <w:gridCol w:w="829"/>
        <w:gridCol w:w="830"/>
        <w:gridCol w:w="831"/>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153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829"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83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829"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829"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83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829"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1</w:t>
            </w:r>
          </w:p>
        </w:tc>
        <w:tc>
          <w:tcPr>
            <w:tcW w:w="1538"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5</w:t>
            </w: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2</w:t>
            </w:r>
          </w:p>
        </w:tc>
        <w:tc>
          <w:tcPr>
            <w:tcW w:w="1538"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6</w:t>
            </w: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3</w:t>
            </w:r>
          </w:p>
        </w:tc>
        <w:tc>
          <w:tcPr>
            <w:tcW w:w="1538"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7</w:t>
            </w: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4</w:t>
            </w:r>
          </w:p>
        </w:tc>
        <w:tc>
          <w:tcPr>
            <w:tcW w:w="1538"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8</w:t>
            </w: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r>
    </w:tbl>
    <w:p>
      <w:pPr>
        <w:jc w:val="lef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注：表格类别</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行数不够可自行添加。</w:t>
      </w:r>
    </w:p>
    <w:p>
      <w:pPr>
        <w:snapToGrid w:val="0"/>
        <w:spacing w:beforeLines="50" w:line="440" w:lineRule="exact"/>
        <w:ind w:firstLine="3120" w:firstLineChars="1300"/>
        <w:rPr>
          <w:rFonts w:ascii="仿宋_GB2312" w:hAnsi="仿宋_GB2312" w:eastAsia="仿宋_GB2312" w:cs="仿宋_GB2312"/>
          <w:color w:val="000000"/>
          <w:kern w:val="0"/>
          <w:sz w:val="24"/>
        </w:rPr>
      </w:pPr>
    </w:p>
    <w:p>
      <w:pPr>
        <w:snapToGrid w:val="0"/>
        <w:spacing w:beforeLines="50" w:line="440" w:lineRule="exact"/>
        <w:ind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法定代表人或其授权代表签字：            </w:t>
      </w:r>
    </w:p>
    <w:p>
      <w:pPr>
        <w:pStyle w:val="28"/>
        <w:rPr>
          <w:rFonts w:ascii="Arial" w:hAnsi="仿宋" w:eastAsia="仿宋" w:cs="Arial"/>
          <w:sz w:val="24"/>
        </w:rPr>
      </w:pP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日 期：       年      月      日</w:t>
      </w:r>
    </w:p>
    <w:p>
      <w:pPr>
        <w:pStyle w:val="66"/>
        <w:ind w:left="0" w:leftChars="0" w:firstLine="0" w:firstLineChars="0"/>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eastAsia" w:ascii="仿宋_GB2312" w:hAnsi="仿宋_GB2312" w:eastAsia="仿宋_GB2312" w:cs="仿宋_GB2312"/>
          <w:color w:val="000000"/>
          <w:kern w:val="0"/>
          <w:sz w:val="32"/>
          <w:szCs w:val="32"/>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8</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ascii="仿宋_GB2312" w:hAnsi="仿宋_GB2312" w:eastAsia="仿宋_GB2312" w:cs="仿宋_GB2312"/>
          <w:color w:val="000000"/>
          <w:kern w:val="0"/>
          <w:sz w:val="36"/>
          <w:szCs w:val="36"/>
          <w:highlight w:val="none"/>
        </w:rPr>
        <w:t>：</w:t>
      </w:r>
      <w:r>
        <w:rPr>
          <w:rFonts w:hint="eastAsia" w:ascii="仿宋_GB2312" w:hAnsi="仿宋_GB2312" w:eastAsia="仿宋_GB2312" w:cs="仿宋_GB2312"/>
          <w:color w:val="000000"/>
          <w:kern w:val="0"/>
          <w:sz w:val="36"/>
          <w:szCs w:val="36"/>
          <w:highlight w:val="none"/>
          <w:lang w:eastAsia="zh-CN"/>
        </w:rPr>
        <w:t>NBCXZFCG2024013</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w:t>
      </w:r>
    </w:p>
    <w:p>
      <w:pPr>
        <w:spacing w:after="100" w:afterAutospacing="1" w:line="800" w:lineRule="exact"/>
        <w:ind w:right="-108"/>
        <w:jc w:val="center"/>
        <w:rPr>
          <w:rFonts w:ascii="Arial" w:hAnsi="Arial" w:eastAsia="仿宋" w:cs="Arial"/>
          <w:b/>
          <w:spacing w:val="40"/>
          <w:sz w:val="84"/>
          <w:szCs w:val="84"/>
        </w:rPr>
      </w:pP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报</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价</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jc w:val="center"/>
        <w:rPr>
          <w:rFonts w:ascii="Arial" w:hAnsi="Arial" w:eastAsia="仿宋" w:cs="Arial"/>
          <w:sz w:val="36"/>
          <w:szCs w:val="36"/>
        </w:rPr>
      </w:pPr>
    </w:p>
    <w:p>
      <w:pPr>
        <w:spacing w:line="500" w:lineRule="exact"/>
        <w:ind w:right="532"/>
        <w:jc w:val="center"/>
        <w:rPr>
          <w:rFonts w:ascii="Arial" w:hAnsi="Arial" w:eastAsia="仿宋" w:cs="Arial"/>
          <w:sz w:val="36"/>
          <w:szCs w:val="36"/>
        </w:rPr>
      </w:pPr>
    </w:p>
    <w:p>
      <w:pPr>
        <w:pStyle w:val="3"/>
        <w:keepNext w:val="0"/>
        <w:keepLines w:val="0"/>
        <w:spacing w:line="415" w:lineRule="auto"/>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单位全称（公章）：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default" w:ascii="仿宋_GB2312" w:hAnsi="仿宋_GB2312" w:eastAsia="仿宋_GB2312" w:cs="仿宋_GB2312"/>
          <w:color w:val="000000"/>
          <w:kern w:val="0"/>
          <w:sz w:val="32"/>
          <w:szCs w:val="32"/>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9</w:t>
      </w:r>
    </w:p>
    <w:p>
      <w:pPr>
        <w:pStyle w:val="38"/>
        <w:snapToGrid w:val="0"/>
        <w:spacing w:before="120" w:after="120"/>
        <w:jc w:val="center"/>
        <w:rPr>
          <w:rFonts w:ascii="仿宋_GB2312" w:hAnsi="仿宋_GB2312" w:eastAsia="仿宋_GB2312" w:cs="仿宋_GB2312"/>
          <w:color w:val="000000"/>
          <w:kern w:val="0"/>
          <w:sz w:val="36"/>
          <w:szCs w:val="36"/>
          <w:highlight w:val="yellow"/>
        </w:rPr>
      </w:pPr>
      <w:r>
        <w:rPr>
          <w:rFonts w:ascii="仿宋_GB2312" w:hAnsi="仿宋_GB2312" w:eastAsia="仿宋_GB2312" w:cs="仿宋_GB2312"/>
          <w:color w:val="000000"/>
          <w:kern w:val="0"/>
          <w:sz w:val="36"/>
          <w:szCs w:val="36"/>
        </w:rPr>
        <w:t xml:space="preserve">投 标 </w:t>
      </w:r>
      <w:r>
        <w:rPr>
          <w:rFonts w:hint="eastAsia" w:ascii="仿宋_GB2312" w:hAnsi="仿宋_GB2312" w:eastAsia="仿宋_GB2312" w:cs="仿宋_GB2312"/>
          <w:color w:val="000000"/>
          <w:kern w:val="0"/>
          <w:sz w:val="36"/>
          <w:szCs w:val="36"/>
        </w:rPr>
        <w:t>一 览 表</w:t>
      </w:r>
    </w:p>
    <w:p>
      <w:pPr>
        <w:snapToGrid w:val="0"/>
        <w:rPr>
          <w:rFonts w:ascii="Arial" w:hAnsi="仿宋" w:eastAsia="仿宋" w:cs="Arial"/>
          <w:sz w:val="28"/>
          <w:szCs w:val="28"/>
        </w:rPr>
      </w:pPr>
    </w:p>
    <w:p>
      <w:pPr>
        <w:snapToGrid w:val="0"/>
        <w:rPr>
          <w:rFonts w:ascii="仿宋_GB2312" w:hAnsi="仿宋_GB2312" w:eastAsia="仿宋_GB2312" w:cs="仿宋_GB2312"/>
          <w:color w:val="000000"/>
          <w:kern w:val="0"/>
          <w:sz w:val="28"/>
          <w:szCs w:val="28"/>
          <w:u w:val="single"/>
        </w:rPr>
      </w:pPr>
      <w:r>
        <w:rPr>
          <w:rFonts w:ascii="仿宋_GB2312" w:hAnsi="仿宋_GB2312" w:eastAsia="仿宋_GB2312" w:cs="仿宋_GB2312"/>
          <w:color w:val="000000"/>
          <w:kern w:val="0"/>
          <w:sz w:val="28"/>
          <w:szCs w:val="28"/>
        </w:rPr>
        <w:t>投标人全称（公章）：</w:t>
      </w:r>
    </w:p>
    <w:p>
      <w:pPr>
        <w:snapToGrid w:val="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招标编号及标项：</w:t>
      </w:r>
    </w:p>
    <w:tbl>
      <w:tblPr>
        <w:tblStyle w:val="67"/>
        <w:tblpPr w:leftFromText="180" w:rightFromText="180" w:vertAnchor="text" w:horzAnchor="page" w:tblpX="1424" w:tblpY="663"/>
        <w:tblOverlap w:val="never"/>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1"/>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5821" w:type="dxa"/>
            <w:vAlign w:val="center"/>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本项目总收费报价</w:t>
            </w:r>
            <w:r>
              <w:rPr>
                <w:rFonts w:hint="eastAsia" w:ascii="仿宋_GB2312" w:hAnsi="仿宋_GB2312" w:eastAsia="仿宋_GB2312" w:cs="仿宋_GB2312"/>
                <w:color w:val="000000"/>
                <w:kern w:val="0"/>
                <w:szCs w:val="21"/>
              </w:rPr>
              <w:t>（元/年）</w:t>
            </w:r>
          </w:p>
        </w:tc>
        <w:tc>
          <w:tcPr>
            <w:tcW w:w="3485" w:type="dxa"/>
          </w:tcPr>
          <w:p>
            <w:pPr>
              <w:ind w:firstLine="21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trPr>
        <w:tc>
          <w:tcPr>
            <w:tcW w:w="5821" w:type="dxa"/>
            <w:vAlign w:val="center"/>
          </w:tcPr>
          <w:p>
            <w:pPr>
              <w:spacing w:line="360" w:lineRule="auto"/>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小写</w:t>
            </w:r>
            <w:r>
              <w:rPr>
                <w:rFonts w:hint="eastAsia" w:ascii="仿宋_GB2312" w:hAnsi="仿宋_GB2312" w:eastAsia="仿宋_GB2312" w:cs="仿宋_GB2312"/>
                <w:color w:val="000000"/>
                <w:kern w:val="0"/>
                <w:szCs w:val="21"/>
              </w:rPr>
              <w:t>：</w:t>
            </w:r>
          </w:p>
          <w:p>
            <w:pPr>
              <w:spacing w:line="360" w:lineRule="auto"/>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大写：</w:t>
            </w:r>
          </w:p>
        </w:tc>
        <w:tc>
          <w:tcPr>
            <w:tcW w:w="3485" w:type="dxa"/>
          </w:tcPr>
          <w:p>
            <w:pPr>
              <w:rPr>
                <w:rFonts w:ascii="仿宋_GB2312" w:hAnsi="仿宋_GB2312" w:eastAsia="仿宋_GB2312" w:cs="仿宋_GB2312"/>
                <w:color w:val="000000"/>
                <w:kern w:val="0"/>
                <w:szCs w:val="21"/>
              </w:rPr>
            </w:pPr>
          </w:p>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按</w:t>
            </w:r>
            <w:r>
              <w:rPr>
                <w:rFonts w:ascii="仿宋_GB2312" w:hAnsi="仿宋_GB2312" w:eastAsia="仿宋_GB2312" w:cs="仿宋_GB2312"/>
                <w:color w:val="000000"/>
                <w:kern w:val="0"/>
                <w:szCs w:val="21"/>
              </w:rPr>
              <w:t>全年</w:t>
            </w:r>
            <w:r>
              <w:rPr>
                <w:rFonts w:hint="eastAsia" w:ascii="仿宋_GB2312" w:hAnsi="仿宋_GB2312" w:eastAsia="仿宋_GB2312" w:cs="仿宋_GB2312"/>
                <w:color w:val="000000"/>
                <w:kern w:val="0"/>
                <w:szCs w:val="21"/>
              </w:rPr>
              <w:t>12个月报价</w:t>
            </w:r>
          </w:p>
          <w:p>
            <w:pPr>
              <w:rPr>
                <w:rFonts w:ascii="仿宋_GB2312" w:hAnsi="仿宋_GB2312" w:eastAsia="仿宋_GB2312" w:cs="仿宋_GB2312"/>
                <w:color w:val="000000"/>
                <w:kern w:val="0"/>
                <w:szCs w:val="21"/>
              </w:rPr>
            </w:pPr>
          </w:p>
        </w:tc>
      </w:tr>
    </w:tbl>
    <w:p>
      <w:pPr>
        <w:snapToGrid w:val="0"/>
        <w:rPr>
          <w:rFonts w:ascii="Arial" w:hAnsi="Arial" w:eastAsia="仿宋" w:cs="Arial"/>
          <w:b/>
          <w:sz w:val="24"/>
          <w:u w:val="single"/>
        </w:rPr>
      </w:pPr>
    </w:p>
    <w:p>
      <w:pPr>
        <w:snapToGrid w:val="0"/>
        <w:rPr>
          <w:rFonts w:ascii="Arial" w:hAnsi="Arial" w:eastAsia="仿宋" w:cs="Arial"/>
          <w:b/>
          <w:sz w:val="24"/>
          <w:u w:val="single"/>
        </w:rPr>
      </w:pPr>
    </w:p>
    <w:p>
      <w:pPr>
        <w:snapToGrid w:val="0"/>
        <w:rPr>
          <w:rFonts w:ascii="Arial" w:hAnsi="Arial" w:eastAsia="仿宋" w:cs="Arial"/>
          <w:b/>
          <w:sz w:val="24"/>
          <w:u w:val="single"/>
        </w:rPr>
      </w:pPr>
    </w:p>
    <w:p>
      <w:pP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w:t>
      </w:r>
    </w:p>
    <w:p>
      <w:pPr>
        <w:rPr>
          <w:rFonts w:ascii="黑体" w:hAnsi="黑体" w:eastAsia="黑体" w:cs="仿宋_GB2312"/>
          <w:color w:val="000000"/>
          <w:kern w:val="0"/>
          <w:szCs w:val="21"/>
        </w:rPr>
      </w:pPr>
      <w:r>
        <w:rPr>
          <w:rFonts w:ascii="黑体" w:hAnsi="黑体" w:eastAsia="黑体" w:cs="仿宋_GB2312"/>
          <w:color w:val="000000"/>
          <w:kern w:val="0"/>
          <w:szCs w:val="21"/>
        </w:rPr>
        <w:t>1、本项目总收费：指招标文件中所规定的所有服务项目合同期内全年的总报价，此报价作为投标方的投标总价。</w:t>
      </w:r>
    </w:p>
    <w:p>
      <w:pPr>
        <w:rPr>
          <w:rFonts w:ascii="黑体" w:hAnsi="黑体" w:eastAsia="黑体" w:cs="仿宋_GB2312"/>
          <w:color w:val="000000"/>
          <w:kern w:val="0"/>
          <w:szCs w:val="21"/>
        </w:rPr>
      </w:pPr>
      <w:r>
        <w:rPr>
          <w:rFonts w:ascii="黑体" w:hAnsi="黑体" w:eastAsia="黑体" w:cs="仿宋_GB2312"/>
          <w:color w:val="000000"/>
          <w:kern w:val="0"/>
          <w:szCs w:val="21"/>
        </w:rPr>
        <w:t>2、各投标单位还必须按项目内容对各项服务单独报价，并列出明细报价表</w:t>
      </w:r>
      <w:r>
        <w:rPr>
          <w:rFonts w:hint="eastAsia" w:ascii="黑体" w:hAnsi="黑体" w:eastAsia="黑体" w:cs="仿宋_GB2312"/>
          <w:color w:val="000000"/>
          <w:kern w:val="0"/>
          <w:szCs w:val="21"/>
        </w:rPr>
        <w:t>，</w:t>
      </w:r>
      <w:r>
        <w:rPr>
          <w:rFonts w:ascii="黑体" w:hAnsi="黑体" w:eastAsia="黑体" w:cs="仿宋_GB2312"/>
          <w:color w:val="000000"/>
          <w:kern w:val="0"/>
          <w:szCs w:val="21"/>
        </w:rPr>
        <w:t>格式参考附件</w:t>
      </w:r>
      <w:r>
        <w:rPr>
          <w:rFonts w:hint="eastAsia" w:ascii="黑体" w:hAnsi="黑体" w:eastAsia="黑体" w:cs="仿宋_GB2312"/>
          <w:color w:val="000000"/>
          <w:kern w:val="0"/>
          <w:szCs w:val="21"/>
          <w:lang w:val="en-US" w:eastAsia="zh-CN"/>
        </w:rPr>
        <w:t>10</w:t>
      </w:r>
      <w:r>
        <w:rPr>
          <w:rFonts w:ascii="黑体" w:hAnsi="黑体" w:eastAsia="黑体" w:cs="仿宋_GB2312"/>
          <w:color w:val="000000"/>
          <w:kern w:val="0"/>
          <w:szCs w:val="21"/>
        </w:rPr>
        <w:t>。</w:t>
      </w:r>
    </w:p>
    <w:p>
      <w:pPr>
        <w:rPr>
          <w:rFonts w:ascii="黑体" w:hAnsi="黑体" w:eastAsia="黑体" w:cs="仿宋_GB2312"/>
          <w:color w:val="000000"/>
          <w:kern w:val="0"/>
          <w:szCs w:val="21"/>
        </w:rPr>
      </w:pPr>
      <w:r>
        <w:rPr>
          <w:rFonts w:hint="eastAsia" w:ascii="黑体" w:hAnsi="黑体" w:eastAsia="黑体" w:cs="仿宋_GB2312"/>
          <w:color w:val="000000"/>
          <w:kern w:val="0"/>
          <w:szCs w:val="21"/>
        </w:rPr>
        <w:t>3、总收费报价应与附件</w:t>
      </w:r>
      <w:r>
        <w:rPr>
          <w:rFonts w:hint="eastAsia" w:ascii="黑体" w:hAnsi="黑体" w:eastAsia="黑体" w:cs="仿宋_GB2312"/>
          <w:color w:val="000000"/>
          <w:kern w:val="0"/>
          <w:szCs w:val="21"/>
          <w:lang w:val="en-US" w:eastAsia="zh-CN"/>
        </w:rPr>
        <w:t>10</w:t>
      </w:r>
      <w:r>
        <w:rPr>
          <w:rFonts w:hint="eastAsia" w:ascii="黑体" w:hAnsi="黑体" w:eastAsia="黑体" w:cs="仿宋_GB2312"/>
          <w:color w:val="000000"/>
          <w:kern w:val="0"/>
          <w:szCs w:val="21"/>
        </w:rPr>
        <w:t>《报价明细表》中“合计”一栏金额一致。</w:t>
      </w:r>
    </w:p>
    <w:p>
      <w:pPr>
        <w:ind w:firstLine="5295"/>
        <w:rPr>
          <w:rFonts w:ascii="宋体" w:hAnsi="宋体" w:cs="宋体"/>
        </w:rPr>
      </w:pPr>
    </w:p>
    <w:p>
      <w:pPr>
        <w:ind w:firstLine="5295"/>
        <w:rPr>
          <w:rFonts w:ascii="宋体" w:hAnsi="宋体" w:cs="宋体"/>
        </w:rPr>
      </w:pPr>
    </w:p>
    <w:p>
      <w:pPr>
        <w:ind w:firstLine="5295"/>
        <w:rPr>
          <w:rFonts w:ascii="宋体" w:hAnsi="宋体" w:cs="宋体"/>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w:t>
      </w:r>
      <w:r>
        <w:rPr>
          <w:rFonts w:hint="eastAsia" w:ascii="仿宋_GB2312" w:hAnsi="仿宋_GB2312" w:eastAsia="仿宋_GB2312" w:cs="仿宋_GB2312"/>
          <w:color w:val="000000"/>
          <w:kern w:val="0"/>
          <w:sz w:val="24"/>
        </w:rPr>
        <w:t>或其</w:t>
      </w:r>
      <w:r>
        <w:rPr>
          <w:rFonts w:ascii="仿宋_GB2312" w:hAnsi="仿宋_GB2312" w:eastAsia="仿宋_GB2312" w:cs="仿宋_GB2312"/>
          <w:color w:val="000000"/>
          <w:kern w:val="0"/>
          <w:sz w:val="24"/>
        </w:rPr>
        <w:t xml:space="preserve">授权代表签字：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pStyle w:val="28"/>
        <w:rPr>
          <w:rFonts w:ascii="仿宋_GB2312" w:hAnsi="仿宋_GB2312" w:eastAsia="仿宋_GB2312" w:cs="仿宋_GB2312"/>
          <w:color w:val="000000"/>
          <w:kern w:val="0"/>
          <w:sz w:val="32"/>
          <w:szCs w:val="32"/>
        </w:rPr>
      </w:pPr>
    </w:p>
    <w:p>
      <w:pPr>
        <w:pStyle w:val="29"/>
        <w:ind w:firstLine="320"/>
        <w:rPr>
          <w:rFonts w:ascii="仿宋_GB2312" w:hAnsi="仿宋_GB2312" w:eastAsia="仿宋_GB2312" w:cs="仿宋_GB2312"/>
          <w:color w:val="000000"/>
          <w:kern w:val="0"/>
          <w:sz w:val="32"/>
          <w:szCs w:val="32"/>
        </w:rPr>
      </w:pPr>
    </w:p>
    <w:p>
      <w:pPr>
        <w:pStyle w:val="29"/>
        <w:ind w:firstLine="320"/>
        <w:rPr>
          <w:rFonts w:ascii="仿宋_GB2312" w:hAnsi="仿宋_GB2312" w:eastAsia="仿宋_GB2312" w:cs="仿宋_GB2312"/>
          <w:color w:val="000000"/>
          <w:kern w:val="0"/>
          <w:sz w:val="32"/>
          <w:szCs w:val="32"/>
        </w:rPr>
      </w:pPr>
    </w:p>
    <w:p>
      <w:pPr>
        <w:pStyle w:val="29"/>
        <w:ind w:firstLine="320"/>
        <w:rPr>
          <w:rFonts w:ascii="仿宋_GB2312" w:hAnsi="仿宋_GB2312" w:eastAsia="仿宋_GB2312" w:cs="仿宋_GB2312"/>
          <w:color w:val="000000"/>
          <w:kern w:val="0"/>
          <w:sz w:val="32"/>
          <w:szCs w:val="32"/>
        </w:rPr>
      </w:pPr>
    </w:p>
    <w:p>
      <w:pPr>
        <w:pStyle w:val="29"/>
        <w:ind w:firstLine="32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default" w:ascii="仿宋_GB2312" w:hAnsi="仿宋_GB2312" w:eastAsia="仿宋_GB2312" w:cs="仿宋_GB2312"/>
          <w:color w:val="000000"/>
          <w:kern w:val="0"/>
          <w:sz w:val="32"/>
          <w:szCs w:val="32"/>
          <w:highlight w:val="yellow"/>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10</w:t>
      </w:r>
    </w:p>
    <w:p>
      <w:pPr>
        <w:pStyle w:val="38"/>
        <w:snapToGrid w:val="0"/>
        <w:spacing w:before="120" w:after="12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报价明细表</w:t>
      </w:r>
    </w:p>
    <w:tbl>
      <w:tblPr>
        <w:tblStyle w:val="67"/>
        <w:tblW w:w="7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240"/>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序号</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项目</w:t>
            </w: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5</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6</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7</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8</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9</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10</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11</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12</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合计</w:t>
            </w:r>
          </w:p>
        </w:tc>
        <w:tc>
          <w:tcPr>
            <w:tcW w:w="5885" w:type="dxa"/>
            <w:gridSpan w:val="2"/>
            <w:noWrap/>
            <w:vAlign w:val="center"/>
          </w:tcPr>
          <w:p>
            <w:pPr>
              <w:adjustRightInd w:val="0"/>
              <w:snapToGrid w:val="0"/>
              <w:jc w:val="center"/>
              <w:rPr>
                <w:rFonts w:ascii="仿宋_GB2312" w:hAnsi="仿宋_GB2312" w:eastAsia="仿宋_GB2312" w:cs="仿宋_GB2312"/>
                <w:color w:val="000000"/>
                <w:kern w:val="0"/>
                <w:szCs w:val="21"/>
              </w:rPr>
            </w:pPr>
          </w:p>
        </w:tc>
      </w:tr>
    </w:tbl>
    <w:p>
      <w:pPr>
        <w:jc w:val="center"/>
        <w:rPr>
          <w:rFonts w:ascii="Arial" w:hAnsi="Arial" w:eastAsia="仿宋" w:cs="Arial"/>
          <w:b/>
          <w:sz w:val="24"/>
        </w:rPr>
      </w:pPr>
    </w:p>
    <w:p>
      <w:pPr>
        <w:tabs>
          <w:tab w:val="left" w:pos="1140"/>
        </w:tabs>
        <w:spacing w:line="440" w:lineRule="exact"/>
        <w:ind w:firstLine="420" w:firstLineChars="2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如本表格不适合供应商的实际情况，可根据本表格格式自行划表填写</w:t>
      </w:r>
      <w:r>
        <w:rPr>
          <w:rFonts w:hint="eastAsia" w:ascii="仿宋_GB2312" w:hAnsi="仿宋_GB2312" w:eastAsia="仿宋_GB2312" w:cs="仿宋_GB2312"/>
          <w:color w:val="000000"/>
          <w:kern w:val="0"/>
          <w:szCs w:val="21"/>
        </w:rPr>
        <w:t>；</w:t>
      </w:r>
    </w:p>
    <w:p>
      <w:pPr>
        <w:tabs>
          <w:tab w:val="left" w:pos="1140"/>
        </w:tabs>
        <w:spacing w:line="440" w:lineRule="exact"/>
        <w:ind w:firstLine="840" w:firstLineChars="4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Pr>
          <w:rFonts w:hint="eastAsia" w:ascii="仿宋_GB2312" w:hAnsi="仿宋_GB2312" w:eastAsia="仿宋_GB2312" w:cs="仿宋_GB2312"/>
          <w:color w:val="000000"/>
          <w:kern w:val="0"/>
          <w:szCs w:val="21"/>
        </w:rPr>
        <w:t>；</w:t>
      </w:r>
    </w:p>
    <w:p>
      <w:pPr>
        <w:tabs>
          <w:tab w:val="left" w:pos="1140"/>
        </w:tabs>
        <w:spacing w:line="440" w:lineRule="exact"/>
        <w:ind w:firstLine="840" w:firstLineChars="4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3、每人每年报价不得低于本市的最低工资标准，否则投标无效</w:t>
      </w:r>
      <w:r>
        <w:rPr>
          <w:rFonts w:hint="eastAsia" w:ascii="仿宋_GB2312" w:hAnsi="仿宋_GB2312" w:eastAsia="仿宋_GB2312" w:cs="仿宋_GB2312"/>
          <w:color w:val="000000"/>
          <w:kern w:val="0"/>
          <w:szCs w:val="21"/>
        </w:rPr>
        <w:t>。</w:t>
      </w:r>
    </w:p>
    <w:p>
      <w:pPr>
        <w:tabs>
          <w:tab w:val="left" w:pos="1140"/>
        </w:tabs>
        <w:spacing w:line="440" w:lineRule="exact"/>
        <w:ind w:firstLine="840" w:firstLineChars="4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4、物业管理费构成中的人工费用部分必须提供分岗位费用构成明细，</w:t>
      </w:r>
      <w:r>
        <w:rPr>
          <w:rFonts w:hint="eastAsia" w:ascii="仿宋_GB2312" w:hAnsi="仿宋_GB2312" w:eastAsia="仿宋_GB2312" w:cs="仿宋_GB2312"/>
          <w:color w:val="000000"/>
          <w:kern w:val="0"/>
          <w:szCs w:val="21"/>
        </w:rPr>
        <w:t>格式</w:t>
      </w:r>
      <w:r>
        <w:rPr>
          <w:rFonts w:ascii="仿宋_GB2312" w:hAnsi="仿宋_GB2312" w:eastAsia="仿宋_GB2312" w:cs="仿宋_GB2312"/>
          <w:color w:val="000000"/>
          <w:kern w:val="0"/>
          <w:szCs w:val="21"/>
        </w:rPr>
        <w:t>参见附件</w:t>
      </w:r>
      <w:r>
        <w:rPr>
          <w:rFonts w:hint="eastAsia" w:ascii="仿宋_GB2312" w:hAnsi="仿宋_GB2312" w:eastAsia="仿宋_GB2312" w:cs="仿宋_GB2312"/>
          <w:color w:val="000000"/>
          <w:kern w:val="0"/>
          <w:szCs w:val="21"/>
          <w:lang w:val="en-US" w:eastAsia="zh-CN"/>
        </w:rPr>
        <w:t>11</w:t>
      </w:r>
      <w:r>
        <w:rPr>
          <w:rFonts w:ascii="仿宋_GB2312" w:hAnsi="仿宋_GB2312" w:eastAsia="仿宋_GB2312" w:cs="仿宋_GB2312"/>
          <w:color w:val="000000"/>
          <w:kern w:val="0"/>
          <w:szCs w:val="21"/>
        </w:rPr>
        <w:t>。</w:t>
      </w:r>
    </w:p>
    <w:p>
      <w:pPr>
        <w:snapToGrid w:val="0"/>
        <w:spacing w:beforeLines="50" w:line="440" w:lineRule="exact"/>
        <w:rPr>
          <w:rFonts w:ascii="仿宋_GB2312" w:hAnsi="仿宋_GB2312" w:eastAsia="仿宋_GB2312" w:cs="仿宋_GB2312"/>
          <w:color w:val="000000"/>
          <w:kern w:val="0"/>
          <w:sz w:val="24"/>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w:t>
      </w:r>
      <w:r>
        <w:rPr>
          <w:rFonts w:hint="eastAsia" w:ascii="仿宋_GB2312" w:hAnsi="仿宋_GB2312" w:eastAsia="仿宋_GB2312" w:cs="仿宋_GB2312"/>
          <w:color w:val="000000"/>
          <w:kern w:val="0"/>
          <w:sz w:val="24"/>
        </w:rPr>
        <w:t>或其授权代表</w:t>
      </w:r>
      <w:r>
        <w:rPr>
          <w:rFonts w:ascii="仿宋_GB2312" w:hAnsi="仿宋_GB2312" w:eastAsia="仿宋_GB2312" w:cs="仿宋_GB2312"/>
          <w:color w:val="000000"/>
          <w:kern w:val="0"/>
          <w:sz w:val="24"/>
        </w:rPr>
        <w:t xml:space="preserve">签字：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pStyle w:val="28"/>
      </w:pPr>
    </w:p>
    <w:p>
      <w:pPr>
        <w:pStyle w:val="29"/>
        <w:ind w:firstLine="280"/>
      </w:pPr>
    </w:p>
    <w:p>
      <w:pPr>
        <w:pStyle w:val="30"/>
      </w:pPr>
    </w:p>
    <w:p/>
    <w:p>
      <w:pPr>
        <w:snapToGrid w:val="0"/>
        <w:spacing w:beforeLines="50" w:after="50"/>
        <w:rPr>
          <w:rFonts w:hint="default" w:ascii="仿宋_GB2312" w:hAnsi="仿宋_GB2312" w:eastAsia="仿宋_GB2312" w:cs="仿宋_GB2312"/>
          <w:color w:val="000000"/>
          <w:kern w:val="0"/>
          <w:sz w:val="32"/>
          <w:szCs w:val="32"/>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11</w:t>
      </w:r>
    </w:p>
    <w:p>
      <w:pPr>
        <w:pStyle w:val="38"/>
        <w:snapToGrid w:val="0"/>
        <w:spacing w:before="120" w:after="120"/>
        <w:jc w:val="center"/>
        <w:rPr>
          <w:rFonts w:ascii="仿宋_GB2312" w:hAnsi="仿宋_GB2312" w:eastAsia="仿宋_GB2312" w:cs="仿宋_GB2312"/>
          <w:color w:val="auto"/>
          <w:kern w:val="0"/>
          <w:sz w:val="36"/>
          <w:szCs w:val="36"/>
          <w:highlight w:val="none"/>
        </w:rPr>
      </w:pPr>
      <w:r>
        <w:rPr>
          <w:rFonts w:hint="eastAsia" w:ascii="仿宋_GB2312" w:hAnsi="仿宋_GB2312" w:eastAsia="仿宋_GB2312" w:cs="仿宋_GB2312"/>
          <w:color w:val="auto"/>
          <w:kern w:val="0"/>
          <w:sz w:val="36"/>
          <w:szCs w:val="36"/>
          <w:highlight w:val="none"/>
        </w:rPr>
        <w:t>人员费用明细</w:t>
      </w:r>
    </w:p>
    <w:p>
      <w:pPr>
        <w:outlineLvl w:val="1"/>
        <w:rPr>
          <w:rFonts w:ascii="Arial" w:hAnsi="仿宋" w:eastAsia="仿宋" w:cs="Arial"/>
          <w:b/>
          <w:sz w:val="28"/>
          <w:szCs w:val="28"/>
        </w:rPr>
      </w:pPr>
    </w:p>
    <w:tbl>
      <w:tblPr>
        <w:tblStyle w:val="67"/>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1"/>
        <w:gridCol w:w="1979"/>
        <w:gridCol w:w="124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3601"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分项服务人员名称</w:t>
            </w:r>
          </w:p>
        </w:tc>
        <w:tc>
          <w:tcPr>
            <w:tcW w:w="1979"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每人每年报价（元）</w:t>
            </w:r>
          </w:p>
        </w:tc>
        <w:tc>
          <w:tcPr>
            <w:tcW w:w="1245"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人数</w:t>
            </w:r>
          </w:p>
        </w:tc>
        <w:tc>
          <w:tcPr>
            <w:tcW w:w="2895"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adjustRightInd w:val="0"/>
              <w:snapToGrid w:val="0"/>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A</w:t>
            </w:r>
            <w:r>
              <w:rPr>
                <w:rFonts w:hint="eastAsia" w:ascii="仿宋_GB2312" w:hAnsi="仿宋_GB2312" w:eastAsia="仿宋_GB2312" w:cs="仿宋_GB2312"/>
                <w:color w:val="000000"/>
                <w:kern w:val="0"/>
                <w:szCs w:val="21"/>
                <w:lang w:val="en-US" w:eastAsia="zh-CN"/>
              </w:rPr>
              <w:t>保安</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3</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adjustRightInd w:val="0"/>
              <w:snapToGrid w:val="0"/>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B</w:t>
            </w:r>
            <w:r>
              <w:rPr>
                <w:rFonts w:hint="eastAsia" w:ascii="仿宋_GB2312" w:hAnsi="仿宋_GB2312" w:eastAsia="仿宋_GB2312" w:cs="仿宋_GB2312"/>
                <w:color w:val="000000"/>
                <w:kern w:val="0"/>
                <w:szCs w:val="21"/>
                <w:lang w:val="en-US" w:eastAsia="zh-CN"/>
              </w:rPr>
              <w:t>食堂厨师</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1</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adjustRightInd w:val="0"/>
              <w:snapToGrid w:val="0"/>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C</w:t>
            </w:r>
            <w:r>
              <w:rPr>
                <w:rFonts w:hint="eastAsia" w:ascii="仿宋_GB2312" w:hAnsi="仿宋_GB2312" w:eastAsia="仿宋_GB2312" w:cs="仿宋_GB2312"/>
                <w:color w:val="000000"/>
                <w:kern w:val="0"/>
                <w:szCs w:val="21"/>
                <w:lang w:val="en-US" w:eastAsia="zh-CN"/>
              </w:rPr>
              <w:t>食堂人员</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adjustRightInd w:val="0"/>
              <w:snapToGrid w:val="0"/>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D</w:t>
            </w:r>
            <w:r>
              <w:rPr>
                <w:rFonts w:hint="eastAsia" w:ascii="仿宋_GB2312" w:hAnsi="仿宋_GB2312" w:eastAsia="仿宋_GB2312" w:cs="仿宋_GB2312"/>
                <w:color w:val="000000"/>
                <w:kern w:val="0"/>
                <w:szCs w:val="21"/>
                <w:lang w:val="en-US" w:eastAsia="zh-CN"/>
              </w:rPr>
              <w:t>保洁员</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jc w:val="center"/>
              <w:rPr>
                <w:rFonts w:hint="eastAsia" w:ascii="仿宋_GB2312" w:hAnsi="仿宋_GB2312" w:eastAsia="仿宋_GB2312" w:cs="仿宋_GB2312"/>
                <w:color w:val="000000"/>
                <w:kern w:val="0"/>
                <w:szCs w:val="21"/>
                <w:lang w:eastAsia="zh-CN"/>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jc w:val="center"/>
              <w:rPr>
                <w:rFonts w:hint="default" w:ascii="仿宋_GB2312" w:hAnsi="仿宋_GB2312" w:eastAsia="仿宋_GB2312" w:cs="仿宋_GB2312"/>
                <w:color w:val="000000"/>
                <w:kern w:val="0"/>
                <w:szCs w:val="21"/>
                <w:lang w:val="en-US" w:eastAsia="zh-CN"/>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jc w:val="center"/>
              <w:rPr>
                <w:rFonts w:hint="default" w:ascii="仿宋_GB2312" w:hAnsi="仿宋_GB2312" w:eastAsia="仿宋_GB2312" w:cs="仿宋_GB2312"/>
                <w:color w:val="000000"/>
                <w:kern w:val="0"/>
                <w:szCs w:val="21"/>
                <w:lang w:val="en-US" w:eastAsia="zh-CN"/>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jc w:val="center"/>
              <w:rPr>
                <w:rFonts w:hint="eastAsia" w:ascii="仿宋_GB2312" w:hAnsi="仿宋_GB2312" w:eastAsia="仿宋_GB2312" w:cs="仿宋_GB2312"/>
                <w:color w:val="000000"/>
                <w:kern w:val="0"/>
                <w:szCs w:val="21"/>
                <w:lang w:val="en-US" w:eastAsia="zh-CN"/>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jc w:val="center"/>
              <w:rPr>
                <w:rFonts w:ascii="仿宋_GB2312" w:hAnsi="仿宋_GB2312" w:eastAsia="仿宋_GB2312" w:cs="仿宋_GB2312"/>
                <w:color w:val="000000"/>
                <w:kern w:val="0"/>
                <w:szCs w:val="21"/>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adjustRightInd w:val="0"/>
              <w:snapToGrid w:val="0"/>
              <w:jc w:val="center"/>
              <w:rPr>
                <w:rFonts w:ascii="仿宋_GB2312" w:hAnsi="仿宋_GB2312" w:eastAsia="仿宋_GB2312" w:cs="仿宋_GB2312"/>
                <w:color w:val="000000"/>
                <w:kern w:val="0"/>
                <w:szCs w:val="21"/>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25" w:type="dxa"/>
            <w:gridSpan w:val="3"/>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合计</w:t>
            </w:r>
          </w:p>
        </w:tc>
        <w:tc>
          <w:tcPr>
            <w:tcW w:w="2895"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20" w:type="dxa"/>
            <w:gridSpan w:val="4"/>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大写：</w:t>
            </w:r>
          </w:p>
        </w:tc>
      </w:tr>
    </w:tbl>
    <w:p>
      <w:pPr>
        <w:jc w:val="left"/>
        <w:outlineLvl w:val="1"/>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注：1、本表所列人员及数量为本项目必须配备，各投标人根据人员分工安排，自行在本表基础上进行细分、添加，不得删除。各岗位具体配备人员数量可在满足采购人最低人数要求下自行调配，未尽事宜可备注说明。</w:t>
      </w:r>
    </w:p>
    <w:p>
      <w:pPr>
        <w:pStyle w:val="3"/>
        <w:keepNext w:val="0"/>
        <w:keepLines w:val="0"/>
        <w:spacing w:line="415" w:lineRule="auto"/>
      </w:pPr>
    </w:p>
    <w:p>
      <w:pPr>
        <w:jc w:val="left"/>
        <w:outlineLvl w:val="1"/>
        <w:rPr>
          <w:rFonts w:ascii="仿宋_GB2312" w:hAnsi="仿宋_GB2312" w:eastAsia="仿宋_GB2312" w:cs="仿宋_GB2312"/>
          <w:color w:val="000000"/>
          <w:kern w:val="0"/>
          <w:szCs w:val="21"/>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pStyle w:val="30"/>
        <w:ind w:left="0"/>
        <w:rPr>
          <w:rFonts w:ascii="仿宋_GB2312" w:hAnsi="仿宋_GB2312" w:eastAsia="仿宋_GB2312" w:cs="仿宋_GB2312"/>
          <w:color w:val="000000"/>
          <w:kern w:val="0"/>
          <w:sz w:val="32"/>
          <w:szCs w:val="32"/>
        </w:rPr>
      </w:pPr>
    </w:p>
    <w:p/>
    <w:p>
      <w:pPr>
        <w:snapToGrid w:val="0"/>
        <w:spacing w:beforeLines="50" w:after="50"/>
        <w:rPr>
          <w:rFonts w:hint="default" w:ascii="仿宋_GB2312" w:hAnsi="仿宋_GB2312" w:eastAsia="仿宋_GB2312" w:cs="仿宋_GB2312"/>
          <w:color w:val="000000"/>
          <w:kern w:val="0"/>
          <w:sz w:val="36"/>
          <w:szCs w:val="36"/>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12</w:t>
      </w:r>
    </w:p>
    <w:p>
      <w:pPr>
        <w:pStyle w:val="38"/>
        <w:snapToGrid w:val="0"/>
        <w:spacing w:before="120" w:after="120" w:line="360" w:lineRule="auto"/>
        <w:ind w:firstLine="1000" w:firstLineChars="300"/>
        <w:jc w:val="center"/>
        <w:rPr>
          <w:rFonts w:ascii="Arial" w:hAnsi="仿宋" w:eastAsia="仿宋" w:cs="Arial"/>
          <w:b/>
          <w:spacing w:val="6"/>
          <w:sz w:val="32"/>
          <w:szCs w:val="32"/>
        </w:rPr>
      </w:pPr>
      <w:r>
        <w:rPr>
          <w:rFonts w:hint="eastAsia" w:ascii="Arial" w:hAnsi="仿宋" w:eastAsia="仿宋" w:cs="Arial"/>
          <w:b/>
          <w:spacing w:val="6"/>
          <w:sz w:val="32"/>
          <w:szCs w:val="32"/>
        </w:rPr>
        <w:t>中小企业声明函（服务）</w:t>
      </w:r>
    </w:p>
    <w:p>
      <w:pPr>
        <w:pStyle w:val="28"/>
        <w:spacing w:line="360" w:lineRule="auto"/>
        <w:ind w:firstLine="480" w:firstLineChars="200"/>
        <w:jc w:val="left"/>
        <w:rPr>
          <w:rFonts w:ascii="仿宋_GB2312" w:hAnsi="仿宋_GB2312" w:eastAsia="仿宋_GB2312" w:cs="仿宋_GB2312"/>
          <w:color w:val="000000"/>
          <w:kern w:val="0"/>
          <w:sz w:val="24"/>
          <w:szCs w:val="20"/>
        </w:rPr>
      </w:pPr>
      <w:r>
        <w:rPr>
          <w:rFonts w:hint="eastAsia" w:ascii="仿宋_GB2312" w:hAnsi="仿宋_GB2312" w:eastAsia="仿宋_GB2312" w:cs="仿宋_GB2312"/>
          <w:color w:val="000000"/>
          <w:kern w:val="0"/>
          <w:sz w:val="24"/>
          <w:szCs w:val="20"/>
        </w:rPr>
        <w:t>本公司郑重声明，根据《政府采购促进中小企业发展管理办法》（财库﹝2020﹞46 号）的规定，本公司参加</w:t>
      </w:r>
      <w:r>
        <w:rPr>
          <w:rFonts w:hint="eastAsia" w:ascii="仿宋_GB2312" w:hAnsi="仿宋_GB2312" w:eastAsia="仿宋_GB2312" w:cs="仿宋_GB2312"/>
          <w:color w:val="000000"/>
          <w:kern w:val="0"/>
          <w:sz w:val="24"/>
          <w:szCs w:val="20"/>
          <w:u w:val="single"/>
        </w:rPr>
        <w:t>（采购人名称）</w:t>
      </w:r>
      <w:r>
        <w:rPr>
          <w:rFonts w:hint="eastAsia" w:ascii="仿宋_GB2312" w:hAnsi="仿宋_GB2312" w:eastAsia="仿宋_GB2312" w:cs="仿宋_GB2312"/>
          <w:color w:val="000000"/>
          <w:kern w:val="0"/>
          <w:sz w:val="24"/>
          <w:szCs w:val="20"/>
        </w:rPr>
        <w:t>的</w:t>
      </w:r>
      <w:r>
        <w:rPr>
          <w:rFonts w:hint="eastAsia" w:ascii="仿宋_GB2312" w:hAnsi="仿宋_GB2312" w:eastAsia="仿宋_GB2312" w:cs="仿宋_GB2312"/>
          <w:color w:val="000000"/>
          <w:kern w:val="0"/>
          <w:sz w:val="24"/>
          <w:szCs w:val="20"/>
          <w:u w:val="single"/>
        </w:rPr>
        <w:t>（项目名称）</w:t>
      </w:r>
      <w:r>
        <w:rPr>
          <w:rFonts w:hint="eastAsia" w:ascii="仿宋_GB2312" w:hAnsi="仿宋_GB2312" w:eastAsia="仿宋_GB2312" w:cs="仿宋_GB2312"/>
          <w:color w:val="000000"/>
          <w:kern w:val="0"/>
          <w:sz w:val="24"/>
          <w:szCs w:val="20"/>
        </w:rPr>
        <w:t>采购活动，服务全部由符合政策要求的中小企业承接。相关企业的具体情况如下：</w:t>
      </w:r>
    </w:p>
    <w:p>
      <w:pPr>
        <w:pStyle w:val="28"/>
        <w:spacing w:line="360" w:lineRule="auto"/>
        <w:ind w:firstLine="480" w:firstLineChars="200"/>
        <w:jc w:val="left"/>
        <w:rPr>
          <w:rFonts w:cs="宋体"/>
          <w:iCs/>
          <w:color w:val="auto"/>
          <w:sz w:val="21"/>
          <w:szCs w:val="21"/>
        </w:rPr>
      </w:pPr>
      <w:r>
        <w:rPr>
          <w:rFonts w:hint="eastAsia" w:ascii="仿宋_GB2312" w:hAnsi="仿宋_GB2312" w:eastAsia="仿宋_GB2312" w:cs="仿宋_GB2312"/>
          <w:color w:val="auto"/>
          <w:kern w:val="0"/>
          <w:sz w:val="24"/>
          <w:szCs w:val="20"/>
        </w:rPr>
        <w:t>1.</w:t>
      </w:r>
      <w:r>
        <w:rPr>
          <w:rFonts w:hint="eastAsia" w:ascii="仿宋_GB2312" w:hAnsi="仿宋_GB2312" w:eastAsia="仿宋_GB2312" w:cs="仿宋_GB2312"/>
          <w:kern w:val="0"/>
          <w:sz w:val="24"/>
          <w:szCs w:val="20"/>
          <w:u w:val="single"/>
        </w:rPr>
        <w:t>物业管理服务</w:t>
      </w:r>
      <w:r>
        <w:rPr>
          <w:rFonts w:hint="eastAsia" w:cs="宋体"/>
          <w:iCs/>
          <w:color w:val="auto"/>
          <w:sz w:val="21"/>
          <w:szCs w:val="21"/>
        </w:rPr>
        <w:t>，</w:t>
      </w:r>
      <w:r>
        <w:rPr>
          <w:rFonts w:hint="eastAsia" w:ascii="仿宋_GB2312" w:hAnsi="仿宋_GB2312" w:eastAsia="仿宋_GB2312" w:cs="仿宋_GB2312"/>
          <w:color w:val="auto"/>
          <w:kern w:val="0"/>
          <w:sz w:val="24"/>
          <w:szCs w:val="20"/>
        </w:rPr>
        <w:t>属于</w:t>
      </w:r>
      <w:r>
        <w:rPr>
          <w:rFonts w:hint="eastAsia" w:ascii="仿宋_GB2312" w:hAnsi="仿宋_GB2312" w:eastAsia="仿宋_GB2312" w:cs="仿宋_GB2312"/>
          <w:kern w:val="0"/>
          <w:sz w:val="24"/>
          <w:szCs w:val="20"/>
          <w:u w:val="single"/>
        </w:rPr>
        <w:t>物业管理</w:t>
      </w:r>
      <w:r>
        <w:rPr>
          <w:rFonts w:hint="eastAsia" w:ascii="仿宋_GB2312" w:hAnsi="仿宋_GB2312" w:eastAsia="仿宋_GB2312" w:cs="仿宋_GB2312"/>
          <w:color w:val="auto"/>
          <w:kern w:val="0"/>
          <w:sz w:val="24"/>
          <w:szCs w:val="20"/>
        </w:rPr>
        <w:t>行业；承接企业为</w:t>
      </w:r>
      <w:r>
        <w:rPr>
          <w:rFonts w:hint="eastAsia" w:ascii="仿宋_GB2312" w:hAnsi="仿宋_GB2312" w:eastAsia="仿宋_GB2312" w:cs="仿宋_GB2312"/>
          <w:color w:val="auto"/>
          <w:kern w:val="0"/>
          <w:sz w:val="24"/>
          <w:szCs w:val="20"/>
          <w:u w:val="single"/>
        </w:rPr>
        <w:t>（企业名称）</w:t>
      </w:r>
      <w:r>
        <w:rPr>
          <w:rFonts w:hint="eastAsia" w:ascii="仿宋_GB2312" w:hAnsi="仿宋_GB2312" w:eastAsia="仿宋_GB2312" w:cs="仿宋_GB2312"/>
          <w:color w:val="auto"/>
          <w:kern w:val="0"/>
          <w:sz w:val="24"/>
          <w:szCs w:val="20"/>
        </w:rPr>
        <w:t>，从业人员</w:t>
      </w:r>
      <w:r>
        <w:rPr>
          <w:rFonts w:hint="eastAsia" w:ascii="仿宋_GB2312" w:hAnsi="仿宋_GB2312" w:eastAsia="仿宋_GB2312" w:cs="仿宋_GB2312"/>
          <w:color w:val="auto"/>
          <w:kern w:val="0"/>
          <w:sz w:val="24"/>
          <w:szCs w:val="20"/>
          <w:u w:val="single"/>
        </w:rPr>
        <w:t>___</w:t>
      </w:r>
      <w:r>
        <w:rPr>
          <w:rFonts w:hint="eastAsia" w:ascii="仿宋_GB2312" w:hAnsi="仿宋_GB2312" w:eastAsia="仿宋_GB2312" w:cs="仿宋_GB2312"/>
          <w:color w:val="auto"/>
          <w:kern w:val="0"/>
          <w:sz w:val="24"/>
          <w:szCs w:val="20"/>
        </w:rPr>
        <w:t>人，营业收入为</w:t>
      </w:r>
      <w:r>
        <w:rPr>
          <w:rFonts w:hint="eastAsia" w:ascii="仿宋_GB2312" w:hAnsi="仿宋_GB2312" w:eastAsia="仿宋_GB2312" w:cs="仿宋_GB2312"/>
          <w:color w:val="auto"/>
          <w:kern w:val="0"/>
          <w:sz w:val="24"/>
          <w:szCs w:val="20"/>
          <w:u w:val="single"/>
        </w:rPr>
        <w:t>___</w:t>
      </w:r>
      <w:r>
        <w:rPr>
          <w:rFonts w:hint="eastAsia" w:ascii="仿宋_GB2312" w:hAnsi="仿宋_GB2312" w:eastAsia="仿宋_GB2312" w:cs="仿宋_GB2312"/>
          <w:color w:val="auto"/>
          <w:kern w:val="0"/>
          <w:sz w:val="24"/>
          <w:szCs w:val="20"/>
        </w:rPr>
        <w:t>万元，资产总额为</w:t>
      </w:r>
      <w:r>
        <w:rPr>
          <w:rFonts w:hint="eastAsia" w:ascii="仿宋_GB2312" w:hAnsi="仿宋_GB2312" w:eastAsia="仿宋_GB2312" w:cs="仿宋_GB2312"/>
          <w:color w:val="auto"/>
          <w:kern w:val="0"/>
          <w:sz w:val="24"/>
          <w:szCs w:val="20"/>
          <w:u w:val="single"/>
        </w:rPr>
        <w:t>___</w:t>
      </w:r>
      <w:r>
        <w:rPr>
          <w:rFonts w:hint="eastAsia" w:ascii="仿宋_GB2312" w:hAnsi="仿宋_GB2312" w:eastAsia="仿宋_GB2312" w:cs="仿宋_GB2312"/>
          <w:color w:val="auto"/>
          <w:kern w:val="0"/>
          <w:sz w:val="24"/>
          <w:szCs w:val="20"/>
        </w:rPr>
        <w:t>万元，属于</w:t>
      </w:r>
      <w:r>
        <w:rPr>
          <w:rFonts w:hint="eastAsia" w:ascii="仿宋_GB2312" w:hAnsi="仿宋_GB2312" w:eastAsia="仿宋_GB2312" w:cs="仿宋_GB2312"/>
          <w:color w:val="auto"/>
          <w:kern w:val="0"/>
          <w:sz w:val="24"/>
          <w:szCs w:val="20"/>
          <w:u w:val="single"/>
        </w:rPr>
        <w:t>（请根据中小企业划分标准填写中型企业/小型企业/微型企业）</w:t>
      </w:r>
      <w:r>
        <w:rPr>
          <w:rFonts w:hint="eastAsia" w:ascii="仿宋_GB2312" w:hAnsi="仿宋_GB2312" w:eastAsia="仿宋_GB2312" w:cs="仿宋_GB2312"/>
          <w:color w:val="auto"/>
          <w:kern w:val="0"/>
          <w:sz w:val="24"/>
          <w:szCs w:val="20"/>
        </w:rPr>
        <w:t>。</w:t>
      </w:r>
    </w:p>
    <w:p>
      <w:pPr>
        <w:pStyle w:val="144"/>
        <w:ind w:left="840" w:firstLine="0" w:firstLineChars="0"/>
        <w:jc w:val="both"/>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w:t>
      </w:r>
    </w:p>
    <w:p>
      <w:pPr>
        <w:pStyle w:val="28"/>
        <w:spacing w:line="360" w:lineRule="auto"/>
        <w:ind w:firstLine="480" w:firstLineChars="200"/>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以上企业，不属于大企业的分支机构，不存在控股股东为大企业的情形，也不存在与大企业的负责人为同一人的情形。</w:t>
      </w:r>
    </w:p>
    <w:p>
      <w:pPr>
        <w:pStyle w:val="28"/>
        <w:spacing w:line="360" w:lineRule="auto"/>
        <w:ind w:firstLine="480" w:firstLineChars="200"/>
        <w:jc w:val="left"/>
        <w:rPr>
          <w:rFonts w:cs="宋体"/>
          <w:color w:val="auto"/>
          <w:sz w:val="21"/>
          <w:szCs w:val="21"/>
        </w:rPr>
      </w:pPr>
      <w:r>
        <w:rPr>
          <w:rFonts w:hint="eastAsia" w:ascii="仿宋_GB2312" w:hAnsi="仿宋_GB2312" w:eastAsia="仿宋_GB2312" w:cs="仿宋_GB2312"/>
          <w:color w:val="auto"/>
          <w:kern w:val="0"/>
          <w:sz w:val="24"/>
          <w:szCs w:val="20"/>
        </w:rPr>
        <w:t>本企业对上述声明内容的真实性负责。如有虚假，将依法承担相应责任。</w:t>
      </w:r>
    </w:p>
    <w:p>
      <w:pPr>
        <w:pStyle w:val="28"/>
        <w:spacing w:line="360" w:lineRule="auto"/>
        <w:ind w:firstLine="4800" w:firstLineChars="2000"/>
        <w:jc w:val="left"/>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企业名称（盖章）：</w:t>
      </w:r>
    </w:p>
    <w:p>
      <w:pPr>
        <w:pStyle w:val="28"/>
        <w:spacing w:line="360" w:lineRule="auto"/>
        <w:ind w:firstLine="4800" w:firstLineChars="2000"/>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日 期：</w:t>
      </w:r>
    </w:p>
    <w:p>
      <w:pPr>
        <w:pStyle w:val="29"/>
        <w:ind w:firstLine="280"/>
      </w:pPr>
    </w:p>
    <w:p>
      <w:pPr>
        <w:pStyle w:val="38"/>
        <w:snapToGrid w:val="0"/>
        <w:spacing w:line="360" w:lineRule="auto"/>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填写说明：</w:t>
      </w:r>
      <w:r>
        <w:rPr>
          <w:rFonts w:hint="eastAsia" w:ascii="仿宋_GB2312" w:hAnsi="仿宋_GB2312" w:eastAsia="仿宋_GB2312" w:cs="仿宋_GB2312"/>
          <w:b/>
          <w:kern w:val="0"/>
          <w:sz w:val="24"/>
        </w:rPr>
        <w:t>1、本声明函中已明确的</w:t>
      </w:r>
      <w:r>
        <w:rPr>
          <w:rFonts w:ascii="仿宋_GB2312" w:hAnsi="仿宋_GB2312" w:eastAsia="仿宋_GB2312" w:cs="仿宋_GB2312"/>
          <w:b/>
          <w:kern w:val="0"/>
          <w:sz w:val="24"/>
        </w:rPr>
        <w:t>标的名称和所属行业</w:t>
      </w:r>
      <w:r>
        <w:rPr>
          <w:rFonts w:hint="eastAsia" w:ascii="仿宋_GB2312" w:hAnsi="仿宋_GB2312" w:eastAsia="仿宋_GB2312" w:cs="仿宋_GB2312"/>
          <w:b/>
          <w:kern w:val="0"/>
          <w:sz w:val="24"/>
        </w:rPr>
        <w:t>（标红部分）不得更改，否则视为无效的中小企业声明函，投标无效。</w:t>
      </w:r>
    </w:p>
    <w:p>
      <w:pPr>
        <w:pStyle w:val="38"/>
        <w:snapToGrid w:val="0"/>
        <w:spacing w:line="360" w:lineRule="auto"/>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2、投标人须符合《</w:t>
      </w:r>
      <w:r>
        <w:rPr>
          <w:rFonts w:ascii="仿宋_GB2312" w:hAnsi="仿宋_GB2312" w:eastAsia="仿宋_GB2312" w:cs="仿宋_GB2312"/>
          <w:color w:val="000000"/>
          <w:kern w:val="0"/>
          <w:sz w:val="24"/>
        </w:rPr>
        <w:t>关于印发中小企业划型标准规定的通知》（工信部联企业〔2011〕300号）文件规定的中小企业划分标准</w:t>
      </w:r>
      <w:r>
        <w:rPr>
          <w:rFonts w:hint="eastAsia" w:ascii="仿宋_GB2312" w:hAnsi="仿宋_GB2312" w:eastAsia="仿宋_GB2312" w:cs="仿宋_GB2312"/>
          <w:color w:val="000000"/>
          <w:kern w:val="0"/>
          <w:sz w:val="24"/>
        </w:rPr>
        <w:t>。</w:t>
      </w:r>
    </w:p>
    <w:p>
      <w:pPr>
        <w:snapToGrid w:val="0"/>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20</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46</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符合中小企业划分标准的个体工商户视同中小企业</w:t>
      </w:r>
      <w:r>
        <w:rPr>
          <w:rFonts w:hint="eastAsia" w:ascii="仿宋_GB2312" w:hAnsi="仿宋_GB2312" w:eastAsia="仿宋_GB2312" w:cs="仿宋_GB2312"/>
          <w:color w:val="000000"/>
          <w:kern w:val="0"/>
          <w:sz w:val="24"/>
        </w:rPr>
        <w:t>。</w:t>
      </w:r>
    </w:p>
    <w:p>
      <w:pPr>
        <w:spacing w:line="360" w:lineRule="auto"/>
        <w:ind w:firstLine="470" w:firstLineChars="196"/>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w:t>
      </w:r>
    </w:p>
    <w:p>
      <w:pPr>
        <w:spacing w:line="480" w:lineRule="exact"/>
        <w:ind w:firstLine="472" w:firstLineChars="196"/>
        <w:rPr>
          <w:rFonts w:ascii="仿宋_GB2312" w:hAnsi="仿宋_GB2312" w:eastAsia="仿宋_GB2312" w:cs="仿宋_GB2312"/>
          <w:b/>
          <w:color w:val="000000"/>
          <w:kern w:val="0"/>
          <w:sz w:val="24"/>
        </w:rPr>
      </w:pPr>
    </w:p>
    <w:p>
      <w:pPr>
        <w:pStyle w:val="38"/>
        <w:snapToGrid w:val="0"/>
        <w:spacing w:before="120" w:after="120" w:line="360" w:lineRule="auto"/>
        <w:rPr>
          <w:rFonts w:ascii="Arial" w:hAnsi="仿宋" w:eastAsia="仿宋" w:cs="Arial"/>
          <w:b/>
          <w:spacing w:val="6"/>
          <w:sz w:val="32"/>
          <w:szCs w:val="32"/>
        </w:rPr>
      </w:pPr>
    </w:p>
    <w:p>
      <w:pPr>
        <w:snapToGrid w:val="0"/>
        <w:spacing w:beforeLines="50" w:after="50"/>
        <w:rPr>
          <w:rFonts w:hint="default" w:ascii="Arial" w:hAnsi="Arial" w:eastAsia="仿宋_GB2312" w:cs="Arial"/>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13</w:t>
      </w:r>
    </w:p>
    <w:p>
      <w:pPr>
        <w:rPr>
          <w:rFonts w:ascii="Arial" w:hAnsi="Arial" w:eastAsia="仿宋" w:cs="Arial"/>
        </w:rPr>
      </w:pPr>
    </w:p>
    <w:p>
      <w:pPr>
        <w:pStyle w:val="38"/>
        <w:snapToGrid w:val="0"/>
        <w:spacing w:before="120" w:after="12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残疾人福利性单位声明函</w:t>
      </w:r>
    </w:p>
    <w:p>
      <w:pPr>
        <w:spacing w:line="588" w:lineRule="exact"/>
        <w:rPr>
          <w:rFonts w:ascii="Arial" w:hAnsi="Arial" w:eastAsia="仿宋" w:cs="Arial"/>
          <w:b/>
          <w:spacing w:val="6"/>
          <w:sz w:val="30"/>
          <w:szCs w:val="30"/>
        </w:rPr>
      </w:pP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141号）的规定，本单位为符合条件的残疾人福利性单位，且本单位参加______单位的______项目采购活动由本单位提供服务，或者提供其他残疾人福利性单位提供的服务。</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本单位对上述声明的真实性负责。如有虚假，将依法承担相应责任。</w:t>
      </w:r>
    </w:p>
    <w:p>
      <w:pPr>
        <w:snapToGrid w:val="0"/>
        <w:spacing w:line="360" w:lineRule="auto"/>
        <w:ind w:firstLine="560" w:firstLineChars="200"/>
        <w:rPr>
          <w:rFonts w:ascii="Arial" w:hAnsi="Arial" w:eastAsia="仿宋" w:cs="Arial"/>
          <w:sz w:val="28"/>
          <w:szCs w:val="28"/>
        </w:rPr>
      </w:pPr>
    </w:p>
    <w:p>
      <w:pPr>
        <w:spacing w:line="588" w:lineRule="exact"/>
        <w:ind w:firstLine="624" w:firstLineChars="200"/>
        <w:rPr>
          <w:rFonts w:ascii="Arial" w:hAnsi="Arial" w:eastAsia="仿宋" w:cs="Arial"/>
          <w:spacing w:val="6"/>
          <w:sz w:val="30"/>
          <w:szCs w:val="30"/>
        </w:rPr>
      </w:pPr>
    </w:p>
    <w:p>
      <w:pPr>
        <w:tabs>
          <w:tab w:val="center" w:pos="4320"/>
          <w:tab w:val="right" w:pos="8640"/>
        </w:tabs>
        <w:snapToGrid w:val="0"/>
        <w:spacing w:line="360" w:lineRule="auto"/>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企业名称（</w:t>
      </w:r>
      <w:r>
        <w:rPr>
          <w:rFonts w:hint="eastAsia" w:ascii="仿宋_GB2312" w:hAnsi="仿宋_GB2312" w:eastAsia="仿宋_GB2312" w:cs="仿宋_GB2312"/>
          <w:color w:val="000000"/>
          <w:kern w:val="0"/>
          <w:sz w:val="28"/>
          <w:szCs w:val="28"/>
        </w:rPr>
        <w:t>公</w:t>
      </w:r>
      <w:r>
        <w:rPr>
          <w:rFonts w:ascii="仿宋_GB2312" w:hAnsi="仿宋_GB2312" w:eastAsia="仿宋_GB2312" w:cs="仿宋_GB2312"/>
          <w:color w:val="000000"/>
          <w:kern w:val="0"/>
          <w:sz w:val="28"/>
          <w:szCs w:val="28"/>
        </w:rPr>
        <w:t xml:space="preserve">章）： </w:t>
      </w:r>
    </w:p>
    <w:p>
      <w:pPr>
        <w:tabs>
          <w:tab w:val="center" w:pos="4320"/>
          <w:tab w:val="right" w:pos="8640"/>
        </w:tabs>
        <w:snapToGrid w:val="0"/>
        <w:spacing w:line="360" w:lineRule="auto"/>
        <w:ind w:firstLine="4200" w:firstLineChars="15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日  期：</w:t>
      </w:r>
    </w:p>
    <w:p>
      <w:pPr>
        <w:snapToGrid w:val="0"/>
        <w:spacing w:line="360" w:lineRule="auto"/>
        <w:ind w:right="504"/>
        <w:rPr>
          <w:rFonts w:ascii="Arial" w:hAnsi="仿宋" w:eastAsia="仿宋" w:cs="Arial"/>
          <w:spacing w:val="6"/>
          <w:sz w:val="24"/>
        </w:rPr>
      </w:pPr>
    </w:p>
    <w:p>
      <w:pPr>
        <w:snapToGrid w:val="0"/>
        <w:spacing w:line="360" w:lineRule="auto"/>
        <w:ind w:right="504"/>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填写说明：</w:t>
      </w:r>
    </w:p>
    <w:p>
      <w:pPr>
        <w:numPr>
          <w:ilvl w:val="0"/>
          <w:numId w:val="7"/>
        </w:numPr>
        <w:tabs>
          <w:tab w:val="left" w:pos="4860"/>
        </w:tabs>
        <w:spacing w:line="588" w:lineRule="exact"/>
        <w:ind w:right="106"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pPr>
        <w:numPr>
          <w:ilvl w:val="0"/>
          <w:numId w:val="7"/>
        </w:numPr>
        <w:tabs>
          <w:tab w:val="left" w:pos="4860"/>
        </w:tabs>
        <w:spacing w:line="588" w:lineRule="exact"/>
        <w:ind w:right="251"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享受政府采购支持政策的残疾人福利性单位应当同时满足以下条件：</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（1）安置的残疾人占本单位在职职工人数的比例不低于25%（含25%），并且安置的残疾人人数不少于10人（含10人）；</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（2）依法与安置的每位残疾人签订了一年以上（含一年）的劳动合同或服务协议；</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（3）为安置的每位残疾人按月足额缴纳了基本养老保险、基本医疗保险、失业保险、工伤保险和生育保险等社会保险费；</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（4）通过银行等金融机构向安置的每位残疾人，按月支付了不低于单位所在区县适用的经省级人民政府批准的月最低工资标准的工资；</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（5）提供本单位制造的货物、承担的工程或者服务（以下简称产品），或者提供其他残疾人福利性单位制造的货物（不包括使用非残疾人福利性单位注册商标的货物）。</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600" w:lineRule="exact"/>
        <w:ind w:right="532" w:firstLine="720" w:firstLineChars="200"/>
        <w:rPr>
          <w:rFonts w:ascii="仿宋_GB2312" w:hAnsi="仿宋_GB2312" w:eastAsia="仿宋_GB2312" w:cs="仿宋_GB2312"/>
          <w:color w:val="000000"/>
          <w:kern w:val="0"/>
          <w:sz w:val="36"/>
          <w:szCs w:val="36"/>
        </w:rPr>
      </w:pPr>
    </w:p>
    <w:p>
      <w:pPr>
        <w:spacing w:line="440" w:lineRule="exact"/>
        <w:ind w:firstLine="4060" w:firstLineChars="1450"/>
        <w:rPr>
          <w:rFonts w:ascii="仿宋_GB2312" w:hAnsi="仿宋_GB2312" w:eastAsia="仿宋_GB2312" w:cs="仿宋_GB2312"/>
          <w:color w:val="000000"/>
          <w:kern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使用中文字体)">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Helvetica Neue">
    <w:altName w:val="Segoe UI"/>
    <w:panose1 w:val="00000000000000000000"/>
    <w:charset w:val="00"/>
    <w:family w:val="auto"/>
    <w:pitch w:val="default"/>
    <w:sig w:usb0="00000000" w:usb1="00000000" w:usb2="0000001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040279936"/>
                          </w:sdtPr>
                          <w:sdtContent>
                            <w:p>
                              <w:pPr>
                                <w:pStyle w:val="4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sdt>
                    <w:sdtPr>
                      <w:id w:val="-2040279936"/>
                    </w:sdtPr>
                    <w:sdtContent>
                      <w:p>
                        <w:pPr>
                          <w:pStyle w:val="4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8"/>
                    </w:pPr>
                  </w:p>
                </w:txbxContent>
              </v:textbox>
            </v:shape>
          </w:pict>
        </mc:Fallback>
      </mc:AlternateContent>
    </w:r>
  </w:p>
  <w:p>
    <w:pPr>
      <w:pStyle w:val="4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7F247"/>
    <w:multiLevelType w:val="singleLevel"/>
    <w:tmpl w:val="BF27F247"/>
    <w:lvl w:ilvl="0" w:tentative="0">
      <w:start w:val="2"/>
      <w:numFmt w:val="chineseCounting"/>
      <w:suff w:val="nothing"/>
      <w:lvlText w:val="（%1）"/>
      <w:lvlJc w:val="left"/>
      <w:rPr>
        <w:rFonts w:hint="eastAsia"/>
      </w:rPr>
    </w:lvl>
  </w:abstractNum>
  <w:abstractNum w:abstractNumId="1">
    <w:nsid w:val="108E9077"/>
    <w:multiLevelType w:val="singleLevel"/>
    <w:tmpl w:val="108E9077"/>
    <w:lvl w:ilvl="0" w:tentative="0">
      <w:start w:val="1"/>
      <w:numFmt w:val="decimal"/>
      <w:suff w:val="nothing"/>
      <w:lvlText w:val="（%1）"/>
      <w:lvlJc w:val="left"/>
    </w:lvl>
  </w:abstractNum>
  <w:abstractNum w:abstractNumId="2">
    <w:nsid w:val="59ACBEE7"/>
    <w:multiLevelType w:val="singleLevel"/>
    <w:tmpl w:val="59ACBEE7"/>
    <w:lvl w:ilvl="0" w:tentative="0">
      <w:start w:val="1"/>
      <w:numFmt w:val="decimal"/>
      <w:suff w:val="nothing"/>
      <w:lvlText w:val="%1、"/>
      <w:lvlJc w:val="left"/>
      <w:rPr>
        <w:rFonts w:cs="Times New Roman"/>
      </w:rPr>
    </w:lvl>
  </w:abstractNum>
  <w:abstractNum w:abstractNumId="3">
    <w:nsid w:val="652AE8AB"/>
    <w:multiLevelType w:val="singleLevel"/>
    <w:tmpl w:val="652AE8AB"/>
    <w:lvl w:ilvl="0" w:tentative="0">
      <w:start w:val="2"/>
      <w:numFmt w:val="decimal"/>
      <w:suff w:val="nothing"/>
      <w:lvlText w:val="%1、"/>
      <w:lvlJc w:val="left"/>
    </w:lvl>
  </w:abstractNum>
  <w:abstractNum w:abstractNumId="4">
    <w:nsid w:val="6E230785"/>
    <w:multiLevelType w:val="multilevel"/>
    <w:tmpl w:val="6E230785"/>
    <w:lvl w:ilvl="0" w:tentative="0">
      <w:start w:val="1"/>
      <w:numFmt w:val="bullet"/>
      <w:pStyle w:val="182"/>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7A14FEF6"/>
    <w:multiLevelType w:val="singleLevel"/>
    <w:tmpl w:val="7A14FEF6"/>
    <w:lvl w:ilvl="0" w:tentative="0">
      <w:start w:val="1"/>
      <w:numFmt w:val="chineseCounting"/>
      <w:suff w:val="nothing"/>
      <w:lvlText w:val="%1、"/>
      <w:lvlJc w:val="left"/>
      <w:rPr>
        <w:rFonts w:hint="eastAsia"/>
      </w:rPr>
    </w:lvl>
  </w:abstractNum>
  <w:abstractNum w:abstractNumId="6">
    <w:nsid w:val="7BB47F4E"/>
    <w:multiLevelType w:val="singleLevel"/>
    <w:tmpl w:val="7BB47F4E"/>
    <w:lvl w:ilvl="0" w:tentative="0">
      <w:start w:val="4"/>
      <w:numFmt w:val="chineseCounting"/>
      <w:suff w:val="space"/>
      <w:lvlText w:val="第%1部分"/>
      <w:lvlJc w:val="left"/>
      <w:rPr>
        <w:rFonts w:hint="eastAsia"/>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YWYxMjg2OTMxMDA3MGI0ODI4ZWRjM2RlN2ZjNTgifQ=="/>
    <w:docVar w:name="KSO_WPS_MARK_KEY" w:val="8b5fff23-386d-4009-b709-982ebe5f7014"/>
  </w:docVars>
  <w:rsids>
    <w:rsidRoot w:val="006756B4"/>
    <w:rsid w:val="00001B84"/>
    <w:rsid w:val="000032D9"/>
    <w:rsid w:val="00004C34"/>
    <w:rsid w:val="00005B35"/>
    <w:rsid w:val="00026A74"/>
    <w:rsid w:val="000300BF"/>
    <w:rsid w:val="00032C76"/>
    <w:rsid w:val="00036F79"/>
    <w:rsid w:val="00044291"/>
    <w:rsid w:val="000517FB"/>
    <w:rsid w:val="00052CE9"/>
    <w:rsid w:val="00067486"/>
    <w:rsid w:val="0007400E"/>
    <w:rsid w:val="00077C9B"/>
    <w:rsid w:val="00077FC4"/>
    <w:rsid w:val="00080786"/>
    <w:rsid w:val="00083D11"/>
    <w:rsid w:val="00093039"/>
    <w:rsid w:val="000A159C"/>
    <w:rsid w:val="000A6FDA"/>
    <w:rsid w:val="000A776A"/>
    <w:rsid w:val="000A79A4"/>
    <w:rsid w:val="000C0C7D"/>
    <w:rsid w:val="000C25FC"/>
    <w:rsid w:val="000C46B3"/>
    <w:rsid w:val="000C628E"/>
    <w:rsid w:val="000C7B6C"/>
    <w:rsid w:val="000D1963"/>
    <w:rsid w:val="000D1C91"/>
    <w:rsid w:val="000D71D9"/>
    <w:rsid w:val="000D7BB7"/>
    <w:rsid w:val="000E67C2"/>
    <w:rsid w:val="000F7633"/>
    <w:rsid w:val="001045AC"/>
    <w:rsid w:val="001157DC"/>
    <w:rsid w:val="0012478D"/>
    <w:rsid w:val="00124F6D"/>
    <w:rsid w:val="00137502"/>
    <w:rsid w:val="001401F2"/>
    <w:rsid w:val="001404A7"/>
    <w:rsid w:val="001453F3"/>
    <w:rsid w:val="00151A4E"/>
    <w:rsid w:val="001535E5"/>
    <w:rsid w:val="00160EF1"/>
    <w:rsid w:val="00173646"/>
    <w:rsid w:val="00177F85"/>
    <w:rsid w:val="00180DED"/>
    <w:rsid w:val="00182F39"/>
    <w:rsid w:val="00192A41"/>
    <w:rsid w:val="00195B49"/>
    <w:rsid w:val="00197BBA"/>
    <w:rsid w:val="001A1C10"/>
    <w:rsid w:val="001A59D7"/>
    <w:rsid w:val="001B4EB1"/>
    <w:rsid w:val="001B6234"/>
    <w:rsid w:val="001B72FB"/>
    <w:rsid w:val="001C0958"/>
    <w:rsid w:val="001C1703"/>
    <w:rsid w:val="001C4C5D"/>
    <w:rsid w:val="001C7039"/>
    <w:rsid w:val="001E16F0"/>
    <w:rsid w:val="001F528B"/>
    <w:rsid w:val="001F53A5"/>
    <w:rsid w:val="001F79C7"/>
    <w:rsid w:val="00204AA4"/>
    <w:rsid w:val="00205876"/>
    <w:rsid w:val="00206645"/>
    <w:rsid w:val="00207B41"/>
    <w:rsid w:val="00207F7E"/>
    <w:rsid w:val="00213167"/>
    <w:rsid w:val="00217674"/>
    <w:rsid w:val="002244C6"/>
    <w:rsid w:val="00230644"/>
    <w:rsid w:val="00233D7F"/>
    <w:rsid w:val="00236617"/>
    <w:rsid w:val="00237286"/>
    <w:rsid w:val="00244650"/>
    <w:rsid w:val="00252AAB"/>
    <w:rsid w:val="00256B26"/>
    <w:rsid w:val="002732EA"/>
    <w:rsid w:val="00276D1F"/>
    <w:rsid w:val="00276FC1"/>
    <w:rsid w:val="00293FF3"/>
    <w:rsid w:val="002B63D2"/>
    <w:rsid w:val="002C1E18"/>
    <w:rsid w:val="002C219B"/>
    <w:rsid w:val="002D15AA"/>
    <w:rsid w:val="002E083E"/>
    <w:rsid w:val="002E493B"/>
    <w:rsid w:val="002E509A"/>
    <w:rsid w:val="002E685D"/>
    <w:rsid w:val="002E7DFD"/>
    <w:rsid w:val="003045E8"/>
    <w:rsid w:val="003047DA"/>
    <w:rsid w:val="00304875"/>
    <w:rsid w:val="0031019C"/>
    <w:rsid w:val="00314FF4"/>
    <w:rsid w:val="00321BE2"/>
    <w:rsid w:val="003225E8"/>
    <w:rsid w:val="0033408C"/>
    <w:rsid w:val="003422CA"/>
    <w:rsid w:val="00361948"/>
    <w:rsid w:val="0036389C"/>
    <w:rsid w:val="00365A20"/>
    <w:rsid w:val="003705CD"/>
    <w:rsid w:val="003727DE"/>
    <w:rsid w:val="003756BD"/>
    <w:rsid w:val="00377059"/>
    <w:rsid w:val="00391FB5"/>
    <w:rsid w:val="003947C7"/>
    <w:rsid w:val="003A0BE1"/>
    <w:rsid w:val="003A7900"/>
    <w:rsid w:val="003B1485"/>
    <w:rsid w:val="003B5F8D"/>
    <w:rsid w:val="003D056E"/>
    <w:rsid w:val="003D148B"/>
    <w:rsid w:val="003D1954"/>
    <w:rsid w:val="003E0037"/>
    <w:rsid w:val="003E04E3"/>
    <w:rsid w:val="003E097E"/>
    <w:rsid w:val="003E3FFE"/>
    <w:rsid w:val="003F07C1"/>
    <w:rsid w:val="003F2F58"/>
    <w:rsid w:val="0040781D"/>
    <w:rsid w:val="004079FA"/>
    <w:rsid w:val="00407BC3"/>
    <w:rsid w:val="00410F80"/>
    <w:rsid w:val="0041365C"/>
    <w:rsid w:val="0041553D"/>
    <w:rsid w:val="00424376"/>
    <w:rsid w:val="00425076"/>
    <w:rsid w:val="004329A0"/>
    <w:rsid w:val="004414F0"/>
    <w:rsid w:val="00465A4E"/>
    <w:rsid w:val="00467E97"/>
    <w:rsid w:val="00473F8A"/>
    <w:rsid w:val="0047666D"/>
    <w:rsid w:val="00481A2C"/>
    <w:rsid w:val="00482E6B"/>
    <w:rsid w:val="004963F3"/>
    <w:rsid w:val="00497849"/>
    <w:rsid w:val="004B04FB"/>
    <w:rsid w:val="004B0E5D"/>
    <w:rsid w:val="004B7006"/>
    <w:rsid w:val="004C6E86"/>
    <w:rsid w:val="004C6EDE"/>
    <w:rsid w:val="004D1476"/>
    <w:rsid w:val="004E2320"/>
    <w:rsid w:val="004F7F10"/>
    <w:rsid w:val="00500F64"/>
    <w:rsid w:val="00513600"/>
    <w:rsid w:val="00516B28"/>
    <w:rsid w:val="00524E78"/>
    <w:rsid w:val="00524E98"/>
    <w:rsid w:val="00525A5F"/>
    <w:rsid w:val="00533481"/>
    <w:rsid w:val="005338D1"/>
    <w:rsid w:val="005369C2"/>
    <w:rsid w:val="0053760C"/>
    <w:rsid w:val="00570B31"/>
    <w:rsid w:val="0059197E"/>
    <w:rsid w:val="00592605"/>
    <w:rsid w:val="005A3C88"/>
    <w:rsid w:val="005B3E36"/>
    <w:rsid w:val="005C261D"/>
    <w:rsid w:val="005D12EE"/>
    <w:rsid w:val="005D28A0"/>
    <w:rsid w:val="005D7FB6"/>
    <w:rsid w:val="005E08A8"/>
    <w:rsid w:val="005F21F2"/>
    <w:rsid w:val="005F3B5B"/>
    <w:rsid w:val="005F617C"/>
    <w:rsid w:val="00601A2D"/>
    <w:rsid w:val="00601D2C"/>
    <w:rsid w:val="00603AFF"/>
    <w:rsid w:val="00611907"/>
    <w:rsid w:val="00615DE1"/>
    <w:rsid w:val="00617301"/>
    <w:rsid w:val="006176F2"/>
    <w:rsid w:val="00617856"/>
    <w:rsid w:val="00623A0C"/>
    <w:rsid w:val="006348C0"/>
    <w:rsid w:val="0064229D"/>
    <w:rsid w:val="0066249D"/>
    <w:rsid w:val="006756B4"/>
    <w:rsid w:val="0068173E"/>
    <w:rsid w:val="00684B9E"/>
    <w:rsid w:val="006A40AB"/>
    <w:rsid w:val="006A7CE8"/>
    <w:rsid w:val="006B1906"/>
    <w:rsid w:val="006B2397"/>
    <w:rsid w:val="006C25C7"/>
    <w:rsid w:val="006D189A"/>
    <w:rsid w:val="006D1A66"/>
    <w:rsid w:val="006D2640"/>
    <w:rsid w:val="006D3FE6"/>
    <w:rsid w:val="006D5183"/>
    <w:rsid w:val="006F17A6"/>
    <w:rsid w:val="006F1EA5"/>
    <w:rsid w:val="006F7C77"/>
    <w:rsid w:val="00702713"/>
    <w:rsid w:val="00703160"/>
    <w:rsid w:val="0070527E"/>
    <w:rsid w:val="007055C6"/>
    <w:rsid w:val="00710563"/>
    <w:rsid w:val="007114C8"/>
    <w:rsid w:val="00711A99"/>
    <w:rsid w:val="00711E1D"/>
    <w:rsid w:val="00714F30"/>
    <w:rsid w:val="0072401C"/>
    <w:rsid w:val="0072506F"/>
    <w:rsid w:val="00725B2F"/>
    <w:rsid w:val="00745DF6"/>
    <w:rsid w:val="00746A6E"/>
    <w:rsid w:val="007616E7"/>
    <w:rsid w:val="00762FD6"/>
    <w:rsid w:val="00763253"/>
    <w:rsid w:val="00766C1B"/>
    <w:rsid w:val="00784268"/>
    <w:rsid w:val="0079541E"/>
    <w:rsid w:val="007A0591"/>
    <w:rsid w:val="007A1B26"/>
    <w:rsid w:val="007A4018"/>
    <w:rsid w:val="007B5650"/>
    <w:rsid w:val="007B6E49"/>
    <w:rsid w:val="007C159C"/>
    <w:rsid w:val="007C2A39"/>
    <w:rsid w:val="007C385D"/>
    <w:rsid w:val="007D01DC"/>
    <w:rsid w:val="007D3C10"/>
    <w:rsid w:val="007E5399"/>
    <w:rsid w:val="007E591E"/>
    <w:rsid w:val="007E6310"/>
    <w:rsid w:val="007E7519"/>
    <w:rsid w:val="007F623E"/>
    <w:rsid w:val="00807600"/>
    <w:rsid w:val="00807D6A"/>
    <w:rsid w:val="00813889"/>
    <w:rsid w:val="00815165"/>
    <w:rsid w:val="00820501"/>
    <w:rsid w:val="00824AD9"/>
    <w:rsid w:val="008264E9"/>
    <w:rsid w:val="00826CB8"/>
    <w:rsid w:val="00833F7F"/>
    <w:rsid w:val="00856CA1"/>
    <w:rsid w:val="0085798C"/>
    <w:rsid w:val="0086207C"/>
    <w:rsid w:val="00866F37"/>
    <w:rsid w:val="008740CC"/>
    <w:rsid w:val="008746CD"/>
    <w:rsid w:val="008925C2"/>
    <w:rsid w:val="00895FD9"/>
    <w:rsid w:val="008A75AC"/>
    <w:rsid w:val="008B186F"/>
    <w:rsid w:val="008C09D4"/>
    <w:rsid w:val="008D6BE9"/>
    <w:rsid w:val="008E1B21"/>
    <w:rsid w:val="008E7BDE"/>
    <w:rsid w:val="008F46EF"/>
    <w:rsid w:val="009012A2"/>
    <w:rsid w:val="00901C85"/>
    <w:rsid w:val="00902A14"/>
    <w:rsid w:val="0090695D"/>
    <w:rsid w:val="00907441"/>
    <w:rsid w:val="00910733"/>
    <w:rsid w:val="009113B9"/>
    <w:rsid w:val="009168FF"/>
    <w:rsid w:val="009359C3"/>
    <w:rsid w:val="009423FC"/>
    <w:rsid w:val="00944242"/>
    <w:rsid w:val="009445F7"/>
    <w:rsid w:val="00945606"/>
    <w:rsid w:val="009614EF"/>
    <w:rsid w:val="00961A45"/>
    <w:rsid w:val="00964D1F"/>
    <w:rsid w:val="00966A28"/>
    <w:rsid w:val="00970339"/>
    <w:rsid w:val="00972D42"/>
    <w:rsid w:val="009828F7"/>
    <w:rsid w:val="009862F0"/>
    <w:rsid w:val="009958CC"/>
    <w:rsid w:val="00996B55"/>
    <w:rsid w:val="009A11C2"/>
    <w:rsid w:val="009A20D6"/>
    <w:rsid w:val="009A6B9B"/>
    <w:rsid w:val="009C6993"/>
    <w:rsid w:val="009E0BEE"/>
    <w:rsid w:val="009F3571"/>
    <w:rsid w:val="009F3C52"/>
    <w:rsid w:val="00A11DA4"/>
    <w:rsid w:val="00A20EEF"/>
    <w:rsid w:val="00A27D3F"/>
    <w:rsid w:val="00A30E12"/>
    <w:rsid w:val="00A34DBB"/>
    <w:rsid w:val="00A375E5"/>
    <w:rsid w:val="00A43937"/>
    <w:rsid w:val="00A51C69"/>
    <w:rsid w:val="00A529C7"/>
    <w:rsid w:val="00A5703C"/>
    <w:rsid w:val="00A62E1C"/>
    <w:rsid w:val="00A63E8B"/>
    <w:rsid w:val="00A753BE"/>
    <w:rsid w:val="00A75E37"/>
    <w:rsid w:val="00A82C7E"/>
    <w:rsid w:val="00A9312A"/>
    <w:rsid w:val="00A941C5"/>
    <w:rsid w:val="00A9783E"/>
    <w:rsid w:val="00AA3772"/>
    <w:rsid w:val="00AC2D02"/>
    <w:rsid w:val="00AC7151"/>
    <w:rsid w:val="00AE1BAC"/>
    <w:rsid w:val="00AE5CF6"/>
    <w:rsid w:val="00AE7DD4"/>
    <w:rsid w:val="00AF6E97"/>
    <w:rsid w:val="00B20AE8"/>
    <w:rsid w:val="00B25989"/>
    <w:rsid w:val="00B26DCA"/>
    <w:rsid w:val="00B34994"/>
    <w:rsid w:val="00B40E76"/>
    <w:rsid w:val="00B41ACA"/>
    <w:rsid w:val="00B44A73"/>
    <w:rsid w:val="00B46DE9"/>
    <w:rsid w:val="00B56C42"/>
    <w:rsid w:val="00B66785"/>
    <w:rsid w:val="00B74E16"/>
    <w:rsid w:val="00B85EDF"/>
    <w:rsid w:val="00B87E11"/>
    <w:rsid w:val="00B97A69"/>
    <w:rsid w:val="00BA14D9"/>
    <w:rsid w:val="00BA6B3F"/>
    <w:rsid w:val="00BC207C"/>
    <w:rsid w:val="00BC62C8"/>
    <w:rsid w:val="00BE29D5"/>
    <w:rsid w:val="00BE4D13"/>
    <w:rsid w:val="00BE6577"/>
    <w:rsid w:val="00BF0D42"/>
    <w:rsid w:val="00BF2153"/>
    <w:rsid w:val="00BF4E90"/>
    <w:rsid w:val="00BF6CC1"/>
    <w:rsid w:val="00C0041A"/>
    <w:rsid w:val="00C13585"/>
    <w:rsid w:val="00C14F8D"/>
    <w:rsid w:val="00C17629"/>
    <w:rsid w:val="00C25F57"/>
    <w:rsid w:val="00C35388"/>
    <w:rsid w:val="00C35449"/>
    <w:rsid w:val="00C35558"/>
    <w:rsid w:val="00C50BA7"/>
    <w:rsid w:val="00C63340"/>
    <w:rsid w:val="00C7130F"/>
    <w:rsid w:val="00C733E9"/>
    <w:rsid w:val="00C757D0"/>
    <w:rsid w:val="00C8455F"/>
    <w:rsid w:val="00C86518"/>
    <w:rsid w:val="00C93163"/>
    <w:rsid w:val="00C93B67"/>
    <w:rsid w:val="00C93CCB"/>
    <w:rsid w:val="00C93FE5"/>
    <w:rsid w:val="00C94CAD"/>
    <w:rsid w:val="00CA2395"/>
    <w:rsid w:val="00CA374E"/>
    <w:rsid w:val="00CA3BCE"/>
    <w:rsid w:val="00CB72F4"/>
    <w:rsid w:val="00CB7F63"/>
    <w:rsid w:val="00CC1242"/>
    <w:rsid w:val="00CC14D2"/>
    <w:rsid w:val="00CC329A"/>
    <w:rsid w:val="00CC7CDC"/>
    <w:rsid w:val="00CD1288"/>
    <w:rsid w:val="00CE198B"/>
    <w:rsid w:val="00CE36B9"/>
    <w:rsid w:val="00CE4310"/>
    <w:rsid w:val="00CE5D35"/>
    <w:rsid w:val="00CE653D"/>
    <w:rsid w:val="00CE7A3D"/>
    <w:rsid w:val="00CF2105"/>
    <w:rsid w:val="00CF3072"/>
    <w:rsid w:val="00D03599"/>
    <w:rsid w:val="00D0687E"/>
    <w:rsid w:val="00D142F3"/>
    <w:rsid w:val="00D1523F"/>
    <w:rsid w:val="00D17EAA"/>
    <w:rsid w:val="00D204AC"/>
    <w:rsid w:val="00D21D67"/>
    <w:rsid w:val="00D35579"/>
    <w:rsid w:val="00D45723"/>
    <w:rsid w:val="00D56488"/>
    <w:rsid w:val="00D63DCC"/>
    <w:rsid w:val="00D7226E"/>
    <w:rsid w:val="00D72987"/>
    <w:rsid w:val="00D72A99"/>
    <w:rsid w:val="00D76498"/>
    <w:rsid w:val="00D7694C"/>
    <w:rsid w:val="00D918B1"/>
    <w:rsid w:val="00D92055"/>
    <w:rsid w:val="00DA4409"/>
    <w:rsid w:val="00DB0FE5"/>
    <w:rsid w:val="00DC7345"/>
    <w:rsid w:val="00DC7F84"/>
    <w:rsid w:val="00DD2265"/>
    <w:rsid w:val="00DD3AA6"/>
    <w:rsid w:val="00DD6F46"/>
    <w:rsid w:val="00DE127D"/>
    <w:rsid w:val="00DE3588"/>
    <w:rsid w:val="00DE5512"/>
    <w:rsid w:val="00DF197A"/>
    <w:rsid w:val="00E008F3"/>
    <w:rsid w:val="00E00F5B"/>
    <w:rsid w:val="00E04E11"/>
    <w:rsid w:val="00E2028F"/>
    <w:rsid w:val="00E24647"/>
    <w:rsid w:val="00E301AF"/>
    <w:rsid w:val="00E34F27"/>
    <w:rsid w:val="00E422D5"/>
    <w:rsid w:val="00E4253B"/>
    <w:rsid w:val="00E4263C"/>
    <w:rsid w:val="00E438E0"/>
    <w:rsid w:val="00E45362"/>
    <w:rsid w:val="00E50BD0"/>
    <w:rsid w:val="00E50DA8"/>
    <w:rsid w:val="00E52F5A"/>
    <w:rsid w:val="00E618CD"/>
    <w:rsid w:val="00E61FB5"/>
    <w:rsid w:val="00E7619F"/>
    <w:rsid w:val="00E775CE"/>
    <w:rsid w:val="00E819A0"/>
    <w:rsid w:val="00E83709"/>
    <w:rsid w:val="00E83D31"/>
    <w:rsid w:val="00E94A58"/>
    <w:rsid w:val="00E95AD0"/>
    <w:rsid w:val="00EA58EF"/>
    <w:rsid w:val="00EB2A61"/>
    <w:rsid w:val="00EB2A8B"/>
    <w:rsid w:val="00EB4FCF"/>
    <w:rsid w:val="00EB67B8"/>
    <w:rsid w:val="00EB7E49"/>
    <w:rsid w:val="00EC0126"/>
    <w:rsid w:val="00EC362E"/>
    <w:rsid w:val="00EC3C4E"/>
    <w:rsid w:val="00EC5C2F"/>
    <w:rsid w:val="00EE5DE8"/>
    <w:rsid w:val="00F03C76"/>
    <w:rsid w:val="00F04854"/>
    <w:rsid w:val="00F124F3"/>
    <w:rsid w:val="00F162D7"/>
    <w:rsid w:val="00F23A38"/>
    <w:rsid w:val="00F623E7"/>
    <w:rsid w:val="00F64F26"/>
    <w:rsid w:val="00F66879"/>
    <w:rsid w:val="00F67B0B"/>
    <w:rsid w:val="00F70ED8"/>
    <w:rsid w:val="00F74E48"/>
    <w:rsid w:val="00F80551"/>
    <w:rsid w:val="00F87912"/>
    <w:rsid w:val="00F90E8B"/>
    <w:rsid w:val="00FA1B96"/>
    <w:rsid w:val="00FA4CEB"/>
    <w:rsid w:val="00FA7218"/>
    <w:rsid w:val="00FB0E82"/>
    <w:rsid w:val="00FB24F6"/>
    <w:rsid w:val="00FD090A"/>
    <w:rsid w:val="00FD1311"/>
    <w:rsid w:val="00FD3014"/>
    <w:rsid w:val="00FD3445"/>
    <w:rsid w:val="00FD799C"/>
    <w:rsid w:val="00FE246C"/>
    <w:rsid w:val="00FF2379"/>
    <w:rsid w:val="00FF627B"/>
    <w:rsid w:val="01097ABC"/>
    <w:rsid w:val="01162CEC"/>
    <w:rsid w:val="015B6D94"/>
    <w:rsid w:val="015E1273"/>
    <w:rsid w:val="01B55654"/>
    <w:rsid w:val="01E319BD"/>
    <w:rsid w:val="021F6013"/>
    <w:rsid w:val="027A78CF"/>
    <w:rsid w:val="02B51BAC"/>
    <w:rsid w:val="02D61F91"/>
    <w:rsid w:val="02D92666"/>
    <w:rsid w:val="02E24174"/>
    <w:rsid w:val="032B3AAC"/>
    <w:rsid w:val="03E203E0"/>
    <w:rsid w:val="04955223"/>
    <w:rsid w:val="04A6089D"/>
    <w:rsid w:val="05621267"/>
    <w:rsid w:val="05DE1D42"/>
    <w:rsid w:val="06325D54"/>
    <w:rsid w:val="064249C6"/>
    <w:rsid w:val="066D079A"/>
    <w:rsid w:val="0691101F"/>
    <w:rsid w:val="06B62083"/>
    <w:rsid w:val="06BF0FDB"/>
    <w:rsid w:val="071D0C35"/>
    <w:rsid w:val="07420B1F"/>
    <w:rsid w:val="07F6072D"/>
    <w:rsid w:val="08053038"/>
    <w:rsid w:val="08251EAA"/>
    <w:rsid w:val="083E2F66"/>
    <w:rsid w:val="085E6F42"/>
    <w:rsid w:val="086E54B7"/>
    <w:rsid w:val="08B6474A"/>
    <w:rsid w:val="08C86981"/>
    <w:rsid w:val="095F3450"/>
    <w:rsid w:val="09624B8B"/>
    <w:rsid w:val="09FC4E8C"/>
    <w:rsid w:val="0A2A425E"/>
    <w:rsid w:val="0AA7474A"/>
    <w:rsid w:val="0AC2447B"/>
    <w:rsid w:val="0AE42C44"/>
    <w:rsid w:val="0B0E6679"/>
    <w:rsid w:val="0B175BAD"/>
    <w:rsid w:val="0B54666F"/>
    <w:rsid w:val="0BA74F32"/>
    <w:rsid w:val="0BBC2E35"/>
    <w:rsid w:val="0BF34520"/>
    <w:rsid w:val="0C05782D"/>
    <w:rsid w:val="0C6A086D"/>
    <w:rsid w:val="0CE22BFB"/>
    <w:rsid w:val="0D0133C1"/>
    <w:rsid w:val="0D1A6C3A"/>
    <w:rsid w:val="0DB27144"/>
    <w:rsid w:val="0DF85BE0"/>
    <w:rsid w:val="0E0B116A"/>
    <w:rsid w:val="0E120F34"/>
    <w:rsid w:val="0E2576F2"/>
    <w:rsid w:val="0EA170A3"/>
    <w:rsid w:val="0EBD35D6"/>
    <w:rsid w:val="0ECF491D"/>
    <w:rsid w:val="0ED6500E"/>
    <w:rsid w:val="0EE04B9C"/>
    <w:rsid w:val="0F130CAE"/>
    <w:rsid w:val="0F253D36"/>
    <w:rsid w:val="0F31382A"/>
    <w:rsid w:val="0F3E471A"/>
    <w:rsid w:val="0F7D77D6"/>
    <w:rsid w:val="0F873E91"/>
    <w:rsid w:val="0F892A0B"/>
    <w:rsid w:val="10044A9B"/>
    <w:rsid w:val="10BE4C25"/>
    <w:rsid w:val="10D2410C"/>
    <w:rsid w:val="117049BA"/>
    <w:rsid w:val="119B5A55"/>
    <w:rsid w:val="11A33325"/>
    <w:rsid w:val="11B240DE"/>
    <w:rsid w:val="11BF72FD"/>
    <w:rsid w:val="12227CB8"/>
    <w:rsid w:val="1230051B"/>
    <w:rsid w:val="1255782F"/>
    <w:rsid w:val="1256748B"/>
    <w:rsid w:val="127B203D"/>
    <w:rsid w:val="12B851EB"/>
    <w:rsid w:val="12FD1B16"/>
    <w:rsid w:val="13051231"/>
    <w:rsid w:val="133E2072"/>
    <w:rsid w:val="136A20D6"/>
    <w:rsid w:val="138C6671"/>
    <w:rsid w:val="13E43E95"/>
    <w:rsid w:val="1445199E"/>
    <w:rsid w:val="14A26037"/>
    <w:rsid w:val="14A43A33"/>
    <w:rsid w:val="14D8416A"/>
    <w:rsid w:val="152C0111"/>
    <w:rsid w:val="15334C4D"/>
    <w:rsid w:val="15451DDD"/>
    <w:rsid w:val="159075B9"/>
    <w:rsid w:val="15972065"/>
    <w:rsid w:val="168E5D2D"/>
    <w:rsid w:val="16D27376"/>
    <w:rsid w:val="17137263"/>
    <w:rsid w:val="17305923"/>
    <w:rsid w:val="17447B51"/>
    <w:rsid w:val="177236B7"/>
    <w:rsid w:val="17FE2961"/>
    <w:rsid w:val="18153F6E"/>
    <w:rsid w:val="18853672"/>
    <w:rsid w:val="192E476D"/>
    <w:rsid w:val="1985693B"/>
    <w:rsid w:val="198C6C89"/>
    <w:rsid w:val="19D50AF1"/>
    <w:rsid w:val="19D87B51"/>
    <w:rsid w:val="19DB4E17"/>
    <w:rsid w:val="19DE7C7D"/>
    <w:rsid w:val="19F42FEB"/>
    <w:rsid w:val="19F875B3"/>
    <w:rsid w:val="1A9D1019"/>
    <w:rsid w:val="1B6C276D"/>
    <w:rsid w:val="1B76004A"/>
    <w:rsid w:val="1BF66EEF"/>
    <w:rsid w:val="1C7C3906"/>
    <w:rsid w:val="1CA82A62"/>
    <w:rsid w:val="1CC03E0C"/>
    <w:rsid w:val="1CCD7F3A"/>
    <w:rsid w:val="1D080607"/>
    <w:rsid w:val="1D6C261F"/>
    <w:rsid w:val="1D704F7A"/>
    <w:rsid w:val="1D92077C"/>
    <w:rsid w:val="1DCE70C1"/>
    <w:rsid w:val="1DD45A3A"/>
    <w:rsid w:val="1DE20E83"/>
    <w:rsid w:val="1E205195"/>
    <w:rsid w:val="1E3447E0"/>
    <w:rsid w:val="1E3E000E"/>
    <w:rsid w:val="1E934263"/>
    <w:rsid w:val="1EAA5C0E"/>
    <w:rsid w:val="1EB17C40"/>
    <w:rsid w:val="1ED80664"/>
    <w:rsid w:val="1EDA66C3"/>
    <w:rsid w:val="1F096472"/>
    <w:rsid w:val="1F4B733C"/>
    <w:rsid w:val="1FDA58F4"/>
    <w:rsid w:val="1FE1000B"/>
    <w:rsid w:val="201D2D84"/>
    <w:rsid w:val="20A01C86"/>
    <w:rsid w:val="20A353E0"/>
    <w:rsid w:val="20C8099E"/>
    <w:rsid w:val="20CF1CFC"/>
    <w:rsid w:val="20E519B9"/>
    <w:rsid w:val="213F2829"/>
    <w:rsid w:val="2145204C"/>
    <w:rsid w:val="2169043A"/>
    <w:rsid w:val="217462C4"/>
    <w:rsid w:val="221E7E58"/>
    <w:rsid w:val="22F62F72"/>
    <w:rsid w:val="2330462B"/>
    <w:rsid w:val="237F295E"/>
    <w:rsid w:val="237F64BA"/>
    <w:rsid w:val="23A10B26"/>
    <w:rsid w:val="241D4300"/>
    <w:rsid w:val="242744A5"/>
    <w:rsid w:val="24381A01"/>
    <w:rsid w:val="248F1F12"/>
    <w:rsid w:val="24D50C41"/>
    <w:rsid w:val="24EE1FCE"/>
    <w:rsid w:val="25114D0B"/>
    <w:rsid w:val="25291319"/>
    <w:rsid w:val="25291494"/>
    <w:rsid w:val="2537157D"/>
    <w:rsid w:val="25480B15"/>
    <w:rsid w:val="255B30CE"/>
    <w:rsid w:val="257242F1"/>
    <w:rsid w:val="25822292"/>
    <w:rsid w:val="25AD1396"/>
    <w:rsid w:val="25C413F5"/>
    <w:rsid w:val="262C184B"/>
    <w:rsid w:val="26B073AF"/>
    <w:rsid w:val="26BE4A72"/>
    <w:rsid w:val="271F78D5"/>
    <w:rsid w:val="2754230F"/>
    <w:rsid w:val="275859A0"/>
    <w:rsid w:val="2762381B"/>
    <w:rsid w:val="276E2735"/>
    <w:rsid w:val="27771BB9"/>
    <w:rsid w:val="27A326FC"/>
    <w:rsid w:val="27F82BC5"/>
    <w:rsid w:val="28536A02"/>
    <w:rsid w:val="28A975B9"/>
    <w:rsid w:val="28FF5FF9"/>
    <w:rsid w:val="29BF15B0"/>
    <w:rsid w:val="29F55061"/>
    <w:rsid w:val="2A866B7D"/>
    <w:rsid w:val="2AC87630"/>
    <w:rsid w:val="2B0B638E"/>
    <w:rsid w:val="2B0C0213"/>
    <w:rsid w:val="2B0D2F9A"/>
    <w:rsid w:val="2B471FB3"/>
    <w:rsid w:val="2B8374F6"/>
    <w:rsid w:val="2C8B1BF4"/>
    <w:rsid w:val="2C8C639F"/>
    <w:rsid w:val="2D013F59"/>
    <w:rsid w:val="2DBC58A4"/>
    <w:rsid w:val="2DD6070A"/>
    <w:rsid w:val="2DED3C7E"/>
    <w:rsid w:val="2DED5693"/>
    <w:rsid w:val="2E4A7ED6"/>
    <w:rsid w:val="2E707428"/>
    <w:rsid w:val="303944AA"/>
    <w:rsid w:val="308D11BA"/>
    <w:rsid w:val="309663CC"/>
    <w:rsid w:val="30B40633"/>
    <w:rsid w:val="310178A2"/>
    <w:rsid w:val="31A80D16"/>
    <w:rsid w:val="31AD32D0"/>
    <w:rsid w:val="32086E49"/>
    <w:rsid w:val="32107C30"/>
    <w:rsid w:val="327618AB"/>
    <w:rsid w:val="32916CF1"/>
    <w:rsid w:val="32FA790B"/>
    <w:rsid w:val="33935586"/>
    <w:rsid w:val="34541E69"/>
    <w:rsid w:val="34D64AA7"/>
    <w:rsid w:val="34EF69ED"/>
    <w:rsid w:val="35595827"/>
    <w:rsid w:val="359979D0"/>
    <w:rsid w:val="35A65B28"/>
    <w:rsid w:val="36010AB6"/>
    <w:rsid w:val="361E2A63"/>
    <w:rsid w:val="365B6937"/>
    <w:rsid w:val="368D726B"/>
    <w:rsid w:val="36DB063B"/>
    <w:rsid w:val="36F42278"/>
    <w:rsid w:val="36F93266"/>
    <w:rsid w:val="3714117B"/>
    <w:rsid w:val="37405B09"/>
    <w:rsid w:val="37530632"/>
    <w:rsid w:val="37A606F1"/>
    <w:rsid w:val="37E34E12"/>
    <w:rsid w:val="37F840FE"/>
    <w:rsid w:val="38611F96"/>
    <w:rsid w:val="38A81130"/>
    <w:rsid w:val="38D93A2E"/>
    <w:rsid w:val="38E15D84"/>
    <w:rsid w:val="38EF5C61"/>
    <w:rsid w:val="394F3EF3"/>
    <w:rsid w:val="39806E71"/>
    <w:rsid w:val="39967579"/>
    <w:rsid w:val="39AD4224"/>
    <w:rsid w:val="39AF346F"/>
    <w:rsid w:val="3A063DC0"/>
    <w:rsid w:val="3A1C4E8C"/>
    <w:rsid w:val="3A1C4EAF"/>
    <w:rsid w:val="3A1F7F38"/>
    <w:rsid w:val="3A441E05"/>
    <w:rsid w:val="3A444BCF"/>
    <w:rsid w:val="3B0322E7"/>
    <w:rsid w:val="3B254525"/>
    <w:rsid w:val="3B8E54A3"/>
    <w:rsid w:val="3BA4056D"/>
    <w:rsid w:val="3BDF7FE6"/>
    <w:rsid w:val="3C1F6AC7"/>
    <w:rsid w:val="3C865205"/>
    <w:rsid w:val="3D2D59B5"/>
    <w:rsid w:val="3D39673E"/>
    <w:rsid w:val="3D4751CD"/>
    <w:rsid w:val="3DCE7D9D"/>
    <w:rsid w:val="3DD822F8"/>
    <w:rsid w:val="3DF72A77"/>
    <w:rsid w:val="3E4155FF"/>
    <w:rsid w:val="3E45600D"/>
    <w:rsid w:val="3E61666B"/>
    <w:rsid w:val="3EFF1F43"/>
    <w:rsid w:val="3FF52106"/>
    <w:rsid w:val="400934A4"/>
    <w:rsid w:val="40655AE6"/>
    <w:rsid w:val="40AF6101"/>
    <w:rsid w:val="42084D5B"/>
    <w:rsid w:val="422E7A03"/>
    <w:rsid w:val="42436D7E"/>
    <w:rsid w:val="42472CD3"/>
    <w:rsid w:val="424F15A5"/>
    <w:rsid w:val="42A653BA"/>
    <w:rsid w:val="42CF66A9"/>
    <w:rsid w:val="42D478D5"/>
    <w:rsid w:val="42DE2607"/>
    <w:rsid w:val="43087E22"/>
    <w:rsid w:val="43411D39"/>
    <w:rsid w:val="43417BFC"/>
    <w:rsid w:val="44071E88"/>
    <w:rsid w:val="44416DFD"/>
    <w:rsid w:val="44517955"/>
    <w:rsid w:val="445B26F5"/>
    <w:rsid w:val="446C1C22"/>
    <w:rsid w:val="4473208A"/>
    <w:rsid w:val="45586109"/>
    <w:rsid w:val="45725419"/>
    <w:rsid w:val="458616B6"/>
    <w:rsid w:val="45C753F9"/>
    <w:rsid w:val="46120032"/>
    <w:rsid w:val="462820AE"/>
    <w:rsid w:val="466762F5"/>
    <w:rsid w:val="46F16CA6"/>
    <w:rsid w:val="47A04BCE"/>
    <w:rsid w:val="47B7205D"/>
    <w:rsid w:val="47CA2B61"/>
    <w:rsid w:val="48236534"/>
    <w:rsid w:val="485D2610"/>
    <w:rsid w:val="48BA4DE4"/>
    <w:rsid w:val="48FC10E1"/>
    <w:rsid w:val="4961028C"/>
    <w:rsid w:val="49A27E8E"/>
    <w:rsid w:val="4A74485E"/>
    <w:rsid w:val="4ADA762A"/>
    <w:rsid w:val="4AE911F9"/>
    <w:rsid w:val="4AF869CF"/>
    <w:rsid w:val="4B3B3218"/>
    <w:rsid w:val="4B666BE8"/>
    <w:rsid w:val="4B9C2BC8"/>
    <w:rsid w:val="4BD570D5"/>
    <w:rsid w:val="4BEB11E7"/>
    <w:rsid w:val="4C270F59"/>
    <w:rsid w:val="4C2D1FB1"/>
    <w:rsid w:val="4C453030"/>
    <w:rsid w:val="4C5821AD"/>
    <w:rsid w:val="4C6B4F7E"/>
    <w:rsid w:val="4C7E2F03"/>
    <w:rsid w:val="4D104871"/>
    <w:rsid w:val="4DAA0A91"/>
    <w:rsid w:val="4DC64B62"/>
    <w:rsid w:val="4DC76040"/>
    <w:rsid w:val="4E3A4991"/>
    <w:rsid w:val="4E850D95"/>
    <w:rsid w:val="4F0D2D7F"/>
    <w:rsid w:val="4F7C76AF"/>
    <w:rsid w:val="4FA47125"/>
    <w:rsid w:val="508008D7"/>
    <w:rsid w:val="50B87ACA"/>
    <w:rsid w:val="50C64981"/>
    <w:rsid w:val="50D6330E"/>
    <w:rsid w:val="51324F5C"/>
    <w:rsid w:val="51A72EFC"/>
    <w:rsid w:val="51C03D38"/>
    <w:rsid w:val="51E85063"/>
    <w:rsid w:val="520F2D33"/>
    <w:rsid w:val="528B26F9"/>
    <w:rsid w:val="52D9630B"/>
    <w:rsid w:val="53763FF1"/>
    <w:rsid w:val="53955863"/>
    <w:rsid w:val="5469403B"/>
    <w:rsid w:val="548522F6"/>
    <w:rsid w:val="54C6769D"/>
    <w:rsid w:val="555717D2"/>
    <w:rsid w:val="55763F24"/>
    <w:rsid w:val="557C41B0"/>
    <w:rsid w:val="560F39DF"/>
    <w:rsid w:val="56A52AC5"/>
    <w:rsid w:val="56AD68BF"/>
    <w:rsid w:val="571921A6"/>
    <w:rsid w:val="572C74B9"/>
    <w:rsid w:val="57480D96"/>
    <w:rsid w:val="57940DFB"/>
    <w:rsid w:val="57AA77CD"/>
    <w:rsid w:val="57D24929"/>
    <w:rsid w:val="583B164C"/>
    <w:rsid w:val="59AE268A"/>
    <w:rsid w:val="59D76CA2"/>
    <w:rsid w:val="5A9A2CA2"/>
    <w:rsid w:val="5A9E588F"/>
    <w:rsid w:val="5AB26B9A"/>
    <w:rsid w:val="5AF57CA8"/>
    <w:rsid w:val="5B01483E"/>
    <w:rsid w:val="5B3D1EBE"/>
    <w:rsid w:val="5B677F62"/>
    <w:rsid w:val="5BC26416"/>
    <w:rsid w:val="5BC326E1"/>
    <w:rsid w:val="5C7F4D1A"/>
    <w:rsid w:val="5CAF3C8C"/>
    <w:rsid w:val="5D26561D"/>
    <w:rsid w:val="5DC1170F"/>
    <w:rsid w:val="5DD53CE8"/>
    <w:rsid w:val="5E155F26"/>
    <w:rsid w:val="5EB81FFB"/>
    <w:rsid w:val="5ECD209C"/>
    <w:rsid w:val="5ED2780B"/>
    <w:rsid w:val="5EE21E63"/>
    <w:rsid w:val="5F396AA4"/>
    <w:rsid w:val="5F4C126D"/>
    <w:rsid w:val="5F9E76ED"/>
    <w:rsid w:val="5F9F4972"/>
    <w:rsid w:val="5FA00E5A"/>
    <w:rsid w:val="5FA97260"/>
    <w:rsid w:val="5FB824DA"/>
    <w:rsid w:val="605B4B2E"/>
    <w:rsid w:val="605F2D2F"/>
    <w:rsid w:val="60B83228"/>
    <w:rsid w:val="60D01A79"/>
    <w:rsid w:val="61902860"/>
    <w:rsid w:val="61DB57A4"/>
    <w:rsid w:val="62494AD4"/>
    <w:rsid w:val="62C42EC0"/>
    <w:rsid w:val="63103A95"/>
    <w:rsid w:val="63141BC4"/>
    <w:rsid w:val="63343EC4"/>
    <w:rsid w:val="634A5C08"/>
    <w:rsid w:val="637A5D7B"/>
    <w:rsid w:val="637E6ECC"/>
    <w:rsid w:val="63D02F63"/>
    <w:rsid w:val="63F56F6C"/>
    <w:rsid w:val="642A5ECB"/>
    <w:rsid w:val="646B2C8C"/>
    <w:rsid w:val="64E11547"/>
    <w:rsid w:val="6522491C"/>
    <w:rsid w:val="655573D8"/>
    <w:rsid w:val="659A6A51"/>
    <w:rsid w:val="65E2686C"/>
    <w:rsid w:val="66324000"/>
    <w:rsid w:val="663C2EF4"/>
    <w:rsid w:val="666F0E83"/>
    <w:rsid w:val="668E01DB"/>
    <w:rsid w:val="669C5749"/>
    <w:rsid w:val="66BD3492"/>
    <w:rsid w:val="66BF11FA"/>
    <w:rsid w:val="66E8749F"/>
    <w:rsid w:val="670E62A9"/>
    <w:rsid w:val="67144125"/>
    <w:rsid w:val="67263626"/>
    <w:rsid w:val="67463213"/>
    <w:rsid w:val="677016B1"/>
    <w:rsid w:val="67854F5D"/>
    <w:rsid w:val="67D82E5F"/>
    <w:rsid w:val="682A0A7F"/>
    <w:rsid w:val="68610E8A"/>
    <w:rsid w:val="68912DA2"/>
    <w:rsid w:val="68D34A1B"/>
    <w:rsid w:val="6988396D"/>
    <w:rsid w:val="6A527BA0"/>
    <w:rsid w:val="6B6E4002"/>
    <w:rsid w:val="6B8565DF"/>
    <w:rsid w:val="6CA852A0"/>
    <w:rsid w:val="6CB83548"/>
    <w:rsid w:val="6CB84A19"/>
    <w:rsid w:val="6D8D5E71"/>
    <w:rsid w:val="6E3628DA"/>
    <w:rsid w:val="6E8E3022"/>
    <w:rsid w:val="6EC922AC"/>
    <w:rsid w:val="6ECF0FB0"/>
    <w:rsid w:val="6EEA5679"/>
    <w:rsid w:val="6F1B1883"/>
    <w:rsid w:val="6F674D04"/>
    <w:rsid w:val="6F721A1C"/>
    <w:rsid w:val="700B216F"/>
    <w:rsid w:val="70750AEE"/>
    <w:rsid w:val="7083388A"/>
    <w:rsid w:val="70C45C55"/>
    <w:rsid w:val="718E1FFE"/>
    <w:rsid w:val="71BA652D"/>
    <w:rsid w:val="72CD013E"/>
    <w:rsid w:val="737F4569"/>
    <w:rsid w:val="73AB0597"/>
    <w:rsid w:val="73C51294"/>
    <w:rsid w:val="73E313E8"/>
    <w:rsid w:val="73E4024C"/>
    <w:rsid w:val="74435182"/>
    <w:rsid w:val="74922EF9"/>
    <w:rsid w:val="74A71267"/>
    <w:rsid w:val="74D80B53"/>
    <w:rsid w:val="74F50942"/>
    <w:rsid w:val="753A7A60"/>
    <w:rsid w:val="755A7F85"/>
    <w:rsid w:val="756109E7"/>
    <w:rsid w:val="76344BFF"/>
    <w:rsid w:val="7644002B"/>
    <w:rsid w:val="76554513"/>
    <w:rsid w:val="767B4761"/>
    <w:rsid w:val="768F1578"/>
    <w:rsid w:val="76AC53BB"/>
    <w:rsid w:val="76C739E5"/>
    <w:rsid w:val="76DA0495"/>
    <w:rsid w:val="773E61CD"/>
    <w:rsid w:val="778B0C2E"/>
    <w:rsid w:val="77AA24BF"/>
    <w:rsid w:val="78151DD0"/>
    <w:rsid w:val="7817564F"/>
    <w:rsid w:val="786D1560"/>
    <w:rsid w:val="798B63B9"/>
    <w:rsid w:val="7A522C4F"/>
    <w:rsid w:val="7A546ECE"/>
    <w:rsid w:val="7ADC5D4A"/>
    <w:rsid w:val="7B89437B"/>
    <w:rsid w:val="7BD94FAC"/>
    <w:rsid w:val="7C4D1E27"/>
    <w:rsid w:val="7D423AB9"/>
    <w:rsid w:val="7D4D5E56"/>
    <w:rsid w:val="7D990228"/>
    <w:rsid w:val="7DB2546D"/>
    <w:rsid w:val="7DB3689B"/>
    <w:rsid w:val="7DFE7141"/>
    <w:rsid w:val="7E364C22"/>
    <w:rsid w:val="7E573F37"/>
    <w:rsid w:val="7E5864DC"/>
    <w:rsid w:val="7E81400A"/>
    <w:rsid w:val="7E9A1CEC"/>
    <w:rsid w:val="7EEB25DF"/>
    <w:rsid w:val="7EFB0CA7"/>
    <w:rsid w:val="7F0E63B0"/>
    <w:rsid w:val="7F220BD9"/>
    <w:rsid w:val="7F231FE1"/>
    <w:rsid w:val="7F6955C6"/>
    <w:rsid w:val="7F911D6A"/>
    <w:rsid w:val="7FB16274"/>
    <w:rsid w:val="7FCA1FDC"/>
    <w:rsid w:val="7FD73C19"/>
    <w:rsid w:val="7FED3C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4"/>
    <w:link w:val="81"/>
    <w:autoRedefine/>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2"/>
    <w:autoRedefine/>
    <w:qFormat/>
    <w:uiPriority w:val="0"/>
    <w:pPr>
      <w:keepNext/>
      <w:keepLines/>
      <w:spacing w:before="260" w:after="260" w:line="413" w:lineRule="auto"/>
      <w:outlineLvl w:val="2"/>
    </w:pPr>
    <w:rPr>
      <w:b/>
      <w:sz w:val="32"/>
      <w:szCs w:val="20"/>
    </w:rPr>
  </w:style>
  <w:style w:type="paragraph" w:styleId="6">
    <w:name w:val="heading 4"/>
    <w:basedOn w:val="1"/>
    <w:next w:val="1"/>
    <w:link w:val="83"/>
    <w:autoRedefine/>
    <w:qFormat/>
    <w:uiPriority w:val="0"/>
    <w:pPr>
      <w:keepNext/>
      <w:keepLines/>
      <w:spacing w:before="280" w:after="290" w:line="372" w:lineRule="auto"/>
      <w:outlineLvl w:val="3"/>
    </w:pPr>
    <w:rPr>
      <w:rFonts w:ascii="Arial" w:hAnsi="Arial" w:eastAsia="黑体"/>
      <w:b/>
      <w:sz w:val="28"/>
      <w:szCs w:val="20"/>
    </w:rPr>
  </w:style>
  <w:style w:type="paragraph" w:styleId="7">
    <w:name w:val="heading 5"/>
    <w:basedOn w:val="1"/>
    <w:next w:val="1"/>
    <w:link w:val="84"/>
    <w:autoRedefine/>
    <w:qFormat/>
    <w:uiPriority w:val="0"/>
    <w:pPr>
      <w:keepNext/>
      <w:keepLines/>
      <w:spacing w:before="280" w:after="290" w:line="372" w:lineRule="auto"/>
      <w:outlineLvl w:val="4"/>
    </w:pPr>
    <w:rPr>
      <w:rFonts w:ascii="宋体"/>
      <w:b/>
      <w:sz w:val="28"/>
      <w:szCs w:val="20"/>
    </w:rPr>
  </w:style>
  <w:style w:type="paragraph" w:styleId="8">
    <w:name w:val="heading 6"/>
    <w:basedOn w:val="1"/>
    <w:next w:val="1"/>
    <w:link w:val="85"/>
    <w:autoRedefine/>
    <w:qFormat/>
    <w:uiPriority w:val="0"/>
    <w:pPr>
      <w:keepNext/>
      <w:keepLines/>
      <w:tabs>
        <w:tab w:val="left" w:pos="3120"/>
      </w:tabs>
      <w:autoSpaceDE w:val="0"/>
      <w:autoSpaceDN w:val="0"/>
      <w:adjustRightInd w:val="0"/>
      <w:spacing w:before="240" w:after="64" w:line="317" w:lineRule="auto"/>
      <w:ind w:left="3120" w:hanging="420"/>
      <w:textAlignment w:val="baseline"/>
      <w:outlineLvl w:val="5"/>
    </w:pPr>
    <w:rPr>
      <w:rFonts w:ascii="Arial" w:hAnsi="Arial" w:eastAsia="黑体"/>
      <w:b/>
      <w:sz w:val="24"/>
      <w:szCs w:val="20"/>
    </w:rPr>
  </w:style>
  <w:style w:type="paragraph" w:styleId="9">
    <w:name w:val="heading 7"/>
    <w:basedOn w:val="1"/>
    <w:next w:val="1"/>
    <w:link w:val="86"/>
    <w:autoRedefine/>
    <w:qFormat/>
    <w:uiPriority w:val="0"/>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10">
    <w:name w:val="heading 8"/>
    <w:basedOn w:val="1"/>
    <w:next w:val="1"/>
    <w:link w:val="87"/>
    <w:autoRedefine/>
    <w:qFormat/>
    <w:uiPriority w:val="0"/>
    <w:pPr>
      <w:keepNext/>
      <w:keepLines/>
      <w:tabs>
        <w:tab w:val="left" w:pos="3960"/>
      </w:tabs>
      <w:autoSpaceDE w:val="0"/>
      <w:autoSpaceDN w:val="0"/>
      <w:adjustRightInd w:val="0"/>
      <w:spacing w:before="240" w:after="64" w:line="317" w:lineRule="auto"/>
      <w:ind w:left="3960" w:hanging="420"/>
      <w:textAlignment w:val="baseline"/>
      <w:outlineLvl w:val="7"/>
    </w:pPr>
    <w:rPr>
      <w:rFonts w:ascii="Arial" w:hAnsi="Arial" w:eastAsia="黑体"/>
      <w:sz w:val="24"/>
      <w:szCs w:val="20"/>
    </w:rPr>
  </w:style>
  <w:style w:type="paragraph" w:styleId="11">
    <w:name w:val="heading 9"/>
    <w:basedOn w:val="1"/>
    <w:next w:val="1"/>
    <w:link w:val="88"/>
    <w:autoRedefine/>
    <w:qFormat/>
    <w:uiPriority w:val="0"/>
    <w:pPr>
      <w:keepNext/>
      <w:keepLines/>
      <w:tabs>
        <w:tab w:val="left" w:pos="4380"/>
      </w:tabs>
      <w:autoSpaceDE w:val="0"/>
      <w:autoSpaceDN w:val="0"/>
      <w:adjustRightInd w:val="0"/>
      <w:spacing w:before="240" w:after="64" w:line="317" w:lineRule="auto"/>
      <w:ind w:left="4380" w:hanging="420"/>
      <w:textAlignment w:val="baseline"/>
      <w:outlineLvl w:val="8"/>
    </w:pPr>
    <w:rPr>
      <w:rFonts w:ascii="Arial" w:hAnsi="Arial" w:eastAsia="黑体"/>
      <w:szCs w:val="20"/>
    </w:rPr>
  </w:style>
  <w:style w:type="character" w:default="1" w:styleId="69">
    <w:name w:val="Default Paragraph Font"/>
    <w:autoRedefine/>
    <w:semiHidden/>
    <w:unhideWhenUsed/>
    <w:qFormat/>
    <w:uiPriority w:val="1"/>
  </w:style>
  <w:style w:type="table" w:default="1" w:styleId="67">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114"/>
    <w:autoRedefine/>
    <w:qFormat/>
    <w:uiPriority w:val="0"/>
    <w:pPr>
      <w:ind w:firstLine="420"/>
    </w:pPr>
    <w:rPr>
      <w:szCs w:val="20"/>
    </w:rPr>
  </w:style>
  <w:style w:type="paragraph" w:styleId="12">
    <w:name w:val="List 3"/>
    <w:basedOn w:val="1"/>
    <w:autoRedefine/>
    <w:qFormat/>
    <w:uiPriority w:val="0"/>
    <w:pPr>
      <w:ind w:left="100" w:leftChars="400" w:hanging="200" w:hangingChars="200"/>
    </w:pPr>
    <w:rPr>
      <w:rFonts w:ascii="宋体"/>
      <w:sz w:val="28"/>
      <w:szCs w:val="20"/>
    </w:rPr>
  </w:style>
  <w:style w:type="paragraph" w:styleId="13">
    <w:name w:val="List Number 2"/>
    <w:basedOn w:val="1"/>
    <w:autoRedefine/>
    <w:qFormat/>
    <w:uiPriority w:val="0"/>
    <w:pPr>
      <w:tabs>
        <w:tab w:val="left" w:pos="780"/>
      </w:tabs>
      <w:ind w:left="780" w:leftChars="200" w:hanging="360" w:hangingChars="200"/>
    </w:pPr>
    <w:rPr>
      <w:rFonts w:ascii="宋体"/>
      <w:sz w:val="28"/>
      <w:szCs w:val="20"/>
    </w:rPr>
  </w:style>
  <w:style w:type="paragraph" w:styleId="14">
    <w:name w:val="Note Heading"/>
    <w:basedOn w:val="1"/>
    <w:next w:val="1"/>
    <w:link w:val="89"/>
    <w:autoRedefine/>
    <w:qFormat/>
    <w:uiPriority w:val="0"/>
    <w:pPr>
      <w:jc w:val="center"/>
    </w:pPr>
    <w:rPr>
      <w:rFonts w:ascii="宋体"/>
      <w:sz w:val="28"/>
      <w:szCs w:val="20"/>
    </w:rPr>
  </w:style>
  <w:style w:type="paragraph" w:styleId="15">
    <w:name w:val="List Bullet 4"/>
    <w:basedOn w:val="1"/>
    <w:autoRedefine/>
    <w:qFormat/>
    <w:uiPriority w:val="0"/>
    <w:pPr>
      <w:tabs>
        <w:tab w:val="left" w:pos="1620"/>
      </w:tabs>
      <w:ind w:left="1620" w:leftChars="600" w:hanging="360" w:hangingChars="200"/>
    </w:pPr>
    <w:rPr>
      <w:rFonts w:ascii="宋体"/>
      <w:sz w:val="28"/>
      <w:szCs w:val="20"/>
    </w:rPr>
  </w:style>
  <w:style w:type="paragraph" w:styleId="16">
    <w:name w:val="E-mail Signature"/>
    <w:basedOn w:val="1"/>
    <w:link w:val="90"/>
    <w:autoRedefine/>
    <w:qFormat/>
    <w:uiPriority w:val="0"/>
    <w:rPr>
      <w:rFonts w:ascii="宋体"/>
      <w:sz w:val="28"/>
      <w:szCs w:val="20"/>
    </w:rPr>
  </w:style>
  <w:style w:type="paragraph" w:styleId="17">
    <w:name w:val="List Number"/>
    <w:basedOn w:val="1"/>
    <w:autoRedefine/>
    <w:qFormat/>
    <w:uiPriority w:val="0"/>
    <w:pPr>
      <w:tabs>
        <w:tab w:val="left" w:pos="360"/>
      </w:tabs>
      <w:ind w:left="360" w:hanging="360" w:hangingChars="200"/>
    </w:pPr>
    <w:rPr>
      <w:rFonts w:ascii="宋体"/>
      <w:sz w:val="28"/>
      <w:szCs w:val="20"/>
    </w:rPr>
  </w:style>
  <w:style w:type="paragraph" w:styleId="18">
    <w:name w:val="caption"/>
    <w:basedOn w:val="1"/>
    <w:next w:val="1"/>
    <w:link w:val="123"/>
    <w:autoRedefine/>
    <w:qFormat/>
    <w:uiPriority w:val="0"/>
    <w:pPr>
      <w:spacing w:before="152" w:after="160"/>
    </w:pPr>
    <w:rPr>
      <w:rFonts w:ascii="Arial" w:hAnsi="Arial" w:eastAsia="黑体" w:cs="Arial"/>
      <w:sz w:val="20"/>
      <w:szCs w:val="20"/>
    </w:rPr>
  </w:style>
  <w:style w:type="paragraph" w:styleId="19">
    <w:name w:val="List Bullet"/>
    <w:basedOn w:val="1"/>
    <w:autoRedefine/>
    <w:qFormat/>
    <w:uiPriority w:val="0"/>
    <w:pPr>
      <w:tabs>
        <w:tab w:val="left" w:pos="360"/>
      </w:tabs>
      <w:ind w:left="360" w:hanging="360" w:hangingChars="200"/>
    </w:pPr>
    <w:rPr>
      <w:rFonts w:ascii="宋体"/>
      <w:sz w:val="28"/>
      <w:szCs w:val="20"/>
    </w:rPr>
  </w:style>
  <w:style w:type="paragraph" w:styleId="20">
    <w:name w:val="envelope address"/>
    <w:basedOn w:val="1"/>
    <w:autoRedefine/>
    <w:qFormat/>
    <w:uiPriority w:val="0"/>
    <w:pPr>
      <w:snapToGrid w:val="0"/>
      <w:ind w:left="100" w:leftChars="1400"/>
    </w:pPr>
    <w:rPr>
      <w:rFonts w:ascii="Arial" w:hAnsi="Arial"/>
      <w:sz w:val="24"/>
      <w:szCs w:val="20"/>
    </w:rPr>
  </w:style>
  <w:style w:type="paragraph" w:styleId="21">
    <w:name w:val="Document Map"/>
    <w:basedOn w:val="1"/>
    <w:link w:val="91"/>
    <w:autoRedefine/>
    <w:semiHidden/>
    <w:qFormat/>
    <w:uiPriority w:val="0"/>
    <w:pPr>
      <w:shd w:val="clear" w:color="auto" w:fill="000080"/>
    </w:pPr>
    <w:rPr>
      <w:rFonts w:ascii="(使用中文字体)" w:hAnsi="(使用中文字体)" w:eastAsia="(使用中文字体)" w:cs="(使用中文字体)"/>
    </w:rPr>
  </w:style>
  <w:style w:type="paragraph" w:styleId="22">
    <w:name w:val="toa heading"/>
    <w:basedOn w:val="1"/>
    <w:next w:val="1"/>
    <w:autoRedefine/>
    <w:qFormat/>
    <w:uiPriority w:val="0"/>
    <w:pPr>
      <w:spacing w:before="120"/>
    </w:pPr>
    <w:rPr>
      <w:rFonts w:ascii="Arial" w:hAnsi="Arial"/>
      <w:sz w:val="24"/>
    </w:rPr>
  </w:style>
  <w:style w:type="paragraph" w:styleId="23">
    <w:name w:val="annotation text"/>
    <w:basedOn w:val="1"/>
    <w:link w:val="92"/>
    <w:autoRedefine/>
    <w:qFormat/>
    <w:uiPriority w:val="99"/>
    <w:pPr>
      <w:jc w:val="left"/>
    </w:pPr>
  </w:style>
  <w:style w:type="paragraph" w:styleId="24">
    <w:name w:val="Salutation"/>
    <w:basedOn w:val="1"/>
    <w:next w:val="1"/>
    <w:link w:val="93"/>
    <w:autoRedefine/>
    <w:qFormat/>
    <w:uiPriority w:val="0"/>
    <w:rPr>
      <w:rFonts w:ascii="宋体"/>
      <w:sz w:val="28"/>
      <w:szCs w:val="20"/>
    </w:rPr>
  </w:style>
  <w:style w:type="paragraph" w:styleId="25">
    <w:name w:val="Body Text 3"/>
    <w:basedOn w:val="1"/>
    <w:link w:val="94"/>
    <w:autoRedefine/>
    <w:qFormat/>
    <w:uiPriority w:val="0"/>
    <w:pPr>
      <w:spacing w:after="120"/>
    </w:pPr>
    <w:rPr>
      <w:rFonts w:ascii="宋体"/>
      <w:sz w:val="16"/>
      <w:szCs w:val="20"/>
    </w:rPr>
  </w:style>
  <w:style w:type="paragraph" w:styleId="26">
    <w:name w:val="Closing"/>
    <w:basedOn w:val="1"/>
    <w:link w:val="95"/>
    <w:autoRedefine/>
    <w:qFormat/>
    <w:uiPriority w:val="0"/>
    <w:pPr>
      <w:ind w:left="100" w:leftChars="2100"/>
    </w:pPr>
    <w:rPr>
      <w:rFonts w:ascii="宋体"/>
      <w:sz w:val="28"/>
      <w:szCs w:val="20"/>
    </w:rPr>
  </w:style>
  <w:style w:type="paragraph" w:styleId="27">
    <w:name w:val="List Bullet 3"/>
    <w:basedOn w:val="1"/>
    <w:autoRedefine/>
    <w:qFormat/>
    <w:uiPriority w:val="0"/>
    <w:pPr>
      <w:tabs>
        <w:tab w:val="left" w:pos="1200"/>
      </w:tabs>
      <w:ind w:left="1200" w:leftChars="400" w:hanging="360" w:hangingChars="200"/>
    </w:pPr>
    <w:rPr>
      <w:rFonts w:ascii="宋体"/>
      <w:sz w:val="28"/>
      <w:szCs w:val="20"/>
    </w:rPr>
  </w:style>
  <w:style w:type="paragraph" w:styleId="28">
    <w:name w:val="Body Text"/>
    <w:basedOn w:val="1"/>
    <w:next w:val="29"/>
    <w:link w:val="96"/>
    <w:autoRedefine/>
    <w:qFormat/>
    <w:uiPriority w:val="0"/>
    <w:pPr>
      <w:spacing w:line="520" w:lineRule="exact"/>
      <w:jc w:val="center"/>
    </w:pPr>
    <w:rPr>
      <w:rFonts w:eastAsia="黑体"/>
      <w:color w:val="FF0000"/>
      <w:sz w:val="44"/>
    </w:rPr>
  </w:style>
  <w:style w:type="paragraph" w:styleId="29">
    <w:name w:val="Body Text First Indent"/>
    <w:basedOn w:val="28"/>
    <w:next w:val="30"/>
    <w:link w:val="110"/>
    <w:autoRedefine/>
    <w:qFormat/>
    <w:uiPriority w:val="0"/>
    <w:pPr>
      <w:spacing w:after="120" w:line="240" w:lineRule="auto"/>
      <w:ind w:firstLine="420" w:firstLineChars="100"/>
      <w:jc w:val="both"/>
    </w:pPr>
    <w:rPr>
      <w:rFonts w:ascii="宋体" w:eastAsia="宋体"/>
      <w:color w:val="auto"/>
      <w:sz w:val="28"/>
      <w:szCs w:val="20"/>
    </w:rPr>
  </w:style>
  <w:style w:type="paragraph" w:styleId="30">
    <w:name w:val="toc 6"/>
    <w:basedOn w:val="1"/>
    <w:next w:val="1"/>
    <w:autoRedefine/>
    <w:qFormat/>
    <w:uiPriority w:val="0"/>
    <w:pPr>
      <w:ind w:left="1050"/>
      <w:jc w:val="left"/>
    </w:pPr>
    <w:rPr>
      <w:sz w:val="18"/>
      <w:szCs w:val="18"/>
    </w:rPr>
  </w:style>
  <w:style w:type="paragraph" w:styleId="31">
    <w:name w:val="Body Text Indent"/>
    <w:basedOn w:val="1"/>
    <w:next w:val="1"/>
    <w:link w:val="97"/>
    <w:autoRedefine/>
    <w:qFormat/>
    <w:uiPriority w:val="0"/>
    <w:pPr>
      <w:spacing w:line="360" w:lineRule="auto"/>
      <w:ind w:firstLine="600" w:firstLineChars="200"/>
    </w:pPr>
    <w:rPr>
      <w:rFonts w:ascii="仿宋_GB2312" w:hAnsi="宋体" w:eastAsia="仿宋_GB2312"/>
      <w:sz w:val="30"/>
    </w:rPr>
  </w:style>
  <w:style w:type="paragraph" w:styleId="32">
    <w:name w:val="List Number 3"/>
    <w:basedOn w:val="1"/>
    <w:autoRedefine/>
    <w:qFormat/>
    <w:uiPriority w:val="0"/>
    <w:pPr>
      <w:tabs>
        <w:tab w:val="left" w:pos="1200"/>
      </w:tabs>
      <w:ind w:left="1200" w:leftChars="400" w:hanging="360" w:hangingChars="200"/>
    </w:pPr>
    <w:rPr>
      <w:rFonts w:ascii="宋体"/>
      <w:sz w:val="28"/>
      <w:szCs w:val="20"/>
    </w:rPr>
  </w:style>
  <w:style w:type="paragraph" w:styleId="33">
    <w:name w:val="List 2"/>
    <w:basedOn w:val="1"/>
    <w:autoRedefine/>
    <w:qFormat/>
    <w:uiPriority w:val="0"/>
    <w:pPr>
      <w:ind w:left="100" w:leftChars="200" w:hanging="200" w:hangingChars="200"/>
    </w:pPr>
    <w:rPr>
      <w:rFonts w:ascii="宋体"/>
      <w:sz w:val="28"/>
      <w:szCs w:val="20"/>
    </w:rPr>
  </w:style>
  <w:style w:type="paragraph" w:styleId="34">
    <w:name w:val="List Continue"/>
    <w:basedOn w:val="1"/>
    <w:autoRedefine/>
    <w:qFormat/>
    <w:uiPriority w:val="0"/>
    <w:pPr>
      <w:spacing w:after="120"/>
      <w:ind w:left="420" w:leftChars="200"/>
    </w:pPr>
    <w:rPr>
      <w:rFonts w:ascii="宋体"/>
      <w:sz w:val="28"/>
      <w:szCs w:val="20"/>
    </w:rPr>
  </w:style>
  <w:style w:type="paragraph" w:styleId="35">
    <w:name w:val="Block Text"/>
    <w:basedOn w:val="1"/>
    <w:autoRedefine/>
    <w:qFormat/>
    <w:uiPriority w:val="0"/>
    <w:pPr>
      <w:ind w:left="1080" w:right="206" w:firstLine="465"/>
    </w:pPr>
    <w:rPr>
      <w:rFonts w:ascii="楷体_GB2312" w:eastAsia="楷体_GB2312"/>
      <w:sz w:val="28"/>
      <w:szCs w:val="20"/>
    </w:rPr>
  </w:style>
  <w:style w:type="paragraph" w:styleId="36">
    <w:name w:val="List Bullet 2"/>
    <w:basedOn w:val="1"/>
    <w:autoRedefine/>
    <w:qFormat/>
    <w:uiPriority w:val="0"/>
    <w:pPr>
      <w:tabs>
        <w:tab w:val="left" w:pos="780"/>
      </w:tabs>
      <w:ind w:left="780" w:leftChars="200" w:hanging="360" w:hangingChars="200"/>
    </w:pPr>
    <w:rPr>
      <w:rFonts w:ascii="宋体"/>
      <w:sz w:val="28"/>
      <w:szCs w:val="20"/>
    </w:rPr>
  </w:style>
  <w:style w:type="paragraph" w:styleId="37">
    <w:name w:val="HTML Address"/>
    <w:basedOn w:val="1"/>
    <w:link w:val="98"/>
    <w:autoRedefine/>
    <w:qFormat/>
    <w:uiPriority w:val="0"/>
    <w:rPr>
      <w:rFonts w:ascii="宋体"/>
      <w:i/>
      <w:sz w:val="28"/>
      <w:szCs w:val="20"/>
    </w:rPr>
  </w:style>
  <w:style w:type="paragraph" w:styleId="38">
    <w:name w:val="Plain Text"/>
    <w:basedOn w:val="1"/>
    <w:link w:val="99"/>
    <w:autoRedefine/>
    <w:qFormat/>
    <w:uiPriority w:val="0"/>
    <w:rPr>
      <w:rFonts w:ascii="Courier New" w:hAnsi="Courier New"/>
      <w:sz w:val="28"/>
      <w:szCs w:val="20"/>
    </w:rPr>
  </w:style>
  <w:style w:type="paragraph" w:styleId="39">
    <w:name w:val="List Bullet 5"/>
    <w:basedOn w:val="1"/>
    <w:autoRedefine/>
    <w:qFormat/>
    <w:uiPriority w:val="0"/>
    <w:pPr>
      <w:tabs>
        <w:tab w:val="left" w:pos="2040"/>
      </w:tabs>
      <w:ind w:left="2040" w:leftChars="800" w:hanging="360" w:hangingChars="200"/>
    </w:pPr>
    <w:rPr>
      <w:rFonts w:ascii="宋体"/>
      <w:sz w:val="28"/>
      <w:szCs w:val="20"/>
    </w:rPr>
  </w:style>
  <w:style w:type="paragraph" w:styleId="40">
    <w:name w:val="List Number 4"/>
    <w:basedOn w:val="1"/>
    <w:autoRedefine/>
    <w:qFormat/>
    <w:uiPriority w:val="0"/>
    <w:pPr>
      <w:tabs>
        <w:tab w:val="left" w:pos="1620"/>
      </w:tabs>
      <w:ind w:left="1620" w:leftChars="600" w:hanging="360" w:hangingChars="200"/>
    </w:pPr>
    <w:rPr>
      <w:rFonts w:ascii="宋体"/>
      <w:sz w:val="28"/>
      <w:szCs w:val="20"/>
    </w:rPr>
  </w:style>
  <w:style w:type="paragraph" w:styleId="41">
    <w:name w:val="Date"/>
    <w:basedOn w:val="1"/>
    <w:next w:val="1"/>
    <w:link w:val="78"/>
    <w:autoRedefine/>
    <w:unhideWhenUsed/>
    <w:qFormat/>
    <w:uiPriority w:val="0"/>
    <w:pPr>
      <w:ind w:left="100" w:leftChars="2500"/>
    </w:pPr>
  </w:style>
  <w:style w:type="paragraph" w:styleId="42">
    <w:name w:val="Body Text Indent 2"/>
    <w:basedOn w:val="1"/>
    <w:link w:val="100"/>
    <w:autoRedefine/>
    <w:qFormat/>
    <w:uiPriority w:val="0"/>
    <w:pPr>
      <w:spacing w:line="320" w:lineRule="atLeast"/>
      <w:ind w:firstLine="600" w:firstLineChars="250"/>
    </w:pPr>
    <w:rPr>
      <w:rFonts w:ascii="宋体" w:hAnsi="宋体"/>
      <w:sz w:val="24"/>
    </w:rPr>
  </w:style>
  <w:style w:type="paragraph" w:styleId="43">
    <w:name w:val="List Continue 5"/>
    <w:basedOn w:val="1"/>
    <w:autoRedefine/>
    <w:qFormat/>
    <w:uiPriority w:val="0"/>
    <w:pPr>
      <w:spacing w:after="120"/>
      <w:ind w:left="2100" w:leftChars="1000"/>
    </w:pPr>
    <w:rPr>
      <w:rFonts w:ascii="宋体"/>
      <w:sz w:val="28"/>
      <w:szCs w:val="20"/>
    </w:rPr>
  </w:style>
  <w:style w:type="paragraph" w:styleId="44">
    <w:name w:val="Balloon Text"/>
    <w:basedOn w:val="1"/>
    <w:link w:val="101"/>
    <w:autoRedefine/>
    <w:unhideWhenUsed/>
    <w:qFormat/>
    <w:uiPriority w:val="99"/>
    <w:rPr>
      <w:sz w:val="18"/>
      <w:szCs w:val="18"/>
    </w:rPr>
  </w:style>
  <w:style w:type="paragraph" w:styleId="45">
    <w:name w:val="footer"/>
    <w:basedOn w:val="1"/>
    <w:link w:val="77"/>
    <w:autoRedefine/>
    <w:unhideWhenUsed/>
    <w:qFormat/>
    <w:uiPriority w:val="99"/>
    <w:pPr>
      <w:tabs>
        <w:tab w:val="center" w:pos="4153"/>
        <w:tab w:val="right" w:pos="8306"/>
      </w:tabs>
      <w:snapToGrid w:val="0"/>
      <w:jc w:val="left"/>
    </w:pPr>
    <w:rPr>
      <w:sz w:val="18"/>
      <w:szCs w:val="18"/>
    </w:rPr>
  </w:style>
  <w:style w:type="paragraph" w:styleId="46">
    <w:name w:val="envelope return"/>
    <w:basedOn w:val="1"/>
    <w:autoRedefine/>
    <w:qFormat/>
    <w:uiPriority w:val="0"/>
    <w:pPr>
      <w:snapToGrid w:val="0"/>
    </w:pPr>
    <w:rPr>
      <w:rFonts w:ascii="Arial" w:hAnsi="Arial"/>
      <w:sz w:val="28"/>
      <w:szCs w:val="20"/>
    </w:rPr>
  </w:style>
  <w:style w:type="paragraph" w:styleId="47">
    <w:name w:val="header"/>
    <w:basedOn w:val="1"/>
    <w:link w:val="7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8">
    <w:name w:val="Signature"/>
    <w:basedOn w:val="1"/>
    <w:link w:val="102"/>
    <w:autoRedefine/>
    <w:qFormat/>
    <w:uiPriority w:val="0"/>
    <w:pPr>
      <w:ind w:left="100" w:leftChars="2100"/>
    </w:pPr>
    <w:rPr>
      <w:rFonts w:ascii="宋体"/>
      <w:sz w:val="28"/>
      <w:szCs w:val="20"/>
    </w:rPr>
  </w:style>
  <w:style w:type="paragraph" w:styleId="49">
    <w:name w:val="toc 1"/>
    <w:basedOn w:val="1"/>
    <w:next w:val="1"/>
    <w:autoRedefine/>
    <w:semiHidden/>
    <w:qFormat/>
    <w:uiPriority w:val="0"/>
    <w:pPr>
      <w:tabs>
        <w:tab w:val="right" w:leader="dot" w:pos="8296"/>
      </w:tabs>
    </w:pPr>
    <w:rPr>
      <w:rFonts w:ascii="黑体" w:eastAsia="黑体"/>
      <w:b/>
    </w:rPr>
  </w:style>
  <w:style w:type="paragraph" w:styleId="50">
    <w:name w:val="List Continue 4"/>
    <w:basedOn w:val="1"/>
    <w:autoRedefine/>
    <w:qFormat/>
    <w:uiPriority w:val="0"/>
    <w:pPr>
      <w:spacing w:after="120"/>
      <w:ind w:left="1680" w:leftChars="800"/>
    </w:pPr>
    <w:rPr>
      <w:rFonts w:ascii="宋体"/>
      <w:sz w:val="28"/>
      <w:szCs w:val="20"/>
    </w:rPr>
  </w:style>
  <w:style w:type="paragraph" w:styleId="51">
    <w:name w:val="Subtitle"/>
    <w:basedOn w:val="1"/>
    <w:link w:val="103"/>
    <w:autoRedefine/>
    <w:qFormat/>
    <w:uiPriority w:val="0"/>
    <w:pPr>
      <w:spacing w:before="240" w:after="60" w:line="312" w:lineRule="auto"/>
      <w:jc w:val="center"/>
      <w:outlineLvl w:val="1"/>
    </w:pPr>
    <w:rPr>
      <w:rFonts w:ascii="Arial" w:hAnsi="Arial"/>
      <w:b/>
      <w:kern w:val="28"/>
      <w:sz w:val="32"/>
      <w:szCs w:val="20"/>
    </w:rPr>
  </w:style>
  <w:style w:type="paragraph" w:styleId="52">
    <w:name w:val="List Number 5"/>
    <w:basedOn w:val="1"/>
    <w:autoRedefine/>
    <w:qFormat/>
    <w:uiPriority w:val="0"/>
    <w:pPr>
      <w:tabs>
        <w:tab w:val="left" w:pos="2040"/>
      </w:tabs>
      <w:ind w:left="2040" w:leftChars="800" w:hanging="360" w:hangingChars="200"/>
    </w:pPr>
    <w:rPr>
      <w:rFonts w:ascii="宋体"/>
      <w:sz w:val="28"/>
      <w:szCs w:val="20"/>
    </w:rPr>
  </w:style>
  <w:style w:type="paragraph" w:styleId="53">
    <w:name w:val="List"/>
    <w:basedOn w:val="1"/>
    <w:autoRedefine/>
    <w:qFormat/>
    <w:uiPriority w:val="0"/>
    <w:pPr>
      <w:ind w:left="200" w:hanging="200" w:hangingChars="200"/>
    </w:pPr>
    <w:rPr>
      <w:rFonts w:ascii="宋体"/>
      <w:sz w:val="28"/>
      <w:szCs w:val="20"/>
    </w:rPr>
  </w:style>
  <w:style w:type="paragraph" w:styleId="54">
    <w:name w:val="List 5"/>
    <w:basedOn w:val="1"/>
    <w:autoRedefine/>
    <w:qFormat/>
    <w:uiPriority w:val="0"/>
    <w:pPr>
      <w:ind w:left="100" w:leftChars="800" w:hanging="200" w:hangingChars="200"/>
    </w:pPr>
    <w:rPr>
      <w:rFonts w:ascii="宋体"/>
      <w:sz w:val="28"/>
      <w:szCs w:val="20"/>
    </w:rPr>
  </w:style>
  <w:style w:type="paragraph" w:styleId="55">
    <w:name w:val="Body Text Indent 3"/>
    <w:basedOn w:val="1"/>
    <w:link w:val="104"/>
    <w:autoRedefine/>
    <w:qFormat/>
    <w:uiPriority w:val="0"/>
    <w:pPr>
      <w:spacing w:line="560" w:lineRule="exact"/>
      <w:ind w:firstLine="568" w:firstLineChars="200"/>
    </w:pPr>
    <w:rPr>
      <w:rFonts w:ascii="仿宋_GB2312" w:hAnsi="宋体" w:eastAsia="仿宋_GB2312"/>
      <w:spacing w:val="-8"/>
      <w:sz w:val="30"/>
    </w:rPr>
  </w:style>
  <w:style w:type="paragraph" w:styleId="56">
    <w:name w:val="toc 2"/>
    <w:basedOn w:val="1"/>
    <w:next w:val="1"/>
    <w:autoRedefine/>
    <w:semiHidden/>
    <w:qFormat/>
    <w:uiPriority w:val="0"/>
    <w:pPr>
      <w:tabs>
        <w:tab w:val="right" w:leader="dot" w:pos="8296"/>
      </w:tabs>
      <w:ind w:left="420" w:leftChars="200"/>
    </w:pPr>
    <w:rPr>
      <w:rFonts w:ascii="黑体" w:eastAsia="黑体"/>
      <w:b/>
    </w:rPr>
  </w:style>
  <w:style w:type="paragraph" w:styleId="57">
    <w:name w:val="Body Text 2"/>
    <w:basedOn w:val="1"/>
    <w:link w:val="105"/>
    <w:autoRedefine/>
    <w:qFormat/>
    <w:uiPriority w:val="0"/>
    <w:pPr>
      <w:spacing w:line="440" w:lineRule="exact"/>
    </w:pPr>
    <w:rPr>
      <w:rFonts w:ascii="宋体" w:hAnsi="宋体"/>
      <w:sz w:val="24"/>
      <w:szCs w:val="20"/>
    </w:rPr>
  </w:style>
  <w:style w:type="paragraph" w:styleId="58">
    <w:name w:val="List 4"/>
    <w:basedOn w:val="1"/>
    <w:autoRedefine/>
    <w:qFormat/>
    <w:uiPriority w:val="0"/>
    <w:pPr>
      <w:ind w:left="100" w:leftChars="600" w:hanging="200" w:hangingChars="200"/>
    </w:pPr>
    <w:rPr>
      <w:rFonts w:ascii="宋体"/>
      <w:sz w:val="28"/>
      <w:szCs w:val="20"/>
    </w:rPr>
  </w:style>
  <w:style w:type="paragraph" w:styleId="59">
    <w:name w:val="List Continue 2"/>
    <w:basedOn w:val="1"/>
    <w:autoRedefine/>
    <w:qFormat/>
    <w:uiPriority w:val="0"/>
    <w:pPr>
      <w:spacing w:after="120"/>
      <w:ind w:left="840" w:leftChars="400"/>
    </w:pPr>
    <w:rPr>
      <w:rFonts w:ascii="宋体"/>
      <w:sz w:val="28"/>
      <w:szCs w:val="20"/>
    </w:rPr>
  </w:style>
  <w:style w:type="paragraph" w:styleId="60">
    <w:name w:val="Message Header"/>
    <w:basedOn w:val="1"/>
    <w:link w:val="106"/>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styleId="61">
    <w:name w:val="HTML Preformatted"/>
    <w:basedOn w:val="1"/>
    <w:link w:val="107"/>
    <w:autoRedefine/>
    <w:qFormat/>
    <w:uiPriority w:val="99"/>
    <w:rPr>
      <w:rFonts w:ascii="Courier New" w:hAnsi="Courier New"/>
      <w:sz w:val="20"/>
      <w:szCs w:val="20"/>
    </w:rPr>
  </w:style>
  <w:style w:type="paragraph" w:styleId="62">
    <w:name w:val="Normal (Web)"/>
    <w:basedOn w:val="1"/>
    <w:autoRedefine/>
    <w:qFormat/>
    <w:uiPriority w:val="0"/>
    <w:rPr>
      <w:sz w:val="24"/>
      <w:szCs w:val="20"/>
    </w:rPr>
  </w:style>
  <w:style w:type="paragraph" w:styleId="63">
    <w:name w:val="List Continue 3"/>
    <w:basedOn w:val="1"/>
    <w:autoRedefine/>
    <w:qFormat/>
    <w:uiPriority w:val="0"/>
    <w:pPr>
      <w:spacing w:after="120"/>
      <w:ind w:left="1260" w:leftChars="600"/>
    </w:pPr>
    <w:rPr>
      <w:rFonts w:ascii="宋体"/>
      <w:sz w:val="28"/>
      <w:szCs w:val="20"/>
    </w:rPr>
  </w:style>
  <w:style w:type="paragraph" w:styleId="64">
    <w:name w:val="Title"/>
    <w:basedOn w:val="1"/>
    <w:link w:val="108"/>
    <w:autoRedefine/>
    <w:qFormat/>
    <w:uiPriority w:val="0"/>
    <w:pPr>
      <w:spacing w:before="240" w:after="60"/>
      <w:jc w:val="center"/>
      <w:outlineLvl w:val="0"/>
    </w:pPr>
    <w:rPr>
      <w:rFonts w:ascii="Arial" w:hAnsi="Arial"/>
      <w:b/>
      <w:sz w:val="32"/>
      <w:szCs w:val="20"/>
    </w:rPr>
  </w:style>
  <w:style w:type="paragraph" w:styleId="65">
    <w:name w:val="annotation subject"/>
    <w:basedOn w:val="23"/>
    <w:next w:val="23"/>
    <w:link w:val="109"/>
    <w:autoRedefine/>
    <w:unhideWhenUsed/>
    <w:qFormat/>
    <w:uiPriority w:val="99"/>
    <w:rPr>
      <w:b/>
      <w:bCs/>
    </w:rPr>
  </w:style>
  <w:style w:type="paragraph" w:styleId="66">
    <w:name w:val="Body Text First Indent 2"/>
    <w:basedOn w:val="31"/>
    <w:link w:val="111"/>
    <w:autoRedefine/>
    <w:qFormat/>
    <w:uiPriority w:val="0"/>
    <w:pPr>
      <w:spacing w:after="120" w:line="240" w:lineRule="auto"/>
      <w:ind w:left="420" w:leftChars="200" w:firstLine="420"/>
    </w:pPr>
    <w:rPr>
      <w:rFonts w:ascii="宋体" w:hAnsi="Times New Roman" w:eastAsia="宋体"/>
      <w:sz w:val="28"/>
      <w:szCs w:val="20"/>
    </w:rPr>
  </w:style>
  <w:style w:type="table" w:styleId="68">
    <w:name w:val="Table Grid"/>
    <w:basedOn w:val="67"/>
    <w:autoRedefine/>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0">
    <w:name w:val="Strong"/>
    <w:basedOn w:val="69"/>
    <w:autoRedefine/>
    <w:qFormat/>
    <w:uiPriority w:val="0"/>
    <w:rPr>
      <w:b/>
      <w:bCs/>
    </w:rPr>
  </w:style>
  <w:style w:type="character" w:styleId="71">
    <w:name w:val="page number"/>
    <w:basedOn w:val="69"/>
    <w:autoRedefine/>
    <w:qFormat/>
    <w:uiPriority w:val="0"/>
  </w:style>
  <w:style w:type="character" w:styleId="72">
    <w:name w:val="FollowedHyperlink"/>
    <w:basedOn w:val="69"/>
    <w:autoRedefine/>
    <w:qFormat/>
    <w:uiPriority w:val="0"/>
    <w:rPr>
      <w:color w:val="800080"/>
      <w:u w:val="single"/>
    </w:rPr>
  </w:style>
  <w:style w:type="character" w:styleId="73">
    <w:name w:val="Emphasis"/>
    <w:basedOn w:val="69"/>
    <w:autoRedefine/>
    <w:qFormat/>
    <w:uiPriority w:val="20"/>
    <w:rPr>
      <w:rFonts w:eastAsia="宋体"/>
      <w:b/>
      <w:iCs/>
      <w:color w:val="3333FF"/>
      <w:sz w:val="28"/>
    </w:rPr>
  </w:style>
  <w:style w:type="character" w:styleId="74">
    <w:name w:val="Hyperlink"/>
    <w:basedOn w:val="69"/>
    <w:autoRedefine/>
    <w:qFormat/>
    <w:uiPriority w:val="0"/>
    <w:rPr>
      <w:color w:val="0000FF"/>
      <w:u w:val="single"/>
    </w:rPr>
  </w:style>
  <w:style w:type="character" w:styleId="75">
    <w:name w:val="annotation reference"/>
    <w:basedOn w:val="69"/>
    <w:autoRedefine/>
    <w:unhideWhenUsed/>
    <w:qFormat/>
    <w:uiPriority w:val="99"/>
    <w:rPr>
      <w:sz w:val="21"/>
      <w:szCs w:val="21"/>
    </w:rPr>
  </w:style>
  <w:style w:type="character" w:customStyle="1" w:styleId="76">
    <w:name w:val="页眉 Char"/>
    <w:basedOn w:val="69"/>
    <w:link w:val="47"/>
    <w:autoRedefine/>
    <w:qFormat/>
    <w:uiPriority w:val="99"/>
    <w:rPr>
      <w:sz w:val="18"/>
      <w:szCs w:val="18"/>
    </w:rPr>
  </w:style>
  <w:style w:type="character" w:customStyle="1" w:styleId="77">
    <w:name w:val="页脚 Char"/>
    <w:basedOn w:val="69"/>
    <w:link w:val="45"/>
    <w:autoRedefine/>
    <w:qFormat/>
    <w:uiPriority w:val="99"/>
    <w:rPr>
      <w:sz w:val="18"/>
      <w:szCs w:val="18"/>
    </w:rPr>
  </w:style>
  <w:style w:type="character" w:customStyle="1" w:styleId="78">
    <w:name w:val="日期 Char"/>
    <w:basedOn w:val="69"/>
    <w:link w:val="41"/>
    <w:autoRedefine/>
    <w:semiHidden/>
    <w:qFormat/>
    <w:uiPriority w:val="99"/>
    <w:rPr>
      <w:rFonts w:ascii="Times New Roman" w:hAnsi="Times New Roman" w:eastAsia="宋体" w:cs="Times New Roman"/>
      <w:szCs w:val="24"/>
    </w:rPr>
  </w:style>
  <w:style w:type="paragraph" w:styleId="79">
    <w:name w:val="List Paragraph"/>
    <w:basedOn w:val="1"/>
    <w:autoRedefine/>
    <w:qFormat/>
    <w:uiPriority w:val="34"/>
    <w:pPr>
      <w:ind w:firstLine="420" w:firstLineChars="200"/>
    </w:pPr>
  </w:style>
  <w:style w:type="character" w:customStyle="1" w:styleId="80">
    <w:name w:val="标题 1 Char"/>
    <w:basedOn w:val="69"/>
    <w:link w:val="2"/>
    <w:autoRedefine/>
    <w:qFormat/>
    <w:uiPriority w:val="9"/>
    <w:rPr>
      <w:rFonts w:ascii="Times New Roman" w:hAnsi="Times New Roman" w:eastAsia="宋体" w:cs="Times New Roman"/>
      <w:b/>
      <w:bCs/>
      <w:kern w:val="44"/>
      <w:sz w:val="44"/>
      <w:szCs w:val="44"/>
    </w:rPr>
  </w:style>
  <w:style w:type="character" w:customStyle="1" w:styleId="81">
    <w:name w:val="标题 2 Char"/>
    <w:basedOn w:val="69"/>
    <w:link w:val="3"/>
    <w:autoRedefine/>
    <w:qFormat/>
    <w:uiPriority w:val="0"/>
    <w:rPr>
      <w:rFonts w:ascii="Arial" w:hAnsi="Arial" w:eastAsia="黑体" w:cs="Times New Roman"/>
      <w:b/>
      <w:bCs/>
      <w:sz w:val="32"/>
      <w:szCs w:val="32"/>
    </w:rPr>
  </w:style>
  <w:style w:type="character" w:customStyle="1" w:styleId="82">
    <w:name w:val="标题 3 Char"/>
    <w:basedOn w:val="69"/>
    <w:link w:val="5"/>
    <w:autoRedefine/>
    <w:qFormat/>
    <w:uiPriority w:val="0"/>
    <w:rPr>
      <w:rFonts w:ascii="Times New Roman" w:hAnsi="Times New Roman" w:eastAsia="宋体" w:cs="Times New Roman"/>
      <w:b/>
      <w:sz w:val="32"/>
      <w:szCs w:val="20"/>
    </w:rPr>
  </w:style>
  <w:style w:type="character" w:customStyle="1" w:styleId="83">
    <w:name w:val="标题 4 Char"/>
    <w:basedOn w:val="69"/>
    <w:link w:val="6"/>
    <w:autoRedefine/>
    <w:qFormat/>
    <w:uiPriority w:val="0"/>
    <w:rPr>
      <w:rFonts w:ascii="Arial" w:hAnsi="Arial" w:eastAsia="黑体" w:cs="Times New Roman"/>
      <w:b/>
      <w:sz w:val="28"/>
      <w:szCs w:val="20"/>
    </w:rPr>
  </w:style>
  <w:style w:type="character" w:customStyle="1" w:styleId="84">
    <w:name w:val="标题 5 Char"/>
    <w:basedOn w:val="69"/>
    <w:link w:val="7"/>
    <w:autoRedefine/>
    <w:qFormat/>
    <w:uiPriority w:val="0"/>
    <w:rPr>
      <w:rFonts w:ascii="宋体" w:hAnsi="Times New Roman" w:eastAsia="宋体" w:cs="Times New Roman"/>
      <w:b/>
      <w:sz w:val="28"/>
      <w:szCs w:val="20"/>
    </w:rPr>
  </w:style>
  <w:style w:type="character" w:customStyle="1" w:styleId="85">
    <w:name w:val="标题 6 Char"/>
    <w:basedOn w:val="69"/>
    <w:link w:val="8"/>
    <w:autoRedefine/>
    <w:qFormat/>
    <w:uiPriority w:val="0"/>
    <w:rPr>
      <w:rFonts w:ascii="Arial" w:hAnsi="Arial" w:eastAsia="黑体" w:cs="Times New Roman"/>
      <w:b/>
      <w:sz w:val="24"/>
      <w:szCs w:val="20"/>
    </w:rPr>
  </w:style>
  <w:style w:type="character" w:customStyle="1" w:styleId="86">
    <w:name w:val="标题 7 Char"/>
    <w:basedOn w:val="69"/>
    <w:link w:val="9"/>
    <w:autoRedefine/>
    <w:qFormat/>
    <w:uiPriority w:val="0"/>
    <w:rPr>
      <w:rFonts w:ascii="Times New Roman" w:hAnsi="Times New Roman" w:eastAsia="宋体" w:cs="Times New Roman"/>
      <w:b/>
      <w:sz w:val="24"/>
      <w:szCs w:val="20"/>
    </w:rPr>
  </w:style>
  <w:style w:type="character" w:customStyle="1" w:styleId="87">
    <w:name w:val="标题 8 Char"/>
    <w:basedOn w:val="69"/>
    <w:link w:val="10"/>
    <w:autoRedefine/>
    <w:qFormat/>
    <w:uiPriority w:val="0"/>
    <w:rPr>
      <w:rFonts w:ascii="Arial" w:hAnsi="Arial" w:eastAsia="黑体" w:cs="Times New Roman"/>
      <w:sz w:val="24"/>
      <w:szCs w:val="20"/>
    </w:rPr>
  </w:style>
  <w:style w:type="character" w:customStyle="1" w:styleId="88">
    <w:name w:val="标题 9 Char"/>
    <w:basedOn w:val="69"/>
    <w:link w:val="11"/>
    <w:autoRedefine/>
    <w:qFormat/>
    <w:uiPriority w:val="0"/>
    <w:rPr>
      <w:rFonts w:ascii="Arial" w:hAnsi="Arial" w:eastAsia="黑体" w:cs="Times New Roman"/>
      <w:szCs w:val="20"/>
    </w:rPr>
  </w:style>
  <w:style w:type="character" w:customStyle="1" w:styleId="89">
    <w:name w:val="注释标题 Char"/>
    <w:basedOn w:val="69"/>
    <w:link w:val="14"/>
    <w:autoRedefine/>
    <w:qFormat/>
    <w:uiPriority w:val="0"/>
    <w:rPr>
      <w:rFonts w:ascii="宋体" w:hAnsi="Times New Roman" w:eastAsia="宋体" w:cs="Times New Roman"/>
      <w:sz w:val="28"/>
      <w:szCs w:val="20"/>
    </w:rPr>
  </w:style>
  <w:style w:type="character" w:customStyle="1" w:styleId="90">
    <w:name w:val="电子邮件签名 Char"/>
    <w:basedOn w:val="69"/>
    <w:link w:val="16"/>
    <w:autoRedefine/>
    <w:qFormat/>
    <w:uiPriority w:val="0"/>
    <w:rPr>
      <w:rFonts w:ascii="宋体" w:hAnsi="Times New Roman" w:eastAsia="宋体" w:cs="Times New Roman"/>
      <w:sz w:val="28"/>
      <w:szCs w:val="20"/>
    </w:rPr>
  </w:style>
  <w:style w:type="character" w:customStyle="1" w:styleId="91">
    <w:name w:val="文档结构图 Char"/>
    <w:basedOn w:val="69"/>
    <w:link w:val="21"/>
    <w:autoRedefine/>
    <w:semiHidden/>
    <w:qFormat/>
    <w:uiPriority w:val="0"/>
    <w:rPr>
      <w:rFonts w:ascii="(使用中文字体)" w:hAnsi="(使用中文字体)" w:eastAsia="(使用中文字体)" w:cs="(使用中文字体)"/>
      <w:szCs w:val="24"/>
      <w:shd w:val="clear" w:color="auto" w:fill="000080"/>
    </w:rPr>
  </w:style>
  <w:style w:type="character" w:customStyle="1" w:styleId="92">
    <w:name w:val="批注文字 Char"/>
    <w:basedOn w:val="69"/>
    <w:link w:val="23"/>
    <w:autoRedefine/>
    <w:qFormat/>
    <w:uiPriority w:val="99"/>
    <w:rPr>
      <w:rFonts w:ascii="Times New Roman" w:hAnsi="Times New Roman" w:eastAsia="宋体" w:cs="Times New Roman"/>
      <w:szCs w:val="24"/>
    </w:rPr>
  </w:style>
  <w:style w:type="character" w:customStyle="1" w:styleId="93">
    <w:name w:val="称呼 Char"/>
    <w:basedOn w:val="69"/>
    <w:link w:val="24"/>
    <w:autoRedefine/>
    <w:qFormat/>
    <w:uiPriority w:val="0"/>
    <w:rPr>
      <w:rFonts w:ascii="宋体" w:hAnsi="Times New Roman" w:eastAsia="宋体" w:cs="Times New Roman"/>
      <w:sz w:val="28"/>
      <w:szCs w:val="20"/>
    </w:rPr>
  </w:style>
  <w:style w:type="character" w:customStyle="1" w:styleId="94">
    <w:name w:val="正文文本 3 Char"/>
    <w:basedOn w:val="69"/>
    <w:link w:val="25"/>
    <w:autoRedefine/>
    <w:qFormat/>
    <w:uiPriority w:val="0"/>
    <w:rPr>
      <w:rFonts w:ascii="宋体" w:hAnsi="Times New Roman" w:eastAsia="宋体" w:cs="Times New Roman"/>
      <w:sz w:val="16"/>
      <w:szCs w:val="20"/>
    </w:rPr>
  </w:style>
  <w:style w:type="character" w:customStyle="1" w:styleId="95">
    <w:name w:val="结束语 Char"/>
    <w:basedOn w:val="69"/>
    <w:link w:val="26"/>
    <w:autoRedefine/>
    <w:qFormat/>
    <w:uiPriority w:val="0"/>
    <w:rPr>
      <w:rFonts w:ascii="宋体" w:hAnsi="Times New Roman" w:eastAsia="宋体" w:cs="Times New Roman"/>
      <w:sz w:val="28"/>
      <w:szCs w:val="20"/>
    </w:rPr>
  </w:style>
  <w:style w:type="character" w:customStyle="1" w:styleId="96">
    <w:name w:val="正文文本 Char"/>
    <w:basedOn w:val="69"/>
    <w:link w:val="28"/>
    <w:autoRedefine/>
    <w:qFormat/>
    <w:uiPriority w:val="0"/>
    <w:rPr>
      <w:rFonts w:ascii="Times New Roman" w:hAnsi="Times New Roman" w:eastAsia="黑体" w:cs="Times New Roman"/>
      <w:color w:val="FF0000"/>
      <w:sz w:val="44"/>
      <w:szCs w:val="24"/>
    </w:rPr>
  </w:style>
  <w:style w:type="character" w:customStyle="1" w:styleId="97">
    <w:name w:val="正文文本缩进 Char"/>
    <w:basedOn w:val="69"/>
    <w:link w:val="31"/>
    <w:autoRedefine/>
    <w:qFormat/>
    <w:uiPriority w:val="0"/>
    <w:rPr>
      <w:rFonts w:ascii="仿宋_GB2312" w:hAnsi="宋体" w:eastAsia="仿宋_GB2312" w:cs="Times New Roman"/>
      <w:sz w:val="30"/>
      <w:szCs w:val="24"/>
    </w:rPr>
  </w:style>
  <w:style w:type="character" w:customStyle="1" w:styleId="98">
    <w:name w:val="HTML 地址 Char"/>
    <w:basedOn w:val="69"/>
    <w:link w:val="37"/>
    <w:autoRedefine/>
    <w:qFormat/>
    <w:uiPriority w:val="0"/>
    <w:rPr>
      <w:rFonts w:ascii="宋体" w:hAnsi="Times New Roman" w:eastAsia="宋体" w:cs="Times New Roman"/>
      <w:i/>
      <w:sz w:val="28"/>
      <w:szCs w:val="20"/>
    </w:rPr>
  </w:style>
  <w:style w:type="character" w:customStyle="1" w:styleId="99">
    <w:name w:val="纯文本 Char"/>
    <w:basedOn w:val="69"/>
    <w:link w:val="38"/>
    <w:autoRedefine/>
    <w:qFormat/>
    <w:uiPriority w:val="0"/>
    <w:rPr>
      <w:rFonts w:ascii="Courier New" w:hAnsi="Courier New" w:eastAsia="宋体" w:cs="Times New Roman"/>
      <w:sz w:val="28"/>
      <w:szCs w:val="20"/>
    </w:rPr>
  </w:style>
  <w:style w:type="character" w:customStyle="1" w:styleId="100">
    <w:name w:val="正文文本缩进 2 Char"/>
    <w:basedOn w:val="69"/>
    <w:link w:val="42"/>
    <w:autoRedefine/>
    <w:qFormat/>
    <w:uiPriority w:val="0"/>
    <w:rPr>
      <w:rFonts w:ascii="宋体" w:hAnsi="宋体" w:eastAsia="宋体" w:cs="Times New Roman"/>
      <w:sz w:val="24"/>
      <w:szCs w:val="24"/>
    </w:rPr>
  </w:style>
  <w:style w:type="character" w:customStyle="1" w:styleId="101">
    <w:name w:val="批注框文本 Char"/>
    <w:basedOn w:val="69"/>
    <w:link w:val="44"/>
    <w:autoRedefine/>
    <w:qFormat/>
    <w:uiPriority w:val="99"/>
    <w:rPr>
      <w:rFonts w:ascii="Times New Roman" w:hAnsi="Times New Roman" w:eastAsia="宋体" w:cs="Times New Roman"/>
      <w:sz w:val="18"/>
      <w:szCs w:val="18"/>
    </w:rPr>
  </w:style>
  <w:style w:type="character" w:customStyle="1" w:styleId="102">
    <w:name w:val="签名 Char"/>
    <w:basedOn w:val="69"/>
    <w:link w:val="48"/>
    <w:autoRedefine/>
    <w:qFormat/>
    <w:uiPriority w:val="0"/>
    <w:rPr>
      <w:rFonts w:ascii="宋体" w:hAnsi="Times New Roman" w:eastAsia="宋体" w:cs="Times New Roman"/>
      <w:sz w:val="28"/>
      <w:szCs w:val="20"/>
    </w:rPr>
  </w:style>
  <w:style w:type="character" w:customStyle="1" w:styleId="103">
    <w:name w:val="副标题 Char"/>
    <w:basedOn w:val="69"/>
    <w:link w:val="51"/>
    <w:autoRedefine/>
    <w:qFormat/>
    <w:uiPriority w:val="0"/>
    <w:rPr>
      <w:rFonts w:ascii="Arial" w:hAnsi="Arial" w:eastAsia="宋体" w:cs="Times New Roman"/>
      <w:b/>
      <w:kern w:val="28"/>
      <w:sz w:val="32"/>
      <w:szCs w:val="20"/>
    </w:rPr>
  </w:style>
  <w:style w:type="character" w:customStyle="1" w:styleId="104">
    <w:name w:val="正文文本缩进 3 Char"/>
    <w:basedOn w:val="69"/>
    <w:link w:val="55"/>
    <w:autoRedefine/>
    <w:qFormat/>
    <w:uiPriority w:val="0"/>
    <w:rPr>
      <w:rFonts w:ascii="仿宋_GB2312" w:hAnsi="宋体" w:eastAsia="仿宋_GB2312" w:cs="Times New Roman"/>
      <w:spacing w:val="-8"/>
      <w:sz w:val="30"/>
      <w:szCs w:val="24"/>
    </w:rPr>
  </w:style>
  <w:style w:type="character" w:customStyle="1" w:styleId="105">
    <w:name w:val="正文文本 2 Char"/>
    <w:basedOn w:val="69"/>
    <w:link w:val="57"/>
    <w:autoRedefine/>
    <w:qFormat/>
    <w:uiPriority w:val="0"/>
    <w:rPr>
      <w:rFonts w:ascii="宋体" w:hAnsi="宋体" w:eastAsia="宋体" w:cs="Times New Roman"/>
      <w:sz w:val="24"/>
      <w:szCs w:val="20"/>
    </w:rPr>
  </w:style>
  <w:style w:type="character" w:customStyle="1" w:styleId="106">
    <w:name w:val="信息标题 Char"/>
    <w:basedOn w:val="69"/>
    <w:link w:val="60"/>
    <w:autoRedefine/>
    <w:qFormat/>
    <w:uiPriority w:val="0"/>
    <w:rPr>
      <w:rFonts w:ascii="Arial" w:hAnsi="Arial" w:eastAsia="宋体" w:cs="Times New Roman"/>
      <w:sz w:val="24"/>
      <w:szCs w:val="20"/>
      <w:shd w:val="pct20" w:color="auto" w:fill="auto"/>
    </w:rPr>
  </w:style>
  <w:style w:type="character" w:customStyle="1" w:styleId="107">
    <w:name w:val="HTML 预设格式 Char"/>
    <w:basedOn w:val="69"/>
    <w:link w:val="61"/>
    <w:autoRedefine/>
    <w:qFormat/>
    <w:uiPriority w:val="99"/>
    <w:rPr>
      <w:rFonts w:ascii="Courier New" w:hAnsi="Courier New" w:eastAsia="宋体" w:cs="Times New Roman"/>
      <w:sz w:val="20"/>
      <w:szCs w:val="20"/>
    </w:rPr>
  </w:style>
  <w:style w:type="character" w:customStyle="1" w:styleId="108">
    <w:name w:val="标题 Char"/>
    <w:basedOn w:val="69"/>
    <w:link w:val="64"/>
    <w:autoRedefine/>
    <w:qFormat/>
    <w:uiPriority w:val="0"/>
    <w:rPr>
      <w:rFonts w:ascii="Arial" w:hAnsi="Arial" w:eastAsia="宋体" w:cs="Times New Roman"/>
      <w:b/>
      <w:sz w:val="32"/>
      <w:szCs w:val="20"/>
    </w:rPr>
  </w:style>
  <w:style w:type="character" w:customStyle="1" w:styleId="109">
    <w:name w:val="批注主题 Char"/>
    <w:basedOn w:val="92"/>
    <w:link w:val="65"/>
    <w:autoRedefine/>
    <w:qFormat/>
    <w:uiPriority w:val="99"/>
    <w:rPr>
      <w:b/>
      <w:bCs/>
    </w:rPr>
  </w:style>
  <w:style w:type="character" w:customStyle="1" w:styleId="110">
    <w:name w:val="正文首行缩进 Char"/>
    <w:basedOn w:val="96"/>
    <w:link w:val="29"/>
    <w:autoRedefine/>
    <w:qFormat/>
    <w:uiPriority w:val="0"/>
    <w:rPr>
      <w:rFonts w:ascii="宋体" w:eastAsia="宋体"/>
      <w:sz w:val="28"/>
      <w:szCs w:val="20"/>
    </w:rPr>
  </w:style>
  <w:style w:type="character" w:customStyle="1" w:styleId="111">
    <w:name w:val="正文首行缩进 2 Char"/>
    <w:basedOn w:val="97"/>
    <w:link w:val="66"/>
    <w:autoRedefine/>
    <w:qFormat/>
    <w:uiPriority w:val="0"/>
    <w:rPr>
      <w:rFonts w:ascii="宋体" w:hAnsi="Times New Roman" w:eastAsia="宋体"/>
      <w:sz w:val="28"/>
      <w:szCs w:val="20"/>
    </w:rPr>
  </w:style>
  <w:style w:type="character" w:customStyle="1" w:styleId="112">
    <w:name w:val="table-header"/>
    <w:basedOn w:val="69"/>
    <w:autoRedefine/>
    <w:qFormat/>
    <w:uiPriority w:val="0"/>
  </w:style>
  <w:style w:type="character" w:customStyle="1" w:styleId="113">
    <w:name w:val="ptb181"/>
    <w:basedOn w:val="69"/>
    <w:autoRedefine/>
    <w:qFormat/>
    <w:uiPriority w:val="0"/>
    <w:rPr>
      <w:rFonts w:hint="default" w:ascii="Verdana" w:hAnsi="Verdana"/>
      <w:b/>
      <w:bCs/>
      <w:color w:val="000000"/>
      <w:sz w:val="27"/>
      <w:szCs w:val="27"/>
    </w:rPr>
  </w:style>
  <w:style w:type="character" w:customStyle="1" w:styleId="114">
    <w:name w:val="正文缩进 Char"/>
    <w:basedOn w:val="69"/>
    <w:link w:val="4"/>
    <w:autoRedefine/>
    <w:qFormat/>
    <w:uiPriority w:val="0"/>
    <w:rPr>
      <w:rFonts w:ascii="Times New Roman" w:hAnsi="Times New Roman" w:eastAsia="宋体" w:cs="Times New Roman"/>
      <w:szCs w:val="20"/>
    </w:rPr>
  </w:style>
  <w:style w:type="character" w:customStyle="1" w:styleId="115">
    <w:name w:val="Texte Char"/>
    <w:basedOn w:val="69"/>
    <w:autoRedefine/>
    <w:qFormat/>
    <w:uiPriority w:val="0"/>
    <w:rPr>
      <w:rFonts w:ascii="宋体" w:hAnsi="Courier New" w:eastAsia="宋体"/>
      <w:sz w:val="21"/>
      <w:szCs w:val="21"/>
      <w:lang w:val="en-US" w:eastAsia="zh-CN" w:bidi="ar-SA"/>
    </w:rPr>
  </w:style>
  <w:style w:type="character" w:customStyle="1" w:styleId="116">
    <w:name w:val="Char Char12"/>
    <w:autoRedefine/>
    <w:qFormat/>
    <w:uiPriority w:val="0"/>
    <w:rPr>
      <w:rFonts w:ascii="仿宋_GB2312" w:hAnsi="宋体" w:eastAsia="仿宋_GB2312"/>
      <w:kern w:val="2"/>
      <w:sz w:val="30"/>
      <w:szCs w:val="24"/>
      <w:lang w:val="en-US" w:eastAsia="zh-CN" w:bidi="ar-SA"/>
    </w:rPr>
  </w:style>
  <w:style w:type="character" w:customStyle="1" w:styleId="117">
    <w:name w:val="style13"/>
    <w:basedOn w:val="69"/>
    <w:autoRedefine/>
    <w:qFormat/>
    <w:uiPriority w:val="0"/>
  </w:style>
  <w:style w:type="character" w:customStyle="1" w:styleId="118">
    <w:name w:val="Char Char9"/>
    <w:autoRedefine/>
    <w:qFormat/>
    <w:uiPriority w:val="0"/>
    <w:rPr>
      <w:rFonts w:ascii="宋体" w:hAnsi="Courier New" w:eastAsia="宋体"/>
      <w:kern w:val="2"/>
      <w:sz w:val="21"/>
      <w:lang w:val="en-US" w:eastAsia="zh-CN" w:bidi="ar-SA"/>
    </w:rPr>
  </w:style>
  <w:style w:type="character" w:customStyle="1" w:styleId="119">
    <w:name w:val="tw4winJump"/>
    <w:autoRedefine/>
    <w:qFormat/>
    <w:uiPriority w:val="0"/>
    <w:rPr>
      <w:rFonts w:ascii="Courier New" w:hAnsi="Courier New"/>
      <w:color w:val="008080"/>
    </w:rPr>
  </w:style>
  <w:style w:type="character" w:customStyle="1" w:styleId="120">
    <w:name w:val="列出段落 Char"/>
    <w:link w:val="121"/>
    <w:autoRedefine/>
    <w:qFormat/>
    <w:uiPriority w:val="34"/>
  </w:style>
  <w:style w:type="paragraph" w:customStyle="1" w:styleId="121">
    <w:name w:val="列出段落1"/>
    <w:basedOn w:val="1"/>
    <w:link w:val="120"/>
    <w:autoRedefine/>
    <w:qFormat/>
    <w:uiPriority w:val="34"/>
    <w:pPr>
      <w:ind w:firstLine="420" w:firstLineChars="200"/>
    </w:pPr>
    <w:rPr>
      <w:rFonts w:asciiTheme="minorHAnsi" w:hAnsiTheme="minorHAnsi" w:eastAsiaTheme="minorEastAsia" w:cstheme="minorBidi"/>
      <w:szCs w:val="22"/>
    </w:rPr>
  </w:style>
  <w:style w:type="character" w:customStyle="1" w:styleId="122">
    <w:name w:val="Char Char11"/>
    <w:autoRedefine/>
    <w:qFormat/>
    <w:uiPriority w:val="0"/>
    <w:rPr>
      <w:rFonts w:ascii="宋体" w:hAnsi="Courier New" w:eastAsia="宋体"/>
      <w:kern w:val="2"/>
      <w:sz w:val="21"/>
      <w:lang w:val="en-US" w:eastAsia="zh-CN" w:bidi="ar-SA"/>
    </w:rPr>
  </w:style>
  <w:style w:type="character" w:customStyle="1" w:styleId="123">
    <w:name w:val="题注 Char"/>
    <w:link w:val="18"/>
    <w:autoRedefine/>
    <w:qFormat/>
    <w:uiPriority w:val="0"/>
    <w:rPr>
      <w:rFonts w:ascii="Arial" w:hAnsi="Arial" w:eastAsia="黑体" w:cs="Arial"/>
      <w:sz w:val="20"/>
      <w:szCs w:val="20"/>
    </w:rPr>
  </w:style>
  <w:style w:type="character" w:customStyle="1" w:styleId="124">
    <w:name w:val="明显参考1"/>
    <w:basedOn w:val="69"/>
    <w:autoRedefine/>
    <w:qFormat/>
    <w:uiPriority w:val="0"/>
    <w:rPr>
      <w:b/>
      <w:bCs/>
      <w:smallCaps/>
      <w:color w:val="C0504D"/>
      <w:spacing w:val="5"/>
      <w:u w:val="single"/>
    </w:rPr>
  </w:style>
  <w:style w:type="character" w:customStyle="1" w:styleId="125">
    <w:name w:val="标题 1 Char Char"/>
    <w:basedOn w:val="69"/>
    <w:autoRedefine/>
    <w:qFormat/>
    <w:uiPriority w:val="0"/>
    <w:rPr>
      <w:rFonts w:eastAsia="宋体"/>
      <w:b/>
      <w:spacing w:val="-2"/>
      <w:sz w:val="24"/>
      <w:lang w:val="en-US" w:eastAsia="zh-CN" w:bidi="ar-SA"/>
    </w:rPr>
  </w:style>
  <w:style w:type="character" w:customStyle="1" w:styleId="126">
    <w:name w:val="chs1"/>
    <w:basedOn w:val="69"/>
    <w:autoRedefine/>
    <w:qFormat/>
    <w:uiPriority w:val="0"/>
    <w:rPr>
      <w:rFonts w:hint="default"/>
      <w:sz w:val="18"/>
      <w:szCs w:val="18"/>
    </w:rPr>
  </w:style>
  <w:style w:type="character" w:customStyle="1" w:styleId="127">
    <w:name w:val="偏离表字体 Char"/>
    <w:link w:val="128"/>
    <w:autoRedefine/>
    <w:qFormat/>
    <w:uiPriority w:val="0"/>
    <w:rPr>
      <w:rFonts w:ascii="宋体" w:hAnsi="宋体"/>
      <w:szCs w:val="21"/>
    </w:rPr>
  </w:style>
  <w:style w:type="paragraph" w:customStyle="1" w:styleId="128">
    <w:name w:val="偏离表字体"/>
    <w:basedOn w:val="1"/>
    <w:link w:val="127"/>
    <w:autoRedefine/>
    <w:qFormat/>
    <w:uiPriority w:val="0"/>
    <w:pPr>
      <w:tabs>
        <w:tab w:val="left" w:pos="4212"/>
      </w:tabs>
      <w:ind w:left="1" w:right="71" w:rightChars="34"/>
      <w:jc w:val="left"/>
    </w:pPr>
    <w:rPr>
      <w:rFonts w:ascii="宋体" w:hAnsi="宋体" w:eastAsiaTheme="minorEastAsia" w:cstheme="minorBidi"/>
      <w:szCs w:val="21"/>
    </w:rPr>
  </w:style>
  <w:style w:type="character" w:customStyle="1" w:styleId="129">
    <w:name w:val="ding"/>
    <w:basedOn w:val="69"/>
    <w:autoRedefine/>
    <w:qFormat/>
    <w:uiPriority w:val="0"/>
  </w:style>
  <w:style w:type="character" w:customStyle="1" w:styleId="130">
    <w:name w:val="apple-converted-space"/>
    <w:basedOn w:val="69"/>
    <w:autoRedefine/>
    <w:qFormat/>
    <w:uiPriority w:val="0"/>
  </w:style>
  <w:style w:type="character" w:customStyle="1" w:styleId="131">
    <w:name w:val="style61"/>
    <w:basedOn w:val="69"/>
    <w:autoRedefine/>
    <w:qFormat/>
    <w:uiPriority w:val="0"/>
    <w:rPr>
      <w:rFonts w:hint="default" w:ascii="Arial" w:hAnsi="Arial"/>
    </w:rPr>
  </w:style>
  <w:style w:type="character" w:customStyle="1" w:styleId="132">
    <w:name w:val="fontstyle01"/>
    <w:autoRedefine/>
    <w:qFormat/>
    <w:uiPriority w:val="0"/>
    <w:rPr>
      <w:rFonts w:hint="eastAsia" w:ascii="宋体" w:hAnsi="宋体" w:eastAsia="宋体"/>
      <w:color w:val="000000"/>
      <w:sz w:val="22"/>
      <w:szCs w:val="22"/>
    </w:rPr>
  </w:style>
  <w:style w:type="paragraph" w:customStyle="1" w:styleId="133">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134">
    <w:name w:val="_Style 10"/>
    <w:basedOn w:val="1"/>
    <w:autoRedefine/>
    <w:qFormat/>
    <w:uiPriority w:val="0"/>
    <w:pPr>
      <w:spacing w:line="360" w:lineRule="auto"/>
      <w:ind w:firstLine="200" w:firstLineChars="200"/>
    </w:pPr>
  </w:style>
  <w:style w:type="paragraph" w:customStyle="1" w:styleId="13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6">
    <w:name w:val="Char"/>
    <w:basedOn w:val="1"/>
    <w:autoRedefine/>
    <w:qFormat/>
    <w:uiPriority w:val="0"/>
    <w:rPr>
      <w:rFonts w:ascii="仿宋_GB2312" w:eastAsia="仿宋_GB2312"/>
      <w:b/>
      <w:sz w:val="32"/>
      <w:szCs w:val="32"/>
    </w:rPr>
  </w:style>
  <w:style w:type="paragraph" w:customStyle="1" w:styleId="137">
    <w:name w:val="公司名"/>
    <w:basedOn w:val="1"/>
    <w:autoRedefine/>
    <w:qFormat/>
    <w:uiPriority w:val="0"/>
    <w:pPr>
      <w:framePr w:w="3840" w:h="1366" w:wrap="notBeside" w:vAnchor="page" w:hAnchor="margin" w:y="889"/>
      <w:widowControl/>
      <w:adjustRightInd w:val="0"/>
      <w:spacing w:line="280" w:lineRule="atLeast"/>
      <w:jc w:val="left"/>
      <w:textAlignment w:val="baseline"/>
    </w:pPr>
    <w:rPr>
      <w:rFonts w:ascii="Arial Black" w:hAnsi="Arial Black" w:eastAsia="楷体_GB2312"/>
      <w:spacing w:val="-25"/>
      <w:kern w:val="0"/>
      <w:sz w:val="48"/>
      <w:szCs w:val="20"/>
    </w:rPr>
  </w:style>
  <w:style w:type="paragraph" w:customStyle="1" w:styleId="138">
    <w:name w:val="Default Paragraph Font Para Char"/>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139">
    <w:name w:val="正文段"/>
    <w:basedOn w:val="1"/>
    <w:autoRedefine/>
    <w:qFormat/>
    <w:uiPriority w:val="0"/>
    <w:pPr>
      <w:widowControl/>
      <w:snapToGrid w:val="0"/>
      <w:spacing w:afterLines="50"/>
      <w:ind w:firstLine="200" w:firstLineChars="200"/>
    </w:pPr>
    <w:rPr>
      <w:kern w:val="0"/>
      <w:sz w:val="24"/>
      <w:szCs w:val="20"/>
    </w:rPr>
  </w:style>
  <w:style w:type="paragraph" w:customStyle="1" w:styleId="140">
    <w:name w:val="xl25"/>
    <w:basedOn w:val="1"/>
    <w:autoRedefine/>
    <w:qFormat/>
    <w:uiPriority w:val="0"/>
    <w:pPr>
      <w:widowControl/>
      <w:spacing w:before="100" w:beforeAutospacing="1" w:after="100" w:afterAutospacing="1"/>
      <w:jc w:val="center"/>
    </w:pPr>
    <w:rPr>
      <w:rFonts w:hint="eastAsia" w:ascii="楷体_GB2312" w:hAnsi="宋体" w:eastAsia="楷体_GB2312"/>
      <w:kern w:val="0"/>
      <w:sz w:val="24"/>
    </w:rPr>
  </w:style>
  <w:style w:type="paragraph" w:customStyle="1" w:styleId="141">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Char Char Char Char1"/>
    <w:basedOn w:val="1"/>
    <w:autoRedefine/>
    <w:qFormat/>
    <w:uiPriority w:val="0"/>
    <w:rPr>
      <w:rFonts w:ascii="Tahoma" w:hAnsi="Tahoma"/>
      <w:sz w:val="24"/>
      <w:szCs w:val="20"/>
    </w:rPr>
  </w:style>
  <w:style w:type="paragraph" w:customStyle="1" w:styleId="143">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44">
    <w:name w:val="A正文小四"/>
    <w:basedOn w:val="1"/>
    <w:autoRedefine/>
    <w:qFormat/>
    <w:uiPriority w:val="0"/>
    <w:pPr>
      <w:spacing w:line="360" w:lineRule="auto"/>
      <w:ind w:firstLine="600" w:firstLineChars="200"/>
      <w:jc w:val="left"/>
    </w:pPr>
    <w:rPr>
      <w:color w:val="000000"/>
    </w:rPr>
  </w:style>
  <w:style w:type="paragraph" w:customStyle="1" w:styleId="145">
    <w:name w:val="标题1"/>
    <w:basedOn w:val="38"/>
    <w:next w:val="3"/>
    <w:autoRedefine/>
    <w:qFormat/>
    <w:uiPriority w:val="0"/>
    <w:pPr>
      <w:spacing w:line="520" w:lineRule="exact"/>
      <w:jc w:val="center"/>
      <w:outlineLvl w:val="0"/>
    </w:pPr>
    <w:rPr>
      <w:rFonts w:ascii="黑体" w:hAnsi="宋体" w:eastAsia="黑体"/>
      <w:b/>
      <w:kern w:val="0"/>
      <w:sz w:val="36"/>
    </w:rPr>
  </w:style>
  <w:style w:type="paragraph" w:customStyle="1" w:styleId="146">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147">
    <w:name w:val="表格内容"/>
    <w:basedOn w:val="1"/>
    <w:autoRedefine/>
    <w:qFormat/>
    <w:uiPriority w:val="0"/>
    <w:pPr>
      <w:adjustRightInd w:val="0"/>
      <w:spacing w:before="40"/>
      <w:jc w:val="left"/>
      <w:textAlignment w:val="baseline"/>
    </w:pPr>
    <w:rPr>
      <w:sz w:val="24"/>
      <w:szCs w:val="20"/>
    </w:rPr>
  </w:style>
  <w:style w:type="paragraph" w:customStyle="1" w:styleId="148">
    <w:name w:val="表内文字"/>
    <w:basedOn w:val="1"/>
    <w:autoRedefine/>
    <w:qFormat/>
    <w:uiPriority w:val="0"/>
    <w:pPr>
      <w:tabs>
        <w:tab w:val="left" w:pos="1418"/>
      </w:tabs>
      <w:jc w:val="center"/>
    </w:pPr>
    <w:rPr>
      <w:rFonts w:ascii="仿宋_GB2312" w:eastAsia="仿宋_GB2312"/>
      <w:spacing w:val="-20"/>
      <w:kern w:val="0"/>
      <w:sz w:val="24"/>
    </w:rPr>
  </w:style>
  <w:style w:type="paragraph" w:customStyle="1" w:styleId="149">
    <w:name w:val="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0">
    <w:name w:val="p0"/>
    <w:basedOn w:val="1"/>
    <w:autoRedefine/>
    <w:qFormat/>
    <w:uiPriority w:val="99"/>
    <w:pPr>
      <w:widowControl/>
    </w:pPr>
    <w:rPr>
      <w:kern w:val="0"/>
      <w:szCs w:val="21"/>
    </w:rPr>
  </w:style>
  <w:style w:type="paragraph" w:customStyle="1" w:styleId="151">
    <w:name w:val="Char Char15"/>
    <w:basedOn w:val="1"/>
    <w:autoRedefine/>
    <w:qFormat/>
    <w:uiPriority w:val="0"/>
    <w:pPr>
      <w:spacing w:line="360" w:lineRule="auto"/>
      <w:ind w:firstLine="200" w:firstLineChars="200"/>
    </w:pPr>
  </w:style>
  <w:style w:type="paragraph" w:customStyle="1" w:styleId="152">
    <w:name w:val="纯文本1"/>
    <w:basedOn w:val="1"/>
    <w:autoRedefine/>
    <w:qFormat/>
    <w:uiPriority w:val="0"/>
    <w:pPr>
      <w:adjustRightInd w:val="0"/>
      <w:textAlignment w:val="baseline"/>
    </w:pPr>
    <w:rPr>
      <w:rFonts w:ascii="Courier New" w:hAnsi="Courier New"/>
      <w:sz w:val="28"/>
      <w:szCs w:val="20"/>
    </w:rPr>
  </w:style>
  <w:style w:type="paragraph" w:customStyle="1" w:styleId="153">
    <w:name w:val="xl26"/>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kern w:val="0"/>
      <w:sz w:val="18"/>
      <w:szCs w:val="20"/>
    </w:rPr>
  </w:style>
  <w:style w:type="paragraph" w:customStyle="1" w:styleId="154">
    <w:name w:val="Char1"/>
    <w:basedOn w:val="1"/>
    <w:autoRedefine/>
    <w:qFormat/>
    <w:uiPriority w:val="0"/>
    <w:rPr>
      <w:rFonts w:ascii="仿宋_GB2312" w:eastAsia="仿宋_GB2312"/>
      <w:b/>
      <w:sz w:val="32"/>
      <w:szCs w:val="32"/>
    </w:rPr>
  </w:style>
  <w:style w:type="paragraph" w:customStyle="1" w:styleId="155">
    <w:name w:val="Char Char Char Char Char Char"/>
    <w:basedOn w:val="1"/>
    <w:autoRedefine/>
    <w:qFormat/>
    <w:uiPriority w:val="0"/>
    <w:pPr>
      <w:widowControl/>
      <w:spacing w:after="160" w:line="240" w:lineRule="exact"/>
      <w:jc w:val="left"/>
    </w:pPr>
  </w:style>
  <w:style w:type="paragraph" w:customStyle="1" w:styleId="156">
    <w:name w:val="Char Char Char Char Char Char1"/>
    <w:basedOn w:val="1"/>
    <w:autoRedefine/>
    <w:qFormat/>
    <w:uiPriority w:val="0"/>
    <w:pPr>
      <w:widowControl/>
      <w:spacing w:after="160" w:line="240" w:lineRule="exact"/>
      <w:jc w:val="left"/>
    </w:pPr>
    <w:rPr>
      <w:rFonts w:ascii="(使用中文字体)" w:hAnsi="(使用中文字体)" w:eastAsia="(使用中文字体)" w:cs="(使用中文字体)"/>
      <w:kern w:val="0"/>
      <w:sz w:val="20"/>
      <w:szCs w:val="20"/>
      <w:lang w:eastAsia="en-US"/>
    </w:rPr>
  </w:style>
  <w:style w:type="paragraph" w:customStyle="1" w:styleId="157">
    <w:name w:val="列出段落2"/>
    <w:basedOn w:val="1"/>
    <w:autoRedefine/>
    <w:unhideWhenUsed/>
    <w:qFormat/>
    <w:uiPriority w:val="0"/>
    <w:pPr>
      <w:ind w:firstLine="420" w:firstLineChars="200"/>
    </w:pPr>
    <w:rPr>
      <w:rFonts w:ascii="Calibri" w:hAnsi="Calibri"/>
    </w:rPr>
  </w:style>
  <w:style w:type="paragraph" w:customStyle="1" w:styleId="158">
    <w:name w:val="默认段落字体 Para Char Char Char Char"/>
    <w:basedOn w:val="1"/>
    <w:autoRedefine/>
    <w:qFormat/>
    <w:uiPriority w:val="0"/>
  </w:style>
  <w:style w:type="paragraph" w:customStyle="1" w:styleId="159">
    <w:name w:val="Char Char Char Char1 Char Char Char Char"/>
    <w:basedOn w:val="1"/>
    <w:autoRedefine/>
    <w:qFormat/>
    <w:uiPriority w:val="0"/>
    <w:pPr>
      <w:widowControl/>
      <w:spacing w:after="160" w:line="240" w:lineRule="exact"/>
      <w:jc w:val="left"/>
    </w:pPr>
    <w:rPr>
      <w:szCs w:val="20"/>
    </w:rPr>
  </w:style>
  <w:style w:type="paragraph" w:customStyle="1" w:styleId="160">
    <w:name w:val="Char Char Char Char"/>
    <w:basedOn w:val="1"/>
    <w:autoRedefine/>
    <w:qFormat/>
    <w:uiPriority w:val="0"/>
    <w:pPr>
      <w:widowControl/>
    </w:pPr>
    <w:rPr>
      <w:kern w:val="0"/>
      <w:sz w:val="24"/>
      <w:szCs w:val="20"/>
    </w:rPr>
  </w:style>
  <w:style w:type="paragraph" w:styleId="161">
    <w:name w:val="No Spacing"/>
    <w:autoRedefine/>
    <w:qFormat/>
    <w:uiPriority w:val="1"/>
    <w:pPr>
      <w:widowControl w:val="0"/>
    </w:pPr>
    <w:rPr>
      <w:rFonts w:ascii="Times New Roman" w:hAnsi="Times New Roman" w:eastAsia="黑体" w:cs="Times New Roman"/>
      <w:b/>
      <w:kern w:val="2"/>
      <w:sz w:val="21"/>
      <w:szCs w:val="24"/>
      <w:lang w:val="en-US" w:eastAsia="zh-CN" w:bidi="ar-SA"/>
    </w:rPr>
  </w:style>
  <w:style w:type="paragraph" w:customStyle="1" w:styleId="162">
    <w:name w:val="正文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3">
    <w:name w:val="标题3"/>
    <w:next w:val="6"/>
    <w:autoRedefine/>
    <w:qFormat/>
    <w:uiPriority w:val="0"/>
    <w:pPr>
      <w:spacing w:line="520" w:lineRule="exact"/>
      <w:outlineLvl w:val="2"/>
    </w:pPr>
    <w:rPr>
      <w:rFonts w:ascii="黑体" w:hAnsi="宋体" w:eastAsia="黑体" w:cs="Times New Roman"/>
      <w:b/>
      <w:sz w:val="28"/>
      <w:lang w:val="en-US" w:eastAsia="zh-CN" w:bidi="ar-SA"/>
    </w:rPr>
  </w:style>
  <w:style w:type="paragraph" w:customStyle="1" w:styleId="164">
    <w:name w:val="Char Char Char1 Char"/>
    <w:basedOn w:val="1"/>
    <w:autoRedefine/>
    <w:qFormat/>
    <w:uiPriority w:val="0"/>
    <w:pPr>
      <w:spacing w:line="360" w:lineRule="auto"/>
      <w:ind w:firstLine="200" w:firstLineChars="200"/>
    </w:pPr>
    <w:rPr>
      <w:rFonts w:ascii="宋体" w:hAnsi="宋体" w:cs="宋体"/>
      <w:b/>
      <w:sz w:val="24"/>
    </w:rPr>
  </w:style>
  <w:style w:type="paragraph" w:customStyle="1" w:styleId="165">
    <w:name w:val="Char Char Char Char1 Char Char Char Char1"/>
    <w:basedOn w:val="1"/>
    <w:autoRedefine/>
    <w:qFormat/>
    <w:uiPriority w:val="0"/>
    <w:pPr>
      <w:widowControl/>
      <w:spacing w:after="160" w:line="240" w:lineRule="exact"/>
      <w:jc w:val="left"/>
    </w:pPr>
    <w:rPr>
      <w:szCs w:val="20"/>
    </w:rPr>
  </w:style>
  <w:style w:type="paragraph" w:customStyle="1" w:styleId="166">
    <w:name w:val="标题4"/>
    <w:next w:val="1"/>
    <w:autoRedefine/>
    <w:qFormat/>
    <w:uiPriority w:val="0"/>
    <w:pPr>
      <w:spacing w:line="520" w:lineRule="exact"/>
      <w:ind w:firstLine="200" w:firstLineChars="200"/>
      <w:outlineLvl w:val="3"/>
    </w:pPr>
    <w:rPr>
      <w:rFonts w:ascii="宋体" w:hAnsi="Times New Roman" w:eastAsia="宋体" w:cs="Times New Roman"/>
      <w:b/>
      <w:kern w:val="44"/>
      <w:sz w:val="28"/>
      <w:lang w:val="en-US" w:eastAsia="zh-CN" w:bidi="ar-SA"/>
    </w:rPr>
  </w:style>
  <w:style w:type="paragraph" w:customStyle="1" w:styleId="167">
    <w:name w:val="标题2"/>
    <w:next w:val="5"/>
    <w:autoRedefine/>
    <w:qFormat/>
    <w:uiPriority w:val="0"/>
    <w:pPr>
      <w:spacing w:line="520" w:lineRule="exact"/>
      <w:jc w:val="center"/>
      <w:outlineLvl w:val="1"/>
    </w:pPr>
    <w:rPr>
      <w:rFonts w:ascii="黑体" w:hAnsi="宋体" w:eastAsia="黑体" w:cs="Times New Roman"/>
      <w:b/>
      <w:sz w:val="36"/>
      <w:lang w:val="en-US" w:eastAsia="zh-CN" w:bidi="ar-SA"/>
    </w:rPr>
  </w:style>
  <w:style w:type="paragraph" w:customStyle="1" w:styleId="168">
    <w:name w:val="Char Char Char Char2"/>
    <w:basedOn w:val="1"/>
    <w:autoRedefine/>
    <w:qFormat/>
    <w:uiPriority w:val="0"/>
    <w:pPr>
      <w:widowControl/>
    </w:pPr>
    <w:rPr>
      <w:kern w:val="0"/>
      <w:sz w:val="24"/>
      <w:szCs w:val="20"/>
    </w:rPr>
  </w:style>
  <w:style w:type="paragraph" w:customStyle="1" w:styleId="169">
    <w:name w:val="样式3"/>
    <w:basedOn w:val="38"/>
    <w:autoRedefine/>
    <w:qFormat/>
    <w:uiPriority w:val="0"/>
    <w:pPr>
      <w:spacing w:line="0" w:lineRule="atLeast"/>
      <w:outlineLvl w:val="0"/>
    </w:pPr>
  </w:style>
  <w:style w:type="character" w:customStyle="1" w:styleId="170">
    <w:name w:val="无"/>
    <w:autoRedefine/>
    <w:qFormat/>
    <w:uiPriority w:val="0"/>
  </w:style>
  <w:style w:type="character" w:customStyle="1" w:styleId="171">
    <w:name w:val="页码1"/>
    <w:autoRedefine/>
    <w:qFormat/>
    <w:uiPriority w:val="0"/>
    <w:rPr>
      <w:lang w:val="zh-TW" w:eastAsia="zh-TW"/>
    </w:rPr>
  </w:style>
  <w:style w:type="character" w:customStyle="1" w:styleId="172">
    <w:name w:val="明显参考2"/>
    <w:basedOn w:val="69"/>
    <w:autoRedefine/>
    <w:qFormat/>
    <w:uiPriority w:val="0"/>
    <w:rPr>
      <w:b/>
      <w:bCs/>
      <w:smallCaps/>
      <w:color w:val="C0504D"/>
      <w:spacing w:val="5"/>
      <w:u w:val="single"/>
    </w:rPr>
  </w:style>
  <w:style w:type="paragraph" w:customStyle="1" w:styleId="173">
    <w:name w:val="列表段落1"/>
    <w:basedOn w:val="1"/>
    <w:autoRedefine/>
    <w:qFormat/>
    <w:uiPriority w:val="0"/>
    <w:pPr>
      <w:widowControl/>
      <w:topLinePunct/>
      <w:adjustRightInd w:val="0"/>
      <w:snapToGrid w:val="0"/>
      <w:spacing w:line="360" w:lineRule="auto"/>
      <w:ind w:firstLine="420" w:firstLineChars="200"/>
      <w:jc w:val="left"/>
    </w:pPr>
    <w:rPr>
      <w:rFonts w:ascii="Calibri" w:hAnsi="Calibri"/>
      <w:szCs w:val="21"/>
    </w:rPr>
  </w:style>
  <w:style w:type="character" w:customStyle="1" w:styleId="174">
    <w:name w:val="font31"/>
    <w:basedOn w:val="69"/>
    <w:autoRedefine/>
    <w:qFormat/>
    <w:uiPriority w:val="0"/>
    <w:rPr>
      <w:rFonts w:hint="eastAsia" w:ascii="宋体" w:hAnsi="宋体" w:eastAsia="宋体" w:cs="宋体"/>
      <w:color w:val="000000"/>
      <w:sz w:val="21"/>
      <w:szCs w:val="21"/>
      <w:u w:val="none"/>
    </w:rPr>
  </w:style>
  <w:style w:type="paragraph" w:customStyle="1" w:styleId="175">
    <w:name w:val="列出段落11"/>
    <w:basedOn w:val="1"/>
    <w:autoRedefine/>
    <w:qFormat/>
    <w:uiPriority w:val="34"/>
    <w:pPr>
      <w:widowControl/>
      <w:topLinePunct/>
      <w:adjustRightInd w:val="0"/>
      <w:snapToGrid w:val="0"/>
      <w:spacing w:line="360" w:lineRule="auto"/>
      <w:ind w:firstLine="420" w:firstLineChars="200"/>
      <w:jc w:val="left"/>
    </w:pPr>
    <w:rPr>
      <w:rFonts w:ascii="Calibri" w:hAnsi="Calibri"/>
      <w:szCs w:val="21"/>
    </w:rPr>
  </w:style>
  <w:style w:type="paragraph" w:customStyle="1" w:styleId="176">
    <w:name w:val="Table Text"/>
    <w:autoRedefine/>
    <w:qFormat/>
    <w:uiPriority w:val="0"/>
    <w:pPr>
      <w:tabs>
        <w:tab w:val="decimal" w:pos="0"/>
      </w:tabs>
    </w:pPr>
    <w:rPr>
      <w:rFonts w:ascii="Arial" w:hAnsi="Arial" w:eastAsia="宋体" w:cs="Times New Roman"/>
      <w:sz w:val="21"/>
      <w:szCs w:val="21"/>
      <w:lang w:val="en-US" w:eastAsia="zh-CN" w:bidi="ar-SA"/>
    </w:rPr>
  </w:style>
  <w:style w:type="character" w:customStyle="1" w:styleId="177">
    <w:name w:val="font11"/>
    <w:autoRedefine/>
    <w:qFormat/>
    <w:uiPriority w:val="0"/>
    <w:rPr>
      <w:rFonts w:hint="default" w:ascii="Arial" w:hAnsi="Arial" w:cs="Arial"/>
      <w:color w:val="000000"/>
      <w:sz w:val="18"/>
      <w:szCs w:val="18"/>
      <w:u w:val="none"/>
    </w:rPr>
  </w:style>
  <w:style w:type="character" w:customStyle="1" w:styleId="178">
    <w:name w:val="font01"/>
    <w:autoRedefine/>
    <w:qFormat/>
    <w:uiPriority w:val="0"/>
    <w:rPr>
      <w:rFonts w:hint="eastAsia" w:ascii="宋体" w:hAnsi="宋体" w:eastAsia="宋体" w:cs="宋体"/>
      <w:color w:val="000000"/>
      <w:sz w:val="18"/>
      <w:szCs w:val="18"/>
      <w:u w:val="none"/>
    </w:rPr>
  </w:style>
  <w:style w:type="character" w:customStyle="1" w:styleId="179">
    <w:name w:val="标题 1 Char Char Char"/>
    <w:autoRedefine/>
    <w:qFormat/>
    <w:uiPriority w:val="0"/>
    <w:rPr>
      <w:rFonts w:eastAsia="宋体"/>
      <w:b/>
      <w:spacing w:val="-2"/>
      <w:sz w:val="24"/>
      <w:lang w:val="en-US" w:eastAsia="zh-CN" w:bidi="ar-SA"/>
    </w:rPr>
  </w:style>
  <w:style w:type="paragraph" w:customStyle="1" w:styleId="180">
    <w:name w:val="p1"/>
    <w:basedOn w:val="1"/>
    <w:autoRedefine/>
    <w:qFormat/>
    <w:uiPriority w:val="0"/>
    <w:pPr>
      <w:spacing w:line="380" w:lineRule="atLeast"/>
      <w:jc w:val="left"/>
    </w:pPr>
    <w:rPr>
      <w:rFonts w:ascii="Helvetica Neue" w:hAnsi="Helvetica Neue" w:eastAsia="Helvetica Neue"/>
      <w:color w:val="000000"/>
      <w:kern w:val="0"/>
      <w:sz w:val="26"/>
      <w:szCs w:val="26"/>
    </w:rPr>
  </w:style>
  <w:style w:type="paragraph" w:customStyle="1" w:styleId="181">
    <w:name w:val="_Style 2"/>
    <w:basedOn w:val="1"/>
    <w:autoRedefine/>
    <w:qFormat/>
    <w:uiPriority w:val="34"/>
    <w:pPr>
      <w:autoSpaceDE w:val="0"/>
      <w:autoSpaceDN w:val="0"/>
      <w:adjustRightInd w:val="0"/>
      <w:ind w:firstLine="420" w:firstLineChars="200"/>
    </w:pPr>
    <w:rPr>
      <w:color w:val="000000"/>
      <w:kern w:val="0"/>
      <w:szCs w:val="21"/>
    </w:rPr>
  </w:style>
  <w:style w:type="paragraph" w:customStyle="1" w:styleId="182">
    <w:name w:val="Item List in Table"/>
    <w:basedOn w:val="1"/>
    <w:autoRedefine/>
    <w:qFormat/>
    <w:uiPriority w:val="0"/>
    <w:pPr>
      <w:widowControl/>
      <w:numPr>
        <w:ilvl w:val="0"/>
        <w:numId w:val="1"/>
      </w:numPr>
      <w:topLinePunct/>
      <w:adjustRightInd w:val="0"/>
      <w:snapToGrid w:val="0"/>
      <w:spacing w:before="80" w:after="80" w:line="240" w:lineRule="atLeast"/>
      <w:jc w:val="left"/>
    </w:pPr>
    <w:rPr>
      <w:rFonts w:hint="eastAsia" w:cs="Arial"/>
      <w:kern w:val="0"/>
      <w:szCs w:val="21"/>
    </w:rPr>
  </w:style>
  <w:style w:type="paragraph" w:customStyle="1" w:styleId="183">
    <w:name w:val="正文（深信服）"/>
    <w:autoRedefine/>
    <w:qFormat/>
    <w:uiPriority w:val="0"/>
    <w:pPr>
      <w:spacing w:line="360" w:lineRule="auto"/>
    </w:pPr>
    <w:rPr>
      <w:rFonts w:ascii="Arial" w:hAnsi="Arial" w:eastAsia="宋体" w:cs="Times New Roman"/>
      <w:kern w:val="2"/>
      <w:sz w:val="21"/>
      <w:szCs w:val="21"/>
      <w:lang w:val="en-US" w:eastAsia="zh-CN" w:bidi="ar-SA"/>
    </w:rPr>
  </w:style>
  <w:style w:type="paragraph" w:customStyle="1" w:styleId="184">
    <w:name w:val="0"/>
    <w:autoRedefine/>
    <w:qFormat/>
    <w:uiPriority w:val="0"/>
    <w:pPr>
      <w:snapToGrid w:val="0"/>
      <w:jc w:val="both"/>
    </w:pPr>
    <w:rPr>
      <w:rFonts w:ascii="Times New Roman" w:hAnsi="Times New Roman" w:eastAsia="宋体" w:cs="Times New Roman"/>
      <w:sz w:val="21"/>
      <w:szCs w:val="21"/>
      <w:lang w:val="en-US" w:eastAsia="zh-CN" w:bidi="ar-SA"/>
    </w:rPr>
  </w:style>
  <w:style w:type="paragraph" w:customStyle="1" w:styleId="185">
    <w:name w:val="表格 内容"/>
    <w:basedOn w:val="1"/>
    <w:autoRedefine/>
    <w:qFormat/>
    <w:uiPriority w:val="0"/>
    <w:pPr>
      <w:spacing w:before="50" w:beforeLines="50" w:after="50" w:afterLines="50" w:line="360" w:lineRule="auto"/>
      <w:jc w:val="center"/>
    </w:pPr>
    <w:rPr>
      <w:rFonts w:ascii="微软雅黑" w:hAnsi="微软雅黑" w:eastAsia="仿宋"/>
      <w:sz w:val="24"/>
      <w:szCs w:val="20"/>
    </w:rPr>
  </w:style>
  <w:style w:type="table" w:customStyle="1" w:styleId="186">
    <w:name w:val="TableGrid"/>
    <w:autoRedefine/>
    <w:qFormat/>
    <w:uiPriority w:val="0"/>
    <w:tblPr>
      <w:tblCellMar>
        <w:top w:w="0" w:type="dxa"/>
        <w:left w:w="0" w:type="dxa"/>
        <w:bottom w:w="0" w:type="dxa"/>
        <w:right w:w="0" w:type="dxa"/>
      </w:tblCellMar>
    </w:tblPr>
  </w:style>
  <w:style w:type="paragraph" w:customStyle="1" w:styleId="187">
    <w:name w:val="正文2"/>
    <w:basedOn w:val="1"/>
    <w:autoRedefine/>
    <w:qFormat/>
    <w:uiPriority w:val="0"/>
    <w:pPr>
      <w:spacing w:before="156" w:line="360" w:lineRule="auto"/>
      <w:ind w:firstLine="510" w:firstLineChars="200"/>
    </w:pPr>
    <w:rPr>
      <w:sz w:val="24"/>
      <w:szCs w:val="20"/>
    </w:rPr>
  </w:style>
  <w:style w:type="paragraph" w:customStyle="1" w:styleId="188">
    <w:name w:val="样式 正文2 + 仿宋_GB2312 黑色 段前: 0 磅 行距: 固定值 23 磅"/>
    <w:basedOn w:val="187"/>
    <w:autoRedefine/>
    <w:qFormat/>
    <w:uiPriority w:val="0"/>
    <w:pPr>
      <w:spacing w:before="0" w:line="360" w:lineRule="exact"/>
      <w:ind w:left="-51" w:leftChars="-51" w:firstLine="0" w:firstLineChars="0"/>
    </w:pPr>
    <w:rPr>
      <w:rFonts w:ascii="仿宋_GB2312" w:hAnsi="仿宋_GB2312" w:eastAsia="仿宋_GB2312" w:cs="宋体"/>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0F00B-A105-4B22-B28E-8C2D44BF8E96}">
  <ds:schemaRefs/>
</ds:datastoreItem>
</file>

<file path=docProps/app.xml><?xml version="1.0" encoding="utf-8"?>
<Properties xmlns="http://schemas.openxmlformats.org/officeDocument/2006/extended-properties" xmlns:vt="http://schemas.openxmlformats.org/officeDocument/2006/docPropsVTypes">
  <Template>Normal</Template>
  <Pages>60</Pages>
  <Words>25323</Words>
  <Characters>26080</Characters>
  <Lines>194</Lines>
  <Paragraphs>54</Paragraphs>
  <TotalTime>9</TotalTime>
  <ScaleCrop>false</ScaleCrop>
  <LinksUpToDate>false</LinksUpToDate>
  <CharactersWithSpaces>26889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2020-06-08T01:48:00Z</dcterms:created>
  <dc:creator>user</dc:creator>
  <cp:lastModifiedBy>Administrator</cp:lastModifiedBy>
  <cp:lastPrinted>2023-12-29T00:55:00Z</cp:lastPrinted>
  <dcterms:modified xsi:type="dcterms:W3CDTF">2024-04-15T03:45:24Z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6B8FCE83660048ED936FF82127AD5F99_13</vt:lpwstr>
  </property>
</Properties>
</file>