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62"/>
          <w:tab w:val="left" w:pos="5715"/>
        </w:tabs>
        <w:ind w:left="-178" w:leftChars="-85" w:right="-376" w:rightChars="-179"/>
        <w:jc w:val="center"/>
        <w:rPr>
          <w:rFonts w:ascii="仿宋" w:hAnsi="仿宋" w:eastAsia="仿宋" w:cs="仿宋_GB2312"/>
          <w:color w:val="000000"/>
          <w:kern w:val="0"/>
          <w:sz w:val="48"/>
          <w:szCs w:val="48"/>
        </w:rPr>
      </w:pPr>
      <w:r>
        <w:rPr>
          <w:rFonts w:ascii="仿宋" w:hAnsi="仿宋" w:eastAsia="仿宋" w:cs="仿宋_GB2312"/>
          <w:color w:val="000000"/>
          <w:kern w:val="0"/>
          <w:sz w:val="48"/>
          <w:szCs w:val="48"/>
        </w:rPr>
        <w:t>慈溪市政府采购中心集中采购项目</w:t>
      </w:r>
    </w:p>
    <w:p>
      <w:pPr>
        <w:tabs>
          <w:tab w:val="center" w:pos="4762"/>
          <w:tab w:val="left" w:pos="5715"/>
        </w:tabs>
        <w:ind w:right="-376" w:rightChars="-179"/>
        <w:rPr>
          <w:rFonts w:ascii="仿宋" w:hAnsi="仿宋" w:eastAsia="仿宋" w:cs="仿宋_GB2312"/>
          <w:color w:val="000000"/>
          <w:kern w:val="0"/>
          <w:sz w:val="48"/>
          <w:szCs w:val="48"/>
        </w:rPr>
      </w:pPr>
    </w:p>
    <w:p>
      <w:pPr>
        <w:tabs>
          <w:tab w:val="center" w:pos="4762"/>
          <w:tab w:val="left" w:pos="5715"/>
        </w:tabs>
        <w:ind w:right="-376" w:rightChars="-179"/>
        <w:rPr>
          <w:rFonts w:ascii="仿宋" w:hAnsi="仿宋" w:eastAsia="仿宋" w:cs="仿宋_GB2312"/>
          <w:color w:val="000000"/>
          <w:kern w:val="0"/>
          <w:sz w:val="48"/>
          <w:szCs w:val="48"/>
        </w:rPr>
      </w:pPr>
    </w:p>
    <w:p>
      <w:pPr>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公</w:t>
      </w:r>
    </w:p>
    <w:p>
      <w:pPr>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开</w:t>
      </w:r>
    </w:p>
    <w:p>
      <w:pPr>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招</w:t>
      </w:r>
    </w:p>
    <w:p>
      <w:pPr>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标</w:t>
      </w:r>
    </w:p>
    <w:p>
      <w:pPr>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文</w:t>
      </w:r>
    </w:p>
    <w:p>
      <w:pPr>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件</w:t>
      </w:r>
    </w:p>
    <w:p>
      <w:pPr>
        <w:jc w:val="center"/>
        <w:rPr>
          <w:rFonts w:ascii="仿宋" w:hAnsi="仿宋" w:eastAsia="仿宋" w:cs="仿宋_GB2312"/>
          <w:color w:val="000000"/>
          <w:kern w:val="0"/>
          <w:sz w:val="72"/>
          <w:szCs w:val="72"/>
        </w:rPr>
      </w:pPr>
    </w:p>
    <w:p>
      <w:pPr>
        <w:ind w:firstLine="1960" w:firstLineChars="700"/>
        <w:jc w:val="left"/>
        <w:rPr>
          <w:rFonts w:ascii="仿宋" w:hAnsi="仿宋" w:eastAsia="仿宋" w:cs="仿宋_GB2312"/>
          <w:color w:val="FF0000"/>
          <w:kern w:val="0"/>
          <w:sz w:val="28"/>
          <w:szCs w:val="28"/>
        </w:rPr>
      </w:pPr>
      <w:r>
        <w:rPr>
          <w:rFonts w:ascii="仿宋" w:hAnsi="仿宋" w:eastAsia="仿宋" w:cs="仿宋_GB2312"/>
          <w:color w:val="000000"/>
          <w:kern w:val="0"/>
          <w:sz w:val="28"/>
          <w:szCs w:val="28"/>
        </w:rPr>
        <w:t>招标编号：</w:t>
      </w:r>
      <w:r>
        <w:rPr>
          <w:rFonts w:hint="eastAsia" w:ascii="仿宋" w:hAnsi="仿宋" w:eastAsia="仿宋" w:cs="仿宋_GB2312"/>
          <w:color w:val="000000"/>
          <w:kern w:val="0"/>
          <w:sz w:val="28"/>
          <w:szCs w:val="28"/>
        </w:rPr>
        <w:t>NBCXZFCG2024028</w:t>
      </w:r>
    </w:p>
    <w:p>
      <w:pPr>
        <w:ind w:firstLine="1960" w:firstLineChars="7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项目名称：</w:t>
      </w:r>
      <w:r>
        <w:rPr>
          <w:rFonts w:hint="eastAsia" w:ascii="仿宋" w:hAnsi="仿宋" w:eastAsia="仿宋" w:cs="仿宋_GB2312"/>
          <w:color w:val="000000"/>
          <w:kern w:val="0"/>
          <w:sz w:val="28"/>
          <w:szCs w:val="28"/>
        </w:rPr>
        <w:t>超融合服务器采购项目</w:t>
      </w:r>
    </w:p>
    <w:p>
      <w:pPr>
        <w:ind w:firstLine="1960" w:firstLineChars="7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采 购 人：</w:t>
      </w:r>
      <w:r>
        <w:rPr>
          <w:rFonts w:hint="eastAsia" w:ascii="仿宋" w:hAnsi="仿宋" w:eastAsia="仿宋" w:cs="仿宋_GB2312"/>
          <w:color w:val="000000"/>
          <w:kern w:val="0"/>
          <w:sz w:val="28"/>
          <w:szCs w:val="28"/>
        </w:rPr>
        <w:t>宁波一院龙山医院医疗健康集团</w:t>
      </w:r>
    </w:p>
    <w:p>
      <w:pPr>
        <w:ind w:firstLine="1960" w:firstLineChars="7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代理机构：慈溪市</w:t>
      </w:r>
      <w:r>
        <w:rPr>
          <w:rFonts w:hint="eastAsia" w:ascii="仿宋" w:hAnsi="仿宋" w:eastAsia="仿宋" w:cs="仿宋_GB2312"/>
          <w:color w:val="000000"/>
          <w:kern w:val="0"/>
          <w:sz w:val="28"/>
          <w:szCs w:val="28"/>
        </w:rPr>
        <w:t>政府采购</w:t>
      </w:r>
      <w:r>
        <w:rPr>
          <w:rFonts w:ascii="仿宋" w:hAnsi="仿宋" w:eastAsia="仿宋" w:cs="仿宋_GB2312"/>
          <w:color w:val="000000"/>
          <w:kern w:val="0"/>
          <w:sz w:val="28"/>
          <w:szCs w:val="28"/>
        </w:rPr>
        <w:t>中心</w:t>
      </w:r>
    </w:p>
    <w:p>
      <w:pPr>
        <w:jc w:val="center"/>
        <w:rPr>
          <w:rFonts w:ascii="仿宋" w:hAnsi="仿宋" w:eastAsia="仿宋" w:cs="仿宋_GB2312"/>
          <w:color w:val="000000"/>
          <w:kern w:val="0"/>
          <w:sz w:val="28"/>
          <w:szCs w:val="28"/>
        </w:rPr>
      </w:pPr>
    </w:p>
    <w:p>
      <w:pPr>
        <w:rPr>
          <w:rFonts w:ascii="仿宋" w:hAnsi="仿宋" w:eastAsia="仿宋" w:cs="仿宋_GB2312"/>
          <w:color w:val="000000"/>
          <w:kern w:val="0"/>
          <w:sz w:val="28"/>
          <w:szCs w:val="28"/>
        </w:rPr>
      </w:pPr>
    </w:p>
    <w:p>
      <w:pP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二〇</w:t>
      </w:r>
      <w:r>
        <w:rPr>
          <w:rFonts w:hint="eastAsia" w:ascii="仿宋" w:hAnsi="仿宋" w:eastAsia="仿宋" w:cs="仿宋_GB2312"/>
          <w:color w:val="000000"/>
          <w:kern w:val="0"/>
          <w:sz w:val="28"/>
          <w:szCs w:val="28"/>
        </w:rPr>
        <w:t>二四</w:t>
      </w:r>
      <w:r>
        <w:rPr>
          <w:rFonts w:ascii="仿宋" w:hAnsi="仿宋" w:eastAsia="仿宋" w:cs="仿宋_GB2312"/>
          <w:color w:val="000000"/>
          <w:kern w:val="0"/>
          <w:sz w:val="28"/>
          <w:szCs w:val="28"/>
        </w:rPr>
        <w:t>年</w:t>
      </w:r>
      <w:r>
        <w:rPr>
          <w:rFonts w:hint="eastAsia" w:ascii="仿宋" w:hAnsi="仿宋" w:eastAsia="仿宋" w:cs="仿宋_GB2312"/>
          <w:color w:val="000000"/>
          <w:kern w:val="0"/>
          <w:sz w:val="28"/>
          <w:szCs w:val="28"/>
        </w:rPr>
        <w:t>四</w:t>
      </w:r>
      <w:r>
        <w:rPr>
          <w:rFonts w:ascii="仿宋" w:hAnsi="仿宋" w:eastAsia="仿宋" w:cs="仿宋_GB2312"/>
          <w:color w:val="000000"/>
          <w:kern w:val="0"/>
          <w:sz w:val="28"/>
          <w:szCs w:val="28"/>
        </w:rPr>
        <w:t>月</w:t>
      </w:r>
    </w:p>
    <w:p>
      <w:pPr>
        <w:jc w:val="center"/>
        <w:rPr>
          <w:rFonts w:ascii="仿宋" w:hAnsi="仿宋" w:eastAsia="仿宋" w:cs="仿宋_GB2312"/>
          <w:color w:val="000000"/>
          <w:kern w:val="0"/>
          <w:sz w:val="48"/>
          <w:szCs w:val="48"/>
        </w:rPr>
      </w:pPr>
      <w:r>
        <w:rPr>
          <w:rFonts w:ascii="仿宋" w:hAnsi="仿宋" w:eastAsia="仿宋" w:cs="仿宋_GB2312"/>
          <w:color w:val="000000"/>
          <w:kern w:val="0"/>
          <w:sz w:val="48"/>
          <w:szCs w:val="48"/>
        </w:rPr>
        <w:t>目 录</w:t>
      </w:r>
    </w:p>
    <w:p>
      <w:pPr>
        <w:jc w:val="center"/>
        <w:rPr>
          <w:rFonts w:ascii="仿宋" w:hAnsi="仿宋" w:eastAsia="仿宋" w:cs="仿宋_GB2312"/>
          <w:color w:val="000000"/>
          <w:kern w:val="0"/>
          <w:sz w:val="28"/>
          <w:szCs w:val="28"/>
        </w:rPr>
      </w:pPr>
    </w:p>
    <w:p>
      <w:pPr>
        <w:pStyle w:val="48"/>
        <w:rPr>
          <w:rFonts w:ascii="仿宋_GB2312" w:eastAsia="仿宋_GB2312" w:hAnsiTheme="minorHAnsi" w:cstheme="minorBidi"/>
          <w:b w:val="0"/>
          <w:sz w:val="28"/>
          <w:szCs w:val="28"/>
        </w:rPr>
      </w:pPr>
      <w:bookmarkStart w:id="0" w:name="_Hlt154576457"/>
      <w:bookmarkEnd w:id="0"/>
      <w:r>
        <w:rPr>
          <w:rFonts w:hint="eastAsia" w:ascii="仿宋_GB2312" w:hAnsi="仿宋" w:eastAsia="仿宋_GB2312" w:cs="仿宋_GB2312"/>
          <w:b w:val="0"/>
          <w:color w:val="000000"/>
          <w:kern w:val="0"/>
          <w:sz w:val="28"/>
          <w:szCs w:val="28"/>
        </w:rPr>
        <w:fldChar w:fldCharType="begin"/>
      </w:r>
      <w:r>
        <w:rPr>
          <w:rFonts w:hint="eastAsia" w:ascii="仿宋_GB2312" w:hAnsi="仿宋" w:eastAsia="仿宋_GB2312" w:cs="仿宋_GB2312"/>
          <w:b w:val="0"/>
          <w:color w:val="000000"/>
          <w:kern w:val="0"/>
          <w:sz w:val="28"/>
          <w:szCs w:val="28"/>
        </w:rPr>
        <w:instrText xml:space="preserve"> TOC \o "1-1" \h \z \u </w:instrText>
      </w:r>
      <w:r>
        <w:rPr>
          <w:rFonts w:hint="eastAsia" w:ascii="仿宋_GB2312" w:hAnsi="仿宋" w:eastAsia="仿宋_GB2312" w:cs="仿宋_GB2312"/>
          <w:b w:val="0"/>
          <w:color w:val="000000"/>
          <w:kern w:val="0"/>
          <w:sz w:val="28"/>
          <w:szCs w:val="28"/>
        </w:rPr>
        <w:fldChar w:fldCharType="separate"/>
      </w:r>
      <w:r>
        <w:fldChar w:fldCharType="begin"/>
      </w:r>
      <w:r>
        <w:instrText xml:space="preserve"> HYPERLINK \l "_Toc150414328" </w:instrText>
      </w:r>
      <w:r>
        <w:fldChar w:fldCharType="separate"/>
      </w:r>
      <w:r>
        <w:rPr>
          <w:rStyle w:val="73"/>
          <w:rFonts w:hint="eastAsia" w:ascii="仿宋_GB2312" w:eastAsia="仿宋_GB2312"/>
          <w:b w:val="0"/>
          <w:spacing w:val="-2"/>
          <w:sz w:val="28"/>
          <w:szCs w:val="28"/>
        </w:rPr>
        <w:t>第一部分   招标公告</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_Toc150414328 \h </w:instrText>
      </w:r>
      <w:r>
        <w:rPr>
          <w:rFonts w:hint="eastAsia" w:ascii="仿宋_GB2312" w:eastAsia="仿宋_GB2312"/>
          <w:b w:val="0"/>
          <w:sz w:val="28"/>
          <w:szCs w:val="28"/>
        </w:rPr>
        <w:fldChar w:fldCharType="separate"/>
      </w:r>
      <w:r>
        <w:rPr>
          <w:rFonts w:ascii="仿宋_GB2312" w:eastAsia="仿宋_GB2312"/>
          <w:b w:val="0"/>
          <w:sz w:val="28"/>
          <w:szCs w:val="28"/>
        </w:rPr>
        <w:t>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"_Toc150414329" </w:instrText>
      </w:r>
      <w:r>
        <w:fldChar w:fldCharType="separate"/>
      </w:r>
      <w:r>
        <w:rPr>
          <w:rStyle w:val="73"/>
          <w:rFonts w:hint="eastAsia" w:ascii="仿宋_GB2312" w:eastAsia="仿宋_GB2312"/>
          <w:b w:val="0"/>
          <w:spacing w:val="-2"/>
          <w:sz w:val="28"/>
          <w:szCs w:val="28"/>
        </w:rPr>
        <w:t>第二部分   招标需求</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_Toc150414329 \h </w:instrText>
      </w:r>
      <w:r>
        <w:rPr>
          <w:rFonts w:hint="eastAsia" w:ascii="仿宋_GB2312" w:eastAsia="仿宋_GB2312"/>
          <w:b w:val="0"/>
          <w:sz w:val="28"/>
          <w:szCs w:val="28"/>
        </w:rPr>
        <w:fldChar w:fldCharType="separate"/>
      </w:r>
      <w:r>
        <w:rPr>
          <w:rFonts w:ascii="仿宋_GB2312" w:eastAsia="仿宋_GB2312"/>
          <w:b w:val="0"/>
          <w:sz w:val="28"/>
          <w:szCs w:val="28"/>
        </w:rPr>
        <w:t>7</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"_Toc150414330" </w:instrText>
      </w:r>
      <w:r>
        <w:fldChar w:fldCharType="separate"/>
      </w:r>
      <w:r>
        <w:rPr>
          <w:rStyle w:val="73"/>
          <w:rFonts w:hint="eastAsia" w:ascii="仿宋_GB2312" w:eastAsia="仿宋_GB2312"/>
          <w:b w:val="0"/>
          <w:spacing w:val="-2"/>
          <w:sz w:val="28"/>
          <w:szCs w:val="28"/>
        </w:rPr>
        <w:t>第三部分   商务条款</w:t>
      </w:r>
      <w:r>
        <w:rPr>
          <w:rFonts w:hint="eastAsia" w:ascii="仿宋_GB2312" w:eastAsia="仿宋_GB2312"/>
          <w:b w:val="0"/>
          <w:sz w:val="28"/>
          <w:szCs w:val="28"/>
        </w:rPr>
        <w:tab/>
      </w:r>
      <w:r>
        <w:rPr>
          <w:rFonts w:hint="eastAsia" w:ascii="仿宋_GB2312" w:eastAsia="仿宋_GB2312"/>
          <w:b w:val="0"/>
          <w:sz w:val="28"/>
          <w:szCs w:val="28"/>
        </w:rPr>
        <w:t>..15</w:t>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"_Toc150414331" </w:instrText>
      </w:r>
      <w:r>
        <w:fldChar w:fldCharType="separate"/>
      </w:r>
      <w:r>
        <w:rPr>
          <w:rStyle w:val="73"/>
          <w:rFonts w:hint="eastAsia" w:ascii="仿宋_GB2312" w:eastAsia="仿宋_GB2312"/>
          <w:b w:val="0"/>
          <w:spacing w:val="-2"/>
          <w:sz w:val="28"/>
          <w:szCs w:val="28"/>
        </w:rPr>
        <w:t>第四部分   投标人须知</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_Toc150414331 \h </w:instrText>
      </w:r>
      <w:r>
        <w:rPr>
          <w:rFonts w:hint="eastAsia" w:ascii="仿宋_GB2312" w:eastAsia="仿宋_GB2312"/>
          <w:b w:val="0"/>
          <w:sz w:val="28"/>
          <w:szCs w:val="28"/>
        </w:rPr>
        <w:fldChar w:fldCharType="separate"/>
      </w:r>
      <w:r>
        <w:rPr>
          <w:rFonts w:ascii="仿宋_GB2312" w:eastAsia="仿宋_GB2312"/>
          <w:b w:val="0"/>
          <w:sz w:val="28"/>
          <w:szCs w:val="28"/>
        </w:rPr>
        <w:t>19</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"_Toc150414332" </w:instrText>
      </w:r>
      <w:r>
        <w:fldChar w:fldCharType="separate"/>
      </w:r>
      <w:r>
        <w:rPr>
          <w:rStyle w:val="73"/>
          <w:rFonts w:hint="eastAsia" w:ascii="仿宋_GB2312" w:eastAsia="仿宋_GB2312"/>
          <w:b w:val="0"/>
          <w:spacing w:val="-2"/>
          <w:sz w:val="28"/>
          <w:szCs w:val="28"/>
        </w:rPr>
        <w:t>第五部分   开标、评标和定标</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_Toc150414332 \h </w:instrText>
      </w:r>
      <w:r>
        <w:rPr>
          <w:rFonts w:hint="eastAsia" w:ascii="仿宋_GB2312" w:eastAsia="仿宋_GB2312"/>
          <w:b w:val="0"/>
          <w:sz w:val="28"/>
          <w:szCs w:val="28"/>
        </w:rPr>
        <w:fldChar w:fldCharType="separate"/>
      </w:r>
      <w:r>
        <w:rPr>
          <w:rFonts w:ascii="仿宋_GB2312" w:eastAsia="仿宋_GB2312"/>
          <w:b w:val="0"/>
          <w:sz w:val="28"/>
          <w:szCs w:val="28"/>
        </w:rPr>
        <w:t>33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"_Toc150414333" </w:instrText>
      </w:r>
      <w:r>
        <w:fldChar w:fldCharType="separate"/>
      </w:r>
      <w:r>
        <w:rPr>
          <w:rStyle w:val="73"/>
          <w:rFonts w:hint="eastAsia" w:ascii="仿宋_GB2312" w:eastAsia="仿宋_GB2312"/>
          <w:b w:val="0"/>
          <w:spacing w:val="-2"/>
          <w:sz w:val="28"/>
          <w:szCs w:val="28"/>
        </w:rPr>
        <w:t>第六部分   评标办法及评分标准</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_Toc150414333 \h </w:instrText>
      </w:r>
      <w:r>
        <w:rPr>
          <w:rFonts w:hint="eastAsia" w:ascii="仿宋_GB2312" w:eastAsia="仿宋_GB2312"/>
          <w:b w:val="0"/>
          <w:sz w:val="28"/>
          <w:szCs w:val="28"/>
        </w:rPr>
        <w:fldChar w:fldCharType="separate"/>
      </w:r>
      <w:r>
        <w:rPr>
          <w:rFonts w:ascii="仿宋_GB2312" w:eastAsia="仿宋_GB2312"/>
          <w:b w:val="0"/>
          <w:sz w:val="28"/>
          <w:szCs w:val="28"/>
        </w:rPr>
        <w:t>40</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"_Toc150414334" </w:instrText>
      </w:r>
      <w:r>
        <w:fldChar w:fldCharType="separate"/>
      </w:r>
      <w:r>
        <w:rPr>
          <w:rStyle w:val="73"/>
          <w:rFonts w:hint="eastAsia" w:ascii="仿宋_GB2312" w:eastAsia="仿宋_GB2312"/>
          <w:b w:val="0"/>
          <w:spacing w:val="-2"/>
          <w:sz w:val="28"/>
          <w:szCs w:val="28"/>
        </w:rPr>
        <w:t>第七部分   拟签订合同样本</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_Toc150414334 \h </w:instrText>
      </w:r>
      <w:r>
        <w:rPr>
          <w:rFonts w:hint="eastAsia" w:ascii="仿宋_GB2312" w:eastAsia="仿宋_GB2312"/>
          <w:b w:val="0"/>
          <w:sz w:val="28"/>
          <w:szCs w:val="28"/>
        </w:rPr>
        <w:fldChar w:fldCharType="separate"/>
      </w:r>
      <w:r>
        <w:rPr>
          <w:rFonts w:ascii="仿宋_GB2312" w:eastAsia="仿宋_GB2312"/>
          <w:b w:val="0"/>
          <w:sz w:val="28"/>
          <w:szCs w:val="28"/>
        </w:rPr>
        <w:t>43</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pStyle w:val="48"/>
        <w:rPr>
          <w:rFonts w:ascii="仿宋_GB2312" w:eastAsia="仿宋_GB2312" w:hAnsiTheme="minorHAnsi" w:cstheme="minorBidi"/>
          <w:b w:val="0"/>
          <w:sz w:val="28"/>
          <w:szCs w:val="28"/>
        </w:rPr>
      </w:pPr>
      <w:r>
        <w:fldChar w:fldCharType="begin"/>
      </w:r>
      <w:r>
        <w:instrText xml:space="preserve"> HYPERLINK \l "_Toc150414335" </w:instrText>
      </w:r>
      <w:r>
        <w:fldChar w:fldCharType="separate"/>
      </w:r>
      <w:r>
        <w:rPr>
          <w:rStyle w:val="73"/>
          <w:rFonts w:hint="eastAsia" w:ascii="仿宋_GB2312" w:eastAsia="仿宋_GB2312"/>
          <w:b w:val="0"/>
          <w:spacing w:val="-2"/>
          <w:sz w:val="28"/>
          <w:szCs w:val="28"/>
        </w:rPr>
        <w:t>第八部分   投标文件格式</w:t>
      </w:r>
      <w:r>
        <w:rPr>
          <w:rFonts w:hint="eastAsia" w:ascii="仿宋_GB2312" w:eastAsia="仿宋_GB2312"/>
          <w:b w:val="0"/>
          <w:sz w:val="28"/>
          <w:szCs w:val="28"/>
        </w:rPr>
        <w:tab/>
      </w:r>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PAGEREF _Toc150414335 \h </w:instrText>
      </w:r>
      <w:r>
        <w:rPr>
          <w:rFonts w:hint="eastAsia" w:ascii="仿宋_GB2312" w:eastAsia="仿宋_GB2312"/>
          <w:b w:val="0"/>
          <w:sz w:val="28"/>
          <w:szCs w:val="28"/>
        </w:rPr>
        <w:fldChar w:fldCharType="separate"/>
      </w:r>
      <w:r>
        <w:rPr>
          <w:rFonts w:ascii="仿宋_GB2312" w:eastAsia="仿宋_GB2312"/>
          <w:b w:val="0"/>
          <w:sz w:val="28"/>
          <w:szCs w:val="28"/>
        </w:rPr>
        <w:t>48</w:t>
      </w:r>
      <w:r>
        <w:rPr>
          <w:rFonts w:hint="eastAsia" w:ascii="仿宋_GB2312" w:eastAsia="仿宋_GB2312"/>
          <w:b w:val="0"/>
          <w:sz w:val="28"/>
          <w:szCs w:val="28"/>
        </w:rPr>
        <w:fldChar w:fldCharType="end"/>
      </w:r>
      <w:r>
        <w:rPr>
          <w:rFonts w:hint="eastAsia" w:ascii="仿宋_GB2312" w:eastAsia="仿宋_GB2312"/>
          <w:b w:val="0"/>
          <w:sz w:val="28"/>
          <w:szCs w:val="28"/>
        </w:rPr>
        <w:fldChar w:fldCharType="end"/>
      </w:r>
    </w:p>
    <w:p>
      <w:pPr>
        <w:jc w:val="center"/>
        <w:rPr>
          <w:rFonts w:ascii="仿宋" w:hAnsi="仿宋" w:eastAsia="仿宋" w:cs="仿宋_GB2312"/>
          <w:color w:val="000000"/>
          <w:kern w:val="0"/>
          <w:sz w:val="28"/>
          <w:szCs w:val="28"/>
        </w:rPr>
      </w:pPr>
      <w:r>
        <w:rPr>
          <w:rFonts w:hint="eastAsia" w:ascii="仿宋_GB2312" w:hAnsi="仿宋" w:eastAsia="仿宋_GB2312" w:cs="仿宋_GB2312"/>
          <w:color w:val="000000"/>
          <w:kern w:val="0"/>
          <w:sz w:val="28"/>
          <w:szCs w:val="28"/>
        </w:rPr>
        <w:fldChar w:fldCharType="end"/>
      </w: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cs="仿宋_GB2312"/>
          <w:color w:val="000000"/>
          <w:kern w:val="0"/>
          <w:sz w:val="28"/>
          <w:szCs w:val="28"/>
        </w:rPr>
      </w:pPr>
    </w:p>
    <w:p>
      <w:pPr>
        <w:jc w:val="center"/>
        <w:rPr>
          <w:rFonts w:ascii="仿宋" w:hAnsi="仿宋" w:eastAsia="仿宋"/>
        </w:rPr>
      </w:pPr>
    </w:p>
    <w:p>
      <w:pPr>
        <w:jc w:val="cente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63"/>
        <w:rPr>
          <w:rStyle w:val="124"/>
          <w:rFonts w:ascii="仿宋_GB2312" w:eastAsia="仿宋_GB2312"/>
          <w:b/>
          <w:sz w:val="36"/>
        </w:rPr>
      </w:pPr>
      <w:bookmarkStart w:id="1" w:name="_Toc150414328"/>
      <w:r>
        <w:rPr>
          <w:rStyle w:val="124"/>
          <w:rFonts w:hint="eastAsia" w:ascii="仿宋_GB2312" w:eastAsia="仿宋_GB2312"/>
          <w:b/>
          <w:sz w:val="36"/>
        </w:rPr>
        <w:t>第一部分   招标公告</w:t>
      </w:r>
      <w:bookmarkEnd w:id="1"/>
    </w:p>
    <w:p>
      <w:pPr>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根据《中华人民共和国政府采购法》等有关法律规定，慈溪市</w:t>
      </w:r>
      <w:r>
        <w:rPr>
          <w:rFonts w:hint="eastAsia" w:ascii="仿宋" w:hAnsi="仿宋" w:eastAsia="仿宋" w:cs="仿宋_GB2312"/>
          <w:color w:val="000000"/>
          <w:kern w:val="0"/>
          <w:sz w:val="28"/>
          <w:szCs w:val="28"/>
        </w:rPr>
        <w:t>政府采购</w:t>
      </w:r>
      <w:r>
        <w:rPr>
          <w:rFonts w:ascii="仿宋" w:hAnsi="仿宋" w:eastAsia="仿宋" w:cs="仿宋_GB2312"/>
          <w:color w:val="000000"/>
          <w:kern w:val="0"/>
          <w:sz w:val="28"/>
          <w:szCs w:val="28"/>
        </w:rPr>
        <w:t>中心受</w:t>
      </w:r>
      <w:r>
        <w:rPr>
          <w:rFonts w:hint="eastAsia" w:ascii="仿宋" w:hAnsi="仿宋" w:eastAsia="仿宋" w:cs="仿宋_GB2312"/>
          <w:color w:val="000000"/>
          <w:kern w:val="0"/>
          <w:sz w:val="28"/>
          <w:szCs w:val="28"/>
        </w:rPr>
        <w:t>宁波一院龙山医院医疗健康集团</w:t>
      </w:r>
      <w:r>
        <w:rPr>
          <w:rFonts w:ascii="仿宋" w:hAnsi="仿宋" w:eastAsia="仿宋" w:cs="仿宋_GB2312"/>
          <w:color w:val="000000"/>
          <w:kern w:val="0"/>
          <w:sz w:val="28"/>
          <w:szCs w:val="28"/>
        </w:rPr>
        <w:t>委托，经政府采购管理部门批准，就</w:t>
      </w:r>
      <w:r>
        <w:rPr>
          <w:rFonts w:hint="eastAsia" w:ascii="仿宋" w:hAnsi="仿宋" w:eastAsia="仿宋" w:cs="仿宋_GB2312"/>
          <w:color w:val="000000"/>
          <w:kern w:val="0"/>
          <w:sz w:val="28"/>
          <w:szCs w:val="28"/>
        </w:rPr>
        <w:t>下列</w:t>
      </w:r>
      <w:r>
        <w:rPr>
          <w:rFonts w:ascii="仿宋" w:hAnsi="仿宋" w:eastAsia="仿宋" w:cs="仿宋_GB2312"/>
          <w:color w:val="000000"/>
          <w:kern w:val="0"/>
          <w:sz w:val="28"/>
          <w:szCs w:val="28"/>
        </w:rPr>
        <w:t>项目进行公开招标，</w:t>
      </w:r>
      <w:r>
        <w:rPr>
          <w:rFonts w:hint="eastAsia" w:ascii="仿宋" w:hAnsi="仿宋" w:eastAsia="仿宋" w:cs="仿宋_GB2312"/>
          <w:color w:val="000000"/>
          <w:kern w:val="0"/>
          <w:sz w:val="28"/>
          <w:szCs w:val="28"/>
        </w:rPr>
        <w:t>现将</w:t>
      </w:r>
      <w:r>
        <w:rPr>
          <w:rFonts w:ascii="仿宋" w:hAnsi="仿宋" w:eastAsia="仿宋" w:cs="仿宋_GB2312"/>
          <w:color w:val="000000"/>
          <w:kern w:val="0"/>
          <w:sz w:val="28"/>
          <w:szCs w:val="28"/>
        </w:rPr>
        <w:t>有关事项公告如下</w:t>
      </w:r>
      <w:r>
        <w:rPr>
          <w:rFonts w:hint="eastAsia" w:ascii="仿宋" w:hAnsi="仿宋" w:eastAsia="仿宋" w:cs="仿宋_GB2312"/>
          <w:color w:val="000000"/>
          <w:kern w:val="0"/>
          <w:sz w:val="28"/>
          <w:szCs w:val="28"/>
        </w:rPr>
        <w:t>：</w:t>
      </w:r>
    </w:p>
    <w:p>
      <w:pPr>
        <w:spacing w:line="360" w:lineRule="auto"/>
        <w:ind w:firstLine="562" w:firstLineChars="200"/>
        <w:jc w:val="left"/>
        <w:rPr>
          <w:rFonts w:ascii="仿宋" w:hAnsi="仿宋" w:eastAsia="仿宋" w:cs="仿宋_GB2312"/>
          <w:kern w:val="0"/>
          <w:sz w:val="28"/>
          <w:szCs w:val="28"/>
        </w:rPr>
      </w:pPr>
      <w:r>
        <w:rPr>
          <w:rFonts w:ascii="仿宋" w:hAnsi="仿宋" w:eastAsia="仿宋" w:cs="仿宋_GB2312"/>
          <w:b/>
          <w:bCs/>
          <w:kern w:val="0"/>
          <w:sz w:val="28"/>
          <w:szCs w:val="28"/>
        </w:rPr>
        <w:t>一、招标编号：</w:t>
      </w:r>
      <w:r>
        <w:rPr>
          <w:rFonts w:hint="eastAsia" w:ascii="仿宋" w:hAnsi="仿宋" w:eastAsia="仿宋" w:cs="仿宋_GB2312"/>
          <w:b/>
          <w:bCs/>
          <w:kern w:val="0"/>
          <w:sz w:val="28"/>
          <w:szCs w:val="28"/>
        </w:rPr>
        <w:t>NBCXZFCG2024028</w:t>
      </w:r>
    </w:p>
    <w:p>
      <w:pPr>
        <w:spacing w:line="360" w:lineRule="auto"/>
        <w:ind w:firstLine="562" w:firstLineChars="200"/>
        <w:jc w:val="left"/>
        <w:rPr>
          <w:rFonts w:ascii="仿宋" w:hAnsi="仿宋" w:eastAsia="仿宋" w:cs="仿宋_GB2312"/>
          <w:color w:val="000000"/>
          <w:kern w:val="0"/>
          <w:sz w:val="28"/>
          <w:szCs w:val="28"/>
        </w:rPr>
      </w:pPr>
      <w:r>
        <w:rPr>
          <w:rFonts w:ascii="仿宋" w:hAnsi="仿宋" w:eastAsia="仿宋" w:cs="仿宋_GB2312"/>
          <w:b/>
          <w:color w:val="000000"/>
          <w:kern w:val="0"/>
          <w:sz w:val="28"/>
          <w:szCs w:val="28"/>
        </w:rPr>
        <w:t>二、采购组织类型</w:t>
      </w:r>
      <w:r>
        <w:rPr>
          <w:rFonts w:hint="eastAsia" w:ascii="仿宋" w:hAnsi="仿宋" w:eastAsia="仿宋" w:cs="仿宋_GB2312"/>
          <w:b/>
          <w:color w:val="000000"/>
          <w:kern w:val="0"/>
          <w:sz w:val="28"/>
          <w:szCs w:val="28"/>
        </w:rPr>
        <w:t>：</w:t>
      </w:r>
      <w:r>
        <w:rPr>
          <w:rFonts w:ascii="仿宋" w:hAnsi="仿宋" w:eastAsia="仿宋" w:cs="仿宋_GB2312"/>
          <w:color w:val="000000"/>
          <w:kern w:val="0"/>
          <w:sz w:val="28"/>
          <w:szCs w:val="28"/>
        </w:rPr>
        <w:t>政府集中采购</w:t>
      </w:r>
    </w:p>
    <w:p>
      <w:pPr>
        <w:spacing w:line="360" w:lineRule="auto"/>
        <w:ind w:firstLine="562" w:firstLineChars="200"/>
        <w:jc w:val="left"/>
        <w:rPr>
          <w:rFonts w:ascii="仿宋" w:hAnsi="仿宋" w:eastAsia="仿宋" w:cs="仿宋_GB2312"/>
          <w:color w:val="000000"/>
          <w:kern w:val="0"/>
          <w:sz w:val="28"/>
          <w:szCs w:val="28"/>
        </w:rPr>
      </w:pPr>
      <w:r>
        <w:rPr>
          <w:rFonts w:ascii="仿宋" w:hAnsi="仿宋" w:eastAsia="仿宋" w:cs="仿宋_GB2312"/>
          <w:b/>
          <w:color w:val="000000"/>
          <w:kern w:val="0"/>
          <w:sz w:val="28"/>
          <w:szCs w:val="28"/>
        </w:rPr>
        <w:t>三、招标项目名称及数量：</w:t>
      </w:r>
      <w:r>
        <w:rPr>
          <w:rFonts w:ascii="仿宋" w:hAnsi="仿宋" w:eastAsia="仿宋" w:cs="仿宋_GB2312"/>
          <w:color w:val="000000"/>
          <w:kern w:val="0"/>
          <w:sz w:val="28"/>
          <w:szCs w:val="28"/>
        </w:rPr>
        <w:t>见招标文件</w:t>
      </w:r>
    </w:p>
    <w:tbl>
      <w:tblPr>
        <w:tblStyle w:val="6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1872"/>
        <w:gridCol w:w="1331"/>
        <w:gridCol w:w="1028"/>
        <w:gridCol w:w="1028"/>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jc w:val="center"/>
        </w:trPr>
        <w:tc>
          <w:tcPr>
            <w:tcW w:w="479"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标项</w:t>
            </w:r>
          </w:p>
        </w:tc>
        <w:tc>
          <w:tcPr>
            <w:tcW w:w="832"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标项名称</w:t>
            </w:r>
          </w:p>
        </w:tc>
        <w:tc>
          <w:tcPr>
            <w:tcW w:w="1098" w:type="pct"/>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数量/单位</w:t>
            </w:r>
          </w:p>
        </w:tc>
        <w:tc>
          <w:tcPr>
            <w:tcW w:w="781"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预算金额(万元)</w:t>
            </w:r>
          </w:p>
        </w:tc>
        <w:tc>
          <w:tcPr>
            <w:tcW w:w="603"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简要规格描述或标项基本概况介绍</w:t>
            </w:r>
          </w:p>
        </w:tc>
        <w:tc>
          <w:tcPr>
            <w:tcW w:w="603"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采购单位</w:t>
            </w:r>
          </w:p>
        </w:tc>
        <w:tc>
          <w:tcPr>
            <w:tcW w:w="603"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9"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1</w:t>
            </w:r>
          </w:p>
        </w:tc>
        <w:tc>
          <w:tcPr>
            <w:tcW w:w="832" w:type="pct"/>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超融合服务器采购项目</w:t>
            </w:r>
          </w:p>
        </w:tc>
        <w:tc>
          <w:tcPr>
            <w:tcW w:w="1098" w:type="pct"/>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一批</w:t>
            </w:r>
          </w:p>
        </w:tc>
        <w:tc>
          <w:tcPr>
            <w:tcW w:w="781" w:type="pct"/>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65</w:t>
            </w:r>
          </w:p>
        </w:tc>
        <w:tc>
          <w:tcPr>
            <w:tcW w:w="603" w:type="pct"/>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见招标文件</w:t>
            </w:r>
          </w:p>
        </w:tc>
        <w:tc>
          <w:tcPr>
            <w:tcW w:w="603" w:type="pct"/>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宁波一院龙山医院医疗健康集团</w:t>
            </w:r>
          </w:p>
        </w:tc>
        <w:tc>
          <w:tcPr>
            <w:tcW w:w="603" w:type="pct"/>
          </w:tcPr>
          <w:p>
            <w:pPr>
              <w:spacing w:line="360" w:lineRule="auto"/>
              <w:rPr>
                <w:rFonts w:ascii="仿宋" w:hAnsi="仿宋" w:eastAsia="仿宋" w:cs="仿宋_GB2312"/>
                <w:color w:val="000000"/>
                <w:kern w:val="0"/>
                <w:sz w:val="24"/>
              </w:rPr>
            </w:pPr>
          </w:p>
        </w:tc>
      </w:tr>
    </w:tbl>
    <w:p>
      <w:pPr>
        <w:spacing w:line="360" w:lineRule="auto"/>
        <w:ind w:firstLine="562" w:firstLineChars="200"/>
        <w:jc w:val="left"/>
        <w:rPr>
          <w:rFonts w:ascii="仿宋" w:hAnsi="仿宋" w:eastAsia="仿宋" w:cs="仿宋_GB2312"/>
          <w:color w:val="000000"/>
          <w:kern w:val="0"/>
          <w:sz w:val="28"/>
          <w:szCs w:val="28"/>
        </w:rPr>
      </w:pPr>
      <w:r>
        <w:rPr>
          <w:rFonts w:hint="eastAsia" w:ascii="仿宋" w:hAnsi="仿宋" w:eastAsia="仿宋" w:cs="仿宋_GB2312"/>
          <w:b/>
          <w:bCs/>
          <w:color w:val="000000"/>
          <w:kern w:val="0"/>
          <w:sz w:val="28"/>
          <w:szCs w:val="28"/>
        </w:rPr>
        <w:t>四、</w:t>
      </w:r>
      <w:r>
        <w:rPr>
          <w:rFonts w:ascii="仿宋" w:hAnsi="仿宋" w:eastAsia="仿宋" w:cs="仿宋_GB2312"/>
          <w:b/>
          <w:bCs/>
          <w:color w:val="000000"/>
          <w:kern w:val="0"/>
          <w:sz w:val="28"/>
          <w:szCs w:val="28"/>
        </w:rPr>
        <w:t>合格投标人的资格要求：</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本项目不接受联合体投标。</w:t>
      </w:r>
    </w:p>
    <w:p>
      <w:pPr>
        <w:spacing w:line="360" w:lineRule="auto"/>
        <w:ind w:firstLine="562" w:firstLineChars="200"/>
        <w:jc w:val="left"/>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五、</w:t>
      </w:r>
      <w:r>
        <w:rPr>
          <w:rFonts w:hint="eastAsia" w:ascii="仿宋" w:hAnsi="仿宋" w:eastAsia="仿宋" w:cs="仿宋_GB2312"/>
          <w:b/>
          <w:color w:val="000000"/>
          <w:kern w:val="0"/>
          <w:sz w:val="28"/>
          <w:szCs w:val="28"/>
        </w:rPr>
        <w:t>招标文件获取方式、时间及地点等</w:t>
      </w:r>
      <w:r>
        <w:rPr>
          <w:rFonts w:hint="eastAsia" w:ascii="仿宋" w:hAnsi="仿宋" w:eastAsia="仿宋" w:cs="仿宋_GB2312"/>
          <w:b/>
          <w:bCs/>
          <w:color w:val="000000"/>
          <w:kern w:val="0"/>
          <w:sz w:val="28"/>
          <w:szCs w:val="28"/>
        </w:rPr>
        <w:t>：</w:t>
      </w:r>
    </w:p>
    <w:p>
      <w:pPr>
        <w:spacing w:line="360" w:lineRule="auto"/>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1.</w:t>
      </w:r>
      <w:r>
        <w:rPr>
          <w:rFonts w:ascii="仿宋" w:hAnsi="仿宋" w:eastAsia="仿宋" w:cs="仿宋_GB2312"/>
          <w:kern w:val="0"/>
          <w:sz w:val="28"/>
          <w:szCs w:val="28"/>
        </w:rPr>
        <w:t>招标文件发售/获取截止日期：</w:t>
      </w:r>
      <w:r>
        <w:rPr>
          <w:rFonts w:hint="eastAsia" w:ascii="仿宋" w:hAnsi="仿宋" w:eastAsia="仿宋" w:cs="仿宋_GB2312"/>
          <w:kern w:val="0"/>
          <w:sz w:val="28"/>
          <w:szCs w:val="28"/>
        </w:rPr>
        <w:t>2024</w:t>
      </w:r>
      <w:r>
        <w:rPr>
          <w:rFonts w:ascii="仿宋" w:hAnsi="仿宋" w:eastAsia="仿宋" w:cs="仿宋_GB2312"/>
          <w:kern w:val="0"/>
          <w:sz w:val="28"/>
          <w:szCs w:val="28"/>
        </w:rPr>
        <w:t>年</w:t>
      </w:r>
      <w:r>
        <w:rPr>
          <w:rFonts w:hint="eastAsia" w:ascii="仿宋" w:hAnsi="仿宋" w:eastAsia="仿宋" w:cs="仿宋_GB2312"/>
          <w:kern w:val="0"/>
          <w:sz w:val="28"/>
          <w:szCs w:val="28"/>
        </w:rPr>
        <w:t>5</w:t>
      </w:r>
      <w:r>
        <w:rPr>
          <w:rFonts w:ascii="仿宋" w:hAnsi="仿宋" w:eastAsia="仿宋" w:cs="仿宋_GB2312"/>
          <w:kern w:val="0"/>
          <w:sz w:val="28"/>
          <w:szCs w:val="28"/>
        </w:rPr>
        <w:t>月</w:t>
      </w:r>
      <w:r>
        <w:rPr>
          <w:rFonts w:hint="eastAsia" w:ascii="仿宋" w:hAnsi="仿宋" w:eastAsia="仿宋" w:cs="仿宋_GB2312"/>
          <w:kern w:val="0"/>
          <w:sz w:val="28"/>
          <w:szCs w:val="28"/>
          <w:lang w:val="en-US" w:eastAsia="zh-CN"/>
        </w:rPr>
        <w:t>22</w:t>
      </w:r>
      <w:r>
        <w:rPr>
          <w:rFonts w:ascii="仿宋" w:hAnsi="仿宋" w:eastAsia="仿宋" w:cs="仿宋_GB2312"/>
          <w:kern w:val="0"/>
          <w:sz w:val="28"/>
          <w:szCs w:val="28"/>
        </w:rPr>
        <w:t>日</w:t>
      </w:r>
      <w:r>
        <w:rPr>
          <w:rFonts w:hint="eastAsia" w:ascii="仿宋" w:hAnsi="仿宋" w:eastAsia="仿宋" w:cs="仿宋_GB2312"/>
          <w:kern w:val="0"/>
          <w:sz w:val="28"/>
          <w:szCs w:val="28"/>
        </w:rPr>
        <w:t>上</w:t>
      </w:r>
      <w:r>
        <w:rPr>
          <w:rFonts w:ascii="仿宋" w:hAnsi="仿宋" w:eastAsia="仿宋" w:cs="仿宋_GB2312"/>
          <w:kern w:val="0"/>
          <w:sz w:val="28"/>
          <w:szCs w:val="28"/>
        </w:rPr>
        <w:t>午</w:t>
      </w:r>
      <w:r>
        <w:rPr>
          <w:rFonts w:hint="eastAsia" w:ascii="仿宋" w:hAnsi="仿宋" w:eastAsia="仿宋" w:cs="仿宋_GB2312"/>
          <w:kern w:val="0"/>
          <w:sz w:val="28"/>
          <w:szCs w:val="28"/>
        </w:rPr>
        <w:t>9:30</w:t>
      </w:r>
      <w:r>
        <w:rPr>
          <w:rFonts w:ascii="仿宋" w:hAnsi="仿宋" w:eastAsia="仿宋" w:cs="仿宋_GB2312"/>
          <w:kern w:val="0"/>
          <w:sz w:val="28"/>
          <w:szCs w:val="28"/>
        </w:rPr>
        <w:t>时止</w:t>
      </w:r>
      <w:r>
        <w:rPr>
          <w:rFonts w:hint="eastAsia" w:ascii="仿宋" w:hAnsi="仿宋" w:eastAsia="仿宋" w:cs="仿宋_GB2312"/>
          <w:kern w:val="0"/>
          <w:sz w:val="28"/>
          <w:szCs w:val="28"/>
        </w:rPr>
        <w:t>。</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kern w:val="0"/>
          <w:sz w:val="28"/>
          <w:szCs w:val="28"/>
        </w:rPr>
        <w:t>2.</w:t>
      </w:r>
      <w:r>
        <w:rPr>
          <w:rFonts w:ascii="仿宋" w:hAnsi="仿宋" w:eastAsia="仿宋" w:cs="仿宋_GB2312"/>
          <w:kern w:val="0"/>
          <w:sz w:val="28"/>
          <w:szCs w:val="28"/>
        </w:rPr>
        <w:t>招标文件发售/获取截止时间之后获取招标文件</w:t>
      </w:r>
      <w:r>
        <w:rPr>
          <w:rFonts w:ascii="仿宋" w:hAnsi="仿宋" w:eastAsia="仿宋" w:cs="仿宋_GB2312"/>
          <w:color w:val="000000"/>
          <w:kern w:val="0"/>
          <w:sz w:val="28"/>
          <w:szCs w:val="28"/>
        </w:rPr>
        <w:t>的潜在供应商，视为未依法获取采购文件，投标时将被拒绝。</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w:t>
      </w:r>
      <w:r>
        <w:rPr>
          <w:rFonts w:ascii="仿宋" w:hAnsi="仿宋" w:eastAsia="仿宋" w:cs="仿宋_GB2312"/>
          <w:color w:val="000000"/>
          <w:kern w:val="0"/>
          <w:sz w:val="28"/>
          <w:szCs w:val="28"/>
        </w:rPr>
        <w:t>招标文件发售/获取地址：政府采购云平台</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w:t>
      </w:r>
      <w:r>
        <w:rPr>
          <w:rFonts w:ascii="仿宋" w:hAnsi="仿宋" w:eastAsia="仿宋" w:cs="仿宋_GB2312"/>
          <w:color w:val="000000"/>
          <w:kern w:val="0"/>
          <w:sz w:val="28"/>
          <w:szCs w:val="28"/>
        </w:rPr>
        <w:t>招标文件发售／获取方式：政府采购云平台→“政采云用户”登录→【项目采购】→【获取采购文件】</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w:t>
      </w:r>
      <w:r>
        <w:rPr>
          <w:rFonts w:ascii="仿宋" w:hAnsi="仿宋" w:eastAsia="仿宋"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6.</w:t>
      </w:r>
      <w:r>
        <w:rPr>
          <w:rFonts w:ascii="仿宋" w:hAnsi="仿宋" w:eastAsia="仿宋" w:cs="仿宋_GB2312"/>
          <w:color w:val="000000"/>
          <w:kern w:val="0"/>
          <w:sz w:val="28"/>
          <w:szCs w:val="28"/>
        </w:rPr>
        <w:t>招标文件售价：免费</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7.</w:t>
      </w:r>
      <w:r>
        <w:rPr>
          <w:rFonts w:ascii="仿宋" w:hAnsi="仿宋" w:eastAsia="仿宋" w:cs="仿宋_GB2312"/>
          <w:color w:val="000000"/>
          <w:kern w:val="0"/>
          <w:sz w:val="28"/>
          <w:szCs w:val="28"/>
        </w:rPr>
        <w:t>招标人可以对已发出的招标文件进行必要的澄清或者修改，将以“澄清公告”的形式发布在“浙江政府采购网”政采云平台上，供应商应及时登录政采云平台查看和下载，未及时查看和下载的责任自负。</w:t>
      </w:r>
    </w:p>
    <w:p>
      <w:pPr>
        <w:spacing w:line="360" w:lineRule="auto"/>
        <w:ind w:firstLine="562" w:firstLineChars="200"/>
        <w:jc w:val="left"/>
        <w:rPr>
          <w:rFonts w:ascii="仿宋" w:hAnsi="仿宋" w:eastAsia="仿宋" w:cs="仿宋_GB2312"/>
          <w:b/>
          <w:bCs/>
          <w:color w:val="000000"/>
          <w:kern w:val="0"/>
          <w:sz w:val="28"/>
          <w:szCs w:val="28"/>
        </w:rPr>
      </w:pPr>
      <w:r>
        <w:rPr>
          <w:rFonts w:ascii="仿宋" w:hAnsi="仿宋" w:eastAsia="仿宋" w:cs="仿宋_GB2312"/>
          <w:b/>
          <w:bCs/>
          <w:color w:val="000000"/>
          <w:kern w:val="0"/>
          <w:sz w:val="28"/>
          <w:szCs w:val="28"/>
        </w:rPr>
        <w:t>六</w:t>
      </w:r>
      <w:r>
        <w:rPr>
          <w:rFonts w:hint="eastAsia" w:ascii="仿宋" w:hAnsi="仿宋" w:eastAsia="仿宋" w:cs="仿宋_GB2312"/>
          <w:b/>
          <w:bCs/>
          <w:color w:val="000000"/>
          <w:kern w:val="0"/>
          <w:sz w:val="28"/>
          <w:szCs w:val="28"/>
        </w:rPr>
        <w:t>、投标说明：</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本项目实行电子投标，应按照本项目招标文件和政采云平台的要求编制、加密并递交投标文件（</w:t>
      </w:r>
      <w:r>
        <w:rPr>
          <w:rFonts w:hint="eastAsia" w:ascii="仿宋" w:hAnsi="仿宋" w:eastAsia="仿宋" w:cs="仿宋_GB2312"/>
          <w:color w:val="000000"/>
          <w:kern w:val="0"/>
          <w:sz w:val="28"/>
          <w:szCs w:val="28"/>
        </w:rPr>
        <w:t>供应商在使用系统进行投标的过程中遇到涉及平台使用的任何问题，可致电政采云平台技术支持热线</w:t>
      </w:r>
      <w:r>
        <w:rPr>
          <w:rFonts w:ascii="仿宋" w:hAnsi="仿宋" w:eastAsia="仿宋" w:cs="仿宋_GB2312"/>
          <w:color w:val="000000"/>
          <w:kern w:val="0"/>
          <w:sz w:val="28"/>
          <w:szCs w:val="28"/>
        </w:rPr>
        <w:t>95763或政采云服务专员电话</w:t>
      </w:r>
      <w:r>
        <w:rPr>
          <w:rFonts w:hint="eastAsia" w:ascii="仿宋" w:hAnsi="仿宋" w:eastAsia="仿宋" w:cs="仿宋_GB2312"/>
          <w:color w:val="000000"/>
          <w:kern w:val="0"/>
          <w:sz w:val="28"/>
          <w:szCs w:val="28"/>
        </w:rPr>
        <w:t>0574-63917219</w:t>
      </w:r>
      <w:r>
        <w:rPr>
          <w:rFonts w:ascii="仿宋" w:hAnsi="仿宋" w:eastAsia="仿宋" w:cs="仿宋_GB2312"/>
          <w:color w:val="000000"/>
          <w:kern w:val="0"/>
          <w:sz w:val="28"/>
          <w:szCs w:val="28"/>
        </w:rPr>
        <w:t>）。</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投标人应在开标前完成CA数字证书办理（如遇问题可</w:t>
      </w:r>
      <w:r>
        <w:rPr>
          <w:rFonts w:hint="eastAsia" w:ascii="仿宋" w:hAnsi="仿宋" w:eastAsia="仿宋" w:cs="仿宋_GB2312"/>
          <w:color w:val="000000"/>
          <w:kern w:val="0"/>
          <w:sz w:val="28"/>
          <w:szCs w:val="28"/>
        </w:rPr>
        <w:t>致电政采云平台技术支持热线</w:t>
      </w:r>
      <w:r>
        <w:rPr>
          <w:rFonts w:ascii="仿宋" w:hAnsi="仿宋" w:eastAsia="仿宋" w:cs="仿宋_GB2312"/>
          <w:color w:val="000000"/>
          <w:kern w:val="0"/>
          <w:sz w:val="28"/>
          <w:szCs w:val="28"/>
        </w:rPr>
        <w:t>95763），用于电子投标文件的制作。</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w:t>
      </w:r>
      <w:r>
        <w:rPr>
          <w:rFonts w:ascii="仿宋" w:hAnsi="仿宋" w:eastAsia="仿宋" w:cs="仿宋_GB2312"/>
          <w:color w:val="000000"/>
          <w:kern w:val="0"/>
          <w:sz w:val="28"/>
          <w:szCs w:val="28"/>
        </w:rPr>
        <w:t xml:space="preserve"> 投标人通过政采云平台电子投标工具制作投标文件，电子投标工具请供应商自行前往</w:t>
      </w:r>
      <w:r>
        <w:rPr>
          <w:rFonts w:hint="eastAsia" w:ascii="仿宋" w:hAnsi="仿宋" w:eastAsia="仿宋" w:cs="仿宋_GB2312"/>
          <w:color w:val="000000"/>
          <w:kern w:val="0"/>
          <w:sz w:val="28"/>
          <w:szCs w:val="28"/>
        </w:rPr>
        <w:t>浙江政府采购网下载并安装</w:t>
      </w:r>
      <w:r>
        <w:rPr>
          <w:rFonts w:ascii="仿宋" w:hAnsi="仿宋" w:eastAsia="仿宋" w:cs="仿宋_GB2312"/>
          <w:color w:val="000000"/>
          <w:kern w:val="0"/>
          <w:sz w:val="28"/>
          <w:szCs w:val="28"/>
        </w:rPr>
        <w:t>（如遇问题可</w:t>
      </w:r>
      <w:r>
        <w:rPr>
          <w:rFonts w:hint="eastAsia" w:ascii="仿宋" w:hAnsi="仿宋" w:eastAsia="仿宋" w:cs="仿宋_GB2312"/>
          <w:color w:val="000000"/>
          <w:kern w:val="0"/>
          <w:sz w:val="28"/>
          <w:szCs w:val="28"/>
        </w:rPr>
        <w:t>致电政采云平台技术支持热线</w:t>
      </w:r>
      <w:r>
        <w:rPr>
          <w:rFonts w:ascii="仿宋" w:hAnsi="仿宋" w:eastAsia="仿宋" w:cs="仿宋_GB2312"/>
          <w:color w:val="000000"/>
          <w:kern w:val="0"/>
          <w:sz w:val="28"/>
          <w:szCs w:val="28"/>
        </w:rPr>
        <w:t>95763）。</w:t>
      </w:r>
    </w:p>
    <w:p>
      <w:pPr>
        <w:spacing w:line="360" w:lineRule="auto"/>
        <w:ind w:firstLine="562" w:firstLineChars="200"/>
        <w:jc w:val="left"/>
        <w:rPr>
          <w:rFonts w:ascii="仿宋" w:hAnsi="仿宋" w:eastAsia="仿宋" w:cs="仿宋_GB2312"/>
          <w:b/>
          <w:bCs/>
          <w:kern w:val="0"/>
          <w:sz w:val="28"/>
          <w:szCs w:val="28"/>
        </w:rPr>
      </w:pPr>
      <w:r>
        <w:rPr>
          <w:rFonts w:hint="eastAsia" w:ascii="仿宋" w:hAnsi="仿宋" w:eastAsia="仿宋" w:cs="仿宋_GB2312"/>
          <w:b/>
          <w:bCs/>
          <w:kern w:val="0"/>
          <w:sz w:val="28"/>
          <w:szCs w:val="28"/>
        </w:rPr>
        <w:t>七、</w:t>
      </w:r>
      <w:r>
        <w:rPr>
          <w:rFonts w:ascii="仿宋" w:hAnsi="仿宋" w:eastAsia="仿宋" w:cs="仿宋_GB2312"/>
          <w:b/>
          <w:bCs/>
          <w:kern w:val="0"/>
          <w:sz w:val="28"/>
          <w:szCs w:val="28"/>
        </w:rPr>
        <w:t>投标截止时间、地点及要求</w:t>
      </w:r>
      <w:r>
        <w:rPr>
          <w:rFonts w:hint="eastAsia" w:ascii="仿宋" w:hAnsi="仿宋" w:eastAsia="仿宋" w:cs="仿宋_GB2312"/>
          <w:b/>
          <w:bCs/>
          <w:kern w:val="0"/>
          <w:sz w:val="28"/>
          <w:szCs w:val="28"/>
        </w:rPr>
        <w:t>：</w:t>
      </w:r>
    </w:p>
    <w:p>
      <w:pPr>
        <w:spacing w:line="360" w:lineRule="auto"/>
        <w:ind w:firstLine="560" w:firstLineChars="200"/>
        <w:jc w:val="left"/>
        <w:rPr>
          <w:rFonts w:ascii="仿宋" w:hAnsi="仿宋" w:eastAsia="仿宋" w:cs="仿宋_GB2312"/>
          <w:kern w:val="0"/>
          <w:sz w:val="28"/>
          <w:szCs w:val="28"/>
        </w:rPr>
      </w:pPr>
      <w:r>
        <w:rPr>
          <w:rFonts w:ascii="仿宋" w:hAnsi="仿宋" w:eastAsia="仿宋" w:cs="仿宋_GB2312"/>
          <w:bCs/>
          <w:kern w:val="0"/>
          <w:sz w:val="28"/>
          <w:szCs w:val="28"/>
        </w:rPr>
        <w:t>1.投标截止时间</w:t>
      </w:r>
      <w:r>
        <w:rPr>
          <w:rFonts w:ascii="仿宋" w:hAnsi="仿宋" w:eastAsia="仿宋" w:cs="仿宋_GB2312"/>
          <w:kern w:val="0"/>
          <w:sz w:val="28"/>
          <w:szCs w:val="28"/>
        </w:rPr>
        <w:t>：</w:t>
      </w:r>
      <w:r>
        <w:rPr>
          <w:rFonts w:hint="eastAsia" w:ascii="仿宋" w:hAnsi="仿宋" w:eastAsia="仿宋" w:cs="仿宋_GB2312"/>
          <w:kern w:val="0"/>
          <w:sz w:val="28"/>
          <w:szCs w:val="28"/>
        </w:rPr>
        <w:t>2024</w:t>
      </w:r>
      <w:r>
        <w:rPr>
          <w:rFonts w:ascii="仿宋" w:hAnsi="仿宋" w:eastAsia="仿宋" w:cs="仿宋_GB2312"/>
          <w:kern w:val="0"/>
          <w:sz w:val="28"/>
          <w:szCs w:val="28"/>
        </w:rPr>
        <w:t>年</w:t>
      </w:r>
      <w:r>
        <w:rPr>
          <w:rFonts w:hint="eastAsia" w:ascii="仿宋" w:hAnsi="仿宋" w:eastAsia="仿宋" w:cs="仿宋_GB2312"/>
          <w:kern w:val="0"/>
          <w:sz w:val="28"/>
          <w:szCs w:val="28"/>
        </w:rPr>
        <w:t>5</w:t>
      </w:r>
      <w:r>
        <w:rPr>
          <w:rFonts w:ascii="仿宋" w:hAnsi="仿宋" w:eastAsia="仿宋" w:cs="仿宋_GB2312"/>
          <w:kern w:val="0"/>
          <w:sz w:val="28"/>
          <w:szCs w:val="28"/>
        </w:rPr>
        <w:t>月</w:t>
      </w:r>
      <w:r>
        <w:rPr>
          <w:rFonts w:hint="eastAsia" w:ascii="仿宋" w:hAnsi="仿宋" w:eastAsia="仿宋" w:cs="仿宋_GB2312"/>
          <w:kern w:val="0"/>
          <w:sz w:val="28"/>
          <w:szCs w:val="28"/>
          <w:lang w:val="en-US" w:eastAsia="zh-CN"/>
        </w:rPr>
        <w:t>22</w:t>
      </w:r>
      <w:r>
        <w:rPr>
          <w:rFonts w:ascii="仿宋" w:hAnsi="仿宋" w:eastAsia="仿宋" w:cs="仿宋_GB2312"/>
          <w:kern w:val="0"/>
          <w:sz w:val="28"/>
          <w:szCs w:val="28"/>
        </w:rPr>
        <w:t>日</w:t>
      </w:r>
      <w:r>
        <w:rPr>
          <w:rFonts w:hint="eastAsia" w:ascii="仿宋" w:hAnsi="仿宋" w:eastAsia="仿宋" w:cs="仿宋_GB2312"/>
          <w:kern w:val="0"/>
          <w:sz w:val="28"/>
          <w:szCs w:val="28"/>
        </w:rPr>
        <w:t>上</w:t>
      </w:r>
      <w:r>
        <w:rPr>
          <w:rFonts w:ascii="仿宋" w:hAnsi="仿宋" w:eastAsia="仿宋" w:cs="仿宋_GB2312"/>
          <w:kern w:val="0"/>
          <w:sz w:val="28"/>
          <w:szCs w:val="28"/>
        </w:rPr>
        <w:t>午</w:t>
      </w:r>
      <w:r>
        <w:rPr>
          <w:rFonts w:hint="eastAsia" w:ascii="仿宋" w:hAnsi="仿宋" w:eastAsia="仿宋" w:cs="仿宋_GB2312"/>
          <w:kern w:val="0"/>
          <w:sz w:val="28"/>
          <w:szCs w:val="28"/>
        </w:rPr>
        <w:t>9:30</w:t>
      </w:r>
      <w:r>
        <w:rPr>
          <w:rFonts w:ascii="仿宋" w:hAnsi="仿宋" w:eastAsia="仿宋" w:cs="仿宋_GB2312"/>
          <w:kern w:val="0"/>
          <w:sz w:val="28"/>
          <w:szCs w:val="28"/>
        </w:rPr>
        <w:t>时止。</w:t>
      </w:r>
    </w:p>
    <w:p>
      <w:pPr>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bCs/>
          <w:color w:val="000000"/>
          <w:kern w:val="0"/>
          <w:sz w:val="28"/>
          <w:szCs w:val="28"/>
        </w:rPr>
        <w:t>2.投标地址</w:t>
      </w:r>
      <w:r>
        <w:rPr>
          <w:rFonts w:ascii="仿宋" w:hAnsi="仿宋" w:eastAsia="仿宋" w:cs="仿宋_GB2312"/>
          <w:color w:val="000000"/>
          <w:kern w:val="0"/>
          <w:sz w:val="28"/>
          <w:szCs w:val="28"/>
        </w:rPr>
        <w:t>：</w:t>
      </w:r>
      <w:r>
        <w:rPr>
          <w:rFonts w:hint="eastAsia" w:ascii="仿宋" w:hAnsi="仿宋" w:eastAsia="仿宋" w:cs="仿宋_GB2312"/>
          <w:bCs/>
          <w:color w:val="000000"/>
          <w:kern w:val="0"/>
          <w:sz w:val="28"/>
          <w:szCs w:val="28"/>
        </w:rPr>
        <w:t>政府</w:t>
      </w:r>
      <w:r>
        <w:rPr>
          <w:rFonts w:ascii="仿宋" w:hAnsi="仿宋" w:eastAsia="仿宋" w:cs="仿宋_GB2312"/>
          <w:bCs/>
          <w:color w:val="000000"/>
          <w:kern w:val="0"/>
          <w:sz w:val="28"/>
          <w:szCs w:val="28"/>
        </w:rPr>
        <w:t>采购云平台</w:t>
      </w:r>
    </w:p>
    <w:p>
      <w:pPr>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3</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 w:hAnsi="仿宋" w:eastAsia="仿宋" w:cs="仿宋_GB2312"/>
          <w:color w:val="000000"/>
          <w:kern w:val="0"/>
          <w:sz w:val="28"/>
          <w:szCs w:val="28"/>
        </w:rPr>
        <w:t>提交</w:t>
      </w:r>
      <w:r>
        <w:rPr>
          <w:rFonts w:ascii="仿宋" w:hAnsi="仿宋" w:eastAsia="仿宋" w:cs="仿宋_GB2312"/>
          <w:color w:val="000000"/>
          <w:kern w:val="0"/>
          <w:sz w:val="28"/>
          <w:szCs w:val="28"/>
        </w:rPr>
        <w:t>的投标、响应文件，将被政采云平台拒收。</w:t>
      </w:r>
    </w:p>
    <w:p>
      <w:pPr>
        <w:spacing w:line="360" w:lineRule="auto"/>
        <w:ind w:firstLine="562" w:firstLineChars="200"/>
        <w:jc w:val="left"/>
        <w:rPr>
          <w:rFonts w:ascii="仿宋" w:hAnsi="仿宋" w:eastAsia="仿宋" w:cs="仿宋_GB2312"/>
          <w:b/>
          <w:bCs/>
          <w:kern w:val="0"/>
          <w:sz w:val="28"/>
          <w:szCs w:val="28"/>
        </w:rPr>
      </w:pPr>
      <w:r>
        <w:rPr>
          <w:rFonts w:hint="eastAsia" w:ascii="仿宋" w:hAnsi="仿宋" w:eastAsia="仿宋" w:cs="仿宋_GB2312"/>
          <w:b/>
          <w:bCs/>
          <w:kern w:val="0"/>
          <w:sz w:val="28"/>
          <w:szCs w:val="28"/>
        </w:rPr>
        <w:t>八、开标时间及地点：</w:t>
      </w:r>
    </w:p>
    <w:p>
      <w:pPr>
        <w:spacing w:line="360" w:lineRule="auto"/>
        <w:ind w:firstLine="560" w:firstLineChars="200"/>
        <w:jc w:val="left"/>
        <w:rPr>
          <w:rFonts w:ascii="仿宋" w:hAnsi="仿宋" w:eastAsia="仿宋" w:cs="仿宋_GB2312"/>
          <w:kern w:val="0"/>
          <w:sz w:val="28"/>
          <w:szCs w:val="28"/>
        </w:rPr>
      </w:pPr>
      <w:r>
        <w:rPr>
          <w:rFonts w:hint="eastAsia" w:ascii="仿宋" w:hAnsi="仿宋" w:eastAsia="仿宋" w:cs="仿宋_GB2312"/>
          <w:bCs/>
          <w:kern w:val="0"/>
          <w:sz w:val="28"/>
          <w:szCs w:val="28"/>
        </w:rPr>
        <w:t>1.</w:t>
      </w:r>
      <w:r>
        <w:rPr>
          <w:rFonts w:ascii="仿宋" w:hAnsi="仿宋" w:eastAsia="仿宋" w:cs="仿宋_GB2312"/>
          <w:bCs/>
          <w:kern w:val="0"/>
          <w:sz w:val="28"/>
          <w:szCs w:val="28"/>
        </w:rPr>
        <w:t>开标时间</w:t>
      </w:r>
      <w:r>
        <w:rPr>
          <w:rFonts w:ascii="仿宋" w:hAnsi="仿宋" w:eastAsia="仿宋" w:cs="仿宋_GB2312"/>
          <w:kern w:val="0"/>
          <w:sz w:val="28"/>
          <w:szCs w:val="28"/>
        </w:rPr>
        <w:t>：</w:t>
      </w:r>
      <w:r>
        <w:rPr>
          <w:rFonts w:hint="eastAsia" w:ascii="仿宋" w:hAnsi="仿宋" w:eastAsia="仿宋" w:cs="仿宋_GB2312"/>
          <w:kern w:val="0"/>
          <w:sz w:val="28"/>
          <w:szCs w:val="28"/>
        </w:rPr>
        <w:t>2024</w:t>
      </w:r>
      <w:r>
        <w:rPr>
          <w:rFonts w:ascii="仿宋" w:hAnsi="仿宋" w:eastAsia="仿宋" w:cs="仿宋_GB2312"/>
          <w:kern w:val="0"/>
          <w:sz w:val="28"/>
          <w:szCs w:val="28"/>
        </w:rPr>
        <w:t>年</w:t>
      </w:r>
      <w:r>
        <w:rPr>
          <w:rFonts w:hint="eastAsia" w:ascii="仿宋" w:hAnsi="仿宋" w:eastAsia="仿宋" w:cs="仿宋_GB2312"/>
          <w:kern w:val="0"/>
          <w:sz w:val="28"/>
          <w:szCs w:val="28"/>
        </w:rPr>
        <w:t>5</w:t>
      </w:r>
      <w:r>
        <w:rPr>
          <w:rFonts w:ascii="仿宋" w:hAnsi="仿宋" w:eastAsia="仿宋" w:cs="仿宋_GB2312"/>
          <w:kern w:val="0"/>
          <w:sz w:val="28"/>
          <w:szCs w:val="28"/>
        </w:rPr>
        <w:t>月</w:t>
      </w:r>
      <w:r>
        <w:rPr>
          <w:rFonts w:hint="eastAsia" w:ascii="仿宋" w:hAnsi="仿宋" w:eastAsia="仿宋" w:cs="仿宋_GB2312"/>
          <w:kern w:val="0"/>
          <w:sz w:val="28"/>
          <w:szCs w:val="28"/>
          <w:lang w:val="en-US" w:eastAsia="zh-CN"/>
        </w:rPr>
        <w:t>22</w:t>
      </w:r>
      <w:r>
        <w:rPr>
          <w:rFonts w:ascii="仿宋" w:hAnsi="仿宋" w:eastAsia="仿宋" w:cs="仿宋_GB2312"/>
          <w:kern w:val="0"/>
          <w:sz w:val="28"/>
          <w:szCs w:val="28"/>
        </w:rPr>
        <w:t>日</w:t>
      </w:r>
      <w:r>
        <w:rPr>
          <w:rFonts w:hint="eastAsia" w:ascii="仿宋" w:hAnsi="仿宋" w:eastAsia="仿宋" w:cs="仿宋_GB2312"/>
          <w:kern w:val="0"/>
          <w:sz w:val="28"/>
          <w:szCs w:val="28"/>
        </w:rPr>
        <w:t>上</w:t>
      </w:r>
      <w:r>
        <w:rPr>
          <w:rFonts w:ascii="仿宋" w:hAnsi="仿宋" w:eastAsia="仿宋" w:cs="仿宋_GB2312"/>
          <w:kern w:val="0"/>
          <w:sz w:val="28"/>
          <w:szCs w:val="28"/>
        </w:rPr>
        <w:t>午</w:t>
      </w:r>
      <w:r>
        <w:rPr>
          <w:rFonts w:hint="eastAsia" w:ascii="仿宋" w:hAnsi="仿宋" w:eastAsia="仿宋" w:cs="仿宋_GB2312"/>
          <w:kern w:val="0"/>
          <w:sz w:val="28"/>
          <w:szCs w:val="28"/>
        </w:rPr>
        <w:t>9:30</w:t>
      </w:r>
      <w:r>
        <w:rPr>
          <w:rFonts w:ascii="仿宋" w:hAnsi="仿宋" w:eastAsia="仿宋" w:cs="仿宋_GB2312"/>
          <w:kern w:val="0"/>
          <w:sz w:val="28"/>
          <w:szCs w:val="28"/>
        </w:rPr>
        <w:t>时整。</w:t>
      </w:r>
    </w:p>
    <w:p>
      <w:pPr>
        <w:spacing w:line="360" w:lineRule="auto"/>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2.</w:t>
      </w:r>
      <w:r>
        <w:rPr>
          <w:rFonts w:ascii="仿宋" w:hAnsi="仿宋" w:eastAsia="仿宋" w:cs="仿宋_GB2312"/>
          <w:kern w:val="0"/>
          <w:sz w:val="28"/>
          <w:szCs w:val="28"/>
        </w:rPr>
        <w:t>开标地址：</w:t>
      </w:r>
      <w:r>
        <w:rPr>
          <w:rFonts w:ascii="仿宋" w:hAnsi="仿宋" w:eastAsia="仿宋" w:cs="仿宋_GB2312"/>
          <w:bCs/>
          <w:kern w:val="0"/>
          <w:sz w:val="28"/>
          <w:szCs w:val="28"/>
        </w:rPr>
        <w:t>浙江省</w:t>
      </w:r>
      <w:r>
        <w:rPr>
          <w:rFonts w:ascii="仿宋" w:hAnsi="仿宋" w:eastAsia="仿宋" w:cs="仿宋_GB2312"/>
          <w:kern w:val="0"/>
          <w:sz w:val="28"/>
          <w:szCs w:val="28"/>
        </w:rPr>
        <w:t>慈溪市公共资源交易中心二楼第五开标室（慈溪市白沙路街道南二环东路1355号）</w:t>
      </w:r>
      <w:r>
        <w:rPr>
          <w:rFonts w:hint="eastAsia" w:ascii="仿宋" w:hAnsi="仿宋" w:eastAsia="仿宋" w:cs="仿宋_GB2312"/>
          <w:kern w:val="0"/>
          <w:sz w:val="28"/>
          <w:szCs w:val="28"/>
        </w:rPr>
        <w:t>/政府采购云平台</w:t>
      </w:r>
    </w:p>
    <w:p>
      <w:pPr>
        <w:spacing w:line="360" w:lineRule="auto"/>
        <w:ind w:firstLine="562" w:firstLineChars="200"/>
        <w:jc w:val="left"/>
        <w:rPr>
          <w:rFonts w:ascii="仿宋" w:hAnsi="仿宋" w:eastAsia="仿宋" w:cs="仿宋_GB2312"/>
          <w:kern w:val="0"/>
          <w:sz w:val="28"/>
          <w:szCs w:val="28"/>
        </w:rPr>
      </w:pPr>
      <w:r>
        <w:rPr>
          <w:rFonts w:hint="eastAsia" w:ascii="仿宋" w:hAnsi="仿宋" w:eastAsia="仿宋" w:cs="仿宋_GB2312"/>
          <w:b/>
          <w:bCs/>
          <w:kern w:val="0"/>
          <w:sz w:val="28"/>
          <w:szCs w:val="28"/>
        </w:rPr>
        <w:t>九、</w:t>
      </w:r>
      <w:r>
        <w:rPr>
          <w:rFonts w:ascii="仿宋" w:hAnsi="仿宋" w:eastAsia="仿宋" w:cs="仿宋_GB2312"/>
          <w:b/>
          <w:bCs/>
          <w:kern w:val="0"/>
          <w:sz w:val="28"/>
          <w:szCs w:val="28"/>
        </w:rPr>
        <w:t>投标保证金</w:t>
      </w:r>
      <w:r>
        <w:rPr>
          <w:rFonts w:ascii="仿宋" w:hAnsi="仿宋" w:eastAsia="仿宋" w:cs="仿宋_GB2312"/>
          <w:b/>
          <w:kern w:val="0"/>
          <w:sz w:val="28"/>
          <w:szCs w:val="28"/>
        </w:rPr>
        <w:t>：</w:t>
      </w:r>
      <w:r>
        <w:rPr>
          <w:rFonts w:ascii="仿宋" w:hAnsi="仿宋" w:eastAsia="仿宋" w:cs="仿宋_GB2312"/>
          <w:kern w:val="0"/>
          <w:sz w:val="28"/>
          <w:szCs w:val="28"/>
        </w:rPr>
        <w:t>无</w:t>
      </w:r>
    </w:p>
    <w:p>
      <w:pPr>
        <w:spacing w:line="360" w:lineRule="auto"/>
        <w:ind w:firstLine="562" w:firstLineChars="200"/>
        <w:jc w:val="left"/>
        <w:rPr>
          <w:rFonts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十、</w:t>
      </w:r>
      <w:r>
        <w:rPr>
          <w:rFonts w:ascii="仿宋" w:hAnsi="仿宋" w:eastAsia="仿宋" w:cs="仿宋_GB2312"/>
          <w:b/>
          <w:color w:val="000000"/>
          <w:kern w:val="0"/>
          <w:sz w:val="28"/>
          <w:szCs w:val="28"/>
        </w:rPr>
        <w:t>本次招标有关信息公告媒体：</w:t>
      </w:r>
    </w:p>
    <w:p>
      <w:pPr>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浙江政府采购网</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宁波市政务服务办公室-宁波市公共资源交易电子服务系统（慈溪）</w:t>
      </w:r>
    </w:p>
    <w:p>
      <w:pPr>
        <w:spacing w:line="360" w:lineRule="auto"/>
        <w:ind w:firstLine="562" w:firstLineChars="200"/>
        <w:jc w:val="left"/>
        <w:rPr>
          <w:rFonts w:ascii="仿宋" w:hAnsi="仿宋" w:eastAsia="仿宋" w:cs="仿宋_GB2312"/>
          <w:color w:val="000000"/>
          <w:kern w:val="0"/>
          <w:sz w:val="28"/>
          <w:szCs w:val="28"/>
        </w:rPr>
      </w:pPr>
      <w:r>
        <w:rPr>
          <w:rFonts w:ascii="仿宋" w:hAnsi="仿宋" w:eastAsia="仿宋" w:cs="仿宋_GB2312"/>
          <w:b/>
          <w:color w:val="000000"/>
          <w:kern w:val="0"/>
          <w:sz w:val="28"/>
          <w:szCs w:val="28"/>
        </w:rPr>
        <w:t>十一</w:t>
      </w:r>
      <w:r>
        <w:rPr>
          <w:rFonts w:hint="eastAsia" w:ascii="仿宋" w:hAnsi="仿宋" w:eastAsia="仿宋" w:cs="仿宋_GB2312"/>
          <w:b/>
          <w:color w:val="000000"/>
          <w:kern w:val="0"/>
          <w:sz w:val="28"/>
          <w:szCs w:val="28"/>
        </w:rPr>
        <w:t>、本项目</w:t>
      </w:r>
      <w:r>
        <w:rPr>
          <w:rFonts w:ascii="仿宋" w:hAnsi="仿宋" w:eastAsia="仿宋" w:cs="仿宋_GB2312"/>
          <w:b/>
          <w:color w:val="000000"/>
          <w:kern w:val="0"/>
          <w:sz w:val="28"/>
          <w:szCs w:val="28"/>
        </w:rPr>
        <w:t>公告期限：</w:t>
      </w:r>
      <w:r>
        <w:rPr>
          <w:rFonts w:ascii="仿宋" w:hAnsi="仿宋" w:eastAsia="仿宋" w:cs="仿宋_GB2312"/>
          <w:color w:val="000000"/>
          <w:kern w:val="0"/>
          <w:sz w:val="28"/>
          <w:szCs w:val="28"/>
        </w:rPr>
        <w:t>本公告发布之日起5个工作日。</w:t>
      </w:r>
    </w:p>
    <w:p>
      <w:pPr>
        <w:spacing w:line="360" w:lineRule="auto"/>
        <w:ind w:firstLine="562" w:firstLineChars="200"/>
        <w:jc w:val="left"/>
        <w:rPr>
          <w:rFonts w:ascii="仿宋" w:hAnsi="仿宋" w:eastAsia="仿宋" w:cs="仿宋_GB2312"/>
          <w:kern w:val="0"/>
          <w:sz w:val="28"/>
          <w:szCs w:val="28"/>
        </w:rPr>
      </w:pPr>
      <w:r>
        <w:rPr>
          <w:rFonts w:hint="eastAsia" w:ascii="仿宋" w:hAnsi="仿宋" w:eastAsia="仿宋" w:cs="仿宋_GB2312"/>
          <w:b/>
          <w:color w:val="000000"/>
          <w:kern w:val="0"/>
          <w:sz w:val="28"/>
          <w:szCs w:val="28"/>
        </w:rPr>
        <w:t>十二、</w:t>
      </w:r>
      <w:r>
        <w:rPr>
          <w:rFonts w:hint="eastAsia" w:ascii="仿宋" w:hAnsi="仿宋" w:eastAsia="仿宋" w:cs="仿宋_GB2312"/>
          <w:kern w:val="0"/>
          <w:sz w:val="28"/>
          <w:szCs w:val="28"/>
        </w:rPr>
        <w:t>供应商认为采购文件、采购过程、中标或者成交结果使自己的权益受到损害的，可以在知道或者应知其权益受到损害之日起7个工作日内，以书面形式提出质疑。</w:t>
      </w:r>
      <w:r>
        <w:rPr>
          <w:rFonts w:hint="eastAsia" w:ascii="仿宋" w:hAnsi="仿宋" w:eastAsia="仿宋" w:cs="仿宋_GB2312"/>
          <w:b/>
          <w:kern w:val="0"/>
          <w:sz w:val="28"/>
          <w:szCs w:val="28"/>
          <w:u w:val="single"/>
        </w:rPr>
        <w:t>对采购文件需求条款、评分标准等内容的质疑向采购人提出，对开评标程序的质疑向采购代理机构提出。</w:t>
      </w:r>
      <w:r>
        <w:rPr>
          <w:rFonts w:hint="eastAsia" w:ascii="仿宋" w:hAnsi="仿宋" w:eastAsia="仿宋" w:cs="仿宋_GB2312"/>
          <w:kern w:val="0"/>
          <w:sz w:val="28"/>
          <w:szCs w:val="28"/>
        </w:rPr>
        <w:t>质疑相关事项见招标文件“第四部分-六、质疑”。</w:t>
      </w:r>
    </w:p>
    <w:p>
      <w:pPr>
        <w:spacing w:line="360" w:lineRule="auto"/>
        <w:ind w:firstLine="562" w:firstLineChars="200"/>
        <w:jc w:val="left"/>
        <w:rPr>
          <w:rFonts w:ascii="仿宋" w:hAnsi="仿宋" w:eastAsia="仿宋" w:cs="仿宋_GB2312"/>
          <w:kern w:val="0"/>
          <w:sz w:val="28"/>
          <w:szCs w:val="28"/>
        </w:rPr>
      </w:pPr>
      <w:r>
        <w:rPr>
          <w:rFonts w:hint="eastAsia" w:ascii="仿宋" w:hAnsi="仿宋" w:eastAsia="仿宋" w:cs="仿宋_GB2312"/>
          <w:b/>
          <w:bCs/>
          <w:kern w:val="0"/>
          <w:sz w:val="28"/>
          <w:szCs w:val="28"/>
        </w:rPr>
        <w:t>十三、</w:t>
      </w:r>
      <w:r>
        <w:rPr>
          <w:rFonts w:ascii="仿宋" w:hAnsi="仿宋" w:eastAsia="仿宋" w:cs="仿宋_GB2312"/>
          <w:b/>
          <w:bCs/>
          <w:kern w:val="0"/>
          <w:sz w:val="28"/>
          <w:szCs w:val="28"/>
        </w:rPr>
        <w:t>联系方式：</w:t>
      </w:r>
    </w:p>
    <w:p>
      <w:pPr>
        <w:spacing w:line="360" w:lineRule="auto"/>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1.采购人信息</w:t>
      </w:r>
    </w:p>
    <w:p>
      <w:pPr>
        <w:spacing w:line="360" w:lineRule="auto"/>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宁波一院龙山医院医疗健康集团（慈溪市龙山镇滨海新区灵峰路1200号）</w:t>
      </w:r>
    </w:p>
    <w:p>
      <w:pPr>
        <w:spacing w:line="360" w:lineRule="auto"/>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项目联系人（询问）：庄</w:t>
      </w:r>
      <w:r>
        <w:rPr>
          <w:rFonts w:hint="eastAsia" w:ascii="仿宋" w:hAnsi="仿宋" w:eastAsia="仿宋" w:cs="仿宋_GB2312"/>
          <w:kern w:val="0"/>
          <w:sz w:val="28"/>
          <w:szCs w:val="28"/>
          <w:lang w:eastAsia="zh-CN"/>
        </w:rPr>
        <w:t>老师</w:t>
      </w:r>
      <w:r>
        <w:rPr>
          <w:rFonts w:hint="eastAsia" w:ascii="仿宋" w:hAnsi="仿宋" w:eastAsia="仿宋" w:cs="仿宋_GB2312"/>
          <w:kern w:val="0"/>
          <w:sz w:val="28"/>
          <w:szCs w:val="28"/>
        </w:rPr>
        <w:t>，0574-63971998</w:t>
      </w:r>
    </w:p>
    <w:p>
      <w:pPr>
        <w:spacing w:line="360" w:lineRule="auto"/>
        <w:ind w:firstLine="560" w:firstLineChars="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质疑联系人：郑</w:t>
      </w:r>
      <w:r>
        <w:rPr>
          <w:rFonts w:hint="eastAsia" w:ascii="仿宋" w:hAnsi="仿宋" w:eastAsia="仿宋" w:cs="仿宋_GB2312"/>
          <w:kern w:val="0"/>
          <w:sz w:val="28"/>
          <w:szCs w:val="28"/>
          <w:lang w:eastAsia="zh-CN"/>
        </w:rPr>
        <w:t>老师</w:t>
      </w:r>
      <w:r>
        <w:rPr>
          <w:rFonts w:hint="eastAsia" w:ascii="仿宋" w:hAnsi="仿宋" w:eastAsia="仿宋" w:cs="仿宋_GB2312"/>
          <w:kern w:val="0"/>
          <w:sz w:val="28"/>
          <w:szCs w:val="28"/>
        </w:rPr>
        <w:t>，0574-63971735</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2.采购代理机构信息</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慈溪市政府采购中心（慈溪市白沙路街道南二环东路1355号）</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项目联系人（询问）：陆溶溶,0574-63661116</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质疑联系人：陈倩芸,0574-63037955</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3.同级政府采购监督管理部门</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慈溪市财政局（慈溪市南二环东路1158号6楼621室）</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联系人：赵老师</w:t>
      </w:r>
    </w:p>
    <w:p>
      <w:pPr>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监督投诉电话：0574-63032032</w:t>
      </w:r>
    </w:p>
    <w:p>
      <w:pPr>
        <w:spacing w:line="360" w:lineRule="auto"/>
        <w:ind w:firstLine="560" w:firstLineChars="200"/>
        <w:jc w:val="left"/>
        <w:rPr>
          <w:rFonts w:ascii="仿宋" w:hAnsi="仿宋" w:eastAsia="仿宋" w:cs="仿宋_GB2312"/>
          <w:color w:val="000000"/>
          <w:kern w:val="0"/>
          <w:sz w:val="28"/>
          <w:szCs w:val="28"/>
        </w:rPr>
      </w:pP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pStyle w:val="63"/>
        <w:jc w:val="both"/>
        <w:rPr>
          <w:rStyle w:val="124"/>
          <w:rFonts w:ascii="仿宋_GB2312" w:eastAsia="仿宋_GB2312"/>
          <w:b/>
          <w:sz w:val="36"/>
        </w:rPr>
      </w:pPr>
    </w:p>
    <w:p>
      <w:pPr>
        <w:pStyle w:val="63"/>
        <w:rPr>
          <w:rStyle w:val="124"/>
          <w:rFonts w:ascii="仿宋_GB2312" w:eastAsia="仿宋_GB2312"/>
          <w:b/>
          <w:sz w:val="36"/>
        </w:rPr>
      </w:pPr>
      <w:bookmarkStart w:id="2" w:name="_Toc150414329"/>
      <w:r>
        <w:rPr>
          <w:rStyle w:val="124"/>
          <w:rFonts w:ascii="仿宋_GB2312" w:eastAsia="仿宋_GB2312"/>
          <w:b/>
          <w:sz w:val="36"/>
        </w:rPr>
        <w:t>第二部分   招标需求</w:t>
      </w:r>
      <w:bookmarkEnd w:id="2"/>
    </w:p>
    <w:p>
      <w:pPr>
        <w:snapToGrid w:val="0"/>
        <w:spacing w:beforeLines="50" w:afterLines="50" w:line="360" w:lineRule="auto"/>
        <w:jc w:val="center"/>
        <w:rPr>
          <w:rFonts w:ascii="仿宋" w:hAnsi="仿宋" w:eastAsia="仿宋" w:cs="仿宋_GB2312"/>
          <w:b/>
          <w:color w:val="000000"/>
          <w:kern w:val="0"/>
          <w:sz w:val="28"/>
          <w:szCs w:val="28"/>
        </w:rPr>
      </w:pPr>
    </w:p>
    <w:p>
      <w:pPr>
        <w:snapToGrid w:val="0"/>
        <w:spacing w:beforeLines="50" w:afterLines="50" w:line="360" w:lineRule="auto"/>
        <w:rPr>
          <w:rFonts w:ascii="仿宋" w:hAnsi="仿宋" w:eastAsia="仿宋" w:cs="仿宋_GB2312"/>
          <w:b/>
          <w:color w:val="000000"/>
          <w:kern w:val="0"/>
          <w:sz w:val="28"/>
          <w:szCs w:val="28"/>
        </w:rPr>
      </w:pPr>
      <w:r>
        <w:rPr>
          <w:rFonts w:ascii="仿宋" w:hAnsi="仿宋" w:eastAsia="仿宋" w:cs="仿宋_GB2312"/>
          <w:b/>
          <w:color w:val="000000"/>
          <w:kern w:val="0"/>
          <w:sz w:val="28"/>
          <w:szCs w:val="28"/>
        </w:rPr>
        <w:t>特别说明：</w:t>
      </w:r>
    </w:p>
    <w:p>
      <w:pPr>
        <w:spacing w:line="360" w:lineRule="auto"/>
        <w:ind w:firstLine="560" w:firstLineChars="200"/>
        <w:rPr>
          <w:rFonts w:ascii="仿宋" w:hAnsi="仿宋" w:eastAsia="仿宋" w:cs="仿宋_GB2312"/>
          <w:bCs/>
          <w:color w:val="000000"/>
          <w:kern w:val="0"/>
          <w:sz w:val="28"/>
          <w:szCs w:val="28"/>
        </w:rPr>
      </w:pPr>
      <w:r>
        <w:rPr>
          <w:rFonts w:hint="eastAsia" w:ascii="仿宋" w:hAnsi="仿宋" w:eastAsia="仿宋" w:cs="仿宋_GB2312"/>
          <w:bCs/>
          <w:color w:val="000000"/>
          <w:kern w:val="0"/>
          <w:sz w:val="28"/>
          <w:szCs w:val="28"/>
        </w:rPr>
        <w:t>1、根据浙财采监字[2007]2号文件规定：除采购文件明确的品牌外，欢迎其他能满足本项目技术需求且性能与所推荐品牌相当的产品参加。</w:t>
      </w:r>
    </w:p>
    <w:p>
      <w:pPr>
        <w:spacing w:line="360" w:lineRule="auto"/>
        <w:ind w:firstLine="562" w:firstLineChars="200"/>
        <w:rPr>
          <w:rFonts w:ascii="仿宋" w:hAnsi="仿宋" w:eastAsia="仿宋" w:cs="仿宋_GB2312"/>
          <w:b/>
          <w:color w:val="000000"/>
          <w:kern w:val="0"/>
          <w:sz w:val="28"/>
          <w:szCs w:val="28"/>
          <w:u w:val="single"/>
        </w:rPr>
      </w:pPr>
      <w:r>
        <w:rPr>
          <w:rFonts w:hint="eastAsia" w:ascii="仿宋" w:hAnsi="仿宋" w:eastAsia="仿宋" w:cs="仿宋_GB2312"/>
          <w:b/>
          <w:color w:val="000000"/>
          <w:kern w:val="0"/>
          <w:sz w:val="28"/>
          <w:szCs w:val="28"/>
          <w:u w:val="single"/>
        </w:rPr>
        <w:t>2、</w:t>
      </w:r>
      <w:r>
        <w:rPr>
          <w:rFonts w:ascii="仿宋" w:hAnsi="仿宋" w:eastAsia="仿宋" w:cs="仿宋_GB2312"/>
          <w:b/>
          <w:color w:val="000000"/>
          <w:kern w:val="0"/>
          <w:sz w:val="28"/>
          <w:szCs w:val="28"/>
          <w:u w:val="single"/>
        </w:rPr>
        <w:t>需求中不允许负偏离的实质性要求和条件，以“★”号标明，如投标人未响应的，将被视为无效。</w:t>
      </w:r>
    </w:p>
    <w:p>
      <w:pPr>
        <w:spacing w:line="360" w:lineRule="auto"/>
        <w:ind w:firstLine="560" w:firstLineChars="200"/>
        <w:rPr>
          <w:rFonts w:ascii="仿宋" w:hAnsi="仿宋" w:eastAsia="仿宋" w:cs="仿宋_GB2312"/>
          <w:bCs/>
          <w:kern w:val="0"/>
          <w:sz w:val="28"/>
          <w:szCs w:val="28"/>
        </w:rPr>
      </w:pPr>
      <w:r>
        <w:rPr>
          <w:rFonts w:hint="eastAsia" w:ascii="仿宋" w:hAnsi="仿宋" w:eastAsia="仿宋" w:cs="仿宋_GB2312"/>
          <w:bCs/>
          <w:kern w:val="0"/>
          <w:sz w:val="28"/>
          <w:szCs w:val="28"/>
        </w:rPr>
        <w:t>3、本项目为非单一产品采购项目，核心产品为</w:t>
      </w:r>
      <w:r>
        <w:rPr>
          <w:rFonts w:hint="eastAsia" w:ascii="仿宋" w:hAnsi="仿宋" w:eastAsia="仿宋" w:cs="仿宋_GB2312"/>
          <w:bCs/>
          <w:kern w:val="0"/>
          <w:sz w:val="28"/>
          <w:szCs w:val="28"/>
          <w:u w:val="single"/>
        </w:rPr>
        <w:t>超融合一体机</w:t>
      </w:r>
      <w:r>
        <w:rPr>
          <w:rFonts w:hint="eastAsia" w:ascii="仿宋" w:hAnsi="仿宋" w:eastAsia="仿宋" w:cs="仿宋_GB2312"/>
          <w:bCs/>
          <w:kern w:val="0"/>
          <w:sz w:val="28"/>
          <w:szCs w:val="28"/>
        </w:rPr>
        <w:t>。如果出现多家投标人提供的核心产品品牌完全相同且通过资格审查、符合性审查的情形，按一家投标人计算，评审后得分最高的同品牌投标人获得中标人推荐资格；评审得分相同的，按照以下原则确定：（1）报价最低的获得中标人推荐资格；（2）报价相同时，按技术指标优劣顺序排列获得中标人推荐资格；（3）均相同时，由评标委员会集体决定。</w:t>
      </w:r>
    </w:p>
    <w:p>
      <w:pPr>
        <w:spacing w:beforeLines="50" w:afterLines="50" w:line="360" w:lineRule="auto"/>
        <w:ind w:firstLine="560" w:firstLineChars="200"/>
        <w:jc w:val="left"/>
        <w:outlineLvl w:val="0"/>
        <w:rPr>
          <w:rFonts w:ascii="仿宋" w:hAnsi="仿宋" w:eastAsia="仿宋" w:cs="仿宋_GB2312"/>
          <w:bCs/>
          <w:color w:val="000000"/>
          <w:kern w:val="0"/>
          <w:sz w:val="28"/>
          <w:szCs w:val="28"/>
        </w:rPr>
      </w:pPr>
      <w:bookmarkStart w:id="3" w:name="_Toc7355"/>
      <w:bookmarkStart w:id="4" w:name="_Toc66804278"/>
      <w:bookmarkStart w:id="5" w:name="_Toc31510"/>
      <w:bookmarkStart w:id="6" w:name="_Toc381"/>
      <w:bookmarkStart w:id="7" w:name="_Toc30594"/>
      <w:bookmarkStart w:id="8" w:name="_Toc150414330"/>
      <w:r>
        <w:rPr>
          <w:rFonts w:hint="eastAsia" w:ascii="仿宋" w:hAnsi="仿宋" w:eastAsia="仿宋" w:cs="仿宋_GB2312"/>
          <w:bCs/>
          <w:color w:val="000000"/>
          <w:kern w:val="0"/>
          <w:sz w:val="28"/>
          <w:szCs w:val="28"/>
        </w:rPr>
        <w:t>一、招标货物清单</w:t>
      </w:r>
    </w:p>
    <w:tbl>
      <w:tblPr>
        <w:tblStyle w:val="6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60"/>
        <w:gridCol w:w="2827"/>
        <w:gridCol w:w="952"/>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6" w:type="dxa"/>
            <w:vAlign w:val="center"/>
          </w:tcPr>
          <w:p>
            <w:pPr>
              <w:widowControl/>
              <w:spacing w:line="360" w:lineRule="auto"/>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序 号</w:t>
            </w:r>
          </w:p>
        </w:tc>
        <w:tc>
          <w:tcPr>
            <w:tcW w:w="2860" w:type="dxa"/>
            <w:vAlign w:val="center"/>
          </w:tcPr>
          <w:p>
            <w:pPr>
              <w:widowControl/>
              <w:spacing w:line="360" w:lineRule="auto"/>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产品名称</w:t>
            </w:r>
          </w:p>
        </w:tc>
        <w:tc>
          <w:tcPr>
            <w:tcW w:w="2827" w:type="dxa"/>
            <w:vAlign w:val="center"/>
          </w:tcPr>
          <w:p>
            <w:pPr>
              <w:widowControl/>
              <w:spacing w:line="360" w:lineRule="auto"/>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规      格</w:t>
            </w:r>
          </w:p>
        </w:tc>
        <w:tc>
          <w:tcPr>
            <w:tcW w:w="952" w:type="dxa"/>
            <w:vAlign w:val="center"/>
          </w:tcPr>
          <w:p>
            <w:pPr>
              <w:widowControl/>
              <w:spacing w:line="360" w:lineRule="auto"/>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数 量</w:t>
            </w:r>
          </w:p>
        </w:tc>
        <w:tc>
          <w:tcPr>
            <w:tcW w:w="1554" w:type="dxa"/>
            <w:vAlign w:val="center"/>
          </w:tcPr>
          <w:p>
            <w:pPr>
              <w:widowControl/>
              <w:spacing w:line="360" w:lineRule="auto"/>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6"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2860"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※超融合一体机</w:t>
            </w:r>
          </w:p>
        </w:tc>
        <w:tc>
          <w:tcPr>
            <w:tcW w:w="2827"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详见2.1章节</w:t>
            </w:r>
          </w:p>
        </w:tc>
        <w:tc>
          <w:tcPr>
            <w:tcW w:w="952"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1554"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6"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2860"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2827"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详见2.2章节</w:t>
            </w:r>
          </w:p>
        </w:tc>
        <w:tc>
          <w:tcPr>
            <w:tcW w:w="952"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1554"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6"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2860"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系统集成及数据迁移</w:t>
            </w:r>
          </w:p>
        </w:tc>
        <w:tc>
          <w:tcPr>
            <w:tcW w:w="2827"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详见2.3章节</w:t>
            </w:r>
          </w:p>
        </w:tc>
        <w:tc>
          <w:tcPr>
            <w:tcW w:w="952"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554" w:type="dxa"/>
            <w:vAlign w:val="center"/>
          </w:tcPr>
          <w:p>
            <w:pPr>
              <w:widowControl/>
              <w:spacing w:line="360" w:lineRule="auto"/>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bl>
    <w:p>
      <w:pPr>
        <w:pStyle w:val="65"/>
        <w:ind w:firstLine="211"/>
        <w:rPr>
          <w:rFonts w:hAnsi="宋体" w:cs="宋体"/>
          <w:b/>
          <w:bCs/>
          <w:color w:val="000000" w:themeColor="text1"/>
          <w:szCs w:val="21"/>
        </w:rPr>
      </w:pPr>
      <w:r>
        <w:rPr>
          <w:rFonts w:hint="eastAsia" w:hAnsi="宋体" w:cs="宋体"/>
          <w:b/>
          <w:bCs/>
          <w:color w:val="000000" w:themeColor="text1"/>
          <w:sz w:val="21"/>
          <w:szCs w:val="21"/>
        </w:rPr>
        <w:t>备注：标“</w:t>
      </w:r>
      <w:r>
        <w:rPr>
          <w:rFonts w:hint="eastAsia" w:hAnsi="宋体" w:cs="宋体"/>
          <w:color w:val="000000" w:themeColor="text1"/>
          <w:kern w:val="0"/>
          <w:sz w:val="21"/>
          <w:szCs w:val="21"/>
        </w:rPr>
        <w:t>※</w:t>
      </w:r>
      <w:r>
        <w:rPr>
          <w:rFonts w:hint="eastAsia" w:hAnsi="宋体" w:cs="宋体"/>
          <w:b/>
          <w:bCs/>
          <w:color w:val="000000" w:themeColor="text1"/>
          <w:sz w:val="21"/>
          <w:szCs w:val="21"/>
        </w:rPr>
        <w:t>”为核心产品</w:t>
      </w:r>
    </w:p>
    <w:bookmarkEnd w:id="3"/>
    <w:bookmarkEnd w:id="4"/>
    <w:bookmarkEnd w:id="5"/>
    <w:bookmarkEnd w:id="6"/>
    <w:bookmarkEnd w:id="7"/>
    <w:p>
      <w:pPr>
        <w:spacing w:before="156" w:beforeLines="50" w:after="156" w:afterLines="50" w:line="360" w:lineRule="auto"/>
        <w:ind w:firstLine="560" w:firstLineChars="200"/>
        <w:jc w:val="left"/>
        <w:outlineLvl w:val="0"/>
        <w:rPr>
          <w:rFonts w:ascii="仿宋" w:hAnsi="仿宋" w:eastAsia="仿宋" w:cs="仿宋_GB2312"/>
          <w:bCs/>
          <w:color w:val="000000"/>
          <w:kern w:val="0"/>
          <w:sz w:val="28"/>
          <w:szCs w:val="28"/>
        </w:rPr>
      </w:pPr>
      <w:r>
        <w:rPr>
          <w:rFonts w:hint="eastAsia" w:ascii="仿宋" w:hAnsi="仿宋" w:eastAsia="仿宋" w:cs="仿宋_GB2312"/>
          <w:bCs/>
          <w:color w:val="000000"/>
          <w:kern w:val="0"/>
          <w:sz w:val="28"/>
          <w:szCs w:val="28"/>
        </w:rPr>
        <w:t>二、技术参数要求一览表</w:t>
      </w:r>
    </w:p>
    <w:p>
      <w:pPr>
        <w:adjustRightInd w:val="0"/>
        <w:snapToGrid w:val="0"/>
        <w:spacing w:line="400" w:lineRule="exact"/>
        <w:ind w:firstLine="482" w:firstLineChars="200"/>
        <w:outlineLvl w:val="1"/>
        <w:rPr>
          <w:rFonts w:ascii="宋体" w:hAnsi="宋体" w:cs="宋体"/>
          <w:b/>
          <w:bCs/>
          <w:color w:val="000000" w:themeColor="text1"/>
          <w:sz w:val="24"/>
        </w:rPr>
      </w:pPr>
      <w:r>
        <w:rPr>
          <w:rFonts w:hint="eastAsia" w:ascii="宋体" w:hAnsi="宋体" w:cs="宋体"/>
          <w:b/>
          <w:bCs/>
          <w:color w:val="000000" w:themeColor="text1"/>
          <w:sz w:val="24"/>
        </w:rPr>
        <w:t>2.1超融合一体机</w:t>
      </w:r>
    </w:p>
    <w:tbl>
      <w:tblPr>
        <w:tblStyle w:val="66"/>
        <w:tblW w:w="892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2040"/>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指标项</w:t>
            </w: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指标内容</w:t>
            </w:r>
          </w:p>
        </w:tc>
        <w:tc>
          <w:tcPr>
            <w:tcW w:w="5581"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300" w:type="dxa"/>
            <w:vMerge w:val="restart"/>
            <w:vAlign w:val="center"/>
          </w:tcPr>
          <w:p>
            <w:pPr>
              <w:rPr>
                <w:rFonts w:ascii="宋体" w:hAnsi="宋体" w:cs="宋体"/>
                <w:color w:val="000000" w:themeColor="text1"/>
                <w:szCs w:val="21"/>
              </w:rPr>
            </w:pPr>
            <w:r>
              <w:rPr>
                <w:rFonts w:hint="eastAsia" w:ascii="宋体" w:hAnsi="宋体" w:cs="宋体"/>
                <w:color w:val="000000" w:themeColor="text1"/>
                <w:szCs w:val="21"/>
              </w:rPr>
              <w:t>★超融合一体机硬件配置要求</w:t>
            </w: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超融合硬件整体规格要求</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本次配置3个节点的超融合一体机，超融合单个节点为2U标准机架式，滑动导轨，≥12个3.5英寸硬盘插槽。以下为单个节点的详细配置要求。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CPU</w:t>
            </w:r>
          </w:p>
        </w:tc>
        <w:tc>
          <w:tcPr>
            <w:tcW w:w="5581" w:type="dxa"/>
            <w:vAlign w:val="center"/>
          </w:tcPr>
          <w:p>
            <w:pPr>
              <w:rPr>
                <w:rFonts w:hint="eastAsia" w:ascii="宋体" w:hAnsi="宋体" w:eastAsia="宋体" w:cs="宋体"/>
                <w:color w:val="000000" w:themeColor="text1"/>
                <w:szCs w:val="21"/>
                <w:lang w:eastAsia="zh-CN"/>
              </w:rPr>
            </w:pPr>
            <w:r>
              <w:rPr>
                <w:rFonts w:hint="eastAsia" w:ascii="宋体" w:hAnsi="宋体" w:cs="宋体"/>
                <w:color w:val="000000" w:themeColor="text1"/>
                <w:szCs w:val="21"/>
              </w:rPr>
              <w:t>本次单节点配置≥2颗处理器</w:t>
            </w:r>
            <w:r>
              <w:rPr>
                <w:rFonts w:hint="eastAsia" w:ascii="宋体" w:hAnsi="宋体" w:cs="宋体"/>
                <w:color w:val="000000" w:themeColor="text1"/>
                <w:szCs w:val="21"/>
                <w:lang w:eastAsia="zh-CN"/>
              </w:rPr>
              <w:t>，</w:t>
            </w:r>
          </w:p>
          <w:p>
            <w:pPr>
              <w:rPr>
                <w:rFonts w:ascii="宋体" w:hAnsi="宋体" w:cs="宋体"/>
                <w:color w:val="000000" w:themeColor="text1"/>
                <w:szCs w:val="21"/>
              </w:rPr>
            </w:pPr>
            <w:r>
              <w:rPr>
                <w:rFonts w:hint="eastAsia" w:ascii="宋体" w:hAnsi="宋体" w:cs="宋体"/>
                <w:color w:val="000000" w:themeColor="text1"/>
                <w:szCs w:val="21"/>
              </w:rPr>
              <w:t>单CPU核数≥28，CPU主频≥2.0GHz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内存</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本次每节点可用内存插槽≥32，每节点实际配置≥1.5TB内存；单条容量≥64GB；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操作系统硬盘：</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本次每节点配置≥2块480G SSD ，支持做硬件raid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缓存盘：</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本次每节点配置≥2块 NVME SSD (读写混合型)，单块硬盘容量≥3.2TB SSD，硬盘 DWPD≥3，单块盘标称随机读IOPS≥1000000，单块盘标称随机写IOPS≥350000，单块盘标称顺序读吞吐量≥6000MB/s，单块盘标称顺序写吞吐量≥4500MB/s。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数据盘：</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本次每节点配置≥10块8TB 7.2K SATA硬盘。</w:t>
            </w:r>
          </w:p>
          <w:p>
            <w:pPr>
              <w:rPr>
                <w:rFonts w:ascii="宋体" w:hAnsi="宋体" w:cs="宋体"/>
                <w:color w:val="000000" w:themeColor="text1"/>
                <w:szCs w:val="21"/>
              </w:rPr>
            </w:pPr>
            <w:r>
              <w:rPr>
                <w:rFonts w:hint="eastAsia" w:ascii="宋体" w:hAnsi="宋体" w:cs="宋体"/>
                <w:color w:val="000000" w:themeColor="text1"/>
                <w:szCs w:val="21"/>
              </w:rPr>
              <w:t>双副本可用容量≥98.28T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Raid卡</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本次每节点配置≥1块 独立Raid卡，支持所有前置硬盘直通模式。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I/O扩展槽</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最大可扩展14个PCIe 4.0槽位。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网络</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支持≥2个OCP3.0接口。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网卡</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每节点配置千兆网卡端口数≥4个；</w:t>
            </w:r>
          </w:p>
          <w:p>
            <w:pPr>
              <w:rPr>
                <w:rFonts w:ascii="宋体" w:hAnsi="宋体" w:cs="宋体"/>
                <w:color w:val="000000" w:themeColor="text1"/>
                <w:szCs w:val="21"/>
              </w:rPr>
            </w:pPr>
            <w:r>
              <w:rPr>
                <w:rFonts w:hint="eastAsia" w:ascii="宋体" w:hAnsi="宋体" w:cs="宋体"/>
                <w:color w:val="000000" w:themeColor="text1"/>
                <w:szCs w:val="21"/>
              </w:rPr>
              <w:t>每节点配置万兆网卡端口数≥4个（含光模块）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电源配置</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本次每节点配置≥2个冗余交流电源，电源功率≥900W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00" w:type="dxa"/>
            <w:vMerge w:val="continue"/>
            <w:vAlign w:val="center"/>
          </w:tcPr>
          <w:p>
            <w:pPr>
              <w:rPr>
                <w:rFonts w:ascii="宋体" w:hAnsi="宋体" w:cs="宋体"/>
                <w:color w:val="000000" w:themeColor="text1"/>
                <w:szCs w:val="21"/>
              </w:rPr>
            </w:pPr>
          </w:p>
        </w:tc>
        <w:tc>
          <w:tcPr>
            <w:tcW w:w="2040" w:type="dxa"/>
            <w:vMerge w:val="restart"/>
            <w:vAlign w:val="center"/>
          </w:tcPr>
          <w:p>
            <w:pPr>
              <w:jc w:val="center"/>
              <w:rPr>
                <w:rFonts w:ascii="宋体" w:hAnsi="宋体" w:cs="宋体"/>
                <w:color w:val="000000" w:themeColor="text1"/>
                <w:szCs w:val="21"/>
              </w:rPr>
            </w:pPr>
            <w:r>
              <w:rPr>
                <w:rFonts w:hint="eastAsia" w:ascii="宋体" w:hAnsi="宋体" w:cs="宋体"/>
                <w:color w:val="000000" w:themeColor="text1"/>
                <w:szCs w:val="21"/>
              </w:rPr>
              <w:t>远程管理系统</w:t>
            </w:r>
          </w:p>
        </w:tc>
        <w:tc>
          <w:tcPr>
            <w:tcW w:w="5581" w:type="dxa"/>
          </w:tcPr>
          <w:p>
            <w:pPr>
              <w:rPr>
                <w:rFonts w:ascii="宋体" w:hAnsi="宋体" w:cs="宋体"/>
                <w:color w:val="000000" w:themeColor="text1"/>
                <w:szCs w:val="21"/>
              </w:rPr>
            </w:pPr>
            <w:r>
              <w:rPr>
                <w:rFonts w:hint="eastAsia" w:ascii="宋体" w:hAnsi="宋体" w:cs="宋体"/>
                <w:color w:val="000000" w:themeColor="text1"/>
                <w:szCs w:val="21"/>
              </w:rPr>
              <w:t>实测系统的PAM模块经过国产化自主改造，增加了基于智能卡的认证机制，支持本地和远程的强身份认证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00" w:type="dxa"/>
            <w:vMerge w:val="continue"/>
            <w:vAlign w:val="center"/>
          </w:tcPr>
          <w:p>
            <w:pPr>
              <w:rPr>
                <w:rFonts w:ascii="宋体" w:hAnsi="宋体" w:cs="宋体"/>
                <w:color w:val="000000" w:themeColor="text1"/>
                <w:szCs w:val="21"/>
              </w:rPr>
            </w:pPr>
          </w:p>
        </w:tc>
        <w:tc>
          <w:tcPr>
            <w:tcW w:w="2040" w:type="dxa"/>
            <w:vMerge w:val="continue"/>
            <w:vAlign w:val="center"/>
          </w:tcPr>
          <w:p>
            <w:pPr>
              <w:jc w:val="center"/>
              <w:rPr>
                <w:rFonts w:ascii="宋体" w:hAnsi="宋体" w:cs="宋体"/>
                <w:color w:val="000000" w:themeColor="text1"/>
                <w:szCs w:val="21"/>
              </w:rPr>
            </w:pPr>
          </w:p>
        </w:tc>
        <w:tc>
          <w:tcPr>
            <w:tcW w:w="5581" w:type="dxa"/>
          </w:tcPr>
          <w:p>
            <w:pPr>
              <w:rPr>
                <w:rFonts w:ascii="宋体" w:hAnsi="宋体" w:cs="宋体"/>
                <w:color w:val="000000" w:themeColor="text1"/>
                <w:szCs w:val="21"/>
              </w:rPr>
            </w:pPr>
            <w:r>
              <w:rPr>
                <w:rFonts w:hint="eastAsia" w:ascii="宋体" w:hAnsi="宋体" w:cs="宋体"/>
                <w:color w:val="000000" w:themeColor="text1"/>
                <w:szCs w:val="21"/>
              </w:rPr>
              <w:t>本次配置带外管理功能和独立的带外管理网口，包含KVM远程控制，虚拟光驱挂载等功能，配置并激活对应功能授权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00" w:type="dxa"/>
            <w:vMerge w:val="continue"/>
            <w:vAlign w:val="center"/>
          </w:tcPr>
          <w:p>
            <w:pPr>
              <w:rPr>
                <w:rFonts w:ascii="宋体" w:hAnsi="宋体" w:cs="宋体"/>
                <w:color w:val="000000" w:themeColor="text1"/>
                <w:szCs w:val="21"/>
              </w:rPr>
            </w:pPr>
          </w:p>
        </w:tc>
        <w:tc>
          <w:tcPr>
            <w:tcW w:w="2040" w:type="dxa"/>
            <w:vMerge w:val="continue"/>
            <w:vAlign w:val="center"/>
          </w:tcPr>
          <w:p>
            <w:pPr>
              <w:jc w:val="center"/>
              <w:rPr>
                <w:rFonts w:ascii="宋体" w:hAnsi="宋体" w:cs="宋体"/>
                <w:color w:val="000000" w:themeColor="text1"/>
                <w:szCs w:val="21"/>
              </w:rPr>
            </w:pPr>
          </w:p>
        </w:tc>
        <w:tc>
          <w:tcPr>
            <w:tcW w:w="5581" w:type="dxa"/>
          </w:tcPr>
          <w:p>
            <w:pPr>
              <w:rPr>
                <w:rFonts w:ascii="宋体" w:hAnsi="宋体" w:cs="宋体"/>
                <w:color w:val="000000" w:themeColor="text1"/>
                <w:szCs w:val="21"/>
              </w:rPr>
            </w:pPr>
            <w:r>
              <w:rPr>
                <w:rFonts w:hint="eastAsia" w:ascii="宋体" w:hAnsi="宋体" w:cs="宋体"/>
                <w:color w:val="000000" w:themeColor="text1"/>
                <w:szCs w:val="21"/>
              </w:rPr>
              <w:t>提供用户登录审计、程序控制审计、访问控制审计、注册表审计、移动存储审计、时间变更审计、进程防护审计。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管理系统</w:t>
            </w:r>
          </w:p>
        </w:tc>
        <w:tc>
          <w:tcPr>
            <w:tcW w:w="5581" w:type="dxa"/>
          </w:tcPr>
          <w:p>
            <w:pPr>
              <w:rPr>
                <w:rFonts w:ascii="宋体" w:hAnsi="宋体" w:cs="宋体"/>
                <w:color w:val="000000" w:themeColor="text1"/>
                <w:szCs w:val="21"/>
              </w:rPr>
            </w:pPr>
            <w:r>
              <w:rPr>
                <w:rFonts w:hint="eastAsia" w:ascii="宋体" w:hAnsi="宋体" w:cs="宋体"/>
                <w:color w:val="000000" w:themeColor="text1"/>
                <w:szCs w:val="21"/>
              </w:rPr>
              <w:t>本次配置带外管理功能和独立的带外管理网口，包含KVM远程控制，虚拟光驱挂载等功能，配置并激活对应功能授权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硬件服务</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配置≥5年服务器原厂硬件维保，并配置硬盘不返还服务，如果发生硬盘故障，原厂硬盘更换完成后，无需返还故障硬盘，确保用户数据不会泄露。要求所有硬件设备保修信息均是“宁波一院龙山医院医疗健康集团“，整机必须原配出厂，不接受改装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300" w:type="dxa"/>
            <w:vMerge w:val="restart"/>
            <w:vAlign w:val="center"/>
          </w:tcPr>
          <w:p>
            <w:pPr>
              <w:rPr>
                <w:rFonts w:ascii="宋体" w:hAnsi="宋体" w:cs="宋体"/>
                <w:color w:val="000000" w:themeColor="text1"/>
                <w:szCs w:val="21"/>
              </w:rPr>
            </w:pPr>
            <w:r>
              <w:rPr>
                <w:rFonts w:hint="eastAsia" w:ascii="宋体" w:hAnsi="宋体" w:cs="宋体"/>
                <w:color w:val="000000" w:themeColor="text1"/>
                <w:szCs w:val="21"/>
              </w:rPr>
              <w:t>★超融合软件总体要求</w:t>
            </w: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软件授权数量</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 xml:space="preserve">提供3台超融合服务器节点（共6颗CPU）的超融合软件授权（包含服务器虚拟化正版软件授权）；超融合与服务器虚拟化软件授权为永久授权（安装完成后在系统能够看到永久授权信息）；不支持每年订阅模式的软件授权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软件要求及产品资质</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超融合底层Host OS操作系统具有国产软件自主知识产权，具有自主研发能力，保障后续产品的连续性，中标后提供国家版权局颁发的《计算机软件著作权登记证书》复印件证明。</w:t>
            </w:r>
            <w:r>
              <w:rPr>
                <w:rFonts w:hint="eastAsia" w:ascii="宋体" w:hAnsi="宋体" w:cs="宋体"/>
                <w:color w:val="000000" w:themeColor="text1"/>
                <w:szCs w:val="21"/>
              </w:rPr>
              <w:br w:type="textWrapping"/>
            </w:r>
            <w:r>
              <w:rPr>
                <w:rFonts w:hint="eastAsia" w:ascii="宋体" w:hAnsi="宋体" w:cs="宋体"/>
                <w:color w:val="000000" w:themeColor="text1"/>
                <w:szCs w:val="21"/>
              </w:rPr>
              <w:t>超融合虚拟化软件、分布式存储软件具有国产软件自主知识产权，具有自主研发能力，保障后续产品的连续性，中标后提供国家版权局颁发的《计算机软件著作权登记证书》复印件证明。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研发技术</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通过扩展了系统的LSM机制，增加了基于DTE的权限控制机制，支持对用户、进程进行细粒度的权限控制，在国内具备核心分布式存储的研发和技术支持团队。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300" w:type="dxa"/>
            <w:vMerge w:val="restart"/>
            <w:vAlign w:val="center"/>
          </w:tcPr>
          <w:p>
            <w:pPr>
              <w:rPr>
                <w:rFonts w:ascii="宋体" w:hAnsi="宋体" w:cs="宋体"/>
                <w:color w:val="000000" w:themeColor="text1"/>
                <w:szCs w:val="21"/>
              </w:rPr>
            </w:pPr>
            <w:r>
              <w:rPr>
                <w:rFonts w:hint="eastAsia" w:ascii="宋体" w:hAnsi="宋体" w:cs="宋体"/>
                <w:color w:val="000000" w:themeColor="text1"/>
                <w:szCs w:val="21"/>
              </w:rPr>
              <w:t>超融合架构和软件功能要求</w:t>
            </w: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虚拟化软件功能</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本次配置的超融合一体机需包含虚拟化平台软件，是通过x86服务器虚拟化实现，为业务系统的虚拟机提供不同的服务质量和能力，包括了高可用(High Availability)、 在线迁移(Live Migration/vMotion)、镜像、克隆等虚拟化的特性；虚拟机平台须支持主流的X86架构的操作系统，包括Windows、Redhat、SUSE、CentOS等多个发行版的主流版本。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▲硬件监控</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管理平台界面支持服务器硬件节点管理和运维的所见即所得功能：使用服务器前后面板真实物理视图叠加器件状态指示灯、高亮效果等展示服务器的信息和状态，支持展示整机、硬盘、网口、电源的信息和状态，直观，方便用户查看设备、器件的信息和状态，提供相关证明材料，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数据存储架构要求</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超融合软件支持对存储的数据进行2副本（所有数据写2份）和3副本的数据冗余配置，配置以虚拟机磁盘卷为单位自由选择。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▲热迁移加速</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支持QuickAssist Technology（QAT）技术，将内存页压缩/解压缩操作从 CPU 卸载到 QAT 加速器中，进一步提升虚拟机热迁移效率，同时降低资源开销，支持虚拟机快速的迁移，迁移时间小于10s，提供相关证明材料，不限于白皮书、官网截图、实际环境截图。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横向线性扩展</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超融合集群支持以1个节点为单位进行扩容，自动发现新增节点，在不中断业务的情况下将新节点自动或手动加入现有集群中，实现集群计算和存储资源的无缝扩展，且同一集群支持扩容不同代CPU的服务器以及不同配置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▲虚拟机快照</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支持集群内虚拟机的手动快照和快照计划任务，减少人为错误对数据的影响，且要求打快照时虚拟机IOPS性能下降小于5%，</w:t>
            </w:r>
            <w:r>
              <w:rPr>
                <w:rFonts w:hint="eastAsia" w:ascii="宋体" w:hAnsi="宋体" w:cs="宋体"/>
                <w:color w:val="auto"/>
                <w:szCs w:val="21"/>
                <w:highlight w:val="none"/>
              </w:rPr>
              <w:t>提供相关证明材料</w:t>
            </w:r>
            <w:r>
              <w:rPr>
                <w:rFonts w:hint="eastAsia" w:ascii="宋体" w:hAnsi="宋体" w:cs="宋体"/>
                <w:color w:val="auto"/>
                <w:szCs w:val="21"/>
                <w:highlight w:val="none"/>
                <w:lang w:eastAsia="zh-CN"/>
              </w:rPr>
              <w:t>，</w:t>
            </w:r>
            <w:r>
              <w:rPr>
                <w:rFonts w:hint="eastAsia" w:ascii="宋体" w:hAnsi="宋体" w:cs="宋体"/>
                <w:color w:val="auto"/>
                <w:szCs w:val="21"/>
                <w:highlight w:val="none"/>
              </w:rPr>
              <w:t>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虚拟机克隆</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支持虚拟机快速克隆及完整克隆两种方式。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虚拟机模板</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支持通过虚拟机模板批量创建虚拟机并完成如下初始化配置，包含虚拟机主机名、默认用戶的密码、DNS、 DHCP 和静态 IP 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USB重定向</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支持跨物理主机的虚拟机USB映射，超融合集群中的虚拟机支持挂载集群中任意主机上的 USB 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存储策略</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可以自定义存储策略，支持精简配置，支持存储白名单，支持条带化，支持调整条带大小。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硬盘健康检测</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支持智能精准探测并隔离异常磁盘，如不健康磁盘、亚健康磁盘、SMART 检查不通过磁盘和寿命不足磁盘。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▲第三方软件纳管</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支持第三方异构虚拟化平台纳管功能，包括主流的Vmware平台、华为FusionCube平台等统一纳管。提供相关证明材料，不限于VMware官网可查询的兼容性证明、官网截图、实际环境截图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▲存储方式</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超融合同一个集群内同时可以支持块存储、NAS文件存储、Object对象存储，提供相关证明材料，不限于白皮书、官网截图、实际环境截图。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冗余</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超融合系统具备计算、网络、存储、电源和风扇等部件的冗余；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连续性</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支持故障切换能力，当组件自身故障时，不影响整个集群正常运行，保证业务连续性；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00" w:type="dxa"/>
            <w:vMerge w:val="continue"/>
            <w:vAlign w:val="center"/>
          </w:tcPr>
          <w:p>
            <w:pPr>
              <w:rPr>
                <w:rFonts w:ascii="宋体" w:hAnsi="宋体" w:cs="宋体"/>
                <w:color w:val="000000" w:themeColor="text1"/>
                <w:szCs w:val="21"/>
              </w:rPr>
            </w:pPr>
          </w:p>
        </w:tc>
        <w:tc>
          <w:tcPr>
            <w:tcW w:w="2040" w:type="dxa"/>
            <w:vMerge w:val="restart"/>
            <w:vAlign w:val="center"/>
          </w:tcPr>
          <w:p>
            <w:pPr>
              <w:jc w:val="center"/>
              <w:rPr>
                <w:rFonts w:ascii="宋体" w:hAnsi="宋体" w:cs="宋体"/>
                <w:color w:val="000000" w:themeColor="text1"/>
                <w:szCs w:val="21"/>
              </w:rPr>
            </w:pPr>
            <w:r>
              <w:rPr>
                <w:rFonts w:hint="eastAsia" w:ascii="宋体" w:hAnsi="宋体" w:cs="宋体"/>
                <w:color w:val="000000" w:themeColor="text1"/>
                <w:szCs w:val="21"/>
              </w:rPr>
              <w:t>▲系统高可靠性技术要求</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在线副本策略转换与修改功能，在线执行副本策略转换无需进行存储池间的数据迁移，数据自动在直接在原存储池内进行副本数量调整，避免传统设备停机进行数据迁的方式，保证业务连续性。提供相关证明材料，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00" w:type="dxa"/>
            <w:vMerge w:val="continue"/>
            <w:vAlign w:val="center"/>
          </w:tcPr>
          <w:p>
            <w:pPr>
              <w:rPr>
                <w:rFonts w:ascii="宋体" w:hAnsi="宋体" w:cs="宋体"/>
                <w:color w:val="000000" w:themeColor="text1"/>
                <w:szCs w:val="21"/>
              </w:rPr>
            </w:pPr>
          </w:p>
        </w:tc>
        <w:tc>
          <w:tcPr>
            <w:tcW w:w="2040" w:type="dxa"/>
            <w:vMerge w:val="continue"/>
            <w:vAlign w:val="center"/>
          </w:tcPr>
          <w:p>
            <w:pPr>
              <w:jc w:val="center"/>
              <w:rPr>
                <w:rFonts w:ascii="宋体" w:hAnsi="宋体" w:cs="宋体"/>
                <w:color w:val="000000" w:themeColor="text1"/>
                <w:szCs w:val="21"/>
              </w:rPr>
            </w:pP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内存故障检测与隔离</w:t>
            </w:r>
          </w:p>
          <w:p>
            <w:pPr>
              <w:rPr>
                <w:rFonts w:ascii="宋体" w:hAnsi="宋体" w:cs="宋体"/>
                <w:color w:val="000000" w:themeColor="text1"/>
                <w:szCs w:val="21"/>
              </w:rPr>
            </w:pPr>
            <w:r>
              <w:rPr>
                <w:rFonts w:hint="eastAsia" w:ascii="宋体" w:hAnsi="宋体" w:cs="宋体"/>
                <w:color w:val="000000" w:themeColor="text1"/>
                <w:szCs w:val="21"/>
              </w:rPr>
              <w:t>支持系统平台内节点的内存故障预测功能，提供内存在线故障预测和离线故障诊断两种分析模式，主动预防，提升硬件可靠性，多维分析，全面监控硬件状态，提供软件界面截图证明。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00" w:type="dxa"/>
            <w:vMerge w:val="continue"/>
            <w:vAlign w:val="center"/>
          </w:tcPr>
          <w:p>
            <w:pPr>
              <w:rPr>
                <w:rFonts w:ascii="宋体" w:hAnsi="宋体" w:cs="宋体"/>
                <w:color w:val="000000" w:themeColor="text1"/>
                <w:szCs w:val="21"/>
              </w:rPr>
            </w:pPr>
          </w:p>
        </w:tc>
        <w:tc>
          <w:tcPr>
            <w:tcW w:w="2040" w:type="dxa"/>
            <w:vMerge w:val="continue"/>
            <w:vAlign w:val="center"/>
          </w:tcPr>
          <w:p>
            <w:pPr>
              <w:jc w:val="center"/>
              <w:rPr>
                <w:rFonts w:ascii="宋体" w:hAnsi="宋体" w:cs="宋体"/>
                <w:color w:val="000000" w:themeColor="text1"/>
                <w:szCs w:val="21"/>
              </w:rPr>
            </w:pP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当集群发生主机故障离线，系统自动触发数据恢复，保障数据副本级别。从节点发生故障时间点开始，到数据恢复触发时间不能超过 10 分钟，</w:t>
            </w:r>
            <w:r>
              <w:rPr>
                <w:rFonts w:hint="eastAsia" w:ascii="宋体" w:hAnsi="宋体" w:cs="宋体"/>
                <w:color w:val="auto"/>
                <w:szCs w:val="21"/>
                <w:highlight w:val="none"/>
              </w:rPr>
              <w:t>提供相关证明材料</w:t>
            </w:r>
            <w:r>
              <w:rPr>
                <w:rFonts w:hint="eastAsia" w:ascii="宋体" w:hAnsi="宋体" w:cs="宋体"/>
                <w:color w:val="auto"/>
                <w:szCs w:val="21"/>
                <w:highlight w:val="none"/>
                <w:lang w:eastAsia="zh-CN"/>
              </w:rPr>
              <w:t>，</w:t>
            </w:r>
            <w:r>
              <w:rPr>
                <w:rFonts w:hint="eastAsia" w:ascii="宋体" w:hAnsi="宋体" w:cs="宋体"/>
                <w:color w:val="auto"/>
                <w:szCs w:val="21"/>
                <w:highlight w:val="none"/>
              </w:rPr>
              <w:t>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统一管理平台</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支持集群健康监控、故障分析；支持一键式升级超融合软件；支持管理多个分支机构的自身超融合集群，实现总部集中管理。可实现跨相同架构集群热迁移虚拟机。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资源监控</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基本资源监控功能，查看CPU、网络和磁盘已使用实时数据信息，可以点击告警设置对CPU、网络和磁盘进行占用阈值设置操作，可以告警通知。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▲虚拟化加速</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分布式存储支持自动识别存储系统不同类型的数据（数据库、ERP、VDI等），针对不同的数据类型自动采用不同的加速策略，对高优先级数据智能缓存模块不会将其淘汰出闪存优先保证访问性能，对于恢复过程产生的数据流量会透过缓存模块，直接写入硬盘避免资源被临时占用。提供相关证明材料，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▲流量可视化</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支持对集群上的超融合服务器、虚拟机的流量展示在统一管理中心上，并显示点对点可视化连接图，将集群内的虚拟机之间的连接以拓扑图方式进行展示, 网络拓扑支持拖拽等作图方式配置虚拟机、端口组、分布式交换机、上行链路，拓扑信息呈现，所画即所得。提供相关证明材料，不限于白皮书、官网截图、实际环境截图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对象管理易用性</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针对多集群内虚拟机、集群、主机、磁盘，可按小时、天、周、月度等维度自定义显示历史性能曲线及相关告警信息，方便故障排查。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Merge w:val="restart"/>
            <w:vAlign w:val="center"/>
          </w:tcPr>
          <w:p>
            <w:pPr>
              <w:jc w:val="center"/>
              <w:rPr>
                <w:rFonts w:ascii="宋体" w:hAnsi="宋体" w:cs="宋体"/>
                <w:color w:val="000000" w:themeColor="text1"/>
                <w:szCs w:val="21"/>
              </w:rPr>
            </w:pPr>
            <w:r>
              <w:rPr>
                <w:rFonts w:hint="eastAsia" w:ascii="宋体" w:hAnsi="宋体" w:cs="宋体"/>
                <w:color w:val="000000" w:themeColor="text1"/>
                <w:szCs w:val="21"/>
              </w:rPr>
              <w:t>全局搜索功能</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支持通过关键字对集群、虚拟机、主机、磁盘等对象相关名称的搜索功能；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Merge w:val="continue"/>
            <w:vAlign w:val="center"/>
          </w:tcPr>
          <w:p>
            <w:pPr>
              <w:jc w:val="center"/>
              <w:rPr>
                <w:rFonts w:ascii="宋体" w:hAnsi="宋体" w:cs="宋体"/>
                <w:color w:val="000000" w:themeColor="text1"/>
                <w:szCs w:val="21"/>
              </w:rPr>
            </w:pP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支持对集群、虚拟机、主机、磁盘等对象相关属性、性能指标（CPU利用率、IOPS、流量及响应时间等）及相关告警等的搜索功能。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restart"/>
            <w:vAlign w:val="center"/>
          </w:tcPr>
          <w:p>
            <w:pPr>
              <w:rPr>
                <w:rFonts w:ascii="宋体" w:hAnsi="宋体" w:cs="宋体"/>
                <w:color w:val="000000" w:themeColor="text1"/>
                <w:szCs w:val="21"/>
              </w:rPr>
            </w:pPr>
            <w:r>
              <w:rPr>
                <w:rFonts w:hint="eastAsia" w:ascii="宋体" w:hAnsi="宋体" w:cs="宋体"/>
                <w:color w:val="000000" w:themeColor="text1"/>
                <w:szCs w:val="21"/>
              </w:rPr>
              <w:t>★服务要求</w:t>
            </w: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本次配置超融合软件原厂实施服务</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提供</w:t>
            </w:r>
            <w:r>
              <w:rPr>
                <w:rFonts w:hint="eastAsia" w:ascii="宋体" w:hAnsi="宋体" w:cs="宋体"/>
                <w:szCs w:val="21"/>
              </w:rPr>
              <w:t>安装服务、每季度巡检、软件版本升级、技术支持，超融合软件厂商提供5年7*24小时服务。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vAlign w:val="center"/>
          </w:tcPr>
          <w:p>
            <w:pPr>
              <w:rPr>
                <w:rFonts w:ascii="宋体" w:hAnsi="宋体" w:cs="宋体"/>
                <w:color w:val="000000" w:themeColor="text1"/>
                <w:szCs w:val="21"/>
              </w:rPr>
            </w:pPr>
          </w:p>
        </w:tc>
        <w:tc>
          <w:tcPr>
            <w:tcW w:w="20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上线初期服务</w:t>
            </w:r>
          </w:p>
        </w:tc>
        <w:tc>
          <w:tcPr>
            <w:tcW w:w="5581" w:type="dxa"/>
            <w:vAlign w:val="center"/>
          </w:tcPr>
          <w:p>
            <w:pPr>
              <w:rPr>
                <w:rFonts w:ascii="宋体" w:hAnsi="宋体" w:cs="宋体"/>
                <w:color w:val="000000" w:themeColor="text1"/>
                <w:szCs w:val="21"/>
              </w:rPr>
            </w:pPr>
            <w:r>
              <w:rPr>
                <w:rFonts w:hint="eastAsia" w:ascii="宋体" w:hAnsi="宋体" w:cs="宋体"/>
                <w:color w:val="000000" w:themeColor="text1"/>
                <w:szCs w:val="21"/>
              </w:rPr>
              <w:t>上线初期30个日历天，每天提供集群健康状态报告</w:t>
            </w:r>
          </w:p>
        </w:tc>
      </w:tr>
    </w:tbl>
    <w:p>
      <w:pPr>
        <w:pStyle w:val="41"/>
        <w:ind w:firstLine="0" w:firstLineChars="0"/>
      </w:pPr>
    </w:p>
    <w:p>
      <w:pPr>
        <w:adjustRightInd w:val="0"/>
        <w:snapToGrid w:val="0"/>
        <w:spacing w:line="400" w:lineRule="exact"/>
        <w:ind w:firstLine="482" w:firstLineChars="200"/>
        <w:jc w:val="left"/>
        <w:outlineLvl w:val="1"/>
        <w:rPr>
          <w:rFonts w:ascii="宋体" w:hAnsi="宋体" w:cs="宋体"/>
          <w:b/>
          <w:bCs/>
          <w:color w:val="000000" w:themeColor="text1"/>
          <w:sz w:val="24"/>
        </w:rPr>
      </w:pPr>
      <w:r>
        <w:rPr>
          <w:rFonts w:hint="eastAsia" w:ascii="宋体" w:hAnsi="宋体" w:cs="宋体"/>
          <w:b/>
          <w:bCs/>
          <w:color w:val="000000" w:themeColor="text1"/>
          <w:sz w:val="24"/>
        </w:rPr>
        <w:t>2.</w:t>
      </w:r>
      <w:r>
        <w:rPr>
          <w:rFonts w:ascii="宋体" w:hAnsi="宋体" w:cs="宋体"/>
          <w:b/>
          <w:bCs/>
          <w:color w:val="000000" w:themeColor="text1"/>
          <w:sz w:val="24"/>
        </w:rPr>
        <w:t>2</w:t>
      </w:r>
      <w:r>
        <w:rPr>
          <w:rFonts w:hint="eastAsia" w:ascii="宋体" w:hAnsi="宋体" w:cs="宋体"/>
          <w:b/>
          <w:bCs/>
          <w:color w:val="000000" w:themeColor="text1"/>
          <w:sz w:val="24"/>
        </w:rPr>
        <w:t>交换机</w:t>
      </w:r>
    </w:p>
    <w:tbl>
      <w:tblPr>
        <w:tblStyle w:val="66"/>
        <w:tblW w:w="8972" w:type="dxa"/>
        <w:tblInd w:w="102"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50" w:type="dxa"/>
          <w:left w:w="100" w:type="dxa"/>
          <w:bottom w:w="50" w:type="dxa"/>
          <w:right w:w="100" w:type="dxa"/>
        </w:tblCellMar>
      </w:tblPr>
      <w:tblGrid>
        <w:gridCol w:w="2300"/>
        <w:gridCol w:w="66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90" w:hRule="atLeast"/>
        </w:trPr>
        <w:tc>
          <w:tcPr>
            <w:tcW w:w="2300" w:type="dxa"/>
            <w:shd w:val="clear" w:color="auto" w:fill="FFFFFF" w:themeFill="background1"/>
            <w:vAlign w:val="center"/>
          </w:tcPr>
          <w:p>
            <w:pPr>
              <w:jc w:val="center"/>
              <w:rPr>
                <w:rFonts w:ascii="宋体" w:hAnsi="宋体" w:cs="宋体"/>
                <w:color w:val="000000" w:themeColor="text1"/>
                <w:szCs w:val="21"/>
              </w:rPr>
            </w:pPr>
            <w:r>
              <w:rPr>
                <w:rFonts w:hint="eastAsia" w:ascii="宋体" w:hAnsi="宋体" w:cs="宋体"/>
                <w:color w:val="000000" w:themeColor="text1"/>
                <w:szCs w:val="21"/>
              </w:rPr>
              <w:t>功能及技术指标</w:t>
            </w:r>
          </w:p>
        </w:tc>
        <w:tc>
          <w:tcPr>
            <w:tcW w:w="6672" w:type="dxa"/>
            <w:shd w:val="clear" w:color="auto" w:fill="FFFFFF" w:themeFill="background1"/>
            <w:vAlign w:val="center"/>
          </w:tcPr>
          <w:p>
            <w:pPr>
              <w:jc w:val="center"/>
              <w:rPr>
                <w:rFonts w:ascii="宋体" w:hAnsi="宋体" w:cs="宋体"/>
                <w:color w:val="000000" w:themeColor="text1"/>
                <w:szCs w:val="21"/>
              </w:rPr>
            </w:pPr>
            <w:r>
              <w:rPr>
                <w:rFonts w:hint="eastAsia" w:ascii="宋体" w:hAnsi="宋体" w:cs="宋体"/>
                <w:color w:val="000000" w:themeColor="text1"/>
                <w:szCs w:val="21"/>
              </w:rPr>
              <w:t>详细技术参数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bookmarkStart w:id="9" w:name="_Hlk164083602"/>
            <w:r>
              <w:rPr>
                <w:rFonts w:hint="eastAsia" w:ascii="宋体" w:hAnsi="宋体" w:cs="宋体"/>
                <w:color w:val="000000" w:themeColor="text1"/>
                <w:szCs w:val="21"/>
              </w:rPr>
              <w:t>★</w:t>
            </w:r>
            <w:bookmarkEnd w:id="9"/>
            <w:r>
              <w:rPr>
                <w:rFonts w:hint="eastAsia" w:ascii="宋体" w:hAnsi="宋体" w:cs="宋体"/>
                <w:color w:val="000000" w:themeColor="text1"/>
                <w:szCs w:val="21"/>
              </w:rPr>
              <w:t>交换容量</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2.56Tbps/25.6Tbps，如果官网有两个不同大小的指标，以小的为准；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★转发性能</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≥720Mpps，如果官网有两个不同大小的指标，以小的为准；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★配置</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主机固化端口：万兆光接口数量≥24个，40G光接口数量≥2个</w:t>
            </w:r>
          </w:p>
          <w:p>
            <w:pPr>
              <w:rPr>
                <w:rFonts w:ascii="宋体" w:hAnsi="宋体" w:cs="宋体"/>
                <w:color w:val="000000" w:themeColor="text1"/>
                <w:szCs w:val="21"/>
              </w:rPr>
            </w:pPr>
            <w:r>
              <w:rPr>
                <w:rFonts w:hint="eastAsia" w:ascii="宋体" w:hAnsi="宋体" w:cs="宋体"/>
                <w:color w:val="000000" w:themeColor="text1"/>
                <w:szCs w:val="21"/>
              </w:rPr>
              <w:t>电源：本次单台配置模块化双电源，双风扇，配置12块原装SFP+万兆模块（850nm，300m，LC）光模块及12根5M OM3万兆光纤线缆，提供5年7*24小时响应服务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性能指标</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 xml:space="preserve">MAC地址表（max）≥32K、路由表容量（max）≥16K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接口形态</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 xml:space="preserve"> ≥16个1/10G SFP Plus端口，≥1个slot扩展插槽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VxLAN</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支持VxLAN二层网关；支持VxLAN三层网关；支持EVPN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ERPS</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要求支持ERPS功能，并且收敛时间小于50ms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CPU保护</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实现CPU保护功能，能限制非法报文对CPU的攻击，保护交换机在各种环境下稳定工作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Merge w:val="restart"/>
            <w:vAlign w:val="center"/>
          </w:tcPr>
          <w:p>
            <w:pPr>
              <w:jc w:val="center"/>
              <w:rPr>
                <w:rFonts w:ascii="宋体" w:hAnsi="宋体" w:cs="宋体"/>
                <w:color w:val="000000" w:themeColor="text1"/>
                <w:szCs w:val="21"/>
              </w:rPr>
            </w:pPr>
            <w:r>
              <w:rPr>
                <w:rFonts w:hint="eastAsia" w:ascii="宋体" w:hAnsi="宋体" w:cs="宋体"/>
                <w:color w:val="000000" w:themeColor="text1"/>
                <w:szCs w:val="21"/>
              </w:rPr>
              <w:t>MPLS</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MPLS L2VPN功能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Merge w:val="continue"/>
            <w:vAlign w:val="center"/>
          </w:tcPr>
          <w:p>
            <w:pPr>
              <w:jc w:val="center"/>
              <w:rPr>
                <w:rFonts w:ascii="宋体" w:hAnsi="宋体" w:cs="宋体"/>
                <w:color w:val="000000" w:themeColor="text1"/>
                <w:szCs w:val="21"/>
              </w:rPr>
            </w:pP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MPLS L3VPN功能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362" w:hRule="atLeast"/>
        </w:trPr>
        <w:tc>
          <w:tcPr>
            <w:tcW w:w="2300" w:type="dxa"/>
            <w:vMerge w:val="restart"/>
            <w:vAlign w:val="center"/>
          </w:tcPr>
          <w:p>
            <w:pPr>
              <w:jc w:val="center"/>
              <w:rPr>
                <w:rFonts w:ascii="宋体" w:hAnsi="宋体" w:cs="宋体"/>
                <w:color w:val="000000" w:themeColor="text1"/>
                <w:szCs w:val="21"/>
              </w:rPr>
            </w:pPr>
            <w:r>
              <w:rPr>
                <w:rFonts w:hint="eastAsia" w:ascii="宋体" w:hAnsi="宋体" w:cs="宋体"/>
                <w:color w:val="000000" w:themeColor="text1"/>
                <w:szCs w:val="21"/>
              </w:rPr>
              <w:t>堆叠</w:t>
            </w:r>
          </w:p>
        </w:tc>
        <w:tc>
          <w:tcPr>
            <w:tcW w:w="6672" w:type="dxa"/>
            <w:tcBorders>
              <w:bottom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最大堆叠台数≥9台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362" w:hRule="atLeast"/>
        </w:trPr>
        <w:tc>
          <w:tcPr>
            <w:tcW w:w="2300" w:type="dxa"/>
            <w:vMerge w:val="continue"/>
            <w:tcBorders>
              <w:bottom w:val="single" w:color="auto" w:sz="4" w:space="0"/>
            </w:tcBorders>
            <w:vAlign w:val="center"/>
          </w:tcPr>
          <w:p>
            <w:pPr>
              <w:jc w:val="center"/>
              <w:rPr>
                <w:rFonts w:ascii="宋体" w:hAnsi="宋体" w:cs="宋体"/>
                <w:color w:val="000000" w:themeColor="text1"/>
                <w:szCs w:val="21"/>
              </w:rPr>
            </w:pPr>
          </w:p>
        </w:tc>
        <w:tc>
          <w:tcPr>
            <w:tcW w:w="6672" w:type="dxa"/>
            <w:tcBorders>
              <w:bottom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支持跨设备链路聚合，单一IP管理，分布式弹性路由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362" w:hRule="atLeast"/>
        </w:trPr>
        <w:tc>
          <w:tcPr>
            <w:tcW w:w="2300" w:type="dxa"/>
            <w:tcBorders>
              <w:bottom w:val="single" w:color="auto" w:sz="4" w:space="0"/>
            </w:tcBorders>
            <w:vAlign w:val="center"/>
          </w:tcPr>
          <w:p>
            <w:pPr>
              <w:jc w:val="center"/>
              <w:rPr>
                <w:rFonts w:ascii="宋体" w:hAnsi="宋体" w:cs="宋体"/>
                <w:color w:val="000000" w:themeColor="text1"/>
                <w:szCs w:val="21"/>
              </w:rPr>
            </w:pPr>
            <w:r>
              <w:rPr>
                <w:rFonts w:hint="eastAsia" w:ascii="宋体" w:hAnsi="宋体" w:cs="宋体"/>
                <w:color w:val="000000" w:themeColor="text1"/>
                <w:szCs w:val="21"/>
              </w:rPr>
              <w:t>链路聚合</w:t>
            </w:r>
          </w:p>
        </w:tc>
        <w:tc>
          <w:tcPr>
            <w:tcW w:w="6672" w:type="dxa"/>
            <w:tcBorders>
              <w:bottom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支持GE端口聚合</w:t>
            </w:r>
          </w:p>
          <w:p>
            <w:pPr>
              <w:rPr>
                <w:rFonts w:ascii="宋体" w:hAnsi="宋体" w:cs="宋体"/>
                <w:color w:val="000000" w:themeColor="text1"/>
                <w:szCs w:val="21"/>
              </w:rPr>
            </w:pPr>
            <w:r>
              <w:rPr>
                <w:rFonts w:hint="eastAsia" w:ascii="宋体" w:hAnsi="宋体" w:cs="宋体"/>
                <w:color w:val="000000" w:themeColor="text1"/>
                <w:szCs w:val="21"/>
              </w:rPr>
              <w:t>支持10GE端口聚合</w:t>
            </w:r>
          </w:p>
          <w:p>
            <w:pPr>
              <w:rPr>
                <w:rFonts w:ascii="宋体" w:hAnsi="宋体" w:cs="宋体"/>
                <w:color w:val="000000" w:themeColor="text1"/>
                <w:szCs w:val="21"/>
              </w:rPr>
            </w:pPr>
            <w:r>
              <w:rPr>
                <w:rFonts w:hint="eastAsia" w:ascii="宋体" w:hAnsi="宋体" w:cs="宋体"/>
                <w:color w:val="000000" w:themeColor="text1"/>
                <w:szCs w:val="21"/>
              </w:rPr>
              <w:t>支持40G聚合</w:t>
            </w:r>
          </w:p>
          <w:p>
            <w:pPr>
              <w:rPr>
                <w:rFonts w:ascii="宋体" w:hAnsi="宋体" w:cs="宋体"/>
                <w:color w:val="000000" w:themeColor="text1"/>
                <w:szCs w:val="21"/>
              </w:rPr>
            </w:pPr>
            <w:r>
              <w:rPr>
                <w:rFonts w:hint="eastAsia" w:ascii="宋体" w:hAnsi="宋体" w:cs="宋体"/>
                <w:color w:val="000000" w:themeColor="text1"/>
                <w:szCs w:val="21"/>
              </w:rPr>
              <w:t>支持静态聚合</w:t>
            </w:r>
          </w:p>
          <w:p>
            <w:pPr>
              <w:rPr>
                <w:rFonts w:ascii="宋体" w:hAnsi="宋体" w:cs="宋体"/>
                <w:color w:val="000000" w:themeColor="text1"/>
                <w:szCs w:val="21"/>
              </w:rPr>
            </w:pPr>
            <w:r>
              <w:rPr>
                <w:rFonts w:hint="eastAsia" w:ascii="宋体" w:hAnsi="宋体" w:cs="宋体"/>
                <w:color w:val="000000" w:themeColor="text1"/>
                <w:szCs w:val="21"/>
              </w:rPr>
              <w:t>支持动态聚合</w:t>
            </w:r>
          </w:p>
          <w:p>
            <w:pPr>
              <w:rPr>
                <w:rFonts w:ascii="宋体" w:hAnsi="宋体" w:cs="宋体"/>
                <w:color w:val="000000" w:themeColor="text1"/>
                <w:szCs w:val="21"/>
              </w:rPr>
            </w:pPr>
            <w:r>
              <w:rPr>
                <w:rFonts w:hint="eastAsia" w:ascii="宋体" w:hAnsi="宋体" w:cs="宋体"/>
                <w:color w:val="000000" w:themeColor="text1"/>
                <w:szCs w:val="21"/>
              </w:rPr>
              <w:t>支持跨设备聚合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94" w:hRule="atLeast"/>
        </w:trPr>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镜像功能</w:t>
            </w:r>
          </w:p>
        </w:tc>
        <w:tc>
          <w:tcPr>
            <w:tcW w:w="6672" w:type="dxa"/>
          </w:tcPr>
          <w:p>
            <w:pPr>
              <w:jc w:val="center"/>
              <w:rPr>
                <w:rFonts w:ascii="宋体" w:hAnsi="宋体" w:cs="宋体"/>
                <w:color w:val="000000" w:themeColor="text1"/>
                <w:szCs w:val="21"/>
              </w:rPr>
            </w:pPr>
            <w:r>
              <w:rPr>
                <w:rFonts w:hint="eastAsia" w:ascii="宋体" w:hAnsi="宋体" w:cs="宋体"/>
                <w:color w:val="000000" w:themeColor="text1"/>
                <w:szCs w:val="21"/>
              </w:rPr>
              <w:t>支持本地端口镜像和远程端口镜像RSPAN，同时支持N:4端口镜像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395" w:hRule="atLeast"/>
        </w:trPr>
        <w:tc>
          <w:tcPr>
            <w:tcW w:w="2300" w:type="dxa"/>
            <w:vMerge w:val="restart"/>
            <w:tcBorders>
              <w:top w:val="single" w:color="auto" w:sz="4" w:space="0"/>
            </w:tcBorders>
            <w:vAlign w:val="center"/>
          </w:tcPr>
          <w:p>
            <w:pPr>
              <w:jc w:val="center"/>
              <w:rPr>
                <w:rFonts w:ascii="宋体" w:hAnsi="宋体" w:cs="宋体"/>
                <w:color w:val="000000" w:themeColor="text1"/>
                <w:szCs w:val="21"/>
              </w:rPr>
            </w:pPr>
            <w:r>
              <w:rPr>
                <w:rFonts w:hint="eastAsia" w:ascii="宋体" w:hAnsi="宋体" w:cs="宋体"/>
                <w:color w:val="000000" w:themeColor="text1"/>
                <w:szCs w:val="21"/>
              </w:rPr>
              <w:t>▲可靠性</w:t>
            </w:r>
          </w:p>
        </w:tc>
        <w:tc>
          <w:tcPr>
            <w:tcW w:w="6672" w:type="dxa"/>
            <w:tcBorders>
              <w:top w:val="single" w:color="auto" w:sz="4" w:space="0"/>
              <w:bottom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可拓展支持对关键进程的保护，包括防杀、防止内存注入、防止消息HOOK等。（提供截图证明加盖公章）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265" w:hRule="atLeast"/>
        </w:trPr>
        <w:tc>
          <w:tcPr>
            <w:tcW w:w="2300" w:type="dxa"/>
            <w:vMerge w:val="continue"/>
            <w:vAlign w:val="center"/>
          </w:tcPr>
          <w:p>
            <w:pPr>
              <w:jc w:val="center"/>
              <w:rPr>
                <w:rFonts w:ascii="宋体" w:hAnsi="宋体" w:cs="宋体"/>
                <w:color w:val="000000" w:themeColor="text1"/>
                <w:szCs w:val="21"/>
              </w:rPr>
            </w:pPr>
          </w:p>
        </w:tc>
        <w:tc>
          <w:tcPr>
            <w:tcW w:w="6672" w:type="dxa"/>
            <w:tcBorders>
              <w:top w:val="single" w:color="auto" w:sz="4" w:space="0"/>
            </w:tcBorders>
          </w:tcPr>
          <w:p>
            <w:pPr>
              <w:rPr>
                <w:rFonts w:ascii="宋体" w:hAnsi="宋体" w:cs="宋体"/>
                <w:color w:val="000000" w:themeColor="text1"/>
                <w:szCs w:val="21"/>
              </w:rPr>
            </w:pPr>
            <w:r>
              <w:rPr>
                <w:rFonts w:hint="eastAsia" w:ascii="宋体" w:hAnsi="宋体" w:cs="宋体"/>
                <w:color w:val="000000" w:themeColor="text1"/>
                <w:szCs w:val="21"/>
              </w:rPr>
              <w:t>支持将高风险服务程序加入到权限容器中，限制服务的访问权限（提供截图证明加盖公章）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VLAN特性</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支持基于端口的VLAN，支持基于协议的VLAN；支持基于MAC的VLAN；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组播协议</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支持IGMP v1/v2/v3，MLD v1/v2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rPr>
          <w:trHeight w:val="724" w:hRule="atLeast"/>
        </w:trPr>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路由协议</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 xml:space="preserve">支持IPv4静态路由、RIP V1/V2、OSPF、BGP、ISIS，支持IPv6静态路由、RIPng、OSPFv3、BGP4+、IS-IS V6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Merge w:val="restart"/>
            <w:vAlign w:val="center"/>
          </w:tcPr>
          <w:p>
            <w:pPr>
              <w:jc w:val="center"/>
              <w:rPr>
                <w:rFonts w:ascii="宋体" w:hAnsi="宋体" w:cs="宋体"/>
                <w:color w:val="000000" w:themeColor="text1"/>
                <w:szCs w:val="21"/>
              </w:rPr>
            </w:pPr>
            <w:r>
              <w:rPr>
                <w:rFonts w:hint="eastAsia" w:ascii="宋体" w:hAnsi="宋体" w:cs="宋体"/>
                <w:color w:val="000000" w:themeColor="text1"/>
                <w:szCs w:val="21"/>
              </w:rPr>
              <w:t>访问控制策略</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▲通过改造了设备Mount机制，只允许符合策略的外设挂载（提供截图证明加盖公章）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Merge w:val="continue"/>
            <w:vAlign w:val="center"/>
          </w:tcPr>
          <w:p>
            <w:pPr>
              <w:jc w:val="center"/>
              <w:rPr>
                <w:rFonts w:ascii="宋体" w:hAnsi="宋体" w:cs="宋体"/>
                <w:color w:val="000000" w:themeColor="text1"/>
                <w:szCs w:val="21"/>
              </w:rPr>
            </w:pP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支持基于端口和VLAN的 ACL；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50" w:type="dxa"/>
            <w:left w:w="100" w:type="dxa"/>
            <w:bottom w:w="50" w:type="dxa"/>
            <w:right w:w="100" w:type="dxa"/>
          </w:tblCellMar>
        </w:tblPrEx>
        <w:tc>
          <w:tcPr>
            <w:tcW w:w="23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▲文件完整性检测</w:t>
            </w:r>
          </w:p>
        </w:tc>
        <w:tc>
          <w:tcPr>
            <w:tcW w:w="6672" w:type="dxa"/>
          </w:tcPr>
          <w:p>
            <w:pPr>
              <w:rPr>
                <w:rFonts w:ascii="宋体" w:hAnsi="宋体" w:cs="宋体"/>
                <w:color w:val="000000" w:themeColor="text1"/>
                <w:szCs w:val="21"/>
              </w:rPr>
            </w:pPr>
            <w:r>
              <w:rPr>
                <w:rFonts w:hint="eastAsia" w:ascii="宋体" w:hAnsi="宋体" w:cs="宋体"/>
                <w:color w:val="000000" w:themeColor="text1"/>
                <w:szCs w:val="21"/>
              </w:rPr>
              <w:t>支持对文件进行完整性检测，完整性检测范围支持自定义。（提供截图证明加盖公章）</w:t>
            </w:r>
          </w:p>
        </w:tc>
      </w:tr>
    </w:tbl>
    <w:p>
      <w:pPr>
        <w:pStyle w:val="41"/>
      </w:pPr>
    </w:p>
    <w:p>
      <w:pPr>
        <w:adjustRightInd w:val="0"/>
        <w:snapToGrid w:val="0"/>
        <w:spacing w:line="400" w:lineRule="exact"/>
        <w:ind w:firstLine="420" w:firstLineChars="200"/>
        <w:jc w:val="left"/>
        <w:outlineLvl w:val="1"/>
        <w:rPr>
          <w:rFonts w:ascii="宋体" w:hAnsi="宋体" w:cs="宋体"/>
          <w:b/>
          <w:bCs/>
          <w:color w:val="000000" w:themeColor="text1"/>
          <w:sz w:val="24"/>
        </w:rPr>
      </w:pPr>
      <w:r>
        <w:rPr>
          <w:rFonts w:hint="eastAsia" w:ascii="宋体" w:hAnsi="宋体" w:cs="宋体"/>
          <w:color w:val="000000" w:themeColor="text1"/>
          <w:szCs w:val="21"/>
          <w:highlight w:val="none"/>
        </w:rPr>
        <w:t>★</w:t>
      </w:r>
      <w:r>
        <w:rPr>
          <w:rFonts w:hint="eastAsia" w:ascii="宋体" w:hAnsi="宋体" w:cs="宋体"/>
          <w:b/>
          <w:bCs/>
          <w:color w:val="000000" w:themeColor="text1"/>
          <w:sz w:val="24"/>
          <w:highlight w:val="none"/>
        </w:rPr>
        <w:t>2.</w:t>
      </w:r>
      <w:r>
        <w:rPr>
          <w:rFonts w:ascii="宋体" w:hAnsi="宋体" w:cs="宋体"/>
          <w:b/>
          <w:bCs/>
          <w:color w:val="000000" w:themeColor="text1"/>
          <w:sz w:val="24"/>
        </w:rPr>
        <w:t>3</w:t>
      </w:r>
      <w:r>
        <w:rPr>
          <w:rFonts w:hint="eastAsia"/>
          <w:color w:val="000000" w:themeColor="text1"/>
          <w:sz w:val="24"/>
        </w:rPr>
        <w:t>系统集成服务及数据迁移要求</w:t>
      </w:r>
    </w:p>
    <w:tbl>
      <w:tblPr>
        <w:tblStyle w:val="66"/>
        <w:tblW w:w="8952"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952" w:type="dxa"/>
            <w:vAlign w:val="center"/>
          </w:tcPr>
          <w:p>
            <w:pPr>
              <w:pStyle w:val="181"/>
              <w:ind w:firstLine="0"/>
              <w:rPr>
                <w:color w:val="000000" w:themeColor="text1"/>
              </w:rPr>
            </w:pPr>
            <w:r>
              <w:rPr>
                <w:rFonts w:hint="eastAsia" w:ascii="宋体" w:hAnsi="宋体" w:cs="宋体"/>
                <w:color w:val="000000" w:themeColor="text1"/>
                <w:kern w:val="2"/>
                <w:sz w:val="21"/>
                <w:szCs w:val="21"/>
              </w:rPr>
              <w:t>1、安装实施服务：</w:t>
            </w:r>
            <w:r>
              <w:rPr>
                <w:rFonts w:hint="eastAsia" w:ascii="宋体" w:hAnsi="宋体" w:cs="宋体"/>
                <w:color w:val="auto"/>
                <w:kern w:val="2"/>
                <w:sz w:val="21"/>
                <w:szCs w:val="21"/>
                <w:highlight w:val="none"/>
              </w:rPr>
              <w:t>具有</w:t>
            </w:r>
            <w:r>
              <w:rPr>
                <w:rFonts w:hint="eastAsia" w:ascii="宋体" w:hAnsi="宋体" w:cs="宋体"/>
                <w:color w:val="000000" w:themeColor="text1"/>
                <w:kern w:val="2"/>
                <w:sz w:val="21"/>
                <w:szCs w:val="21"/>
              </w:rPr>
              <w:t>资格技术认证的工程师进行集群系统的安装和配置。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952" w:type="dxa"/>
            <w:vAlign w:val="center"/>
          </w:tcPr>
          <w:p>
            <w:pPr>
              <w:pStyle w:val="181"/>
              <w:ind w:firstLine="0"/>
              <w:rPr>
                <w:rFonts w:ascii="宋体" w:hAnsi="宋体" w:cs="宋体"/>
                <w:color w:val="000000" w:themeColor="text1"/>
                <w:kern w:val="2"/>
                <w:sz w:val="21"/>
                <w:szCs w:val="21"/>
              </w:rPr>
            </w:pPr>
            <w:r>
              <w:rPr>
                <w:rFonts w:hint="eastAsia" w:ascii="宋体" w:hAnsi="宋体" w:cs="宋体"/>
                <w:color w:val="000000" w:themeColor="text1"/>
                <w:kern w:val="2"/>
                <w:sz w:val="21"/>
                <w:szCs w:val="21"/>
              </w:rPr>
              <w:t>2、健康巡检服务：对超融合集群环境进行健康检查，生成健康检查报告，并对已经或可能产生的问题进行修复或给出建议。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952" w:type="dxa"/>
            <w:vAlign w:val="center"/>
          </w:tcPr>
          <w:p>
            <w:pPr>
              <w:rPr>
                <w:rFonts w:ascii="宋体" w:hAnsi="宋体" w:cs="宋体"/>
                <w:color w:val="000000" w:themeColor="text1"/>
                <w:szCs w:val="21"/>
              </w:rPr>
            </w:pPr>
            <w:r>
              <w:rPr>
                <w:rFonts w:hint="eastAsia" w:ascii="宋体" w:hAnsi="宋体" w:cs="宋体"/>
                <w:color w:val="000000" w:themeColor="text1"/>
                <w:szCs w:val="21"/>
              </w:rPr>
              <w:t>3、版本升级服务：服务期内同一版本免费的补丁推送，获得产品性能和稳定性的持续改善。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952" w:type="dxa"/>
            <w:vAlign w:val="center"/>
          </w:tcPr>
          <w:p>
            <w:pPr>
              <w:pStyle w:val="181"/>
              <w:ind w:firstLine="0"/>
              <w:rPr>
                <w:rFonts w:ascii="宋体" w:hAnsi="宋体" w:cs="宋体"/>
                <w:color w:val="000000" w:themeColor="text1"/>
                <w:kern w:val="2"/>
                <w:sz w:val="21"/>
                <w:szCs w:val="21"/>
              </w:rPr>
            </w:pPr>
            <w:r>
              <w:rPr>
                <w:rFonts w:hint="eastAsia" w:ascii="宋体" w:hAnsi="宋体" w:cs="宋体"/>
                <w:color w:val="000000" w:themeColor="text1"/>
                <w:kern w:val="2"/>
                <w:sz w:val="21"/>
                <w:szCs w:val="21"/>
              </w:rPr>
              <w:t>4、运维培训服务：由具有资质的工程师对客户进行超融合产品的运维操作培训，并回答客户问题，此培训约半天时间。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952" w:type="dxa"/>
            <w:vAlign w:val="center"/>
          </w:tcPr>
          <w:p>
            <w:pPr>
              <w:pStyle w:val="65"/>
              <w:ind w:firstLine="0" w:firstLineChars="0"/>
              <w:rPr>
                <w:rFonts w:hAnsi="宋体" w:cs="宋体"/>
                <w:color w:val="000000" w:themeColor="text1"/>
                <w:sz w:val="21"/>
                <w:szCs w:val="21"/>
              </w:rPr>
            </w:pPr>
            <w:r>
              <w:rPr>
                <w:rFonts w:hint="eastAsia" w:hAnsi="宋体" w:cs="宋体"/>
                <w:color w:val="000000" w:themeColor="text1"/>
                <w:sz w:val="21"/>
                <w:szCs w:val="21"/>
              </w:rPr>
              <w:t>5、保修服务：硬件金牌维保服务5年；关键业务响应时间；关键业务:(7x24) 由专业的工程师2小时内第一次响应服务;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952" w:type="dxa"/>
            <w:vAlign w:val="center"/>
          </w:tcPr>
          <w:p>
            <w:pPr>
              <w:pStyle w:val="181"/>
              <w:ind w:firstLine="0"/>
              <w:rPr>
                <w:rFonts w:ascii="宋体" w:hAnsi="宋体" w:cs="宋体"/>
                <w:color w:val="000000" w:themeColor="text1"/>
                <w:szCs w:val="21"/>
              </w:rPr>
            </w:pPr>
            <w:r>
              <w:rPr>
                <w:rFonts w:hint="eastAsia" w:ascii="宋体" w:hAnsi="宋体" w:cs="宋体"/>
                <w:color w:val="000000" w:themeColor="text1"/>
                <w:kern w:val="2"/>
                <w:sz w:val="21"/>
                <w:szCs w:val="21"/>
              </w:rPr>
              <w:t>6、数据迁移：本项目为系统集成项目，投标单位须负责超融合平台资产梳理、数据迁移、数据整合等相关工作，在实施前对实地环境进行调研工作，确保新旧系统无缝对接，实施过程中不能影响业主单位的正常业务运行，投标时须提供完整的数据迁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952" w:type="dxa"/>
            <w:vAlign w:val="center"/>
          </w:tcPr>
          <w:p>
            <w:pPr>
              <w:pStyle w:val="181"/>
              <w:ind w:firstLine="0"/>
              <w:rPr>
                <w:rFonts w:ascii="宋体" w:hAnsi="宋体" w:cs="宋体"/>
                <w:color w:val="000000" w:themeColor="text1"/>
                <w:szCs w:val="21"/>
              </w:rPr>
            </w:pPr>
            <w:r>
              <w:rPr>
                <w:rFonts w:hint="eastAsia" w:ascii="宋体" w:hAnsi="宋体" w:cs="宋体"/>
                <w:color w:val="000000" w:themeColor="text1"/>
                <w:kern w:val="2"/>
                <w:sz w:val="21"/>
                <w:szCs w:val="21"/>
              </w:rPr>
              <w:t>7、为确保项目实施工作的安全性，项目系统集成需由专业的工程师完成，并做出无推诿承诺：承诺与其他供应商配合完成整体项目及与现有硬件、软件环境集成工作的完成。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952" w:type="dxa"/>
            <w:vAlign w:val="center"/>
          </w:tcPr>
          <w:p>
            <w:pPr>
              <w:widowControl/>
              <w:rPr>
                <w:rFonts w:ascii="宋体" w:hAnsi="宋体" w:cs="宋体"/>
                <w:color w:val="000000" w:themeColor="text1"/>
                <w:szCs w:val="21"/>
              </w:rPr>
            </w:pPr>
            <w:r>
              <w:rPr>
                <w:rFonts w:hint="eastAsia" w:ascii="宋体" w:hAnsi="宋体" w:cs="宋体"/>
                <w:color w:val="000000" w:themeColor="text1"/>
                <w:szCs w:val="21"/>
              </w:rPr>
              <w:t>8、因本次实施过程中，涉及数据库数据迁移等工作，</w:t>
            </w:r>
            <w:r>
              <w:rPr>
                <w:rFonts w:hint="eastAsia" w:ascii="宋体" w:hAnsi="宋体"/>
                <w:color w:val="000000" w:themeColor="text1"/>
                <w:lang w:val="zh-TW" w:eastAsia="zh-TW"/>
              </w:rPr>
              <w:t>由于本项目涉及到硬件平台更换，容灾应急接管及演练，数据无缝迁移，新老系统切换等重要技术服务工作。</w:t>
            </w:r>
          </w:p>
          <w:p>
            <w:pPr>
              <w:rPr>
                <w:rFonts w:ascii="宋体" w:hAnsi="宋体" w:cs="宋体"/>
                <w:color w:val="000000" w:themeColor="text1"/>
                <w:szCs w:val="21"/>
              </w:rPr>
            </w:pPr>
            <w:r>
              <w:rPr>
                <w:rFonts w:hint="eastAsia" w:ascii="宋体" w:hAnsi="宋体" w:cs="宋体"/>
                <w:color w:val="000000" w:themeColor="text1"/>
                <w:szCs w:val="21"/>
              </w:rPr>
              <w:t>实施单位负责本次项目实施过程中涉及到的系统集成辅材，例如光模块、光纤跳线、成品网线及标签打印纸等，根据院方按需提供。</w:t>
            </w:r>
          </w:p>
        </w:tc>
      </w:tr>
    </w:tbl>
    <w:p>
      <w:pPr>
        <w:rPr>
          <w:b/>
        </w:rPr>
      </w:pPr>
    </w:p>
    <w:p>
      <w:pPr>
        <w:rPr>
          <w:bCs/>
          <w:sz w:val="18"/>
          <w:szCs w:val="18"/>
        </w:rPr>
      </w:pPr>
      <w:r>
        <w:rPr>
          <w:rFonts w:hint="eastAsia"/>
          <w:b/>
        </w:rPr>
        <w:t>注：</w:t>
      </w:r>
      <w:r>
        <w:rPr>
          <w:rFonts w:hint="eastAsia"/>
          <w:bCs/>
          <w:sz w:val="18"/>
          <w:szCs w:val="18"/>
        </w:rPr>
        <w:t xml:space="preserve"> 1、标“▲”项参数要求须提供佐证材料加盖公章，投标人必须进行详细的点对点应答，不能简单应答满足或不满足，技术标书中的任何偏差都必须详细说明。本技术规范书经供、需双方确认后作为订货合同的技术附件，与合同正文具有同等法律效力。中标产品到货验收、最后验收时，发包人可能对重要技术指标进行现场实测，若实测结果与投标人在投标书中的承诺不符，则投标人将承担退货风险及相关全部责任。</w:t>
      </w:r>
    </w:p>
    <w:p>
      <w:pPr>
        <w:pStyle w:val="63"/>
        <w:jc w:val="both"/>
        <w:rPr>
          <w:rStyle w:val="124"/>
          <w:rFonts w:ascii="仿宋_GB2312" w:eastAsia="仿宋_GB2312"/>
          <w:b/>
          <w:sz w:val="36"/>
        </w:rPr>
      </w:pPr>
    </w:p>
    <w:p>
      <w:pPr>
        <w:pStyle w:val="63"/>
        <w:jc w:val="both"/>
        <w:rPr>
          <w:rStyle w:val="124"/>
          <w:rFonts w:ascii="仿宋_GB2312" w:eastAsia="仿宋_GB2312"/>
          <w:b/>
          <w:sz w:val="36"/>
        </w:rPr>
      </w:pPr>
    </w:p>
    <w:p>
      <w:pPr>
        <w:rPr>
          <w:b/>
        </w:rPr>
      </w:pPr>
    </w:p>
    <w:p>
      <w:pPr>
        <w:rPr>
          <w:rFonts w:ascii="仿宋_GB2312" w:hAnsi="仿宋_GB2312" w:eastAsia="仿宋_GB2312" w:cs="仿宋_GB2312"/>
          <w:b/>
          <w:color w:val="000000"/>
          <w:kern w:val="0"/>
          <w:sz w:val="24"/>
        </w:rPr>
      </w:pPr>
      <w:r>
        <w:rPr>
          <w:rFonts w:hint="eastAsia"/>
          <w:b/>
        </w:rPr>
        <w:t>注意：</w:t>
      </w:r>
      <w:r>
        <w:rPr>
          <w:rFonts w:ascii="仿宋_GB2312" w:hAnsi="仿宋_GB2312" w:eastAsia="仿宋_GB2312" w:cs="仿宋_GB2312"/>
          <w:b/>
          <w:color w:val="000000"/>
          <w:kern w:val="0"/>
          <w:sz w:val="24"/>
        </w:rPr>
        <w:t>供应商可自行进行了解项目相关信息及查阅有关资料，不另行统一安排，未进行了解项目相关信息所造成的一切风险由投标方自行承担。采购单位联系人及联系电话见招标公告</w:t>
      </w:r>
      <w:r>
        <w:rPr>
          <w:rFonts w:hint="eastAsia" w:ascii="仿宋_GB2312" w:hAnsi="仿宋_GB2312" w:eastAsia="仿宋_GB2312" w:cs="仿宋_GB2312"/>
          <w:b/>
          <w:color w:val="000000"/>
          <w:kern w:val="0"/>
          <w:sz w:val="24"/>
        </w:rPr>
        <w:t>。</w:t>
      </w:r>
    </w:p>
    <w:p>
      <w:pPr>
        <w:pStyle w:val="63"/>
        <w:jc w:val="both"/>
        <w:rPr>
          <w:rStyle w:val="124"/>
          <w:rFonts w:ascii="仿宋_GB2312" w:eastAsia="仿宋_GB2312"/>
          <w:b/>
          <w:sz w:val="36"/>
        </w:rPr>
      </w:pPr>
    </w:p>
    <w:p>
      <w:pPr>
        <w:pStyle w:val="63"/>
        <w:rPr>
          <w:rStyle w:val="124"/>
          <w:rFonts w:ascii="仿宋_GB2312" w:eastAsia="仿宋_GB2312"/>
          <w:b/>
          <w:sz w:val="36"/>
        </w:rPr>
      </w:pPr>
    </w:p>
    <w:p>
      <w:pPr>
        <w:pStyle w:val="63"/>
        <w:rPr>
          <w:rStyle w:val="124"/>
          <w:rFonts w:ascii="仿宋_GB2312" w:eastAsia="仿宋_GB2312"/>
          <w:b/>
          <w:sz w:val="36"/>
        </w:rPr>
      </w:pPr>
    </w:p>
    <w:p>
      <w:pPr>
        <w:pStyle w:val="63"/>
        <w:rPr>
          <w:rStyle w:val="124"/>
          <w:rFonts w:ascii="仿宋_GB2312" w:eastAsia="仿宋_GB2312"/>
          <w:b/>
          <w:sz w:val="36"/>
        </w:rPr>
      </w:pPr>
    </w:p>
    <w:p>
      <w:pPr>
        <w:pStyle w:val="63"/>
        <w:rPr>
          <w:rStyle w:val="124"/>
          <w:rFonts w:ascii="仿宋_GB2312" w:eastAsia="仿宋_GB2312"/>
          <w:b/>
          <w:sz w:val="36"/>
        </w:rPr>
      </w:pPr>
    </w:p>
    <w:p>
      <w:pPr>
        <w:pStyle w:val="63"/>
        <w:rPr>
          <w:rStyle w:val="124"/>
          <w:rFonts w:ascii="仿宋_GB2312" w:eastAsia="仿宋_GB2312"/>
          <w:b/>
          <w:sz w:val="36"/>
        </w:rPr>
      </w:pPr>
      <w:r>
        <w:rPr>
          <w:rStyle w:val="124"/>
          <w:rFonts w:ascii="仿宋_GB2312" w:eastAsia="仿宋_GB2312"/>
          <w:b/>
          <w:sz w:val="36"/>
        </w:rPr>
        <w:t>第</w:t>
      </w:r>
      <w:r>
        <w:rPr>
          <w:rStyle w:val="124"/>
          <w:rFonts w:hint="eastAsia" w:ascii="仿宋_GB2312" w:eastAsia="仿宋_GB2312"/>
          <w:b/>
          <w:sz w:val="36"/>
        </w:rPr>
        <w:t>三</w:t>
      </w:r>
      <w:r>
        <w:rPr>
          <w:rStyle w:val="124"/>
          <w:rFonts w:ascii="仿宋_GB2312" w:eastAsia="仿宋_GB2312"/>
          <w:b/>
          <w:sz w:val="36"/>
        </w:rPr>
        <w:t xml:space="preserve">部分   </w:t>
      </w:r>
      <w:r>
        <w:rPr>
          <w:rStyle w:val="124"/>
          <w:rFonts w:hint="eastAsia" w:ascii="仿宋_GB2312" w:eastAsia="仿宋_GB2312"/>
          <w:b/>
          <w:sz w:val="36"/>
        </w:rPr>
        <w:t>商务条款</w:t>
      </w:r>
      <w:bookmarkEnd w:id="8"/>
    </w:p>
    <w:p>
      <w:pPr>
        <w:spacing w:before="240"/>
        <w:ind w:firstLine="560" w:firstLineChars="200"/>
        <w:jc w:val="left"/>
        <w:rPr>
          <w:rFonts w:ascii="仿宋_GB2312" w:hAnsi="仿宋_GB2312" w:eastAsia="仿宋_GB2312" w:cs="仿宋_GB2312"/>
          <w:bCs/>
          <w:color w:val="000000"/>
          <w:kern w:val="0"/>
          <w:sz w:val="28"/>
          <w:szCs w:val="28"/>
        </w:rPr>
      </w:pPr>
      <w:bookmarkStart w:id="10" w:name="_Toc150414331"/>
      <w:r>
        <w:rPr>
          <w:rFonts w:ascii="仿宋_GB2312" w:hAnsi="仿宋_GB2312" w:eastAsia="仿宋_GB2312" w:cs="仿宋_GB2312"/>
          <w:bCs/>
          <w:color w:val="000000"/>
          <w:kern w:val="0"/>
          <w:sz w:val="28"/>
          <w:szCs w:val="28"/>
        </w:rPr>
        <w:t>一</w:t>
      </w:r>
      <w:r>
        <w:rPr>
          <w:rFonts w:hint="eastAsia" w:ascii="仿宋_GB2312" w:hAnsi="仿宋_GB2312" w:eastAsia="仿宋_GB2312" w:cs="仿宋_GB2312"/>
          <w:bCs/>
          <w:color w:val="000000"/>
          <w:kern w:val="0"/>
          <w:sz w:val="28"/>
          <w:szCs w:val="28"/>
        </w:rPr>
        <w:t>、付款方式</w:t>
      </w:r>
    </w:p>
    <w:p>
      <w:pPr>
        <w:spacing w:before="240"/>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合同生效以及具备实施条件后7日内，招标方向中标方支付合同金额40%的预付款。货物送达指定地点安装调试完毕并验收合格后7个工作日内支付余款。款项支付时中标方需提供合法票据。如需收取履约保证金，最高比例不得超过合同总价的1%，由甲乙双方在合同中自行约定退回的方式和时间。履约保证金可以现金或银行、保险公司出具的保函形式提交。</w:t>
      </w:r>
    </w:p>
    <w:p>
      <w:pPr>
        <w:spacing w:before="240"/>
        <w:ind w:firstLine="560" w:firstLineChars="200"/>
        <w:jc w:val="left"/>
        <w:rPr>
          <w:rFonts w:ascii="仿宋_GB2312" w:hAnsi="仿宋_GB2312" w:eastAsia="仿宋_GB2312" w:cs="仿宋_GB2312"/>
          <w:bCs/>
          <w:color w:val="000000"/>
          <w:kern w:val="0"/>
          <w:sz w:val="28"/>
          <w:szCs w:val="28"/>
        </w:rPr>
      </w:pPr>
      <w:r>
        <w:rPr>
          <w:rFonts w:ascii="仿宋_GB2312" w:hAnsi="仿宋_GB2312" w:eastAsia="仿宋_GB2312" w:cs="仿宋_GB2312"/>
          <w:bCs/>
          <w:color w:val="000000"/>
          <w:kern w:val="0"/>
          <w:sz w:val="28"/>
          <w:szCs w:val="28"/>
        </w:rPr>
        <w:t>二</w:t>
      </w: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质量保证期</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供应商提供货物的质量保证期为自验收合格之日起满5年，如中标方对质保期有延长承诺的，以中标方投标文件中承诺的质保期时间为准。</w:t>
      </w:r>
    </w:p>
    <w:p>
      <w:pPr>
        <w:spacing w:before="240"/>
        <w:ind w:firstLine="5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三、售后服务基本要求</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投标人所提供的产品（含部件）均应为全新、正宗原装的符合相应国家标准的产品，质保期5年。要求原装出厂配置、不能后期改配或升级产品，否则采购人有权拒收，并追究其相关责任。货物必须在设备生产商官网和400电话（或官网电话）同时验证所有设备的序列号核对质保日期和最终用户，硬盘介质保留服务，并且官方查询最终用户为采购人。为了保证服务质量采购人可直接通过400或800电话预约设备生产商售后上门提供技术服务。</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2、货到时提供</w:t>
      </w:r>
      <w:r>
        <w:rPr>
          <w:rFonts w:hint="eastAsia" w:ascii="仿宋_GB2312" w:hAnsi="仿宋_GB2312" w:eastAsia="仿宋_GB2312" w:cs="仿宋_GB2312"/>
          <w:color w:val="auto"/>
          <w:kern w:val="0"/>
          <w:sz w:val="28"/>
          <w:szCs w:val="28"/>
          <w:highlight w:val="none"/>
        </w:rPr>
        <w:t>具有资格认证的工程师上</w:t>
      </w:r>
      <w:r>
        <w:rPr>
          <w:rFonts w:hint="eastAsia" w:ascii="仿宋_GB2312" w:hAnsi="仿宋_GB2312" w:eastAsia="仿宋_GB2312" w:cs="仿宋_GB2312"/>
          <w:color w:val="000000"/>
          <w:kern w:val="0"/>
          <w:sz w:val="28"/>
          <w:szCs w:val="28"/>
        </w:rPr>
        <w:t>门进行开箱、检查、设置、连接、通电等验机服务，并按采购人要求安装相关系统软件。供应商所提供的产品在安装调试完成后，应构成一个完整的系统，能按照技术要求连续运行。</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中标人</w:t>
      </w:r>
      <w:r>
        <w:rPr>
          <w:rFonts w:hint="eastAsia" w:ascii="仿宋_GB2312" w:hAnsi="仿宋_GB2312" w:eastAsia="仿宋_GB2312" w:cs="仿宋_GB2312"/>
          <w:color w:val="000000"/>
          <w:kern w:val="0"/>
          <w:sz w:val="28"/>
          <w:szCs w:val="28"/>
        </w:rPr>
        <w:t>须负责提供相关产品的安装调试、培训等服务。</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4、中标人在交货时提供有关货物的相关检测报告（如有）。</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5、所有产品（均含部件）质保期符合国家规定（若投标产品或投标人另有超过质保期的规定或承诺，按其规定或承诺执行）。</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售后响应时间：提供</w:t>
      </w:r>
      <w:r>
        <w:rPr>
          <w:rFonts w:hint="eastAsia" w:ascii="仿宋_GB2312" w:hAnsi="仿宋_GB2312" w:eastAsia="仿宋_GB2312" w:cs="仿宋_GB2312"/>
          <w:color w:val="000000"/>
          <w:kern w:val="0"/>
          <w:sz w:val="28"/>
          <w:szCs w:val="28"/>
        </w:rPr>
        <w:t>7×24小时</w:t>
      </w:r>
      <w:r>
        <w:rPr>
          <w:rFonts w:ascii="仿宋_GB2312" w:hAnsi="仿宋_GB2312" w:eastAsia="仿宋_GB2312" w:cs="仿宋_GB2312"/>
          <w:color w:val="000000"/>
          <w:kern w:val="0"/>
          <w:sz w:val="28"/>
          <w:szCs w:val="28"/>
        </w:rPr>
        <w:t>的上门售后服务，</w:t>
      </w:r>
      <w:r>
        <w:rPr>
          <w:rFonts w:hint="eastAsia" w:ascii="仿宋_GB2312" w:hAnsi="仿宋_GB2312" w:eastAsia="仿宋_GB2312" w:cs="仿宋_GB2312"/>
          <w:color w:val="000000"/>
          <w:kern w:val="0"/>
          <w:sz w:val="28"/>
          <w:szCs w:val="28"/>
        </w:rPr>
        <w:t>若超融合系统等出现故障，在30</w:t>
      </w:r>
      <w:r>
        <w:rPr>
          <w:rFonts w:ascii="仿宋_GB2312" w:hAnsi="仿宋_GB2312" w:eastAsia="仿宋_GB2312" w:cs="仿宋_GB2312"/>
          <w:color w:val="000000"/>
          <w:kern w:val="0"/>
          <w:sz w:val="28"/>
          <w:szCs w:val="28"/>
        </w:rPr>
        <w:t>分钟</w:t>
      </w:r>
      <w:r>
        <w:rPr>
          <w:rFonts w:hint="eastAsia" w:ascii="仿宋_GB2312" w:hAnsi="仿宋_GB2312" w:eastAsia="仿宋_GB2312" w:cs="仿宋_GB2312"/>
          <w:color w:val="000000"/>
          <w:kern w:val="0"/>
          <w:sz w:val="28"/>
          <w:szCs w:val="28"/>
        </w:rPr>
        <w:t>内响应</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远程无法解决的问题，在4</w:t>
      </w:r>
      <w:r>
        <w:rPr>
          <w:rFonts w:ascii="仿宋_GB2312" w:hAnsi="仿宋_GB2312" w:eastAsia="仿宋_GB2312" w:cs="仿宋_GB2312"/>
          <w:color w:val="000000"/>
          <w:kern w:val="0"/>
          <w:sz w:val="28"/>
          <w:szCs w:val="28"/>
        </w:rPr>
        <w:t>小时</w:t>
      </w:r>
      <w:r>
        <w:rPr>
          <w:rFonts w:hint="eastAsia" w:ascii="仿宋_GB2312" w:hAnsi="仿宋_GB2312" w:eastAsia="仿宋_GB2312" w:cs="仿宋_GB2312"/>
          <w:color w:val="000000"/>
          <w:kern w:val="0"/>
          <w:sz w:val="28"/>
          <w:szCs w:val="28"/>
        </w:rPr>
        <w:t>之</w:t>
      </w:r>
      <w:r>
        <w:rPr>
          <w:rFonts w:ascii="仿宋_GB2312" w:hAnsi="仿宋_GB2312" w:eastAsia="仿宋_GB2312" w:cs="仿宋_GB2312"/>
          <w:color w:val="000000"/>
          <w:kern w:val="0"/>
          <w:sz w:val="28"/>
          <w:szCs w:val="28"/>
        </w:rPr>
        <w:t>内</w:t>
      </w:r>
      <w:r>
        <w:rPr>
          <w:rFonts w:hint="eastAsia" w:ascii="仿宋_GB2312" w:hAnsi="仿宋_GB2312" w:eastAsia="仿宋_GB2312" w:cs="仿宋_GB2312"/>
          <w:color w:val="000000"/>
          <w:kern w:val="0"/>
          <w:sz w:val="28"/>
          <w:szCs w:val="28"/>
        </w:rPr>
        <w:t>到现场查找原因，提出解决方案，并工作直至故障修妥恢复正常服务为止</w:t>
      </w:r>
      <w:r>
        <w:rPr>
          <w:rFonts w:ascii="仿宋_GB2312" w:hAnsi="仿宋_GB2312" w:eastAsia="仿宋_GB2312" w:cs="仿宋_GB2312"/>
          <w:color w:val="000000"/>
          <w:kern w:val="0"/>
          <w:sz w:val="28"/>
          <w:szCs w:val="28"/>
        </w:rPr>
        <w:t>。严重问题及时提出可接受的解决方案和服务承诺。免费维保期内提供</w:t>
      </w:r>
      <w:r>
        <w:rPr>
          <w:rFonts w:hint="eastAsia" w:ascii="仿宋_GB2312" w:hAnsi="仿宋_GB2312" w:eastAsia="仿宋_GB2312" w:cs="仿宋_GB2312"/>
          <w:color w:val="000000"/>
          <w:kern w:val="0"/>
          <w:sz w:val="28"/>
          <w:szCs w:val="28"/>
        </w:rPr>
        <w:t>7×24小时</w:t>
      </w:r>
      <w:r>
        <w:rPr>
          <w:rFonts w:ascii="仿宋_GB2312" w:hAnsi="仿宋_GB2312" w:eastAsia="仿宋_GB2312" w:cs="仿宋_GB2312"/>
          <w:color w:val="000000"/>
          <w:kern w:val="0"/>
          <w:sz w:val="28"/>
          <w:szCs w:val="28"/>
        </w:rPr>
        <w:t>上门服务及技术支持，并提供服务实施方案，对本项目涉及的软硬件设备进行日常维护、检测、排错等工作。免费维保期内由于设备本身质量原因造成的任何损伤或损坏，投标人须免费负责修理或更换。以上所有服务的相关费用均需计入投标总价。</w:t>
      </w:r>
    </w:p>
    <w:p>
      <w:pPr>
        <w:snapToGrid w:val="0"/>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交货</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安装调试</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交货地点：采购人指定地点。</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交货时间：合同签订后30天内完成交货</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如在规定的时间内由于投标人的原因不能完成交货，投标人应承担由此给用户造成的损失（如遇特殊情况，根据双方另行约定执行）</w:t>
      </w:r>
      <w:r>
        <w:rPr>
          <w:rFonts w:hint="eastAsia" w:ascii="仿宋_GB2312" w:hAnsi="仿宋_GB2312" w:eastAsia="仿宋_GB2312" w:cs="仿宋_GB2312"/>
          <w:color w:val="000000"/>
          <w:kern w:val="0"/>
          <w:sz w:val="28"/>
          <w:szCs w:val="28"/>
        </w:rPr>
        <w:t>。</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中标人免费提供中标设备的调试服务。</w:t>
      </w:r>
    </w:p>
    <w:p>
      <w:pPr>
        <w:adjustRightInd w:val="0"/>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中标人应派经采购人认可的有经验和能力、具有相应资质的技术人员，负责系统设备调试工作，在设备安装期间应充分了解设备安装进度要求，解决安装中出现的技术问题。</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r>
        <w:rPr>
          <w:rFonts w:ascii="仿宋_GB2312" w:hAnsi="仿宋_GB2312" w:eastAsia="仿宋_GB2312" w:cs="仿宋_GB2312"/>
          <w:color w:val="000000"/>
          <w:kern w:val="0"/>
          <w:sz w:val="28"/>
          <w:szCs w:val="28"/>
        </w:rPr>
        <w:t>中标人负责设备的安装、调试。</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r>
        <w:rPr>
          <w:rFonts w:ascii="仿宋_GB2312" w:hAnsi="仿宋_GB2312" w:eastAsia="仿宋_GB2312" w:cs="仿宋_GB2312"/>
          <w:color w:val="000000"/>
          <w:kern w:val="0"/>
          <w:sz w:val="28"/>
          <w:szCs w:val="28"/>
        </w:rPr>
        <w:t>调试所需专用工具设施物料由中标人自备、自费运到现场，完工后自费搬走。</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r>
        <w:rPr>
          <w:rFonts w:ascii="仿宋_GB2312" w:hAnsi="仿宋_GB2312" w:eastAsia="仿宋_GB2312" w:cs="仿宋_GB2312"/>
          <w:color w:val="000000"/>
          <w:kern w:val="0"/>
          <w:sz w:val="28"/>
          <w:szCs w:val="28"/>
        </w:rPr>
        <w:t>安装完成后，由中标人进行调试，按国家有关规范标准（国家无验收规范标准的按双方合同规定的要求）进行。</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r>
        <w:rPr>
          <w:rFonts w:ascii="仿宋_GB2312" w:hAnsi="仿宋_GB2312" w:eastAsia="仿宋_GB2312" w:cs="仿宋_GB2312"/>
          <w:color w:val="000000"/>
          <w:kern w:val="0"/>
          <w:sz w:val="28"/>
          <w:szCs w:val="28"/>
        </w:rPr>
        <w:t>设备的拆箱、通电、调试等各项工作由中标人负责，但必须在采购人指定人员的参与下进行。在实际实施前必须先经采购人同意方可进行。调试的原始记录须经各方签字后作为验收的文件之一。</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五、验收</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1、中标人</w:t>
      </w:r>
      <w:r>
        <w:rPr>
          <w:rFonts w:ascii="仿宋_GB2312" w:hAnsi="仿宋_GB2312" w:eastAsia="仿宋_GB2312" w:cs="仿宋_GB2312"/>
          <w:color w:val="000000"/>
          <w:kern w:val="0"/>
          <w:sz w:val="28"/>
          <w:szCs w:val="28"/>
        </w:rPr>
        <w:t>应提供设备的有效检验文件，经</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认可后，与合同的性能指标一起作为设备验收标准。</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对设备验收合格后，双方共同签署验收合格证书，验收中发现设备达不到验收标准或合同规定的性能指标，</w:t>
      </w:r>
      <w:r>
        <w:rPr>
          <w:rFonts w:hint="eastAsia" w:ascii="仿宋_GB2312" w:hAnsi="仿宋_GB2312" w:eastAsia="仿宋_GB2312" w:cs="仿宋_GB2312"/>
          <w:color w:val="000000"/>
          <w:kern w:val="0"/>
          <w:sz w:val="28"/>
          <w:szCs w:val="28"/>
        </w:rPr>
        <w:t>中标人</w:t>
      </w:r>
      <w:r>
        <w:rPr>
          <w:rFonts w:ascii="仿宋_GB2312" w:hAnsi="仿宋_GB2312" w:eastAsia="仿宋_GB2312" w:cs="仿宋_GB2312"/>
          <w:color w:val="000000"/>
          <w:kern w:val="0"/>
          <w:sz w:val="28"/>
          <w:szCs w:val="28"/>
        </w:rPr>
        <w:t>必须更换设备，并负担由此给</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造成的损失，直到验收合格为止。</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投标人应于投标文件中提供设备的验收标准和检测办法，并在验收中提供</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认可的相应检测手段，验收标准应符合中国有关的国家、地方、行业的标准，如若成交，经</w:t>
      </w:r>
      <w:r>
        <w:rPr>
          <w:rFonts w:hint="eastAsia" w:ascii="仿宋_GB2312" w:hAnsi="仿宋_GB2312" w:eastAsia="仿宋_GB2312" w:cs="仿宋_GB2312"/>
          <w:color w:val="000000"/>
          <w:kern w:val="0"/>
          <w:sz w:val="28"/>
          <w:szCs w:val="28"/>
        </w:rPr>
        <w:t>采购人</w:t>
      </w:r>
      <w:r>
        <w:rPr>
          <w:rFonts w:ascii="仿宋_GB2312" w:hAnsi="仿宋_GB2312" w:eastAsia="仿宋_GB2312" w:cs="仿宋_GB2312"/>
          <w:color w:val="000000"/>
          <w:kern w:val="0"/>
          <w:sz w:val="28"/>
          <w:szCs w:val="28"/>
        </w:rPr>
        <w:t>确认后作为验收的依据。</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3、本次方案为了实现虚拟化环境的快速部署，采用软硬件一体的超融合架构设备，原生集群配置，单个集群可横向扩展，非工业标准服务器现场软硬件组装，快速启用及自动化部署。</w:t>
      </w:r>
    </w:p>
    <w:p>
      <w:pPr>
        <w:tabs>
          <w:tab w:val="left" w:pos="1365"/>
        </w:tabs>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验收费用由</w:t>
      </w:r>
      <w:r>
        <w:rPr>
          <w:rFonts w:hint="eastAsia" w:ascii="仿宋_GB2312" w:hAnsi="仿宋_GB2312" w:eastAsia="仿宋_GB2312" w:cs="仿宋_GB2312"/>
          <w:color w:val="000000"/>
          <w:kern w:val="0"/>
          <w:sz w:val="28"/>
          <w:szCs w:val="28"/>
        </w:rPr>
        <w:t>中标方</w:t>
      </w:r>
      <w:r>
        <w:rPr>
          <w:rFonts w:ascii="仿宋_GB2312" w:hAnsi="仿宋_GB2312" w:eastAsia="仿宋_GB2312" w:cs="仿宋_GB2312"/>
          <w:color w:val="000000"/>
          <w:kern w:val="0"/>
          <w:sz w:val="28"/>
          <w:szCs w:val="28"/>
        </w:rPr>
        <w:t>承担</w:t>
      </w:r>
      <w:r>
        <w:rPr>
          <w:rFonts w:hint="eastAsia" w:ascii="仿宋_GB2312" w:hAnsi="仿宋_GB2312" w:eastAsia="仿宋_GB2312" w:cs="仿宋_GB2312"/>
          <w:color w:val="000000"/>
          <w:kern w:val="0"/>
          <w:sz w:val="28"/>
          <w:szCs w:val="28"/>
        </w:rPr>
        <w:t>。</w:t>
      </w:r>
    </w:p>
    <w:p>
      <w:pPr>
        <w:tabs>
          <w:tab w:val="left" w:pos="1365"/>
        </w:tabs>
        <w:spacing w:line="4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验收在安装方完成安装，中标</w:t>
      </w:r>
      <w:r>
        <w:rPr>
          <w:rFonts w:hint="eastAsia" w:ascii="仿宋_GB2312" w:hAnsi="仿宋_GB2312" w:eastAsia="仿宋_GB2312" w:cs="仿宋_GB2312"/>
          <w:color w:val="000000"/>
          <w:kern w:val="0"/>
          <w:sz w:val="28"/>
          <w:szCs w:val="28"/>
        </w:rPr>
        <w:t>方</w:t>
      </w:r>
      <w:r>
        <w:rPr>
          <w:rFonts w:ascii="仿宋_GB2312" w:hAnsi="仿宋_GB2312" w:eastAsia="仿宋_GB2312" w:cs="仿宋_GB2312"/>
          <w:color w:val="000000"/>
          <w:kern w:val="0"/>
          <w:sz w:val="28"/>
          <w:szCs w:val="28"/>
        </w:rPr>
        <w:t>完成货物调试后进行。</w:t>
      </w:r>
    </w:p>
    <w:p>
      <w:pPr>
        <w:tabs>
          <w:tab w:val="left" w:pos="1365"/>
        </w:tabs>
        <w:spacing w:before="240" w:line="4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六、技术培训</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中标人须对采购人的技术人员培训。投标人须在投标文件中提供详细的培训计划，包括培训内容、培训时间、培训费用等。</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中标人提供的负责培训的人员应具备同类设备三年以上的经验。</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 xml:space="preserve">技术培训费用应包含在投标总价中。    </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技术培训至少应包括下列内容：</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r>
        <w:rPr>
          <w:rFonts w:ascii="仿宋_GB2312" w:hAnsi="仿宋_GB2312" w:eastAsia="仿宋_GB2312" w:cs="仿宋_GB2312"/>
          <w:color w:val="000000"/>
          <w:kern w:val="0"/>
          <w:sz w:val="28"/>
          <w:szCs w:val="28"/>
        </w:rPr>
        <w:t>原理、构成和功能的描述。</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r>
        <w:rPr>
          <w:rFonts w:ascii="仿宋_GB2312" w:hAnsi="仿宋_GB2312" w:eastAsia="仿宋_GB2312" w:cs="仿宋_GB2312"/>
          <w:color w:val="000000"/>
          <w:kern w:val="0"/>
          <w:sz w:val="28"/>
          <w:szCs w:val="28"/>
        </w:rPr>
        <w:t>常见故障的处理或排除。</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r>
        <w:rPr>
          <w:rFonts w:ascii="仿宋_GB2312" w:hAnsi="仿宋_GB2312" w:eastAsia="仿宋_GB2312" w:cs="仿宋_GB2312"/>
          <w:color w:val="000000"/>
          <w:kern w:val="0"/>
          <w:sz w:val="28"/>
          <w:szCs w:val="28"/>
        </w:rPr>
        <w:t>各系统部件（设备）的检查、调整和维护。</w:t>
      </w:r>
    </w:p>
    <w:p>
      <w:pPr>
        <w:ind w:firstLine="537" w:firstLineChars="19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r>
        <w:rPr>
          <w:rFonts w:ascii="仿宋_GB2312" w:hAnsi="仿宋_GB2312" w:eastAsia="仿宋_GB2312" w:cs="仿宋_GB2312"/>
          <w:color w:val="000000"/>
          <w:kern w:val="0"/>
          <w:sz w:val="28"/>
          <w:szCs w:val="28"/>
        </w:rPr>
        <w:t>对使用者关于设备基本操作技能的培训。</w:t>
      </w:r>
    </w:p>
    <w:p>
      <w:pPr>
        <w:ind w:left="420" w:left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七、项目实施人员费用</w:t>
      </w:r>
    </w:p>
    <w:p>
      <w:pPr>
        <w:ind w:firstLine="537" w:firstLineChars="192"/>
      </w:pPr>
      <w:r>
        <w:rPr>
          <w:rFonts w:hint="eastAsia" w:ascii="仿宋_GB2312" w:hAnsi="仿宋_GB2312" w:eastAsia="仿宋_GB2312" w:cs="仿宋_GB2312"/>
          <w:color w:val="000000"/>
          <w:kern w:val="0"/>
          <w:sz w:val="28"/>
          <w:szCs w:val="28"/>
        </w:rPr>
        <w:t>中标方应自行承担选派专业人员的住宿、就餐和交通等费用。</w:t>
      </w:r>
    </w:p>
    <w:p/>
    <w:p>
      <w:pPr>
        <w:spacing w:line="360" w:lineRule="auto"/>
        <w:rPr>
          <w:rFonts w:ascii="仿宋" w:hAnsi="仿宋" w:eastAsia="仿宋" w:cs="仿宋_GB2312"/>
          <w:color w:val="000000"/>
          <w:kern w:val="0"/>
          <w:sz w:val="28"/>
          <w:szCs w:val="28"/>
        </w:rPr>
      </w:pPr>
    </w:p>
    <w:p>
      <w:pPr>
        <w:spacing w:line="360" w:lineRule="auto"/>
        <w:rPr>
          <w:rFonts w:ascii="仿宋" w:hAnsi="仿宋" w:eastAsia="仿宋" w:cs="仿宋_GB2312"/>
          <w:color w:val="000000"/>
          <w:kern w:val="0"/>
          <w:sz w:val="28"/>
          <w:szCs w:val="28"/>
        </w:rPr>
      </w:pPr>
    </w:p>
    <w:p>
      <w:pPr>
        <w:spacing w:line="360" w:lineRule="auto"/>
        <w:rPr>
          <w:rFonts w:ascii="仿宋" w:hAnsi="仿宋" w:eastAsia="仿宋" w:cs="仿宋_GB2312"/>
          <w:color w:val="000000"/>
          <w:kern w:val="0"/>
          <w:sz w:val="28"/>
          <w:szCs w:val="28"/>
        </w:rPr>
      </w:pPr>
    </w:p>
    <w:p>
      <w:pPr>
        <w:spacing w:line="360" w:lineRule="auto"/>
        <w:rPr>
          <w:rFonts w:ascii="仿宋" w:hAnsi="仿宋" w:eastAsia="仿宋" w:cs="仿宋_GB2312"/>
          <w:color w:val="000000"/>
          <w:kern w:val="0"/>
          <w:sz w:val="28"/>
          <w:szCs w:val="28"/>
        </w:rPr>
      </w:pPr>
    </w:p>
    <w:p>
      <w:pPr>
        <w:pStyle w:val="63"/>
        <w:rPr>
          <w:rStyle w:val="124"/>
          <w:rFonts w:ascii="仿宋_GB2312" w:eastAsia="仿宋_GB2312"/>
          <w:b/>
          <w:sz w:val="36"/>
        </w:rPr>
      </w:pPr>
    </w:p>
    <w:p>
      <w:pPr>
        <w:pStyle w:val="63"/>
        <w:rPr>
          <w:rStyle w:val="124"/>
          <w:rFonts w:ascii="仿宋_GB2312" w:eastAsia="仿宋_GB2312"/>
          <w:b/>
          <w:sz w:val="36"/>
        </w:rPr>
      </w:pPr>
      <w:r>
        <w:rPr>
          <w:rStyle w:val="124"/>
          <w:rFonts w:ascii="仿宋_GB2312" w:eastAsia="仿宋_GB2312"/>
          <w:b/>
          <w:sz w:val="36"/>
        </w:rPr>
        <w:t>第</w:t>
      </w:r>
      <w:r>
        <w:rPr>
          <w:rStyle w:val="124"/>
          <w:rFonts w:hint="eastAsia" w:ascii="仿宋_GB2312" w:eastAsia="仿宋_GB2312"/>
          <w:b/>
          <w:sz w:val="36"/>
        </w:rPr>
        <w:t>四</w:t>
      </w:r>
      <w:r>
        <w:rPr>
          <w:rStyle w:val="124"/>
          <w:rFonts w:ascii="仿宋_GB2312" w:eastAsia="仿宋_GB2312"/>
          <w:b/>
          <w:sz w:val="36"/>
        </w:rPr>
        <w:t>部分   投标人须知</w:t>
      </w:r>
      <w:bookmarkEnd w:id="10"/>
    </w:p>
    <w:p>
      <w:pPr>
        <w:autoSpaceDE w:val="0"/>
        <w:autoSpaceDN w:val="0"/>
        <w:adjustRightInd w:val="0"/>
        <w:spacing w:line="360" w:lineRule="auto"/>
        <w:jc w:val="center"/>
        <w:outlineLvl w:val="0"/>
        <w:rPr>
          <w:rFonts w:ascii="仿宋" w:hAnsi="仿宋" w:eastAsia="仿宋" w:cs="Arial"/>
          <w:b/>
          <w:bCs/>
          <w:sz w:val="36"/>
          <w:szCs w:val="36"/>
          <w:lang w:val="zh-CN"/>
        </w:rPr>
      </w:pPr>
    </w:p>
    <w:p>
      <w:pPr>
        <w:spacing w:line="360" w:lineRule="auto"/>
        <w:jc w:val="center"/>
        <w:rPr>
          <w:rFonts w:ascii="仿宋" w:hAnsi="仿宋" w:eastAsia="仿宋" w:cs="仿宋_GB2312"/>
          <w:color w:val="000000"/>
          <w:kern w:val="0"/>
          <w:sz w:val="32"/>
          <w:szCs w:val="32"/>
        </w:rPr>
      </w:pPr>
      <w:bookmarkStart w:id="11" w:name="_Toc243192595"/>
      <w:r>
        <w:rPr>
          <w:rFonts w:ascii="仿宋" w:hAnsi="仿宋" w:eastAsia="仿宋" w:cs="仿宋_GB2312"/>
          <w:color w:val="000000"/>
          <w:kern w:val="0"/>
          <w:sz w:val="32"/>
          <w:szCs w:val="32"/>
        </w:rPr>
        <w:t>前   附  表</w:t>
      </w:r>
      <w:bookmarkEnd w:id="11"/>
    </w:p>
    <w:tbl>
      <w:tblPr>
        <w:tblStyle w:val="66"/>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473"/>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序号</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项  目</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采购人</w:t>
            </w:r>
          </w:p>
        </w:tc>
        <w:tc>
          <w:tcPr>
            <w:tcW w:w="6074"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宁波一院龙山医院医疗健康集团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2</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项目名称</w:t>
            </w:r>
          </w:p>
        </w:tc>
        <w:tc>
          <w:tcPr>
            <w:tcW w:w="6074"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超融合服务器采购项目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3</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招标编号</w:t>
            </w:r>
          </w:p>
        </w:tc>
        <w:tc>
          <w:tcPr>
            <w:tcW w:w="6074"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NBCXZFCG2024028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4</w:t>
            </w:r>
          </w:p>
        </w:tc>
        <w:tc>
          <w:tcPr>
            <w:tcW w:w="247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项目交货及安装地点</w:t>
            </w:r>
          </w:p>
        </w:tc>
        <w:tc>
          <w:tcPr>
            <w:tcW w:w="6074"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宁波一院龙山医院医疗健康集团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5</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供货期限</w:t>
            </w:r>
            <w:r>
              <w:rPr>
                <w:rFonts w:hint="eastAsia" w:ascii="仿宋" w:hAnsi="仿宋" w:eastAsia="仿宋" w:cs="仿宋_GB2312"/>
                <w:color w:val="000000"/>
                <w:kern w:val="0"/>
                <w:sz w:val="24"/>
              </w:rPr>
              <w:t>（含安装调试）</w:t>
            </w:r>
          </w:p>
        </w:tc>
        <w:tc>
          <w:tcPr>
            <w:tcW w:w="6074" w:type="dxa"/>
            <w:vAlign w:val="center"/>
          </w:tcPr>
          <w:p>
            <w:pPr>
              <w:spacing w:line="360" w:lineRule="auto"/>
              <w:jc w:val="center"/>
              <w:rPr>
                <w:rFonts w:ascii="仿宋" w:hAnsi="仿宋" w:eastAsia="仿宋" w:cs="仿宋_GB2312"/>
                <w:kern w:val="0"/>
                <w:sz w:val="24"/>
              </w:rPr>
            </w:pPr>
            <w:r>
              <w:rPr>
                <w:rFonts w:hint="eastAsia" w:ascii="仿宋" w:hAnsi="仿宋" w:eastAsia="仿宋" w:cs="仿宋_GB2312"/>
                <w:kern w:val="0"/>
                <w:sz w:val="24"/>
              </w:rPr>
              <w:t>合同</w:t>
            </w:r>
            <w:r>
              <w:rPr>
                <w:rFonts w:ascii="仿宋" w:hAnsi="仿宋" w:eastAsia="仿宋" w:cs="仿宋_GB2312"/>
                <w:kern w:val="0"/>
                <w:sz w:val="24"/>
              </w:rPr>
              <w:t>签订后</w:t>
            </w:r>
            <w:r>
              <w:rPr>
                <w:rFonts w:hint="eastAsia" w:ascii="仿宋" w:hAnsi="仿宋" w:eastAsia="仿宋" w:cs="仿宋_GB2312"/>
                <w:kern w:val="0"/>
                <w:sz w:val="24"/>
              </w:rPr>
              <w:t>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6</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投标保证金</w:t>
            </w:r>
          </w:p>
        </w:tc>
        <w:tc>
          <w:tcPr>
            <w:tcW w:w="6074"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7</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投标文件的编制</w:t>
            </w:r>
          </w:p>
        </w:tc>
        <w:tc>
          <w:tcPr>
            <w:tcW w:w="6074" w:type="dxa"/>
            <w:vAlign w:val="center"/>
          </w:tcPr>
          <w:p>
            <w:pPr>
              <w:spacing w:line="360" w:lineRule="auto"/>
              <w:ind w:firstLine="480" w:firstLineChars="200"/>
              <w:jc w:val="left"/>
              <w:rPr>
                <w:rFonts w:ascii="仿宋" w:hAnsi="仿宋" w:eastAsia="仿宋" w:cs="仿宋_GB2312"/>
                <w:color w:val="000000"/>
                <w:kern w:val="0"/>
                <w:sz w:val="24"/>
              </w:rPr>
            </w:pPr>
            <w:r>
              <w:rPr>
                <w:rFonts w:ascii="仿宋" w:hAnsi="仿宋" w:eastAsia="仿宋" w:cs="仿宋_GB2312"/>
                <w:color w:val="000000"/>
                <w:kern w:val="0"/>
                <w:sz w:val="24"/>
              </w:rPr>
              <w:t>本项目实行网上投标。</w:t>
            </w:r>
          </w:p>
          <w:p>
            <w:pPr>
              <w:spacing w:line="360" w:lineRule="auto"/>
              <w:ind w:firstLine="480" w:firstLineChars="200"/>
              <w:jc w:val="left"/>
              <w:rPr>
                <w:rFonts w:ascii="仿宋" w:hAnsi="仿宋" w:eastAsia="仿宋" w:cs="仿宋_GB2312"/>
                <w:color w:val="000000"/>
                <w:kern w:val="0"/>
                <w:sz w:val="24"/>
              </w:rPr>
            </w:pPr>
            <w:r>
              <w:rPr>
                <w:rFonts w:ascii="仿宋" w:hAnsi="仿宋" w:eastAsia="仿宋" w:cs="仿宋_GB2312"/>
                <w:color w:val="000000"/>
                <w:kern w:val="0"/>
                <w:sz w:val="24"/>
              </w:rPr>
              <w:t>一、电子投标文件，按政采云平台</w:t>
            </w:r>
            <w:r>
              <w:rPr>
                <w:rFonts w:ascii="仿宋" w:hAnsi="仿宋" w:eastAsia="仿宋" w:cs="仿宋_GB2312"/>
                <w:color w:val="000000"/>
                <w:kern w:val="0"/>
                <w:sz w:val="24"/>
                <w:u w:val="single"/>
              </w:rPr>
              <w:t>项目采购</w:t>
            </w:r>
            <w:r>
              <w:rPr>
                <w:rFonts w:hint="eastAsia" w:ascii="仿宋" w:hAnsi="仿宋" w:eastAsia="仿宋" w:cs="仿宋_GB2312"/>
                <w:color w:val="000000"/>
                <w:kern w:val="0"/>
                <w:sz w:val="24"/>
                <w:u w:val="single"/>
              </w:rPr>
              <w:t>-</w:t>
            </w:r>
            <w:r>
              <w:rPr>
                <w:rFonts w:ascii="仿宋" w:hAnsi="仿宋" w:eastAsia="仿宋" w:cs="仿宋_GB2312"/>
                <w:color w:val="000000"/>
                <w:kern w:val="0"/>
                <w:sz w:val="24"/>
                <w:u w:val="single"/>
              </w:rPr>
              <w:t>电子招投标操作指南</w:t>
            </w:r>
            <w:r>
              <w:rPr>
                <w:rFonts w:ascii="仿宋" w:hAnsi="仿宋" w:eastAsia="仿宋" w:cs="仿宋_GB2312"/>
                <w:color w:val="000000"/>
                <w:kern w:val="0"/>
                <w:sz w:val="24"/>
              </w:rPr>
              <w:t>及本招标文件要求制作、加密并递交</w:t>
            </w:r>
            <w:r>
              <w:rPr>
                <w:rFonts w:hint="eastAsia" w:ascii="仿宋" w:hAnsi="仿宋" w:eastAsia="仿宋" w:cs="仿宋_GB2312"/>
                <w:color w:val="000000"/>
                <w:kern w:val="0"/>
                <w:sz w:val="24"/>
              </w:rPr>
              <w:t>；</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二、</w:t>
            </w:r>
            <w:r>
              <w:rPr>
                <w:rFonts w:ascii="仿宋" w:hAnsi="仿宋" w:eastAsia="仿宋" w:cs="仿宋_GB2312"/>
                <w:color w:val="000000"/>
                <w:kern w:val="0"/>
                <w:sz w:val="24"/>
              </w:rPr>
              <w:t>投标文件均由资格证明、</w:t>
            </w:r>
            <w:r>
              <w:rPr>
                <w:rFonts w:hint="eastAsia" w:ascii="仿宋" w:hAnsi="仿宋" w:eastAsia="仿宋" w:cs="仿宋_GB2312"/>
                <w:color w:val="000000"/>
                <w:kern w:val="0"/>
                <w:sz w:val="24"/>
              </w:rPr>
              <w:t>商务技术和</w:t>
            </w:r>
            <w:r>
              <w:rPr>
                <w:rFonts w:ascii="仿宋" w:hAnsi="仿宋" w:eastAsia="仿宋" w:cs="仿宋_GB2312"/>
                <w:color w:val="000000"/>
                <w:kern w:val="0"/>
                <w:sz w:val="24"/>
              </w:rPr>
              <w:t>报价三部分组成。电子投标文件中所须加盖公章部分均采用CA签章。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8</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投标文件的接收</w:t>
            </w:r>
          </w:p>
        </w:tc>
        <w:tc>
          <w:tcPr>
            <w:tcW w:w="6074" w:type="dxa"/>
            <w:vAlign w:val="center"/>
          </w:tcPr>
          <w:p>
            <w:pPr>
              <w:pStyle w:val="37"/>
              <w:adjustRightInd w:val="0"/>
              <w:snapToGrid w:val="0"/>
              <w:spacing w:before="120" w:after="120" w:line="360" w:lineRule="auto"/>
              <w:ind w:firstLine="360" w:firstLineChars="150"/>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提交的投标、响应文件，将被政采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9</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投标文件提交</w:t>
            </w:r>
          </w:p>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截止时间</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10</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投标文件提交地点</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11</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开标时间</w:t>
            </w:r>
          </w:p>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（投标截止时间）</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12</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开标地点</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13</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投标有效期</w:t>
            </w:r>
          </w:p>
        </w:tc>
        <w:tc>
          <w:tcPr>
            <w:tcW w:w="6074" w:type="dxa"/>
            <w:vAlign w:val="center"/>
          </w:tcPr>
          <w:p>
            <w:pPr>
              <w:widowControl/>
              <w:snapToGrid w:val="0"/>
              <w:spacing w:line="360" w:lineRule="auto"/>
              <w:ind w:left="-2" w:firstLine="436"/>
              <w:jc w:val="center"/>
              <w:rPr>
                <w:rFonts w:ascii="仿宋" w:hAnsi="仿宋" w:eastAsia="仿宋" w:cs="仿宋_GB2312"/>
                <w:color w:val="000000"/>
                <w:kern w:val="0"/>
                <w:sz w:val="24"/>
              </w:rPr>
            </w:pPr>
            <w:r>
              <w:rPr>
                <w:rFonts w:ascii="仿宋" w:hAnsi="仿宋" w:eastAsia="仿宋" w:cs="仿宋_GB2312"/>
                <w:color w:val="000000"/>
                <w:kern w:val="0"/>
                <w:sz w:val="24"/>
              </w:rPr>
              <w:t>自投标文件提交截止之日起90日历天。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14</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质量保证期</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w:t>
            </w:r>
            <w:r>
              <w:rPr>
                <w:rFonts w:hint="eastAsia" w:ascii="仿宋" w:hAnsi="仿宋" w:eastAsia="仿宋" w:cs="仿宋_GB2312"/>
                <w:color w:val="000000"/>
                <w:kern w:val="0"/>
                <w:sz w:val="24"/>
              </w:rPr>
              <w:t>5</w:t>
            </w:r>
          </w:p>
        </w:tc>
        <w:tc>
          <w:tcPr>
            <w:tcW w:w="247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评标办法及标准</w:t>
            </w:r>
          </w:p>
        </w:tc>
        <w:tc>
          <w:tcPr>
            <w:tcW w:w="6074"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w:t>
            </w:r>
            <w:r>
              <w:rPr>
                <w:rFonts w:hint="eastAsia" w:ascii="仿宋" w:hAnsi="仿宋" w:eastAsia="仿宋" w:cs="仿宋_GB2312"/>
                <w:color w:val="000000"/>
                <w:kern w:val="0"/>
                <w:sz w:val="24"/>
              </w:rPr>
              <w:t>6</w:t>
            </w:r>
          </w:p>
        </w:tc>
        <w:tc>
          <w:tcPr>
            <w:tcW w:w="2473" w:type="dxa"/>
            <w:vAlign w:val="center"/>
          </w:tcPr>
          <w:p>
            <w:pPr>
              <w:snapToGrid w:val="0"/>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信用记录</w:t>
            </w:r>
          </w:p>
        </w:tc>
        <w:tc>
          <w:tcPr>
            <w:tcW w:w="6074"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 w:hAnsi="仿宋" w:eastAsia="仿宋" w:cs="Arial"/>
                <w:bCs/>
                <w:sz w:val="24"/>
              </w:rPr>
            </w:pPr>
            <w:r>
              <w:rPr>
                <w:rFonts w:ascii="仿宋" w:hAnsi="仿宋" w:eastAsia="仿宋" w:cs="仿宋_GB2312"/>
                <w:color w:val="000000"/>
                <w:kern w:val="0"/>
                <w:sz w:val="24"/>
              </w:rPr>
              <w:t>1</w:t>
            </w:r>
            <w:r>
              <w:rPr>
                <w:rFonts w:hint="eastAsia" w:ascii="仿宋" w:hAnsi="仿宋" w:eastAsia="仿宋" w:cs="仿宋_GB2312"/>
                <w:color w:val="000000"/>
                <w:kern w:val="0"/>
                <w:sz w:val="24"/>
              </w:rPr>
              <w:t>7</w:t>
            </w:r>
          </w:p>
        </w:tc>
        <w:tc>
          <w:tcPr>
            <w:tcW w:w="2473" w:type="dxa"/>
            <w:vAlign w:val="center"/>
          </w:tcPr>
          <w:p>
            <w:pPr>
              <w:snapToGrid w:val="0"/>
              <w:jc w:val="center"/>
              <w:rPr>
                <w:rFonts w:ascii="仿宋" w:hAnsi="仿宋" w:eastAsia="仿宋" w:cs="仿宋_GB2312"/>
                <w:color w:val="000000"/>
                <w:kern w:val="0"/>
                <w:sz w:val="24"/>
              </w:rPr>
            </w:pPr>
            <w:r>
              <w:rPr>
                <w:rFonts w:ascii="仿宋" w:hAnsi="仿宋" w:eastAsia="仿宋" w:cs="仿宋_GB2312"/>
                <w:color w:val="000000"/>
                <w:kern w:val="0"/>
                <w:sz w:val="24"/>
              </w:rPr>
              <w:t>政府采购节能</w:t>
            </w:r>
          </w:p>
          <w:p>
            <w:pPr>
              <w:snapToGrid w:val="0"/>
              <w:jc w:val="center"/>
              <w:rPr>
                <w:rFonts w:ascii="仿宋" w:hAnsi="仿宋" w:eastAsia="仿宋" w:cs="仿宋_GB2312"/>
                <w:color w:val="000000"/>
                <w:kern w:val="0"/>
                <w:sz w:val="24"/>
              </w:rPr>
            </w:pPr>
            <w:r>
              <w:rPr>
                <w:rFonts w:ascii="仿宋" w:hAnsi="仿宋" w:eastAsia="仿宋" w:cs="仿宋_GB2312"/>
                <w:color w:val="000000"/>
                <w:kern w:val="0"/>
                <w:sz w:val="24"/>
              </w:rPr>
              <w:t>环保产品</w:t>
            </w:r>
          </w:p>
        </w:tc>
        <w:tc>
          <w:tcPr>
            <w:tcW w:w="6074" w:type="dxa"/>
            <w:vAlign w:val="center"/>
          </w:tcPr>
          <w:p>
            <w:pPr>
              <w:snapToGrid w:val="0"/>
              <w:jc w:val="left"/>
              <w:rPr>
                <w:rFonts w:ascii="仿宋" w:hAnsi="仿宋" w:eastAsia="仿宋" w:cs="仿宋_GB2312"/>
                <w:color w:val="000000"/>
                <w:kern w:val="0"/>
                <w:sz w:val="24"/>
              </w:rPr>
            </w:pPr>
            <w:r>
              <w:rPr>
                <w:rFonts w:ascii="仿宋" w:hAnsi="仿宋" w:eastAsia="仿宋" w:cs="仿宋_GB2312"/>
                <w:color w:val="000000"/>
                <w:kern w:val="0"/>
                <w:sz w:val="24"/>
              </w:rPr>
              <w:t>投标产品若属于节能产品的，提供有效期内节能产品认证证书；属于环境标志产品的，提供有效期内环境标志产品认证证书。</w:t>
            </w:r>
          </w:p>
          <w:p>
            <w:pPr>
              <w:snapToGrid w:val="0"/>
              <w:jc w:val="left"/>
              <w:rPr>
                <w:rFonts w:ascii="仿宋" w:hAnsi="仿宋" w:eastAsia="仿宋" w:cs="仿宋_GB2312"/>
                <w:color w:val="000000"/>
                <w:kern w:val="0"/>
                <w:sz w:val="24"/>
              </w:rPr>
            </w:pPr>
            <w:r>
              <w:rPr>
                <w:rFonts w:ascii="仿宋" w:hAnsi="仿宋" w:eastAsia="仿宋" w:cs="仿宋_GB2312"/>
                <w:color w:val="000000"/>
                <w:kern w:val="0"/>
                <w:sz w:val="24"/>
              </w:rPr>
              <w:t>（提供上述有效证书复印件并加盖单位公章）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1</w:t>
            </w:r>
            <w:r>
              <w:rPr>
                <w:rFonts w:hint="eastAsia" w:ascii="仿宋" w:hAnsi="仿宋" w:eastAsia="仿宋" w:cs="仿宋_GB2312"/>
                <w:color w:val="000000"/>
                <w:kern w:val="0"/>
                <w:sz w:val="24"/>
              </w:rPr>
              <w:t>8</w:t>
            </w:r>
          </w:p>
        </w:tc>
        <w:tc>
          <w:tcPr>
            <w:tcW w:w="2473" w:type="dxa"/>
            <w:vAlign w:val="center"/>
          </w:tcPr>
          <w:p>
            <w:pPr>
              <w:snapToGrid w:val="0"/>
              <w:spacing w:line="360" w:lineRule="auto"/>
              <w:jc w:val="center"/>
              <w:rPr>
                <w:rFonts w:ascii="仿宋" w:hAnsi="仿宋" w:eastAsia="仿宋" w:cs="仿宋_GB2312"/>
                <w:color w:val="000000"/>
                <w:kern w:val="0"/>
                <w:sz w:val="24"/>
              </w:rPr>
            </w:pPr>
            <w:r>
              <w:rPr>
                <w:rFonts w:ascii="Arial" w:hAnsi="仿宋" w:eastAsia="仿宋" w:cs="Arial"/>
                <w:sz w:val="24"/>
              </w:rPr>
              <w:t>小微企业有关政策</w:t>
            </w:r>
          </w:p>
        </w:tc>
        <w:tc>
          <w:tcPr>
            <w:tcW w:w="6074" w:type="dxa"/>
            <w:vAlign w:val="center"/>
          </w:tcPr>
          <w:p>
            <w:pPr>
              <w:snapToGrid w:val="0"/>
              <w:spacing w:line="360" w:lineRule="auto"/>
              <w:jc w:val="left"/>
              <w:rPr>
                <w:rFonts w:ascii="Arial" w:hAnsi="仿宋" w:eastAsia="仿宋" w:cs="Arial"/>
                <w:sz w:val="24"/>
              </w:rPr>
            </w:pPr>
            <w:r>
              <w:rPr>
                <w:rFonts w:ascii="Arial" w:hAnsi="仿宋" w:eastAsia="仿宋" w:cs="Arial"/>
                <w:sz w:val="24"/>
              </w:rPr>
              <w:t>1、根据财库〔20</w:t>
            </w:r>
            <w:r>
              <w:rPr>
                <w:rFonts w:hint="eastAsia" w:ascii="Arial" w:hAnsi="仿宋" w:eastAsia="仿宋" w:cs="Arial"/>
                <w:sz w:val="24"/>
              </w:rPr>
              <w:t>22</w:t>
            </w:r>
            <w:r>
              <w:rPr>
                <w:rFonts w:ascii="Arial" w:hAnsi="仿宋" w:eastAsia="仿宋" w:cs="Arial"/>
                <w:sz w:val="24"/>
              </w:rPr>
              <w:t>〕</w:t>
            </w:r>
            <w:r>
              <w:rPr>
                <w:rFonts w:hint="eastAsia" w:ascii="Arial" w:hAnsi="仿宋" w:eastAsia="仿宋" w:cs="Arial"/>
                <w:sz w:val="24"/>
              </w:rPr>
              <w:t>19</w:t>
            </w:r>
            <w:r>
              <w:rPr>
                <w:rFonts w:ascii="Arial" w:hAnsi="仿宋" w:eastAsia="仿宋" w:cs="Arial"/>
                <w:sz w:val="24"/>
              </w:rPr>
              <w:t>号的相关规定，在</w:t>
            </w:r>
            <w:r>
              <w:rPr>
                <w:rFonts w:hint="eastAsia" w:ascii="Arial" w:hAnsi="仿宋" w:eastAsia="仿宋" w:cs="Arial"/>
                <w:sz w:val="24"/>
              </w:rPr>
              <w:t>评审</w:t>
            </w:r>
            <w:r>
              <w:rPr>
                <w:rFonts w:ascii="Arial" w:hAnsi="仿宋" w:eastAsia="仿宋" w:cs="Arial"/>
                <w:sz w:val="24"/>
              </w:rPr>
              <w:t>时对小型和微型企业产品的投标报价给予</w:t>
            </w:r>
            <w:r>
              <w:rPr>
                <w:rFonts w:hint="eastAsia" w:ascii="Arial" w:hAnsi="仿宋" w:eastAsia="仿宋" w:cs="Arial"/>
                <w:sz w:val="24"/>
              </w:rPr>
              <w:t>15</w:t>
            </w:r>
            <w:r>
              <w:rPr>
                <w:rFonts w:ascii="Arial" w:hAnsi="仿宋" w:eastAsia="仿宋" w:cs="Arial"/>
                <w:sz w:val="24"/>
              </w:rPr>
              <w:t>%的扣除，取扣除后的价格作为最终投标报价（此最终投标报价仅作为价格分计算）。属于小型和微型企业的，</w:t>
            </w:r>
            <w:r>
              <w:rPr>
                <w:rFonts w:hint="eastAsia" w:ascii="Arial" w:hAnsi="仿宋" w:eastAsia="仿宋" w:cs="Arial"/>
                <w:sz w:val="24"/>
              </w:rPr>
              <w:t>投标</w:t>
            </w:r>
            <w:r>
              <w:rPr>
                <w:rFonts w:ascii="Arial" w:hAnsi="仿宋" w:eastAsia="仿宋" w:cs="Arial"/>
                <w:sz w:val="24"/>
              </w:rPr>
              <w:t>文件中必须提供《</w:t>
            </w:r>
            <w:r>
              <w:rPr>
                <w:rFonts w:hint="eastAsia" w:ascii="Arial" w:hAnsi="仿宋" w:eastAsia="仿宋" w:cs="Arial"/>
                <w:sz w:val="24"/>
              </w:rPr>
              <w:t>中小</w:t>
            </w:r>
            <w:r>
              <w:rPr>
                <w:rFonts w:ascii="Arial" w:hAnsi="仿宋" w:eastAsia="仿宋" w:cs="Arial"/>
                <w:sz w:val="24"/>
              </w:rPr>
              <w:t>企业声明函》（格式见附件）。(注：未提供以上材料的，均不给予价格扣除）</w:t>
            </w:r>
          </w:p>
          <w:p>
            <w:pPr>
              <w:snapToGrid w:val="0"/>
              <w:spacing w:line="360" w:lineRule="auto"/>
              <w:jc w:val="left"/>
              <w:rPr>
                <w:rFonts w:ascii="仿宋" w:hAnsi="仿宋" w:eastAsia="仿宋" w:cs="仿宋_GB2312"/>
                <w:color w:val="000000"/>
                <w:kern w:val="0"/>
                <w:sz w:val="24"/>
              </w:rPr>
            </w:pPr>
            <w:r>
              <w:rPr>
                <w:rFonts w:ascii="Arial" w:hAnsi="仿宋" w:eastAsia="仿宋" w:cs="Arial"/>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w:t>
            </w:r>
            <w:r>
              <w:rPr>
                <w:rFonts w:hint="eastAsia" w:ascii="Arial" w:hAnsi="仿宋" w:eastAsia="仿宋" w:cs="Arial"/>
                <w:sz w:val="24"/>
              </w:rPr>
              <w:t>投标</w:t>
            </w:r>
            <w:r>
              <w:rPr>
                <w:rFonts w:ascii="Arial" w:hAnsi="仿宋" w:eastAsia="仿宋" w:cs="Arial"/>
                <w:sz w:val="24"/>
              </w:rPr>
              <w:t>文件中提供残疾人福利性单位声明函（格式见附件）。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19</w:t>
            </w:r>
          </w:p>
        </w:tc>
        <w:tc>
          <w:tcPr>
            <w:tcW w:w="2473" w:type="dxa"/>
            <w:vAlign w:val="center"/>
          </w:tcPr>
          <w:p>
            <w:pPr>
              <w:snapToGrid w:val="0"/>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本次招标有关信息公告媒体</w:t>
            </w:r>
          </w:p>
        </w:tc>
        <w:tc>
          <w:tcPr>
            <w:tcW w:w="6074" w:type="dxa"/>
            <w:vAlign w:val="center"/>
          </w:tcPr>
          <w:p>
            <w:pPr>
              <w:spacing w:line="360" w:lineRule="auto"/>
              <w:rPr>
                <w:rFonts w:ascii="仿宋" w:hAnsi="仿宋" w:eastAsia="仿宋" w:cs="仿宋_GB2312"/>
                <w:kern w:val="0"/>
                <w:sz w:val="24"/>
              </w:rPr>
            </w:pPr>
            <w:r>
              <w:rPr>
                <w:rFonts w:ascii="仿宋" w:hAnsi="仿宋" w:eastAsia="仿宋" w:cs="仿宋_GB2312"/>
                <w:kern w:val="0"/>
                <w:sz w:val="24"/>
              </w:rPr>
              <w:t>浙江政府采购网</w:t>
            </w:r>
          </w:p>
          <w:p>
            <w:pPr>
              <w:snapToGrid w:val="0"/>
              <w:spacing w:line="360" w:lineRule="auto"/>
              <w:jc w:val="left"/>
              <w:rPr>
                <w:rFonts w:ascii="仿宋" w:hAnsi="仿宋" w:eastAsia="仿宋" w:cs="仿宋_GB2312"/>
                <w:kern w:val="0"/>
                <w:sz w:val="24"/>
              </w:rPr>
            </w:pPr>
            <w:r>
              <w:rPr>
                <w:rFonts w:hint="eastAsia" w:ascii="仿宋" w:hAnsi="仿宋" w:eastAsia="仿宋" w:cs="仿宋_GB2312"/>
                <w:kern w:val="0"/>
                <w:sz w:val="24"/>
              </w:rPr>
              <w:t>宁波市政务服务办公室-宁波市公共资源交易电子服务系统（慈溪）</w:t>
            </w:r>
          </w:p>
          <w:p>
            <w:pPr>
              <w:snapToGrid w:val="0"/>
              <w:spacing w:line="360" w:lineRule="auto"/>
              <w:jc w:val="left"/>
              <w:rPr>
                <w:rFonts w:ascii="仿宋" w:hAnsi="仿宋" w:eastAsia="仿宋" w:cs="仿宋_GB2312"/>
                <w:color w:val="000000"/>
                <w:kern w:val="0"/>
                <w:sz w:val="24"/>
              </w:rPr>
            </w:pPr>
            <w:r>
              <w:rPr>
                <w:rFonts w:ascii="仿宋" w:hAnsi="仿宋" w:eastAsia="仿宋" w:cs="仿宋_GB2312"/>
                <w:color w:val="000000"/>
                <w:kern w:val="0"/>
                <w:sz w:val="24"/>
              </w:rPr>
              <w:t>请供应商随时关注本项目自发布采购公告后后续可能出现的修改通知，澄清说明等等，如有错过，后果自负。</w:t>
            </w:r>
          </w:p>
        </w:tc>
      </w:tr>
    </w:tbl>
    <w:p>
      <w:pPr>
        <w:spacing w:line="360" w:lineRule="auto"/>
        <w:outlineLvl w:val="1"/>
        <w:rPr>
          <w:rFonts w:ascii="仿宋" w:hAnsi="仿宋" w:eastAsia="仿宋" w:cs="Arial"/>
          <w:b/>
          <w:sz w:val="28"/>
          <w:szCs w:val="28"/>
        </w:rPr>
      </w:pPr>
      <w:bookmarkStart w:id="12" w:name="_Toc360457873"/>
      <w:bookmarkStart w:id="13" w:name="_Toc345423462"/>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r>
        <w:rPr>
          <w:rFonts w:ascii="仿宋" w:hAnsi="仿宋" w:eastAsia="仿宋" w:cs="仿宋_GB2312"/>
          <w:b w:val="0"/>
          <w:bCs w:val="0"/>
          <w:color w:val="000000"/>
          <w:kern w:val="0"/>
          <w:sz w:val="28"/>
          <w:szCs w:val="28"/>
        </w:rPr>
        <w:t>一、总则</w:t>
      </w:r>
      <w:bookmarkEnd w:id="12"/>
      <w:bookmarkEnd w:id="13"/>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（一）适用范围</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本招标文件适用于本项目投标、评标、定标、验收、合同履约、付款等行为（法律、法规另有规定的，从其规定）。</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（二）定义</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1、“招标方”系指组织本项目采购的慈溪市</w:t>
      </w:r>
      <w:r>
        <w:rPr>
          <w:rFonts w:hint="eastAsia" w:ascii="仿宋" w:hAnsi="仿宋" w:eastAsia="仿宋" w:cs="仿宋_GB2312"/>
          <w:color w:val="000000"/>
          <w:kern w:val="0"/>
          <w:sz w:val="28"/>
          <w:szCs w:val="28"/>
        </w:rPr>
        <w:t>政府采购</w:t>
      </w:r>
      <w:r>
        <w:rPr>
          <w:rFonts w:ascii="仿宋" w:hAnsi="仿宋" w:eastAsia="仿宋" w:cs="仿宋_GB2312"/>
          <w:color w:val="000000"/>
          <w:kern w:val="0"/>
          <w:sz w:val="28"/>
          <w:szCs w:val="28"/>
        </w:rPr>
        <w:t>中心。</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2、“投标人”系指向招标方提交投标文件的供应商。</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3、“采购人” 系指委托招标方采购本次项目的国家机关、事业单位和团体组织。</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4、“货物”系指招标文件规定投标人须向采购人提供的一切材料、设备、机械、仪器仪表、工具及其它有关技术资料和文字材料。</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5、“服务”系指招标文件规定投标人须承担的安装、调试、技术协助、校准、培训、技术指导以及其他类似的义务。</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6、“项目”系指投标人按招标文件规定向采购人提供的需求总称。</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7、“★”系指实质性要求条款。</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（三）合格的投标货物或服务</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应该是中国境内提供的投标货物或服务。</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若投标货物或服务属于国家实行许可证制度或生产注册证制度的货物或服务，则应具备相应有效的证书。</w:t>
      </w:r>
    </w:p>
    <w:p>
      <w:pPr>
        <w:spacing w:line="360" w:lineRule="auto"/>
        <w:ind w:left="560"/>
        <w:rPr>
          <w:rFonts w:ascii="仿宋" w:hAnsi="仿宋" w:eastAsia="仿宋" w:cs="仿宋_GB2312"/>
          <w:color w:val="000000"/>
          <w:kern w:val="0"/>
          <w:sz w:val="28"/>
          <w:szCs w:val="28"/>
        </w:rPr>
      </w:pPr>
      <w:r>
        <w:rPr>
          <w:rFonts w:ascii="仿宋" w:hAnsi="仿宋" w:eastAsia="仿宋" w:cs="仿宋_GB2312"/>
          <w:color w:val="000000"/>
          <w:kern w:val="0"/>
          <w:sz w:val="28"/>
          <w:szCs w:val="28"/>
        </w:rPr>
        <w:t>（四）合格的投标人</w:t>
      </w:r>
    </w:p>
    <w:p>
      <w:pPr>
        <w:spacing w:line="360" w:lineRule="auto"/>
        <w:ind w:left="481" w:leftChars="229" w:firstLine="140" w:firstLineChars="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符合《中华人民共和国政府采购法》第二十二条规定的条件；</w:t>
      </w:r>
    </w:p>
    <w:p>
      <w:pPr>
        <w:spacing w:line="360" w:lineRule="auto"/>
        <w:ind w:left="481" w:leftChars="229" w:firstLine="140" w:firstLineChars="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符合本招标文件招标公告中规定的资格要求。</w:t>
      </w:r>
    </w:p>
    <w:p>
      <w:pPr>
        <w:spacing w:line="360" w:lineRule="auto"/>
        <w:ind w:firstLine="560" w:firstLineChars="200"/>
        <w:rPr>
          <w:rFonts w:ascii="仿宋" w:hAnsi="仿宋" w:eastAsia="仿宋" w:cs="仿宋_GB2312"/>
          <w:color w:val="000000"/>
          <w:kern w:val="0"/>
          <w:sz w:val="28"/>
          <w:szCs w:val="28"/>
        </w:rPr>
      </w:pPr>
      <w:bookmarkStart w:id="14" w:name="_Toc304292180"/>
      <w:bookmarkStart w:id="15" w:name="_Toc317685562"/>
      <w:r>
        <w:rPr>
          <w:rFonts w:ascii="仿宋" w:hAnsi="仿宋" w:eastAsia="仿宋" w:cs="仿宋_GB2312"/>
          <w:color w:val="000000"/>
          <w:kern w:val="0"/>
          <w:sz w:val="28"/>
          <w:szCs w:val="28"/>
        </w:rPr>
        <w:t>（五）投标委</w:t>
      </w:r>
      <w:bookmarkEnd w:id="14"/>
      <w:bookmarkEnd w:id="15"/>
      <w:r>
        <w:rPr>
          <w:rFonts w:ascii="仿宋" w:hAnsi="仿宋" w:eastAsia="仿宋" w:cs="仿宋_GB2312"/>
          <w:color w:val="000000"/>
          <w:kern w:val="0"/>
          <w:sz w:val="28"/>
          <w:szCs w:val="28"/>
        </w:rPr>
        <w:t>托有关说明</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、单位负责人为同一人或者存在直接控股、管理关系的不同供应商，不得参加同一合同项下的政府采购活动。</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、除单一来源外，为项目提供整体设计、规范编制或者项目管理、监理、检测等服务的供应商不得参加同一合同项下的政府采购活动。</w:t>
      </w:r>
    </w:p>
    <w:p>
      <w:pPr>
        <w:pStyle w:val="37"/>
        <w:snapToGrid w:val="0"/>
        <w:spacing w:line="360" w:lineRule="auto"/>
        <w:ind w:left="2" w:leftChars="1" w:firstLine="560" w:firstLineChars="200"/>
        <w:rPr>
          <w:rFonts w:ascii="仿宋" w:hAnsi="仿宋" w:eastAsia="仿宋" w:cs="仿宋_GB2312"/>
          <w:color w:val="000000"/>
          <w:kern w:val="0"/>
          <w:szCs w:val="28"/>
        </w:rPr>
      </w:pPr>
      <w:r>
        <w:rPr>
          <w:rFonts w:hint="eastAsia" w:ascii="仿宋" w:hAnsi="仿宋" w:eastAsia="仿宋" w:cs="仿宋_GB2312"/>
          <w:color w:val="000000"/>
          <w:kern w:val="0"/>
          <w:szCs w:val="28"/>
        </w:rPr>
        <w:t>3</w:t>
      </w:r>
      <w:r>
        <w:rPr>
          <w:rFonts w:ascii="仿宋" w:hAnsi="仿宋" w:eastAsia="仿宋" w:cs="仿宋_GB2312"/>
          <w:color w:val="000000"/>
          <w:kern w:val="0"/>
          <w:szCs w:val="28"/>
        </w:rPr>
        <w:t>、投标人应仔细阅读招标文件的所有内容，按照招标文件的要求提交投标文件，并对所提供的全部资料的真实性承担法律责任。</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（六）投标费用</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无论投标过程和结果如何，投标人自行承担与投标活动有关的全部费用。</w:t>
      </w:r>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bookmarkStart w:id="16" w:name="_Toc360457874"/>
      <w:bookmarkStart w:id="17" w:name="_Toc345423463"/>
      <w:r>
        <w:rPr>
          <w:rFonts w:ascii="仿宋" w:hAnsi="仿宋" w:eastAsia="仿宋" w:cs="仿宋_GB2312"/>
          <w:b w:val="0"/>
          <w:bCs w:val="0"/>
          <w:color w:val="000000"/>
          <w:kern w:val="0"/>
          <w:sz w:val="28"/>
          <w:szCs w:val="28"/>
        </w:rPr>
        <w:t>二、招标文件的说明</w:t>
      </w:r>
      <w:bookmarkEnd w:id="16"/>
      <w:bookmarkEnd w:id="17"/>
    </w:p>
    <w:p>
      <w:pPr>
        <w:spacing w:line="360" w:lineRule="auto"/>
        <w:ind w:firstLine="420" w:firstLineChars="1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（一）</w:t>
      </w:r>
      <w:r>
        <w:rPr>
          <w:rFonts w:ascii="仿宋" w:hAnsi="仿宋" w:eastAsia="仿宋" w:cs="仿宋_GB2312"/>
          <w:color w:val="000000"/>
          <w:kern w:val="0"/>
          <w:sz w:val="28"/>
          <w:szCs w:val="28"/>
        </w:rPr>
        <w:t>招标文件的</w:t>
      </w:r>
      <w:r>
        <w:rPr>
          <w:rFonts w:hint="eastAsia" w:ascii="仿宋" w:hAnsi="仿宋" w:eastAsia="仿宋" w:cs="仿宋_GB2312"/>
          <w:color w:val="000000"/>
          <w:kern w:val="0"/>
          <w:sz w:val="28"/>
          <w:szCs w:val="28"/>
        </w:rPr>
        <w:t>组成</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1、招标公告；</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2、招标需求；</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3、商务条款；</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w:t>
      </w:r>
      <w:r>
        <w:rPr>
          <w:rFonts w:ascii="仿宋" w:hAnsi="仿宋" w:eastAsia="仿宋" w:cs="仿宋_GB2312"/>
          <w:color w:val="000000"/>
          <w:kern w:val="0"/>
          <w:sz w:val="28"/>
          <w:szCs w:val="28"/>
        </w:rPr>
        <w:t>、投标人须知；</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w:t>
      </w:r>
      <w:r>
        <w:rPr>
          <w:rFonts w:ascii="仿宋" w:hAnsi="仿宋" w:eastAsia="仿宋" w:cs="仿宋_GB2312"/>
          <w:color w:val="000000"/>
          <w:kern w:val="0"/>
          <w:sz w:val="28"/>
          <w:szCs w:val="28"/>
        </w:rPr>
        <w:t>、开标</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评标和定标；</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6、评标办法及评分标准；</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7</w:t>
      </w:r>
      <w:r>
        <w:rPr>
          <w:rFonts w:ascii="仿宋" w:hAnsi="仿宋" w:eastAsia="仿宋" w:cs="仿宋_GB2312"/>
          <w:color w:val="000000"/>
          <w:kern w:val="0"/>
          <w:sz w:val="28"/>
          <w:szCs w:val="28"/>
        </w:rPr>
        <w:t>、</w:t>
      </w:r>
      <w:r>
        <w:rPr>
          <w:rFonts w:hint="eastAsia" w:ascii="仿宋" w:hAnsi="仿宋" w:eastAsia="仿宋" w:cs="仿宋_GB2312"/>
          <w:color w:val="000000"/>
          <w:kern w:val="0"/>
          <w:sz w:val="28"/>
          <w:szCs w:val="28"/>
        </w:rPr>
        <w:t>拟签订合同样本</w:t>
      </w:r>
      <w:r>
        <w:rPr>
          <w:rFonts w:ascii="仿宋" w:hAnsi="仿宋" w:eastAsia="仿宋" w:cs="仿宋_GB2312"/>
          <w:color w:val="000000"/>
          <w:kern w:val="0"/>
          <w:sz w:val="28"/>
          <w:szCs w:val="28"/>
        </w:rPr>
        <w:t>；</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8</w:t>
      </w:r>
      <w:r>
        <w:rPr>
          <w:rFonts w:ascii="仿宋" w:hAnsi="仿宋" w:eastAsia="仿宋" w:cs="仿宋_GB2312"/>
          <w:color w:val="000000"/>
          <w:kern w:val="0"/>
          <w:sz w:val="28"/>
          <w:szCs w:val="28"/>
        </w:rPr>
        <w:t>、投标文件格式；</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hint="eastAsia" w:ascii="仿宋" w:hAnsi="仿宋" w:eastAsia="仿宋" w:cs="仿宋_GB2312"/>
          <w:color w:val="000000"/>
          <w:kern w:val="0"/>
          <w:sz w:val="28"/>
          <w:szCs w:val="28"/>
        </w:rPr>
        <w:t>或</w:t>
      </w:r>
      <w:r>
        <w:rPr>
          <w:rFonts w:hint="eastAsia" w:ascii="仿宋" w:hAnsi="仿宋" w:eastAsia="仿宋" w:cs="仿宋_GB2312"/>
          <w:color w:val="000000"/>
          <w:kern w:val="0"/>
          <w:sz w:val="28"/>
          <w:szCs w:val="28"/>
          <w:u w:val="single"/>
        </w:rPr>
        <w:t>电子投标文件内容未指向指定链接、模块，导致投标文件被误读、漏读或者查找不到相关内容的</w:t>
      </w:r>
      <w:r>
        <w:rPr>
          <w:rFonts w:ascii="仿宋" w:hAnsi="仿宋" w:eastAsia="仿宋" w:cs="仿宋_GB2312"/>
          <w:color w:val="000000"/>
          <w:kern w:val="0"/>
          <w:sz w:val="28"/>
          <w:szCs w:val="28"/>
          <w:u w:val="single"/>
        </w:rPr>
        <w:t>，</w:t>
      </w:r>
      <w:r>
        <w:rPr>
          <w:rFonts w:hint="eastAsia" w:ascii="仿宋" w:hAnsi="仿宋" w:eastAsia="仿宋" w:cs="仿宋_GB2312"/>
          <w:color w:val="000000"/>
          <w:kern w:val="0"/>
          <w:sz w:val="28"/>
          <w:szCs w:val="28"/>
          <w:u w:val="single"/>
        </w:rPr>
        <w:t>由投标人自行承担可能被视作无效标的风险</w:t>
      </w:r>
      <w:r>
        <w:rPr>
          <w:rFonts w:ascii="仿宋" w:hAnsi="仿宋" w:eastAsia="仿宋" w:cs="仿宋_GB2312"/>
          <w:color w:val="000000"/>
          <w:kern w:val="0"/>
          <w:sz w:val="28"/>
          <w:szCs w:val="28"/>
          <w:u w:val="single"/>
        </w:rPr>
        <w:t>。没有实质性响应招标文件要求的投标将</w:t>
      </w:r>
      <w:r>
        <w:rPr>
          <w:rFonts w:hint="eastAsia" w:ascii="仿宋" w:hAnsi="仿宋" w:eastAsia="仿宋" w:cs="仿宋_GB2312"/>
          <w:color w:val="000000"/>
          <w:kern w:val="0"/>
          <w:sz w:val="28"/>
          <w:szCs w:val="28"/>
          <w:u w:val="single"/>
        </w:rPr>
        <w:t>作</w:t>
      </w:r>
      <w:r>
        <w:rPr>
          <w:rFonts w:ascii="仿宋" w:hAnsi="仿宋" w:eastAsia="仿宋" w:cs="仿宋_GB2312"/>
          <w:color w:val="000000"/>
          <w:kern w:val="0"/>
          <w:sz w:val="28"/>
          <w:szCs w:val="28"/>
          <w:u w:val="single"/>
        </w:rPr>
        <w:t>无效标处理。</w:t>
      </w:r>
    </w:p>
    <w:p>
      <w:pPr>
        <w:spacing w:line="360" w:lineRule="auto"/>
        <w:ind w:firstLine="420" w:firstLineChars="1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（二）</w:t>
      </w:r>
      <w:r>
        <w:rPr>
          <w:rFonts w:ascii="仿宋" w:hAnsi="仿宋" w:eastAsia="仿宋" w:cs="仿宋_GB2312"/>
          <w:color w:val="000000"/>
          <w:kern w:val="0"/>
          <w:sz w:val="28"/>
          <w:szCs w:val="28"/>
        </w:rPr>
        <w:t>招标文件的澄清与修改</w:t>
      </w:r>
    </w:p>
    <w:p>
      <w:pPr>
        <w:pStyle w:val="37"/>
        <w:snapToGrid w:val="0"/>
        <w:spacing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政府采购网”政采云平台上发布更正公告。逾期提出招标方将不予受理。</w:t>
      </w:r>
    </w:p>
    <w:p>
      <w:pPr>
        <w:pStyle w:val="37"/>
        <w:snapToGrid w:val="0"/>
        <w:spacing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2、招标方主动进行的澄清、修改：招标方无论出于何种原因，均可主动对招标文件中的相关事项，用</w:t>
      </w:r>
      <w:r>
        <w:rPr>
          <w:rFonts w:hint="eastAsia" w:ascii="仿宋" w:hAnsi="仿宋" w:eastAsia="仿宋" w:cs="仿宋_GB2312"/>
          <w:color w:val="000000"/>
          <w:kern w:val="0"/>
          <w:szCs w:val="28"/>
        </w:rPr>
        <w:t>补充</w:t>
      </w:r>
      <w:r>
        <w:rPr>
          <w:rFonts w:ascii="仿宋" w:hAnsi="仿宋" w:eastAsia="仿宋" w:cs="仿宋_GB2312"/>
          <w:color w:val="000000"/>
          <w:kern w:val="0"/>
          <w:szCs w:val="28"/>
        </w:rPr>
        <w:t>公告等方式进行澄清和修改。</w:t>
      </w:r>
    </w:p>
    <w:p>
      <w:pPr>
        <w:pStyle w:val="37"/>
        <w:snapToGrid w:val="0"/>
        <w:spacing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hint="eastAsia" w:ascii="仿宋" w:hAnsi="仿宋" w:eastAsia="仿宋" w:cs="仿宋_GB2312"/>
          <w:color w:val="000000"/>
          <w:kern w:val="0"/>
          <w:szCs w:val="28"/>
        </w:rPr>
        <w:t>内容</w:t>
      </w:r>
      <w:r>
        <w:rPr>
          <w:rFonts w:ascii="仿宋" w:hAnsi="仿宋" w:eastAsia="仿宋" w:cs="仿宋_GB2312"/>
          <w:color w:val="000000"/>
          <w:kern w:val="0"/>
          <w:szCs w:val="28"/>
        </w:rPr>
        <w:t>为准。</w:t>
      </w:r>
    </w:p>
    <w:p>
      <w:pPr>
        <w:pStyle w:val="37"/>
        <w:snapToGrid w:val="0"/>
        <w:spacing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4、招标人可以对已发出的招标文件进行必要的澄清或者修改，将以“澄清公告”的形式发布在“浙江政府采购网”政采云平台上，供应商应及时登录政采云平台查看和下载，未及时查看和下载的责任自负。</w:t>
      </w:r>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bookmarkStart w:id="18" w:name="_Toc345423464"/>
      <w:bookmarkStart w:id="19" w:name="_Toc360457875"/>
      <w:r>
        <w:rPr>
          <w:rFonts w:ascii="仿宋" w:hAnsi="仿宋" w:eastAsia="仿宋" w:cs="仿宋_GB2312"/>
          <w:b w:val="0"/>
          <w:bCs w:val="0"/>
          <w:color w:val="000000"/>
          <w:kern w:val="0"/>
          <w:sz w:val="28"/>
          <w:szCs w:val="28"/>
        </w:rPr>
        <w:t>三、投标文件</w:t>
      </w:r>
      <w:bookmarkEnd w:id="18"/>
      <w:bookmarkEnd w:id="19"/>
    </w:p>
    <w:p>
      <w:pPr>
        <w:snapToGrid w:val="0"/>
        <w:spacing w:line="360" w:lineRule="auto"/>
        <w:ind w:firstLine="411" w:firstLineChars="147"/>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（一）电子投标文件，按“政采云供应商项目采购-电子招投标操作指南”及本招标文件要求制作、加密并递交。</w:t>
      </w:r>
    </w:p>
    <w:p>
      <w:pPr>
        <w:spacing w:line="360" w:lineRule="auto"/>
        <w:ind w:firstLine="411" w:firstLineChars="147"/>
        <w:rPr>
          <w:rFonts w:ascii="仿宋" w:hAnsi="仿宋" w:eastAsia="仿宋" w:cs="仿宋_GB2312"/>
          <w:color w:val="000000"/>
          <w:kern w:val="0"/>
          <w:sz w:val="28"/>
          <w:szCs w:val="28"/>
        </w:rPr>
      </w:pPr>
      <w:r>
        <w:rPr>
          <w:rFonts w:ascii="仿宋" w:hAnsi="仿宋" w:eastAsia="仿宋" w:cs="仿宋_GB2312"/>
          <w:color w:val="000000"/>
          <w:kern w:val="0"/>
          <w:sz w:val="28"/>
          <w:szCs w:val="28"/>
        </w:rPr>
        <w:t>（二）投标文件的组成</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投标文件均由</w:t>
      </w:r>
      <w:r>
        <w:rPr>
          <w:rFonts w:hint="eastAsia" w:ascii="仿宋" w:hAnsi="仿宋" w:eastAsia="仿宋" w:cs="仿宋_GB2312"/>
          <w:color w:val="000000"/>
          <w:kern w:val="0"/>
          <w:sz w:val="28"/>
          <w:szCs w:val="28"/>
        </w:rPr>
        <w:t>资格证明</w:t>
      </w:r>
      <w:r>
        <w:rPr>
          <w:rFonts w:ascii="仿宋" w:hAnsi="仿宋" w:eastAsia="仿宋" w:cs="仿宋_GB2312"/>
          <w:color w:val="000000"/>
          <w:kern w:val="0"/>
          <w:sz w:val="28"/>
          <w:szCs w:val="28"/>
        </w:rPr>
        <w:t>、商务</w:t>
      </w:r>
      <w:r>
        <w:rPr>
          <w:rFonts w:hint="eastAsia" w:ascii="仿宋" w:hAnsi="仿宋" w:eastAsia="仿宋" w:cs="仿宋_GB2312"/>
          <w:color w:val="000000"/>
          <w:kern w:val="0"/>
          <w:sz w:val="28"/>
          <w:szCs w:val="28"/>
        </w:rPr>
        <w:t>技术</w:t>
      </w:r>
      <w:r>
        <w:rPr>
          <w:rFonts w:ascii="仿宋" w:hAnsi="仿宋" w:eastAsia="仿宋" w:cs="仿宋_GB2312"/>
          <w:color w:val="000000"/>
          <w:kern w:val="0"/>
          <w:sz w:val="28"/>
          <w:szCs w:val="28"/>
        </w:rPr>
        <w:t>和报价三部分组成。其中电子投标文件中所须加盖公章部分均采用CA签章。</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1、资格证明文件包括：</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1.1</w:t>
      </w:r>
      <w:r>
        <w:rPr>
          <w:rFonts w:ascii="仿宋" w:hAnsi="仿宋" w:eastAsia="仿宋" w:cs="仿宋_GB2312"/>
          <w:color w:val="000000"/>
          <w:kern w:val="0"/>
          <w:sz w:val="28"/>
          <w:szCs w:val="28"/>
        </w:rPr>
        <w:t>封面；</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1.2</w:t>
      </w:r>
      <w:r>
        <w:rPr>
          <w:rFonts w:ascii="仿宋" w:hAnsi="仿宋" w:eastAsia="仿宋" w:cs="仿宋_GB2312"/>
          <w:color w:val="000000"/>
          <w:kern w:val="0"/>
          <w:sz w:val="28"/>
          <w:szCs w:val="28"/>
        </w:rPr>
        <w:t>目录；</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w:t>
      </w:r>
      <w:r>
        <w:rPr>
          <w:rFonts w:ascii="仿宋" w:hAnsi="仿宋" w:eastAsia="仿宋" w:cs="仿宋_GB2312"/>
          <w:color w:val="000000"/>
          <w:kern w:val="0"/>
          <w:sz w:val="28"/>
          <w:szCs w:val="28"/>
        </w:rPr>
        <w:t>投标函（格式见附件，</w:t>
      </w:r>
      <w:r>
        <w:rPr>
          <w:rFonts w:ascii="仿宋" w:hAnsi="仿宋" w:eastAsia="仿宋" w:cs="仿宋_GB2312"/>
          <w:color w:val="000000"/>
          <w:kern w:val="0"/>
          <w:sz w:val="28"/>
          <w:szCs w:val="28"/>
          <w:u w:val="single"/>
        </w:rPr>
        <w:t>未按附件格式内容提供的视为资格审查未通过</w:t>
      </w:r>
      <w:r>
        <w:rPr>
          <w:rFonts w:hint="eastAsia" w:ascii="仿宋" w:hAnsi="仿宋" w:eastAsia="仿宋" w:cs="仿宋_GB2312"/>
          <w:color w:val="000000"/>
          <w:kern w:val="0"/>
          <w:sz w:val="28"/>
          <w:szCs w:val="28"/>
          <w:u w:val="single"/>
        </w:rPr>
        <w:t>，</w:t>
      </w:r>
      <w:r>
        <w:rPr>
          <w:rFonts w:ascii="仿宋" w:hAnsi="仿宋" w:eastAsia="仿宋" w:cs="仿宋_GB2312"/>
          <w:color w:val="000000"/>
          <w:kern w:val="0"/>
          <w:sz w:val="28"/>
          <w:szCs w:val="28"/>
          <w:u w:val="single"/>
        </w:rPr>
        <w:t>将作无效标处理</w:t>
      </w:r>
      <w:r>
        <w:rPr>
          <w:rFonts w:ascii="仿宋" w:hAnsi="仿宋" w:eastAsia="仿宋" w:cs="仿宋_GB2312"/>
          <w:color w:val="000000"/>
          <w:kern w:val="0"/>
          <w:sz w:val="28"/>
          <w:szCs w:val="28"/>
        </w:rPr>
        <w:t>）；</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1.4</w:t>
      </w:r>
      <w:r>
        <w:rPr>
          <w:rFonts w:ascii="仿宋" w:hAnsi="仿宋" w:eastAsia="仿宋" w:cs="仿宋_GB2312"/>
          <w:color w:val="000000"/>
          <w:kern w:val="0"/>
          <w:sz w:val="28"/>
          <w:szCs w:val="28"/>
        </w:rPr>
        <w:t>提供有效的营业执照复印件（加盖投标人单位公章）；</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1.5</w:t>
      </w:r>
      <w:r>
        <w:rPr>
          <w:rFonts w:ascii="仿宋" w:hAnsi="仿宋" w:eastAsia="仿宋" w:cs="仿宋_GB2312"/>
          <w:color w:val="000000"/>
          <w:kern w:val="0"/>
          <w:sz w:val="28"/>
          <w:szCs w:val="28"/>
        </w:rPr>
        <w:t>法定代表人/负责人授权书（格式见附件，</w:t>
      </w:r>
      <w:r>
        <w:rPr>
          <w:rFonts w:ascii="仿宋" w:hAnsi="仿宋" w:eastAsia="仿宋" w:cs="仿宋_GB2312"/>
          <w:color w:val="000000"/>
          <w:kern w:val="0"/>
          <w:sz w:val="28"/>
          <w:szCs w:val="28"/>
          <w:u w:val="single"/>
        </w:rPr>
        <w:t>注意按要求签署盖章</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如供应商代表是法定代表人／负责人的，提供法定代表人／负责人身份证复印件即可）；</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1.6投标人须通过“信用中国”网站、中国政府采购网信用查询，</w:t>
      </w:r>
      <w:r>
        <w:rPr>
          <w:rFonts w:ascii="仿宋" w:hAnsi="仿宋" w:eastAsia="仿宋" w:cs="仿宋_GB2312"/>
          <w:color w:val="000000"/>
          <w:kern w:val="0"/>
          <w:sz w:val="28"/>
          <w:szCs w:val="28"/>
        </w:rPr>
        <w:t>以开标当日采购人或由采购人委托的评标委员会核实的网页查询记录为准</w:t>
      </w:r>
      <w:r>
        <w:rPr>
          <w:rFonts w:hint="eastAsia" w:ascii="仿宋" w:hAnsi="仿宋" w:eastAsia="仿宋" w:cs="仿宋_GB2312"/>
          <w:color w:val="000000"/>
          <w:kern w:val="0"/>
          <w:sz w:val="28"/>
          <w:szCs w:val="28"/>
        </w:rPr>
        <w:t>；</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w:t>
      </w:r>
      <w:r>
        <w:rPr>
          <w:rFonts w:ascii="仿宋" w:hAnsi="仿宋" w:eastAsia="仿宋" w:cs="仿宋_GB2312"/>
          <w:color w:val="000000"/>
          <w:kern w:val="0"/>
          <w:sz w:val="28"/>
          <w:szCs w:val="28"/>
        </w:rPr>
        <w:t>投标人认为需要提供的其它说明和资料（如有请提供）。</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2、商务技术文件包括：</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w:t>
      </w:r>
      <w:r>
        <w:rPr>
          <w:rFonts w:ascii="仿宋" w:hAnsi="仿宋" w:eastAsia="仿宋" w:cs="仿宋_GB2312"/>
          <w:color w:val="000000"/>
          <w:kern w:val="0"/>
          <w:sz w:val="28"/>
          <w:szCs w:val="28"/>
        </w:rPr>
        <w:t>封面；</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w:t>
      </w:r>
      <w:r>
        <w:rPr>
          <w:rFonts w:ascii="仿宋" w:hAnsi="仿宋" w:eastAsia="仿宋" w:cs="仿宋_GB2312"/>
          <w:color w:val="000000"/>
          <w:kern w:val="0"/>
          <w:sz w:val="28"/>
          <w:szCs w:val="28"/>
        </w:rPr>
        <w:t>目录；</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2.3</w:t>
      </w:r>
      <w:r>
        <w:rPr>
          <w:rFonts w:ascii="仿宋" w:hAnsi="仿宋" w:eastAsia="仿宋" w:cs="仿宋_GB2312"/>
          <w:color w:val="000000"/>
          <w:kern w:val="0"/>
          <w:sz w:val="28"/>
          <w:szCs w:val="28"/>
        </w:rPr>
        <w:t>评分索引表（格式见附件，主要用于评标委员会对应评分内容）；</w:t>
      </w:r>
    </w:p>
    <w:p>
      <w:pPr>
        <w:snapToGrid w:val="0"/>
        <w:spacing w:after="240" w:line="360" w:lineRule="auto"/>
        <w:ind w:firstLine="551" w:firstLineChars="196"/>
        <w:jc w:val="left"/>
        <w:rPr>
          <w:rFonts w:ascii="仿宋" w:hAnsi="仿宋" w:eastAsia="仿宋" w:cs="仿宋_GB2312"/>
          <w:b/>
          <w:color w:val="000000"/>
          <w:kern w:val="0"/>
          <w:sz w:val="28"/>
          <w:szCs w:val="28"/>
          <w:u w:val="single"/>
        </w:rPr>
      </w:pPr>
      <w:r>
        <w:rPr>
          <w:rFonts w:ascii="仿宋" w:hAnsi="仿宋" w:eastAsia="仿宋" w:cs="仿宋_GB2312"/>
          <w:b/>
          <w:color w:val="000000"/>
          <w:kern w:val="0"/>
          <w:sz w:val="28"/>
          <w:szCs w:val="28"/>
          <w:u w:val="single"/>
        </w:rPr>
        <w:t>未尽事宜请各投标人按评分标准及技术需求制作。</w:t>
      </w:r>
    </w:p>
    <w:p>
      <w:pPr>
        <w:snapToGrid w:val="0"/>
        <w:spacing w:line="360" w:lineRule="auto"/>
        <w:ind w:firstLine="548" w:firstLineChars="196"/>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3.报价文件包括：</w:t>
      </w:r>
    </w:p>
    <w:p>
      <w:pPr>
        <w:snapToGrid w:val="0"/>
        <w:spacing w:line="360" w:lineRule="auto"/>
        <w:ind w:firstLine="548" w:firstLineChars="196"/>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3.1封面；</w:t>
      </w:r>
    </w:p>
    <w:p>
      <w:pPr>
        <w:snapToGrid w:val="0"/>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3.2报价明细表</w:t>
      </w:r>
      <w:r>
        <w:rPr>
          <w:rFonts w:ascii="仿宋" w:hAnsi="仿宋" w:eastAsia="仿宋" w:cs="仿宋_GB2312"/>
          <w:color w:val="000000"/>
          <w:kern w:val="0"/>
          <w:sz w:val="28"/>
          <w:szCs w:val="28"/>
        </w:rPr>
        <w:t>（格式见附件）</w:t>
      </w:r>
      <w:r>
        <w:rPr>
          <w:rFonts w:hint="eastAsia" w:ascii="仿宋" w:hAnsi="仿宋" w:eastAsia="仿宋" w:cs="仿宋_GB2312"/>
          <w:color w:val="000000"/>
          <w:kern w:val="0"/>
          <w:sz w:val="28"/>
          <w:szCs w:val="28"/>
        </w:rPr>
        <w:t>；</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3.3中小企业声明函（格式见附件，</w:t>
      </w:r>
      <w:r>
        <w:rPr>
          <w:rFonts w:hint="eastAsia" w:ascii="仿宋" w:hAnsi="仿宋" w:eastAsia="仿宋" w:cs="仿宋_GB2312"/>
          <w:color w:val="000000"/>
          <w:kern w:val="0"/>
          <w:sz w:val="28"/>
          <w:szCs w:val="28"/>
          <w:u w:val="single"/>
        </w:rPr>
        <w:t>未按附件格式内容提供的由投标人自行承担可能被视作无效标的风险）；</w:t>
      </w:r>
    </w:p>
    <w:p>
      <w:pPr>
        <w:pStyle w:val="40"/>
        <w:snapToGrid w:val="0"/>
        <w:spacing w:line="360" w:lineRule="auto"/>
        <w:ind w:left="0" w:leftChars="0"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3.4</w:t>
      </w:r>
      <w:r>
        <w:rPr>
          <w:rFonts w:ascii="仿宋" w:hAnsi="仿宋" w:eastAsia="仿宋" w:cs="仿宋_GB2312"/>
          <w:color w:val="000000"/>
          <w:kern w:val="0"/>
          <w:sz w:val="28"/>
          <w:szCs w:val="28"/>
        </w:rPr>
        <w:t>残疾人福利企业声明函（若有，格式见附件）</w:t>
      </w:r>
      <w:r>
        <w:rPr>
          <w:rFonts w:hint="eastAsia" w:ascii="仿宋" w:hAnsi="仿宋" w:eastAsia="仿宋" w:cs="仿宋_GB2312"/>
          <w:color w:val="000000"/>
          <w:kern w:val="0"/>
          <w:sz w:val="28"/>
          <w:szCs w:val="28"/>
        </w:rPr>
        <w:t>；</w:t>
      </w:r>
    </w:p>
    <w:p>
      <w:pPr>
        <w:pStyle w:val="40"/>
        <w:snapToGrid w:val="0"/>
        <w:spacing w:line="360" w:lineRule="auto"/>
        <w:ind w:left="0" w:leftChars="0"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3.5</w:t>
      </w:r>
      <w:r>
        <w:rPr>
          <w:rFonts w:ascii="仿宋" w:hAnsi="仿宋" w:eastAsia="仿宋" w:cs="仿宋_GB2312"/>
          <w:color w:val="000000"/>
          <w:kern w:val="0"/>
          <w:sz w:val="28"/>
          <w:szCs w:val="28"/>
        </w:rPr>
        <w:t>投标人针对报价需要说明的其他文件和说明（格式自拟）。</w:t>
      </w:r>
    </w:p>
    <w:p>
      <w:pPr>
        <w:pStyle w:val="56"/>
        <w:spacing w:after="120" w:line="360" w:lineRule="auto"/>
        <w:ind w:firstLine="560" w:firstLineChars="200"/>
        <w:rPr>
          <w:rFonts w:ascii="仿宋" w:hAnsi="仿宋" w:eastAsia="仿宋" w:cs="仿宋_GB2312"/>
          <w:color w:val="000000"/>
          <w:kern w:val="0"/>
          <w:sz w:val="28"/>
          <w:szCs w:val="28"/>
          <w:u w:val="single"/>
        </w:rPr>
      </w:pPr>
      <w:r>
        <w:rPr>
          <w:rFonts w:ascii="仿宋" w:hAnsi="仿宋" w:eastAsia="仿宋"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hint="eastAsia" w:ascii="仿宋" w:hAnsi="仿宋" w:eastAsia="仿宋" w:cs="仿宋_GB2312"/>
          <w:color w:val="000000"/>
          <w:kern w:val="0"/>
          <w:sz w:val="28"/>
          <w:szCs w:val="28"/>
          <w:u w:val="single"/>
        </w:rPr>
        <w:t>。</w:t>
      </w:r>
      <w:r>
        <w:rPr>
          <w:rFonts w:ascii="仿宋" w:hAnsi="仿宋" w:eastAsia="仿宋" w:cs="仿宋_GB2312"/>
          <w:color w:val="000000"/>
          <w:kern w:val="0"/>
          <w:sz w:val="28"/>
          <w:szCs w:val="28"/>
          <w:u w:val="single"/>
        </w:rPr>
        <w:t>否则将作无效标处理。</w:t>
      </w:r>
    </w:p>
    <w:p>
      <w:pPr>
        <w:snapToGrid w:val="0"/>
        <w:spacing w:line="360" w:lineRule="auto"/>
        <w:ind w:firstLine="548" w:firstLineChars="196"/>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（三）投标文件的语言及计量</w:t>
      </w:r>
    </w:p>
    <w:p>
      <w:pPr>
        <w:snapToGrid w:val="0"/>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tabs>
          <w:tab w:val="left" w:pos="720"/>
          <w:tab w:val="clear" w:pos="360"/>
        </w:tabs>
        <w:snapToGrid w:val="0"/>
        <w:spacing w:beforeLines="50" w:line="360" w:lineRule="auto"/>
        <w:ind w:left="0"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（四）投标有效期</w:t>
      </w:r>
    </w:p>
    <w:p>
      <w:pPr>
        <w:tabs>
          <w:tab w:val="left" w:pos="7740"/>
        </w:tabs>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2、中标人的投标文件自开标之日起至合同履行完毕止均应保持有效。</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（五）投标文件的</w:t>
      </w:r>
      <w:r>
        <w:rPr>
          <w:rFonts w:hint="eastAsia" w:ascii="仿宋" w:hAnsi="仿宋" w:eastAsia="仿宋" w:cs="仿宋_GB2312"/>
          <w:color w:val="000000"/>
          <w:kern w:val="0"/>
          <w:sz w:val="28"/>
          <w:szCs w:val="28"/>
        </w:rPr>
        <w:t>制作</w:t>
      </w:r>
    </w:p>
    <w:p>
      <w:pPr>
        <w:snapToGrid w:val="0"/>
        <w:spacing w:beforeLines="50" w:line="360" w:lineRule="auto"/>
        <w:ind w:firstLine="548" w:firstLineChars="196"/>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投标人应根据“政采云供应商项目采购-电子招投标操作指南”及本招标文件规定的格式和顺序编制电子投标文件并进行关联定位。</w:t>
      </w:r>
    </w:p>
    <w:p>
      <w:pPr>
        <w:snapToGrid w:val="0"/>
        <w:spacing w:beforeLines="50" w:line="360" w:lineRule="auto"/>
        <w:ind w:firstLine="548" w:firstLineChars="196"/>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（六）投标报价</w:t>
      </w:r>
    </w:p>
    <w:p>
      <w:pPr>
        <w:tabs>
          <w:tab w:val="left" w:pos="525"/>
        </w:tabs>
        <w:snapToGrid w:val="0"/>
        <w:spacing w:line="360" w:lineRule="auto"/>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pPr>
        <w:pStyle w:val="37"/>
        <w:snapToGrid w:val="0"/>
        <w:spacing w:before="120" w:line="360" w:lineRule="auto"/>
        <w:ind w:firstLine="560" w:firstLineChars="200"/>
        <w:jc w:val="left"/>
        <w:rPr>
          <w:rFonts w:ascii="仿宋" w:hAnsi="仿宋" w:eastAsia="仿宋" w:cs="仿宋_GB2312"/>
          <w:color w:val="000000"/>
          <w:kern w:val="0"/>
          <w:szCs w:val="28"/>
        </w:rPr>
      </w:pPr>
      <w:r>
        <w:rPr>
          <w:rFonts w:ascii="仿宋" w:hAnsi="仿宋" w:eastAsia="仿宋" w:cs="仿宋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pPr>
        <w:pStyle w:val="37"/>
        <w:snapToGrid w:val="0"/>
        <w:spacing w:before="120" w:line="360" w:lineRule="auto"/>
        <w:ind w:firstLine="560" w:firstLineChars="200"/>
        <w:jc w:val="left"/>
        <w:rPr>
          <w:rFonts w:ascii="仿宋" w:hAnsi="仿宋" w:eastAsia="仿宋" w:cs="仿宋_GB2312"/>
          <w:color w:val="000000"/>
          <w:kern w:val="0"/>
          <w:szCs w:val="28"/>
        </w:rPr>
      </w:pPr>
      <w:r>
        <w:rPr>
          <w:rFonts w:ascii="仿宋" w:hAnsi="仿宋" w:eastAsia="仿宋" w:cs="仿宋_GB2312"/>
          <w:color w:val="000000"/>
          <w:kern w:val="0"/>
          <w:szCs w:val="28"/>
        </w:rPr>
        <w:t>3、投标报价总价金额到元为止，如投标报价总价出现角、分，将被抹除。</w:t>
      </w:r>
    </w:p>
    <w:p>
      <w:pPr>
        <w:spacing w:line="360" w:lineRule="auto"/>
        <w:ind w:firstLine="548" w:firstLineChars="196"/>
        <w:outlineLvl w:val="1"/>
        <w:rPr>
          <w:rFonts w:ascii="仿宋" w:hAnsi="仿宋" w:eastAsia="仿宋" w:cs="仿宋_GB2312"/>
          <w:color w:val="000000"/>
          <w:kern w:val="0"/>
          <w:sz w:val="28"/>
          <w:szCs w:val="28"/>
        </w:rPr>
      </w:pPr>
      <w:r>
        <w:rPr>
          <w:rFonts w:ascii="仿宋" w:hAnsi="仿宋" w:eastAsia="仿宋" w:cs="仿宋_GB2312"/>
          <w:color w:val="000000"/>
          <w:kern w:val="0"/>
          <w:sz w:val="28"/>
          <w:szCs w:val="28"/>
        </w:rPr>
        <w:t>（</w:t>
      </w:r>
      <w:r>
        <w:rPr>
          <w:rFonts w:hint="eastAsia" w:ascii="仿宋" w:hAnsi="仿宋" w:eastAsia="仿宋" w:cs="仿宋_GB2312"/>
          <w:color w:val="000000"/>
          <w:kern w:val="0"/>
          <w:sz w:val="28"/>
          <w:szCs w:val="28"/>
        </w:rPr>
        <w:t>七</w:t>
      </w:r>
      <w:r>
        <w:rPr>
          <w:rFonts w:ascii="仿宋" w:hAnsi="仿宋" w:eastAsia="仿宋" w:cs="仿宋_GB2312"/>
          <w:color w:val="000000"/>
          <w:kern w:val="0"/>
          <w:sz w:val="28"/>
          <w:szCs w:val="28"/>
        </w:rPr>
        <w:t>）投标文件的提交</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补充和修改</w:t>
      </w:r>
      <w:r>
        <w:rPr>
          <w:rFonts w:hint="eastAsia" w:ascii="仿宋" w:hAnsi="仿宋" w:eastAsia="仿宋" w:cs="仿宋_GB2312"/>
          <w:color w:val="000000"/>
          <w:kern w:val="0"/>
          <w:sz w:val="28"/>
          <w:szCs w:val="28"/>
        </w:rPr>
        <w:t>：</w:t>
      </w:r>
    </w:p>
    <w:p>
      <w:pPr>
        <w:snapToGrid w:val="0"/>
        <w:spacing w:line="360" w:lineRule="auto"/>
        <w:ind w:firstLine="414" w:firstLineChars="148"/>
        <w:jc w:val="left"/>
        <w:outlineLvl w:val="1"/>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详见招标公告。</w:t>
      </w:r>
    </w:p>
    <w:p>
      <w:pPr>
        <w:snapToGrid w:val="0"/>
        <w:spacing w:line="360" w:lineRule="auto"/>
        <w:ind w:firstLine="414" w:firstLineChars="148"/>
        <w:jc w:val="left"/>
        <w:outlineLvl w:val="1"/>
        <w:rPr>
          <w:rFonts w:ascii="仿宋" w:hAnsi="仿宋" w:eastAsia="仿宋" w:cs="仿宋_GB2312"/>
          <w:color w:val="000000"/>
          <w:kern w:val="0"/>
          <w:sz w:val="28"/>
          <w:szCs w:val="28"/>
        </w:rPr>
      </w:pPr>
      <w:r>
        <w:rPr>
          <w:rFonts w:ascii="仿宋" w:hAnsi="仿宋" w:eastAsia="仿宋" w:cs="仿宋_GB2312"/>
          <w:color w:val="000000"/>
          <w:kern w:val="0"/>
          <w:sz w:val="28"/>
          <w:szCs w:val="28"/>
        </w:rPr>
        <w:t>（</w:t>
      </w:r>
      <w:r>
        <w:rPr>
          <w:rFonts w:hint="eastAsia" w:ascii="仿宋" w:hAnsi="仿宋" w:eastAsia="仿宋" w:cs="仿宋_GB2312"/>
          <w:color w:val="000000"/>
          <w:kern w:val="0"/>
          <w:sz w:val="28"/>
          <w:szCs w:val="28"/>
        </w:rPr>
        <w:t>八</w:t>
      </w:r>
      <w:r>
        <w:rPr>
          <w:rFonts w:ascii="仿宋" w:hAnsi="仿宋" w:eastAsia="仿宋" w:cs="仿宋_GB2312"/>
          <w:color w:val="000000"/>
          <w:kern w:val="0"/>
          <w:sz w:val="28"/>
          <w:szCs w:val="28"/>
        </w:rPr>
        <w:t>）串通投标认定</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有下列情形之一的，视为投标人串通投标，其投标无效：</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1、不同投标人的投标文件由同一单位或者个人编制；</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2、不同投标人委托同一单位或者个人办理投标事宜；</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3、不同投标人的投标文件载明的项目管理成员或者联系人员为同一人；</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4、不同投标人的投标文件异常一致或者投标报价呈规律性差异；</w:t>
      </w:r>
    </w:p>
    <w:p>
      <w:pPr>
        <w:snapToGrid w:val="0"/>
        <w:spacing w:line="360" w:lineRule="auto"/>
        <w:ind w:firstLine="560" w:firstLineChars="200"/>
        <w:jc w:val="left"/>
        <w:outlineLvl w:val="1"/>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5、不同投标人的投标文件出自同一终端设备或在相同Internet主机分配地址（相同IP地址）网上报名投标。</w:t>
      </w:r>
    </w:p>
    <w:p>
      <w:pPr>
        <w:snapToGrid w:val="0"/>
        <w:spacing w:line="360" w:lineRule="auto"/>
        <w:ind w:firstLine="414" w:firstLineChars="148"/>
        <w:jc w:val="left"/>
        <w:outlineLvl w:val="1"/>
        <w:rPr>
          <w:rFonts w:ascii="仿宋" w:hAnsi="仿宋" w:eastAsia="仿宋" w:cs="仿宋_GB2312"/>
          <w:color w:val="000000"/>
          <w:kern w:val="0"/>
          <w:sz w:val="28"/>
          <w:szCs w:val="28"/>
        </w:rPr>
      </w:pPr>
      <w:r>
        <w:rPr>
          <w:rFonts w:ascii="仿宋" w:hAnsi="仿宋" w:eastAsia="仿宋" w:cs="仿宋_GB2312"/>
          <w:color w:val="000000"/>
          <w:kern w:val="0"/>
          <w:sz w:val="28"/>
          <w:szCs w:val="28"/>
        </w:rPr>
        <w:t>（</w:t>
      </w:r>
      <w:r>
        <w:rPr>
          <w:rFonts w:hint="eastAsia" w:ascii="仿宋" w:hAnsi="仿宋" w:eastAsia="仿宋" w:cs="仿宋_GB2312"/>
          <w:color w:val="000000"/>
          <w:kern w:val="0"/>
          <w:sz w:val="28"/>
          <w:szCs w:val="28"/>
        </w:rPr>
        <w:t>九</w:t>
      </w:r>
      <w:r>
        <w:rPr>
          <w:rFonts w:ascii="仿宋" w:hAnsi="仿宋" w:eastAsia="仿宋" w:cs="仿宋_GB2312"/>
          <w:color w:val="000000"/>
          <w:kern w:val="0"/>
          <w:sz w:val="28"/>
          <w:szCs w:val="28"/>
        </w:rPr>
        <w:t>）投标无效的情形</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如发现下列情形之一的，投标文件将被视为无效：</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、投标方未能提供合格的资格文件、投标有效期不足的；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、电子投标文件解密失败的；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w:t>
      </w:r>
      <w:r>
        <w:rPr>
          <w:rFonts w:ascii="仿宋" w:hAnsi="仿宋" w:eastAsia="仿宋" w:cs="仿宋_GB2312"/>
          <w:color w:val="000000"/>
          <w:kern w:val="0"/>
          <w:sz w:val="28"/>
          <w:szCs w:val="28"/>
        </w:rPr>
        <w:t>、投标人被列入失信被执行人、重大税收违法案件当事人名单、政府采购严重违法失信行为记录名单的；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w:t>
      </w:r>
      <w:r>
        <w:rPr>
          <w:rFonts w:ascii="仿宋" w:hAnsi="仿宋" w:eastAsia="仿宋" w:cs="仿宋_GB2312"/>
          <w:color w:val="000000"/>
          <w:kern w:val="0"/>
          <w:sz w:val="28"/>
          <w:szCs w:val="28"/>
        </w:rPr>
        <w:t>、投标文件未按招标文件要求签署、盖章的；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w:t>
      </w:r>
      <w:r>
        <w:rPr>
          <w:rFonts w:ascii="仿宋" w:hAnsi="仿宋" w:eastAsia="仿宋" w:cs="仿宋_GB2312"/>
          <w:color w:val="000000"/>
          <w:kern w:val="0"/>
          <w:sz w:val="28"/>
          <w:szCs w:val="28"/>
        </w:rPr>
        <w:t>、投标文件与招标文件有重大偏离、未满足带“★”号实质性指标的；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6</w:t>
      </w:r>
      <w:r>
        <w:rPr>
          <w:rFonts w:ascii="仿宋" w:hAnsi="仿宋" w:eastAsia="仿宋" w:cs="仿宋_GB2312"/>
          <w:color w:val="000000"/>
          <w:kern w:val="0"/>
          <w:sz w:val="28"/>
          <w:szCs w:val="28"/>
        </w:rPr>
        <w:t>、资质文件、技术及商务文件中出现投标价格信息的、投标报价超出招标文件中规定的预算金额或者最高限价的；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7</w:t>
      </w:r>
      <w:r>
        <w:rPr>
          <w:rFonts w:ascii="仿宋" w:hAnsi="仿宋" w:eastAsia="仿宋" w:cs="仿宋_GB2312"/>
          <w:color w:val="000000"/>
          <w:kern w:val="0"/>
          <w:sz w:val="28"/>
          <w:szCs w:val="28"/>
        </w:rPr>
        <w:t>、标项以赠送方式投标的、对一个标项提供两个投标方案或两个报价的；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8</w:t>
      </w:r>
      <w:r>
        <w:rPr>
          <w:rFonts w:ascii="仿宋" w:hAnsi="仿宋" w:eastAsia="仿宋"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9</w:t>
      </w:r>
      <w:r>
        <w:rPr>
          <w:rFonts w:ascii="仿宋" w:hAnsi="仿宋" w:eastAsia="仿宋" w:cs="仿宋_GB2312"/>
          <w:color w:val="000000"/>
          <w:kern w:val="0"/>
          <w:sz w:val="28"/>
          <w:szCs w:val="28"/>
        </w:rPr>
        <w:t>、投标人不接受报价文件中修正后的报价的；</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10</w:t>
      </w:r>
      <w:r>
        <w:rPr>
          <w:rFonts w:ascii="仿宋" w:hAnsi="仿宋" w:eastAsia="仿宋" w:cs="仿宋_GB2312"/>
          <w:color w:val="000000"/>
          <w:kern w:val="0"/>
          <w:sz w:val="28"/>
          <w:szCs w:val="28"/>
        </w:rPr>
        <w:t>、未按本章“</w:t>
      </w:r>
      <w:r>
        <w:rPr>
          <w:rFonts w:hint="eastAsia" w:ascii="仿宋" w:hAnsi="仿宋" w:eastAsia="仿宋" w:cs="仿宋_GB2312"/>
          <w:color w:val="000000"/>
          <w:kern w:val="0"/>
          <w:sz w:val="28"/>
          <w:szCs w:val="28"/>
        </w:rPr>
        <w:t>三</w:t>
      </w:r>
      <w:r>
        <w:rPr>
          <w:rFonts w:ascii="仿宋" w:hAnsi="仿宋" w:eastAsia="仿宋" w:cs="仿宋_GB2312"/>
          <w:color w:val="000000"/>
          <w:kern w:val="0"/>
          <w:sz w:val="28"/>
          <w:szCs w:val="28"/>
        </w:rPr>
        <w:t>、投标文件</w:t>
      </w:r>
      <w:r>
        <w:rPr>
          <w:rFonts w:hint="eastAsia" w:ascii="仿宋" w:hAnsi="仿宋" w:eastAsia="仿宋" w:cs="仿宋_GB2312"/>
          <w:color w:val="000000"/>
          <w:kern w:val="0"/>
          <w:sz w:val="28"/>
          <w:szCs w:val="28"/>
        </w:rPr>
        <w:t>（六）</w:t>
      </w:r>
      <w:r>
        <w:rPr>
          <w:rFonts w:ascii="仿宋" w:hAnsi="仿宋" w:eastAsia="仿宋" w:cs="仿宋_GB2312"/>
          <w:color w:val="000000"/>
          <w:kern w:val="0"/>
          <w:sz w:val="28"/>
          <w:szCs w:val="28"/>
        </w:rPr>
        <w:t>投标报价</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要求报价的；</w:t>
      </w:r>
    </w:p>
    <w:p>
      <w:pPr>
        <w:pStyle w:val="37"/>
        <w:snapToGrid w:val="0"/>
        <w:spacing w:before="120" w:after="120" w:line="360" w:lineRule="auto"/>
        <w:ind w:firstLine="560" w:firstLineChars="200"/>
        <w:rPr>
          <w:rFonts w:ascii="仿宋" w:hAnsi="仿宋" w:eastAsia="仿宋" w:cs="仿宋_GB2312"/>
          <w:color w:val="000000"/>
          <w:kern w:val="0"/>
          <w:szCs w:val="28"/>
        </w:rPr>
      </w:pPr>
      <w:r>
        <w:rPr>
          <w:rFonts w:hint="eastAsia" w:ascii="仿宋" w:hAnsi="仿宋" w:eastAsia="仿宋" w:cs="仿宋_GB2312"/>
          <w:color w:val="000000"/>
          <w:kern w:val="0"/>
          <w:szCs w:val="28"/>
        </w:rPr>
        <w:t>11、评审委员会要求响应人予以澄清说明的事项，响应人拒绝澄清说明的；</w:t>
      </w:r>
    </w:p>
    <w:p>
      <w:pPr>
        <w:pStyle w:val="37"/>
        <w:snapToGrid w:val="0"/>
        <w:spacing w:before="120" w:after="120" w:line="360" w:lineRule="auto"/>
        <w:ind w:firstLine="560" w:firstLineChars="200"/>
        <w:rPr>
          <w:rFonts w:ascii="仿宋" w:hAnsi="仿宋" w:eastAsia="仿宋" w:cs="仿宋_GB2312"/>
          <w:color w:val="000000"/>
          <w:kern w:val="0"/>
          <w:szCs w:val="28"/>
        </w:rPr>
      </w:pPr>
      <w:r>
        <w:rPr>
          <w:rFonts w:hint="eastAsia" w:ascii="仿宋" w:hAnsi="仿宋" w:eastAsia="仿宋" w:cs="仿宋_GB2312"/>
          <w:color w:val="000000"/>
          <w:kern w:val="0"/>
          <w:szCs w:val="28"/>
        </w:rPr>
        <w:t>12、单位负责人为同一人或者存在直接控股、管理关系的不同供应商同时参加本项目的（均无效）；</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3</w:t>
      </w:r>
      <w:r>
        <w:rPr>
          <w:rFonts w:ascii="仿宋" w:hAnsi="仿宋" w:eastAsia="仿宋" w:cs="仿宋_GB2312"/>
          <w:color w:val="000000"/>
          <w:kern w:val="0"/>
          <w:sz w:val="28"/>
          <w:szCs w:val="28"/>
        </w:rPr>
        <w:t>、投标文件含有采购人不能接受的附加条件的；</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4</w:t>
      </w:r>
      <w:r>
        <w:rPr>
          <w:rFonts w:ascii="仿宋" w:hAnsi="仿宋" w:eastAsia="仿宋" w:cs="仿宋_GB2312"/>
          <w:color w:val="000000"/>
          <w:kern w:val="0"/>
          <w:sz w:val="28"/>
          <w:szCs w:val="28"/>
        </w:rPr>
        <w:t>、投标人被视为串通投标的；</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5</w:t>
      </w:r>
      <w:r>
        <w:rPr>
          <w:rFonts w:ascii="仿宋" w:hAnsi="仿宋" w:eastAsia="仿宋" w:cs="仿宋_GB2312"/>
          <w:color w:val="000000"/>
          <w:kern w:val="0"/>
          <w:sz w:val="28"/>
          <w:szCs w:val="28"/>
        </w:rPr>
        <w:t>、不符合法律、法规和本招标文件规定的其他实质性要求的。</w:t>
      </w:r>
    </w:p>
    <w:p>
      <w:pPr>
        <w:pStyle w:val="37"/>
        <w:snapToGrid w:val="0"/>
        <w:spacing w:before="120" w:after="120" w:line="360" w:lineRule="auto"/>
        <w:ind w:left="759" w:leftChars="228" w:hanging="280" w:hangingChars="100"/>
        <w:rPr>
          <w:rFonts w:ascii="仿宋" w:hAnsi="仿宋" w:eastAsia="仿宋" w:cs="仿宋_GB2312"/>
          <w:color w:val="000000"/>
          <w:kern w:val="0"/>
          <w:szCs w:val="28"/>
        </w:rPr>
      </w:pPr>
      <w:r>
        <w:rPr>
          <w:rFonts w:ascii="仿宋" w:hAnsi="仿宋" w:eastAsia="仿宋" w:cs="仿宋_GB2312"/>
          <w:color w:val="000000"/>
          <w:kern w:val="0"/>
          <w:szCs w:val="28"/>
        </w:rPr>
        <w:t>（十）错误修正</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投标文件报价出现前后不一致的，除招标文件另有规定外，按照下列规定修正：</w:t>
      </w:r>
    </w:p>
    <w:p>
      <w:pPr>
        <w:pStyle w:val="2"/>
        <w:ind w:left="0" w:leftChars="0" w:firstLine="560"/>
        <w:rPr>
          <w:rFonts w:ascii="仿宋" w:hAnsi="仿宋" w:eastAsia="仿宋" w:cs="仿宋_GB2312"/>
          <w:kern w:val="0"/>
          <w:szCs w:val="28"/>
        </w:rPr>
      </w:pPr>
      <w:r>
        <w:rPr>
          <w:rFonts w:hint="eastAsia" w:ascii="仿宋" w:hAnsi="仿宋" w:eastAsia="仿宋" w:cs="仿宋_GB2312"/>
          <w:kern w:val="0"/>
          <w:szCs w:val="28"/>
        </w:rPr>
        <w:t>1、政采云平台输入的开标记录表报价与电子投标文件中的报价文件不一致的，以政采云平台输入的开标记录表为准；</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电子投标文件中报价明细表内容与电子投标文件中相应内容不一致的，以报价明细表为准；</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w:t>
      </w:r>
      <w:r>
        <w:rPr>
          <w:rFonts w:ascii="仿宋" w:hAnsi="仿宋" w:eastAsia="仿宋" w:cs="仿宋_GB2312"/>
          <w:color w:val="000000"/>
          <w:kern w:val="0"/>
          <w:sz w:val="28"/>
          <w:szCs w:val="28"/>
        </w:rPr>
        <w:t>大写金额和小写金额不一致的，以大写金额为准；</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w:t>
      </w:r>
      <w:r>
        <w:rPr>
          <w:rFonts w:ascii="仿宋" w:hAnsi="仿宋" w:eastAsia="仿宋" w:cs="仿宋_GB2312"/>
          <w:color w:val="000000"/>
          <w:kern w:val="0"/>
          <w:sz w:val="28"/>
          <w:szCs w:val="28"/>
        </w:rPr>
        <w:t>单价金额小数点或者百分比有明显错位的，以报价明细表的总价为准，并修改单价；</w:t>
      </w:r>
    </w:p>
    <w:p>
      <w:pPr>
        <w:snapToGrid w:val="0"/>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w:t>
      </w:r>
      <w:r>
        <w:rPr>
          <w:rFonts w:ascii="仿宋" w:hAnsi="仿宋" w:eastAsia="仿宋" w:cs="仿宋_GB2312"/>
          <w:color w:val="000000"/>
          <w:kern w:val="0"/>
          <w:sz w:val="28"/>
          <w:szCs w:val="28"/>
        </w:rPr>
        <w:t>总价金额与按单价汇总金额不一致的，以单价金额计算结果为准。</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bookmarkStart w:id="20" w:name="_Toc360457878"/>
      <w:bookmarkStart w:id="21" w:name="_Toc345423467"/>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r>
        <w:rPr>
          <w:rFonts w:ascii="仿宋" w:hAnsi="仿宋" w:eastAsia="仿宋" w:cs="仿宋_GB2312"/>
          <w:b w:val="0"/>
          <w:bCs w:val="0"/>
          <w:color w:val="000000"/>
          <w:kern w:val="0"/>
          <w:sz w:val="28"/>
          <w:szCs w:val="28"/>
        </w:rPr>
        <w:t>四、开标、评标</w:t>
      </w:r>
      <w:bookmarkEnd w:id="20"/>
      <w:bookmarkEnd w:id="21"/>
      <w:r>
        <w:rPr>
          <w:rFonts w:ascii="仿宋" w:hAnsi="仿宋" w:eastAsia="仿宋" w:cs="仿宋_GB2312"/>
          <w:b w:val="0"/>
          <w:bCs w:val="0"/>
          <w:color w:val="000000"/>
          <w:kern w:val="0"/>
          <w:sz w:val="28"/>
          <w:szCs w:val="28"/>
        </w:rPr>
        <w:t>和定标</w:t>
      </w:r>
    </w:p>
    <w:p>
      <w:pPr>
        <w:spacing w:line="360" w:lineRule="auto"/>
        <w:ind w:firstLine="548" w:firstLineChars="196"/>
        <w:rPr>
          <w:rFonts w:ascii="仿宋" w:hAnsi="仿宋" w:eastAsia="仿宋" w:cs="仿宋_GB2312"/>
          <w:color w:val="000000"/>
          <w:kern w:val="0"/>
          <w:sz w:val="28"/>
          <w:szCs w:val="28"/>
        </w:rPr>
      </w:pPr>
      <w:r>
        <w:rPr>
          <w:rFonts w:ascii="仿宋" w:hAnsi="仿宋" w:eastAsia="仿宋" w:cs="仿宋_GB2312"/>
          <w:color w:val="000000"/>
          <w:kern w:val="0"/>
          <w:sz w:val="28"/>
          <w:szCs w:val="28"/>
        </w:rPr>
        <w:t>开标、评标和定标详见本招标文件第五部分内容。</w:t>
      </w:r>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bookmarkStart w:id="22" w:name="_Toc345423468"/>
      <w:bookmarkStart w:id="23" w:name="_Toc360457879"/>
      <w:r>
        <w:rPr>
          <w:rFonts w:ascii="仿宋" w:hAnsi="仿宋" w:eastAsia="仿宋" w:cs="仿宋_GB2312"/>
          <w:b w:val="0"/>
          <w:bCs w:val="0"/>
          <w:color w:val="000000"/>
          <w:kern w:val="0"/>
          <w:sz w:val="28"/>
          <w:szCs w:val="28"/>
        </w:rPr>
        <w:t>五、合同的授予</w:t>
      </w:r>
      <w:bookmarkEnd w:id="22"/>
      <w:bookmarkEnd w:id="23"/>
    </w:p>
    <w:p>
      <w:pPr>
        <w:spacing w:line="360" w:lineRule="auto"/>
        <w:ind w:firstLine="548" w:firstLineChars="196"/>
        <w:rPr>
          <w:rFonts w:ascii="仿宋" w:hAnsi="仿宋" w:eastAsia="仿宋" w:cs="仿宋_GB2312"/>
          <w:color w:val="000000"/>
          <w:kern w:val="0"/>
          <w:sz w:val="28"/>
          <w:szCs w:val="28"/>
        </w:rPr>
      </w:pPr>
      <w:r>
        <w:rPr>
          <w:rFonts w:ascii="仿宋" w:hAnsi="仿宋" w:eastAsia="仿宋" w:cs="仿宋_GB2312"/>
          <w:color w:val="000000"/>
          <w:kern w:val="0"/>
          <w:sz w:val="28"/>
          <w:szCs w:val="28"/>
        </w:rPr>
        <w:t>1、授予合同的依据</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（1）中标通知书；</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（2）招标文件、招标文件的修改及补充文件；</w:t>
      </w:r>
    </w:p>
    <w:p>
      <w:pPr>
        <w:pStyle w:val="3"/>
        <w:ind w:firstLine="560"/>
        <w:rPr>
          <w:rFonts w:ascii="仿宋" w:hAnsi="仿宋" w:eastAsia="仿宋" w:cs="仿宋_GB2312"/>
          <w:color w:val="000000"/>
          <w:kern w:val="0"/>
          <w:sz w:val="28"/>
          <w:szCs w:val="28"/>
        </w:rPr>
      </w:pPr>
      <w:r>
        <w:rPr>
          <w:rFonts w:ascii="仿宋" w:hAnsi="仿宋" w:eastAsia="仿宋" w:cs="仿宋_GB2312"/>
          <w:color w:val="000000"/>
          <w:kern w:val="0"/>
          <w:sz w:val="28"/>
          <w:szCs w:val="28"/>
        </w:rPr>
        <w:t>（3）投标文件和询标时投标人作出的澄清、说明、纠正、承诺；</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（4）《中华人民共和国</w:t>
      </w:r>
      <w:r>
        <w:rPr>
          <w:rFonts w:hint="eastAsia" w:ascii="仿宋" w:hAnsi="仿宋" w:eastAsia="仿宋" w:cs="仿宋_GB2312"/>
          <w:color w:val="000000"/>
          <w:kern w:val="0"/>
          <w:sz w:val="28"/>
          <w:szCs w:val="28"/>
        </w:rPr>
        <w:t>民法典</w:t>
      </w:r>
      <w:r>
        <w:rPr>
          <w:rFonts w:ascii="仿宋" w:hAnsi="仿宋" w:eastAsia="仿宋" w:cs="仿宋_GB2312"/>
          <w:color w:val="000000"/>
          <w:kern w:val="0"/>
          <w:sz w:val="28"/>
          <w:szCs w:val="28"/>
        </w:rPr>
        <w:t>》的规定。</w:t>
      </w:r>
    </w:p>
    <w:p>
      <w:pPr>
        <w:spacing w:line="360" w:lineRule="auto"/>
        <w:ind w:firstLine="548" w:firstLineChars="196"/>
        <w:rPr>
          <w:rFonts w:ascii="仿宋" w:hAnsi="仿宋" w:eastAsia="仿宋" w:cs="仿宋_GB2312"/>
          <w:color w:val="000000"/>
          <w:kern w:val="0"/>
          <w:sz w:val="28"/>
          <w:szCs w:val="28"/>
        </w:rPr>
      </w:pPr>
      <w:r>
        <w:rPr>
          <w:rFonts w:ascii="仿宋" w:hAnsi="仿宋" w:eastAsia="仿宋" w:cs="仿宋_GB2312"/>
          <w:color w:val="000000"/>
          <w:kern w:val="0"/>
          <w:sz w:val="28"/>
          <w:szCs w:val="28"/>
        </w:rPr>
        <w:t>2、签署合同的要求</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（1）采购人与中标人按照中标通知书规定的时间、地点签订书面合同；</w:t>
      </w:r>
    </w:p>
    <w:p>
      <w:pPr>
        <w:spacing w:line="360" w:lineRule="auto"/>
        <w:ind w:firstLine="700" w:firstLineChars="250"/>
        <w:rPr>
          <w:rFonts w:ascii="仿宋" w:hAnsi="仿宋" w:eastAsia="仿宋" w:cs="仿宋_GB2312"/>
          <w:color w:val="000000"/>
          <w:kern w:val="0"/>
          <w:sz w:val="28"/>
          <w:szCs w:val="28"/>
        </w:rPr>
      </w:pPr>
      <w:r>
        <w:rPr>
          <w:rFonts w:ascii="仿宋" w:hAnsi="仿宋" w:eastAsia="仿宋" w:cs="仿宋_GB2312"/>
          <w:color w:val="000000"/>
          <w:kern w:val="0"/>
          <w:sz w:val="28"/>
          <w:szCs w:val="28"/>
        </w:rPr>
        <w:t>(2)签订合同的时间必须在自中标通知书收到之日起</w:t>
      </w:r>
      <w:r>
        <w:rPr>
          <w:rFonts w:hint="eastAsia" w:ascii="仿宋" w:hAnsi="仿宋" w:eastAsia="仿宋" w:cs="仿宋_GB2312"/>
          <w:color w:val="000000"/>
          <w:kern w:val="0"/>
          <w:sz w:val="28"/>
          <w:szCs w:val="28"/>
        </w:rPr>
        <w:t>三十</w:t>
      </w:r>
      <w:r>
        <w:rPr>
          <w:rFonts w:ascii="仿宋" w:hAnsi="仿宋" w:eastAsia="仿宋" w:cs="仿宋_GB2312"/>
          <w:color w:val="000000"/>
          <w:kern w:val="0"/>
          <w:sz w:val="28"/>
          <w:szCs w:val="28"/>
        </w:rPr>
        <w:t>日内；</w:t>
      </w:r>
    </w:p>
    <w:p>
      <w:pPr>
        <w:spacing w:line="360" w:lineRule="auto"/>
        <w:ind w:firstLine="700" w:firstLineChars="250"/>
        <w:rPr>
          <w:rFonts w:ascii="仿宋" w:hAnsi="仿宋" w:eastAsia="仿宋" w:cs="仿宋_GB2312"/>
          <w:color w:val="000000"/>
          <w:kern w:val="0"/>
          <w:sz w:val="28"/>
          <w:szCs w:val="28"/>
        </w:rPr>
      </w:pPr>
      <w:r>
        <w:rPr>
          <w:rFonts w:ascii="仿宋" w:hAnsi="仿宋" w:eastAsia="仿宋" w:cs="仿宋_GB2312"/>
          <w:color w:val="000000"/>
          <w:kern w:val="0"/>
          <w:sz w:val="28"/>
          <w:szCs w:val="28"/>
        </w:rPr>
        <w:t>(3)所签订的合同内容不得对招标文件和中标人的投标文件作实质性修改；</w:t>
      </w:r>
    </w:p>
    <w:p>
      <w:pPr>
        <w:spacing w:line="360" w:lineRule="auto"/>
        <w:ind w:left="2" w:leftChars="1" w:firstLine="700" w:firstLineChars="25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(4)采购人不得向中标人提出任何不合理的要求，作为签订合同的条件，不得与中标人私下订立背离合同实质性内容的协议</w:t>
      </w:r>
      <w:r>
        <w:rPr>
          <w:rFonts w:hint="eastAsia" w:ascii="仿宋" w:hAnsi="仿宋" w:eastAsia="仿宋" w:cs="仿宋_GB2312"/>
          <w:color w:val="000000"/>
          <w:kern w:val="0"/>
          <w:sz w:val="28"/>
          <w:szCs w:val="28"/>
        </w:rPr>
        <w:t>。</w:t>
      </w:r>
    </w:p>
    <w:p>
      <w:pPr>
        <w:spacing w:line="360" w:lineRule="auto"/>
        <w:ind w:firstLine="548" w:firstLineChars="196"/>
        <w:rPr>
          <w:rFonts w:ascii="仿宋" w:hAnsi="仿宋" w:eastAsia="仿宋" w:cs="仿宋_GB2312"/>
          <w:color w:val="000000"/>
          <w:kern w:val="0"/>
          <w:sz w:val="28"/>
          <w:szCs w:val="28"/>
        </w:rPr>
      </w:pPr>
      <w:r>
        <w:rPr>
          <w:rFonts w:ascii="仿宋" w:hAnsi="仿宋" w:eastAsia="仿宋" w:cs="仿宋_GB2312"/>
          <w:color w:val="000000"/>
          <w:kern w:val="0"/>
          <w:sz w:val="28"/>
          <w:szCs w:val="28"/>
        </w:rPr>
        <w:t>3.合同签订</w:t>
      </w:r>
    </w:p>
    <w:p>
      <w:pPr>
        <w:spacing w:line="360" w:lineRule="auto"/>
        <w:ind w:firstLine="500"/>
        <w:rPr>
          <w:rFonts w:ascii="仿宋" w:hAnsi="仿宋" w:eastAsia="仿宋" w:cs="仿宋_GB2312"/>
          <w:color w:val="000000"/>
          <w:kern w:val="0"/>
          <w:sz w:val="28"/>
          <w:szCs w:val="28"/>
        </w:rPr>
      </w:pPr>
      <w:r>
        <w:rPr>
          <w:rFonts w:ascii="仿宋" w:hAnsi="仿宋" w:eastAsia="仿宋" w:cs="仿宋_GB2312"/>
          <w:color w:val="000000"/>
          <w:kern w:val="0"/>
          <w:sz w:val="28"/>
          <w:szCs w:val="28"/>
        </w:rPr>
        <w:t>（1）采购人与中标人将根据《中华人民共和国</w:t>
      </w:r>
      <w:r>
        <w:rPr>
          <w:rFonts w:hint="eastAsia" w:ascii="仿宋" w:hAnsi="仿宋" w:eastAsia="仿宋" w:cs="仿宋_GB2312"/>
          <w:color w:val="000000"/>
          <w:kern w:val="0"/>
          <w:sz w:val="28"/>
          <w:szCs w:val="28"/>
        </w:rPr>
        <w:t>民法典</w:t>
      </w:r>
      <w:r>
        <w:rPr>
          <w:rFonts w:ascii="仿宋" w:hAnsi="仿宋" w:eastAsia="仿宋" w:cs="仿宋_GB2312"/>
          <w:color w:val="000000"/>
          <w:kern w:val="0"/>
          <w:sz w:val="28"/>
          <w:szCs w:val="28"/>
        </w:rPr>
        <w:t>》的规定，依据招标文件和中标人的投标文件签订书面合同</w:t>
      </w:r>
      <w:r>
        <w:rPr>
          <w:rFonts w:hint="eastAsia" w:ascii="仿宋" w:hAnsi="仿宋" w:eastAsia="仿宋" w:cs="仿宋_GB2312"/>
          <w:color w:val="000000"/>
          <w:kern w:val="0"/>
          <w:sz w:val="28"/>
          <w:szCs w:val="28"/>
        </w:rPr>
        <w:t>。</w:t>
      </w:r>
    </w:p>
    <w:p>
      <w:pPr>
        <w:spacing w:line="360" w:lineRule="auto"/>
        <w:ind w:firstLine="500"/>
        <w:rPr>
          <w:rFonts w:ascii="仿宋" w:hAnsi="仿宋" w:eastAsia="仿宋" w:cs="仿宋_GB2312"/>
          <w:color w:val="000000"/>
          <w:kern w:val="0"/>
          <w:sz w:val="28"/>
          <w:szCs w:val="28"/>
        </w:rPr>
      </w:pPr>
      <w:r>
        <w:rPr>
          <w:rFonts w:ascii="仿宋" w:hAnsi="仿宋" w:eastAsia="仿宋" w:cs="仿宋_GB2312"/>
          <w:color w:val="000000"/>
          <w:kern w:val="0"/>
          <w:sz w:val="28"/>
          <w:szCs w:val="28"/>
        </w:rPr>
        <w:t>（2） 中标人应当按照合同约定履行义务，完成中标项目各项工作，不得将中标项目转让（转包）给他人。</w:t>
      </w:r>
      <w:bookmarkStart w:id="24" w:name="_Toc360457880"/>
      <w:bookmarkStart w:id="25" w:name="_Toc345423469"/>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r>
        <w:rPr>
          <w:rFonts w:ascii="仿宋" w:hAnsi="仿宋" w:eastAsia="仿宋" w:cs="仿宋_GB2312"/>
          <w:b w:val="0"/>
          <w:bCs w:val="0"/>
          <w:color w:val="000000"/>
          <w:kern w:val="0"/>
          <w:sz w:val="28"/>
          <w:szCs w:val="28"/>
        </w:rPr>
        <w:t>六、质疑</w:t>
      </w:r>
      <w:bookmarkEnd w:id="24"/>
      <w:bookmarkEnd w:id="25"/>
    </w:p>
    <w:p>
      <w:pPr>
        <w:widowControl/>
        <w:spacing w:line="360" w:lineRule="auto"/>
        <w:ind w:firstLine="560" w:firstLineChars="200"/>
        <w:jc w:val="left"/>
        <w:rPr>
          <w:rFonts w:ascii="仿宋" w:hAnsi="仿宋" w:eastAsia="仿宋" w:cs="仿宋_GB2312"/>
          <w:color w:val="000000"/>
          <w:kern w:val="0"/>
          <w:sz w:val="28"/>
          <w:szCs w:val="28"/>
        </w:rPr>
      </w:pPr>
      <w:bookmarkStart w:id="26" w:name="_Toc345423470"/>
      <w:bookmarkStart w:id="27" w:name="_Toc360457881"/>
      <w:r>
        <w:rPr>
          <w:rFonts w:hint="eastAsia" w:ascii="仿宋" w:hAnsi="仿宋" w:eastAsia="仿宋" w:cs="仿宋_GB2312"/>
          <w:color w:val="000000"/>
          <w:kern w:val="0"/>
          <w:sz w:val="28"/>
          <w:szCs w:val="28"/>
        </w:rPr>
        <w:t>1、供应商认为采购文件、采购过程、中标或者成交结果使自己的权益受到损害的，可以在知道或者应知其权益受到损害之日起7个工作日内，以书面形式提出质疑。</w:t>
      </w:r>
      <w:r>
        <w:rPr>
          <w:rFonts w:hint="eastAsia" w:ascii="仿宋" w:hAnsi="仿宋" w:eastAsia="仿宋" w:cs="仿宋_GB2312"/>
          <w:b/>
          <w:color w:val="000000"/>
          <w:kern w:val="0"/>
          <w:sz w:val="28"/>
          <w:szCs w:val="28"/>
          <w:u w:val="single"/>
        </w:rPr>
        <w:t>对采购文件需求条款、评分标准等内容的质疑向采购人提出，对开评标程序的质疑向采购代理机构提出。</w:t>
      </w:r>
      <w:r>
        <w:rPr>
          <w:rFonts w:hint="eastAsia" w:ascii="仿宋" w:hAnsi="仿宋" w:eastAsia="仿宋" w:cs="仿宋_GB2312"/>
          <w:color w:val="000000"/>
          <w:kern w:val="0"/>
          <w:sz w:val="28"/>
          <w:szCs w:val="28"/>
        </w:rPr>
        <w:t>供应商须在法定质疑期内一次性提出针对同一采购程序环节的质疑。</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3、供应商提出质疑应当提交质疑函和必要的证明材料。质疑函应当包括下列内容：</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a供应商的姓名或者名称、地址、邮编、联系人及联系电话；</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b质疑项目的名称、编号；</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c具体、明确的质疑事项和与质疑事项相关的请求；</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d事实依据；</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e必要的法律依据；</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f提出质疑的日期。</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供应商为自然人的，应当由本人签字；供应商为法人或其他组织的，应当由法定代表人、主要负责人，或者其授权代表签字或者盖章，并加盖公章。</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（质疑函范本可从财政部网站下载）</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4、采购人、采购代理机构将在收到质疑函后7个工作日内作出答复，并以书面形式通知质疑供应商。质疑答复的内容不得涉及商业秘密。</w:t>
      </w:r>
    </w:p>
    <w:p>
      <w:pPr>
        <w:widowControl/>
        <w:spacing w:line="360" w:lineRule="auto"/>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质疑供应商对采购人、采购代理机构的答复不满意，或者采购人、采购代理机构未在规定时间内作出答复的，可以在答复期满后15个工作日内向同级政府采购监督管理部门提起投诉（联系方式、地址等见招标公告）。</w:t>
      </w:r>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r>
        <w:rPr>
          <w:rFonts w:ascii="仿宋" w:hAnsi="仿宋" w:eastAsia="仿宋" w:cs="仿宋_GB2312"/>
          <w:b w:val="0"/>
          <w:bCs w:val="0"/>
          <w:color w:val="000000"/>
          <w:kern w:val="0"/>
          <w:sz w:val="28"/>
          <w:szCs w:val="28"/>
        </w:rPr>
        <w:t>七、保密和披露</w:t>
      </w:r>
      <w:bookmarkEnd w:id="26"/>
      <w:bookmarkEnd w:id="27"/>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1、投标人自购买招标文件之日起，须承诺承担本招标项目下保密义务，不得将因本次招标获得的信息向第三方外传。</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2、招标方有权将投标人提供的所有资料向其他政府部门或有关的非政府机构负责评审标书的人员或与评标有关的人员披露。</w:t>
      </w:r>
    </w:p>
    <w:p>
      <w:pPr>
        <w:spacing w:line="360" w:lineRule="auto"/>
        <w:ind w:firstLine="560" w:firstLineChars="200"/>
        <w:rPr>
          <w:rFonts w:ascii="仿宋" w:hAnsi="仿宋" w:eastAsia="仿宋" w:cs="Arial"/>
          <w:sz w:val="28"/>
          <w:szCs w:val="28"/>
        </w:rPr>
      </w:pPr>
      <w:r>
        <w:rPr>
          <w:rFonts w:ascii="仿宋" w:hAnsi="仿宋" w:eastAsia="仿宋"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pPr>
        <w:pStyle w:val="5"/>
        <w:keepNext w:val="0"/>
        <w:keepLines w:val="0"/>
        <w:spacing w:line="360" w:lineRule="auto"/>
        <w:ind w:firstLine="548" w:firstLineChars="196"/>
        <w:jc w:val="center"/>
        <w:rPr>
          <w:rFonts w:ascii="仿宋" w:hAnsi="仿宋" w:eastAsia="仿宋" w:cs="仿宋_GB2312"/>
          <w:b w:val="0"/>
          <w:bCs w:val="0"/>
          <w:color w:val="000000"/>
          <w:kern w:val="0"/>
          <w:sz w:val="28"/>
          <w:szCs w:val="28"/>
        </w:rPr>
      </w:pPr>
      <w:bookmarkStart w:id="28" w:name="_Toc360457882"/>
      <w:bookmarkStart w:id="29" w:name="_Toc345423471"/>
      <w:r>
        <w:rPr>
          <w:rFonts w:hint="eastAsia" w:ascii="仿宋" w:hAnsi="仿宋" w:eastAsia="仿宋" w:cs="仿宋_GB2312"/>
          <w:b w:val="0"/>
          <w:bCs w:val="0"/>
          <w:color w:val="000000"/>
          <w:kern w:val="0"/>
          <w:sz w:val="28"/>
          <w:szCs w:val="28"/>
        </w:rPr>
        <w:t>八</w:t>
      </w:r>
      <w:r>
        <w:rPr>
          <w:rFonts w:ascii="仿宋" w:hAnsi="仿宋" w:eastAsia="仿宋" w:cs="仿宋_GB2312"/>
          <w:b w:val="0"/>
          <w:bCs w:val="0"/>
          <w:color w:val="000000"/>
          <w:kern w:val="0"/>
          <w:sz w:val="28"/>
          <w:szCs w:val="28"/>
        </w:rPr>
        <w:t>、特别声明</w:t>
      </w:r>
      <w:bookmarkEnd w:id="28"/>
      <w:bookmarkEnd w:id="29"/>
    </w:p>
    <w:p>
      <w:pPr>
        <w:spacing w:line="360" w:lineRule="auto"/>
        <w:ind w:firstLine="482" w:firstLineChars="200"/>
        <w:jc w:val="left"/>
        <w:rPr>
          <w:rFonts w:ascii="仿宋" w:hAnsi="仿宋" w:eastAsia="仿宋" w:cs="仿宋_GB2312"/>
          <w:b/>
          <w:color w:val="000000"/>
          <w:kern w:val="0"/>
          <w:sz w:val="24"/>
          <w:u w:val="single"/>
        </w:rPr>
      </w:pPr>
      <w:r>
        <w:rPr>
          <w:rFonts w:ascii="仿宋" w:hAnsi="仿宋" w:eastAsia="仿宋" w:cs="仿宋_GB2312"/>
          <w:b/>
          <w:color w:val="000000"/>
          <w:kern w:val="0"/>
          <w:sz w:val="24"/>
          <w:u w:val="single"/>
        </w:rPr>
        <w:t>1、最高限价：本次公开招标设有最高限价，最高限价是</w:t>
      </w:r>
      <w:r>
        <w:rPr>
          <w:rFonts w:hint="eastAsia" w:ascii="仿宋" w:hAnsi="仿宋" w:eastAsia="仿宋" w:cs="仿宋_GB2312"/>
          <w:b/>
          <w:color w:val="000000"/>
          <w:kern w:val="0"/>
          <w:sz w:val="24"/>
          <w:u w:val="single"/>
        </w:rPr>
        <w:t>65</w:t>
      </w:r>
      <w:r>
        <w:rPr>
          <w:rFonts w:ascii="仿宋" w:hAnsi="仿宋" w:eastAsia="仿宋" w:cs="仿宋_GB2312"/>
          <w:b/>
          <w:color w:val="000000"/>
          <w:kern w:val="0"/>
          <w:sz w:val="24"/>
          <w:u w:val="single"/>
        </w:rPr>
        <w:t>万元整，超出最高限价的视为无效标。</w:t>
      </w:r>
    </w:p>
    <w:p>
      <w:pPr>
        <w:spacing w:line="360" w:lineRule="auto"/>
        <w:ind w:firstLine="480" w:firstLineChars="200"/>
        <w:jc w:val="left"/>
        <w:rPr>
          <w:rFonts w:ascii="仿宋" w:hAnsi="仿宋" w:eastAsia="仿宋" w:cs="仿宋_GB2312"/>
          <w:color w:val="000000"/>
          <w:kern w:val="0"/>
          <w:sz w:val="24"/>
        </w:rPr>
      </w:pPr>
      <w:bookmarkStart w:id="30" w:name="_Toc437251186"/>
      <w:bookmarkStart w:id="31" w:name="_Toc285440050"/>
      <w:bookmarkStart w:id="32" w:name="_Toc360457883"/>
      <w:bookmarkStart w:id="33" w:name="_Toc345423472"/>
      <w:r>
        <w:rPr>
          <w:rFonts w:hint="eastAsia" w:ascii="仿宋" w:hAnsi="仿宋" w:eastAsia="仿宋" w:cs="仿宋_GB2312"/>
          <w:color w:val="000000"/>
          <w:kern w:val="0"/>
          <w:sz w:val="24"/>
        </w:rPr>
        <w:t>2、中型、小型、微型企业投标的，应当符合以下条件：</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（2）提供本企业制造的货物、承担的工程或者服务，或者提供其他中小企业制造的货物。</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（3）根据财库〔2020〕46号文件规定，符合中小企业划分标准的个体工商户视同中小企业。</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（4）根据财库〔2014〕68号、财库〔2017〕141号文件规定，监狱企业、残疾人福利性单位视同小型、微型企业。</w:t>
      </w: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ind w:firstLine="480" w:firstLineChars="200"/>
        <w:jc w:val="left"/>
        <w:rPr>
          <w:rFonts w:ascii="仿宋" w:hAnsi="仿宋" w:eastAsia="仿宋" w:cs="仿宋_GB2312"/>
          <w:color w:val="000000"/>
          <w:kern w:val="0"/>
          <w:sz w:val="24"/>
        </w:rPr>
      </w:pPr>
    </w:p>
    <w:p>
      <w:pPr>
        <w:spacing w:line="360" w:lineRule="auto"/>
        <w:jc w:val="left"/>
        <w:rPr>
          <w:rFonts w:ascii="仿宋" w:hAnsi="仿宋" w:eastAsia="仿宋" w:cs="仿宋_GB2312"/>
          <w:color w:val="000000"/>
          <w:kern w:val="0"/>
          <w:sz w:val="24"/>
        </w:rPr>
      </w:pPr>
    </w:p>
    <w:p>
      <w:pPr>
        <w:spacing w:line="360" w:lineRule="auto"/>
        <w:jc w:val="left"/>
        <w:rPr>
          <w:rFonts w:ascii="仿宋" w:hAnsi="仿宋" w:eastAsia="仿宋" w:cs="仿宋_GB2312"/>
          <w:color w:val="000000"/>
          <w:kern w:val="0"/>
          <w:sz w:val="24"/>
        </w:rPr>
      </w:pPr>
    </w:p>
    <w:p>
      <w:pPr>
        <w:pStyle w:val="63"/>
        <w:rPr>
          <w:rStyle w:val="124"/>
          <w:rFonts w:ascii="仿宋_GB2312" w:eastAsia="仿宋_GB2312"/>
          <w:b/>
          <w:sz w:val="36"/>
        </w:rPr>
      </w:pPr>
      <w:bookmarkStart w:id="34" w:name="_Toc150414332"/>
      <w:r>
        <w:rPr>
          <w:rStyle w:val="124"/>
          <w:rFonts w:ascii="仿宋_GB2312" w:eastAsia="仿宋_GB2312"/>
          <w:b/>
          <w:sz w:val="36"/>
        </w:rPr>
        <w:t>第</w:t>
      </w:r>
      <w:r>
        <w:rPr>
          <w:rStyle w:val="124"/>
          <w:rFonts w:hint="eastAsia" w:ascii="仿宋_GB2312" w:eastAsia="仿宋_GB2312"/>
          <w:b/>
          <w:sz w:val="36"/>
        </w:rPr>
        <w:t>五</w:t>
      </w:r>
      <w:r>
        <w:rPr>
          <w:rStyle w:val="124"/>
          <w:rFonts w:ascii="仿宋_GB2312" w:eastAsia="仿宋_GB2312"/>
          <w:b/>
          <w:sz w:val="36"/>
        </w:rPr>
        <w:t xml:space="preserve">部分   </w:t>
      </w:r>
      <w:bookmarkEnd w:id="30"/>
      <w:bookmarkEnd w:id="31"/>
      <w:bookmarkEnd w:id="32"/>
      <w:bookmarkEnd w:id="33"/>
      <w:r>
        <w:rPr>
          <w:rStyle w:val="124"/>
          <w:rFonts w:ascii="仿宋_GB2312" w:eastAsia="仿宋_GB2312"/>
          <w:b/>
          <w:sz w:val="36"/>
        </w:rPr>
        <w:t>开标、评标和定标</w:t>
      </w:r>
      <w:bookmarkEnd w:id="34"/>
    </w:p>
    <w:p>
      <w:pPr>
        <w:autoSpaceDE w:val="0"/>
        <w:autoSpaceDN w:val="0"/>
        <w:adjustRightInd w:val="0"/>
        <w:spacing w:line="360" w:lineRule="auto"/>
        <w:jc w:val="center"/>
        <w:outlineLvl w:val="0"/>
        <w:rPr>
          <w:rFonts w:ascii="仿宋" w:hAnsi="仿宋" w:eastAsia="仿宋" w:cs="仿宋_GB2312"/>
          <w:color w:val="000000"/>
          <w:kern w:val="0"/>
          <w:sz w:val="28"/>
          <w:szCs w:val="28"/>
        </w:rPr>
      </w:pPr>
    </w:p>
    <w:p>
      <w:pPr>
        <w:pStyle w:val="37"/>
        <w:snapToGrid w:val="0"/>
        <w:spacing w:before="120" w:after="120"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一、电子招投标开标及评审程序</w:t>
      </w:r>
    </w:p>
    <w:p>
      <w:pPr>
        <w:spacing w:line="360" w:lineRule="auto"/>
        <w:ind w:firstLine="560" w:firstLineChars="200"/>
        <w:rPr>
          <w:rFonts w:ascii="仿宋" w:hAnsi="仿宋" w:eastAsia="仿宋" w:cs="仿宋_GB2312"/>
          <w:color w:val="000000"/>
          <w:kern w:val="0"/>
          <w:sz w:val="28"/>
          <w:szCs w:val="28"/>
          <w:u w:val="single"/>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.1投标截止时间后，投标人登录政采云平台，用“项目采购-开标评标”功能对电子投标文件进行在线解密。</w:t>
      </w:r>
      <w:r>
        <w:rPr>
          <w:rFonts w:ascii="仿宋" w:hAnsi="仿宋" w:eastAsia="仿宋" w:cs="仿宋_GB2312"/>
          <w:color w:val="000000"/>
          <w:kern w:val="0"/>
          <w:sz w:val="28"/>
          <w:szCs w:val="28"/>
          <w:u w:val="single"/>
        </w:rPr>
        <w:t>在线解密电子投标文件时间为开标时间起半个小时内。</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.2评标委员会对资格和商务技术响应文件进行评审；</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.3在系统上公开资格和商务技术评审结果；</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.4在系统上公开报价开标情况；</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.5评标委员会对报价情况进行评审；</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.6在系统上公布评审结果。</w:t>
      </w:r>
    </w:p>
    <w:p>
      <w:pPr>
        <w:pStyle w:val="37"/>
        <w:snapToGrid w:val="0"/>
        <w:spacing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特别说明：政采云公司如对电子化开标及评审程序有调整的，按调整后的程序操作。</w:t>
      </w:r>
    </w:p>
    <w:p>
      <w:pPr>
        <w:spacing w:line="360" w:lineRule="auto"/>
        <w:ind w:firstLine="548" w:firstLineChars="196"/>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pPr>
        <w:widowControl/>
        <w:spacing w:line="360" w:lineRule="auto"/>
        <w:ind w:left="548" w:leftChars="261"/>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.1电子交易平台发生故障而无法登录访问的； </w:t>
      </w:r>
      <w:r>
        <w:rPr>
          <w:rFonts w:ascii="仿宋" w:hAnsi="仿宋" w:eastAsia="仿宋" w:cs="仿宋_GB2312"/>
          <w:color w:val="000000"/>
          <w:kern w:val="0"/>
          <w:sz w:val="28"/>
          <w:szCs w:val="28"/>
        </w:rPr>
        <w:br w:type="textWrapping"/>
      </w: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.2电子交易平台应用或数据库出现错误，不能进行正常操作的；</w:t>
      </w:r>
    </w:p>
    <w:p>
      <w:pPr>
        <w:widowControl/>
        <w:spacing w:line="360" w:lineRule="auto"/>
        <w:ind w:firstLine="548" w:firstLineChars="196"/>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.3电子交易平台发现严重安全漏洞，有潜在泄密危险的；</w:t>
      </w:r>
    </w:p>
    <w:p>
      <w:pPr>
        <w:widowControl/>
        <w:spacing w:line="360" w:lineRule="auto"/>
        <w:ind w:firstLine="548" w:firstLineChars="196"/>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.4病毒发作导致不能进行正常操作的； </w:t>
      </w:r>
    </w:p>
    <w:p>
      <w:pPr>
        <w:widowControl/>
        <w:spacing w:line="360" w:lineRule="auto"/>
        <w:ind w:firstLine="548" w:firstLineChars="196"/>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.5其他无法保证电子交易的公平、公正和安全的情况。</w:t>
      </w:r>
    </w:p>
    <w:p>
      <w:pPr>
        <w:pStyle w:val="37"/>
        <w:snapToGrid w:val="0"/>
        <w:spacing w:before="120" w:after="120"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二、组织评标程序</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1、</w:t>
      </w:r>
      <w:r>
        <w:rPr>
          <w:rFonts w:ascii="仿宋" w:hAnsi="仿宋" w:eastAsia="仿宋" w:cs="仿宋_GB2312"/>
          <w:color w:val="000000"/>
          <w:kern w:val="0"/>
          <w:szCs w:val="28"/>
        </w:rPr>
        <w:t>招标方将按照招标文件规定的时间、地点和程序组织评标，各评审专家及相关人员应参加评审活动并接受核验、签到，无关人员不得进入评审现场。</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2、</w:t>
      </w:r>
      <w:r>
        <w:rPr>
          <w:rFonts w:ascii="仿宋" w:hAnsi="仿宋" w:eastAsia="仿宋" w:cs="仿宋_GB2312"/>
          <w:color w:val="000000"/>
          <w:kern w:val="0"/>
          <w:szCs w:val="28"/>
        </w:rPr>
        <w:t>采购人可以在评标前说明项目背景和采购需求，说明内容不得含有歧视性、倾向性意见，不得超出招标文件所述范围。</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3、市政府采购中心依法组建评标委员会，推选评标委员会组长。</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4</w:t>
      </w:r>
      <w:r>
        <w:rPr>
          <w:rFonts w:ascii="仿宋" w:hAnsi="仿宋" w:eastAsia="仿宋" w:cs="仿宋_GB2312"/>
          <w:color w:val="000000"/>
          <w:kern w:val="0"/>
          <w:szCs w:val="28"/>
        </w:rPr>
        <w:t>、评标委员会组长组织评审人员独立评审。</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4.1</w:t>
      </w:r>
      <w:r>
        <w:rPr>
          <w:rFonts w:ascii="仿宋" w:hAnsi="仿宋" w:eastAsia="仿宋" w:cs="仿宋_GB2312"/>
          <w:color w:val="000000"/>
          <w:kern w:val="0"/>
          <w:szCs w:val="28"/>
        </w:rPr>
        <w:t>资格性审查</w:t>
      </w:r>
    </w:p>
    <w:p>
      <w:pPr>
        <w:spacing w:line="360" w:lineRule="auto"/>
        <w:ind w:firstLine="5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评标委员会</w:t>
      </w:r>
      <w:r>
        <w:rPr>
          <w:rFonts w:ascii="仿宋" w:hAnsi="仿宋" w:eastAsia="仿宋" w:cs="仿宋_GB2312"/>
          <w:color w:val="000000"/>
          <w:kern w:val="0"/>
          <w:sz w:val="28"/>
          <w:szCs w:val="28"/>
        </w:rPr>
        <w:t>依据法律、法规和招标文件规定，对投标文件中的资格证明等进行审查，以确定投标人是否具备投标资格。资格性审查资料表如下：</w:t>
      </w:r>
    </w:p>
    <w:tbl>
      <w:tblPr>
        <w:tblStyle w:val="66"/>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49"/>
        <w:gridCol w:w="297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序号</w:t>
            </w:r>
          </w:p>
        </w:tc>
        <w:tc>
          <w:tcPr>
            <w:tcW w:w="2649"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审查因素</w:t>
            </w:r>
          </w:p>
        </w:tc>
        <w:tc>
          <w:tcPr>
            <w:tcW w:w="2970"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审查内容</w:t>
            </w:r>
          </w:p>
        </w:tc>
        <w:tc>
          <w:tcPr>
            <w:tcW w:w="3098" w:type="dxa"/>
            <w:vAlign w:val="center"/>
          </w:tcPr>
          <w:p>
            <w:pPr>
              <w:spacing w:line="360" w:lineRule="auto"/>
              <w:jc w:val="center"/>
              <w:rPr>
                <w:rFonts w:ascii="仿宋" w:hAnsi="仿宋" w:eastAsia="仿宋" w:cs="仿宋_GB2312"/>
                <w:color w:val="000000"/>
                <w:kern w:val="0"/>
                <w:sz w:val="24"/>
              </w:rPr>
            </w:pPr>
            <w:r>
              <w:rPr>
                <w:rFonts w:ascii="仿宋" w:hAnsi="仿宋" w:eastAsia="仿宋" w:cs="仿宋_GB2312"/>
                <w:color w:val="000000"/>
                <w:kern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1</w:t>
            </w:r>
          </w:p>
        </w:tc>
        <w:tc>
          <w:tcPr>
            <w:tcW w:w="2649" w:type="dxa"/>
            <w:vAlign w:val="center"/>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法定代表人</w:t>
            </w:r>
            <w:r>
              <w:rPr>
                <w:rFonts w:ascii="仿宋" w:hAnsi="仿宋" w:eastAsia="仿宋" w:cs="仿宋_GB2312"/>
                <w:color w:val="000000"/>
                <w:kern w:val="0"/>
                <w:sz w:val="24"/>
              </w:rPr>
              <w:t>授权书</w:t>
            </w:r>
          </w:p>
        </w:tc>
        <w:tc>
          <w:tcPr>
            <w:tcW w:w="2970" w:type="dxa"/>
            <w:vAlign w:val="center"/>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法定代表人</w:t>
            </w:r>
            <w:r>
              <w:rPr>
                <w:rFonts w:ascii="仿宋" w:hAnsi="仿宋" w:eastAsia="仿宋" w:cs="仿宋_GB2312"/>
                <w:color w:val="000000"/>
                <w:kern w:val="0"/>
                <w:sz w:val="24"/>
              </w:rPr>
              <w:t xml:space="preserve">授权书 </w:t>
            </w:r>
          </w:p>
        </w:tc>
        <w:tc>
          <w:tcPr>
            <w:tcW w:w="3098" w:type="dxa"/>
            <w:vAlign w:val="center"/>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提供</w:t>
            </w:r>
            <w:r>
              <w:rPr>
                <w:rFonts w:ascii="仿宋" w:hAnsi="仿宋" w:eastAsia="仿宋" w:cs="仿宋_GB2312"/>
                <w:color w:val="000000"/>
                <w:kern w:val="0"/>
                <w:sz w:val="24"/>
              </w:rPr>
              <w:t>法定代表人授权委托书</w:t>
            </w:r>
            <w:r>
              <w:rPr>
                <w:rFonts w:hint="eastAsia" w:ascii="仿宋" w:hAnsi="仿宋" w:eastAsia="仿宋" w:cs="仿宋_GB2312"/>
                <w:color w:val="000000"/>
                <w:kern w:val="0"/>
                <w:sz w:val="24"/>
              </w:rPr>
              <w:t>，</w:t>
            </w:r>
            <w:r>
              <w:rPr>
                <w:rFonts w:ascii="仿宋" w:hAnsi="仿宋" w:eastAsia="仿宋" w:cs="仿宋_GB2312"/>
                <w:bCs/>
                <w:color w:val="000000"/>
                <w:kern w:val="0"/>
                <w:sz w:val="24"/>
                <w:u w:val="single"/>
              </w:rPr>
              <w:t>格式以附件为准</w:t>
            </w:r>
            <w:r>
              <w:rPr>
                <w:rFonts w:hint="eastAsia" w:ascii="仿宋" w:hAnsi="仿宋" w:eastAsia="仿宋" w:cs="仿宋_GB2312"/>
                <w:bCs/>
                <w:color w:val="000000"/>
                <w:kern w:val="0"/>
                <w:sz w:val="24"/>
                <w:u w:val="single"/>
              </w:rPr>
              <w:t>，</w:t>
            </w:r>
            <w:r>
              <w:rPr>
                <w:rFonts w:ascii="仿宋" w:hAnsi="仿宋" w:eastAsia="仿宋" w:cs="仿宋_GB2312"/>
                <w:bCs/>
                <w:color w:val="000000"/>
                <w:kern w:val="0"/>
                <w:sz w:val="24"/>
                <w:u w:val="single"/>
              </w:rPr>
              <w:t>注意按要求签署盖章</w:t>
            </w:r>
            <w:r>
              <w:rPr>
                <w:rFonts w:hint="eastAsia" w:ascii="仿宋" w:hAnsi="仿宋" w:eastAsia="仿宋" w:cs="仿宋_GB2312"/>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2</w:t>
            </w:r>
          </w:p>
        </w:tc>
        <w:tc>
          <w:tcPr>
            <w:tcW w:w="2649"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具有独立承担民事责任的能力</w:t>
            </w:r>
          </w:p>
        </w:tc>
        <w:tc>
          <w:tcPr>
            <w:tcW w:w="2970"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 xml:space="preserve">营业执照（副本）复印件 </w:t>
            </w:r>
          </w:p>
        </w:tc>
        <w:tc>
          <w:tcPr>
            <w:tcW w:w="3098"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75"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3</w:t>
            </w:r>
          </w:p>
        </w:tc>
        <w:tc>
          <w:tcPr>
            <w:tcW w:w="2649" w:type="dxa"/>
            <w:vAlign w:val="center"/>
          </w:tcPr>
          <w:p>
            <w:pPr>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rPr>
              <w:t>投标资格及各项承诺</w:t>
            </w:r>
          </w:p>
        </w:tc>
        <w:tc>
          <w:tcPr>
            <w:tcW w:w="2970"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投标函</w:t>
            </w:r>
          </w:p>
        </w:tc>
        <w:tc>
          <w:tcPr>
            <w:tcW w:w="3098"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提供投标函</w:t>
            </w:r>
            <w:r>
              <w:rPr>
                <w:rFonts w:hint="eastAsia" w:ascii="仿宋" w:hAnsi="仿宋" w:eastAsia="仿宋" w:cs="仿宋_GB2312"/>
                <w:color w:val="000000"/>
                <w:kern w:val="0"/>
                <w:sz w:val="24"/>
              </w:rPr>
              <w:t>，</w:t>
            </w:r>
            <w:r>
              <w:rPr>
                <w:rFonts w:hint="eastAsia" w:ascii="仿宋" w:hAnsi="仿宋" w:eastAsia="仿宋" w:cs="仿宋_GB2312"/>
                <w:color w:val="000000"/>
                <w:kern w:val="0"/>
                <w:sz w:val="24"/>
                <w:u w:val="single"/>
              </w:rPr>
              <w:t>格式以附件为准，注意按要求签署盖章。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 w:hAnsi="仿宋" w:eastAsia="仿宋" w:cs="仿宋_GB2312"/>
                <w:color w:val="000000"/>
                <w:kern w:val="0"/>
                <w:sz w:val="24"/>
              </w:rPr>
            </w:pPr>
            <w:r>
              <w:rPr>
                <w:rFonts w:hint="eastAsia" w:ascii="仿宋" w:hAnsi="仿宋" w:eastAsia="仿宋" w:cs="仿宋_GB2312"/>
                <w:color w:val="000000"/>
                <w:kern w:val="0"/>
                <w:sz w:val="24"/>
              </w:rPr>
              <w:t>4</w:t>
            </w:r>
          </w:p>
        </w:tc>
        <w:tc>
          <w:tcPr>
            <w:tcW w:w="2649"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诚信记录</w:t>
            </w:r>
          </w:p>
        </w:tc>
        <w:tc>
          <w:tcPr>
            <w:tcW w:w="2970"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投标人“信用中国”网站、中国政府采购网信用记录情况无不良记录。</w:t>
            </w:r>
          </w:p>
        </w:tc>
        <w:tc>
          <w:tcPr>
            <w:tcW w:w="3098" w:type="dxa"/>
            <w:vAlign w:val="center"/>
          </w:tcPr>
          <w:p>
            <w:pPr>
              <w:spacing w:line="360" w:lineRule="auto"/>
              <w:rPr>
                <w:rFonts w:ascii="仿宋" w:hAnsi="仿宋" w:eastAsia="仿宋" w:cs="仿宋_GB2312"/>
                <w:color w:val="000000"/>
                <w:kern w:val="0"/>
                <w:sz w:val="24"/>
              </w:rPr>
            </w:pPr>
            <w:r>
              <w:rPr>
                <w:rFonts w:ascii="仿宋" w:hAnsi="仿宋" w:eastAsia="仿宋"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pPr>
        <w:spacing w:line="360" w:lineRule="auto"/>
        <w:ind w:firstLine="560" w:firstLineChars="200"/>
        <w:jc w:val="left"/>
        <w:outlineLvl w:val="1"/>
        <w:rPr>
          <w:rFonts w:ascii="仿宋" w:hAnsi="仿宋" w:eastAsia="仿宋" w:cs="仿宋_GB2312"/>
          <w:color w:val="000000"/>
          <w:kern w:val="0"/>
          <w:sz w:val="28"/>
          <w:szCs w:val="28"/>
        </w:rPr>
      </w:pPr>
      <w:r>
        <w:rPr>
          <w:rFonts w:ascii="仿宋" w:hAnsi="仿宋" w:eastAsia="仿宋"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 w:hAnsi="仿宋" w:eastAsia="仿宋" w:cs="仿宋_GB2312"/>
          <w:b/>
          <w:color w:val="000000"/>
          <w:kern w:val="0"/>
          <w:sz w:val="28"/>
          <w:szCs w:val="28"/>
          <w:u w:val="single"/>
        </w:rPr>
        <w:t>资格审查不合格的为无效的投标</w:t>
      </w:r>
      <w:r>
        <w:rPr>
          <w:rFonts w:ascii="仿宋" w:hAnsi="仿宋" w:eastAsia="仿宋" w:cs="仿宋_GB2312"/>
          <w:color w:val="000000"/>
          <w:kern w:val="0"/>
          <w:sz w:val="28"/>
          <w:szCs w:val="28"/>
        </w:rPr>
        <w:t>。</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4.2</w:t>
      </w:r>
      <w:r>
        <w:rPr>
          <w:rFonts w:ascii="仿宋" w:hAnsi="仿宋" w:eastAsia="仿宋" w:cs="仿宋_GB2312"/>
          <w:color w:val="000000"/>
          <w:kern w:val="0"/>
          <w:szCs w:val="28"/>
        </w:rPr>
        <w:t>符合性审查</w:t>
      </w:r>
    </w:p>
    <w:p>
      <w:pPr>
        <w:spacing w:line="360" w:lineRule="auto"/>
        <w:ind w:firstLine="500"/>
        <w:rPr>
          <w:rFonts w:ascii="仿宋" w:hAnsi="仿宋" w:eastAsia="仿宋" w:cs="仿宋_GB2312"/>
          <w:color w:val="000000"/>
          <w:kern w:val="0"/>
          <w:sz w:val="28"/>
          <w:szCs w:val="28"/>
        </w:rPr>
      </w:pPr>
      <w:r>
        <w:rPr>
          <w:rFonts w:ascii="仿宋" w:hAnsi="仿宋" w:eastAsia="仿宋"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00"/>
        <w:rPr>
          <w:rFonts w:ascii="仿宋" w:hAnsi="仿宋" w:eastAsia="仿宋"/>
        </w:rPr>
      </w:pPr>
      <w:r>
        <w:rPr>
          <w:rFonts w:hint="eastAsia" w:ascii="仿宋" w:hAnsi="仿宋" w:eastAsia="仿宋" w:cs="仿宋_GB2312"/>
          <w:b/>
          <w:bCs/>
          <w:color w:val="000000"/>
          <w:kern w:val="0"/>
          <w:sz w:val="28"/>
          <w:szCs w:val="28"/>
          <w:u w:val="single"/>
        </w:rPr>
        <w:t>若投标人递交的电子投标文件内容未指向指定链接、模块，导致投标文件被误读、漏读或者查找不到相关内容的</w:t>
      </w:r>
      <w:r>
        <w:rPr>
          <w:rFonts w:ascii="仿宋" w:hAnsi="仿宋" w:eastAsia="仿宋" w:cs="仿宋_GB2312"/>
          <w:b/>
          <w:bCs/>
          <w:color w:val="000000"/>
          <w:kern w:val="0"/>
          <w:sz w:val="28"/>
          <w:szCs w:val="28"/>
          <w:u w:val="single"/>
        </w:rPr>
        <w:t>，</w:t>
      </w:r>
      <w:r>
        <w:rPr>
          <w:rFonts w:hint="eastAsia" w:ascii="仿宋" w:hAnsi="仿宋" w:eastAsia="仿宋" w:cs="仿宋_GB2312"/>
          <w:b/>
          <w:bCs/>
          <w:color w:val="000000"/>
          <w:kern w:val="0"/>
          <w:sz w:val="28"/>
          <w:szCs w:val="28"/>
          <w:u w:val="single"/>
        </w:rPr>
        <w:t>由投标人自行承担可能被视作无效标的风险</w:t>
      </w:r>
      <w:r>
        <w:rPr>
          <w:rFonts w:ascii="仿宋" w:hAnsi="仿宋" w:eastAsia="仿宋" w:cs="仿宋_GB2312"/>
          <w:b/>
          <w:bCs/>
          <w:color w:val="000000"/>
          <w:kern w:val="0"/>
          <w:sz w:val="28"/>
          <w:szCs w:val="28"/>
          <w:u w:val="single"/>
        </w:rPr>
        <w:t>。</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4.3</w:t>
      </w:r>
      <w:r>
        <w:rPr>
          <w:rFonts w:ascii="仿宋" w:hAnsi="仿宋" w:eastAsia="仿宋" w:cs="仿宋_GB2312"/>
          <w:color w:val="000000"/>
          <w:kern w:val="0"/>
          <w:szCs w:val="28"/>
        </w:rPr>
        <w:t>技术和商务评审</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评审人员按招标文件规定的评审方法和评审标准，依法独立对投标人投标文件进行评估、比较，并给予评价或打分，不受任何单位和个人的干预。</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hint="eastAsia" w:ascii="仿宋" w:hAnsi="仿宋" w:eastAsia="仿宋" w:cs="仿宋_GB2312"/>
          <w:color w:val="000000"/>
          <w:kern w:val="0"/>
          <w:szCs w:val="28"/>
        </w:rPr>
        <w:t>、</w:t>
      </w:r>
      <w:r>
        <w:rPr>
          <w:rFonts w:ascii="仿宋" w:hAnsi="仿宋" w:eastAsia="仿宋" w:cs="仿宋_GB2312"/>
          <w:color w:val="000000"/>
          <w:kern w:val="0"/>
          <w:szCs w:val="28"/>
        </w:rPr>
        <w:t>说明或纠正</w:t>
      </w:r>
      <w:r>
        <w:rPr>
          <w:rFonts w:hint="eastAsia" w:ascii="仿宋" w:hAnsi="仿宋" w:eastAsia="仿宋" w:cs="仿宋_GB2312"/>
          <w:color w:val="000000"/>
          <w:kern w:val="0"/>
          <w:szCs w:val="28"/>
        </w:rPr>
        <w:t>。该过程由</w:t>
      </w:r>
      <w:r>
        <w:rPr>
          <w:rFonts w:ascii="仿宋" w:hAnsi="仿宋" w:eastAsia="仿宋" w:cs="仿宋_GB2312"/>
          <w:color w:val="000000"/>
          <w:kern w:val="0"/>
          <w:szCs w:val="28"/>
        </w:rPr>
        <w:t>投标人与评审小组通过电子交易平台交换数据电文的形式进行</w:t>
      </w:r>
      <w:r>
        <w:rPr>
          <w:rFonts w:hint="eastAsia" w:ascii="仿宋" w:hAnsi="仿宋" w:eastAsia="仿宋" w:cs="仿宋_GB2312"/>
          <w:color w:val="000000"/>
          <w:kern w:val="0"/>
          <w:szCs w:val="28"/>
        </w:rPr>
        <w:t>，给予投标人提交澄清说明或补正的时间不少于半小时，投标人已经明确表示澄清说明或补正完毕的除外。</w:t>
      </w:r>
      <w:r>
        <w:rPr>
          <w:rFonts w:ascii="仿宋" w:hAnsi="仿宋" w:eastAsia="仿宋" w:cs="仿宋_GB2312"/>
          <w:color w:val="000000"/>
          <w:kern w:val="0"/>
          <w:szCs w:val="28"/>
        </w:rPr>
        <w:t>澄清说明</w:t>
      </w:r>
      <w:r>
        <w:rPr>
          <w:rFonts w:hint="eastAsia" w:ascii="仿宋" w:hAnsi="仿宋" w:eastAsia="仿宋" w:cs="仿宋_GB2312"/>
          <w:color w:val="000000"/>
          <w:kern w:val="0"/>
          <w:szCs w:val="28"/>
        </w:rPr>
        <w:t>内容</w:t>
      </w:r>
      <w:r>
        <w:rPr>
          <w:rFonts w:ascii="仿宋" w:hAnsi="仿宋" w:eastAsia="仿宋" w:cs="仿宋_GB2312"/>
          <w:color w:val="000000"/>
          <w:kern w:val="0"/>
          <w:szCs w:val="28"/>
        </w:rPr>
        <w:t>不得超出投标文件的范围或者改变投标文件的实质性内容。</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具体操作步骤及要点：</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 供应商在“询标澄清-待办理”标签页下选择状态为“待澄清”的项目，点击操作栏【澄清】；</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 查看询标函内容，在澄清截止时间前上传澄清文件并对澄清文件进行签章（注：澄清文件必须以 PDF 格式上传，文件大小：50M）；</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 签章完成，文件名称处显示“已签章”，供应商可“撤回签章”修改澄清函和“查看文件”；</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完成状态：供应商澄清文件提交成功后，在“询标澄清-全部”标签页下显示状态为“已澄清”。</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4.4</w:t>
      </w:r>
      <w:r>
        <w:rPr>
          <w:rFonts w:ascii="仿宋" w:hAnsi="仿宋" w:eastAsia="仿宋" w:cs="仿宋_GB2312"/>
          <w:color w:val="000000"/>
          <w:kern w:val="0"/>
          <w:szCs w:val="28"/>
        </w:rPr>
        <w:t>评审人员需对评审结果进行确认。如发现分值汇总计算错误、分项评分超出评分标准范围、客观评分不一致以及存在评分畸高、畸低情形（其总评分偏离平均分30%以上的）的，应由相关人员当场改正或作出说明；拒不改正又不作说明的，由现场监督员据实记录。</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4.5</w:t>
      </w:r>
      <w:r>
        <w:rPr>
          <w:rFonts w:ascii="仿宋" w:hAnsi="仿宋" w:eastAsia="仿宋" w:cs="仿宋_GB2312"/>
          <w:color w:val="000000"/>
          <w:kern w:val="0"/>
          <w:szCs w:val="28"/>
        </w:rPr>
        <w:t xml:space="preserve">评标委员会根据评审汇总情况和招标文件规定确定中标候选供应商排序名单。 </w:t>
      </w:r>
    </w:p>
    <w:p>
      <w:pPr>
        <w:pStyle w:val="37"/>
        <w:snapToGrid w:val="0"/>
        <w:spacing w:before="120" w:after="120" w:line="360" w:lineRule="auto"/>
        <w:ind w:firstLine="548" w:firstLineChars="196"/>
        <w:rPr>
          <w:rFonts w:ascii="仿宋" w:hAnsi="仿宋" w:eastAsia="仿宋" w:cs="仿宋_GB2312"/>
          <w:color w:val="000000"/>
          <w:kern w:val="0"/>
          <w:szCs w:val="28"/>
        </w:rPr>
      </w:pPr>
      <w:r>
        <w:rPr>
          <w:rFonts w:hint="eastAsia" w:ascii="仿宋" w:hAnsi="仿宋" w:eastAsia="仿宋" w:cs="仿宋_GB2312"/>
          <w:color w:val="000000"/>
          <w:kern w:val="0"/>
          <w:szCs w:val="28"/>
        </w:rPr>
        <w:t>三</w:t>
      </w:r>
      <w:r>
        <w:rPr>
          <w:rFonts w:ascii="仿宋" w:hAnsi="仿宋" w:eastAsia="仿宋" w:cs="仿宋_GB2312"/>
          <w:color w:val="000000"/>
          <w:kern w:val="0"/>
          <w:szCs w:val="28"/>
        </w:rPr>
        <w:t>、评审原则</w:t>
      </w:r>
    </w:p>
    <w:p>
      <w:pPr>
        <w:pStyle w:val="37"/>
        <w:snapToGrid w:val="0"/>
        <w:spacing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7"/>
        <w:snapToGrid w:val="0"/>
        <w:spacing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r>
        <w:rPr>
          <w:rFonts w:hint="eastAsia" w:ascii="仿宋" w:hAnsi="仿宋" w:eastAsia="仿宋" w:cs="仿宋_GB2312"/>
          <w:color w:val="000000"/>
          <w:kern w:val="0"/>
          <w:szCs w:val="28"/>
        </w:rPr>
        <w:t>。</w:t>
      </w:r>
    </w:p>
    <w:p>
      <w:pPr>
        <w:pStyle w:val="37"/>
        <w:snapToGrid w:val="0"/>
        <w:spacing w:line="360" w:lineRule="auto"/>
        <w:ind w:firstLine="548" w:firstLineChars="196"/>
        <w:rPr>
          <w:rFonts w:ascii="仿宋" w:hAnsi="仿宋" w:eastAsia="仿宋" w:cs="仿宋_GB2312"/>
          <w:color w:val="000000"/>
          <w:kern w:val="0"/>
          <w:szCs w:val="28"/>
        </w:rPr>
      </w:pPr>
      <w:r>
        <w:rPr>
          <w:rFonts w:ascii="仿宋" w:hAnsi="仿宋" w:eastAsia="仿宋"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7"/>
        <w:snapToGrid w:val="0"/>
        <w:spacing w:before="120" w:after="120" w:line="360" w:lineRule="auto"/>
        <w:ind w:firstLine="551" w:firstLineChars="196"/>
        <w:rPr>
          <w:rFonts w:ascii="仿宋" w:hAnsi="仿宋" w:eastAsia="仿宋" w:cs="仿宋_GB2312"/>
          <w:b/>
          <w:color w:val="000000"/>
          <w:kern w:val="0"/>
          <w:szCs w:val="28"/>
        </w:rPr>
      </w:pPr>
      <w:r>
        <w:rPr>
          <w:rFonts w:ascii="仿宋" w:hAnsi="仿宋" w:eastAsia="仿宋"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snapToGrid w:val="0"/>
        <w:spacing w:before="120" w:after="120" w:line="360" w:lineRule="auto"/>
        <w:ind w:firstLine="551" w:firstLineChars="196"/>
        <w:rPr>
          <w:rFonts w:ascii="仿宋" w:hAnsi="仿宋" w:eastAsia="仿宋" w:cs="仿宋_GB2312"/>
          <w:b/>
          <w:color w:val="000000"/>
          <w:kern w:val="0"/>
          <w:szCs w:val="28"/>
        </w:rPr>
      </w:pPr>
      <w:r>
        <w:rPr>
          <w:rFonts w:ascii="仿宋" w:hAnsi="仿宋" w:eastAsia="仿宋"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pPr>
        <w:spacing w:line="360" w:lineRule="auto"/>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四</w:t>
      </w:r>
      <w:r>
        <w:rPr>
          <w:rFonts w:ascii="仿宋" w:hAnsi="仿宋" w:eastAsia="仿宋" w:cs="仿宋_GB2312"/>
          <w:color w:val="000000"/>
          <w:kern w:val="0"/>
          <w:sz w:val="28"/>
          <w:szCs w:val="28"/>
        </w:rPr>
        <w:t>、废标</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在招标采购中，出现下列情形之一的，应予废标：</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1、符合专业条件的供应商或者对招标文件作实质响应的供应商不足三家的；</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2、出现影响采购公正的违法、违规行为的；</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3、投标人的报价均超过了采购预算，采购人不能支付的；</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4、因重大变故，采购任务取消的。</w:t>
      </w:r>
    </w:p>
    <w:p>
      <w:pPr>
        <w:spacing w:line="360" w:lineRule="auto"/>
        <w:ind w:firstLine="560" w:firstLineChars="200"/>
        <w:outlineLvl w:val="1"/>
        <w:rPr>
          <w:rFonts w:ascii="仿宋" w:hAnsi="仿宋" w:eastAsia="仿宋" w:cs="仿宋_GB2312"/>
          <w:color w:val="000000"/>
          <w:kern w:val="0"/>
          <w:sz w:val="28"/>
          <w:szCs w:val="28"/>
        </w:rPr>
      </w:pPr>
      <w:bookmarkStart w:id="35" w:name="_Toc360457886"/>
      <w:bookmarkStart w:id="36" w:name="_Toc345423475"/>
      <w:r>
        <w:rPr>
          <w:rFonts w:hint="eastAsia" w:ascii="仿宋" w:hAnsi="仿宋" w:eastAsia="仿宋" w:cs="仿宋_GB2312"/>
          <w:color w:val="000000"/>
          <w:kern w:val="0"/>
          <w:sz w:val="28"/>
          <w:szCs w:val="28"/>
        </w:rPr>
        <w:t>五</w:t>
      </w:r>
      <w:r>
        <w:rPr>
          <w:rFonts w:ascii="仿宋" w:hAnsi="仿宋" w:eastAsia="仿宋" w:cs="仿宋_GB2312"/>
          <w:color w:val="000000"/>
          <w:kern w:val="0"/>
          <w:sz w:val="28"/>
          <w:szCs w:val="28"/>
        </w:rPr>
        <w:t>、定标</w:t>
      </w:r>
      <w:bookmarkEnd w:id="35"/>
      <w:bookmarkEnd w:id="36"/>
    </w:p>
    <w:p>
      <w:pPr>
        <w:pStyle w:val="37"/>
        <w:snapToGrid w:val="0"/>
        <w:spacing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 xml:space="preserve"> 1、评标委员会</w:t>
      </w:r>
      <w:r>
        <w:rPr>
          <w:rFonts w:hint="eastAsia" w:ascii="仿宋" w:hAnsi="仿宋" w:eastAsia="仿宋" w:cs="仿宋_GB2312"/>
          <w:color w:val="000000"/>
          <w:kern w:val="0"/>
          <w:szCs w:val="28"/>
        </w:rPr>
        <w:t>依法</w:t>
      </w:r>
      <w:r>
        <w:rPr>
          <w:rFonts w:ascii="仿宋" w:hAnsi="仿宋" w:eastAsia="仿宋" w:cs="仿宋_GB2312"/>
          <w:color w:val="000000"/>
          <w:kern w:val="0"/>
          <w:szCs w:val="28"/>
        </w:rPr>
        <w:t>提出中标候选人排序。</w:t>
      </w:r>
    </w:p>
    <w:p>
      <w:pPr>
        <w:pStyle w:val="37"/>
        <w:snapToGrid w:val="0"/>
        <w:spacing w:line="360" w:lineRule="auto"/>
        <w:ind w:firstLine="560" w:firstLineChars="200"/>
        <w:rPr>
          <w:rFonts w:ascii="仿宋" w:hAnsi="仿宋" w:eastAsia="仿宋" w:cs="仿宋_GB2312"/>
          <w:color w:val="000000"/>
          <w:kern w:val="0"/>
          <w:szCs w:val="28"/>
        </w:rPr>
      </w:pPr>
      <w:r>
        <w:rPr>
          <w:rFonts w:ascii="仿宋" w:hAnsi="仿宋" w:eastAsia="仿宋" w:cs="仿宋_GB2312"/>
          <w:color w:val="000000"/>
          <w:kern w:val="0"/>
          <w:szCs w:val="28"/>
        </w:rPr>
        <w:t xml:space="preserve"> 2、采购人应当自收到评审报告之日起５个工作日内在评审报告推荐的中标候选人中按顺序确定中标供应商</w:t>
      </w:r>
      <w:r>
        <w:rPr>
          <w:rFonts w:hint="eastAsia" w:ascii="仿宋" w:hAnsi="仿宋" w:eastAsia="仿宋" w:cs="仿宋_GB2312"/>
          <w:color w:val="000000"/>
          <w:kern w:val="0"/>
          <w:szCs w:val="28"/>
        </w:rPr>
        <w:t>。</w:t>
      </w:r>
      <w:r>
        <w:rPr>
          <w:rFonts w:ascii="仿宋" w:hAnsi="仿宋" w:eastAsia="仿宋"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 3、招标方将于中标供应商确定之日起2个工作日内在政采云平台</w:t>
      </w:r>
      <w:r>
        <w:rPr>
          <w:rFonts w:hint="eastAsia" w:ascii="仿宋" w:hAnsi="仿宋" w:eastAsia="仿宋" w:cs="仿宋_GB2312"/>
          <w:color w:val="000000"/>
          <w:kern w:val="0"/>
          <w:sz w:val="28"/>
          <w:szCs w:val="28"/>
        </w:rPr>
        <w:t>发出</w:t>
      </w:r>
      <w:r>
        <w:rPr>
          <w:rFonts w:ascii="仿宋" w:hAnsi="仿宋" w:eastAsia="仿宋" w:cs="仿宋_GB2312"/>
          <w:color w:val="000000"/>
          <w:kern w:val="0"/>
          <w:sz w:val="28"/>
          <w:szCs w:val="28"/>
        </w:rPr>
        <w:t>中标通知书</w:t>
      </w:r>
      <w:r>
        <w:rPr>
          <w:rFonts w:hint="eastAsia" w:ascii="仿宋" w:hAnsi="仿宋" w:eastAsia="仿宋" w:cs="仿宋_GB2312"/>
          <w:color w:val="000000"/>
          <w:kern w:val="0"/>
          <w:sz w:val="28"/>
          <w:szCs w:val="28"/>
        </w:rPr>
        <w:t>，并</w:t>
      </w:r>
      <w:r>
        <w:rPr>
          <w:rFonts w:ascii="仿宋" w:hAnsi="仿宋" w:eastAsia="仿宋" w:cs="仿宋_GB2312"/>
          <w:color w:val="000000"/>
          <w:kern w:val="0"/>
          <w:sz w:val="28"/>
          <w:szCs w:val="28"/>
        </w:rPr>
        <w:t>在浙江政府采购网和</w:t>
      </w:r>
      <w:r>
        <w:rPr>
          <w:rFonts w:hint="eastAsia" w:ascii="仿宋" w:hAnsi="仿宋" w:eastAsia="仿宋" w:cs="仿宋_GB2312"/>
          <w:color w:val="000000"/>
          <w:kern w:val="0"/>
          <w:sz w:val="28"/>
          <w:szCs w:val="28"/>
        </w:rPr>
        <w:t>宁波市政务服务办公室-宁波市公共资源交易电子服务系统（慈溪）</w:t>
      </w:r>
      <w:r>
        <w:rPr>
          <w:rFonts w:ascii="仿宋" w:hAnsi="仿宋" w:eastAsia="仿宋" w:cs="仿宋_GB2312"/>
          <w:color w:val="000000"/>
          <w:kern w:val="0"/>
          <w:sz w:val="28"/>
          <w:szCs w:val="28"/>
        </w:rPr>
        <w:t>发布中标公告。中标人</w:t>
      </w:r>
      <w:r>
        <w:rPr>
          <w:rFonts w:hint="eastAsia" w:ascii="仿宋" w:hAnsi="仿宋" w:eastAsia="仿宋" w:cs="仿宋_GB2312"/>
          <w:color w:val="000000"/>
          <w:kern w:val="0"/>
          <w:sz w:val="28"/>
          <w:szCs w:val="28"/>
        </w:rPr>
        <w:t>自行登录政采云平台</w:t>
      </w:r>
      <w:r>
        <w:rPr>
          <w:rFonts w:ascii="仿宋" w:hAnsi="仿宋" w:eastAsia="仿宋" w:cs="仿宋_GB2312"/>
          <w:color w:val="000000"/>
          <w:kern w:val="0"/>
          <w:sz w:val="28"/>
          <w:szCs w:val="28"/>
        </w:rPr>
        <w:t>获取中标通知书</w:t>
      </w:r>
      <w:r>
        <w:rPr>
          <w:rFonts w:hint="eastAsia" w:ascii="仿宋" w:hAnsi="仿宋" w:eastAsia="仿宋" w:cs="仿宋_GB2312"/>
          <w:color w:val="000000"/>
          <w:kern w:val="0"/>
          <w:sz w:val="28"/>
          <w:szCs w:val="28"/>
        </w:rPr>
        <w:t>，并于</w:t>
      </w:r>
      <w:r>
        <w:rPr>
          <w:rFonts w:ascii="仿宋" w:hAnsi="仿宋" w:eastAsia="仿宋" w:cs="仿宋_GB2312"/>
          <w:color w:val="000000"/>
          <w:kern w:val="0"/>
          <w:sz w:val="28"/>
          <w:szCs w:val="28"/>
        </w:rPr>
        <w:t>中标通知书</w:t>
      </w:r>
      <w:r>
        <w:rPr>
          <w:rFonts w:hint="eastAsia" w:ascii="仿宋" w:hAnsi="仿宋" w:eastAsia="仿宋" w:cs="仿宋_GB2312"/>
          <w:color w:val="000000"/>
          <w:kern w:val="0"/>
          <w:sz w:val="28"/>
          <w:szCs w:val="28"/>
        </w:rPr>
        <w:t>发出之日起三十</w:t>
      </w:r>
      <w:r>
        <w:rPr>
          <w:rFonts w:ascii="仿宋" w:hAnsi="仿宋" w:eastAsia="仿宋" w:cs="仿宋_GB2312"/>
          <w:color w:val="000000"/>
          <w:kern w:val="0"/>
          <w:sz w:val="28"/>
          <w:szCs w:val="28"/>
        </w:rPr>
        <w:t>日内与采购人签订合同。</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中标通知书发出后，若中标人无故放弃中标，须承担相应的法律责任，中标通知书对采购人和中标人具有同等法律效力。</w:t>
      </w:r>
    </w:p>
    <w:p>
      <w:pPr>
        <w:spacing w:line="360" w:lineRule="auto"/>
        <w:ind w:firstLine="560" w:firstLineChars="200"/>
        <w:rPr>
          <w:rFonts w:ascii="仿宋" w:hAnsi="仿宋" w:eastAsia="仿宋" w:cs="仿宋_GB2312"/>
          <w:color w:val="000000"/>
          <w:kern w:val="0"/>
          <w:sz w:val="28"/>
          <w:szCs w:val="28"/>
        </w:rPr>
      </w:pPr>
    </w:p>
    <w:p>
      <w:pPr>
        <w:spacing w:line="360" w:lineRule="auto"/>
        <w:ind w:firstLine="560" w:firstLineChars="200"/>
        <w:rPr>
          <w:rFonts w:ascii="仿宋" w:hAnsi="仿宋" w:eastAsia="仿宋" w:cs="仿宋_GB2312"/>
          <w:color w:val="000000"/>
          <w:kern w:val="0"/>
          <w:sz w:val="28"/>
          <w:szCs w:val="28"/>
        </w:rPr>
      </w:pPr>
    </w:p>
    <w:p>
      <w:pPr>
        <w:spacing w:line="360" w:lineRule="auto"/>
        <w:ind w:firstLine="560" w:firstLineChars="200"/>
        <w:rPr>
          <w:rFonts w:ascii="仿宋" w:hAnsi="仿宋" w:eastAsia="仿宋" w:cs="仿宋_GB2312"/>
          <w:color w:val="000000"/>
          <w:kern w:val="0"/>
          <w:sz w:val="28"/>
          <w:szCs w:val="28"/>
        </w:rPr>
      </w:pPr>
    </w:p>
    <w:p>
      <w:pPr>
        <w:spacing w:line="440" w:lineRule="exact"/>
        <w:rPr>
          <w:rFonts w:ascii="仿宋" w:hAnsi="仿宋" w:eastAsia="仿宋" w:cs="Arial"/>
          <w:sz w:val="28"/>
          <w:szCs w:val="28"/>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jc w:val="center"/>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pStyle w:val="63"/>
        <w:rPr>
          <w:rStyle w:val="124"/>
          <w:rFonts w:ascii="仿宋_GB2312" w:eastAsia="仿宋_GB2312"/>
          <w:b/>
          <w:sz w:val="36"/>
        </w:rPr>
      </w:pPr>
      <w:bookmarkStart w:id="37" w:name="_Toc150414333"/>
      <w:r>
        <w:rPr>
          <w:rStyle w:val="124"/>
          <w:rFonts w:ascii="仿宋_GB2312" w:eastAsia="仿宋_GB2312"/>
          <w:b/>
          <w:sz w:val="36"/>
        </w:rPr>
        <w:t>第</w:t>
      </w:r>
      <w:r>
        <w:rPr>
          <w:rStyle w:val="124"/>
          <w:rFonts w:hint="eastAsia" w:ascii="仿宋_GB2312" w:eastAsia="仿宋_GB2312"/>
          <w:b/>
          <w:sz w:val="36"/>
        </w:rPr>
        <w:t>六</w:t>
      </w:r>
      <w:r>
        <w:rPr>
          <w:rStyle w:val="124"/>
          <w:rFonts w:ascii="仿宋_GB2312" w:eastAsia="仿宋_GB2312"/>
          <w:b/>
          <w:sz w:val="36"/>
        </w:rPr>
        <w:t>部分   评标办法及评分标准</w:t>
      </w:r>
      <w:bookmarkEnd w:id="37"/>
    </w:p>
    <w:p>
      <w:pPr>
        <w:autoSpaceDE w:val="0"/>
        <w:autoSpaceDN w:val="0"/>
        <w:adjustRightInd w:val="0"/>
        <w:spacing w:line="360" w:lineRule="auto"/>
        <w:jc w:val="center"/>
        <w:outlineLvl w:val="0"/>
        <w:rPr>
          <w:rFonts w:ascii="仿宋" w:hAnsi="仿宋" w:eastAsia="仿宋" w:cs="仿宋_GB2312"/>
          <w:color w:val="000000"/>
          <w:kern w:val="0"/>
          <w:sz w:val="28"/>
          <w:szCs w:val="28"/>
        </w:rPr>
      </w:pPr>
    </w:p>
    <w:p>
      <w:pPr>
        <w:spacing w:beforeLines="50" w:afterLines="50" w:line="360" w:lineRule="auto"/>
        <w:ind w:firstLine="420"/>
        <w:rPr>
          <w:rFonts w:ascii="仿宋" w:hAnsi="仿宋" w:eastAsia="仿宋" w:cs="仿宋_GB2312"/>
          <w:color w:val="000000"/>
          <w:kern w:val="0"/>
          <w:sz w:val="28"/>
          <w:szCs w:val="28"/>
        </w:rPr>
      </w:pPr>
      <w:r>
        <w:rPr>
          <w:rFonts w:ascii="仿宋" w:hAnsi="仿宋" w:eastAsia="仿宋" w:cs="仿宋_GB2312"/>
          <w:color w:val="000000"/>
          <w:kern w:val="0"/>
          <w:sz w:val="28"/>
          <w:szCs w:val="28"/>
        </w:rPr>
        <w:t>根据《中华人民共和国政府采购法》等有关法律法规，结合本项目的实际需求，制定本办法。</w:t>
      </w:r>
    </w:p>
    <w:p>
      <w:pPr>
        <w:spacing w:beforeLines="50" w:afterLines="50" w:line="360" w:lineRule="auto"/>
        <w:ind w:firstLine="548" w:firstLineChars="196"/>
        <w:rPr>
          <w:rFonts w:ascii="仿宋" w:hAnsi="仿宋" w:eastAsia="仿宋" w:cs="仿宋_GB2312"/>
          <w:color w:val="000000"/>
          <w:kern w:val="0"/>
          <w:sz w:val="28"/>
          <w:szCs w:val="28"/>
        </w:rPr>
      </w:pPr>
      <w:r>
        <w:rPr>
          <w:rFonts w:ascii="仿宋" w:hAnsi="仿宋" w:eastAsia="仿宋" w:cs="仿宋_GB2312"/>
          <w:color w:val="000000"/>
          <w:kern w:val="0"/>
          <w:sz w:val="28"/>
          <w:szCs w:val="28"/>
        </w:rPr>
        <w:t>一、总则</w:t>
      </w:r>
    </w:p>
    <w:p>
      <w:pPr>
        <w:spacing w:beforeLines="50" w:afterLines="50"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Lines="50" w:afterLines="50" w:line="360" w:lineRule="auto"/>
        <w:ind w:firstLine="548" w:firstLineChars="196"/>
        <w:rPr>
          <w:rFonts w:ascii="仿宋" w:hAnsi="仿宋" w:eastAsia="仿宋" w:cs="仿宋_GB2312"/>
          <w:color w:val="000000"/>
          <w:kern w:val="0"/>
          <w:sz w:val="28"/>
          <w:szCs w:val="28"/>
        </w:rPr>
      </w:pPr>
      <w:r>
        <w:rPr>
          <w:rFonts w:ascii="仿宋" w:hAnsi="仿宋" w:eastAsia="仿宋" w:cs="仿宋_GB2312"/>
          <w:color w:val="000000"/>
          <w:kern w:val="0"/>
          <w:sz w:val="28"/>
          <w:szCs w:val="28"/>
        </w:rPr>
        <w:t>二、分值的计算</w:t>
      </w:r>
    </w:p>
    <w:p>
      <w:pPr>
        <w:spacing w:beforeLines="50" w:afterLines="50"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技术、商务及其他分按照评标委员会成员的独立评分结果汇总后的算术平均分计算，计算公式为：</w:t>
      </w:r>
    </w:p>
    <w:p>
      <w:pPr>
        <w:spacing w:beforeLines="50" w:afterLines="50" w:line="360" w:lineRule="auto"/>
        <w:ind w:firstLine="495"/>
        <w:rPr>
          <w:rFonts w:ascii="仿宋" w:hAnsi="仿宋" w:eastAsia="仿宋" w:cs="仿宋_GB2312"/>
          <w:color w:val="000000"/>
          <w:kern w:val="0"/>
          <w:sz w:val="28"/>
          <w:szCs w:val="28"/>
        </w:rPr>
      </w:pPr>
      <w:r>
        <w:rPr>
          <w:rFonts w:ascii="仿宋" w:hAnsi="仿宋" w:eastAsia="仿宋" w:cs="仿宋_GB2312"/>
          <w:color w:val="000000"/>
          <w:kern w:val="0"/>
          <w:sz w:val="28"/>
          <w:szCs w:val="28"/>
        </w:rPr>
        <w:t>技术、商务及其他分=评标委员会所有成员评分合计数/评标委员会组成人员数</w:t>
      </w:r>
    </w:p>
    <w:p>
      <w:pPr>
        <w:spacing w:beforeLines="50" w:afterLines="50"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投标人评标综合得分=价格分+(技术分+商务及其他分)</w:t>
      </w:r>
    </w:p>
    <w:p>
      <w:pPr>
        <w:spacing w:line="360" w:lineRule="auto"/>
        <w:outlineLvl w:val="1"/>
        <w:rPr>
          <w:rFonts w:ascii="仿宋" w:hAnsi="仿宋" w:eastAsia="仿宋" w:cs="仿宋_GB2312"/>
          <w:color w:val="000000"/>
          <w:kern w:val="0"/>
          <w:sz w:val="32"/>
          <w:szCs w:val="32"/>
        </w:rPr>
      </w:pPr>
    </w:p>
    <w:p>
      <w:pPr>
        <w:spacing w:line="360" w:lineRule="auto"/>
        <w:outlineLvl w:val="1"/>
        <w:rPr>
          <w:rFonts w:ascii="仿宋" w:hAnsi="仿宋" w:eastAsia="仿宋" w:cs="仿宋_GB2312"/>
          <w:color w:val="000000"/>
          <w:kern w:val="0"/>
          <w:sz w:val="32"/>
          <w:szCs w:val="32"/>
        </w:rPr>
      </w:pPr>
    </w:p>
    <w:p>
      <w:pPr>
        <w:spacing w:line="360" w:lineRule="auto"/>
        <w:outlineLvl w:val="1"/>
        <w:rPr>
          <w:rFonts w:ascii="仿宋" w:hAnsi="仿宋" w:eastAsia="仿宋" w:cs="仿宋_GB2312"/>
          <w:color w:val="000000"/>
          <w:kern w:val="0"/>
          <w:sz w:val="32"/>
          <w:szCs w:val="32"/>
        </w:rPr>
      </w:pPr>
    </w:p>
    <w:p>
      <w:pPr>
        <w:pStyle w:val="2"/>
        <w:ind w:firstLine="560"/>
      </w:pPr>
    </w:p>
    <w:p>
      <w:pPr>
        <w:spacing w:line="360" w:lineRule="auto"/>
        <w:jc w:val="center"/>
        <w:outlineLvl w:val="1"/>
        <w:rPr>
          <w:rFonts w:ascii="仿宋" w:hAnsi="仿宋" w:eastAsia="仿宋" w:cs="仿宋_GB2312"/>
          <w:color w:val="000000"/>
          <w:kern w:val="0"/>
          <w:sz w:val="32"/>
          <w:szCs w:val="32"/>
        </w:rPr>
      </w:pPr>
      <w:r>
        <w:rPr>
          <w:rFonts w:ascii="仿宋" w:hAnsi="仿宋" w:eastAsia="仿宋" w:cs="仿宋_GB2312"/>
          <w:color w:val="000000"/>
          <w:kern w:val="0"/>
          <w:sz w:val="32"/>
          <w:szCs w:val="32"/>
        </w:rPr>
        <w:t>评分标准表</w:t>
      </w:r>
    </w:p>
    <w:p>
      <w:pPr>
        <w:spacing w:line="360" w:lineRule="auto"/>
        <w:rPr>
          <w:rFonts w:ascii="仿宋" w:hAnsi="仿宋" w:eastAsia="仿宋" w:cs="仿宋_GB2312"/>
          <w:color w:val="000000"/>
          <w:kern w:val="0"/>
          <w:sz w:val="24"/>
        </w:rPr>
      </w:pPr>
      <w:r>
        <w:rPr>
          <w:rFonts w:ascii="仿宋" w:hAnsi="仿宋" w:eastAsia="仿宋" w:cs="仿宋_GB2312"/>
          <w:kern w:val="0"/>
          <w:sz w:val="24"/>
        </w:rPr>
        <w:t>招标编号：</w:t>
      </w:r>
      <w:r>
        <w:rPr>
          <w:rFonts w:hint="eastAsia" w:ascii="仿宋" w:hAnsi="仿宋" w:eastAsia="仿宋" w:cs="仿宋_GB2312"/>
          <w:kern w:val="0"/>
          <w:sz w:val="24"/>
        </w:rPr>
        <w:t>NBCXZFCG2024028</w:t>
      </w:r>
      <w:r>
        <w:rPr>
          <w:rFonts w:ascii="仿宋" w:hAnsi="仿宋" w:eastAsia="仿宋" w:cs="仿宋_GB2312"/>
          <w:color w:val="000000"/>
          <w:kern w:val="0"/>
          <w:sz w:val="24"/>
        </w:rPr>
        <w:t>总分：100分</w:t>
      </w:r>
    </w:p>
    <w:tbl>
      <w:tblPr>
        <w:tblStyle w:val="66"/>
        <w:tblW w:w="8429" w:type="dxa"/>
        <w:tblInd w:w="93" w:type="dxa"/>
        <w:tblLayout w:type="fixed"/>
        <w:tblCellMar>
          <w:top w:w="0" w:type="dxa"/>
          <w:left w:w="108" w:type="dxa"/>
          <w:bottom w:w="0" w:type="dxa"/>
          <w:right w:w="108" w:type="dxa"/>
        </w:tblCellMar>
      </w:tblPr>
      <w:tblGrid>
        <w:gridCol w:w="449"/>
        <w:gridCol w:w="700"/>
        <w:gridCol w:w="680"/>
        <w:gridCol w:w="6600"/>
      </w:tblGrid>
      <w:tr>
        <w:tblPrEx>
          <w:tblCellMar>
            <w:top w:w="0" w:type="dxa"/>
            <w:left w:w="108" w:type="dxa"/>
            <w:bottom w:w="0" w:type="dxa"/>
            <w:right w:w="108" w:type="dxa"/>
          </w:tblCellMar>
        </w:tblPrEx>
        <w:trPr>
          <w:trHeight w:val="420" w:hRule="atLeast"/>
        </w:trPr>
        <w:tc>
          <w:tcPr>
            <w:tcW w:w="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评分内容</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分值（分）</w:t>
            </w:r>
          </w:p>
        </w:tc>
        <w:tc>
          <w:tcPr>
            <w:tcW w:w="6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评分标准说明</w:t>
            </w:r>
          </w:p>
        </w:tc>
      </w:tr>
      <w:tr>
        <w:tblPrEx>
          <w:tblCellMar>
            <w:top w:w="0" w:type="dxa"/>
            <w:left w:w="108" w:type="dxa"/>
            <w:bottom w:w="0" w:type="dxa"/>
            <w:right w:w="108" w:type="dxa"/>
          </w:tblCellMar>
        </w:tblPrEx>
        <w:trPr>
          <w:trHeight w:val="1745"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ascii="仿宋" w:hAnsi="仿宋" w:eastAsia="仿宋" w:cs="仿宋_GB2312"/>
                <w:color w:val="000000"/>
                <w:kern w:val="0"/>
                <w:szCs w:val="21"/>
              </w:rPr>
              <w:t>1</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投标报价</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ascii="仿宋" w:hAnsi="仿宋" w:eastAsia="仿宋" w:cs="仿宋_GB2312"/>
                <w:color w:val="000000"/>
                <w:kern w:val="0"/>
                <w:szCs w:val="21"/>
              </w:rPr>
              <w:t>35</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有效投标报价的最低价作为评标基准价，其最低报价为满分；按照［投标报价得分=（评标基准价/投标报价）*价格权值*100］的计算公式计算；</w:t>
            </w:r>
            <w:r>
              <w:rPr>
                <w:rFonts w:hint="eastAsia" w:ascii="仿宋" w:hAnsi="仿宋" w:eastAsia="仿宋" w:cs="仿宋_GB2312"/>
                <w:color w:val="000000"/>
                <w:kern w:val="0"/>
                <w:szCs w:val="21"/>
              </w:rPr>
              <w:br w:type="textWrapping"/>
            </w:r>
            <w:r>
              <w:rPr>
                <w:rFonts w:hint="eastAsia" w:ascii="仿宋" w:hAnsi="仿宋" w:eastAsia="仿宋" w:cs="仿宋_GB2312"/>
                <w:color w:val="000000"/>
                <w:kern w:val="0"/>
                <w:szCs w:val="21"/>
              </w:rPr>
              <w:t>注：在评审时对小型和微型企业的投</w:t>
            </w:r>
            <w:r>
              <w:rPr>
                <w:rFonts w:hint="eastAsia" w:ascii="仿宋" w:hAnsi="仿宋" w:eastAsia="仿宋" w:cs="仿宋_GB2312"/>
                <w:kern w:val="0"/>
                <w:szCs w:val="21"/>
              </w:rPr>
              <w:t>标报价给予15%的扣除，</w:t>
            </w:r>
            <w:r>
              <w:rPr>
                <w:rFonts w:hint="eastAsia" w:ascii="仿宋" w:hAnsi="仿宋" w:eastAsia="仿宋" w:cs="仿宋_GB2312"/>
                <w:color w:val="000000"/>
                <w:kern w:val="0"/>
                <w:szCs w:val="21"/>
              </w:rPr>
              <w:t>取扣除后的价格作为最终投标报价（此最终投标报价仅作为价格分计算）。</w:t>
            </w:r>
          </w:p>
        </w:tc>
      </w:tr>
      <w:tr>
        <w:tblPrEx>
          <w:tblCellMar>
            <w:top w:w="0" w:type="dxa"/>
            <w:left w:w="108" w:type="dxa"/>
            <w:bottom w:w="0" w:type="dxa"/>
            <w:right w:w="108" w:type="dxa"/>
          </w:tblCellMar>
        </w:tblPrEx>
        <w:trPr>
          <w:trHeight w:val="623" w:hRule="atLeast"/>
        </w:trPr>
        <w:tc>
          <w:tcPr>
            <w:tcW w:w="449"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ascii="仿宋" w:hAnsi="仿宋" w:eastAsia="仿宋" w:cs="仿宋_GB2312"/>
                <w:color w:val="000000"/>
                <w:kern w:val="0"/>
                <w:szCs w:val="21"/>
              </w:rPr>
              <w:t>2</w:t>
            </w:r>
          </w:p>
        </w:tc>
        <w:tc>
          <w:tcPr>
            <w:tcW w:w="700" w:type="dxa"/>
            <w:vMerge w:val="restart"/>
            <w:tcBorders>
              <w:top w:val="nil"/>
              <w:left w:val="nil"/>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技术指标响应性</w:t>
            </w:r>
          </w:p>
        </w:tc>
        <w:tc>
          <w:tcPr>
            <w:tcW w:w="680" w:type="dxa"/>
            <w:vMerge w:val="restart"/>
            <w:tcBorders>
              <w:top w:val="nil"/>
              <w:left w:val="nil"/>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29</w:t>
            </w:r>
          </w:p>
        </w:tc>
        <w:tc>
          <w:tcPr>
            <w:tcW w:w="6600"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_GB2312"/>
                <w:color w:val="FF0000"/>
                <w:kern w:val="0"/>
                <w:szCs w:val="21"/>
              </w:rPr>
            </w:pPr>
            <w:r>
              <w:rPr>
                <w:rFonts w:hint="eastAsia" w:ascii="仿宋" w:hAnsi="仿宋" w:eastAsia="仿宋" w:cs="仿宋_GB2312"/>
                <w:color w:val="000000"/>
                <w:kern w:val="0"/>
                <w:szCs w:val="21"/>
              </w:rPr>
              <w:t>对照招标文件“第二部分 招标需求”中“二、技术参数要求一览表”，标“▲”指标共27.5分，每负偏离一条扣2.5分，扣完为止；（27.5分）</w:t>
            </w:r>
          </w:p>
        </w:tc>
      </w:tr>
      <w:tr>
        <w:tblPrEx>
          <w:tblCellMar>
            <w:top w:w="0" w:type="dxa"/>
            <w:left w:w="108" w:type="dxa"/>
            <w:bottom w:w="0" w:type="dxa"/>
            <w:right w:w="108" w:type="dxa"/>
          </w:tblCellMar>
        </w:tblPrEx>
        <w:trPr>
          <w:trHeight w:val="622" w:hRule="atLeast"/>
        </w:trPr>
        <w:tc>
          <w:tcPr>
            <w:tcW w:w="44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p>
        </w:tc>
        <w:tc>
          <w:tcPr>
            <w:tcW w:w="70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_GB2312"/>
                <w:color w:val="000000"/>
                <w:kern w:val="0"/>
                <w:szCs w:val="21"/>
              </w:rPr>
            </w:pPr>
          </w:p>
        </w:tc>
        <w:tc>
          <w:tcPr>
            <w:tcW w:w="6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_GB2312"/>
                <w:color w:val="000000"/>
                <w:kern w:val="0"/>
                <w:szCs w:val="21"/>
              </w:rPr>
            </w:pPr>
          </w:p>
        </w:tc>
        <w:tc>
          <w:tcPr>
            <w:tcW w:w="6600"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_GB2312"/>
                <w:color w:val="000000"/>
                <w:kern w:val="0"/>
                <w:szCs w:val="21"/>
              </w:rPr>
            </w:pPr>
            <w:r>
              <w:rPr>
                <w:rFonts w:hint="eastAsia" w:ascii="仿宋" w:hAnsi="仿宋" w:eastAsia="仿宋" w:cs="仿宋_GB2312"/>
                <w:color w:val="000000" w:themeColor="text1"/>
                <w:kern w:val="0"/>
                <w:szCs w:val="21"/>
                <w:highlight w:val="none"/>
              </w:rPr>
              <w:t>其他指标共1.5分，每负偏离一条扣0.05分，扣完为止。</w:t>
            </w:r>
            <w:r>
              <w:rPr>
                <w:rFonts w:hint="eastAsia" w:ascii="仿宋" w:hAnsi="仿宋" w:eastAsia="仿宋" w:cs="仿宋_GB2312"/>
                <w:color w:val="000000"/>
                <w:kern w:val="0"/>
                <w:szCs w:val="21"/>
              </w:rPr>
              <w:t>（1.5分）</w:t>
            </w:r>
          </w:p>
        </w:tc>
      </w:tr>
      <w:tr>
        <w:tblPrEx>
          <w:tblCellMar>
            <w:top w:w="0" w:type="dxa"/>
            <w:left w:w="108" w:type="dxa"/>
            <w:bottom w:w="0" w:type="dxa"/>
            <w:right w:w="108" w:type="dxa"/>
          </w:tblCellMar>
        </w:tblPrEx>
        <w:trPr>
          <w:trHeight w:val="2125"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3</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供货方案</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2</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根据投标人提供的供货方案进行评审，包括供货期限、交货方式、供货保障流程、供货流程要点及实施步骤（2分）；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供货方案详细完善，合理可行，针对性强、具有可操作性的，得</w:t>
            </w:r>
            <w:r>
              <w:rPr>
                <w:rFonts w:ascii="仿宋" w:hAnsi="仿宋" w:eastAsia="仿宋" w:cs="仿宋_GB2312"/>
                <w:color w:val="000000"/>
                <w:kern w:val="0"/>
                <w:szCs w:val="21"/>
              </w:rPr>
              <w:t>2</w:t>
            </w:r>
            <w:r>
              <w:rPr>
                <w:rFonts w:hint="eastAsia" w:ascii="仿宋" w:hAnsi="仿宋" w:eastAsia="仿宋" w:cs="仿宋_GB2312"/>
                <w:color w:val="000000"/>
                <w:kern w:val="0"/>
                <w:szCs w:val="21"/>
              </w:rPr>
              <w:t>分；供货方案较详细、安排较合理、有一定针对性、操作性一般的，得</w:t>
            </w:r>
            <w:r>
              <w:rPr>
                <w:rFonts w:ascii="仿宋" w:hAnsi="仿宋" w:eastAsia="仿宋" w:cs="仿宋_GB2312"/>
                <w:color w:val="000000"/>
                <w:kern w:val="0"/>
                <w:szCs w:val="21"/>
              </w:rPr>
              <w:t>1</w:t>
            </w:r>
            <w:r>
              <w:rPr>
                <w:rFonts w:hint="eastAsia" w:ascii="仿宋" w:hAnsi="仿宋" w:eastAsia="仿宋" w:cs="仿宋_GB2312"/>
                <w:color w:val="000000"/>
                <w:kern w:val="0"/>
                <w:szCs w:val="21"/>
              </w:rPr>
              <w:t>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供货方案内容简单、缺乏针对性、操作性差的，得</w:t>
            </w:r>
            <w:r>
              <w:rPr>
                <w:rFonts w:ascii="仿宋" w:hAnsi="仿宋" w:eastAsia="仿宋" w:cs="仿宋_GB2312"/>
                <w:color w:val="000000"/>
                <w:kern w:val="0"/>
                <w:szCs w:val="21"/>
              </w:rPr>
              <w:t>0</w:t>
            </w:r>
            <w:r>
              <w:rPr>
                <w:rFonts w:hint="eastAsia" w:ascii="仿宋" w:hAnsi="仿宋" w:eastAsia="仿宋" w:cs="仿宋_GB2312"/>
                <w:color w:val="000000"/>
                <w:kern w:val="0"/>
                <w:szCs w:val="21"/>
              </w:rPr>
              <w:t>分，未提供不得分。</w:t>
            </w:r>
          </w:p>
        </w:tc>
      </w:tr>
      <w:tr>
        <w:tblPrEx>
          <w:tblCellMar>
            <w:top w:w="0" w:type="dxa"/>
            <w:left w:w="108" w:type="dxa"/>
            <w:bottom w:w="0" w:type="dxa"/>
            <w:right w:w="108" w:type="dxa"/>
          </w:tblCellMar>
        </w:tblPrEx>
        <w:trPr>
          <w:trHeight w:val="1695"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4</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系统集成服务方案</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5</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评标委员会根据供应商提供的系统集成服务方案进行评议（</w:t>
            </w:r>
            <w:r>
              <w:rPr>
                <w:rFonts w:ascii="仿宋" w:hAnsi="仿宋" w:eastAsia="仿宋" w:cs="仿宋_GB2312"/>
                <w:color w:val="000000"/>
                <w:kern w:val="0"/>
                <w:szCs w:val="21"/>
              </w:rPr>
              <w:t>5</w:t>
            </w:r>
            <w:r>
              <w:rPr>
                <w:rFonts w:hint="eastAsia" w:ascii="仿宋" w:hAnsi="仿宋" w:eastAsia="仿宋" w:cs="仿宋_GB2312"/>
                <w:color w:val="000000"/>
                <w:kern w:val="0"/>
                <w:szCs w:val="21"/>
              </w:rPr>
              <w:t>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根据投标人提供的方案进行评审，方案详细包括对场地环境的了解、对现有网络系统现状分析到位，业务系统切换数据安全措施完备、人员的安排、时间进度的规划，对设备的调试进度安排，调试的步骤、措施，问题的解决方案等。</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方案考虑充分措施有效的，得</w:t>
            </w:r>
            <w:r>
              <w:rPr>
                <w:rFonts w:ascii="仿宋" w:hAnsi="仿宋" w:eastAsia="仿宋" w:cs="仿宋_GB2312"/>
                <w:color w:val="000000"/>
                <w:kern w:val="0"/>
                <w:szCs w:val="21"/>
              </w:rPr>
              <w:t>5</w:t>
            </w:r>
            <w:r>
              <w:rPr>
                <w:rFonts w:hint="eastAsia" w:ascii="仿宋" w:hAnsi="仿宋" w:eastAsia="仿宋" w:cs="仿宋_GB2312"/>
                <w:color w:val="000000"/>
                <w:kern w:val="0"/>
                <w:szCs w:val="21"/>
              </w:rPr>
              <w:t>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方案合理措施一般的，得</w:t>
            </w:r>
            <w:r>
              <w:rPr>
                <w:rFonts w:ascii="仿宋" w:hAnsi="仿宋" w:eastAsia="仿宋" w:cs="仿宋_GB2312"/>
                <w:color w:val="000000"/>
                <w:kern w:val="0"/>
                <w:szCs w:val="21"/>
              </w:rPr>
              <w:t>3</w:t>
            </w:r>
            <w:r>
              <w:rPr>
                <w:rFonts w:hint="eastAsia" w:ascii="仿宋" w:hAnsi="仿宋" w:eastAsia="仿宋" w:cs="仿宋_GB2312"/>
                <w:color w:val="000000"/>
                <w:kern w:val="0"/>
                <w:szCs w:val="21"/>
              </w:rPr>
              <w:t>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方案考虑不够充分的，得</w:t>
            </w:r>
            <w:r>
              <w:rPr>
                <w:rFonts w:ascii="仿宋" w:hAnsi="仿宋" w:eastAsia="仿宋" w:cs="仿宋_GB2312"/>
                <w:color w:val="000000"/>
                <w:kern w:val="0"/>
                <w:szCs w:val="21"/>
              </w:rPr>
              <w:t>1</w:t>
            </w:r>
            <w:r>
              <w:rPr>
                <w:rFonts w:hint="eastAsia" w:ascii="仿宋" w:hAnsi="仿宋" w:eastAsia="仿宋" w:cs="仿宋_GB2312"/>
                <w:color w:val="000000"/>
                <w:kern w:val="0"/>
                <w:szCs w:val="21"/>
              </w:rPr>
              <w:t>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未提供不得分。</w:t>
            </w:r>
          </w:p>
        </w:tc>
      </w:tr>
      <w:tr>
        <w:tblPrEx>
          <w:tblCellMar>
            <w:top w:w="0" w:type="dxa"/>
            <w:left w:w="108" w:type="dxa"/>
            <w:bottom w:w="0" w:type="dxa"/>
            <w:right w:w="108" w:type="dxa"/>
          </w:tblCellMar>
        </w:tblPrEx>
        <w:trPr>
          <w:trHeight w:val="1666"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5</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验收方案</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5</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根据投标人提供的验收方案及措施进行评审（5分）：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方案考虑充分、措施有效的得5分；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方案合理措施较深入的得3分；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方案笼统、考虑不够充分的得1分；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未提供不得分。</w:t>
            </w:r>
          </w:p>
        </w:tc>
      </w:tr>
      <w:tr>
        <w:tblPrEx>
          <w:tblCellMar>
            <w:top w:w="0" w:type="dxa"/>
            <w:left w:w="108" w:type="dxa"/>
            <w:bottom w:w="0" w:type="dxa"/>
            <w:right w:w="108" w:type="dxa"/>
          </w:tblCellMar>
        </w:tblPrEx>
        <w:trPr>
          <w:trHeight w:val="449" w:hRule="atLeast"/>
        </w:trPr>
        <w:tc>
          <w:tcPr>
            <w:tcW w:w="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6</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培训方案</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2</w:t>
            </w:r>
          </w:p>
        </w:tc>
        <w:tc>
          <w:tcPr>
            <w:tcW w:w="6600"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FangSong_GB2312"/>
                <w:color w:val="000000"/>
                <w:kern w:val="0"/>
                <w:szCs w:val="21"/>
              </w:rPr>
            </w:pPr>
            <w:r>
              <w:rPr>
                <w:rFonts w:hint="eastAsia" w:ascii="仿宋" w:hAnsi="仿宋" w:eastAsia="仿宋" w:cs="FangSong_GB2312"/>
                <w:color w:val="000000"/>
                <w:kern w:val="0"/>
                <w:szCs w:val="21"/>
              </w:rPr>
              <w:t>根据投标人针对本项目提供的培训方案，包括但不限于培训计划、培训内容、培训课程等内容是否完整、科学合理进行评审（2分）：</w:t>
            </w:r>
          </w:p>
          <w:p>
            <w:pPr>
              <w:spacing w:line="300" w:lineRule="exact"/>
              <w:rPr>
                <w:rFonts w:ascii="仿宋" w:hAnsi="仿宋" w:eastAsia="仿宋" w:cs="FangSong_GB2312"/>
                <w:color w:val="000000"/>
                <w:kern w:val="0"/>
                <w:szCs w:val="21"/>
              </w:rPr>
            </w:pPr>
            <w:r>
              <w:rPr>
                <w:rFonts w:hint="eastAsia" w:ascii="仿宋" w:hAnsi="仿宋" w:eastAsia="仿宋" w:cs="FangSong_GB2312"/>
                <w:color w:val="000000"/>
                <w:kern w:val="0"/>
                <w:szCs w:val="21"/>
              </w:rPr>
              <w:t>培训次数多、培训安排具体且可实施、培训内容全面、符合项目服务需求的，得</w:t>
            </w:r>
            <w:r>
              <w:rPr>
                <w:rFonts w:ascii="仿宋" w:hAnsi="仿宋" w:eastAsia="仿宋" w:cs="FangSong_GB2312"/>
                <w:color w:val="000000"/>
                <w:kern w:val="0"/>
                <w:szCs w:val="21"/>
              </w:rPr>
              <w:t>2</w:t>
            </w:r>
            <w:r>
              <w:rPr>
                <w:rFonts w:hint="eastAsia" w:ascii="仿宋" w:hAnsi="仿宋" w:eastAsia="仿宋" w:cs="FangSong_GB2312"/>
                <w:color w:val="000000"/>
                <w:kern w:val="0"/>
                <w:szCs w:val="21"/>
              </w:rPr>
              <w:t>分；</w:t>
            </w:r>
          </w:p>
          <w:p>
            <w:pPr>
              <w:spacing w:line="300" w:lineRule="exact"/>
              <w:rPr>
                <w:rFonts w:ascii="仿宋" w:hAnsi="仿宋" w:eastAsia="仿宋" w:cs="FangSong_GB2312"/>
                <w:color w:val="000000"/>
                <w:kern w:val="0"/>
                <w:szCs w:val="21"/>
              </w:rPr>
            </w:pPr>
            <w:r>
              <w:rPr>
                <w:rFonts w:hint="eastAsia" w:ascii="仿宋" w:hAnsi="仿宋" w:eastAsia="仿宋" w:cs="FangSong_GB2312"/>
                <w:color w:val="000000"/>
                <w:kern w:val="0"/>
                <w:szCs w:val="21"/>
              </w:rPr>
              <w:t>培训次数一般、培训安排较具体且可实施性较差、培训内容不全面、较符合项目服务需求的，得</w:t>
            </w:r>
            <w:r>
              <w:rPr>
                <w:rFonts w:ascii="仿宋" w:hAnsi="仿宋" w:eastAsia="仿宋" w:cs="FangSong_GB2312"/>
                <w:color w:val="000000"/>
                <w:kern w:val="0"/>
                <w:szCs w:val="21"/>
              </w:rPr>
              <w:t>1</w:t>
            </w:r>
            <w:r>
              <w:rPr>
                <w:rFonts w:hint="eastAsia" w:ascii="仿宋" w:hAnsi="仿宋" w:eastAsia="仿宋" w:cs="FangSong_GB2312"/>
                <w:color w:val="000000"/>
                <w:kern w:val="0"/>
                <w:szCs w:val="21"/>
              </w:rPr>
              <w:t>分；</w:t>
            </w:r>
          </w:p>
          <w:p>
            <w:pPr>
              <w:spacing w:line="300" w:lineRule="exact"/>
              <w:rPr>
                <w:rFonts w:hint="eastAsia" w:ascii="仿宋" w:hAnsi="仿宋" w:eastAsia="仿宋" w:cs="FangSong_GB2312"/>
                <w:color w:val="000000"/>
                <w:kern w:val="0"/>
                <w:szCs w:val="21"/>
                <w:lang w:eastAsia="zh-CN"/>
              </w:rPr>
            </w:pPr>
            <w:r>
              <w:rPr>
                <w:rFonts w:hint="eastAsia" w:ascii="仿宋" w:hAnsi="仿宋" w:eastAsia="仿宋" w:cs="FangSong_GB2312"/>
                <w:color w:val="000000"/>
                <w:kern w:val="0"/>
                <w:szCs w:val="21"/>
              </w:rPr>
              <w:t>培训次数少、培训安排笼统、培训内容单一的，得</w:t>
            </w:r>
            <w:r>
              <w:rPr>
                <w:rFonts w:ascii="仿宋" w:hAnsi="仿宋" w:eastAsia="仿宋" w:cs="FangSong_GB2312"/>
                <w:color w:val="000000"/>
                <w:kern w:val="0"/>
                <w:szCs w:val="21"/>
              </w:rPr>
              <w:t>0</w:t>
            </w:r>
            <w:r>
              <w:rPr>
                <w:rFonts w:hint="eastAsia" w:ascii="仿宋" w:hAnsi="仿宋" w:eastAsia="仿宋" w:cs="FangSong_GB2312"/>
                <w:color w:val="000000"/>
                <w:kern w:val="0"/>
                <w:szCs w:val="21"/>
              </w:rPr>
              <w:t>分</w:t>
            </w:r>
            <w:r>
              <w:rPr>
                <w:rFonts w:hint="eastAsia" w:ascii="仿宋" w:hAnsi="仿宋" w:eastAsia="仿宋" w:cs="FangSong_GB2312"/>
                <w:color w:val="000000"/>
                <w:kern w:val="0"/>
                <w:szCs w:val="21"/>
                <w:lang w:eastAsia="zh-CN"/>
              </w:rPr>
              <w:t>。</w:t>
            </w:r>
          </w:p>
        </w:tc>
      </w:tr>
      <w:tr>
        <w:tblPrEx>
          <w:tblCellMar>
            <w:top w:w="0" w:type="dxa"/>
            <w:left w:w="108" w:type="dxa"/>
            <w:bottom w:w="0" w:type="dxa"/>
            <w:right w:w="108" w:type="dxa"/>
          </w:tblCellMar>
        </w:tblPrEx>
        <w:trPr>
          <w:trHeight w:val="2003"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7</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售后服务方案</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3</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根据投标人针对本项目提供的售后服务方案中售后服务能力、提供的技术支持进行评审</w:t>
            </w:r>
            <w:r>
              <w:rPr>
                <w:rFonts w:hint="eastAsia" w:ascii="仿宋" w:hAnsi="仿宋" w:eastAsia="仿宋" w:cs="FangSong_GB2312"/>
                <w:color w:val="000000"/>
                <w:kern w:val="0"/>
                <w:szCs w:val="21"/>
              </w:rPr>
              <w:t>（3分）</w:t>
            </w:r>
            <w:r>
              <w:rPr>
                <w:rFonts w:hint="eastAsia" w:ascii="仿宋" w:hAnsi="仿宋" w:eastAsia="仿宋" w:cs="仿宋_GB2312"/>
                <w:color w:val="000000"/>
                <w:kern w:val="0"/>
                <w:szCs w:val="21"/>
              </w:rPr>
              <w:t>：</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服务能力强、提供完善的技术支持的，得3分；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服务能力较强、提供的技术支持有所欠缺的，得2分；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服务能力差、提供的技术支持无法满足项目需求的，得1分；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未提供不得分。</w:t>
            </w:r>
          </w:p>
        </w:tc>
      </w:tr>
      <w:tr>
        <w:tblPrEx>
          <w:tblCellMar>
            <w:top w:w="0" w:type="dxa"/>
            <w:left w:w="108" w:type="dxa"/>
            <w:bottom w:w="0" w:type="dxa"/>
            <w:right w:w="108" w:type="dxa"/>
          </w:tblCellMar>
        </w:tblPrEx>
        <w:trPr>
          <w:trHeight w:val="1936"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8</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重难点分析及应对措施</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3</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根据投标人针对本项目服务重难点的分析及建设方案进行评审</w:t>
            </w:r>
            <w:r>
              <w:rPr>
                <w:rFonts w:hint="eastAsia" w:ascii="仿宋" w:hAnsi="仿宋" w:eastAsia="仿宋" w:cs="FangSong_GB2312"/>
                <w:color w:val="000000"/>
                <w:kern w:val="0"/>
                <w:szCs w:val="21"/>
              </w:rPr>
              <w:t>（3分）</w:t>
            </w:r>
            <w:r>
              <w:rPr>
                <w:rFonts w:hint="eastAsia" w:ascii="仿宋" w:hAnsi="仿宋" w:eastAsia="仿宋" w:cs="仿宋_GB2312"/>
                <w:color w:val="000000"/>
                <w:kern w:val="0"/>
                <w:szCs w:val="21"/>
              </w:rPr>
              <w:t>：重难点的分析全面，解决方案合理切实可行、与项目实际情况贴合度高的，得3分；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重难点的分析较为到位、解决方案较为符合实际情况的，得2分；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重难点的分析存在偏差，解决方案笼统的得1分；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未提供不得分。</w:t>
            </w:r>
          </w:p>
        </w:tc>
      </w:tr>
      <w:tr>
        <w:tblPrEx>
          <w:tblCellMar>
            <w:top w:w="0" w:type="dxa"/>
            <w:left w:w="108" w:type="dxa"/>
            <w:bottom w:w="0" w:type="dxa"/>
            <w:right w:w="108" w:type="dxa"/>
          </w:tblCellMar>
        </w:tblPrEx>
        <w:trPr>
          <w:trHeight w:val="1936"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9</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人员配备</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7</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1.拟投入本项目的项目负责人（3分）：</w:t>
            </w:r>
          </w:p>
          <w:p>
            <w:pPr>
              <w:pStyle w:val="41"/>
              <w:ind w:firstLine="0" w:firstLineChars="0"/>
              <w:rPr>
                <w:rFonts w:ascii="仿宋" w:hAnsi="仿宋" w:eastAsia="仿宋" w:cs="仿宋_GB2312"/>
                <w:color w:val="000000"/>
                <w:kern w:val="0"/>
                <w:sz w:val="21"/>
                <w:szCs w:val="21"/>
              </w:rPr>
            </w:pPr>
            <w:r>
              <w:rPr>
                <w:rFonts w:hint="eastAsia" w:ascii="仿宋" w:hAnsi="仿宋" w:eastAsia="仿宋" w:cs="仿宋_GB2312"/>
                <w:color w:val="000000"/>
                <w:kern w:val="0"/>
                <w:sz w:val="21"/>
                <w:szCs w:val="21"/>
              </w:rPr>
              <w:t>①信息系统项目管理师证书；②建筑电气、机电工程或智能化相关专业高级工程师证书；③机电工程专业注册建造师证书，以上证书每具有一项得1分，最多得3分。</w:t>
            </w:r>
          </w:p>
          <w:p>
            <w:pPr>
              <w:pStyle w:val="41"/>
              <w:ind w:firstLine="0" w:firstLineChars="0"/>
            </w:pPr>
            <w:r>
              <w:rPr>
                <w:rFonts w:hint="eastAsia" w:ascii="仿宋" w:hAnsi="仿宋" w:eastAsia="仿宋" w:cs="仿宋_GB2312"/>
                <w:color w:val="000000"/>
                <w:kern w:val="0"/>
                <w:sz w:val="21"/>
                <w:szCs w:val="21"/>
              </w:rPr>
              <w:t>注：提供相关证书复印件及2024年2月-2024年4月投标人为其缴纳的任意一个月的社保证明复印件，否则不得分。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2.拟投入本项目的技术负责人（2分）：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①信息系统项目管理师证书；②机电工程专业注册建造师证书，以上证书每具有一项得1分，最多得2分。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注：提供相关证书复印件及2024年2月-2024年4月投标人为其缴纳的任意一个月的社保证明复印件，否则不得分。</w:t>
            </w:r>
          </w:p>
          <w:p>
            <w:pPr>
              <w:widowControl/>
              <w:rPr>
                <w:rFonts w:ascii="仿宋" w:hAnsi="仿宋" w:eastAsia="仿宋" w:cs="仿宋_GB2312"/>
                <w:color w:val="auto"/>
                <w:kern w:val="0"/>
                <w:szCs w:val="21"/>
                <w:highlight w:val="none"/>
              </w:rPr>
            </w:pPr>
            <w:r>
              <w:rPr>
                <w:rFonts w:hint="eastAsia" w:ascii="仿宋" w:hAnsi="仿宋" w:eastAsia="仿宋" w:cs="仿宋_GB2312"/>
                <w:color w:val="000000"/>
                <w:kern w:val="0"/>
                <w:szCs w:val="21"/>
              </w:rPr>
              <w:t>3.投标人</w:t>
            </w:r>
            <w:r>
              <w:rPr>
                <w:rFonts w:hint="eastAsia" w:ascii="仿宋" w:hAnsi="仿宋" w:eastAsia="仿宋" w:cs="仿宋_GB2312"/>
                <w:color w:val="000000"/>
                <w:kern w:val="0"/>
                <w:szCs w:val="21"/>
                <w:highlight w:val="none"/>
              </w:rPr>
              <w:t>承诺在</w:t>
            </w:r>
            <w:r>
              <w:rPr>
                <w:rFonts w:hint="eastAsia" w:ascii="仿宋" w:hAnsi="仿宋" w:eastAsia="仿宋" w:cs="仿宋_GB2312"/>
                <w:color w:val="000000"/>
                <w:kern w:val="0"/>
                <w:szCs w:val="21"/>
              </w:rPr>
              <w:t xml:space="preserve">项目验收后派遣1名具有有效的信息系统保护CIIPT证书的工作人员提供驻场技术支持3个月的，得2分； </w:t>
            </w:r>
            <w:r>
              <w:rPr>
                <w:rFonts w:hint="eastAsia" w:ascii="仿宋" w:hAnsi="仿宋" w:eastAsia="仿宋" w:cs="仿宋_GB2312"/>
                <w:color w:val="auto"/>
                <w:kern w:val="0"/>
                <w:szCs w:val="21"/>
                <w:highlight w:val="none"/>
              </w:rPr>
              <w:t>（提供承诺书）</w:t>
            </w:r>
          </w:p>
          <w:p>
            <w:pPr>
              <w:widowControl/>
              <w:rPr>
                <w:rFonts w:ascii="仿宋" w:hAnsi="仿宋" w:eastAsia="仿宋" w:cs="仿宋_GB2312"/>
                <w:color w:val="000000"/>
                <w:kern w:val="0"/>
                <w:szCs w:val="21"/>
              </w:rPr>
            </w:pPr>
            <w:r>
              <w:rPr>
                <w:rFonts w:hint="eastAsia" w:ascii="仿宋" w:hAnsi="仿宋" w:eastAsia="仿宋" w:cs="仿宋_GB2312"/>
                <w:b/>
                <w:bCs/>
                <w:color w:val="000000"/>
                <w:kern w:val="0"/>
                <w:szCs w:val="21"/>
                <w:highlight w:val="none"/>
              </w:rPr>
              <w:t>注：第1项-第3项人员不能为同一人，不能重复计分</w:t>
            </w:r>
            <w:r>
              <w:rPr>
                <w:rFonts w:hint="eastAsia" w:ascii="仿宋" w:hAnsi="仿宋" w:eastAsia="仿宋" w:cs="仿宋_GB2312"/>
                <w:color w:val="000000"/>
                <w:kern w:val="0"/>
                <w:szCs w:val="21"/>
                <w:highlight w:val="none"/>
              </w:rPr>
              <w:t>。</w:t>
            </w:r>
          </w:p>
        </w:tc>
      </w:tr>
      <w:tr>
        <w:tblPrEx>
          <w:tblCellMar>
            <w:top w:w="0" w:type="dxa"/>
            <w:left w:w="108" w:type="dxa"/>
            <w:bottom w:w="0" w:type="dxa"/>
            <w:right w:w="108" w:type="dxa"/>
          </w:tblCellMar>
        </w:tblPrEx>
        <w:trPr>
          <w:trHeight w:val="1936"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10</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认证证书</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6</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具有以下认证证书的，每个得1分，最多得6分：</w:t>
            </w:r>
          </w:p>
          <w:p>
            <w:pPr>
              <w:widowControl/>
              <w:numPr>
                <w:ilvl w:val="0"/>
                <w:numId w:val="1"/>
              </w:numPr>
              <w:rPr>
                <w:rFonts w:ascii="仿宋_GB2312" w:hAnsi="仿宋_GB2312" w:eastAsia="仿宋_GB2312" w:cs="仿宋_GB2312"/>
                <w:kern w:val="0"/>
                <w:szCs w:val="21"/>
              </w:rPr>
            </w:pPr>
            <w:r>
              <w:rPr>
                <w:rFonts w:hint="eastAsia" w:ascii="仿宋_GB2312" w:hAnsi="仿宋_GB2312" w:eastAsia="仿宋_GB2312" w:cs="仿宋_GB2312"/>
                <w:kern w:val="0"/>
                <w:szCs w:val="21"/>
              </w:rPr>
              <w:t>具有ISO9001质量管理体系证书；</w:t>
            </w:r>
          </w:p>
          <w:p>
            <w:pPr>
              <w:widowControl/>
              <w:numPr>
                <w:ilvl w:val="0"/>
                <w:numId w:val="1"/>
              </w:numPr>
              <w:rPr>
                <w:rFonts w:ascii="仿宋" w:hAnsi="仿宋" w:eastAsia="仿宋" w:cs="仿宋_GB2312"/>
                <w:color w:val="000000"/>
                <w:kern w:val="0"/>
                <w:szCs w:val="21"/>
              </w:rPr>
            </w:pPr>
            <w:r>
              <w:rPr>
                <w:rFonts w:hint="eastAsia" w:ascii="仿宋_GB2312" w:hAnsi="仿宋_GB2312" w:eastAsia="仿宋_GB2312" w:cs="仿宋_GB2312"/>
                <w:kern w:val="0"/>
                <w:szCs w:val="21"/>
              </w:rPr>
              <w:t>具有ISO14001环境管理体系认证；</w:t>
            </w:r>
          </w:p>
          <w:p>
            <w:pPr>
              <w:widowControl/>
              <w:numPr>
                <w:ilvl w:val="0"/>
                <w:numId w:val="1"/>
              </w:numPr>
              <w:rPr>
                <w:rFonts w:ascii="仿宋" w:hAnsi="仿宋" w:eastAsia="仿宋" w:cs="仿宋_GB2312"/>
                <w:color w:val="000000"/>
                <w:kern w:val="0"/>
                <w:szCs w:val="21"/>
              </w:rPr>
            </w:pPr>
            <w:r>
              <w:rPr>
                <w:rFonts w:hint="eastAsia" w:ascii="仿宋_GB2312" w:hAnsi="仿宋_GB2312" w:eastAsia="仿宋_GB2312" w:cs="仿宋_GB2312"/>
                <w:kern w:val="0"/>
                <w:szCs w:val="21"/>
              </w:rPr>
              <w:t>具有ISO45001职业健康安全管理体系认证；</w:t>
            </w:r>
          </w:p>
          <w:p>
            <w:pPr>
              <w:widowControl/>
              <w:numPr>
                <w:ilvl w:val="0"/>
                <w:numId w:val="1"/>
              </w:numPr>
              <w:rPr>
                <w:rFonts w:ascii="仿宋" w:hAnsi="仿宋" w:eastAsia="仿宋" w:cs="仿宋_GB2312"/>
                <w:color w:val="000000"/>
                <w:kern w:val="0"/>
                <w:szCs w:val="21"/>
              </w:rPr>
            </w:pPr>
            <w:r>
              <w:rPr>
                <w:rFonts w:hint="eastAsia" w:ascii="仿宋_GB2312" w:hAnsi="仿宋_GB2312" w:eastAsia="仿宋_GB2312" w:cs="仿宋_GB2312"/>
                <w:kern w:val="0"/>
                <w:szCs w:val="21"/>
              </w:rPr>
              <w:t>具有ISO27001信息安全体系认证；</w:t>
            </w:r>
          </w:p>
          <w:p>
            <w:pPr>
              <w:widowControl/>
              <w:numPr>
                <w:ilvl w:val="0"/>
                <w:numId w:val="1"/>
              </w:numPr>
              <w:rPr>
                <w:rFonts w:ascii="仿宋" w:hAnsi="仿宋" w:eastAsia="仿宋" w:cs="仿宋_GB2312"/>
                <w:color w:val="000000"/>
                <w:kern w:val="0"/>
                <w:szCs w:val="21"/>
              </w:rPr>
            </w:pPr>
            <w:r>
              <w:rPr>
                <w:rFonts w:hint="eastAsia" w:ascii="仿宋_GB2312" w:hAnsi="仿宋_GB2312" w:eastAsia="仿宋_GB2312" w:cs="仿宋_GB2312"/>
                <w:kern w:val="0"/>
                <w:szCs w:val="21"/>
              </w:rPr>
              <w:t>具有ISO20000信息技术服务管理体系认证证；</w:t>
            </w:r>
          </w:p>
          <w:p>
            <w:pPr>
              <w:widowControl/>
              <w:numPr>
                <w:ilvl w:val="0"/>
                <w:numId w:val="1"/>
              </w:numPr>
              <w:rPr>
                <w:rFonts w:ascii="仿宋" w:hAnsi="仿宋" w:eastAsia="仿宋" w:cs="仿宋_GB2312"/>
                <w:color w:val="000000"/>
                <w:kern w:val="0"/>
                <w:szCs w:val="21"/>
              </w:rPr>
            </w:pPr>
            <w:r>
              <w:rPr>
                <w:rFonts w:hint="eastAsia" w:ascii="仿宋_GB2312" w:hAnsi="仿宋_GB2312" w:eastAsia="仿宋_GB2312" w:cs="仿宋_GB2312"/>
                <w:kern w:val="0"/>
                <w:szCs w:val="21"/>
              </w:rPr>
              <w:t>具有售后服务认证证书（GB/T27922-2011)；</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注：提供证书复印件并加盖公章。</w:t>
            </w:r>
          </w:p>
        </w:tc>
      </w:tr>
      <w:tr>
        <w:tblPrEx>
          <w:tblCellMar>
            <w:top w:w="0" w:type="dxa"/>
            <w:left w:w="108" w:type="dxa"/>
            <w:bottom w:w="0" w:type="dxa"/>
            <w:right w:w="108" w:type="dxa"/>
          </w:tblCellMar>
        </w:tblPrEx>
        <w:trPr>
          <w:trHeight w:val="90"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11</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lang w:val="zh-CN"/>
              </w:rPr>
            </w:pPr>
            <w:r>
              <w:rPr>
                <w:rFonts w:hint="eastAsia" w:ascii="仿宋" w:hAnsi="仿宋" w:eastAsia="仿宋" w:cs="仿宋_GB2312"/>
                <w:color w:val="000000"/>
                <w:kern w:val="0"/>
                <w:szCs w:val="21"/>
                <w:lang w:val="zh-CN"/>
              </w:rPr>
              <w:t>政策分</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1</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1、投标产品为节能产品，提供有效期内节能产品认证证书的得0.5分；2、投标产品为环境标志产品，提供有效期内环境标志产品认证证书的得0.5分。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注：提供上述有效证书复印件并加盖公章。</w:t>
            </w:r>
          </w:p>
        </w:tc>
      </w:tr>
      <w:tr>
        <w:tblPrEx>
          <w:tblCellMar>
            <w:top w:w="0" w:type="dxa"/>
            <w:left w:w="108" w:type="dxa"/>
            <w:bottom w:w="0" w:type="dxa"/>
            <w:right w:w="108" w:type="dxa"/>
          </w:tblCellMar>
        </w:tblPrEx>
        <w:trPr>
          <w:trHeight w:val="1401" w:hRule="atLeast"/>
        </w:trPr>
        <w:tc>
          <w:tcPr>
            <w:tcW w:w="4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12</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lang w:val="zh-CN"/>
              </w:rPr>
              <w:t>业绩</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2</w:t>
            </w:r>
          </w:p>
        </w:tc>
        <w:tc>
          <w:tcPr>
            <w:tcW w:w="66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Cs w:val="21"/>
              </w:rPr>
            </w:pPr>
            <w:bookmarkStart w:id="47" w:name="_GoBack"/>
            <w:r>
              <w:rPr>
                <w:rFonts w:hint="eastAsia" w:ascii="仿宋" w:hAnsi="仿宋" w:eastAsia="仿宋" w:cs="仿宋_GB2312"/>
                <w:color w:val="000000"/>
                <w:kern w:val="0"/>
                <w:szCs w:val="21"/>
              </w:rPr>
              <w:t>自2021年1月1日(以合同签订日期为准）以来承担过同类项目业绩，每提供一个合同得1分，最多得2分。</w:t>
            </w:r>
          </w:p>
          <w:p>
            <w:pPr>
              <w:widowControl/>
              <w:rPr>
                <w:rFonts w:ascii="仿宋" w:hAnsi="仿宋" w:eastAsia="仿宋" w:cs="仿宋_GB2312"/>
                <w:color w:val="000000"/>
                <w:kern w:val="0"/>
                <w:szCs w:val="21"/>
              </w:rPr>
            </w:pPr>
            <w:r>
              <w:rPr>
                <w:rFonts w:hint="eastAsia" w:ascii="仿宋" w:hAnsi="仿宋" w:eastAsia="仿宋" w:cs="仿宋_GB2312"/>
                <w:color w:val="000000"/>
                <w:kern w:val="0"/>
                <w:szCs w:val="21"/>
              </w:rPr>
              <w:t>注：提供合同复印件并加盖公章，未提供的或未按要求盖章的视为无效业绩。</w:t>
            </w:r>
            <w:bookmarkEnd w:id="47"/>
          </w:p>
        </w:tc>
      </w:tr>
    </w:tbl>
    <w:p>
      <w:pPr>
        <w:pStyle w:val="41"/>
        <w:ind w:firstLine="0" w:firstLineChars="0"/>
      </w:pPr>
    </w:p>
    <w:p>
      <w:pPr>
        <w:spacing w:line="360" w:lineRule="auto"/>
        <w:rPr>
          <w:rFonts w:ascii="仿宋" w:hAnsi="仿宋" w:eastAsia="仿宋" w:cs="仿宋_GB2312"/>
          <w:color w:val="000000"/>
          <w:kern w:val="0"/>
          <w:szCs w:val="21"/>
        </w:rPr>
      </w:pPr>
      <w:r>
        <w:rPr>
          <w:rFonts w:ascii="仿宋" w:hAnsi="仿宋" w:eastAsia="仿宋" w:cs="仿宋_GB2312"/>
          <w:color w:val="000000"/>
          <w:kern w:val="0"/>
          <w:szCs w:val="21"/>
        </w:rPr>
        <w:t>注:1、各项得分保留小数点后二位小数，第三位四舍五入。</w:t>
      </w:r>
    </w:p>
    <w:p>
      <w:pPr>
        <w:spacing w:line="440" w:lineRule="exact"/>
        <w:ind w:firstLine="422" w:firstLineChars="200"/>
        <w:rPr>
          <w:rFonts w:ascii="仿宋" w:hAnsi="仿宋" w:eastAsia="仿宋" w:cs="仿宋_GB2312"/>
          <w:b/>
          <w:color w:val="000000"/>
          <w:kern w:val="0"/>
          <w:szCs w:val="21"/>
          <w:u w:val="single"/>
        </w:rPr>
      </w:pPr>
      <w:r>
        <w:rPr>
          <w:rFonts w:ascii="仿宋" w:hAnsi="仿宋" w:eastAsia="仿宋" w:cs="仿宋_GB2312"/>
          <w:b/>
          <w:color w:val="000000"/>
          <w:kern w:val="0"/>
          <w:szCs w:val="21"/>
          <w:u w:val="single"/>
        </w:rPr>
        <w:t>2、有关证书均应在有效期内。</w:t>
      </w: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spacing w:line="360" w:lineRule="auto"/>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41"/>
        <w:ind w:firstLine="900"/>
        <w:rPr>
          <w:rFonts w:ascii="仿宋" w:hAnsi="仿宋" w:eastAsia="仿宋" w:cs="仿宋_GB2312"/>
          <w:color w:val="000000"/>
          <w:kern w:val="0"/>
          <w:sz w:val="36"/>
          <w:szCs w:val="36"/>
        </w:rPr>
      </w:pPr>
    </w:p>
    <w:p>
      <w:pPr>
        <w:pStyle w:val="63"/>
        <w:rPr>
          <w:rStyle w:val="124"/>
          <w:rFonts w:ascii="仿宋_GB2312" w:eastAsia="仿宋_GB2312"/>
          <w:b/>
          <w:sz w:val="36"/>
        </w:rPr>
      </w:pPr>
      <w:bookmarkStart w:id="38" w:name="_Toc150414334"/>
      <w:r>
        <w:rPr>
          <w:rStyle w:val="124"/>
          <w:rFonts w:ascii="仿宋_GB2312" w:eastAsia="仿宋_GB2312"/>
          <w:b/>
          <w:sz w:val="36"/>
        </w:rPr>
        <w:t>第</w:t>
      </w:r>
      <w:r>
        <w:rPr>
          <w:rStyle w:val="124"/>
          <w:rFonts w:hint="eastAsia" w:ascii="仿宋_GB2312" w:eastAsia="仿宋_GB2312"/>
          <w:b/>
          <w:sz w:val="36"/>
        </w:rPr>
        <w:t>七</w:t>
      </w:r>
      <w:r>
        <w:rPr>
          <w:rStyle w:val="124"/>
          <w:rFonts w:ascii="仿宋_GB2312" w:eastAsia="仿宋_GB2312"/>
          <w:b/>
          <w:sz w:val="36"/>
        </w:rPr>
        <w:t xml:space="preserve">部分   </w:t>
      </w:r>
      <w:r>
        <w:rPr>
          <w:rStyle w:val="124"/>
          <w:rFonts w:hint="eastAsia" w:ascii="仿宋_GB2312" w:eastAsia="仿宋_GB2312"/>
          <w:b/>
          <w:sz w:val="36"/>
        </w:rPr>
        <w:t>拟签订</w:t>
      </w:r>
      <w:r>
        <w:rPr>
          <w:rStyle w:val="124"/>
          <w:rFonts w:ascii="仿宋_GB2312" w:eastAsia="仿宋_GB2312"/>
          <w:b/>
          <w:sz w:val="36"/>
        </w:rPr>
        <w:t>合同样本</w:t>
      </w:r>
      <w:bookmarkEnd w:id="38"/>
    </w:p>
    <w:p>
      <w:pPr>
        <w:pStyle w:val="37"/>
        <w:snapToGrid w:val="0"/>
        <w:spacing w:line="360" w:lineRule="auto"/>
        <w:ind w:firstLine="602"/>
        <w:jc w:val="center"/>
        <w:rPr>
          <w:rFonts w:ascii="仿宋" w:hAnsi="仿宋" w:eastAsia="仿宋" w:cs="仿宋_GB2312"/>
          <w:b/>
          <w:color w:val="000000"/>
          <w:kern w:val="0"/>
          <w:sz w:val="24"/>
          <w:szCs w:val="24"/>
          <w:u w:val="single"/>
        </w:rPr>
      </w:pPr>
      <w:r>
        <w:rPr>
          <w:rFonts w:ascii="仿宋" w:hAnsi="仿宋" w:eastAsia="仿宋" w:cs="仿宋_GB2312"/>
          <w:b/>
          <w:color w:val="000000"/>
          <w:kern w:val="0"/>
          <w:sz w:val="24"/>
          <w:szCs w:val="24"/>
          <w:u w:val="single"/>
        </w:rPr>
        <w:t>（本合同</w:t>
      </w:r>
      <w:r>
        <w:rPr>
          <w:rFonts w:hint="eastAsia" w:ascii="仿宋" w:hAnsi="仿宋" w:eastAsia="仿宋" w:cs="仿宋_GB2312"/>
          <w:b/>
          <w:color w:val="000000"/>
          <w:kern w:val="0"/>
          <w:sz w:val="24"/>
          <w:szCs w:val="24"/>
          <w:u w:val="single"/>
        </w:rPr>
        <w:t>样本</w:t>
      </w:r>
      <w:r>
        <w:rPr>
          <w:rFonts w:ascii="仿宋" w:hAnsi="仿宋" w:eastAsia="仿宋" w:cs="仿宋_GB2312"/>
          <w:b/>
          <w:color w:val="000000"/>
          <w:kern w:val="0"/>
          <w:sz w:val="24"/>
          <w:szCs w:val="24"/>
          <w:u w:val="single"/>
        </w:rPr>
        <w:t>由采购人提供，</w:t>
      </w:r>
      <w:r>
        <w:rPr>
          <w:rFonts w:hint="eastAsia" w:ascii="仿宋" w:hAnsi="仿宋" w:eastAsia="仿宋" w:cs="仿宋_GB2312"/>
          <w:b/>
          <w:color w:val="000000"/>
          <w:kern w:val="0"/>
          <w:sz w:val="24"/>
          <w:szCs w:val="24"/>
          <w:u w:val="single"/>
        </w:rPr>
        <w:t>招标文件已约定的条款以招标文件为准，其他具体条款内容</w:t>
      </w:r>
      <w:r>
        <w:rPr>
          <w:rFonts w:ascii="仿宋" w:hAnsi="仿宋" w:eastAsia="仿宋" w:cs="仿宋_GB2312"/>
          <w:b/>
          <w:color w:val="000000"/>
          <w:kern w:val="0"/>
          <w:sz w:val="24"/>
          <w:szCs w:val="24"/>
          <w:u w:val="single"/>
        </w:rPr>
        <w:t>由甲乙双方协商后</w:t>
      </w:r>
      <w:r>
        <w:rPr>
          <w:rFonts w:hint="eastAsia" w:ascii="仿宋" w:hAnsi="仿宋" w:eastAsia="仿宋" w:cs="仿宋_GB2312"/>
          <w:b/>
          <w:color w:val="000000"/>
          <w:kern w:val="0"/>
          <w:sz w:val="24"/>
          <w:szCs w:val="24"/>
          <w:u w:val="single"/>
        </w:rPr>
        <w:t>根据实际情况</w:t>
      </w:r>
      <w:r>
        <w:rPr>
          <w:rFonts w:ascii="仿宋" w:hAnsi="仿宋" w:eastAsia="仿宋" w:cs="仿宋_GB2312"/>
          <w:b/>
          <w:color w:val="000000"/>
          <w:kern w:val="0"/>
          <w:sz w:val="24"/>
          <w:szCs w:val="24"/>
          <w:u w:val="single"/>
        </w:rPr>
        <w:t xml:space="preserve">确定） </w:t>
      </w:r>
    </w:p>
    <w:p>
      <w:pPr>
        <w:spacing w:line="360" w:lineRule="auto"/>
        <w:jc w:val="center"/>
        <w:rPr>
          <w:rFonts w:ascii="仿宋" w:hAnsi="仿宋" w:eastAsia="仿宋" w:cs="仿宋_GB2312"/>
          <w:b/>
          <w:color w:val="000000"/>
          <w:kern w:val="0"/>
          <w:szCs w:val="28"/>
        </w:rPr>
      </w:pPr>
    </w:p>
    <w:p>
      <w:pPr>
        <w:pStyle w:val="37"/>
        <w:snapToGrid w:val="0"/>
        <w:spacing w:line="360" w:lineRule="auto"/>
        <w:rPr>
          <w:rFonts w:ascii="仿宋_GB2312" w:hAnsi="仿宋_GB2312" w:eastAsia="仿宋_GB2312" w:cs="仿宋_GB2312"/>
          <w:color w:val="000000"/>
          <w:kern w:val="0"/>
          <w:szCs w:val="28"/>
        </w:rPr>
      </w:pPr>
      <w:bookmarkStart w:id="39" w:name="_Toc360457889"/>
      <w:bookmarkStart w:id="40" w:name="_Toc231780370"/>
      <w:bookmarkStart w:id="41" w:name="_Toc437251188"/>
      <w:r>
        <w:rPr>
          <w:rFonts w:ascii="仿宋_GB2312" w:hAnsi="仿宋_GB2312" w:eastAsia="仿宋_GB2312" w:cs="仿宋_GB2312"/>
          <w:color w:val="000000"/>
          <w:kern w:val="0"/>
          <w:szCs w:val="28"/>
        </w:rPr>
        <w:t>甲  方（</w:t>
      </w:r>
      <w:r>
        <w:rPr>
          <w:rFonts w:hint="eastAsia" w:ascii="仿宋_GB2312" w:hAnsi="仿宋_GB2312" w:eastAsia="仿宋_GB2312" w:cs="仿宋_GB2312"/>
          <w:color w:val="000000"/>
          <w:kern w:val="0"/>
          <w:szCs w:val="28"/>
        </w:rPr>
        <w:t>招标</w:t>
      </w:r>
      <w:r>
        <w:rPr>
          <w:rFonts w:ascii="仿宋_GB2312" w:hAnsi="仿宋_GB2312" w:eastAsia="仿宋_GB2312" w:cs="仿宋_GB2312"/>
          <w:color w:val="000000"/>
          <w:kern w:val="0"/>
          <w:szCs w:val="28"/>
        </w:rPr>
        <w:t xml:space="preserve">方）： </w:t>
      </w:r>
    </w:p>
    <w:p>
      <w:pPr>
        <w:pStyle w:val="37"/>
        <w:snapToGrid w:val="0"/>
        <w:spacing w:line="360" w:lineRule="auto"/>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  方（供应商）:</w:t>
      </w:r>
    </w:p>
    <w:p>
      <w:pPr>
        <w:spacing w:line="360" w:lineRule="auto"/>
        <w:ind w:right="-147" w:rightChars="-70"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》等相关法律，甲乙双方根据慈溪市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中心关于招标编号： 项目的公开招标结果，双方充分协商达成合同如下：</w:t>
      </w:r>
    </w:p>
    <w:p>
      <w:pPr>
        <w:pStyle w:val="37"/>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第一条：项目内容及合同价格</w:t>
      </w:r>
    </w:p>
    <w:p>
      <w:pPr>
        <w:pStyle w:val="37"/>
        <w:snapToGrid w:val="0"/>
        <w:spacing w:line="360" w:lineRule="auto"/>
        <w:ind w:firstLine="4480" w:firstLineChars="16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金额单位：元</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20"/>
        <w:gridCol w:w="1260"/>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44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序号</w:t>
            </w:r>
          </w:p>
        </w:tc>
        <w:tc>
          <w:tcPr>
            <w:tcW w:w="144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商品名称</w:t>
            </w:r>
          </w:p>
        </w:tc>
        <w:tc>
          <w:tcPr>
            <w:tcW w:w="162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品牌</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规格型号</w:t>
            </w:r>
          </w:p>
        </w:tc>
        <w:tc>
          <w:tcPr>
            <w:tcW w:w="108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数量</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单价</w:t>
            </w:r>
          </w:p>
        </w:tc>
        <w:tc>
          <w:tcPr>
            <w:tcW w:w="1260" w:type="dxa"/>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440" w:type="dxa"/>
            <w:vAlign w:val="center"/>
          </w:tcPr>
          <w:p>
            <w:pPr>
              <w:spacing w:line="360" w:lineRule="auto"/>
              <w:jc w:val="center"/>
              <w:rPr>
                <w:rFonts w:ascii="仿宋_GB2312" w:hAnsi="仿宋_GB2312" w:eastAsia="仿宋_GB2312" w:cs="仿宋_GB2312"/>
                <w:color w:val="000000"/>
                <w:kern w:val="0"/>
                <w:sz w:val="28"/>
                <w:szCs w:val="28"/>
              </w:rPr>
            </w:pPr>
          </w:p>
        </w:tc>
        <w:tc>
          <w:tcPr>
            <w:tcW w:w="1440" w:type="dxa"/>
            <w:vAlign w:val="center"/>
          </w:tcPr>
          <w:p>
            <w:pPr>
              <w:spacing w:line="440" w:lineRule="exact"/>
              <w:jc w:val="center"/>
              <w:rPr>
                <w:rFonts w:ascii="Arial" w:hAnsi="Arial" w:eastAsia="仿宋" w:cs="Arial"/>
                <w:sz w:val="28"/>
                <w:szCs w:val="28"/>
              </w:rPr>
            </w:pPr>
          </w:p>
        </w:tc>
        <w:tc>
          <w:tcPr>
            <w:tcW w:w="1620" w:type="dxa"/>
            <w:vAlign w:val="center"/>
          </w:tcPr>
          <w:p>
            <w:pPr>
              <w:spacing w:line="440" w:lineRule="exact"/>
              <w:rPr>
                <w:rFonts w:ascii="Arial" w:hAnsi="Arial" w:eastAsia="仿宋" w:cs="Arial"/>
                <w:sz w:val="28"/>
                <w:szCs w:val="28"/>
              </w:rPr>
            </w:pPr>
          </w:p>
        </w:tc>
        <w:tc>
          <w:tcPr>
            <w:tcW w:w="1260" w:type="dxa"/>
            <w:vAlign w:val="center"/>
          </w:tcPr>
          <w:p>
            <w:pPr>
              <w:spacing w:line="440" w:lineRule="exact"/>
              <w:rPr>
                <w:rFonts w:ascii="Arial" w:hAnsi="Arial" w:eastAsia="仿宋" w:cs="Arial"/>
                <w:sz w:val="28"/>
                <w:szCs w:val="28"/>
              </w:rPr>
            </w:pPr>
          </w:p>
        </w:tc>
        <w:tc>
          <w:tcPr>
            <w:tcW w:w="1080" w:type="dxa"/>
            <w:vAlign w:val="center"/>
          </w:tcPr>
          <w:p>
            <w:pPr>
              <w:spacing w:line="440" w:lineRule="exact"/>
              <w:jc w:val="center"/>
              <w:rPr>
                <w:rFonts w:ascii="Arial" w:hAnsi="Arial" w:eastAsia="仿宋" w:cs="Arial"/>
                <w:sz w:val="28"/>
                <w:szCs w:val="28"/>
              </w:rPr>
            </w:pPr>
          </w:p>
        </w:tc>
        <w:tc>
          <w:tcPr>
            <w:tcW w:w="1260" w:type="dxa"/>
            <w:vAlign w:val="center"/>
          </w:tcPr>
          <w:p>
            <w:pPr>
              <w:spacing w:line="440" w:lineRule="exact"/>
              <w:jc w:val="center"/>
              <w:rPr>
                <w:rFonts w:ascii="Arial" w:hAnsi="Arial" w:eastAsia="仿宋" w:cs="Arial"/>
                <w:sz w:val="28"/>
                <w:szCs w:val="28"/>
              </w:rPr>
            </w:pPr>
          </w:p>
        </w:tc>
        <w:tc>
          <w:tcPr>
            <w:tcW w:w="1260" w:type="dxa"/>
            <w:tcBorders>
              <w:bottom w:val="single" w:color="auto" w:sz="4" w:space="0"/>
            </w:tcBorders>
            <w:vAlign w:val="center"/>
          </w:tcPr>
          <w:p>
            <w:pPr>
              <w:spacing w:line="440" w:lineRule="exact"/>
              <w:jc w:val="center"/>
              <w:rPr>
                <w:rFonts w:ascii="Arial" w:hAnsi="Arial" w:eastAsia="仿宋"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100" w:type="dxa"/>
            <w:gridSpan w:val="6"/>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合计：</w:t>
            </w:r>
          </w:p>
        </w:tc>
        <w:tc>
          <w:tcPr>
            <w:tcW w:w="1260" w:type="dxa"/>
            <w:vAlign w:val="center"/>
          </w:tcPr>
          <w:p>
            <w:pPr>
              <w:spacing w:line="440" w:lineRule="exact"/>
              <w:jc w:val="center"/>
              <w:rPr>
                <w:rFonts w:ascii="Arial" w:hAnsi="Arial" w:eastAsia="仿宋"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360" w:type="dxa"/>
            <w:gridSpan w:val="7"/>
            <w:vAlign w:val="center"/>
          </w:tcPr>
          <w:p>
            <w:pPr>
              <w:spacing w:line="360" w:lineRule="auto"/>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合同总价（人民币大写）：                     元整</w:t>
            </w:r>
          </w:p>
        </w:tc>
      </w:tr>
    </w:tbl>
    <w:p>
      <w:pPr>
        <w:spacing w:line="360" w:lineRule="auto"/>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注：以上合同总价包括运抵使用单位的运输、保险、安装、调试、验收、税金等一切费用。</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第二条：</w:t>
      </w:r>
      <w:r>
        <w:rPr>
          <w:rFonts w:hint="eastAsia" w:ascii="仿宋_GB2312" w:hAnsi="仿宋_GB2312" w:eastAsia="仿宋_GB2312" w:cs="仿宋_GB2312"/>
          <w:color w:val="000000"/>
          <w:kern w:val="0"/>
          <w:sz w:val="28"/>
          <w:szCs w:val="28"/>
        </w:rPr>
        <w:t>技术资料</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1、乙方应按招标文件规定的时间向甲方提供使用项目的有关技术资料。</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20" w:firstLineChars="1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p>
      <w:pPr>
        <w:pStyle w:val="37"/>
        <w:adjustRightInd w:val="0"/>
        <w:snapToGrid w:val="0"/>
        <w:spacing w:before="120" w:after="120" w:line="360" w:lineRule="auto"/>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第三条： 知识产权</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乙方应保证所提供的服务或其任何一部分均不会侵犯任何第三方的知识产权。</w:t>
      </w:r>
    </w:p>
    <w:p>
      <w:pPr>
        <w:pStyle w:val="37"/>
        <w:adjustRightInd w:val="0"/>
        <w:snapToGrid w:val="0"/>
        <w:spacing w:before="120" w:after="120"/>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第四条：产权担保</w:t>
      </w:r>
    </w:p>
    <w:p>
      <w:pPr>
        <w:pStyle w:val="37"/>
        <w:adjustRightInd w:val="0"/>
        <w:snapToGrid w:val="0"/>
        <w:spacing w:before="120" w:after="120"/>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乙方保证所交付的货物的所有权完全属于乙方且无任何抵押、查封等产权瑕疵。</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w:t>
      </w:r>
      <w:r>
        <w:rPr>
          <w:rFonts w:hint="eastAsia" w:ascii="仿宋_GB2312" w:hAnsi="仿宋_GB2312" w:eastAsia="仿宋_GB2312" w:cs="仿宋_GB2312"/>
          <w:color w:val="000000"/>
          <w:kern w:val="0"/>
          <w:szCs w:val="28"/>
        </w:rPr>
        <w:t>五</w:t>
      </w:r>
      <w:r>
        <w:rPr>
          <w:rFonts w:ascii="仿宋_GB2312" w:hAnsi="仿宋_GB2312" w:eastAsia="仿宋_GB2312" w:cs="仿宋_GB2312"/>
          <w:color w:val="000000"/>
          <w:kern w:val="0"/>
          <w:szCs w:val="28"/>
        </w:rPr>
        <w:t>条：转包或分包</w:t>
      </w:r>
    </w:p>
    <w:p>
      <w:pPr>
        <w:adjustRightInd w:val="0"/>
        <w:snapToGrid w:val="0"/>
        <w:spacing w:beforeLines="50" w:afterLines="50" w:line="360" w:lineRule="auto"/>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不允许转包，不允许分包。如乙方将项目转包或分包的，甲方有权解除合同，并追究乙方的违约责任。</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w:t>
      </w:r>
      <w:r>
        <w:rPr>
          <w:rFonts w:hint="eastAsia" w:ascii="仿宋_GB2312" w:hAnsi="仿宋_GB2312" w:eastAsia="仿宋_GB2312" w:cs="仿宋_GB2312"/>
          <w:color w:val="000000"/>
          <w:kern w:val="0"/>
          <w:szCs w:val="28"/>
        </w:rPr>
        <w:t>六</w:t>
      </w:r>
      <w:r>
        <w:rPr>
          <w:rFonts w:ascii="仿宋_GB2312" w:hAnsi="仿宋_GB2312" w:eastAsia="仿宋_GB2312" w:cs="仿宋_GB2312"/>
          <w:color w:val="000000"/>
          <w:kern w:val="0"/>
          <w:szCs w:val="28"/>
        </w:rPr>
        <w:t>条：质保期和履约保证金</w:t>
      </w:r>
    </w:p>
    <w:p>
      <w:pPr>
        <w:pStyle w:val="37"/>
        <w:adjustRightInd w:val="0"/>
        <w:snapToGrid w:val="0"/>
        <w:spacing w:before="120" w:after="120" w:line="440" w:lineRule="exact"/>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1、质保期</w:t>
      </w:r>
      <w:r>
        <w:rPr>
          <w:rFonts w:hint="eastAsia" w:ascii="仿宋_GB2312" w:hAnsi="仿宋_GB2312" w:eastAsia="仿宋_GB2312" w:cs="仿宋_GB2312"/>
          <w:color w:val="000000"/>
          <w:kern w:val="0"/>
          <w:szCs w:val="28"/>
        </w:rPr>
        <w:t>______</w:t>
      </w:r>
      <w:r>
        <w:rPr>
          <w:rFonts w:ascii="仿宋_GB2312" w:hAnsi="仿宋_GB2312" w:eastAsia="仿宋_GB2312" w:cs="仿宋_GB2312"/>
          <w:color w:val="000000"/>
          <w:kern w:val="0"/>
          <w:szCs w:val="28"/>
        </w:rPr>
        <w:t>年（自项目验收合格交付使用之日起计）</w:t>
      </w:r>
      <w:r>
        <w:rPr>
          <w:rFonts w:hint="eastAsia" w:ascii="仿宋_GB2312" w:hAnsi="仿宋_GB2312" w:eastAsia="仿宋_GB2312" w:cs="仿宋_GB2312"/>
          <w:color w:val="000000"/>
          <w:kern w:val="0"/>
          <w:szCs w:val="28"/>
        </w:rPr>
        <w:t>。</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2、合同总价的1%作为履约保证金（由甲乙双方自行约定退回的方式和时间）。履约保证金可以现金或银行、保险公司出具的保函形式提交。</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w:t>
      </w:r>
      <w:r>
        <w:rPr>
          <w:rFonts w:hint="eastAsia" w:ascii="仿宋_GB2312" w:hAnsi="仿宋_GB2312" w:eastAsia="仿宋_GB2312" w:cs="仿宋_GB2312"/>
          <w:color w:val="000000"/>
          <w:kern w:val="0"/>
          <w:szCs w:val="28"/>
        </w:rPr>
        <w:t>七</w:t>
      </w:r>
      <w:r>
        <w:rPr>
          <w:rFonts w:ascii="仿宋_GB2312" w:hAnsi="仿宋_GB2312" w:eastAsia="仿宋_GB2312" w:cs="仿宋_GB2312"/>
          <w:color w:val="000000"/>
          <w:kern w:val="0"/>
          <w:szCs w:val="28"/>
        </w:rPr>
        <w:t>条：</w:t>
      </w:r>
      <w:r>
        <w:rPr>
          <w:rFonts w:hint="eastAsia" w:ascii="仿宋_GB2312" w:hAnsi="仿宋_GB2312" w:eastAsia="仿宋_GB2312" w:cs="仿宋_GB2312"/>
          <w:color w:val="000000"/>
          <w:kern w:val="0"/>
          <w:szCs w:val="28"/>
        </w:rPr>
        <w:t>交货安装及实施地点</w:t>
      </w:r>
    </w:p>
    <w:p>
      <w:pPr>
        <w:pStyle w:val="37"/>
        <w:snapToGrid w:val="0"/>
        <w:spacing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1、乙方在合同签订后</w:t>
      </w:r>
      <w:r>
        <w:rPr>
          <w:rFonts w:hint="eastAsia" w:ascii="仿宋_GB2312" w:hAnsi="仿宋_GB2312" w:eastAsia="仿宋_GB2312" w:cs="仿宋_GB2312"/>
          <w:color w:val="000000"/>
          <w:kern w:val="0"/>
          <w:szCs w:val="28"/>
        </w:rPr>
        <w:t>______</w:t>
      </w:r>
      <w:r>
        <w:rPr>
          <w:rFonts w:ascii="仿宋_GB2312" w:hAnsi="仿宋_GB2312" w:eastAsia="仿宋_GB2312" w:cs="仿宋_GB2312"/>
          <w:color w:val="000000"/>
          <w:kern w:val="0"/>
          <w:szCs w:val="28"/>
        </w:rPr>
        <w:t>日内供货并安装调试完毕。</w:t>
      </w:r>
    </w:p>
    <w:p>
      <w:pPr>
        <w:pStyle w:val="37"/>
        <w:snapToGrid w:val="0"/>
        <w:spacing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2、在所供货物交付使用时，乙方必须向甲方提供质量保证书、保修卡等必须具备的相关资料和必备的附件。</w:t>
      </w:r>
    </w:p>
    <w:p>
      <w:pPr>
        <w:pStyle w:val="37"/>
        <w:adjustRightInd w:val="0"/>
        <w:snapToGrid w:val="0"/>
        <w:spacing w:before="120" w:after="120"/>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3、实施地点：甲方指定地点。</w:t>
      </w:r>
    </w:p>
    <w:p>
      <w:pPr>
        <w:pStyle w:val="37"/>
        <w:adjustRightInd w:val="0"/>
        <w:snapToGrid w:val="0"/>
        <w:spacing w:before="120" w:after="120"/>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第八条：</w:t>
      </w:r>
      <w:r>
        <w:rPr>
          <w:rFonts w:hint="eastAsia" w:ascii="仿宋_GB2312" w:hAnsi="仿宋_GB2312" w:eastAsia="仿宋_GB2312" w:cs="仿宋_GB2312"/>
          <w:color w:val="000000"/>
          <w:kern w:val="0"/>
          <w:szCs w:val="28"/>
        </w:rPr>
        <w:t>货</w:t>
      </w:r>
      <w:r>
        <w:rPr>
          <w:rFonts w:ascii="仿宋_GB2312" w:hAnsi="仿宋_GB2312" w:eastAsia="仿宋_GB2312" w:cs="仿宋_GB2312"/>
          <w:color w:val="000000"/>
          <w:kern w:val="0"/>
          <w:szCs w:val="28"/>
        </w:rPr>
        <w:t>款支付</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1、预付款：在合同生效以及具备实施条件后7日内，招标方向中标方支付合同金额40%的预付款；</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2、货物送达指定地点安装调试完毕并验收合格后7个工作日内支付余款。款项支付时中标方需提供合法票据；</w:t>
      </w:r>
    </w:p>
    <w:p>
      <w:pPr>
        <w:adjustRightInd w:val="0"/>
        <w:snapToGrid w:val="0"/>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上述款项均通过银行转帐结算。</w:t>
      </w:r>
    </w:p>
    <w:p>
      <w:pPr>
        <w:adjustRightInd w:val="0"/>
        <w:snapToGrid w:val="0"/>
        <w:spacing w:beforeLines="50" w:afterLines="50"/>
        <w:ind w:firstLine="596" w:firstLineChars="213"/>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第</w:t>
      </w:r>
      <w:r>
        <w:rPr>
          <w:rFonts w:hint="eastAsia" w:ascii="仿宋_GB2312" w:hAnsi="仿宋_GB2312" w:eastAsia="仿宋_GB2312" w:cs="仿宋_GB2312"/>
          <w:color w:val="000000"/>
          <w:kern w:val="0"/>
          <w:sz w:val="28"/>
          <w:szCs w:val="28"/>
        </w:rPr>
        <w:t>九</w:t>
      </w:r>
      <w:r>
        <w:rPr>
          <w:rFonts w:ascii="仿宋_GB2312" w:hAnsi="仿宋_GB2312" w:eastAsia="仿宋_GB2312" w:cs="仿宋_GB2312"/>
          <w:color w:val="000000"/>
          <w:kern w:val="0"/>
          <w:sz w:val="28"/>
          <w:szCs w:val="28"/>
        </w:rPr>
        <w:t>条：税费</w:t>
      </w:r>
    </w:p>
    <w:p>
      <w:pPr>
        <w:pStyle w:val="143"/>
        <w:spacing w:line="240" w:lineRule="auto"/>
        <w:ind w:firstLine="56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本合同执行中相关的一切税费均由乙方负担。</w:t>
      </w:r>
    </w:p>
    <w:p>
      <w:pPr>
        <w:pStyle w:val="37"/>
        <w:adjustRightInd w:val="0"/>
        <w:snapToGrid w:val="0"/>
        <w:spacing w:before="120" w:line="440" w:lineRule="exact"/>
        <w:ind w:firstLine="554" w:firstLineChars="198"/>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第十条：质量保证及售后服务</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第十一条：调试和验收</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第十二条：货物包装</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货物的包装应按照国家或行业主管部门的技术规定执行，国家或业务行业主管部门无技术规定的，应当按照甲乙双方约定采取足以保护货物安全、完好的包装方式，如果招标文件有约定，按照招标文件执行。</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第十三条：违约责任</w:t>
      </w:r>
    </w:p>
    <w:p>
      <w:pPr>
        <w:pStyle w:val="37"/>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 甲方无正当理由拒收验收项目的，甲方向乙方偿付拒收合同总价</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的违约金。</w:t>
      </w:r>
    </w:p>
    <w:p>
      <w:pPr>
        <w:pStyle w:val="37"/>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 甲方无故逾期验收和办理合同款项支付手续的,甲方应按逾期付款总额每日</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向乙方支付违约金。</w:t>
      </w:r>
    </w:p>
    <w:p>
      <w:pPr>
        <w:pStyle w:val="37"/>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3、乙方逾期交付项目的，乙方应按逾期交付项目总额每日</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向甲方支付违约金，由甲方从合同款项中扣除。逾期超过约定日期</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个工作日不能交付的，甲方可解除本合同。乙方因逾期交付或因其他违约行为导致甲方解除合同的，乙方应向甲方支付合同总值</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 xml:space="preserve">的违约金，如造成甲方损失超过违约金的，超出部分由乙方继续承担赔偿责任。 </w:t>
      </w:r>
    </w:p>
    <w:p>
      <w:pPr>
        <w:pStyle w:val="37"/>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7"/>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5、解除合同应按《浙江省合同管理办法》规定执行。</w:t>
      </w:r>
    </w:p>
    <w:p>
      <w:pPr>
        <w:pStyle w:val="37"/>
        <w:adjustRightInd w:val="0"/>
        <w:snapToGrid w:val="0"/>
        <w:spacing w:before="120" w:after="120" w:line="440" w:lineRule="exact"/>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第十四条：不可抗力事件处理</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 在合同有效期内，任何一方因不可抗力事件导致不能履行合同，则合同履行期可延长，其延长期与不可抗力影响期相同。</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 不可抗力事件发生后，应立即通知对方，并寄送有关权威机构出具的证明。</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 不可抗力事件延续</w:t>
      </w:r>
      <w:r>
        <w:rPr>
          <w:rFonts w:hint="eastAsia" w:ascii="仿宋_GB2312" w:hAnsi="仿宋_GB2312" w:eastAsia="仿宋_GB2312" w:cs="仿宋_GB2312"/>
          <w:color w:val="000000"/>
          <w:kern w:val="0"/>
          <w:szCs w:val="28"/>
        </w:rPr>
        <w:t>____</w:t>
      </w:r>
      <w:r>
        <w:rPr>
          <w:rFonts w:ascii="仿宋_GB2312" w:hAnsi="仿宋_GB2312" w:eastAsia="仿宋_GB2312" w:cs="仿宋_GB2312"/>
          <w:color w:val="000000"/>
          <w:kern w:val="0"/>
          <w:szCs w:val="28"/>
        </w:rPr>
        <w:t>天以上，双方应通过友好协商，确定是否继续履行合同。</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第十五条：诉讼</w:t>
      </w:r>
    </w:p>
    <w:p>
      <w:pPr>
        <w:pStyle w:val="37"/>
        <w:adjustRightInd w:val="0"/>
        <w:snapToGrid w:val="0"/>
        <w:spacing w:before="120" w:after="120" w:line="440" w:lineRule="exact"/>
        <w:ind w:left="2"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双方在执行合同中所发生的一切争议，应通过协商解决。如协商不成，可向甲方所在地法院起诉。</w:t>
      </w:r>
    </w:p>
    <w:p>
      <w:pPr>
        <w:pStyle w:val="37"/>
        <w:adjustRightInd w:val="0"/>
        <w:snapToGrid w:val="0"/>
        <w:spacing w:before="120" w:after="120" w:line="440" w:lineRule="exact"/>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第十六条：合同生效及其它</w:t>
      </w:r>
    </w:p>
    <w:p>
      <w:pPr>
        <w:pStyle w:val="37"/>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 合同经甲、乙双方签名并加盖单位公章后生效。</w:t>
      </w:r>
    </w:p>
    <w:p>
      <w:pPr>
        <w:pStyle w:val="37"/>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2、招标文件、投标文件与本合同具有同等法律效力。</w:t>
      </w:r>
    </w:p>
    <w:p>
      <w:pPr>
        <w:pStyle w:val="37"/>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3、本合同未尽事宜，遵照《</w:t>
      </w:r>
      <w:r>
        <w:rPr>
          <w:rFonts w:hint="eastAsia" w:ascii="仿宋_GB2312" w:hAnsi="仿宋_GB2312" w:eastAsia="仿宋_GB2312" w:cs="仿宋_GB2312"/>
          <w:color w:val="000000"/>
          <w:kern w:val="0"/>
          <w:szCs w:val="28"/>
        </w:rPr>
        <w:t>民法典</w:t>
      </w:r>
      <w:r>
        <w:rPr>
          <w:rFonts w:ascii="仿宋_GB2312" w:hAnsi="仿宋_GB2312" w:eastAsia="仿宋_GB2312" w:cs="仿宋_GB2312"/>
          <w:color w:val="000000"/>
          <w:kern w:val="0"/>
          <w:szCs w:val="28"/>
        </w:rPr>
        <w:t>》有关条文执行。</w:t>
      </w:r>
    </w:p>
    <w:p>
      <w:pPr>
        <w:pStyle w:val="37"/>
        <w:adjustRightInd w:val="0"/>
        <w:snapToGrid w:val="0"/>
        <w:spacing w:before="120" w:after="120" w:line="440" w:lineRule="exact"/>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4、本合同一式肆份，具有同等法律效力，甲、乙双方各执贰份。</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第十七条：其他需要补充的内容：…</w:t>
      </w:r>
    </w:p>
    <w:p>
      <w:pPr>
        <w:pStyle w:val="37"/>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p>
    <w:p>
      <w:pPr>
        <w:pStyle w:val="37"/>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p>
    <w:p>
      <w:pPr>
        <w:pStyle w:val="37"/>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p>
    <w:p>
      <w:pPr>
        <w:pStyle w:val="37"/>
        <w:adjustRightInd w:val="0"/>
        <w:snapToGrid w:val="0"/>
        <w:spacing w:before="120" w:after="120" w:line="360" w:lineRule="auto"/>
        <w:ind w:left="1"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甲方（盖章）：                                   </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地址：                                   </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法定（授权）代表人：                   </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签名日期：     年   月   日           </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乙方（盖章）：</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地址： </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开户行：</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开户帐号：</w:t>
      </w:r>
    </w:p>
    <w:p>
      <w:pPr>
        <w:pStyle w:val="37"/>
        <w:adjustRightInd w:val="0"/>
        <w:snapToGrid w:val="0"/>
        <w:spacing w:before="120" w:after="120" w:line="360" w:lineRule="auto"/>
        <w:ind w:firstLine="596" w:firstLineChars="213"/>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法定（授权）代表人：</w:t>
      </w:r>
    </w:p>
    <w:p>
      <w:pPr>
        <w:spacing w:line="440" w:lineRule="exact"/>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签名日期：      年   月   日</w:t>
      </w:r>
    </w:p>
    <w:p>
      <w:pPr>
        <w:pStyle w:val="37"/>
        <w:adjustRightInd w:val="0"/>
        <w:snapToGrid w:val="0"/>
        <w:spacing w:before="120" w:after="120" w:line="360" w:lineRule="auto"/>
        <w:ind w:firstLine="766" w:firstLineChars="213"/>
        <w:jc w:val="center"/>
        <w:rPr>
          <w:rFonts w:ascii="仿宋_GB2312" w:hAnsi="仿宋_GB2312" w:eastAsia="仿宋_GB2312" w:cs="仿宋_GB2312"/>
          <w:color w:val="000000"/>
          <w:kern w:val="0"/>
          <w:sz w:val="36"/>
          <w:szCs w:val="36"/>
        </w:rPr>
      </w:pPr>
    </w:p>
    <w:p>
      <w:pPr>
        <w:pStyle w:val="37"/>
        <w:adjustRightInd w:val="0"/>
        <w:snapToGrid w:val="0"/>
        <w:spacing w:before="120" w:after="120" w:line="360" w:lineRule="auto"/>
        <w:ind w:firstLine="766" w:firstLineChars="213"/>
        <w:jc w:val="center"/>
        <w:rPr>
          <w:rFonts w:ascii="仿宋" w:hAnsi="仿宋" w:eastAsia="仿宋" w:cs="仿宋_GB2312"/>
          <w:color w:val="000000"/>
          <w:kern w:val="0"/>
          <w:sz w:val="36"/>
          <w:szCs w:val="36"/>
        </w:rPr>
      </w:pPr>
    </w:p>
    <w:p>
      <w:pPr>
        <w:pStyle w:val="37"/>
        <w:adjustRightInd w:val="0"/>
        <w:snapToGrid w:val="0"/>
        <w:spacing w:before="120" w:after="120" w:line="360" w:lineRule="auto"/>
        <w:ind w:firstLine="766" w:firstLineChars="213"/>
        <w:jc w:val="center"/>
        <w:rPr>
          <w:rFonts w:ascii="仿宋" w:hAnsi="仿宋" w:eastAsia="仿宋" w:cs="仿宋_GB2312"/>
          <w:color w:val="000000"/>
          <w:kern w:val="0"/>
          <w:sz w:val="36"/>
          <w:szCs w:val="36"/>
        </w:rPr>
      </w:pPr>
    </w:p>
    <w:p>
      <w:pPr>
        <w:pStyle w:val="37"/>
        <w:adjustRightInd w:val="0"/>
        <w:snapToGrid w:val="0"/>
        <w:spacing w:before="120" w:after="120" w:line="360" w:lineRule="auto"/>
        <w:ind w:firstLine="766" w:firstLineChars="213"/>
        <w:jc w:val="center"/>
        <w:rPr>
          <w:rFonts w:ascii="仿宋" w:hAnsi="仿宋" w:eastAsia="仿宋" w:cs="仿宋_GB2312"/>
          <w:color w:val="000000"/>
          <w:kern w:val="0"/>
          <w:sz w:val="36"/>
          <w:szCs w:val="36"/>
        </w:rPr>
      </w:pPr>
    </w:p>
    <w:p>
      <w:pPr>
        <w:pStyle w:val="37"/>
        <w:adjustRightInd w:val="0"/>
        <w:snapToGrid w:val="0"/>
        <w:spacing w:before="120" w:after="120" w:line="360" w:lineRule="auto"/>
        <w:ind w:firstLine="766" w:firstLineChars="213"/>
        <w:jc w:val="center"/>
        <w:rPr>
          <w:rFonts w:ascii="仿宋" w:hAnsi="仿宋" w:eastAsia="仿宋" w:cs="仿宋_GB2312"/>
          <w:color w:val="000000"/>
          <w:kern w:val="0"/>
          <w:sz w:val="36"/>
          <w:szCs w:val="36"/>
        </w:rPr>
      </w:pPr>
    </w:p>
    <w:p>
      <w:pPr>
        <w:pStyle w:val="37"/>
        <w:adjustRightInd w:val="0"/>
        <w:snapToGrid w:val="0"/>
        <w:spacing w:before="120" w:after="120" w:line="360" w:lineRule="auto"/>
        <w:ind w:firstLine="766" w:firstLineChars="213"/>
        <w:jc w:val="center"/>
        <w:rPr>
          <w:rFonts w:ascii="仿宋" w:hAnsi="仿宋" w:eastAsia="仿宋" w:cs="仿宋_GB2312"/>
          <w:color w:val="000000"/>
          <w:kern w:val="0"/>
          <w:sz w:val="36"/>
          <w:szCs w:val="36"/>
        </w:rPr>
      </w:pPr>
    </w:p>
    <w:p>
      <w:pPr>
        <w:pStyle w:val="37"/>
        <w:adjustRightInd w:val="0"/>
        <w:snapToGrid w:val="0"/>
        <w:spacing w:before="120" w:after="120" w:line="360" w:lineRule="auto"/>
        <w:ind w:firstLine="766" w:firstLineChars="213"/>
        <w:jc w:val="center"/>
        <w:rPr>
          <w:rFonts w:ascii="仿宋" w:hAnsi="仿宋" w:eastAsia="仿宋" w:cs="仿宋_GB2312"/>
          <w:color w:val="000000"/>
          <w:kern w:val="0"/>
          <w:sz w:val="36"/>
          <w:szCs w:val="36"/>
        </w:rPr>
      </w:pPr>
    </w:p>
    <w:p>
      <w:pPr>
        <w:pStyle w:val="37"/>
        <w:adjustRightInd w:val="0"/>
        <w:snapToGrid w:val="0"/>
        <w:spacing w:before="120" w:after="120" w:line="360" w:lineRule="auto"/>
        <w:rPr>
          <w:rFonts w:ascii="仿宋" w:hAnsi="仿宋" w:eastAsia="仿宋" w:cs="仿宋_GB2312"/>
          <w:color w:val="000000"/>
          <w:kern w:val="0"/>
          <w:sz w:val="36"/>
          <w:szCs w:val="36"/>
        </w:rPr>
      </w:pPr>
    </w:p>
    <w:p>
      <w:pPr>
        <w:pStyle w:val="37"/>
        <w:adjustRightInd w:val="0"/>
        <w:snapToGrid w:val="0"/>
        <w:spacing w:before="120" w:after="120" w:line="360" w:lineRule="auto"/>
        <w:rPr>
          <w:rFonts w:ascii="仿宋" w:hAnsi="仿宋" w:eastAsia="仿宋" w:cs="仿宋_GB2312"/>
          <w:color w:val="000000"/>
          <w:kern w:val="0"/>
          <w:sz w:val="36"/>
          <w:szCs w:val="36"/>
        </w:rPr>
      </w:pPr>
    </w:p>
    <w:p>
      <w:pPr>
        <w:pStyle w:val="63"/>
        <w:rPr>
          <w:rStyle w:val="124"/>
          <w:rFonts w:ascii="仿宋_GB2312" w:eastAsia="仿宋_GB2312"/>
          <w:b/>
          <w:sz w:val="36"/>
        </w:rPr>
      </w:pPr>
      <w:bookmarkStart w:id="42" w:name="_Toc150414335"/>
      <w:r>
        <w:rPr>
          <w:rStyle w:val="124"/>
          <w:rFonts w:ascii="仿宋_GB2312" w:eastAsia="仿宋_GB2312"/>
          <w:b/>
          <w:sz w:val="36"/>
        </w:rPr>
        <w:t>第八部分   投标文件格式</w:t>
      </w:r>
      <w:bookmarkEnd w:id="39"/>
      <w:bookmarkEnd w:id="40"/>
      <w:bookmarkEnd w:id="41"/>
      <w:bookmarkEnd w:id="42"/>
    </w:p>
    <w:p>
      <w:pPr>
        <w:spacing w:line="360" w:lineRule="auto"/>
        <w:jc w:val="center"/>
        <w:rPr>
          <w:rFonts w:ascii="仿宋" w:hAnsi="仿宋" w:eastAsia="仿宋" w:cs="Arial"/>
          <w:b/>
          <w:sz w:val="30"/>
        </w:rPr>
      </w:pPr>
    </w:p>
    <w:p>
      <w:pPr>
        <w:spacing w:line="360" w:lineRule="auto"/>
        <w:jc w:val="center"/>
        <w:rPr>
          <w:rFonts w:ascii="仿宋" w:hAnsi="仿宋" w:eastAsia="仿宋" w:cs="仿宋_GB2312"/>
          <w:b/>
          <w:color w:val="000000"/>
          <w:kern w:val="0"/>
          <w:sz w:val="28"/>
          <w:szCs w:val="28"/>
        </w:rPr>
      </w:pPr>
      <w:r>
        <w:rPr>
          <w:rFonts w:ascii="仿宋" w:hAnsi="仿宋" w:eastAsia="仿宋" w:cs="仿宋_GB2312"/>
          <w:b/>
          <w:color w:val="000000"/>
          <w:kern w:val="0"/>
          <w:sz w:val="28"/>
          <w:szCs w:val="28"/>
        </w:rPr>
        <w:t>投标人提交投标文件须知</w:t>
      </w:r>
    </w:p>
    <w:p>
      <w:pPr>
        <w:spacing w:line="360" w:lineRule="auto"/>
        <w:jc w:val="center"/>
        <w:rPr>
          <w:rFonts w:ascii="仿宋" w:hAnsi="仿宋" w:eastAsia="仿宋" w:cs="仿宋_GB2312"/>
          <w:color w:val="000000"/>
          <w:kern w:val="0"/>
          <w:sz w:val="28"/>
          <w:szCs w:val="28"/>
        </w:rPr>
      </w:pP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2、所附表格中要求回答全部问题、信息都必须正面回答。</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3、本资格声明的签字人应保证全部声明和问题的回答是真实的和正确的。</w:t>
      </w:r>
    </w:p>
    <w:p>
      <w:pPr>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4、 招标方将应用投标人提交的资料判断和考虑决定投标人履行合同的合格性及能力。</w:t>
      </w:r>
    </w:p>
    <w:p>
      <w:pPr>
        <w:spacing w:line="440" w:lineRule="exact"/>
        <w:ind w:firstLine="560" w:firstLineChars="200"/>
        <w:rPr>
          <w:rFonts w:ascii="仿宋" w:hAnsi="仿宋" w:eastAsia="仿宋" w:cs="仿宋_GB2312"/>
          <w:color w:val="000000"/>
          <w:kern w:val="0"/>
          <w:sz w:val="28"/>
          <w:szCs w:val="28"/>
        </w:rPr>
      </w:pPr>
    </w:p>
    <w:p>
      <w:pPr>
        <w:spacing w:line="440" w:lineRule="exact"/>
        <w:ind w:firstLine="560" w:firstLineChars="200"/>
        <w:rPr>
          <w:rFonts w:ascii="仿宋" w:hAnsi="仿宋" w:eastAsia="仿宋" w:cs="仿宋_GB2312"/>
          <w:color w:val="000000"/>
          <w:kern w:val="0"/>
          <w:sz w:val="28"/>
          <w:szCs w:val="28"/>
        </w:rPr>
      </w:pPr>
    </w:p>
    <w:p>
      <w:pPr>
        <w:spacing w:line="440" w:lineRule="exact"/>
        <w:ind w:firstLine="560" w:firstLineChars="200"/>
        <w:rPr>
          <w:rFonts w:ascii="仿宋" w:hAnsi="仿宋" w:eastAsia="仿宋" w:cs="仿宋_GB2312"/>
          <w:color w:val="000000"/>
          <w:kern w:val="0"/>
          <w:sz w:val="28"/>
          <w:szCs w:val="28"/>
        </w:rPr>
      </w:pPr>
    </w:p>
    <w:p>
      <w:pPr>
        <w:spacing w:line="440" w:lineRule="exact"/>
        <w:ind w:firstLine="560" w:firstLineChars="200"/>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附件1</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项目名称</w:t>
      </w:r>
    </w:p>
    <w:p>
      <w:pPr>
        <w:spacing w:beforeLines="100" w:line="240" w:lineRule="atLeast"/>
        <w:ind w:right="-108"/>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招标编号：</w:t>
      </w:r>
      <w:r>
        <w:rPr>
          <w:rFonts w:hint="eastAsia" w:ascii="仿宋" w:hAnsi="仿宋" w:eastAsia="仿宋" w:cs="仿宋_GB2312"/>
          <w:color w:val="000000"/>
          <w:kern w:val="0"/>
          <w:sz w:val="36"/>
          <w:szCs w:val="36"/>
        </w:rPr>
        <w:t>NBCXZFCG2024028</w:t>
      </w:r>
      <w:r>
        <w:rPr>
          <w:rFonts w:ascii="仿宋" w:hAnsi="仿宋" w:eastAsia="仿宋" w:cs="仿宋_GB2312"/>
          <w:color w:val="000000"/>
          <w:kern w:val="0"/>
          <w:sz w:val="36"/>
          <w:szCs w:val="36"/>
        </w:rPr>
        <w:t>（标项）</w:t>
      </w:r>
    </w:p>
    <w:p>
      <w:pPr>
        <w:spacing w:after="100" w:afterAutospacing="1" w:line="800" w:lineRule="exact"/>
        <w:ind w:right="-108"/>
        <w:jc w:val="center"/>
        <w:rPr>
          <w:rFonts w:ascii="仿宋" w:hAnsi="仿宋" w:eastAsia="仿宋" w:cs="仿宋_GB2312"/>
          <w:color w:val="000000"/>
          <w:kern w:val="0"/>
          <w:sz w:val="36"/>
          <w:szCs w:val="36"/>
        </w:rPr>
      </w:pP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资</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格</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证</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明</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文</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件</w:t>
      </w:r>
    </w:p>
    <w:p>
      <w:pPr>
        <w:spacing w:line="500" w:lineRule="exact"/>
        <w:ind w:right="532"/>
        <w:rPr>
          <w:rFonts w:ascii="仿宋" w:hAnsi="仿宋" w:eastAsia="仿宋" w:cs="Arial"/>
          <w:sz w:val="36"/>
          <w:szCs w:val="36"/>
        </w:rPr>
      </w:pPr>
    </w:p>
    <w:p>
      <w:pPr>
        <w:spacing w:line="500" w:lineRule="exact"/>
        <w:ind w:right="532"/>
        <w:rPr>
          <w:rFonts w:ascii="仿宋" w:hAnsi="仿宋" w:eastAsia="仿宋" w:cs="Arial"/>
          <w:sz w:val="36"/>
          <w:szCs w:val="36"/>
        </w:rPr>
      </w:pP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投标人全称（公章）：</w:t>
      </w: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地    址：</w:t>
      </w: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时    间：</w:t>
      </w:r>
    </w:p>
    <w:p>
      <w:pPr>
        <w:spacing w:line="440" w:lineRule="exact"/>
        <w:outlineLvl w:val="1"/>
        <w:rPr>
          <w:rFonts w:ascii="仿宋" w:hAnsi="仿宋" w:eastAsia="仿宋" w:cs="仿宋_GB2312"/>
          <w:color w:val="000000"/>
          <w:kern w:val="0"/>
          <w:sz w:val="32"/>
          <w:szCs w:val="32"/>
        </w:rPr>
      </w:pPr>
      <w:bookmarkStart w:id="43" w:name="_Toc360457890"/>
      <w:bookmarkStart w:id="44" w:name="_Toc231780371"/>
    </w:p>
    <w:p>
      <w:pPr>
        <w:spacing w:line="440" w:lineRule="exact"/>
        <w:outlineLvl w:val="1"/>
        <w:rPr>
          <w:rFonts w:ascii="仿宋" w:hAnsi="仿宋" w:eastAsia="仿宋" w:cs="仿宋_GB2312"/>
          <w:color w:val="000000"/>
          <w:kern w:val="0"/>
          <w:sz w:val="32"/>
          <w:szCs w:val="32"/>
        </w:rPr>
      </w:pPr>
    </w:p>
    <w:p>
      <w:pPr>
        <w:spacing w:line="440" w:lineRule="exact"/>
        <w:outlineLvl w:val="1"/>
        <w:rPr>
          <w:rFonts w:ascii="仿宋" w:hAnsi="仿宋" w:eastAsia="仿宋" w:cs="仿宋_GB2312"/>
          <w:color w:val="000000"/>
          <w:kern w:val="0"/>
          <w:sz w:val="32"/>
          <w:szCs w:val="32"/>
        </w:rPr>
      </w:pPr>
    </w:p>
    <w:p>
      <w:pPr>
        <w:spacing w:line="440" w:lineRule="exact"/>
        <w:outlineLvl w:val="1"/>
        <w:rPr>
          <w:rFonts w:ascii="仿宋" w:hAnsi="仿宋" w:eastAsia="仿宋" w:cs="仿宋_GB2312"/>
          <w:color w:val="000000"/>
          <w:kern w:val="0"/>
          <w:sz w:val="36"/>
          <w:szCs w:val="36"/>
        </w:rPr>
      </w:pPr>
      <w:r>
        <w:rPr>
          <w:rFonts w:ascii="仿宋" w:hAnsi="仿宋" w:eastAsia="仿宋" w:cs="仿宋_GB2312"/>
          <w:color w:val="000000"/>
          <w:kern w:val="0"/>
          <w:sz w:val="32"/>
          <w:szCs w:val="32"/>
        </w:rPr>
        <w:t xml:space="preserve">附件2  </w:t>
      </w:r>
    </w:p>
    <w:p>
      <w:pPr>
        <w:spacing w:line="440" w:lineRule="exact"/>
        <w:jc w:val="center"/>
        <w:outlineLvl w:val="1"/>
        <w:rPr>
          <w:rFonts w:ascii="仿宋" w:hAnsi="仿宋" w:eastAsia="仿宋" w:cs="Arial"/>
          <w:b/>
          <w:sz w:val="36"/>
          <w:szCs w:val="30"/>
        </w:rPr>
      </w:pPr>
      <w:r>
        <w:rPr>
          <w:rFonts w:ascii="仿宋" w:hAnsi="仿宋" w:eastAsia="仿宋" w:cs="仿宋_GB2312"/>
          <w:color w:val="000000"/>
          <w:kern w:val="0"/>
          <w:sz w:val="36"/>
          <w:szCs w:val="36"/>
        </w:rPr>
        <w:t>投标函</w:t>
      </w:r>
      <w:bookmarkEnd w:id="43"/>
      <w:bookmarkEnd w:id="44"/>
    </w:p>
    <w:p>
      <w:pPr>
        <w:snapToGrid w:val="0"/>
        <w:spacing w:beforeLines="50" w:line="440" w:lineRule="exact"/>
        <w:rPr>
          <w:rFonts w:ascii="仿宋" w:hAnsi="仿宋" w:eastAsia="仿宋" w:cs="仿宋_GB2312"/>
          <w:color w:val="000000"/>
          <w:kern w:val="0"/>
          <w:sz w:val="24"/>
        </w:rPr>
      </w:pPr>
      <w:r>
        <w:rPr>
          <w:rFonts w:ascii="仿宋" w:hAnsi="仿宋" w:eastAsia="仿宋" w:cs="仿宋_GB2312"/>
          <w:color w:val="000000"/>
          <w:kern w:val="0"/>
          <w:sz w:val="24"/>
        </w:rPr>
        <w:t>致慈溪市政府采购中心：</w:t>
      </w:r>
    </w:p>
    <w:p>
      <w:pPr>
        <w:snapToGrid w:val="0"/>
        <w:spacing w:beforeLines="50" w:line="440" w:lineRule="exact"/>
        <w:ind w:firstLine="480" w:firstLineChars="200"/>
        <w:rPr>
          <w:rFonts w:ascii="仿宋" w:hAnsi="仿宋" w:eastAsia="仿宋" w:cs="仿宋_GB2312"/>
          <w:color w:val="000000"/>
          <w:kern w:val="0"/>
          <w:sz w:val="24"/>
        </w:rPr>
      </w:pPr>
      <w:r>
        <w:rPr>
          <w:rFonts w:ascii="仿宋" w:hAnsi="仿宋" w:eastAsia="仿宋" w:cs="仿宋_GB2312"/>
          <w:color w:val="000000"/>
          <w:kern w:val="0"/>
          <w:sz w:val="24"/>
          <w:u w:val="single"/>
        </w:rPr>
        <w:t>（投标人名称）</w:t>
      </w:r>
      <w:r>
        <w:rPr>
          <w:rFonts w:ascii="仿宋" w:hAnsi="仿宋" w:eastAsia="仿宋" w:cs="仿宋_GB2312"/>
          <w:color w:val="000000"/>
          <w:kern w:val="0"/>
          <w:sz w:val="24"/>
        </w:rPr>
        <w:t>系中华人民共和国合法企业，经营地址。</w:t>
      </w:r>
    </w:p>
    <w:p>
      <w:pPr>
        <w:snapToGrid w:val="0"/>
        <w:spacing w:beforeLines="50" w:line="440" w:lineRule="exact"/>
        <w:ind w:firstLine="480" w:firstLineChars="200"/>
        <w:rPr>
          <w:rFonts w:ascii="仿宋" w:hAnsi="仿宋" w:eastAsia="仿宋" w:cs="仿宋_GB2312"/>
          <w:kern w:val="0"/>
          <w:sz w:val="24"/>
        </w:rPr>
      </w:pPr>
      <w:r>
        <w:rPr>
          <w:rFonts w:ascii="仿宋" w:hAnsi="仿宋" w:eastAsia="仿宋" w:cs="仿宋_GB2312"/>
          <w:color w:val="000000"/>
          <w:kern w:val="0"/>
          <w:sz w:val="24"/>
        </w:rPr>
        <w:t>我</w:t>
      </w:r>
      <w:r>
        <w:rPr>
          <w:rFonts w:ascii="仿宋" w:hAnsi="仿宋" w:eastAsia="仿宋" w:cs="仿宋_GB2312"/>
          <w:color w:val="000000"/>
          <w:kern w:val="0"/>
          <w:sz w:val="24"/>
          <w:u w:val="single"/>
        </w:rPr>
        <w:t>（姓名）</w:t>
      </w:r>
      <w:r>
        <w:rPr>
          <w:rFonts w:ascii="仿宋" w:hAnsi="仿宋" w:eastAsia="仿宋" w:cs="仿宋_GB2312"/>
          <w:color w:val="000000"/>
          <w:kern w:val="0"/>
          <w:sz w:val="24"/>
        </w:rPr>
        <w:t>系</w:t>
      </w:r>
      <w:r>
        <w:rPr>
          <w:rFonts w:ascii="仿宋" w:hAnsi="仿宋" w:eastAsia="仿宋" w:cs="仿宋_GB2312"/>
          <w:color w:val="000000"/>
          <w:kern w:val="0"/>
          <w:sz w:val="24"/>
          <w:u w:val="single"/>
        </w:rPr>
        <w:t>（投标人名称）</w:t>
      </w:r>
      <w:r>
        <w:rPr>
          <w:rFonts w:ascii="仿宋" w:hAnsi="仿宋" w:eastAsia="仿宋" w:cs="仿宋_GB2312"/>
          <w:color w:val="000000"/>
          <w:kern w:val="0"/>
          <w:sz w:val="24"/>
        </w:rPr>
        <w:t>的法定代表人/负责人，我方愿意参加贵方组织的</w:t>
      </w:r>
      <w:r>
        <w:rPr>
          <w:rFonts w:ascii="仿宋" w:hAnsi="仿宋" w:eastAsia="仿宋" w:cs="仿宋_GB2312"/>
          <w:color w:val="000000"/>
          <w:kern w:val="0"/>
          <w:sz w:val="24"/>
          <w:u w:val="single"/>
        </w:rPr>
        <w:t>（招标项目名称）</w:t>
      </w:r>
      <w:r>
        <w:rPr>
          <w:rFonts w:ascii="仿宋" w:hAnsi="仿宋" w:eastAsia="仿宋" w:cs="仿宋_GB2312"/>
          <w:color w:val="000000"/>
          <w:kern w:val="0"/>
          <w:sz w:val="24"/>
        </w:rPr>
        <w:t>（招标编</w:t>
      </w:r>
      <w:r>
        <w:rPr>
          <w:rFonts w:ascii="仿宋" w:hAnsi="仿宋" w:eastAsia="仿宋" w:cs="仿宋_GB2312"/>
          <w:kern w:val="0"/>
          <w:sz w:val="24"/>
        </w:rPr>
        <w:t>号为</w:t>
      </w:r>
      <w:r>
        <w:rPr>
          <w:rFonts w:hint="eastAsia" w:ascii="仿宋" w:hAnsi="仿宋" w:eastAsia="仿宋" w:cs="仿宋_GB2312"/>
          <w:kern w:val="0"/>
          <w:sz w:val="24"/>
          <w:u w:val="single"/>
        </w:rPr>
        <w:t>NBCXZFCG2024028</w:t>
      </w:r>
      <w:r>
        <w:rPr>
          <w:rFonts w:ascii="仿宋" w:hAnsi="仿宋" w:eastAsia="仿宋" w:cs="仿宋_GB2312"/>
          <w:kern w:val="0"/>
          <w:sz w:val="24"/>
        </w:rPr>
        <w:t>）的投标，为此，我方就本次投标有关事项郑重声明如下：</w:t>
      </w:r>
    </w:p>
    <w:p>
      <w:pPr>
        <w:snapToGrid w:val="0"/>
        <w:spacing w:beforeLines="50" w:line="440" w:lineRule="exact"/>
        <w:ind w:firstLine="480" w:firstLineChars="200"/>
        <w:rPr>
          <w:rFonts w:ascii="仿宋_GB2312" w:hAnsi="仿宋_GB2312" w:eastAsia="仿宋_GB2312" w:cs="仿宋_GB2312"/>
          <w:kern w:val="0"/>
          <w:sz w:val="24"/>
        </w:rPr>
      </w:pPr>
      <w:r>
        <w:rPr>
          <w:rFonts w:hint="eastAsia" w:ascii="仿宋" w:hAnsi="仿宋" w:eastAsia="仿宋" w:cs="仿宋_GB2312"/>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pPr>
        <w:snapToGrid w:val="0"/>
        <w:spacing w:beforeLines="50" w:line="440" w:lineRule="exact"/>
        <w:ind w:firstLine="480" w:firstLineChars="200"/>
        <w:rPr>
          <w:rFonts w:ascii="仿宋" w:hAnsi="仿宋" w:eastAsia="仿宋" w:cs="仿宋_GB2312"/>
          <w:kern w:val="0"/>
          <w:sz w:val="24"/>
        </w:rPr>
      </w:pPr>
      <w:r>
        <w:rPr>
          <w:rFonts w:hint="eastAsia" w:ascii="仿宋" w:hAnsi="仿宋" w:eastAsia="仿宋" w:cs="仿宋_GB2312"/>
          <w:kern w:val="0"/>
          <w:sz w:val="24"/>
        </w:rPr>
        <w:t>2</w:t>
      </w:r>
      <w:r>
        <w:rPr>
          <w:rFonts w:ascii="仿宋" w:hAnsi="仿宋" w:eastAsia="仿宋" w:cs="仿宋_GB2312"/>
          <w:kern w:val="0"/>
          <w:sz w:val="24"/>
        </w:rPr>
        <w:t>、我方已详细审查全部招标文件，同意招标文件的各项要求。</w:t>
      </w:r>
    </w:p>
    <w:p>
      <w:pPr>
        <w:snapToGrid w:val="0"/>
        <w:spacing w:beforeLines="50" w:line="440" w:lineRule="exact"/>
        <w:ind w:firstLine="480" w:firstLineChars="200"/>
        <w:rPr>
          <w:rFonts w:ascii="仿宋" w:hAnsi="仿宋" w:eastAsia="仿宋" w:cs="仿宋_GB2312"/>
          <w:kern w:val="0"/>
          <w:sz w:val="24"/>
        </w:rPr>
      </w:pPr>
      <w:r>
        <w:rPr>
          <w:rFonts w:hint="eastAsia" w:ascii="仿宋" w:hAnsi="仿宋" w:eastAsia="仿宋" w:cs="仿宋_GB2312"/>
          <w:kern w:val="0"/>
          <w:sz w:val="24"/>
        </w:rPr>
        <w:t>3</w:t>
      </w:r>
      <w:r>
        <w:rPr>
          <w:rFonts w:ascii="仿宋" w:hAnsi="仿宋" w:eastAsia="仿宋" w:cs="仿宋_GB2312"/>
          <w:kern w:val="0"/>
          <w:sz w:val="24"/>
        </w:rPr>
        <w:t>、我方向贵方提交的所有投标文件、资料都是准确的和真实的。</w:t>
      </w:r>
    </w:p>
    <w:p>
      <w:pPr>
        <w:snapToGrid w:val="0"/>
        <w:spacing w:beforeLines="50" w:line="440" w:lineRule="exact"/>
        <w:ind w:firstLine="480" w:firstLineChars="200"/>
        <w:rPr>
          <w:rFonts w:ascii="仿宋" w:hAnsi="仿宋" w:eastAsia="仿宋" w:cs="仿宋_GB2312"/>
          <w:kern w:val="0"/>
          <w:sz w:val="24"/>
        </w:rPr>
      </w:pPr>
      <w:r>
        <w:rPr>
          <w:rFonts w:hint="eastAsia" w:ascii="仿宋" w:hAnsi="仿宋" w:eastAsia="仿宋" w:cs="仿宋_GB2312"/>
          <w:kern w:val="0"/>
          <w:sz w:val="24"/>
        </w:rPr>
        <w:t>4</w:t>
      </w:r>
      <w:r>
        <w:rPr>
          <w:rFonts w:ascii="仿宋" w:hAnsi="仿宋" w:eastAsia="仿宋" w:cs="仿宋_GB2312"/>
          <w:kern w:val="0"/>
          <w:sz w:val="24"/>
        </w:rPr>
        <w:t>、若中标，我方将按招标文件规定履行合同责任和义务。</w:t>
      </w:r>
    </w:p>
    <w:p>
      <w:pPr>
        <w:snapToGrid w:val="0"/>
        <w:spacing w:beforeLines="50" w:line="440" w:lineRule="exact"/>
        <w:ind w:firstLine="480" w:firstLineChars="200"/>
        <w:rPr>
          <w:rFonts w:ascii="仿宋" w:hAnsi="仿宋" w:eastAsia="仿宋" w:cs="仿宋_GB2312"/>
          <w:kern w:val="0"/>
          <w:sz w:val="24"/>
        </w:rPr>
      </w:pPr>
      <w:r>
        <w:rPr>
          <w:rFonts w:hint="eastAsia" w:ascii="仿宋" w:hAnsi="仿宋" w:eastAsia="仿宋" w:cs="仿宋_GB2312"/>
          <w:kern w:val="0"/>
          <w:sz w:val="24"/>
        </w:rPr>
        <w:t>5</w:t>
      </w:r>
      <w:r>
        <w:rPr>
          <w:rFonts w:ascii="仿宋" w:hAnsi="仿宋" w:eastAsia="仿宋" w:cs="仿宋_GB2312"/>
          <w:kern w:val="0"/>
          <w:sz w:val="24"/>
        </w:rPr>
        <w:t>、我方不是采购人的附属机构；在获知本项目采购信息后，与采购人聘请的为此项目提供咨询服务的公司及其附属机构没有任何联系。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ascii="仿宋" w:hAnsi="仿宋" w:eastAsia="仿宋" w:cs="仿宋_GB2312"/>
          <w:kern w:val="0"/>
          <w:sz w:val="24"/>
        </w:rPr>
      </w:pPr>
      <w:r>
        <w:rPr>
          <w:rFonts w:hint="eastAsia" w:ascii="仿宋" w:hAnsi="仿宋" w:eastAsia="仿宋" w:cs="仿宋_GB2312"/>
          <w:kern w:val="0"/>
          <w:sz w:val="24"/>
        </w:rPr>
        <w:t>6</w:t>
      </w:r>
      <w:r>
        <w:rPr>
          <w:rFonts w:ascii="仿宋" w:hAnsi="仿宋" w:eastAsia="仿宋" w:cs="仿宋_GB2312"/>
          <w:kern w:val="0"/>
          <w:sz w:val="24"/>
        </w:rPr>
        <w:t>、投标有效期为自投标文件提交截止之日起90日历天。</w:t>
      </w:r>
    </w:p>
    <w:p>
      <w:pPr>
        <w:snapToGrid w:val="0"/>
        <w:spacing w:beforeLines="50" w:line="440" w:lineRule="exact"/>
        <w:ind w:firstLine="480" w:firstLineChars="200"/>
        <w:rPr>
          <w:rFonts w:ascii="仿宋" w:hAnsi="仿宋" w:eastAsia="仿宋" w:cs="仿宋_GB2312"/>
          <w:kern w:val="0"/>
          <w:sz w:val="24"/>
        </w:rPr>
      </w:pPr>
      <w:r>
        <w:rPr>
          <w:rFonts w:ascii="仿宋" w:hAnsi="仿宋" w:eastAsia="仿宋" w:cs="仿宋_GB2312"/>
          <w:kern w:val="0"/>
          <w:sz w:val="24"/>
        </w:rPr>
        <w:t>7、我方通过“信用中国”网站、中国政府采购网查询，未被列入失信被执行人、重大税收违法案件当事人名单、政府采购严重违法失信行为记录名单。</w:t>
      </w:r>
    </w:p>
    <w:p>
      <w:pPr>
        <w:snapToGrid w:val="0"/>
        <w:spacing w:beforeLines="50" w:line="440" w:lineRule="exact"/>
        <w:ind w:firstLine="480" w:firstLineChars="200"/>
        <w:rPr>
          <w:rFonts w:ascii="仿宋" w:hAnsi="仿宋" w:eastAsia="仿宋" w:cs="仿宋_GB2312"/>
          <w:kern w:val="0"/>
          <w:sz w:val="24"/>
        </w:rPr>
      </w:pPr>
      <w:r>
        <w:rPr>
          <w:rFonts w:ascii="仿宋" w:hAnsi="仿宋" w:eastAsia="仿宋" w:cs="仿宋_GB2312"/>
          <w:kern w:val="0"/>
          <w:sz w:val="24"/>
        </w:rPr>
        <w:t>8、以上事项如有虚假或隐瞒，我方愿意承担一切后果，并不再寻求任何旨在减轻或免除法律责任的辩解。</w:t>
      </w:r>
    </w:p>
    <w:p>
      <w:pPr>
        <w:snapToGrid w:val="0"/>
        <w:spacing w:beforeLines="50" w:line="440" w:lineRule="exact"/>
        <w:ind w:firstLine="3480" w:firstLineChars="1450"/>
        <w:rPr>
          <w:rFonts w:ascii="仿宋" w:hAnsi="仿宋" w:eastAsia="仿宋" w:cs="仿宋_GB2312"/>
          <w:kern w:val="0"/>
          <w:sz w:val="24"/>
        </w:rPr>
      </w:pPr>
      <w:r>
        <w:rPr>
          <w:rFonts w:ascii="仿宋" w:hAnsi="仿宋" w:eastAsia="仿宋" w:cs="仿宋_GB2312"/>
          <w:kern w:val="0"/>
          <w:sz w:val="24"/>
        </w:rPr>
        <w:t xml:space="preserve">投标人全称（公章）：                    </w:t>
      </w:r>
    </w:p>
    <w:p>
      <w:pPr>
        <w:tabs>
          <w:tab w:val="left" w:pos="7980"/>
        </w:tabs>
        <w:snapToGrid w:val="0"/>
        <w:spacing w:beforeLines="50" w:after="50" w:line="460" w:lineRule="exact"/>
        <w:ind w:right="-180" w:firstLine="3480" w:firstLineChars="1450"/>
        <w:rPr>
          <w:rFonts w:ascii="仿宋" w:hAnsi="仿宋" w:eastAsia="仿宋" w:cs="仿宋_GB2312"/>
          <w:kern w:val="0"/>
          <w:sz w:val="24"/>
        </w:rPr>
      </w:pPr>
      <w:r>
        <w:rPr>
          <w:rFonts w:ascii="仿宋" w:hAnsi="仿宋" w:eastAsia="仿宋" w:cs="仿宋_GB2312"/>
          <w:kern w:val="0"/>
          <w:sz w:val="24"/>
        </w:rPr>
        <w:t>法定代表人签名（或签名章</w:t>
      </w:r>
      <w:r>
        <w:rPr>
          <w:rFonts w:hint="eastAsia" w:ascii="仿宋" w:hAnsi="仿宋" w:eastAsia="仿宋" w:cs="仿宋_GB2312"/>
          <w:kern w:val="0"/>
          <w:sz w:val="24"/>
        </w:rPr>
        <w:t>/法人章</w:t>
      </w:r>
      <w:r>
        <w:rPr>
          <w:rFonts w:ascii="仿宋" w:hAnsi="仿宋" w:eastAsia="仿宋" w:cs="仿宋_GB2312"/>
          <w:kern w:val="0"/>
          <w:sz w:val="24"/>
        </w:rPr>
        <w:t xml:space="preserve">）：          </w:t>
      </w:r>
    </w:p>
    <w:p>
      <w:pPr>
        <w:tabs>
          <w:tab w:val="left" w:pos="7980"/>
        </w:tabs>
        <w:snapToGrid w:val="0"/>
        <w:spacing w:beforeLines="50" w:after="50" w:line="460" w:lineRule="exact"/>
        <w:ind w:right="-180" w:firstLine="3480" w:firstLineChars="1450"/>
        <w:rPr>
          <w:rFonts w:ascii="仿宋" w:hAnsi="仿宋" w:eastAsia="仿宋" w:cs="仿宋_GB2312"/>
          <w:kern w:val="0"/>
          <w:sz w:val="28"/>
          <w:szCs w:val="28"/>
        </w:rPr>
      </w:pPr>
      <w:r>
        <w:rPr>
          <w:rFonts w:ascii="仿宋" w:hAnsi="仿宋" w:eastAsia="仿宋" w:cs="仿宋_GB2312"/>
          <w:kern w:val="0"/>
          <w:sz w:val="24"/>
        </w:rPr>
        <w:t>日期：       年      月      日</w:t>
      </w:r>
    </w:p>
    <w:p>
      <w:pPr>
        <w:spacing w:line="440" w:lineRule="exact"/>
        <w:outlineLvl w:val="1"/>
        <w:rPr>
          <w:rFonts w:ascii="仿宋" w:hAnsi="仿宋" w:eastAsia="仿宋" w:cs="仿宋_GB2312"/>
          <w:kern w:val="0"/>
          <w:sz w:val="32"/>
          <w:szCs w:val="32"/>
        </w:rPr>
      </w:pPr>
      <w:bookmarkStart w:id="45" w:name="_Toc360457892"/>
      <w:bookmarkStart w:id="46" w:name="_Toc231780373"/>
    </w:p>
    <w:p>
      <w:pPr>
        <w:spacing w:line="440" w:lineRule="exact"/>
        <w:outlineLvl w:val="1"/>
        <w:rPr>
          <w:rFonts w:ascii="仿宋" w:hAnsi="仿宋" w:eastAsia="仿宋" w:cs="Arial"/>
          <w:b/>
          <w:sz w:val="36"/>
          <w:szCs w:val="30"/>
        </w:rPr>
      </w:pPr>
      <w:r>
        <w:rPr>
          <w:rFonts w:ascii="仿宋" w:hAnsi="仿宋" w:eastAsia="仿宋" w:cs="仿宋_GB2312"/>
          <w:kern w:val="0"/>
          <w:sz w:val="32"/>
          <w:szCs w:val="32"/>
        </w:rPr>
        <w:t>附件</w:t>
      </w:r>
      <w:r>
        <w:rPr>
          <w:rFonts w:hint="eastAsia" w:ascii="仿宋" w:hAnsi="仿宋" w:eastAsia="仿宋" w:cs="仿宋_GB2312"/>
          <w:kern w:val="0"/>
          <w:sz w:val="32"/>
          <w:szCs w:val="32"/>
        </w:rPr>
        <w:t>3</w:t>
      </w:r>
    </w:p>
    <w:p>
      <w:pPr>
        <w:spacing w:line="440" w:lineRule="exact"/>
        <w:jc w:val="center"/>
        <w:outlineLvl w:val="1"/>
        <w:rPr>
          <w:rFonts w:ascii="仿宋" w:hAnsi="仿宋" w:eastAsia="仿宋" w:cs="仿宋_GB2312"/>
          <w:kern w:val="0"/>
          <w:sz w:val="36"/>
          <w:szCs w:val="36"/>
        </w:rPr>
      </w:pPr>
      <w:r>
        <w:rPr>
          <w:rFonts w:ascii="仿宋" w:hAnsi="仿宋" w:eastAsia="仿宋" w:cs="仿宋_GB2312"/>
          <w:kern w:val="0"/>
          <w:sz w:val="36"/>
          <w:szCs w:val="36"/>
        </w:rPr>
        <w:t>法定代表人授权委托书</w:t>
      </w:r>
      <w:bookmarkEnd w:id="45"/>
      <w:bookmarkEnd w:id="46"/>
    </w:p>
    <w:p>
      <w:pPr>
        <w:spacing w:line="440" w:lineRule="exact"/>
        <w:jc w:val="center"/>
        <w:rPr>
          <w:rFonts w:ascii="仿宋" w:hAnsi="仿宋" w:eastAsia="仿宋" w:cs="Arial"/>
          <w:b/>
          <w:sz w:val="28"/>
          <w:szCs w:val="28"/>
        </w:rPr>
      </w:pPr>
    </w:p>
    <w:p>
      <w:pPr>
        <w:snapToGrid w:val="0"/>
        <w:spacing w:beforeLines="50" w:after="50" w:line="460" w:lineRule="exact"/>
        <w:rPr>
          <w:rFonts w:ascii="仿宋" w:hAnsi="仿宋" w:eastAsia="仿宋" w:cs="仿宋_GB2312"/>
          <w:kern w:val="0"/>
          <w:sz w:val="24"/>
        </w:rPr>
      </w:pPr>
      <w:r>
        <w:rPr>
          <w:rFonts w:ascii="仿宋" w:hAnsi="仿宋" w:eastAsia="仿宋" w:cs="仿宋_GB2312"/>
          <w:kern w:val="0"/>
          <w:sz w:val="24"/>
        </w:rPr>
        <w:t>慈溪市政府采购中心：</w:t>
      </w:r>
    </w:p>
    <w:p>
      <w:pPr>
        <w:snapToGrid w:val="0"/>
        <w:spacing w:beforeLines="50" w:line="440" w:lineRule="exact"/>
        <w:ind w:firstLine="480" w:firstLineChars="200"/>
        <w:rPr>
          <w:rFonts w:ascii="仿宋" w:hAnsi="仿宋" w:eastAsia="仿宋" w:cs="仿宋_GB2312"/>
          <w:color w:val="000000"/>
          <w:kern w:val="0"/>
          <w:sz w:val="24"/>
        </w:rPr>
      </w:pPr>
      <w:r>
        <w:rPr>
          <w:rFonts w:hint="eastAsia" w:ascii="仿宋" w:hAnsi="仿宋" w:eastAsia="仿宋" w:cs="仿宋_GB2312"/>
          <w:kern w:val="0"/>
          <w:sz w:val="24"/>
        </w:rPr>
        <w:t>本人</w:t>
      </w:r>
      <w:r>
        <w:rPr>
          <w:rFonts w:ascii="仿宋" w:hAnsi="仿宋" w:eastAsia="仿宋" w:cs="仿宋_GB2312"/>
          <w:kern w:val="0"/>
          <w:sz w:val="24"/>
          <w:u w:val="single"/>
        </w:rPr>
        <w:t xml:space="preserve">  （姓名） </w:t>
      </w:r>
      <w:r>
        <w:rPr>
          <w:rFonts w:ascii="仿宋" w:hAnsi="仿宋" w:eastAsia="仿宋" w:cs="仿宋_GB2312"/>
          <w:kern w:val="0"/>
          <w:sz w:val="24"/>
        </w:rPr>
        <w:t>系</w:t>
      </w:r>
      <w:r>
        <w:rPr>
          <w:rFonts w:ascii="仿宋" w:hAnsi="仿宋" w:eastAsia="仿宋" w:cs="仿宋_GB2312"/>
          <w:kern w:val="0"/>
          <w:sz w:val="24"/>
          <w:u w:val="single"/>
        </w:rPr>
        <w:t>（投标人名称）</w:t>
      </w:r>
      <w:r>
        <w:rPr>
          <w:rFonts w:ascii="仿宋" w:hAnsi="仿宋" w:eastAsia="仿宋" w:cs="仿宋_GB2312"/>
          <w:kern w:val="0"/>
          <w:sz w:val="24"/>
        </w:rPr>
        <w:t>的法定代表人，现授权委托本单位在职职工</w:t>
      </w:r>
      <w:r>
        <w:rPr>
          <w:rFonts w:hint="eastAsia" w:ascii="仿宋" w:hAnsi="仿宋" w:eastAsia="仿宋" w:cs="仿宋_GB2312"/>
          <w:kern w:val="0"/>
          <w:sz w:val="24"/>
          <w:u w:val="single"/>
        </w:rPr>
        <w:t>（姓名）</w:t>
      </w:r>
      <w:r>
        <w:rPr>
          <w:rFonts w:ascii="仿宋" w:hAnsi="仿宋" w:eastAsia="仿宋" w:cs="仿宋_GB2312"/>
          <w:kern w:val="0"/>
          <w:sz w:val="24"/>
        </w:rPr>
        <w:t>为</w:t>
      </w:r>
      <w:r>
        <w:rPr>
          <w:rFonts w:hint="eastAsia" w:ascii="仿宋" w:hAnsi="仿宋" w:eastAsia="仿宋" w:cs="仿宋_GB2312"/>
          <w:kern w:val="0"/>
          <w:sz w:val="24"/>
        </w:rPr>
        <w:t>我方代理人</w:t>
      </w:r>
      <w:r>
        <w:rPr>
          <w:rFonts w:ascii="仿宋" w:hAnsi="仿宋" w:eastAsia="仿宋" w:cs="仿宋_GB2312"/>
          <w:kern w:val="0"/>
          <w:sz w:val="24"/>
        </w:rPr>
        <w:t>，以我方的名义参加</w:t>
      </w:r>
      <w:r>
        <w:rPr>
          <w:rFonts w:ascii="仿宋" w:hAnsi="仿宋" w:eastAsia="仿宋" w:cs="仿宋_GB2312"/>
          <w:kern w:val="0"/>
          <w:sz w:val="24"/>
          <w:u w:val="single"/>
        </w:rPr>
        <w:t>（招标项目名称）</w:t>
      </w:r>
      <w:r>
        <w:rPr>
          <w:rFonts w:ascii="仿宋" w:hAnsi="仿宋" w:eastAsia="仿宋" w:cs="仿宋_GB2312"/>
          <w:kern w:val="0"/>
          <w:sz w:val="24"/>
        </w:rPr>
        <w:t>（招标编号为</w:t>
      </w:r>
      <w:r>
        <w:rPr>
          <w:rFonts w:hint="eastAsia" w:ascii="仿宋" w:hAnsi="仿宋" w:eastAsia="仿宋" w:cs="仿宋_GB2312"/>
          <w:kern w:val="0"/>
          <w:sz w:val="24"/>
          <w:u w:val="single"/>
        </w:rPr>
        <w:t>NBCXZFCG2024028</w:t>
      </w:r>
      <w:r>
        <w:rPr>
          <w:rFonts w:ascii="仿宋" w:hAnsi="仿宋" w:eastAsia="仿宋" w:cs="仿宋_GB2312"/>
          <w:kern w:val="0"/>
          <w:sz w:val="24"/>
        </w:rPr>
        <w:t>）的投标活动，并代表我方全权办</w:t>
      </w:r>
      <w:r>
        <w:rPr>
          <w:rFonts w:ascii="仿宋" w:hAnsi="仿宋" w:eastAsia="仿宋" w:cs="仿宋_GB2312"/>
          <w:color w:val="000000"/>
          <w:kern w:val="0"/>
          <w:sz w:val="24"/>
        </w:rPr>
        <w:t>理针对上述项目的投标、开标、评标、签约等</w:t>
      </w:r>
      <w:r>
        <w:rPr>
          <w:rFonts w:hint="eastAsia" w:ascii="仿宋" w:hAnsi="仿宋" w:eastAsia="仿宋" w:cs="仿宋_GB2312"/>
          <w:color w:val="000000"/>
          <w:kern w:val="0"/>
          <w:sz w:val="24"/>
        </w:rPr>
        <w:t>相关事宜</w:t>
      </w:r>
      <w:r>
        <w:rPr>
          <w:rFonts w:ascii="仿宋" w:hAnsi="仿宋" w:eastAsia="仿宋" w:cs="仿宋_GB2312"/>
          <w:color w:val="000000"/>
          <w:kern w:val="0"/>
          <w:sz w:val="24"/>
        </w:rPr>
        <w:t>。我方</w:t>
      </w:r>
      <w:r>
        <w:rPr>
          <w:rFonts w:hint="eastAsia" w:ascii="仿宋" w:hAnsi="仿宋" w:eastAsia="仿宋" w:cs="仿宋_GB2312"/>
          <w:color w:val="000000"/>
          <w:kern w:val="0"/>
          <w:sz w:val="24"/>
        </w:rPr>
        <w:t>对</w:t>
      </w:r>
      <w:r>
        <w:rPr>
          <w:rFonts w:ascii="仿宋" w:hAnsi="仿宋" w:eastAsia="仿宋" w:cs="仿宋_GB2312"/>
          <w:color w:val="000000"/>
          <w:kern w:val="0"/>
          <w:sz w:val="24"/>
        </w:rPr>
        <w:t>代理人的签名事项负全部责任。</w:t>
      </w:r>
    </w:p>
    <w:p>
      <w:pPr>
        <w:snapToGrid w:val="0"/>
        <w:spacing w:beforeLines="50" w:line="440" w:lineRule="exact"/>
        <w:ind w:firstLine="480" w:firstLineChars="200"/>
        <w:rPr>
          <w:rFonts w:ascii="仿宋" w:hAnsi="仿宋" w:eastAsia="仿宋" w:cs="仿宋_GB2312"/>
          <w:color w:val="000000"/>
          <w:kern w:val="0"/>
          <w:sz w:val="24"/>
        </w:rPr>
      </w:pPr>
      <w:r>
        <w:rPr>
          <w:rFonts w:ascii="仿宋" w:hAnsi="仿宋" w:eastAsia="仿宋" w:cs="仿宋_GB2312"/>
          <w:color w:val="000000"/>
          <w:kern w:val="0"/>
          <w:sz w:val="24"/>
        </w:rPr>
        <w:t>在撤销授权的书面通知以前，本授权书一直有效。</w:t>
      </w:r>
      <w:r>
        <w:rPr>
          <w:rFonts w:hint="eastAsia" w:ascii="仿宋" w:hAnsi="仿宋" w:eastAsia="仿宋" w:cs="仿宋_GB2312"/>
          <w:color w:val="000000"/>
          <w:kern w:val="0"/>
          <w:sz w:val="24"/>
        </w:rPr>
        <w:t>代理人</w:t>
      </w:r>
      <w:r>
        <w:rPr>
          <w:rFonts w:ascii="仿宋" w:hAnsi="仿宋" w:eastAsia="仿宋" w:cs="仿宋_GB2312"/>
          <w:color w:val="000000"/>
          <w:kern w:val="0"/>
          <w:sz w:val="24"/>
        </w:rPr>
        <w:t>在授权书有效期内签署的所有文件不因授权的撤销而失效。</w:t>
      </w:r>
    </w:p>
    <w:p>
      <w:pPr>
        <w:snapToGrid w:val="0"/>
        <w:spacing w:beforeLines="50" w:line="440" w:lineRule="exact"/>
        <w:ind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委托期限：</w:t>
      </w:r>
    </w:p>
    <w:p>
      <w:pPr>
        <w:snapToGrid w:val="0"/>
        <w:spacing w:beforeLines="50" w:line="440" w:lineRule="exact"/>
        <w:ind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代理人</w:t>
      </w:r>
      <w:r>
        <w:rPr>
          <w:rFonts w:ascii="仿宋" w:hAnsi="仿宋" w:eastAsia="仿宋" w:cs="仿宋_GB2312"/>
          <w:color w:val="000000"/>
          <w:kern w:val="0"/>
          <w:sz w:val="24"/>
        </w:rPr>
        <w:t>无转委托权。</w:t>
      </w:r>
    </w:p>
    <w:p>
      <w:pPr>
        <w:pStyle w:val="37"/>
        <w:snapToGrid w:val="0"/>
        <w:spacing w:line="440" w:lineRule="exact"/>
        <w:ind w:firstLine="480" w:firstLineChars="200"/>
        <w:jc w:val="left"/>
        <w:rPr>
          <w:rFonts w:ascii="仿宋" w:hAnsi="仿宋" w:eastAsia="仿宋" w:cs="仿宋_GB2312"/>
          <w:color w:val="000000"/>
          <w:kern w:val="0"/>
          <w:sz w:val="24"/>
          <w:szCs w:val="24"/>
        </w:rPr>
      </w:pPr>
      <w:r>
        <w:rPr>
          <w:rFonts w:ascii="仿宋" w:hAnsi="仿宋" w:eastAsia="仿宋" w:cs="仿宋_GB2312"/>
          <w:color w:val="000000"/>
          <w:kern w:val="0"/>
          <w:sz w:val="24"/>
          <w:szCs w:val="24"/>
        </w:rPr>
        <w:t>本授权委托书于     年   月   日签字之日起生效，特此声明。</w:t>
      </w:r>
    </w:p>
    <w:p>
      <w:pPr>
        <w:snapToGrid w:val="0"/>
        <w:spacing w:beforeLines="50" w:line="440" w:lineRule="exact"/>
        <w:rPr>
          <w:rFonts w:ascii="仿宋" w:hAnsi="仿宋" w:eastAsia="仿宋" w:cs="仿宋_GB2312"/>
          <w:color w:val="000000"/>
          <w:kern w:val="0"/>
          <w:sz w:val="24"/>
        </w:rPr>
      </w:pPr>
    </w:p>
    <w:p>
      <w:pPr>
        <w:snapToGrid w:val="0"/>
        <w:spacing w:beforeLines="50" w:after="50" w:line="460" w:lineRule="exact"/>
        <w:rPr>
          <w:rFonts w:ascii="仿宋" w:hAnsi="仿宋" w:eastAsia="仿宋" w:cs="仿宋_GB2312"/>
          <w:b/>
          <w:color w:val="000000"/>
          <w:kern w:val="0"/>
          <w:sz w:val="24"/>
        </w:rPr>
      </w:pPr>
    </w:p>
    <w:p>
      <w:pPr>
        <w:snapToGrid w:val="0"/>
        <w:spacing w:beforeLines="50" w:after="50" w:line="460" w:lineRule="exact"/>
        <w:rPr>
          <w:rFonts w:ascii="仿宋" w:hAnsi="仿宋" w:eastAsia="仿宋" w:cs="仿宋_GB2312"/>
          <w:b/>
          <w:color w:val="000000"/>
          <w:kern w:val="0"/>
          <w:sz w:val="24"/>
        </w:rPr>
      </w:pPr>
    </w:p>
    <w:p>
      <w:pPr>
        <w:snapToGrid w:val="0"/>
        <w:spacing w:beforeLines="50" w:after="50" w:line="460" w:lineRule="exact"/>
        <w:rPr>
          <w:rFonts w:ascii="仿宋" w:hAnsi="仿宋" w:eastAsia="仿宋" w:cs="仿宋_GB2312"/>
          <w:b/>
          <w:color w:val="000000"/>
          <w:kern w:val="0"/>
          <w:sz w:val="24"/>
        </w:rPr>
      </w:pPr>
      <w:r>
        <w:rPr>
          <w:rFonts w:ascii="仿宋" w:hAnsi="仿宋" w:eastAsia="仿宋" w:cs="仿宋_GB2312"/>
          <w:b/>
          <w:color w:val="000000"/>
          <w:kern w:val="0"/>
          <w:sz w:val="24"/>
        </w:rPr>
        <w:t>（附：法定代表人身份证正反面复印件及其</w:t>
      </w:r>
      <w:r>
        <w:rPr>
          <w:rFonts w:hint="eastAsia" w:ascii="仿宋" w:hAnsi="仿宋" w:eastAsia="仿宋" w:cs="仿宋_GB2312"/>
          <w:b/>
          <w:color w:val="000000"/>
          <w:kern w:val="0"/>
          <w:sz w:val="24"/>
        </w:rPr>
        <w:t>委托</w:t>
      </w:r>
      <w:r>
        <w:rPr>
          <w:rFonts w:ascii="仿宋" w:hAnsi="仿宋" w:eastAsia="仿宋" w:cs="仿宋_GB2312"/>
          <w:b/>
          <w:color w:val="000000"/>
          <w:kern w:val="0"/>
          <w:sz w:val="24"/>
        </w:rPr>
        <w:t>代理人身份证</w:t>
      </w:r>
      <w:r>
        <w:rPr>
          <w:rFonts w:hint="eastAsia" w:ascii="仿宋" w:hAnsi="仿宋" w:eastAsia="仿宋" w:cs="仿宋_GB2312"/>
          <w:b/>
          <w:color w:val="000000"/>
          <w:kern w:val="0"/>
          <w:sz w:val="24"/>
        </w:rPr>
        <w:t>正反面</w:t>
      </w:r>
      <w:r>
        <w:rPr>
          <w:rFonts w:ascii="仿宋" w:hAnsi="仿宋" w:eastAsia="仿宋" w:cs="仿宋_GB2312"/>
          <w:b/>
          <w:color w:val="000000"/>
          <w:kern w:val="0"/>
          <w:sz w:val="24"/>
        </w:rPr>
        <w:t>复印件）</w:t>
      </w:r>
    </w:p>
    <w:p>
      <w:pPr>
        <w:snapToGrid w:val="0"/>
        <w:spacing w:beforeLines="50" w:after="50" w:line="460" w:lineRule="exact"/>
        <w:rPr>
          <w:rFonts w:ascii="仿宋" w:hAnsi="仿宋" w:eastAsia="仿宋" w:cs="仿宋_GB2312"/>
          <w:color w:val="000000"/>
          <w:kern w:val="0"/>
          <w:sz w:val="24"/>
        </w:rPr>
      </w:pPr>
    </w:p>
    <w:p>
      <w:pPr>
        <w:snapToGrid w:val="0"/>
        <w:spacing w:beforeLines="50" w:after="50" w:line="460" w:lineRule="exact"/>
        <w:rPr>
          <w:rFonts w:ascii="仿宋" w:hAnsi="仿宋" w:eastAsia="仿宋" w:cs="仿宋_GB2312"/>
          <w:color w:val="000000"/>
          <w:kern w:val="0"/>
          <w:sz w:val="24"/>
        </w:rPr>
      </w:pPr>
    </w:p>
    <w:p>
      <w:pPr>
        <w:tabs>
          <w:tab w:val="left" w:pos="7980"/>
        </w:tabs>
        <w:snapToGrid w:val="0"/>
        <w:spacing w:beforeLines="50" w:after="50" w:line="460" w:lineRule="exact"/>
        <w:ind w:right="-180"/>
        <w:rPr>
          <w:rFonts w:ascii="仿宋" w:hAnsi="仿宋" w:eastAsia="仿宋" w:cs="仿宋_GB2312"/>
          <w:color w:val="000000"/>
          <w:kern w:val="0"/>
          <w:sz w:val="24"/>
        </w:rPr>
      </w:pPr>
      <w:r>
        <w:rPr>
          <w:rFonts w:ascii="仿宋" w:hAnsi="仿宋" w:eastAsia="仿宋" w:cs="仿宋_GB2312"/>
          <w:color w:val="000000"/>
          <w:kern w:val="0"/>
          <w:sz w:val="24"/>
        </w:rPr>
        <w:t>法定代表人签</w:t>
      </w:r>
      <w:r>
        <w:rPr>
          <w:rFonts w:hint="eastAsia" w:ascii="仿宋" w:hAnsi="仿宋" w:eastAsia="仿宋" w:cs="仿宋_GB2312"/>
          <w:color w:val="000000"/>
          <w:kern w:val="0"/>
          <w:sz w:val="24"/>
        </w:rPr>
        <w:t>字</w:t>
      </w:r>
      <w:r>
        <w:rPr>
          <w:rFonts w:ascii="仿宋" w:hAnsi="仿宋" w:eastAsia="仿宋" w:cs="仿宋_GB2312"/>
          <w:color w:val="000000"/>
          <w:kern w:val="0"/>
          <w:sz w:val="24"/>
        </w:rPr>
        <w:t xml:space="preserve">：          </w:t>
      </w:r>
    </w:p>
    <w:p>
      <w:pPr>
        <w:snapToGrid w:val="0"/>
        <w:spacing w:beforeLines="50" w:after="50" w:line="460" w:lineRule="exact"/>
        <w:rPr>
          <w:rFonts w:ascii="仿宋" w:hAnsi="仿宋" w:eastAsia="仿宋" w:cs="仿宋_GB2312"/>
          <w:color w:val="000000"/>
          <w:kern w:val="0"/>
          <w:sz w:val="24"/>
        </w:rPr>
      </w:pPr>
      <w:r>
        <w:rPr>
          <w:rFonts w:ascii="仿宋" w:hAnsi="仿宋" w:eastAsia="仿宋" w:cs="仿宋_GB2312"/>
          <w:color w:val="000000"/>
          <w:kern w:val="0"/>
          <w:sz w:val="24"/>
        </w:rPr>
        <w:t xml:space="preserve">法定代表人身份证号码：                         </w:t>
      </w:r>
    </w:p>
    <w:p>
      <w:pPr>
        <w:snapToGrid w:val="0"/>
        <w:spacing w:beforeLines="50" w:after="50" w:line="460" w:lineRule="exact"/>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投标人全称（单位公章）：                                   </w:t>
      </w:r>
    </w:p>
    <w:p>
      <w:pPr>
        <w:snapToGrid w:val="0"/>
        <w:spacing w:beforeLines="50" w:line="440" w:lineRule="exact"/>
        <w:ind w:right="600" w:firstLine="4320" w:firstLineChars="1800"/>
        <w:rPr>
          <w:rFonts w:ascii="仿宋" w:hAnsi="仿宋" w:eastAsia="仿宋" w:cs="仿宋_GB2312"/>
          <w:color w:val="000000"/>
          <w:kern w:val="0"/>
          <w:sz w:val="24"/>
        </w:rPr>
      </w:pPr>
    </w:p>
    <w:p>
      <w:pPr>
        <w:snapToGrid w:val="0"/>
        <w:spacing w:beforeLines="50" w:line="440" w:lineRule="exact"/>
        <w:ind w:right="600" w:firstLine="4320" w:firstLineChars="1800"/>
        <w:rPr>
          <w:rFonts w:ascii="仿宋" w:hAnsi="仿宋" w:eastAsia="仿宋" w:cs="仿宋_GB2312"/>
          <w:color w:val="000000"/>
          <w:kern w:val="0"/>
          <w:sz w:val="24"/>
        </w:rPr>
      </w:pPr>
      <w:r>
        <w:rPr>
          <w:rFonts w:ascii="仿宋" w:hAnsi="仿宋" w:eastAsia="仿宋" w:cs="仿宋_GB2312"/>
          <w:color w:val="000000"/>
          <w:kern w:val="0"/>
          <w:sz w:val="24"/>
        </w:rPr>
        <w:t>日期：      年     月     日</w:t>
      </w: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4</w:t>
      </w:r>
    </w:p>
    <w:p>
      <w:pPr>
        <w:snapToGrid w:val="0"/>
        <w:spacing w:beforeLines="50" w:after="50"/>
        <w:rPr>
          <w:rFonts w:ascii="仿宋" w:hAnsi="仿宋" w:eastAsia="仿宋" w:cs="Arial"/>
          <w:b/>
          <w:sz w:val="30"/>
          <w:szCs w:val="30"/>
        </w:rPr>
      </w:pP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项目名称</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招标编号：</w:t>
      </w:r>
      <w:r>
        <w:rPr>
          <w:rFonts w:hint="eastAsia" w:ascii="仿宋" w:hAnsi="仿宋" w:eastAsia="仿宋" w:cs="仿宋_GB2312"/>
          <w:kern w:val="0"/>
          <w:sz w:val="36"/>
          <w:szCs w:val="36"/>
        </w:rPr>
        <w:t>NBCXZFCG2024028</w:t>
      </w:r>
      <w:r>
        <w:rPr>
          <w:rFonts w:ascii="仿宋" w:hAnsi="仿宋" w:eastAsia="仿宋" w:cs="仿宋_GB2312"/>
          <w:kern w:val="0"/>
          <w:sz w:val="36"/>
          <w:szCs w:val="36"/>
        </w:rPr>
        <w:t>（标项</w:t>
      </w:r>
      <w:r>
        <w:rPr>
          <w:rFonts w:ascii="仿宋" w:hAnsi="仿宋" w:eastAsia="仿宋" w:cs="仿宋_GB2312"/>
          <w:color w:val="000000"/>
          <w:kern w:val="0"/>
          <w:sz w:val="36"/>
          <w:szCs w:val="36"/>
        </w:rPr>
        <w:t xml:space="preserve"> ）</w:t>
      </w:r>
    </w:p>
    <w:p>
      <w:pPr>
        <w:spacing w:after="100" w:afterAutospacing="1" w:line="800" w:lineRule="exact"/>
        <w:ind w:right="-108"/>
        <w:jc w:val="center"/>
        <w:rPr>
          <w:rFonts w:ascii="仿宋" w:hAnsi="仿宋" w:eastAsia="仿宋" w:cs="Arial"/>
          <w:b/>
          <w:spacing w:val="40"/>
          <w:sz w:val="84"/>
          <w:szCs w:val="84"/>
        </w:rPr>
      </w:pP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商</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务</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技</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术</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文</w:t>
      </w:r>
    </w:p>
    <w:p>
      <w:pPr>
        <w:spacing w:after="100" w:afterAutospacing="1" w:line="800" w:lineRule="exact"/>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件</w:t>
      </w:r>
    </w:p>
    <w:p>
      <w:pPr>
        <w:spacing w:line="500" w:lineRule="exact"/>
        <w:ind w:right="532"/>
        <w:rPr>
          <w:rFonts w:ascii="仿宋" w:hAnsi="仿宋" w:eastAsia="仿宋" w:cs="Arial"/>
          <w:sz w:val="36"/>
          <w:szCs w:val="36"/>
        </w:rPr>
      </w:pPr>
    </w:p>
    <w:p>
      <w:pPr>
        <w:spacing w:line="500" w:lineRule="exact"/>
        <w:ind w:right="532"/>
        <w:rPr>
          <w:rFonts w:ascii="仿宋" w:hAnsi="仿宋" w:eastAsia="仿宋" w:cs="Arial"/>
          <w:sz w:val="36"/>
          <w:szCs w:val="36"/>
        </w:rPr>
      </w:pP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供应商全称（公章）：</w:t>
      </w: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地    址：</w:t>
      </w: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时    间：</w:t>
      </w:r>
    </w:p>
    <w:p>
      <w:pPr>
        <w:snapToGrid w:val="0"/>
        <w:spacing w:beforeLines="50" w:after="50"/>
        <w:rPr>
          <w:rFonts w:ascii="仿宋" w:hAnsi="仿宋" w:eastAsia="仿宋" w:cs="Arial"/>
          <w:sz w:val="30"/>
          <w:szCs w:val="30"/>
        </w:rPr>
      </w:pPr>
    </w:p>
    <w:p>
      <w:pPr>
        <w:snapToGrid w:val="0"/>
        <w:spacing w:beforeLines="50" w:after="50"/>
        <w:rPr>
          <w:rFonts w:ascii="仿宋" w:hAnsi="仿宋" w:eastAsia="仿宋" w:cs="Arial"/>
          <w:sz w:val="30"/>
          <w:szCs w:val="30"/>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5</w:t>
      </w:r>
    </w:p>
    <w:p>
      <w:pPr>
        <w:snapToGrid w:val="0"/>
        <w:spacing w:before="50" w:after="50"/>
        <w:jc w:val="left"/>
        <w:rPr>
          <w:rFonts w:ascii="仿宋" w:hAnsi="仿宋" w:eastAsia="仿宋" w:cs="Arial"/>
          <w:b/>
          <w:sz w:val="32"/>
          <w:szCs w:val="32"/>
        </w:rPr>
      </w:pP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评分索引表</w:t>
      </w:r>
    </w:p>
    <w:p>
      <w:pPr>
        <w:snapToGrid w:val="0"/>
        <w:spacing w:before="50"/>
        <w:jc w:val="center"/>
        <w:rPr>
          <w:rFonts w:ascii="仿宋" w:hAnsi="仿宋" w:eastAsia="仿宋" w:cs="Arial"/>
          <w:b/>
          <w:sz w:val="32"/>
          <w:szCs w:val="32"/>
        </w:rPr>
      </w:pPr>
    </w:p>
    <w:tbl>
      <w:tblPr>
        <w:tblStyle w:val="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对应招标文件评分办法及评分标准（报价除外）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r>
              <w:rPr>
                <w:rFonts w:ascii="仿宋" w:hAnsi="仿宋" w:eastAsia="仿宋" w:cs="仿宋_GB2312"/>
                <w:color w:val="000000"/>
                <w:kern w:val="0"/>
                <w:sz w:val="28"/>
                <w:szCs w:val="28"/>
              </w:rPr>
              <w:t>……</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 w:hAnsi="仿宋" w:eastAsia="仿宋"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 w:hAnsi="仿宋" w:eastAsia="仿宋" w:cs="仿宋_GB2312"/>
                <w:color w:val="000000"/>
                <w:kern w:val="0"/>
                <w:sz w:val="28"/>
                <w:szCs w:val="28"/>
              </w:rPr>
            </w:pPr>
          </w:p>
        </w:tc>
      </w:tr>
    </w:tbl>
    <w:p>
      <w:pPr>
        <w:snapToGrid w:val="0"/>
        <w:spacing w:beforeLines="50" w:line="440" w:lineRule="exact"/>
        <w:ind w:firstLine="140" w:firstLineChars="50"/>
        <w:rPr>
          <w:rFonts w:ascii="仿宋" w:hAnsi="仿宋" w:eastAsia="仿宋" w:cs="Arial"/>
          <w:sz w:val="28"/>
          <w:szCs w:val="28"/>
        </w:rPr>
      </w:pPr>
    </w:p>
    <w:p>
      <w:pPr>
        <w:snapToGrid w:val="0"/>
        <w:spacing w:beforeLines="50" w:line="440" w:lineRule="exact"/>
        <w:ind w:firstLine="3480" w:firstLineChars="1450"/>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 w:hAnsi="仿宋" w:eastAsia="仿宋" w:cs="仿宋_GB2312"/>
          <w:color w:val="000000"/>
          <w:kern w:val="0"/>
          <w:sz w:val="24"/>
        </w:rPr>
      </w:pPr>
      <w:r>
        <w:rPr>
          <w:rFonts w:ascii="仿宋" w:hAnsi="仿宋" w:eastAsia="仿宋" w:cs="仿宋_GB2312"/>
          <w:color w:val="000000"/>
          <w:kern w:val="0"/>
          <w:sz w:val="24"/>
        </w:rPr>
        <w:t>法定代表人签名（</w:t>
      </w:r>
      <w:r>
        <w:rPr>
          <w:rFonts w:ascii="仿宋" w:hAnsi="仿宋" w:eastAsia="仿宋" w:cs="仿宋_GB2312"/>
          <w:kern w:val="0"/>
          <w:sz w:val="24"/>
        </w:rPr>
        <w:t>或签名章</w:t>
      </w:r>
      <w:r>
        <w:rPr>
          <w:rFonts w:hint="eastAsia" w:ascii="仿宋" w:hAnsi="仿宋" w:eastAsia="仿宋" w:cs="仿宋_GB2312"/>
          <w:kern w:val="0"/>
          <w:sz w:val="24"/>
        </w:rPr>
        <w:t>/法人章</w:t>
      </w:r>
      <w:r>
        <w:rPr>
          <w:rFonts w:ascii="仿宋" w:hAnsi="仿宋" w:eastAsia="仿宋" w:cs="仿宋_GB2312"/>
          <w:color w:val="000000"/>
          <w:kern w:val="0"/>
          <w:sz w:val="24"/>
        </w:rPr>
        <w:t xml:space="preserve">）：          </w:t>
      </w:r>
    </w:p>
    <w:p>
      <w:pPr>
        <w:spacing w:line="440" w:lineRule="exact"/>
        <w:ind w:firstLine="3480" w:firstLineChars="1450"/>
        <w:rPr>
          <w:rFonts w:ascii="仿宋" w:hAnsi="仿宋" w:eastAsia="仿宋" w:cs="仿宋_GB2312"/>
          <w:color w:val="000000"/>
          <w:kern w:val="0"/>
          <w:sz w:val="24"/>
        </w:rPr>
      </w:pPr>
      <w:r>
        <w:rPr>
          <w:rFonts w:ascii="仿宋" w:hAnsi="仿宋" w:eastAsia="仿宋" w:cs="仿宋_GB2312"/>
          <w:color w:val="000000"/>
          <w:kern w:val="0"/>
          <w:sz w:val="24"/>
        </w:rPr>
        <w:t>日期：       年      月      日</w:t>
      </w: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6</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投标项目明细清单</w:t>
      </w:r>
    </w:p>
    <w:p>
      <w:pPr>
        <w:snapToGrid w:val="0"/>
        <w:spacing w:before="50" w:afterLines="50"/>
        <w:jc w:val="center"/>
        <w:rPr>
          <w:rFonts w:ascii="仿宋" w:hAnsi="仿宋" w:eastAsia="仿宋" w:cs="Arial"/>
          <w:b/>
          <w:spacing w:val="40"/>
          <w:kern w:val="0"/>
          <w:sz w:val="36"/>
          <w:szCs w:val="36"/>
        </w:rPr>
      </w:pPr>
    </w:p>
    <w:p>
      <w:pPr>
        <w:pStyle w:val="20"/>
        <w:snapToGrid w:val="0"/>
        <w:rPr>
          <w:rFonts w:ascii="仿宋" w:hAnsi="仿宋" w:eastAsia="仿宋" w:cs="仿宋_GB2312"/>
          <w:color w:val="000000"/>
          <w:kern w:val="0"/>
          <w:sz w:val="24"/>
          <w:szCs w:val="24"/>
        </w:rPr>
      </w:pPr>
      <w:r>
        <w:rPr>
          <w:rFonts w:ascii="仿宋" w:hAnsi="仿宋" w:eastAsia="仿宋" w:cs="仿宋_GB2312"/>
          <w:color w:val="000000"/>
          <w:kern w:val="0"/>
          <w:sz w:val="24"/>
          <w:szCs w:val="24"/>
        </w:rPr>
        <w:t>货物类</w:t>
      </w: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规格</w:t>
            </w:r>
          </w:p>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单位及</w:t>
            </w:r>
          </w:p>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s="仿宋_GB2312"/>
                <w:color w:val="000000"/>
                <w:kern w:val="0"/>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s="仿宋_GB2312"/>
                <w:color w:val="000000"/>
                <w:kern w:val="0"/>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r>
    </w:tbl>
    <w:p>
      <w:pPr>
        <w:snapToGrid w:val="0"/>
        <w:spacing w:beforeLines="50"/>
        <w:rPr>
          <w:rFonts w:ascii="仿宋" w:hAnsi="仿宋" w:eastAsia="仿宋" w:cs="仿宋_GB2312"/>
          <w:color w:val="000000"/>
          <w:kern w:val="0"/>
          <w:sz w:val="24"/>
        </w:rPr>
      </w:pPr>
      <w:r>
        <w:rPr>
          <w:rFonts w:ascii="仿宋" w:hAnsi="仿宋" w:eastAsia="仿宋" w:cs="仿宋_GB2312"/>
          <w:color w:val="000000"/>
          <w:kern w:val="0"/>
          <w:sz w:val="24"/>
        </w:rPr>
        <w:t>注：需提供所有货物清单。在填写时，如上表不适合本项目的实际情况，可在确保投标明细内容完整的情况下，根据上表格式自行划表填写。</w:t>
      </w:r>
    </w:p>
    <w:p>
      <w:pPr>
        <w:snapToGrid w:val="0"/>
        <w:spacing w:beforeLines="50"/>
        <w:rPr>
          <w:rFonts w:ascii="仿宋" w:hAnsi="仿宋" w:eastAsia="仿宋" w:cs="仿宋_GB2312"/>
          <w:color w:val="000000"/>
          <w:kern w:val="0"/>
          <w:sz w:val="24"/>
        </w:rPr>
      </w:pPr>
      <w:r>
        <w:rPr>
          <w:rFonts w:ascii="仿宋" w:hAnsi="仿宋" w:eastAsia="仿宋" w:cs="仿宋_GB2312"/>
          <w:color w:val="000000"/>
          <w:kern w:val="0"/>
          <w:sz w:val="24"/>
        </w:rPr>
        <w:t>服务类</w:t>
      </w: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r>
              <w:rPr>
                <w:rFonts w:ascii="仿宋" w:hAnsi="仿宋" w:eastAsia="仿宋" w:cs="仿宋_GB2312"/>
                <w:color w:val="000000"/>
                <w:kern w:val="0"/>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s="仿宋_GB2312"/>
                <w:color w:val="000000"/>
                <w:kern w:val="0"/>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s="仿宋_GB2312"/>
                <w:color w:val="000000"/>
                <w:kern w:val="0"/>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_GB2312"/>
                <w:color w:val="000000"/>
                <w:kern w:val="0"/>
                <w:sz w:val="24"/>
              </w:rPr>
            </w:pPr>
          </w:p>
        </w:tc>
      </w:tr>
    </w:tbl>
    <w:p>
      <w:pPr>
        <w:snapToGrid w:val="0"/>
        <w:spacing w:beforeLines="50"/>
        <w:rPr>
          <w:rFonts w:ascii="仿宋" w:hAnsi="仿宋" w:eastAsia="仿宋" w:cs="仿宋_GB2312"/>
          <w:color w:val="000000"/>
          <w:kern w:val="0"/>
          <w:sz w:val="24"/>
        </w:rPr>
      </w:pPr>
      <w:r>
        <w:rPr>
          <w:rFonts w:ascii="仿宋" w:hAnsi="仿宋" w:eastAsia="仿宋" w:cs="仿宋_GB2312"/>
          <w:color w:val="000000"/>
          <w:kern w:val="0"/>
          <w:sz w:val="24"/>
        </w:rPr>
        <w:t>注：在填写时，如上表不适合本项目的实际情况，可在确保投标明细内容完整的情况下，根据上表格式自行划表填写。</w:t>
      </w:r>
    </w:p>
    <w:p>
      <w:pPr>
        <w:snapToGrid w:val="0"/>
        <w:spacing w:beforeLines="50" w:line="440" w:lineRule="exact"/>
        <w:ind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法定代表人或其授权代表签字：            </w:t>
      </w:r>
    </w:p>
    <w:p>
      <w:pPr>
        <w:spacing w:line="440" w:lineRule="exact"/>
        <w:ind w:firstLine="3480" w:firstLineChars="1450"/>
        <w:rPr>
          <w:rFonts w:ascii="仿宋" w:hAnsi="仿宋" w:eastAsia="仿宋" w:cs="Arial"/>
          <w:sz w:val="24"/>
        </w:rPr>
      </w:pPr>
      <w:r>
        <w:rPr>
          <w:rFonts w:ascii="仿宋" w:hAnsi="仿宋" w:eastAsia="仿宋" w:cs="仿宋_GB2312"/>
          <w:color w:val="000000"/>
          <w:kern w:val="0"/>
          <w:sz w:val="24"/>
        </w:rPr>
        <w:t>日 期：       年      月      日</w:t>
      </w:r>
    </w:p>
    <w:p>
      <w:pPr>
        <w:spacing w:line="440" w:lineRule="exact"/>
        <w:ind w:firstLine="3480" w:firstLineChars="1450"/>
        <w:rPr>
          <w:rFonts w:ascii="仿宋" w:hAnsi="仿宋" w:eastAsia="仿宋" w:cs="Arial"/>
          <w:sz w:val="24"/>
        </w:rPr>
      </w:pPr>
    </w:p>
    <w:p>
      <w:pPr>
        <w:spacing w:line="440" w:lineRule="exact"/>
        <w:rPr>
          <w:rFonts w:ascii="仿宋" w:hAnsi="仿宋" w:eastAsia="仿宋" w:cs="Arial"/>
          <w:sz w:val="24"/>
        </w:rPr>
      </w:pPr>
    </w:p>
    <w:p>
      <w:pPr>
        <w:spacing w:line="440" w:lineRule="exact"/>
        <w:rPr>
          <w:rFonts w:ascii="仿宋" w:hAnsi="仿宋" w:eastAsia="仿宋" w:cs="Arial"/>
          <w:sz w:val="24"/>
        </w:rPr>
      </w:pPr>
    </w:p>
    <w:p>
      <w:pPr>
        <w:spacing w:line="440" w:lineRule="exact"/>
        <w:rPr>
          <w:rFonts w:ascii="仿宋" w:hAnsi="仿宋" w:eastAsia="仿宋" w:cs="Arial"/>
          <w:sz w:val="24"/>
        </w:rPr>
      </w:pPr>
    </w:p>
    <w:p>
      <w:pPr>
        <w:spacing w:line="440" w:lineRule="exact"/>
        <w:rPr>
          <w:rFonts w:ascii="仿宋" w:hAnsi="仿宋" w:eastAsia="仿宋" w:cs="Arial"/>
          <w:sz w:val="24"/>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7</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技 术 响 应 表</w:t>
      </w:r>
    </w:p>
    <w:p>
      <w:pPr>
        <w:snapToGrid w:val="0"/>
        <w:spacing w:before="50" w:afterLines="50"/>
        <w:jc w:val="center"/>
        <w:rPr>
          <w:rFonts w:ascii="仿宋" w:hAnsi="仿宋" w:eastAsia="仿宋" w:cs="Arial"/>
          <w:b/>
          <w:sz w:val="32"/>
          <w:szCs w:val="32"/>
        </w:rPr>
      </w:pPr>
    </w:p>
    <w:tbl>
      <w:tblPr>
        <w:tblStyle w:val="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9"/>
        <w:gridCol w:w="2550"/>
        <w:gridCol w:w="1305"/>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266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 w:hAnsi="仿宋" w:eastAsia="仿宋" w:cs="仿宋_GB2312"/>
                <w:color w:val="000000"/>
                <w:kern w:val="0"/>
                <w:sz w:val="24"/>
              </w:rPr>
            </w:pPr>
            <w:r>
              <w:rPr>
                <w:rFonts w:ascii="仿宋" w:hAnsi="仿宋" w:eastAsia="仿宋" w:cs="仿宋_GB2312"/>
                <w:color w:val="000000"/>
                <w:kern w:val="0"/>
                <w:sz w:val="24"/>
              </w:rPr>
              <w:t>招标文件要求</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 w:hAnsi="仿宋" w:eastAsia="仿宋" w:cs="仿宋_GB2312"/>
                <w:color w:val="000000"/>
                <w:kern w:val="0"/>
                <w:sz w:val="24"/>
              </w:rPr>
            </w:pPr>
            <w:r>
              <w:rPr>
                <w:rFonts w:ascii="仿宋" w:hAnsi="仿宋" w:eastAsia="仿宋" w:cs="仿宋_GB2312"/>
                <w:color w:val="000000"/>
                <w:kern w:val="0"/>
                <w:sz w:val="24"/>
              </w:rPr>
              <w:t>投标文件响应</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 w:hAnsi="仿宋" w:eastAsia="仿宋" w:cs="仿宋_GB2312"/>
                <w:color w:val="000000"/>
                <w:kern w:val="0"/>
                <w:sz w:val="24"/>
              </w:rPr>
            </w:pPr>
            <w:r>
              <w:rPr>
                <w:rFonts w:ascii="仿宋" w:hAnsi="仿宋" w:eastAsia="仿宋" w:cs="仿宋_GB2312"/>
                <w:color w:val="000000"/>
                <w:kern w:val="0"/>
                <w:sz w:val="24"/>
              </w:rPr>
              <w:t>偏离情况</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 w:hAnsi="仿宋" w:eastAsia="仿宋" w:cs="仿宋_GB2312"/>
                <w:color w:val="000000"/>
                <w:kern w:val="0"/>
                <w:sz w:val="24"/>
              </w:rPr>
            </w:pPr>
            <w:r>
              <w:rPr>
                <w:rFonts w:ascii="仿宋" w:hAnsi="仿宋" w:eastAsia="仿宋" w:cs="仿宋_GB2312"/>
                <w:color w:val="000000"/>
                <w:kern w:val="0"/>
                <w:sz w:val="24"/>
              </w:rPr>
              <w:t>投标人的说明</w:t>
            </w:r>
          </w:p>
          <w:p>
            <w:pPr>
              <w:snapToGrid w:val="0"/>
              <w:spacing w:before="50" w:afterLines="50"/>
              <w:jc w:val="center"/>
              <w:rPr>
                <w:rFonts w:ascii="仿宋" w:hAnsi="仿宋" w:eastAsia="仿宋" w:cs="仿宋_GB2312"/>
                <w:color w:val="000000"/>
                <w:kern w:val="0"/>
                <w:sz w:val="24"/>
              </w:rPr>
            </w:pPr>
            <w:r>
              <w:rPr>
                <w:rFonts w:ascii="仿宋" w:hAnsi="仿宋" w:eastAsia="仿宋" w:cs="仿宋_GB2312"/>
                <w:color w:val="000000"/>
                <w:kern w:val="0"/>
                <w:sz w:val="24"/>
              </w:rPr>
              <w:t>（请说明厂家提供的资料在投标文件中的页码）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仿宋" w:hAnsi="仿宋" w:eastAsia="仿宋"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仿宋" w:hAnsi="仿宋" w:eastAsia="仿宋"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rPr>
                <w:rFonts w:ascii="仿宋" w:hAnsi="仿宋" w:eastAsia="仿宋"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rPr>
                <w:rFonts w:ascii="仿宋" w:hAnsi="仿宋" w:eastAsia="仿宋"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rPr>
                <w:rFonts w:ascii="仿宋" w:hAnsi="仿宋" w:eastAsia="仿宋"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仿宋" w:hAnsi="仿宋" w:eastAsia="仿宋"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仿宋" w:hAnsi="仿宋" w:eastAsia="仿宋"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1305" w:type="dxa"/>
            <w:tcBorders>
              <w:top w:val="single" w:color="auto" w:sz="4" w:space="0"/>
              <w:left w:val="single" w:color="auto" w:sz="4" w:space="0"/>
              <w:bottom w:val="nil"/>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2520" w:type="dxa"/>
            <w:tcBorders>
              <w:top w:val="single" w:color="auto" w:sz="4" w:space="0"/>
              <w:left w:val="single" w:color="auto" w:sz="4" w:space="0"/>
              <w:bottom w:val="nil"/>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仿宋" w:hAnsi="仿宋" w:eastAsia="仿宋"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仿宋" w:hAnsi="仿宋" w:eastAsia="仿宋" w:cs="仿宋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仿宋" w:hAnsi="仿宋" w:eastAsia="仿宋" w:cs="仿宋_GB2312"/>
                <w:color w:val="000000"/>
                <w:kern w:val="0"/>
                <w:sz w:val="24"/>
                <w:szCs w:val="24"/>
              </w:rPr>
            </w:pPr>
          </w:p>
        </w:tc>
      </w:tr>
    </w:tbl>
    <w:p>
      <w:pPr>
        <w:pStyle w:val="26"/>
        <w:rPr>
          <w:rFonts w:ascii="仿宋" w:hAnsi="仿宋" w:eastAsia="仿宋" w:cs="仿宋_GB2312"/>
          <w:color w:val="000000"/>
          <w:kern w:val="0"/>
          <w:sz w:val="24"/>
          <w:szCs w:val="24"/>
        </w:rPr>
      </w:pPr>
      <w:r>
        <w:rPr>
          <w:rFonts w:ascii="仿宋" w:hAnsi="仿宋" w:eastAsia="仿宋" w:cs="仿宋_GB2312"/>
          <w:color w:val="000000"/>
          <w:kern w:val="0"/>
          <w:sz w:val="24"/>
          <w:szCs w:val="24"/>
        </w:rPr>
        <w:t>注：投标人应根据投标设备的性能指标、对照招标文件要求在“偏离情况”栏注明“正偏离”、“负偏离”或“无偏离”。</w:t>
      </w:r>
    </w:p>
    <w:p>
      <w:pPr>
        <w:snapToGrid w:val="0"/>
        <w:spacing w:beforeLines="50" w:line="440" w:lineRule="exact"/>
        <w:ind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法定代表人或其授权代表签字：          </w:t>
      </w:r>
    </w:p>
    <w:p>
      <w:pPr>
        <w:snapToGrid w:val="0"/>
        <w:spacing w:beforeLines="50" w:line="440" w:lineRule="exact"/>
        <w:ind w:right="600"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日 期：年月      日</w:t>
      </w:r>
    </w:p>
    <w:p>
      <w:pPr>
        <w:spacing w:line="440" w:lineRule="exact"/>
        <w:ind w:firstLine="4060" w:firstLineChars="1450"/>
        <w:rPr>
          <w:rFonts w:ascii="仿宋" w:hAnsi="仿宋" w:eastAsia="仿宋" w:cs="仿宋_GB2312"/>
          <w:color w:val="000000"/>
          <w:kern w:val="0"/>
          <w:sz w:val="28"/>
          <w:szCs w:val="28"/>
        </w:rPr>
      </w:pPr>
    </w:p>
    <w:p>
      <w:pPr>
        <w:spacing w:line="440" w:lineRule="exact"/>
        <w:ind w:firstLine="4060" w:firstLineChars="1450"/>
        <w:rPr>
          <w:rFonts w:ascii="仿宋" w:hAnsi="仿宋" w:eastAsia="仿宋" w:cs="仿宋_GB2312"/>
          <w:color w:val="000000"/>
          <w:kern w:val="0"/>
          <w:sz w:val="28"/>
          <w:szCs w:val="28"/>
        </w:rPr>
      </w:pPr>
    </w:p>
    <w:p>
      <w:pPr>
        <w:spacing w:line="440" w:lineRule="exact"/>
        <w:ind w:firstLine="4060" w:firstLineChars="1450"/>
        <w:rPr>
          <w:rFonts w:ascii="仿宋" w:hAnsi="仿宋" w:eastAsia="仿宋" w:cs="仿宋_GB2312"/>
          <w:color w:val="000000"/>
          <w:kern w:val="0"/>
          <w:sz w:val="28"/>
          <w:szCs w:val="28"/>
        </w:rPr>
      </w:pPr>
    </w:p>
    <w:p>
      <w:pPr>
        <w:spacing w:line="440" w:lineRule="exact"/>
        <w:ind w:firstLine="4060" w:firstLineChars="1450"/>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8</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项目组人员清单</w:t>
      </w:r>
    </w:p>
    <w:p>
      <w:pPr>
        <w:snapToGrid w:val="0"/>
        <w:spacing w:beforeLines="50" w:after="50"/>
        <w:jc w:val="center"/>
        <w:rPr>
          <w:rFonts w:ascii="仿宋" w:hAnsi="仿宋" w:eastAsia="仿宋" w:cs="Arial"/>
          <w:b/>
          <w:sz w:val="30"/>
          <w:szCs w:val="30"/>
        </w:rPr>
      </w:pP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专业技</w:t>
            </w:r>
          </w:p>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证书</w:t>
            </w:r>
          </w:p>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劳动合</w:t>
            </w:r>
          </w:p>
          <w:p>
            <w:pPr>
              <w:snapToGrid w:val="0"/>
              <w:spacing w:beforeLines="50" w:after="50" w:line="460" w:lineRule="exact"/>
              <w:jc w:val="center"/>
              <w:rPr>
                <w:rFonts w:ascii="仿宋" w:hAnsi="仿宋" w:eastAsia="仿宋" w:cs="仿宋_GB2312"/>
                <w:color w:val="000000"/>
                <w:kern w:val="0"/>
                <w:sz w:val="24"/>
              </w:rPr>
            </w:pPr>
            <w:r>
              <w:rPr>
                <w:rFonts w:ascii="仿宋" w:hAnsi="仿宋" w:eastAsia="仿宋" w:cs="仿宋_GB2312"/>
                <w:color w:val="000000"/>
                <w:kern w:val="0"/>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pStyle w:val="40"/>
              <w:snapToGrid w:val="0"/>
              <w:spacing w:beforeLines="50" w:after="50" w:line="460" w:lineRule="exact"/>
              <w:ind w:left="52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仿宋_GB2312"/>
                <w:color w:val="000000"/>
                <w:kern w:val="0"/>
                <w:sz w:val="24"/>
              </w:rPr>
            </w:pPr>
          </w:p>
        </w:tc>
      </w:tr>
    </w:tbl>
    <w:p>
      <w:pPr>
        <w:snapToGrid w:val="0"/>
        <w:spacing w:before="50" w:afterLines="50" w:line="460" w:lineRule="exact"/>
        <w:jc w:val="left"/>
        <w:rPr>
          <w:rFonts w:ascii="仿宋" w:hAnsi="仿宋" w:eastAsia="仿宋" w:cs="仿宋_GB2312"/>
          <w:color w:val="000000"/>
          <w:kern w:val="0"/>
          <w:sz w:val="24"/>
        </w:rPr>
      </w:pPr>
      <w:r>
        <w:rPr>
          <w:rFonts w:ascii="仿宋" w:hAnsi="仿宋" w:eastAsia="仿宋" w:cs="仿宋_GB2312"/>
          <w:color w:val="000000"/>
          <w:kern w:val="0"/>
          <w:sz w:val="24"/>
        </w:rPr>
        <w:t xml:space="preserve">注：在填写时，如本表格不适合投标单位的实际情况，可根据本表格式自行划表填写。 </w:t>
      </w:r>
    </w:p>
    <w:p>
      <w:pPr>
        <w:snapToGrid w:val="0"/>
        <w:spacing w:beforeLines="50" w:line="440" w:lineRule="exact"/>
        <w:ind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法定代表人或其授权代表签字：          </w:t>
      </w:r>
    </w:p>
    <w:p>
      <w:pPr>
        <w:snapToGrid w:val="0"/>
        <w:spacing w:beforeLines="50" w:line="440" w:lineRule="exact"/>
        <w:ind w:right="600" w:firstLine="3120" w:firstLineChars="1300"/>
        <w:rPr>
          <w:rFonts w:ascii="仿宋" w:hAnsi="仿宋" w:eastAsia="仿宋" w:cs="Arial"/>
          <w:sz w:val="24"/>
          <w:u w:val="single"/>
        </w:rPr>
      </w:pPr>
      <w:r>
        <w:rPr>
          <w:rFonts w:ascii="仿宋" w:hAnsi="仿宋" w:eastAsia="仿宋" w:cs="仿宋_GB2312"/>
          <w:color w:val="000000"/>
          <w:kern w:val="0"/>
          <w:sz w:val="24"/>
        </w:rPr>
        <w:t>日 期：       年      月      日</w:t>
      </w:r>
    </w:p>
    <w:p>
      <w:pPr>
        <w:snapToGrid w:val="0"/>
        <w:spacing w:before="50" w:afterLines="50" w:line="460" w:lineRule="exact"/>
        <w:jc w:val="left"/>
        <w:rPr>
          <w:rFonts w:ascii="仿宋" w:hAnsi="仿宋" w:eastAsia="仿宋" w:cs="Arial"/>
          <w:sz w:val="30"/>
          <w:szCs w:val="30"/>
        </w:rPr>
      </w:pPr>
    </w:p>
    <w:p>
      <w:pPr>
        <w:pStyle w:val="37"/>
        <w:snapToGrid w:val="0"/>
        <w:spacing w:before="120" w:after="120" w:line="460" w:lineRule="exact"/>
        <w:rPr>
          <w:rFonts w:ascii="仿宋" w:hAnsi="仿宋" w:eastAsia="仿宋" w:cs="Arial"/>
          <w:sz w:val="30"/>
          <w:szCs w:val="30"/>
        </w:rPr>
      </w:pPr>
    </w:p>
    <w:p>
      <w:pPr>
        <w:snapToGrid w:val="0"/>
        <w:spacing w:beforeLines="50" w:after="50"/>
        <w:rPr>
          <w:rFonts w:ascii="仿宋" w:hAnsi="仿宋" w:eastAsia="仿宋" w:cs="Arial"/>
          <w:sz w:val="30"/>
          <w:szCs w:val="30"/>
        </w:rPr>
      </w:pPr>
      <w:r>
        <w:rPr>
          <w:rFonts w:ascii="仿宋" w:hAnsi="仿宋" w:eastAsia="仿宋" w:cs="Arial"/>
          <w:sz w:val="30"/>
          <w:szCs w:val="30"/>
        </w:rPr>
        <w:br w:type="page"/>
      </w: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9</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商务响应表</w:t>
      </w:r>
    </w:p>
    <w:p>
      <w:pPr>
        <w:snapToGrid w:val="0"/>
        <w:spacing w:before="50"/>
        <w:jc w:val="center"/>
        <w:rPr>
          <w:rFonts w:ascii="仿宋" w:hAnsi="仿宋" w:eastAsia="仿宋" w:cs="Arial"/>
          <w:b/>
          <w:sz w:val="32"/>
          <w:szCs w:val="32"/>
        </w:rPr>
      </w:pP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 w:val="24"/>
              </w:rPr>
            </w:pPr>
            <w:r>
              <w:rPr>
                <w:rFonts w:ascii="仿宋" w:hAnsi="仿宋" w:eastAsia="仿宋" w:cs="仿宋_GB2312"/>
                <w:color w:val="000000"/>
                <w:kern w:val="0"/>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 w:val="24"/>
              </w:rPr>
            </w:pPr>
            <w:r>
              <w:rPr>
                <w:rFonts w:ascii="仿宋" w:hAnsi="仿宋" w:eastAsia="仿宋" w:cs="仿宋_GB2312"/>
                <w:color w:val="000000"/>
                <w:kern w:val="0"/>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 w:val="24"/>
              </w:rPr>
            </w:pPr>
            <w:r>
              <w:rPr>
                <w:rFonts w:ascii="仿宋" w:hAnsi="仿宋" w:eastAsia="仿宋" w:cs="仿宋_GB2312"/>
                <w:color w:val="000000"/>
                <w:kern w:val="0"/>
                <w:sz w:val="24"/>
              </w:rPr>
              <w:t>是否</w:t>
            </w:r>
          </w:p>
          <w:p>
            <w:pPr>
              <w:snapToGrid w:val="0"/>
              <w:spacing w:beforeLines="50"/>
              <w:jc w:val="center"/>
              <w:rPr>
                <w:rFonts w:ascii="仿宋" w:hAnsi="仿宋" w:eastAsia="仿宋" w:cs="仿宋_GB2312"/>
                <w:color w:val="000000"/>
                <w:kern w:val="0"/>
                <w:sz w:val="24"/>
              </w:rPr>
            </w:pPr>
            <w:r>
              <w:rPr>
                <w:rFonts w:ascii="仿宋" w:hAnsi="仿宋" w:eastAsia="仿宋" w:cs="仿宋_GB2312"/>
                <w:color w:val="000000"/>
                <w:kern w:val="0"/>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 w:val="24"/>
              </w:rPr>
            </w:pPr>
            <w:r>
              <w:rPr>
                <w:rFonts w:ascii="仿宋" w:hAnsi="仿宋" w:eastAsia="仿宋" w:cs="仿宋_GB2312"/>
                <w:color w:val="000000"/>
                <w:kern w:val="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_GB2312"/>
                <w:color w:val="000000"/>
                <w:kern w:val="0"/>
                <w:sz w:val="24"/>
              </w:rPr>
            </w:pPr>
            <w:r>
              <w:rPr>
                <w:rFonts w:ascii="仿宋" w:hAnsi="仿宋" w:eastAsia="仿宋" w:cs="仿宋_GB2312"/>
                <w:color w:val="000000"/>
                <w:kern w:val="0"/>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_GB2312"/>
                <w:color w:val="000000"/>
                <w:kern w:val="0"/>
                <w:sz w:val="24"/>
              </w:rPr>
            </w:pPr>
          </w:p>
        </w:tc>
      </w:tr>
    </w:tbl>
    <w:p>
      <w:pPr>
        <w:snapToGrid w:val="0"/>
        <w:spacing w:beforeLines="50" w:line="440" w:lineRule="exact"/>
        <w:ind w:firstLine="4440" w:firstLineChars="1850"/>
        <w:rPr>
          <w:rFonts w:ascii="仿宋" w:hAnsi="仿宋" w:eastAsia="仿宋" w:cs="仿宋_GB2312"/>
          <w:color w:val="000000"/>
          <w:kern w:val="0"/>
          <w:sz w:val="24"/>
        </w:rPr>
      </w:pPr>
    </w:p>
    <w:p>
      <w:pPr>
        <w:snapToGrid w:val="0"/>
        <w:spacing w:beforeLines="50" w:line="440" w:lineRule="exact"/>
        <w:ind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 w:hAnsi="仿宋" w:eastAsia="仿宋" w:cs="仿宋_GB2312"/>
          <w:color w:val="000000"/>
          <w:kern w:val="0"/>
          <w:sz w:val="24"/>
        </w:rPr>
      </w:pPr>
      <w:r>
        <w:rPr>
          <w:rFonts w:ascii="仿宋" w:hAnsi="仿宋" w:eastAsia="仿宋" w:cs="仿宋_GB2312"/>
          <w:color w:val="000000"/>
          <w:kern w:val="0"/>
          <w:sz w:val="24"/>
        </w:rPr>
        <w:t xml:space="preserve">法定代表人或其授权代表签字：          </w:t>
      </w:r>
    </w:p>
    <w:p>
      <w:pPr>
        <w:snapToGrid w:val="0"/>
        <w:spacing w:beforeLines="50" w:line="440" w:lineRule="exact"/>
        <w:ind w:right="600" w:firstLine="3120" w:firstLineChars="1300"/>
        <w:rPr>
          <w:rFonts w:ascii="仿宋" w:hAnsi="仿宋" w:eastAsia="仿宋" w:cs="Arial"/>
          <w:sz w:val="24"/>
          <w:u w:val="single"/>
        </w:rPr>
      </w:pPr>
      <w:r>
        <w:rPr>
          <w:rFonts w:ascii="仿宋" w:hAnsi="仿宋" w:eastAsia="仿宋" w:cs="仿宋_GB2312"/>
          <w:color w:val="000000"/>
          <w:kern w:val="0"/>
          <w:sz w:val="24"/>
        </w:rPr>
        <w:t>日 期：       年      月      日</w:t>
      </w:r>
    </w:p>
    <w:p>
      <w:pPr>
        <w:spacing w:line="440" w:lineRule="exact"/>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pacing w:line="440" w:lineRule="exact"/>
        <w:rPr>
          <w:rFonts w:ascii="仿宋" w:hAnsi="仿宋" w:eastAsia="仿宋" w:cs="仿宋_GB2312"/>
          <w:color w:val="000000"/>
          <w:kern w:val="0"/>
          <w:sz w:val="28"/>
          <w:szCs w:val="28"/>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w:t>
      </w:r>
      <w:r>
        <w:rPr>
          <w:rFonts w:hint="eastAsia" w:ascii="仿宋" w:hAnsi="仿宋" w:eastAsia="仿宋" w:cs="仿宋_GB2312"/>
          <w:color w:val="000000"/>
          <w:kern w:val="0"/>
          <w:sz w:val="32"/>
          <w:szCs w:val="32"/>
        </w:rPr>
        <w:t>10</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项目名称</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招标编号：</w:t>
      </w:r>
      <w:r>
        <w:rPr>
          <w:rFonts w:hint="eastAsia" w:ascii="仿宋" w:hAnsi="仿宋" w:eastAsia="仿宋" w:cs="仿宋_GB2312"/>
          <w:kern w:val="0"/>
          <w:sz w:val="36"/>
          <w:szCs w:val="36"/>
        </w:rPr>
        <w:t>NBCXZFCG2024028</w:t>
      </w:r>
      <w:r>
        <w:rPr>
          <w:rFonts w:ascii="仿宋" w:hAnsi="仿宋" w:eastAsia="仿宋" w:cs="仿宋_GB2312"/>
          <w:color w:val="000000"/>
          <w:kern w:val="0"/>
          <w:sz w:val="36"/>
          <w:szCs w:val="36"/>
        </w:rPr>
        <w:t>（标项）</w:t>
      </w:r>
    </w:p>
    <w:p>
      <w:pPr>
        <w:spacing w:after="100" w:afterAutospacing="1" w:line="800" w:lineRule="exact"/>
        <w:ind w:right="-108"/>
        <w:jc w:val="center"/>
        <w:rPr>
          <w:rFonts w:ascii="仿宋" w:hAnsi="仿宋" w:eastAsia="仿宋" w:cs="Arial"/>
          <w:b/>
          <w:spacing w:val="40"/>
          <w:sz w:val="84"/>
          <w:szCs w:val="84"/>
        </w:rPr>
      </w:pPr>
    </w:p>
    <w:p>
      <w:pPr>
        <w:spacing w:after="100" w:afterAutospacing="1"/>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报</w:t>
      </w:r>
    </w:p>
    <w:p>
      <w:pPr>
        <w:spacing w:after="100" w:afterAutospacing="1"/>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价</w:t>
      </w:r>
    </w:p>
    <w:p>
      <w:pPr>
        <w:spacing w:after="100" w:afterAutospacing="1"/>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文</w:t>
      </w:r>
    </w:p>
    <w:p>
      <w:pPr>
        <w:spacing w:after="100" w:afterAutospacing="1"/>
        <w:ind w:right="-108"/>
        <w:jc w:val="center"/>
        <w:rPr>
          <w:rFonts w:ascii="仿宋" w:hAnsi="仿宋" w:eastAsia="仿宋" w:cs="仿宋_GB2312"/>
          <w:color w:val="000000"/>
          <w:kern w:val="0"/>
          <w:sz w:val="72"/>
          <w:szCs w:val="72"/>
        </w:rPr>
      </w:pPr>
      <w:r>
        <w:rPr>
          <w:rFonts w:ascii="仿宋" w:hAnsi="仿宋" w:eastAsia="仿宋" w:cs="仿宋_GB2312"/>
          <w:color w:val="000000"/>
          <w:kern w:val="0"/>
          <w:sz w:val="72"/>
          <w:szCs w:val="72"/>
        </w:rPr>
        <w:t>件</w:t>
      </w:r>
    </w:p>
    <w:p>
      <w:pPr>
        <w:spacing w:line="500" w:lineRule="exact"/>
        <w:ind w:right="532"/>
        <w:jc w:val="center"/>
        <w:rPr>
          <w:rFonts w:ascii="仿宋" w:hAnsi="仿宋" w:eastAsia="仿宋" w:cs="Arial"/>
          <w:sz w:val="36"/>
          <w:szCs w:val="36"/>
        </w:rPr>
      </w:pPr>
    </w:p>
    <w:p>
      <w:pPr>
        <w:spacing w:line="500" w:lineRule="exact"/>
        <w:ind w:right="532"/>
        <w:jc w:val="center"/>
        <w:rPr>
          <w:rFonts w:ascii="仿宋" w:hAnsi="仿宋" w:eastAsia="仿宋" w:cs="Arial"/>
          <w:sz w:val="36"/>
          <w:szCs w:val="36"/>
        </w:rPr>
      </w:pP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单位全称（公章）：</w:t>
      </w: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地    址：</w:t>
      </w:r>
    </w:p>
    <w:p>
      <w:pPr>
        <w:spacing w:line="600" w:lineRule="exact"/>
        <w:ind w:right="532" w:firstLine="720" w:firstLineChars="200"/>
        <w:rPr>
          <w:rFonts w:ascii="仿宋" w:hAnsi="仿宋" w:eastAsia="仿宋" w:cs="仿宋_GB2312"/>
          <w:color w:val="000000"/>
          <w:kern w:val="0"/>
          <w:sz w:val="36"/>
          <w:szCs w:val="36"/>
        </w:rPr>
      </w:pPr>
      <w:r>
        <w:rPr>
          <w:rFonts w:ascii="仿宋" w:hAnsi="仿宋" w:eastAsia="仿宋" w:cs="仿宋_GB2312"/>
          <w:color w:val="000000"/>
          <w:kern w:val="0"/>
          <w:sz w:val="36"/>
          <w:szCs w:val="36"/>
        </w:rPr>
        <w:t>时    间：</w:t>
      </w: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附件1</w:t>
      </w:r>
      <w:r>
        <w:rPr>
          <w:rFonts w:hint="eastAsia" w:ascii="仿宋" w:hAnsi="仿宋" w:eastAsia="仿宋" w:cs="仿宋_GB2312"/>
          <w:color w:val="000000"/>
          <w:kern w:val="0"/>
          <w:sz w:val="32"/>
          <w:szCs w:val="32"/>
        </w:rPr>
        <w:t>1</w:t>
      </w:r>
    </w:p>
    <w:p>
      <w:pPr>
        <w:ind w:right="-11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投 标 报 价 明 细 表</w:t>
      </w:r>
    </w:p>
    <w:p>
      <w:pPr>
        <w:snapToGrid w:val="0"/>
        <w:rPr>
          <w:rFonts w:ascii="仿宋" w:hAnsi="仿宋" w:eastAsia="仿宋" w:cs="仿宋_GB2312"/>
          <w:color w:val="000000"/>
          <w:kern w:val="0"/>
          <w:sz w:val="24"/>
        </w:rPr>
      </w:pPr>
      <w:r>
        <w:rPr>
          <w:rFonts w:ascii="仿宋" w:hAnsi="仿宋" w:eastAsia="仿宋" w:cs="仿宋_GB2312"/>
          <w:color w:val="000000"/>
          <w:kern w:val="0"/>
          <w:sz w:val="24"/>
        </w:rPr>
        <w:t xml:space="preserve">投标人全称（公章）：                        </w:t>
      </w:r>
    </w:p>
    <w:p>
      <w:pPr>
        <w:snapToGrid w:val="0"/>
        <w:rPr>
          <w:rFonts w:ascii="仿宋" w:hAnsi="仿宋" w:eastAsia="仿宋" w:cs="仿宋_GB2312"/>
          <w:color w:val="000000"/>
          <w:kern w:val="0"/>
          <w:sz w:val="28"/>
          <w:szCs w:val="28"/>
        </w:rPr>
      </w:pPr>
      <w:r>
        <w:rPr>
          <w:rFonts w:ascii="仿宋" w:hAnsi="仿宋" w:eastAsia="仿宋" w:cs="仿宋_GB2312"/>
          <w:color w:val="000000"/>
          <w:kern w:val="0"/>
          <w:sz w:val="24"/>
        </w:rPr>
        <w:t xml:space="preserve">招标编号及标项：  </w:t>
      </w: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货物</w:t>
            </w:r>
          </w:p>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规格</w:t>
            </w:r>
          </w:p>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单价</w:t>
            </w:r>
          </w:p>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672"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029"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957"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52"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91"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277"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单价</w:t>
            </w:r>
          </w:p>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服务</w:t>
            </w:r>
            <w:r>
              <w:rPr>
                <w:rFonts w:ascii="仿宋" w:hAnsi="仿宋" w:eastAsia="仿宋" w:cs="仿宋_GB2312"/>
                <w:color w:val="000000"/>
                <w:kern w:val="0"/>
                <w:szCs w:val="21"/>
              </w:rPr>
              <w:t>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957"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52"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91"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277"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 xml:space="preserve">投标总价合计金额大写：                                小写：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_GB2312"/>
                <w:b/>
                <w:color w:val="000000"/>
                <w:kern w:val="0"/>
                <w:szCs w:val="21"/>
                <w:u w:val="single"/>
              </w:rPr>
            </w:pPr>
            <w:r>
              <w:rPr>
                <w:rFonts w:ascii="仿宋" w:hAnsi="仿宋" w:eastAsia="仿宋" w:cs="仿宋_GB2312"/>
                <w:b/>
                <w:color w:val="000000"/>
                <w:kern w:val="0"/>
                <w:szCs w:val="21"/>
                <w:u w:val="single"/>
              </w:rPr>
              <w:t>1、此表应按项目的明细情况列项填报,在填写时，如上表不适合本项目的实际情况，可在确保投标明细内容完整的情况下自行划表填写。</w:t>
            </w:r>
          </w:p>
          <w:p>
            <w:pPr>
              <w:snapToGrid w:val="0"/>
              <w:spacing w:beforeLines="50"/>
              <w:jc w:val="center"/>
              <w:rPr>
                <w:rFonts w:ascii="仿宋" w:hAnsi="仿宋" w:eastAsia="仿宋" w:cs="仿宋_GB2312"/>
                <w:b/>
                <w:color w:val="000000"/>
                <w:kern w:val="0"/>
                <w:szCs w:val="21"/>
                <w:u w:val="single"/>
              </w:rPr>
            </w:pPr>
            <w:r>
              <w:rPr>
                <w:rFonts w:ascii="仿宋" w:hAnsi="仿宋" w:eastAsia="仿宋" w:cs="仿宋_GB2312"/>
                <w:b/>
                <w:color w:val="000000"/>
                <w:kern w:val="0"/>
                <w:szCs w:val="21"/>
                <w:u w:val="single"/>
              </w:rPr>
              <w:t>2、报价要求：项目费用包括项目实施所需的工程费、工时费、服务费、运输费、安装调试费、税费及其他一切费用。</w:t>
            </w:r>
          </w:p>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3、报价中不允许出现报价优惠等字样,投标总价合计金额应与明细报价汇总相等。（明细出现“0”元，视同赠送）。</w:t>
            </w:r>
          </w:p>
          <w:p>
            <w:pPr>
              <w:snapToGrid w:val="0"/>
              <w:spacing w:beforeLines="50"/>
              <w:jc w:val="center"/>
              <w:rPr>
                <w:rFonts w:ascii="仿宋" w:hAnsi="仿宋" w:eastAsia="仿宋" w:cs="仿宋_GB2312"/>
                <w:color w:val="000000"/>
                <w:kern w:val="0"/>
                <w:szCs w:val="21"/>
              </w:rPr>
            </w:pPr>
            <w:r>
              <w:rPr>
                <w:rFonts w:ascii="仿宋" w:hAnsi="仿宋" w:eastAsia="仿宋" w:cs="仿宋_GB2312"/>
                <w:color w:val="000000"/>
                <w:kern w:val="0"/>
                <w:szCs w:val="21"/>
              </w:rPr>
              <w:t>4、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tc>
      </w:tr>
    </w:tbl>
    <w:p>
      <w:pPr>
        <w:snapToGrid w:val="0"/>
        <w:spacing w:beforeLines="50"/>
        <w:rPr>
          <w:rFonts w:ascii="仿宋" w:hAnsi="仿宋" w:eastAsia="仿宋" w:cs="仿宋_GB2312"/>
          <w:color w:val="000000"/>
          <w:kern w:val="0"/>
          <w:szCs w:val="21"/>
        </w:rPr>
      </w:pPr>
    </w:p>
    <w:p>
      <w:pPr>
        <w:snapToGrid w:val="0"/>
        <w:spacing w:beforeLines="50"/>
        <w:jc w:val="center"/>
        <w:rPr>
          <w:rFonts w:ascii="仿宋" w:hAnsi="仿宋" w:eastAsia="仿宋" w:cs="Arial"/>
          <w:sz w:val="28"/>
          <w:szCs w:val="28"/>
        </w:rPr>
      </w:pPr>
      <w:r>
        <w:rPr>
          <w:rFonts w:hint="eastAsia" w:ascii="仿宋" w:hAnsi="仿宋" w:eastAsia="仿宋" w:cs="仿宋_GB2312"/>
          <w:color w:val="000000"/>
          <w:kern w:val="0"/>
          <w:szCs w:val="21"/>
        </w:rPr>
        <w:t>法定代表人或其</w:t>
      </w:r>
      <w:r>
        <w:rPr>
          <w:rFonts w:ascii="仿宋" w:hAnsi="仿宋" w:eastAsia="仿宋" w:cs="仿宋_GB2312"/>
          <w:color w:val="000000"/>
          <w:kern w:val="0"/>
          <w:szCs w:val="21"/>
        </w:rPr>
        <w:t>授权代表签</w:t>
      </w:r>
      <w:r>
        <w:rPr>
          <w:rFonts w:hint="eastAsia" w:ascii="仿宋" w:hAnsi="仿宋" w:eastAsia="仿宋" w:cs="仿宋_GB2312"/>
          <w:color w:val="000000"/>
          <w:kern w:val="0"/>
          <w:szCs w:val="21"/>
        </w:rPr>
        <w:t>字</w:t>
      </w:r>
      <w:r>
        <w:rPr>
          <w:rFonts w:ascii="仿宋" w:hAnsi="仿宋" w:eastAsia="仿宋" w:cs="仿宋_GB2312"/>
          <w:color w:val="000000"/>
          <w:kern w:val="0"/>
          <w:szCs w:val="21"/>
        </w:rPr>
        <w:t>：                          日期：</w:t>
      </w: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r>
        <w:rPr>
          <w:rFonts w:ascii="仿宋" w:hAnsi="仿宋" w:eastAsia="仿宋" w:cs="仿宋_GB2312"/>
          <w:color w:val="000000"/>
          <w:kern w:val="0"/>
          <w:sz w:val="32"/>
          <w:szCs w:val="32"/>
        </w:rPr>
        <w:t>附件1</w:t>
      </w:r>
      <w:r>
        <w:rPr>
          <w:rFonts w:hint="eastAsia" w:ascii="仿宋" w:hAnsi="仿宋" w:eastAsia="仿宋" w:cs="仿宋_GB2312"/>
          <w:color w:val="000000"/>
          <w:kern w:val="0"/>
          <w:sz w:val="32"/>
          <w:szCs w:val="32"/>
        </w:rPr>
        <w:t>2</w:t>
      </w:r>
    </w:p>
    <w:p>
      <w:pPr>
        <w:spacing w:after="240"/>
        <w:jc w:val="center"/>
        <w:outlineLvl w:val="1"/>
        <w:rPr>
          <w:rFonts w:ascii="仿宋" w:hAnsi="仿宋" w:eastAsia="仿宋"/>
          <w:b/>
          <w:sz w:val="28"/>
        </w:rPr>
      </w:pPr>
      <w:r>
        <w:rPr>
          <w:rFonts w:hint="eastAsia" w:ascii="仿宋" w:hAnsi="仿宋" w:eastAsia="仿宋"/>
          <w:b/>
          <w:sz w:val="28"/>
        </w:rPr>
        <w:t>中小企业声明函（货物）</w:t>
      </w:r>
    </w:p>
    <w:p>
      <w:pPr>
        <w:snapToGrid w:val="0"/>
        <w:spacing w:line="360" w:lineRule="auto"/>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本公司郑重声明，根据《政府采购促进中小企业发展管理办法》（财库﹝2020﹞46 号）的规定，本公司参加</w:t>
      </w:r>
      <w:r>
        <w:rPr>
          <w:rFonts w:hint="eastAsia" w:ascii="仿宋_GB2312" w:hAnsi="仿宋_GB2312" w:eastAsia="仿宋_GB2312" w:cs="仿宋_GB2312"/>
          <w:color w:val="000000"/>
          <w:kern w:val="0"/>
          <w:sz w:val="24"/>
          <w:u w:val="single"/>
        </w:rPr>
        <w:t>（采购人名称）</w:t>
      </w:r>
      <w:r>
        <w:rPr>
          <w:rFonts w:hint="eastAsia" w:ascii="仿宋_GB2312" w:hAnsi="仿宋_GB2312" w:eastAsia="仿宋_GB2312" w:cs="仿宋_GB2312"/>
          <w:color w:val="000000"/>
          <w:kern w:val="0"/>
          <w:sz w:val="24"/>
        </w:rPr>
        <w:t>的</w:t>
      </w:r>
      <w:r>
        <w:rPr>
          <w:rFonts w:hint="eastAsia" w:ascii="仿宋_GB2312" w:hAnsi="仿宋_GB2312" w:eastAsia="仿宋_GB2312" w:cs="仿宋_GB2312"/>
          <w:color w:val="000000"/>
          <w:kern w:val="0"/>
          <w:sz w:val="24"/>
          <w:u w:val="single"/>
        </w:rPr>
        <w:t>（项目名称）</w:t>
      </w:r>
      <w:r>
        <w:rPr>
          <w:rFonts w:hint="eastAsia" w:ascii="仿宋_GB2312" w:hAnsi="仿宋_GB2312" w:eastAsia="仿宋_GB2312" w:cs="仿宋_GB2312"/>
          <w:color w:val="000000"/>
          <w:kern w:val="0"/>
          <w:sz w:val="24"/>
        </w:rPr>
        <w:t>采购活动，提供的</w:t>
      </w:r>
      <w:r>
        <w:rPr>
          <w:rFonts w:hint="eastAsia" w:ascii="仿宋_GB2312" w:hAnsi="仿宋_GB2312" w:eastAsia="仿宋_GB2312" w:cs="仿宋_GB2312"/>
          <w:color w:val="000000"/>
          <w:kern w:val="0"/>
          <w:sz w:val="24"/>
          <w:szCs w:val="20"/>
        </w:rPr>
        <w:t>货物和相关的工程、服务全部由符合政策要求的中小企业制造或者承接</w:t>
      </w:r>
      <w:r>
        <w:rPr>
          <w:rFonts w:hint="eastAsia" w:ascii="仿宋_GB2312" w:hAnsi="仿宋_GB2312" w:eastAsia="仿宋_GB2312" w:cs="仿宋_GB2312"/>
          <w:color w:val="000000"/>
          <w:kern w:val="0"/>
          <w:sz w:val="24"/>
        </w:rPr>
        <w:t>。相关企业的具体情况如下：</w:t>
      </w:r>
      <w:r>
        <w:rPr>
          <w:rFonts w:hint="eastAsia" w:ascii="仿宋_GB2312" w:hAnsi="仿宋_GB2312" w:eastAsia="仿宋_GB2312" w:cs="仿宋_GB2312"/>
          <w:color w:val="000000"/>
          <w:kern w:val="0"/>
          <w:sz w:val="24"/>
        </w:rPr>
        <w:cr/>
      </w:r>
      <w:r>
        <w:rPr>
          <w:rFonts w:ascii="仿宋_GB2312" w:hAnsi="仿宋_GB2312" w:eastAsia="仿宋_GB2312" w:cs="仿宋_GB2312"/>
          <w:color w:val="000000"/>
          <w:kern w:val="0"/>
          <w:sz w:val="24"/>
        </w:rPr>
        <w:t>1.</w:t>
      </w:r>
      <w:r>
        <w:rPr>
          <w:rFonts w:hint="eastAsia" w:ascii="仿宋_GB2312" w:hAnsi="仿宋_GB2312" w:eastAsia="仿宋_GB2312" w:cs="仿宋_GB2312"/>
          <w:color w:val="FF0000"/>
          <w:kern w:val="0"/>
          <w:sz w:val="24"/>
          <w:u w:val="single"/>
        </w:rPr>
        <w:t>超融合服务器</w:t>
      </w:r>
      <w:r>
        <w:rPr>
          <w:rFonts w:hint="eastAsia" w:ascii="仿宋_GB2312" w:hAnsi="仿宋_GB2312" w:eastAsia="仿宋_GB2312" w:cs="仿宋_GB2312"/>
          <w:color w:val="000000"/>
          <w:kern w:val="0"/>
          <w:sz w:val="24"/>
        </w:rPr>
        <w:t>，属于</w:t>
      </w:r>
      <w:r>
        <w:rPr>
          <w:rFonts w:hint="eastAsia" w:ascii="仿宋_GB2312" w:hAnsi="仿宋_GB2312" w:eastAsia="仿宋_GB2312" w:cs="仿宋_GB2312"/>
          <w:color w:val="FF0000"/>
          <w:kern w:val="0"/>
          <w:sz w:val="24"/>
          <w:u w:val="single"/>
        </w:rPr>
        <w:t>工业</w:t>
      </w:r>
      <w:r>
        <w:rPr>
          <w:rFonts w:hint="eastAsia" w:ascii="仿宋_GB2312" w:hAnsi="仿宋_GB2312" w:eastAsia="仿宋_GB2312" w:cs="仿宋_GB2312"/>
          <w:color w:val="000000"/>
          <w:kern w:val="0"/>
          <w:sz w:val="24"/>
        </w:rPr>
        <w:t>行业；承接企业为</w:t>
      </w:r>
      <w:r>
        <w:rPr>
          <w:rFonts w:hint="eastAsia" w:ascii="仿宋_GB2312" w:hAnsi="仿宋_GB2312" w:eastAsia="仿宋_GB2312" w:cs="仿宋_GB2312"/>
          <w:color w:val="000000"/>
          <w:kern w:val="0"/>
          <w:sz w:val="24"/>
          <w:u w:val="single"/>
        </w:rPr>
        <w:t>（企业名称）</w:t>
      </w:r>
      <w:r>
        <w:rPr>
          <w:rFonts w:hint="eastAsia" w:ascii="仿宋_GB2312" w:hAnsi="仿宋_GB2312" w:eastAsia="仿宋_GB2312" w:cs="仿宋_GB2312"/>
          <w:color w:val="000000"/>
          <w:kern w:val="0"/>
          <w:sz w:val="24"/>
        </w:rPr>
        <w:t>，从业人员___人，营业收入为___万元，资产总额为___万元，属于</w:t>
      </w:r>
      <w:r>
        <w:rPr>
          <w:rFonts w:hint="eastAsia" w:ascii="仿宋_GB2312" w:hAnsi="仿宋_GB2312" w:eastAsia="仿宋_GB2312" w:cs="仿宋_GB2312"/>
          <w:color w:val="000000"/>
          <w:kern w:val="0"/>
          <w:sz w:val="24"/>
          <w:u w:val="single"/>
        </w:rPr>
        <w:t>（</w:t>
      </w:r>
      <w:r>
        <w:rPr>
          <w:rFonts w:hint="eastAsia" w:ascii="仿宋_GB2312" w:hAnsi="仿宋_GB2312" w:eastAsia="仿宋_GB2312" w:cs="仿宋_GB2312"/>
          <w:kern w:val="0"/>
          <w:sz w:val="24"/>
          <w:szCs w:val="20"/>
          <w:u w:val="single"/>
        </w:rPr>
        <w:t>请根据中小企业划分标准填写</w:t>
      </w:r>
      <w:r>
        <w:rPr>
          <w:rFonts w:hint="eastAsia" w:ascii="仿宋_GB2312" w:hAnsi="仿宋_GB2312" w:eastAsia="仿宋_GB2312" w:cs="仿宋_GB2312"/>
          <w:color w:val="000000"/>
          <w:kern w:val="0"/>
          <w:sz w:val="24"/>
          <w:u w:val="single"/>
        </w:rPr>
        <w:t>中型企业/小型企业/微型企业）</w:t>
      </w:r>
      <w:r>
        <w:rPr>
          <w:rFonts w:hint="eastAsia" w:ascii="仿宋_GB2312" w:hAnsi="仿宋_GB2312" w:eastAsia="仿宋_GB2312" w:cs="仿宋_GB2312"/>
          <w:color w:val="000000"/>
          <w:kern w:val="0"/>
          <w:sz w:val="24"/>
        </w:rPr>
        <w:t>；</w:t>
      </w:r>
    </w:p>
    <w:p>
      <w:pPr>
        <w:snapToGrid w:val="0"/>
        <w:spacing w:line="360" w:lineRule="auto"/>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u w:val="single"/>
        </w:rPr>
        <w:t>（标的名称）</w:t>
      </w:r>
      <w:r>
        <w:rPr>
          <w:rFonts w:hint="eastAsia" w:ascii="仿宋_GB2312" w:hAnsi="仿宋_GB2312" w:eastAsia="仿宋_GB2312" w:cs="仿宋_GB2312"/>
          <w:color w:val="000000"/>
          <w:kern w:val="0"/>
          <w:sz w:val="24"/>
        </w:rPr>
        <w:t>，属于</w:t>
      </w:r>
      <w:r>
        <w:rPr>
          <w:rFonts w:hint="eastAsia" w:ascii="仿宋_GB2312" w:hAnsi="仿宋_GB2312" w:eastAsia="仿宋_GB2312" w:cs="仿宋_GB2312"/>
          <w:color w:val="000000"/>
          <w:kern w:val="0"/>
          <w:sz w:val="24"/>
          <w:u w:val="single"/>
        </w:rPr>
        <w:t>（采购文件中明确的所属行业）</w:t>
      </w:r>
      <w:r>
        <w:rPr>
          <w:rFonts w:hint="eastAsia" w:ascii="仿宋_GB2312" w:hAnsi="仿宋_GB2312" w:eastAsia="仿宋_GB2312" w:cs="仿宋_GB2312"/>
          <w:color w:val="000000"/>
          <w:kern w:val="0"/>
          <w:sz w:val="24"/>
        </w:rPr>
        <w:t>；承接企业为</w:t>
      </w:r>
      <w:r>
        <w:rPr>
          <w:rFonts w:hint="eastAsia" w:ascii="仿宋_GB2312" w:hAnsi="仿宋_GB2312" w:eastAsia="仿宋_GB2312" w:cs="仿宋_GB2312"/>
          <w:color w:val="000000"/>
          <w:kern w:val="0"/>
          <w:sz w:val="24"/>
          <w:u w:val="single"/>
        </w:rPr>
        <w:t>（企业名称）</w:t>
      </w:r>
      <w:r>
        <w:rPr>
          <w:rFonts w:hint="eastAsia" w:ascii="仿宋_GB2312" w:hAnsi="仿宋_GB2312" w:eastAsia="仿宋_GB2312" w:cs="仿宋_GB2312"/>
          <w:color w:val="000000"/>
          <w:kern w:val="0"/>
          <w:sz w:val="24"/>
        </w:rPr>
        <w:t>，从业人员___人，营业收入为___万元，资产总额为___万元，属于</w:t>
      </w:r>
      <w:r>
        <w:rPr>
          <w:rFonts w:hint="eastAsia" w:ascii="仿宋_GB2312" w:hAnsi="仿宋_GB2312" w:eastAsia="仿宋_GB2312" w:cs="仿宋_GB2312"/>
          <w:color w:val="000000"/>
          <w:kern w:val="0"/>
          <w:sz w:val="24"/>
          <w:u w:val="single"/>
        </w:rPr>
        <w:t>（</w:t>
      </w:r>
      <w:r>
        <w:rPr>
          <w:rFonts w:hint="eastAsia" w:ascii="仿宋_GB2312" w:hAnsi="仿宋_GB2312" w:eastAsia="仿宋_GB2312" w:cs="仿宋_GB2312"/>
          <w:kern w:val="0"/>
          <w:sz w:val="24"/>
          <w:szCs w:val="20"/>
          <w:u w:val="single"/>
        </w:rPr>
        <w:t>请根据中小企业划分标准填写</w:t>
      </w:r>
      <w:r>
        <w:rPr>
          <w:rFonts w:hint="eastAsia" w:ascii="仿宋_GB2312" w:hAnsi="仿宋_GB2312" w:eastAsia="仿宋_GB2312" w:cs="仿宋_GB2312"/>
          <w:color w:val="000000"/>
          <w:kern w:val="0"/>
          <w:sz w:val="24"/>
          <w:u w:val="single"/>
        </w:rPr>
        <w:t>中型企业/小型企业/微型企业）</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cr/>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cr/>
      </w:r>
      <w:r>
        <w:rPr>
          <w:rFonts w:hint="eastAsia" w:ascii="仿宋_GB2312" w:hAnsi="仿宋_GB2312" w:eastAsia="仿宋_GB2312" w:cs="仿宋_GB2312"/>
          <w:color w:val="000000"/>
          <w:kern w:val="0"/>
          <w:sz w:val="24"/>
        </w:rPr>
        <w:t xml:space="preserve">    以上企业，不属于大企业的分支机构，不存在控股股东为大企业的情形，也不存在与大企业的负责人为同一人的情形。</w:t>
      </w:r>
    </w:p>
    <w:p>
      <w:pPr>
        <w:tabs>
          <w:tab w:val="center" w:pos="4320"/>
          <w:tab w:val="right" w:pos="8640"/>
        </w:tabs>
        <w:snapToGrid w:val="0"/>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本企业对上述声明内容的真实性负责。如有虚假，将依法承担相应责任。</w:t>
      </w:r>
      <w:r>
        <w:rPr>
          <w:rFonts w:hint="eastAsia" w:ascii="仿宋_GB2312" w:hAnsi="仿宋_GB2312" w:eastAsia="仿宋_GB2312" w:cs="仿宋_GB2312"/>
          <w:color w:val="000000"/>
          <w:kern w:val="0"/>
          <w:sz w:val="24"/>
        </w:rPr>
        <w:cr/>
      </w:r>
    </w:p>
    <w:p>
      <w:pPr>
        <w:tabs>
          <w:tab w:val="center" w:pos="4320"/>
          <w:tab w:val="right" w:pos="8640"/>
        </w:tabs>
        <w:snapToGrid w:val="0"/>
        <w:spacing w:line="360" w:lineRule="auto"/>
        <w:ind w:left="3352" w:leftChars="1596"/>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企业名称（盖章）：</w:t>
      </w:r>
      <w:r>
        <w:rPr>
          <w:rFonts w:hint="eastAsia" w:ascii="仿宋_GB2312" w:hAnsi="仿宋_GB2312" w:eastAsia="仿宋_GB2312" w:cs="仿宋_GB2312"/>
          <w:color w:val="000000"/>
          <w:kern w:val="0"/>
          <w:sz w:val="24"/>
        </w:rPr>
        <w:cr/>
      </w:r>
      <w:r>
        <w:rPr>
          <w:rFonts w:hint="eastAsia" w:ascii="仿宋_GB2312" w:hAnsi="仿宋_GB2312" w:eastAsia="仿宋_GB2312" w:cs="仿宋_GB2312"/>
          <w:color w:val="000000"/>
          <w:kern w:val="0"/>
          <w:sz w:val="24"/>
        </w:rPr>
        <w:t>日 期：</w:t>
      </w:r>
    </w:p>
    <w:p>
      <w:pPr>
        <w:snapToGrid w:val="0"/>
        <w:spacing w:beforeLines="50" w:after="50" w:line="360" w:lineRule="auto"/>
        <w:rPr>
          <w:rFonts w:ascii="仿宋_GB2312" w:hAnsi="仿宋_GB2312" w:eastAsia="仿宋_GB2312" w:cs="仿宋_GB2312"/>
          <w:color w:val="000000"/>
          <w:kern w:val="0"/>
          <w:sz w:val="24"/>
        </w:rPr>
      </w:pPr>
    </w:p>
    <w:p>
      <w:pPr>
        <w:spacing w:line="360" w:lineRule="auto"/>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说明：</w:t>
      </w:r>
      <w:r>
        <w:rPr>
          <w:rFonts w:hint="eastAsia" w:ascii="仿宋_GB2312" w:hAnsi="仿宋_GB2312" w:eastAsia="仿宋_GB2312" w:cs="仿宋_GB2312"/>
          <w:color w:val="000000"/>
          <w:kern w:val="0"/>
          <w:sz w:val="24"/>
        </w:rPr>
        <w:t>1、</w:t>
      </w:r>
      <w:r>
        <w:rPr>
          <w:rFonts w:ascii="仿宋_GB2312" w:hAnsi="仿宋_GB2312" w:eastAsia="仿宋_GB2312" w:cs="仿宋_GB2312"/>
          <w:color w:val="000000"/>
          <w:kern w:val="0"/>
          <w:sz w:val="24"/>
        </w:rPr>
        <w:t>根据财库</w:t>
      </w:r>
      <w:r>
        <w:rPr>
          <w:rFonts w:ascii="仿宋_GB2312" w:hAnsi="仿宋_GB2312" w:eastAsia="仿宋_GB2312" w:cs="仿宋_GB2312"/>
          <w:kern w:val="0"/>
          <w:sz w:val="24"/>
        </w:rPr>
        <w:t>〔20</w:t>
      </w:r>
      <w:r>
        <w:rPr>
          <w:rFonts w:hint="eastAsia" w:ascii="仿宋_GB2312" w:hAnsi="仿宋_GB2312" w:eastAsia="仿宋_GB2312" w:cs="仿宋_GB2312"/>
          <w:kern w:val="0"/>
          <w:sz w:val="24"/>
        </w:rPr>
        <w:t>22</w:t>
      </w:r>
      <w:r>
        <w:rPr>
          <w:rFonts w:ascii="仿宋_GB2312" w:hAnsi="仿宋_GB2312" w:eastAsia="仿宋_GB2312" w:cs="仿宋_GB2312"/>
          <w:kern w:val="0"/>
          <w:sz w:val="24"/>
        </w:rPr>
        <w:t>〕</w:t>
      </w:r>
      <w:r>
        <w:rPr>
          <w:rFonts w:hint="eastAsia" w:ascii="仿宋_GB2312" w:hAnsi="仿宋_GB2312" w:eastAsia="仿宋_GB2312" w:cs="仿宋_GB2312"/>
          <w:kern w:val="0"/>
          <w:sz w:val="24"/>
        </w:rPr>
        <w:t>19</w:t>
      </w:r>
      <w:r>
        <w:rPr>
          <w:rFonts w:ascii="仿宋_GB2312" w:hAnsi="仿宋_GB2312" w:eastAsia="仿宋_GB2312" w:cs="仿宋_GB2312"/>
          <w:kern w:val="0"/>
          <w:sz w:val="24"/>
        </w:rPr>
        <w:t>号的</w:t>
      </w:r>
      <w:r>
        <w:rPr>
          <w:rFonts w:ascii="仿宋_GB2312" w:hAnsi="仿宋_GB2312" w:eastAsia="仿宋_GB2312" w:cs="仿宋_GB2312"/>
          <w:color w:val="000000"/>
          <w:kern w:val="0"/>
          <w:sz w:val="24"/>
        </w:rPr>
        <w:t>相关规定，在评审时对小型和微型企业的投标报价给予相应的扣除（</w:t>
      </w:r>
      <w:r>
        <w:rPr>
          <w:rFonts w:hint="eastAsia" w:ascii="仿宋_GB2312" w:hAnsi="仿宋_GB2312" w:eastAsia="仿宋_GB2312" w:cs="仿宋_GB2312"/>
          <w:color w:val="000000"/>
          <w:kern w:val="0"/>
          <w:sz w:val="24"/>
        </w:rPr>
        <w:t>见</w:t>
      </w:r>
      <w:r>
        <w:rPr>
          <w:rFonts w:ascii="仿宋_GB2312" w:hAnsi="仿宋_GB2312" w:eastAsia="仿宋_GB2312" w:cs="仿宋_GB2312"/>
          <w:color w:val="000000"/>
          <w:kern w:val="0"/>
          <w:sz w:val="24"/>
        </w:rPr>
        <w:t>投标人须知前附表），取扣除后的价格作为最终投标报价（此最终投标报价仅作为价格分计算）。</w:t>
      </w:r>
    </w:p>
    <w:p>
      <w:pPr>
        <w:pStyle w:val="2"/>
        <w:spacing w:line="360" w:lineRule="auto"/>
        <w:ind w:left="0" w:leftChars="0" w:firstLine="472" w:firstLineChars="196"/>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2、本声明函中已明确的</w:t>
      </w:r>
      <w:r>
        <w:rPr>
          <w:rFonts w:ascii="仿宋_GB2312" w:hAnsi="仿宋_GB2312" w:eastAsia="仿宋_GB2312" w:cs="仿宋_GB2312"/>
          <w:b/>
          <w:color w:val="000000"/>
          <w:kern w:val="0"/>
          <w:sz w:val="24"/>
        </w:rPr>
        <w:t>标的名称和所属行业</w:t>
      </w:r>
      <w:r>
        <w:rPr>
          <w:rFonts w:hint="eastAsia" w:ascii="仿宋_GB2312" w:hAnsi="仿宋_GB2312" w:eastAsia="仿宋_GB2312" w:cs="仿宋_GB2312"/>
          <w:b/>
          <w:color w:val="000000"/>
          <w:kern w:val="0"/>
          <w:sz w:val="24"/>
        </w:rPr>
        <w:t>（标红部分）不得更改，否则视为无效的中小企业声明函，不给予价格扣除。</w:t>
      </w:r>
    </w:p>
    <w:p>
      <w:pPr>
        <w:pStyle w:val="37"/>
        <w:snapToGrid w:val="0"/>
        <w:spacing w:line="360" w:lineRule="auto"/>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r>
        <w:rPr>
          <w:rFonts w:hint="eastAsia" w:ascii="仿宋_GB2312" w:hAnsi="仿宋_GB2312" w:eastAsia="仿宋_GB2312" w:cs="仿宋_GB2312"/>
          <w:kern w:val="0"/>
          <w:sz w:val="24"/>
        </w:rPr>
        <w:t>投标货物和相关的工程、服务必须</w:t>
      </w:r>
      <w:r>
        <w:rPr>
          <w:rFonts w:hint="eastAsia" w:ascii="仿宋_GB2312" w:hAnsi="仿宋_GB2312" w:eastAsia="仿宋_GB2312" w:cs="仿宋_GB2312"/>
          <w:b/>
          <w:color w:val="FF0000"/>
          <w:kern w:val="0"/>
          <w:sz w:val="24"/>
        </w:rPr>
        <w:t>全部</w:t>
      </w:r>
      <w:r>
        <w:rPr>
          <w:rFonts w:hint="eastAsia" w:ascii="仿宋_GB2312" w:hAnsi="仿宋_GB2312" w:eastAsia="仿宋_GB2312" w:cs="仿宋_GB2312"/>
          <w:kern w:val="0"/>
          <w:sz w:val="24"/>
        </w:rPr>
        <w:t>由小型、微型企业制造或者承接</w:t>
      </w:r>
      <w:r>
        <w:rPr>
          <w:rFonts w:hint="eastAsia" w:ascii="仿宋_GB2312" w:hAnsi="仿宋_GB2312" w:eastAsia="仿宋_GB2312" w:cs="仿宋_GB2312"/>
          <w:color w:val="000000"/>
          <w:kern w:val="0"/>
          <w:sz w:val="24"/>
        </w:rPr>
        <w:t>，如果提供其他中小企业制造的货物，须在本声明函中同时填列该企业相关情况。</w:t>
      </w:r>
    </w:p>
    <w:p>
      <w:pPr>
        <w:spacing w:line="360" w:lineRule="auto"/>
        <w:ind w:firstLine="480" w:firstLineChars="200"/>
      </w:pPr>
      <w:r>
        <w:rPr>
          <w:rFonts w:hint="eastAsia" w:ascii="仿宋_GB2312" w:hAnsi="仿宋_GB2312" w:eastAsia="仿宋_GB2312" w:cs="仿宋_GB2312"/>
          <w:color w:val="000000"/>
          <w:kern w:val="0"/>
          <w:sz w:val="24"/>
        </w:rPr>
        <w:t>3、根据财库〔2020〕46号文件规定，符合中小企业划分标准的个体工商户视同中小企业。</w:t>
      </w:r>
      <w:r>
        <w:rPr>
          <w:rFonts w:hint="eastAsia" w:ascii="仿宋_GB2312" w:hAnsi="仿宋_GB2312" w:eastAsia="仿宋_GB2312" w:cs="仿宋_GB2312"/>
          <w:color w:val="000000"/>
          <w:kern w:val="0"/>
          <w:sz w:val="24"/>
        </w:rPr>
        <w:cr/>
      </w:r>
      <w:r>
        <w:rPr>
          <w:rFonts w:hint="eastAsia" w:ascii="仿宋_GB2312" w:hAnsi="仿宋_GB2312" w:eastAsia="仿宋_GB2312" w:cs="仿宋_GB2312"/>
          <w:color w:val="000000"/>
          <w:kern w:val="0"/>
          <w:sz w:val="24"/>
        </w:rPr>
        <w:t xml:space="preserve">    4、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w:t>
      </w: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pStyle w:val="2"/>
        <w:ind w:firstLine="560"/>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仿宋_GB2312"/>
          <w:color w:val="000000"/>
          <w:kern w:val="0"/>
          <w:sz w:val="32"/>
          <w:szCs w:val="32"/>
        </w:rPr>
      </w:pPr>
    </w:p>
    <w:p>
      <w:pPr>
        <w:snapToGrid w:val="0"/>
        <w:spacing w:beforeLines="50" w:after="50"/>
        <w:rPr>
          <w:rFonts w:ascii="仿宋" w:hAnsi="仿宋" w:eastAsia="仿宋" w:cs="Arial"/>
        </w:rPr>
      </w:pPr>
      <w:r>
        <w:rPr>
          <w:rFonts w:ascii="仿宋" w:hAnsi="仿宋" w:eastAsia="仿宋" w:cs="仿宋_GB2312"/>
          <w:color w:val="000000"/>
          <w:kern w:val="0"/>
          <w:sz w:val="32"/>
          <w:szCs w:val="32"/>
        </w:rPr>
        <w:t>附件1</w:t>
      </w:r>
      <w:r>
        <w:rPr>
          <w:rFonts w:hint="eastAsia" w:ascii="仿宋" w:hAnsi="仿宋" w:eastAsia="仿宋" w:cs="仿宋_GB2312"/>
          <w:color w:val="000000"/>
          <w:kern w:val="0"/>
          <w:sz w:val="32"/>
          <w:szCs w:val="32"/>
        </w:rPr>
        <w:t>3</w:t>
      </w:r>
    </w:p>
    <w:p>
      <w:pPr>
        <w:rPr>
          <w:rFonts w:ascii="仿宋" w:hAnsi="仿宋" w:eastAsia="仿宋" w:cs="Arial"/>
        </w:rPr>
      </w:pPr>
    </w:p>
    <w:p>
      <w:pPr>
        <w:pStyle w:val="37"/>
        <w:snapToGrid w:val="0"/>
        <w:spacing w:before="120" w:after="120"/>
        <w:ind w:firstLine="1080" w:firstLineChars="300"/>
        <w:jc w:val="center"/>
        <w:rPr>
          <w:rFonts w:ascii="仿宋" w:hAnsi="仿宋" w:eastAsia="仿宋" w:cs="仿宋_GB2312"/>
          <w:color w:val="000000"/>
          <w:kern w:val="0"/>
          <w:sz w:val="36"/>
          <w:szCs w:val="36"/>
        </w:rPr>
      </w:pPr>
      <w:r>
        <w:rPr>
          <w:rFonts w:ascii="仿宋" w:hAnsi="仿宋" w:eastAsia="仿宋" w:cs="仿宋_GB2312"/>
          <w:color w:val="000000"/>
          <w:kern w:val="0"/>
          <w:sz w:val="36"/>
          <w:szCs w:val="36"/>
        </w:rPr>
        <w:t>残疾人福利性单位声明函</w:t>
      </w:r>
    </w:p>
    <w:p>
      <w:pPr>
        <w:spacing w:line="588" w:lineRule="exact"/>
        <w:rPr>
          <w:rFonts w:ascii="仿宋" w:hAnsi="仿宋" w:eastAsia="仿宋" w:cs="Arial"/>
          <w:b/>
          <w:spacing w:val="6"/>
          <w:sz w:val="30"/>
          <w:szCs w:val="30"/>
        </w:rPr>
      </w:pP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本单位对上述声明的真实性负责。如有虚假，将依法承担相应责任。</w:t>
      </w:r>
    </w:p>
    <w:p>
      <w:pPr>
        <w:snapToGrid w:val="0"/>
        <w:spacing w:line="360" w:lineRule="auto"/>
        <w:ind w:firstLine="560" w:firstLineChars="200"/>
        <w:rPr>
          <w:rFonts w:ascii="仿宋" w:hAnsi="仿宋" w:eastAsia="仿宋" w:cs="Arial"/>
          <w:sz w:val="28"/>
          <w:szCs w:val="28"/>
        </w:rPr>
      </w:pPr>
    </w:p>
    <w:p>
      <w:pPr>
        <w:spacing w:line="588" w:lineRule="exact"/>
        <w:ind w:firstLine="624" w:firstLineChars="200"/>
        <w:rPr>
          <w:rFonts w:ascii="仿宋" w:hAnsi="仿宋" w:eastAsia="仿宋" w:cs="Arial"/>
          <w:spacing w:val="6"/>
          <w:sz w:val="30"/>
          <w:szCs w:val="30"/>
        </w:rPr>
      </w:pPr>
    </w:p>
    <w:p>
      <w:pPr>
        <w:tabs>
          <w:tab w:val="center" w:pos="4320"/>
          <w:tab w:val="right" w:pos="8640"/>
        </w:tabs>
        <w:snapToGrid w:val="0"/>
        <w:spacing w:line="360" w:lineRule="auto"/>
        <w:ind w:firstLine="4200" w:firstLineChars="15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企业名称（盖章）： </w:t>
      </w:r>
    </w:p>
    <w:p>
      <w:pPr>
        <w:tabs>
          <w:tab w:val="center" w:pos="4320"/>
          <w:tab w:val="right" w:pos="8640"/>
        </w:tabs>
        <w:snapToGrid w:val="0"/>
        <w:spacing w:line="360" w:lineRule="auto"/>
        <w:ind w:firstLine="4200" w:firstLineChars="15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日  期：</w:t>
      </w:r>
    </w:p>
    <w:p>
      <w:pPr>
        <w:snapToGrid w:val="0"/>
        <w:spacing w:line="360" w:lineRule="auto"/>
        <w:ind w:right="504"/>
        <w:rPr>
          <w:rFonts w:ascii="仿宋" w:hAnsi="仿宋" w:eastAsia="仿宋" w:cs="Arial"/>
          <w:spacing w:val="6"/>
          <w:sz w:val="24"/>
        </w:rPr>
      </w:pPr>
    </w:p>
    <w:p>
      <w:pPr>
        <w:snapToGrid w:val="0"/>
        <w:spacing w:line="360" w:lineRule="auto"/>
        <w:ind w:right="504"/>
        <w:rPr>
          <w:rFonts w:ascii="仿宋" w:hAnsi="仿宋" w:eastAsia="仿宋" w:cs="仿宋_GB2312"/>
          <w:color w:val="000000"/>
          <w:kern w:val="0"/>
          <w:sz w:val="24"/>
        </w:rPr>
      </w:pPr>
      <w:r>
        <w:rPr>
          <w:rFonts w:ascii="仿宋" w:hAnsi="仿宋" w:eastAsia="仿宋" w:cs="仿宋_GB2312"/>
          <w:color w:val="000000"/>
          <w:kern w:val="0"/>
          <w:sz w:val="24"/>
        </w:rPr>
        <w:t>填写说明：</w:t>
      </w:r>
    </w:p>
    <w:p>
      <w:pPr>
        <w:numPr>
          <w:ilvl w:val="0"/>
          <w:numId w:val="2"/>
        </w:numPr>
        <w:tabs>
          <w:tab w:val="left" w:pos="4860"/>
        </w:tabs>
        <w:spacing w:line="588" w:lineRule="exact"/>
        <w:ind w:right="106" w:firstLine="480" w:firstLineChars="200"/>
        <w:jc w:val="left"/>
        <w:rPr>
          <w:rFonts w:ascii="仿宋" w:hAnsi="仿宋" w:eastAsia="仿宋" w:cs="仿宋_GB2312"/>
          <w:color w:val="000000"/>
          <w:kern w:val="0"/>
          <w:sz w:val="24"/>
        </w:rPr>
      </w:pPr>
      <w:r>
        <w:rPr>
          <w:rFonts w:ascii="仿宋" w:hAnsi="仿宋" w:eastAsia="仿宋"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pPr>
        <w:numPr>
          <w:ilvl w:val="0"/>
          <w:numId w:val="2"/>
        </w:numPr>
        <w:tabs>
          <w:tab w:val="left" w:pos="4860"/>
        </w:tabs>
        <w:spacing w:line="588" w:lineRule="exact"/>
        <w:ind w:right="251" w:firstLine="480" w:firstLineChars="200"/>
        <w:jc w:val="left"/>
        <w:rPr>
          <w:rFonts w:ascii="仿宋" w:hAnsi="仿宋" w:eastAsia="仿宋" w:cs="仿宋_GB2312"/>
          <w:color w:val="000000"/>
          <w:kern w:val="0"/>
          <w:sz w:val="24"/>
        </w:rPr>
      </w:pPr>
      <w:r>
        <w:rPr>
          <w:rFonts w:ascii="仿宋" w:hAnsi="仿宋" w:eastAsia="仿宋" w:cs="仿宋_GB2312"/>
          <w:color w:val="000000"/>
          <w:kern w:val="0"/>
          <w:sz w:val="24"/>
        </w:rPr>
        <w:t>享受政府采购支持政策的残疾人福利性单位应当同时满足以下条件：</w:t>
      </w:r>
    </w:p>
    <w:p>
      <w:pPr>
        <w:pStyle w:val="61"/>
        <w:spacing w:line="450" w:lineRule="atLeast"/>
        <w:rPr>
          <w:rFonts w:ascii="仿宋" w:hAnsi="仿宋" w:eastAsia="仿宋" w:cs="仿宋_GB2312"/>
          <w:color w:val="000000"/>
          <w:kern w:val="0"/>
          <w:szCs w:val="24"/>
        </w:rPr>
      </w:pPr>
      <w:r>
        <w:rPr>
          <w:rFonts w:ascii="仿宋" w:hAnsi="仿宋" w:eastAsia="仿宋" w:cs="仿宋_GB2312"/>
          <w:color w:val="000000"/>
          <w:kern w:val="0"/>
          <w:szCs w:val="24"/>
        </w:rPr>
        <w:t>　　（1）安置的残疾人占本单位在职职工人数的比例不低于25%（含25%），并且安置的残疾人人数不少于10人（含10人）；</w:t>
      </w:r>
    </w:p>
    <w:p>
      <w:pPr>
        <w:pStyle w:val="61"/>
        <w:spacing w:line="450" w:lineRule="atLeast"/>
        <w:rPr>
          <w:rFonts w:ascii="仿宋" w:hAnsi="仿宋" w:eastAsia="仿宋" w:cs="仿宋_GB2312"/>
          <w:color w:val="000000"/>
          <w:kern w:val="0"/>
          <w:szCs w:val="24"/>
        </w:rPr>
      </w:pPr>
      <w:r>
        <w:rPr>
          <w:rFonts w:ascii="仿宋" w:hAnsi="仿宋" w:eastAsia="仿宋" w:cs="仿宋_GB2312"/>
          <w:color w:val="000000"/>
          <w:kern w:val="0"/>
          <w:szCs w:val="24"/>
        </w:rPr>
        <w:t>　　（2）依法与安置的每位残疾人签订了一年以上（含一年）的劳动合同或服务协议；</w:t>
      </w:r>
    </w:p>
    <w:p>
      <w:pPr>
        <w:pStyle w:val="61"/>
        <w:spacing w:line="450" w:lineRule="atLeast"/>
        <w:rPr>
          <w:rFonts w:ascii="仿宋" w:hAnsi="仿宋" w:eastAsia="仿宋" w:cs="仿宋_GB2312"/>
          <w:color w:val="000000"/>
          <w:kern w:val="0"/>
          <w:szCs w:val="24"/>
        </w:rPr>
      </w:pPr>
      <w:r>
        <w:rPr>
          <w:rFonts w:ascii="仿宋" w:hAnsi="仿宋" w:eastAsia="仿宋" w:cs="仿宋_GB2312"/>
          <w:color w:val="000000"/>
          <w:kern w:val="0"/>
          <w:szCs w:val="24"/>
        </w:rPr>
        <w:t>　　（3）为安置的每位残疾人按月足额缴纳了基本养老保险、基本医疗保险、失业保险、工伤保险和生育保险等社会保险费；</w:t>
      </w:r>
    </w:p>
    <w:p>
      <w:pPr>
        <w:pStyle w:val="61"/>
        <w:spacing w:line="450" w:lineRule="atLeast"/>
        <w:rPr>
          <w:rFonts w:ascii="仿宋" w:hAnsi="仿宋" w:eastAsia="仿宋" w:cs="仿宋_GB2312"/>
          <w:color w:val="000000"/>
          <w:kern w:val="0"/>
          <w:szCs w:val="24"/>
        </w:rPr>
      </w:pPr>
      <w:r>
        <w:rPr>
          <w:rFonts w:ascii="仿宋" w:hAnsi="仿宋" w:eastAsia="仿宋" w:cs="仿宋_GB2312"/>
          <w:color w:val="000000"/>
          <w:kern w:val="0"/>
          <w:szCs w:val="24"/>
        </w:rPr>
        <w:t>　　（4）通过银行等金融机构向安置的每位残疾人，按月支付了不低于单位所在区县适用的经省级人民政府批准的月最低工资标准的工资；</w:t>
      </w:r>
    </w:p>
    <w:p>
      <w:pPr>
        <w:pStyle w:val="61"/>
        <w:spacing w:line="450" w:lineRule="atLeast"/>
        <w:rPr>
          <w:rFonts w:ascii="仿宋" w:hAnsi="仿宋" w:eastAsia="仿宋" w:cs="仿宋_GB2312"/>
          <w:color w:val="000000"/>
          <w:kern w:val="0"/>
          <w:szCs w:val="24"/>
        </w:rPr>
      </w:pPr>
      <w:r>
        <w:rPr>
          <w:rFonts w:ascii="仿宋" w:hAnsi="仿宋" w:eastAsia="仿宋" w:cs="仿宋_GB2312"/>
          <w:color w:val="000000"/>
          <w:kern w:val="0"/>
          <w:szCs w:val="24"/>
        </w:rPr>
        <w:t>　　（5）提供本单位制造的货物、承担的工程或者服务（以下简称产品），或者提供其他残疾人福利性单位制造的货物（不包括使用非残疾人福利性单位注册商标的货物）。</w:t>
      </w:r>
    </w:p>
    <w:p>
      <w:pPr>
        <w:pStyle w:val="61"/>
        <w:spacing w:line="450" w:lineRule="atLeast"/>
        <w:rPr>
          <w:rFonts w:ascii="仿宋" w:hAnsi="仿宋" w:eastAsia="仿宋" w:cs="仿宋_GB2312"/>
          <w:color w:val="000000"/>
          <w:kern w:val="0"/>
          <w:szCs w:val="24"/>
        </w:rPr>
      </w:pPr>
      <w:r>
        <w:rPr>
          <w:rFonts w:ascii="仿宋" w:hAnsi="仿宋" w:eastAsia="仿宋" w:cs="仿宋_GB2312"/>
          <w:color w:val="000000"/>
          <w:kern w:val="0"/>
          <w:szCs w:val="24"/>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ind w:right="532" w:firstLine="720" w:firstLineChars="200"/>
        <w:rPr>
          <w:rFonts w:ascii="仿宋" w:hAnsi="仿宋" w:eastAsia="仿宋" w:cs="仿宋_GB2312"/>
          <w:color w:val="000000"/>
          <w:kern w:val="0"/>
          <w:sz w:val="36"/>
          <w:szCs w:val="36"/>
        </w:rPr>
      </w:pPr>
    </w:p>
    <w:p>
      <w:pPr>
        <w:spacing w:line="440" w:lineRule="exact"/>
        <w:ind w:firstLine="4060" w:firstLineChars="1450"/>
        <w:rPr>
          <w:rFonts w:ascii="仿宋_GB2312" w:hAnsi="仿宋_GB2312" w:eastAsia="仿宋_GB2312" w:cs="仿宋_GB2312"/>
          <w:color w:val="000000"/>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279936"/>
    </w:sdtPr>
    <w:sdtContent>
      <w:p>
        <w:pPr>
          <w:pStyle w:val="44"/>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4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E91E6"/>
    <w:multiLevelType w:val="singleLevel"/>
    <w:tmpl w:val="A61E91E6"/>
    <w:lvl w:ilvl="0" w:tentative="0">
      <w:start w:val="1"/>
      <w:numFmt w:val="decimal"/>
      <w:suff w:val="nothing"/>
      <w:lvlText w:val="（%1）"/>
      <w:lvlJc w:val="left"/>
    </w:lvl>
  </w:abstractNum>
  <w:abstractNum w:abstractNumId="1">
    <w:nsid w:val="59ACBEE7"/>
    <w:multiLevelType w:val="singleLevel"/>
    <w:tmpl w:val="59ACBEE7"/>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QwYWYxMjg2OTMxMDA3MGI0ODI4ZWRjM2RlN2ZjNTgifQ=="/>
  </w:docVars>
  <w:rsids>
    <w:rsidRoot w:val="006756B4"/>
    <w:rsid w:val="000032D9"/>
    <w:rsid w:val="00005B35"/>
    <w:rsid w:val="000061A3"/>
    <w:rsid w:val="00010CFC"/>
    <w:rsid w:val="000209AA"/>
    <w:rsid w:val="0002659C"/>
    <w:rsid w:val="00026A74"/>
    <w:rsid w:val="000300BF"/>
    <w:rsid w:val="0003017E"/>
    <w:rsid w:val="00043DF8"/>
    <w:rsid w:val="00044E36"/>
    <w:rsid w:val="00046E94"/>
    <w:rsid w:val="000539A1"/>
    <w:rsid w:val="00063753"/>
    <w:rsid w:val="00072EB2"/>
    <w:rsid w:val="0007618A"/>
    <w:rsid w:val="0008265E"/>
    <w:rsid w:val="00083D11"/>
    <w:rsid w:val="0009054D"/>
    <w:rsid w:val="00090B4F"/>
    <w:rsid w:val="00093B30"/>
    <w:rsid w:val="000A2379"/>
    <w:rsid w:val="000A64C8"/>
    <w:rsid w:val="000A6FDA"/>
    <w:rsid w:val="000B785C"/>
    <w:rsid w:val="000C014E"/>
    <w:rsid w:val="000C0AAE"/>
    <w:rsid w:val="000C0E2A"/>
    <w:rsid w:val="000C25FC"/>
    <w:rsid w:val="000C46B3"/>
    <w:rsid w:val="000C628E"/>
    <w:rsid w:val="000D1963"/>
    <w:rsid w:val="000D1C91"/>
    <w:rsid w:val="000D476E"/>
    <w:rsid w:val="000D6406"/>
    <w:rsid w:val="000D7BB7"/>
    <w:rsid w:val="000E2D4C"/>
    <w:rsid w:val="000E3402"/>
    <w:rsid w:val="000E7C75"/>
    <w:rsid w:val="000F23C7"/>
    <w:rsid w:val="000F7633"/>
    <w:rsid w:val="00105856"/>
    <w:rsid w:val="00105C01"/>
    <w:rsid w:val="00106AE4"/>
    <w:rsid w:val="00107DA8"/>
    <w:rsid w:val="00114327"/>
    <w:rsid w:val="001157DC"/>
    <w:rsid w:val="001173AE"/>
    <w:rsid w:val="00117E80"/>
    <w:rsid w:val="0012015D"/>
    <w:rsid w:val="00120BC9"/>
    <w:rsid w:val="0012165F"/>
    <w:rsid w:val="001218B1"/>
    <w:rsid w:val="00124F6D"/>
    <w:rsid w:val="00127B30"/>
    <w:rsid w:val="001404A7"/>
    <w:rsid w:val="001453F3"/>
    <w:rsid w:val="0015373C"/>
    <w:rsid w:val="001613C3"/>
    <w:rsid w:val="00161F5E"/>
    <w:rsid w:val="0016517D"/>
    <w:rsid w:val="0017250C"/>
    <w:rsid w:val="001733E4"/>
    <w:rsid w:val="00173646"/>
    <w:rsid w:val="00173E3E"/>
    <w:rsid w:val="00175910"/>
    <w:rsid w:val="001767BF"/>
    <w:rsid w:val="00177F85"/>
    <w:rsid w:val="00182F39"/>
    <w:rsid w:val="00186B51"/>
    <w:rsid w:val="00190FAD"/>
    <w:rsid w:val="00192A41"/>
    <w:rsid w:val="001A4E7C"/>
    <w:rsid w:val="001B1B0B"/>
    <w:rsid w:val="001B72FB"/>
    <w:rsid w:val="001C0958"/>
    <w:rsid w:val="001C2B18"/>
    <w:rsid w:val="001C7039"/>
    <w:rsid w:val="001D3498"/>
    <w:rsid w:val="001D4748"/>
    <w:rsid w:val="001D5103"/>
    <w:rsid w:val="001F0C1A"/>
    <w:rsid w:val="001F47EE"/>
    <w:rsid w:val="001F53A5"/>
    <w:rsid w:val="001F6492"/>
    <w:rsid w:val="001F65B9"/>
    <w:rsid w:val="001F79C7"/>
    <w:rsid w:val="002005AD"/>
    <w:rsid w:val="00205D09"/>
    <w:rsid w:val="002067C6"/>
    <w:rsid w:val="00207F7E"/>
    <w:rsid w:val="0021079A"/>
    <w:rsid w:val="00210CC6"/>
    <w:rsid w:val="002117CF"/>
    <w:rsid w:val="00213167"/>
    <w:rsid w:val="002244C6"/>
    <w:rsid w:val="00225090"/>
    <w:rsid w:val="00230644"/>
    <w:rsid w:val="00230EA4"/>
    <w:rsid w:val="00236617"/>
    <w:rsid w:val="00237286"/>
    <w:rsid w:val="00244650"/>
    <w:rsid w:val="00244DA5"/>
    <w:rsid w:val="00246ADA"/>
    <w:rsid w:val="00246C72"/>
    <w:rsid w:val="00251E22"/>
    <w:rsid w:val="00252AAB"/>
    <w:rsid w:val="0025384E"/>
    <w:rsid w:val="002545B1"/>
    <w:rsid w:val="002551AF"/>
    <w:rsid w:val="0026192F"/>
    <w:rsid w:val="002645B8"/>
    <w:rsid w:val="00270B28"/>
    <w:rsid w:val="002732EA"/>
    <w:rsid w:val="00276B22"/>
    <w:rsid w:val="00290DBF"/>
    <w:rsid w:val="002A070D"/>
    <w:rsid w:val="002A7166"/>
    <w:rsid w:val="002B4B69"/>
    <w:rsid w:val="002B63D2"/>
    <w:rsid w:val="002B65DC"/>
    <w:rsid w:val="002B67EB"/>
    <w:rsid w:val="002C1E18"/>
    <w:rsid w:val="002C219B"/>
    <w:rsid w:val="002D15AA"/>
    <w:rsid w:val="002D1CE5"/>
    <w:rsid w:val="002D3F6F"/>
    <w:rsid w:val="002E07A6"/>
    <w:rsid w:val="002E083E"/>
    <w:rsid w:val="002E493B"/>
    <w:rsid w:val="002E7DFD"/>
    <w:rsid w:val="002F5510"/>
    <w:rsid w:val="00301387"/>
    <w:rsid w:val="00302DA8"/>
    <w:rsid w:val="00303AD3"/>
    <w:rsid w:val="003045E8"/>
    <w:rsid w:val="003047DA"/>
    <w:rsid w:val="00312A99"/>
    <w:rsid w:val="00315BCC"/>
    <w:rsid w:val="00315D46"/>
    <w:rsid w:val="003164F0"/>
    <w:rsid w:val="00321BE2"/>
    <w:rsid w:val="003225E8"/>
    <w:rsid w:val="003253A4"/>
    <w:rsid w:val="00327F7B"/>
    <w:rsid w:val="0033483E"/>
    <w:rsid w:val="00337F8C"/>
    <w:rsid w:val="00340A3E"/>
    <w:rsid w:val="003422CA"/>
    <w:rsid w:val="00343890"/>
    <w:rsid w:val="00347F23"/>
    <w:rsid w:val="0035088C"/>
    <w:rsid w:val="00351E3C"/>
    <w:rsid w:val="00353915"/>
    <w:rsid w:val="00355EC4"/>
    <w:rsid w:val="00360075"/>
    <w:rsid w:val="003630AD"/>
    <w:rsid w:val="00363F57"/>
    <w:rsid w:val="00365A20"/>
    <w:rsid w:val="00365F31"/>
    <w:rsid w:val="00377454"/>
    <w:rsid w:val="00380A00"/>
    <w:rsid w:val="0038211A"/>
    <w:rsid w:val="003831BC"/>
    <w:rsid w:val="00391FB5"/>
    <w:rsid w:val="003972B9"/>
    <w:rsid w:val="003A4AA4"/>
    <w:rsid w:val="003A7900"/>
    <w:rsid w:val="003B1485"/>
    <w:rsid w:val="003B5F8D"/>
    <w:rsid w:val="003B5FD5"/>
    <w:rsid w:val="003C18A1"/>
    <w:rsid w:val="003C242B"/>
    <w:rsid w:val="003C4159"/>
    <w:rsid w:val="003E3FFE"/>
    <w:rsid w:val="003F0936"/>
    <w:rsid w:val="003F2F58"/>
    <w:rsid w:val="003F6025"/>
    <w:rsid w:val="004000A2"/>
    <w:rsid w:val="00401DCA"/>
    <w:rsid w:val="004025DE"/>
    <w:rsid w:val="0040680B"/>
    <w:rsid w:val="00410E79"/>
    <w:rsid w:val="0041365C"/>
    <w:rsid w:val="00413D36"/>
    <w:rsid w:val="0041553D"/>
    <w:rsid w:val="004156D3"/>
    <w:rsid w:val="00415AB5"/>
    <w:rsid w:val="00422D0F"/>
    <w:rsid w:val="00424376"/>
    <w:rsid w:val="00424F7D"/>
    <w:rsid w:val="00425512"/>
    <w:rsid w:val="00430B56"/>
    <w:rsid w:val="00431C77"/>
    <w:rsid w:val="004329A0"/>
    <w:rsid w:val="0043402A"/>
    <w:rsid w:val="00435120"/>
    <w:rsid w:val="004356EF"/>
    <w:rsid w:val="00436692"/>
    <w:rsid w:val="00436C0A"/>
    <w:rsid w:val="004414F0"/>
    <w:rsid w:val="004421DB"/>
    <w:rsid w:val="00465A4E"/>
    <w:rsid w:val="00465F5C"/>
    <w:rsid w:val="00465F79"/>
    <w:rsid w:val="00470B3D"/>
    <w:rsid w:val="00481A2C"/>
    <w:rsid w:val="00482E6B"/>
    <w:rsid w:val="00487379"/>
    <w:rsid w:val="00490F6A"/>
    <w:rsid w:val="00494286"/>
    <w:rsid w:val="00494BCB"/>
    <w:rsid w:val="004963F3"/>
    <w:rsid w:val="00497849"/>
    <w:rsid w:val="00497A0F"/>
    <w:rsid w:val="004A121A"/>
    <w:rsid w:val="004A1E5D"/>
    <w:rsid w:val="004A475A"/>
    <w:rsid w:val="004B0036"/>
    <w:rsid w:val="004B04FB"/>
    <w:rsid w:val="004B0E5D"/>
    <w:rsid w:val="004B276B"/>
    <w:rsid w:val="004B7006"/>
    <w:rsid w:val="004B74AA"/>
    <w:rsid w:val="004B7DCD"/>
    <w:rsid w:val="004C3567"/>
    <w:rsid w:val="004C3AD7"/>
    <w:rsid w:val="004C4DF0"/>
    <w:rsid w:val="004C6E86"/>
    <w:rsid w:val="004D1476"/>
    <w:rsid w:val="004D18C8"/>
    <w:rsid w:val="004E15B7"/>
    <w:rsid w:val="004E2450"/>
    <w:rsid w:val="004E273A"/>
    <w:rsid w:val="00503250"/>
    <w:rsid w:val="005100D5"/>
    <w:rsid w:val="005156DD"/>
    <w:rsid w:val="00520B8E"/>
    <w:rsid w:val="00524C57"/>
    <w:rsid w:val="00524E78"/>
    <w:rsid w:val="00524E98"/>
    <w:rsid w:val="005277ED"/>
    <w:rsid w:val="005324F2"/>
    <w:rsid w:val="00535F26"/>
    <w:rsid w:val="0053760C"/>
    <w:rsid w:val="00553032"/>
    <w:rsid w:val="0055451E"/>
    <w:rsid w:val="0056117A"/>
    <w:rsid w:val="005622A5"/>
    <w:rsid w:val="0056495C"/>
    <w:rsid w:val="00570B31"/>
    <w:rsid w:val="0057377E"/>
    <w:rsid w:val="005743E7"/>
    <w:rsid w:val="005777ED"/>
    <w:rsid w:val="00587F17"/>
    <w:rsid w:val="0059197E"/>
    <w:rsid w:val="00592605"/>
    <w:rsid w:val="005A3B7D"/>
    <w:rsid w:val="005A5CE5"/>
    <w:rsid w:val="005B353E"/>
    <w:rsid w:val="005B3E36"/>
    <w:rsid w:val="005C261D"/>
    <w:rsid w:val="005D3231"/>
    <w:rsid w:val="005E08A8"/>
    <w:rsid w:val="005E3B94"/>
    <w:rsid w:val="005E6DE8"/>
    <w:rsid w:val="005F0445"/>
    <w:rsid w:val="005F21F2"/>
    <w:rsid w:val="005F2AE2"/>
    <w:rsid w:val="005F3B5B"/>
    <w:rsid w:val="006010E3"/>
    <w:rsid w:val="00603AFF"/>
    <w:rsid w:val="00611907"/>
    <w:rsid w:val="0061227D"/>
    <w:rsid w:val="00613608"/>
    <w:rsid w:val="00615DE1"/>
    <w:rsid w:val="006176F2"/>
    <w:rsid w:val="00621D40"/>
    <w:rsid w:val="006237A0"/>
    <w:rsid w:val="00623B8E"/>
    <w:rsid w:val="00624D18"/>
    <w:rsid w:val="006255B5"/>
    <w:rsid w:val="00635872"/>
    <w:rsid w:val="00637824"/>
    <w:rsid w:val="006417BA"/>
    <w:rsid w:val="0064229D"/>
    <w:rsid w:val="0065050D"/>
    <w:rsid w:val="00652D18"/>
    <w:rsid w:val="00660753"/>
    <w:rsid w:val="006667A2"/>
    <w:rsid w:val="00672779"/>
    <w:rsid w:val="006756B4"/>
    <w:rsid w:val="006819B5"/>
    <w:rsid w:val="00684B9E"/>
    <w:rsid w:val="00694826"/>
    <w:rsid w:val="0069512E"/>
    <w:rsid w:val="006967B7"/>
    <w:rsid w:val="006A3450"/>
    <w:rsid w:val="006A388F"/>
    <w:rsid w:val="006A5DED"/>
    <w:rsid w:val="006A63A3"/>
    <w:rsid w:val="006A7CE8"/>
    <w:rsid w:val="006B1FCB"/>
    <w:rsid w:val="006B2A9C"/>
    <w:rsid w:val="006D189A"/>
    <w:rsid w:val="006D33AF"/>
    <w:rsid w:val="006D5183"/>
    <w:rsid w:val="006E01F4"/>
    <w:rsid w:val="006F1EA5"/>
    <w:rsid w:val="006F5C91"/>
    <w:rsid w:val="00702713"/>
    <w:rsid w:val="00703160"/>
    <w:rsid w:val="0070527E"/>
    <w:rsid w:val="007055C6"/>
    <w:rsid w:val="00705652"/>
    <w:rsid w:val="00710563"/>
    <w:rsid w:val="00711A99"/>
    <w:rsid w:val="00711E1D"/>
    <w:rsid w:val="0071223D"/>
    <w:rsid w:val="007124E9"/>
    <w:rsid w:val="00722762"/>
    <w:rsid w:val="00725F72"/>
    <w:rsid w:val="00726B71"/>
    <w:rsid w:val="00726C86"/>
    <w:rsid w:val="00731E0C"/>
    <w:rsid w:val="00737659"/>
    <w:rsid w:val="0074186A"/>
    <w:rsid w:val="00741CF0"/>
    <w:rsid w:val="00746A6E"/>
    <w:rsid w:val="00751D80"/>
    <w:rsid w:val="00753A33"/>
    <w:rsid w:val="00755D6E"/>
    <w:rsid w:val="00761CD3"/>
    <w:rsid w:val="00762CDF"/>
    <w:rsid w:val="00762E02"/>
    <w:rsid w:val="00762FD6"/>
    <w:rsid w:val="007667DD"/>
    <w:rsid w:val="00784268"/>
    <w:rsid w:val="0079260C"/>
    <w:rsid w:val="00797593"/>
    <w:rsid w:val="00797A8A"/>
    <w:rsid w:val="00797E38"/>
    <w:rsid w:val="007A1B26"/>
    <w:rsid w:val="007A40FE"/>
    <w:rsid w:val="007B2FEF"/>
    <w:rsid w:val="007B61F3"/>
    <w:rsid w:val="007B6E49"/>
    <w:rsid w:val="007C159C"/>
    <w:rsid w:val="007C2A39"/>
    <w:rsid w:val="007D01DC"/>
    <w:rsid w:val="007D3C10"/>
    <w:rsid w:val="007D4447"/>
    <w:rsid w:val="007E4199"/>
    <w:rsid w:val="007E5399"/>
    <w:rsid w:val="007E591E"/>
    <w:rsid w:val="007E7519"/>
    <w:rsid w:val="007F13AA"/>
    <w:rsid w:val="007F2F52"/>
    <w:rsid w:val="007F623E"/>
    <w:rsid w:val="00803A51"/>
    <w:rsid w:val="00805470"/>
    <w:rsid w:val="00807D6A"/>
    <w:rsid w:val="00812335"/>
    <w:rsid w:val="0081276F"/>
    <w:rsid w:val="00824AD9"/>
    <w:rsid w:val="00826CB8"/>
    <w:rsid w:val="00827FB2"/>
    <w:rsid w:val="00831EE7"/>
    <w:rsid w:val="008328FC"/>
    <w:rsid w:val="00833B8C"/>
    <w:rsid w:val="00834135"/>
    <w:rsid w:val="00835957"/>
    <w:rsid w:val="00836108"/>
    <w:rsid w:val="00840416"/>
    <w:rsid w:val="008410E8"/>
    <w:rsid w:val="008476CC"/>
    <w:rsid w:val="00853539"/>
    <w:rsid w:val="0085798C"/>
    <w:rsid w:val="0086096E"/>
    <w:rsid w:val="00861CDD"/>
    <w:rsid w:val="0086207C"/>
    <w:rsid w:val="00866F37"/>
    <w:rsid w:val="008740CC"/>
    <w:rsid w:val="008746CD"/>
    <w:rsid w:val="00875EE4"/>
    <w:rsid w:val="008822CC"/>
    <w:rsid w:val="0088285B"/>
    <w:rsid w:val="0088344F"/>
    <w:rsid w:val="008A75AC"/>
    <w:rsid w:val="008D70F4"/>
    <w:rsid w:val="008E2A74"/>
    <w:rsid w:val="008E2DEF"/>
    <w:rsid w:val="008E7BDE"/>
    <w:rsid w:val="008F46E6"/>
    <w:rsid w:val="008F46EF"/>
    <w:rsid w:val="00902A14"/>
    <w:rsid w:val="0090695D"/>
    <w:rsid w:val="0091092B"/>
    <w:rsid w:val="009113B9"/>
    <w:rsid w:val="009135DD"/>
    <w:rsid w:val="009168FF"/>
    <w:rsid w:val="0093675A"/>
    <w:rsid w:val="009423FC"/>
    <w:rsid w:val="00943F4F"/>
    <w:rsid w:val="00944242"/>
    <w:rsid w:val="00945606"/>
    <w:rsid w:val="00950830"/>
    <w:rsid w:val="00954CD8"/>
    <w:rsid w:val="00956060"/>
    <w:rsid w:val="009614EF"/>
    <w:rsid w:val="00961A45"/>
    <w:rsid w:val="009644FD"/>
    <w:rsid w:val="00964D1F"/>
    <w:rsid w:val="00966A28"/>
    <w:rsid w:val="00980536"/>
    <w:rsid w:val="009850B8"/>
    <w:rsid w:val="009862F0"/>
    <w:rsid w:val="009967B6"/>
    <w:rsid w:val="00996B55"/>
    <w:rsid w:val="009A20D6"/>
    <w:rsid w:val="009A2B0A"/>
    <w:rsid w:val="009A51E5"/>
    <w:rsid w:val="009A6B9B"/>
    <w:rsid w:val="009B05B4"/>
    <w:rsid w:val="009B206F"/>
    <w:rsid w:val="009B3342"/>
    <w:rsid w:val="009B6D9F"/>
    <w:rsid w:val="009C09EA"/>
    <w:rsid w:val="009C3C93"/>
    <w:rsid w:val="009C6993"/>
    <w:rsid w:val="009C7473"/>
    <w:rsid w:val="009D1716"/>
    <w:rsid w:val="009E08D1"/>
    <w:rsid w:val="009E337F"/>
    <w:rsid w:val="009E4906"/>
    <w:rsid w:val="009F1E2F"/>
    <w:rsid w:val="009F3571"/>
    <w:rsid w:val="009F3C52"/>
    <w:rsid w:val="009F426E"/>
    <w:rsid w:val="00A03F3C"/>
    <w:rsid w:val="00A04F8C"/>
    <w:rsid w:val="00A109FF"/>
    <w:rsid w:val="00A10DBB"/>
    <w:rsid w:val="00A11DA4"/>
    <w:rsid w:val="00A13C0D"/>
    <w:rsid w:val="00A218DA"/>
    <w:rsid w:val="00A26D08"/>
    <w:rsid w:val="00A27D3F"/>
    <w:rsid w:val="00A35393"/>
    <w:rsid w:val="00A40B25"/>
    <w:rsid w:val="00A43937"/>
    <w:rsid w:val="00A5351F"/>
    <w:rsid w:val="00A5703C"/>
    <w:rsid w:val="00A610B9"/>
    <w:rsid w:val="00A63E8B"/>
    <w:rsid w:val="00A7156D"/>
    <w:rsid w:val="00A75367"/>
    <w:rsid w:val="00A753BE"/>
    <w:rsid w:val="00A8235F"/>
    <w:rsid w:val="00A85745"/>
    <w:rsid w:val="00A85C59"/>
    <w:rsid w:val="00A86BBA"/>
    <w:rsid w:val="00A9312A"/>
    <w:rsid w:val="00A945EF"/>
    <w:rsid w:val="00A95CF8"/>
    <w:rsid w:val="00A95E0B"/>
    <w:rsid w:val="00A9783E"/>
    <w:rsid w:val="00AA3772"/>
    <w:rsid w:val="00AA4AA6"/>
    <w:rsid w:val="00AB49BD"/>
    <w:rsid w:val="00AC03E8"/>
    <w:rsid w:val="00AC3739"/>
    <w:rsid w:val="00AC6408"/>
    <w:rsid w:val="00AC7151"/>
    <w:rsid w:val="00AD6D23"/>
    <w:rsid w:val="00AE1BAC"/>
    <w:rsid w:val="00AE2682"/>
    <w:rsid w:val="00AE297E"/>
    <w:rsid w:val="00AE5CF6"/>
    <w:rsid w:val="00AE7CAE"/>
    <w:rsid w:val="00AE7DD4"/>
    <w:rsid w:val="00AF4FC3"/>
    <w:rsid w:val="00B0239C"/>
    <w:rsid w:val="00B04E2D"/>
    <w:rsid w:val="00B04EF6"/>
    <w:rsid w:val="00B10104"/>
    <w:rsid w:val="00B10371"/>
    <w:rsid w:val="00B20AE8"/>
    <w:rsid w:val="00B233CD"/>
    <w:rsid w:val="00B26DCA"/>
    <w:rsid w:val="00B34B34"/>
    <w:rsid w:val="00B409B8"/>
    <w:rsid w:val="00B40E76"/>
    <w:rsid w:val="00B41ACA"/>
    <w:rsid w:val="00B46DE9"/>
    <w:rsid w:val="00B56C42"/>
    <w:rsid w:val="00B676F2"/>
    <w:rsid w:val="00B71C78"/>
    <w:rsid w:val="00B73230"/>
    <w:rsid w:val="00B73F09"/>
    <w:rsid w:val="00B74E16"/>
    <w:rsid w:val="00B835E5"/>
    <w:rsid w:val="00B87E11"/>
    <w:rsid w:val="00BA0331"/>
    <w:rsid w:val="00BA2F1F"/>
    <w:rsid w:val="00BA4901"/>
    <w:rsid w:val="00BA6B3F"/>
    <w:rsid w:val="00BB0CE5"/>
    <w:rsid w:val="00BB50C9"/>
    <w:rsid w:val="00BC125D"/>
    <w:rsid w:val="00BC207C"/>
    <w:rsid w:val="00BC3EC3"/>
    <w:rsid w:val="00BC62C8"/>
    <w:rsid w:val="00BD0BD4"/>
    <w:rsid w:val="00BD12DF"/>
    <w:rsid w:val="00BD140B"/>
    <w:rsid w:val="00BD1DC0"/>
    <w:rsid w:val="00BD4A19"/>
    <w:rsid w:val="00BE2378"/>
    <w:rsid w:val="00BE29D5"/>
    <w:rsid w:val="00BE3B6A"/>
    <w:rsid w:val="00BE4D13"/>
    <w:rsid w:val="00BE57A4"/>
    <w:rsid w:val="00BE6577"/>
    <w:rsid w:val="00BE66E4"/>
    <w:rsid w:val="00BE677E"/>
    <w:rsid w:val="00BF11A4"/>
    <w:rsid w:val="00BF1A46"/>
    <w:rsid w:val="00BF5994"/>
    <w:rsid w:val="00BF59A2"/>
    <w:rsid w:val="00C02266"/>
    <w:rsid w:val="00C12038"/>
    <w:rsid w:val="00C13585"/>
    <w:rsid w:val="00C13EC3"/>
    <w:rsid w:val="00C17629"/>
    <w:rsid w:val="00C21A94"/>
    <w:rsid w:val="00C25F57"/>
    <w:rsid w:val="00C35449"/>
    <w:rsid w:val="00C53759"/>
    <w:rsid w:val="00C55F3D"/>
    <w:rsid w:val="00C57BC8"/>
    <w:rsid w:val="00C57CC7"/>
    <w:rsid w:val="00C61D25"/>
    <w:rsid w:val="00C63340"/>
    <w:rsid w:val="00C652AA"/>
    <w:rsid w:val="00C733E9"/>
    <w:rsid w:val="00C757D0"/>
    <w:rsid w:val="00C830F1"/>
    <w:rsid w:val="00C8455F"/>
    <w:rsid w:val="00C86518"/>
    <w:rsid w:val="00C90656"/>
    <w:rsid w:val="00C93163"/>
    <w:rsid w:val="00C93CCB"/>
    <w:rsid w:val="00C93FE5"/>
    <w:rsid w:val="00C94CAD"/>
    <w:rsid w:val="00C96649"/>
    <w:rsid w:val="00CA0B1B"/>
    <w:rsid w:val="00CA13C7"/>
    <w:rsid w:val="00CA1CA8"/>
    <w:rsid w:val="00CB3AF2"/>
    <w:rsid w:val="00CB7F63"/>
    <w:rsid w:val="00CC1242"/>
    <w:rsid w:val="00CC14D2"/>
    <w:rsid w:val="00CC1E0E"/>
    <w:rsid w:val="00CC21EE"/>
    <w:rsid w:val="00CC2AC0"/>
    <w:rsid w:val="00CC7CDC"/>
    <w:rsid w:val="00CD4977"/>
    <w:rsid w:val="00CE0F6A"/>
    <w:rsid w:val="00CE36B9"/>
    <w:rsid w:val="00CE653D"/>
    <w:rsid w:val="00CF2105"/>
    <w:rsid w:val="00CF3D92"/>
    <w:rsid w:val="00CF499E"/>
    <w:rsid w:val="00CF727D"/>
    <w:rsid w:val="00D0119F"/>
    <w:rsid w:val="00D02765"/>
    <w:rsid w:val="00D03599"/>
    <w:rsid w:val="00D03BC9"/>
    <w:rsid w:val="00D04B4D"/>
    <w:rsid w:val="00D0687E"/>
    <w:rsid w:val="00D11B34"/>
    <w:rsid w:val="00D142F3"/>
    <w:rsid w:val="00D16583"/>
    <w:rsid w:val="00D17E7F"/>
    <w:rsid w:val="00D204AC"/>
    <w:rsid w:val="00D20D16"/>
    <w:rsid w:val="00D21D41"/>
    <w:rsid w:val="00D26C0E"/>
    <w:rsid w:val="00D27AC4"/>
    <w:rsid w:val="00D45723"/>
    <w:rsid w:val="00D50271"/>
    <w:rsid w:val="00D55273"/>
    <w:rsid w:val="00D56488"/>
    <w:rsid w:val="00D6235E"/>
    <w:rsid w:val="00D62D5A"/>
    <w:rsid w:val="00D7126B"/>
    <w:rsid w:val="00D7226E"/>
    <w:rsid w:val="00D72987"/>
    <w:rsid w:val="00D72A99"/>
    <w:rsid w:val="00D73722"/>
    <w:rsid w:val="00D76498"/>
    <w:rsid w:val="00D7694C"/>
    <w:rsid w:val="00D84210"/>
    <w:rsid w:val="00D91225"/>
    <w:rsid w:val="00D92055"/>
    <w:rsid w:val="00D925A3"/>
    <w:rsid w:val="00D93D48"/>
    <w:rsid w:val="00D94941"/>
    <w:rsid w:val="00DA4409"/>
    <w:rsid w:val="00DB170C"/>
    <w:rsid w:val="00DC7EFD"/>
    <w:rsid w:val="00DD06BC"/>
    <w:rsid w:val="00DD0771"/>
    <w:rsid w:val="00DD1985"/>
    <w:rsid w:val="00DD6F46"/>
    <w:rsid w:val="00DE1B1D"/>
    <w:rsid w:val="00DE2D51"/>
    <w:rsid w:val="00DE2F65"/>
    <w:rsid w:val="00DE3588"/>
    <w:rsid w:val="00DE5512"/>
    <w:rsid w:val="00DE56E9"/>
    <w:rsid w:val="00DE71B2"/>
    <w:rsid w:val="00DE7681"/>
    <w:rsid w:val="00DF628F"/>
    <w:rsid w:val="00E008F3"/>
    <w:rsid w:val="00E00CB8"/>
    <w:rsid w:val="00E00DEA"/>
    <w:rsid w:val="00E00F5B"/>
    <w:rsid w:val="00E04857"/>
    <w:rsid w:val="00E1080B"/>
    <w:rsid w:val="00E15EDC"/>
    <w:rsid w:val="00E2028F"/>
    <w:rsid w:val="00E230EE"/>
    <w:rsid w:val="00E260C4"/>
    <w:rsid w:val="00E33F51"/>
    <w:rsid w:val="00E40E77"/>
    <w:rsid w:val="00E4253B"/>
    <w:rsid w:val="00E42610"/>
    <w:rsid w:val="00E4333D"/>
    <w:rsid w:val="00E438E0"/>
    <w:rsid w:val="00E45362"/>
    <w:rsid w:val="00E54CF0"/>
    <w:rsid w:val="00E60E18"/>
    <w:rsid w:val="00E61EE1"/>
    <w:rsid w:val="00E64695"/>
    <w:rsid w:val="00E72437"/>
    <w:rsid w:val="00E819A0"/>
    <w:rsid w:val="00E81EA8"/>
    <w:rsid w:val="00E83709"/>
    <w:rsid w:val="00E870CB"/>
    <w:rsid w:val="00E90E31"/>
    <w:rsid w:val="00E94A58"/>
    <w:rsid w:val="00EA58EF"/>
    <w:rsid w:val="00EA6DC3"/>
    <w:rsid w:val="00EB4139"/>
    <w:rsid w:val="00EB4FCF"/>
    <w:rsid w:val="00EC2CDB"/>
    <w:rsid w:val="00EC362E"/>
    <w:rsid w:val="00EC3C4E"/>
    <w:rsid w:val="00ED5BCD"/>
    <w:rsid w:val="00ED5E81"/>
    <w:rsid w:val="00EE0EE0"/>
    <w:rsid w:val="00EE33EE"/>
    <w:rsid w:val="00EE6DB3"/>
    <w:rsid w:val="00EE73DB"/>
    <w:rsid w:val="00EE7BA0"/>
    <w:rsid w:val="00EF285D"/>
    <w:rsid w:val="00EF7B43"/>
    <w:rsid w:val="00F04854"/>
    <w:rsid w:val="00F07D2D"/>
    <w:rsid w:val="00F124F3"/>
    <w:rsid w:val="00F14A6E"/>
    <w:rsid w:val="00F162D7"/>
    <w:rsid w:val="00F20F82"/>
    <w:rsid w:val="00F21981"/>
    <w:rsid w:val="00F23A38"/>
    <w:rsid w:val="00F24748"/>
    <w:rsid w:val="00F24D3E"/>
    <w:rsid w:val="00F27DA9"/>
    <w:rsid w:val="00F31504"/>
    <w:rsid w:val="00F53E20"/>
    <w:rsid w:val="00F55636"/>
    <w:rsid w:val="00F56A46"/>
    <w:rsid w:val="00F65BDF"/>
    <w:rsid w:val="00F66879"/>
    <w:rsid w:val="00F708FE"/>
    <w:rsid w:val="00F70ED8"/>
    <w:rsid w:val="00F72EF3"/>
    <w:rsid w:val="00F77913"/>
    <w:rsid w:val="00F80551"/>
    <w:rsid w:val="00F86548"/>
    <w:rsid w:val="00F93482"/>
    <w:rsid w:val="00FA1B96"/>
    <w:rsid w:val="00FA389D"/>
    <w:rsid w:val="00FA4B19"/>
    <w:rsid w:val="00FB610B"/>
    <w:rsid w:val="00FB6F9E"/>
    <w:rsid w:val="00FB721A"/>
    <w:rsid w:val="00FC03B5"/>
    <w:rsid w:val="00FC2A3A"/>
    <w:rsid w:val="00FC33C5"/>
    <w:rsid w:val="00FC480C"/>
    <w:rsid w:val="00FD1311"/>
    <w:rsid w:val="00FD3014"/>
    <w:rsid w:val="00FD799C"/>
    <w:rsid w:val="00FE106A"/>
    <w:rsid w:val="00FE4181"/>
    <w:rsid w:val="00FF1796"/>
    <w:rsid w:val="00FF1A7C"/>
    <w:rsid w:val="00FF1C44"/>
    <w:rsid w:val="00FF627B"/>
    <w:rsid w:val="00FF6AE9"/>
    <w:rsid w:val="07AB552B"/>
    <w:rsid w:val="09A74662"/>
    <w:rsid w:val="0A257F94"/>
    <w:rsid w:val="13C6164D"/>
    <w:rsid w:val="14E16A7C"/>
    <w:rsid w:val="16815372"/>
    <w:rsid w:val="18830A34"/>
    <w:rsid w:val="1CF71C0F"/>
    <w:rsid w:val="220C7616"/>
    <w:rsid w:val="24C33082"/>
    <w:rsid w:val="27F3766F"/>
    <w:rsid w:val="2AAD6999"/>
    <w:rsid w:val="35E0728C"/>
    <w:rsid w:val="38535B0B"/>
    <w:rsid w:val="3A2267D4"/>
    <w:rsid w:val="405D64BF"/>
    <w:rsid w:val="42FD7D19"/>
    <w:rsid w:val="44F15D77"/>
    <w:rsid w:val="45505AB1"/>
    <w:rsid w:val="48552BBD"/>
    <w:rsid w:val="48BF3FB8"/>
    <w:rsid w:val="4AEE6576"/>
    <w:rsid w:val="4E1B363F"/>
    <w:rsid w:val="4F0A1BA9"/>
    <w:rsid w:val="4FC27775"/>
    <w:rsid w:val="54857525"/>
    <w:rsid w:val="56130A9A"/>
    <w:rsid w:val="57175FF7"/>
    <w:rsid w:val="5A2B29FF"/>
    <w:rsid w:val="5A674381"/>
    <w:rsid w:val="5B454BAB"/>
    <w:rsid w:val="5C3E7FB9"/>
    <w:rsid w:val="6B8B2645"/>
    <w:rsid w:val="6B8B65EB"/>
    <w:rsid w:val="6E0159C5"/>
    <w:rsid w:val="6FCE29FB"/>
    <w:rsid w:val="7AA16D9B"/>
    <w:rsid w:val="7C0E22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80"/>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1"/>
    <w:autoRedefine/>
    <w:qFormat/>
    <w:uiPriority w:val="0"/>
    <w:pPr>
      <w:keepNext/>
      <w:keepLines/>
      <w:spacing w:before="260" w:after="260" w:line="413" w:lineRule="auto"/>
      <w:outlineLvl w:val="2"/>
    </w:pPr>
    <w:rPr>
      <w:b/>
      <w:sz w:val="32"/>
      <w:szCs w:val="20"/>
    </w:rPr>
  </w:style>
  <w:style w:type="paragraph" w:styleId="7">
    <w:name w:val="heading 4"/>
    <w:basedOn w:val="1"/>
    <w:next w:val="1"/>
    <w:link w:val="82"/>
    <w:autoRedefine/>
    <w:qFormat/>
    <w:uiPriority w:val="0"/>
    <w:pPr>
      <w:keepNext/>
      <w:keepLines/>
      <w:spacing w:before="280" w:after="290" w:line="372" w:lineRule="auto"/>
      <w:outlineLvl w:val="3"/>
    </w:pPr>
    <w:rPr>
      <w:rFonts w:ascii="Arial" w:hAnsi="Arial" w:eastAsia="黑体"/>
      <w:b/>
      <w:sz w:val="28"/>
      <w:szCs w:val="20"/>
    </w:rPr>
  </w:style>
  <w:style w:type="paragraph" w:styleId="8">
    <w:name w:val="heading 5"/>
    <w:basedOn w:val="1"/>
    <w:next w:val="1"/>
    <w:link w:val="83"/>
    <w:autoRedefine/>
    <w:qFormat/>
    <w:uiPriority w:val="0"/>
    <w:pPr>
      <w:keepNext/>
      <w:keepLines/>
      <w:spacing w:before="280" w:after="290" w:line="372" w:lineRule="auto"/>
      <w:outlineLvl w:val="4"/>
    </w:pPr>
    <w:rPr>
      <w:rFonts w:ascii="宋体"/>
      <w:b/>
      <w:sz w:val="28"/>
      <w:szCs w:val="20"/>
    </w:rPr>
  </w:style>
  <w:style w:type="paragraph" w:styleId="9">
    <w:name w:val="heading 6"/>
    <w:basedOn w:val="1"/>
    <w:next w:val="1"/>
    <w:link w:val="84"/>
    <w:autoRedefine/>
    <w:qFormat/>
    <w:uiPriority w:val="0"/>
    <w:pPr>
      <w:keepNext/>
      <w:keepLines/>
      <w:tabs>
        <w:tab w:val="left" w:pos="3120"/>
      </w:tabs>
      <w:autoSpaceDE w:val="0"/>
      <w:autoSpaceDN w:val="0"/>
      <w:adjustRightInd w:val="0"/>
      <w:spacing w:before="240" w:after="64" w:line="317" w:lineRule="auto"/>
      <w:ind w:left="3120" w:hanging="420"/>
      <w:textAlignment w:val="baseline"/>
      <w:outlineLvl w:val="5"/>
    </w:pPr>
    <w:rPr>
      <w:rFonts w:ascii="Arial" w:hAnsi="Arial" w:eastAsia="黑体"/>
      <w:b/>
      <w:sz w:val="24"/>
      <w:szCs w:val="20"/>
    </w:rPr>
  </w:style>
  <w:style w:type="paragraph" w:styleId="10">
    <w:name w:val="heading 7"/>
    <w:basedOn w:val="1"/>
    <w:next w:val="1"/>
    <w:link w:val="85"/>
    <w:autoRedefine/>
    <w:qFormat/>
    <w:uiPriority w:val="0"/>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11">
    <w:name w:val="heading 8"/>
    <w:basedOn w:val="1"/>
    <w:next w:val="1"/>
    <w:link w:val="86"/>
    <w:autoRedefine/>
    <w:qFormat/>
    <w:uiPriority w:val="0"/>
    <w:pPr>
      <w:keepNext/>
      <w:keepLines/>
      <w:tabs>
        <w:tab w:val="left" w:pos="3960"/>
      </w:tabs>
      <w:autoSpaceDE w:val="0"/>
      <w:autoSpaceDN w:val="0"/>
      <w:adjustRightInd w:val="0"/>
      <w:spacing w:before="240" w:after="64" w:line="317" w:lineRule="auto"/>
      <w:ind w:left="3960" w:hanging="420"/>
      <w:textAlignment w:val="baseline"/>
      <w:outlineLvl w:val="7"/>
    </w:pPr>
    <w:rPr>
      <w:rFonts w:ascii="Arial" w:hAnsi="Arial" w:eastAsia="黑体"/>
      <w:sz w:val="24"/>
      <w:szCs w:val="20"/>
    </w:rPr>
  </w:style>
  <w:style w:type="paragraph" w:styleId="12">
    <w:name w:val="heading 9"/>
    <w:basedOn w:val="1"/>
    <w:next w:val="1"/>
    <w:link w:val="87"/>
    <w:autoRedefine/>
    <w:qFormat/>
    <w:uiPriority w:val="0"/>
    <w:pPr>
      <w:keepNext/>
      <w:keepLines/>
      <w:tabs>
        <w:tab w:val="left" w:pos="4380"/>
      </w:tabs>
      <w:autoSpaceDE w:val="0"/>
      <w:autoSpaceDN w:val="0"/>
      <w:adjustRightInd w:val="0"/>
      <w:spacing w:before="240" w:after="64" w:line="317" w:lineRule="auto"/>
      <w:ind w:left="4380" w:hanging="420"/>
      <w:textAlignment w:val="baseline"/>
      <w:outlineLvl w:val="8"/>
    </w:pPr>
    <w:rPr>
      <w:rFonts w:ascii="Arial" w:hAnsi="Arial" w:eastAsia="黑体"/>
      <w:szCs w:val="20"/>
    </w:rPr>
  </w:style>
  <w:style w:type="character" w:default="1" w:styleId="68">
    <w:name w:val="Default Paragraph Font"/>
    <w:autoRedefine/>
    <w:semiHidden/>
    <w:unhideWhenUsed/>
    <w:qFormat/>
    <w:uiPriority w:val="1"/>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10"/>
    <w:autoRedefine/>
    <w:qFormat/>
    <w:uiPriority w:val="99"/>
    <w:pPr>
      <w:spacing w:after="120" w:line="240" w:lineRule="auto"/>
      <w:ind w:left="420" w:leftChars="200" w:firstLine="420"/>
    </w:pPr>
    <w:rPr>
      <w:rFonts w:ascii="宋体" w:hAnsi="Times New Roman" w:eastAsia="宋体"/>
      <w:sz w:val="28"/>
      <w:szCs w:val="20"/>
    </w:rPr>
  </w:style>
  <w:style w:type="paragraph" w:styleId="3">
    <w:name w:val="Body Text Indent"/>
    <w:basedOn w:val="1"/>
    <w:link w:val="96"/>
    <w:autoRedefine/>
    <w:qFormat/>
    <w:uiPriority w:val="0"/>
    <w:pPr>
      <w:spacing w:line="360" w:lineRule="auto"/>
      <w:ind w:firstLine="600" w:firstLineChars="200"/>
    </w:pPr>
    <w:rPr>
      <w:rFonts w:ascii="仿宋_GB2312" w:hAnsi="宋体" w:eastAsia="仿宋_GB2312"/>
      <w:sz w:val="30"/>
    </w:rPr>
  </w:style>
  <w:style w:type="paragraph" w:styleId="13">
    <w:name w:val="List 3"/>
    <w:basedOn w:val="1"/>
    <w:autoRedefine/>
    <w:qFormat/>
    <w:uiPriority w:val="0"/>
    <w:pPr>
      <w:ind w:left="100" w:leftChars="400" w:hanging="200" w:hangingChars="200"/>
    </w:pPr>
    <w:rPr>
      <w:rFonts w:ascii="宋体"/>
      <w:sz w:val="28"/>
      <w:szCs w:val="20"/>
    </w:rPr>
  </w:style>
  <w:style w:type="paragraph" w:styleId="14">
    <w:name w:val="List Number 2"/>
    <w:basedOn w:val="1"/>
    <w:autoRedefine/>
    <w:qFormat/>
    <w:uiPriority w:val="0"/>
    <w:pPr>
      <w:tabs>
        <w:tab w:val="left" w:pos="780"/>
      </w:tabs>
      <w:ind w:left="780" w:leftChars="200" w:hanging="360" w:hangingChars="200"/>
    </w:pPr>
    <w:rPr>
      <w:rFonts w:ascii="宋体"/>
      <w:sz w:val="28"/>
      <w:szCs w:val="20"/>
    </w:rPr>
  </w:style>
  <w:style w:type="paragraph" w:styleId="15">
    <w:name w:val="Note Heading"/>
    <w:basedOn w:val="1"/>
    <w:next w:val="1"/>
    <w:link w:val="88"/>
    <w:autoRedefine/>
    <w:qFormat/>
    <w:uiPriority w:val="0"/>
    <w:pPr>
      <w:jc w:val="center"/>
    </w:pPr>
    <w:rPr>
      <w:rFonts w:ascii="宋体"/>
      <w:sz w:val="28"/>
      <w:szCs w:val="20"/>
    </w:rPr>
  </w:style>
  <w:style w:type="paragraph" w:styleId="16">
    <w:name w:val="List Bullet 4"/>
    <w:basedOn w:val="1"/>
    <w:autoRedefine/>
    <w:qFormat/>
    <w:uiPriority w:val="0"/>
    <w:pPr>
      <w:tabs>
        <w:tab w:val="left" w:pos="1620"/>
      </w:tabs>
      <w:ind w:left="1620" w:leftChars="600" w:hanging="360" w:hangingChars="200"/>
    </w:pPr>
    <w:rPr>
      <w:rFonts w:ascii="宋体"/>
      <w:sz w:val="28"/>
      <w:szCs w:val="20"/>
    </w:rPr>
  </w:style>
  <w:style w:type="paragraph" w:styleId="17">
    <w:name w:val="E-mail Signature"/>
    <w:basedOn w:val="1"/>
    <w:link w:val="89"/>
    <w:autoRedefine/>
    <w:qFormat/>
    <w:uiPriority w:val="0"/>
    <w:rPr>
      <w:rFonts w:ascii="宋体"/>
      <w:sz w:val="28"/>
      <w:szCs w:val="20"/>
    </w:rPr>
  </w:style>
  <w:style w:type="paragraph" w:styleId="18">
    <w:name w:val="List Number"/>
    <w:basedOn w:val="1"/>
    <w:autoRedefine/>
    <w:qFormat/>
    <w:uiPriority w:val="0"/>
    <w:pPr>
      <w:tabs>
        <w:tab w:val="left" w:pos="360"/>
      </w:tabs>
      <w:ind w:left="360" w:hanging="360" w:hangingChars="200"/>
    </w:pPr>
    <w:rPr>
      <w:rFonts w:ascii="宋体"/>
      <w:sz w:val="28"/>
      <w:szCs w:val="20"/>
    </w:rPr>
  </w:style>
  <w:style w:type="paragraph" w:styleId="19">
    <w:name w:val="Normal Indent"/>
    <w:basedOn w:val="1"/>
    <w:link w:val="113"/>
    <w:autoRedefine/>
    <w:qFormat/>
    <w:uiPriority w:val="0"/>
    <w:pPr>
      <w:ind w:firstLine="420"/>
    </w:pPr>
    <w:rPr>
      <w:szCs w:val="20"/>
    </w:rPr>
  </w:style>
  <w:style w:type="paragraph" w:styleId="20">
    <w:name w:val="caption"/>
    <w:basedOn w:val="1"/>
    <w:next w:val="1"/>
    <w:link w:val="122"/>
    <w:autoRedefine/>
    <w:qFormat/>
    <w:uiPriority w:val="0"/>
    <w:pPr>
      <w:spacing w:before="152" w:after="160"/>
    </w:pPr>
    <w:rPr>
      <w:rFonts w:ascii="Arial" w:hAnsi="Arial" w:eastAsia="黑体" w:cs="Arial"/>
      <w:sz w:val="20"/>
      <w:szCs w:val="20"/>
    </w:rPr>
  </w:style>
  <w:style w:type="paragraph" w:styleId="21">
    <w:name w:val="List Bullet"/>
    <w:basedOn w:val="1"/>
    <w:autoRedefine/>
    <w:qFormat/>
    <w:uiPriority w:val="0"/>
    <w:pPr>
      <w:tabs>
        <w:tab w:val="left" w:pos="360"/>
      </w:tabs>
      <w:ind w:left="360" w:hanging="360" w:hangingChars="200"/>
    </w:pPr>
    <w:rPr>
      <w:rFonts w:ascii="宋体"/>
      <w:sz w:val="28"/>
      <w:szCs w:val="20"/>
    </w:rPr>
  </w:style>
  <w:style w:type="paragraph" w:styleId="22">
    <w:name w:val="envelope address"/>
    <w:basedOn w:val="1"/>
    <w:autoRedefine/>
    <w:qFormat/>
    <w:uiPriority w:val="0"/>
    <w:pPr>
      <w:snapToGrid w:val="0"/>
      <w:ind w:left="100" w:leftChars="1400"/>
    </w:pPr>
    <w:rPr>
      <w:rFonts w:ascii="Arial" w:hAnsi="Arial"/>
      <w:sz w:val="24"/>
      <w:szCs w:val="20"/>
    </w:rPr>
  </w:style>
  <w:style w:type="paragraph" w:styleId="23">
    <w:name w:val="Document Map"/>
    <w:basedOn w:val="1"/>
    <w:link w:val="90"/>
    <w:autoRedefine/>
    <w:semiHidden/>
    <w:qFormat/>
    <w:uiPriority w:val="0"/>
    <w:pPr>
      <w:shd w:val="clear" w:color="auto" w:fill="000080"/>
    </w:pPr>
    <w:rPr>
      <w:rFonts w:ascii="(使用中文字体)" w:hAnsi="(使用中文字体)" w:eastAsia="(使用中文字体)" w:cs="(使用中文字体)"/>
    </w:rPr>
  </w:style>
  <w:style w:type="paragraph" w:styleId="24">
    <w:name w:val="annotation text"/>
    <w:basedOn w:val="1"/>
    <w:link w:val="91"/>
    <w:autoRedefine/>
    <w:qFormat/>
    <w:uiPriority w:val="99"/>
    <w:pPr>
      <w:jc w:val="left"/>
    </w:pPr>
  </w:style>
  <w:style w:type="paragraph" w:styleId="25">
    <w:name w:val="Salutation"/>
    <w:basedOn w:val="1"/>
    <w:next w:val="1"/>
    <w:link w:val="92"/>
    <w:autoRedefine/>
    <w:qFormat/>
    <w:uiPriority w:val="0"/>
    <w:rPr>
      <w:rFonts w:ascii="宋体"/>
      <w:sz w:val="28"/>
      <w:szCs w:val="20"/>
    </w:rPr>
  </w:style>
  <w:style w:type="paragraph" w:styleId="26">
    <w:name w:val="Body Text 3"/>
    <w:basedOn w:val="1"/>
    <w:link w:val="93"/>
    <w:autoRedefine/>
    <w:qFormat/>
    <w:uiPriority w:val="0"/>
    <w:pPr>
      <w:spacing w:after="120"/>
    </w:pPr>
    <w:rPr>
      <w:rFonts w:ascii="宋体"/>
      <w:sz w:val="16"/>
      <w:szCs w:val="20"/>
    </w:rPr>
  </w:style>
  <w:style w:type="paragraph" w:styleId="27">
    <w:name w:val="Closing"/>
    <w:basedOn w:val="1"/>
    <w:link w:val="94"/>
    <w:autoRedefine/>
    <w:qFormat/>
    <w:uiPriority w:val="0"/>
    <w:pPr>
      <w:ind w:left="100" w:leftChars="2100"/>
    </w:pPr>
    <w:rPr>
      <w:rFonts w:ascii="宋体"/>
      <w:sz w:val="28"/>
      <w:szCs w:val="20"/>
    </w:rPr>
  </w:style>
  <w:style w:type="paragraph" w:styleId="28">
    <w:name w:val="List Bullet 3"/>
    <w:basedOn w:val="1"/>
    <w:autoRedefine/>
    <w:qFormat/>
    <w:uiPriority w:val="0"/>
    <w:pPr>
      <w:tabs>
        <w:tab w:val="left" w:pos="1200"/>
      </w:tabs>
      <w:ind w:left="1200" w:leftChars="400" w:hanging="360" w:hangingChars="200"/>
    </w:pPr>
    <w:rPr>
      <w:rFonts w:ascii="宋体"/>
      <w:sz w:val="28"/>
      <w:szCs w:val="20"/>
    </w:rPr>
  </w:style>
  <w:style w:type="paragraph" w:styleId="29">
    <w:name w:val="Body Text"/>
    <w:basedOn w:val="1"/>
    <w:link w:val="95"/>
    <w:autoRedefine/>
    <w:qFormat/>
    <w:uiPriority w:val="0"/>
    <w:pPr>
      <w:spacing w:line="520" w:lineRule="exact"/>
      <w:jc w:val="center"/>
    </w:pPr>
    <w:rPr>
      <w:rFonts w:eastAsia="黑体"/>
      <w:color w:val="FF0000"/>
      <w:sz w:val="44"/>
    </w:rPr>
  </w:style>
  <w:style w:type="paragraph" w:styleId="30">
    <w:name w:val="List Number 3"/>
    <w:basedOn w:val="1"/>
    <w:autoRedefine/>
    <w:qFormat/>
    <w:uiPriority w:val="0"/>
    <w:pPr>
      <w:tabs>
        <w:tab w:val="left" w:pos="1200"/>
      </w:tabs>
      <w:ind w:left="1200" w:leftChars="400" w:hanging="360" w:hangingChars="200"/>
    </w:pPr>
    <w:rPr>
      <w:rFonts w:ascii="宋体"/>
      <w:sz w:val="28"/>
      <w:szCs w:val="20"/>
    </w:rPr>
  </w:style>
  <w:style w:type="paragraph" w:styleId="31">
    <w:name w:val="List 2"/>
    <w:basedOn w:val="1"/>
    <w:autoRedefine/>
    <w:qFormat/>
    <w:uiPriority w:val="0"/>
    <w:pPr>
      <w:ind w:left="100" w:leftChars="200" w:hanging="200" w:hangingChars="200"/>
    </w:pPr>
    <w:rPr>
      <w:rFonts w:ascii="宋体"/>
      <w:sz w:val="28"/>
      <w:szCs w:val="20"/>
    </w:rPr>
  </w:style>
  <w:style w:type="paragraph" w:styleId="32">
    <w:name w:val="List Continue"/>
    <w:basedOn w:val="1"/>
    <w:autoRedefine/>
    <w:qFormat/>
    <w:uiPriority w:val="0"/>
    <w:pPr>
      <w:spacing w:after="120"/>
      <w:ind w:left="420" w:leftChars="200"/>
    </w:pPr>
    <w:rPr>
      <w:rFonts w:ascii="宋体"/>
      <w:sz w:val="28"/>
      <w:szCs w:val="20"/>
    </w:rPr>
  </w:style>
  <w:style w:type="paragraph" w:styleId="33">
    <w:name w:val="Block Text"/>
    <w:basedOn w:val="1"/>
    <w:autoRedefine/>
    <w:qFormat/>
    <w:uiPriority w:val="0"/>
    <w:pPr>
      <w:ind w:left="1080" w:right="206" w:firstLine="465"/>
    </w:pPr>
    <w:rPr>
      <w:rFonts w:ascii="楷体_GB2312" w:eastAsia="楷体_GB2312"/>
      <w:sz w:val="28"/>
      <w:szCs w:val="20"/>
    </w:rPr>
  </w:style>
  <w:style w:type="paragraph" w:styleId="34">
    <w:name w:val="List Bullet 2"/>
    <w:basedOn w:val="1"/>
    <w:autoRedefine/>
    <w:qFormat/>
    <w:uiPriority w:val="0"/>
    <w:pPr>
      <w:tabs>
        <w:tab w:val="left" w:pos="780"/>
      </w:tabs>
      <w:ind w:left="780" w:leftChars="200" w:hanging="360" w:hangingChars="200"/>
    </w:pPr>
    <w:rPr>
      <w:rFonts w:ascii="宋体"/>
      <w:sz w:val="28"/>
      <w:szCs w:val="20"/>
    </w:rPr>
  </w:style>
  <w:style w:type="paragraph" w:styleId="35">
    <w:name w:val="HTML Address"/>
    <w:basedOn w:val="1"/>
    <w:link w:val="97"/>
    <w:autoRedefine/>
    <w:qFormat/>
    <w:uiPriority w:val="0"/>
    <w:rPr>
      <w:rFonts w:ascii="宋体"/>
      <w:i/>
      <w:sz w:val="28"/>
      <w:szCs w:val="20"/>
    </w:rPr>
  </w:style>
  <w:style w:type="paragraph" w:styleId="36">
    <w:name w:val="toc 3"/>
    <w:basedOn w:val="1"/>
    <w:next w:val="1"/>
    <w:autoRedefine/>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37">
    <w:name w:val="Plain Text"/>
    <w:basedOn w:val="1"/>
    <w:link w:val="98"/>
    <w:autoRedefine/>
    <w:qFormat/>
    <w:uiPriority w:val="0"/>
    <w:rPr>
      <w:rFonts w:ascii="Courier New" w:hAnsi="Courier New"/>
      <w:sz w:val="28"/>
      <w:szCs w:val="20"/>
    </w:rPr>
  </w:style>
  <w:style w:type="paragraph" w:styleId="38">
    <w:name w:val="List Bullet 5"/>
    <w:basedOn w:val="1"/>
    <w:autoRedefine/>
    <w:qFormat/>
    <w:uiPriority w:val="0"/>
    <w:pPr>
      <w:tabs>
        <w:tab w:val="left" w:pos="2040"/>
      </w:tabs>
      <w:ind w:left="2040" w:leftChars="800" w:hanging="360" w:hangingChars="200"/>
    </w:pPr>
    <w:rPr>
      <w:rFonts w:ascii="宋体"/>
      <w:sz w:val="28"/>
      <w:szCs w:val="20"/>
    </w:rPr>
  </w:style>
  <w:style w:type="paragraph" w:styleId="39">
    <w:name w:val="List Number 4"/>
    <w:basedOn w:val="1"/>
    <w:autoRedefine/>
    <w:qFormat/>
    <w:uiPriority w:val="0"/>
    <w:pPr>
      <w:tabs>
        <w:tab w:val="left" w:pos="1620"/>
      </w:tabs>
      <w:ind w:left="1620" w:leftChars="600" w:hanging="360" w:hangingChars="200"/>
    </w:pPr>
    <w:rPr>
      <w:rFonts w:ascii="宋体"/>
      <w:sz w:val="28"/>
      <w:szCs w:val="20"/>
    </w:rPr>
  </w:style>
  <w:style w:type="paragraph" w:styleId="40">
    <w:name w:val="Date"/>
    <w:basedOn w:val="1"/>
    <w:next w:val="1"/>
    <w:link w:val="77"/>
    <w:autoRedefine/>
    <w:unhideWhenUsed/>
    <w:qFormat/>
    <w:uiPriority w:val="0"/>
    <w:pPr>
      <w:ind w:left="100" w:leftChars="2500"/>
    </w:pPr>
  </w:style>
  <w:style w:type="paragraph" w:styleId="41">
    <w:name w:val="Body Text Indent 2"/>
    <w:basedOn w:val="1"/>
    <w:link w:val="99"/>
    <w:autoRedefine/>
    <w:qFormat/>
    <w:uiPriority w:val="0"/>
    <w:pPr>
      <w:spacing w:line="320" w:lineRule="atLeast"/>
      <w:ind w:firstLine="600" w:firstLineChars="250"/>
    </w:pPr>
    <w:rPr>
      <w:rFonts w:ascii="宋体" w:hAnsi="宋体"/>
      <w:sz w:val="24"/>
    </w:rPr>
  </w:style>
  <w:style w:type="paragraph" w:styleId="42">
    <w:name w:val="List Continue 5"/>
    <w:basedOn w:val="1"/>
    <w:autoRedefine/>
    <w:qFormat/>
    <w:uiPriority w:val="0"/>
    <w:pPr>
      <w:spacing w:after="120"/>
      <w:ind w:left="2100" w:leftChars="1000"/>
    </w:pPr>
    <w:rPr>
      <w:rFonts w:ascii="宋体"/>
      <w:sz w:val="28"/>
      <w:szCs w:val="20"/>
    </w:rPr>
  </w:style>
  <w:style w:type="paragraph" w:styleId="43">
    <w:name w:val="Balloon Text"/>
    <w:basedOn w:val="1"/>
    <w:link w:val="100"/>
    <w:autoRedefine/>
    <w:unhideWhenUsed/>
    <w:qFormat/>
    <w:uiPriority w:val="99"/>
    <w:rPr>
      <w:sz w:val="18"/>
      <w:szCs w:val="18"/>
    </w:rPr>
  </w:style>
  <w:style w:type="paragraph" w:styleId="44">
    <w:name w:val="footer"/>
    <w:basedOn w:val="1"/>
    <w:link w:val="76"/>
    <w:autoRedefine/>
    <w:unhideWhenUsed/>
    <w:qFormat/>
    <w:uiPriority w:val="0"/>
    <w:pPr>
      <w:tabs>
        <w:tab w:val="center" w:pos="4153"/>
        <w:tab w:val="right" w:pos="8306"/>
      </w:tabs>
      <w:snapToGrid w:val="0"/>
      <w:jc w:val="left"/>
    </w:pPr>
    <w:rPr>
      <w:sz w:val="18"/>
      <w:szCs w:val="18"/>
    </w:rPr>
  </w:style>
  <w:style w:type="paragraph" w:styleId="45">
    <w:name w:val="envelope return"/>
    <w:basedOn w:val="1"/>
    <w:autoRedefine/>
    <w:qFormat/>
    <w:uiPriority w:val="0"/>
    <w:pPr>
      <w:snapToGrid w:val="0"/>
    </w:pPr>
    <w:rPr>
      <w:rFonts w:ascii="Arial" w:hAnsi="Arial"/>
      <w:sz w:val="28"/>
      <w:szCs w:val="20"/>
    </w:rPr>
  </w:style>
  <w:style w:type="paragraph" w:styleId="46">
    <w:name w:val="header"/>
    <w:basedOn w:val="1"/>
    <w:link w:val="7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7">
    <w:name w:val="Signature"/>
    <w:basedOn w:val="1"/>
    <w:link w:val="101"/>
    <w:autoRedefine/>
    <w:qFormat/>
    <w:uiPriority w:val="0"/>
    <w:pPr>
      <w:ind w:left="100" w:leftChars="2100"/>
    </w:pPr>
    <w:rPr>
      <w:rFonts w:ascii="宋体"/>
      <w:sz w:val="28"/>
      <w:szCs w:val="20"/>
    </w:rPr>
  </w:style>
  <w:style w:type="paragraph" w:styleId="48">
    <w:name w:val="toc 1"/>
    <w:basedOn w:val="1"/>
    <w:next w:val="1"/>
    <w:autoRedefine/>
    <w:qFormat/>
    <w:uiPriority w:val="39"/>
    <w:pPr>
      <w:tabs>
        <w:tab w:val="right" w:leader="dot" w:pos="8296"/>
      </w:tabs>
    </w:pPr>
    <w:rPr>
      <w:rFonts w:ascii="黑体" w:eastAsia="黑体"/>
      <w:b/>
    </w:rPr>
  </w:style>
  <w:style w:type="paragraph" w:styleId="49">
    <w:name w:val="List Continue 4"/>
    <w:basedOn w:val="1"/>
    <w:autoRedefine/>
    <w:qFormat/>
    <w:uiPriority w:val="0"/>
    <w:pPr>
      <w:spacing w:after="120"/>
      <w:ind w:left="1680" w:leftChars="800"/>
    </w:pPr>
    <w:rPr>
      <w:rFonts w:ascii="宋体"/>
      <w:sz w:val="28"/>
      <w:szCs w:val="20"/>
    </w:rPr>
  </w:style>
  <w:style w:type="paragraph" w:styleId="50">
    <w:name w:val="Subtitle"/>
    <w:basedOn w:val="1"/>
    <w:link w:val="102"/>
    <w:autoRedefine/>
    <w:qFormat/>
    <w:uiPriority w:val="0"/>
    <w:pPr>
      <w:spacing w:before="240" w:after="60" w:line="312" w:lineRule="auto"/>
      <w:jc w:val="center"/>
      <w:outlineLvl w:val="1"/>
    </w:pPr>
    <w:rPr>
      <w:rFonts w:ascii="Arial" w:hAnsi="Arial"/>
      <w:b/>
      <w:kern w:val="28"/>
      <w:sz w:val="32"/>
      <w:szCs w:val="20"/>
    </w:rPr>
  </w:style>
  <w:style w:type="paragraph" w:styleId="51">
    <w:name w:val="List Number 5"/>
    <w:basedOn w:val="1"/>
    <w:autoRedefine/>
    <w:qFormat/>
    <w:uiPriority w:val="0"/>
    <w:pPr>
      <w:tabs>
        <w:tab w:val="left" w:pos="2040"/>
      </w:tabs>
      <w:ind w:left="2040" w:leftChars="800" w:hanging="360" w:hangingChars="200"/>
    </w:pPr>
    <w:rPr>
      <w:rFonts w:ascii="宋体"/>
      <w:sz w:val="28"/>
      <w:szCs w:val="20"/>
    </w:rPr>
  </w:style>
  <w:style w:type="paragraph" w:styleId="52">
    <w:name w:val="List"/>
    <w:basedOn w:val="1"/>
    <w:autoRedefine/>
    <w:qFormat/>
    <w:uiPriority w:val="0"/>
    <w:pPr>
      <w:ind w:left="200" w:hanging="200" w:hangingChars="200"/>
    </w:pPr>
    <w:rPr>
      <w:rFonts w:ascii="宋体"/>
      <w:sz w:val="28"/>
      <w:szCs w:val="20"/>
    </w:rPr>
  </w:style>
  <w:style w:type="paragraph" w:styleId="53">
    <w:name w:val="List 5"/>
    <w:basedOn w:val="1"/>
    <w:autoRedefine/>
    <w:qFormat/>
    <w:uiPriority w:val="0"/>
    <w:pPr>
      <w:ind w:left="100" w:leftChars="800" w:hanging="200" w:hangingChars="200"/>
    </w:pPr>
    <w:rPr>
      <w:rFonts w:ascii="宋体"/>
      <w:sz w:val="28"/>
      <w:szCs w:val="20"/>
    </w:rPr>
  </w:style>
  <w:style w:type="paragraph" w:styleId="54">
    <w:name w:val="Body Text Indent 3"/>
    <w:basedOn w:val="1"/>
    <w:link w:val="103"/>
    <w:autoRedefine/>
    <w:qFormat/>
    <w:uiPriority w:val="0"/>
    <w:pPr>
      <w:spacing w:line="560" w:lineRule="exact"/>
      <w:ind w:firstLine="568" w:firstLineChars="200"/>
    </w:pPr>
    <w:rPr>
      <w:rFonts w:ascii="仿宋_GB2312" w:hAnsi="宋体" w:eastAsia="仿宋_GB2312"/>
      <w:spacing w:val="-8"/>
      <w:sz w:val="30"/>
    </w:rPr>
  </w:style>
  <w:style w:type="paragraph" w:styleId="55">
    <w:name w:val="toc 2"/>
    <w:basedOn w:val="1"/>
    <w:next w:val="1"/>
    <w:autoRedefine/>
    <w:semiHidden/>
    <w:qFormat/>
    <w:uiPriority w:val="39"/>
    <w:pPr>
      <w:tabs>
        <w:tab w:val="right" w:leader="dot" w:pos="8296"/>
      </w:tabs>
      <w:ind w:left="420" w:leftChars="200"/>
    </w:pPr>
    <w:rPr>
      <w:rFonts w:ascii="黑体" w:eastAsia="黑体"/>
      <w:b/>
    </w:rPr>
  </w:style>
  <w:style w:type="paragraph" w:styleId="56">
    <w:name w:val="Body Text 2"/>
    <w:basedOn w:val="1"/>
    <w:link w:val="104"/>
    <w:autoRedefine/>
    <w:qFormat/>
    <w:uiPriority w:val="0"/>
    <w:pPr>
      <w:spacing w:line="440" w:lineRule="exact"/>
    </w:pPr>
    <w:rPr>
      <w:rFonts w:ascii="宋体" w:hAnsi="宋体"/>
      <w:sz w:val="24"/>
      <w:szCs w:val="20"/>
    </w:rPr>
  </w:style>
  <w:style w:type="paragraph" w:styleId="57">
    <w:name w:val="List 4"/>
    <w:basedOn w:val="1"/>
    <w:autoRedefine/>
    <w:qFormat/>
    <w:uiPriority w:val="0"/>
    <w:pPr>
      <w:ind w:left="100" w:leftChars="600" w:hanging="200" w:hangingChars="200"/>
    </w:pPr>
    <w:rPr>
      <w:rFonts w:ascii="宋体"/>
      <w:sz w:val="28"/>
      <w:szCs w:val="20"/>
    </w:rPr>
  </w:style>
  <w:style w:type="paragraph" w:styleId="58">
    <w:name w:val="List Continue 2"/>
    <w:basedOn w:val="1"/>
    <w:autoRedefine/>
    <w:qFormat/>
    <w:uiPriority w:val="0"/>
    <w:pPr>
      <w:spacing w:after="120"/>
      <w:ind w:left="840" w:leftChars="400"/>
    </w:pPr>
    <w:rPr>
      <w:rFonts w:ascii="宋体"/>
      <w:sz w:val="28"/>
      <w:szCs w:val="20"/>
    </w:rPr>
  </w:style>
  <w:style w:type="paragraph" w:styleId="59">
    <w:name w:val="Message Header"/>
    <w:basedOn w:val="1"/>
    <w:link w:val="105"/>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60">
    <w:name w:val="HTML Preformatted"/>
    <w:basedOn w:val="1"/>
    <w:link w:val="106"/>
    <w:autoRedefine/>
    <w:qFormat/>
    <w:uiPriority w:val="0"/>
    <w:rPr>
      <w:rFonts w:ascii="Courier New" w:hAnsi="Courier New"/>
      <w:sz w:val="20"/>
      <w:szCs w:val="20"/>
    </w:rPr>
  </w:style>
  <w:style w:type="paragraph" w:styleId="61">
    <w:name w:val="Normal (Web)"/>
    <w:basedOn w:val="1"/>
    <w:autoRedefine/>
    <w:qFormat/>
    <w:uiPriority w:val="0"/>
    <w:rPr>
      <w:sz w:val="24"/>
      <w:szCs w:val="20"/>
    </w:rPr>
  </w:style>
  <w:style w:type="paragraph" w:styleId="62">
    <w:name w:val="List Continue 3"/>
    <w:basedOn w:val="1"/>
    <w:autoRedefine/>
    <w:qFormat/>
    <w:uiPriority w:val="0"/>
    <w:pPr>
      <w:spacing w:after="120"/>
      <w:ind w:left="1260" w:leftChars="600"/>
    </w:pPr>
    <w:rPr>
      <w:rFonts w:ascii="宋体"/>
      <w:sz w:val="28"/>
      <w:szCs w:val="20"/>
    </w:rPr>
  </w:style>
  <w:style w:type="paragraph" w:styleId="63">
    <w:name w:val="Title"/>
    <w:basedOn w:val="1"/>
    <w:link w:val="107"/>
    <w:autoRedefine/>
    <w:qFormat/>
    <w:uiPriority w:val="0"/>
    <w:pPr>
      <w:spacing w:before="240" w:after="60"/>
      <w:jc w:val="center"/>
      <w:outlineLvl w:val="0"/>
    </w:pPr>
    <w:rPr>
      <w:rFonts w:ascii="Arial" w:hAnsi="Arial"/>
      <w:b/>
      <w:sz w:val="32"/>
      <w:szCs w:val="20"/>
    </w:rPr>
  </w:style>
  <w:style w:type="paragraph" w:styleId="64">
    <w:name w:val="annotation subject"/>
    <w:basedOn w:val="24"/>
    <w:next w:val="24"/>
    <w:link w:val="108"/>
    <w:autoRedefine/>
    <w:unhideWhenUsed/>
    <w:qFormat/>
    <w:uiPriority w:val="99"/>
    <w:rPr>
      <w:b/>
      <w:bCs/>
    </w:rPr>
  </w:style>
  <w:style w:type="paragraph" w:styleId="65">
    <w:name w:val="Body Text First Indent"/>
    <w:basedOn w:val="29"/>
    <w:next w:val="1"/>
    <w:link w:val="109"/>
    <w:autoRedefine/>
    <w:qFormat/>
    <w:uiPriority w:val="0"/>
    <w:pPr>
      <w:spacing w:after="120" w:line="240" w:lineRule="auto"/>
      <w:ind w:firstLine="420" w:firstLineChars="100"/>
      <w:jc w:val="both"/>
    </w:pPr>
    <w:rPr>
      <w:rFonts w:ascii="宋体" w:eastAsia="宋体"/>
      <w:color w:val="auto"/>
      <w:sz w:val="28"/>
      <w:szCs w:val="20"/>
    </w:rPr>
  </w:style>
  <w:style w:type="table" w:styleId="67">
    <w:name w:val="Table Grid"/>
    <w:basedOn w:val="66"/>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9">
    <w:name w:val="Strong"/>
    <w:basedOn w:val="68"/>
    <w:autoRedefine/>
    <w:qFormat/>
    <w:uiPriority w:val="0"/>
    <w:rPr>
      <w:b/>
      <w:bCs/>
    </w:rPr>
  </w:style>
  <w:style w:type="character" w:styleId="70">
    <w:name w:val="page number"/>
    <w:basedOn w:val="68"/>
    <w:autoRedefine/>
    <w:qFormat/>
    <w:uiPriority w:val="0"/>
  </w:style>
  <w:style w:type="character" w:styleId="71">
    <w:name w:val="FollowedHyperlink"/>
    <w:basedOn w:val="68"/>
    <w:autoRedefine/>
    <w:qFormat/>
    <w:uiPriority w:val="0"/>
    <w:rPr>
      <w:color w:val="800080"/>
      <w:u w:val="single"/>
    </w:rPr>
  </w:style>
  <w:style w:type="character" w:styleId="72">
    <w:name w:val="Emphasis"/>
    <w:basedOn w:val="68"/>
    <w:autoRedefine/>
    <w:qFormat/>
    <w:uiPriority w:val="20"/>
    <w:rPr>
      <w:rFonts w:eastAsia="宋体"/>
      <w:b/>
      <w:iCs/>
      <w:color w:val="3333FF"/>
      <w:sz w:val="28"/>
    </w:rPr>
  </w:style>
  <w:style w:type="character" w:styleId="73">
    <w:name w:val="Hyperlink"/>
    <w:basedOn w:val="68"/>
    <w:autoRedefine/>
    <w:qFormat/>
    <w:uiPriority w:val="99"/>
    <w:rPr>
      <w:color w:val="0000FF"/>
      <w:u w:val="single"/>
    </w:rPr>
  </w:style>
  <w:style w:type="character" w:styleId="74">
    <w:name w:val="annotation reference"/>
    <w:basedOn w:val="68"/>
    <w:autoRedefine/>
    <w:unhideWhenUsed/>
    <w:qFormat/>
    <w:uiPriority w:val="99"/>
    <w:rPr>
      <w:sz w:val="21"/>
      <w:szCs w:val="21"/>
    </w:rPr>
  </w:style>
  <w:style w:type="character" w:customStyle="1" w:styleId="75">
    <w:name w:val="页眉 Char"/>
    <w:basedOn w:val="68"/>
    <w:link w:val="46"/>
    <w:autoRedefine/>
    <w:semiHidden/>
    <w:qFormat/>
    <w:uiPriority w:val="99"/>
    <w:rPr>
      <w:sz w:val="18"/>
      <w:szCs w:val="18"/>
    </w:rPr>
  </w:style>
  <w:style w:type="character" w:customStyle="1" w:styleId="76">
    <w:name w:val="页脚 Char"/>
    <w:basedOn w:val="68"/>
    <w:link w:val="44"/>
    <w:autoRedefine/>
    <w:qFormat/>
    <w:uiPriority w:val="99"/>
    <w:rPr>
      <w:sz w:val="18"/>
      <w:szCs w:val="18"/>
    </w:rPr>
  </w:style>
  <w:style w:type="character" w:customStyle="1" w:styleId="77">
    <w:name w:val="日期 Char"/>
    <w:basedOn w:val="68"/>
    <w:link w:val="40"/>
    <w:autoRedefine/>
    <w:semiHidden/>
    <w:qFormat/>
    <w:uiPriority w:val="99"/>
    <w:rPr>
      <w:rFonts w:ascii="Times New Roman" w:hAnsi="Times New Roman" w:eastAsia="宋体" w:cs="Times New Roman"/>
      <w:szCs w:val="24"/>
    </w:rPr>
  </w:style>
  <w:style w:type="paragraph" w:styleId="78">
    <w:name w:val="List Paragraph"/>
    <w:basedOn w:val="1"/>
    <w:autoRedefine/>
    <w:qFormat/>
    <w:uiPriority w:val="34"/>
    <w:pPr>
      <w:ind w:firstLine="420" w:firstLineChars="200"/>
    </w:pPr>
  </w:style>
  <w:style w:type="character" w:customStyle="1" w:styleId="79">
    <w:name w:val="标题 1 Char"/>
    <w:basedOn w:val="68"/>
    <w:link w:val="4"/>
    <w:autoRedefine/>
    <w:qFormat/>
    <w:uiPriority w:val="0"/>
    <w:rPr>
      <w:rFonts w:ascii="Times New Roman" w:hAnsi="Times New Roman" w:eastAsia="宋体" w:cs="Times New Roman"/>
      <w:b/>
      <w:bCs/>
      <w:kern w:val="44"/>
      <w:sz w:val="44"/>
      <w:szCs w:val="44"/>
    </w:rPr>
  </w:style>
  <w:style w:type="character" w:customStyle="1" w:styleId="80">
    <w:name w:val="标题 2 Char"/>
    <w:basedOn w:val="68"/>
    <w:link w:val="5"/>
    <w:autoRedefine/>
    <w:qFormat/>
    <w:uiPriority w:val="0"/>
    <w:rPr>
      <w:rFonts w:ascii="Arial" w:hAnsi="Arial" w:eastAsia="黑体" w:cs="Times New Roman"/>
      <w:b/>
      <w:bCs/>
      <w:sz w:val="32"/>
      <w:szCs w:val="32"/>
    </w:rPr>
  </w:style>
  <w:style w:type="character" w:customStyle="1" w:styleId="81">
    <w:name w:val="标题 3 Char"/>
    <w:basedOn w:val="68"/>
    <w:link w:val="6"/>
    <w:autoRedefine/>
    <w:qFormat/>
    <w:uiPriority w:val="0"/>
    <w:rPr>
      <w:rFonts w:ascii="Times New Roman" w:hAnsi="Times New Roman" w:eastAsia="宋体" w:cs="Times New Roman"/>
      <w:b/>
      <w:sz w:val="32"/>
      <w:szCs w:val="20"/>
    </w:rPr>
  </w:style>
  <w:style w:type="character" w:customStyle="1" w:styleId="82">
    <w:name w:val="标题 4 Char"/>
    <w:basedOn w:val="68"/>
    <w:link w:val="7"/>
    <w:autoRedefine/>
    <w:qFormat/>
    <w:uiPriority w:val="0"/>
    <w:rPr>
      <w:rFonts w:ascii="Arial" w:hAnsi="Arial" w:eastAsia="黑体" w:cs="Times New Roman"/>
      <w:b/>
      <w:sz w:val="28"/>
      <w:szCs w:val="20"/>
    </w:rPr>
  </w:style>
  <w:style w:type="character" w:customStyle="1" w:styleId="83">
    <w:name w:val="标题 5 Char"/>
    <w:basedOn w:val="68"/>
    <w:link w:val="8"/>
    <w:autoRedefine/>
    <w:qFormat/>
    <w:uiPriority w:val="0"/>
    <w:rPr>
      <w:rFonts w:ascii="宋体" w:hAnsi="Times New Roman" w:eastAsia="宋体" w:cs="Times New Roman"/>
      <w:b/>
      <w:sz w:val="28"/>
      <w:szCs w:val="20"/>
    </w:rPr>
  </w:style>
  <w:style w:type="character" w:customStyle="1" w:styleId="84">
    <w:name w:val="标题 6 Char"/>
    <w:basedOn w:val="68"/>
    <w:link w:val="9"/>
    <w:autoRedefine/>
    <w:qFormat/>
    <w:uiPriority w:val="0"/>
    <w:rPr>
      <w:rFonts w:ascii="Arial" w:hAnsi="Arial" w:eastAsia="黑体" w:cs="Times New Roman"/>
      <w:b/>
      <w:sz w:val="24"/>
      <w:szCs w:val="20"/>
    </w:rPr>
  </w:style>
  <w:style w:type="character" w:customStyle="1" w:styleId="85">
    <w:name w:val="标题 7 Char"/>
    <w:basedOn w:val="68"/>
    <w:link w:val="10"/>
    <w:autoRedefine/>
    <w:qFormat/>
    <w:uiPriority w:val="0"/>
    <w:rPr>
      <w:rFonts w:ascii="Times New Roman" w:hAnsi="Times New Roman" w:eastAsia="宋体" w:cs="Times New Roman"/>
      <w:b/>
      <w:sz w:val="24"/>
      <w:szCs w:val="20"/>
    </w:rPr>
  </w:style>
  <w:style w:type="character" w:customStyle="1" w:styleId="86">
    <w:name w:val="标题 8 Char"/>
    <w:basedOn w:val="68"/>
    <w:link w:val="11"/>
    <w:autoRedefine/>
    <w:qFormat/>
    <w:uiPriority w:val="0"/>
    <w:rPr>
      <w:rFonts w:ascii="Arial" w:hAnsi="Arial" w:eastAsia="黑体" w:cs="Times New Roman"/>
      <w:sz w:val="24"/>
      <w:szCs w:val="20"/>
    </w:rPr>
  </w:style>
  <w:style w:type="character" w:customStyle="1" w:styleId="87">
    <w:name w:val="标题 9 Char"/>
    <w:basedOn w:val="68"/>
    <w:link w:val="12"/>
    <w:autoRedefine/>
    <w:qFormat/>
    <w:uiPriority w:val="0"/>
    <w:rPr>
      <w:rFonts w:ascii="Arial" w:hAnsi="Arial" w:eastAsia="黑体" w:cs="Times New Roman"/>
      <w:szCs w:val="20"/>
    </w:rPr>
  </w:style>
  <w:style w:type="character" w:customStyle="1" w:styleId="88">
    <w:name w:val="注释标题 Char"/>
    <w:basedOn w:val="68"/>
    <w:link w:val="15"/>
    <w:autoRedefine/>
    <w:qFormat/>
    <w:uiPriority w:val="0"/>
    <w:rPr>
      <w:rFonts w:ascii="宋体" w:hAnsi="Times New Roman" w:eastAsia="宋体" w:cs="Times New Roman"/>
      <w:sz w:val="28"/>
      <w:szCs w:val="20"/>
    </w:rPr>
  </w:style>
  <w:style w:type="character" w:customStyle="1" w:styleId="89">
    <w:name w:val="电子邮件签名 Char"/>
    <w:basedOn w:val="68"/>
    <w:link w:val="17"/>
    <w:autoRedefine/>
    <w:qFormat/>
    <w:uiPriority w:val="0"/>
    <w:rPr>
      <w:rFonts w:ascii="宋体" w:hAnsi="Times New Roman" w:eastAsia="宋体" w:cs="Times New Roman"/>
      <w:sz w:val="28"/>
      <w:szCs w:val="20"/>
    </w:rPr>
  </w:style>
  <w:style w:type="character" w:customStyle="1" w:styleId="90">
    <w:name w:val="文档结构图 Char"/>
    <w:basedOn w:val="68"/>
    <w:link w:val="23"/>
    <w:autoRedefine/>
    <w:semiHidden/>
    <w:qFormat/>
    <w:uiPriority w:val="0"/>
    <w:rPr>
      <w:rFonts w:ascii="(使用中文字体)" w:hAnsi="(使用中文字体)" w:eastAsia="(使用中文字体)" w:cs="(使用中文字体)"/>
      <w:szCs w:val="24"/>
      <w:shd w:val="clear" w:color="auto" w:fill="000080"/>
    </w:rPr>
  </w:style>
  <w:style w:type="character" w:customStyle="1" w:styleId="91">
    <w:name w:val="批注文字 Char"/>
    <w:basedOn w:val="68"/>
    <w:link w:val="24"/>
    <w:autoRedefine/>
    <w:qFormat/>
    <w:uiPriority w:val="99"/>
    <w:rPr>
      <w:rFonts w:ascii="Times New Roman" w:hAnsi="Times New Roman" w:eastAsia="宋体" w:cs="Times New Roman"/>
      <w:szCs w:val="24"/>
    </w:rPr>
  </w:style>
  <w:style w:type="character" w:customStyle="1" w:styleId="92">
    <w:name w:val="称呼 Char"/>
    <w:basedOn w:val="68"/>
    <w:link w:val="25"/>
    <w:autoRedefine/>
    <w:qFormat/>
    <w:uiPriority w:val="0"/>
    <w:rPr>
      <w:rFonts w:ascii="宋体" w:hAnsi="Times New Roman" w:eastAsia="宋体" w:cs="Times New Roman"/>
      <w:sz w:val="28"/>
      <w:szCs w:val="20"/>
    </w:rPr>
  </w:style>
  <w:style w:type="character" w:customStyle="1" w:styleId="93">
    <w:name w:val="正文文本 3 Char"/>
    <w:basedOn w:val="68"/>
    <w:link w:val="26"/>
    <w:autoRedefine/>
    <w:qFormat/>
    <w:uiPriority w:val="0"/>
    <w:rPr>
      <w:rFonts w:ascii="宋体" w:hAnsi="Times New Roman" w:eastAsia="宋体" w:cs="Times New Roman"/>
      <w:sz w:val="16"/>
      <w:szCs w:val="20"/>
    </w:rPr>
  </w:style>
  <w:style w:type="character" w:customStyle="1" w:styleId="94">
    <w:name w:val="结束语 Char"/>
    <w:basedOn w:val="68"/>
    <w:link w:val="27"/>
    <w:autoRedefine/>
    <w:qFormat/>
    <w:uiPriority w:val="0"/>
    <w:rPr>
      <w:rFonts w:ascii="宋体" w:hAnsi="Times New Roman" w:eastAsia="宋体" w:cs="Times New Roman"/>
      <w:sz w:val="28"/>
      <w:szCs w:val="20"/>
    </w:rPr>
  </w:style>
  <w:style w:type="character" w:customStyle="1" w:styleId="95">
    <w:name w:val="正文文本 Char"/>
    <w:basedOn w:val="68"/>
    <w:link w:val="29"/>
    <w:autoRedefine/>
    <w:qFormat/>
    <w:uiPriority w:val="0"/>
    <w:rPr>
      <w:rFonts w:ascii="Times New Roman" w:hAnsi="Times New Roman" w:eastAsia="黑体" w:cs="Times New Roman"/>
      <w:color w:val="FF0000"/>
      <w:sz w:val="44"/>
      <w:szCs w:val="24"/>
    </w:rPr>
  </w:style>
  <w:style w:type="character" w:customStyle="1" w:styleId="96">
    <w:name w:val="正文文本缩进 Char"/>
    <w:basedOn w:val="68"/>
    <w:link w:val="3"/>
    <w:autoRedefine/>
    <w:qFormat/>
    <w:uiPriority w:val="0"/>
    <w:rPr>
      <w:rFonts w:ascii="仿宋_GB2312" w:hAnsi="宋体" w:eastAsia="仿宋_GB2312" w:cs="Times New Roman"/>
      <w:sz w:val="30"/>
      <w:szCs w:val="24"/>
    </w:rPr>
  </w:style>
  <w:style w:type="character" w:customStyle="1" w:styleId="97">
    <w:name w:val="HTML 地址 Char"/>
    <w:basedOn w:val="68"/>
    <w:link w:val="35"/>
    <w:autoRedefine/>
    <w:qFormat/>
    <w:uiPriority w:val="0"/>
    <w:rPr>
      <w:rFonts w:ascii="宋体" w:hAnsi="Times New Roman" w:eastAsia="宋体" w:cs="Times New Roman"/>
      <w:i/>
      <w:sz w:val="28"/>
      <w:szCs w:val="20"/>
    </w:rPr>
  </w:style>
  <w:style w:type="character" w:customStyle="1" w:styleId="98">
    <w:name w:val="纯文本 Char"/>
    <w:basedOn w:val="68"/>
    <w:link w:val="37"/>
    <w:autoRedefine/>
    <w:qFormat/>
    <w:uiPriority w:val="0"/>
    <w:rPr>
      <w:rFonts w:ascii="Courier New" w:hAnsi="Courier New" w:eastAsia="宋体" w:cs="Times New Roman"/>
      <w:sz w:val="28"/>
      <w:szCs w:val="20"/>
    </w:rPr>
  </w:style>
  <w:style w:type="character" w:customStyle="1" w:styleId="99">
    <w:name w:val="正文文本缩进 2 Char"/>
    <w:basedOn w:val="68"/>
    <w:link w:val="41"/>
    <w:autoRedefine/>
    <w:qFormat/>
    <w:uiPriority w:val="0"/>
    <w:rPr>
      <w:rFonts w:ascii="宋体" w:hAnsi="宋体" w:eastAsia="宋体" w:cs="Times New Roman"/>
      <w:sz w:val="24"/>
      <w:szCs w:val="24"/>
    </w:rPr>
  </w:style>
  <w:style w:type="character" w:customStyle="1" w:styleId="100">
    <w:name w:val="批注框文本 Char"/>
    <w:basedOn w:val="68"/>
    <w:link w:val="43"/>
    <w:autoRedefine/>
    <w:qFormat/>
    <w:uiPriority w:val="99"/>
    <w:rPr>
      <w:rFonts w:ascii="Times New Roman" w:hAnsi="Times New Roman" w:eastAsia="宋体" w:cs="Times New Roman"/>
      <w:sz w:val="18"/>
      <w:szCs w:val="18"/>
    </w:rPr>
  </w:style>
  <w:style w:type="character" w:customStyle="1" w:styleId="101">
    <w:name w:val="签名 Char"/>
    <w:basedOn w:val="68"/>
    <w:link w:val="47"/>
    <w:autoRedefine/>
    <w:qFormat/>
    <w:uiPriority w:val="0"/>
    <w:rPr>
      <w:rFonts w:ascii="宋体" w:hAnsi="Times New Roman" w:eastAsia="宋体" w:cs="Times New Roman"/>
      <w:sz w:val="28"/>
      <w:szCs w:val="20"/>
    </w:rPr>
  </w:style>
  <w:style w:type="character" w:customStyle="1" w:styleId="102">
    <w:name w:val="副标题 Char"/>
    <w:basedOn w:val="68"/>
    <w:link w:val="50"/>
    <w:autoRedefine/>
    <w:qFormat/>
    <w:uiPriority w:val="0"/>
    <w:rPr>
      <w:rFonts w:ascii="Arial" w:hAnsi="Arial" w:eastAsia="宋体" w:cs="Times New Roman"/>
      <w:b/>
      <w:kern w:val="28"/>
      <w:sz w:val="32"/>
      <w:szCs w:val="20"/>
    </w:rPr>
  </w:style>
  <w:style w:type="character" w:customStyle="1" w:styleId="103">
    <w:name w:val="正文文本缩进 3 Char"/>
    <w:basedOn w:val="68"/>
    <w:link w:val="54"/>
    <w:autoRedefine/>
    <w:qFormat/>
    <w:uiPriority w:val="0"/>
    <w:rPr>
      <w:rFonts w:ascii="仿宋_GB2312" w:hAnsi="宋体" w:eastAsia="仿宋_GB2312" w:cs="Times New Roman"/>
      <w:spacing w:val="-8"/>
      <w:sz w:val="30"/>
      <w:szCs w:val="24"/>
    </w:rPr>
  </w:style>
  <w:style w:type="character" w:customStyle="1" w:styleId="104">
    <w:name w:val="正文文本 2 Char"/>
    <w:basedOn w:val="68"/>
    <w:link w:val="56"/>
    <w:autoRedefine/>
    <w:qFormat/>
    <w:uiPriority w:val="0"/>
    <w:rPr>
      <w:rFonts w:ascii="宋体" w:hAnsi="宋体" w:eastAsia="宋体" w:cs="Times New Roman"/>
      <w:sz w:val="24"/>
      <w:szCs w:val="20"/>
    </w:rPr>
  </w:style>
  <w:style w:type="character" w:customStyle="1" w:styleId="105">
    <w:name w:val="信息标题 Char"/>
    <w:basedOn w:val="68"/>
    <w:link w:val="59"/>
    <w:autoRedefine/>
    <w:qFormat/>
    <w:uiPriority w:val="0"/>
    <w:rPr>
      <w:rFonts w:ascii="Arial" w:hAnsi="Arial" w:eastAsia="宋体" w:cs="Times New Roman"/>
      <w:sz w:val="24"/>
      <w:szCs w:val="20"/>
      <w:shd w:val="pct20" w:color="auto" w:fill="auto"/>
    </w:rPr>
  </w:style>
  <w:style w:type="character" w:customStyle="1" w:styleId="106">
    <w:name w:val="HTML 预设格式 Char"/>
    <w:basedOn w:val="68"/>
    <w:link w:val="60"/>
    <w:autoRedefine/>
    <w:qFormat/>
    <w:uiPriority w:val="0"/>
    <w:rPr>
      <w:rFonts w:ascii="Courier New" w:hAnsi="Courier New" w:eastAsia="宋体" w:cs="Times New Roman"/>
      <w:sz w:val="20"/>
      <w:szCs w:val="20"/>
    </w:rPr>
  </w:style>
  <w:style w:type="character" w:customStyle="1" w:styleId="107">
    <w:name w:val="标题 Char"/>
    <w:basedOn w:val="68"/>
    <w:link w:val="63"/>
    <w:autoRedefine/>
    <w:qFormat/>
    <w:uiPriority w:val="0"/>
    <w:rPr>
      <w:rFonts w:ascii="Arial" w:hAnsi="Arial" w:eastAsia="宋体" w:cs="Times New Roman"/>
      <w:b/>
      <w:sz w:val="32"/>
      <w:szCs w:val="20"/>
    </w:rPr>
  </w:style>
  <w:style w:type="character" w:customStyle="1" w:styleId="108">
    <w:name w:val="批注主题 Char"/>
    <w:basedOn w:val="91"/>
    <w:link w:val="64"/>
    <w:autoRedefine/>
    <w:qFormat/>
    <w:uiPriority w:val="99"/>
    <w:rPr>
      <w:rFonts w:ascii="Times New Roman" w:hAnsi="Times New Roman" w:eastAsia="宋体" w:cs="Times New Roman"/>
      <w:b/>
      <w:bCs/>
      <w:szCs w:val="24"/>
    </w:rPr>
  </w:style>
  <w:style w:type="character" w:customStyle="1" w:styleId="109">
    <w:name w:val="正文首行缩进 Char"/>
    <w:basedOn w:val="95"/>
    <w:link w:val="65"/>
    <w:autoRedefine/>
    <w:qFormat/>
    <w:uiPriority w:val="0"/>
    <w:rPr>
      <w:rFonts w:ascii="宋体" w:hAnsi="Times New Roman" w:eastAsia="宋体" w:cs="Times New Roman"/>
      <w:color w:val="FF0000"/>
      <w:sz w:val="28"/>
      <w:szCs w:val="20"/>
    </w:rPr>
  </w:style>
  <w:style w:type="character" w:customStyle="1" w:styleId="110">
    <w:name w:val="正文首行缩进 2 Char"/>
    <w:basedOn w:val="96"/>
    <w:link w:val="2"/>
    <w:autoRedefine/>
    <w:qFormat/>
    <w:uiPriority w:val="99"/>
    <w:rPr>
      <w:rFonts w:ascii="宋体" w:hAnsi="Times New Roman" w:eastAsia="宋体" w:cs="Times New Roman"/>
      <w:sz w:val="28"/>
      <w:szCs w:val="20"/>
    </w:rPr>
  </w:style>
  <w:style w:type="character" w:customStyle="1" w:styleId="111">
    <w:name w:val="table-header"/>
    <w:basedOn w:val="68"/>
    <w:autoRedefine/>
    <w:qFormat/>
    <w:uiPriority w:val="0"/>
  </w:style>
  <w:style w:type="character" w:customStyle="1" w:styleId="112">
    <w:name w:val="ptb181"/>
    <w:basedOn w:val="68"/>
    <w:autoRedefine/>
    <w:qFormat/>
    <w:uiPriority w:val="0"/>
    <w:rPr>
      <w:rFonts w:hint="default" w:ascii="Verdana" w:hAnsi="Verdana"/>
      <w:b/>
      <w:bCs/>
      <w:color w:val="000000"/>
      <w:sz w:val="27"/>
      <w:szCs w:val="27"/>
    </w:rPr>
  </w:style>
  <w:style w:type="character" w:customStyle="1" w:styleId="113">
    <w:name w:val="正文缩进 Char"/>
    <w:basedOn w:val="68"/>
    <w:link w:val="19"/>
    <w:autoRedefine/>
    <w:qFormat/>
    <w:uiPriority w:val="0"/>
    <w:rPr>
      <w:rFonts w:ascii="Times New Roman" w:hAnsi="Times New Roman" w:eastAsia="宋体" w:cs="Times New Roman"/>
      <w:szCs w:val="20"/>
    </w:rPr>
  </w:style>
  <w:style w:type="character" w:customStyle="1" w:styleId="114">
    <w:name w:val="Texte Char"/>
    <w:basedOn w:val="68"/>
    <w:autoRedefine/>
    <w:qFormat/>
    <w:uiPriority w:val="0"/>
    <w:rPr>
      <w:rFonts w:ascii="宋体" w:hAnsi="Courier New" w:eastAsia="宋体"/>
      <w:sz w:val="21"/>
      <w:szCs w:val="21"/>
      <w:lang w:val="en-US" w:eastAsia="zh-CN" w:bidi="ar-SA"/>
    </w:rPr>
  </w:style>
  <w:style w:type="character" w:customStyle="1" w:styleId="115">
    <w:name w:val="Char Char12"/>
    <w:autoRedefine/>
    <w:qFormat/>
    <w:uiPriority w:val="0"/>
    <w:rPr>
      <w:rFonts w:ascii="仿宋_GB2312" w:hAnsi="宋体" w:eastAsia="仿宋_GB2312"/>
      <w:kern w:val="2"/>
      <w:sz w:val="30"/>
      <w:szCs w:val="24"/>
      <w:lang w:val="en-US" w:eastAsia="zh-CN" w:bidi="ar-SA"/>
    </w:rPr>
  </w:style>
  <w:style w:type="character" w:customStyle="1" w:styleId="116">
    <w:name w:val="style13"/>
    <w:basedOn w:val="68"/>
    <w:autoRedefine/>
    <w:qFormat/>
    <w:uiPriority w:val="0"/>
  </w:style>
  <w:style w:type="character" w:customStyle="1" w:styleId="117">
    <w:name w:val="Char Char9"/>
    <w:autoRedefine/>
    <w:qFormat/>
    <w:uiPriority w:val="0"/>
    <w:rPr>
      <w:rFonts w:ascii="宋体" w:hAnsi="Courier New" w:eastAsia="宋体"/>
      <w:kern w:val="2"/>
      <w:sz w:val="21"/>
      <w:lang w:val="en-US" w:eastAsia="zh-CN" w:bidi="ar-SA"/>
    </w:rPr>
  </w:style>
  <w:style w:type="character" w:customStyle="1" w:styleId="118">
    <w:name w:val="tw4winJump"/>
    <w:autoRedefine/>
    <w:qFormat/>
    <w:uiPriority w:val="0"/>
    <w:rPr>
      <w:rFonts w:ascii="Courier New" w:hAnsi="Courier New"/>
      <w:color w:val="008080"/>
    </w:rPr>
  </w:style>
  <w:style w:type="character" w:customStyle="1" w:styleId="119">
    <w:name w:val="列出段落 Char"/>
    <w:link w:val="120"/>
    <w:autoRedefine/>
    <w:qFormat/>
    <w:uiPriority w:val="34"/>
  </w:style>
  <w:style w:type="paragraph" w:customStyle="1" w:styleId="120">
    <w:name w:val="列出段落1"/>
    <w:basedOn w:val="1"/>
    <w:link w:val="119"/>
    <w:autoRedefine/>
    <w:qFormat/>
    <w:uiPriority w:val="34"/>
    <w:pPr>
      <w:ind w:firstLine="420" w:firstLineChars="200"/>
    </w:pPr>
    <w:rPr>
      <w:rFonts w:asciiTheme="minorHAnsi" w:hAnsiTheme="minorHAnsi" w:eastAsiaTheme="minorEastAsia" w:cstheme="minorBidi"/>
      <w:szCs w:val="22"/>
    </w:rPr>
  </w:style>
  <w:style w:type="character" w:customStyle="1" w:styleId="121">
    <w:name w:val="Char Char11"/>
    <w:autoRedefine/>
    <w:qFormat/>
    <w:uiPriority w:val="0"/>
    <w:rPr>
      <w:rFonts w:ascii="宋体" w:hAnsi="Courier New" w:eastAsia="宋体"/>
      <w:kern w:val="2"/>
      <w:sz w:val="21"/>
      <w:lang w:val="en-US" w:eastAsia="zh-CN" w:bidi="ar-SA"/>
    </w:rPr>
  </w:style>
  <w:style w:type="character" w:customStyle="1" w:styleId="122">
    <w:name w:val="题注 Char"/>
    <w:link w:val="20"/>
    <w:autoRedefine/>
    <w:qFormat/>
    <w:uiPriority w:val="0"/>
    <w:rPr>
      <w:rFonts w:ascii="Arial" w:hAnsi="Arial" w:eastAsia="黑体" w:cs="Arial"/>
      <w:sz w:val="20"/>
      <w:szCs w:val="20"/>
    </w:rPr>
  </w:style>
  <w:style w:type="character" w:customStyle="1" w:styleId="123">
    <w:name w:val="明显参考1"/>
    <w:basedOn w:val="68"/>
    <w:autoRedefine/>
    <w:qFormat/>
    <w:uiPriority w:val="0"/>
    <w:rPr>
      <w:b/>
      <w:bCs/>
      <w:smallCaps/>
      <w:color w:val="C0504D"/>
      <w:spacing w:val="5"/>
      <w:u w:val="single"/>
    </w:rPr>
  </w:style>
  <w:style w:type="character" w:customStyle="1" w:styleId="124">
    <w:name w:val="标题 1 Char Char"/>
    <w:basedOn w:val="68"/>
    <w:autoRedefine/>
    <w:qFormat/>
    <w:uiPriority w:val="0"/>
    <w:rPr>
      <w:rFonts w:eastAsia="宋体"/>
      <w:b/>
      <w:spacing w:val="-2"/>
      <w:sz w:val="24"/>
      <w:lang w:val="en-US" w:eastAsia="zh-CN" w:bidi="ar-SA"/>
    </w:rPr>
  </w:style>
  <w:style w:type="character" w:customStyle="1" w:styleId="125">
    <w:name w:val="chs1"/>
    <w:basedOn w:val="68"/>
    <w:autoRedefine/>
    <w:qFormat/>
    <w:uiPriority w:val="0"/>
    <w:rPr>
      <w:rFonts w:hint="default"/>
      <w:sz w:val="18"/>
      <w:szCs w:val="18"/>
    </w:rPr>
  </w:style>
  <w:style w:type="character" w:customStyle="1" w:styleId="126">
    <w:name w:val="偏离表字体 Char"/>
    <w:link w:val="127"/>
    <w:autoRedefine/>
    <w:qFormat/>
    <w:uiPriority w:val="0"/>
    <w:rPr>
      <w:rFonts w:ascii="宋体" w:hAnsi="宋体"/>
      <w:szCs w:val="21"/>
    </w:rPr>
  </w:style>
  <w:style w:type="paragraph" w:customStyle="1" w:styleId="127">
    <w:name w:val="偏离表字体"/>
    <w:basedOn w:val="1"/>
    <w:link w:val="126"/>
    <w:autoRedefine/>
    <w:qFormat/>
    <w:uiPriority w:val="0"/>
    <w:pPr>
      <w:tabs>
        <w:tab w:val="left" w:pos="4212"/>
      </w:tabs>
      <w:ind w:left="1" w:right="71" w:rightChars="34"/>
      <w:jc w:val="left"/>
    </w:pPr>
    <w:rPr>
      <w:rFonts w:ascii="宋体" w:hAnsi="宋体" w:eastAsiaTheme="minorEastAsia" w:cstheme="minorBidi"/>
      <w:szCs w:val="21"/>
    </w:rPr>
  </w:style>
  <w:style w:type="character" w:customStyle="1" w:styleId="128">
    <w:name w:val="ding"/>
    <w:basedOn w:val="68"/>
    <w:autoRedefine/>
    <w:qFormat/>
    <w:uiPriority w:val="0"/>
  </w:style>
  <w:style w:type="character" w:customStyle="1" w:styleId="129">
    <w:name w:val="apple-converted-space"/>
    <w:basedOn w:val="68"/>
    <w:autoRedefine/>
    <w:qFormat/>
    <w:uiPriority w:val="0"/>
  </w:style>
  <w:style w:type="character" w:customStyle="1" w:styleId="130">
    <w:name w:val="style61"/>
    <w:basedOn w:val="68"/>
    <w:autoRedefine/>
    <w:qFormat/>
    <w:uiPriority w:val="0"/>
    <w:rPr>
      <w:rFonts w:hint="default" w:ascii="Arial" w:hAnsi="Arial"/>
    </w:rPr>
  </w:style>
  <w:style w:type="character" w:customStyle="1" w:styleId="131">
    <w:name w:val="fontstyle01"/>
    <w:autoRedefine/>
    <w:qFormat/>
    <w:uiPriority w:val="0"/>
    <w:rPr>
      <w:rFonts w:hint="eastAsia" w:ascii="宋体" w:hAnsi="宋体" w:eastAsia="宋体"/>
      <w:color w:val="000000"/>
      <w:sz w:val="22"/>
      <w:szCs w:val="22"/>
    </w:rPr>
  </w:style>
  <w:style w:type="paragraph" w:customStyle="1" w:styleId="132">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133">
    <w:name w:val="_Style 10"/>
    <w:basedOn w:val="1"/>
    <w:autoRedefine/>
    <w:qFormat/>
    <w:uiPriority w:val="0"/>
    <w:pPr>
      <w:spacing w:line="360" w:lineRule="auto"/>
      <w:ind w:firstLine="200" w:firstLineChars="200"/>
    </w:pPr>
  </w:style>
  <w:style w:type="paragraph" w:customStyle="1" w:styleId="13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5">
    <w:name w:val="Char"/>
    <w:basedOn w:val="1"/>
    <w:autoRedefine/>
    <w:qFormat/>
    <w:uiPriority w:val="0"/>
    <w:rPr>
      <w:rFonts w:ascii="仿宋_GB2312" w:eastAsia="仿宋_GB2312"/>
      <w:b/>
      <w:sz w:val="32"/>
      <w:szCs w:val="32"/>
    </w:rPr>
  </w:style>
  <w:style w:type="paragraph" w:customStyle="1" w:styleId="136">
    <w:name w:val="公司名"/>
    <w:basedOn w:val="1"/>
    <w:autoRedefine/>
    <w:qFormat/>
    <w:uiPriority w:val="0"/>
    <w:pPr>
      <w:framePr w:w="3840" w:h="1366" w:wrap="notBeside" w:vAnchor="page" w:hAnchor="margin" w:y="889"/>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137">
    <w:name w:val="Default Paragraph Font Para 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138">
    <w:name w:val="正文段"/>
    <w:basedOn w:val="1"/>
    <w:autoRedefine/>
    <w:qFormat/>
    <w:uiPriority w:val="0"/>
    <w:pPr>
      <w:widowControl/>
      <w:snapToGrid w:val="0"/>
      <w:spacing w:afterLines="50"/>
      <w:ind w:firstLine="200" w:firstLineChars="200"/>
    </w:pPr>
    <w:rPr>
      <w:kern w:val="0"/>
      <w:sz w:val="24"/>
      <w:szCs w:val="20"/>
    </w:rPr>
  </w:style>
  <w:style w:type="paragraph" w:customStyle="1" w:styleId="139">
    <w:name w:val="xl25"/>
    <w:basedOn w:val="1"/>
    <w:autoRedefine/>
    <w:qFormat/>
    <w:uiPriority w:val="0"/>
    <w:pPr>
      <w:widowControl/>
      <w:spacing w:before="100" w:beforeAutospacing="1" w:after="100" w:afterAutospacing="1"/>
      <w:jc w:val="center"/>
    </w:pPr>
    <w:rPr>
      <w:rFonts w:hint="eastAsia" w:ascii="楷体_GB2312" w:hAnsi="宋体" w:eastAsia="楷体_GB2312"/>
      <w:kern w:val="0"/>
      <w:sz w:val="24"/>
    </w:rPr>
  </w:style>
  <w:style w:type="paragraph" w:customStyle="1" w:styleId="140">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Char Char Char Char1"/>
    <w:basedOn w:val="1"/>
    <w:autoRedefine/>
    <w:qFormat/>
    <w:uiPriority w:val="0"/>
    <w:rPr>
      <w:rFonts w:ascii="Tahoma" w:hAnsi="Tahoma"/>
      <w:sz w:val="24"/>
      <w:szCs w:val="20"/>
    </w:rPr>
  </w:style>
  <w:style w:type="paragraph" w:customStyle="1" w:styleId="142">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3">
    <w:name w:val="A正文小四"/>
    <w:basedOn w:val="1"/>
    <w:autoRedefine/>
    <w:qFormat/>
    <w:uiPriority w:val="0"/>
    <w:pPr>
      <w:spacing w:line="360" w:lineRule="auto"/>
      <w:ind w:firstLine="600" w:firstLineChars="200"/>
      <w:jc w:val="left"/>
    </w:pPr>
    <w:rPr>
      <w:color w:val="000000"/>
    </w:rPr>
  </w:style>
  <w:style w:type="paragraph" w:customStyle="1" w:styleId="144">
    <w:name w:val="标题1"/>
    <w:next w:val="5"/>
    <w:autoRedefine/>
    <w:qFormat/>
    <w:uiPriority w:val="0"/>
    <w:pPr>
      <w:spacing w:line="520" w:lineRule="exact"/>
      <w:jc w:val="center"/>
      <w:outlineLvl w:val="0"/>
    </w:pPr>
    <w:rPr>
      <w:rFonts w:ascii="黑体" w:hAnsi="宋体" w:eastAsia="黑体" w:cs="Times New Roman"/>
      <w:b/>
      <w:sz w:val="36"/>
      <w:lang w:val="en-US" w:eastAsia="zh-CN" w:bidi="ar-SA"/>
    </w:rPr>
  </w:style>
  <w:style w:type="paragraph" w:customStyle="1" w:styleId="145">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146">
    <w:name w:val="表格内容"/>
    <w:basedOn w:val="1"/>
    <w:autoRedefine/>
    <w:qFormat/>
    <w:uiPriority w:val="0"/>
    <w:pPr>
      <w:adjustRightInd w:val="0"/>
      <w:spacing w:before="40"/>
      <w:jc w:val="left"/>
      <w:textAlignment w:val="baseline"/>
    </w:pPr>
    <w:rPr>
      <w:sz w:val="24"/>
      <w:szCs w:val="20"/>
    </w:rPr>
  </w:style>
  <w:style w:type="paragraph" w:customStyle="1" w:styleId="147">
    <w:name w:val="表内文字"/>
    <w:basedOn w:val="1"/>
    <w:autoRedefine/>
    <w:qFormat/>
    <w:uiPriority w:val="0"/>
    <w:pPr>
      <w:tabs>
        <w:tab w:val="left" w:pos="1418"/>
      </w:tabs>
      <w:jc w:val="center"/>
    </w:pPr>
    <w:rPr>
      <w:rFonts w:ascii="仿宋_GB2312" w:eastAsia="仿宋_GB2312"/>
      <w:spacing w:val="-20"/>
      <w:kern w:val="0"/>
      <w:sz w:val="24"/>
    </w:rPr>
  </w:style>
  <w:style w:type="paragraph" w:customStyle="1" w:styleId="148">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9">
    <w:name w:val="p0"/>
    <w:basedOn w:val="1"/>
    <w:autoRedefine/>
    <w:qFormat/>
    <w:uiPriority w:val="99"/>
    <w:pPr>
      <w:widowControl/>
    </w:pPr>
    <w:rPr>
      <w:kern w:val="0"/>
      <w:szCs w:val="21"/>
    </w:rPr>
  </w:style>
  <w:style w:type="paragraph" w:customStyle="1" w:styleId="150">
    <w:name w:val="Char Char15"/>
    <w:basedOn w:val="1"/>
    <w:autoRedefine/>
    <w:qFormat/>
    <w:uiPriority w:val="0"/>
    <w:pPr>
      <w:spacing w:line="360" w:lineRule="auto"/>
      <w:ind w:firstLine="200" w:firstLineChars="200"/>
    </w:pPr>
  </w:style>
  <w:style w:type="paragraph" w:customStyle="1" w:styleId="151">
    <w:name w:val="纯文本1"/>
    <w:basedOn w:val="1"/>
    <w:autoRedefine/>
    <w:qFormat/>
    <w:uiPriority w:val="0"/>
    <w:pPr>
      <w:adjustRightInd w:val="0"/>
      <w:textAlignment w:val="baseline"/>
    </w:pPr>
    <w:rPr>
      <w:rFonts w:ascii="Courier New" w:hAnsi="Courier New"/>
      <w:sz w:val="28"/>
      <w:szCs w:val="20"/>
    </w:rPr>
  </w:style>
  <w:style w:type="paragraph" w:customStyle="1" w:styleId="152">
    <w:name w:val="xl26"/>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kern w:val="0"/>
      <w:sz w:val="18"/>
      <w:szCs w:val="20"/>
    </w:rPr>
  </w:style>
  <w:style w:type="paragraph" w:customStyle="1" w:styleId="153">
    <w:name w:val="Char1"/>
    <w:basedOn w:val="1"/>
    <w:autoRedefine/>
    <w:qFormat/>
    <w:uiPriority w:val="0"/>
    <w:rPr>
      <w:rFonts w:ascii="仿宋_GB2312" w:eastAsia="仿宋_GB2312"/>
      <w:b/>
      <w:sz w:val="32"/>
      <w:szCs w:val="32"/>
    </w:rPr>
  </w:style>
  <w:style w:type="paragraph" w:customStyle="1" w:styleId="154">
    <w:name w:val="Char Char Char Char Char Char"/>
    <w:basedOn w:val="1"/>
    <w:autoRedefine/>
    <w:qFormat/>
    <w:uiPriority w:val="0"/>
    <w:pPr>
      <w:widowControl/>
      <w:spacing w:after="160" w:line="240" w:lineRule="exact"/>
      <w:jc w:val="left"/>
    </w:pPr>
  </w:style>
  <w:style w:type="paragraph" w:customStyle="1" w:styleId="155">
    <w:name w:val="Char Char Char Char Char Char1"/>
    <w:basedOn w:val="1"/>
    <w:autoRedefine/>
    <w:qFormat/>
    <w:uiPriority w:val="0"/>
    <w:pPr>
      <w:widowControl/>
      <w:spacing w:after="160" w:line="240" w:lineRule="exact"/>
      <w:jc w:val="left"/>
    </w:pPr>
    <w:rPr>
      <w:rFonts w:ascii="(使用中文字体)" w:hAnsi="(使用中文字体)" w:eastAsia="(使用中文字体)" w:cs="(使用中文字体)"/>
      <w:kern w:val="0"/>
      <w:sz w:val="20"/>
      <w:szCs w:val="20"/>
      <w:lang w:eastAsia="en-US"/>
    </w:rPr>
  </w:style>
  <w:style w:type="paragraph" w:customStyle="1" w:styleId="156">
    <w:name w:val="列出段落2"/>
    <w:basedOn w:val="1"/>
    <w:autoRedefine/>
    <w:unhideWhenUsed/>
    <w:qFormat/>
    <w:uiPriority w:val="0"/>
    <w:pPr>
      <w:ind w:firstLine="420" w:firstLineChars="200"/>
    </w:pPr>
    <w:rPr>
      <w:rFonts w:ascii="Calibri" w:hAnsi="Calibri"/>
    </w:rPr>
  </w:style>
  <w:style w:type="paragraph" w:customStyle="1" w:styleId="157">
    <w:name w:val="默认段落字体 Para Char Char Char Char"/>
    <w:basedOn w:val="1"/>
    <w:autoRedefine/>
    <w:qFormat/>
    <w:uiPriority w:val="0"/>
  </w:style>
  <w:style w:type="paragraph" w:customStyle="1" w:styleId="158">
    <w:name w:val="Char Char Char Char1 Char Char Char Char"/>
    <w:basedOn w:val="1"/>
    <w:autoRedefine/>
    <w:qFormat/>
    <w:uiPriority w:val="0"/>
    <w:pPr>
      <w:widowControl/>
      <w:spacing w:after="160" w:line="240" w:lineRule="exact"/>
      <w:jc w:val="left"/>
    </w:pPr>
    <w:rPr>
      <w:szCs w:val="20"/>
    </w:rPr>
  </w:style>
  <w:style w:type="paragraph" w:customStyle="1" w:styleId="159">
    <w:name w:val="Char Char Char Char"/>
    <w:basedOn w:val="1"/>
    <w:autoRedefine/>
    <w:qFormat/>
    <w:uiPriority w:val="0"/>
    <w:pPr>
      <w:widowControl/>
    </w:pPr>
    <w:rPr>
      <w:kern w:val="0"/>
      <w:sz w:val="24"/>
      <w:szCs w:val="20"/>
    </w:rPr>
  </w:style>
  <w:style w:type="paragraph" w:styleId="160">
    <w:name w:val="No Spacing"/>
    <w:autoRedefine/>
    <w:qFormat/>
    <w:uiPriority w:val="1"/>
    <w:pPr>
      <w:widowControl w:val="0"/>
    </w:pPr>
    <w:rPr>
      <w:rFonts w:ascii="Times New Roman" w:hAnsi="Times New Roman" w:eastAsia="黑体" w:cs="Times New Roman"/>
      <w:b/>
      <w:kern w:val="2"/>
      <w:sz w:val="21"/>
      <w:szCs w:val="24"/>
      <w:lang w:val="en-US" w:eastAsia="zh-CN" w:bidi="ar-SA"/>
    </w:rPr>
  </w:style>
  <w:style w:type="paragraph" w:customStyle="1" w:styleId="161">
    <w:name w:val="正文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2">
    <w:name w:val="标题3"/>
    <w:next w:val="7"/>
    <w:autoRedefine/>
    <w:qFormat/>
    <w:uiPriority w:val="0"/>
    <w:pPr>
      <w:spacing w:line="520" w:lineRule="exact"/>
      <w:outlineLvl w:val="2"/>
    </w:pPr>
    <w:rPr>
      <w:rFonts w:ascii="黑体" w:hAnsi="宋体" w:eastAsia="黑体" w:cs="Times New Roman"/>
      <w:b/>
      <w:sz w:val="28"/>
      <w:lang w:val="en-US" w:eastAsia="zh-CN" w:bidi="ar-SA"/>
    </w:rPr>
  </w:style>
  <w:style w:type="paragraph" w:customStyle="1" w:styleId="163">
    <w:name w:val="Char Char Char1 Char"/>
    <w:basedOn w:val="1"/>
    <w:autoRedefine/>
    <w:qFormat/>
    <w:uiPriority w:val="0"/>
    <w:pPr>
      <w:spacing w:line="360" w:lineRule="auto"/>
      <w:ind w:firstLine="200" w:firstLineChars="200"/>
    </w:pPr>
    <w:rPr>
      <w:rFonts w:ascii="宋体" w:hAnsi="宋体" w:cs="宋体"/>
      <w:b/>
      <w:sz w:val="24"/>
    </w:rPr>
  </w:style>
  <w:style w:type="paragraph" w:customStyle="1" w:styleId="164">
    <w:name w:val="Char Char Char Char1 Char Char Char Char1"/>
    <w:basedOn w:val="1"/>
    <w:autoRedefine/>
    <w:qFormat/>
    <w:uiPriority w:val="0"/>
    <w:pPr>
      <w:widowControl/>
      <w:spacing w:after="160" w:line="240" w:lineRule="exact"/>
      <w:jc w:val="left"/>
    </w:pPr>
    <w:rPr>
      <w:szCs w:val="20"/>
    </w:rPr>
  </w:style>
  <w:style w:type="paragraph" w:customStyle="1" w:styleId="165">
    <w:name w:val="标题4"/>
    <w:next w:val="1"/>
    <w:autoRedefine/>
    <w:qFormat/>
    <w:uiPriority w:val="0"/>
    <w:pPr>
      <w:spacing w:line="520" w:lineRule="exact"/>
      <w:ind w:firstLine="200" w:firstLineChars="200"/>
      <w:outlineLvl w:val="3"/>
    </w:pPr>
    <w:rPr>
      <w:rFonts w:ascii="宋体" w:hAnsi="Times New Roman" w:eastAsia="宋体" w:cs="Times New Roman"/>
      <w:b/>
      <w:kern w:val="44"/>
      <w:sz w:val="28"/>
      <w:lang w:val="en-US" w:eastAsia="zh-CN" w:bidi="ar-SA"/>
    </w:rPr>
  </w:style>
  <w:style w:type="paragraph" w:customStyle="1" w:styleId="166">
    <w:name w:val="标题2"/>
    <w:next w:val="6"/>
    <w:autoRedefine/>
    <w:qFormat/>
    <w:uiPriority w:val="0"/>
    <w:pPr>
      <w:spacing w:line="520" w:lineRule="exact"/>
      <w:jc w:val="center"/>
      <w:outlineLvl w:val="1"/>
    </w:pPr>
    <w:rPr>
      <w:rFonts w:ascii="黑体" w:hAnsi="宋体" w:eastAsia="黑体" w:cs="Times New Roman"/>
      <w:b/>
      <w:sz w:val="36"/>
      <w:lang w:val="en-US" w:eastAsia="zh-CN" w:bidi="ar-SA"/>
    </w:rPr>
  </w:style>
  <w:style w:type="paragraph" w:customStyle="1" w:styleId="167">
    <w:name w:val="Char Char Char Char2"/>
    <w:basedOn w:val="1"/>
    <w:autoRedefine/>
    <w:qFormat/>
    <w:uiPriority w:val="0"/>
    <w:pPr>
      <w:widowControl/>
    </w:pPr>
    <w:rPr>
      <w:kern w:val="0"/>
      <w:sz w:val="24"/>
      <w:szCs w:val="20"/>
    </w:rPr>
  </w:style>
  <w:style w:type="paragraph" w:customStyle="1" w:styleId="168">
    <w:name w:val="样式3"/>
    <w:basedOn w:val="37"/>
    <w:autoRedefine/>
    <w:qFormat/>
    <w:uiPriority w:val="0"/>
    <w:pPr>
      <w:spacing w:line="0" w:lineRule="atLeast"/>
      <w:outlineLvl w:val="0"/>
    </w:pPr>
  </w:style>
  <w:style w:type="character" w:customStyle="1" w:styleId="169">
    <w:name w:val="无"/>
    <w:autoRedefine/>
    <w:qFormat/>
    <w:uiPriority w:val="0"/>
  </w:style>
  <w:style w:type="character" w:customStyle="1" w:styleId="170">
    <w:name w:val="页码1"/>
    <w:autoRedefine/>
    <w:qFormat/>
    <w:uiPriority w:val="0"/>
    <w:rPr>
      <w:lang w:val="zh-TW" w:eastAsia="zh-TW"/>
    </w:rPr>
  </w:style>
  <w:style w:type="character" w:customStyle="1" w:styleId="171">
    <w:name w:val="明显参考2"/>
    <w:basedOn w:val="68"/>
    <w:autoRedefine/>
    <w:qFormat/>
    <w:uiPriority w:val="0"/>
    <w:rPr>
      <w:b/>
      <w:bCs/>
      <w:smallCaps/>
      <w:color w:val="C0504D"/>
      <w:spacing w:val="5"/>
      <w:u w:val="single"/>
    </w:rPr>
  </w:style>
  <w:style w:type="character" w:customStyle="1" w:styleId="172">
    <w:name w:val="font01"/>
    <w:basedOn w:val="68"/>
    <w:autoRedefine/>
    <w:qFormat/>
    <w:uiPriority w:val="0"/>
    <w:rPr>
      <w:rFonts w:hint="eastAsia" w:ascii="宋体" w:hAnsi="宋体" w:eastAsia="宋体" w:cs="宋体"/>
      <w:color w:val="000000"/>
      <w:sz w:val="18"/>
      <w:szCs w:val="18"/>
      <w:u w:val="none"/>
    </w:rPr>
  </w:style>
  <w:style w:type="character" w:customStyle="1" w:styleId="173">
    <w:name w:val="font21"/>
    <w:basedOn w:val="68"/>
    <w:autoRedefine/>
    <w:qFormat/>
    <w:uiPriority w:val="0"/>
    <w:rPr>
      <w:rFonts w:ascii="Calibri" w:hAnsi="Calibri" w:cs="Calibri"/>
      <w:color w:val="000000"/>
      <w:sz w:val="21"/>
      <w:szCs w:val="21"/>
      <w:u w:val="none"/>
    </w:rPr>
  </w:style>
  <w:style w:type="character" w:customStyle="1" w:styleId="174">
    <w:name w:val="font31"/>
    <w:basedOn w:val="68"/>
    <w:autoRedefine/>
    <w:qFormat/>
    <w:uiPriority w:val="0"/>
    <w:rPr>
      <w:rFonts w:hint="eastAsia" w:ascii="宋体" w:hAnsi="宋体" w:eastAsia="宋体" w:cs="宋体"/>
      <w:color w:val="000000"/>
      <w:sz w:val="21"/>
      <w:szCs w:val="21"/>
      <w:u w:val="none"/>
    </w:rPr>
  </w:style>
  <w:style w:type="paragraph" w:customStyle="1" w:styleId="175">
    <w:name w:val="TOC 标题1"/>
    <w:basedOn w:val="4"/>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76">
    <w:name w:val="表格文字"/>
    <w:basedOn w:val="1"/>
    <w:next w:val="29"/>
    <w:autoRedefine/>
    <w:qFormat/>
    <w:uiPriority w:val="0"/>
    <w:pPr>
      <w:spacing w:before="25" w:after="25" w:line="300" w:lineRule="auto"/>
    </w:pPr>
    <w:rPr>
      <w:rFonts w:ascii="Times" w:hAnsi="Times"/>
      <w:spacing w:val="10"/>
      <w:kern w:val="0"/>
      <w:sz w:val="24"/>
      <w:szCs w:val="20"/>
    </w:rPr>
  </w:style>
  <w:style w:type="paragraph" w:customStyle="1" w:styleId="177">
    <w:name w:val="列表段落1"/>
    <w:basedOn w:val="1"/>
    <w:autoRedefine/>
    <w:qFormat/>
    <w:uiPriority w:val="0"/>
    <w:pPr>
      <w:ind w:firstLine="420" w:firstLineChars="200"/>
    </w:pPr>
    <w:rPr>
      <w:szCs w:val="22"/>
    </w:rPr>
  </w:style>
  <w:style w:type="character" w:customStyle="1" w:styleId="178">
    <w:name w:val="正文文本缩进 字符2"/>
    <w:autoRedefine/>
    <w:semiHidden/>
    <w:qFormat/>
    <w:uiPriority w:val="99"/>
    <w:rPr>
      <w:kern w:val="2"/>
      <w:sz w:val="21"/>
    </w:rPr>
  </w:style>
  <w:style w:type="paragraph" w:customStyle="1" w:styleId="179">
    <w:name w:val="修订1"/>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180">
    <w:name w:val="网格型11"/>
    <w:basedOn w:val="66"/>
    <w:autoRedefine/>
    <w:qFormat/>
    <w:uiPriority w:val="0"/>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1">
    <w:name w:val="首行缩进"/>
    <w:basedOn w:val="1"/>
    <w:autoRedefine/>
    <w:qFormat/>
    <w:uiPriority w:val="0"/>
    <w:pPr>
      <w:autoSpaceDE w:val="0"/>
      <w:autoSpaceDN w:val="0"/>
      <w:adjustRightInd w:val="0"/>
      <w:ind w:firstLine="720"/>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2A38-5C6C-4CD4-A8C1-B5BFAF9164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4497</Words>
  <Characters>25636</Characters>
  <Lines>213</Lines>
  <Paragraphs>60</Paragraphs>
  <TotalTime>23</TotalTime>
  <ScaleCrop>false</ScaleCrop>
  <LinksUpToDate>false</LinksUpToDate>
  <CharactersWithSpaces>30073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2023-11-17T01:55:00Z</dcterms:created>
  <dc:creator>user</dc:creator>
  <cp:lastModifiedBy>对方正在努力中</cp:lastModifiedBy>
  <cp:lastPrinted>2024-02-19T08:56:00Z</cp:lastPrinted>
  <dcterms:modified xsi:type="dcterms:W3CDTF">2024-04-18T07:58:03Z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805A088C64314676B6B01CA931A47100_12</vt:lpwstr>
  </property>
</Properties>
</file>