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r>
        <w:rPr>
          <w:rFonts w:ascii="仿宋_GB2312" w:hAnsi="仿宋_GB2312" w:eastAsia="仿宋_GB2312" w:cs="仿宋_GB2312"/>
          <w:color w:val="000000"/>
          <w:kern w:val="0"/>
          <w:sz w:val="48"/>
          <w:szCs w:val="48"/>
        </w:rPr>
        <w:t>慈溪市政府采购中心集中采购项目</w:t>
      </w:r>
    </w:p>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p>
    <w:p>
      <w:pPr>
        <w:tabs>
          <w:tab w:val="center" w:pos="4762"/>
          <w:tab w:val="left" w:pos="5715"/>
        </w:tabs>
        <w:ind w:left="-178" w:leftChars="-85" w:right="-376" w:rightChars="-179"/>
        <w:jc w:val="center"/>
        <w:rPr>
          <w:rFonts w:ascii="仿宋_GB2312" w:hAnsi="仿宋_GB2312" w:eastAsia="仿宋_GB2312" w:cs="仿宋_GB2312"/>
          <w:color w:val="000000"/>
          <w:kern w:val="0"/>
          <w:sz w:val="48"/>
          <w:szCs w:val="48"/>
        </w:rPr>
      </w:pPr>
    </w:p>
    <w:p>
      <w:pPr>
        <w:pStyle w:val="30"/>
      </w:pPr>
    </w:p>
    <w:p>
      <w:pPr>
        <w:jc w:val="center"/>
        <w:rPr>
          <w:rFonts w:ascii="仿宋_GB2312" w:hAnsi="仿宋_GB2312" w:eastAsia="仿宋_GB2312" w:cs="仿宋_GB2312"/>
          <w:color w:val="000000"/>
          <w:kern w:val="0"/>
          <w:sz w:val="72"/>
          <w:szCs w:val="72"/>
        </w:rPr>
      </w:pPr>
      <w:r>
        <w:rPr>
          <w:rFonts w:hint="eastAsia" w:ascii="仿宋_GB2312" w:hAnsi="仿宋_GB2312" w:eastAsia="仿宋_GB2312" w:cs="仿宋_GB2312"/>
          <w:color w:val="000000"/>
          <w:kern w:val="0"/>
          <w:sz w:val="72"/>
          <w:szCs w:val="72"/>
        </w:rPr>
        <w:t>公</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开</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招</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标</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jc w:val="center"/>
        <w:rPr>
          <w:rFonts w:ascii="仿宋_GB2312" w:hAnsi="仿宋_GB2312" w:eastAsia="仿宋_GB2312" w:cs="仿宋_GB2312"/>
          <w:color w:val="000000"/>
          <w:kern w:val="0"/>
          <w:sz w:val="72"/>
          <w:szCs w:val="72"/>
        </w:rPr>
      </w:pPr>
    </w:p>
    <w:p>
      <w:pPr>
        <w:rPr>
          <w:rFonts w:ascii="仿宋_GB2312" w:hAnsi="仿宋_GB2312" w:eastAsia="仿宋_GB2312" w:cs="仿宋_GB2312"/>
          <w:color w:val="000000"/>
          <w:kern w:val="0"/>
          <w:sz w:val="72"/>
          <w:szCs w:val="72"/>
        </w:rPr>
      </w:pPr>
    </w:p>
    <w:p>
      <w:pPr>
        <w:ind w:firstLine="2240" w:firstLineChars="800"/>
        <w:jc w:val="left"/>
        <w:rPr>
          <w:rFonts w:hint="default" w:ascii="仿宋_GB2312" w:hAnsi="仿宋_GB2312" w:eastAsia="仿宋_GB2312" w:cs="仿宋_GB2312"/>
          <w:color w:val="auto"/>
          <w:kern w:val="0"/>
          <w:sz w:val="28"/>
          <w:szCs w:val="28"/>
          <w:highlight w:val="none"/>
          <w:lang w:eastAsia="zh-CN"/>
        </w:rPr>
      </w:pPr>
      <w:r>
        <w:rPr>
          <w:rFonts w:ascii="仿宋_GB2312" w:hAnsi="仿宋_GB2312" w:eastAsia="仿宋_GB2312" w:cs="仿宋_GB2312"/>
          <w:color w:val="000000"/>
          <w:kern w:val="0"/>
          <w:sz w:val="28"/>
          <w:szCs w:val="28"/>
        </w:rPr>
        <w:t>招标编号：</w:t>
      </w:r>
      <w:r>
        <w:rPr>
          <w:rFonts w:hint="eastAsia" w:ascii="仿宋_GB2312" w:hAnsi="仿宋_GB2312" w:eastAsia="仿宋_GB2312" w:cs="仿宋_GB2312"/>
          <w:color w:val="auto"/>
          <w:kern w:val="0"/>
          <w:sz w:val="28"/>
          <w:szCs w:val="28"/>
          <w:highlight w:val="none"/>
          <w:lang w:eastAsia="zh-CN"/>
        </w:rPr>
        <w:t>NBCXZFCG2024008</w:t>
      </w:r>
    </w:p>
    <w:p>
      <w:pPr>
        <w:ind w:left="3634" w:leftChars="1064" w:hanging="1400" w:hangingChars="5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项目名称：</w:t>
      </w:r>
      <w:r>
        <w:rPr>
          <w:rFonts w:hint="eastAsia" w:ascii="仿宋_GB2312" w:hAnsi="仿宋_GB2312" w:eastAsia="仿宋_GB2312" w:cs="仿宋_GB2312"/>
          <w:color w:val="000000"/>
          <w:kern w:val="0"/>
          <w:sz w:val="28"/>
          <w:szCs w:val="28"/>
        </w:rPr>
        <w:t>202</w:t>
      </w: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年慈溪市企业经营管理人才培训采购项目</w:t>
      </w:r>
    </w:p>
    <w:p>
      <w:pPr>
        <w:ind w:firstLine="2240" w:firstLineChars="800"/>
        <w:jc w:val="left"/>
        <w:rPr>
          <w:rFonts w:hint="eastAsia" w:ascii="仿宋_GB2312" w:hAnsi="仿宋_GB2312" w:eastAsia="仿宋_GB2312" w:cs="仿宋_GB2312"/>
          <w:color w:val="000000"/>
          <w:kern w:val="0"/>
          <w:sz w:val="28"/>
          <w:szCs w:val="28"/>
          <w:highlight w:val="yellow"/>
          <w:lang w:eastAsia="zh-CN"/>
        </w:rPr>
      </w:pPr>
      <w:r>
        <w:rPr>
          <w:rFonts w:ascii="仿宋_GB2312" w:hAnsi="仿宋_GB2312" w:eastAsia="仿宋_GB2312" w:cs="仿宋_GB2312"/>
          <w:color w:val="000000"/>
          <w:kern w:val="0"/>
          <w:sz w:val="28"/>
          <w:szCs w:val="28"/>
        </w:rPr>
        <w:t>采 购 人：</w:t>
      </w:r>
      <w:r>
        <w:rPr>
          <w:rFonts w:hint="eastAsia" w:ascii="仿宋_GB2312" w:hAnsi="仿宋_GB2312" w:eastAsia="仿宋_GB2312" w:cs="仿宋_GB2312"/>
          <w:color w:val="000000"/>
          <w:kern w:val="0"/>
          <w:sz w:val="28"/>
          <w:szCs w:val="28"/>
          <w:lang w:eastAsia="zh-CN"/>
        </w:rPr>
        <w:t>慈溪市经济和信息化局</w:t>
      </w:r>
    </w:p>
    <w:p>
      <w:pPr>
        <w:ind w:firstLine="2240" w:firstLineChars="8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代理机构：慈溪市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w:t>
      </w:r>
    </w:p>
    <w:p>
      <w:pPr>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二〇</w:t>
      </w: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000000"/>
          <w:kern w:val="0"/>
          <w:sz w:val="28"/>
          <w:szCs w:val="28"/>
          <w:lang w:eastAsia="zh-CN"/>
        </w:rPr>
        <w:t>四</w:t>
      </w:r>
      <w:r>
        <w:rPr>
          <w:rFonts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lang w:eastAsia="zh-CN"/>
        </w:rPr>
        <w:t>三</w:t>
      </w:r>
      <w:r>
        <w:rPr>
          <w:rFonts w:ascii="仿宋_GB2312" w:hAnsi="仿宋_GB2312" w:eastAsia="仿宋_GB2312" w:cs="仿宋_GB2312"/>
          <w:color w:val="000000"/>
          <w:kern w:val="0"/>
          <w:sz w:val="28"/>
          <w:szCs w:val="28"/>
        </w:rPr>
        <w:t>月</w:t>
      </w:r>
    </w:p>
    <w:p>
      <w:pPr>
        <w:pStyle w:val="31"/>
        <w:ind w:firstLine="0" w:firstLineChars="0"/>
        <w:rPr>
          <w:rFonts w:ascii="仿宋_GB2312" w:hAnsi="仿宋_GB2312" w:eastAsia="仿宋_GB2312" w:cs="仿宋_GB2312"/>
          <w:color w:val="000000"/>
          <w:kern w:val="0"/>
          <w:sz w:val="48"/>
          <w:szCs w:val="48"/>
        </w:rPr>
      </w:pPr>
    </w:p>
    <w:p>
      <w:pPr>
        <w:jc w:val="center"/>
        <w:rPr>
          <w:rFonts w:ascii="仿宋_GB2312" w:hAnsi="仿宋_GB2312" w:eastAsia="仿宋_GB2312" w:cs="仿宋_GB2312"/>
          <w:color w:val="000000"/>
          <w:kern w:val="0"/>
          <w:sz w:val="48"/>
          <w:szCs w:val="48"/>
        </w:rPr>
      </w:pPr>
      <w:r>
        <w:rPr>
          <w:rFonts w:ascii="仿宋_GB2312" w:hAnsi="仿宋_GB2312" w:eastAsia="仿宋_GB2312" w:cs="仿宋_GB2312"/>
          <w:color w:val="000000"/>
          <w:kern w:val="0"/>
          <w:sz w:val="48"/>
          <w:szCs w:val="48"/>
        </w:rPr>
        <w:t>目 录</w:t>
      </w:r>
    </w:p>
    <w:p>
      <w:pPr>
        <w:jc w:val="center"/>
        <w:rPr>
          <w:rFonts w:ascii="仿宋_GB2312" w:hAnsi="仿宋_GB2312" w:eastAsia="仿宋_GB2312" w:cs="仿宋_GB2312"/>
          <w:color w:val="000000"/>
          <w:kern w:val="0"/>
          <w:sz w:val="28"/>
          <w:szCs w:val="28"/>
        </w:rPr>
      </w:pPr>
    </w:p>
    <w:p>
      <w:pPr>
        <w:pStyle w:val="50"/>
        <w:spacing w:line="520" w:lineRule="exact"/>
        <w:rPr>
          <w:rFonts w:ascii="仿宋_GB2312" w:hAnsi="仿宋_GB2312" w:eastAsia="仿宋_GB2312" w:cs="仿宋_GB2312"/>
          <w:b w:val="0"/>
          <w:color w:val="000000"/>
          <w:kern w:val="0"/>
          <w:sz w:val="28"/>
          <w:szCs w:val="28"/>
        </w:rPr>
      </w:pPr>
      <w:bookmarkStart w:id="0" w:name="_Hlt154576457"/>
      <w:bookmarkEnd w:id="0"/>
      <w:r>
        <w:rPr>
          <w:rFonts w:ascii="仿宋_GB2312" w:hAnsi="仿宋_GB2312" w:eastAsia="仿宋_GB2312" w:cs="仿宋_GB2312"/>
          <w:b w:val="0"/>
          <w:color w:val="000000"/>
          <w:kern w:val="0"/>
          <w:sz w:val="28"/>
          <w:szCs w:val="28"/>
        </w:rPr>
        <w:fldChar w:fldCharType="begin"/>
      </w:r>
      <w:r>
        <w:rPr>
          <w:rFonts w:ascii="仿宋_GB2312" w:hAnsi="仿宋_GB2312" w:eastAsia="仿宋_GB2312" w:cs="仿宋_GB2312"/>
          <w:b w:val="0"/>
          <w:color w:val="000000"/>
          <w:kern w:val="0"/>
          <w:sz w:val="28"/>
          <w:szCs w:val="28"/>
        </w:rPr>
        <w:instrText xml:space="preserve"> HYPERLINK \l "_Toc437251183"</w:instrText>
      </w:r>
      <w:r>
        <w:rPr>
          <w:rFonts w:ascii="仿宋_GB2312" w:hAnsi="仿宋_GB2312" w:eastAsia="仿宋_GB2312" w:cs="仿宋_GB2312"/>
          <w:b w:val="0"/>
          <w:color w:val="000000"/>
          <w:kern w:val="0"/>
          <w:sz w:val="28"/>
          <w:szCs w:val="28"/>
        </w:rPr>
        <w:fldChar w:fldCharType="separate"/>
      </w:r>
      <w:r>
        <w:rPr>
          <w:rFonts w:ascii="仿宋_GB2312" w:hAnsi="仿宋_GB2312" w:eastAsia="仿宋_GB2312" w:cs="仿宋_GB2312"/>
          <w:b w:val="0"/>
          <w:color w:val="000000"/>
          <w:kern w:val="0"/>
          <w:sz w:val="28"/>
          <w:szCs w:val="28"/>
        </w:rPr>
        <w:t>第一部分  招标公告</w:t>
      </w:r>
      <w:r>
        <w:rPr>
          <w:rFonts w:ascii="仿宋_GB2312" w:hAnsi="仿宋_GB2312" w:eastAsia="仿宋_GB2312" w:cs="仿宋_GB2312"/>
          <w:b w:val="0"/>
          <w:color w:val="000000"/>
          <w:kern w:val="0"/>
          <w:sz w:val="28"/>
          <w:szCs w:val="28"/>
        </w:rPr>
        <w:tab/>
      </w:r>
      <w:r>
        <w:rPr>
          <w:rFonts w:ascii="仿宋_GB2312" w:hAnsi="仿宋_GB2312" w:eastAsia="仿宋_GB2312" w:cs="仿宋_GB2312"/>
          <w:b w:val="0"/>
          <w:color w:val="000000"/>
          <w:kern w:val="0"/>
          <w:sz w:val="28"/>
          <w:szCs w:val="28"/>
        </w:rPr>
        <w:t>3</w:t>
      </w:r>
      <w:r>
        <w:rPr>
          <w:rFonts w:ascii="仿宋_GB2312" w:hAnsi="仿宋_GB2312" w:eastAsia="仿宋_GB2312" w:cs="仿宋_GB2312"/>
          <w:b w:val="0"/>
          <w:color w:val="000000"/>
          <w:kern w:val="0"/>
          <w:sz w:val="28"/>
          <w:szCs w:val="28"/>
        </w:rPr>
        <w:fldChar w:fldCharType="end"/>
      </w:r>
    </w:p>
    <w:p>
      <w:pPr>
        <w:pStyle w:val="50"/>
        <w:spacing w:line="520" w:lineRule="exact"/>
        <w:rPr>
          <w:rFonts w:ascii="仿宋_GB2312" w:hAnsi="仿宋_GB2312" w:eastAsia="仿宋_GB2312" w:cs="仿宋_GB2312"/>
          <w:b w:val="0"/>
          <w:color w:val="000000"/>
          <w:kern w:val="0"/>
          <w:sz w:val="28"/>
          <w:szCs w:val="28"/>
        </w:rPr>
      </w:pPr>
      <w:r>
        <w:rPr>
          <w:rFonts w:ascii="仿宋_GB2312" w:hAnsi="仿宋_GB2312" w:eastAsia="仿宋_GB2312" w:cs="仿宋_GB2312"/>
          <w:b w:val="0"/>
          <w:color w:val="000000"/>
          <w:kern w:val="0"/>
          <w:sz w:val="28"/>
          <w:szCs w:val="28"/>
        </w:rPr>
        <w:fldChar w:fldCharType="begin"/>
      </w:r>
      <w:r>
        <w:rPr>
          <w:rFonts w:ascii="仿宋_GB2312" w:hAnsi="仿宋_GB2312" w:eastAsia="仿宋_GB2312" w:cs="仿宋_GB2312"/>
          <w:b w:val="0"/>
          <w:color w:val="000000"/>
          <w:kern w:val="0"/>
          <w:sz w:val="28"/>
          <w:szCs w:val="28"/>
        </w:rPr>
        <w:instrText xml:space="preserve"> TOC \o "1-1" \h \z \u </w:instrText>
      </w:r>
      <w:r>
        <w:rPr>
          <w:rFonts w:ascii="仿宋_GB2312" w:hAnsi="仿宋_GB2312" w:eastAsia="仿宋_GB2312" w:cs="仿宋_GB2312"/>
          <w:b w:val="0"/>
          <w:color w:val="000000"/>
          <w:kern w:val="0"/>
          <w:sz w:val="28"/>
          <w:szCs w:val="28"/>
        </w:rPr>
        <w:fldChar w:fldCharType="separate"/>
      </w:r>
      <w:r>
        <w:fldChar w:fldCharType="begin"/>
      </w:r>
      <w:r>
        <w:instrText xml:space="preserve"> HYPERLINK \l "_Toc437251183" </w:instrText>
      </w:r>
      <w:r>
        <w:fldChar w:fldCharType="separate"/>
      </w:r>
      <w:r>
        <w:rPr>
          <w:rFonts w:ascii="仿宋_GB2312" w:hAnsi="仿宋_GB2312" w:eastAsia="仿宋_GB2312" w:cs="仿宋_GB2312"/>
          <w:b w:val="0"/>
          <w:color w:val="000000"/>
          <w:kern w:val="0"/>
          <w:sz w:val="28"/>
          <w:szCs w:val="28"/>
        </w:rPr>
        <w:t>第二部分  招标需求</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7</w:t>
      </w:r>
      <w:r>
        <w:rPr>
          <w:rFonts w:hint="eastAsia" w:ascii="仿宋_GB2312" w:hAnsi="仿宋_GB2312" w:eastAsia="仿宋_GB2312" w:cs="仿宋_GB2312"/>
          <w:b w:val="0"/>
          <w:color w:val="000000"/>
          <w:kern w:val="0"/>
          <w:sz w:val="28"/>
          <w:szCs w:val="28"/>
        </w:rPr>
        <w:fldChar w:fldCharType="end"/>
      </w:r>
    </w:p>
    <w:p>
      <w:pPr>
        <w:pStyle w:val="50"/>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"_Toc437251185" </w:instrText>
      </w:r>
      <w:r>
        <w:fldChar w:fldCharType="separate"/>
      </w:r>
      <w:r>
        <w:rPr>
          <w:rFonts w:ascii="仿宋_GB2312" w:hAnsi="仿宋_GB2312" w:eastAsia="仿宋_GB2312" w:cs="仿宋_GB2312"/>
          <w:b w:val="0"/>
          <w:color w:val="000000"/>
          <w:kern w:val="0"/>
          <w:sz w:val="28"/>
          <w:szCs w:val="28"/>
        </w:rPr>
        <w:t>第三部分  投标人须知</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1</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2</w:t>
      </w:r>
    </w:p>
    <w:p>
      <w:pPr>
        <w:pStyle w:val="50"/>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"_Toc437251186" </w:instrText>
      </w:r>
      <w:r>
        <w:fldChar w:fldCharType="separate"/>
      </w:r>
      <w:r>
        <w:rPr>
          <w:rFonts w:ascii="仿宋_GB2312" w:hAnsi="仿宋_GB2312" w:eastAsia="仿宋_GB2312" w:cs="仿宋_GB2312"/>
          <w:b w:val="0"/>
          <w:color w:val="000000"/>
          <w:kern w:val="0"/>
          <w:sz w:val="28"/>
          <w:szCs w:val="28"/>
        </w:rPr>
        <w:t>第四部分  开标、评标和定标</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2</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5</w:t>
      </w:r>
    </w:p>
    <w:p>
      <w:pPr>
        <w:pStyle w:val="50"/>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"_Toc437251186" </w:instrText>
      </w:r>
      <w:r>
        <w:fldChar w:fldCharType="separate"/>
      </w:r>
      <w:r>
        <w:rPr>
          <w:rFonts w:ascii="仿宋_GB2312" w:hAnsi="仿宋_GB2312" w:eastAsia="仿宋_GB2312" w:cs="仿宋_GB2312"/>
          <w:b w:val="0"/>
          <w:color w:val="000000"/>
          <w:kern w:val="0"/>
          <w:sz w:val="28"/>
          <w:szCs w:val="28"/>
        </w:rPr>
        <w:t>第五部分  评标办法及评分标准</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3</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1</w:t>
      </w:r>
    </w:p>
    <w:p>
      <w:pPr>
        <w:pStyle w:val="50"/>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"_Toc437251187" </w:instrText>
      </w:r>
      <w:r>
        <w:fldChar w:fldCharType="separate"/>
      </w:r>
      <w:r>
        <w:rPr>
          <w:rFonts w:ascii="仿宋_GB2312" w:hAnsi="仿宋_GB2312" w:eastAsia="仿宋_GB2312" w:cs="仿宋_GB2312"/>
          <w:b w:val="0"/>
          <w:color w:val="000000"/>
          <w:kern w:val="0"/>
          <w:sz w:val="28"/>
          <w:szCs w:val="28"/>
        </w:rPr>
        <w:t xml:space="preserve">第六部分  </w:t>
      </w:r>
      <w:r>
        <w:rPr>
          <w:rFonts w:hint="eastAsia" w:ascii="仿宋_GB2312" w:hAnsi="仿宋_GB2312" w:eastAsia="仿宋_GB2312" w:cs="仿宋_GB2312"/>
          <w:b w:val="0"/>
          <w:color w:val="000000"/>
          <w:kern w:val="0"/>
          <w:sz w:val="28"/>
          <w:szCs w:val="28"/>
        </w:rPr>
        <w:t>拟</w:t>
      </w:r>
      <w:r>
        <w:rPr>
          <w:rFonts w:ascii="仿宋_GB2312" w:hAnsi="仿宋_GB2312" w:eastAsia="仿宋_GB2312" w:cs="仿宋_GB2312"/>
          <w:b w:val="0"/>
          <w:color w:val="000000"/>
          <w:kern w:val="0"/>
          <w:sz w:val="28"/>
          <w:szCs w:val="28"/>
        </w:rPr>
        <w:t>签订合同样本</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3</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4</w:t>
      </w:r>
    </w:p>
    <w:p>
      <w:pPr>
        <w:pStyle w:val="50"/>
        <w:spacing w:line="520" w:lineRule="exact"/>
        <w:rPr>
          <w:rFonts w:ascii="仿宋_GB2312" w:hAnsi="仿宋_GB2312" w:eastAsia="仿宋_GB2312" w:cs="仿宋_GB2312"/>
          <w:b w:val="0"/>
          <w:color w:val="000000"/>
          <w:kern w:val="0"/>
          <w:sz w:val="28"/>
          <w:szCs w:val="28"/>
        </w:rPr>
      </w:pPr>
      <w:r>
        <w:fldChar w:fldCharType="begin"/>
      </w:r>
      <w:r>
        <w:instrText xml:space="preserve"> HYPERLINK \l "_Toc437251188" </w:instrText>
      </w:r>
      <w:r>
        <w:fldChar w:fldCharType="separate"/>
      </w:r>
      <w:r>
        <w:rPr>
          <w:rFonts w:ascii="仿宋_GB2312" w:hAnsi="仿宋_GB2312" w:eastAsia="仿宋_GB2312" w:cs="仿宋_GB2312"/>
          <w:b w:val="0"/>
          <w:color w:val="000000"/>
          <w:kern w:val="0"/>
          <w:sz w:val="28"/>
          <w:szCs w:val="28"/>
        </w:rPr>
        <w:t>第七部分  投标文件格式</w:t>
      </w:r>
      <w:r>
        <w:rPr>
          <w:rFonts w:ascii="仿宋_GB2312" w:hAnsi="仿宋_GB2312" w:eastAsia="仿宋_GB2312" w:cs="仿宋_GB2312"/>
          <w:b w:val="0"/>
          <w:color w:val="000000"/>
          <w:kern w:val="0"/>
          <w:sz w:val="28"/>
          <w:szCs w:val="28"/>
        </w:rPr>
        <w:tab/>
      </w:r>
      <w:r>
        <w:rPr>
          <w:rFonts w:hint="eastAsia" w:ascii="仿宋_GB2312" w:hAnsi="仿宋_GB2312" w:eastAsia="仿宋_GB2312" w:cs="仿宋_GB2312"/>
          <w:b w:val="0"/>
          <w:color w:val="000000"/>
          <w:kern w:val="0"/>
          <w:sz w:val="28"/>
          <w:szCs w:val="28"/>
        </w:rPr>
        <w:t>4</w:t>
      </w:r>
      <w:r>
        <w:rPr>
          <w:rFonts w:hint="eastAsia" w:ascii="仿宋_GB2312" w:hAnsi="仿宋_GB2312" w:eastAsia="仿宋_GB2312" w:cs="仿宋_GB2312"/>
          <w:b w:val="0"/>
          <w:color w:val="000000"/>
          <w:kern w:val="0"/>
          <w:sz w:val="28"/>
          <w:szCs w:val="28"/>
        </w:rPr>
        <w:fldChar w:fldCharType="end"/>
      </w:r>
      <w:r>
        <w:rPr>
          <w:rFonts w:hint="eastAsia" w:ascii="仿宋_GB2312" w:hAnsi="仿宋_GB2312" w:eastAsia="仿宋_GB2312" w:cs="仿宋_GB2312"/>
          <w:b w:val="0"/>
          <w:color w:val="000000"/>
          <w:kern w:val="0"/>
          <w:sz w:val="28"/>
          <w:szCs w:val="28"/>
        </w:rPr>
        <w:t>6</w:t>
      </w:r>
    </w:p>
    <w:p>
      <w:pPr>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fldChar w:fldCharType="end"/>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1"/>
        <w:ind w:firstLine="0" w:firstLineChars="0"/>
      </w:pPr>
    </w:p>
    <w:p>
      <w:pPr>
        <w:pStyle w:val="31"/>
        <w:ind w:firstLine="0" w:firstLineChars="0"/>
      </w:pPr>
    </w:p>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第一部分   招标公告</w:t>
      </w:r>
    </w:p>
    <w:p>
      <w:pPr>
        <w:spacing w:line="360" w:lineRule="auto"/>
        <w:jc w:val="both"/>
        <w:rPr>
          <w:rFonts w:ascii="Arial" w:hAnsi="Arial" w:eastAsia="仿宋" w:cs="Arial"/>
          <w:b/>
          <w:sz w:val="36"/>
          <w:szCs w:val="36"/>
        </w:rPr>
      </w:pP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根据《中华人民共和国政府采购法》等有关法律规定，慈溪市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中心受</w:t>
      </w:r>
      <w:r>
        <w:rPr>
          <w:rFonts w:hint="eastAsia" w:ascii="仿宋_GB2312" w:hAnsi="仿宋_GB2312" w:eastAsia="仿宋_GB2312" w:cs="仿宋_GB2312"/>
          <w:color w:val="000000"/>
          <w:kern w:val="0"/>
          <w:sz w:val="28"/>
          <w:szCs w:val="28"/>
          <w:lang w:eastAsia="zh-CN"/>
        </w:rPr>
        <w:t>慈溪市经济和信息化局</w:t>
      </w:r>
      <w:r>
        <w:rPr>
          <w:rFonts w:ascii="仿宋_GB2312" w:hAnsi="仿宋_GB2312" w:eastAsia="仿宋_GB2312" w:cs="仿宋_GB2312"/>
          <w:color w:val="000000"/>
          <w:kern w:val="0"/>
          <w:sz w:val="28"/>
          <w:szCs w:val="28"/>
          <w:highlight w:val="none"/>
        </w:rPr>
        <w:t>委</w:t>
      </w:r>
      <w:r>
        <w:rPr>
          <w:rFonts w:ascii="仿宋_GB2312" w:hAnsi="仿宋_GB2312" w:eastAsia="仿宋_GB2312" w:cs="仿宋_GB2312"/>
          <w:color w:val="000000"/>
          <w:kern w:val="0"/>
          <w:sz w:val="28"/>
          <w:szCs w:val="28"/>
        </w:rPr>
        <w:t>托，经政府采购管理部门批准，就</w:t>
      </w:r>
      <w:r>
        <w:rPr>
          <w:rFonts w:hint="eastAsia" w:ascii="仿宋_GB2312" w:hAnsi="仿宋_GB2312" w:eastAsia="仿宋_GB2312" w:cs="仿宋_GB2312"/>
          <w:color w:val="000000"/>
          <w:kern w:val="0"/>
          <w:sz w:val="28"/>
          <w:szCs w:val="28"/>
        </w:rPr>
        <w:t>下列</w:t>
      </w:r>
      <w:r>
        <w:rPr>
          <w:rFonts w:ascii="仿宋_GB2312" w:hAnsi="仿宋_GB2312" w:eastAsia="仿宋_GB2312" w:cs="仿宋_GB2312"/>
          <w:color w:val="000000"/>
          <w:kern w:val="0"/>
          <w:sz w:val="28"/>
          <w:szCs w:val="28"/>
        </w:rPr>
        <w:t>项目进行公开招标，</w:t>
      </w:r>
      <w:r>
        <w:rPr>
          <w:rFonts w:hint="eastAsia" w:ascii="仿宋_GB2312" w:hAnsi="仿宋_GB2312" w:eastAsia="仿宋_GB2312" w:cs="仿宋_GB2312"/>
          <w:color w:val="000000"/>
          <w:kern w:val="0"/>
          <w:sz w:val="28"/>
          <w:szCs w:val="28"/>
        </w:rPr>
        <w:t>现将</w:t>
      </w:r>
      <w:r>
        <w:rPr>
          <w:rFonts w:ascii="仿宋_GB2312" w:hAnsi="仿宋_GB2312" w:eastAsia="仿宋_GB2312" w:cs="仿宋_GB2312"/>
          <w:color w:val="000000"/>
          <w:kern w:val="0"/>
          <w:sz w:val="28"/>
          <w:szCs w:val="28"/>
        </w:rPr>
        <w:t>有关事项公告如下</w:t>
      </w:r>
      <w:r>
        <w:rPr>
          <w:rFonts w:hint="eastAsia" w:ascii="仿宋_GB2312" w:hAnsi="仿宋_GB2312" w:eastAsia="仿宋_GB2312" w:cs="仿宋_GB2312"/>
          <w:color w:val="000000"/>
          <w:kern w:val="0"/>
          <w:sz w:val="28"/>
          <w:szCs w:val="28"/>
        </w:rPr>
        <w:t>：</w:t>
      </w:r>
    </w:p>
    <w:p>
      <w:pPr>
        <w:numPr>
          <w:ilvl w:val="0"/>
          <w:numId w:val="2"/>
        </w:numPr>
        <w:spacing w:line="360" w:lineRule="auto"/>
        <w:ind w:firstLine="562" w:firstLineChars="20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b/>
          <w:bCs/>
          <w:color w:val="000000"/>
          <w:kern w:val="0"/>
          <w:sz w:val="28"/>
          <w:szCs w:val="28"/>
          <w:highlight w:val="none"/>
        </w:rPr>
        <w:t>招标编号：</w:t>
      </w:r>
      <w:r>
        <w:rPr>
          <w:rFonts w:hint="eastAsia" w:ascii="仿宋_GB2312" w:hAnsi="仿宋_GB2312" w:eastAsia="仿宋_GB2312" w:cs="仿宋_GB2312"/>
          <w:b/>
          <w:bCs/>
          <w:color w:val="auto"/>
          <w:kern w:val="0"/>
          <w:sz w:val="28"/>
          <w:szCs w:val="28"/>
          <w:highlight w:val="none"/>
          <w:lang w:eastAsia="zh-CN"/>
        </w:rPr>
        <w:t>NBCXZFCG2024008</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二、采购组织类型</w:t>
      </w:r>
      <w:r>
        <w:rPr>
          <w:rFonts w:hint="eastAsia" w:ascii="仿宋_GB2312" w:hAnsi="仿宋_GB2312" w:eastAsia="仿宋_GB2312" w:cs="仿宋_GB2312"/>
          <w:b/>
          <w:color w:val="000000"/>
          <w:kern w:val="0"/>
          <w:sz w:val="28"/>
          <w:szCs w:val="28"/>
        </w:rPr>
        <w:t>：</w:t>
      </w:r>
      <w:r>
        <w:rPr>
          <w:rFonts w:ascii="仿宋_GB2312" w:hAnsi="仿宋_GB2312" w:eastAsia="仿宋_GB2312" w:cs="仿宋_GB2312"/>
          <w:color w:val="000000"/>
          <w:kern w:val="0"/>
          <w:sz w:val="28"/>
          <w:szCs w:val="28"/>
        </w:rPr>
        <w:t>政府集中采购</w:t>
      </w:r>
    </w:p>
    <w:p>
      <w:pPr>
        <w:widowControl/>
        <w:spacing w:line="400" w:lineRule="exact"/>
        <w:ind w:firstLine="562" w:firstLineChars="200"/>
        <w:jc w:val="left"/>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三、招标项目名称及数量：</w:t>
      </w:r>
    </w:p>
    <w:p>
      <w:pPr>
        <w:widowControl/>
        <w:spacing w:line="400" w:lineRule="exact"/>
        <w:ind w:firstLine="562" w:firstLineChars="200"/>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lang w:eastAsia="zh-CN"/>
        </w:rPr>
        <w:t>（一）</w:t>
      </w:r>
      <w:r>
        <w:rPr>
          <w:rFonts w:hint="eastAsia" w:ascii="仿宋_GB2312" w:hAnsi="仿宋_GB2312" w:eastAsia="仿宋_GB2312" w:cs="仿宋_GB2312"/>
          <w:b/>
          <w:color w:val="000000"/>
          <w:kern w:val="0"/>
          <w:sz w:val="28"/>
          <w:szCs w:val="28"/>
        </w:rPr>
        <w:t>标项一</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标项名称：战略管理</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2班（企业战略规划与年度经营计划落地班、企业全面预算进阶班）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14.81万元（企业战略规划与年度经营计划落地班10.5万元；企业全面预算进阶班4.31万元）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（二）</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二</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标项名称：运营创新</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2班（企业高效运营管理创新提升班、企业经营模式创新与供应链管理高级研修班）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10.3万元（企业高效运营管理创新提升班5.15万元；企业经营模式创新与供应链管理高级研修班5.15万元）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（三）</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三</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标项名称：精益数字化</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2班（精益体系架构搭建与实施路径班、精益体系下的家电企业数字化管理升级实训班）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9.9万元（精益体系架构搭建与实施路径班5.59万元；精益体系下的家电企业数字化管理升级实训班4.31万元）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（四）</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四</w:t>
      </w:r>
    </w:p>
    <w:p>
      <w:pPr>
        <w:widowControl/>
        <w:spacing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标项名称：数实融合</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2班（与时俱进/智享未来-企业数智化高级研修班、企业技术改造和扩大工业投资专题培训班）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12.69万元（与时俱进/智享未来-企业数智化高级研修班9.14万元；企业技术改造和扩大工业投资专题培训班3.55万元）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（五）</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五</w:t>
      </w:r>
    </w:p>
    <w:p>
      <w:pPr>
        <w:widowControl/>
        <w:spacing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标项名称：精益降本增效</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2班（全面质量管理训练营、无间断生产流程打造—生产流创建班）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6.63万元（全面质量管理训练营4.52万元；无间断生产流程打造—生产流创建班2.11万元）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（六）</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六</w:t>
      </w:r>
    </w:p>
    <w:p>
      <w:pPr>
        <w:widowControl/>
        <w:spacing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标项名称：研发管理</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2班（“研发+管理”全生命周期管理研修班、产品研发五大核心工具应用实战班）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17.885万元（“研发+管理”全生命周期管理研修班11.155万元；产品研发五大核心工具应用实战班6.73万元）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（七）</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七</w:t>
      </w:r>
    </w:p>
    <w:p>
      <w:pPr>
        <w:widowControl/>
        <w:spacing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标项名称：人资管理</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2班（人力资源战略与系统规划班、绩效管理与绩效改进班）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15.675万元（人力资源战略与系统规划班11.155万元；绩效管理与绩效改进班4.52万元）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（八）</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八</w:t>
      </w:r>
    </w:p>
    <w:p>
      <w:pPr>
        <w:widowControl/>
        <w:spacing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标项名称：家电企业品牌战略与营销</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2班（家电企业品牌战略与业绩增长专题研学班、家电企业的营销渠道的开发与管理班）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13.5万元（家电企业品牌战略与业绩增长专题研学班9.19万元；家电企业的营销渠道的开发与管理班4.31万元）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（九）</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九</w:t>
      </w:r>
    </w:p>
    <w:p>
      <w:pPr>
        <w:widowControl/>
        <w:spacing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标项名称：外贸营销</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1班（外贸社媒精英培训班）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4.31万元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（十）</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十</w:t>
      </w:r>
    </w:p>
    <w:p>
      <w:pPr>
        <w:widowControl/>
        <w:spacing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标项名称：行业提升</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1班（医疗器械企业生产质量管理高阶研修班）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8.94万元</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widowControl/>
        <w:spacing w:line="400" w:lineRule="exact"/>
        <w:ind w:firstLine="562" w:firstLineChars="200"/>
        <w:jc w:val="left"/>
        <w:rPr>
          <w:rFonts w:hint="eastAsia" w:ascii="仿宋_GB2312" w:hAnsi="仿宋_GB2312" w:eastAsia="仿宋_GB2312" w:cs="仿宋_GB2312"/>
          <w:b/>
          <w:color w:val="000000"/>
          <w:kern w:val="0"/>
          <w:sz w:val="28"/>
          <w:szCs w:val="28"/>
          <w:lang w:eastAsia="zh-CN"/>
        </w:rPr>
      </w:pPr>
      <w:r>
        <w:rPr>
          <w:rFonts w:hint="eastAsia" w:ascii="仿宋_GB2312" w:hAnsi="仿宋_GB2312" w:eastAsia="仿宋_GB2312" w:cs="仿宋_GB2312"/>
          <w:b/>
          <w:color w:val="000000"/>
          <w:kern w:val="0"/>
          <w:sz w:val="28"/>
          <w:szCs w:val="28"/>
          <w:lang w:eastAsia="zh-CN"/>
        </w:rPr>
        <w:t>（十一）</w:t>
      </w:r>
      <w:r>
        <w:rPr>
          <w:rFonts w:hint="eastAsia" w:ascii="仿宋_GB2312" w:hAnsi="仿宋_GB2312" w:eastAsia="仿宋_GB2312" w:cs="仿宋_GB2312"/>
          <w:b/>
          <w:color w:val="000000"/>
          <w:kern w:val="0"/>
          <w:sz w:val="28"/>
          <w:szCs w:val="28"/>
        </w:rPr>
        <w:t>标项</w:t>
      </w:r>
      <w:r>
        <w:rPr>
          <w:rFonts w:hint="eastAsia" w:ascii="仿宋_GB2312" w:hAnsi="仿宋_GB2312" w:eastAsia="仿宋_GB2312" w:cs="仿宋_GB2312"/>
          <w:b/>
          <w:color w:val="000000"/>
          <w:kern w:val="0"/>
          <w:sz w:val="28"/>
          <w:szCs w:val="28"/>
          <w:lang w:eastAsia="zh-CN"/>
        </w:rPr>
        <w:t>十一</w:t>
      </w:r>
    </w:p>
    <w:p>
      <w:pPr>
        <w:widowControl/>
        <w:spacing w:line="40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标项名称：绿色双碳</w:t>
      </w:r>
    </w:p>
    <w:p>
      <w:pPr>
        <w:widowControl/>
        <w:spacing w:line="400" w:lineRule="exact"/>
        <w:ind w:firstLine="560" w:firstLineChars="20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数量：</w:t>
      </w:r>
      <w:r>
        <w:rPr>
          <w:rFonts w:hint="eastAsia" w:ascii="仿宋_GB2312" w:hAnsi="仿宋_GB2312" w:eastAsia="仿宋_GB2312" w:cs="仿宋_GB2312"/>
          <w:color w:val="000000"/>
          <w:kern w:val="0"/>
          <w:sz w:val="28"/>
          <w:szCs w:val="28"/>
          <w:lang w:val="en-US" w:eastAsia="zh-CN"/>
        </w:rPr>
        <w:t>1班（碳管理与绿色制造班）</w:t>
      </w:r>
    </w:p>
    <w:p>
      <w:pPr>
        <w:widowControl/>
        <w:spacing w:line="400" w:lineRule="exact"/>
        <w:ind w:firstLine="560" w:firstLineChars="20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预算金额（</w:t>
      </w:r>
      <w:r>
        <w:rPr>
          <w:rFonts w:hint="eastAsia" w:ascii="仿宋_GB2312" w:hAnsi="仿宋_GB2312" w:eastAsia="仿宋_GB2312" w:cs="仿宋_GB2312"/>
          <w:color w:val="000000"/>
          <w:kern w:val="0"/>
          <w:sz w:val="28"/>
          <w:szCs w:val="28"/>
          <w:lang w:eastAsia="zh-CN"/>
        </w:rPr>
        <w:t>万</w:t>
      </w:r>
      <w:r>
        <w:rPr>
          <w:rFonts w:hint="eastAsia" w:ascii="仿宋_GB2312" w:hAnsi="仿宋_GB2312" w:eastAsia="仿宋_GB2312" w:cs="仿宋_GB2312"/>
          <w:color w:val="000000"/>
          <w:kern w:val="0"/>
          <w:sz w:val="28"/>
          <w:szCs w:val="28"/>
        </w:rPr>
        <w:t>元）：</w:t>
      </w:r>
      <w:r>
        <w:rPr>
          <w:rFonts w:hint="eastAsia" w:ascii="仿宋_GB2312" w:hAnsi="仿宋_GB2312" w:eastAsia="仿宋_GB2312" w:cs="仿宋_GB2312"/>
          <w:color w:val="000000"/>
          <w:kern w:val="0"/>
          <w:sz w:val="28"/>
          <w:szCs w:val="28"/>
          <w:lang w:val="en-US" w:eastAsia="zh-CN"/>
        </w:rPr>
        <w:t>4.73万元</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简要规格描述或项目基本概况介绍、用途：见招标文件</w:t>
      </w:r>
      <w:r>
        <w:rPr>
          <w:rFonts w:ascii="仿宋_GB2312" w:hAnsi="仿宋_GB2312" w:eastAsia="仿宋_GB2312" w:cs="仿宋_GB2312"/>
          <w:color w:val="000000"/>
          <w:kern w:val="0"/>
          <w:sz w:val="28"/>
          <w:szCs w:val="28"/>
        </w:rPr>
        <w:t>第二部分招标需求</w:t>
      </w:r>
      <w:r>
        <w:rPr>
          <w:rFonts w:hint="eastAsia" w:ascii="仿宋_GB2312" w:hAnsi="仿宋_GB2312" w:eastAsia="仿宋_GB2312" w:cs="仿宋_GB2312"/>
          <w:color w:val="000000"/>
          <w:kern w:val="0"/>
          <w:sz w:val="28"/>
          <w:szCs w:val="28"/>
        </w:rPr>
        <w:t>。</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四、</w:t>
      </w:r>
      <w:r>
        <w:rPr>
          <w:rFonts w:ascii="仿宋_GB2312" w:hAnsi="仿宋_GB2312" w:eastAsia="仿宋_GB2312" w:cs="仿宋_GB2312"/>
          <w:b/>
          <w:bCs/>
          <w:color w:val="000000"/>
          <w:kern w:val="0"/>
          <w:sz w:val="28"/>
          <w:szCs w:val="28"/>
        </w:rPr>
        <w:t>合格投标人的资格要求：</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pPr>
        <w:spacing w:line="360" w:lineRule="auto"/>
        <w:ind w:firstLine="560" w:firstLineChars="200"/>
        <w:jc w:val="left"/>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2.本项目资金为中小企业预留，投标人或联合体各方均须为中小企业（符合中小企业划分标准的个体工商户视同中小企业，监狱企业、残疾人福利性单位视同小型、微型企业）。</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3.本项目不接受联合体投标。</w:t>
      </w:r>
    </w:p>
    <w:p>
      <w:pPr>
        <w:spacing w:line="360" w:lineRule="auto"/>
        <w:ind w:firstLine="562" w:firstLineChars="200"/>
        <w:jc w:val="left"/>
        <w:rPr>
          <w:rFonts w:ascii="仿宋_GB2312" w:hAnsi="仿宋_GB2312" w:eastAsia="仿宋_GB2312" w:cs="仿宋_GB2312"/>
          <w:b/>
          <w:bCs/>
          <w:color w:val="000000"/>
          <w:kern w:val="0"/>
          <w:sz w:val="28"/>
          <w:szCs w:val="28"/>
          <w:highlight w:val="none"/>
        </w:rPr>
      </w:pPr>
      <w:r>
        <w:rPr>
          <w:rFonts w:hint="eastAsia" w:ascii="仿宋_GB2312" w:hAnsi="仿宋_GB2312" w:eastAsia="仿宋_GB2312" w:cs="仿宋_GB2312"/>
          <w:b/>
          <w:bCs/>
          <w:color w:val="000000"/>
          <w:kern w:val="0"/>
          <w:sz w:val="28"/>
          <w:szCs w:val="28"/>
        </w:rPr>
        <w:t>五、</w:t>
      </w:r>
      <w:r>
        <w:rPr>
          <w:rFonts w:hint="eastAsia" w:ascii="仿宋_GB2312" w:hAnsi="仿宋_GB2312" w:eastAsia="仿宋_GB2312" w:cs="仿宋_GB2312"/>
          <w:b/>
          <w:color w:val="000000"/>
          <w:kern w:val="0"/>
          <w:sz w:val="28"/>
          <w:szCs w:val="28"/>
        </w:rPr>
        <w:t>招标文件获取方式、时间</w:t>
      </w:r>
      <w:r>
        <w:rPr>
          <w:rFonts w:hint="eastAsia" w:ascii="仿宋_GB2312" w:hAnsi="仿宋_GB2312" w:eastAsia="仿宋_GB2312" w:cs="仿宋_GB2312"/>
          <w:b/>
          <w:color w:val="000000"/>
          <w:kern w:val="0"/>
          <w:sz w:val="28"/>
          <w:szCs w:val="28"/>
          <w:highlight w:val="none"/>
        </w:rPr>
        <w:t>及地点等</w:t>
      </w:r>
      <w:r>
        <w:rPr>
          <w:rFonts w:hint="eastAsia" w:ascii="仿宋_GB2312" w:hAnsi="仿宋_GB2312" w:eastAsia="仿宋_GB2312" w:cs="仿宋_GB2312"/>
          <w:b/>
          <w:bCs/>
          <w:color w:val="000000"/>
          <w:kern w:val="0"/>
          <w:sz w:val="28"/>
          <w:szCs w:val="28"/>
          <w:highlight w:val="none"/>
        </w:rPr>
        <w:t>：</w:t>
      </w:r>
    </w:p>
    <w:p>
      <w:pPr>
        <w:spacing w:line="360" w:lineRule="auto"/>
        <w:ind w:firstLine="560" w:firstLineChars="20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000000"/>
          <w:kern w:val="0"/>
          <w:sz w:val="28"/>
          <w:szCs w:val="28"/>
          <w:highlight w:val="none"/>
        </w:rPr>
        <w:t>1.</w:t>
      </w:r>
      <w:r>
        <w:rPr>
          <w:rFonts w:ascii="仿宋_GB2312" w:hAnsi="仿宋_GB2312" w:eastAsia="仿宋_GB2312" w:cs="仿宋_GB2312"/>
          <w:color w:val="000000"/>
          <w:kern w:val="0"/>
          <w:sz w:val="28"/>
          <w:szCs w:val="28"/>
          <w:highlight w:val="none"/>
        </w:rPr>
        <w:t>招标文件发售/获取截止日期</w:t>
      </w:r>
      <w:r>
        <w:rPr>
          <w:rFonts w:ascii="仿宋_GB2312" w:hAnsi="仿宋_GB2312" w:eastAsia="仿宋_GB2312" w:cs="仿宋_GB2312"/>
          <w:color w:val="auto"/>
          <w:kern w:val="0"/>
          <w:sz w:val="28"/>
          <w:szCs w:val="28"/>
          <w:highlight w:val="none"/>
        </w:rPr>
        <w:t>：20</w:t>
      </w: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4</w:t>
      </w:r>
      <w:r>
        <w:rPr>
          <w:rFonts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3</w:t>
      </w:r>
      <w:r>
        <w:rPr>
          <w:rFonts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26</w:t>
      </w:r>
      <w:r>
        <w:rPr>
          <w:rFonts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上</w:t>
      </w:r>
      <w:r>
        <w:rPr>
          <w:rFonts w:ascii="仿宋_GB2312" w:hAnsi="仿宋_GB2312" w:eastAsia="仿宋_GB2312" w:cs="仿宋_GB2312"/>
          <w:color w:val="auto"/>
          <w:kern w:val="0"/>
          <w:sz w:val="28"/>
          <w:szCs w:val="28"/>
          <w:highlight w:val="none"/>
        </w:rPr>
        <w:t>午</w:t>
      </w:r>
      <w:r>
        <w:rPr>
          <w:rFonts w:hint="eastAsia" w:ascii="仿宋_GB2312" w:hAnsi="仿宋_GB2312" w:eastAsia="仿宋_GB2312" w:cs="仿宋_GB2312"/>
          <w:color w:val="auto"/>
          <w:kern w:val="0"/>
          <w:sz w:val="28"/>
          <w:szCs w:val="28"/>
          <w:highlight w:val="none"/>
          <w:lang w:val="en-US" w:eastAsia="zh-CN"/>
        </w:rPr>
        <w:t>9:30</w:t>
      </w:r>
      <w:r>
        <w:rPr>
          <w:rFonts w:ascii="仿宋_GB2312" w:hAnsi="仿宋_GB2312" w:eastAsia="仿宋_GB2312" w:cs="仿宋_GB2312"/>
          <w:color w:val="auto"/>
          <w:kern w:val="0"/>
          <w:sz w:val="28"/>
          <w:szCs w:val="28"/>
          <w:highlight w:val="none"/>
        </w:rPr>
        <w:t>时止</w:t>
      </w:r>
      <w:r>
        <w:rPr>
          <w:rFonts w:hint="eastAsia" w:ascii="仿宋_GB2312" w:hAnsi="仿宋_GB2312" w:eastAsia="仿宋_GB2312" w:cs="仿宋_GB2312"/>
          <w:color w:val="auto"/>
          <w:kern w:val="0"/>
          <w:sz w:val="28"/>
          <w:szCs w:val="28"/>
          <w:highlight w:val="none"/>
        </w:rPr>
        <w:t>。</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highlight w:val="none"/>
        </w:rPr>
        <w:t>2.</w:t>
      </w:r>
      <w:r>
        <w:rPr>
          <w:rFonts w:ascii="仿宋_GB2312" w:hAnsi="仿宋_GB2312" w:eastAsia="仿宋_GB2312" w:cs="仿宋_GB2312"/>
          <w:color w:val="000000"/>
          <w:kern w:val="0"/>
          <w:sz w:val="28"/>
          <w:szCs w:val="28"/>
          <w:highlight w:val="none"/>
        </w:rPr>
        <w:t>招标文件发售/获取截止时间之后获取招标文件的潜在供</w:t>
      </w:r>
      <w:r>
        <w:rPr>
          <w:rFonts w:ascii="仿宋_GB2312" w:hAnsi="仿宋_GB2312" w:eastAsia="仿宋_GB2312" w:cs="仿宋_GB2312"/>
          <w:color w:val="000000"/>
          <w:kern w:val="0"/>
          <w:sz w:val="28"/>
          <w:szCs w:val="28"/>
        </w:rPr>
        <w:t>应商，视为未依法获取采购文件，投标时将被拒绝。</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招标文件发售/获取地址：政府采购云平台</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招标文件发售／获取方式：政府采购云平台→“政采云用户”登录→【项目采购】→【获取采购文件】</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r>
        <w:rPr>
          <w:rFonts w:ascii="仿宋_GB2312" w:hAnsi="仿宋_GB2312" w:eastAsia="仿宋_GB2312" w:cs="仿宋_GB2312"/>
          <w:color w:val="000000"/>
          <w:kern w:val="0"/>
          <w:sz w:val="28"/>
          <w:szCs w:val="28"/>
        </w:rPr>
        <w:t>招标文件售价：免费</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r>
        <w:rPr>
          <w:rFonts w:ascii="仿宋_GB2312" w:hAnsi="仿宋_GB2312" w:eastAsia="仿宋_GB2312" w:cs="仿宋_GB2312"/>
          <w:color w:val="000000"/>
          <w:kern w:val="0"/>
          <w:sz w:val="28"/>
          <w:szCs w:val="28"/>
        </w:rPr>
        <w:t>招标人可以对已发出的招标文件进行必要的澄清或者修改，将以“澄清公告”的形式发布在“</w:t>
      </w:r>
      <w:r>
        <w:rPr>
          <w:rFonts w:hint="eastAsia" w:ascii="仿宋_GB2312" w:hAnsi="仿宋_GB2312" w:eastAsia="仿宋_GB2312" w:cs="仿宋_GB2312"/>
          <w:color w:val="000000"/>
          <w:kern w:val="0"/>
          <w:sz w:val="28"/>
          <w:szCs w:val="28"/>
          <w:lang w:eastAsia="zh-CN"/>
        </w:rPr>
        <w:t>浙江政府采购网</w:t>
      </w:r>
      <w:r>
        <w:rPr>
          <w:rFonts w:ascii="仿宋_GB2312" w:hAnsi="仿宋_GB2312" w:eastAsia="仿宋_GB2312" w:cs="仿宋_GB2312"/>
          <w:color w:val="000000"/>
          <w:kern w:val="0"/>
          <w:sz w:val="28"/>
          <w:szCs w:val="28"/>
        </w:rPr>
        <w:t>”政采云平台上，供应商应及时登录政采云平台查看和下载，未及时查看和下载的责任自负。</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六</w:t>
      </w:r>
      <w:r>
        <w:rPr>
          <w:rFonts w:hint="eastAsia" w:ascii="仿宋_GB2312" w:hAnsi="仿宋_GB2312" w:eastAsia="仿宋_GB2312" w:cs="仿宋_GB2312"/>
          <w:b/>
          <w:bCs/>
          <w:color w:val="000000"/>
          <w:kern w:val="0"/>
          <w:sz w:val="28"/>
          <w:szCs w:val="28"/>
        </w:rPr>
        <w:t>、投标说明：</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本项目实行电子投标，应按照本项目招标文件和政采云平台的要求编制、加密并递交投标文件（</w:t>
      </w:r>
      <w:r>
        <w:rPr>
          <w:rFonts w:hint="eastAsia" w:ascii="仿宋_GB2312" w:hAnsi="仿宋_GB2312" w:eastAsia="仿宋_GB2312" w:cs="仿宋_GB2312"/>
          <w:color w:val="000000"/>
          <w:kern w:val="0"/>
          <w:sz w:val="28"/>
          <w:szCs w:val="28"/>
        </w:rPr>
        <w:t>供应商在使用系统进行投标的过程中遇到涉及平台使用的任何问题，可致电政采云平台技术支持热线95763</w:t>
      </w:r>
      <w:r>
        <w:rPr>
          <w:rFonts w:ascii="仿宋_GB2312" w:hAnsi="仿宋_GB2312" w:eastAsia="仿宋_GB2312" w:cs="仿宋_GB2312"/>
          <w:color w:val="000000"/>
          <w:kern w:val="0"/>
          <w:sz w:val="28"/>
          <w:szCs w:val="28"/>
        </w:rPr>
        <w:t>或政采云服务专员电话</w:t>
      </w:r>
      <w:r>
        <w:rPr>
          <w:rFonts w:hint="eastAsia" w:ascii="仿宋_GB2312" w:hAnsi="仿宋_GB2312" w:eastAsia="仿宋_GB2312" w:cs="仿宋_GB2312"/>
          <w:color w:val="000000"/>
          <w:kern w:val="0"/>
          <w:sz w:val="28"/>
          <w:szCs w:val="28"/>
        </w:rPr>
        <w:t>0574-63917219</w:t>
      </w:r>
      <w:r>
        <w:rPr>
          <w:rFonts w:ascii="仿宋_GB2312" w:hAnsi="仿宋_GB2312" w:eastAsia="仿宋_GB2312" w:cs="仿宋_GB2312"/>
          <w:color w:val="000000"/>
          <w:kern w:val="0"/>
          <w:sz w:val="28"/>
          <w:szCs w:val="28"/>
        </w:rPr>
        <w:t>）。</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投标人应在开标前完成CA数字证书办理（如遇问题可</w:t>
      </w:r>
      <w:r>
        <w:rPr>
          <w:rFonts w:hint="eastAsia" w:ascii="仿宋_GB2312" w:hAnsi="仿宋_GB2312" w:eastAsia="仿宋_GB2312" w:cs="仿宋_GB2312"/>
          <w:color w:val="000000"/>
          <w:kern w:val="0"/>
          <w:sz w:val="28"/>
          <w:szCs w:val="28"/>
        </w:rPr>
        <w:t>致电政采云平台技术支持热线95763</w:t>
      </w:r>
      <w:r>
        <w:rPr>
          <w:rFonts w:ascii="仿宋_GB2312" w:hAnsi="仿宋_GB2312" w:eastAsia="仿宋_GB2312" w:cs="仿宋_GB2312"/>
          <w:color w:val="000000"/>
          <w:kern w:val="0"/>
          <w:sz w:val="28"/>
          <w:szCs w:val="28"/>
        </w:rPr>
        <w:t>），用于电子投标文件的制作。</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 xml:space="preserve"> 投标人通过政采云平台电子投标工具制作投标文件，电子投标工具请供应商自行前往</w:t>
      </w:r>
      <w:r>
        <w:rPr>
          <w:rFonts w:hint="eastAsia" w:ascii="仿宋_GB2312" w:hAnsi="仿宋_GB2312" w:eastAsia="仿宋_GB2312" w:cs="仿宋_GB2312"/>
          <w:color w:val="000000"/>
          <w:kern w:val="0"/>
          <w:sz w:val="28"/>
          <w:szCs w:val="28"/>
          <w:lang w:eastAsia="zh-CN"/>
        </w:rPr>
        <w:t>浙江政府采购网</w:t>
      </w:r>
      <w:r>
        <w:rPr>
          <w:rFonts w:hint="eastAsia" w:ascii="仿宋_GB2312" w:hAnsi="仿宋_GB2312" w:eastAsia="仿宋_GB2312" w:cs="仿宋_GB2312"/>
          <w:color w:val="000000"/>
          <w:kern w:val="0"/>
          <w:sz w:val="28"/>
          <w:szCs w:val="28"/>
        </w:rPr>
        <w:t>下载并安装</w:t>
      </w:r>
      <w:r>
        <w:rPr>
          <w:rFonts w:ascii="仿宋_GB2312" w:hAnsi="仿宋_GB2312" w:eastAsia="仿宋_GB2312" w:cs="仿宋_GB2312"/>
          <w:color w:val="000000"/>
          <w:kern w:val="0"/>
          <w:sz w:val="28"/>
          <w:szCs w:val="28"/>
        </w:rPr>
        <w:t>（如遇问题可</w:t>
      </w:r>
      <w:r>
        <w:rPr>
          <w:rFonts w:hint="eastAsia" w:ascii="仿宋_GB2312" w:hAnsi="仿宋_GB2312" w:eastAsia="仿宋_GB2312" w:cs="仿宋_GB2312"/>
          <w:color w:val="000000"/>
          <w:kern w:val="0"/>
          <w:sz w:val="28"/>
          <w:szCs w:val="28"/>
        </w:rPr>
        <w:t>致电政采云平台技术支持热线95763</w:t>
      </w:r>
      <w:r>
        <w:rPr>
          <w:rFonts w:ascii="仿宋_GB2312" w:hAnsi="仿宋_GB2312" w:eastAsia="仿宋_GB2312" w:cs="仿宋_GB2312"/>
          <w:color w:val="000000"/>
          <w:kern w:val="0"/>
          <w:sz w:val="28"/>
          <w:szCs w:val="28"/>
        </w:rPr>
        <w:t>）。</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七、</w:t>
      </w:r>
      <w:r>
        <w:rPr>
          <w:rFonts w:ascii="仿宋_GB2312" w:hAnsi="仿宋_GB2312" w:eastAsia="仿宋_GB2312" w:cs="仿宋_GB2312"/>
          <w:b/>
          <w:bCs/>
          <w:color w:val="000000"/>
          <w:kern w:val="0"/>
          <w:sz w:val="28"/>
          <w:szCs w:val="28"/>
        </w:rPr>
        <w:t>投标截止时间、地点及要求</w:t>
      </w:r>
      <w:r>
        <w:rPr>
          <w:rFonts w:hint="eastAsia" w:ascii="仿宋_GB2312" w:hAnsi="仿宋_GB2312" w:eastAsia="仿宋_GB2312" w:cs="仿宋_GB2312"/>
          <w:b/>
          <w:bCs/>
          <w:color w:val="000000"/>
          <w:kern w:val="0"/>
          <w:sz w:val="28"/>
          <w:szCs w:val="28"/>
        </w:rPr>
        <w:t>：</w:t>
      </w:r>
    </w:p>
    <w:p>
      <w:pPr>
        <w:spacing w:line="360" w:lineRule="auto"/>
        <w:ind w:firstLine="560" w:firstLineChars="20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bCs/>
          <w:color w:val="000000"/>
          <w:kern w:val="0"/>
          <w:sz w:val="28"/>
          <w:szCs w:val="28"/>
        </w:rPr>
        <w:t>1.投标截</w:t>
      </w:r>
      <w:r>
        <w:rPr>
          <w:rFonts w:ascii="仿宋_GB2312" w:hAnsi="仿宋_GB2312" w:eastAsia="仿宋_GB2312" w:cs="仿宋_GB2312"/>
          <w:bCs/>
          <w:kern w:val="0"/>
          <w:sz w:val="28"/>
          <w:szCs w:val="28"/>
        </w:rPr>
        <w:t>止时</w:t>
      </w:r>
      <w:r>
        <w:rPr>
          <w:rFonts w:ascii="仿宋_GB2312" w:hAnsi="仿宋_GB2312" w:eastAsia="仿宋_GB2312" w:cs="仿宋_GB2312"/>
          <w:bCs/>
          <w:kern w:val="0"/>
          <w:sz w:val="28"/>
          <w:szCs w:val="28"/>
          <w:highlight w:val="none"/>
        </w:rPr>
        <w:t>间</w:t>
      </w:r>
      <w:r>
        <w:rPr>
          <w:rFonts w:ascii="仿宋_GB2312" w:hAnsi="仿宋_GB2312" w:eastAsia="仿宋_GB2312" w:cs="仿宋_GB2312"/>
          <w:color w:val="auto"/>
          <w:kern w:val="0"/>
          <w:sz w:val="28"/>
          <w:szCs w:val="28"/>
          <w:highlight w:val="none"/>
        </w:rPr>
        <w:t>：20</w:t>
      </w: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4</w:t>
      </w:r>
      <w:r>
        <w:rPr>
          <w:rFonts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3</w:t>
      </w:r>
      <w:r>
        <w:rPr>
          <w:rFonts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26</w:t>
      </w:r>
      <w:r>
        <w:rPr>
          <w:rFonts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上</w:t>
      </w:r>
      <w:r>
        <w:rPr>
          <w:rFonts w:ascii="仿宋_GB2312" w:hAnsi="仿宋_GB2312" w:eastAsia="仿宋_GB2312" w:cs="仿宋_GB2312"/>
          <w:color w:val="auto"/>
          <w:kern w:val="0"/>
          <w:sz w:val="28"/>
          <w:szCs w:val="28"/>
          <w:highlight w:val="none"/>
        </w:rPr>
        <w:t>午</w:t>
      </w:r>
      <w:r>
        <w:rPr>
          <w:rFonts w:hint="eastAsia" w:ascii="仿宋_GB2312" w:hAnsi="仿宋_GB2312" w:eastAsia="仿宋_GB2312" w:cs="仿宋_GB2312"/>
          <w:color w:val="auto"/>
          <w:kern w:val="0"/>
          <w:sz w:val="28"/>
          <w:szCs w:val="28"/>
          <w:highlight w:val="none"/>
          <w:lang w:val="en-US" w:eastAsia="zh-CN"/>
        </w:rPr>
        <w:t>9:30</w:t>
      </w:r>
      <w:r>
        <w:rPr>
          <w:rFonts w:ascii="仿宋_GB2312" w:hAnsi="仿宋_GB2312" w:eastAsia="仿宋_GB2312" w:cs="仿宋_GB2312"/>
          <w:color w:val="auto"/>
          <w:kern w:val="0"/>
          <w:sz w:val="28"/>
          <w:szCs w:val="28"/>
          <w:highlight w:val="none"/>
        </w:rPr>
        <w:t>时止</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Cs/>
          <w:color w:val="000000"/>
          <w:kern w:val="0"/>
          <w:sz w:val="28"/>
          <w:szCs w:val="28"/>
        </w:rPr>
        <w:t>2.投标地址</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政府采购云平台</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3.投标人应当在投标截止时间前完成电子投标文件的传输递</w:t>
      </w:r>
      <w:r>
        <w:rPr>
          <w:rFonts w:hint="eastAsia" w:ascii="仿宋_GB2312" w:hAnsi="仿宋_GB2312" w:eastAsia="仿宋_GB2312" w:cs="仿宋_GB2312"/>
          <w:color w:val="000000"/>
          <w:kern w:val="0"/>
          <w:sz w:val="28"/>
          <w:szCs w:val="28"/>
        </w:rPr>
        <w:t>交</w:t>
      </w:r>
      <w:r>
        <w:rPr>
          <w:rFonts w:ascii="仿宋_GB2312" w:hAnsi="仿宋_GB2312" w:eastAsia="仿宋_GB2312" w:cs="仿宋_GB2312"/>
          <w:color w:val="000000"/>
          <w:kern w:val="0"/>
          <w:sz w:val="28"/>
          <w:szCs w:val="28"/>
        </w:rPr>
        <w:t>，并可以补充、修改或者撤回电子投标文件。补充或者修改电子投标文件的，应当先行撤回原文件，补充、修改后重新传输递交。投标截止时间前未完成传输的，视为撤回投标文件。投标、响应截止时间后</w:t>
      </w:r>
      <w:r>
        <w:rPr>
          <w:rFonts w:hint="eastAsia" w:ascii="仿宋_GB2312" w:hAnsi="仿宋_GB2312" w:eastAsia="仿宋_GB2312" w:cs="仿宋_GB2312"/>
          <w:color w:val="000000"/>
          <w:kern w:val="0"/>
          <w:sz w:val="28"/>
          <w:szCs w:val="28"/>
          <w:lang w:eastAsia="zh-CN"/>
        </w:rPr>
        <w:t>提交</w:t>
      </w:r>
      <w:r>
        <w:rPr>
          <w:rFonts w:ascii="仿宋_GB2312" w:hAnsi="仿宋_GB2312" w:eastAsia="仿宋_GB2312" w:cs="仿宋_GB2312"/>
          <w:color w:val="000000"/>
          <w:kern w:val="0"/>
          <w:sz w:val="28"/>
          <w:szCs w:val="28"/>
        </w:rPr>
        <w:t>的投标、响应文件，将被政采云平台拒收。</w:t>
      </w:r>
    </w:p>
    <w:p>
      <w:pPr>
        <w:spacing w:line="360" w:lineRule="auto"/>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八、开标时间及地点：</w:t>
      </w:r>
    </w:p>
    <w:p>
      <w:pPr>
        <w:spacing w:line="360" w:lineRule="auto"/>
        <w:ind w:firstLine="560" w:firstLineChars="200"/>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bCs/>
          <w:color w:val="000000"/>
          <w:kern w:val="0"/>
          <w:sz w:val="28"/>
          <w:szCs w:val="28"/>
        </w:rPr>
        <w:t>1.</w:t>
      </w:r>
      <w:r>
        <w:rPr>
          <w:rFonts w:ascii="仿宋_GB2312" w:hAnsi="仿宋_GB2312" w:eastAsia="仿宋_GB2312" w:cs="仿宋_GB2312"/>
          <w:bCs/>
          <w:color w:val="000000"/>
          <w:kern w:val="0"/>
          <w:sz w:val="28"/>
          <w:szCs w:val="28"/>
        </w:rPr>
        <w:t>开</w:t>
      </w:r>
      <w:r>
        <w:rPr>
          <w:rFonts w:ascii="仿宋_GB2312" w:hAnsi="仿宋_GB2312" w:eastAsia="仿宋_GB2312" w:cs="仿宋_GB2312"/>
          <w:bCs/>
          <w:kern w:val="0"/>
          <w:sz w:val="28"/>
          <w:szCs w:val="28"/>
        </w:rPr>
        <w:t>标</w:t>
      </w:r>
      <w:r>
        <w:rPr>
          <w:rFonts w:ascii="仿宋_GB2312" w:hAnsi="仿宋_GB2312" w:eastAsia="仿宋_GB2312" w:cs="仿宋_GB2312"/>
          <w:bCs/>
          <w:color w:val="auto"/>
          <w:kern w:val="0"/>
          <w:sz w:val="28"/>
          <w:szCs w:val="28"/>
        </w:rPr>
        <w:t>时</w:t>
      </w:r>
      <w:r>
        <w:rPr>
          <w:rFonts w:ascii="仿宋_GB2312" w:hAnsi="仿宋_GB2312" w:eastAsia="仿宋_GB2312" w:cs="仿宋_GB2312"/>
          <w:bCs/>
          <w:color w:val="auto"/>
          <w:kern w:val="0"/>
          <w:sz w:val="28"/>
          <w:szCs w:val="28"/>
          <w:highlight w:val="none"/>
        </w:rPr>
        <w:t>间</w:t>
      </w:r>
      <w:r>
        <w:rPr>
          <w:rFonts w:ascii="仿宋_GB2312" w:hAnsi="仿宋_GB2312" w:eastAsia="仿宋_GB2312" w:cs="仿宋_GB2312"/>
          <w:color w:val="auto"/>
          <w:kern w:val="0"/>
          <w:sz w:val="28"/>
          <w:szCs w:val="28"/>
          <w:highlight w:val="none"/>
        </w:rPr>
        <w:t>：20</w:t>
      </w: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4</w:t>
      </w:r>
      <w:r>
        <w:rPr>
          <w:rFonts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3</w:t>
      </w:r>
      <w:r>
        <w:rPr>
          <w:rFonts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26</w:t>
      </w:r>
      <w:bookmarkStart w:id="35" w:name="_GoBack"/>
      <w:bookmarkEnd w:id="35"/>
      <w:r>
        <w:rPr>
          <w:rFonts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eastAsia="zh-CN"/>
        </w:rPr>
        <w:t>上</w:t>
      </w:r>
      <w:r>
        <w:rPr>
          <w:rFonts w:ascii="仿宋_GB2312" w:hAnsi="仿宋_GB2312" w:eastAsia="仿宋_GB2312" w:cs="仿宋_GB2312"/>
          <w:color w:val="auto"/>
          <w:kern w:val="0"/>
          <w:sz w:val="28"/>
          <w:szCs w:val="28"/>
          <w:highlight w:val="none"/>
        </w:rPr>
        <w:t>午</w:t>
      </w:r>
      <w:r>
        <w:rPr>
          <w:rFonts w:hint="eastAsia" w:ascii="仿宋_GB2312" w:hAnsi="仿宋_GB2312" w:eastAsia="仿宋_GB2312" w:cs="仿宋_GB2312"/>
          <w:color w:val="auto"/>
          <w:kern w:val="0"/>
          <w:sz w:val="28"/>
          <w:szCs w:val="28"/>
          <w:highlight w:val="none"/>
          <w:lang w:val="en-US" w:eastAsia="zh-CN"/>
        </w:rPr>
        <w:t>9:30</w:t>
      </w:r>
      <w:r>
        <w:rPr>
          <w:rFonts w:ascii="仿宋_GB2312" w:hAnsi="仿宋_GB2312" w:eastAsia="仿宋_GB2312" w:cs="仿宋_GB2312"/>
          <w:color w:val="auto"/>
          <w:kern w:val="0"/>
          <w:sz w:val="28"/>
          <w:szCs w:val="28"/>
          <w:highlight w:val="none"/>
        </w:rPr>
        <w:t>时</w:t>
      </w:r>
      <w:r>
        <w:rPr>
          <w:rFonts w:hint="eastAsia" w:ascii="仿宋_GB2312" w:hAnsi="仿宋_GB2312" w:eastAsia="仿宋_GB2312" w:cs="仿宋_GB2312"/>
          <w:color w:val="auto"/>
          <w:kern w:val="0"/>
          <w:sz w:val="28"/>
          <w:szCs w:val="28"/>
          <w:highlight w:val="none"/>
          <w:lang w:eastAsia="zh-CN"/>
        </w:rPr>
        <w:t>整</w:t>
      </w:r>
    </w:p>
    <w:p>
      <w:pPr>
        <w:spacing w:line="360" w:lineRule="auto"/>
        <w:ind w:firstLine="560" w:firstLineChars="200"/>
        <w:jc w:val="left"/>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2.开标地址/网址：浙江省慈溪市公共资源交易中心二楼第五开标室（慈溪市白沙路街道南二环东路1355号）/政府采购云平台</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九、</w:t>
      </w:r>
      <w:r>
        <w:rPr>
          <w:rFonts w:ascii="仿宋_GB2312" w:hAnsi="仿宋_GB2312" w:eastAsia="仿宋_GB2312" w:cs="仿宋_GB2312"/>
          <w:b/>
          <w:bCs/>
          <w:color w:val="000000"/>
          <w:kern w:val="0"/>
          <w:sz w:val="28"/>
          <w:szCs w:val="28"/>
        </w:rPr>
        <w:t>投标保证金</w:t>
      </w:r>
      <w:r>
        <w:rPr>
          <w:rFonts w:ascii="仿宋_GB2312" w:hAnsi="仿宋_GB2312" w:eastAsia="仿宋_GB2312" w:cs="仿宋_GB2312"/>
          <w:b/>
          <w:color w:val="000000"/>
          <w:kern w:val="0"/>
          <w:sz w:val="28"/>
          <w:szCs w:val="28"/>
        </w:rPr>
        <w:t>：</w:t>
      </w:r>
      <w:r>
        <w:rPr>
          <w:rFonts w:ascii="仿宋_GB2312" w:hAnsi="仿宋_GB2312" w:eastAsia="仿宋_GB2312" w:cs="仿宋_GB2312"/>
          <w:color w:val="000000"/>
          <w:kern w:val="0"/>
          <w:sz w:val="28"/>
          <w:szCs w:val="28"/>
        </w:rPr>
        <w:t>无</w:t>
      </w:r>
    </w:p>
    <w:p>
      <w:pPr>
        <w:spacing w:line="360" w:lineRule="auto"/>
        <w:ind w:firstLine="562" w:firstLineChars="200"/>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十、</w:t>
      </w:r>
      <w:r>
        <w:rPr>
          <w:rFonts w:ascii="仿宋_GB2312" w:hAnsi="仿宋_GB2312" w:eastAsia="仿宋_GB2312" w:cs="仿宋_GB2312"/>
          <w:b/>
          <w:color w:val="000000"/>
          <w:kern w:val="0"/>
          <w:sz w:val="28"/>
          <w:szCs w:val="28"/>
        </w:rPr>
        <w:t>本次招标有关信息公告媒体：</w:t>
      </w:r>
    </w:p>
    <w:p>
      <w:pPr>
        <w:spacing w:line="360" w:lineRule="auto"/>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浙江政府采购网</w:t>
      </w:r>
    </w:p>
    <w:p>
      <w:pPr>
        <w:spacing w:line="360" w:lineRule="auto"/>
        <w:ind w:left="559" w:leftChars="266"/>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宁波市政务服务办公室-宁波市公共资源交易电子服务系统（慈溪）</w:t>
      </w:r>
    </w:p>
    <w:p>
      <w:pPr>
        <w:spacing w:line="360" w:lineRule="auto"/>
        <w:ind w:firstLine="562"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b/>
          <w:color w:val="000000"/>
          <w:kern w:val="0"/>
          <w:sz w:val="28"/>
          <w:szCs w:val="28"/>
        </w:rPr>
        <w:t>十一</w:t>
      </w:r>
      <w:r>
        <w:rPr>
          <w:rFonts w:hint="eastAsia" w:ascii="仿宋_GB2312" w:hAnsi="仿宋_GB2312" w:eastAsia="仿宋_GB2312" w:cs="仿宋_GB2312"/>
          <w:b/>
          <w:color w:val="000000"/>
          <w:kern w:val="0"/>
          <w:sz w:val="28"/>
          <w:szCs w:val="28"/>
        </w:rPr>
        <w:t>、本项目</w:t>
      </w:r>
      <w:r>
        <w:rPr>
          <w:rFonts w:ascii="仿宋_GB2312" w:hAnsi="仿宋_GB2312" w:eastAsia="仿宋_GB2312" w:cs="仿宋_GB2312"/>
          <w:b/>
          <w:color w:val="000000"/>
          <w:kern w:val="0"/>
          <w:sz w:val="28"/>
          <w:szCs w:val="28"/>
        </w:rPr>
        <w:t>公告期限：</w:t>
      </w:r>
      <w:r>
        <w:rPr>
          <w:rFonts w:ascii="仿宋_GB2312" w:hAnsi="仿宋_GB2312" w:eastAsia="仿宋_GB2312" w:cs="仿宋_GB2312"/>
          <w:color w:val="000000"/>
          <w:kern w:val="0"/>
          <w:sz w:val="28"/>
          <w:szCs w:val="28"/>
        </w:rPr>
        <w:t>本公告发布之日起5个工作日。</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十二、</w:t>
      </w:r>
      <w:r>
        <w:rPr>
          <w:rFonts w:ascii="仿宋_GB2312" w:hAnsi="仿宋_GB2312" w:eastAsia="仿宋_GB2312" w:cs="仿宋_GB2312"/>
          <w:color w:val="000000"/>
          <w:kern w:val="0"/>
          <w:sz w:val="28"/>
          <w:szCs w:val="28"/>
        </w:rPr>
        <w:t>供应商认为采购文件、采购过程、中标或者成交结果使自己的权益受到损害的，可以在知道或者应知其权益受到损害之日起7个工作日内，以书面形式提出质疑。</w:t>
      </w:r>
      <w:r>
        <w:rPr>
          <w:rFonts w:ascii="仿宋_GB2312" w:hAnsi="仿宋_GB2312" w:eastAsia="仿宋_GB2312" w:cs="仿宋_GB2312"/>
          <w:b/>
          <w:bCs/>
          <w:color w:val="000000"/>
          <w:kern w:val="0"/>
          <w:sz w:val="28"/>
          <w:szCs w:val="28"/>
          <w:u w:val="single"/>
        </w:rPr>
        <w:t>对采购文件需求条款、评分标准等内容的质疑向采购人提出，对开评标程序的质疑向采购代理机构提出。</w:t>
      </w:r>
      <w:r>
        <w:rPr>
          <w:rFonts w:ascii="仿宋_GB2312" w:hAnsi="仿宋_GB2312" w:eastAsia="仿宋_GB2312" w:cs="仿宋_GB2312"/>
          <w:color w:val="000000"/>
          <w:kern w:val="0"/>
          <w:sz w:val="28"/>
          <w:szCs w:val="28"/>
        </w:rPr>
        <w:t>质疑相关事项见招标文件“第四部分-六、质疑”。</w:t>
      </w:r>
    </w:p>
    <w:p>
      <w:pPr>
        <w:spacing w:line="360" w:lineRule="auto"/>
        <w:ind w:firstLine="562"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lang w:eastAsia="zh-CN"/>
        </w:rPr>
        <w:t>十三、</w:t>
      </w:r>
      <w:r>
        <w:rPr>
          <w:rFonts w:ascii="仿宋_GB2312" w:hAnsi="仿宋_GB2312" w:eastAsia="仿宋_GB2312" w:cs="仿宋_GB2312"/>
          <w:b/>
          <w:bCs/>
          <w:color w:val="000000"/>
          <w:kern w:val="0"/>
          <w:sz w:val="28"/>
          <w:szCs w:val="28"/>
        </w:rPr>
        <w:t>联系方式：</w:t>
      </w:r>
    </w:p>
    <w:p>
      <w:pPr>
        <w:pStyle w:val="31"/>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1.采购人信息</w:t>
      </w:r>
    </w:p>
    <w:p>
      <w:pPr>
        <w:pStyle w:val="31"/>
        <w:ind w:firstLine="560" w:firstLineChars="200"/>
        <w:rPr>
          <w:rFonts w:ascii="仿宋_GB2312" w:hAnsi="仿宋_GB2312" w:eastAsia="仿宋_GB2312" w:cs="仿宋_GB2312"/>
          <w:color w:val="000000"/>
          <w:kern w:val="0"/>
          <w:szCs w:val="28"/>
          <w:highlight w:val="none"/>
        </w:rPr>
      </w:pPr>
      <w:r>
        <w:rPr>
          <w:rFonts w:hint="eastAsia" w:ascii="仿宋_GB2312" w:hAnsi="仿宋_GB2312" w:eastAsia="仿宋_GB2312" w:cs="仿宋_GB2312"/>
          <w:color w:val="000000"/>
          <w:kern w:val="0"/>
          <w:szCs w:val="28"/>
          <w:highlight w:val="none"/>
          <w:lang w:eastAsia="zh-CN"/>
        </w:rPr>
        <w:t>慈溪市经济和信息化局</w:t>
      </w:r>
      <w:r>
        <w:rPr>
          <w:rFonts w:hint="eastAsia" w:ascii="仿宋_GB2312" w:hAnsi="仿宋_GB2312" w:eastAsia="仿宋_GB2312" w:cs="仿宋_GB2312"/>
          <w:color w:val="000000"/>
          <w:kern w:val="0"/>
          <w:szCs w:val="28"/>
          <w:highlight w:val="none"/>
        </w:rPr>
        <w:t>（新城大道北路1777号）</w:t>
      </w:r>
    </w:p>
    <w:p>
      <w:pPr>
        <w:pStyle w:val="31"/>
        <w:ind w:firstLine="560" w:firstLineChars="200"/>
        <w:rPr>
          <w:rFonts w:hint="eastAsia" w:ascii="仿宋_GB2312" w:hAnsi="仿宋_GB2312" w:eastAsia="仿宋_GB2312" w:cs="仿宋_GB2312"/>
          <w:color w:val="auto"/>
          <w:kern w:val="0"/>
          <w:szCs w:val="28"/>
          <w:highlight w:val="none"/>
        </w:rPr>
      </w:pPr>
      <w:r>
        <w:rPr>
          <w:rFonts w:hint="eastAsia" w:ascii="仿宋_GB2312" w:hAnsi="仿宋_GB2312" w:eastAsia="仿宋_GB2312" w:cs="仿宋_GB2312"/>
          <w:color w:val="000000"/>
          <w:kern w:val="0"/>
          <w:szCs w:val="28"/>
          <w:highlight w:val="none"/>
        </w:rPr>
        <w:t>项目联系人（询</w:t>
      </w:r>
      <w:r>
        <w:rPr>
          <w:rFonts w:hint="eastAsia" w:ascii="仿宋_GB2312" w:hAnsi="仿宋_GB2312" w:eastAsia="仿宋_GB2312" w:cs="仿宋_GB2312"/>
          <w:color w:val="auto"/>
          <w:kern w:val="0"/>
          <w:szCs w:val="28"/>
          <w:highlight w:val="none"/>
        </w:rPr>
        <w:t>问）：</w:t>
      </w:r>
      <w:r>
        <w:rPr>
          <w:rFonts w:hint="eastAsia" w:ascii="仿宋_GB2312" w:hAnsi="仿宋_GB2312" w:eastAsia="仿宋_GB2312" w:cs="仿宋_GB2312"/>
          <w:kern w:val="0"/>
          <w:szCs w:val="28"/>
          <w:highlight w:val="none"/>
        </w:rPr>
        <w:t>林妮妮</w:t>
      </w:r>
      <w:r>
        <w:rPr>
          <w:rFonts w:hint="eastAsia" w:ascii="仿宋_GB2312" w:hAnsi="仿宋_GB2312" w:eastAsia="仿宋_GB2312" w:cs="仿宋_GB2312"/>
          <w:color w:val="auto"/>
          <w:kern w:val="0"/>
          <w:szCs w:val="28"/>
          <w:highlight w:val="none"/>
        </w:rPr>
        <w:t>，0574-67001939</w:t>
      </w:r>
    </w:p>
    <w:p>
      <w:pPr>
        <w:pStyle w:val="31"/>
        <w:ind w:firstLine="560" w:firstLineChars="200"/>
        <w:rPr>
          <w:rFonts w:hint="eastAsia" w:ascii="仿宋_GB2312" w:hAnsi="仿宋_GB2312" w:eastAsia="仿宋_GB2312" w:cs="仿宋_GB2312"/>
          <w:color w:val="auto"/>
          <w:kern w:val="0"/>
          <w:szCs w:val="28"/>
          <w:highlight w:val="none"/>
        </w:rPr>
      </w:pPr>
      <w:r>
        <w:rPr>
          <w:rFonts w:hint="eastAsia" w:ascii="仿宋_GB2312" w:hAnsi="仿宋_GB2312" w:eastAsia="仿宋_GB2312" w:cs="仿宋_GB2312"/>
          <w:kern w:val="0"/>
          <w:szCs w:val="28"/>
          <w:highlight w:val="none"/>
        </w:rPr>
        <w:t>质疑联系人：王凯迪</w:t>
      </w:r>
      <w:r>
        <w:rPr>
          <w:rFonts w:hint="eastAsia" w:ascii="仿宋_GB2312" w:hAnsi="仿宋_GB2312" w:eastAsia="仿宋_GB2312" w:cs="仿宋_GB2312"/>
          <w:color w:val="auto"/>
          <w:kern w:val="0"/>
          <w:szCs w:val="28"/>
          <w:highlight w:val="none"/>
        </w:rPr>
        <w:t>，15258149571</w:t>
      </w:r>
    </w:p>
    <w:p>
      <w:pPr>
        <w:pStyle w:val="31"/>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2.采购代理机构信息</w:t>
      </w:r>
    </w:p>
    <w:p>
      <w:pPr>
        <w:pStyle w:val="31"/>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慈溪市政府采购中心</w:t>
      </w:r>
      <w:r>
        <w:rPr>
          <w:rFonts w:hint="eastAsia" w:hAnsi="宋体" w:cs="宋体"/>
          <w:color w:val="000000"/>
          <w:kern w:val="0"/>
          <w:szCs w:val="28"/>
        </w:rPr>
        <w:t>（</w:t>
      </w:r>
      <w:r>
        <w:rPr>
          <w:rFonts w:hint="eastAsia" w:ascii="仿宋_GB2312" w:hAnsi="仿宋_GB2312" w:eastAsia="仿宋_GB2312" w:cs="仿宋_GB2312"/>
          <w:color w:val="000000"/>
          <w:kern w:val="0"/>
          <w:szCs w:val="28"/>
        </w:rPr>
        <w:t>慈溪市白沙路街道南二环东路1355号）</w:t>
      </w:r>
    </w:p>
    <w:p>
      <w:pPr>
        <w:pStyle w:val="31"/>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项目联系人（询问）：陆溶溶</w:t>
      </w:r>
      <w:r>
        <w:rPr>
          <w:rFonts w:hint="eastAsia" w:hAnsi="宋体" w:cs="宋体"/>
          <w:color w:val="000000"/>
          <w:kern w:val="0"/>
          <w:szCs w:val="28"/>
        </w:rPr>
        <w:t>，</w:t>
      </w:r>
      <w:r>
        <w:rPr>
          <w:rFonts w:hint="eastAsia" w:ascii="仿宋_GB2312" w:hAnsi="仿宋_GB2312" w:eastAsia="仿宋_GB2312" w:cs="仿宋_GB2312"/>
          <w:color w:val="000000"/>
          <w:kern w:val="0"/>
          <w:szCs w:val="28"/>
        </w:rPr>
        <w:t>0574-63661116</w:t>
      </w:r>
    </w:p>
    <w:p>
      <w:pPr>
        <w:pStyle w:val="31"/>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质疑联系人：陈倩芸，0574-63037955</w:t>
      </w:r>
    </w:p>
    <w:p>
      <w:pPr>
        <w:pStyle w:val="31"/>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3.同级政府采购监督管理部门</w:t>
      </w:r>
    </w:p>
    <w:p>
      <w:pPr>
        <w:pStyle w:val="31"/>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lang w:eastAsia="zh-CN"/>
        </w:rPr>
        <w:t>慈溪市财政局</w:t>
      </w:r>
      <w:r>
        <w:rPr>
          <w:rFonts w:hint="eastAsia" w:ascii="仿宋_GB2312" w:hAnsi="仿宋_GB2312" w:eastAsia="仿宋_GB2312" w:cs="仿宋_GB2312"/>
          <w:color w:val="000000"/>
          <w:kern w:val="0"/>
          <w:szCs w:val="28"/>
        </w:rPr>
        <w:t>（慈溪市白沙路街道南二环东路1158号）</w:t>
      </w:r>
    </w:p>
    <w:p>
      <w:pPr>
        <w:pStyle w:val="31"/>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联系人：赵先生、王女士</w:t>
      </w:r>
    </w:p>
    <w:p>
      <w:pPr>
        <w:pStyle w:val="31"/>
        <w:ind w:firstLine="560" w:firstLineChars="200"/>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Cs w:val="28"/>
        </w:rPr>
        <w:t>监督投诉电话：0574-63032032 0574-63837170</w:t>
      </w: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pStyle w:val="2"/>
        <w:ind w:left="0" w:leftChars="0" w:firstLine="0" w:firstLineChars="0"/>
      </w:pPr>
    </w:p>
    <w:p>
      <w:pPr>
        <w:spacing w:line="360" w:lineRule="auto"/>
        <w:jc w:val="center"/>
        <w:rPr>
          <w:rFonts w:ascii="仿宋_GB2312" w:hAnsi="仿宋_GB2312" w:eastAsia="仿宋_GB2312" w:cs="仿宋_GB2312"/>
          <w:color w:val="000000"/>
          <w:kern w:val="0"/>
          <w:sz w:val="28"/>
          <w:szCs w:val="28"/>
          <w:highlight w:val="yellow"/>
        </w:rPr>
      </w:pPr>
      <w:r>
        <w:rPr>
          <w:rFonts w:ascii="仿宋_GB2312" w:hAnsi="仿宋_GB2312" w:eastAsia="仿宋_GB2312" w:cs="仿宋_GB2312"/>
          <w:color w:val="000000"/>
          <w:kern w:val="0"/>
          <w:sz w:val="36"/>
          <w:szCs w:val="36"/>
        </w:rPr>
        <w:t>第二部分   招标需求</w:t>
      </w:r>
    </w:p>
    <w:p>
      <w:pPr>
        <w:snapToGrid w:val="0"/>
        <w:spacing w:beforeLines="50" w:afterLines="50" w:line="360" w:lineRule="auto"/>
        <w:rPr>
          <w:rFonts w:ascii="仿宋_GB2312" w:hAnsi="仿宋_GB2312" w:eastAsia="仿宋_GB2312" w:cs="仿宋_GB2312"/>
          <w:b/>
          <w:color w:val="000000"/>
          <w:kern w:val="0"/>
          <w:sz w:val="28"/>
          <w:szCs w:val="28"/>
          <w:u w:val="single"/>
        </w:rPr>
      </w:pPr>
      <w:r>
        <w:rPr>
          <w:rFonts w:ascii="仿宋_GB2312" w:hAnsi="仿宋_GB2312" w:eastAsia="仿宋_GB2312" w:cs="仿宋_GB2312"/>
          <w:b/>
          <w:color w:val="000000"/>
          <w:kern w:val="0"/>
          <w:sz w:val="28"/>
          <w:szCs w:val="28"/>
        </w:rPr>
        <w:t>特别说明：</w:t>
      </w:r>
      <w:r>
        <w:rPr>
          <w:rFonts w:ascii="仿宋_GB2312" w:hAnsi="仿宋_GB2312" w:eastAsia="仿宋_GB2312" w:cs="仿宋_GB2312"/>
          <w:b/>
          <w:color w:val="000000"/>
          <w:kern w:val="0"/>
          <w:sz w:val="28"/>
          <w:szCs w:val="28"/>
          <w:u w:val="single"/>
        </w:rPr>
        <w:t>需求中不允许负偏离的实质性要求和条件，以“★”号标明，如投标人未响应的，将被视为无效。</w:t>
      </w:r>
    </w:p>
    <w:p>
      <w:pPr>
        <w:spacing w:line="360" w:lineRule="auto"/>
        <w:ind w:firstLine="562" w:firstLineChars="200"/>
        <w:jc w:val="lef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一、培训目标</w:t>
      </w:r>
    </w:p>
    <w:p>
      <w:pPr>
        <w:spacing w:line="400" w:lineRule="exact"/>
        <w:ind w:firstLine="420"/>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通过培训提高企业经营管理水平，推动企业体制创新、技术创新和管理创新，增强企业竞争力，全面提高企业的综合素质。</w:t>
      </w:r>
    </w:p>
    <w:p>
      <w:pPr>
        <w:spacing w:line="360" w:lineRule="auto"/>
        <w:ind w:firstLine="562" w:firstLineChars="200"/>
        <w:jc w:val="lef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二、承办方案要求</w:t>
      </w:r>
    </w:p>
    <w:p>
      <w:pPr>
        <w:pStyle w:val="79"/>
        <w:spacing w:line="400" w:lineRule="exact"/>
        <w:ind w:firstLineChars="0"/>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所有供应商应按招标文件的服务要求制作承办方案，承办方案包括授课教师情况、具体课程设置和课时安排、后勤服务安排、培训场地及教学设施设备情况、招生计划及生源保障措施（有明确的自主招生计划或具体的生源保障措施；或提供有明确的合作意向单位的书面证明材料）、供应商对掌握和分析所对应培训项目在慈溪工业企业中现状和需求等。</w:t>
      </w:r>
    </w:p>
    <w:p>
      <w:pPr>
        <w:spacing w:line="400" w:lineRule="exact"/>
        <w:ind w:firstLine="420"/>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除非经慈溪市经济和信息化局许可，中标供应商的承办方案不得擅自更改。</w:t>
      </w:r>
    </w:p>
    <w:p>
      <w:pPr>
        <w:spacing w:line="360" w:lineRule="auto"/>
        <w:ind w:firstLine="562" w:firstLineChars="200"/>
        <w:jc w:val="lef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eastAsia="zh-CN"/>
        </w:rPr>
        <w:t>三、</w:t>
      </w:r>
      <w:r>
        <w:rPr>
          <w:rFonts w:hint="eastAsia" w:ascii="仿宋_GB2312" w:hAnsi="仿宋_GB2312" w:eastAsia="仿宋_GB2312" w:cs="仿宋_GB2312"/>
          <w:b/>
          <w:bCs/>
          <w:color w:val="000000"/>
          <w:kern w:val="0"/>
          <w:sz w:val="28"/>
          <w:szCs w:val="28"/>
        </w:rPr>
        <w:t>服务要求</w:t>
      </w:r>
    </w:p>
    <w:tbl>
      <w:tblPr>
        <w:tblStyle w:val="67"/>
        <w:tblW w:w="94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61"/>
        <w:gridCol w:w="1364"/>
        <w:gridCol w:w="1881"/>
        <w:gridCol w:w="791"/>
        <w:gridCol w:w="1459"/>
        <w:gridCol w:w="828"/>
        <w:gridCol w:w="64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09" w:type="dxa"/>
            <w:noWrap/>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标项</w:t>
            </w:r>
          </w:p>
        </w:tc>
        <w:tc>
          <w:tcPr>
            <w:tcW w:w="661" w:type="dxa"/>
            <w:noWrap/>
            <w:vAlign w:val="center"/>
          </w:tcPr>
          <w:p>
            <w:pPr>
              <w:widowControl/>
              <w:spacing w:line="400" w:lineRule="exact"/>
              <w:jc w:val="center"/>
              <w:rPr>
                <w:rFonts w:hint="eastAsia" w:ascii="宋体" w:hAnsi="宋体" w:eastAsia="宋体" w:cs="宋体"/>
                <w:b/>
                <w:kern w:val="0"/>
                <w:szCs w:val="21"/>
                <w:lang w:val="en-US" w:eastAsia="zh-CN"/>
              </w:rPr>
            </w:pPr>
            <w:r>
              <w:rPr>
                <w:rFonts w:hint="eastAsia" w:ascii="宋体" w:hAnsi="宋体" w:cs="宋体"/>
                <w:b/>
                <w:kern w:val="0"/>
                <w:szCs w:val="21"/>
                <w:lang w:val="en-US" w:eastAsia="zh-CN"/>
              </w:rPr>
              <w:t>序号</w:t>
            </w:r>
          </w:p>
        </w:tc>
        <w:tc>
          <w:tcPr>
            <w:tcW w:w="1364" w:type="dxa"/>
            <w:noWrap/>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培训班名称</w:t>
            </w:r>
          </w:p>
        </w:tc>
        <w:tc>
          <w:tcPr>
            <w:tcW w:w="1881" w:type="dxa"/>
            <w:noWrap/>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培训目的、主要方向性内容</w:t>
            </w:r>
          </w:p>
        </w:tc>
        <w:tc>
          <w:tcPr>
            <w:tcW w:w="791" w:type="dxa"/>
            <w:noWrap/>
            <w:vAlign w:val="center"/>
          </w:tcPr>
          <w:p>
            <w:pPr>
              <w:widowControl/>
              <w:spacing w:line="400" w:lineRule="exact"/>
              <w:jc w:val="left"/>
              <w:rPr>
                <w:rFonts w:hint="eastAsia" w:ascii="宋体" w:hAnsi="宋体" w:eastAsia="宋体" w:cs="宋体"/>
                <w:b/>
                <w:kern w:val="0"/>
                <w:szCs w:val="21"/>
                <w:lang w:eastAsia="zh-CN"/>
              </w:rPr>
            </w:pPr>
            <w:r>
              <w:rPr>
                <w:rFonts w:hint="eastAsia" w:ascii="宋体" w:hAnsi="宋体" w:cs="宋体"/>
                <w:b/>
                <w:kern w:val="0"/>
                <w:szCs w:val="21"/>
                <w:lang w:eastAsia="zh-CN"/>
              </w:rPr>
              <w:t>培训方式</w:t>
            </w:r>
          </w:p>
        </w:tc>
        <w:tc>
          <w:tcPr>
            <w:tcW w:w="1459" w:type="dxa"/>
            <w:noWrap/>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培训对象</w:t>
            </w:r>
          </w:p>
        </w:tc>
        <w:tc>
          <w:tcPr>
            <w:tcW w:w="828" w:type="dxa"/>
            <w:noWrap/>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培训人数</w:t>
            </w:r>
          </w:p>
        </w:tc>
        <w:tc>
          <w:tcPr>
            <w:tcW w:w="645" w:type="dxa"/>
            <w:noWrap/>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天数</w:t>
            </w:r>
          </w:p>
        </w:tc>
        <w:tc>
          <w:tcPr>
            <w:tcW w:w="1080" w:type="dxa"/>
            <w:noWrap/>
            <w:vAlign w:val="center"/>
          </w:tcPr>
          <w:p>
            <w:pPr>
              <w:widowControl/>
              <w:spacing w:line="400" w:lineRule="exact"/>
              <w:jc w:val="center"/>
              <w:rPr>
                <w:rFonts w:hint="eastAsia" w:ascii="宋体" w:hAnsi="宋体" w:eastAsia="宋体" w:cs="宋体"/>
                <w:b/>
                <w:kern w:val="0"/>
                <w:szCs w:val="21"/>
                <w:lang w:eastAsia="zh-CN"/>
              </w:rPr>
            </w:pPr>
            <w:r>
              <w:rPr>
                <w:rFonts w:hint="eastAsia" w:ascii="宋体" w:hAnsi="宋体" w:cs="宋体"/>
                <w:b/>
                <w:kern w:val="0"/>
                <w:szCs w:val="21"/>
                <w:lang w:eastAsia="zh-CN"/>
              </w:rPr>
              <w:t>最高限价</w:t>
            </w:r>
            <w:r>
              <w:rPr>
                <w:rFonts w:hint="eastAsia" w:ascii="宋体" w:hAnsi="宋体" w:cs="宋体"/>
                <w:b/>
                <w:kern w:val="0"/>
                <w:szCs w:val="21"/>
                <w:lang w:val="en-US" w:eastAsia="zh-CN"/>
              </w:rPr>
              <w:t>/预算价</w:t>
            </w:r>
            <w:r>
              <w:rPr>
                <w:rFonts w:hint="eastAsia" w:ascii="宋体" w:hAnsi="宋体" w:cs="宋体"/>
                <w:b/>
                <w:kern w:val="0"/>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一：战略管理</w:t>
            </w:r>
          </w:p>
        </w:tc>
        <w:tc>
          <w:tcPr>
            <w:tcW w:w="661" w:type="dxa"/>
            <w:noWrap/>
            <w:vAlign w:val="center"/>
          </w:tcPr>
          <w:p>
            <w:pPr>
              <w:widowControl/>
              <w:spacing w:line="4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w:t>
            </w:r>
          </w:p>
        </w:tc>
        <w:tc>
          <w:tcPr>
            <w:tcW w:w="1364" w:type="dxa"/>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企业战略规划与年度经营计划落地</w:t>
            </w:r>
          </w:p>
        </w:tc>
        <w:tc>
          <w:tcPr>
            <w:tcW w:w="1881" w:type="dxa"/>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通过培训，围绕战略目标，合理使用管理工具，把战略规划目标逐年分解落实，体系化推动年度经营计划制定与高效执行；实训制定程序等关键过程内容，进一步提升年度战略经营规划水平。</w:t>
            </w:r>
          </w:p>
        </w:tc>
        <w:tc>
          <w:tcPr>
            <w:tcW w:w="791" w:type="dxa"/>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授课+参观</w:t>
            </w:r>
          </w:p>
        </w:tc>
        <w:tc>
          <w:tcPr>
            <w:tcW w:w="1459" w:type="dxa"/>
            <w:noWrap/>
            <w:vAlign w:val="center"/>
          </w:tcPr>
          <w:p>
            <w:pPr>
              <w:widowControl/>
              <w:spacing w:line="400" w:lineRule="exact"/>
              <w:jc w:val="left"/>
              <w:rPr>
                <w:rFonts w:ascii="宋体" w:hAnsi="宋体" w:cs="宋体"/>
                <w:kern w:val="0"/>
                <w:szCs w:val="21"/>
              </w:rPr>
            </w:pPr>
            <w:r>
              <w:rPr>
                <w:rFonts w:hint="eastAsia" w:ascii="宋体" w:hAnsi="宋体" w:cs="宋体"/>
                <w:kern w:val="0"/>
                <w:szCs w:val="21"/>
              </w:rPr>
              <w:t>企业总经理、财务、行政、人资、运营等企业中高层负责人</w:t>
            </w:r>
          </w:p>
        </w:tc>
        <w:tc>
          <w:tcPr>
            <w:tcW w:w="828" w:type="dxa"/>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60</w:t>
            </w:r>
          </w:p>
        </w:tc>
        <w:tc>
          <w:tcPr>
            <w:tcW w:w="645" w:type="dxa"/>
            <w:noWrap/>
            <w:vAlign w:val="center"/>
          </w:tcPr>
          <w:p>
            <w:pPr>
              <w:widowControl/>
              <w:spacing w:line="40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3</w:t>
            </w:r>
          </w:p>
        </w:tc>
        <w:tc>
          <w:tcPr>
            <w:tcW w:w="1080" w:type="dxa"/>
            <w:noWrap/>
            <w:vAlign w:val="center"/>
          </w:tcPr>
          <w:p>
            <w:pPr>
              <w:widowControl/>
              <w:spacing w:line="400" w:lineRule="exact"/>
              <w:jc w:val="center"/>
              <w:rPr>
                <w:rFonts w:hint="eastAsia" w:ascii="宋体" w:hAnsi="宋体" w:cs="宋体"/>
                <w:kern w:val="0"/>
                <w:szCs w:val="21"/>
                <w:lang w:val="en-US" w:eastAsia="zh-CN"/>
              </w:rPr>
            </w:pPr>
            <w:r>
              <w:rPr>
                <w:rFonts w:hint="eastAsia" w:ascii="宋体" w:hAnsi="宋体" w:cs="宋体"/>
                <w:kern w:val="0"/>
                <w:szCs w:val="21"/>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widowControl/>
              <w:spacing w:line="400" w:lineRule="exact"/>
              <w:jc w:val="center"/>
              <w:rPr>
                <w:rFonts w:ascii="宋体" w:hAnsi="宋体" w:cs="宋体"/>
                <w:kern w:val="0"/>
                <w:szCs w:val="21"/>
              </w:rPr>
            </w:pPr>
          </w:p>
        </w:tc>
        <w:tc>
          <w:tcPr>
            <w:tcW w:w="661"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364" w:type="dxa"/>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企业全面预算进阶班</w:t>
            </w:r>
          </w:p>
        </w:tc>
        <w:tc>
          <w:tcPr>
            <w:tcW w:w="1881"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通过培训，解读预算功能、讲解原理、案例分析、实操练习，让学员掌握全面预算管理工具的运用，掌握运用预算编制执行进行运营成本的管控，并在工作中解决实际的预算管理问题。</w:t>
            </w:r>
          </w:p>
        </w:tc>
        <w:tc>
          <w:tcPr>
            <w:tcW w:w="791"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w:t>
            </w:r>
          </w:p>
        </w:tc>
        <w:tc>
          <w:tcPr>
            <w:tcW w:w="1459"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企业总经理、财务、行政、运营等企业中高层负责人</w:t>
            </w:r>
          </w:p>
        </w:tc>
        <w:tc>
          <w:tcPr>
            <w:tcW w:w="828"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645"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二：运营创新</w:t>
            </w:r>
          </w:p>
        </w:tc>
        <w:tc>
          <w:tcPr>
            <w:tcW w:w="661"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1364" w:type="dxa"/>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企业高效运营管理创新提升班</w:t>
            </w:r>
          </w:p>
        </w:tc>
        <w:tc>
          <w:tcPr>
            <w:tcW w:w="1881"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通过培训，加强企业管理者系统运营思维，梳理优化运营流程，实现高效协同、自运转；针对行业运营实践中的重点、难点问题，通过运营管理模式创新，提供针对性解决思路。</w:t>
            </w:r>
          </w:p>
        </w:tc>
        <w:tc>
          <w:tcPr>
            <w:tcW w:w="791"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w:t>
            </w:r>
          </w:p>
        </w:tc>
        <w:tc>
          <w:tcPr>
            <w:tcW w:w="1459"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企业总经理、行政、运营等企业中高层负责人</w:t>
            </w:r>
          </w:p>
        </w:tc>
        <w:tc>
          <w:tcPr>
            <w:tcW w:w="828"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645"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widowControl/>
              <w:spacing w:line="400" w:lineRule="exact"/>
              <w:jc w:val="center"/>
              <w:rPr>
                <w:rFonts w:ascii="宋体" w:hAnsi="宋体" w:cs="宋体"/>
                <w:kern w:val="0"/>
                <w:szCs w:val="21"/>
              </w:rPr>
            </w:pPr>
          </w:p>
        </w:tc>
        <w:tc>
          <w:tcPr>
            <w:tcW w:w="661" w:type="dxa"/>
            <w:tcBorders>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1364" w:type="dxa"/>
            <w:tcBorders>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企业经营模式创新与供应链管理高级研修班</w:t>
            </w:r>
          </w:p>
        </w:tc>
        <w:tc>
          <w:tcPr>
            <w:tcW w:w="1881" w:type="dxa"/>
            <w:tcBorders>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通过研学，学习领悟优秀企业“经营模式”，通过经营模式创新，构建内部交易平台，让员工参与经营活动；融合供应链管理创新，深度挖掘企业内部竞争优势，学习如何更好整合外部供应商资源。</w:t>
            </w:r>
          </w:p>
        </w:tc>
        <w:tc>
          <w:tcPr>
            <w:tcW w:w="791" w:type="dxa"/>
            <w:tcBorders>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w:t>
            </w:r>
          </w:p>
        </w:tc>
        <w:tc>
          <w:tcPr>
            <w:tcW w:w="1459" w:type="dxa"/>
            <w:tcBorders>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企业总经理、运营等部门中高层负责人</w:t>
            </w:r>
          </w:p>
        </w:tc>
        <w:tc>
          <w:tcPr>
            <w:tcW w:w="828" w:type="dxa"/>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645" w:type="dxa"/>
            <w:tcBorders>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tcBorders>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三：精益数字化</w:t>
            </w: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精益体系架构搭建与实施路径</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结合企业实际情况、搭建精益战略框架体系，梳理各管理工具、数字化软件等之间的相互关系，学会有步骤地应用精益生产工具来提高运营绩效；培养核心精益团队，最大限度减少企业生产所占用的资源和降低企业管理、运营成本。</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授课+参观</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企业总经理、负责生产、运营等管理层负责人</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widowControl/>
              <w:spacing w:line="400" w:lineRule="exact"/>
              <w:jc w:val="center"/>
              <w:rPr>
                <w:rFonts w:ascii="宋体" w:hAnsi="宋体" w:cs="宋体"/>
                <w:kern w:val="0"/>
                <w:szCs w:val="21"/>
              </w:rPr>
            </w:pP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精益体系下的家电企业数字化管理升级实训班</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通过培训，学习家电企业如何在数字化大背景下，通过精益思想的指导，梳理精益系统化流程和持续改善体系，利用精益改善更好实施、提升家电企业数字化管理升级。</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家电行业企业总经理、运营、IT、技术、生产等管理层负责人</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四：数实融合</w:t>
            </w: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与时俱进/智享未来-企业数智化高级研修班</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通过学习省内数字化转型标杆企业、未来工厂现场模式，以理论+实践结合，推动我市企业建设一批数字化车间、智能工厂，引导创建“未来工厂”标杆，提高我市企业智能化水平。</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授课+参观</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企业总经理、分管副总和数字化管理部门负责人等</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widowControl/>
              <w:spacing w:line="400" w:lineRule="exact"/>
              <w:jc w:val="center"/>
              <w:rPr>
                <w:rFonts w:ascii="宋体" w:hAnsi="宋体" w:cs="宋体"/>
                <w:kern w:val="0"/>
                <w:szCs w:val="21"/>
              </w:rPr>
            </w:pP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企业技术改造和扩大工业投资专题培训班</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通过宏观经济及重点产业现状分析、产业投资及智能制造项目政策解读等，加强工业企业产业投资项目和智能制造项目的推进和实施，推动我市工业投资增长。</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有技术改造需求的工业企业相关负责人</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150</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五：精益降本增效</w:t>
            </w: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全面质量管理训练营</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通过培训，帮助学员了解全面质量管理的体系架构，建立整体的质量管理思路，分析影响工作质量的因素并导入工作质量提升的方法，掌握质量管理工具应用。</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授课+实操</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企业总经理、负责生产、品质、运营等管理层负责人</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widowControl/>
              <w:spacing w:line="400" w:lineRule="exact"/>
              <w:jc w:val="center"/>
              <w:rPr>
                <w:rFonts w:ascii="宋体" w:hAnsi="宋体" w:cs="宋体"/>
                <w:kern w:val="0"/>
                <w:szCs w:val="21"/>
              </w:rPr>
            </w:pP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无间断生产流程打造—生产流创建</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开展生产方式情景模拟（传统生产方式与精益化生产方式的对比分析），了解什么是流动化生产，了解流动化生产的实施意义，掌握流动化生产的实施步骤与工具方法，从而帮助企业打造无间断生产流程。</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授课+实操</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企业总经理、负责生产、运营等管理层负责人</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六：研发管理</w:t>
            </w: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“研发+管理”全生命周期管理研修班</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帮助企业梳理应对在新产品（服务）研发时面临的“如何平衡市场竞争压力和客户多变需求、如何建立良好决策评审体系、如何建立真正“以客户为中心、以市场为导向”的研发组织体系、如何建立一套能够满足公司长远发展的研发人力资源管理体系”等关键难题，提升企业内部研发与市场、财务、生产、采购等相关职能部门协同效率，快速响应市场需求并将产品及时推向市场；培养研发管理人员项目管理全局思维，学会用管理工具。</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授课+参观</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企业总经理、研发总监、技术管理部等管理层负责人</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widowControl/>
              <w:spacing w:line="400" w:lineRule="exact"/>
              <w:jc w:val="center"/>
              <w:rPr>
                <w:rFonts w:ascii="宋体" w:hAnsi="宋体" w:cs="宋体"/>
                <w:kern w:val="0"/>
                <w:szCs w:val="21"/>
              </w:rPr>
            </w:pP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产品研发五大核心工具应用实战</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熟悉APQP、FMEA、SPC、MSA、PPAP等五大核心工具，掌握产品品质先期策划各阶段的输入与输出，以及将输入转化为输出的工具与方法，理解引起变差的普通原因与特殊原因，掌握常用控制图的制作方法和CPK的计算方法，学会判读控制图，学会分析测量系统的五大特性，了解PPAP提交的要求。</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授课+参观实操</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企业研发总监、技术管理部工程、生产、品质等部门管理人员</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七：人资管理</w:t>
            </w: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人力资源战略与系统规划</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现场教学，掌握战略人力资源规划制定的步骤，学习战略分析工具，应用SWOT、RBV等工具分析企业核心竞争优势。学习人力资源规划中的需求预测技术、供给盘点技术，以及人力资源行动计划的有关方法。</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授课+参观</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企业总经理、负责行政、人事等管理层负责人</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widowControl/>
              <w:spacing w:line="400" w:lineRule="exact"/>
              <w:jc w:val="center"/>
              <w:rPr>
                <w:rFonts w:ascii="宋体" w:hAnsi="宋体" w:cs="宋体"/>
                <w:kern w:val="0"/>
                <w:szCs w:val="21"/>
              </w:rPr>
            </w:pP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绩效管理与绩效改进</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帮助学员掌握正确而实用的目标管理、目标实施与绩效考核追踪评估的先进思维，学会如何运用多种管理工具进行目标分解与绩效计划相结合，掌握绩效改进的原则和措施，学会制订绩效改进计划，提供绩效辅导，定期评估绩效改进的结果，并根据实际情况调整改进策略。</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企业总经理、负责行政、人事等管理层负责人</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八：家电企业品牌战略与营销</w:t>
            </w: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家电企业品牌战略与业绩增长专题研学班</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参观学习省内龙头家电标杆企业，以“参观+交流授课”研学方式，让企业身临其境感受传统家电转型升级的全过程，交流品牌转型所遇的困难问题及对策措施，学习了解行业新科技和新动向。</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授课+参观</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家电企业董事长、总经理、副总经理、中高层管理人员等</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noWrap/>
            <w:vAlign w:val="center"/>
          </w:tcPr>
          <w:p>
            <w:pPr>
              <w:widowControl/>
              <w:spacing w:line="400" w:lineRule="exact"/>
              <w:jc w:val="center"/>
              <w:rPr>
                <w:rFonts w:ascii="宋体" w:hAnsi="宋体" w:cs="宋体"/>
                <w:kern w:val="0"/>
                <w:szCs w:val="21"/>
              </w:rPr>
            </w:pP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家电企业的营销渠道的开发与管理</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通过专题授课，深入剖析企业管理案例，掌握渠道管理的基本内容与方法，全面提升企业管理者的综合管理能力和决策能力，激发企业营销人员和经销商改善经营，提升销售量的动力，实现企业营销业绩倍增。</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家电企业董事长、总经理、副总经理、中高层管理人员等</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九：外贸营销</w:t>
            </w:r>
          </w:p>
        </w:tc>
        <w:tc>
          <w:tcPr>
            <w:tcW w:w="661"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3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外贸社媒精英培训班</w:t>
            </w:r>
          </w:p>
        </w:tc>
        <w:tc>
          <w:tcPr>
            <w:tcW w:w="188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通过培训，助力更多外贸型企业及其从业者掌握社交媒体基本规则、挖掘行业潜在优质客户、通过各种方法扩展粉丝基础、使用内容营销打造品牌知名度、结合最新的AI工具提升效率优化效果。</w:t>
            </w:r>
          </w:p>
        </w:tc>
        <w:tc>
          <w:tcPr>
            <w:tcW w:w="79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外贸型企业总经理、国际站运营、外贸业务员及其他外贸从业人员</w:t>
            </w:r>
          </w:p>
        </w:tc>
        <w:tc>
          <w:tcPr>
            <w:tcW w:w="8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645"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tcBorders>
              <w:top w:val="single" w:color="auto" w:sz="4" w:space="0"/>
              <w:left w:val="single" w:color="auto" w:sz="4" w:space="0"/>
              <w:bottom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十：行业提升</w:t>
            </w:r>
          </w:p>
        </w:tc>
        <w:tc>
          <w:tcPr>
            <w:tcW w:w="661" w:type="dxa"/>
            <w:tcBorders>
              <w:top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64" w:type="dxa"/>
            <w:tcBorders>
              <w:top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医疗器械企业生产质量管理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高阶研修班</w:t>
            </w:r>
          </w:p>
        </w:tc>
        <w:tc>
          <w:tcPr>
            <w:tcW w:w="1881" w:type="dxa"/>
            <w:tcBorders>
              <w:top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对标医疗器械生产质量规范管理办法、采购及分类管理基本要求等，帮助企业深入了解医疗器械注册法规、评审（报批）特殊政策，实操演练企业应对CFDA飞行检查，全面提高我市医疗器械生产企业质量管理体系水平，及时更新规范管理标准，促进行业企业可持续、规范化、高质量发展。</w:t>
            </w:r>
          </w:p>
        </w:tc>
        <w:tc>
          <w:tcPr>
            <w:tcW w:w="791" w:type="dxa"/>
            <w:tcBorders>
              <w:top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授课+实操</w:t>
            </w:r>
          </w:p>
        </w:tc>
        <w:tc>
          <w:tcPr>
            <w:tcW w:w="1459" w:type="dxa"/>
            <w:tcBorders>
              <w:top w:val="single" w:color="auto" w:sz="4" w:space="0"/>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医疗器械企业技术研发、产品注册、生产、质量法规等管理层负责人</w:t>
            </w:r>
          </w:p>
        </w:tc>
        <w:tc>
          <w:tcPr>
            <w:tcW w:w="828" w:type="dxa"/>
            <w:tcBorders>
              <w:top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645" w:type="dxa"/>
            <w:tcBorders>
              <w:top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080" w:type="dxa"/>
            <w:tcBorders>
              <w:top w:val="single" w:color="auto"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标项</w:t>
            </w:r>
            <w:r>
              <w:rPr>
                <w:rFonts w:hint="eastAsia" w:ascii="宋体" w:hAnsi="宋体" w:cs="宋体"/>
                <w:kern w:val="0"/>
                <w:szCs w:val="21"/>
              </w:rPr>
              <w:t>十一：绿色双碳</w:t>
            </w:r>
          </w:p>
        </w:tc>
        <w:tc>
          <w:tcPr>
            <w:tcW w:w="661"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64"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碳管理与绿色制造</w:t>
            </w:r>
          </w:p>
        </w:tc>
        <w:tc>
          <w:tcPr>
            <w:tcW w:w="1881"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通过培训，学习绿色发展思路，绿色工厂打造、碳达峰碳中和政策及碳排放管理相关知识，有力增强企业绿色低碳发展理念，促进我市制造业高质量低碳发展。</w:t>
            </w:r>
          </w:p>
        </w:tc>
        <w:tc>
          <w:tcPr>
            <w:tcW w:w="791"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授课</w:t>
            </w:r>
          </w:p>
        </w:tc>
        <w:tc>
          <w:tcPr>
            <w:tcW w:w="1459" w:type="dxa"/>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企业绿色制造工作负责人</w:t>
            </w:r>
          </w:p>
        </w:tc>
        <w:tc>
          <w:tcPr>
            <w:tcW w:w="828"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645"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4.73</w:t>
            </w:r>
          </w:p>
        </w:tc>
      </w:tr>
    </w:tbl>
    <w:p>
      <w:pPr>
        <w:spacing w:line="360" w:lineRule="auto"/>
        <w:ind w:firstLine="281" w:firstLineChars="1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eastAsia="zh-CN"/>
        </w:rPr>
        <w:t>四</w:t>
      </w:r>
      <w:r>
        <w:rPr>
          <w:rFonts w:hint="eastAsia" w:ascii="仿宋_GB2312" w:hAnsi="仿宋_GB2312" w:eastAsia="仿宋_GB2312" w:cs="仿宋_GB2312"/>
          <w:b/>
          <w:bCs/>
          <w:color w:val="000000"/>
          <w:kern w:val="0"/>
          <w:sz w:val="28"/>
          <w:szCs w:val="28"/>
        </w:rPr>
        <w:t>、商务条款</w:t>
      </w:r>
    </w:p>
    <w:p>
      <w:pPr>
        <w:ind w:firstLine="42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1、培训地点、培训时间：由供应商提出具体方案，经采购人认可。</w:t>
      </w:r>
    </w:p>
    <w:p>
      <w:pPr>
        <w:ind w:firstLine="42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1.1招生方式：由供应商自主招生。</w:t>
      </w:r>
    </w:p>
    <w:p>
      <w:pPr>
        <w:ind w:firstLine="42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2、应提供的伴随服务：培训场地、培训期间中餐，慈溪市外办班提供食宿、交通。</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3、后勤安排情况：由供应商提供。</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、付款方法和条件：</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标后必须获得慈溪市经济和信息化局授权，并签订授权协议，方可开展招生培训相关工作。实际结算时有超过慈党办〔2022〕64号、慈财〔2021〕91号文件规定的，相应核减培训费用。如培训对象人数未达到合同要求，则学员费用最终按实际培训人数结算。</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培训结束后，慈溪市经济和信息化局将对参与培训的学员进行满意度调查，并将此作为</w:t>
      </w:r>
      <w:r>
        <w:rPr>
          <w:rFonts w:hint="eastAsia" w:ascii="仿宋_GB2312" w:hAnsi="仿宋_GB2312" w:eastAsia="仿宋_GB2312" w:cs="仿宋_GB2312"/>
          <w:color w:val="000000"/>
          <w:kern w:val="0"/>
          <w:sz w:val="28"/>
          <w:szCs w:val="28"/>
          <w:highlight w:val="none"/>
          <w:lang w:eastAsia="zh-CN"/>
        </w:rPr>
        <w:t>费用结算</w:t>
      </w:r>
      <w:r>
        <w:rPr>
          <w:rFonts w:hint="eastAsia" w:ascii="仿宋_GB2312" w:hAnsi="仿宋_GB2312" w:eastAsia="仿宋_GB2312" w:cs="仿宋_GB2312"/>
          <w:color w:val="000000"/>
          <w:kern w:val="0"/>
          <w:sz w:val="28"/>
          <w:szCs w:val="28"/>
          <w:highlight w:val="none"/>
        </w:rPr>
        <w:t>的主要依据。学员满意率（以申报方案人数为基数）达到80%（含80%）以上的，</w:t>
      </w:r>
      <w:r>
        <w:rPr>
          <w:rFonts w:hint="eastAsia" w:ascii="仿宋_GB2312" w:hAnsi="仿宋_GB2312" w:eastAsia="仿宋_GB2312" w:cs="仿宋_GB2312"/>
          <w:color w:val="000000"/>
          <w:kern w:val="0"/>
          <w:sz w:val="28"/>
          <w:szCs w:val="28"/>
          <w:highlight w:val="none"/>
          <w:lang w:eastAsia="zh-CN"/>
        </w:rPr>
        <w:t>费用全额结算</w:t>
      </w:r>
      <w:r>
        <w:rPr>
          <w:rFonts w:hint="eastAsia" w:ascii="仿宋_GB2312" w:hAnsi="仿宋_GB2312" w:eastAsia="仿宋_GB2312" w:cs="仿宋_GB2312"/>
          <w:color w:val="000000"/>
          <w:kern w:val="0"/>
          <w:sz w:val="28"/>
          <w:szCs w:val="28"/>
          <w:highlight w:val="none"/>
        </w:rPr>
        <w:t>；满意率达到65%（含65%）以上，80%以下的，</w:t>
      </w:r>
      <w:r>
        <w:rPr>
          <w:rFonts w:hint="eastAsia" w:ascii="仿宋_GB2312" w:hAnsi="仿宋_GB2312" w:eastAsia="仿宋_GB2312" w:cs="仿宋_GB2312"/>
          <w:color w:val="000000"/>
          <w:kern w:val="0"/>
          <w:sz w:val="28"/>
          <w:szCs w:val="28"/>
          <w:highlight w:val="none"/>
          <w:lang w:eastAsia="zh-CN"/>
        </w:rPr>
        <w:t>支付</w:t>
      </w:r>
      <w:r>
        <w:rPr>
          <w:rFonts w:hint="eastAsia" w:ascii="仿宋_GB2312" w:hAnsi="仿宋_GB2312" w:eastAsia="仿宋_GB2312" w:cs="仿宋_GB2312"/>
          <w:color w:val="000000"/>
          <w:kern w:val="0"/>
          <w:sz w:val="28"/>
          <w:szCs w:val="28"/>
          <w:highlight w:val="none"/>
        </w:rPr>
        <w:t>全额</w:t>
      </w:r>
      <w:r>
        <w:rPr>
          <w:rFonts w:hint="eastAsia" w:ascii="仿宋_GB2312" w:hAnsi="仿宋_GB2312" w:eastAsia="仿宋_GB2312" w:cs="仿宋_GB2312"/>
          <w:color w:val="000000"/>
          <w:kern w:val="0"/>
          <w:sz w:val="28"/>
          <w:szCs w:val="28"/>
          <w:highlight w:val="none"/>
          <w:lang w:eastAsia="zh-CN"/>
        </w:rPr>
        <w:t>费用</w:t>
      </w:r>
      <w:r>
        <w:rPr>
          <w:rFonts w:hint="eastAsia" w:ascii="仿宋_GB2312" w:hAnsi="仿宋_GB2312" w:eastAsia="仿宋_GB2312" w:cs="仿宋_GB2312"/>
          <w:color w:val="000000"/>
          <w:kern w:val="0"/>
          <w:sz w:val="28"/>
          <w:szCs w:val="28"/>
          <w:highlight w:val="none"/>
        </w:rPr>
        <w:t>的50%；满意率调查达不到65%的，不</w:t>
      </w:r>
      <w:r>
        <w:rPr>
          <w:rFonts w:hint="eastAsia" w:ascii="仿宋_GB2312" w:hAnsi="仿宋_GB2312" w:eastAsia="仿宋_GB2312" w:cs="仿宋_GB2312"/>
          <w:color w:val="000000"/>
          <w:kern w:val="0"/>
          <w:sz w:val="28"/>
          <w:szCs w:val="28"/>
          <w:highlight w:val="none"/>
          <w:lang w:eastAsia="zh-CN"/>
        </w:rPr>
        <w:t>支付费用</w:t>
      </w:r>
      <w:r>
        <w:rPr>
          <w:rFonts w:hint="eastAsia" w:ascii="仿宋_GB2312" w:hAnsi="仿宋_GB2312" w:eastAsia="仿宋_GB2312" w:cs="仿宋_GB2312"/>
          <w:color w:val="000000"/>
          <w:kern w:val="0"/>
          <w:sz w:val="28"/>
          <w:szCs w:val="28"/>
          <w:highlight w:val="none"/>
        </w:rPr>
        <w:t>。经采购人和市财政局审核验收通过后，根据学员满意度情况确定</w:t>
      </w:r>
      <w:r>
        <w:rPr>
          <w:rFonts w:hint="eastAsia" w:ascii="仿宋_GB2312" w:hAnsi="仿宋_GB2312" w:eastAsia="仿宋_GB2312" w:cs="仿宋_GB2312"/>
          <w:color w:val="000000"/>
          <w:kern w:val="0"/>
          <w:sz w:val="28"/>
          <w:szCs w:val="28"/>
          <w:highlight w:val="none"/>
          <w:lang w:eastAsia="zh-CN"/>
        </w:rPr>
        <w:t>支付费用</w:t>
      </w:r>
      <w:r>
        <w:rPr>
          <w:rFonts w:hint="eastAsia" w:ascii="仿宋_GB2312" w:hAnsi="仿宋_GB2312" w:eastAsia="仿宋_GB2312" w:cs="仿宋_GB2312"/>
          <w:color w:val="000000"/>
          <w:kern w:val="0"/>
          <w:sz w:val="28"/>
          <w:szCs w:val="28"/>
          <w:highlight w:val="none"/>
        </w:rPr>
        <w:t>额度，</w:t>
      </w:r>
      <w:r>
        <w:rPr>
          <w:rFonts w:hint="eastAsia" w:ascii="仿宋_GB2312" w:hAnsi="仿宋_GB2312" w:eastAsia="仿宋_GB2312" w:cs="仿宋_GB2312"/>
          <w:color w:val="000000"/>
          <w:kern w:val="0"/>
          <w:sz w:val="28"/>
          <w:szCs w:val="28"/>
          <w:highlight w:val="none"/>
          <w:lang w:eastAsia="zh-CN"/>
        </w:rPr>
        <w:t>支</w:t>
      </w:r>
      <w:r>
        <w:rPr>
          <w:rFonts w:hint="eastAsia" w:ascii="仿宋_GB2312" w:hAnsi="仿宋_GB2312" w:eastAsia="仿宋_GB2312" w:cs="仿宋_GB2312"/>
          <w:color w:val="000000"/>
          <w:kern w:val="0"/>
          <w:sz w:val="28"/>
          <w:szCs w:val="28"/>
          <w:highlight w:val="none"/>
        </w:rPr>
        <w:t>付</w:t>
      </w:r>
      <w:r>
        <w:rPr>
          <w:rFonts w:hint="eastAsia" w:ascii="仿宋_GB2312" w:hAnsi="仿宋_GB2312" w:eastAsia="仿宋_GB2312" w:cs="仿宋_GB2312"/>
          <w:color w:val="000000"/>
          <w:kern w:val="0"/>
          <w:sz w:val="28"/>
          <w:szCs w:val="28"/>
          <w:highlight w:val="none"/>
          <w:lang w:eastAsia="zh-CN"/>
        </w:rPr>
        <w:t>中标供应商</w:t>
      </w:r>
      <w:r>
        <w:rPr>
          <w:rFonts w:hint="eastAsia" w:ascii="仿宋_GB2312" w:hAnsi="仿宋_GB2312" w:eastAsia="仿宋_GB2312" w:cs="仿宋_GB2312"/>
          <w:color w:val="000000"/>
          <w:kern w:val="0"/>
          <w:sz w:val="28"/>
          <w:szCs w:val="28"/>
          <w:highlight w:val="none"/>
        </w:rPr>
        <w:t>。同时，采购人将对授课教师的实际授课情况进行审核，对中标供应商未按</w:t>
      </w:r>
      <w:r>
        <w:rPr>
          <w:rFonts w:hint="eastAsia" w:ascii="仿宋_GB2312" w:hAnsi="仿宋_GB2312" w:eastAsia="仿宋_GB2312" w:cs="仿宋_GB2312"/>
          <w:color w:val="000000"/>
          <w:kern w:val="0"/>
          <w:sz w:val="28"/>
          <w:szCs w:val="28"/>
        </w:rPr>
        <w:t>投标文件中确定的内容进行培训的予以处罚，处罚内容视具体情况而定。</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highlight w:val="none"/>
        </w:rPr>
        <w:t>中标供应商</w:t>
      </w:r>
      <w:r>
        <w:rPr>
          <w:rFonts w:hint="eastAsia" w:ascii="仿宋_GB2312" w:hAnsi="仿宋_GB2312" w:eastAsia="仿宋_GB2312" w:cs="仿宋_GB2312"/>
          <w:color w:val="000000"/>
          <w:kern w:val="0"/>
          <w:sz w:val="28"/>
          <w:szCs w:val="28"/>
          <w:highlight w:val="none"/>
          <w:lang w:eastAsia="zh-CN"/>
        </w:rPr>
        <w:t>结算</w:t>
      </w:r>
      <w:r>
        <w:rPr>
          <w:rFonts w:hint="eastAsia" w:ascii="仿宋_GB2312" w:hAnsi="仿宋_GB2312" w:eastAsia="仿宋_GB2312" w:cs="仿宋_GB2312"/>
          <w:color w:val="000000"/>
          <w:kern w:val="0"/>
          <w:sz w:val="28"/>
          <w:szCs w:val="28"/>
          <w:highlight w:val="none"/>
        </w:rPr>
        <w:t>时需提</w:t>
      </w:r>
      <w:r>
        <w:rPr>
          <w:rFonts w:hint="eastAsia" w:ascii="仿宋_GB2312" w:hAnsi="仿宋_GB2312" w:eastAsia="仿宋_GB2312" w:cs="仿宋_GB2312"/>
          <w:color w:val="000000"/>
          <w:kern w:val="0"/>
          <w:sz w:val="28"/>
          <w:szCs w:val="28"/>
        </w:rPr>
        <w:t>供“培训费”发票、补助申请表、培训签到表、培训照片、培训场所出具的收款票据以及费用明细单据等凭证资料，还需提供教师职称证书（如不提供则讲课费按最低标准结算）、讲课费签收单或授课费合同及付款凭证、异地授课的城市间交通费发票【（火车硬席（硬座、硬卧），高铁/动车二等座，全列软席列车二等软座；轮船三等舱（不包括旅游船）；飞机经济舱以及其他交通工具（不包括出租小汽车）】等相关凭据，否则不予拨付经费。</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双方正式确定开班培训方案后的7个工作日内，采购人支付中标供应商合同金额的</w:t>
      </w:r>
      <w:r>
        <w:rPr>
          <w:rFonts w:hint="eastAsia" w:ascii="仿宋_GB2312" w:hAnsi="仿宋_GB2312" w:eastAsia="仿宋_GB2312" w:cs="仿宋_GB2312"/>
          <w:color w:val="000000"/>
          <w:kern w:val="0"/>
          <w:sz w:val="28"/>
          <w:szCs w:val="28"/>
          <w:lang w:val="en-US" w:eastAsia="zh-CN"/>
        </w:rPr>
        <w:t>40</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作为预付款，实际结算时有超过慈党办〔2022〕64号、慈财〔2021〕91号文件规定的相应核减培训费用。如满意率调查达不到65%，中标供应商需退还采购人预付款。单个项目实施完毕，经采购人验收合格后结算，结算时中标方需提供合法票据，采购人自收到发票后7个工作日内将资金支付到合同约定的中标方账户。</w:t>
      </w:r>
    </w:p>
    <w:p>
      <w:pPr>
        <w:pStyle w:val="121"/>
        <w:spacing w:line="360" w:lineRule="auto"/>
        <w:ind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如需收取履约保证金，最高比例不得超过合同金额的1%，由甲乙双方在合同中自行约定退回的方式和时间。履约保证金可以现金或银行、保险公司出具的保函形式提交。</w:t>
      </w:r>
      <w:r>
        <w:rPr>
          <w:rFonts w:ascii="仿宋_GB2312" w:hAnsi="仿宋_GB2312" w:eastAsia="仿宋_GB2312" w:cs="仿宋_GB2312"/>
          <w:color w:val="000000"/>
          <w:kern w:val="0"/>
          <w:sz w:val="28"/>
          <w:szCs w:val="28"/>
        </w:rPr>
        <w:t xml:space="preserve"> </w:t>
      </w:r>
    </w:p>
    <w:p>
      <w:pPr>
        <w:pStyle w:val="121"/>
        <w:spacing w:line="360" w:lineRule="auto"/>
        <w:ind w:firstLine="56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、中标方提供的所有配置岗位人员的劳动争议、工伤事故和一切意外伤害均由中标方自行全权负责，同时应承担由于其行为所造成的人身伤害、财产损失或损坏的责任。</w:t>
      </w:r>
    </w:p>
    <w:p>
      <w:pPr>
        <w:ind w:firstLine="562" w:firstLineChars="200"/>
        <w:rPr>
          <w:rFonts w:ascii="仿宋_GB2312" w:hAnsi="仿宋_GB2312" w:eastAsia="仿宋_GB2312" w:cs="仿宋_GB2312"/>
          <w:color w:val="000000"/>
          <w:kern w:val="0"/>
          <w:sz w:val="36"/>
          <w:szCs w:val="36"/>
        </w:rPr>
      </w:pPr>
      <w:r>
        <w:rPr>
          <w:rFonts w:hint="eastAsia" w:ascii="仿宋_GB2312" w:hAnsi="仿宋_GB2312" w:eastAsia="仿宋_GB2312" w:cs="仿宋_GB2312"/>
          <w:b/>
          <w:bCs/>
          <w:color w:val="000000"/>
          <w:kern w:val="0"/>
          <w:sz w:val="28"/>
          <w:szCs w:val="28"/>
        </w:rPr>
        <w:t>特别说明：</w:t>
      </w:r>
      <w:r>
        <w:rPr>
          <w:rFonts w:hint="eastAsia" w:ascii="仿宋_GB2312" w:hAnsi="仿宋_GB2312" w:eastAsia="仿宋_GB2312" w:cs="仿宋_GB2312"/>
          <w:color w:val="000000"/>
          <w:kern w:val="0"/>
          <w:sz w:val="28"/>
          <w:szCs w:val="28"/>
        </w:rPr>
        <w:t>供应商可自行进行了解项目相关信息及查阅有关资料，不另行统一安排，未进行了解项目相关信息所造成的一切风险由投标方自行承担。采购单位联系人及联系电话见招标公告。</w:t>
      </w: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三</w:t>
      </w:r>
      <w:r>
        <w:rPr>
          <w:rFonts w:ascii="仿宋_GB2312" w:hAnsi="仿宋_GB2312" w:eastAsia="仿宋_GB2312" w:cs="仿宋_GB2312"/>
          <w:color w:val="000000"/>
          <w:kern w:val="0"/>
          <w:sz w:val="36"/>
          <w:szCs w:val="36"/>
        </w:rPr>
        <w:t>部分   投标人须知</w:t>
      </w:r>
    </w:p>
    <w:p>
      <w:pPr>
        <w:autoSpaceDE w:val="0"/>
        <w:autoSpaceDN w:val="0"/>
        <w:adjustRightInd w:val="0"/>
        <w:spacing w:line="360" w:lineRule="auto"/>
        <w:jc w:val="both"/>
        <w:outlineLvl w:val="0"/>
        <w:rPr>
          <w:rFonts w:ascii="Arial" w:hAnsi="仿宋" w:eastAsia="仿宋" w:cs="Arial"/>
          <w:b/>
          <w:bCs/>
          <w:sz w:val="36"/>
          <w:szCs w:val="36"/>
          <w:lang w:val="zh-CN"/>
        </w:rPr>
      </w:pPr>
    </w:p>
    <w:p>
      <w:pPr>
        <w:spacing w:line="360" w:lineRule="auto"/>
        <w:jc w:val="center"/>
        <w:rPr>
          <w:rFonts w:ascii="仿宋_GB2312" w:hAnsi="仿宋_GB2312" w:eastAsia="仿宋_GB2312" w:cs="仿宋_GB2312"/>
          <w:color w:val="000000"/>
          <w:kern w:val="0"/>
          <w:sz w:val="32"/>
          <w:szCs w:val="32"/>
        </w:rPr>
      </w:pPr>
      <w:bookmarkStart w:id="1" w:name="_Toc243192595"/>
      <w:r>
        <w:rPr>
          <w:rFonts w:ascii="仿宋_GB2312" w:hAnsi="仿宋_GB2312" w:eastAsia="仿宋_GB2312" w:cs="仿宋_GB2312"/>
          <w:color w:val="000000"/>
          <w:kern w:val="0"/>
          <w:sz w:val="32"/>
          <w:szCs w:val="32"/>
        </w:rPr>
        <w:t>前   附  表</w:t>
      </w:r>
      <w:bookmarkEnd w:id="1"/>
    </w:p>
    <w:tbl>
      <w:tblPr>
        <w:tblStyle w:val="67"/>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473"/>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项  目</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采购人</w:t>
            </w:r>
          </w:p>
        </w:tc>
        <w:tc>
          <w:tcPr>
            <w:tcW w:w="6074" w:type="dxa"/>
            <w:vAlign w:val="center"/>
          </w:tcPr>
          <w:p>
            <w:pPr>
              <w:spacing w:line="360" w:lineRule="auto"/>
              <w:jc w:val="center"/>
              <w:rPr>
                <w:rFonts w:hint="default"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慈溪市经济和信息化局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项目名称</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202</w:t>
            </w:r>
            <w:r>
              <w:rPr>
                <w:rFonts w:hint="eastAsia" w:ascii="仿宋_GB2312" w:hAnsi="仿宋_GB2312" w:eastAsia="仿宋_GB2312" w:cs="仿宋_GB2312"/>
                <w:color w:val="000000"/>
                <w:kern w:val="0"/>
                <w:sz w:val="24"/>
                <w:lang w:val="en-US" w:eastAsia="zh-CN"/>
              </w:rPr>
              <w:t>4</w:t>
            </w:r>
            <w:r>
              <w:rPr>
                <w:rFonts w:hint="eastAsia" w:ascii="仿宋_GB2312" w:hAnsi="仿宋_GB2312" w:eastAsia="仿宋_GB2312" w:cs="仿宋_GB2312"/>
                <w:color w:val="000000"/>
                <w:kern w:val="0"/>
                <w:sz w:val="24"/>
              </w:rPr>
              <w:t>年慈溪市企业经营管理人才培训采购项目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招标编号</w:t>
            </w:r>
          </w:p>
        </w:tc>
        <w:tc>
          <w:tcPr>
            <w:tcW w:w="6074" w:type="dxa"/>
            <w:vAlign w:val="center"/>
          </w:tcPr>
          <w:p>
            <w:pPr>
              <w:spacing w:line="360" w:lineRule="auto"/>
              <w:jc w:val="center"/>
              <w:rPr>
                <w:rFonts w:hint="default"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auto"/>
                <w:kern w:val="0"/>
                <w:sz w:val="24"/>
                <w:highlight w:val="none"/>
                <w:lang w:eastAsia="zh-CN"/>
              </w:rPr>
              <w:t>NBCXZFCG2024008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服务</w:t>
            </w:r>
            <w:r>
              <w:rPr>
                <w:rFonts w:hint="eastAsia" w:ascii="仿宋_GB2312" w:hAnsi="仿宋_GB2312" w:eastAsia="仿宋_GB2312" w:cs="仿宋_GB2312"/>
                <w:color w:val="000000"/>
                <w:kern w:val="0"/>
                <w:sz w:val="24"/>
              </w:rPr>
              <w:t>内容及</w:t>
            </w:r>
            <w:r>
              <w:rPr>
                <w:rFonts w:ascii="仿宋_GB2312" w:hAnsi="仿宋_GB2312" w:eastAsia="仿宋_GB2312" w:cs="仿宋_GB2312"/>
                <w:color w:val="000000"/>
                <w:kern w:val="0"/>
                <w:sz w:val="24"/>
              </w:rPr>
              <w:t>期限</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投标保证金</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投标文件的编制</w:t>
            </w:r>
          </w:p>
        </w:tc>
        <w:tc>
          <w:tcPr>
            <w:tcW w:w="6074" w:type="dxa"/>
            <w:vAlign w:val="center"/>
          </w:tcPr>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本项目实行网上投标。</w:t>
            </w:r>
          </w:p>
          <w:p>
            <w:pPr>
              <w:spacing w:line="360" w:lineRule="auto"/>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一、电子投标文件，按政采云平台</w:t>
            </w:r>
            <w:r>
              <w:rPr>
                <w:rFonts w:ascii="仿宋_GB2312" w:hAnsi="仿宋_GB2312" w:eastAsia="仿宋_GB2312" w:cs="仿宋_GB2312"/>
                <w:color w:val="000000"/>
                <w:kern w:val="0"/>
                <w:sz w:val="24"/>
                <w:u w:val="single"/>
              </w:rPr>
              <w:t>项目采购</w:t>
            </w:r>
            <w:r>
              <w:rPr>
                <w:rFonts w:hint="eastAsia" w:ascii="仿宋_GB2312" w:hAnsi="仿宋_GB2312" w:eastAsia="仿宋_GB2312" w:cs="仿宋_GB2312"/>
                <w:color w:val="000000"/>
                <w:kern w:val="0"/>
                <w:sz w:val="24"/>
                <w:u w:val="single"/>
              </w:rPr>
              <w:t>-</w:t>
            </w:r>
            <w:r>
              <w:rPr>
                <w:rFonts w:ascii="仿宋_GB2312" w:hAnsi="仿宋_GB2312" w:eastAsia="仿宋_GB2312" w:cs="仿宋_GB2312"/>
                <w:color w:val="000000"/>
                <w:kern w:val="0"/>
                <w:sz w:val="24"/>
                <w:u w:val="single"/>
              </w:rPr>
              <w:t>电子招投标操作指南</w:t>
            </w:r>
            <w:r>
              <w:rPr>
                <w:rFonts w:ascii="仿宋_GB2312" w:hAnsi="仿宋_GB2312" w:eastAsia="仿宋_GB2312" w:cs="仿宋_GB2312"/>
                <w:color w:val="000000"/>
                <w:kern w:val="0"/>
                <w:sz w:val="24"/>
              </w:rPr>
              <w:t>及本招标文件要求制作、加密并递交</w:t>
            </w:r>
            <w:r>
              <w:rPr>
                <w:rFonts w:hint="eastAsia" w:ascii="仿宋_GB2312" w:hAnsi="仿宋_GB2312" w:eastAsia="仿宋_GB2312" w:cs="仿宋_GB2312"/>
                <w:color w:val="000000"/>
                <w:kern w:val="0"/>
                <w:sz w:val="24"/>
              </w:rPr>
              <w:t>；</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二、</w:t>
            </w:r>
            <w:r>
              <w:rPr>
                <w:rFonts w:ascii="仿宋_GB2312" w:hAnsi="仿宋_GB2312" w:eastAsia="仿宋_GB2312" w:cs="仿宋_GB2312"/>
                <w:color w:val="000000"/>
                <w:kern w:val="0"/>
                <w:sz w:val="24"/>
              </w:rPr>
              <w:t>投标文件均由资格证明、</w:t>
            </w:r>
            <w:r>
              <w:rPr>
                <w:rFonts w:hint="eastAsia" w:ascii="仿宋_GB2312" w:hAnsi="仿宋_GB2312" w:eastAsia="仿宋_GB2312" w:cs="仿宋_GB2312"/>
                <w:color w:val="000000"/>
                <w:kern w:val="0"/>
                <w:sz w:val="24"/>
              </w:rPr>
              <w:t>商务技术和</w:t>
            </w:r>
            <w:r>
              <w:rPr>
                <w:rFonts w:ascii="仿宋_GB2312" w:hAnsi="仿宋_GB2312" w:eastAsia="仿宋_GB2312" w:cs="仿宋_GB2312"/>
                <w:color w:val="000000"/>
                <w:kern w:val="0"/>
                <w:sz w:val="24"/>
              </w:rPr>
              <w:t>报价三部分组成。电子投标文件中所须加盖公章部分均采用CA签章。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投标文件的接收</w:t>
            </w:r>
          </w:p>
        </w:tc>
        <w:tc>
          <w:tcPr>
            <w:tcW w:w="6074" w:type="dxa"/>
            <w:vAlign w:val="center"/>
          </w:tcPr>
          <w:p>
            <w:pPr>
              <w:autoSpaceDE w:val="0"/>
              <w:autoSpaceDN w:val="0"/>
              <w:snapToGrid w:val="0"/>
              <w:spacing w:line="360" w:lineRule="auto"/>
              <w:ind w:firstLine="470" w:firstLineChars="196"/>
              <w:jc w:val="left"/>
              <w:textAlignment w:val="bottom"/>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w:t>
            </w:r>
            <w:r>
              <w:rPr>
                <w:rFonts w:hint="eastAsia" w:ascii="仿宋_GB2312" w:hAnsi="仿宋_GB2312" w:eastAsia="仿宋_GB2312" w:cs="仿宋_GB2312"/>
                <w:color w:val="000000"/>
                <w:kern w:val="0"/>
                <w:sz w:val="24"/>
                <w:lang w:eastAsia="zh-CN"/>
              </w:rPr>
              <w:t>提交</w:t>
            </w:r>
            <w:r>
              <w:rPr>
                <w:rFonts w:hint="eastAsia" w:ascii="仿宋_GB2312" w:hAnsi="仿宋_GB2312" w:eastAsia="仿宋_GB2312" w:cs="仿宋_GB2312"/>
                <w:color w:val="000000"/>
                <w:kern w:val="0"/>
                <w:sz w:val="24"/>
              </w:rPr>
              <w:t>的投标、响应文件，将被政采云平台拒收。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9</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投标文件提交</w:t>
            </w:r>
          </w:p>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截止时间</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10</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投标文件提交地点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11</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开标时间</w:t>
            </w:r>
          </w:p>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（投标截止时间）</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12</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开标地点</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13</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投标有效期</w:t>
            </w:r>
          </w:p>
        </w:tc>
        <w:tc>
          <w:tcPr>
            <w:tcW w:w="6074" w:type="dxa"/>
            <w:vAlign w:val="center"/>
          </w:tcPr>
          <w:p>
            <w:pPr>
              <w:snapToGrid w:val="0"/>
              <w:spacing w:line="360" w:lineRule="auto"/>
              <w:ind w:left="-2" w:firstLine="436"/>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自投标文件提交截止之日起90日历天。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4</w:t>
            </w:r>
          </w:p>
        </w:tc>
        <w:tc>
          <w:tcPr>
            <w:tcW w:w="247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评标办法及标准</w:t>
            </w:r>
          </w:p>
        </w:tc>
        <w:tc>
          <w:tcPr>
            <w:tcW w:w="6074"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5</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信用记录</w:t>
            </w:r>
          </w:p>
        </w:tc>
        <w:tc>
          <w:tcPr>
            <w:tcW w:w="6074"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6</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hint="eastAsia" w:ascii="Arial" w:hAnsi="仿宋" w:eastAsia="仿宋" w:cs="Arial"/>
                <w:sz w:val="24"/>
              </w:rPr>
              <w:t>中小企业有关政策</w:t>
            </w:r>
          </w:p>
        </w:tc>
        <w:tc>
          <w:tcPr>
            <w:tcW w:w="6074" w:type="dxa"/>
            <w:vAlign w:val="center"/>
          </w:tcPr>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1、投标人须符合《</w:t>
            </w:r>
            <w:r>
              <w:rPr>
                <w:rFonts w:ascii="仿宋_GB2312" w:hAnsi="仿宋_GB2312" w:eastAsia="仿宋_GB2312" w:cs="仿宋_GB2312"/>
                <w:color w:val="000000"/>
                <w:kern w:val="0"/>
                <w:sz w:val="24"/>
              </w:rPr>
              <w:t>关于印发中小企业划型标准规定的通知》（工信部联企业〔2011〕300号）文件规定的中小企业划分标准</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属于中小微型企业的</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投标文件中必须提供</w:t>
            </w:r>
            <w:r>
              <w:rPr>
                <w:rFonts w:hint="eastAsia" w:ascii="仿宋_GB2312" w:hAnsi="仿宋_GB2312" w:eastAsia="仿宋_GB2312" w:cs="仿宋_GB2312"/>
                <w:color w:val="000000"/>
                <w:kern w:val="0"/>
                <w:sz w:val="24"/>
              </w:rPr>
              <w:t>《中小企业声明函》（如提供其他中小微型企业制造的货物，请提供该企业为中小微型企业的证明材料）。（注：未提供以上材料的，视为非中小企业投标，投标无效）</w:t>
            </w:r>
          </w:p>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2、根据财库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20</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46</w:t>
            </w:r>
            <w:r>
              <w:rPr>
                <w:rFonts w:ascii="仿宋_GB2312" w:hAnsi="仿宋_GB2312" w:eastAsia="仿宋_GB2312" w:cs="仿宋_GB2312"/>
                <w:color w:val="000000"/>
                <w:kern w:val="0"/>
                <w:sz w:val="24"/>
              </w:rPr>
              <w:t>号文件规定</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符合中小企业划分标准的个体工商户视同中小企业</w:t>
            </w:r>
            <w:r>
              <w:rPr>
                <w:rFonts w:hint="eastAsia" w:ascii="仿宋_GB2312" w:hAnsi="仿宋_GB2312" w:eastAsia="仿宋_GB2312" w:cs="仿宋_GB2312"/>
                <w:color w:val="000000"/>
                <w:kern w:val="0"/>
                <w:sz w:val="24"/>
              </w:rPr>
              <w:t>。</w:t>
            </w:r>
          </w:p>
          <w:p>
            <w:pPr>
              <w:snapToGrid w:val="0"/>
              <w:spacing w:line="360" w:lineRule="auto"/>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3、根据财库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14</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68</w:t>
            </w:r>
            <w:r>
              <w:rPr>
                <w:rFonts w:ascii="仿宋_GB2312" w:hAnsi="仿宋_GB2312" w:eastAsia="仿宋_GB2312" w:cs="仿宋_GB2312"/>
                <w:color w:val="000000"/>
                <w:kern w:val="0"/>
                <w:sz w:val="24"/>
              </w:rPr>
              <w:t>号</w:t>
            </w:r>
            <w:r>
              <w:rPr>
                <w:rFonts w:hint="eastAsia" w:ascii="仿宋_GB2312" w:hAnsi="仿宋_GB2312" w:eastAsia="仿宋_GB2312" w:cs="仿宋_GB2312"/>
                <w:color w:val="000000"/>
                <w:kern w:val="0"/>
                <w:sz w:val="24"/>
              </w:rPr>
              <w:t>、财库</w:t>
            </w: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17</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141</w:t>
            </w:r>
            <w:r>
              <w:rPr>
                <w:rFonts w:ascii="仿宋_GB2312" w:hAnsi="仿宋_GB2312" w:eastAsia="仿宋_GB2312" w:cs="仿宋_GB2312"/>
                <w:color w:val="000000"/>
                <w:kern w:val="0"/>
                <w:sz w:val="24"/>
              </w:rPr>
              <w:t>号文件规定</w:t>
            </w:r>
            <w:r>
              <w:rPr>
                <w:rFonts w:hint="eastAsia" w:ascii="仿宋_GB2312" w:hAnsi="仿宋_GB2312" w:eastAsia="仿宋_GB2312" w:cs="仿宋_GB2312"/>
                <w:color w:val="000000"/>
                <w:kern w:val="0"/>
                <w:sz w:val="24"/>
              </w:rPr>
              <w:t>，监狱企业、残疾人福利性单位</w:t>
            </w:r>
            <w:r>
              <w:rPr>
                <w:rFonts w:ascii="仿宋_GB2312" w:hAnsi="仿宋_GB2312" w:eastAsia="仿宋_GB2312" w:cs="仿宋_GB2312"/>
                <w:color w:val="000000"/>
                <w:kern w:val="0"/>
                <w:sz w:val="24"/>
              </w:rPr>
              <w:t>视同小型</w:t>
            </w:r>
            <w:r>
              <w:rPr>
                <w:rFonts w:hint="eastAsia" w:ascii="仿宋_GB2312" w:hAnsi="仿宋_GB2312" w:eastAsia="仿宋_GB2312" w:cs="仿宋_GB2312"/>
                <w:color w:val="000000"/>
                <w:kern w:val="0"/>
                <w:sz w:val="24"/>
              </w:rPr>
              <w:t>、</w:t>
            </w:r>
            <w:r>
              <w:rPr>
                <w:rFonts w:ascii="仿宋_GB2312" w:hAnsi="仿宋_GB2312" w:eastAsia="仿宋_GB2312" w:cs="仿宋_GB2312"/>
                <w:color w:val="000000"/>
                <w:kern w:val="0"/>
                <w:sz w:val="24"/>
              </w:rPr>
              <w:t>微型企业</w:t>
            </w:r>
            <w:r>
              <w:rPr>
                <w:rFonts w:hint="eastAsia" w:ascii="仿宋_GB2312" w:hAnsi="仿宋_GB2312" w:eastAsia="仿宋_GB2312" w:cs="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3"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17</w:t>
            </w:r>
          </w:p>
        </w:tc>
        <w:tc>
          <w:tcPr>
            <w:tcW w:w="2473" w:type="dxa"/>
            <w:vAlign w:val="center"/>
          </w:tcPr>
          <w:p>
            <w:pPr>
              <w:snapToGrid w:val="0"/>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本次招标有关信息公告媒体</w:t>
            </w:r>
          </w:p>
        </w:tc>
        <w:tc>
          <w:tcPr>
            <w:tcW w:w="6074"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浙江政府采购网</w:t>
            </w:r>
          </w:p>
          <w:p>
            <w:pPr>
              <w:spacing w:line="360" w:lineRule="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宁波市政务服务办公室-宁波市公共资源交易电子服务系统（慈溪）</w:t>
            </w:r>
          </w:p>
          <w:p>
            <w:pPr>
              <w:snapToGrid w:val="0"/>
              <w:spacing w:line="360" w:lineRule="auto"/>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请供应商随时关注本项目自发布采购公告后后续可能出现的修改通知，澄清说明等等，如有错过，后果自负。</w:t>
            </w:r>
          </w:p>
        </w:tc>
      </w:tr>
    </w:tbl>
    <w:p>
      <w:pPr>
        <w:pStyle w:val="5"/>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2" w:name="_Toc360457873"/>
      <w:bookmarkStart w:id="3" w:name="_Toc345423462"/>
      <w:r>
        <w:rPr>
          <w:rFonts w:ascii="仿宋_GB2312" w:hAnsi="仿宋_GB2312" w:eastAsia="仿宋_GB2312" w:cs="仿宋_GB2312"/>
          <w:b w:val="0"/>
          <w:bCs w:val="0"/>
          <w:color w:val="000000"/>
          <w:kern w:val="0"/>
          <w:sz w:val="28"/>
          <w:szCs w:val="28"/>
        </w:rPr>
        <w:t>一、总则</w:t>
      </w:r>
      <w:bookmarkEnd w:id="2"/>
      <w:bookmarkEnd w:id="3"/>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（一）适用范围</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本招标文件适用于本项目投标、评标、定标、验收、合同履约、付款等行为（法律、法规另有规定的，从其规定）。</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（二）定义</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1、“招标方”系指组织本项目采购的慈溪市</w:t>
      </w:r>
      <w:r>
        <w:rPr>
          <w:rFonts w:hint="eastAsia" w:ascii="仿宋_GB2312" w:hAnsi="仿宋_GB2312" w:eastAsia="仿宋_GB2312" w:cs="仿宋_GB2312"/>
          <w:color w:val="000000"/>
          <w:kern w:val="0"/>
          <w:sz w:val="28"/>
          <w:szCs w:val="28"/>
        </w:rPr>
        <w:t>政府采购</w:t>
      </w:r>
      <w:r>
        <w:rPr>
          <w:rFonts w:ascii="仿宋_GB2312" w:hAnsi="仿宋_GB2312" w:eastAsia="仿宋_GB2312" w:cs="仿宋_GB2312"/>
          <w:color w:val="000000"/>
          <w:kern w:val="0"/>
          <w:sz w:val="28"/>
          <w:szCs w:val="28"/>
        </w:rPr>
        <w:t>中心。</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2、“投标人”系指向招标方提交投标文件的供应商。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3、“采购人” 系指委托招标方采购本次项目的国家机关、事业单位和团体组织。</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4、“货物”系指招标文件规定投标人须向采购人提供的一切材料、设备、机械、仪器仪表、工具及其它有关技术资料和文字材料。</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5、“服务”系指招标文件规定投标人须承担的安装、调试、技术协助、校准、培训、技术指导以及其他类似的义务。</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6、“项目”系指投标人按招标文件规定向采购人提供的需求总称。</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7、“★”系指实质性要求条款。</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（三）合格的投标货物或服务</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应该是中国境内提供的投标货物或服务。</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若投标货物或服务属于国家实行许可证制度或生产注册证制度的货物或服务，则应具备相应有效的证书。</w:t>
      </w:r>
    </w:p>
    <w:p>
      <w:pPr>
        <w:spacing w:line="360" w:lineRule="auto"/>
        <w:ind w:left="56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（四）合格的投标人</w:t>
      </w:r>
    </w:p>
    <w:p>
      <w:pPr>
        <w:spacing w:line="360" w:lineRule="auto"/>
        <w:ind w:left="481" w:leftChars="229" w:firstLine="140" w:firstLineChars="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符合《中华人民共和国政府采购法》第二十二条规定的条件；</w:t>
      </w:r>
    </w:p>
    <w:p>
      <w:pPr>
        <w:spacing w:line="360" w:lineRule="auto"/>
        <w:ind w:left="481" w:leftChars="229" w:firstLine="140" w:firstLineChars="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符合本招标文件招标公告中规定的资格要求。</w:t>
      </w:r>
    </w:p>
    <w:p>
      <w:pPr>
        <w:spacing w:line="360" w:lineRule="auto"/>
        <w:ind w:firstLine="560" w:firstLineChars="200"/>
        <w:rPr>
          <w:rFonts w:ascii="仿宋_GB2312" w:hAnsi="仿宋_GB2312" w:eastAsia="仿宋_GB2312" w:cs="仿宋_GB2312"/>
          <w:color w:val="000000"/>
          <w:kern w:val="0"/>
          <w:sz w:val="28"/>
          <w:szCs w:val="28"/>
        </w:rPr>
      </w:pPr>
      <w:bookmarkStart w:id="4" w:name="_Toc304292180"/>
      <w:bookmarkStart w:id="5" w:name="_Toc317685562"/>
      <w:r>
        <w:rPr>
          <w:rFonts w:ascii="仿宋_GB2312" w:hAnsi="仿宋_GB2312" w:eastAsia="仿宋_GB2312" w:cs="仿宋_GB2312"/>
          <w:color w:val="000000"/>
          <w:kern w:val="0"/>
          <w:sz w:val="28"/>
          <w:szCs w:val="28"/>
        </w:rPr>
        <w:t>（五）投标委</w:t>
      </w:r>
      <w:bookmarkEnd w:id="4"/>
      <w:bookmarkEnd w:id="5"/>
      <w:r>
        <w:rPr>
          <w:rFonts w:ascii="仿宋_GB2312" w:hAnsi="仿宋_GB2312" w:eastAsia="仿宋_GB2312" w:cs="仿宋_GB2312"/>
          <w:color w:val="000000"/>
          <w:kern w:val="0"/>
          <w:sz w:val="28"/>
          <w:szCs w:val="28"/>
        </w:rPr>
        <w:t>托有关说明</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、单位负责人为同一人或者存在直接控股、管理关系的不同供应商，不得参加同一合同项下的政府采购活动。</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、除单一来源外，为项目提供整体设计、规范编制或者项目管理、监理、检测等服务的供应商不得参加同一合同项下的政府采购活动。</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、投标人应仔细阅读招标文件的所有内容，按照招标文件的要求提交投标文件，并对所提供的全部资料的真实性承担法律责任。</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（六）投标费用</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无论投标过程和结果如何，投标人自行承担与投标活动有关的全部费用。</w:t>
      </w:r>
    </w:p>
    <w:p>
      <w:pPr>
        <w:pStyle w:val="5"/>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6" w:name="_Toc345423463"/>
      <w:bookmarkStart w:id="7" w:name="_Toc360457874"/>
      <w:r>
        <w:rPr>
          <w:rFonts w:ascii="仿宋_GB2312" w:hAnsi="仿宋_GB2312" w:eastAsia="仿宋_GB2312" w:cs="仿宋_GB2312"/>
          <w:b w:val="0"/>
          <w:bCs w:val="0"/>
          <w:color w:val="000000"/>
          <w:kern w:val="0"/>
          <w:sz w:val="28"/>
          <w:szCs w:val="28"/>
        </w:rPr>
        <w:t>二、招标文件的说明</w:t>
      </w:r>
      <w:bookmarkEnd w:id="6"/>
      <w:bookmarkEnd w:id="7"/>
    </w:p>
    <w:p>
      <w:pPr>
        <w:spacing w:line="360" w:lineRule="auto"/>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ascii="仿宋_GB2312" w:hAnsi="仿宋_GB2312" w:eastAsia="仿宋_GB2312" w:cs="仿宋_GB2312"/>
          <w:color w:val="000000"/>
          <w:kern w:val="0"/>
          <w:sz w:val="28"/>
          <w:szCs w:val="28"/>
        </w:rPr>
        <w:t>招标文件的</w:t>
      </w:r>
      <w:r>
        <w:rPr>
          <w:rFonts w:hint="eastAsia" w:ascii="仿宋_GB2312" w:hAnsi="仿宋_GB2312" w:eastAsia="仿宋_GB2312" w:cs="仿宋_GB2312"/>
          <w:color w:val="000000"/>
          <w:kern w:val="0"/>
          <w:sz w:val="28"/>
          <w:szCs w:val="28"/>
        </w:rPr>
        <w:t>组成</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1、招标公告；</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2、招标需求；</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、投标人须知；</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、开标</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评标和定标；</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5、评标办法及评分标准；</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拟签订合同样本</w:t>
      </w:r>
      <w:r>
        <w:rPr>
          <w:rFonts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r>
        <w:rPr>
          <w:rFonts w:ascii="仿宋_GB2312" w:hAnsi="仿宋_GB2312" w:eastAsia="仿宋_GB2312" w:cs="仿宋_GB2312"/>
          <w:color w:val="000000"/>
          <w:kern w:val="0"/>
          <w:sz w:val="28"/>
          <w:szCs w:val="28"/>
        </w:rPr>
        <w:t>、投标文件格式；</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hint="eastAsia" w:ascii="仿宋_GB2312" w:hAnsi="仿宋_GB2312" w:eastAsia="仿宋_GB2312" w:cs="仿宋_GB2312"/>
          <w:color w:val="000000"/>
          <w:kern w:val="0"/>
          <w:sz w:val="28"/>
          <w:szCs w:val="28"/>
        </w:rPr>
        <w:t>或</w:t>
      </w:r>
      <w:r>
        <w:rPr>
          <w:rFonts w:hint="eastAsia" w:ascii="仿宋_GB2312" w:hAnsi="仿宋_GB2312" w:eastAsia="仿宋_GB2312" w:cs="仿宋_GB2312"/>
          <w:color w:val="000000"/>
          <w:kern w:val="0"/>
          <w:sz w:val="28"/>
          <w:szCs w:val="28"/>
          <w:u w:val="single"/>
        </w:rPr>
        <w:t>电子投标文件内容未指向指定链接、模块，导致投标文件被误读、漏读或者查找不到相关内容的</w:t>
      </w:r>
      <w:r>
        <w:rPr>
          <w:rFonts w:ascii="仿宋_GB2312" w:hAnsi="仿宋_GB2312" w:eastAsia="仿宋_GB2312" w:cs="仿宋_GB2312"/>
          <w:color w:val="000000"/>
          <w:kern w:val="0"/>
          <w:sz w:val="28"/>
          <w:szCs w:val="28"/>
          <w:u w:val="single"/>
        </w:rPr>
        <w:t>，</w:t>
      </w:r>
      <w:r>
        <w:rPr>
          <w:rFonts w:hint="eastAsia" w:ascii="仿宋_GB2312" w:hAnsi="仿宋_GB2312" w:eastAsia="仿宋_GB2312" w:cs="仿宋_GB2312"/>
          <w:color w:val="000000"/>
          <w:kern w:val="0"/>
          <w:sz w:val="28"/>
          <w:szCs w:val="28"/>
          <w:u w:val="single"/>
        </w:rPr>
        <w:t>由投标人自行承担可能被视作无效标的风险</w:t>
      </w:r>
      <w:r>
        <w:rPr>
          <w:rFonts w:ascii="仿宋_GB2312" w:hAnsi="仿宋_GB2312" w:eastAsia="仿宋_GB2312" w:cs="仿宋_GB2312"/>
          <w:color w:val="000000"/>
          <w:kern w:val="0"/>
          <w:sz w:val="28"/>
          <w:szCs w:val="28"/>
          <w:u w:val="single"/>
        </w:rPr>
        <w:t>。没有实质性响应招标文件要求的投标将</w:t>
      </w:r>
      <w:r>
        <w:rPr>
          <w:rFonts w:hint="eastAsia" w:ascii="仿宋_GB2312" w:hAnsi="仿宋_GB2312" w:eastAsia="仿宋_GB2312" w:cs="仿宋_GB2312"/>
          <w:color w:val="000000"/>
          <w:kern w:val="0"/>
          <w:sz w:val="28"/>
          <w:szCs w:val="28"/>
          <w:u w:val="single"/>
        </w:rPr>
        <w:t>作</w:t>
      </w:r>
      <w:r>
        <w:rPr>
          <w:rFonts w:ascii="仿宋_GB2312" w:hAnsi="仿宋_GB2312" w:eastAsia="仿宋_GB2312" w:cs="仿宋_GB2312"/>
          <w:color w:val="000000"/>
          <w:kern w:val="0"/>
          <w:sz w:val="28"/>
          <w:szCs w:val="28"/>
          <w:u w:val="single"/>
        </w:rPr>
        <w:t>无效标处理。</w:t>
      </w:r>
    </w:p>
    <w:p>
      <w:pPr>
        <w:spacing w:line="360" w:lineRule="auto"/>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ascii="仿宋_GB2312" w:hAnsi="仿宋_GB2312" w:eastAsia="仿宋_GB2312" w:cs="仿宋_GB2312"/>
          <w:color w:val="000000"/>
          <w:kern w:val="0"/>
          <w:sz w:val="28"/>
          <w:szCs w:val="28"/>
        </w:rPr>
        <w:t>招标文件的澄清与修改</w:t>
      </w:r>
    </w:p>
    <w:p>
      <w:pPr>
        <w:pStyle w:val="39"/>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w:t>
      </w:r>
      <w:r>
        <w:rPr>
          <w:rFonts w:hint="eastAsia" w:ascii="仿宋_GB2312" w:hAnsi="仿宋_GB2312" w:eastAsia="仿宋_GB2312" w:cs="仿宋_GB2312"/>
          <w:color w:val="000000"/>
          <w:kern w:val="0"/>
          <w:szCs w:val="28"/>
          <w:lang w:eastAsia="zh-CN"/>
        </w:rPr>
        <w:t>浙江政府采购网</w:t>
      </w:r>
      <w:r>
        <w:rPr>
          <w:rFonts w:ascii="仿宋_GB2312" w:hAnsi="仿宋_GB2312" w:eastAsia="仿宋_GB2312" w:cs="仿宋_GB2312"/>
          <w:color w:val="000000"/>
          <w:kern w:val="0"/>
          <w:szCs w:val="28"/>
        </w:rPr>
        <w:t>”政采云平台上发布更正公告。逾期提出招标方将不予受理。</w:t>
      </w:r>
    </w:p>
    <w:p>
      <w:pPr>
        <w:pStyle w:val="39"/>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2、招标方主动进行的澄清、修改：招标方无论出于何种原因，均可主动对招标文件中的相关事项，用</w:t>
      </w:r>
      <w:r>
        <w:rPr>
          <w:rFonts w:hint="eastAsia" w:ascii="仿宋_GB2312" w:hAnsi="仿宋_GB2312" w:eastAsia="仿宋_GB2312" w:cs="仿宋_GB2312"/>
          <w:color w:val="000000"/>
          <w:kern w:val="0"/>
          <w:szCs w:val="28"/>
        </w:rPr>
        <w:t>补充</w:t>
      </w:r>
      <w:r>
        <w:rPr>
          <w:rFonts w:ascii="仿宋_GB2312" w:hAnsi="仿宋_GB2312" w:eastAsia="仿宋_GB2312" w:cs="仿宋_GB2312"/>
          <w:color w:val="000000"/>
          <w:kern w:val="0"/>
          <w:szCs w:val="28"/>
        </w:rPr>
        <w:t>公告等方式进行澄清和修改。</w:t>
      </w:r>
    </w:p>
    <w:p>
      <w:pPr>
        <w:pStyle w:val="39"/>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hint="eastAsia" w:ascii="仿宋_GB2312" w:hAnsi="仿宋_GB2312" w:eastAsia="仿宋_GB2312" w:cs="仿宋_GB2312"/>
          <w:color w:val="000000"/>
          <w:kern w:val="0"/>
          <w:szCs w:val="28"/>
        </w:rPr>
        <w:t>内容</w:t>
      </w:r>
      <w:r>
        <w:rPr>
          <w:rFonts w:ascii="仿宋_GB2312" w:hAnsi="仿宋_GB2312" w:eastAsia="仿宋_GB2312" w:cs="仿宋_GB2312"/>
          <w:color w:val="000000"/>
          <w:kern w:val="0"/>
          <w:szCs w:val="28"/>
        </w:rPr>
        <w:t>为准。</w:t>
      </w:r>
    </w:p>
    <w:p>
      <w:pPr>
        <w:pStyle w:val="39"/>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4、招标人可以对已发出的招标文件进行必要的澄清或者修改，将以“澄清公告”的形式发布在“</w:t>
      </w:r>
      <w:r>
        <w:rPr>
          <w:rFonts w:hint="eastAsia" w:ascii="仿宋_GB2312" w:hAnsi="仿宋_GB2312" w:eastAsia="仿宋_GB2312" w:cs="仿宋_GB2312"/>
          <w:color w:val="000000"/>
          <w:kern w:val="0"/>
          <w:szCs w:val="28"/>
          <w:lang w:eastAsia="zh-CN"/>
        </w:rPr>
        <w:t>浙江政府采购网</w:t>
      </w:r>
      <w:r>
        <w:rPr>
          <w:rFonts w:ascii="仿宋_GB2312" w:hAnsi="仿宋_GB2312" w:eastAsia="仿宋_GB2312" w:cs="仿宋_GB2312"/>
          <w:color w:val="000000"/>
          <w:kern w:val="0"/>
          <w:szCs w:val="28"/>
        </w:rPr>
        <w:t>”政采云平台上，供应商应及时登录政采云平台查看和下载，未及时查看和下载的责任自负。</w:t>
      </w:r>
    </w:p>
    <w:p>
      <w:pPr>
        <w:pStyle w:val="5"/>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8" w:name="_Toc360457875"/>
      <w:bookmarkStart w:id="9" w:name="_Toc345423464"/>
      <w:r>
        <w:rPr>
          <w:rFonts w:ascii="仿宋_GB2312" w:hAnsi="仿宋_GB2312" w:eastAsia="仿宋_GB2312" w:cs="仿宋_GB2312"/>
          <w:b w:val="0"/>
          <w:bCs w:val="0"/>
          <w:color w:val="000000"/>
          <w:kern w:val="0"/>
          <w:sz w:val="28"/>
          <w:szCs w:val="28"/>
        </w:rPr>
        <w:t>三、投标文件</w:t>
      </w:r>
      <w:bookmarkEnd w:id="8"/>
      <w:bookmarkEnd w:id="9"/>
    </w:p>
    <w:p>
      <w:pPr>
        <w:snapToGrid w:val="0"/>
        <w:spacing w:line="360" w:lineRule="auto"/>
        <w:ind w:firstLine="411" w:firstLineChars="147"/>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（一）电子投标文件，按“政采云供应商项目采购-电子招投标操作指南”及本招标文件要求制作、加密并递交。</w:t>
      </w:r>
    </w:p>
    <w:p>
      <w:pPr>
        <w:spacing w:line="360" w:lineRule="auto"/>
        <w:ind w:firstLine="411" w:firstLineChars="147"/>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（二）投标文件的组成</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投标文件均由</w:t>
      </w:r>
      <w:r>
        <w:rPr>
          <w:rFonts w:hint="eastAsia" w:ascii="仿宋_GB2312" w:hAnsi="仿宋_GB2312" w:eastAsia="仿宋_GB2312" w:cs="仿宋_GB2312"/>
          <w:color w:val="000000"/>
          <w:kern w:val="0"/>
          <w:sz w:val="28"/>
          <w:szCs w:val="28"/>
        </w:rPr>
        <w:t>资格证明</w:t>
      </w:r>
      <w:r>
        <w:rPr>
          <w:rFonts w:ascii="仿宋_GB2312" w:hAnsi="仿宋_GB2312" w:eastAsia="仿宋_GB2312" w:cs="仿宋_GB2312"/>
          <w:color w:val="000000"/>
          <w:kern w:val="0"/>
          <w:sz w:val="28"/>
          <w:szCs w:val="28"/>
        </w:rPr>
        <w:t>、商务</w:t>
      </w:r>
      <w:r>
        <w:rPr>
          <w:rFonts w:hint="eastAsia" w:ascii="仿宋_GB2312" w:hAnsi="仿宋_GB2312" w:eastAsia="仿宋_GB2312" w:cs="仿宋_GB2312"/>
          <w:color w:val="000000"/>
          <w:kern w:val="0"/>
          <w:sz w:val="28"/>
          <w:szCs w:val="28"/>
        </w:rPr>
        <w:t>技术</w:t>
      </w:r>
      <w:r>
        <w:rPr>
          <w:rFonts w:ascii="仿宋_GB2312" w:hAnsi="仿宋_GB2312" w:eastAsia="仿宋_GB2312" w:cs="仿宋_GB2312"/>
          <w:color w:val="000000"/>
          <w:kern w:val="0"/>
          <w:sz w:val="28"/>
          <w:szCs w:val="28"/>
        </w:rPr>
        <w:t>和报价三部分组成。其中电子投标文件中所须加盖公章部分均采用CA签章。</w:t>
      </w:r>
    </w:p>
    <w:p>
      <w:pPr>
        <w:spacing w:line="360" w:lineRule="auto"/>
        <w:ind w:firstLine="560" w:firstLineChars="200"/>
        <w:rPr>
          <w:rFonts w:ascii="仿宋_GB2312" w:hAnsi="仿宋_GB2312" w:eastAsia="仿宋_GB2312" w:cs="仿宋_GB2312"/>
          <w:color w:val="000000"/>
          <w:kern w:val="0"/>
          <w:sz w:val="28"/>
          <w:szCs w:val="28"/>
          <w:highlight w:val="yellow"/>
        </w:rPr>
      </w:pPr>
      <w:r>
        <w:rPr>
          <w:rFonts w:ascii="仿宋_GB2312" w:hAnsi="仿宋_GB2312" w:eastAsia="仿宋_GB2312" w:cs="仿宋_GB2312"/>
          <w:color w:val="000000"/>
          <w:kern w:val="0"/>
          <w:sz w:val="28"/>
          <w:szCs w:val="28"/>
        </w:rPr>
        <w:t>1、资格证明文件包括：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r>
        <w:rPr>
          <w:rFonts w:ascii="仿宋_GB2312" w:hAnsi="仿宋_GB2312" w:eastAsia="仿宋_GB2312" w:cs="仿宋_GB2312"/>
          <w:color w:val="000000"/>
          <w:kern w:val="0"/>
          <w:sz w:val="28"/>
          <w:szCs w:val="28"/>
        </w:rPr>
        <w:t>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r>
        <w:rPr>
          <w:rFonts w:ascii="仿宋_GB2312" w:hAnsi="仿宋_GB2312" w:eastAsia="仿宋_GB2312" w:cs="仿宋_GB2312"/>
          <w:color w:val="000000"/>
          <w:kern w:val="0"/>
          <w:sz w:val="28"/>
          <w:szCs w:val="28"/>
        </w:rPr>
        <w:t>目录；</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r>
        <w:rPr>
          <w:rFonts w:ascii="仿宋_GB2312" w:hAnsi="仿宋_GB2312" w:eastAsia="仿宋_GB2312" w:cs="仿宋_GB2312"/>
          <w:color w:val="000000"/>
          <w:kern w:val="0"/>
          <w:sz w:val="28"/>
          <w:szCs w:val="28"/>
        </w:rPr>
        <w:t>投标函（格式见附件</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u w:val="single"/>
        </w:rPr>
        <w:t>未按附件格式内容提供的视为资格审查未通过，将作无效标处理</w:t>
      </w:r>
      <w:r>
        <w:rPr>
          <w:rFonts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r>
        <w:rPr>
          <w:rFonts w:ascii="仿宋_GB2312" w:hAnsi="仿宋_GB2312" w:eastAsia="仿宋_GB2312" w:cs="仿宋_GB2312"/>
          <w:color w:val="000000"/>
          <w:kern w:val="0"/>
          <w:sz w:val="28"/>
          <w:szCs w:val="28"/>
        </w:rPr>
        <w:t>提供有效的营业执照复印件（加盖投标人单位公章）；</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r>
        <w:rPr>
          <w:rFonts w:ascii="仿宋_GB2312" w:hAnsi="仿宋_GB2312" w:eastAsia="仿宋_GB2312" w:cs="仿宋_GB2312"/>
          <w:color w:val="000000"/>
          <w:kern w:val="0"/>
          <w:sz w:val="28"/>
          <w:szCs w:val="28"/>
        </w:rPr>
        <w:t>法定代表人/负责人授权书（</w:t>
      </w:r>
      <w:r>
        <w:rPr>
          <w:rFonts w:ascii="仿宋_GB2312" w:hAnsi="仿宋_GB2312" w:eastAsia="仿宋_GB2312" w:cs="仿宋_GB2312"/>
          <w:bCs/>
          <w:color w:val="000000"/>
          <w:kern w:val="0"/>
          <w:sz w:val="28"/>
          <w:szCs w:val="28"/>
          <w:u w:val="single"/>
        </w:rPr>
        <w:t>格式见附件，注意按要求签署盖章</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如供应商代表是法定代表人／负责人的，提供法定代表人／负责人身份证复印件即可）；</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1.6投标人须通过“信用中国”网站、中国政府采购网信用查询，</w:t>
      </w:r>
      <w:r>
        <w:rPr>
          <w:rFonts w:ascii="仿宋_GB2312" w:hAnsi="仿宋_GB2312" w:eastAsia="仿宋_GB2312" w:cs="仿宋_GB2312"/>
          <w:color w:val="000000"/>
          <w:kern w:val="0"/>
          <w:sz w:val="28"/>
          <w:szCs w:val="28"/>
        </w:rPr>
        <w:t>以开标当日采购人或由采购人委托的评标委员会核实的网页查询记录为准</w:t>
      </w:r>
      <w:r>
        <w:rPr>
          <w:rFonts w:hint="eastAsia" w:ascii="仿宋_GB2312" w:hAnsi="仿宋_GB2312" w:eastAsia="仿宋_GB2312" w:cs="仿宋_GB2312"/>
          <w:color w:val="000000"/>
          <w:kern w:val="0"/>
          <w:sz w:val="28"/>
          <w:szCs w:val="28"/>
        </w:rPr>
        <w:t>；</w:t>
      </w:r>
    </w:p>
    <w:p>
      <w:pPr>
        <w:spacing w:line="360" w:lineRule="auto"/>
        <w:ind w:firstLine="560" w:firstLineChars="200"/>
        <w:rPr>
          <w:rFonts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1.7中小企业声明函（格式见附件，</w:t>
      </w:r>
      <w:r>
        <w:rPr>
          <w:rFonts w:hint="eastAsia" w:ascii="仿宋_GB2312" w:hAnsi="仿宋_GB2312" w:eastAsia="仿宋_GB2312" w:cs="仿宋_GB2312"/>
          <w:color w:val="000000"/>
          <w:kern w:val="0"/>
          <w:sz w:val="28"/>
          <w:szCs w:val="28"/>
          <w:u w:val="single"/>
        </w:rPr>
        <w:t>未按附件格式内容提供的由投标人自行承担可能被视作无效标的风险）；</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r>
        <w:rPr>
          <w:rFonts w:ascii="仿宋_GB2312" w:hAnsi="仿宋_GB2312" w:eastAsia="仿宋_GB2312" w:cs="仿宋_GB2312"/>
          <w:color w:val="000000"/>
          <w:kern w:val="0"/>
          <w:sz w:val="28"/>
          <w:szCs w:val="28"/>
        </w:rPr>
        <w:t>投标人认为需要提供的其它说明和资料（如有请提供）。</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2、商务技术文件包括：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r>
        <w:rPr>
          <w:rFonts w:ascii="仿宋_GB2312" w:hAnsi="仿宋_GB2312" w:eastAsia="仿宋_GB2312" w:cs="仿宋_GB2312"/>
          <w:color w:val="000000"/>
          <w:kern w:val="0"/>
          <w:sz w:val="28"/>
          <w:szCs w:val="28"/>
        </w:rPr>
        <w:t>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r>
        <w:rPr>
          <w:rFonts w:ascii="仿宋_GB2312" w:hAnsi="仿宋_GB2312" w:eastAsia="仿宋_GB2312" w:cs="仿宋_GB2312"/>
          <w:color w:val="000000"/>
          <w:kern w:val="0"/>
          <w:sz w:val="28"/>
          <w:szCs w:val="28"/>
        </w:rPr>
        <w:t>目录；</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r>
        <w:rPr>
          <w:rFonts w:ascii="仿宋_GB2312" w:hAnsi="仿宋_GB2312" w:eastAsia="仿宋_GB2312" w:cs="仿宋_GB2312"/>
          <w:color w:val="000000"/>
          <w:kern w:val="0"/>
          <w:sz w:val="28"/>
          <w:szCs w:val="28"/>
        </w:rPr>
        <w:t>评分索引表（格式见附件，主要用于评标委员会对应评分内容）；</w:t>
      </w:r>
    </w:p>
    <w:p>
      <w:pPr>
        <w:snapToGrid w:val="0"/>
        <w:spacing w:after="240" w:line="360" w:lineRule="auto"/>
        <w:ind w:firstLine="551" w:firstLineChars="196"/>
        <w:jc w:val="left"/>
        <w:rPr>
          <w:rFonts w:ascii="仿宋_GB2312" w:hAnsi="仿宋_GB2312" w:eastAsia="仿宋_GB2312" w:cs="仿宋_GB2312"/>
          <w:b/>
          <w:color w:val="000000"/>
          <w:kern w:val="0"/>
          <w:sz w:val="28"/>
          <w:szCs w:val="28"/>
          <w:u w:val="single"/>
        </w:rPr>
      </w:pPr>
      <w:r>
        <w:rPr>
          <w:rFonts w:ascii="仿宋_GB2312" w:hAnsi="仿宋_GB2312" w:eastAsia="仿宋_GB2312" w:cs="仿宋_GB2312"/>
          <w:b/>
          <w:color w:val="000000"/>
          <w:kern w:val="0"/>
          <w:sz w:val="28"/>
          <w:szCs w:val="28"/>
          <w:u w:val="single"/>
        </w:rPr>
        <w:t>未尽事宜请各投标人按评分标准技术部分制作。</w:t>
      </w:r>
    </w:p>
    <w:p>
      <w:pPr>
        <w:snapToGrid w:val="0"/>
        <w:spacing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3.报价文件包括：</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3.1封面；</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3.2投标一览表（格式见附件）；</w:t>
      </w:r>
    </w:p>
    <w:p>
      <w:pPr>
        <w:spacing w:line="360" w:lineRule="auto"/>
        <w:ind w:firstLine="560" w:firstLineChars="200"/>
        <w:rPr>
          <w:rFonts w:ascii="仿宋_GB2312" w:hAnsi="仿宋_GB2312" w:eastAsia="仿宋_GB2312" w:cs="仿宋_GB2312"/>
          <w:color w:val="000000"/>
          <w:kern w:val="0"/>
          <w:sz w:val="28"/>
          <w:szCs w:val="28"/>
          <w:highlight w:val="yellow"/>
        </w:rPr>
      </w:pPr>
      <w:r>
        <w:rPr>
          <w:rFonts w:hint="eastAsia" w:ascii="仿宋_GB2312" w:hAnsi="仿宋_GB2312" w:eastAsia="仿宋_GB2312" w:cs="仿宋_GB2312"/>
          <w:color w:val="000000"/>
          <w:kern w:val="0"/>
          <w:sz w:val="28"/>
          <w:szCs w:val="28"/>
          <w:highlight w:val="none"/>
        </w:rPr>
        <w:t>3.3报价明细表（格式见附件）；</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中小企业声明函（格式见附件，</w:t>
      </w:r>
      <w:r>
        <w:rPr>
          <w:rFonts w:hint="eastAsia" w:ascii="仿宋_GB2312" w:hAnsi="仿宋_GB2312" w:eastAsia="仿宋_GB2312" w:cs="仿宋_GB2312"/>
          <w:color w:val="000000"/>
          <w:kern w:val="0"/>
          <w:sz w:val="28"/>
          <w:szCs w:val="28"/>
          <w:u w:val="single"/>
        </w:rPr>
        <w:t>未按附件格式内容提供的由投标人自行承担可能被视作无效标的风险）；</w:t>
      </w:r>
    </w:p>
    <w:p>
      <w:pPr>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残疾人福利企业声明函（若有，格式见附件）；</w:t>
      </w:r>
    </w:p>
    <w:p>
      <w:pPr>
        <w:spacing w:line="360" w:lineRule="auto"/>
        <w:ind w:firstLine="560" w:firstLineChars="200"/>
        <w:rPr>
          <w:rFonts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投标人针对报价需要说明的其他文件和说明（格式自拟）。</w:t>
      </w:r>
      <w:r>
        <w:rPr>
          <w:rFonts w:ascii="仿宋_GB2312" w:hAnsi="仿宋_GB2312" w:eastAsia="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hint="eastAsia" w:ascii="仿宋_GB2312" w:hAnsi="仿宋_GB2312" w:eastAsia="仿宋_GB2312" w:cs="仿宋_GB2312"/>
          <w:color w:val="000000"/>
          <w:kern w:val="0"/>
          <w:sz w:val="28"/>
          <w:szCs w:val="28"/>
          <w:u w:val="single"/>
        </w:rPr>
        <w:t>。</w:t>
      </w:r>
      <w:r>
        <w:rPr>
          <w:rFonts w:ascii="仿宋_GB2312" w:hAnsi="仿宋_GB2312" w:eastAsia="仿宋_GB2312" w:cs="仿宋_GB2312"/>
          <w:color w:val="000000"/>
          <w:kern w:val="0"/>
          <w:sz w:val="28"/>
          <w:szCs w:val="28"/>
          <w:u w:val="single"/>
        </w:rPr>
        <w:t>否则将作无效标处理。</w:t>
      </w:r>
    </w:p>
    <w:p>
      <w:pPr>
        <w:snapToGrid w:val="0"/>
        <w:spacing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（三）投标文件的语言及计量</w:t>
      </w:r>
    </w:p>
    <w:p>
      <w:pPr>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9"/>
        <w:tabs>
          <w:tab w:val="left" w:pos="720"/>
          <w:tab w:val="clear" w:pos="360"/>
        </w:tabs>
        <w:snapToGrid w:val="0"/>
        <w:spacing w:beforeLines="50" w:line="360" w:lineRule="auto"/>
        <w:ind w:left="0"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（四）投标有效期</w:t>
      </w:r>
    </w:p>
    <w:p>
      <w:pPr>
        <w:tabs>
          <w:tab w:val="left" w:pos="7740"/>
        </w:tabs>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2、中标人的投标文件自开标之日起至合同履行完毕止均应保持有效。</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（五）投标文件的</w:t>
      </w:r>
      <w:r>
        <w:rPr>
          <w:rFonts w:hint="eastAsia" w:ascii="仿宋_GB2312" w:hAnsi="仿宋_GB2312" w:eastAsia="仿宋_GB2312" w:cs="仿宋_GB2312"/>
          <w:color w:val="000000"/>
          <w:kern w:val="0"/>
          <w:sz w:val="28"/>
          <w:szCs w:val="28"/>
        </w:rPr>
        <w:t>制作</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投标人应根据“政采云供应商项目采购-电子招投标操作指南”及本招标文件规定的格式和顺序编制电子投标文件并进行关联定位。</w:t>
      </w:r>
    </w:p>
    <w:p>
      <w:pPr>
        <w:snapToGrid w:val="0"/>
        <w:spacing w:beforeLines="50" w:line="360" w:lineRule="auto"/>
        <w:ind w:firstLine="548" w:firstLineChars="196"/>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（六）投标报价</w:t>
      </w:r>
    </w:p>
    <w:p>
      <w:pPr>
        <w:tabs>
          <w:tab w:val="left" w:pos="525"/>
        </w:tabs>
        <w:snapToGrid w:val="0"/>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pPr>
        <w:pStyle w:val="39"/>
        <w:snapToGrid w:val="0"/>
        <w:spacing w:before="12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2、投标报价应包含项目所需全部货物、服务，不得缺漏，是履行合同的最终价格（含</w:t>
      </w:r>
      <w:r>
        <w:rPr>
          <w:rFonts w:ascii="仿宋_GB2312" w:hAnsi="仿宋_GB2312" w:eastAsia="仿宋_GB2312" w:cs="仿宋_GB2312"/>
          <w:color w:val="000000"/>
          <w:kern w:val="0"/>
          <w:szCs w:val="21"/>
        </w:rPr>
        <w:t>人工费用(工资、社保、人身意外伤害保险、高温补贴、法定节假日加班费、福利、服装、其他等）、物耗费用、添置费用、管理酬金、税费等项目涉及的所有费用</w:t>
      </w:r>
      <w:r>
        <w:rPr>
          <w:rFonts w:ascii="仿宋_GB2312" w:hAnsi="仿宋_GB2312" w:eastAsia="仿宋_GB2312" w:cs="仿宋_GB2312"/>
          <w:color w:val="000000"/>
          <w:kern w:val="0"/>
          <w:szCs w:val="28"/>
        </w:rPr>
        <w:t>）。</w:t>
      </w:r>
    </w:p>
    <w:p>
      <w:pPr>
        <w:pStyle w:val="39"/>
        <w:snapToGrid w:val="0"/>
        <w:spacing w:before="12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3、投标报价总价金额到元为止，如投标报价总价出现角、分，将被抹除。</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七</w:t>
      </w:r>
      <w:r>
        <w:rPr>
          <w:rFonts w:ascii="仿宋_GB2312" w:hAnsi="仿宋_GB2312" w:eastAsia="仿宋_GB2312" w:cs="仿宋_GB2312"/>
          <w:color w:val="000000"/>
          <w:kern w:val="0"/>
          <w:sz w:val="28"/>
          <w:szCs w:val="28"/>
        </w:rPr>
        <w:t>）投标文件的提交</w:t>
      </w: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补充和修改</w:t>
      </w:r>
      <w:r>
        <w:rPr>
          <w:rFonts w:hint="eastAsia" w:ascii="仿宋_GB2312" w:hAnsi="仿宋_GB2312" w:eastAsia="仿宋_GB2312" w:cs="仿宋_GB2312"/>
          <w:color w:val="000000"/>
          <w:kern w:val="0"/>
          <w:sz w:val="28"/>
          <w:szCs w:val="28"/>
        </w:rPr>
        <w:t>：</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见招标公告。</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八</w:t>
      </w:r>
      <w:r>
        <w:rPr>
          <w:rFonts w:ascii="仿宋_GB2312" w:hAnsi="仿宋_GB2312" w:eastAsia="仿宋_GB2312" w:cs="仿宋_GB2312"/>
          <w:color w:val="000000"/>
          <w:kern w:val="0"/>
          <w:sz w:val="28"/>
          <w:szCs w:val="28"/>
        </w:rPr>
        <w:t>）串通投标认定</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有下列情形之一的，视为投标人串通投标，其投标无效：</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1、不同投标人的投标文件由同一单位或者个人编制；</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2、不同投标人委托同一单位或者个人办理投标事宜；</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3、不同投标人的投标文件载明的项目管理成员或者联系人员为同一人；</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4、不同投标人的投标文件异常一致或者投标报价呈规律性差异；</w:t>
      </w:r>
    </w:p>
    <w:p>
      <w:pPr>
        <w:snapToGrid w:val="0"/>
        <w:spacing w:line="360" w:lineRule="auto"/>
        <w:ind w:firstLine="414" w:firstLineChars="148"/>
        <w:jc w:val="left"/>
        <w:outlineLvl w:val="1"/>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5、不同投标人的投标文件出自同一终端设备或在相同Internet主机分配地址（相同IP地址）网上报名投标。</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w:t>
      </w:r>
      <w:r>
        <w:rPr>
          <w:rFonts w:hint="eastAsia" w:ascii="仿宋_GB2312" w:hAnsi="仿宋_GB2312" w:eastAsia="仿宋_GB2312" w:cs="仿宋_GB2312"/>
          <w:color w:val="000000"/>
          <w:kern w:val="0"/>
          <w:szCs w:val="28"/>
        </w:rPr>
        <w:t>九</w:t>
      </w:r>
      <w:r>
        <w:rPr>
          <w:rFonts w:ascii="仿宋_GB2312" w:hAnsi="仿宋_GB2312" w:eastAsia="仿宋_GB2312" w:cs="仿宋_GB2312"/>
          <w:color w:val="000000"/>
          <w:kern w:val="0"/>
          <w:szCs w:val="28"/>
        </w:rPr>
        <w:t>）投标无效的情形</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如发现下列情形之一的，投标文件将被视为无效：</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、投标方未能提供合格的资格文件、投标有效期不足的；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、电子投标文件解密失败的；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3</w:t>
      </w:r>
      <w:r>
        <w:rPr>
          <w:rFonts w:ascii="仿宋_GB2312" w:hAnsi="仿宋_GB2312" w:eastAsia="仿宋_GB2312" w:cs="仿宋_GB2312"/>
          <w:color w:val="000000"/>
          <w:kern w:val="0"/>
          <w:szCs w:val="28"/>
        </w:rPr>
        <w:t>、投标人被列入失信被执行人、重大税收违法案件当事人名单、政府采购严重违法失信行为记录名单的；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w:t>
      </w:r>
      <w:r>
        <w:rPr>
          <w:rFonts w:ascii="仿宋_GB2312" w:hAnsi="仿宋_GB2312" w:eastAsia="仿宋_GB2312" w:cs="仿宋_GB2312"/>
          <w:color w:val="000000"/>
          <w:kern w:val="0"/>
          <w:szCs w:val="28"/>
        </w:rPr>
        <w:t>、投标文件未按招标文件要求签署、盖章的；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5</w:t>
      </w:r>
      <w:r>
        <w:rPr>
          <w:rFonts w:ascii="仿宋_GB2312" w:hAnsi="仿宋_GB2312" w:eastAsia="仿宋_GB2312" w:cs="仿宋_GB2312"/>
          <w:color w:val="000000"/>
          <w:kern w:val="0"/>
          <w:szCs w:val="28"/>
        </w:rPr>
        <w:t>、投标文件与招标文件有重大偏离、未满足带“★”号实质性指标的；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6</w:t>
      </w:r>
      <w:r>
        <w:rPr>
          <w:rFonts w:ascii="仿宋_GB2312" w:hAnsi="仿宋_GB2312" w:eastAsia="仿宋_GB2312" w:cs="仿宋_GB2312"/>
          <w:color w:val="000000"/>
          <w:kern w:val="0"/>
          <w:szCs w:val="28"/>
        </w:rPr>
        <w:t>、资质文件、技术及商务文件中出现投标价格信息的、投标报价超出招标文件中规定的预算金额或者最高限价的；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7</w:t>
      </w:r>
      <w:r>
        <w:rPr>
          <w:rFonts w:ascii="仿宋_GB2312" w:hAnsi="仿宋_GB2312" w:eastAsia="仿宋_GB2312" w:cs="仿宋_GB2312"/>
          <w:color w:val="000000"/>
          <w:kern w:val="0"/>
          <w:szCs w:val="28"/>
        </w:rPr>
        <w:t>、标项以赠送方式投标的、对一个标项提供两个投标方案或两个报价的；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8</w:t>
      </w:r>
      <w:r>
        <w:rPr>
          <w:rFonts w:ascii="仿宋_GB2312" w:hAnsi="仿宋_GB2312" w:eastAsia="仿宋_GB2312" w:cs="仿宋_GB2312"/>
          <w:color w:val="000000"/>
          <w:kern w:val="0"/>
          <w:szCs w:val="28"/>
        </w:rPr>
        <w:t>、评标委员会认为投标人的报价明显低于其他通过符合性审查投标人的报价，有可能影响产品质量或者不能诚信履约，且在评标现场合理的时间内不能证明其报价合理性的；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9</w:t>
      </w:r>
      <w:r>
        <w:rPr>
          <w:rFonts w:ascii="仿宋_GB2312" w:hAnsi="仿宋_GB2312" w:eastAsia="仿宋_GB2312" w:cs="仿宋_GB2312"/>
          <w:color w:val="000000"/>
          <w:kern w:val="0"/>
          <w:szCs w:val="28"/>
        </w:rPr>
        <w:t>、投标人不接受报价文件中修正后的报价的；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10</w:t>
      </w:r>
      <w:r>
        <w:rPr>
          <w:rFonts w:ascii="仿宋_GB2312" w:hAnsi="仿宋_GB2312" w:eastAsia="仿宋_GB2312" w:cs="仿宋_GB2312"/>
          <w:color w:val="000000"/>
          <w:kern w:val="0"/>
          <w:szCs w:val="28"/>
        </w:rPr>
        <w:t>、未按本章“</w:t>
      </w:r>
      <w:r>
        <w:rPr>
          <w:rFonts w:hint="eastAsia" w:ascii="仿宋_GB2312" w:hAnsi="仿宋_GB2312" w:eastAsia="仿宋_GB2312" w:cs="仿宋_GB2312"/>
          <w:color w:val="000000"/>
          <w:kern w:val="0"/>
          <w:szCs w:val="28"/>
        </w:rPr>
        <w:t>三</w:t>
      </w:r>
      <w:r>
        <w:rPr>
          <w:rFonts w:ascii="仿宋_GB2312" w:hAnsi="仿宋_GB2312" w:eastAsia="仿宋_GB2312" w:cs="仿宋_GB2312"/>
          <w:color w:val="000000"/>
          <w:kern w:val="0"/>
          <w:szCs w:val="28"/>
        </w:rPr>
        <w:t>、投标文件</w:t>
      </w:r>
      <w:r>
        <w:rPr>
          <w:rFonts w:hint="eastAsia" w:ascii="仿宋_GB2312" w:hAnsi="仿宋_GB2312" w:eastAsia="仿宋_GB2312" w:cs="仿宋_GB2312"/>
          <w:color w:val="000000"/>
          <w:kern w:val="0"/>
          <w:szCs w:val="28"/>
        </w:rPr>
        <w:t>（六）</w:t>
      </w:r>
      <w:r>
        <w:rPr>
          <w:rFonts w:ascii="仿宋_GB2312" w:hAnsi="仿宋_GB2312" w:eastAsia="仿宋_GB2312" w:cs="仿宋_GB2312"/>
          <w:color w:val="000000"/>
          <w:kern w:val="0"/>
          <w:szCs w:val="28"/>
        </w:rPr>
        <w:t>投标报价</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要求报价的；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11、评审委员会要求</w:t>
      </w:r>
      <w:r>
        <w:rPr>
          <w:rFonts w:hint="eastAsia" w:ascii="仿宋_GB2312" w:hAnsi="仿宋_GB2312" w:eastAsia="仿宋_GB2312" w:cs="仿宋_GB2312"/>
          <w:color w:val="000000"/>
          <w:kern w:val="0"/>
          <w:szCs w:val="28"/>
          <w:lang w:eastAsia="zh-CN"/>
        </w:rPr>
        <w:t>投标</w:t>
      </w:r>
      <w:r>
        <w:rPr>
          <w:rFonts w:hint="eastAsia" w:ascii="仿宋_GB2312" w:hAnsi="仿宋_GB2312" w:eastAsia="仿宋_GB2312" w:cs="仿宋_GB2312"/>
          <w:color w:val="000000"/>
          <w:kern w:val="0"/>
          <w:szCs w:val="28"/>
        </w:rPr>
        <w:t>人予以澄清说明的事项，</w:t>
      </w:r>
      <w:r>
        <w:rPr>
          <w:rFonts w:hint="eastAsia" w:ascii="仿宋_GB2312" w:hAnsi="仿宋_GB2312" w:eastAsia="仿宋_GB2312" w:cs="仿宋_GB2312"/>
          <w:color w:val="000000"/>
          <w:kern w:val="0"/>
          <w:szCs w:val="28"/>
          <w:lang w:eastAsia="zh-CN"/>
        </w:rPr>
        <w:t>投标</w:t>
      </w:r>
      <w:r>
        <w:rPr>
          <w:rFonts w:hint="eastAsia" w:ascii="仿宋_GB2312" w:hAnsi="仿宋_GB2312" w:eastAsia="仿宋_GB2312" w:cs="仿宋_GB2312"/>
          <w:color w:val="000000"/>
          <w:kern w:val="0"/>
          <w:szCs w:val="28"/>
        </w:rPr>
        <w:t>人拒绝澄清说明的；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12、单位负责人为同一人或者存在直接控股、管理关系的不同供应商同时参加本项目的（均无效）；</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w:t>
      </w:r>
      <w:r>
        <w:rPr>
          <w:rFonts w:hint="eastAsia" w:ascii="仿宋_GB2312" w:hAnsi="仿宋_GB2312" w:eastAsia="仿宋_GB2312" w:cs="仿宋_GB2312"/>
          <w:color w:val="000000"/>
          <w:kern w:val="0"/>
          <w:szCs w:val="28"/>
        </w:rPr>
        <w:t>3</w:t>
      </w:r>
      <w:r>
        <w:rPr>
          <w:rFonts w:ascii="仿宋_GB2312" w:hAnsi="仿宋_GB2312" w:eastAsia="仿宋_GB2312" w:cs="仿宋_GB2312"/>
          <w:color w:val="000000"/>
          <w:kern w:val="0"/>
          <w:szCs w:val="28"/>
        </w:rPr>
        <w:t>、投标文件含有采购人不能接受的附加条件的；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w:t>
      </w:r>
      <w:r>
        <w:rPr>
          <w:rFonts w:hint="eastAsia" w:ascii="仿宋_GB2312" w:hAnsi="仿宋_GB2312" w:eastAsia="仿宋_GB2312" w:cs="仿宋_GB2312"/>
          <w:color w:val="000000"/>
          <w:kern w:val="0"/>
          <w:szCs w:val="28"/>
        </w:rPr>
        <w:t>4</w:t>
      </w:r>
      <w:r>
        <w:rPr>
          <w:rFonts w:ascii="仿宋_GB2312" w:hAnsi="仿宋_GB2312" w:eastAsia="仿宋_GB2312" w:cs="仿宋_GB2312"/>
          <w:color w:val="000000"/>
          <w:kern w:val="0"/>
          <w:szCs w:val="28"/>
        </w:rPr>
        <w:t>、投标人被视为串通投标的；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w:t>
      </w:r>
      <w:r>
        <w:rPr>
          <w:rFonts w:hint="eastAsia" w:ascii="仿宋_GB2312" w:hAnsi="仿宋_GB2312" w:eastAsia="仿宋_GB2312" w:cs="仿宋_GB2312"/>
          <w:color w:val="000000"/>
          <w:kern w:val="0"/>
          <w:szCs w:val="28"/>
        </w:rPr>
        <w:t>5</w:t>
      </w:r>
      <w:r>
        <w:rPr>
          <w:rFonts w:ascii="仿宋_GB2312" w:hAnsi="仿宋_GB2312" w:eastAsia="仿宋_GB2312" w:cs="仿宋_GB2312"/>
          <w:color w:val="000000"/>
          <w:kern w:val="0"/>
          <w:szCs w:val="28"/>
        </w:rPr>
        <w:t>、不符合法律、法规和本招标文件规定的其他实质性要求的。</w:t>
      </w:r>
    </w:p>
    <w:p>
      <w:pPr>
        <w:pStyle w:val="39"/>
        <w:snapToGrid w:val="0"/>
        <w:spacing w:before="120" w:after="120" w:line="360" w:lineRule="auto"/>
        <w:ind w:left="759" w:leftChars="228" w:hanging="280" w:hangingChars="100"/>
        <w:rPr>
          <w:rFonts w:ascii="仿宋_GB2312" w:hAnsi="仿宋_GB2312" w:eastAsia="仿宋_GB2312" w:cs="仿宋_GB2312"/>
          <w:color w:val="000000"/>
          <w:kern w:val="0"/>
          <w:szCs w:val="28"/>
        </w:rPr>
      </w:pPr>
      <w:bookmarkStart w:id="10" w:name="_Toc345423467"/>
      <w:bookmarkStart w:id="11" w:name="_Toc360457878"/>
      <w:r>
        <w:rPr>
          <w:rFonts w:ascii="仿宋_GB2312" w:hAnsi="仿宋_GB2312" w:eastAsia="仿宋_GB2312" w:cs="仿宋_GB2312"/>
          <w:color w:val="000000"/>
          <w:kern w:val="0"/>
          <w:szCs w:val="28"/>
        </w:rPr>
        <w:t>（十）错误修正</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投标文件报价出现前后不一致的，除招标文件另有规定外，按照下列规定修正：</w:t>
      </w:r>
    </w:p>
    <w:p>
      <w:pPr>
        <w:pStyle w:val="2"/>
        <w:ind w:left="0" w:leftChars="0" w:firstLine="560"/>
        <w:rPr>
          <w:rFonts w:ascii="仿宋_GB2312" w:hAnsi="仿宋_GB2312" w:eastAsia="仿宋_GB2312" w:cs="仿宋_GB2312"/>
          <w:kern w:val="0"/>
          <w:szCs w:val="28"/>
        </w:rPr>
      </w:pPr>
      <w:r>
        <w:rPr>
          <w:rFonts w:hint="eastAsia" w:ascii="仿宋_GB2312" w:hAnsi="仿宋_GB2312" w:eastAsia="仿宋_GB2312" w:cs="仿宋_GB2312"/>
          <w:kern w:val="0"/>
          <w:szCs w:val="28"/>
        </w:rPr>
        <w:t>1、政采云平台输入的开标记录表报价与电子投标文件中的报价文件不一致的，以政采云平台输入的开标记录表为准；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电子投标文件中报价明细表内容与电子投标文件中相应内容不一致的，以报价明细表为准；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大写金额和小写金额不一致的，以大写金额为准；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单价金额小数点或者百分比有明显错位的，以报价明细表的总价为准，并修改单价；</w:t>
      </w:r>
    </w:p>
    <w:p>
      <w:pPr>
        <w:snapToGrid w:val="0"/>
        <w:spacing w:line="360" w:lineRule="auto"/>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总价金额与按单价汇总金额不一致的，以单价金额计算结果为准。</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p>
    <w:p>
      <w:pPr>
        <w:pStyle w:val="5"/>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四、开标、评标</w:t>
      </w:r>
      <w:bookmarkEnd w:id="10"/>
      <w:bookmarkEnd w:id="11"/>
      <w:r>
        <w:rPr>
          <w:rFonts w:ascii="仿宋_GB2312" w:hAnsi="仿宋_GB2312" w:eastAsia="仿宋_GB2312" w:cs="仿宋_GB2312"/>
          <w:b w:val="0"/>
          <w:bCs w:val="0"/>
          <w:color w:val="000000"/>
          <w:kern w:val="0"/>
          <w:sz w:val="28"/>
          <w:szCs w:val="28"/>
        </w:rPr>
        <w:t>和定标</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开标、评标和定标见本招标文件第四部分内容。</w:t>
      </w:r>
    </w:p>
    <w:p>
      <w:pPr>
        <w:pStyle w:val="5"/>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12" w:name="_Toc360457879"/>
      <w:bookmarkStart w:id="13" w:name="_Toc345423468"/>
      <w:r>
        <w:rPr>
          <w:rFonts w:ascii="仿宋_GB2312" w:hAnsi="仿宋_GB2312" w:eastAsia="仿宋_GB2312" w:cs="仿宋_GB2312"/>
          <w:b w:val="0"/>
          <w:bCs w:val="0"/>
          <w:color w:val="000000"/>
          <w:kern w:val="0"/>
          <w:sz w:val="28"/>
          <w:szCs w:val="28"/>
        </w:rPr>
        <w:t>五、合同的授予</w:t>
      </w:r>
      <w:bookmarkEnd w:id="12"/>
      <w:bookmarkEnd w:id="13"/>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1、授予合同的依据</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（1）中标通知书；</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（2）招标文件、招标文件的修改及补充文件；</w:t>
      </w:r>
    </w:p>
    <w:p>
      <w:pPr>
        <w:pStyle w:val="3"/>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（4）《中华人民共和国</w:t>
      </w:r>
      <w:r>
        <w:rPr>
          <w:rFonts w:hint="eastAsia" w:ascii="仿宋_GB2312" w:hAnsi="仿宋_GB2312" w:eastAsia="仿宋_GB2312" w:cs="仿宋_GB2312"/>
          <w:color w:val="000000"/>
          <w:kern w:val="0"/>
          <w:sz w:val="28"/>
          <w:szCs w:val="28"/>
        </w:rPr>
        <w:t>民法典</w:t>
      </w:r>
      <w:r>
        <w:rPr>
          <w:rFonts w:ascii="仿宋_GB2312" w:hAnsi="仿宋_GB2312" w:eastAsia="仿宋_GB2312" w:cs="仿宋_GB2312"/>
          <w:color w:val="000000"/>
          <w:kern w:val="0"/>
          <w:sz w:val="28"/>
          <w:szCs w:val="28"/>
        </w:rPr>
        <w:t>》的规定。</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2、签署合同的要求</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（1）采购人与中标人按照中标通知书规定的时间、地点签订书面合同；</w:t>
      </w:r>
    </w:p>
    <w:p>
      <w:pPr>
        <w:spacing w:line="360" w:lineRule="auto"/>
        <w:ind w:firstLine="700" w:firstLineChars="2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(2)签订合同的时间必须在自中标通知书收到之日起</w:t>
      </w:r>
      <w:r>
        <w:rPr>
          <w:rFonts w:hint="eastAsia" w:ascii="仿宋_GB2312" w:hAnsi="仿宋_GB2312" w:eastAsia="仿宋_GB2312" w:cs="仿宋_GB2312"/>
          <w:color w:val="000000"/>
          <w:kern w:val="0"/>
          <w:sz w:val="28"/>
          <w:szCs w:val="28"/>
        </w:rPr>
        <w:t>三十</w:t>
      </w:r>
      <w:r>
        <w:rPr>
          <w:rFonts w:ascii="仿宋_GB2312" w:hAnsi="仿宋_GB2312" w:eastAsia="仿宋_GB2312" w:cs="仿宋_GB2312"/>
          <w:color w:val="000000"/>
          <w:kern w:val="0"/>
          <w:sz w:val="28"/>
          <w:szCs w:val="28"/>
        </w:rPr>
        <w:t>日内；</w:t>
      </w:r>
    </w:p>
    <w:p>
      <w:pPr>
        <w:spacing w:line="360" w:lineRule="auto"/>
        <w:ind w:firstLine="700" w:firstLineChars="25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(3)所签订的合同内容不得对招标文件和中标人的投标文件作实质性修改；</w:t>
      </w:r>
    </w:p>
    <w:p>
      <w:pPr>
        <w:spacing w:line="360" w:lineRule="auto"/>
        <w:ind w:left="2" w:leftChars="1" w:firstLine="700" w:firstLineChars="25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(4)采购人不得向中标人提出任何不合理的要求，作为签订合同的条件，不得与中标人私下订立背离合同实质性内容的协议</w:t>
      </w:r>
      <w:r>
        <w:rPr>
          <w:rFonts w:hint="eastAsia" w:ascii="仿宋_GB2312" w:hAnsi="仿宋_GB2312" w:eastAsia="仿宋_GB2312" w:cs="仿宋_GB2312"/>
          <w:color w:val="000000"/>
          <w:kern w:val="0"/>
          <w:sz w:val="28"/>
          <w:szCs w:val="28"/>
        </w:rPr>
        <w:t>。</w:t>
      </w:r>
    </w:p>
    <w:p>
      <w:pPr>
        <w:spacing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3.合同签订</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（1）采购人与中标人将根据《中华人民共和国</w:t>
      </w:r>
      <w:r>
        <w:rPr>
          <w:rFonts w:hint="eastAsia" w:ascii="仿宋_GB2312" w:hAnsi="仿宋_GB2312" w:eastAsia="仿宋_GB2312" w:cs="仿宋_GB2312"/>
          <w:color w:val="000000"/>
          <w:kern w:val="0"/>
          <w:sz w:val="28"/>
          <w:szCs w:val="28"/>
        </w:rPr>
        <w:t>民法典</w:t>
      </w:r>
      <w:r>
        <w:rPr>
          <w:rFonts w:ascii="仿宋_GB2312" w:hAnsi="仿宋_GB2312" w:eastAsia="仿宋_GB2312" w:cs="仿宋_GB2312"/>
          <w:color w:val="000000"/>
          <w:kern w:val="0"/>
          <w:sz w:val="28"/>
          <w:szCs w:val="28"/>
        </w:rPr>
        <w:t>》的规定，依据招标文件和中标人的投标文件签订书面合同</w:t>
      </w:r>
      <w:r>
        <w:rPr>
          <w:rFonts w:hint="eastAsia" w:ascii="仿宋_GB2312" w:hAnsi="仿宋_GB2312" w:eastAsia="仿宋_GB2312" w:cs="仿宋_GB2312"/>
          <w:color w:val="000000"/>
          <w:kern w:val="0"/>
          <w:sz w:val="28"/>
          <w:szCs w:val="28"/>
        </w:rPr>
        <w:t>。</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 中标人应当按照合同约定履行义务，完成中标项目各项工作，不得将中标项目转让（转包）给他人。</w:t>
      </w:r>
      <w:bookmarkStart w:id="14" w:name="_Toc360457880"/>
      <w:bookmarkStart w:id="15" w:name="_Toc345423469"/>
    </w:p>
    <w:p>
      <w:pPr>
        <w:pStyle w:val="5"/>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六、质疑</w:t>
      </w:r>
      <w:bookmarkEnd w:id="14"/>
      <w:bookmarkEnd w:id="15"/>
    </w:p>
    <w:p>
      <w:pPr>
        <w:spacing w:line="360" w:lineRule="auto"/>
        <w:ind w:firstLine="700" w:firstLineChars="250"/>
        <w:rPr>
          <w:rFonts w:hint="eastAsia" w:ascii="仿宋_GB2312" w:hAnsi="仿宋_GB2312" w:eastAsia="仿宋_GB2312" w:cs="仿宋_GB2312"/>
          <w:color w:val="000000"/>
          <w:kern w:val="0"/>
          <w:sz w:val="28"/>
          <w:szCs w:val="28"/>
        </w:rPr>
      </w:pPr>
      <w:bookmarkStart w:id="16" w:name="_Toc345423470"/>
      <w:bookmarkStart w:id="17" w:name="_Toc360457881"/>
      <w:r>
        <w:rPr>
          <w:rFonts w:hint="eastAsia" w:ascii="仿宋_GB2312" w:hAnsi="仿宋_GB2312" w:eastAsia="仿宋_GB2312" w:cs="仿宋_GB2312"/>
          <w:color w:val="000000"/>
          <w:kern w:val="0"/>
          <w:sz w:val="28"/>
          <w:szCs w:val="28"/>
        </w:rPr>
        <w:t>1、供应商认为采购文件、采购过程、中标或者成交结果使自己的权益受到损害的，可以在知道或者应知其权益受到损害之日起7个工作日内，以书面形式提出质疑。对采购文件需求条款、评分标准等内容的质疑向采购人提出，对开评标程序的质疑向采购代理机构提出。供应商须在法定质疑期内一次性提出针对同一采购程序环节的质疑。</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3、供应商提出质疑应当提交质疑函和必要的证明材料。质疑函应当包括下列内容：</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a供应商的姓名或者名称、地址、邮编、联系人及联系电话；</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b质疑项目的名称、编号；</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c具体、明确的质疑事项和与质疑事项相关的请求；</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d事实依据；</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e必要的法律依据；</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f提出质疑的日期。</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供应商为自然人的，应当由本人签字；供应商为法人或其他组织的，应当由法定代表人、主要负责人，或者其授权代表签字或者盖章，并加盖公章。</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（质疑函范本可从财政部网站下载）</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4、采购人、采购代理机构将在收到质疑函后7个工作日内作出答复，并以书面形式通知质疑供应商。质疑答复的内容不得涉及商业秘密。</w:t>
      </w:r>
    </w:p>
    <w:p>
      <w:pPr>
        <w:spacing w:line="360" w:lineRule="auto"/>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质疑供应商对采购人、采购代理机构的答复不满意，或者采购人、采购代理机构未在规定时间内作出答复的，可以在答复期满后15个工作日内向同级政府采购监督管理部门提起投诉（联系方式、地址等见招标公告）。</w:t>
      </w:r>
    </w:p>
    <w:p>
      <w:pPr>
        <w:pStyle w:val="5"/>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七、保密和披露</w:t>
      </w:r>
      <w:bookmarkEnd w:id="16"/>
      <w:bookmarkEnd w:id="17"/>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1、投标人自购买招标文件之日起，须承诺承担本招标项目下保密义务，不得将因本次招标获得的信息向第三方外传。</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2、招标方有权</w:t>
      </w:r>
      <w:r>
        <w:rPr>
          <w:rFonts w:hint="eastAsia" w:ascii="仿宋_GB2312" w:hAnsi="仿宋_GB2312" w:eastAsia="仿宋_GB2312" w:cs="仿宋_GB2312"/>
          <w:color w:val="000000"/>
          <w:kern w:val="0"/>
          <w:sz w:val="28"/>
          <w:szCs w:val="28"/>
        </w:rPr>
        <w:t>将</w:t>
      </w:r>
      <w:r>
        <w:rPr>
          <w:rFonts w:ascii="仿宋_GB2312" w:hAnsi="仿宋_GB2312" w:eastAsia="仿宋_GB2312" w:cs="仿宋_GB2312"/>
          <w:color w:val="000000"/>
          <w:kern w:val="0"/>
          <w:sz w:val="28"/>
          <w:szCs w:val="28"/>
        </w:rPr>
        <w:t>投标人提供的所有资料向其他政府部门或有关的非政府机构负责评审标书的人员或与评标有关的人员披露。</w:t>
      </w:r>
    </w:p>
    <w:p>
      <w:pPr>
        <w:spacing w:line="360" w:lineRule="auto"/>
        <w:ind w:firstLine="560" w:firstLineChars="200"/>
        <w:rPr>
          <w:rFonts w:ascii="Arial" w:hAnsi="Arial" w:eastAsia="仿宋" w:cs="Arial"/>
          <w:sz w:val="28"/>
          <w:szCs w:val="28"/>
        </w:rPr>
      </w:pPr>
      <w:r>
        <w:rPr>
          <w:rFonts w:ascii="仿宋_GB2312" w:hAnsi="仿宋_GB2312" w:eastAsia="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pPr>
        <w:pStyle w:val="5"/>
        <w:keepNext w:val="0"/>
        <w:keepLines w:val="0"/>
        <w:spacing w:line="360" w:lineRule="auto"/>
        <w:ind w:firstLine="548" w:firstLineChars="196"/>
        <w:jc w:val="center"/>
        <w:rPr>
          <w:rFonts w:ascii="仿宋_GB2312" w:hAnsi="仿宋_GB2312" w:eastAsia="仿宋_GB2312" w:cs="仿宋_GB2312"/>
          <w:b w:val="0"/>
          <w:bCs w:val="0"/>
          <w:color w:val="000000"/>
          <w:kern w:val="0"/>
          <w:sz w:val="28"/>
          <w:szCs w:val="28"/>
        </w:rPr>
      </w:pPr>
      <w:bookmarkStart w:id="18" w:name="_Toc360457882"/>
      <w:bookmarkStart w:id="19" w:name="_Toc345423471"/>
      <w:r>
        <w:rPr>
          <w:rFonts w:hint="eastAsia" w:ascii="仿宋_GB2312" w:hAnsi="仿宋_GB2312" w:eastAsia="仿宋_GB2312" w:cs="仿宋_GB2312"/>
          <w:b w:val="0"/>
          <w:bCs w:val="0"/>
          <w:color w:val="000000"/>
          <w:kern w:val="0"/>
          <w:sz w:val="28"/>
          <w:szCs w:val="28"/>
        </w:rPr>
        <w:t>八</w:t>
      </w:r>
      <w:r>
        <w:rPr>
          <w:rFonts w:ascii="仿宋_GB2312" w:hAnsi="仿宋_GB2312" w:eastAsia="仿宋_GB2312" w:cs="仿宋_GB2312"/>
          <w:b w:val="0"/>
          <w:bCs w:val="0"/>
          <w:color w:val="000000"/>
          <w:kern w:val="0"/>
          <w:sz w:val="28"/>
          <w:szCs w:val="28"/>
        </w:rPr>
        <w:t>、特别声明</w:t>
      </w:r>
      <w:bookmarkEnd w:id="18"/>
      <w:bookmarkEnd w:id="19"/>
    </w:p>
    <w:p>
      <w:pPr>
        <w:spacing w:line="360" w:lineRule="auto"/>
        <w:ind w:firstLine="482" w:firstLineChars="200"/>
        <w:jc w:val="left"/>
        <w:rPr>
          <w:rFonts w:ascii="仿宋_GB2312" w:hAnsi="仿宋_GB2312" w:eastAsia="仿宋_GB2312" w:cs="仿宋_GB2312"/>
          <w:b/>
          <w:color w:val="000000"/>
          <w:kern w:val="0"/>
          <w:sz w:val="24"/>
          <w:u w:val="single"/>
        </w:rPr>
      </w:pPr>
      <w:bookmarkStart w:id="20" w:name="_Toc437251186"/>
      <w:bookmarkStart w:id="21" w:name="_Toc360457883"/>
      <w:bookmarkStart w:id="22" w:name="_Toc345423472"/>
      <w:bookmarkStart w:id="23" w:name="_Toc285440050"/>
      <w:r>
        <w:rPr>
          <w:rFonts w:ascii="仿宋_GB2312" w:hAnsi="仿宋_GB2312" w:eastAsia="仿宋_GB2312" w:cs="仿宋_GB2312"/>
          <w:b/>
          <w:color w:val="000000"/>
          <w:kern w:val="0"/>
          <w:sz w:val="24"/>
          <w:u w:val="single"/>
        </w:rPr>
        <w:t>1、最高限价：本次公开招标设有最高限价，</w:t>
      </w:r>
      <w:r>
        <w:rPr>
          <w:rFonts w:hint="eastAsia" w:ascii="仿宋_GB2312" w:hAnsi="仿宋_GB2312" w:eastAsia="仿宋_GB2312" w:cs="仿宋_GB2312"/>
          <w:b/>
          <w:color w:val="000000"/>
          <w:kern w:val="0"/>
          <w:sz w:val="24"/>
          <w:u w:val="single"/>
        </w:rPr>
        <w:t>各标项</w:t>
      </w:r>
      <w:r>
        <w:rPr>
          <w:rFonts w:ascii="仿宋_GB2312" w:hAnsi="仿宋_GB2312" w:eastAsia="仿宋_GB2312" w:cs="仿宋_GB2312"/>
          <w:b/>
          <w:color w:val="000000"/>
          <w:kern w:val="0"/>
          <w:sz w:val="24"/>
          <w:u w:val="single"/>
        </w:rPr>
        <w:t>最高限价</w:t>
      </w:r>
      <w:r>
        <w:rPr>
          <w:rFonts w:hint="eastAsia" w:ascii="仿宋_GB2312" w:hAnsi="仿宋_GB2312" w:eastAsia="仿宋_GB2312" w:cs="仿宋_GB2312"/>
          <w:b/>
          <w:color w:val="000000"/>
          <w:kern w:val="0"/>
          <w:sz w:val="24"/>
          <w:u w:val="single"/>
        </w:rPr>
        <w:t>不得超过其预算价，</w:t>
      </w:r>
      <w:r>
        <w:rPr>
          <w:rFonts w:hint="eastAsia" w:ascii="仿宋_GB2312" w:hAnsi="仿宋_GB2312" w:eastAsia="仿宋_GB2312" w:cs="仿宋_GB2312"/>
          <w:b/>
          <w:color w:val="000000"/>
          <w:kern w:val="0"/>
          <w:sz w:val="24"/>
          <w:highlight w:val="none"/>
          <w:u w:val="single"/>
          <w:lang w:eastAsia="zh-CN"/>
        </w:rPr>
        <w:t>各标项下各班型最高限价不得超过其预算价</w:t>
      </w:r>
      <w:r>
        <w:rPr>
          <w:rFonts w:hint="eastAsia" w:ascii="仿宋_GB2312" w:hAnsi="仿宋_GB2312" w:eastAsia="仿宋_GB2312" w:cs="仿宋_GB2312"/>
          <w:b/>
          <w:color w:val="000000"/>
          <w:kern w:val="0"/>
          <w:sz w:val="24"/>
          <w:u w:val="single"/>
          <w:lang w:eastAsia="zh-CN"/>
        </w:rPr>
        <w:t>，</w:t>
      </w:r>
      <w:r>
        <w:rPr>
          <w:rFonts w:ascii="仿宋_GB2312" w:hAnsi="仿宋_GB2312" w:eastAsia="仿宋_GB2312" w:cs="仿宋_GB2312"/>
          <w:b/>
          <w:color w:val="000000"/>
          <w:kern w:val="0"/>
          <w:sz w:val="24"/>
          <w:u w:val="single"/>
        </w:rPr>
        <w:t>超出最高限价的视为无效标。</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2、中型、小型、微型企业投标的，应当符合以下条件：</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（2）提供本企业制造的货物、承担的工程或者服务，或者提供其他中小企业制造的货物。</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（3）根据财库〔2020〕46号文件规定，符合中小企业划分标准的个体工商户视同中小企业。</w:t>
      </w:r>
    </w:p>
    <w:p>
      <w:pPr>
        <w:spacing w:line="360" w:lineRule="auto"/>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（4）根据财库〔2014〕68号、财库〔2017〕141号文件规定，监狱企业、残疾人福利性单位视同小型、微型企业。</w:t>
      </w:r>
    </w:p>
    <w:p>
      <w:pPr>
        <w:pStyle w:val="5"/>
        <w:keepNext w:val="0"/>
        <w:keepLines w:val="0"/>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32"/>
        <w:ind w:left="0"/>
      </w:pPr>
    </w:p>
    <w:bookmarkEnd w:id="20"/>
    <w:bookmarkEnd w:id="21"/>
    <w:bookmarkEnd w:id="22"/>
    <w:bookmarkEnd w:id="23"/>
    <w:p>
      <w:pPr>
        <w:numPr>
          <w:ilvl w:val="0"/>
          <w:numId w:val="3"/>
        </w:num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开标、评标和定标</w:t>
      </w:r>
    </w:p>
    <w:p>
      <w:pPr>
        <w:pStyle w:val="5"/>
        <w:keepNext w:val="0"/>
        <w:keepLines w:val="0"/>
        <w:spacing w:before="0" w:after="0" w:line="415" w:lineRule="auto"/>
        <w:jc w:val="center"/>
      </w:pP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一、电子招投标开标及评审程序</w:t>
      </w:r>
    </w:p>
    <w:p>
      <w:pPr>
        <w:pStyle w:val="39"/>
        <w:snapToGrid w:val="0"/>
        <w:spacing w:before="120" w:after="120" w:line="360" w:lineRule="auto"/>
        <w:ind w:firstLine="548" w:firstLineChars="196"/>
        <w:rPr>
          <w:rFonts w:ascii="仿宋_GB2312" w:hAnsi="仿宋_GB2312" w:eastAsia="仿宋_GB2312" w:cs="仿宋_GB2312"/>
          <w:color w:val="000000"/>
          <w:kern w:val="0"/>
          <w:szCs w:val="28"/>
          <w:u w:val="single"/>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.1投标截止时间后，投标人登录政采云平台，用“项目采购-开标评标”功能对电子投标文件进行在线解密。</w:t>
      </w:r>
      <w:r>
        <w:rPr>
          <w:rFonts w:ascii="仿宋_GB2312" w:hAnsi="仿宋_GB2312" w:eastAsia="仿宋_GB2312" w:cs="仿宋_GB2312"/>
          <w:color w:val="000000"/>
          <w:kern w:val="0"/>
          <w:szCs w:val="28"/>
          <w:u w:val="single"/>
        </w:rPr>
        <w:t>在线解密电子投标文件时间为开标时间起半个小时内。</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.2评标委员会对资格和商务技术响应文件进行评审；</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.3在系统上公开资格和商务技术评审结果；</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.4在系统上公开报价开标情况；</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.5评标委员会对报价情况进行评审；</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.6在系统上公布评审结果。</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特别说明：政采云公司如对电子化开标及评审程序有调整的，按调整后的程序操作。</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.1电子交易平台发生故障而无法登录访问的； </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.2电子交易平台应用或数据库出现错误，不能进行正常操作的；</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.3电子交易平台发现严重安全漏洞，有潜在泄密危险的；</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.4病毒发作导致不能进行正常操作的； </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.5其他无法保证电子交易的公平、公正和安全的情况。</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二、组织评标程序</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r>
        <w:rPr>
          <w:rFonts w:ascii="仿宋_GB2312" w:hAnsi="仿宋_GB2312" w:eastAsia="仿宋_GB2312" w:cs="仿宋_GB2312"/>
          <w:color w:val="000000"/>
          <w:kern w:val="0"/>
          <w:szCs w:val="28"/>
        </w:rPr>
        <w:t>招标方将按照招标文件规定的时间、地点和程序组织评标，各评审专家及相关人员应参加评审活动并接受核验、签到，无关人员不得进入评审现场。</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2、</w:t>
      </w:r>
      <w:r>
        <w:rPr>
          <w:rFonts w:ascii="仿宋_GB2312" w:hAnsi="仿宋_GB2312" w:eastAsia="仿宋_GB2312" w:cs="仿宋_GB2312"/>
          <w:color w:val="000000"/>
          <w:kern w:val="0"/>
          <w:szCs w:val="28"/>
        </w:rPr>
        <w:t>采购人可以在评标前说明项目背景和采购需求，说明内容不得含有歧视性、倾向性意见，不得超出招标文件所述范围。</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3、市政府采购中心依法组建评标委员会，推选评标委员会组长。</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w:t>
      </w:r>
      <w:r>
        <w:rPr>
          <w:rFonts w:ascii="仿宋_GB2312" w:hAnsi="仿宋_GB2312" w:eastAsia="仿宋_GB2312" w:cs="仿宋_GB2312"/>
          <w:color w:val="000000"/>
          <w:kern w:val="0"/>
          <w:szCs w:val="28"/>
        </w:rPr>
        <w:t>、评标委员会组长组织评审人员独立评审。</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4.1</w:t>
      </w:r>
      <w:r>
        <w:rPr>
          <w:rFonts w:ascii="仿宋_GB2312" w:hAnsi="仿宋_GB2312" w:eastAsia="仿宋_GB2312" w:cs="仿宋_GB2312"/>
          <w:color w:val="000000"/>
          <w:kern w:val="0"/>
          <w:szCs w:val="28"/>
        </w:rPr>
        <w:t>资格性审查</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资格审查小组依据法律、法规和招标文件规定，对投标文件中的资格证明等进行审查，以确定投标人是否具备投标资格。资格性审查资料表如下：</w:t>
      </w:r>
    </w:p>
    <w:tbl>
      <w:tblPr>
        <w:tblStyle w:val="67"/>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2649"/>
        <w:gridCol w:w="2970"/>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序号</w:t>
            </w:r>
          </w:p>
        </w:tc>
        <w:tc>
          <w:tcPr>
            <w:tcW w:w="2649"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审查因素</w:t>
            </w:r>
          </w:p>
        </w:tc>
        <w:tc>
          <w:tcPr>
            <w:tcW w:w="2970"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审查内容</w:t>
            </w:r>
          </w:p>
        </w:tc>
        <w:tc>
          <w:tcPr>
            <w:tcW w:w="3098" w:type="dxa"/>
            <w:vAlign w:val="center"/>
          </w:tcPr>
          <w:p>
            <w:pPr>
              <w:spacing w:line="360" w:lineRule="auto"/>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授权书</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r>
              <w:rPr>
                <w:rFonts w:ascii="仿宋_GB2312" w:hAnsi="仿宋_GB2312" w:eastAsia="仿宋_GB2312" w:cs="仿宋_GB2312"/>
                <w:color w:val="000000"/>
                <w:kern w:val="0"/>
                <w:sz w:val="24"/>
              </w:rPr>
              <w:t xml:space="preserve">授权书 </w:t>
            </w:r>
          </w:p>
        </w:tc>
        <w:tc>
          <w:tcPr>
            <w:tcW w:w="3098"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w:t>
            </w:r>
            <w:r>
              <w:rPr>
                <w:rFonts w:ascii="仿宋_GB2312" w:hAnsi="仿宋_GB2312" w:eastAsia="仿宋_GB2312" w:cs="仿宋_GB2312"/>
                <w:color w:val="000000"/>
                <w:kern w:val="0"/>
                <w:sz w:val="24"/>
              </w:rPr>
              <w:t>法定代表人授权委托书</w:t>
            </w:r>
            <w:r>
              <w:rPr>
                <w:rFonts w:hint="eastAsia" w:ascii="仿宋_GB2312" w:hAnsi="仿宋_GB2312" w:eastAsia="仿宋_GB2312" w:cs="仿宋_GB2312"/>
                <w:color w:val="000000"/>
                <w:kern w:val="0"/>
                <w:sz w:val="24"/>
              </w:rPr>
              <w:t>，</w:t>
            </w:r>
            <w:r>
              <w:rPr>
                <w:rFonts w:ascii="仿宋_GB2312" w:hAnsi="仿宋_GB2312" w:eastAsia="仿宋_GB2312" w:cs="仿宋_GB2312"/>
                <w:bCs/>
                <w:color w:val="000000"/>
                <w:kern w:val="0"/>
                <w:sz w:val="24"/>
                <w:u w:val="single"/>
              </w:rPr>
              <w:t>格式以附件为准</w:t>
            </w:r>
            <w:r>
              <w:rPr>
                <w:rFonts w:hint="eastAsia" w:ascii="仿宋_GB2312" w:hAnsi="仿宋_GB2312" w:eastAsia="仿宋_GB2312" w:cs="仿宋_GB2312"/>
                <w:bCs/>
                <w:color w:val="000000"/>
                <w:kern w:val="0"/>
                <w:sz w:val="24"/>
                <w:u w:val="single"/>
              </w:rPr>
              <w:t>，</w:t>
            </w:r>
            <w:r>
              <w:rPr>
                <w:rFonts w:ascii="仿宋_GB2312" w:hAnsi="仿宋_GB2312" w:eastAsia="仿宋_GB2312" w:cs="仿宋_GB2312"/>
                <w:bCs/>
                <w:color w:val="000000"/>
                <w:kern w:val="0"/>
                <w:sz w:val="24"/>
                <w:u w:val="single"/>
              </w:rPr>
              <w:t>注意按要求签署盖章</w:t>
            </w:r>
            <w:r>
              <w:rPr>
                <w:rFonts w:hint="eastAsia" w:ascii="仿宋_GB2312" w:hAnsi="仿宋_GB2312" w:eastAsia="仿宋_GB2312" w:cs="仿宋_GB2312"/>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具有独立承担民事责任的能力</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营业执照（副本）复印件 </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中小企业资格认定</w:t>
            </w:r>
          </w:p>
        </w:tc>
        <w:tc>
          <w:tcPr>
            <w:tcW w:w="2970"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中小企业声明函</w:t>
            </w:r>
          </w:p>
        </w:tc>
        <w:tc>
          <w:tcPr>
            <w:tcW w:w="3098" w:type="dxa"/>
            <w:vAlign w:val="center"/>
          </w:tcPr>
          <w:p>
            <w:pPr>
              <w:spacing w:line="360" w:lineRule="auto"/>
              <w:rPr>
                <w:rFonts w:ascii="仿宋_GB2312" w:hAnsi="仿宋_GB2312" w:eastAsia="仿宋" w:cs="仿宋_GB2312"/>
                <w:color w:val="000000"/>
                <w:kern w:val="0"/>
                <w:sz w:val="24"/>
              </w:rPr>
            </w:pPr>
            <w:r>
              <w:rPr>
                <w:rFonts w:hint="eastAsia" w:ascii="仿宋_GB2312" w:hAnsi="仿宋_GB2312" w:eastAsia="仿宋_GB2312" w:cs="仿宋_GB2312"/>
                <w:color w:val="000000"/>
                <w:kern w:val="0"/>
                <w:sz w:val="24"/>
              </w:rPr>
              <w:t>提供《中小企业声明函》（格式见附件）。</w:t>
            </w:r>
            <w:r>
              <w:rPr>
                <w:rFonts w:hint="eastAsia" w:ascii="仿宋_GB2312" w:hAnsi="仿宋_GB2312" w:eastAsia="仿宋_GB2312" w:cs="仿宋_GB2312"/>
                <w:color w:val="000000"/>
                <w:kern w:val="0"/>
                <w:sz w:val="24"/>
                <w:u w:val="single"/>
              </w:rPr>
              <w:t>未按附件格式内容提供的由投标人自行承担可能被视作无效标的风险。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649" w:type="dxa"/>
            <w:vAlign w:val="center"/>
          </w:tcPr>
          <w:p>
            <w:pPr>
              <w:spacing w:line="360" w:lineRule="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投标资格及各项承诺</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投标函</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提供投标函</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u w:val="single"/>
              </w:rPr>
              <w:t>格式以附件为准，注意按要求签署盖章。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5" w:type="dxa"/>
            <w:vAlign w:val="center"/>
          </w:tcPr>
          <w:p>
            <w:pPr>
              <w:spacing w:line="360" w:lineRule="auto"/>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649"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诚信记录</w:t>
            </w:r>
          </w:p>
        </w:tc>
        <w:tc>
          <w:tcPr>
            <w:tcW w:w="2970"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投标人“信用中国”网站、中国政府采购网信用记录情况无不良记录。</w:t>
            </w:r>
          </w:p>
        </w:tc>
        <w:tc>
          <w:tcPr>
            <w:tcW w:w="3098" w:type="dxa"/>
            <w:vAlign w:val="center"/>
          </w:tcPr>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pPr>
        <w:spacing w:line="360" w:lineRule="auto"/>
        <w:ind w:firstLine="560" w:firstLineChars="200"/>
        <w:jc w:val="left"/>
        <w:outlineLvl w:val="1"/>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hAnsi="仿宋_GB2312" w:eastAsia="仿宋_GB2312" w:cs="仿宋_GB2312"/>
          <w:bCs/>
          <w:color w:val="000000"/>
          <w:kern w:val="0"/>
          <w:sz w:val="28"/>
          <w:szCs w:val="28"/>
          <w:u w:val="single"/>
        </w:rPr>
        <w:t>资格审查不合格的为无效的投标</w:t>
      </w:r>
      <w:r>
        <w:rPr>
          <w:rFonts w:ascii="仿宋_GB2312" w:hAnsi="仿宋_GB2312" w:eastAsia="仿宋_GB2312" w:cs="仿宋_GB2312"/>
          <w:bCs/>
          <w:color w:val="000000"/>
          <w:kern w:val="0"/>
          <w:sz w:val="28"/>
          <w:szCs w:val="28"/>
        </w:rPr>
        <w:t>。</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4.2</w:t>
      </w:r>
      <w:r>
        <w:rPr>
          <w:rFonts w:ascii="仿宋_GB2312" w:hAnsi="仿宋_GB2312" w:eastAsia="仿宋_GB2312" w:cs="仿宋_GB2312"/>
          <w:color w:val="000000"/>
          <w:kern w:val="0"/>
          <w:szCs w:val="28"/>
        </w:rPr>
        <w:t>符合性审查</w:t>
      </w:r>
    </w:p>
    <w:p>
      <w:pPr>
        <w:spacing w:line="360" w:lineRule="auto"/>
        <w:ind w:firstLine="5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00"/>
      </w:pPr>
      <w:r>
        <w:rPr>
          <w:rFonts w:hint="eastAsia" w:ascii="仿宋_GB2312" w:hAnsi="仿宋_GB2312" w:eastAsia="仿宋_GB2312" w:cs="仿宋_GB2312"/>
          <w:b/>
          <w:bCs/>
          <w:color w:val="000000"/>
          <w:kern w:val="0"/>
          <w:sz w:val="28"/>
          <w:szCs w:val="28"/>
          <w:u w:val="single"/>
        </w:rPr>
        <w:t>若投标人递交的电子投标文件内容未指向指定链接、模块，导致投标文件被误读、漏读或者查找不到相关内容的</w:t>
      </w:r>
      <w:r>
        <w:rPr>
          <w:rFonts w:ascii="仿宋_GB2312" w:hAnsi="仿宋_GB2312" w:eastAsia="仿宋_GB2312" w:cs="仿宋_GB2312"/>
          <w:b/>
          <w:bCs/>
          <w:color w:val="000000"/>
          <w:kern w:val="0"/>
          <w:sz w:val="28"/>
          <w:szCs w:val="28"/>
          <w:u w:val="single"/>
        </w:rPr>
        <w:t>，</w:t>
      </w:r>
      <w:r>
        <w:rPr>
          <w:rFonts w:hint="eastAsia" w:ascii="仿宋_GB2312" w:hAnsi="仿宋_GB2312" w:eastAsia="仿宋_GB2312" w:cs="仿宋_GB2312"/>
          <w:b/>
          <w:bCs/>
          <w:color w:val="000000"/>
          <w:kern w:val="0"/>
          <w:sz w:val="28"/>
          <w:szCs w:val="28"/>
          <w:u w:val="single"/>
        </w:rPr>
        <w:t>由投标人自行承担可能被视作无效标的风险</w:t>
      </w:r>
      <w:r>
        <w:rPr>
          <w:rFonts w:ascii="仿宋_GB2312" w:hAnsi="仿宋_GB2312" w:eastAsia="仿宋_GB2312" w:cs="仿宋_GB2312"/>
          <w:b/>
          <w:bCs/>
          <w:color w:val="000000"/>
          <w:kern w:val="0"/>
          <w:sz w:val="28"/>
          <w:szCs w:val="28"/>
          <w:u w:val="single"/>
        </w:rPr>
        <w:t>。</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4.3</w:t>
      </w:r>
      <w:r>
        <w:rPr>
          <w:rFonts w:ascii="仿宋_GB2312" w:hAnsi="仿宋_GB2312" w:eastAsia="仿宋_GB2312" w:cs="仿宋_GB2312"/>
          <w:color w:val="000000"/>
          <w:kern w:val="0"/>
          <w:szCs w:val="28"/>
        </w:rPr>
        <w:t>技术和商务评审</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评审人员按招标文件规定的评审方法和评审标准，依法独立对投标人投标文件进行评估、比较，并给予评价或打分，不受任何单位和个人的干预。</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说明或纠正</w:t>
      </w:r>
      <w:r>
        <w:rPr>
          <w:rFonts w:hint="eastAsia" w:ascii="仿宋_GB2312" w:hAnsi="仿宋_GB2312" w:eastAsia="仿宋_GB2312" w:cs="仿宋_GB2312"/>
          <w:color w:val="000000"/>
          <w:kern w:val="0"/>
          <w:szCs w:val="28"/>
        </w:rPr>
        <w:t>。该过程由</w:t>
      </w:r>
      <w:r>
        <w:rPr>
          <w:rFonts w:ascii="仿宋_GB2312" w:hAnsi="仿宋_GB2312" w:eastAsia="仿宋_GB2312" w:cs="仿宋_GB2312"/>
          <w:color w:val="000000"/>
          <w:kern w:val="0"/>
          <w:szCs w:val="28"/>
        </w:rPr>
        <w:t>投标人与评审小组通过电子交易平台交换数据电文的形式进行</w:t>
      </w:r>
      <w:r>
        <w:rPr>
          <w:rFonts w:hint="eastAsia" w:ascii="仿宋_GB2312" w:hAnsi="仿宋_GB2312" w:eastAsia="仿宋_GB2312" w:cs="仿宋_GB2312"/>
          <w:color w:val="000000"/>
          <w:kern w:val="0"/>
          <w:szCs w:val="28"/>
        </w:rPr>
        <w:t>，给予投标人提交澄清说明或补正的时间不少于半小时，投标人已经明确表示澄清说明或补正完毕的除外。</w:t>
      </w:r>
      <w:r>
        <w:rPr>
          <w:rFonts w:ascii="仿宋_GB2312" w:hAnsi="仿宋_GB2312" w:eastAsia="仿宋_GB2312" w:cs="仿宋_GB2312"/>
          <w:color w:val="000000"/>
          <w:kern w:val="0"/>
          <w:szCs w:val="28"/>
        </w:rPr>
        <w:t>澄清说明</w:t>
      </w:r>
      <w:r>
        <w:rPr>
          <w:rFonts w:hint="eastAsia" w:ascii="仿宋_GB2312" w:hAnsi="仿宋_GB2312" w:eastAsia="仿宋_GB2312" w:cs="仿宋_GB2312"/>
          <w:color w:val="000000"/>
          <w:kern w:val="0"/>
          <w:szCs w:val="28"/>
        </w:rPr>
        <w:t>内容</w:t>
      </w:r>
      <w:r>
        <w:rPr>
          <w:rFonts w:ascii="仿宋_GB2312" w:hAnsi="仿宋_GB2312" w:eastAsia="仿宋_GB2312" w:cs="仿宋_GB2312"/>
          <w:color w:val="000000"/>
          <w:kern w:val="0"/>
          <w:szCs w:val="28"/>
        </w:rPr>
        <w:t>不得超出投标文件的范围或者改变投标文件的实质性内容。</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具体操作步骤及要点：</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供应商在“询标澄清-待办理”标签页下选择状态为“待澄清”的项目，点击操作栏【澄清】；</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查看询标函内容，在澄清截止时间前上传澄清文件并对澄清文件进行签章（注：澄清文件必须以 PDF 格式上传，文件大小：50M）；</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签章完成，文件名称处显示“已签章”，供应商可“撤回签章”修改澄清函和“查看文件”；</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 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完成状态：供应商澄清文件提交成功后，在“询标澄清-全部”标签页下显示状态为“已澄清”。</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4.4</w:t>
      </w:r>
      <w:r>
        <w:rPr>
          <w:rFonts w:ascii="仿宋_GB2312" w:hAnsi="仿宋_GB2312" w:eastAsia="仿宋_GB2312" w:cs="仿宋_GB2312"/>
          <w:color w:val="000000"/>
          <w:kern w:val="0"/>
          <w:szCs w:val="28"/>
        </w:rPr>
        <w:t>评审人员需对评审结果进行确认。如发现分值汇总计算错误、分项评分超出评分标准范围、客观评分不一致以及存在评分畸高、畸低情形（其总评分偏离平均分30%以上的）的，应由相关人员当场改正或作出说明；拒不改正又不作说明的，由现场监督员据实记录。</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4.5</w:t>
      </w:r>
      <w:r>
        <w:rPr>
          <w:rFonts w:ascii="仿宋_GB2312" w:hAnsi="仿宋_GB2312" w:eastAsia="仿宋_GB2312" w:cs="仿宋_GB2312"/>
          <w:color w:val="000000"/>
          <w:kern w:val="0"/>
          <w:szCs w:val="28"/>
        </w:rPr>
        <w:t xml:space="preserve">评标委员会根据评审汇总情况和招标文件规定确定中标候选供应商排序名单。 </w:t>
      </w:r>
    </w:p>
    <w:p>
      <w:pPr>
        <w:pStyle w:val="39"/>
        <w:snapToGrid w:val="0"/>
        <w:spacing w:before="120" w:after="120" w:line="360" w:lineRule="auto"/>
        <w:ind w:firstLine="560" w:firstLineChars="200"/>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三</w:t>
      </w:r>
      <w:r>
        <w:rPr>
          <w:rFonts w:ascii="仿宋_GB2312" w:hAnsi="仿宋_GB2312" w:eastAsia="仿宋_GB2312" w:cs="仿宋_GB2312"/>
          <w:color w:val="000000"/>
          <w:kern w:val="0"/>
          <w:szCs w:val="28"/>
        </w:rPr>
        <w:t>、评审原则</w:t>
      </w:r>
    </w:p>
    <w:p>
      <w:pPr>
        <w:pStyle w:val="39"/>
        <w:snapToGrid w:val="0"/>
        <w:spacing w:beforeLines="100" w:afterLines="100" w:line="360" w:lineRule="auto"/>
        <w:ind w:firstLine="560" w:firstLineChars="200"/>
        <w:jc w:val="left"/>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9"/>
        <w:snapToGrid w:val="0"/>
        <w:spacing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9"/>
        <w:snapToGrid w:val="0"/>
        <w:spacing w:before="120" w:after="120" w:line="360" w:lineRule="auto"/>
        <w:ind w:firstLine="548" w:firstLineChars="196"/>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四、废标</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在招标采购中，出现下列情形之一的，应予废标：</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1、符合专业条件的供应商或者对招标文件作实质响应的供应商不足三家的；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2、出现影响采购公正的违法、违规行为的；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3、投标人的报价均超过了采购预算，采购人不能支付的；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4、因重大变故，采购任务取消的。</w:t>
      </w:r>
    </w:p>
    <w:p>
      <w:pPr>
        <w:spacing w:line="360" w:lineRule="auto"/>
        <w:ind w:firstLine="560" w:firstLineChars="200"/>
        <w:outlineLvl w:val="1"/>
        <w:rPr>
          <w:rFonts w:ascii="仿宋_GB2312" w:hAnsi="仿宋_GB2312" w:eastAsia="仿宋_GB2312" w:cs="仿宋_GB2312"/>
          <w:color w:val="000000"/>
          <w:kern w:val="0"/>
          <w:sz w:val="28"/>
          <w:szCs w:val="28"/>
        </w:rPr>
      </w:pPr>
      <w:bookmarkStart w:id="24" w:name="_Toc345423475"/>
      <w:bookmarkStart w:id="25" w:name="_Toc360457886"/>
      <w:r>
        <w:rPr>
          <w:rFonts w:hint="eastAsia" w:ascii="仿宋_GB2312" w:hAnsi="仿宋_GB2312" w:eastAsia="仿宋_GB2312" w:cs="仿宋_GB2312"/>
          <w:color w:val="000000"/>
          <w:kern w:val="0"/>
          <w:sz w:val="28"/>
          <w:szCs w:val="28"/>
        </w:rPr>
        <w:t>五</w:t>
      </w:r>
      <w:r>
        <w:rPr>
          <w:rFonts w:ascii="仿宋_GB2312" w:hAnsi="仿宋_GB2312" w:eastAsia="仿宋_GB2312" w:cs="仿宋_GB2312"/>
          <w:color w:val="000000"/>
          <w:kern w:val="0"/>
          <w:sz w:val="28"/>
          <w:szCs w:val="28"/>
        </w:rPr>
        <w:t>、定标</w:t>
      </w:r>
      <w:bookmarkEnd w:id="24"/>
      <w:bookmarkEnd w:id="25"/>
    </w:p>
    <w:p>
      <w:pPr>
        <w:pStyle w:val="39"/>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1、评标委员会</w:t>
      </w:r>
      <w:r>
        <w:rPr>
          <w:rFonts w:hint="eastAsia" w:ascii="仿宋_GB2312" w:hAnsi="仿宋_GB2312" w:eastAsia="仿宋_GB2312" w:cs="仿宋_GB2312"/>
          <w:color w:val="000000"/>
          <w:kern w:val="0"/>
          <w:szCs w:val="28"/>
        </w:rPr>
        <w:t>依法</w:t>
      </w:r>
      <w:r>
        <w:rPr>
          <w:rFonts w:ascii="仿宋_GB2312" w:hAnsi="仿宋_GB2312" w:eastAsia="仿宋_GB2312" w:cs="仿宋_GB2312"/>
          <w:color w:val="000000"/>
          <w:kern w:val="0"/>
          <w:szCs w:val="28"/>
        </w:rPr>
        <w:t>提出中标候选人排序。</w:t>
      </w:r>
    </w:p>
    <w:p>
      <w:pPr>
        <w:pStyle w:val="39"/>
        <w:snapToGrid w:val="0"/>
        <w:spacing w:line="360" w:lineRule="auto"/>
        <w:ind w:firstLine="560" w:firstLineChars="200"/>
        <w:rPr>
          <w:rFonts w:ascii="仿宋_GB2312" w:hAnsi="仿宋_GB2312" w:eastAsia="仿宋_GB2312" w:cs="仿宋_GB2312"/>
          <w:color w:val="000000"/>
          <w:kern w:val="0"/>
          <w:szCs w:val="28"/>
        </w:rPr>
      </w:pPr>
      <w:r>
        <w:rPr>
          <w:rFonts w:ascii="仿宋_GB2312" w:hAnsi="仿宋_GB2312" w:eastAsia="仿宋_GB2312" w:cs="仿宋_GB2312"/>
          <w:color w:val="000000"/>
          <w:kern w:val="0"/>
          <w:szCs w:val="28"/>
        </w:rPr>
        <w:t xml:space="preserve"> 2、采购人应当自收到评审报告之日起５个工作日内在评审报告推荐的中标候选人中按顺序确定中标供应商</w:t>
      </w:r>
      <w:r>
        <w:rPr>
          <w:rFonts w:hint="eastAsia" w:ascii="仿宋_GB2312" w:hAnsi="仿宋_GB2312" w:eastAsia="仿宋_GB2312" w:cs="仿宋_GB2312"/>
          <w:color w:val="000000"/>
          <w:kern w:val="0"/>
          <w:szCs w:val="28"/>
        </w:rPr>
        <w:t>。</w:t>
      </w:r>
      <w:r>
        <w:rPr>
          <w:rFonts w:ascii="仿宋_GB2312" w:hAnsi="仿宋_GB2312" w:eastAsia="仿宋_GB2312" w:cs="仿宋_GB2312"/>
          <w:color w:val="000000"/>
          <w:kern w:val="0"/>
          <w:szCs w:val="28"/>
        </w:rPr>
        <w:t>采购人在收到评审报告5个工作日内未按评审报告推荐的中标候选人顺序确定中标供应商，又不能说明合法理由的，视同按评审报告推荐的顺序确定排名第一的中标候选人为中标人。</w:t>
      </w:r>
    </w:p>
    <w:p>
      <w:pPr>
        <w:spacing w:line="360" w:lineRule="auto"/>
        <w:ind w:firstLine="560" w:firstLineChars="2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 xml:space="preserve"> 3、招标方将于中标供应商确定之日起2个工作日内在政采云平台</w:t>
      </w:r>
      <w:r>
        <w:rPr>
          <w:rFonts w:hint="eastAsia" w:ascii="仿宋_GB2312" w:hAnsi="仿宋_GB2312" w:eastAsia="仿宋_GB2312" w:cs="仿宋_GB2312"/>
          <w:color w:val="000000"/>
          <w:kern w:val="0"/>
          <w:sz w:val="28"/>
          <w:szCs w:val="28"/>
        </w:rPr>
        <w:t>发出</w:t>
      </w:r>
      <w:r>
        <w:rPr>
          <w:rFonts w:ascii="仿宋_GB2312" w:hAnsi="仿宋_GB2312" w:eastAsia="仿宋_GB2312" w:cs="仿宋_GB2312"/>
          <w:color w:val="000000"/>
          <w:kern w:val="0"/>
          <w:sz w:val="28"/>
          <w:szCs w:val="28"/>
        </w:rPr>
        <w:t>中标通知书</w:t>
      </w:r>
      <w:r>
        <w:rPr>
          <w:rFonts w:hint="eastAsia" w:ascii="仿宋_GB2312" w:hAnsi="仿宋_GB2312" w:eastAsia="仿宋_GB2312" w:cs="仿宋_GB2312"/>
          <w:color w:val="000000"/>
          <w:kern w:val="0"/>
          <w:sz w:val="28"/>
          <w:szCs w:val="28"/>
        </w:rPr>
        <w:t>，并</w:t>
      </w:r>
      <w:r>
        <w:rPr>
          <w:rFonts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rPr>
        <w:t>浙江政府采购网</w:t>
      </w:r>
      <w:r>
        <w:rPr>
          <w:rFonts w:ascii="仿宋_GB2312" w:hAnsi="仿宋_GB2312" w:eastAsia="仿宋_GB2312" w:cs="仿宋_GB2312"/>
          <w:color w:val="000000"/>
          <w:kern w:val="0"/>
          <w:sz w:val="28"/>
          <w:szCs w:val="28"/>
        </w:rPr>
        <w:t>和</w:t>
      </w:r>
      <w:r>
        <w:rPr>
          <w:rFonts w:hint="eastAsia" w:ascii="仿宋_GB2312" w:hAnsi="仿宋_GB2312" w:eastAsia="仿宋_GB2312" w:cs="仿宋_GB2312"/>
          <w:color w:val="000000"/>
          <w:kern w:val="0"/>
          <w:sz w:val="28"/>
          <w:szCs w:val="28"/>
          <w:lang w:eastAsia="zh-CN"/>
        </w:rPr>
        <w:t>宁波市政务服务办公室-宁波市公共资源交易电子服务系统（慈溪）</w:t>
      </w:r>
      <w:r>
        <w:rPr>
          <w:rFonts w:ascii="仿宋_GB2312" w:hAnsi="仿宋_GB2312" w:eastAsia="仿宋_GB2312" w:cs="仿宋_GB2312"/>
          <w:color w:val="000000"/>
          <w:kern w:val="0"/>
          <w:sz w:val="28"/>
          <w:szCs w:val="28"/>
        </w:rPr>
        <w:t>发布中标公告。中标人</w:t>
      </w:r>
      <w:r>
        <w:rPr>
          <w:rFonts w:hint="eastAsia" w:ascii="仿宋_GB2312" w:hAnsi="仿宋_GB2312" w:eastAsia="仿宋_GB2312" w:cs="仿宋_GB2312"/>
          <w:color w:val="000000"/>
          <w:kern w:val="0"/>
          <w:sz w:val="28"/>
          <w:szCs w:val="28"/>
        </w:rPr>
        <w:t>自行登录政采云平台</w:t>
      </w:r>
      <w:r>
        <w:rPr>
          <w:rFonts w:ascii="仿宋_GB2312" w:hAnsi="仿宋_GB2312" w:eastAsia="仿宋_GB2312" w:cs="仿宋_GB2312"/>
          <w:color w:val="000000"/>
          <w:kern w:val="0"/>
          <w:sz w:val="28"/>
          <w:szCs w:val="28"/>
        </w:rPr>
        <w:t>获取中标通知书</w:t>
      </w:r>
      <w:r>
        <w:rPr>
          <w:rFonts w:hint="eastAsia" w:ascii="仿宋_GB2312" w:hAnsi="仿宋_GB2312" w:eastAsia="仿宋_GB2312" w:cs="仿宋_GB2312"/>
          <w:color w:val="000000"/>
          <w:kern w:val="0"/>
          <w:sz w:val="28"/>
          <w:szCs w:val="28"/>
        </w:rPr>
        <w:t>，并于</w:t>
      </w:r>
      <w:r>
        <w:rPr>
          <w:rFonts w:ascii="仿宋_GB2312" w:hAnsi="仿宋_GB2312" w:eastAsia="仿宋_GB2312" w:cs="仿宋_GB2312"/>
          <w:color w:val="000000"/>
          <w:kern w:val="0"/>
          <w:sz w:val="28"/>
          <w:szCs w:val="28"/>
        </w:rPr>
        <w:t>中标通知书</w:t>
      </w:r>
      <w:r>
        <w:rPr>
          <w:rFonts w:hint="eastAsia" w:ascii="仿宋_GB2312" w:hAnsi="仿宋_GB2312" w:eastAsia="仿宋_GB2312" w:cs="仿宋_GB2312"/>
          <w:color w:val="000000"/>
          <w:kern w:val="0"/>
          <w:sz w:val="28"/>
          <w:szCs w:val="28"/>
        </w:rPr>
        <w:t>发出之日起三十</w:t>
      </w:r>
      <w:r>
        <w:rPr>
          <w:rFonts w:ascii="仿宋_GB2312" w:hAnsi="仿宋_GB2312" w:eastAsia="仿宋_GB2312" w:cs="仿宋_GB2312"/>
          <w:color w:val="000000"/>
          <w:kern w:val="0"/>
          <w:sz w:val="28"/>
          <w:szCs w:val="28"/>
        </w:rPr>
        <w:t>日内与采购人签订合同。</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中标通知书发出后，若中标人无故放弃中标，须承担相应的法律责任，中标通知书对采购人和中标人具有同等法律效力。</w:t>
      </w: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五</w:t>
      </w:r>
      <w:r>
        <w:rPr>
          <w:rFonts w:ascii="仿宋_GB2312" w:hAnsi="仿宋_GB2312" w:eastAsia="仿宋_GB2312" w:cs="仿宋_GB2312"/>
          <w:color w:val="000000"/>
          <w:kern w:val="0"/>
          <w:sz w:val="36"/>
          <w:szCs w:val="36"/>
        </w:rPr>
        <w:t>部分   评标办法及评分标准</w:t>
      </w:r>
    </w:p>
    <w:p>
      <w:pPr>
        <w:autoSpaceDE w:val="0"/>
        <w:autoSpaceDN w:val="0"/>
        <w:adjustRightInd w:val="0"/>
        <w:spacing w:line="360" w:lineRule="auto"/>
        <w:jc w:val="center"/>
        <w:outlineLvl w:val="0"/>
        <w:rPr>
          <w:rFonts w:ascii="仿宋_GB2312" w:hAnsi="仿宋_GB2312" w:eastAsia="仿宋_GB2312" w:cs="仿宋_GB2312"/>
          <w:color w:val="000000"/>
          <w:kern w:val="0"/>
          <w:sz w:val="28"/>
          <w:szCs w:val="28"/>
        </w:rPr>
      </w:pP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根据《中华人民共和国政府采购法》等有关法律法规，结合本项目的实际需求，制定本办法。</w:t>
      </w:r>
    </w:p>
    <w:p>
      <w:pPr>
        <w:spacing w:beforeLines="50" w:afterLines="50"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一、总则</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beforeLines="50" w:afterLines="50" w:line="360" w:lineRule="auto"/>
        <w:ind w:firstLine="548" w:firstLineChars="196"/>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二、分值的计算</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技术、商务及其他分按照评标委员会成员的独立评分结果汇总后的算术平均分计算，计算公式为：</w:t>
      </w:r>
    </w:p>
    <w:p>
      <w:pPr>
        <w:spacing w:beforeLines="50" w:afterLines="50" w:line="360" w:lineRule="auto"/>
        <w:ind w:firstLine="495"/>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技术、商务及其他分=评标委员会所有成员评分合计数/评标委员会组成人员数</w:t>
      </w:r>
    </w:p>
    <w:p>
      <w:pPr>
        <w:spacing w:beforeLines="50" w:afterLines="50"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投标人评标综合得分=价格分+(技术分+商务及其他分)</w:t>
      </w:r>
    </w:p>
    <w:p>
      <w:pPr>
        <w:spacing w:line="360" w:lineRule="auto"/>
        <w:outlineLvl w:val="1"/>
        <w:rPr>
          <w:rFonts w:ascii="仿宋_GB2312" w:hAnsi="仿宋_GB2312" w:eastAsia="仿宋_GB2312" w:cs="仿宋_GB2312"/>
          <w:color w:val="000000"/>
          <w:kern w:val="0"/>
          <w:sz w:val="32"/>
          <w:szCs w:val="32"/>
        </w:rPr>
      </w:pPr>
    </w:p>
    <w:p>
      <w:pPr>
        <w:pStyle w:val="5"/>
        <w:keepNext w:val="0"/>
        <w:keepLines w:val="0"/>
      </w:pPr>
    </w:p>
    <w:p>
      <w:pPr>
        <w:spacing w:line="360" w:lineRule="auto"/>
        <w:jc w:val="center"/>
        <w:outlineLvl w:val="1"/>
        <w:rPr>
          <w:rFonts w:ascii="仿宋_GB2312" w:hAnsi="仿宋_GB2312" w:eastAsia="仿宋_GB2312" w:cs="仿宋_GB2312"/>
          <w:color w:val="000000"/>
          <w:kern w:val="0"/>
          <w:sz w:val="32"/>
          <w:szCs w:val="32"/>
        </w:rPr>
      </w:pPr>
    </w:p>
    <w:p>
      <w:pPr>
        <w:spacing w:line="360" w:lineRule="auto"/>
        <w:jc w:val="center"/>
        <w:outlineLvl w:val="1"/>
        <w:rPr>
          <w:rFonts w:ascii="仿宋_GB2312" w:hAnsi="仿宋_GB2312" w:eastAsia="仿宋_GB2312" w:cs="仿宋_GB2312"/>
          <w:color w:val="000000"/>
          <w:kern w:val="0"/>
          <w:sz w:val="32"/>
          <w:szCs w:val="32"/>
          <w:highlight w:val="none"/>
        </w:rPr>
      </w:pPr>
      <w:r>
        <w:rPr>
          <w:rFonts w:ascii="仿宋_GB2312" w:hAnsi="仿宋_GB2312" w:eastAsia="仿宋_GB2312" w:cs="仿宋_GB2312"/>
          <w:color w:val="000000"/>
          <w:kern w:val="0"/>
          <w:sz w:val="32"/>
          <w:szCs w:val="32"/>
          <w:highlight w:val="none"/>
        </w:rPr>
        <w:t>评分标准表</w:t>
      </w:r>
      <w:r>
        <w:rPr>
          <w:rFonts w:hint="eastAsia" w:ascii="仿宋_GB2312" w:hAnsi="仿宋_GB2312" w:eastAsia="仿宋_GB2312" w:cs="仿宋_GB2312"/>
          <w:color w:val="000000"/>
          <w:kern w:val="0"/>
          <w:sz w:val="32"/>
          <w:szCs w:val="32"/>
        </w:rPr>
        <w:t>（各标段通用）</w:t>
      </w:r>
    </w:p>
    <w:p>
      <w:pPr>
        <w:spacing w:line="360" w:lineRule="auto"/>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招标编号：</w:t>
      </w:r>
      <w:r>
        <w:rPr>
          <w:rFonts w:hint="eastAsia" w:ascii="仿宋_GB2312" w:hAnsi="仿宋_GB2312" w:eastAsia="仿宋_GB2312" w:cs="仿宋_GB2312"/>
          <w:color w:val="auto"/>
          <w:kern w:val="0"/>
          <w:sz w:val="24"/>
          <w:highlight w:val="none"/>
          <w:lang w:eastAsia="zh-CN"/>
        </w:rPr>
        <w:t>NBCXZFCG2024008</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rPr>
        <w:t xml:space="preserve">               </w:t>
      </w:r>
      <w:r>
        <w:rPr>
          <w:rFonts w:ascii="仿宋_GB2312" w:hAnsi="仿宋_GB2312" w:eastAsia="仿宋_GB2312" w:cs="仿宋_GB2312"/>
          <w:color w:val="000000"/>
          <w:kern w:val="0"/>
          <w:sz w:val="24"/>
        </w:rPr>
        <w:t>总分：100分</w:t>
      </w:r>
    </w:p>
    <w:tbl>
      <w:tblPr>
        <w:tblStyle w:val="67"/>
        <w:tblW w:w="515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9"/>
        <w:gridCol w:w="750"/>
        <w:gridCol w:w="925"/>
        <w:gridCol w:w="66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5" w:type="pct"/>
            <w:tcBorders>
              <w:top w:val="single" w:color="auto" w:sz="12" w:space="0"/>
              <w:left w:val="single" w:color="auto" w:sz="12" w:space="0"/>
              <w:bottom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序号</w:t>
            </w:r>
          </w:p>
        </w:tc>
        <w:tc>
          <w:tcPr>
            <w:tcW w:w="426" w:type="pct"/>
            <w:tcBorders>
              <w:top w:val="single" w:color="auto" w:sz="12" w:space="0"/>
              <w:left w:val="single" w:color="auto" w:sz="4" w:space="0"/>
              <w:bottom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评分内容</w:t>
            </w:r>
          </w:p>
        </w:tc>
        <w:tc>
          <w:tcPr>
            <w:tcW w:w="526" w:type="pct"/>
            <w:tcBorders>
              <w:top w:val="single" w:color="auto" w:sz="12" w:space="0"/>
              <w:left w:val="single" w:color="auto" w:sz="4" w:space="0"/>
              <w:bottom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分值（分）</w:t>
            </w:r>
          </w:p>
        </w:tc>
        <w:tc>
          <w:tcPr>
            <w:tcW w:w="3790" w:type="pct"/>
            <w:tcBorders>
              <w:top w:val="single" w:color="auto" w:sz="12" w:space="0"/>
              <w:left w:val="single" w:color="auto" w:sz="4" w:space="0"/>
              <w:bottom w:val="single" w:color="auto" w:sz="12" w:space="0"/>
              <w:right w:val="single" w:color="auto" w:sz="12" w:space="0"/>
            </w:tcBorders>
            <w:noWrap/>
            <w:vAlign w:val="center"/>
          </w:tcPr>
          <w:p>
            <w:pPr>
              <w:widowControl/>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评分标准说明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5" w:type="pct"/>
            <w:tcBorders>
              <w:top w:val="single" w:color="auto" w:sz="12" w:space="0"/>
              <w:left w:val="single" w:color="auto" w:sz="12" w:space="0"/>
              <w:bottom w:val="single" w:color="auto" w:sz="4"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p>
        </w:tc>
        <w:tc>
          <w:tcPr>
            <w:tcW w:w="426" w:type="pct"/>
            <w:tcBorders>
              <w:top w:val="single" w:color="auto" w:sz="12" w:space="0"/>
              <w:left w:val="single" w:color="auto" w:sz="4" w:space="0"/>
              <w:bottom w:val="single" w:color="auto" w:sz="4" w:space="0"/>
              <w:right w:val="single" w:color="auto" w:sz="4" w:space="0"/>
            </w:tcBorders>
            <w:noWrap/>
            <w:vAlign w:val="center"/>
          </w:tcPr>
          <w:p>
            <w:pPr>
              <w:spacing w:line="360" w:lineRule="auto"/>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投标报价</w:t>
            </w:r>
          </w:p>
        </w:tc>
        <w:tc>
          <w:tcPr>
            <w:tcW w:w="526" w:type="pct"/>
            <w:tcBorders>
              <w:top w:val="single" w:color="auto" w:sz="12" w:space="0"/>
              <w:left w:val="single" w:color="auto" w:sz="4" w:space="0"/>
              <w:bottom w:val="single" w:color="auto" w:sz="4" w:space="0"/>
              <w:right w:val="single" w:color="auto" w:sz="4" w:space="0"/>
            </w:tcBorders>
            <w:noWrap/>
            <w:vAlign w:val="center"/>
          </w:tcPr>
          <w:p>
            <w:pPr>
              <w:spacing w:line="360"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30</w:t>
            </w:r>
          </w:p>
        </w:tc>
        <w:tc>
          <w:tcPr>
            <w:tcW w:w="3790" w:type="pct"/>
            <w:tcBorders>
              <w:top w:val="single" w:color="auto" w:sz="12" w:space="0"/>
              <w:left w:val="single" w:color="auto" w:sz="4" w:space="0"/>
              <w:bottom w:val="single" w:color="auto" w:sz="4" w:space="0"/>
              <w:right w:val="single" w:color="auto" w:sz="12" w:space="0"/>
            </w:tcBorders>
            <w:noWrap/>
            <w:vAlign w:val="center"/>
          </w:tcPr>
          <w:p>
            <w:pPr>
              <w:spacing w:line="276" w:lineRule="auto"/>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有效投标报价的最低价作为评标基准价，其最低报价为满分；按照［投标报价得分=（评标基准价/投标报价）*价格权值*100］的计算公式计算；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5" w:type="pct"/>
            <w:vMerge w:val="restart"/>
            <w:tcBorders>
              <w:left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426" w:type="pct"/>
            <w:vMerge w:val="restart"/>
            <w:tcBorders>
              <w:left w:val="single" w:color="auto" w:sz="4" w:space="0"/>
              <w:right w:val="single" w:color="auto" w:sz="4" w:space="0"/>
            </w:tcBorders>
            <w:noWrap/>
            <w:vAlign w:val="center"/>
          </w:tcPr>
          <w:p>
            <w:pPr>
              <w:spacing w:line="36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师资安排方案</w:t>
            </w:r>
          </w:p>
        </w:tc>
        <w:tc>
          <w:tcPr>
            <w:tcW w:w="526" w:type="pct"/>
            <w:vMerge w:val="restart"/>
            <w:tcBorders>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w:t>
            </w:r>
          </w:p>
        </w:tc>
        <w:tc>
          <w:tcPr>
            <w:tcW w:w="3790" w:type="pct"/>
            <w:tcBorders>
              <w:top w:val="single" w:color="auto" w:sz="4" w:space="0"/>
              <w:left w:val="single" w:color="auto" w:sz="4" w:space="0"/>
              <w:bottom w:val="single" w:color="auto" w:sz="4" w:space="0"/>
              <w:right w:val="single" w:color="auto" w:sz="12" w:space="0"/>
            </w:tcBorders>
            <w:noWrap/>
            <w:vAlign w:val="center"/>
          </w:tcPr>
          <w:p>
            <w:pPr>
              <w:spacing w:line="400" w:lineRule="exact"/>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授课教师的资历、学识、经验：（7分）</w:t>
            </w:r>
          </w:p>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授课教师资历深、专业技能扎实、学识渊博、具有实践经验的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得7分；</w:t>
            </w:r>
          </w:p>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授课教师的资历、专业知识、实践经验基本能满足招标需求的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得5分；</w:t>
            </w:r>
          </w:p>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授课教师的资历、专业知识、实践经验存在缺陷的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得3分。</w:t>
            </w:r>
          </w:p>
          <w:p>
            <w:pPr>
              <w:pStyle w:val="2"/>
              <w:ind w:left="0" w:leftChars="0" w:firstLine="0" w:firstLineChars="0"/>
              <w:rPr>
                <w:rFonts w:hint="eastAsia" w:eastAsia="仿宋"/>
                <w:highlight w:val="none"/>
                <w:lang w:eastAsia="zh-CN"/>
              </w:rPr>
            </w:pPr>
            <w:r>
              <w:rPr>
                <w:rFonts w:hint="eastAsia" w:ascii="仿宋" w:hAnsi="仿宋" w:eastAsia="仿宋" w:cs="仿宋"/>
                <w:sz w:val="21"/>
                <w:szCs w:val="21"/>
                <w:highlight w:val="none"/>
                <w:lang w:eastAsia="zh-CN"/>
              </w:rPr>
              <w:t>注：提供实践经验相关的证明材料（如：甲方证明、证书、合同等）</w:t>
            </w:r>
            <w:r>
              <w:rPr>
                <w:rFonts w:hint="eastAsia" w:ascii="仿宋" w:hAnsi="仿宋" w:eastAsia="仿宋" w:cs="仿宋"/>
                <w:sz w:val="21"/>
                <w:szCs w:val="21"/>
                <w:highlight w:val="none"/>
              </w:rPr>
              <w:t>，不提供的不得分。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255" w:type="pct"/>
            <w:vMerge w:val="continue"/>
            <w:tcBorders>
              <w:left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p>
        </w:tc>
        <w:tc>
          <w:tcPr>
            <w:tcW w:w="426" w:type="pct"/>
            <w:vMerge w:val="continue"/>
            <w:tcBorders>
              <w:left w:val="single" w:color="auto" w:sz="4" w:space="0"/>
              <w:right w:val="single" w:color="auto" w:sz="4" w:space="0"/>
            </w:tcBorders>
            <w:noWrap/>
            <w:vAlign w:val="center"/>
          </w:tcPr>
          <w:p>
            <w:pPr>
              <w:spacing w:line="360" w:lineRule="auto"/>
              <w:rPr>
                <w:rFonts w:hint="eastAsia" w:ascii="仿宋" w:hAnsi="仿宋" w:eastAsia="仿宋" w:cs="仿宋"/>
                <w:color w:val="000000"/>
                <w:kern w:val="0"/>
                <w:sz w:val="21"/>
                <w:szCs w:val="21"/>
              </w:rPr>
            </w:pPr>
          </w:p>
        </w:tc>
        <w:tc>
          <w:tcPr>
            <w:tcW w:w="526" w:type="pct"/>
            <w:vMerge w:val="continue"/>
            <w:tcBorders>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p>
        </w:tc>
        <w:tc>
          <w:tcPr>
            <w:tcW w:w="3790" w:type="pct"/>
            <w:tcBorders>
              <w:top w:val="single" w:color="auto" w:sz="4" w:space="0"/>
              <w:left w:val="single" w:color="auto" w:sz="4" w:space="0"/>
              <w:bottom w:val="single" w:color="auto" w:sz="4" w:space="0"/>
              <w:right w:val="single" w:color="auto" w:sz="12" w:space="0"/>
            </w:tcBorders>
            <w:noWrap/>
            <w:vAlign w:val="center"/>
          </w:tcPr>
          <w:p>
            <w:pPr>
              <w:spacing w:line="400" w:lineRule="exact"/>
              <w:rPr>
                <w:rFonts w:hint="eastAsia" w:ascii="仿宋" w:hAnsi="仿宋" w:eastAsia="仿宋" w:cs="仿宋"/>
                <w:b/>
                <w:bCs w:val="0"/>
                <w:sz w:val="21"/>
                <w:szCs w:val="21"/>
                <w:highlight w:val="none"/>
              </w:rPr>
            </w:pPr>
            <w:r>
              <w:rPr>
                <w:rFonts w:hint="eastAsia" w:ascii="仿宋" w:hAnsi="仿宋" w:eastAsia="仿宋" w:cs="仿宋"/>
                <w:b/>
                <w:bCs w:val="0"/>
                <w:sz w:val="21"/>
                <w:szCs w:val="21"/>
                <w:highlight w:val="none"/>
              </w:rPr>
              <w:t>授课教师的</w:t>
            </w:r>
            <w:r>
              <w:rPr>
                <w:rFonts w:hint="eastAsia" w:ascii="仿宋" w:hAnsi="仿宋" w:eastAsia="仿宋" w:cs="仿宋"/>
                <w:b/>
                <w:bCs w:val="0"/>
                <w:sz w:val="21"/>
                <w:szCs w:val="21"/>
                <w:highlight w:val="none"/>
                <w:lang w:eastAsia="zh-CN"/>
              </w:rPr>
              <w:t>职称水平、专业能力</w:t>
            </w:r>
            <w:r>
              <w:rPr>
                <w:rFonts w:hint="eastAsia" w:ascii="仿宋" w:hAnsi="仿宋" w:eastAsia="仿宋" w:cs="仿宋"/>
                <w:b/>
                <w:bCs w:val="0"/>
                <w:sz w:val="21"/>
                <w:szCs w:val="21"/>
                <w:highlight w:val="none"/>
              </w:rPr>
              <w:t>：（7分）</w:t>
            </w:r>
          </w:p>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授课教师</w:t>
            </w:r>
            <w:r>
              <w:rPr>
                <w:rFonts w:hint="eastAsia" w:ascii="仿宋" w:hAnsi="仿宋" w:eastAsia="仿宋" w:cs="仿宋"/>
                <w:sz w:val="21"/>
                <w:szCs w:val="21"/>
                <w:highlight w:val="none"/>
                <w:lang w:eastAsia="zh-CN"/>
              </w:rPr>
              <w:t>为副高级及以上职称</w:t>
            </w:r>
            <w:r>
              <w:rPr>
                <w:rFonts w:hint="eastAsia" w:ascii="仿宋" w:hAnsi="仿宋" w:eastAsia="仿宋" w:cs="仿宋"/>
                <w:sz w:val="21"/>
                <w:szCs w:val="21"/>
                <w:highlight w:val="none"/>
              </w:rPr>
              <w:t>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得7分；</w:t>
            </w:r>
          </w:p>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授课教师</w:t>
            </w:r>
            <w:r>
              <w:rPr>
                <w:rFonts w:hint="eastAsia" w:ascii="仿宋" w:hAnsi="仿宋" w:eastAsia="仿宋" w:cs="仿宋"/>
                <w:sz w:val="21"/>
                <w:szCs w:val="21"/>
                <w:highlight w:val="none"/>
                <w:lang w:eastAsia="zh-CN"/>
              </w:rPr>
              <w:t>为中级职称的，</w:t>
            </w:r>
            <w:r>
              <w:rPr>
                <w:rFonts w:hint="eastAsia" w:ascii="仿宋" w:hAnsi="仿宋" w:eastAsia="仿宋" w:cs="仿宋"/>
                <w:sz w:val="21"/>
                <w:szCs w:val="21"/>
                <w:highlight w:val="none"/>
              </w:rPr>
              <w:t>得5分；</w:t>
            </w:r>
          </w:p>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授课教师</w:t>
            </w:r>
            <w:r>
              <w:rPr>
                <w:rFonts w:hint="eastAsia" w:ascii="仿宋" w:hAnsi="仿宋" w:eastAsia="仿宋" w:cs="仿宋"/>
                <w:sz w:val="21"/>
                <w:szCs w:val="21"/>
                <w:highlight w:val="none"/>
                <w:lang w:eastAsia="zh-CN"/>
              </w:rPr>
              <w:t>整体优秀，但无职称的，</w:t>
            </w:r>
            <w:r>
              <w:rPr>
                <w:rFonts w:hint="eastAsia" w:ascii="仿宋" w:hAnsi="仿宋" w:eastAsia="仿宋" w:cs="仿宋"/>
                <w:sz w:val="21"/>
                <w:szCs w:val="21"/>
                <w:highlight w:val="none"/>
              </w:rPr>
              <w:t>得3分。</w:t>
            </w:r>
          </w:p>
          <w:p>
            <w:pPr>
              <w:pStyle w:val="2"/>
              <w:ind w:left="0" w:leftChars="0" w:firstLine="0" w:firstLineChars="0"/>
              <w:rPr>
                <w:rFonts w:hint="eastAsia" w:eastAsia="仿宋"/>
                <w:highlight w:val="none"/>
                <w:lang w:eastAsia="zh-CN"/>
              </w:rPr>
            </w:pPr>
            <w:r>
              <w:rPr>
                <w:rFonts w:hint="eastAsia" w:ascii="仿宋" w:hAnsi="仿宋" w:eastAsia="仿宋" w:cs="仿宋"/>
                <w:sz w:val="21"/>
                <w:szCs w:val="21"/>
                <w:highlight w:val="none"/>
                <w:lang w:eastAsia="zh-CN"/>
              </w:rPr>
              <w:t>注：提供相关的证明材料（如：职称证书、其他证书、证明等）</w:t>
            </w:r>
            <w:r>
              <w:rPr>
                <w:rFonts w:hint="eastAsia" w:ascii="仿宋" w:hAnsi="仿宋" w:eastAsia="仿宋" w:cs="仿宋"/>
                <w:sz w:val="21"/>
                <w:szCs w:val="21"/>
                <w:highlight w:val="none"/>
              </w:rPr>
              <w:t>，不提供的不得分。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255" w:type="pct"/>
            <w:vMerge w:val="continue"/>
            <w:tcBorders>
              <w:left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p>
        </w:tc>
        <w:tc>
          <w:tcPr>
            <w:tcW w:w="426" w:type="pct"/>
            <w:vMerge w:val="continue"/>
            <w:tcBorders>
              <w:left w:val="single" w:color="auto" w:sz="4" w:space="0"/>
              <w:right w:val="single" w:color="auto" w:sz="4" w:space="0"/>
            </w:tcBorders>
            <w:noWrap/>
            <w:vAlign w:val="center"/>
          </w:tcPr>
          <w:p>
            <w:pPr>
              <w:spacing w:line="360" w:lineRule="auto"/>
              <w:rPr>
                <w:rFonts w:hint="eastAsia" w:ascii="仿宋" w:hAnsi="仿宋" w:eastAsia="仿宋" w:cs="仿宋"/>
                <w:color w:val="000000"/>
                <w:kern w:val="0"/>
                <w:sz w:val="21"/>
                <w:szCs w:val="21"/>
              </w:rPr>
            </w:pPr>
          </w:p>
        </w:tc>
        <w:tc>
          <w:tcPr>
            <w:tcW w:w="526" w:type="pct"/>
            <w:vMerge w:val="continue"/>
            <w:tcBorders>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p>
        </w:tc>
        <w:tc>
          <w:tcPr>
            <w:tcW w:w="3790" w:type="pct"/>
            <w:tcBorders>
              <w:top w:val="single" w:color="auto" w:sz="4" w:space="0"/>
              <w:left w:val="single" w:color="auto" w:sz="4" w:space="0"/>
              <w:bottom w:val="single" w:color="auto" w:sz="4" w:space="0"/>
              <w:right w:val="single" w:color="auto" w:sz="12" w:space="0"/>
            </w:tcBorders>
            <w:noWrap/>
            <w:vAlign w:val="center"/>
          </w:tcPr>
          <w:p>
            <w:pPr>
              <w:spacing w:line="400" w:lineRule="exact"/>
              <w:rPr>
                <w:rFonts w:hint="eastAsia" w:ascii="仿宋" w:hAnsi="仿宋" w:eastAsia="仿宋" w:cs="仿宋"/>
                <w:b/>
                <w:bCs w:val="0"/>
                <w:sz w:val="21"/>
                <w:szCs w:val="21"/>
                <w:highlight w:val="none"/>
                <w:lang w:eastAsia="zh-CN"/>
              </w:rPr>
            </w:pPr>
            <w:r>
              <w:rPr>
                <w:rFonts w:hint="eastAsia" w:ascii="仿宋" w:hAnsi="仿宋" w:eastAsia="仿宋" w:cs="仿宋"/>
                <w:b/>
                <w:bCs w:val="0"/>
                <w:sz w:val="21"/>
                <w:szCs w:val="21"/>
                <w:highlight w:val="none"/>
                <w:lang w:val="en-US" w:eastAsia="zh-CN"/>
              </w:rPr>
              <w:t>授课教师与培训课程匹配度</w:t>
            </w:r>
            <w:r>
              <w:rPr>
                <w:rFonts w:hint="eastAsia" w:ascii="仿宋" w:hAnsi="仿宋" w:eastAsia="仿宋" w:cs="仿宋"/>
                <w:b/>
                <w:bCs w:val="0"/>
                <w:sz w:val="21"/>
                <w:szCs w:val="21"/>
                <w:highlight w:val="none"/>
                <w:lang w:eastAsia="zh-CN"/>
              </w:rPr>
              <w:t>：（7分）</w:t>
            </w:r>
          </w:p>
          <w:p>
            <w:pPr>
              <w:spacing w:line="276" w:lineRule="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授课教师在</w:t>
            </w:r>
            <w:r>
              <w:rPr>
                <w:rFonts w:hint="eastAsia" w:ascii="仿宋" w:hAnsi="仿宋" w:eastAsia="仿宋" w:cs="仿宋"/>
                <w:color w:val="000000"/>
                <w:kern w:val="0"/>
                <w:sz w:val="21"/>
                <w:szCs w:val="21"/>
                <w:highlight w:val="none"/>
                <w:lang w:eastAsia="zh-CN"/>
              </w:rPr>
              <w:t>核心期刊上发表过</w:t>
            </w:r>
            <w:r>
              <w:rPr>
                <w:rFonts w:hint="eastAsia" w:ascii="仿宋" w:hAnsi="仿宋" w:eastAsia="仿宋" w:cs="仿宋"/>
                <w:color w:val="000000"/>
                <w:kern w:val="0"/>
                <w:sz w:val="21"/>
                <w:szCs w:val="21"/>
                <w:highlight w:val="none"/>
                <w:lang w:val="en-US" w:eastAsia="zh-CN"/>
              </w:rPr>
              <w:t>3篇及以上论文或出版过2本及以上专著</w:t>
            </w:r>
            <w:r>
              <w:rPr>
                <w:rFonts w:hint="eastAsia" w:ascii="仿宋" w:hAnsi="仿宋" w:eastAsia="仿宋" w:cs="仿宋"/>
                <w:color w:val="000000"/>
                <w:kern w:val="0"/>
                <w:sz w:val="21"/>
                <w:szCs w:val="21"/>
                <w:highlight w:val="none"/>
                <w:lang w:eastAsia="zh-CN"/>
              </w:rPr>
              <w:t>的，</w:t>
            </w:r>
            <w:r>
              <w:rPr>
                <w:rFonts w:hint="eastAsia" w:ascii="仿宋" w:hAnsi="仿宋" w:eastAsia="仿宋" w:cs="仿宋"/>
                <w:color w:val="000000"/>
                <w:kern w:val="0"/>
                <w:sz w:val="21"/>
                <w:szCs w:val="21"/>
                <w:highlight w:val="none"/>
              </w:rPr>
              <w:t>得7分；</w:t>
            </w:r>
          </w:p>
          <w:p>
            <w:pPr>
              <w:spacing w:line="276" w:lineRule="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授课教师在</w:t>
            </w:r>
            <w:r>
              <w:rPr>
                <w:rFonts w:hint="eastAsia" w:ascii="仿宋" w:hAnsi="仿宋" w:eastAsia="仿宋" w:cs="仿宋"/>
                <w:color w:val="000000"/>
                <w:kern w:val="0"/>
                <w:sz w:val="21"/>
                <w:szCs w:val="21"/>
                <w:highlight w:val="none"/>
                <w:lang w:eastAsia="zh-CN"/>
              </w:rPr>
              <w:t>核心期刊上发表过</w:t>
            </w:r>
            <w:r>
              <w:rPr>
                <w:rFonts w:hint="eastAsia" w:ascii="仿宋" w:hAnsi="仿宋" w:eastAsia="仿宋" w:cs="仿宋"/>
                <w:color w:val="000000"/>
                <w:kern w:val="0"/>
                <w:sz w:val="21"/>
                <w:szCs w:val="21"/>
                <w:highlight w:val="none"/>
                <w:lang w:val="en-US" w:eastAsia="zh-CN"/>
              </w:rPr>
              <w:t>2篇论文或出版过1本专著</w:t>
            </w:r>
            <w:r>
              <w:rPr>
                <w:rFonts w:hint="eastAsia" w:ascii="仿宋" w:hAnsi="仿宋" w:eastAsia="仿宋" w:cs="仿宋"/>
                <w:color w:val="000000"/>
                <w:kern w:val="0"/>
                <w:sz w:val="21"/>
                <w:szCs w:val="21"/>
                <w:highlight w:val="none"/>
                <w:lang w:eastAsia="zh-CN"/>
              </w:rPr>
              <w:t>的，</w:t>
            </w:r>
            <w:r>
              <w:rPr>
                <w:rFonts w:hint="eastAsia" w:ascii="仿宋" w:hAnsi="仿宋" w:eastAsia="仿宋" w:cs="仿宋"/>
                <w:color w:val="000000"/>
                <w:kern w:val="0"/>
                <w:sz w:val="21"/>
                <w:szCs w:val="21"/>
                <w:highlight w:val="none"/>
              </w:rPr>
              <w:t>得</w:t>
            </w:r>
            <w:r>
              <w:rPr>
                <w:rFonts w:hint="eastAsia" w:ascii="仿宋" w:hAnsi="仿宋" w:eastAsia="仿宋" w:cs="仿宋"/>
                <w:color w:val="000000"/>
                <w:kern w:val="0"/>
                <w:sz w:val="21"/>
                <w:szCs w:val="21"/>
                <w:highlight w:val="none"/>
                <w:lang w:val="en-US" w:eastAsia="zh-CN"/>
              </w:rPr>
              <w:t>5</w:t>
            </w:r>
            <w:r>
              <w:rPr>
                <w:rFonts w:hint="eastAsia" w:ascii="仿宋" w:hAnsi="仿宋" w:eastAsia="仿宋" w:cs="仿宋"/>
                <w:color w:val="000000"/>
                <w:kern w:val="0"/>
                <w:sz w:val="21"/>
                <w:szCs w:val="21"/>
                <w:highlight w:val="none"/>
              </w:rPr>
              <w:t>分；</w:t>
            </w:r>
          </w:p>
          <w:p>
            <w:pPr>
              <w:spacing w:line="276" w:lineRule="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rPr>
              <w:t>授课教师在</w:t>
            </w:r>
            <w:r>
              <w:rPr>
                <w:rFonts w:hint="eastAsia" w:ascii="仿宋" w:hAnsi="仿宋" w:eastAsia="仿宋" w:cs="仿宋"/>
                <w:color w:val="000000"/>
                <w:kern w:val="0"/>
                <w:sz w:val="21"/>
                <w:szCs w:val="21"/>
                <w:highlight w:val="none"/>
                <w:lang w:eastAsia="zh-CN"/>
              </w:rPr>
              <w:t>核心期刊上发表过</w:t>
            </w:r>
            <w:r>
              <w:rPr>
                <w:rFonts w:hint="eastAsia" w:ascii="仿宋" w:hAnsi="仿宋" w:eastAsia="仿宋" w:cs="仿宋"/>
                <w:color w:val="000000"/>
                <w:kern w:val="0"/>
                <w:sz w:val="21"/>
                <w:szCs w:val="21"/>
                <w:highlight w:val="none"/>
                <w:lang w:val="en-US" w:eastAsia="zh-CN"/>
              </w:rPr>
              <w:t>2篇以下论文的，得3</w:t>
            </w:r>
            <w:r>
              <w:rPr>
                <w:rFonts w:hint="eastAsia" w:ascii="仿宋" w:hAnsi="仿宋" w:eastAsia="仿宋" w:cs="仿宋"/>
                <w:color w:val="000000"/>
                <w:kern w:val="0"/>
                <w:sz w:val="21"/>
                <w:szCs w:val="21"/>
                <w:highlight w:val="none"/>
              </w:rPr>
              <w:t>分；</w:t>
            </w:r>
          </w:p>
          <w:p>
            <w:pPr>
              <w:spacing w:line="276" w:lineRule="auto"/>
              <w:rPr>
                <w:rFonts w:hint="eastAsia" w:ascii="仿宋" w:hAnsi="仿宋" w:eastAsia="仿宋" w:cs="仿宋"/>
                <w:color w:val="000000"/>
                <w:kern w:val="0"/>
                <w:sz w:val="21"/>
                <w:szCs w:val="21"/>
                <w:highlight w:val="none"/>
              </w:rPr>
            </w:pPr>
            <w:r>
              <w:rPr>
                <w:rFonts w:hint="eastAsia" w:ascii="仿宋" w:hAnsi="仿宋" w:eastAsia="仿宋" w:cs="仿宋"/>
                <w:color w:val="000000"/>
                <w:kern w:val="0"/>
                <w:sz w:val="21"/>
                <w:szCs w:val="21"/>
                <w:highlight w:val="none"/>
                <w:lang w:val="en-US" w:eastAsia="zh-CN"/>
              </w:rPr>
              <w:t>注：发表论文或出版专著需与本次授课主题内容相关，且提供相应证明</w:t>
            </w:r>
            <w:r>
              <w:rPr>
                <w:rFonts w:hint="eastAsia" w:ascii="仿宋" w:hAnsi="仿宋" w:eastAsia="仿宋" w:cs="仿宋"/>
                <w:sz w:val="21"/>
                <w:szCs w:val="21"/>
                <w:highlight w:val="none"/>
              </w:rPr>
              <w:t>，不提供的不得分</w:t>
            </w:r>
            <w:r>
              <w:rPr>
                <w:rFonts w:hint="eastAsia" w:ascii="仿宋" w:hAnsi="仿宋" w:eastAsia="仿宋" w:cs="仿宋"/>
                <w:color w:val="000000"/>
                <w:kern w:val="0"/>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55" w:type="pct"/>
            <w:vMerge w:val="restart"/>
            <w:tcBorders>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3</w:t>
            </w:r>
          </w:p>
        </w:tc>
        <w:tc>
          <w:tcPr>
            <w:tcW w:w="426" w:type="pct"/>
            <w:vMerge w:val="restart"/>
            <w:tcBorders>
              <w:left w:val="single" w:color="auto" w:sz="4" w:space="0"/>
              <w:right w:val="single" w:color="auto" w:sz="4" w:space="0"/>
            </w:tcBorders>
            <w:noWrap/>
            <w:vAlign w:val="center"/>
          </w:tcPr>
          <w:p>
            <w:pPr>
              <w:spacing w:line="36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课程具体设置方案</w:t>
            </w:r>
          </w:p>
        </w:tc>
        <w:tc>
          <w:tcPr>
            <w:tcW w:w="526" w:type="pct"/>
            <w:vMerge w:val="restart"/>
            <w:tcBorders>
              <w:left w:val="single" w:color="auto" w:sz="4" w:space="0"/>
              <w:right w:val="single" w:color="auto" w:sz="4" w:space="0"/>
            </w:tcBorders>
            <w:noWrap/>
            <w:vAlign w:val="center"/>
          </w:tcPr>
          <w:p>
            <w:pPr>
              <w:widowControl/>
              <w:spacing w:line="36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22</w:t>
            </w:r>
          </w:p>
        </w:tc>
        <w:tc>
          <w:tcPr>
            <w:tcW w:w="3790" w:type="pct"/>
            <w:tcBorders>
              <w:top w:val="single" w:color="auto" w:sz="4" w:space="0"/>
              <w:left w:val="single" w:color="auto" w:sz="4" w:space="0"/>
              <w:bottom w:val="single" w:color="auto" w:sz="4" w:space="0"/>
              <w:right w:val="single" w:color="auto" w:sz="12" w:space="0"/>
            </w:tcBorders>
            <w:noWrap/>
            <w:vAlign w:val="center"/>
          </w:tcPr>
          <w:p>
            <w:pPr>
              <w:spacing w:line="400" w:lineRule="exact"/>
              <w:rPr>
                <w:rFonts w:hint="eastAsia" w:ascii="仿宋" w:hAnsi="仿宋" w:eastAsia="仿宋" w:cs="仿宋"/>
                <w:b/>
                <w:sz w:val="21"/>
                <w:szCs w:val="21"/>
              </w:rPr>
            </w:pPr>
            <w:r>
              <w:rPr>
                <w:rFonts w:hint="eastAsia" w:ascii="仿宋" w:hAnsi="仿宋" w:eastAsia="仿宋" w:cs="仿宋"/>
                <w:b/>
                <w:sz w:val="21"/>
                <w:szCs w:val="21"/>
              </w:rPr>
              <w:t>课程设计与培训主题的贴切性：（</w:t>
            </w:r>
            <w:r>
              <w:rPr>
                <w:rFonts w:hint="eastAsia" w:ascii="仿宋" w:hAnsi="仿宋" w:eastAsia="仿宋" w:cs="仿宋"/>
                <w:b/>
                <w:sz w:val="21"/>
                <w:szCs w:val="21"/>
                <w:lang w:val="en-US" w:eastAsia="zh-CN"/>
              </w:rPr>
              <w:t>8</w:t>
            </w:r>
            <w:r>
              <w:rPr>
                <w:rFonts w:hint="eastAsia" w:ascii="仿宋" w:hAnsi="仿宋" w:eastAsia="仿宋" w:cs="仿宋"/>
                <w:b/>
                <w:sz w:val="21"/>
                <w:szCs w:val="21"/>
              </w:rPr>
              <w:t>分）</w:t>
            </w:r>
          </w:p>
          <w:p>
            <w:pPr>
              <w:spacing w:line="400" w:lineRule="exact"/>
              <w:rPr>
                <w:rFonts w:hint="eastAsia" w:ascii="仿宋" w:hAnsi="仿宋" w:eastAsia="仿宋" w:cs="仿宋"/>
                <w:sz w:val="21"/>
                <w:szCs w:val="21"/>
              </w:rPr>
            </w:pPr>
            <w:r>
              <w:rPr>
                <w:rFonts w:hint="eastAsia" w:ascii="仿宋" w:hAnsi="仿宋" w:eastAsia="仿宋" w:cs="仿宋"/>
                <w:sz w:val="21"/>
                <w:szCs w:val="21"/>
              </w:rPr>
              <w:t>课程设计方案清晰、内容详细，与培训主题内容贴切的</w:t>
            </w:r>
            <w:r>
              <w:rPr>
                <w:rFonts w:hint="eastAsia" w:ascii="仿宋" w:hAnsi="仿宋" w:eastAsia="仿宋" w:cs="仿宋"/>
                <w:sz w:val="21"/>
                <w:szCs w:val="21"/>
                <w:lang w:eastAsia="zh-CN"/>
              </w:rPr>
              <w:t>，</w:t>
            </w:r>
            <w:r>
              <w:rPr>
                <w:rFonts w:hint="eastAsia" w:ascii="仿宋" w:hAnsi="仿宋" w:eastAsia="仿宋" w:cs="仿宋"/>
                <w:sz w:val="21"/>
                <w:szCs w:val="21"/>
              </w:rPr>
              <w:t>得</w:t>
            </w:r>
            <w:r>
              <w:rPr>
                <w:rFonts w:hint="eastAsia" w:ascii="仿宋" w:hAnsi="仿宋" w:eastAsia="仿宋" w:cs="仿宋"/>
                <w:sz w:val="21"/>
                <w:szCs w:val="21"/>
                <w:lang w:val="en-US" w:eastAsia="zh-CN"/>
              </w:rPr>
              <w:t>8</w:t>
            </w:r>
            <w:r>
              <w:rPr>
                <w:rFonts w:hint="eastAsia" w:ascii="仿宋" w:hAnsi="仿宋" w:eastAsia="仿宋" w:cs="仿宋"/>
                <w:sz w:val="21"/>
                <w:szCs w:val="21"/>
              </w:rPr>
              <w:t>分；</w:t>
            </w:r>
          </w:p>
          <w:p>
            <w:pPr>
              <w:spacing w:line="400" w:lineRule="exact"/>
              <w:rPr>
                <w:rFonts w:hint="eastAsia" w:ascii="仿宋" w:hAnsi="仿宋" w:eastAsia="仿宋" w:cs="仿宋"/>
                <w:sz w:val="21"/>
                <w:szCs w:val="21"/>
              </w:rPr>
            </w:pPr>
            <w:r>
              <w:rPr>
                <w:rFonts w:hint="eastAsia" w:ascii="仿宋" w:hAnsi="仿宋" w:eastAsia="仿宋" w:cs="仿宋"/>
                <w:sz w:val="21"/>
                <w:szCs w:val="21"/>
              </w:rPr>
              <w:t>课程设计方案、内容基本满足招标需求的</w:t>
            </w:r>
            <w:r>
              <w:rPr>
                <w:rFonts w:hint="eastAsia" w:ascii="仿宋" w:hAnsi="仿宋" w:eastAsia="仿宋" w:cs="仿宋"/>
                <w:sz w:val="21"/>
                <w:szCs w:val="21"/>
                <w:lang w:eastAsia="zh-CN"/>
              </w:rPr>
              <w:t>，</w:t>
            </w:r>
            <w:r>
              <w:rPr>
                <w:rFonts w:hint="eastAsia" w:ascii="仿宋" w:hAnsi="仿宋" w:eastAsia="仿宋" w:cs="仿宋"/>
                <w:sz w:val="21"/>
                <w:szCs w:val="21"/>
              </w:rPr>
              <w:t>得</w:t>
            </w:r>
            <w:r>
              <w:rPr>
                <w:rFonts w:hint="eastAsia" w:ascii="仿宋" w:hAnsi="仿宋" w:eastAsia="仿宋" w:cs="仿宋"/>
                <w:sz w:val="21"/>
                <w:szCs w:val="21"/>
                <w:lang w:val="en-US" w:eastAsia="zh-CN"/>
              </w:rPr>
              <w:t>6</w:t>
            </w:r>
            <w:r>
              <w:rPr>
                <w:rFonts w:hint="eastAsia" w:ascii="仿宋" w:hAnsi="仿宋" w:eastAsia="仿宋" w:cs="仿宋"/>
                <w:sz w:val="21"/>
                <w:szCs w:val="21"/>
              </w:rPr>
              <w:t>分；</w:t>
            </w:r>
          </w:p>
          <w:p>
            <w:pPr>
              <w:spacing w:line="400" w:lineRule="exact"/>
              <w:rPr>
                <w:rFonts w:hint="eastAsia" w:ascii="仿宋" w:hAnsi="仿宋" w:eastAsia="仿宋" w:cs="仿宋"/>
                <w:sz w:val="21"/>
                <w:szCs w:val="21"/>
              </w:rPr>
            </w:pPr>
            <w:r>
              <w:rPr>
                <w:rFonts w:hint="eastAsia" w:ascii="仿宋" w:hAnsi="仿宋" w:eastAsia="仿宋" w:cs="仿宋"/>
                <w:sz w:val="21"/>
                <w:szCs w:val="21"/>
              </w:rPr>
              <w:t>课程设计方案、内容存在缺陷的</w:t>
            </w:r>
            <w:r>
              <w:rPr>
                <w:rFonts w:hint="eastAsia" w:ascii="仿宋" w:hAnsi="仿宋" w:eastAsia="仿宋" w:cs="仿宋"/>
                <w:sz w:val="21"/>
                <w:szCs w:val="21"/>
                <w:lang w:eastAsia="zh-CN"/>
              </w:rPr>
              <w:t>，</w:t>
            </w:r>
            <w:r>
              <w:rPr>
                <w:rFonts w:hint="eastAsia" w:ascii="仿宋" w:hAnsi="仿宋" w:eastAsia="仿宋" w:cs="仿宋"/>
                <w:sz w:val="21"/>
                <w:szCs w:val="21"/>
              </w:rPr>
              <w:t>得</w:t>
            </w:r>
            <w:r>
              <w:rPr>
                <w:rFonts w:hint="eastAsia" w:ascii="仿宋" w:hAnsi="仿宋" w:eastAsia="仿宋" w:cs="仿宋"/>
                <w:sz w:val="21"/>
                <w:szCs w:val="21"/>
                <w:lang w:val="en-US" w:eastAsia="zh-CN"/>
              </w:rPr>
              <w:t>4</w:t>
            </w:r>
            <w:r>
              <w:rPr>
                <w:rFonts w:hint="eastAsia" w:ascii="仿宋" w:hAnsi="仿宋" w:eastAsia="仿宋" w:cs="仿宋"/>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255" w:type="pct"/>
            <w:vMerge w:val="continue"/>
            <w:tcBorders>
              <w:left w:val="single" w:color="auto" w:sz="12" w:space="0"/>
              <w:bottom w:val="single" w:color="auto" w:sz="4"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p>
        </w:tc>
        <w:tc>
          <w:tcPr>
            <w:tcW w:w="426" w:type="pct"/>
            <w:vMerge w:val="continue"/>
            <w:tcBorders>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color w:val="000000"/>
                <w:kern w:val="0"/>
                <w:sz w:val="21"/>
                <w:szCs w:val="21"/>
              </w:rPr>
            </w:pPr>
          </w:p>
        </w:tc>
        <w:tc>
          <w:tcPr>
            <w:tcW w:w="526" w:type="pct"/>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p>
        </w:tc>
        <w:tc>
          <w:tcPr>
            <w:tcW w:w="3790" w:type="pct"/>
            <w:tcBorders>
              <w:top w:val="single" w:color="auto" w:sz="4" w:space="0"/>
              <w:left w:val="single" w:color="auto" w:sz="4" w:space="0"/>
              <w:bottom w:val="single" w:color="auto" w:sz="4" w:space="0"/>
              <w:right w:val="single" w:color="auto" w:sz="12" w:space="0"/>
            </w:tcBorders>
            <w:noWrap/>
            <w:vAlign w:val="center"/>
          </w:tcPr>
          <w:p>
            <w:pPr>
              <w:spacing w:line="400" w:lineRule="exact"/>
              <w:rPr>
                <w:rFonts w:hint="eastAsia" w:ascii="仿宋" w:hAnsi="仿宋" w:eastAsia="仿宋" w:cs="仿宋"/>
                <w:sz w:val="21"/>
                <w:szCs w:val="21"/>
              </w:rPr>
            </w:pPr>
            <w:r>
              <w:rPr>
                <w:rFonts w:hint="eastAsia" w:ascii="仿宋" w:hAnsi="仿宋" w:eastAsia="仿宋" w:cs="仿宋"/>
                <w:b/>
                <w:sz w:val="21"/>
                <w:szCs w:val="21"/>
              </w:rPr>
              <w:t>课时安排的合理性：（7分）</w:t>
            </w:r>
          </w:p>
          <w:p>
            <w:pPr>
              <w:spacing w:line="400" w:lineRule="exact"/>
              <w:rPr>
                <w:rFonts w:hint="eastAsia" w:ascii="仿宋" w:hAnsi="仿宋" w:eastAsia="仿宋" w:cs="仿宋"/>
                <w:sz w:val="21"/>
                <w:szCs w:val="21"/>
              </w:rPr>
            </w:pPr>
            <w:r>
              <w:rPr>
                <w:rFonts w:hint="eastAsia" w:ascii="仿宋" w:hAnsi="仿宋" w:eastAsia="仿宋" w:cs="仿宋"/>
                <w:sz w:val="21"/>
                <w:szCs w:val="21"/>
              </w:rPr>
              <w:t>课时安排合理的</w:t>
            </w:r>
            <w:r>
              <w:rPr>
                <w:rFonts w:hint="eastAsia" w:ascii="仿宋" w:hAnsi="仿宋" w:eastAsia="仿宋" w:cs="仿宋"/>
                <w:sz w:val="21"/>
                <w:szCs w:val="21"/>
                <w:lang w:eastAsia="zh-CN"/>
              </w:rPr>
              <w:t>，</w:t>
            </w:r>
            <w:r>
              <w:rPr>
                <w:rFonts w:hint="eastAsia" w:ascii="仿宋" w:hAnsi="仿宋" w:eastAsia="仿宋" w:cs="仿宋"/>
                <w:sz w:val="21"/>
                <w:szCs w:val="21"/>
              </w:rPr>
              <w:t>得7分；</w:t>
            </w:r>
          </w:p>
          <w:p>
            <w:pPr>
              <w:spacing w:line="400" w:lineRule="exact"/>
              <w:rPr>
                <w:rFonts w:hint="eastAsia" w:ascii="仿宋" w:hAnsi="仿宋" w:eastAsia="仿宋" w:cs="仿宋"/>
                <w:sz w:val="21"/>
                <w:szCs w:val="21"/>
              </w:rPr>
            </w:pPr>
            <w:r>
              <w:rPr>
                <w:rFonts w:hint="eastAsia" w:ascii="仿宋" w:hAnsi="仿宋" w:eastAsia="仿宋" w:cs="仿宋"/>
                <w:sz w:val="21"/>
                <w:szCs w:val="21"/>
              </w:rPr>
              <w:t>课时安排基本满足招标需求的</w:t>
            </w:r>
            <w:r>
              <w:rPr>
                <w:rFonts w:hint="eastAsia" w:ascii="仿宋" w:hAnsi="仿宋" w:eastAsia="仿宋" w:cs="仿宋"/>
                <w:sz w:val="21"/>
                <w:szCs w:val="21"/>
                <w:lang w:eastAsia="zh-CN"/>
              </w:rPr>
              <w:t>，</w:t>
            </w:r>
            <w:r>
              <w:rPr>
                <w:rFonts w:hint="eastAsia" w:ascii="仿宋" w:hAnsi="仿宋" w:eastAsia="仿宋" w:cs="仿宋"/>
                <w:sz w:val="21"/>
                <w:szCs w:val="21"/>
              </w:rPr>
              <w:t>得5分；</w:t>
            </w:r>
          </w:p>
          <w:p>
            <w:pPr>
              <w:spacing w:line="400" w:lineRule="exact"/>
              <w:rPr>
                <w:rFonts w:hint="eastAsia" w:ascii="仿宋" w:hAnsi="仿宋" w:eastAsia="仿宋" w:cs="仿宋"/>
                <w:sz w:val="21"/>
                <w:szCs w:val="21"/>
              </w:rPr>
            </w:pPr>
            <w:r>
              <w:rPr>
                <w:rFonts w:hint="eastAsia" w:ascii="仿宋" w:hAnsi="仿宋" w:eastAsia="仿宋" w:cs="仿宋"/>
                <w:sz w:val="21"/>
                <w:szCs w:val="21"/>
              </w:rPr>
              <w:t>课时安排存在缺陷的</w:t>
            </w:r>
            <w:r>
              <w:rPr>
                <w:rFonts w:hint="eastAsia" w:ascii="仿宋" w:hAnsi="仿宋" w:eastAsia="仿宋" w:cs="仿宋"/>
                <w:sz w:val="21"/>
                <w:szCs w:val="21"/>
                <w:lang w:eastAsia="zh-CN"/>
              </w:rPr>
              <w:t>，</w:t>
            </w:r>
            <w:r>
              <w:rPr>
                <w:rFonts w:hint="eastAsia" w:ascii="仿宋" w:hAnsi="仿宋" w:eastAsia="仿宋" w:cs="仿宋"/>
                <w:sz w:val="21"/>
                <w:szCs w:val="21"/>
              </w:rPr>
              <w:t>得3分。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5" w:type="pct"/>
            <w:vMerge w:val="continue"/>
            <w:tcBorders>
              <w:left w:val="single" w:color="auto" w:sz="12" w:space="0"/>
              <w:bottom w:val="single" w:color="auto" w:sz="4"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p>
        </w:tc>
        <w:tc>
          <w:tcPr>
            <w:tcW w:w="426" w:type="pct"/>
            <w:vMerge w:val="continue"/>
            <w:tcBorders>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color w:val="000000"/>
                <w:kern w:val="0"/>
                <w:sz w:val="21"/>
                <w:szCs w:val="21"/>
              </w:rPr>
            </w:pPr>
          </w:p>
        </w:tc>
        <w:tc>
          <w:tcPr>
            <w:tcW w:w="526" w:type="pct"/>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p>
        </w:tc>
        <w:tc>
          <w:tcPr>
            <w:tcW w:w="3790" w:type="pct"/>
            <w:tcBorders>
              <w:top w:val="single" w:color="auto" w:sz="4" w:space="0"/>
              <w:left w:val="single" w:color="auto" w:sz="4" w:space="0"/>
              <w:bottom w:val="single" w:color="auto" w:sz="4" w:space="0"/>
              <w:right w:val="single" w:color="auto" w:sz="12" w:space="0"/>
            </w:tcBorders>
            <w:noWrap/>
            <w:vAlign w:val="center"/>
          </w:tcPr>
          <w:p>
            <w:pPr>
              <w:spacing w:line="400" w:lineRule="exact"/>
              <w:rPr>
                <w:rFonts w:hint="eastAsia" w:ascii="仿宋" w:hAnsi="仿宋" w:eastAsia="仿宋" w:cs="仿宋"/>
                <w:sz w:val="21"/>
                <w:szCs w:val="21"/>
              </w:rPr>
            </w:pPr>
            <w:r>
              <w:rPr>
                <w:rFonts w:hint="eastAsia" w:ascii="仿宋" w:hAnsi="仿宋" w:eastAsia="仿宋" w:cs="仿宋"/>
                <w:b/>
                <w:sz w:val="21"/>
                <w:szCs w:val="21"/>
              </w:rPr>
              <w:t>课程内容与慈溪工业企业需求的关联度：（7分）</w:t>
            </w:r>
          </w:p>
          <w:p>
            <w:pPr>
              <w:spacing w:line="276" w:lineRule="auto"/>
              <w:rPr>
                <w:rFonts w:hint="eastAsia" w:ascii="仿宋" w:hAnsi="仿宋" w:eastAsia="仿宋" w:cs="仿宋"/>
                <w:sz w:val="21"/>
                <w:szCs w:val="21"/>
              </w:rPr>
            </w:pPr>
            <w:r>
              <w:rPr>
                <w:rFonts w:hint="eastAsia" w:ascii="仿宋" w:hAnsi="仿宋" w:eastAsia="仿宋" w:cs="仿宋"/>
                <w:sz w:val="21"/>
                <w:szCs w:val="21"/>
              </w:rPr>
              <w:t>课程内容详细，与慈溪工业企业需求的关联度紧密的</w:t>
            </w:r>
            <w:r>
              <w:rPr>
                <w:rFonts w:hint="eastAsia" w:ascii="仿宋" w:hAnsi="仿宋" w:eastAsia="仿宋" w:cs="仿宋"/>
                <w:sz w:val="21"/>
                <w:szCs w:val="21"/>
                <w:lang w:eastAsia="zh-CN"/>
              </w:rPr>
              <w:t>，</w:t>
            </w:r>
            <w:r>
              <w:rPr>
                <w:rFonts w:hint="eastAsia" w:ascii="仿宋" w:hAnsi="仿宋" w:eastAsia="仿宋" w:cs="仿宋"/>
                <w:sz w:val="21"/>
                <w:szCs w:val="21"/>
              </w:rPr>
              <w:t>得7分；</w:t>
            </w:r>
          </w:p>
          <w:p>
            <w:pPr>
              <w:spacing w:line="276" w:lineRule="auto"/>
              <w:rPr>
                <w:rFonts w:hint="eastAsia" w:ascii="仿宋" w:hAnsi="仿宋" w:eastAsia="仿宋" w:cs="仿宋"/>
                <w:sz w:val="21"/>
                <w:szCs w:val="21"/>
              </w:rPr>
            </w:pPr>
            <w:r>
              <w:rPr>
                <w:rFonts w:hint="eastAsia" w:ascii="仿宋" w:hAnsi="仿宋" w:eastAsia="仿宋" w:cs="仿宋"/>
                <w:sz w:val="21"/>
                <w:szCs w:val="21"/>
              </w:rPr>
              <w:t>课程内容、与慈溪工业企业需求的关联度基本满足招标需求的</w:t>
            </w:r>
            <w:r>
              <w:rPr>
                <w:rFonts w:hint="eastAsia" w:ascii="仿宋" w:hAnsi="仿宋" w:eastAsia="仿宋" w:cs="仿宋"/>
                <w:sz w:val="21"/>
                <w:szCs w:val="21"/>
                <w:lang w:eastAsia="zh-CN"/>
              </w:rPr>
              <w:t>，</w:t>
            </w:r>
            <w:r>
              <w:rPr>
                <w:rFonts w:hint="eastAsia" w:ascii="仿宋" w:hAnsi="仿宋" w:eastAsia="仿宋" w:cs="仿宋"/>
                <w:sz w:val="21"/>
                <w:szCs w:val="21"/>
              </w:rPr>
              <w:t>得5分；</w:t>
            </w:r>
          </w:p>
          <w:p>
            <w:pPr>
              <w:spacing w:line="276" w:lineRule="auto"/>
              <w:rPr>
                <w:rFonts w:hint="eastAsia" w:ascii="仿宋" w:hAnsi="仿宋" w:eastAsia="仿宋" w:cs="仿宋"/>
                <w:color w:val="000000"/>
                <w:kern w:val="0"/>
                <w:sz w:val="21"/>
                <w:szCs w:val="21"/>
              </w:rPr>
            </w:pPr>
            <w:r>
              <w:rPr>
                <w:rFonts w:hint="eastAsia" w:ascii="仿宋" w:hAnsi="仿宋" w:eastAsia="仿宋" w:cs="仿宋"/>
                <w:sz w:val="21"/>
                <w:szCs w:val="21"/>
              </w:rPr>
              <w:t>课程内容、与慈溪工业企业需求的关联度存在缺陷的</w:t>
            </w:r>
            <w:r>
              <w:rPr>
                <w:rFonts w:hint="eastAsia" w:ascii="仿宋" w:hAnsi="仿宋" w:eastAsia="仿宋" w:cs="仿宋"/>
                <w:sz w:val="21"/>
                <w:szCs w:val="21"/>
                <w:lang w:eastAsia="zh-CN"/>
              </w:rPr>
              <w:t>，</w:t>
            </w:r>
            <w:r>
              <w:rPr>
                <w:rFonts w:hint="eastAsia" w:ascii="仿宋" w:hAnsi="仿宋" w:eastAsia="仿宋" w:cs="仿宋"/>
                <w:sz w:val="21"/>
                <w:szCs w:val="21"/>
              </w:rPr>
              <w:t>得3分。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55" w:type="pct"/>
            <w:vMerge w:val="restart"/>
            <w:tcBorders>
              <w:top w:val="single" w:color="auto" w:sz="4" w:space="0"/>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4</w:t>
            </w:r>
          </w:p>
        </w:tc>
        <w:tc>
          <w:tcPr>
            <w:tcW w:w="426" w:type="pct"/>
            <w:vMerge w:val="restart"/>
            <w:tcBorders>
              <w:top w:val="single" w:color="auto" w:sz="4" w:space="0"/>
              <w:left w:val="single" w:color="auto" w:sz="4" w:space="0"/>
              <w:right w:val="single" w:color="auto" w:sz="4" w:space="0"/>
            </w:tcBorders>
            <w:noWrap/>
            <w:vAlign w:val="center"/>
          </w:tcPr>
          <w:p>
            <w:pPr>
              <w:spacing w:line="360" w:lineRule="auto"/>
              <w:rPr>
                <w:rFonts w:hint="eastAsia" w:ascii="仿宋" w:hAnsi="仿宋" w:eastAsia="仿宋" w:cs="仿宋"/>
                <w:b w:val="0"/>
                <w:bCs/>
                <w:sz w:val="21"/>
                <w:szCs w:val="21"/>
              </w:rPr>
            </w:pPr>
            <w:r>
              <w:rPr>
                <w:rFonts w:hint="eastAsia" w:ascii="仿宋" w:hAnsi="仿宋" w:eastAsia="仿宋" w:cs="仿宋"/>
                <w:b w:val="0"/>
                <w:bCs/>
                <w:sz w:val="21"/>
                <w:szCs w:val="21"/>
              </w:rPr>
              <w:t>提供</w:t>
            </w:r>
          </w:p>
          <w:p>
            <w:pPr>
              <w:spacing w:line="360" w:lineRule="auto"/>
              <w:rPr>
                <w:rFonts w:hint="eastAsia" w:ascii="仿宋" w:hAnsi="仿宋" w:eastAsia="仿宋" w:cs="仿宋"/>
                <w:b w:val="0"/>
                <w:bCs/>
                <w:color w:val="000000"/>
                <w:kern w:val="0"/>
                <w:sz w:val="21"/>
                <w:szCs w:val="21"/>
              </w:rPr>
            </w:pPr>
            <w:r>
              <w:rPr>
                <w:rFonts w:hint="eastAsia" w:ascii="仿宋" w:hAnsi="仿宋" w:eastAsia="仿宋" w:cs="仿宋"/>
                <w:b w:val="0"/>
                <w:bCs/>
                <w:sz w:val="21"/>
                <w:szCs w:val="21"/>
              </w:rPr>
              <w:t>生源方案</w:t>
            </w:r>
          </w:p>
        </w:tc>
        <w:tc>
          <w:tcPr>
            <w:tcW w:w="526" w:type="pct"/>
            <w:vMerge w:val="restart"/>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3790" w:type="pct"/>
            <w:tcBorders>
              <w:top w:val="single" w:color="auto" w:sz="4" w:space="0"/>
              <w:left w:val="single" w:color="auto" w:sz="4" w:space="0"/>
              <w:right w:val="single" w:color="auto" w:sz="12" w:space="0"/>
            </w:tcBorders>
            <w:noWrap/>
            <w:vAlign w:val="center"/>
          </w:tcPr>
          <w:p>
            <w:pPr>
              <w:spacing w:line="400" w:lineRule="exact"/>
              <w:rPr>
                <w:rFonts w:hint="eastAsia" w:ascii="仿宋" w:hAnsi="仿宋" w:eastAsia="仿宋" w:cs="仿宋"/>
                <w:b/>
                <w:sz w:val="21"/>
                <w:szCs w:val="21"/>
              </w:rPr>
            </w:pPr>
            <w:r>
              <w:rPr>
                <w:rFonts w:hint="eastAsia" w:ascii="仿宋" w:hAnsi="仿宋" w:eastAsia="仿宋" w:cs="仿宋"/>
                <w:b/>
                <w:sz w:val="21"/>
                <w:szCs w:val="21"/>
              </w:rPr>
              <w:t>招生渠道、生源保障措施：（4分）</w:t>
            </w:r>
          </w:p>
          <w:p>
            <w:pPr>
              <w:spacing w:line="400" w:lineRule="exact"/>
              <w:rPr>
                <w:rFonts w:hint="eastAsia" w:ascii="仿宋" w:hAnsi="仿宋" w:eastAsia="仿宋" w:cs="仿宋"/>
                <w:sz w:val="21"/>
                <w:szCs w:val="21"/>
              </w:rPr>
            </w:pPr>
            <w:r>
              <w:rPr>
                <w:rFonts w:hint="eastAsia" w:ascii="仿宋" w:hAnsi="仿宋" w:eastAsia="仿宋" w:cs="仿宋"/>
                <w:sz w:val="21"/>
                <w:szCs w:val="21"/>
              </w:rPr>
              <w:t>招生渠道广泛且有明确的生源保障方案，能提供合作意向单位的证明材料的</w:t>
            </w:r>
            <w:r>
              <w:rPr>
                <w:rFonts w:hint="eastAsia" w:ascii="仿宋" w:hAnsi="仿宋" w:eastAsia="仿宋" w:cs="仿宋"/>
                <w:sz w:val="21"/>
                <w:szCs w:val="21"/>
                <w:lang w:eastAsia="zh-CN"/>
              </w:rPr>
              <w:t>，</w:t>
            </w:r>
            <w:r>
              <w:rPr>
                <w:rFonts w:hint="eastAsia" w:ascii="仿宋" w:hAnsi="仿宋" w:eastAsia="仿宋" w:cs="仿宋"/>
                <w:sz w:val="21"/>
                <w:szCs w:val="21"/>
              </w:rPr>
              <w:t>得4分；</w:t>
            </w:r>
          </w:p>
          <w:p>
            <w:pPr>
              <w:spacing w:line="400" w:lineRule="exact"/>
              <w:rPr>
                <w:rFonts w:hint="eastAsia" w:ascii="仿宋" w:hAnsi="仿宋" w:eastAsia="仿宋" w:cs="仿宋"/>
                <w:sz w:val="21"/>
                <w:szCs w:val="21"/>
              </w:rPr>
            </w:pPr>
            <w:r>
              <w:rPr>
                <w:rFonts w:hint="eastAsia" w:ascii="仿宋" w:hAnsi="仿宋" w:eastAsia="仿宋" w:cs="仿宋"/>
                <w:sz w:val="21"/>
                <w:szCs w:val="21"/>
              </w:rPr>
              <w:t>招生渠道、生源保障措施基本满足招标需求的</w:t>
            </w:r>
            <w:r>
              <w:rPr>
                <w:rFonts w:hint="eastAsia" w:ascii="仿宋" w:hAnsi="仿宋" w:eastAsia="仿宋" w:cs="仿宋"/>
                <w:sz w:val="21"/>
                <w:szCs w:val="21"/>
                <w:lang w:eastAsia="zh-CN"/>
              </w:rPr>
              <w:t>，</w:t>
            </w:r>
            <w:r>
              <w:rPr>
                <w:rFonts w:hint="eastAsia" w:ascii="仿宋" w:hAnsi="仿宋" w:eastAsia="仿宋" w:cs="仿宋"/>
                <w:sz w:val="21"/>
                <w:szCs w:val="21"/>
              </w:rPr>
              <w:t>得2分；</w:t>
            </w:r>
          </w:p>
          <w:p>
            <w:pPr>
              <w:spacing w:line="400" w:lineRule="exact"/>
              <w:rPr>
                <w:rFonts w:hint="eastAsia" w:ascii="仿宋" w:hAnsi="仿宋" w:eastAsia="仿宋" w:cs="仿宋"/>
                <w:sz w:val="21"/>
                <w:szCs w:val="21"/>
              </w:rPr>
            </w:pPr>
            <w:r>
              <w:rPr>
                <w:rFonts w:hint="eastAsia" w:ascii="仿宋" w:hAnsi="仿宋" w:eastAsia="仿宋" w:cs="仿宋"/>
                <w:sz w:val="21"/>
                <w:szCs w:val="21"/>
              </w:rPr>
              <w:t>招生渠道比较单一、生源保障措施存在缺陷的</w:t>
            </w:r>
            <w:r>
              <w:rPr>
                <w:rFonts w:hint="eastAsia" w:ascii="仿宋" w:hAnsi="仿宋" w:eastAsia="仿宋" w:cs="仿宋"/>
                <w:sz w:val="21"/>
                <w:szCs w:val="21"/>
                <w:lang w:eastAsia="zh-CN"/>
              </w:rPr>
              <w:t>，</w:t>
            </w:r>
            <w:r>
              <w:rPr>
                <w:rFonts w:hint="eastAsia" w:ascii="仿宋" w:hAnsi="仿宋" w:eastAsia="仿宋" w:cs="仿宋"/>
                <w:sz w:val="21"/>
                <w:szCs w:val="21"/>
              </w:rPr>
              <w:t>得1分。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255" w:type="pct"/>
            <w:vMerge w:val="continue"/>
            <w:tcBorders>
              <w:left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p>
        </w:tc>
        <w:tc>
          <w:tcPr>
            <w:tcW w:w="426" w:type="pct"/>
            <w:vMerge w:val="continue"/>
            <w:tcBorders>
              <w:left w:val="single" w:color="auto" w:sz="4" w:space="0"/>
              <w:right w:val="single" w:color="auto" w:sz="4" w:space="0"/>
            </w:tcBorders>
            <w:noWrap/>
            <w:vAlign w:val="center"/>
          </w:tcPr>
          <w:p>
            <w:pPr>
              <w:spacing w:line="360" w:lineRule="auto"/>
              <w:rPr>
                <w:rFonts w:hint="eastAsia" w:ascii="仿宋" w:hAnsi="仿宋" w:eastAsia="仿宋" w:cs="仿宋"/>
                <w:b w:val="0"/>
                <w:bCs/>
                <w:color w:val="000000"/>
                <w:kern w:val="0"/>
                <w:sz w:val="21"/>
                <w:szCs w:val="21"/>
              </w:rPr>
            </w:pPr>
          </w:p>
        </w:tc>
        <w:tc>
          <w:tcPr>
            <w:tcW w:w="526" w:type="pct"/>
            <w:vMerge w:val="continue"/>
            <w:tcBorders>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p>
        </w:tc>
        <w:tc>
          <w:tcPr>
            <w:tcW w:w="3790" w:type="pct"/>
            <w:tcBorders>
              <w:top w:val="single" w:color="auto" w:sz="4" w:space="0"/>
              <w:left w:val="single" w:color="auto" w:sz="4" w:space="0"/>
              <w:right w:val="single" w:color="auto" w:sz="12" w:space="0"/>
            </w:tcBorders>
            <w:noWrap/>
            <w:vAlign w:val="center"/>
          </w:tcPr>
          <w:p>
            <w:pPr>
              <w:spacing w:line="400" w:lineRule="exact"/>
              <w:rPr>
                <w:rFonts w:hint="eastAsia" w:ascii="仿宋" w:hAnsi="仿宋" w:eastAsia="仿宋" w:cs="仿宋"/>
                <w:b/>
                <w:sz w:val="21"/>
                <w:szCs w:val="21"/>
              </w:rPr>
            </w:pPr>
            <w:r>
              <w:rPr>
                <w:rFonts w:hint="eastAsia" w:ascii="仿宋" w:hAnsi="仿宋" w:eastAsia="仿宋" w:cs="仿宋"/>
                <w:b/>
                <w:sz w:val="21"/>
                <w:szCs w:val="21"/>
              </w:rPr>
              <w:t>招生区域分配：（4分）</w:t>
            </w:r>
          </w:p>
          <w:p>
            <w:pPr>
              <w:spacing w:line="400" w:lineRule="exact"/>
              <w:rPr>
                <w:rFonts w:hint="eastAsia" w:ascii="仿宋" w:hAnsi="仿宋" w:eastAsia="仿宋" w:cs="仿宋"/>
                <w:sz w:val="21"/>
                <w:szCs w:val="21"/>
              </w:rPr>
            </w:pPr>
            <w:r>
              <w:rPr>
                <w:rFonts w:hint="eastAsia" w:ascii="仿宋" w:hAnsi="仿宋" w:eastAsia="仿宋" w:cs="仿宋"/>
                <w:sz w:val="21"/>
                <w:szCs w:val="21"/>
              </w:rPr>
              <w:t>招生区域分配合理、科学可行的</w:t>
            </w:r>
            <w:r>
              <w:rPr>
                <w:rFonts w:hint="eastAsia" w:ascii="仿宋" w:hAnsi="仿宋" w:eastAsia="仿宋" w:cs="仿宋"/>
                <w:sz w:val="21"/>
                <w:szCs w:val="21"/>
                <w:lang w:eastAsia="zh-CN"/>
              </w:rPr>
              <w:t>，</w:t>
            </w:r>
            <w:r>
              <w:rPr>
                <w:rFonts w:hint="eastAsia" w:ascii="仿宋" w:hAnsi="仿宋" w:eastAsia="仿宋" w:cs="仿宋"/>
                <w:sz w:val="21"/>
                <w:szCs w:val="21"/>
              </w:rPr>
              <w:t>得4分；</w:t>
            </w:r>
          </w:p>
          <w:p>
            <w:pPr>
              <w:spacing w:line="400" w:lineRule="exact"/>
              <w:rPr>
                <w:rFonts w:hint="eastAsia" w:ascii="仿宋" w:hAnsi="仿宋" w:eastAsia="仿宋" w:cs="仿宋"/>
                <w:sz w:val="21"/>
                <w:szCs w:val="21"/>
              </w:rPr>
            </w:pPr>
            <w:r>
              <w:rPr>
                <w:rFonts w:hint="eastAsia" w:ascii="仿宋" w:hAnsi="仿宋" w:eastAsia="仿宋" w:cs="仿宋"/>
                <w:sz w:val="21"/>
                <w:szCs w:val="21"/>
              </w:rPr>
              <w:t>招生区域分配基本满足招标需求的</w:t>
            </w:r>
            <w:r>
              <w:rPr>
                <w:rFonts w:hint="eastAsia" w:ascii="仿宋" w:hAnsi="仿宋" w:eastAsia="仿宋" w:cs="仿宋"/>
                <w:sz w:val="21"/>
                <w:szCs w:val="21"/>
                <w:lang w:eastAsia="zh-CN"/>
              </w:rPr>
              <w:t>，</w:t>
            </w:r>
            <w:r>
              <w:rPr>
                <w:rFonts w:hint="eastAsia" w:ascii="仿宋" w:hAnsi="仿宋" w:eastAsia="仿宋" w:cs="仿宋"/>
                <w:sz w:val="21"/>
                <w:szCs w:val="21"/>
              </w:rPr>
              <w:t>得2分；</w:t>
            </w:r>
          </w:p>
          <w:p>
            <w:pPr>
              <w:spacing w:line="400" w:lineRule="exact"/>
              <w:rPr>
                <w:rFonts w:hint="eastAsia" w:ascii="仿宋" w:hAnsi="仿宋" w:eastAsia="仿宋" w:cs="仿宋"/>
                <w:sz w:val="21"/>
                <w:szCs w:val="21"/>
              </w:rPr>
            </w:pPr>
            <w:r>
              <w:rPr>
                <w:rFonts w:hint="eastAsia" w:ascii="仿宋" w:hAnsi="仿宋" w:eastAsia="仿宋" w:cs="仿宋"/>
                <w:sz w:val="21"/>
                <w:szCs w:val="21"/>
              </w:rPr>
              <w:t>招生区域分配存在缺陷的</w:t>
            </w:r>
            <w:r>
              <w:rPr>
                <w:rFonts w:hint="eastAsia" w:ascii="仿宋" w:hAnsi="仿宋" w:eastAsia="仿宋" w:cs="仿宋"/>
                <w:sz w:val="21"/>
                <w:szCs w:val="21"/>
                <w:lang w:eastAsia="zh-CN"/>
              </w:rPr>
              <w:t>，</w:t>
            </w:r>
            <w:r>
              <w:rPr>
                <w:rFonts w:hint="eastAsia" w:ascii="仿宋" w:hAnsi="仿宋" w:eastAsia="仿宋" w:cs="仿宋"/>
                <w:sz w:val="21"/>
                <w:szCs w:val="21"/>
              </w:rPr>
              <w:t>得1分。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255" w:type="pct"/>
            <w:vMerge w:val="continue"/>
            <w:tcBorders>
              <w:left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p>
        </w:tc>
        <w:tc>
          <w:tcPr>
            <w:tcW w:w="426" w:type="pct"/>
            <w:vMerge w:val="continue"/>
            <w:tcBorders>
              <w:left w:val="single" w:color="auto" w:sz="4" w:space="0"/>
              <w:right w:val="single" w:color="auto" w:sz="4" w:space="0"/>
            </w:tcBorders>
            <w:noWrap/>
            <w:vAlign w:val="center"/>
          </w:tcPr>
          <w:p>
            <w:pPr>
              <w:spacing w:line="360" w:lineRule="auto"/>
              <w:rPr>
                <w:rFonts w:hint="eastAsia" w:ascii="仿宋" w:hAnsi="仿宋" w:eastAsia="仿宋" w:cs="仿宋"/>
                <w:b w:val="0"/>
                <w:bCs/>
                <w:color w:val="000000"/>
                <w:kern w:val="0"/>
                <w:sz w:val="21"/>
                <w:szCs w:val="21"/>
              </w:rPr>
            </w:pPr>
          </w:p>
        </w:tc>
        <w:tc>
          <w:tcPr>
            <w:tcW w:w="526" w:type="pct"/>
            <w:vMerge w:val="continue"/>
            <w:tcBorders>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p>
        </w:tc>
        <w:tc>
          <w:tcPr>
            <w:tcW w:w="3790" w:type="pct"/>
            <w:tcBorders>
              <w:top w:val="single" w:color="auto" w:sz="4" w:space="0"/>
              <w:left w:val="single" w:color="auto" w:sz="4" w:space="0"/>
              <w:right w:val="single" w:color="auto" w:sz="12" w:space="0"/>
            </w:tcBorders>
            <w:noWrap/>
            <w:vAlign w:val="center"/>
          </w:tcPr>
          <w:p>
            <w:pPr>
              <w:spacing w:line="400" w:lineRule="exact"/>
              <w:rPr>
                <w:rFonts w:hint="eastAsia" w:ascii="仿宋" w:hAnsi="仿宋" w:eastAsia="仿宋" w:cs="仿宋"/>
                <w:b/>
                <w:sz w:val="21"/>
                <w:szCs w:val="21"/>
                <w:highlight w:val="none"/>
              </w:rPr>
            </w:pPr>
            <w:r>
              <w:rPr>
                <w:rFonts w:hint="eastAsia" w:ascii="仿宋" w:hAnsi="仿宋" w:eastAsia="仿宋" w:cs="仿宋"/>
                <w:b/>
                <w:sz w:val="21"/>
                <w:szCs w:val="21"/>
                <w:highlight w:val="none"/>
              </w:rPr>
              <w:t>招生团队：（4分）</w:t>
            </w:r>
          </w:p>
          <w:p>
            <w:pPr>
              <w:spacing w:line="276"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有专门的招生团队，招生团队能力强，得4分；</w:t>
            </w:r>
          </w:p>
          <w:p>
            <w:pPr>
              <w:spacing w:line="276"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招生团队能力基本满足招标需求的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得2分；</w:t>
            </w:r>
          </w:p>
          <w:p>
            <w:pPr>
              <w:spacing w:line="276" w:lineRule="auto"/>
              <w:rPr>
                <w:rFonts w:hint="eastAsia" w:eastAsia="仿宋"/>
                <w:highlight w:val="none"/>
                <w:lang w:eastAsia="zh-CN"/>
              </w:rPr>
            </w:pPr>
            <w:r>
              <w:rPr>
                <w:rFonts w:hint="eastAsia" w:ascii="仿宋" w:hAnsi="仿宋" w:eastAsia="仿宋" w:cs="仿宋"/>
                <w:sz w:val="21"/>
                <w:szCs w:val="21"/>
                <w:highlight w:val="none"/>
              </w:rPr>
              <w:t>招生团队能力存在缺陷的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255" w:type="pct"/>
            <w:vMerge w:val="restart"/>
            <w:tcBorders>
              <w:top w:val="single" w:color="auto" w:sz="4" w:space="0"/>
              <w:left w:val="single" w:color="auto" w:sz="12" w:space="0"/>
              <w:right w:val="single" w:color="auto" w:sz="4" w:space="0"/>
            </w:tcBorders>
            <w:noWrap/>
            <w:vAlign w:val="center"/>
          </w:tcPr>
          <w:p>
            <w:pPr>
              <w:widowControl/>
              <w:spacing w:line="360" w:lineRule="auto"/>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5</w:t>
            </w:r>
          </w:p>
        </w:tc>
        <w:tc>
          <w:tcPr>
            <w:tcW w:w="426" w:type="pct"/>
            <w:vMerge w:val="restart"/>
            <w:tcBorders>
              <w:top w:val="single" w:color="auto" w:sz="4" w:space="0"/>
              <w:left w:val="single" w:color="auto" w:sz="4" w:space="0"/>
              <w:right w:val="single" w:color="auto" w:sz="4" w:space="0"/>
            </w:tcBorders>
            <w:noWrap/>
            <w:vAlign w:val="center"/>
          </w:tcPr>
          <w:p>
            <w:pPr>
              <w:spacing w:line="360" w:lineRule="auto"/>
              <w:rPr>
                <w:rFonts w:hint="eastAsia" w:ascii="仿宋" w:hAnsi="仿宋" w:eastAsia="仿宋" w:cs="仿宋"/>
                <w:b w:val="0"/>
                <w:bCs/>
                <w:color w:val="000000"/>
                <w:kern w:val="0"/>
                <w:sz w:val="21"/>
                <w:szCs w:val="21"/>
              </w:rPr>
            </w:pPr>
            <w:r>
              <w:rPr>
                <w:rFonts w:hint="eastAsia" w:ascii="仿宋" w:hAnsi="仿宋" w:eastAsia="仿宋" w:cs="仿宋"/>
                <w:b w:val="0"/>
                <w:bCs/>
                <w:sz w:val="21"/>
                <w:szCs w:val="21"/>
              </w:rPr>
              <w:t>后勤管理服务方案</w:t>
            </w:r>
          </w:p>
        </w:tc>
        <w:tc>
          <w:tcPr>
            <w:tcW w:w="526" w:type="pct"/>
            <w:vMerge w:val="restart"/>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3790" w:type="pct"/>
            <w:tcBorders>
              <w:top w:val="single" w:color="auto" w:sz="4" w:space="0"/>
              <w:left w:val="single" w:color="auto" w:sz="4" w:space="0"/>
              <w:right w:val="single" w:color="auto" w:sz="12" w:space="0"/>
            </w:tcBorders>
            <w:noWrap/>
            <w:vAlign w:val="center"/>
          </w:tcPr>
          <w:p>
            <w:pPr>
              <w:spacing w:line="400" w:lineRule="exact"/>
              <w:rPr>
                <w:rFonts w:hint="eastAsia" w:ascii="仿宋" w:hAnsi="仿宋" w:eastAsia="仿宋" w:cs="仿宋"/>
                <w:b/>
                <w:sz w:val="21"/>
                <w:szCs w:val="21"/>
              </w:rPr>
            </w:pPr>
            <w:r>
              <w:rPr>
                <w:rFonts w:hint="eastAsia" w:ascii="仿宋" w:hAnsi="仿宋" w:eastAsia="仿宋" w:cs="仿宋"/>
                <w:b/>
                <w:sz w:val="21"/>
                <w:szCs w:val="21"/>
              </w:rPr>
              <w:t>后勤管理服务方案：（4分）</w:t>
            </w:r>
          </w:p>
          <w:p>
            <w:pPr>
              <w:spacing w:line="400" w:lineRule="exact"/>
              <w:rPr>
                <w:rFonts w:hint="eastAsia" w:ascii="仿宋" w:hAnsi="仿宋" w:eastAsia="仿宋" w:cs="仿宋"/>
                <w:sz w:val="21"/>
                <w:szCs w:val="21"/>
              </w:rPr>
            </w:pPr>
            <w:r>
              <w:rPr>
                <w:rFonts w:hint="eastAsia" w:ascii="仿宋" w:hAnsi="仿宋" w:eastAsia="仿宋" w:cs="仿宋"/>
                <w:sz w:val="21"/>
                <w:szCs w:val="21"/>
              </w:rPr>
              <w:t>后勤管理服务方案内容详细，安排合理，操作性强的</w:t>
            </w:r>
            <w:r>
              <w:rPr>
                <w:rFonts w:hint="eastAsia" w:ascii="仿宋" w:hAnsi="仿宋" w:eastAsia="仿宋" w:cs="仿宋"/>
                <w:sz w:val="21"/>
                <w:szCs w:val="21"/>
                <w:lang w:eastAsia="zh-CN"/>
              </w:rPr>
              <w:t>，</w:t>
            </w:r>
            <w:r>
              <w:rPr>
                <w:rFonts w:hint="eastAsia" w:ascii="仿宋" w:hAnsi="仿宋" w:eastAsia="仿宋" w:cs="仿宋"/>
                <w:sz w:val="21"/>
                <w:szCs w:val="21"/>
              </w:rPr>
              <w:t>得4分；</w:t>
            </w:r>
          </w:p>
          <w:p>
            <w:pPr>
              <w:spacing w:line="400" w:lineRule="exact"/>
              <w:rPr>
                <w:rFonts w:hint="eastAsia" w:ascii="仿宋" w:hAnsi="仿宋" w:eastAsia="仿宋" w:cs="仿宋"/>
                <w:sz w:val="21"/>
                <w:szCs w:val="21"/>
              </w:rPr>
            </w:pPr>
            <w:r>
              <w:rPr>
                <w:rFonts w:hint="eastAsia" w:ascii="仿宋" w:hAnsi="仿宋" w:eastAsia="仿宋" w:cs="仿宋"/>
                <w:sz w:val="21"/>
                <w:szCs w:val="21"/>
              </w:rPr>
              <w:t>后勤管理服务方案基本满足招标需求的</w:t>
            </w:r>
            <w:r>
              <w:rPr>
                <w:rFonts w:hint="eastAsia" w:ascii="仿宋" w:hAnsi="仿宋" w:eastAsia="仿宋" w:cs="仿宋"/>
                <w:sz w:val="21"/>
                <w:szCs w:val="21"/>
                <w:lang w:eastAsia="zh-CN"/>
              </w:rPr>
              <w:t>，</w:t>
            </w:r>
            <w:r>
              <w:rPr>
                <w:rFonts w:hint="eastAsia" w:ascii="仿宋" w:hAnsi="仿宋" w:eastAsia="仿宋" w:cs="仿宋"/>
                <w:sz w:val="21"/>
                <w:szCs w:val="21"/>
              </w:rPr>
              <w:t>得2分；</w:t>
            </w:r>
          </w:p>
          <w:p>
            <w:pPr>
              <w:spacing w:line="400" w:lineRule="exact"/>
              <w:rPr>
                <w:rFonts w:hint="eastAsia" w:ascii="仿宋" w:hAnsi="仿宋" w:eastAsia="仿宋" w:cs="仿宋"/>
                <w:sz w:val="21"/>
                <w:szCs w:val="21"/>
              </w:rPr>
            </w:pPr>
            <w:r>
              <w:rPr>
                <w:rFonts w:hint="eastAsia" w:ascii="仿宋" w:hAnsi="仿宋" w:eastAsia="仿宋" w:cs="仿宋"/>
                <w:sz w:val="21"/>
                <w:szCs w:val="21"/>
              </w:rPr>
              <w:t>后勤管理服务方案存在缺陷的</w:t>
            </w:r>
            <w:r>
              <w:rPr>
                <w:rFonts w:hint="eastAsia" w:ascii="仿宋" w:hAnsi="仿宋" w:eastAsia="仿宋" w:cs="仿宋"/>
                <w:sz w:val="21"/>
                <w:szCs w:val="21"/>
                <w:lang w:eastAsia="zh-CN"/>
              </w:rPr>
              <w:t>，</w:t>
            </w:r>
            <w:r>
              <w:rPr>
                <w:rFonts w:hint="eastAsia" w:ascii="仿宋" w:hAnsi="仿宋" w:eastAsia="仿宋" w:cs="仿宋"/>
                <w:sz w:val="21"/>
                <w:szCs w:val="21"/>
              </w:rPr>
              <w:t>得1分。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255" w:type="pct"/>
            <w:vMerge w:val="continue"/>
            <w:tcBorders>
              <w:left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p>
        </w:tc>
        <w:tc>
          <w:tcPr>
            <w:tcW w:w="426" w:type="pct"/>
            <w:vMerge w:val="continue"/>
            <w:tcBorders>
              <w:left w:val="single" w:color="auto" w:sz="4" w:space="0"/>
              <w:right w:val="single" w:color="auto" w:sz="4" w:space="0"/>
            </w:tcBorders>
            <w:noWrap/>
            <w:vAlign w:val="center"/>
          </w:tcPr>
          <w:p>
            <w:pPr>
              <w:spacing w:line="360" w:lineRule="auto"/>
              <w:rPr>
                <w:rFonts w:hint="eastAsia" w:ascii="仿宋" w:hAnsi="仿宋" w:eastAsia="仿宋" w:cs="仿宋"/>
                <w:color w:val="000000"/>
                <w:kern w:val="0"/>
                <w:sz w:val="21"/>
                <w:szCs w:val="21"/>
              </w:rPr>
            </w:pPr>
          </w:p>
        </w:tc>
        <w:tc>
          <w:tcPr>
            <w:tcW w:w="526" w:type="pct"/>
            <w:vMerge w:val="continue"/>
            <w:tcBorders>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p>
        </w:tc>
        <w:tc>
          <w:tcPr>
            <w:tcW w:w="3790" w:type="pct"/>
            <w:tcBorders>
              <w:top w:val="single" w:color="auto" w:sz="4" w:space="0"/>
              <w:left w:val="single" w:color="auto" w:sz="4" w:space="0"/>
              <w:right w:val="single" w:color="auto" w:sz="12" w:space="0"/>
            </w:tcBorders>
            <w:noWrap/>
            <w:vAlign w:val="center"/>
          </w:tcPr>
          <w:p>
            <w:pPr>
              <w:spacing w:line="400" w:lineRule="exact"/>
              <w:rPr>
                <w:rFonts w:hint="eastAsia" w:ascii="仿宋" w:hAnsi="仿宋" w:eastAsia="仿宋" w:cs="仿宋"/>
                <w:b/>
                <w:sz w:val="21"/>
                <w:szCs w:val="21"/>
                <w:highlight w:val="none"/>
              </w:rPr>
            </w:pPr>
            <w:r>
              <w:rPr>
                <w:rFonts w:hint="eastAsia" w:ascii="仿宋" w:hAnsi="仿宋" w:eastAsia="仿宋" w:cs="仿宋"/>
                <w:b/>
                <w:sz w:val="21"/>
                <w:szCs w:val="21"/>
                <w:highlight w:val="none"/>
              </w:rPr>
              <w:t>培训场地、教学设施设备：（4分）</w:t>
            </w:r>
          </w:p>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培训场地安排合理，教学设施设备齐全的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得4分；</w:t>
            </w:r>
          </w:p>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培训场地、教学设施设备基本满足招标需求的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得2分；</w:t>
            </w:r>
          </w:p>
          <w:p>
            <w:pPr>
              <w:spacing w:line="40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培训场地、教学设施设备存在缺陷的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得1分。</w:t>
            </w:r>
          </w:p>
          <w:p>
            <w:pPr>
              <w:pStyle w:val="2"/>
              <w:ind w:left="0" w:leftChars="0" w:firstLine="0" w:firstLineChars="0"/>
              <w:rPr>
                <w:rFonts w:hint="eastAsia" w:eastAsia="仿宋"/>
                <w:highlight w:val="none"/>
                <w:lang w:eastAsia="zh-CN"/>
              </w:rPr>
            </w:pPr>
            <w:r>
              <w:rPr>
                <w:rFonts w:hint="eastAsia" w:ascii="仿宋" w:hAnsi="仿宋" w:eastAsia="仿宋" w:cs="仿宋"/>
                <w:kern w:val="2"/>
                <w:sz w:val="21"/>
                <w:szCs w:val="21"/>
                <w:highlight w:val="none"/>
                <w:lang w:val="en-US" w:eastAsia="zh-CN" w:bidi="ar-SA"/>
              </w:rPr>
              <w:t>注：提供</w:t>
            </w:r>
            <w:r>
              <w:rPr>
                <w:rFonts w:hint="default" w:ascii="仿宋" w:hAnsi="仿宋" w:eastAsia="仿宋" w:cs="仿宋"/>
                <w:kern w:val="2"/>
                <w:sz w:val="21"/>
                <w:szCs w:val="21"/>
                <w:highlight w:val="none"/>
                <w:lang w:val="en-US" w:eastAsia="zh-CN" w:bidi="ar-SA"/>
              </w:rPr>
              <w:t>培训场地、</w:t>
            </w:r>
            <w:r>
              <w:rPr>
                <w:rFonts w:hint="eastAsia" w:ascii="仿宋" w:hAnsi="仿宋" w:eastAsia="仿宋" w:cs="仿宋"/>
                <w:kern w:val="2"/>
                <w:sz w:val="21"/>
                <w:szCs w:val="21"/>
                <w:highlight w:val="none"/>
                <w:lang w:val="en-US" w:eastAsia="zh-CN" w:bidi="ar-SA"/>
              </w:rPr>
              <w:t>教学设施设备相关的</w:t>
            </w:r>
            <w:r>
              <w:rPr>
                <w:rFonts w:hint="default" w:ascii="仿宋" w:hAnsi="仿宋" w:eastAsia="仿宋" w:cs="仿宋"/>
                <w:kern w:val="2"/>
                <w:sz w:val="21"/>
                <w:szCs w:val="21"/>
                <w:highlight w:val="none"/>
                <w:lang w:val="en-US" w:eastAsia="zh-CN" w:bidi="ar-SA"/>
              </w:rPr>
              <w:t>图片证明</w:t>
            </w:r>
            <w:r>
              <w:rPr>
                <w:rFonts w:hint="eastAsia" w:ascii="仿宋" w:hAnsi="仿宋" w:eastAsia="仿宋" w:cs="仿宋"/>
                <w:kern w:val="2"/>
                <w:sz w:val="21"/>
                <w:szCs w:val="21"/>
                <w:highlight w:val="none"/>
                <w:lang w:val="en-US" w:eastAsia="zh-CN" w:bidi="ar-SA"/>
              </w:rPr>
              <w:t>材料</w:t>
            </w:r>
            <w:r>
              <w:rPr>
                <w:rFonts w:hint="eastAsia" w:ascii="仿宋" w:hAnsi="仿宋" w:eastAsia="仿宋" w:cs="仿宋"/>
                <w:sz w:val="21"/>
                <w:szCs w:val="21"/>
                <w:highlight w:val="none"/>
              </w:rPr>
              <w:t>，不提供的不得分</w:t>
            </w:r>
            <w:r>
              <w:rPr>
                <w:rFonts w:hint="default" w:ascii="仿宋" w:hAnsi="仿宋" w:eastAsia="仿宋" w:cs="仿宋"/>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55" w:type="pct"/>
            <w:vMerge w:val="continue"/>
            <w:tcBorders>
              <w:left w:val="single" w:color="auto" w:sz="12" w:space="0"/>
              <w:right w:val="single" w:color="auto" w:sz="4" w:space="0"/>
            </w:tcBorders>
            <w:noWrap/>
            <w:vAlign w:val="center"/>
          </w:tcPr>
          <w:p>
            <w:pPr>
              <w:widowControl/>
              <w:spacing w:line="360" w:lineRule="auto"/>
              <w:jc w:val="center"/>
              <w:rPr>
                <w:rFonts w:ascii="仿宋_GB2312" w:hAnsi="仿宋_GB2312" w:eastAsia="仿宋_GB2312" w:cs="仿宋_GB2312"/>
                <w:color w:val="000000"/>
                <w:kern w:val="0"/>
                <w:szCs w:val="21"/>
              </w:rPr>
            </w:pPr>
          </w:p>
        </w:tc>
        <w:tc>
          <w:tcPr>
            <w:tcW w:w="426" w:type="pct"/>
            <w:vMerge w:val="continue"/>
            <w:tcBorders>
              <w:left w:val="single" w:color="auto" w:sz="4" w:space="0"/>
              <w:right w:val="single" w:color="auto" w:sz="4" w:space="0"/>
            </w:tcBorders>
            <w:noWrap/>
            <w:vAlign w:val="center"/>
          </w:tcPr>
          <w:p>
            <w:pPr>
              <w:spacing w:line="360" w:lineRule="auto"/>
              <w:rPr>
                <w:rFonts w:hint="eastAsia" w:ascii="仿宋" w:hAnsi="仿宋" w:eastAsia="仿宋" w:cs="仿宋"/>
                <w:color w:val="000000"/>
                <w:kern w:val="0"/>
                <w:sz w:val="21"/>
                <w:szCs w:val="21"/>
              </w:rPr>
            </w:pPr>
          </w:p>
        </w:tc>
        <w:tc>
          <w:tcPr>
            <w:tcW w:w="526" w:type="pct"/>
            <w:vMerge w:val="continue"/>
            <w:tcBorders>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rPr>
            </w:pPr>
          </w:p>
        </w:tc>
        <w:tc>
          <w:tcPr>
            <w:tcW w:w="3790" w:type="pct"/>
            <w:tcBorders>
              <w:top w:val="single" w:color="auto" w:sz="4" w:space="0"/>
              <w:left w:val="single" w:color="auto" w:sz="4" w:space="0"/>
              <w:right w:val="single" w:color="auto" w:sz="12" w:space="0"/>
            </w:tcBorders>
            <w:noWrap/>
            <w:vAlign w:val="center"/>
          </w:tcPr>
          <w:p>
            <w:pPr>
              <w:spacing w:line="400" w:lineRule="exact"/>
              <w:rPr>
                <w:rFonts w:hint="eastAsia" w:ascii="仿宋" w:hAnsi="仿宋" w:eastAsia="仿宋" w:cs="仿宋"/>
                <w:b/>
                <w:sz w:val="21"/>
                <w:szCs w:val="21"/>
                <w:highlight w:val="none"/>
              </w:rPr>
            </w:pPr>
            <w:r>
              <w:rPr>
                <w:rFonts w:hint="eastAsia" w:ascii="仿宋" w:hAnsi="仿宋" w:eastAsia="仿宋" w:cs="仿宋"/>
                <w:b/>
                <w:sz w:val="21"/>
                <w:szCs w:val="21"/>
                <w:highlight w:val="none"/>
              </w:rPr>
              <w:t>后勤服务团队：（4分）</w:t>
            </w:r>
          </w:p>
          <w:p>
            <w:pPr>
              <w:spacing w:line="276"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有专门的后勤服务团队，后勤服务团队能力强</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得4分；</w:t>
            </w:r>
          </w:p>
          <w:p>
            <w:pPr>
              <w:spacing w:line="276"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后勤服务团队能力基本满足招标需求的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得2分；</w:t>
            </w:r>
          </w:p>
          <w:p>
            <w:pPr>
              <w:spacing w:line="276" w:lineRule="auto"/>
              <w:rPr>
                <w:rFonts w:hint="eastAsia" w:eastAsia="仿宋"/>
                <w:highlight w:val="none"/>
                <w:lang w:eastAsia="zh-CN"/>
              </w:rPr>
            </w:pPr>
            <w:r>
              <w:rPr>
                <w:rFonts w:hint="eastAsia" w:ascii="仿宋" w:hAnsi="仿宋" w:eastAsia="仿宋" w:cs="仿宋"/>
                <w:sz w:val="21"/>
                <w:szCs w:val="21"/>
                <w:highlight w:val="none"/>
              </w:rPr>
              <w:t>后勤服务团队能力存在缺陷的</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得1分。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255" w:type="pct"/>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6</w:t>
            </w:r>
          </w:p>
        </w:tc>
        <w:tc>
          <w:tcPr>
            <w:tcW w:w="426"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业绩及经验</w:t>
            </w:r>
          </w:p>
        </w:tc>
        <w:tc>
          <w:tcPr>
            <w:tcW w:w="526"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highlight w:val="none"/>
                <w:lang w:val="en-US" w:eastAsia="zh-CN"/>
              </w:rPr>
              <w:t>3</w:t>
            </w:r>
          </w:p>
        </w:tc>
        <w:tc>
          <w:tcPr>
            <w:tcW w:w="3790" w:type="pct"/>
            <w:tcBorders>
              <w:top w:val="single" w:color="auto" w:sz="4" w:space="0"/>
              <w:left w:val="single" w:color="auto" w:sz="4" w:space="0"/>
              <w:bottom w:val="single" w:color="auto" w:sz="4" w:space="0"/>
              <w:right w:val="single" w:color="auto" w:sz="12" w:space="0"/>
            </w:tcBorders>
            <w:noWrap/>
            <w:vAlign w:val="center"/>
          </w:tcPr>
          <w:p>
            <w:pPr>
              <w:widowControl/>
              <w:spacing w:line="400" w:lineRule="exact"/>
              <w:jc w:val="left"/>
              <w:rPr>
                <w:rFonts w:hint="eastAsia" w:ascii="仿宋" w:hAnsi="仿宋" w:eastAsia="仿宋" w:cs="仿宋"/>
                <w:b/>
                <w:sz w:val="21"/>
                <w:szCs w:val="21"/>
              </w:rPr>
            </w:pPr>
            <w:r>
              <w:rPr>
                <w:rFonts w:hint="eastAsia" w:ascii="仿宋" w:hAnsi="仿宋" w:eastAsia="仿宋" w:cs="仿宋"/>
                <w:b/>
                <w:sz w:val="21"/>
                <w:szCs w:val="21"/>
                <w:highlight w:val="none"/>
              </w:rPr>
              <w:t>根据供应商的综合实力进行评议：（</w:t>
            </w:r>
            <w:r>
              <w:rPr>
                <w:rFonts w:hint="eastAsia" w:ascii="仿宋" w:hAnsi="仿宋" w:eastAsia="仿宋" w:cs="仿宋"/>
                <w:b/>
                <w:sz w:val="21"/>
                <w:szCs w:val="21"/>
                <w:highlight w:val="none"/>
                <w:lang w:val="en-US" w:eastAsia="zh-CN"/>
              </w:rPr>
              <w:t>3</w:t>
            </w:r>
            <w:r>
              <w:rPr>
                <w:rFonts w:hint="eastAsia" w:ascii="仿宋" w:hAnsi="仿宋" w:eastAsia="仿宋" w:cs="仿宋"/>
                <w:b/>
                <w:sz w:val="21"/>
                <w:szCs w:val="21"/>
              </w:rPr>
              <w:t>分）</w:t>
            </w:r>
          </w:p>
          <w:p>
            <w:pPr>
              <w:spacing w:line="276"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近3年，供应商承接政府主办的经管人才培训经验丰富，场次在20场以上的，得3分；</w:t>
            </w:r>
          </w:p>
          <w:p>
            <w:pPr>
              <w:spacing w:line="276"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近3年，供应商承接政府主办的经管人才培训经验丰富，场次在10场以上的，得2分；</w:t>
            </w:r>
          </w:p>
          <w:p>
            <w:pPr>
              <w:spacing w:line="276" w:lineRule="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近3年，供应商承接政府主办的经管人才培训经验丰富，场次在5场以上的，得1分。</w:t>
            </w:r>
          </w:p>
          <w:p>
            <w:pPr>
              <w:spacing w:line="276" w:lineRule="auto"/>
              <w:rPr>
                <w:rFonts w:hint="eastAsia" w:ascii="仿宋" w:hAnsi="仿宋" w:eastAsia="仿宋" w:cs="仿宋"/>
                <w:color w:val="000000"/>
                <w:kern w:val="0"/>
                <w:sz w:val="21"/>
                <w:szCs w:val="21"/>
              </w:rPr>
            </w:pPr>
            <w:r>
              <w:rPr>
                <w:rFonts w:hint="eastAsia" w:ascii="仿宋" w:hAnsi="仿宋" w:eastAsia="仿宋" w:cs="仿宋"/>
                <w:sz w:val="21"/>
                <w:szCs w:val="21"/>
                <w:highlight w:val="none"/>
                <w:lang w:eastAsia="zh-CN"/>
              </w:rPr>
              <w:t>注：</w:t>
            </w:r>
            <w:r>
              <w:rPr>
                <w:rFonts w:hint="eastAsia" w:ascii="仿宋" w:hAnsi="仿宋" w:eastAsia="仿宋" w:cs="仿宋"/>
                <w:sz w:val="21"/>
                <w:szCs w:val="21"/>
                <w:highlight w:val="none"/>
              </w:rPr>
              <w:t>提供供应商简介、</w:t>
            </w:r>
            <w:r>
              <w:rPr>
                <w:rFonts w:hint="eastAsia" w:ascii="仿宋" w:hAnsi="仿宋" w:eastAsia="仿宋" w:cs="仿宋"/>
                <w:sz w:val="21"/>
                <w:szCs w:val="21"/>
                <w:highlight w:val="none"/>
                <w:lang w:eastAsia="zh-CN"/>
              </w:rPr>
              <w:t>过往培训证明</w:t>
            </w:r>
            <w:r>
              <w:rPr>
                <w:rFonts w:hint="eastAsia" w:ascii="仿宋" w:hAnsi="仿宋" w:eastAsia="仿宋" w:cs="仿宋"/>
                <w:sz w:val="21"/>
                <w:szCs w:val="21"/>
                <w:highlight w:val="none"/>
              </w:rPr>
              <w:t>等资料，不提供的不得分。</w:t>
            </w:r>
          </w:p>
        </w:tc>
      </w:tr>
    </w:tbl>
    <w:p>
      <w:pPr>
        <w:spacing w:line="360" w:lineRule="auto"/>
        <w:rPr>
          <w:rFonts w:ascii="仿宋" w:hAnsi="仿宋" w:eastAsia="仿宋" w:cs="仿宋_GB2312"/>
          <w:color w:val="000000"/>
          <w:kern w:val="0"/>
          <w:szCs w:val="21"/>
        </w:rPr>
      </w:pPr>
      <w:r>
        <w:rPr>
          <w:rFonts w:ascii="仿宋" w:hAnsi="仿宋" w:eastAsia="仿宋" w:cs="仿宋_GB2312"/>
          <w:color w:val="000000"/>
          <w:kern w:val="0"/>
          <w:szCs w:val="21"/>
        </w:rPr>
        <w:t>注:1、各项得分保留小数点后二位小数，第三位四舍五入。</w:t>
      </w:r>
    </w:p>
    <w:p>
      <w:pPr>
        <w:numPr>
          <w:ilvl w:val="0"/>
          <w:numId w:val="4"/>
        </w:numPr>
        <w:spacing w:line="440" w:lineRule="exact"/>
        <w:ind w:firstLine="422" w:firstLineChars="200"/>
        <w:rPr>
          <w:rFonts w:ascii="仿宋" w:hAnsi="仿宋" w:eastAsia="仿宋" w:cs="仿宋_GB2312"/>
          <w:b/>
          <w:color w:val="000000"/>
          <w:kern w:val="0"/>
          <w:szCs w:val="21"/>
          <w:u w:val="single"/>
        </w:rPr>
      </w:pPr>
      <w:r>
        <w:rPr>
          <w:rFonts w:ascii="仿宋" w:hAnsi="仿宋" w:eastAsia="仿宋" w:cs="仿宋_GB2312"/>
          <w:b/>
          <w:color w:val="000000"/>
          <w:kern w:val="0"/>
          <w:szCs w:val="21"/>
          <w:u w:val="single"/>
        </w:rPr>
        <w:t>有关证书均应在有效期内。</w:t>
      </w: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pStyle w:val="2"/>
        <w:numPr>
          <w:ilvl w:val="0"/>
          <w:numId w:val="0"/>
        </w:numPr>
        <w:ind w:leftChars="400"/>
      </w:pPr>
    </w:p>
    <w:p>
      <w:pPr>
        <w:spacing w:line="360" w:lineRule="auto"/>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六</w:t>
      </w:r>
      <w:r>
        <w:rPr>
          <w:rFonts w:ascii="仿宋_GB2312" w:hAnsi="仿宋_GB2312" w:eastAsia="仿宋_GB2312" w:cs="仿宋_GB2312"/>
          <w:color w:val="000000"/>
          <w:kern w:val="0"/>
          <w:sz w:val="36"/>
          <w:szCs w:val="36"/>
        </w:rPr>
        <w:t xml:space="preserve">部分   </w:t>
      </w:r>
      <w:r>
        <w:rPr>
          <w:rFonts w:hint="eastAsia" w:ascii="仿宋_GB2312" w:hAnsi="仿宋_GB2312" w:eastAsia="仿宋_GB2312" w:cs="仿宋_GB2312"/>
          <w:color w:val="000000"/>
          <w:kern w:val="0"/>
          <w:sz w:val="36"/>
          <w:szCs w:val="36"/>
        </w:rPr>
        <w:t>拟签订</w:t>
      </w:r>
      <w:r>
        <w:rPr>
          <w:rFonts w:ascii="仿宋_GB2312" w:hAnsi="仿宋_GB2312" w:eastAsia="仿宋_GB2312" w:cs="仿宋_GB2312"/>
          <w:color w:val="000000"/>
          <w:kern w:val="0"/>
          <w:sz w:val="36"/>
          <w:szCs w:val="36"/>
        </w:rPr>
        <w:t>合同样本</w:t>
      </w:r>
    </w:p>
    <w:p>
      <w:pPr>
        <w:pStyle w:val="39"/>
        <w:snapToGrid w:val="0"/>
        <w:spacing w:line="360" w:lineRule="auto"/>
        <w:ind w:firstLine="602"/>
        <w:jc w:val="center"/>
        <w:rPr>
          <w:rFonts w:ascii="仿宋_GB2312" w:hAnsi="仿宋_GB2312" w:eastAsia="仿宋_GB2312" w:cs="仿宋_GB2312"/>
          <w:b/>
          <w:color w:val="000000"/>
          <w:kern w:val="0"/>
          <w:sz w:val="24"/>
          <w:szCs w:val="24"/>
          <w:u w:val="single"/>
        </w:rPr>
      </w:pPr>
      <w:r>
        <w:rPr>
          <w:rFonts w:ascii="仿宋_GB2312" w:hAnsi="仿宋_GB2312" w:eastAsia="仿宋_GB2312" w:cs="仿宋_GB2312"/>
          <w:b/>
          <w:color w:val="000000"/>
          <w:kern w:val="0"/>
          <w:sz w:val="24"/>
          <w:szCs w:val="24"/>
          <w:u w:val="single"/>
        </w:rPr>
        <w:t>（本合同</w:t>
      </w:r>
      <w:r>
        <w:rPr>
          <w:rFonts w:hint="eastAsia" w:ascii="仿宋_GB2312" w:hAnsi="仿宋_GB2312" w:eastAsia="仿宋_GB2312" w:cs="仿宋_GB2312"/>
          <w:b/>
          <w:color w:val="000000"/>
          <w:kern w:val="0"/>
          <w:sz w:val="24"/>
          <w:szCs w:val="24"/>
          <w:u w:val="single"/>
        </w:rPr>
        <w:t>样本</w:t>
      </w:r>
      <w:r>
        <w:rPr>
          <w:rFonts w:ascii="仿宋_GB2312" w:hAnsi="仿宋_GB2312" w:eastAsia="仿宋_GB2312" w:cs="仿宋_GB2312"/>
          <w:b/>
          <w:color w:val="000000"/>
          <w:kern w:val="0"/>
          <w:sz w:val="24"/>
          <w:szCs w:val="24"/>
          <w:u w:val="single"/>
        </w:rPr>
        <w:t>由采购人提供，</w:t>
      </w:r>
      <w:r>
        <w:rPr>
          <w:rFonts w:hint="eastAsia" w:ascii="仿宋_GB2312" w:hAnsi="仿宋_GB2312" w:eastAsia="仿宋_GB2312" w:cs="仿宋_GB2312"/>
          <w:b/>
          <w:color w:val="000000"/>
          <w:kern w:val="0"/>
          <w:sz w:val="24"/>
          <w:szCs w:val="24"/>
          <w:u w:val="single"/>
        </w:rPr>
        <w:t>招标文件已约定的条款以招标文件为准，其他具体条款内容</w:t>
      </w:r>
      <w:r>
        <w:rPr>
          <w:rFonts w:ascii="仿宋_GB2312" w:hAnsi="仿宋_GB2312" w:eastAsia="仿宋_GB2312" w:cs="仿宋_GB2312"/>
          <w:b/>
          <w:color w:val="000000"/>
          <w:kern w:val="0"/>
          <w:sz w:val="24"/>
          <w:szCs w:val="24"/>
          <w:u w:val="single"/>
        </w:rPr>
        <w:t>由甲乙双方协商后</w:t>
      </w:r>
      <w:r>
        <w:rPr>
          <w:rFonts w:hint="eastAsia" w:ascii="仿宋_GB2312" w:hAnsi="仿宋_GB2312" w:eastAsia="仿宋_GB2312" w:cs="仿宋_GB2312"/>
          <w:b/>
          <w:color w:val="000000"/>
          <w:kern w:val="0"/>
          <w:sz w:val="24"/>
          <w:szCs w:val="24"/>
          <w:u w:val="single"/>
        </w:rPr>
        <w:t>根据实际情况</w:t>
      </w:r>
      <w:r>
        <w:rPr>
          <w:rFonts w:ascii="仿宋_GB2312" w:hAnsi="仿宋_GB2312" w:eastAsia="仿宋_GB2312" w:cs="仿宋_GB2312"/>
          <w:b/>
          <w:color w:val="000000"/>
          <w:kern w:val="0"/>
          <w:sz w:val="24"/>
          <w:szCs w:val="24"/>
          <w:u w:val="single"/>
        </w:rPr>
        <w:t xml:space="preserve">确定）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宋体" w:hAnsi="宋体" w:eastAsia="宋体" w:cs="宋体"/>
          <w:color w:val="auto"/>
          <w:kern w:val="0"/>
          <w:sz w:val="24"/>
          <w:szCs w:val="24"/>
          <w:lang w:val="en-US" w:eastAsia="zh-CN" w:bidi="ar-SA"/>
        </w:rPr>
      </w:pPr>
      <w:bookmarkStart w:id="26" w:name="_Toc231780370"/>
      <w:bookmarkStart w:id="27" w:name="_Toc437251188"/>
      <w:bookmarkStart w:id="28" w:name="_Toc360457889"/>
    </w:p>
    <w:p>
      <w:pPr>
        <w:keepNext w:val="0"/>
        <w:keepLines w:val="0"/>
        <w:pageBreakBefore w:val="0"/>
        <w:kinsoku/>
        <w:wordWrap/>
        <w:overflowPunct/>
        <w:topLinePunct w:val="0"/>
        <w:autoSpaceDE/>
        <w:autoSpaceDN/>
        <w:bidi w:val="0"/>
        <w:adjustRightInd/>
        <w:spacing w:beforeAutospacing="0" w:afterAutospacing="0" w:line="240" w:lineRule="atLeast"/>
        <w:ind w:left="0"/>
        <w:textAlignment w:val="auto"/>
        <w:rPr>
          <w:rFonts w:hint="eastAsia" w:ascii="仿宋" w:hAnsi="仿宋" w:eastAsia="仿宋" w:cs="仿宋"/>
          <w:sz w:val="28"/>
          <w:szCs w:val="28"/>
        </w:rPr>
      </w:pPr>
      <w:r>
        <w:rPr>
          <w:rFonts w:hint="eastAsia" w:ascii="仿宋" w:hAnsi="仿宋" w:eastAsia="仿宋" w:cs="仿宋"/>
          <w:sz w:val="28"/>
          <w:szCs w:val="28"/>
        </w:rPr>
        <w:t>项目名称：慈溪市经济和信息化局202</w:t>
      </w:r>
      <w:r>
        <w:rPr>
          <w:rFonts w:hint="eastAsia" w:ascii="仿宋" w:hAnsi="仿宋" w:eastAsia="仿宋" w:cs="仿宋"/>
          <w:sz w:val="28"/>
          <w:szCs w:val="28"/>
          <w:lang w:val="en-US" w:eastAsia="zh-CN"/>
        </w:rPr>
        <w:t>4</w:t>
      </w:r>
      <w:r>
        <w:rPr>
          <w:rFonts w:hint="eastAsia" w:ascii="仿宋" w:hAnsi="仿宋" w:eastAsia="仿宋" w:cs="仿宋"/>
          <w:sz w:val="28"/>
          <w:szCs w:val="28"/>
        </w:rPr>
        <w:t>年慈溪市企业经营管理人才培训采购项目</w:t>
      </w:r>
    </w:p>
    <w:p>
      <w:pPr>
        <w:keepNext w:val="0"/>
        <w:keepLines w:val="0"/>
        <w:pageBreakBefore w:val="0"/>
        <w:kinsoku/>
        <w:wordWrap/>
        <w:overflowPunct/>
        <w:topLinePunct w:val="0"/>
        <w:autoSpaceDE/>
        <w:autoSpaceDN/>
        <w:bidi w:val="0"/>
        <w:adjustRightInd/>
        <w:spacing w:beforeAutospacing="0" w:afterAutospacing="0" w:line="240" w:lineRule="atLeast"/>
        <w:ind w:left="0"/>
        <w:textAlignment w:val="auto"/>
        <w:rPr>
          <w:rFonts w:hint="eastAsia" w:ascii="仿宋" w:hAnsi="仿宋" w:eastAsia="仿宋" w:cs="仿宋"/>
          <w:sz w:val="28"/>
          <w:szCs w:val="28"/>
        </w:rPr>
      </w:pPr>
      <w:r>
        <w:rPr>
          <w:rFonts w:hint="eastAsia" w:ascii="仿宋" w:hAnsi="仿宋" w:eastAsia="仿宋" w:cs="仿宋"/>
          <w:sz w:val="28"/>
          <w:szCs w:val="28"/>
        </w:rPr>
        <w:t>招标编号：XXXXXXXXXXXXXXXXXX</w:t>
      </w:r>
    </w:p>
    <w:p>
      <w:pPr>
        <w:keepNext w:val="0"/>
        <w:keepLines w:val="0"/>
        <w:pageBreakBefore w:val="0"/>
        <w:kinsoku/>
        <w:wordWrap/>
        <w:overflowPunct/>
        <w:topLinePunct w:val="0"/>
        <w:autoSpaceDE/>
        <w:autoSpaceDN/>
        <w:bidi w:val="0"/>
        <w:adjustRightInd/>
        <w:spacing w:beforeAutospacing="0" w:afterAutospacing="0" w:line="240" w:lineRule="atLeast"/>
        <w:ind w:left="0"/>
        <w:textAlignment w:val="auto"/>
        <w:rPr>
          <w:rFonts w:hint="eastAsia" w:ascii="仿宋" w:hAnsi="仿宋" w:eastAsia="仿宋" w:cs="仿宋"/>
          <w:bCs/>
          <w:sz w:val="28"/>
          <w:szCs w:val="28"/>
        </w:rPr>
      </w:pPr>
      <w:r>
        <w:rPr>
          <w:rFonts w:hint="eastAsia" w:ascii="仿宋" w:hAnsi="仿宋" w:eastAsia="仿宋" w:cs="仿宋"/>
          <w:bCs/>
          <w:sz w:val="28"/>
          <w:szCs w:val="28"/>
        </w:rPr>
        <w:t>甲方：慈溪市经济和信息化局</w:t>
      </w:r>
    </w:p>
    <w:p>
      <w:pPr>
        <w:keepNext w:val="0"/>
        <w:keepLines w:val="0"/>
        <w:pageBreakBefore w:val="0"/>
        <w:kinsoku/>
        <w:wordWrap/>
        <w:overflowPunct/>
        <w:topLinePunct w:val="0"/>
        <w:autoSpaceDE/>
        <w:autoSpaceDN/>
        <w:bidi w:val="0"/>
        <w:adjustRightInd/>
        <w:spacing w:beforeAutospacing="0" w:afterAutospacing="0" w:line="240" w:lineRule="atLeast"/>
        <w:ind w:left="0"/>
        <w:textAlignment w:val="auto"/>
        <w:rPr>
          <w:rFonts w:hint="eastAsia" w:ascii="仿宋" w:hAnsi="仿宋" w:eastAsia="仿宋" w:cs="仿宋"/>
          <w:bCs/>
          <w:sz w:val="28"/>
          <w:szCs w:val="28"/>
          <w:u w:val="none"/>
        </w:rPr>
      </w:pPr>
      <w:r>
        <w:rPr>
          <w:rFonts w:hint="eastAsia" w:ascii="仿宋" w:hAnsi="仿宋" w:eastAsia="仿宋" w:cs="仿宋"/>
          <w:bCs/>
          <w:sz w:val="28"/>
          <w:szCs w:val="28"/>
        </w:rPr>
        <w:t>乙方：</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根据</w:t>
      </w:r>
      <w:r>
        <w:rPr>
          <w:rFonts w:hint="eastAsia" w:ascii="仿宋" w:hAnsi="仿宋" w:eastAsia="仿宋" w:cs="仿宋"/>
          <w:bCs/>
          <w:sz w:val="28"/>
          <w:szCs w:val="28"/>
          <w:u w:val="single"/>
        </w:rPr>
        <w:t xml:space="preserve">    （项目编号、项目名称）     </w:t>
      </w:r>
      <w:r>
        <w:rPr>
          <w:rFonts w:hint="eastAsia" w:ascii="仿宋" w:hAnsi="仿宋" w:eastAsia="仿宋" w:cs="仿宋"/>
          <w:bCs/>
          <w:sz w:val="28"/>
          <w:szCs w:val="28"/>
        </w:rPr>
        <w:t>项目结果，甲方特委托乙方开展</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培训。经双方商定，达成如下协议：</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一、培训时间：</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rPr>
        <w:t>，培训天数</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天。</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二、培训地点：</w:t>
      </w:r>
      <w:r>
        <w:rPr>
          <w:rFonts w:hint="eastAsia" w:ascii="仿宋" w:hAnsi="仿宋" w:eastAsia="仿宋" w:cs="仿宋"/>
          <w:bCs/>
          <w:sz w:val="28"/>
          <w:szCs w:val="28"/>
          <w:u w:val="single"/>
        </w:rPr>
        <w:t xml:space="preserve">                                        </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三、培训对象：</w:t>
      </w:r>
      <w:r>
        <w:rPr>
          <w:rFonts w:hint="eastAsia" w:ascii="仿宋" w:hAnsi="仿宋" w:eastAsia="仿宋" w:cs="仿宋"/>
          <w:bCs/>
          <w:sz w:val="28"/>
          <w:szCs w:val="28"/>
          <w:u w:val="single"/>
        </w:rPr>
        <w:t xml:space="preserve">                                        </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四、培训人数：</w:t>
      </w:r>
      <w:r>
        <w:rPr>
          <w:rFonts w:hint="eastAsia" w:ascii="仿宋" w:hAnsi="仿宋" w:eastAsia="仿宋" w:cs="仿宋"/>
          <w:bCs/>
          <w:sz w:val="28"/>
          <w:szCs w:val="28"/>
          <w:u w:val="single"/>
        </w:rPr>
        <w:t xml:space="preserve">                                        </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五、培训讲师：</w:t>
      </w:r>
      <w:r>
        <w:rPr>
          <w:rFonts w:hint="eastAsia" w:ascii="仿宋" w:hAnsi="仿宋" w:eastAsia="仿宋" w:cs="仿宋"/>
          <w:bCs/>
          <w:sz w:val="28"/>
          <w:szCs w:val="28"/>
          <w:u w:val="single"/>
        </w:rPr>
        <w:t xml:space="preserve">                                        </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六、双方职责：</w:t>
      </w:r>
    </w:p>
    <w:p>
      <w:pPr>
        <w:keepNext w:val="0"/>
        <w:keepLines w:val="0"/>
        <w:pageBreakBefore w:val="0"/>
        <w:kinsoku/>
        <w:wordWrap/>
        <w:overflowPunct/>
        <w:topLinePunct w:val="0"/>
        <w:autoSpaceDE/>
        <w:autoSpaceDN/>
        <w:bidi w:val="0"/>
        <w:adjustRightInd/>
        <w:spacing w:beforeAutospacing="0" w:afterAutospacing="0" w:line="240" w:lineRule="atLeast"/>
        <w:ind w:left="0" w:firstLine="700" w:firstLineChars="250"/>
        <w:textAlignment w:val="auto"/>
        <w:rPr>
          <w:rFonts w:hint="eastAsia" w:ascii="仿宋" w:hAnsi="仿宋" w:eastAsia="仿宋" w:cs="仿宋"/>
          <w:bCs/>
          <w:sz w:val="28"/>
          <w:szCs w:val="28"/>
        </w:rPr>
      </w:pPr>
      <w:r>
        <w:rPr>
          <w:rFonts w:hint="eastAsia" w:ascii="仿宋" w:hAnsi="仿宋" w:eastAsia="仿宋" w:cs="仿宋"/>
          <w:bCs/>
          <w:sz w:val="28"/>
          <w:szCs w:val="28"/>
        </w:rPr>
        <w:t>1、甲方</w:t>
      </w:r>
    </w:p>
    <w:p>
      <w:pPr>
        <w:keepNext w:val="0"/>
        <w:keepLines w:val="0"/>
        <w:pageBreakBefore w:val="0"/>
        <w:kinsoku/>
        <w:wordWrap/>
        <w:overflowPunct/>
        <w:topLinePunct w:val="0"/>
        <w:autoSpaceDE/>
        <w:autoSpaceDN/>
        <w:bidi w:val="0"/>
        <w:adjustRightInd/>
        <w:spacing w:beforeAutospacing="0" w:afterAutospacing="0" w:line="240" w:lineRule="atLeast"/>
        <w:ind w:left="0" w:firstLine="700" w:firstLineChars="250"/>
        <w:textAlignment w:val="auto"/>
        <w:rPr>
          <w:rFonts w:hint="eastAsia" w:ascii="仿宋" w:hAnsi="仿宋" w:eastAsia="仿宋" w:cs="仿宋"/>
          <w:bCs/>
          <w:sz w:val="28"/>
          <w:szCs w:val="28"/>
        </w:rPr>
      </w:pPr>
      <w:r>
        <w:rPr>
          <w:rFonts w:hint="eastAsia" w:ascii="仿宋" w:hAnsi="仿宋" w:eastAsia="仿宋" w:cs="仿宋"/>
          <w:bCs/>
          <w:sz w:val="28"/>
          <w:szCs w:val="28"/>
        </w:rPr>
        <w:t>（1）负责培训满意度调查；</w:t>
      </w:r>
    </w:p>
    <w:p>
      <w:pPr>
        <w:keepNext w:val="0"/>
        <w:keepLines w:val="0"/>
        <w:pageBreakBefore w:val="0"/>
        <w:kinsoku/>
        <w:wordWrap/>
        <w:overflowPunct/>
        <w:topLinePunct w:val="0"/>
        <w:autoSpaceDE/>
        <w:autoSpaceDN/>
        <w:bidi w:val="0"/>
        <w:adjustRightInd/>
        <w:spacing w:beforeAutospacing="0" w:afterAutospacing="0" w:line="240" w:lineRule="atLeast"/>
        <w:ind w:left="0" w:firstLine="700" w:firstLineChars="250"/>
        <w:textAlignment w:val="auto"/>
        <w:rPr>
          <w:rFonts w:hint="eastAsia" w:ascii="仿宋" w:hAnsi="仿宋" w:eastAsia="仿宋" w:cs="仿宋"/>
          <w:bCs/>
          <w:sz w:val="28"/>
          <w:szCs w:val="28"/>
        </w:rPr>
      </w:pPr>
      <w:r>
        <w:rPr>
          <w:rFonts w:hint="eastAsia" w:ascii="仿宋" w:hAnsi="仿宋" w:eastAsia="仿宋" w:cs="仿宋"/>
          <w:bCs/>
          <w:sz w:val="28"/>
          <w:szCs w:val="28"/>
        </w:rPr>
        <w:t>（2）负责落实培训经费。</w:t>
      </w:r>
    </w:p>
    <w:p>
      <w:pPr>
        <w:keepNext w:val="0"/>
        <w:keepLines w:val="0"/>
        <w:pageBreakBefore w:val="0"/>
        <w:kinsoku/>
        <w:wordWrap/>
        <w:overflowPunct/>
        <w:topLinePunct w:val="0"/>
        <w:autoSpaceDE/>
        <w:autoSpaceDN/>
        <w:bidi w:val="0"/>
        <w:adjustRightInd/>
        <w:spacing w:beforeAutospacing="0" w:afterAutospacing="0" w:line="240" w:lineRule="atLeast"/>
        <w:ind w:left="0" w:firstLine="700" w:firstLineChars="250"/>
        <w:textAlignment w:val="auto"/>
        <w:rPr>
          <w:rFonts w:hint="eastAsia" w:ascii="仿宋" w:hAnsi="仿宋" w:eastAsia="仿宋" w:cs="仿宋"/>
          <w:bCs/>
          <w:sz w:val="28"/>
          <w:szCs w:val="28"/>
        </w:rPr>
      </w:pPr>
      <w:r>
        <w:rPr>
          <w:rFonts w:hint="eastAsia" w:ascii="仿宋" w:hAnsi="仿宋" w:eastAsia="仿宋" w:cs="仿宋"/>
          <w:bCs/>
          <w:sz w:val="28"/>
          <w:szCs w:val="28"/>
        </w:rPr>
        <w:t>2、乙方</w:t>
      </w:r>
    </w:p>
    <w:p>
      <w:pPr>
        <w:keepNext w:val="0"/>
        <w:keepLines w:val="0"/>
        <w:pageBreakBefore w:val="0"/>
        <w:kinsoku/>
        <w:wordWrap/>
        <w:overflowPunct/>
        <w:topLinePunct w:val="0"/>
        <w:autoSpaceDE/>
        <w:autoSpaceDN/>
        <w:bidi w:val="0"/>
        <w:adjustRightInd/>
        <w:spacing w:beforeAutospacing="0" w:afterAutospacing="0" w:line="240" w:lineRule="atLeast"/>
        <w:ind w:left="0" w:firstLine="700" w:firstLineChars="250"/>
        <w:textAlignment w:val="auto"/>
        <w:rPr>
          <w:rFonts w:hint="eastAsia" w:ascii="仿宋" w:hAnsi="仿宋" w:eastAsia="仿宋" w:cs="仿宋"/>
          <w:bCs/>
          <w:sz w:val="28"/>
          <w:szCs w:val="28"/>
        </w:rPr>
      </w:pPr>
      <w:r>
        <w:rPr>
          <w:rFonts w:hint="eastAsia" w:ascii="仿宋" w:hAnsi="仿宋" w:eastAsia="仿宋" w:cs="仿宋"/>
          <w:bCs/>
          <w:sz w:val="28"/>
          <w:szCs w:val="28"/>
        </w:rPr>
        <w:t>（1）负责按甲方确认的培训方案组织实施培训；</w:t>
      </w:r>
    </w:p>
    <w:p>
      <w:pPr>
        <w:keepNext w:val="0"/>
        <w:keepLines w:val="0"/>
        <w:pageBreakBefore w:val="0"/>
        <w:kinsoku/>
        <w:wordWrap/>
        <w:overflowPunct/>
        <w:topLinePunct w:val="0"/>
        <w:autoSpaceDE/>
        <w:autoSpaceDN/>
        <w:bidi w:val="0"/>
        <w:adjustRightInd/>
        <w:spacing w:beforeAutospacing="0" w:afterAutospacing="0" w:line="240" w:lineRule="atLeast"/>
        <w:ind w:left="0" w:firstLine="700" w:firstLineChars="250"/>
        <w:textAlignment w:val="auto"/>
        <w:rPr>
          <w:rFonts w:hint="eastAsia" w:ascii="仿宋" w:hAnsi="仿宋" w:eastAsia="仿宋" w:cs="仿宋"/>
          <w:bCs/>
          <w:sz w:val="28"/>
          <w:szCs w:val="28"/>
        </w:rPr>
      </w:pPr>
      <w:r>
        <w:rPr>
          <w:rFonts w:hint="eastAsia" w:ascii="仿宋" w:hAnsi="仿宋" w:eastAsia="仿宋" w:cs="仿宋"/>
          <w:bCs/>
          <w:sz w:val="28"/>
          <w:szCs w:val="28"/>
        </w:rPr>
        <w:t>（2）负责学员招收工作；</w:t>
      </w:r>
    </w:p>
    <w:p>
      <w:pPr>
        <w:keepNext w:val="0"/>
        <w:keepLines w:val="0"/>
        <w:pageBreakBefore w:val="0"/>
        <w:kinsoku/>
        <w:wordWrap/>
        <w:overflowPunct/>
        <w:topLinePunct w:val="0"/>
        <w:autoSpaceDE/>
        <w:autoSpaceDN/>
        <w:bidi w:val="0"/>
        <w:adjustRightInd/>
        <w:spacing w:beforeAutospacing="0" w:afterAutospacing="0" w:line="240" w:lineRule="atLeast"/>
        <w:ind w:left="0" w:firstLine="700" w:firstLineChars="250"/>
        <w:textAlignment w:val="auto"/>
        <w:rPr>
          <w:rFonts w:hint="eastAsia" w:ascii="仿宋" w:hAnsi="仿宋" w:eastAsia="仿宋" w:cs="仿宋"/>
          <w:bCs/>
          <w:sz w:val="28"/>
          <w:szCs w:val="28"/>
        </w:rPr>
      </w:pPr>
      <w:r>
        <w:rPr>
          <w:rFonts w:hint="eastAsia" w:ascii="仿宋" w:hAnsi="仿宋" w:eastAsia="仿宋" w:cs="仿宋"/>
          <w:bCs/>
          <w:sz w:val="28"/>
          <w:szCs w:val="28"/>
        </w:rPr>
        <w:t>（3）负责在培训期间的一切教学教务、住宿、就餐、交通等事宜；</w:t>
      </w:r>
    </w:p>
    <w:p>
      <w:pPr>
        <w:keepNext w:val="0"/>
        <w:keepLines w:val="0"/>
        <w:pageBreakBefore w:val="0"/>
        <w:kinsoku/>
        <w:wordWrap/>
        <w:overflowPunct/>
        <w:topLinePunct w:val="0"/>
        <w:autoSpaceDE/>
        <w:autoSpaceDN/>
        <w:bidi w:val="0"/>
        <w:adjustRightInd/>
        <w:spacing w:beforeAutospacing="0" w:afterAutospacing="0" w:line="240" w:lineRule="atLeast"/>
        <w:ind w:left="0" w:firstLine="700" w:firstLineChars="250"/>
        <w:textAlignment w:val="auto"/>
        <w:rPr>
          <w:rFonts w:hint="eastAsia" w:ascii="仿宋" w:hAnsi="仿宋" w:eastAsia="仿宋" w:cs="仿宋"/>
          <w:bCs/>
          <w:sz w:val="28"/>
          <w:szCs w:val="28"/>
        </w:rPr>
      </w:pPr>
      <w:r>
        <w:rPr>
          <w:rFonts w:hint="eastAsia" w:ascii="仿宋" w:hAnsi="仿宋" w:eastAsia="仿宋" w:cs="仿宋"/>
          <w:bCs/>
          <w:sz w:val="28"/>
          <w:szCs w:val="28"/>
        </w:rPr>
        <w:t>（4）负责向甲方递交学员培训档案。</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七、培训经费</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本培训班初定培训费用为</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元（大写）</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，合同价款包括但不限于完成培训所需的师资费、资料费、伙食费、住宿费、交通费、场地费、管理费、其他费用、中标服务费和政策性文件规定及合同包含的所有风险、责任等各项应有费用。实际结算时有超过</w:t>
      </w:r>
      <w:r>
        <w:rPr>
          <w:rFonts w:hint="eastAsia" w:ascii="仿宋" w:hAnsi="仿宋" w:eastAsia="仿宋" w:cs="仿宋"/>
          <w:sz w:val="28"/>
          <w:szCs w:val="28"/>
        </w:rPr>
        <w:t>慈党办（2022）64号、慈财（2021）91号文件规定的，相应核减培训费用。</w:t>
      </w:r>
      <w:r>
        <w:rPr>
          <w:rFonts w:hint="eastAsia" w:ascii="仿宋" w:hAnsi="仿宋" w:eastAsia="仿宋" w:cs="仿宋"/>
          <w:bCs/>
          <w:sz w:val="28"/>
          <w:szCs w:val="28"/>
        </w:rPr>
        <w:t>如培训对象人数未达到合同要求，则学员费用最终按实际培训人数结算。</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学员满意率（以申报方案人数为基数）达到80%（含80%）以上的，经费全额补助；满意率达到65%（含65%）以上，80%以下的，补助全额经费的50%；满意率调查达不到65%的，不补助经费。经甲方和市财政局审核验收通过后，根据学员满意度情况确定补助经费额度，拨付培训项目承办单位。同时，甲方将对授课教师的实际授课情况进行审核，对乙方未按投标文件中确定的内容进行培训的予以处罚，处罚内容视具体情况而定。</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乙方领取经费时需提供“培训费”发票、补助申请表、培训签到表、</w:t>
      </w:r>
      <w:r>
        <w:rPr>
          <w:rFonts w:hint="eastAsia" w:ascii="仿宋" w:hAnsi="仿宋" w:eastAsia="仿宋" w:cs="仿宋"/>
          <w:bCs/>
          <w:sz w:val="28"/>
          <w:szCs w:val="28"/>
          <w:highlight w:val="none"/>
        </w:rPr>
        <w:t>培训照片、培训场所出具的收款票据以及费用明细单据等凭证资料，还需提供教师职称证书（如不提供则讲课费按最低标准结算）、讲课费签收</w:t>
      </w:r>
      <w:r>
        <w:rPr>
          <w:rFonts w:hint="eastAsia" w:ascii="仿宋" w:hAnsi="仿宋" w:eastAsia="仿宋" w:cs="仿宋"/>
          <w:bCs/>
          <w:sz w:val="28"/>
          <w:szCs w:val="28"/>
        </w:rPr>
        <w:t>单或授课费合同及付款凭证、异地授课的城市间交通费发票【（火车硬席（硬座、硬卧），高铁/动车二等座，全列软席列车二等软座；轮船三等舱（不包括旅游船）；飞机经济舱以及其他交通工具（不包括出租小汽车）】等相关凭据，否则不予拨付经费。</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甲乙双方正式确定开班培训方案后的7个工作日内，甲方支付乙方合同金额的40%作为预付款。实际结算时有超过</w:t>
      </w:r>
      <w:r>
        <w:rPr>
          <w:rFonts w:hint="eastAsia" w:ascii="仿宋" w:hAnsi="仿宋" w:eastAsia="仿宋" w:cs="仿宋"/>
          <w:sz w:val="28"/>
          <w:szCs w:val="28"/>
        </w:rPr>
        <w:t>慈党办（2022）64号、慈财（2021）91号文件规定的相应核减培训费用。</w:t>
      </w:r>
      <w:r>
        <w:rPr>
          <w:rFonts w:hint="eastAsia" w:ascii="仿宋" w:hAnsi="仿宋" w:eastAsia="仿宋" w:cs="仿宋"/>
          <w:bCs/>
          <w:sz w:val="28"/>
          <w:szCs w:val="28"/>
        </w:rPr>
        <w:t>剩余经费待市财政局统一拨款后，甲方再拨付给乙方。如满意率调查达不到65%，乙方需退还甲方预付款。</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八、知识产权及保密</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1、乙方保证其提供的产品及/或服务不侵犯任何第三方的合法权益，否则，乙方应赔偿甲方因此所遭受的全部损失。</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乙方及乙方工作人员应对本协议履行过程中甲方、培训学员提供或自行知悉的文件、资料、信息等承担保密义务，未经甲方同意，不得擅自泄露给任何第三方，也不得用于本协议以外的其他目的，否则，乙方应赔偿甲方因此所遭受的全部损失。</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九、违约责任</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乙方违反本协议义务的，乙方应赔偿甲方因此所遭受的全部损失，包括但不限于诉讼费、律师费、公证费、调查取证费等。</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十、争议管辖</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因履行本协议所产生的所有争议，双方友好协商解决，协商不成的，提交甲方所在地人民法院诉讼解决。</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十一、</w:t>
      </w:r>
      <w:r>
        <w:rPr>
          <w:rFonts w:hint="eastAsia" w:ascii="仿宋" w:hAnsi="仿宋" w:eastAsia="仿宋" w:cs="仿宋"/>
          <w:bCs/>
          <w:sz w:val="28"/>
          <w:szCs w:val="28"/>
        </w:rPr>
        <w:t>其他</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1、甲方的招标文件、乙方的投标文件作为此协议的附件，乙方实施培训必须依据投标文件的培训内容开展，不得任意更改。</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2、本协议未尽事宜，双方协商解决。</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3、本协议一式二份，甲乙双方各执一份，具有同等法律效力，自签字盖章日起生效。</w:t>
      </w: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p>
    <w:p>
      <w:pPr>
        <w:keepNext w:val="0"/>
        <w:keepLines w:val="0"/>
        <w:pageBreakBefore w:val="0"/>
        <w:kinsoku/>
        <w:wordWrap/>
        <w:overflowPunct/>
        <w:topLinePunct w:val="0"/>
        <w:autoSpaceDE/>
        <w:autoSpaceDN/>
        <w:bidi w:val="0"/>
        <w:adjustRightInd/>
        <w:spacing w:beforeAutospacing="0" w:afterAutospacing="0" w:line="240" w:lineRule="atLeast"/>
        <w:ind w:left="0" w:firstLine="560" w:firstLineChars="200"/>
        <w:textAlignment w:val="auto"/>
        <w:rPr>
          <w:rFonts w:hint="eastAsia" w:ascii="仿宋" w:hAnsi="仿宋" w:eastAsia="仿宋" w:cs="仿宋"/>
          <w:bCs/>
          <w:sz w:val="28"/>
          <w:szCs w:val="28"/>
        </w:rPr>
      </w:pP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甲方（盖章）：                   乙方（盖章）：</w:t>
      </w: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地址：                         地址：</w:t>
      </w: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法定代表人（或授权委托人）：     法定代表人（或授权委托人）：</w:t>
      </w: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开户银行：                     开户银行：</w:t>
      </w: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账号：                         账号：</w:t>
      </w: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bCs/>
          <w:kern w:val="2"/>
          <w:sz w:val="28"/>
          <w:szCs w:val="28"/>
        </w:rPr>
      </w:pPr>
    </w:p>
    <w:p>
      <w:pPr>
        <w:pStyle w:val="39"/>
        <w:keepNext w:val="0"/>
        <w:keepLines w:val="0"/>
        <w:pageBreakBefore w:val="0"/>
        <w:kinsoku/>
        <w:wordWrap/>
        <w:overflowPunct/>
        <w:topLinePunct w:val="0"/>
        <w:autoSpaceDE/>
        <w:autoSpaceDN/>
        <w:bidi w:val="0"/>
        <w:adjustRightInd/>
        <w:snapToGrid w:val="0"/>
        <w:spacing w:before="0" w:beforeAutospacing="0" w:after="0" w:afterAutospacing="0" w:line="240" w:lineRule="atLeast"/>
        <w:ind w:left="0" w:hanging="560" w:hangingChars="200"/>
        <w:textAlignment w:val="auto"/>
        <w:rPr>
          <w:rFonts w:hint="eastAsia" w:ascii="仿宋" w:hAnsi="仿宋" w:eastAsia="仿宋" w:cs="仿宋"/>
          <w:sz w:val="28"/>
          <w:szCs w:val="28"/>
        </w:rPr>
      </w:pPr>
      <w:r>
        <w:rPr>
          <w:rFonts w:hint="eastAsia" w:ascii="仿宋" w:hAnsi="仿宋" w:eastAsia="仿宋" w:cs="仿宋"/>
          <w:bCs/>
          <w:kern w:val="2"/>
          <w:sz w:val="28"/>
          <w:szCs w:val="28"/>
        </w:rPr>
        <w:t xml:space="preserve">签订地点：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rPr>
        <w:t>签订日期：   年    月   日</w:t>
      </w:r>
    </w:p>
    <w:p>
      <w:pPr>
        <w:pStyle w:val="6"/>
        <w:rPr>
          <w:rFonts w:hint="eastAsia" w:ascii="宋体" w:hAnsi="宋体" w:eastAsia="宋体" w:cs="宋体"/>
          <w:color w:val="auto"/>
          <w:kern w:val="0"/>
          <w:sz w:val="28"/>
          <w:szCs w:val="28"/>
          <w:lang w:val="en-US" w:eastAsia="zh-CN" w:bidi="ar-SA"/>
        </w:rPr>
      </w:pPr>
    </w:p>
    <w:p>
      <w:pPr>
        <w:pStyle w:val="6"/>
        <w:rPr>
          <w:rFonts w:hint="eastAsia" w:ascii="宋体" w:hAnsi="宋体" w:eastAsia="宋体" w:cs="宋体"/>
          <w:color w:val="auto"/>
          <w:kern w:val="0"/>
          <w:sz w:val="28"/>
          <w:szCs w:val="28"/>
          <w:lang w:val="en-US" w:eastAsia="zh-CN" w:bidi="ar-SA"/>
        </w:rPr>
      </w:pPr>
    </w:p>
    <w:p>
      <w:pPr>
        <w:pStyle w:val="6"/>
        <w:rPr>
          <w:rFonts w:hint="eastAsia" w:ascii="宋体" w:hAnsi="宋体" w:eastAsia="宋体" w:cs="宋体"/>
          <w:color w:val="auto"/>
          <w:kern w:val="0"/>
          <w:sz w:val="28"/>
          <w:szCs w:val="28"/>
          <w:lang w:val="en-US" w:eastAsia="zh-CN" w:bidi="ar-SA"/>
        </w:rPr>
      </w:pPr>
    </w:p>
    <w:p>
      <w:pPr>
        <w:pStyle w:val="6"/>
        <w:rPr>
          <w:rFonts w:hint="eastAsia" w:ascii="宋体" w:hAnsi="宋体" w:eastAsia="宋体" w:cs="宋体"/>
          <w:color w:val="auto"/>
          <w:kern w:val="0"/>
          <w:sz w:val="28"/>
          <w:szCs w:val="28"/>
          <w:lang w:val="en-US" w:eastAsia="zh-CN" w:bidi="ar-SA"/>
        </w:rPr>
      </w:pPr>
    </w:p>
    <w:p>
      <w:pPr>
        <w:pStyle w:val="6"/>
        <w:rPr>
          <w:rFonts w:hint="eastAsia" w:ascii="宋体" w:hAnsi="宋体" w:eastAsia="宋体" w:cs="宋体"/>
          <w:color w:val="auto"/>
          <w:kern w:val="0"/>
          <w:sz w:val="28"/>
          <w:szCs w:val="28"/>
          <w:lang w:val="en-US" w:eastAsia="zh-CN" w:bidi="ar-SA"/>
        </w:rPr>
      </w:pPr>
    </w:p>
    <w:p>
      <w:pPr>
        <w:pStyle w:val="6"/>
        <w:rPr>
          <w:rFonts w:hint="eastAsia" w:ascii="宋体" w:hAnsi="宋体" w:eastAsia="宋体" w:cs="宋体"/>
          <w:color w:val="auto"/>
          <w:kern w:val="0"/>
          <w:sz w:val="28"/>
          <w:szCs w:val="28"/>
          <w:lang w:val="en-US" w:eastAsia="zh-CN" w:bidi="ar-SA"/>
        </w:rPr>
      </w:pPr>
    </w:p>
    <w:p>
      <w:pPr>
        <w:pStyle w:val="6"/>
        <w:rPr>
          <w:rFonts w:hint="eastAsia" w:ascii="宋体" w:hAnsi="宋体" w:eastAsia="宋体" w:cs="宋体"/>
          <w:color w:val="auto"/>
          <w:kern w:val="0"/>
          <w:sz w:val="28"/>
          <w:szCs w:val="28"/>
          <w:lang w:val="en-US" w:eastAsia="zh-CN" w:bidi="ar-SA"/>
        </w:rPr>
      </w:pPr>
    </w:p>
    <w:p>
      <w:pPr>
        <w:pStyle w:val="6"/>
        <w:ind w:left="0" w:leftChars="0" w:firstLine="0" w:firstLineChars="0"/>
        <w:rPr>
          <w:rFonts w:hint="eastAsia" w:ascii="宋体" w:hAnsi="宋体" w:eastAsia="宋体" w:cs="宋体"/>
          <w:color w:val="auto"/>
          <w:sz w:val="28"/>
          <w:szCs w:val="28"/>
        </w:rPr>
      </w:pPr>
    </w:p>
    <w:p>
      <w:pPr>
        <w:pStyle w:val="39"/>
        <w:adjustRightInd w:val="0"/>
        <w:snapToGrid w:val="0"/>
        <w:spacing w:before="120" w:after="120" w:line="360" w:lineRule="auto"/>
        <w:jc w:val="center"/>
        <w:rPr>
          <w:rFonts w:ascii="Arial" w:hAnsi="Arial" w:eastAsia="仿宋" w:cs="Arial"/>
          <w:snapToGrid w:val="0"/>
          <w:sz w:val="24"/>
          <w:szCs w:val="24"/>
        </w:rPr>
      </w:pPr>
      <w:r>
        <w:rPr>
          <w:rFonts w:ascii="仿宋_GB2312" w:hAnsi="仿宋_GB2312" w:eastAsia="仿宋_GB2312" w:cs="仿宋_GB2312"/>
          <w:color w:val="000000"/>
          <w:kern w:val="0"/>
          <w:sz w:val="36"/>
          <w:szCs w:val="36"/>
        </w:rPr>
        <w:t>第</w:t>
      </w:r>
      <w:r>
        <w:rPr>
          <w:rFonts w:hint="eastAsia" w:ascii="仿宋_GB2312" w:hAnsi="仿宋_GB2312" w:eastAsia="仿宋_GB2312" w:cs="仿宋_GB2312"/>
          <w:color w:val="000000"/>
          <w:kern w:val="0"/>
          <w:sz w:val="36"/>
          <w:szCs w:val="36"/>
        </w:rPr>
        <w:t>七</w:t>
      </w:r>
      <w:r>
        <w:rPr>
          <w:rFonts w:ascii="仿宋_GB2312" w:hAnsi="仿宋_GB2312" w:eastAsia="仿宋_GB2312" w:cs="仿宋_GB2312"/>
          <w:color w:val="000000"/>
          <w:kern w:val="0"/>
          <w:sz w:val="36"/>
          <w:szCs w:val="36"/>
        </w:rPr>
        <w:t>部分   投标文件格式</w:t>
      </w:r>
      <w:bookmarkEnd w:id="26"/>
      <w:bookmarkEnd w:id="27"/>
      <w:bookmarkEnd w:id="28"/>
    </w:p>
    <w:p>
      <w:pPr>
        <w:spacing w:line="360" w:lineRule="auto"/>
        <w:jc w:val="center"/>
        <w:rPr>
          <w:rFonts w:ascii="Arial" w:hAnsi="Arial" w:eastAsia="仿宋" w:cs="Arial"/>
          <w:b/>
          <w:sz w:val="30"/>
        </w:rPr>
      </w:pPr>
    </w:p>
    <w:p>
      <w:pPr>
        <w:spacing w:line="360" w:lineRule="auto"/>
        <w:jc w:val="center"/>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投标人提交投标文件须知</w:t>
      </w:r>
    </w:p>
    <w:p>
      <w:pPr>
        <w:spacing w:line="360" w:lineRule="auto"/>
        <w:jc w:val="center"/>
        <w:rPr>
          <w:rFonts w:ascii="仿宋_GB2312" w:hAnsi="仿宋_GB2312" w:eastAsia="仿宋_GB2312" w:cs="仿宋_GB2312"/>
          <w:color w:val="000000"/>
          <w:kern w:val="0"/>
          <w:sz w:val="28"/>
          <w:szCs w:val="28"/>
        </w:rPr>
      </w:pP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2、所附表格中要求回答全部问题、信息都必须正面回答。</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3、本资格声明的签字人应保证全部声明和问题的回答是真实的和正确的。</w:t>
      </w:r>
    </w:p>
    <w:p>
      <w:pPr>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 招标方将应用投标人提交的资料判断和考虑决定投标人履行合同的合格性及能力。</w:t>
      </w: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spacing w:line="440" w:lineRule="exact"/>
        <w:ind w:firstLine="560" w:firstLineChars="200"/>
        <w:rPr>
          <w:rFonts w:ascii="仿宋_GB2312" w:hAnsi="仿宋_GB2312" w:eastAsia="仿宋_GB2312" w:cs="仿宋_GB2312"/>
          <w:color w:val="000000"/>
          <w:kern w:val="0"/>
          <w:sz w:val="28"/>
          <w:szCs w:val="28"/>
        </w:rPr>
      </w:pPr>
    </w:p>
    <w:p>
      <w:pPr>
        <w:pStyle w:val="2"/>
        <w:ind w:firstLine="560"/>
      </w:pPr>
    </w:p>
    <w:p>
      <w:pPr>
        <w:spacing w:line="440" w:lineRule="exact"/>
        <w:ind w:firstLine="560" w:firstLineChars="200"/>
        <w:rPr>
          <w:rFonts w:ascii="仿宋_GB2312" w:hAnsi="仿宋_GB2312" w:eastAsia="仿宋_GB2312" w:cs="仿宋_GB2312"/>
          <w:color w:val="000000"/>
          <w:kern w:val="0"/>
          <w:sz w:val="28"/>
          <w:szCs w:val="28"/>
        </w:rPr>
      </w:pPr>
    </w:p>
    <w:p>
      <w:pPr>
        <w:pStyle w:val="2"/>
        <w:ind w:firstLine="560"/>
        <w:rPr>
          <w:rFonts w:ascii="仿宋_GB2312" w:hAnsi="仿宋_GB2312" w:eastAsia="仿宋_GB2312" w:cs="仿宋_GB2312"/>
          <w:color w:val="000000"/>
          <w:kern w:val="0"/>
          <w:szCs w:val="28"/>
        </w:rPr>
      </w:pPr>
    </w:p>
    <w:p>
      <w:pPr>
        <w:pStyle w:val="2"/>
        <w:ind w:firstLine="560"/>
        <w:rPr>
          <w:rFonts w:ascii="仿宋_GB2312" w:hAnsi="仿宋_GB2312" w:eastAsia="仿宋_GB2312" w:cs="仿宋_GB2312"/>
          <w:color w:val="000000"/>
          <w:kern w:val="0"/>
          <w:szCs w:val="28"/>
        </w:rPr>
      </w:pPr>
    </w:p>
    <w:p>
      <w:pPr>
        <w:pStyle w:val="2"/>
        <w:ind w:firstLine="560"/>
        <w:rPr>
          <w:rFonts w:ascii="仿宋_GB2312" w:hAnsi="仿宋_GB2312" w:eastAsia="仿宋_GB2312" w:cs="仿宋_GB2312"/>
          <w:color w:val="000000"/>
          <w:kern w:val="0"/>
          <w:szCs w:val="28"/>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附件1</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spacing w:beforeLines="100" w:line="240" w:lineRule="atLeast"/>
        <w:ind w:right="-108"/>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hint="eastAsia" w:ascii="仿宋_GB2312" w:hAnsi="仿宋_GB2312" w:eastAsia="仿宋_GB2312" w:cs="仿宋_GB2312"/>
          <w:color w:val="auto"/>
          <w:kern w:val="0"/>
          <w:sz w:val="36"/>
          <w:szCs w:val="36"/>
          <w:highlight w:val="none"/>
          <w:lang w:eastAsia="zh-CN"/>
        </w:rPr>
        <w:t>NBCXZFCG2024008</w:t>
      </w:r>
      <w:r>
        <w:rPr>
          <w:rFonts w:ascii="仿宋_GB2312" w:hAnsi="仿宋_GB2312" w:eastAsia="仿宋_GB2312" w:cs="仿宋_GB2312"/>
          <w:color w:val="000000"/>
          <w:kern w:val="0"/>
          <w:sz w:val="36"/>
          <w:szCs w:val="36"/>
          <w:highlight w:val="none"/>
        </w:rPr>
        <w:t>（</w:t>
      </w:r>
      <w:r>
        <w:rPr>
          <w:rFonts w:ascii="仿宋_GB2312" w:hAnsi="仿宋_GB2312" w:eastAsia="仿宋_GB2312" w:cs="仿宋_GB2312"/>
          <w:color w:val="000000"/>
          <w:kern w:val="0"/>
          <w:sz w:val="36"/>
          <w:szCs w:val="36"/>
        </w:rPr>
        <w:t>标项）</w:t>
      </w:r>
    </w:p>
    <w:p>
      <w:pPr>
        <w:spacing w:after="100" w:afterAutospacing="1" w:line="800" w:lineRule="exact"/>
        <w:ind w:right="-108"/>
        <w:jc w:val="center"/>
        <w:rPr>
          <w:rFonts w:ascii="仿宋_GB2312" w:hAnsi="仿宋_GB2312" w:eastAsia="仿宋_GB2312" w:cs="仿宋_GB2312"/>
          <w:color w:val="000000"/>
          <w:kern w:val="0"/>
          <w:sz w:val="36"/>
          <w:szCs w:val="36"/>
        </w:rPr>
      </w:pP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资</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格</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证</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明</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投标人全称（公章）：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pacing w:line="440" w:lineRule="exact"/>
        <w:outlineLvl w:val="1"/>
        <w:rPr>
          <w:rFonts w:ascii="仿宋_GB2312" w:hAnsi="仿宋_GB2312" w:eastAsia="仿宋_GB2312" w:cs="仿宋_GB2312"/>
          <w:color w:val="000000"/>
          <w:kern w:val="0"/>
          <w:sz w:val="32"/>
          <w:szCs w:val="32"/>
        </w:rPr>
      </w:pPr>
      <w:bookmarkStart w:id="29" w:name="_Toc360457890"/>
      <w:bookmarkStart w:id="30" w:name="_Toc231780371"/>
    </w:p>
    <w:p>
      <w:pPr>
        <w:spacing w:line="440" w:lineRule="exact"/>
        <w:outlineLvl w:val="1"/>
        <w:rPr>
          <w:rFonts w:ascii="仿宋_GB2312" w:hAnsi="仿宋_GB2312" w:eastAsia="仿宋_GB2312" w:cs="仿宋_GB2312"/>
          <w:color w:val="000000"/>
          <w:kern w:val="0"/>
          <w:sz w:val="32"/>
          <w:szCs w:val="32"/>
        </w:rPr>
      </w:pPr>
    </w:p>
    <w:p>
      <w:pPr>
        <w:pStyle w:val="2"/>
        <w:ind w:firstLine="560"/>
      </w:pPr>
    </w:p>
    <w:bookmarkEnd w:id="29"/>
    <w:bookmarkEnd w:id="30"/>
    <w:p>
      <w:pPr>
        <w:spacing w:line="440" w:lineRule="exact"/>
        <w:outlineLvl w:val="1"/>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2"/>
          <w:szCs w:val="32"/>
        </w:rPr>
        <w:t xml:space="preserve">附件2  </w:t>
      </w:r>
    </w:p>
    <w:p>
      <w:pPr>
        <w:spacing w:after="240" w:line="440" w:lineRule="exact"/>
        <w:jc w:val="center"/>
        <w:outlineLvl w:val="1"/>
        <w:rPr>
          <w:rFonts w:ascii="Arial" w:hAnsi="Arial" w:eastAsia="仿宋" w:cs="Arial"/>
          <w:b/>
          <w:sz w:val="36"/>
          <w:szCs w:val="30"/>
        </w:rPr>
      </w:pPr>
      <w:r>
        <w:rPr>
          <w:rFonts w:ascii="仿宋_GB2312" w:hAnsi="仿宋_GB2312" w:eastAsia="仿宋_GB2312" w:cs="仿宋_GB2312"/>
          <w:color w:val="000000"/>
          <w:kern w:val="0"/>
          <w:sz w:val="36"/>
          <w:szCs w:val="36"/>
        </w:rPr>
        <w:t>投标函</w:t>
      </w:r>
    </w:p>
    <w:p>
      <w:pPr>
        <w:snapToGrid w:val="0"/>
        <w:spacing w:beforeLines="50" w:line="44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致慈溪市政府采购中心：</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u w:val="single"/>
        </w:rPr>
        <w:t xml:space="preserve">（投标人名称）      </w:t>
      </w:r>
      <w:r>
        <w:rPr>
          <w:rFonts w:ascii="仿宋_GB2312" w:hAnsi="仿宋_GB2312" w:eastAsia="仿宋_GB2312" w:cs="仿宋_GB2312"/>
          <w:color w:val="000000"/>
          <w:kern w:val="0"/>
          <w:sz w:val="24"/>
        </w:rPr>
        <w:t>系中华人民共和国合法企业，经营地址</w:t>
      </w:r>
      <w:r>
        <w:rPr>
          <w:rFonts w:hint="eastAsia" w:ascii="仿宋_GB2312" w:hAnsi="仿宋_GB2312" w:eastAsia="仿宋_GB2312" w:cs="仿宋_GB2312"/>
          <w:color w:val="000000"/>
          <w:kern w:val="0"/>
          <w:sz w:val="24"/>
        </w:rPr>
        <w:t>____________</w:t>
      </w:r>
      <w:r>
        <w:rPr>
          <w:rFonts w:ascii="仿宋_GB2312" w:hAnsi="仿宋_GB2312" w:eastAsia="仿宋_GB2312" w:cs="仿宋_GB2312"/>
          <w:color w:val="000000"/>
          <w:kern w:val="0"/>
          <w:sz w:val="24"/>
        </w:rPr>
        <w:t>。</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我</w:t>
      </w:r>
      <w:r>
        <w:rPr>
          <w:rFonts w:ascii="仿宋_GB2312" w:hAnsi="仿宋_GB2312" w:eastAsia="仿宋_GB2312" w:cs="仿宋_GB2312"/>
          <w:color w:val="000000"/>
          <w:kern w:val="0"/>
          <w:sz w:val="24"/>
          <w:u w:val="single"/>
        </w:rPr>
        <w:t>（姓名）</w:t>
      </w:r>
      <w:r>
        <w:rPr>
          <w:rFonts w:ascii="仿宋_GB2312" w:hAnsi="仿宋_GB2312" w:eastAsia="仿宋_GB2312" w:cs="仿宋_GB2312"/>
          <w:color w:val="000000"/>
          <w:kern w:val="0"/>
          <w:sz w:val="24"/>
        </w:rPr>
        <w:t>系</w:t>
      </w:r>
      <w:r>
        <w:rPr>
          <w:rFonts w:ascii="仿宋_GB2312" w:hAnsi="仿宋_GB2312" w:eastAsia="仿宋_GB2312" w:cs="仿宋_GB2312"/>
          <w:color w:val="000000"/>
          <w:kern w:val="0"/>
          <w:sz w:val="24"/>
          <w:u w:val="single"/>
        </w:rPr>
        <w:t>（投标人名称）</w:t>
      </w:r>
      <w:r>
        <w:rPr>
          <w:rFonts w:ascii="仿宋_GB2312" w:hAnsi="仿宋_GB2312" w:eastAsia="仿宋_GB2312" w:cs="仿宋_GB2312"/>
          <w:color w:val="000000"/>
          <w:kern w:val="0"/>
          <w:sz w:val="24"/>
        </w:rPr>
        <w:t>的法定代表人/负责人，我方愿意参加贵方组织的</w:t>
      </w:r>
      <w:r>
        <w:rPr>
          <w:rFonts w:ascii="仿宋_GB2312" w:hAnsi="仿宋_GB2312" w:eastAsia="仿宋_GB2312" w:cs="仿宋_GB2312"/>
          <w:color w:val="000000"/>
          <w:kern w:val="0"/>
          <w:sz w:val="24"/>
          <w:u w:val="single"/>
        </w:rPr>
        <w:t>（招标项目名称）</w:t>
      </w:r>
      <w:r>
        <w:rPr>
          <w:rFonts w:ascii="仿宋_GB2312" w:hAnsi="仿宋_GB2312" w:eastAsia="仿宋_GB2312" w:cs="仿宋_GB2312"/>
          <w:color w:val="000000"/>
          <w:kern w:val="0"/>
          <w:sz w:val="24"/>
        </w:rPr>
        <w:t>（招标编号为</w:t>
      </w:r>
      <w:r>
        <w:rPr>
          <w:rFonts w:hint="eastAsia" w:ascii="仿宋_GB2312" w:hAnsi="仿宋_GB2312" w:eastAsia="仿宋_GB2312" w:cs="仿宋_GB2312"/>
          <w:color w:val="000000"/>
          <w:kern w:val="0"/>
          <w:sz w:val="24"/>
          <w:highlight w:val="none"/>
          <w:u w:val="single"/>
          <w:lang w:eastAsia="zh-CN"/>
        </w:rPr>
        <w:t>NBCXZFCG2024008</w:t>
      </w:r>
      <w:r>
        <w:rPr>
          <w:rFonts w:ascii="仿宋_GB2312" w:hAnsi="仿宋_GB2312" w:eastAsia="仿宋_GB2312" w:cs="仿宋_GB2312"/>
          <w:color w:val="000000"/>
          <w:kern w:val="0"/>
          <w:sz w:val="24"/>
          <w:highlight w:val="none"/>
        </w:rPr>
        <w:t>）的</w:t>
      </w:r>
      <w:r>
        <w:rPr>
          <w:rFonts w:ascii="仿宋_GB2312" w:hAnsi="仿宋_GB2312" w:eastAsia="仿宋_GB2312" w:cs="仿宋_GB2312"/>
          <w:color w:val="000000"/>
          <w:kern w:val="0"/>
          <w:sz w:val="24"/>
        </w:rPr>
        <w:t>投标，为此，我方就本次投标有关事项郑重声明如下：</w:t>
      </w:r>
    </w:p>
    <w:p>
      <w:pPr>
        <w:snapToGrid w:val="0"/>
        <w:spacing w:beforeLines="50"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我方完全具备《中华人民共和国政府采购法》第二十二条规定的参加政府采购活动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及符合法律、行政法规规定的其他条件。</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r>
        <w:rPr>
          <w:rFonts w:ascii="仿宋_GB2312" w:hAnsi="仿宋_GB2312" w:eastAsia="仿宋_GB2312" w:cs="仿宋_GB2312"/>
          <w:color w:val="000000"/>
          <w:kern w:val="0"/>
          <w:sz w:val="24"/>
        </w:rPr>
        <w:t>、我方已详细审查全部招标文件，同意招标文件的各项要求。</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r>
        <w:rPr>
          <w:rFonts w:ascii="仿宋_GB2312" w:hAnsi="仿宋_GB2312" w:eastAsia="仿宋_GB2312" w:cs="仿宋_GB2312"/>
          <w:color w:val="000000"/>
          <w:kern w:val="0"/>
          <w:sz w:val="24"/>
        </w:rPr>
        <w:t>、我方向贵方提交的所有投标文件、资料都是准确的和真实的。</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r>
        <w:rPr>
          <w:rFonts w:ascii="仿宋_GB2312" w:hAnsi="仿宋_GB2312" w:eastAsia="仿宋_GB2312" w:cs="仿宋_GB2312"/>
          <w:color w:val="000000"/>
          <w:kern w:val="0"/>
          <w:sz w:val="24"/>
        </w:rPr>
        <w:t>、若中标，我方将按招标文件规定履行合同责任和义务。</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r>
        <w:rPr>
          <w:rFonts w:ascii="仿宋_GB2312" w:hAnsi="仿宋_GB2312" w:eastAsia="仿宋_GB2312" w:cs="仿宋_GB2312"/>
          <w:color w:val="000000"/>
          <w:kern w:val="0"/>
          <w:sz w:val="24"/>
        </w:rPr>
        <w:t>、我方不是采购人的附属机构；在获知本项目采购信息后，与采购人聘请的为此项目提供咨询服务的公司及其附属机构没有任何联系。</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r>
        <w:rPr>
          <w:rFonts w:ascii="仿宋_GB2312" w:hAnsi="仿宋_GB2312" w:eastAsia="仿宋_GB2312" w:cs="仿宋_GB2312"/>
          <w:color w:val="000000"/>
          <w:kern w:val="0"/>
          <w:sz w:val="24"/>
        </w:rPr>
        <w:t>、投标有效期为自投标文件提交截止之日起90日历天。</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r>
        <w:rPr>
          <w:rFonts w:ascii="仿宋_GB2312" w:hAnsi="仿宋_GB2312" w:eastAsia="仿宋_GB2312" w:cs="仿宋_GB2312"/>
          <w:color w:val="000000"/>
          <w:kern w:val="0"/>
          <w:sz w:val="24"/>
        </w:rPr>
        <w:t>、我方通过“信用中国”网站、中国政府采购网查询，未被列入失信被执行人、重大税收违法案件当事人名单、政府采购严重违法失信行为记录名单。</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r>
        <w:rPr>
          <w:rFonts w:ascii="仿宋_GB2312" w:hAnsi="仿宋_GB2312" w:eastAsia="仿宋_GB2312" w:cs="仿宋_GB2312"/>
          <w:color w:val="000000"/>
          <w:kern w:val="0"/>
          <w:sz w:val="24"/>
        </w:rPr>
        <w:t>、以上事项如有虚假或隐瞒，我方愿意承担一切后果，并不再寻求任何旨在减轻或免除法律责任的辩解。</w:t>
      </w:r>
    </w:p>
    <w:p>
      <w:pPr>
        <w:snapToGrid w:val="0"/>
        <w:spacing w:beforeLines="50" w:line="440" w:lineRule="exact"/>
        <w:ind w:firstLine="120" w:firstLineChars="50"/>
        <w:rPr>
          <w:rFonts w:ascii="仿宋_GB2312" w:hAnsi="仿宋_GB2312" w:eastAsia="仿宋_GB2312" w:cs="仿宋_GB2312"/>
          <w:color w:val="000000"/>
          <w:kern w:val="0"/>
          <w:sz w:val="24"/>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法定代表人签名（或签名章</w:t>
      </w:r>
      <w:r>
        <w:rPr>
          <w:rFonts w:hint="eastAsia" w:ascii="仿宋_GB2312" w:hAnsi="仿宋_GB2312" w:eastAsia="仿宋_GB2312" w:cs="仿宋_GB2312"/>
          <w:color w:val="000000"/>
          <w:kern w:val="0"/>
          <w:sz w:val="24"/>
        </w:rPr>
        <w:t>/法人章</w:t>
      </w:r>
      <w:r>
        <w:rPr>
          <w:rFonts w:ascii="仿宋_GB2312" w:hAnsi="仿宋_GB2312" w:eastAsia="仿宋_GB2312" w:cs="仿宋_GB2312"/>
          <w:color w:val="000000"/>
          <w:kern w:val="0"/>
          <w:sz w:val="24"/>
        </w:rPr>
        <w:t xml:space="preserve">）：          </w:t>
      </w:r>
    </w:p>
    <w:p>
      <w:pPr>
        <w:snapToGrid w:val="0"/>
        <w:spacing w:line="440" w:lineRule="exact"/>
        <w:ind w:firstLine="3480" w:firstLineChars="1450"/>
        <w:rPr>
          <w:rFonts w:ascii="Arial" w:hAnsi="Arial" w:eastAsia="仿宋" w:cs="Arial"/>
          <w:kern w:val="0"/>
          <w:sz w:val="24"/>
        </w:rPr>
      </w:pPr>
      <w:r>
        <w:rPr>
          <w:rFonts w:ascii="仿宋_GB2312" w:hAnsi="仿宋_GB2312" w:eastAsia="仿宋_GB2312" w:cs="仿宋_GB2312"/>
          <w:color w:val="000000"/>
          <w:kern w:val="0"/>
          <w:sz w:val="24"/>
        </w:rPr>
        <w:t>日期：       年      月      日</w:t>
      </w:r>
    </w:p>
    <w:p>
      <w:pPr>
        <w:spacing w:line="440" w:lineRule="exact"/>
        <w:outlineLvl w:val="1"/>
        <w:rPr>
          <w:rFonts w:ascii="Arial" w:hAnsi="Arial" w:eastAsia="仿宋" w:cs="Arial"/>
          <w:b/>
          <w:sz w:val="36"/>
          <w:szCs w:val="30"/>
        </w:rPr>
      </w:pPr>
      <w:bookmarkStart w:id="31" w:name="_Toc360457892"/>
      <w:bookmarkStart w:id="32" w:name="_Toc231780373"/>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3</w:t>
      </w:r>
    </w:p>
    <w:p>
      <w:pPr>
        <w:spacing w:line="440" w:lineRule="exact"/>
        <w:jc w:val="center"/>
        <w:outlineLvl w:val="1"/>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法定代表人授权委托书</w:t>
      </w:r>
      <w:bookmarkEnd w:id="31"/>
      <w:bookmarkEnd w:id="32"/>
    </w:p>
    <w:p>
      <w:pPr>
        <w:spacing w:line="440" w:lineRule="exact"/>
        <w:jc w:val="center"/>
        <w:rPr>
          <w:rFonts w:ascii="Arial" w:hAnsi="Arial" w:eastAsia="仿宋" w:cs="Arial"/>
          <w:b/>
          <w:sz w:val="28"/>
          <w:szCs w:val="28"/>
        </w:rPr>
      </w:pP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慈溪市政府采购中心：</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本人</w:t>
      </w:r>
      <w:r>
        <w:rPr>
          <w:rFonts w:ascii="仿宋_GB2312" w:hAnsi="仿宋_GB2312" w:eastAsia="仿宋_GB2312" w:cs="仿宋_GB2312"/>
          <w:color w:val="000000"/>
          <w:kern w:val="0"/>
          <w:sz w:val="24"/>
          <w:u w:val="single"/>
        </w:rPr>
        <w:t xml:space="preserve">  （姓名） </w:t>
      </w:r>
      <w:r>
        <w:rPr>
          <w:rFonts w:ascii="仿宋_GB2312" w:hAnsi="仿宋_GB2312" w:eastAsia="仿宋_GB2312" w:cs="仿宋_GB2312"/>
          <w:color w:val="000000"/>
          <w:kern w:val="0"/>
          <w:sz w:val="24"/>
        </w:rPr>
        <w:t>系</w:t>
      </w:r>
      <w:r>
        <w:rPr>
          <w:rFonts w:ascii="仿宋_GB2312" w:hAnsi="仿宋_GB2312" w:eastAsia="仿宋_GB2312" w:cs="仿宋_GB2312"/>
          <w:color w:val="000000"/>
          <w:kern w:val="0"/>
          <w:sz w:val="24"/>
          <w:u w:val="single"/>
        </w:rPr>
        <w:t>（投标人名称）</w:t>
      </w:r>
      <w:r>
        <w:rPr>
          <w:rFonts w:ascii="仿宋_GB2312" w:hAnsi="仿宋_GB2312" w:eastAsia="仿宋_GB2312" w:cs="仿宋_GB2312"/>
          <w:color w:val="000000"/>
          <w:kern w:val="0"/>
          <w:sz w:val="24"/>
        </w:rPr>
        <w:t>的法定代表人，现授权委托本单位在职职工</w:t>
      </w:r>
      <w:r>
        <w:rPr>
          <w:rFonts w:hint="eastAsia" w:ascii="仿宋_GB2312" w:hAnsi="仿宋_GB2312" w:eastAsia="仿宋_GB2312" w:cs="仿宋_GB2312"/>
          <w:color w:val="000000"/>
          <w:kern w:val="0"/>
          <w:sz w:val="24"/>
          <w:u w:val="single"/>
        </w:rPr>
        <w:t>（姓名）</w:t>
      </w:r>
      <w:r>
        <w:rPr>
          <w:rFonts w:ascii="仿宋_GB2312" w:hAnsi="仿宋_GB2312" w:eastAsia="仿宋_GB2312" w:cs="仿宋_GB2312"/>
          <w:color w:val="000000"/>
          <w:kern w:val="0"/>
          <w:sz w:val="24"/>
        </w:rPr>
        <w:t>为</w:t>
      </w:r>
      <w:r>
        <w:rPr>
          <w:rFonts w:hint="eastAsia" w:ascii="仿宋_GB2312" w:hAnsi="仿宋_GB2312" w:eastAsia="仿宋_GB2312" w:cs="仿宋_GB2312"/>
          <w:color w:val="000000"/>
          <w:kern w:val="0"/>
          <w:sz w:val="24"/>
        </w:rPr>
        <w:t>我方代理人</w:t>
      </w:r>
      <w:r>
        <w:rPr>
          <w:rFonts w:ascii="仿宋_GB2312" w:hAnsi="仿宋_GB2312" w:eastAsia="仿宋_GB2312" w:cs="仿宋_GB2312"/>
          <w:color w:val="000000"/>
          <w:kern w:val="0"/>
          <w:sz w:val="24"/>
        </w:rPr>
        <w:t>，以我方的名义参加</w:t>
      </w:r>
      <w:r>
        <w:rPr>
          <w:rFonts w:ascii="仿宋_GB2312" w:hAnsi="仿宋_GB2312" w:eastAsia="仿宋_GB2312" w:cs="仿宋_GB2312"/>
          <w:color w:val="000000"/>
          <w:kern w:val="0"/>
          <w:sz w:val="24"/>
          <w:u w:val="single"/>
        </w:rPr>
        <w:t>（招标项目名称）</w:t>
      </w:r>
      <w:r>
        <w:rPr>
          <w:rFonts w:ascii="仿宋_GB2312" w:hAnsi="仿宋_GB2312" w:eastAsia="仿宋_GB2312" w:cs="仿宋_GB2312"/>
          <w:color w:val="000000"/>
          <w:kern w:val="0"/>
          <w:sz w:val="24"/>
        </w:rPr>
        <w:t>（招标编号为</w:t>
      </w:r>
      <w:r>
        <w:rPr>
          <w:rFonts w:hint="eastAsia" w:ascii="仿宋_GB2312" w:hAnsi="仿宋_GB2312" w:eastAsia="仿宋_GB2312" w:cs="仿宋_GB2312"/>
          <w:color w:val="000000"/>
          <w:kern w:val="0"/>
          <w:sz w:val="24"/>
          <w:highlight w:val="none"/>
          <w:u w:val="single"/>
          <w:lang w:eastAsia="zh-CN"/>
        </w:rPr>
        <w:t>NBCXZFCG2024008</w:t>
      </w:r>
      <w:r>
        <w:rPr>
          <w:rFonts w:ascii="仿宋_GB2312" w:hAnsi="仿宋_GB2312" w:eastAsia="仿宋_GB2312" w:cs="仿宋_GB2312"/>
          <w:color w:val="000000"/>
          <w:kern w:val="0"/>
          <w:sz w:val="24"/>
          <w:highlight w:val="none"/>
        </w:rPr>
        <w:t>）的</w:t>
      </w:r>
      <w:r>
        <w:rPr>
          <w:rFonts w:ascii="仿宋_GB2312" w:hAnsi="仿宋_GB2312" w:eastAsia="仿宋_GB2312" w:cs="仿宋_GB2312"/>
          <w:color w:val="000000"/>
          <w:kern w:val="0"/>
          <w:sz w:val="24"/>
        </w:rPr>
        <w:t>投标活动，并代表我方全权办理针对上述项目的投标、开标、评标、签约等</w:t>
      </w:r>
      <w:r>
        <w:rPr>
          <w:rFonts w:hint="eastAsia" w:ascii="仿宋_GB2312" w:hAnsi="仿宋_GB2312" w:eastAsia="仿宋_GB2312" w:cs="仿宋_GB2312"/>
          <w:color w:val="000000"/>
          <w:kern w:val="0"/>
          <w:sz w:val="24"/>
        </w:rPr>
        <w:t>相关事宜</w:t>
      </w:r>
      <w:r>
        <w:rPr>
          <w:rFonts w:ascii="仿宋_GB2312" w:hAnsi="仿宋_GB2312" w:eastAsia="仿宋_GB2312" w:cs="仿宋_GB2312"/>
          <w:color w:val="000000"/>
          <w:kern w:val="0"/>
          <w:sz w:val="24"/>
        </w:rPr>
        <w:t>。我方</w:t>
      </w:r>
      <w:r>
        <w:rPr>
          <w:rFonts w:hint="eastAsia" w:ascii="仿宋_GB2312" w:hAnsi="仿宋_GB2312" w:eastAsia="仿宋_GB2312" w:cs="仿宋_GB2312"/>
          <w:color w:val="000000"/>
          <w:kern w:val="0"/>
          <w:sz w:val="24"/>
        </w:rPr>
        <w:t>对</w:t>
      </w:r>
      <w:r>
        <w:rPr>
          <w:rFonts w:ascii="仿宋_GB2312" w:hAnsi="仿宋_GB2312" w:eastAsia="仿宋_GB2312" w:cs="仿宋_GB2312"/>
          <w:color w:val="000000"/>
          <w:kern w:val="0"/>
          <w:sz w:val="24"/>
        </w:rPr>
        <w:t>代理人的签名事项负全部责任。</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在撤销授权的书面通知以前，本授权书一直有效。</w:t>
      </w:r>
      <w:r>
        <w:rPr>
          <w:rFonts w:hint="eastAsia" w:ascii="仿宋_GB2312" w:hAnsi="仿宋_GB2312" w:eastAsia="仿宋_GB2312" w:cs="仿宋_GB2312"/>
          <w:color w:val="000000"/>
          <w:kern w:val="0"/>
          <w:sz w:val="24"/>
        </w:rPr>
        <w:t>代理人</w:t>
      </w:r>
      <w:r>
        <w:rPr>
          <w:rFonts w:ascii="仿宋_GB2312" w:hAnsi="仿宋_GB2312" w:eastAsia="仿宋_GB2312" w:cs="仿宋_GB2312"/>
          <w:color w:val="000000"/>
          <w:kern w:val="0"/>
          <w:sz w:val="24"/>
        </w:rPr>
        <w:t>在授权书有效期内签署的所有文件不因授权的撤销而失效。</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委托期限：</w:t>
      </w:r>
    </w:p>
    <w:p>
      <w:pPr>
        <w:snapToGrid w:val="0"/>
        <w:spacing w:beforeLines="50" w:line="440" w:lineRule="exact"/>
        <w:ind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代理人</w:t>
      </w:r>
      <w:r>
        <w:rPr>
          <w:rFonts w:ascii="仿宋_GB2312" w:hAnsi="仿宋_GB2312" w:eastAsia="仿宋_GB2312" w:cs="仿宋_GB2312"/>
          <w:color w:val="000000"/>
          <w:kern w:val="0"/>
          <w:sz w:val="24"/>
        </w:rPr>
        <w:t>无转委托权。</w:t>
      </w:r>
    </w:p>
    <w:p>
      <w:pPr>
        <w:pStyle w:val="39"/>
        <w:snapToGrid w:val="0"/>
        <w:spacing w:line="440" w:lineRule="exact"/>
        <w:ind w:firstLine="480" w:firstLineChars="200"/>
        <w:jc w:val="left"/>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本授权委托书于     年   月   日签字之日起生效，特此声明。</w:t>
      </w:r>
    </w:p>
    <w:p>
      <w:pPr>
        <w:snapToGrid w:val="0"/>
        <w:spacing w:beforeLines="50" w:line="440" w:lineRule="exact"/>
        <w:rPr>
          <w:rFonts w:ascii="仿宋_GB2312" w:hAnsi="仿宋_GB2312" w:eastAsia="仿宋_GB2312" w:cs="仿宋_GB2312"/>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p>
    <w:p>
      <w:pPr>
        <w:snapToGrid w:val="0"/>
        <w:spacing w:beforeLines="50" w:after="50" w:line="460" w:lineRule="exact"/>
        <w:rPr>
          <w:rFonts w:ascii="仿宋_GB2312" w:hAnsi="仿宋_GB2312" w:eastAsia="仿宋_GB2312" w:cs="仿宋_GB2312"/>
          <w:b/>
          <w:color w:val="000000"/>
          <w:kern w:val="0"/>
          <w:sz w:val="24"/>
        </w:rPr>
      </w:pPr>
      <w:r>
        <w:rPr>
          <w:rFonts w:ascii="仿宋_GB2312" w:hAnsi="仿宋_GB2312" w:eastAsia="仿宋_GB2312" w:cs="仿宋_GB2312"/>
          <w:b/>
          <w:color w:val="000000"/>
          <w:kern w:val="0"/>
          <w:sz w:val="24"/>
        </w:rPr>
        <w:t>（附：法定代表人身份证正反面复印件及其</w:t>
      </w:r>
      <w:r>
        <w:rPr>
          <w:rFonts w:hint="eastAsia" w:ascii="仿宋_GB2312" w:hAnsi="仿宋_GB2312" w:eastAsia="仿宋_GB2312" w:cs="仿宋_GB2312"/>
          <w:b/>
          <w:color w:val="000000"/>
          <w:kern w:val="0"/>
          <w:sz w:val="24"/>
        </w:rPr>
        <w:t>委托</w:t>
      </w:r>
      <w:r>
        <w:rPr>
          <w:rFonts w:ascii="仿宋_GB2312" w:hAnsi="仿宋_GB2312" w:eastAsia="仿宋_GB2312" w:cs="仿宋_GB2312"/>
          <w:b/>
          <w:color w:val="000000"/>
          <w:kern w:val="0"/>
          <w:sz w:val="24"/>
        </w:rPr>
        <w:t>代理人身份证</w:t>
      </w:r>
      <w:r>
        <w:rPr>
          <w:rFonts w:hint="eastAsia" w:ascii="仿宋_GB2312" w:hAnsi="仿宋_GB2312" w:eastAsia="仿宋_GB2312" w:cs="仿宋_GB2312"/>
          <w:b/>
          <w:color w:val="000000"/>
          <w:kern w:val="0"/>
          <w:sz w:val="24"/>
        </w:rPr>
        <w:t>正反面</w:t>
      </w:r>
      <w:r>
        <w:rPr>
          <w:rFonts w:ascii="仿宋_GB2312" w:hAnsi="仿宋_GB2312" w:eastAsia="仿宋_GB2312" w:cs="仿宋_GB2312"/>
          <w:b/>
          <w:color w:val="000000"/>
          <w:kern w:val="0"/>
          <w:sz w:val="24"/>
        </w:rPr>
        <w:t>复印件）</w:t>
      </w:r>
    </w:p>
    <w:p>
      <w:pPr>
        <w:snapToGrid w:val="0"/>
        <w:spacing w:beforeLines="50" w:after="50" w:line="460" w:lineRule="exact"/>
        <w:rPr>
          <w:rFonts w:ascii="仿宋_GB2312" w:hAnsi="仿宋_GB2312" w:eastAsia="仿宋_GB2312" w:cs="仿宋_GB2312"/>
          <w:color w:val="000000"/>
          <w:kern w:val="0"/>
          <w:sz w:val="24"/>
        </w:rPr>
      </w:pPr>
    </w:p>
    <w:p>
      <w:pPr>
        <w:snapToGrid w:val="0"/>
        <w:spacing w:beforeLines="50" w:after="50" w:line="460" w:lineRule="exact"/>
        <w:rPr>
          <w:rFonts w:ascii="仿宋_GB2312" w:hAnsi="仿宋_GB2312" w:eastAsia="仿宋_GB2312" w:cs="仿宋_GB2312"/>
          <w:color w:val="000000"/>
          <w:kern w:val="0"/>
          <w:sz w:val="24"/>
        </w:rPr>
      </w:pPr>
    </w:p>
    <w:p>
      <w:pPr>
        <w:tabs>
          <w:tab w:val="left" w:pos="7980"/>
        </w:tabs>
        <w:snapToGrid w:val="0"/>
        <w:spacing w:beforeLines="50" w:after="50" w:line="460" w:lineRule="exact"/>
        <w:ind w:right="-18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w:t>
      </w:r>
      <w:r>
        <w:rPr>
          <w:rFonts w:hint="eastAsia" w:ascii="仿宋_GB2312" w:hAnsi="仿宋_GB2312" w:eastAsia="仿宋_GB2312" w:cs="仿宋_GB2312"/>
          <w:color w:val="000000"/>
          <w:kern w:val="0"/>
          <w:sz w:val="24"/>
        </w:rPr>
        <w:t>字</w:t>
      </w:r>
      <w:r>
        <w:rPr>
          <w:rFonts w:ascii="仿宋_GB2312" w:hAnsi="仿宋_GB2312" w:eastAsia="仿宋_GB2312" w:cs="仿宋_GB2312"/>
          <w:color w:val="000000"/>
          <w:kern w:val="0"/>
          <w:sz w:val="24"/>
        </w:rPr>
        <w:t xml:space="preserve">：          </w:t>
      </w: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法定代表人身份证号码：                         </w:t>
      </w:r>
    </w:p>
    <w:p>
      <w:pPr>
        <w:snapToGrid w:val="0"/>
        <w:spacing w:beforeLines="50" w:after="50" w:line="46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投标人全称（单位公章）：                                   </w:t>
      </w:r>
    </w:p>
    <w:p>
      <w:pPr>
        <w:snapToGrid w:val="0"/>
        <w:spacing w:beforeLines="50" w:line="440" w:lineRule="exact"/>
        <w:ind w:right="600" w:firstLine="4320" w:firstLineChars="1800"/>
        <w:rPr>
          <w:rFonts w:ascii="仿宋_GB2312" w:hAnsi="仿宋_GB2312" w:eastAsia="仿宋_GB2312" w:cs="仿宋_GB2312"/>
          <w:color w:val="000000"/>
          <w:kern w:val="0"/>
          <w:sz w:val="24"/>
        </w:rPr>
      </w:pPr>
    </w:p>
    <w:p>
      <w:pPr>
        <w:snapToGrid w:val="0"/>
        <w:spacing w:beforeLines="50" w:line="440" w:lineRule="exact"/>
        <w:ind w:right="600" w:firstLine="4320" w:firstLineChars="18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Arial" w:hAnsi="Arial" w:eastAsia="仿宋_GB2312" w:cs="Arial"/>
          <w:b/>
          <w:sz w:val="30"/>
          <w:szCs w:val="30"/>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4</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ascii="仿宋_GB2312" w:hAnsi="仿宋_GB2312" w:eastAsia="仿宋_GB2312" w:cs="仿宋_GB2312"/>
          <w:color w:val="000000"/>
          <w:kern w:val="0"/>
          <w:sz w:val="36"/>
          <w:szCs w:val="36"/>
          <w:highlight w:val="none"/>
        </w:rPr>
        <w:t>：</w:t>
      </w:r>
      <w:r>
        <w:rPr>
          <w:rFonts w:hint="eastAsia" w:ascii="仿宋_GB2312" w:hAnsi="仿宋_GB2312" w:eastAsia="仿宋_GB2312" w:cs="仿宋_GB2312"/>
          <w:color w:val="000000"/>
          <w:kern w:val="0"/>
          <w:sz w:val="36"/>
          <w:szCs w:val="36"/>
          <w:highlight w:val="none"/>
          <w:lang w:eastAsia="zh-CN"/>
        </w:rPr>
        <w:t>NBCXZFCG2024008</w:t>
      </w:r>
      <w:r>
        <w:rPr>
          <w:rFonts w:ascii="仿宋_GB2312" w:hAnsi="仿宋_GB2312" w:eastAsia="仿宋_GB2312" w:cs="仿宋_GB2312"/>
          <w:color w:val="000000"/>
          <w:kern w:val="0"/>
          <w:sz w:val="36"/>
          <w:szCs w:val="36"/>
          <w:highlight w:val="none"/>
        </w:rPr>
        <w:t>（</w:t>
      </w:r>
      <w:r>
        <w:rPr>
          <w:rFonts w:ascii="仿宋_GB2312" w:hAnsi="仿宋_GB2312" w:eastAsia="仿宋_GB2312" w:cs="仿宋_GB2312"/>
          <w:color w:val="000000"/>
          <w:kern w:val="0"/>
          <w:sz w:val="36"/>
          <w:szCs w:val="36"/>
        </w:rPr>
        <w:t>标项  ）</w:t>
      </w:r>
    </w:p>
    <w:p>
      <w:pPr>
        <w:spacing w:after="100" w:afterAutospacing="1" w:line="800" w:lineRule="exact"/>
        <w:ind w:right="-108"/>
        <w:jc w:val="center"/>
        <w:rPr>
          <w:rFonts w:ascii="Arial" w:hAnsi="Arial" w:eastAsia="仿宋" w:cs="Arial"/>
          <w:b/>
          <w:spacing w:val="40"/>
          <w:sz w:val="84"/>
          <w:szCs w:val="84"/>
        </w:rPr>
      </w:pP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商</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务</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技</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术</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line="800" w:lineRule="exact"/>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rPr>
          <w:rFonts w:ascii="Arial" w:hAnsi="Arial" w:eastAsia="仿宋" w:cs="Arial"/>
          <w:sz w:val="36"/>
          <w:szCs w:val="36"/>
        </w:rPr>
      </w:pPr>
    </w:p>
    <w:p>
      <w:pPr>
        <w:spacing w:line="500" w:lineRule="exact"/>
        <w:ind w:right="532"/>
        <w:rPr>
          <w:rFonts w:ascii="Arial" w:hAnsi="Arial" w:eastAsia="仿宋" w:cs="Arial"/>
          <w:sz w:val="36"/>
          <w:szCs w:val="36"/>
        </w:rPr>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供应商全称（公章）：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snapToGrid w:val="0"/>
        <w:spacing w:before="50" w:after="50"/>
        <w:jc w:val="left"/>
        <w:rPr>
          <w:rFonts w:ascii="Arial" w:hAnsi="仿宋" w:eastAsia="仿宋" w:cs="Arial"/>
          <w:sz w:val="30"/>
          <w:szCs w:val="30"/>
        </w:rPr>
      </w:pPr>
    </w:p>
    <w:p>
      <w:pPr>
        <w:pStyle w:val="30"/>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5</w:t>
      </w:r>
    </w:p>
    <w:p>
      <w:pPr>
        <w:snapToGrid w:val="0"/>
        <w:spacing w:before="50" w:after="50"/>
        <w:jc w:val="left"/>
        <w:rPr>
          <w:rFonts w:ascii="Arial" w:hAnsi="仿宋" w:eastAsia="仿宋" w:cs="Arial"/>
          <w:b/>
          <w:sz w:val="32"/>
          <w:szCs w:val="32"/>
        </w:rPr>
      </w:pP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评分索引表</w:t>
      </w:r>
    </w:p>
    <w:p>
      <w:pPr>
        <w:snapToGrid w:val="0"/>
        <w:spacing w:before="50"/>
        <w:jc w:val="center"/>
        <w:rPr>
          <w:rFonts w:ascii="Arial" w:hAnsi="Arial" w:eastAsia="仿宋" w:cs="Arial"/>
          <w:b/>
          <w:sz w:val="32"/>
          <w:szCs w:val="32"/>
        </w:rPr>
      </w:pPr>
    </w:p>
    <w:tbl>
      <w:tblPr>
        <w:tblStyle w:val="6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对应招标文件评分办法及评分标准（报价除外）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w:t>
            </w: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left="43"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ind w:right="-110"/>
              <w:jc w:val="center"/>
              <w:rPr>
                <w:rFonts w:ascii="仿宋_GB2312" w:hAnsi="仿宋_GB2312" w:eastAsia="仿宋_GB2312" w:cs="仿宋_GB2312"/>
                <w:color w:val="000000"/>
                <w:kern w:val="0"/>
                <w:sz w:val="28"/>
                <w:szCs w:val="28"/>
              </w:rPr>
            </w:pPr>
          </w:p>
        </w:tc>
        <w:tc>
          <w:tcPr>
            <w:tcW w:w="306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c>
          <w:tcPr>
            <w:tcW w:w="1440" w:type="dxa"/>
            <w:tcBorders>
              <w:top w:val="single" w:color="auto" w:sz="4" w:space="0"/>
              <w:left w:val="single" w:color="auto" w:sz="4" w:space="0"/>
              <w:bottom w:val="single" w:color="auto" w:sz="4" w:space="0"/>
              <w:right w:val="single" w:color="auto" w:sz="4" w:space="0"/>
            </w:tcBorders>
          </w:tcPr>
          <w:p>
            <w:pPr>
              <w:spacing w:beforeLines="50"/>
              <w:ind w:right="-110"/>
              <w:jc w:val="center"/>
              <w:rPr>
                <w:rFonts w:ascii="仿宋_GB2312" w:hAnsi="仿宋_GB2312" w:eastAsia="仿宋_GB2312" w:cs="仿宋_GB2312"/>
                <w:color w:val="000000"/>
                <w:kern w:val="0"/>
                <w:sz w:val="28"/>
                <w:szCs w:val="28"/>
              </w:rPr>
            </w:pPr>
          </w:p>
        </w:tc>
      </w:tr>
    </w:tbl>
    <w:p>
      <w:pPr>
        <w:snapToGrid w:val="0"/>
        <w:spacing w:beforeLines="50" w:line="440" w:lineRule="exact"/>
        <w:ind w:firstLine="140" w:firstLineChars="50"/>
        <w:rPr>
          <w:rFonts w:ascii="Arial" w:hAnsi="Arial" w:eastAsia="仿宋" w:cs="Arial"/>
          <w:sz w:val="28"/>
          <w:szCs w:val="28"/>
        </w:rPr>
      </w:pPr>
    </w:p>
    <w:p>
      <w:pPr>
        <w:snapToGrid w:val="0"/>
        <w:spacing w:beforeLines="50"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法定代表人签名（或签名章</w:t>
      </w:r>
      <w:r>
        <w:rPr>
          <w:rFonts w:hint="eastAsia" w:ascii="仿宋_GB2312" w:hAnsi="仿宋_GB2312" w:eastAsia="仿宋_GB2312" w:cs="仿宋_GB2312"/>
          <w:color w:val="000000"/>
          <w:kern w:val="0"/>
          <w:sz w:val="24"/>
        </w:rPr>
        <w:t>/法人章</w:t>
      </w:r>
      <w:r>
        <w:rPr>
          <w:rFonts w:ascii="仿宋_GB2312" w:hAnsi="仿宋_GB2312" w:eastAsia="仿宋_GB2312" w:cs="仿宋_GB2312"/>
          <w:color w:val="000000"/>
          <w:kern w:val="0"/>
          <w:sz w:val="24"/>
        </w:rPr>
        <w:t xml:space="preserve">）：          </w:t>
      </w:r>
    </w:p>
    <w:p>
      <w:pPr>
        <w:spacing w:line="440" w:lineRule="exact"/>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rPr>
        <w:t>6</w:t>
      </w:r>
    </w:p>
    <w:p>
      <w:pPr>
        <w:snapToGrid w:val="0"/>
        <w:spacing w:beforeLines="50" w:after="50"/>
        <w:rPr>
          <w:rFonts w:ascii="仿宋_GB2312" w:hAnsi="仿宋_GB2312" w:eastAsia="仿宋_GB2312" w:cs="仿宋_GB2312"/>
          <w:color w:val="000000"/>
          <w:kern w:val="0"/>
          <w:sz w:val="32"/>
          <w:szCs w:val="32"/>
        </w:rPr>
      </w:pP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项目名称</w:t>
      </w:r>
    </w:p>
    <w:p>
      <w:pPr>
        <w:ind w:right="-11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招标编号</w:t>
      </w:r>
      <w:r>
        <w:rPr>
          <w:rFonts w:ascii="仿宋_GB2312" w:hAnsi="仿宋_GB2312" w:eastAsia="仿宋_GB2312" w:cs="仿宋_GB2312"/>
          <w:color w:val="000000"/>
          <w:kern w:val="0"/>
          <w:sz w:val="36"/>
          <w:szCs w:val="36"/>
          <w:highlight w:val="none"/>
        </w:rPr>
        <w:t>：</w:t>
      </w:r>
      <w:r>
        <w:rPr>
          <w:rFonts w:hint="eastAsia" w:ascii="仿宋_GB2312" w:hAnsi="仿宋_GB2312" w:eastAsia="仿宋_GB2312" w:cs="仿宋_GB2312"/>
          <w:color w:val="000000"/>
          <w:kern w:val="0"/>
          <w:sz w:val="36"/>
          <w:szCs w:val="36"/>
          <w:highlight w:val="none"/>
          <w:lang w:eastAsia="zh-CN"/>
        </w:rPr>
        <w:t>NBCXZFCG2024008</w:t>
      </w:r>
      <w:r>
        <w:rPr>
          <w:rFonts w:ascii="仿宋_GB2312" w:hAnsi="仿宋_GB2312" w:eastAsia="仿宋_GB2312" w:cs="仿宋_GB2312"/>
          <w:color w:val="000000"/>
          <w:kern w:val="0"/>
          <w:sz w:val="36"/>
          <w:szCs w:val="36"/>
          <w:highlight w:val="none"/>
        </w:rPr>
        <w:t>（</w:t>
      </w:r>
      <w:r>
        <w:rPr>
          <w:rFonts w:ascii="仿宋_GB2312" w:hAnsi="仿宋_GB2312" w:eastAsia="仿宋_GB2312" w:cs="仿宋_GB2312"/>
          <w:color w:val="000000"/>
          <w:kern w:val="0"/>
          <w:sz w:val="36"/>
          <w:szCs w:val="36"/>
        </w:rPr>
        <w:t>标项）</w:t>
      </w:r>
    </w:p>
    <w:p>
      <w:pPr>
        <w:spacing w:after="100" w:afterAutospacing="1" w:line="800" w:lineRule="exact"/>
        <w:ind w:right="-108"/>
        <w:jc w:val="center"/>
        <w:rPr>
          <w:rFonts w:ascii="Arial" w:hAnsi="Arial" w:eastAsia="仿宋" w:cs="Arial"/>
          <w:b/>
          <w:spacing w:val="40"/>
          <w:sz w:val="84"/>
          <w:szCs w:val="84"/>
        </w:rPr>
      </w:pP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报</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价</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文</w:t>
      </w:r>
    </w:p>
    <w:p>
      <w:pPr>
        <w:spacing w:after="100" w:afterAutospacing="1"/>
        <w:ind w:right="-108"/>
        <w:jc w:val="center"/>
        <w:rPr>
          <w:rFonts w:ascii="仿宋_GB2312" w:hAnsi="仿宋_GB2312" w:eastAsia="仿宋_GB2312" w:cs="仿宋_GB2312"/>
          <w:color w:val="000000"/>
          <w:kern w:val="0"/>
          <w:sz w:val="72"/>
          <w:szCs w:val="72"/>
        </w:rPr>
      </w:pPr>
      <w:r>
        <w:rPr>
          <w:rFonts w:ascii="仿宋_GB2312" w:hAnsi="仿宋_GB2312" w:eastAsia="仿宋_GB2312" w:cs="仿宋_GB2312"/>
          <w:color w:val="000000"/>
          <w:kern w:val="0"/>
          <w:sz w:val="72"/>
          <w:szCs w:val="72"/>
        </w:rPr>
        <w:t>件</w:t>
      </w:r>
    </w:p>
    <w:p>
      <w:pPr>
        <w:spacing w:line="500" w:lineRule="exact"/>
        <w:ind w:right="532"/>
        <w:jc w:val="center"/>
        <w:rPr>
          <w:rFonts w:ascii="Arial" w:hAnsi="Arial" w:eastAsia="仿宋" w:cs="Arial"/>
          <w:sz w:val="36"/>
          <w:szCs w:val="36"/>
        </w:rPr>
      </w:pPr>
    </w:p>
    <w:p>
      <w:pPr>
        <w:spacing w:line="500" w:lineRule="exact"/>
        <w:ind w:right="532"/>
        <w:jc w:val="center"/>
        <w:rPr>
          <w:rFonts w:ascii="Arial" w:hAnsi="Arial" w:eastAsia="仿宋" w:cs="Arial"/>
          <w:sz w:val="36"/>
          <w:szCs w:val="36"/>
        </w:rPr>
      </w:pPr>
    </w:p>
    <w:p>
      <w:pPr>
        <w:pStyle w:val="5"/>
        <w:keepNext w:val="0"/>
        <w:keepLines w:val="0"/>
        <w:spacing w:line="415" w:lineRule="auto"/>
      </w:pP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单位全称（公章）：</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地    址：</w:t>
      </w:r>
    </w:p>
    <w:p>
      <w:pPr>
        <w:spacing w:line="600" w:lineRule="exact"/>
        <w:ind w:right="532" w:firstLine="720" w:firstLineChars="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时    间：</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default" w:ascii="仿宋_GB2312" w:hAnsi="仿宋_GB2312" w:eastAsia="仿宋_GB2312" w:cs="仿宋_GB2312"/>
          <w:color w:val="000000"/>
          <w:kern w:val="0"/>
          <w:sz w:val="32"/>
          <w:szCs w:val="32"/>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7</w:t>
      </w:r>
    </w:p>
    <w:p>
      <w:pPr>
        <w:pStyle w:val="39"/>
        <w:snapToGrid w:val="0"/>
        <w:spacing w:before="120" w:after="120"/>
        <w:jc w:val="center"/>
        <w:rPr>
          <w:rFonts w:ascii="仿宋_GB2312" w:hAnsi="仿宋_GB2312" w:eastAsia="仿宋_GB2312" w:cs="仿宋_GB2312"/>
          <w:color w:val="000000"/>
          <w:kern w:val="0"/>
          <w:sz w:val="36"/>
          <w:szCs w:val="36"/>
          <w:highlight w:val="yellow"/>
        </w:rPr>
      </w:pPr>
      <w:r>
        <w:rPr>
          <w:rFonts w:ascii="仿宋_GB2312" w:hAnsi="仿宋_GB2312" w:eastAsia="仿宋_GB2312" w:cs="仿宋_GB2312"/>
          <w:color w:val="000000"/>
          <w:kern w:val="0"/>
          <w:sz w:val="36"/>
          <w:szCs w:val="36"/>
        </w:rPr>
        <w:t xml:space="preserve">投 标 </w:t>
      </w:r>
      <w:r>
        <w:rPr>
          <w:rFonts w:hint="eastAsia" w:ascii="仿宋_GB2312" w:hAnsi="仿宋_GB2312" w:eastAsia="仿宋_GB2312" w:cs="仿宋_GB2312"/>
          <w:color w:val="000000"/>
          <w:kern w:val="0"/>
          <w:sz w:val="36"/>
          <w:szCs w:val="36"/>
        </w:rPr>
        <w:t>一 览 表</w:t>
      </w:r>
    </w:p>
    <w:p>
      <w:pPr>
        <w:pStyle w:val="3"/>
        <w:spacing w:line="400" w:lineRule="exact"/>
        <w:ind w:firstLine="160" w:firstLineChars="67"/>
        <w:rPr>
          <w:rFonts w:hAnsi="仿宋_GB2312" w:cs="仿宋_GB2312"/>
          <w:color w:val="000000"/>
          <w:kern w:val="0"/>
          <w:sz w:val="24"/>
        </w:rPr>
      </w:pPr>
      <w:r>
        <w:rPr>
          <w:rFonts w:hint="eastAsia" w:hAnsi="仿宋_GB2312" w:cs="仿宋_GB2312"/>
          <w:color w:val="000000"/>
          <w:kern w:val="0"/>
          <w:sz w:val="24"/>
        </w:rPr>
        <w:t xml:space="preserve">项目名称：                         </w:t>
      </w:r>
    </w:p>
    <w:p>
      <w:pPr>
        <w:pStyle w:val="39"/>
        <w:snapToGrid w:val="0"/>
        <w:spacing w:line="400" w:lineRule="exact"/>
        <w:ind w:firstLine="160" w:firstLineChars="67"/>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项目编号：                         </w:t>
      </w:r>
    </w:p>
    <w:p>
      <w:pPr>
        <w:pStyle w:val="39"/>
        <w:snapToGrid w:val="0"/>
        <w:spacing w:line="400" w:lineRule="exact"/>
        <w:ind w:firstLine="160" w:firstLineChars="67"/>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标    项：                          </w:t>
      </w:r>
    </w:p>
    <w:p>
      <w:pPr>
        <w:pStyle w:val="39"/>
        <w:snapToGrid w:val="0"/>
        <w:spacing w:line="400" w:lineRule="exact"/>
        <w:ind w:firstLine="2880" w:firstLineChars="1200"/>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rPr>
        <w:t>货币单位：人民币（元）</w:t>
      </w:r>
    </w:p>
    <w:tbl>
      <w:tblPr>
        <w:tblStyle w:val="67"/>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434"/>
        <w:gridCol w:w="1559"/>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05" w:type="dxa"/>
            <w:vAlign w:val="center"/>
          </w:tcPr>
          <w:p>
            <w:pPr>
              <w:snapToGrid w:val="0"/>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标项</w:t>
            </w:r>
          </w:p>
        </w:tc>
        <w:tc>
          <w:tcPr>
            <w:tcW w:w="3434" w:type="dxa"/>
            <w:vAlign w:val="center"/>
          </w:tcPr>
          <w:p>
            <w:pPr>
              <w:snapToGrid w:val="0"/>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培训班名称</w:t>
            </w:r>
          </w:p>
        </w:tc>
        <w:tc>
          <w:tcPr>
            <w:tcW w:w="1559" w:type="dxa"/>
            <w:vAlign w:val="center"/>
          </w:tcPr>
          <w:p>
            <w:pPr>
              <w:snapToGrid w:val="0"/>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培训人数</w:t>
            </w:r>
          </w:p>
        </w:tc>
        <w:tc>
          <w:tcPr>
            <w:tcW w:w="3153" w:type="dxa"/>
            <w:vAlign w:val="center"/>
          </w:tcPr>
          <w:p>
            <w:pPr>
              <w:snapToGrid w:val="0"/>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05" w:type="dxa"/>
            <w:vMerge w:val="restart"/>
            <w:vAlign w:val="center"/>
          </w:tcPr>
          <w:p>
            <w:pPr>
              <w:snapToGrid w:val="0"/>
              <w:spacing w:line="400" w:lineRule="exact"/>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highlight w:val="none"/>
              </w:rPr>
              <w:t>1</w:t>
            </w:r>
            <w:r>
              <w:rPr>
                <w:rFonts w:hint="eastAsia" w:ascii="仿宋_GB2312" w:hAnsi="仿宋_GB2312" w:eastAsia="仿宋_GB2312" w:cs="仿宋_GB2312"/>
                <w:color w:val="000000"/>
                <w:kern w:val="0"/>
                <w:sz w:val="24"/>
                <w:highlight w:val="none"/>
                <w:lang w:val="en-US" w:eastAsia="zh-CN"/>
              </w:rPr>
              <w:t>/2/3/</w:t>
            </w:r>
            <w:r>
              <w:rPr>
                <w:rFonts w:hint="eastAsia" w:ascii="仿宋_GB2312" w:hAnsi="仿宋_GB2312" w:eastAsia="仿宋_GB2312" w:cs="仿宋_GB2312"/>
                <w:color w:val="000000"/>
                <w:kern w:val="0"/>
                <w:sz w:val="24"/>
                <w:highlight w:val="none"/>
              </w:rPr>
              <w:t>…</w:t>
            </w:r>
            <w:r>
              <w:rPr>
                <w:rFonts w:hint="eastAsia" w:ascii="仿宋_GB2312" w:hAnsi="仿宋_GB2312" w:eastAsia="仿宋_GB2312" w:cs="仿宋_GB2312"/>
                <w:color w:val="000000"/>
                <w:kern w:val="0"/>
                <w:sz w:val="24"/>
                <w:highlight w:val="none"/>
                <w:lang w:val="en-US" w:eastAsia="zh-CN"/>
              </w:rPr>
              <w:t>/11</w:t>
            </w:r>
          </w:p>
        </w:tc>
        <w:tc>
          <w:tcPr>
            <w:tcW w:w="3434" w:type="dxa"/>
            <w:vAlign w:val="center"/>
          </w:tcPr>
          <w:p>
            <w:pPr>
              <w:spacing w:line="400" w:lineRule="exact"/>
              <w:jc w:val="center"/>
              <w:rPr>
                <w:rFonts w:ascii="仿宋_GB2312" w:hAnsi="仿宋_GB2312" w:eastAsia="仿宋_GB2312" w:cs="仿宋_GB2312"/>
                <w:color w:val="000000"/>
                <w:kern w:val="0"/>
                <w:sz w:val="24"/>
              </w:rPr>
            </w:pPr>
          </w:p>
        </w:tc>
        <w:tc>
          <w:tcPr>
            <w:tcW w:w="1559" w:type="dxa"/>
            <w:vAlign w:val="center"/>
          </w:tcPr>
          <w:p>
            <w:pPr>
              <w:snapToGrid w:val="0"/>
              <w:spacing w:line="400" w:lineRule="exact"/>
              <w:jc w:val="center"/>
              <w:rPr>
                <w:rFonts w:ascii="仿宋_GB2312" w:hAnsi="仿宋_GB2312" w:eastAsia="仿宋_GB2312" w:cs="仿宋_GB2312"/>
                <w:color w:val="000000"/>
                <w:kern w:val="0"/>
                <w:sz w:val="24"/>
              </w:rPr>
            </w:pPr>
          </w:p>
        </w:tc>
        <w:tc>
          <w:tcPr>
            <w:tcW w:w="3153" w:type="dxa"/>
            <w:vAlign w:val="center"/>
          </w:tcPr>
          <w:p>
            <w:pPr>
              <w:snapToGrid w:val="0"/>
              <w:spacing w:line="4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大写：</w:t>
            </w:r>
          </w:p>
          <w:p>
            <w:pPr>
              <w:snapToGrid w:val="0"/>
              <w:spacing w:line="4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5" w:type="dxa"/>
            <w:vMerge w:val="continue"/>
            <w:vAlign w:val="center"/>
          </w:tcPr>
          <w:p>
            <w:pPr>
              <w:snapToGrid w:val="0"/>
              <w:spacing w:line="400" w:lineRule="exact"/>
              <w:jc w:val="center"/>
              <w:rPr>
                <w:rFonts w:hint="eastAsia" w:ascii="仿宋_GB2312" w:hAnsi="仿宋_GB2312" w:eastAsia="仿宋_GB2312" w:cs="仿宋_GB2312"/>
                <w:color w:val="000000"/>
                <w:kern w:val="0"/>
                <w:sz w:val="24"/>
              </w:rPr>
            </w:pPr>
          </w:p>
        </w:tc>
        <w:tc>
          <w:tcPr>
            <w:tcW w:w="3434" w:type="dxa"/>
            <w:vAlign w:val="center"/>
          </w:tcPr>
          <w:p>
            <w:pPr>
              <w:spacing w:line="400" w:lineRule="exact"/>
              <w:jc w:val="center"/>
              <w:rPr>
                <w:rFonts w:ascii="仿宋_GB2312" w:hAnsi="仿宋_GB2312" w:eastAsia="仿宋_GB2312" w:cs="仿宋_GB2312"/>
                <w:color w:val="000000"/>
                <w:kern w:val="0"/>
                <w:sz w:val="24"/>
              </w:rPr>
            </w:pPr>
          </w:p>
        </w:tc>
        <w:tc>
          <w:tcPr>
            <w:tcW w:w="1559" w:type="dxa"/>
            <w:vAlign w:val="center"/>
          </w:tcPr>
          <w:p>
            <w:pPr>
              <w:snapToGrid w:val="0"/>
              <w:spacing w:line="400" w:lineRule="exact"/>
              <w:jc w:val="center"/>
              <w:rPr>
                <w:rFonts w:ascii="仿宋_GB2312" w:hAnsi="仿宋_GB2312" w:eastAsia="仿宋_GB2312" w:cs="仿宋_GB2312"/>
                <w:color w:val="000000"/>
                <w:kern w:val="0"/>
                <w:sz w:val="24"/>
              </w:rPr>
            </w:pPr>
          </w:p>
        </w:tc>
        <w:tc>
          <w:tcPr>
            <w:tcW w:w="3153" w:type="dxa"/>
            <w:vAlign w:val="center"/>
          </w:tcPr>
          <w:p>
            <w:pPr>
              <w:snapToGrid w:val="0"/>
              <w:spacing w:line="4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大写：</w:t>
            </w:r>
          </w:p>
          <w:p>
            <w:pPr>
              <w:snapToGrid w:val="0"/>
              <w:spacing w:line="40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805" w:type="dxa"/>
            <w:vAlign w:val="center"/>
          </w:tcPr>
          <w:p>
            <w:pPr>
              <w:snapToGrid w:val="0"/>
              <w:spacing w:line="400" w:lineRule="exact"/>
              <w:jc w:val="center"/>
              <w:rPr>
                <w:rFonts w:ascii="仿宋_GB2312" w:hAnsi="仿宋_GB2312" w:eastAsia="仿宋_GB2312" w:cs="仿宋_GB2312"/>
                <w:color w:val="000000"/>
                <w:kern w:val="0"/>
                <w:sz w:val="24"/>
              </w:rPr>
            </w:pPr>
          </w:p>
        </w:tc>
        <w:tc>
          <w:tcPr>
            <w:tcW w:w="3434" w:type="dxa"/>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1559" w:type="dxa"/>
            <w:vAlign w:val="center"/>
          </w:tcPr>
          <w:p>
            <w:pPr>
              <w:snapToGrid w:val="0"/>
              <w:spacing w:line="400" w:lineRule="exact"/>
              <w:jc w:val="center"/>
              <w:rPr>
                <w:rFonts w:ascii="仿宋_GB2312" w:hAnsi="仿宋_GB2312" w:eastAsia="仿宋_GB2312" w:cs="仿宋_GB2312"/>
                <w:color w:val="000000"/>
                <w:kern w:val="0"/>
                <w:sz w:val="24"/>
              </w:rPr>
            </w:pPr>
          </w:p>
        </w:tc>
        <w:tc>
          <w:tcPr>
            <w:tcW w:w="3153" w:type="dxa"/>
            <w:vAlign w:val="center"/>
          </w:tcPr>
          <w:p>
            <w:pPr>
              <w:snapToGrid w:val="0"/>
              <w:spacing w:line="400" w:lineRule="exact"/>
              <w:jc w:val="left"/>
              <w:rPr>
                <w:rFonts w:ascii="仿宋_GB2312" w:hAnsi="仿宋_GB2312" w:eastAsia="仿宋_GB2312" w:cs="仿宋_GB2312"/>
                <w:color w:val="000000"/>
                <w:kern w:val="0"/>
                <w:sz w:val="24"/>
              </w:rPr>
            </w:pPr>
          </w:p>
        </w:tc>
      </w:tr>
    </w:tbl>
    <w:p>
      <w:pPr>
        <w:snapToGrid w:val="0"/>
        <w:spacing w:line="400" w:lineRule="exact"/>
        <w:ind w:firstLine="240" w:firstLineChars="1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备注：1、报价以人民币为结算单位。</w:t>
      </w:r>
    </w:p>
    <w:p>
      <w:pPr>
        <w:snapToGrid w:val="0"/>
        <w:spacing w:line="4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2、供应商可填入选择所投的标项。</w:t>
      </w:r>
    </w:p>
    <w:p>
      <w:pPr>
        <w:spacing w:line="400" w:lineRule="atLeast"/>
        <w:ind w:firstLine="960" w:firstLineChars="400"/>
        <w:jc w:val="left"/>
        <w:rPr>
          <w:rFonts w:hint="eastAsia" w:ascii="仿宋_GB2312" w:hAnsi="仿宋_GB2312" w:eastAsia="仿宋_GB2312" w:cs="仿宋_GB2312"/>
          <w:color w:val="000000"/>
          <w:kern w:val="0"/>
          <w:sz w:val="24"/>
          <w:highlight w:val="none"/>
          <w:lang w:val="en-US" w:eastAsia="zh-CN"/>
        </w:rPr>
      </w:pPr>
      <w:r>
        <w:rPr>
          <w:rFonts w:hint="eastAsia" w:ascii="仿宋_GB2312" w:hAnsi="仿宋_GB2312" w:eastAsia="仿宋_GB2312" w:cs="仿宋_GB2312"/>
          <w:color w:val="000000"/>
          <w:kern w:val="0"/>
          <w:sz w:val="24"/>
          <w:highlight w:val="none"/>
          <w:lang w:val="en-US" w:eastAsia="zh-CN"/>
        </w:rPr>
        <w:t>3、每个标项独立报价。若在一个标项的报价文件中出现其他未开标项的报价，该未开标项为无效的投标。</w:t>
      </w:r>
    </w:p>
    <w:p>
      <w:pPr>
        <w:snapToGrid w:val="0"/>
        <w:spacing w:beforeLines="50"/>
        <w:ind w:firstLine="3480" w:firstLineChars="1450"/>
        <w:rPr>
          <w:rFonts w:ascii="仿宋_GB2312" w:hAnsi="仿宋_GB2312" w:eastAsia="仿宋_GB2312" w:cs="仿宋_GB2312"/>
          <w:color w:val="000000"/>
          <w:kern w:val="0"/>
          <w:sz w:val="24"/>
        </w:rPr>
      </w:pPr>
    </w:p>
    <w:p>
      <w:pPr>
        <w:snapToGrid w:val="0"/>
        <w:spacing w:beforeLines="50"/>
        <w:ind w:firstLine="3480" w:firstLineChars="1450"/>
        <w:rPr>
          <w:rFonts w:ascii="仿宋_GB2312" w:hAnsi="仿宋_GB2312" w:eastAsia="仿宋_GB2312" w:cs="仿宋_GB2312"/>
          <w:color w:val="000000"/>
          <w:kern w:val="0"/>
          <w:sz w:val="24"/>
        </w:rPr>
      </w:pPr>
    </w:p>
    <w:p>
      <w:pPr>
        <w:snapToGrid w:val="0"/>
        <w:spacing w:beforeLines="50"/>
        <w:ind w:firstLine="3480" w:firstLineChars="1450"/>
        <w:rPr>
          <w:rFonts w:ascii="仿宋_GB2312" w:hAnsi="仿宋_GB2312" w:eastAsia="仿宋_GB2312" w:cs="仿宋_GB2312"/>
          <w:color w:val="000000"/>
          <w:kern w:val="0"/>
          <w:sz w:val="24"/>
        </w:rPr>
      </w:pPr>
    </w:p>
    <w:p>
      <w:pPr>
        <w:snapToGrid w:val="0"/>
        <w:spacing w:beforeLines="50"/>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w:t>
      </w:r>
      <w:r>
        <w:rPr>
          <w:rFonts w:hint="eastAsia" w:ascii="仿宋_GB2312" w:hAnsi="仿宋_GB2312" w:eastAsia="仿宋_GB2312" w:cs="仿宋_GB2312"/>
          <w:color w:val="000000"/>
          <w:kern w:val="0"/>
          <w:sz w:val="24"/>
        </w:rPr>
        <w:t>或其</w:t>
      </w:r>
      <w:r>
        <w:rPr>
          <w:rFonts w:ascii="仿宋_GB2312" w:hAnsi="仿宋_GB2312" w:eastAsia="仿宋_GB2312" w:cs="仿宋_GB2312"/>
          <w:color w:val="000000"/>
          <w:kern w:val="0"/>
          <w:sz w:val="24"/>
        </w:rPr>
        <w:t xml:space="preserve">授权代表签字：          </w:t>
      </w:r>
    </w:p>
    <w:p>
      <w:pPr>
        <w:pStyle w:val="2"/>
        <w:ind w:firstLine="3000" w:firstLineChars="1250"/>
      </w:pPr>
      <w:r>
        <w:rPr>
          <w:rFonts w:ascii="仿宋_GB2312" w:hAnsi="仿宋_GB2312" w:eastAsia="仿宋_GB2312" w:cs="仿宋_GB2312"/>
          <w:color w:val="000000"/>
          <w:kern w:val="0"/>
          <w:sz w:val="24"/>
        </w:rPr>
        <w:t>日期：       年      月      日</w:t>
      </w:r>
    </w:p>
    <w:p>
      <w:pPr>
        <w:snapToGrid w:val="0"/>
        <w:spacing w:beforeLines="50" w:after="50"/>
        <w:rPr>
          <w:rFonts w:ascii="仿宋_GB2312" w:hAnsi="仿宋_GB2312" w:eastAsia="仿宋_GB2312" w:cs="仿宋_GB2312"/>
          <w:color w:val="000000"/>
          <w:kern w:val="0"/>
          <w:sz w:val="32"/>
          <w:szCs w:val="32"/>
        </w:rPr>
      </w:pPr>
      <w:bookmarkStart w:id="33" w:name="_Toc99440277"/>
      <w:bookmarkStart w:id="34" w:name="_Toc95809078"/>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eastAsia" w:ascii="仿宋_GB2312" w:hAnsi="仿宋_GB2312" w:eastAsia="仿宋_GB2312" w:cs="仿宋_GB2312"/>
          <w:color w:val="000000"/>
          <w:kern w:val="0"/>
          <w:sz w:val="32"/>
          <w:szCs w:val="32"/>
          <w:lang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8</w:t>
      </w:r>
    </w:p>
    <w:bookmarkEnd w:id="33"/>
    <w:bookmarkEnd w:id="34"/>
    <w:p>
      <w:pPr>
        <w:pStyle w:val="39"/>
        <w:snapToGrid w:val="0"/>
        <w:spacing w:before="120" w:after="120"/>
        <w:jc w:val="center"/>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 xml:space="preserve"> 报 价 明 细 表</w:t>
      </w:r>
    </w:p>
    <w:p>
      <w:pPr>
        <w:pStyle w:val="3"/>
        <w:spacing w:line="400" w:lineRule="exact"/>
        <w:ind w:firstLine="160" w:firstLineChars="67"/>
        <w:rPr>
          <w:rFonts w:hAnsi="仿宋_GB2312" w:cs="仿宋_GB2312"/>
          <w:color w:val="000000"/>
          <w:kern w:val="0"/>
          <w:sz w:val="24"/>
        </w:rPr>
      </w:pPr>
      <w:r>
        <w:rPr>
          <w:rFonts w:hint="eastAsia" w:hAnsi="仿宋_GB2312" w:cs="仿宋_GB2312"/>
          <w:color w:val="000000"/>
          <w:kern w:val="0"/>
          <w:sz w:val="24"/>
        </w:rPr>
        <w:t xml:space="preserve">项目名称：                         </w:t>
      </w:r>
    </w:p>
    <w:p>
      <w:pPr>
        <w:pStyle w:val="39"/>
        <w:snapToGrid w:val="0"/>
        <w:spacing w:line="400" w:lineRule="exact"/>
        <w:ind w:firstLine="160" w:firstLineChars="67"/>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项目编号：                         </w:t>
      </w:r>
    </w:p>
    <w:p>
      <w:pPr>
        <w:pStyle w:val="39"/>
        <w:snapToGrid w:val="0"/>
        <w:spacing w:line="400" w:lineRule="exact"/>
        <w:ind w:firstLine="160" w:firstLineChars="67"/>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标    项：                          </w:t>
      </w:r>
    </w:p>
    <w:p>
      <w:pPr>
        <w:pStyle w:val="39"/>
        <w:snapToGrid w:val="0"/>
        <w:spacing w:line="400" w:lineRule="exact"/>
        <w:ind w:firstLine="2880" w:firstLineChars="1200"/>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rPr>
        <w:t>货币单位：人民币（元）</w:t>
      </w:r>
    </w:p>
    <w:tbl>
      <w:tblPr>
        <w:tblStyle w:val="6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843"/>
        <w:gridCol w:w="3061"/>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6" w:type="dxa"/>
            <w:vAlign w:val="center"/>
          </w:tcPr>
          <w:p>
            <w:pPr>
              <w:widowControl/>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序号</w:t>
            </w:r>
          </w:p>
        </w:tc>
        <w:tc>
          <w:tcPr>
            <w:tcW w:w="4904" w:type="dxa"/>
            <w:gridSpan w:val="2"/>
            <w:vAlign w:val="center"/>
          </w:tcPr>
          <w:p>
            <w:pPr>
              <w:widowControl/>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费用组成</w:t>
            </w:r>
          </w:p>
        </w:tc>
        <w:tc>
          <w:tcPr>
            <w:tcW w:w="2750" w:type="dxa"/>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26" w:type="dxa"/>
            <w:vAlign w:val="center"/>
          </w:tcPr>
          <w:p>
            <w:pPr>
              <w:pStyle w:val="3"/>
              <w:spacing w:line="400" w:lineRule="exact"/>
              <w:ind w:firstLineChars="250"/>
              <w:rPr>
                <w:rFonts w:hAnsi="仿宋_GB2312" w:cs="仿宋_GB2312"/>
                <w:color w:val="000000"/>
                <w:kern w:val="0"/>
                <w:sz w:val="24"/>
              </w:rPr>
            </w:pPr>
            <w:r>
              <w:rPr>
                <w:rFonts w:hint="eastAsia" w:hAnsi="仿宋_GB2312" w:cs="仿宋_GB2312"/>
                <w:color w:val="000000"/>
                <w:kern w:val="0"/>
                <w:sz w:val="24"/>
              </w:rPr>
              <w:t>1</w:t>
            </w:r>
          </w:p>
        </w:tc>
        <w:tc>
          <w:tcPr>
            <w:tcW w:w="4904" w:type="dxa"/>
            <w:gridSpan w:val="2"/>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讲课费</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526" w:type="dxa"/>
            <w:vAlign w:val="center"/>
          </w:tcPr>
          <w:p>
            <w:pPr>
              <w:widowControl/>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4904" w:type="dxa"/>
            <w:gridSpan w:val="2"/>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教师交通费</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26" w:type="dxa"/>
            <w:vMerge w:val="restart"/>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843" w:type="dxa"/>
            <w:vMerge w:val="restart"/>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住宿费、伙食费</w:t>
            </w:r>
          </w:p>
        </w:tc>
        <w:tc>
          <w:tcPr>
            <w:tcW w:w="3061" w:type="dxa"/>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教师</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26" w:type="dxa"/>
            <w:vMerge w:val="continue"/>
            <w:vAlign w:val="center"/>
          </w:tcPr>
          <w:p>
            <w:pPr>
              <w:spacing w:line="400" w:lineRule="exact"/>
              <w:jc w:val="center"/>
              <w:rPr>
                <w:rFonts w:ascii="仿宋_GB2312" w:hAnsi="仿宋_GB2312" w:eastAsia="仿宋_GB2312" w:cs="仿宋_GB2312"/>
                <w:color w:val="000000"/>
                <w:kern w:val="0"/>
                <w:sz w:val="24"/>
              </w:rPr>
            </w:pPr>
          </w:p>
        </w:tc>
        <w:tc>
          <w:tcPr>
            <w:tcW w:w="1843" w:type="dxa"/>
            <w:vMerge w:val="continue"/>
            <w:vAlign w:val="center"/>
          </w:tcPr>
          <w:p>
            <w:pPr>
              <w:spacing w:line="400" w:lineRule="exact"/>
              <w:jc w:val="center"/>
              <w:rPr>
                <w:rFonts w:ascii="仿宋_GB2312" w:hAnsi="仿宋_GB2312" w:eastAsia="仿宋_GB2312" w:cs="仿宋_GB2312"/>
                <w:color w:val="000000"/>
                <w:kern w:val="0"/>
                <w:sz w:val="24"/>
              </w:rPr>
            </w:pPr>
          </w:p>
        </w:tc>
        <w:tc>
          <w:tcPr>
            <w:tcW w:w="3061" w:type="dxa"/>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学员</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26" w:type="dxa"/>
            <w:vMerge w:val="continue"/>
            <w:vAlign w:val="center"/>
          </w:tcPr>
          <w:p>
            <w:pPr>
              <w:spacing w:line="400" w:lineRule="exact"/>
              <w:jc w:val="center"/>
              <w:rPr>
                <w:rFonts w:ascii="仿宋_GB2312" w:hAnsi="仿宋_GB2312" w:eastAsia="仿宋_GB2312" w:cs="仿宋_GB2312"/>
                <w:color w:val="000000"/>
                <w:kern w:val="0"/>
                <w:sz w:val="24"/>
              </w:rPr>
            </w:pPr>
          </w:p>
        </w:tc>
        <w:tc>
          <w:tcPr>
            <w:tcW w:w="1843" w:type="dxa"/>
            <w:vMerge w:val="continue"/>
            <w:vAlign w:val="center"/>
          </w:tcPr>
          <w:p>
            <w:pPr>
              <w:spacing w:line="400" w:lineRule="exact"/>
              <w:jc w:val="center"/>
              <w:rPr>
                <w:rFonts w:ascii="仿宋_GB2312" w:hAnsi="仿宋_GB2312" w:eastAsia="仿宋_GB2312" w:cs="仿宋_GB2312"/>
                <w:color w:val="000000"/>
                <w:kern w:val="0"/>
                <w:sz w:val="24"/>
              </w:rPr>
            </w:pPr>
          </w:p>
        </w:tc>
        <w:tc>
          <w:tcPr>
            <w:tcW w:w="3061" w:type="dxa"/>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工作人员</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Merge w:val="restart"/>
            <w:vAlign w:val="center"/>
          </w:tcPr>
          <w:p>
            <w:pPr>
              <w:spacing w:line="40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4</w:t>
            </w:r>
          </w:p>
        </w:tc>
        <w:tc>
          <w:tcPr>
            <w:tcW w:w="1843" w:type="dxa"/>
            <w:vMerge w:val="restart"/>
            <w:vAlign w:val="center"/>
          </w:tcPr>
          <w:p>
            <w:pPr>
              <w:spacing w:line="4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场地、资料、交通费</w:t>
            </w:r>
          </w:p>
        </w:tc>
        <w:tc>
          <w:tcPr>
            <w:tcW w:w="3061" w:type="dxa"/>
            <w:vAlign w:val="center"/>
          </w:tcPr>
          <w:p>
            <w:pPr>
              <w:spacing w:line="4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学员</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26" w:type="dxa"/>
            <w:vMerge w:val="continue"/>
            <w:vAlign w:val="center"/>
          </w:tcPr>
          <w:p>
            <w:pPr>
              <w:spacing w:line="400" w:lineRule="exact"/>
              <w:jc w:val="center"/>
              <w:rPr>
                <w:rFonts w:hint="eastAsia" w:ascii="仿宋_GB2312" w:hAnsi="仿宋_GB2312" w:eastAsia="仿宋_GB2312" w:cs="仿宋_GB2312"/>
                <w:color w:val="000000"/>
                <w:kern w:val="0"/>
                <w:sz w:val="24"/>
                <w:lang w:val="en-US" w:eastAsia="zh-CN"/>
              </w:rPr>
            </w:pPr>
          </w:p>
        </w:tc>
        <w:tc>
          <w:tcPr>
            <w:tcW w:w="1843" w:type="dxa"/>
            <w:vMerge w:val="continue"/>
            <w:vAlign w:val="center"/>
          </w:tcPr>
          <w:p>
            <w:pPr>
              <w:spacing w:line="400" w:lineRule="exact"/>
              <w:jc w:val="center"/>
              <w:rPr>
                <w:rFonts w:hint="eastAsia" w:ascii="仿宋_GB2312" w:hAnsi="仿宋_GB2312" w:eastAsia="仿宋_GB2312" w:cs="仿宋_GB2312"/>
                <w:color w:val="auto"/>
                <w:kern w:val="0"/>
                <w:sz w:val="24"/>
              </w:rPr>
            </w:pPr>
          </w:p>
        </w:tc>
        <w:tc>
          <w:tcPr>
            <w:tcW w:w="3061" w:type="dxa"/>
            <w:vAlign w:val="center"/>
          </w:tcPr>
          <w:p>
            <w:pPr>
              <w:spacing w:line="4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工作人员</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526" w:type="dxa"/>
            <w:vMerge w:val="restart"/>
            <w:vAlign w:val="center"/>
          </w:tcPr>
          <w:p>
            <w:pPr>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5</w:t>
            </w:r>
          </w:p>
        </w:tc>
        <w:tc>
          <w:tcPr>
            <w:tcW w:w="1843" w:type="dxa"/>
            <w:vMerge w:val="restart"/>
            <w:vAlign w:val="center"/>
          </w:tcPr>
          <w:p>
            <w:pPr>
              <w:spacing w:line="40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其他费用</w:t>
            </w:r>
          </w:p>
        </w:tc>
        <w:tc>
          <w:tcPr>
            <w:tcW w:w="3061" w:type="dxa"/>
            <w:vAlign w:val="center"/>
          </w:tcPr>
          <w:p>
            <w:pPr>
              <w:spacing w:line="4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学员</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26" w:type="dxa"/>
            <w:vMerge w:val="continue"/>
            <w:vAlign w:val="center"/>
          </w:tcPr>
          <w:p>
            <w:pPr>
              <w:spacing w:line="400" w:lineRule="exact"/>
              <w:jc w:val="center"/>
              <w:rPr>
                <w:rFonts w:hint="eastAsia" w:ascii="仿宋_GB2312" w:hAnsi="仿宋_GB2312" w:eastAsia="仿宋_GB2312" w:cs="仿宋_GB2312"/>
                <w:color w:val="000000"/>
                <w:kern w:val="0"/>
                <w:sz w:val="24"/>
                <w:lang w:val="en-US" w:eastAsia="zh-CN"/>
              </w:rPr>
            </w:pPr>
          </w:p>
        </w:tc>
        <w:tc>
          <w:tcPr>
            <w:tcW w:w="1843" w:type="dxa"/>
            <w:vMerge w:val="continue"/>
            <w:vAlign w:val="center"/>
          </w:tcPr>
          <w:p>
            <w:pPr>
              <w:spacing w:line="400" w:lineRule="exact"/>
              <w:jc w:val="center"/>
              <w:rPr>
                <w:rFonts w:hint="eastAsia" w:ascii="仿宋_GB2312" w:hAnsi="仿宋_GB2312" w:eastAsia="仿宋_GB2312" w:cs="仿宋_GB2312"/>
                <w:color w:val="auto"/>
                <w:kern w:val="0"/>
                <w:sz w:val="24"/>
              </w:rPr>
            </w:pPr>
          </w:p>
        </w:tc>
        <w:tc>
          <w:tcPr>
            <w:tcW w:w="3061" w:type="dxa"/>
            <w:vAlign w:val="center"/>
          </w:tcPr>
          <w:p>
            <w:pPr>
              <w:spacing w:line="4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工作人员</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30" w:type="dxa"/>
            <w:gridSpan w:val="3"/>
            <w:vAlign w:val="center"/>
          </w:tcPr>
          <w:p>
            <w:pPr>
              <w:spacing w:line="4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投标报价（元）</w:t>
            </w:r>
          </w:p>
        </w:tc>
        <w:tc>
          <w:tcPr>
            <w:tcW w:w="2750" w:type="dxa"/>
            <w:vAlign w:val="center"/>
          </w:tcPr>
          <w:p>
            <w:pPr>
              <w:spacing w:line="400" w:lineRule="exact"/>
              <w:jc w:val="center"/>
              <w:rPr>
                <w:rFonts w:ascii="仿宋_GB2312" w:hAnsi="仿宋_GB2312" w:eastAsia="仿宋_GB2312" w:cs="仿宋_GB2312"/>
                <w:color w:val="000000"/>
                <w:kern w:val="0"/>
                <w:sz w:val="24"/>
              </w:rPr>
            </w:pPr>
          </w:p>
        </w:tc>
      </w:tr>
    </w:tbl>
    <w:p>
      <w:pPr>
        <w:pStyle w:val="3"/>
        <w:spacing w:line="400" w:lineRule="exact"/>
        <w:ind w:firstLine="0" w:firstLineChars="0"/>
        <w:rPr>
          <w:rFonts w:hAnsi="仿宋_GB2312" w:cs="仿宋_GB2312"/>
          <w:color w:val="000000"/>
          <w:kern w:val="0"/>
          <w:sz w:val="24"/>
        </w:rPr>
      </w:pPr>
      <w:r>
        <w:rPr>
          <w:rFonts w:hint="eastAsia" w:hAnsi="仿宋_GB2312" w:cs="仿宋_GB2312"/>
          <w:color w:val="000000"/>
          <w:kern w:val="0"/>
          <w:sz w:val="24"/>
        </w:rPr>
        <w:t>注：1、上表中，如无此费用可以填“0”，如有遗漏则视为包含在投标报价中。</w:t>
      </w:r>
    </w:p>
    <w:p>
      <w:pPr>
        <w:numPr>
          <w:ilvl w:val="0"/>
          <w:numId w:val="5"/>
        </w:numPr>
        <w:spacing w:line="440" w:lineRule="exact"/>
        <w:ind w:firstLine="480" w:firstLineChars="200"/>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培训过程中发生的所有费用均含在投标报价中，包括教师费用、工作人员费用、学员费用、中标服务费、税金、利润等，即采购人不再另行支付其他费用。</w:t>
      </w:r>
    </w:p>
    <w:p>
      <w:pPr>
        <w:numPr>
          <w:ilvl w:val="0"/>
          <w:numId w:val="5"/>
        </w:numPr>
        <w:spacing w:line="440" w:lineRule="exact"/>
        <w:ind w:firstLine="480" w:firstLineChars="200"/>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bidi="ar-SA"/>
        </w:rPr>
        <w:t>报价参考附件11。</w:t>
      </w:r>
    </w:p>
    <w:p>
      <w:pPr>
        <w:spacing w:line="400" w:lineRule="atLeast"/>
        <w:jc w:val="left"/>
        <w:rPr>
          <w:rFonts w:ascii="宋体" w:hAnsi="宋体"/>
          <w:szCs w:val="21"/>
        </w:rPr>
      </w:pPr>
    </w:p>
    <w:p>
      <w:pPr>
        <w:pStyle w:val="2"/>
      </w:pPr>
    </w:p>
    <w:p>
      <w:pPr>
        <w:snapToGrid w:val="0"/>
        <w:spacing w:beforeLines="50"/>
        <w:ind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投标人全称（公章）：                    </w:t>
      </w:r>
    </w:p>
    <w:p>
      <w:pPr>
        <w:tabs>
          <w:tab w:val="left" w:pos="7980"/>
        </w:tabs>
        <w:snapToGrid w:val="0"/>
        <w:spacing w:beforeLines="50" w:after="50" w:line="460" w:lineRule="exact"/>
        <w:ind w:right="-180" w:firstLine="3480" w:firstLineChars="145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法定代表人签名</w:t>
      </w:r>
      <w:r>
        <w:rPr>
          <w:rFonts w:hint="eastAsia" w:ascii="仿宋_GB2312" w:hAnsi="仿宋_GB2312" w:eastAsia="仿宋_GB2312" w:cs="仿宋_GB2312"/>
          <w:color w:val="000000"/>
          <w:kern w:val="0"/>
          <w:sz w:val="24"/>
        </w:rPr>
        <w:t>或其</w:t>
      </w:r>
      <w:r>
        <w:rPr>
          <w:rFonts w:ascii="仿宋_GB2312" w:hAnsi="仿宋_GB2312" w:eastAsia="仿宋_GB2312" w:cs="仿宋_GB2312"/>
          <w:color w:val="000000"/>
          <w:kern w:val="0"/>
          <w:sz w:val="24"/>
        </w:rPr>
        <w:t xml:space="preserve">授权代表签字：          </w:t>
      </w:r>
    </w:p>
    <w:p>
      <w:pPr>
        <w:pStyle w:val="2"/>
        <w:ind w:firstLine="3000" w:firstLineChars="12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24"/>
        </w:rPr>
        <w:t>日期：       年      月      日</w:t>
      </w:r>
    </w:p>
    <w:p>
      <w:pPr>
        <w:snapToGrid w:val="0"/>
        <w:spacing w:beforeLines="50" w:after="50"/>
        <w:rPr>
          <w:rFonts w:hint="eastAsia" w:ascii="仿宋_GB2312" w:hAnsi="仿宋_GB2312" w:eastAsia="仿宋_GB2312" w:cs="仿宋_GB2312"/>
          <w:color w:val="000000"/>
          <w:kern w:val="0"/>
          <w:sz w:val="36"/>
          <w:szCs w:val="36"/>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9</w:t>
      </w:r>
    </w:p>
    <w:p>
      <w:pPr>
        <w:pStyle w:val="39"/>
        <w:snapToGrid w:val="0"/>
        <w:spacing w:before="120" w:after="120" w:line="360" w:lineRule="auto"/>
        <w:ind w:firstLine="1000" w:firstLineChars="300"/>
        <w:jc w:val="center"/>
        <w:rPr>
          <w:rFonts w:ascii="Arial" w:hAnsi="仿宋" w:eastAsia="仿宋" w:cs="Arial"/>
          <w:b/>
          <w:spacing w:val="6"/>
          <w:sz w:val="32"/>
          <w:szCs w:val="32"/>
        </w:rPr>
      </w:pPr>
      <w:r>
        <w:rPr>
          <w:rFonts w:hint="eastAsia" w:ascii="Arial" w:hAnsi="仿宋" w:eastAsia="仿宋" w:cs="Arial"/>
          <w:b/>
          <w:spacing w:val="6"/>
          <w:sz w:val="32"/>
          <w:szCs w:val="32"/>
        </w:rPr>
        <w:t>中小企业声明函（服务）</w:t>
      </w:r>
    </w:p>
    <w:p>
      <w:pPr>
        <w:pStyle w:val="30"/>
        <w:spacing w:line="400" w:lineRule="exact"/>
        <w:ind w:firstLine="480" w:firstLineChars="200"/>
        <w:jc w:val="left"/>
        <w:rPr>
          <w:rFonts w:ascii="仿宋_GB2312" w:hAnsi="仿宋_GB2312" w:eastAsia="仿宋_GB2312" w:cs="仿宋_GB2312"/>
          <w:color w:val="000000"/>
          <w:kern w:val="0"/>
          <w:sz w:val="24"/>
          <w:szCs w:val="20"/>
        </w:rPr>
      </w:pPr>
      <w:r>
        <w:rPr>
          <w:rFonts w:hint="eastAsia" w:ascii="仿宋_GB2312" w:hAnsi="仿宋_GB2312" w:eastAsia="仿宋_GB2312" w:cs="仿宋_GB2312"/>
          <w:color w:val="000000"/>
          <w:kern w:val="0"/>
          <w:sz w:val="24"/>
          <w:szCs w:val="20"/>
        </w:rPr>
        <w:t>本公司（联合体）郑重声明，根据《政府采购促进中小企业发展管理办法》（财库﹝2020﹞46 号）的规定，本公司（联合体）参加</w:t>
      </w:r>
      <w:r>
        <w:rPr>
          <w:rFonts w:hint="eastAsia" w:ascii="仿宋_GB2312" w:hAnsi="仿宋_GB2312" w:eastAsia="仿宋_GB2312" w:cs="仿宋_GB2312"/>
          <w:color w:val="000000"/>
          <w:kern w:val="0"/>
          <w:sz w:val="24"/>
          <w:szCs w:val="20"/>
          <w:u w:val="single"/>
        </w:rPr>
        <w:t>（单位名称）</w:t>
      </w:r>
      <w:r>
        <w:rPr>
          <w:rFonts w:hint="eastAsia" w:ascii="仿宋_GB2312" w:hAnsi="仿宋_GB2312" w:eastAsia="仿宋_GB2312" w:cs="仿宋_GB2312"/>
          <w:color w:val="000000"/>
          <w:kern w:val="0"/>
          <w:sz w:val="24"/>
          <w:szCs w:val="20"/>
        </w:rPr>
        <w:t>的</w:t>
      </w:r>
      <w:r>
        <w:rPr>
          <w:rFonts w:hint="eastAsia" w:ascii="仿宋_GB2312" w:hAnsi="仿宋_GB2312" w:eastAsia="仿宋_GB2312" w:cs="仿宋_GB2312"/>
          <w:color w:val="000000"/>
          <w:kern w:val="0"/>
          <w:sz w:val="24"/>
          <w:szCs w:val="20"/>
          <w:u w:val="single"/>
        </w:rPr>
        <w:t>（项目名称）</w:t>
      </w:r>
      <w:r>
        <w:rPr>
          <w:rFonts w:hint="eastAsia" w:ascii="仿宋_GB2312" w:hAnsi="仿宋_GB2312" w:eastAsia="仿宋_GB2312" w:cs="仿宋_GB2312"/>
          <w:color w:val="000000"/>
          <w:kern w:val="0"/>
          <w:sz w:val="24"/>
          <w:szCs w:val="20"/>
        </w:rPr>
        <w:t>采购活动，服务全部由符合政策要求的中小企业承接。相关企业（含联合体中的中小企业、签订分包意向协议的中小企业）的具体情况如下：</w:t>
      </w:r>
    </w:p>
    <w:p>
      <w:pPr>
        <w:pStyle w:val="30"/>
        <w:spacing w:line="400" w:lineRule="exact"/>
        <w:ind w:firstLine="480" w:firstLineChars="200"/>
        <w:jc w:val="left"/>
        <w:rPr>
          <w:rFonts w:ascii="仿宋_GB2312" w:hAnsi="仿宋_GB2312" w:eastAsia="仿宋_GB2312" w:cs="仿宋_GB2312"/>
          <w:color w:val="auto"/>
          <w:kern w:val="0"/>
          <w:sz w:val="24"/>
          <w:szCs w:val="20"/>
          <w:u w:val="single"/>
        </w:rPr>
      </w:pPr>
      <w:r>
        <w:rPr>
          <w:rFonts w:hint="eastAsia" w:ascii="仿宋_GB2312" w:hAnsi="仿宋_GB2312" w:eastAsia="仿宋_GB2312" w:cs="仿宋_GB2312"/>
          <w:color w:val="auto"/>
          <w:kern w:val="0"/>
          <w:sz w:val="24"/>
          <w:szCs w:val="20"/>
        </w:rPr>
        <w:t>1.</w:t>
      </w:r>
      <w:r>
        <w:rPr>
          <w:rFonts w:hint="eastAsia" w:ascii="仿宋_GB2312" w:hAnsi="仿宋_GB2312" w:eastAsia="仿宋_GB2312" w:cs="仿宋_GB2312"/>
          <w:color w:val="auto"/>
          <w:kern w:val="0"/>
          <w:sz w:val="24"/>
          <w:szCs w:val="20"/>
          <w:u w:val="single"/>
          <w:lang w:eastAsia="zh-CN"/>
        </w:rPr>
        <w:t>物业管理服务</w:t>
      </w:r>
      <w:r>
        <w:rPr>
          <w:rFonts w:hint="eastAsia" w:cs="宋体"/>
          <w:iCs/>
          <w:color w:val="auto"/>
          <w:sz w:val="21"/>
          <w:szCs w:val="21"/>
        </w:rPr>
        <w:t>，</w:t>
      </w:r>
      <w:r>
        <w:rPr>
          <w:rFonts w:hint="eastAsia" w:ascii="仿宋_GB2312" w:hAnsi="仿宋_GB2312" w:eastAsia="仿宋_GB2312" w:cs="仿宋_GB2312"/>
          <w:color w:val="auto"/>
          <w:kern w:val="0"/>
          <w:sz w:val="24"/>
          <w:szCs w:val="20"/>
        </w:rPr>
        <w:t>属于</w:t>
      </w:r>
      <w:r>
        <w:rPr>
          <w:rFonts w:hint="eastAsia" w:ascii="仿宋_GB2312" w:hAnsi="仿宋_GB2312" w:eastAsia="仿宋_GB2312" w:cs="仿宋_GB2312"/>
          <w:color w:val="auto"/>
          <w:kern w:val="0"/>
          <w:sz w:val="24"/>
          <w:szCs w:val="20"/>
          <w:u w:val="single"/>
          <w:lang w:eastAsia="zh-CN"/>
        </w:rPr>
        <w:t>物业管理</w:t>
      </w:r>
      <w:r>
        <w:rPr>
          <w:rFonts w:hint="eastAsia" w:ascii="仿宋_GB2312" w:hAnsi="仿宋_GB2312" w:eastAsia="仿宋_GB2312" w:cs="仿宋_GB2312"/>
          <w:color w:val="auto"/>
          <w:kern w:val="0"/>
          <w:sz w:val="24"/>
          <w:szCs w:val="20"/>
        </w:rPr>
        <w:t>行业；承接企业为</w:t>
      </w:r>
      <w:r>
        <w:rPr>
          <w:rFonts w:hint="eastAsia" w:ascii="仿宋_GB2312" w:hAnsi="仿宋_GB2312" w:eastAsia="仿宋_GB2312" w:cs="仿宋_GB2312"/>
          <w:color w:val="auto"/>
          <w:kern w:val="0"/>
          <w:sz w:val="24"/>
          <w:szCs w:val="20"/>
          <w:u w:val="single"/>
        </w:rPr>
        <w:t>（企业名称）</w:t>
      </w:r>
      <w:r>
        <w:rPr>
          <w:rFonts w:hint="eastAsia" w:ascii="仿宋_GB2312" w:hAnsi="仿宋_GB2312" w:eastAsia="仿宋_GB2312" w:cs="仿宋_GB2312"/>
          <w:color w:val="auto"/>
          <w:kern w:val="0"/>
          <w:sz w:val="24"/>
          <w:szCs w:val="20"/>
        </w:rPr>
        <w:t>，从业人员___人，营业收入为___万元，资产总额为___万元，属于</w:t>
      </w:r>
      <w:r>
        <w:rPr>
          <w:rFonts w:hint="eastAsia" w:ascii="仿宋_GB2312" w:hAnsi="仿宋_GB2312" w:eastAsia="仿宋_GB2312" w:cs="仿宋_GB2312"/>
          <w:color w:val="auto"/>
          <w:kern w:val="0"/>
          <w:sz w:val="24"/>
          <w:szCs w:val="20"/>
          <w:u w:val="single"/>
        </w:rPr>
        <w:t>（中型企业、小型企业、微型企业）</w:t>
      </w:r>
      <w:r>
        <w:rPr>
          <w:rFonts w:hint="eastAsia" w:ascii="仿宋_GB2312" w:hAnsi="仿宋_GB2312" w:eastAsia="仿宋_GB2312" w:cs="仿宋_GB2312"/>
          <w:color w:val="auto"/>
          <w:kern w:val="0"/>
          <w:sz w:val="24"/>
          <w:szCs w:val="20"/>
        </w:rPr>
        <w:t>；</w:t>
      </w:r>
    </w:p>
    <w:p>
      <w:pPr>
        <w:pStyle w:val="30"/>
        <w:spacing w:line="400" w:lineRule="exact"/>
        <w:ind w:firstLine="480" w:firstLineChars="200"/>
        <w:jc w:val="left"/>
        <w:rPr>
          <w:rFonts w:cs="宋体"/>
          <w:iCs/>
          <w:color w:val="auto"/>
          <w:sz w:val="21"/>
          <w:szCs w:val="21"/>
        </w:rPr>
      </w:pPr>
      <w:r>
        <w:rPr>
          <w:rFonts w:hint="eastAsia" w:ascii="仿宋_GB2312" w:hAnsi="仿宋_GB2312" w:eastAsia="仿宋_GB2312" w:cs="仿宋_GB2312"/>
          <w:color w:val="auto"/>
          <w:kern w:val="0"/>
          <w:sz w:val="24"/>
          <w:szCs w:val="20"/>
        </w:rPr>
        <w:t>2.</w:t>
      </w:r>
      <w:r>
        <w:rPr>
          <w:rFonts w:hint="eastAsia" w:ascii="仿宋_GB2312" w:hAnsi="仿宋_GB2312" w:eastAsia="仿宋_GB2312" w:cs="仿宋_GB2312"/>
          <w:color w:val="auto"/>
          <w:kern w:val="0"/>
          <w:sz w:val="24"/>
          <w:szCs w:val="20"/>
          <w:u w:val="single"/>
        </w:rPr>
        <w:t>（标的名称），</w:t>
      </w:r>
      <w:r>
        <w:rPr>
          <w:rFonts w:hint="eastAsia" w:ascii="仿宋_GB2312" w:hAnsi="仿宋_GB2312" w:eastAsia="仿宋_GB2312" w:cs="仿宋_GB2312"/>
          <w:color w:val="auto"/>
          <w:kern w:val="0"/>
          <w:sz w:val="24"/>
          <w:szCs w:val="20"/>
        </w:rPr>
        <w:t>属于</w:t>
      </w:r>
      <w:r>
        <w:rPr>
          <w:rFonts w:hint="eastAsia" w:ascii="仿宋_GB2312" w:hAnsi="仿宋_GB2312" w:eastAsia="仿宋_GB2312" w:cs="仿宋_GB2312"/>
          <w:color w:val="auto"/>
          <w:kern w:val="0"/>
          <w:sz w:val="24"/>
          <w:szCs w:val="20"/>
          <w:u w:val="single"/>
        </w:rPr>
        <w:t>（采购文件中明确的所属行业）</w:t>
      </w:r>
      <w:r>
        <w:rPr>
          <w:rFonts w:hint="eastAsia" w:ascii="仿宋_GB2312" w:hAnsi="仿宋_GB2312" w:eastAsia="仿宋_GB2312" w:cs="仿宋_GB2312"/>
          <w:color w:val="auto"/>
          <w:kern w:val="0"/>
          <w:sz w:val="24"/>
          <w:szCs w:val="20"/>
        </w:rPr>
        <w:t>行业；承接企业为</w:t>
      </w:r>
      <w:r>
        <w:rPr>
          <w:rFonts w:hint="eastAsia" w:ascii="仿宋_GB2312" w:hAnsi="仿宋_GB2312" w:eastAsia="仿宋_GB2312" w:cs="仿宋_GB2312"/>
          <w:color w:val="auto"/>
          <w:kern w:val="0"/>
          <w:sz w:val="24"/>
          <w:szCs w:val="20"/>
          <w:u w:val="single"/>
        </w:rPr>
        <w:t>（企业名称）</w:t>
      </w:r>
      <w:r>
        <w:rPr>
          <w:rFonts w:hint="eastAsia" w:ascii="仿宋_GB2312" w:hAnsi="仿宋_GB2312" w:eastAsia="仿宋_GB2312" w:cs="仿宋_GB2312"/>
          <w:color w:val="auto"/>
          <w:kern w:val="0"/>
          <w:sz w:val="24"/>
          <w:szCs w:val="20"/>
        </w:rPr>
        <w:t>，从业人员___人，营业收入为___万元，资产总额为___万元，属于</w:t>
      </w:r>
      <w:r>
        <w:rPr>
          <w:rFonts w:hint="eastAsia" w:ascii="仿宋_GB2312" w:hAnsi="仿宋_GB2312" w:eastAsia="仿宋_GB2312" w:cs="仿宋_GB2312"/>
          <w:color w:val="auto"/>
          <w:kern w:val="0"/>
          <w:sz w:val="24"/>
          <w:szCs w:val="20"/>
          <w:u w:val="single"/>
        </w:rPr>
        <w:t>（中型企业、小型企业、微型企业）</w:t>
      </w:r>
      <w:r>
        <w:rPr>
          <w:rFonts w:hint="eastAsia" w:ascii="仿宋_GB2312" w:hAnsi="仿宋_GB2312" w:eastAsia="仿宋_GB2312" w:cs="仿宋_GB2312"/>
          <w:color w:val="auto"/>
          <w:kern w:val="0"/>
          <w:sz w:val="24"/>
          <w:szCs w:val="20"/>
        </w:rPr>
        <w:t>；</w:t>
      </w:r>
    </w:p>
    <w:p>
      <w:pPr>
        <w:pStyle w:val="144"/>
        <w:ind w:left="840" w:firstLine="0" w:firstLineChars="0"/>
        <w:jc w:val="both"/>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w:t>
      </w:r>
    </w:p>
    <w:p>
      <w:pPr>
        <w:pStyle w:val="30"/>
        <w:spacing w:line="400" w:lineRule="exact"/>
        <w:ind w:firstLine="480" w:firstLineChars="200"/>
        <w:jc w:val="left"/>
        <w:rPr>
          <w:rFonts w:cs="宋体"/>
          <w:color w:val="auto"/>
          <w:sz w:val="21"/>
          <w:szCs w:val="21"/>
        </w:rPr>
      </w:pPr>
      <w:r>
        <w:rPr>
          <w:rFonts w:hint="eastAsia" w:ascii="仿宋_GB2312" w:hAnsi="仿宋_GB2312" w:eastAsia="仿宋_GB2312" w:cs="仿宋_GB2312"/>
          <w:color w:val="auto"/>
          <w:kern w:val="0"/>
          <w:sz w:val="24"/>
          <w:szCs w:val="20"/>
        </w:rPr>
        <w:t>以上企业，不属于大企业的分支机构，不存在控股股东为大企业的情形，也不存在与大企业的负责人为同一人的情形。本企业对上述声明内容的真实性负责。如有虚假，将依法承担相应责任。</w:t>
      </w:r>
    </w:p>
    <w:p>
      <w:pPr>
        <w:pStyle w:val="30"/>
        <w:spacing w:line="400" w:lineRule="exact"/>
        <w:ind w:firstLine="4800" w:firstLineChars="2000"/>
        <w:jc w:val="left"/>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企业名称（盖章）：</w:t>
      </w:r>
    </w:p>
    <w:p>
      <w:pPr>
        <w:pStyle w:val="30"/>
        <w:spacing w:line="400" w:lineRule="exact"/>
        <w:ind w:firstLine="4800" w:firstLineChars="2000"/>
        <w:jc w:val="left"/>
        <w:rPr>
          <w:rFonts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日 期：</w:t>
      </w:r>
    </w:p>
    <w:p>
      <w:pPr>
        <w:pStyle w:val="39"/>
        <w:snapToGrid w:val="0"/>
        <w:spacing w:line="480" w:lineRule="exact"/>
        <w:rPr>
          <w:rFonts w:hint="eastAsia" w:ascii="仿宋_GB2312" w:hAnsi="仿宋_GB2312" w:eastAsia="仿宋_GB2312" w:cs="仿宋_GB2312"/>
          <w:b/>
          <w:color w:val="auto"/>
          <w:kern w:val="0"/>
          <w:sz w:val="24"/>
          <w:lang w:eastAsia="zh-CN"/>
        </w:rPr>
      </w:pPr>
      <w:r>
        <w:rPr>
          <w:rFonts w:hint="eastAsia" w:ascii="仿宋_GB2312" w:hAnsi="仿宋_GB2312" w:eastAsia="仿宋_GB2312" w:cs="仿宋_GB2312"/>
          <w:b/>
          <w:color w:val="auto"/>
          <w:kern w:val="0"/>
          <w:sz w:val="24"/>
          <w:lang w:eastAsia="zh-CN"/>
        </w:rPr>
        <w:t>注意：</w:t>
      </w:r>
      <w:r>
        <w:rPr>
          <w:rFonts w:ascii="仿宋_GB2312" w:hAnsi="仿宋_GB2312" w:eastAsia="仿宋_GB2312" w:cs="仿宋_GB2312"/>
          <w:b/>
          <w:color w:val="auto"/>
          <w:kern w:val="0"/>
          <w:sz w:val="24"/>
        </w:rPr>
        <w:t>★</w:t>
      </w:r>
      <w:r>
        <w:rPr>
          <w:rFonts w:hint="eastAsia" w:ascii="仿宋_GB2312" w:hAnsi="仿宋_GB2312" w:eastAsia="仿宋_GB2312" w:cs="仿宋_GB2312"/>
          <w:b/>
          <w:color w:val="auto"/>
          <w:kern w:val="0"/>
          <w:sz w:val="24"/>
          <w:lang w:eastAsia="zh-CN"/>
        </w:rPr>
        <w:t>投标人不按格式内容提供的，所属行业未填写或填写错误的，视为无效的中小企业声明函，</w:t>
      </w:r>
      <w:r>
        <w:rPr>
          <w:rFonts w:hint="eastAsia" w:ascii="仿宋_GB2312" w:hAnsi="仿宋_GB2312" w:eastAsia="仿宋_GB2312" w:cs="仿宋_GB2312"/>
          <w:b/>
          <w:color w:val="auto"/>
          <w:kern w:val="0"/>
          <w:sz w:val="24"/>
        </w:rPr>
        <w:t>投标无效</w:t>
      </w:r>
      <w:r>
        <w:rPr>
          <w:rFonts w:hint="eastAsia" w:ascii="仿宋_GB2312" w:hAnsi="仿宋_GB2312" w:eastAsia="仿宋_GB2312" w:cs="仿宋_GB2312"/>
          <w:b/>
          <w:color w:val="auto"/>
          <w:kern w:val="0"/>
          <w:sz w:val="24"/>
          <w:lang w:eastAsia="zh-CN"/>
        </w:rPr>
        <w:t>。</w:t>
      </w:r>
    </w:p>
    <w:p>
      <w:pPr>
        <w:pStyle w:val="39"/>
        <w:snapToGrid w:val="0"/>
        <w:spacing w:line="480" w:lineRule="exact"/>
        <w:rPr>
          <w:rFonts w:ascii="仿宋_GB2312" w:hAnsi="仿宋_GB2312" w:eastAsia="仿宋_GB2312" w:cs="仿宋_GB2312"/>
          <w:b/>
          <w:color w:val="000000"/>
          <w:kern w:val="0"/>
          <w:sz w:val="24"/>
        </w:rPr>
      </w:pPr>
      <w:r>
        <w:rPr>
          <w:rFonts w:ascii="仿宋_GB2312" w:hAnsi="仿宋_GB2312" w:eastAsia="仿宋_GB2312" w:cs="仿宋_GB2312"/>
          <w:b/>
          <w:color w:val="000000"/>
          <w:kern w:val="0"/>
          <w:sz w:val="24"/>
        </w:rPr>
        <w:t>说明：★</w:t>
      </w:r>
      <w:r>
        <w:rPr>
          <w:rFonts w:hint="eastAsia" w:ascii="仿宋_GB2312" w:hAnsi="仿宋_GB2312" w:eastAsia="仿宋_GB2312" w:cs="仿宋_GB2312"/>
          <w:b/>
          <w:color w:val="000000"/>
          <w:kern w:val="0"/>
          <w:sz w:val="24"/>
        </w:rPr>
        <w:t>1、投标人须符合《</w:t>
      </w:r>
      <w:r>
        <w:rPr>
          <w:rFonts w:ascii="仿宋_GB2312" w:hAnsi="仿宋_GB2312" w:eastAsia="仿宋_GB2312" w:cs="仿宋_GB2312"/>
          <w:b/>
          <w:color w:val="000000"/>
          <w:kern w:val="0"/>
          <w:sz w:val="24"/>
        </w:rPr>
        <w:t>关于印发中小企业划型标准规定的通知》（工信部联企业〔2011〕300号）文件规定的中小企业划分标准</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属于中小微型企业的</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投标文件中必须提供</w:t>
      </w:r>
      <w:r>
        <w:rPr>
          <w:rFonts w:hint="eastAsia" w:ascii="仿宋_GB2312" w:hAnsi="仿宋_GB2312" w:eastAsia="仿宋_GB2312" w:cs="仿宋_GB2312"/>
          <w:b/>
          <w:color w:val="000000"/>
          <w:kern w:val="0"/>
          <w:sz w:val="24"/>
        </w:rPr>
        <w:t>《中小企业声明函》（如提供其他中小微型企业制造的货物，请提供该企业为中小微型企业的证明材料）。（注：未提供以上材料的，视为非中小企业投标，投标无效）</w:t>
      </w:r>
    </w:p>
    <w:p>
      <w:pPr>
        <w:snapToGrid w:val="0"/>
        <w:spacing w:line="480" w:lineRule="exact"/>
        <w:ind w:firstLine="482" w:firstLineChars="200"/>
        <w:jc w:val="left"/>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2、根据财库</w:t>
      </w:r>
      <w:r>
        <w:rPr>
          <w:rFonts w:ascii="仿宋_GB2312" w:hAnsi="仿宋_GB2312" w:eastAsia="仿宋_GB2312" w:cs="仿宋_GB2312"/>
          <w:b/>
          <w:color w:val="000000"/>
          <w:kern w:val="0"/>
          <w:sz w:val="24"/>
        </w:rPr>
        <w:t>〔20</w:t>
      </w:r>
      <w:r>
        <w:rPr>
          <w:rFonts w:hint="eastAsia" w:ascii="仿宋_GB2312" w:hAnsi="仿宋_GB2312" w:eastAsia="仿宋_GB2312" w:cs="仿宋_GB2312"/>
          <w:b/>
          <w:color w:val="000000"/>
          <w:kern w:val="0"/>
          <w:sz w:val="24"/>
        </w:rPr>
        <w:t>20</w:t>
      </w:r>
      <w:r>
        <w:rPr>
          <w:rFonts w:ascii="仿宋_GB2312" w:hAnsi="仿宋_GB2312" w:eastAsia="仿宋_GB2312" w:cs="仿宋_GB2312"/>
          <w:b/>
          <w:color w:val="000000"/>
          <w:kern w:val="0"/>
          <w:sz w:val="24"/>
        </w:rPr>
        <w:t>〕</w:t>
      </w:r>
      <w:r>
        <w:rPr>
          <w:rFonts w:hint="eastAsia" w:ascii="仿宋_GB2312" w:hAnsi="仿宋_GB2312" w:eastAsia="仿宋_GB2312" w:cs="仿宋_GB2312"/>
          <w:b/>
          <w:color w:val="000000"/>
          <w:kern w:val="0"/>
          <w:sz w:val="24"/>
        </w:rPr>
        <w:t>46</w:t>
      </w:r>
      <w:r>
        <w:rPr>
          <w:rFonts w:ascii="仿宋_GB2312" w:hAnsi="仿宋_GB2312" w:eastAsia="仿宋_GB2312" w:cs="仿宋_GB2312"/>
          <w:b/>
          <w:color w:val="000000"/>
          <w:kern w:val="0"/>
          <w:sz w:val="24"/>
        </w:rPr>
        <w:t>号文件规定</w:t>
      </w:r>
      <w:r>
        <w:rPr>
          <w:rFonts w:hint="eastAsia" w:ascii="仿宋_GB2312" w:hAnsi="仿宋_GB2312" w:eastAsia="仿宋_GB2312" w:cs="仿宋_GB2312"/>
          <w:b/>
          <w:color w:val="000000"/>
          <w:kern w:val="0"/>
          <w:sz w:val="24"/>
        </w:rPr>
        <w:t>，</w:t>
      </w:r>
      <w:r>
        <w:rPr>
          <w:rFonts w:ascii="仿宋_GB2312" w:hAnsi="仿宋_GB2312" w:eastAsia="仿宋_GB2312" w:cs="仿宋_GB2312"/>
          <w:b/>
          <w:color w:val="000000"/>
          <w:kern w:val="0"/>
          <w:sz w:val="24"/>
        </w:rPr>
        <w:t>符合中小企业划分标准的个体工商户视同中小企业</w:t>
      </w:r>
      <w:r>
        <w:rPr>
          <w:rFonts w:hint="eastAsia" w:ascii="仿宋_GB2312" w:hAnsi="仿宋_GB2312" w:eastAsia="仿宋_GB2312" w:cs="仿宋_GB2312"/>
          <w:b/>
          <w:color w:val="000000"/>
          <w:kern w:val="0"/>
          <w:sz w:val="24"/>
        </w:rPr>
        <w:t>。</w:t>
      </w:r>
    </w:p>
    <w:p>
      <w:pPr>
        <w:spacing w:line="480" w:lineRule="exact"/>
        <w:ind w:firstLine="472" w:firstLineChars="196"/>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24"/>
        </w:rPr>
        <w:t>3、根据财库〔2014〕68号、财库〔2017〕141号文件规定，监狱企业、残疾人福利性单位视同小型、微型企业。监狱企业应当提供由省级以上监狱管理局、戒毒管理局（含新疆生产建设兵团）出具的属于监狱企业的证明文件，残疾人福利性单位应当提供《残疾人福利性单位声明函》（格式见附件。注：未提供以上材料的，视为非中小企业投标，投标无效）。</w:t>
      </w: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ascii="仿宋_GB2312" w:hAnsi="仿宋_GB2312" w:eastAsia="仿宋_GB2312" w:cs="仿宋_GB2312"/>
          <w:color w:val="000000"/>
          <w:kern w:val="0"/>
          <w:sz w:val="32"/>
          <w:szCs w:val="32"/>
        </w:rPr>
      </w:pPr>
    </w:p>
    <w:p>
      <w:pPr>
        <w:snapToGrid w:val="0"/>
        <w:spacing w:beforeLines="50" w:after="50"/>
        <w:rPr>
          <w:rFonts w:hint="default" w:ascii="Arial" w:hAnsi="Arial" w:eastAsia="仿宋_GB2312" w:cs="Arial"/>
          <w:lang w:val="en-US" w:eastAsia="zh-CN"/>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10</w:t>
      </w:r>
    </w:p>
    <w:p>
      <w:pPr>
        <w:rPr>
          <w:rFonts w:ascii="Arial" w:hAnsi="Arial" w:eastAsia="仿宋" w:cs="Arial"/>
        </w:rPr>
      </w:pPr>
    </w:p>
    <w:p>
      <w:pPr>
        <w:pStyle w:val="39"/>
        <w:snapToGrid w:val="0"/>
        <w:spacing w:before="120" w:after="120"/>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残疾人福利性单位声明函</w:t>
      </w:r>
    </w:p>
    <w:p>
      <w:pPr>
        <w:spacing w:line="588" w:lineRule="exact"/>
        <w:rPr>
          <w:rFonts w:ascii="Arial" w:hAnsi="Arial" w:eastAsia="仿宋" w:cs="Arial"/>
          <w:b/>
          <w:spacing w:val="6"/>
          <w:sz w:val="30"/>
          <w:szCs w:val="30"/>
        </w:rPr>
      </w:pP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141号）的规定，本单位为符合条件的残疾人福利性单位，且本单位参加______单位的______项目采购活动由本单位提供服务，或者提供其他残疾人福利性单位提供的服务。</w:t>
      </w:r>
    </w:p>
    <w:p>
      <w:pPr>
        <w:snapToGrid w:val="0"/>
        <w:spacing w:line="360" w:lineRule="auto"/>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本单位对上述声明的真实性负责。如有虚假，将依法承担相应责任。</w:t>
      </w:r>
    </w:p>
    <w:p>
      <w:pPr>
        <w:snapToGrid w:val="0"/>
        <w:spacing w:line="360" w:lineRule="auto"/>
        <w:ind w:firstLine="560" w:firstLineChars="200"/>
        <w:rPr>
          <w:rFonts w:ascii="Arial" w:hAnsi="Arial" w:eastAsia="仿宋" w:cs="Arial"/>
          <w:sz w:val="28"/>
          <w:szCs w:val="28"/>
        </w:rPr>
      </w:pPr>
    </w:p>
    <w:p>
      <w:pPr>
        <w:spacing w:line="588" w:lineRule="exact"/>
        <w:ind w:firstLine="624" w:firstLineChars="200"/>
        <w:rPr>
          <w:rFonts w:ascii="Arial" w:hAnsi="Arial" w:eastAsia="仿宋" w:cs="Arial"/>
          <w:spacing w:val="6"/>
          <w:sz w:val="30"/>
          <w:szCs w:val="30"/>
        </w:rPr>
      </w:pPr>
    </w:p>
    <w:p>
      <w:pPr>
        <w:tabs>
          <w:tab w:val="center" w:pos="4320"/>
          <w:tab w:val="right" w:pos="8640"/>
        </w:tabs>
        <w:snapToGrid w:val="0"/>
        <w:spacing w:line="360" w:lineRule="auto"/>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企业名称（</w:t>
      </w:r>
      <w:r>
        <w:rPr>
          <w:rFonts w:hint="eastAsia" w:ascii="仿宋_GB2312" w:hAnsi="仿宋_GB2312" w:eastAsia="仿宋_GB2312" w:cs="仿宋_GB2312"/>
          <w:color w:val="000000"/>
          <w:kern w:val="0"/>
          <w:sz w:val="28"/>
          <w:szCs w:val="28"/>
        </w:rPr>
        <w:t>公</w:t>
      </w:r>
      <w:r>
        <w:rPr>
          <w:rFonts w:ascii="仿宋_GB2312" w:hAnsi="仿宋_GB2312" w:eastAsia="仿宋_GB2312" w:cs="仿宋_GB2312"/>
          <w:color w:val="000000"/>
          <w:kern w:val="0"/>
          <w:sz w:val="28"/>
          <w:szCs w:val="28"/>
        </w:rPr>
        <w:t xml:space="preserve">章）： </w:t>
      </w:r>
    </w:p>
    <w:p>
      <w:pPr>
        <w:tabs>
          <w:tab w:val="center" w:pos="4320"/>
          <w:tab w:val="right" w:pos="8640"/>
        </w:tabs>
        <w:snapToGrid w:val="0"/>
        <w:spacing w:line="360" w:lineRule="auto"/>
        <w:ind w:firstLine="4200" w:firstLineChars="1500"/>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日  期：</w:t>
      </w:r>
    </w:p>
    <w:p>
      <w:pPr>
        <w:snapToGrid w:val="0"/>
        <w:spacing w:line="360" w:lineRule="auto"/>
        <w:ind w:right="504"/>
        <w:rPr>
          <w:rFonts w:ascii="Arial" w:hAnsi="仿宋" w:eastAsia="仿宋" w:cs="Arial"/>
          <w:spacing w:val="6"/>
          <w:sz w:val="24"/>
        </w:rPr>
      </w:pPr>
    </w:p>
    <w:p>
      <w:pPr>
        <w:snapToGrid w:val="0"/>
        <w:spacing w:line="360" w:lineRule="auto"/>
        <w:ind w:right="504"/>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填写说明：</w:t>
      </w:r>
    </w:p>
    <w:p>
      <w:pPr>
        <w:numPr>
          <w:ilvl w:val="0"/>
          <w:numId w:val="6"/>
        </w:numPr>
        <w:tabs>
          <w:tab w:val="left" w:pos="4860"/>
        </w:tabs>
        <w:spacing w:line="588" w:lineRule="exact"/>
        <w:ind w:right="106"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pPr>
        <w:numPr>
          <w:ilvl w:val="0"/>
          <w:numId w:val="6"/>
        </w:numPr>
        <w:tabs>
          <w:tab w:val="left" w:pos="4860"/>
        </w:tabs>
        <w:spacing w:line="588" w:lineRule="exact"/>
        <w:ind w:right="251"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享受政府采购支持政策的残疾人福利性单位应当同时满足以下条件：</w:t>
      </w:r>
    </w:p>
    <w:p>
      <w:pPr>
        <w:pStyle w:val="63"/>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（1）安置的残疾人占本单位在职职工人数的比例不低于25%（含25%），并且安置的残疾人人数不少于10人（含10人）；</w:t>
      </w:r>
    </w:p>
    <w:p>
      <w:pPr>
        <w:pStyle w:val="63"/>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（2）依法与安置的每位残疾人签订了一年以上（含一年）的劳动合同或服务协议；</w:t>
      </w:r>
    </w:p>
    <w:p>
      <w:pPr>
        <w:pStyle w:val="63"/>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（3）为安置的每位残疾人按月足额缴纳了基本养老保险、基本医疗保险、失业保险、工伤保险和生育保险等社会保险费；</w:t>
      </w:r>
    </w:p>
    <w:p>
      <w:pPr>
        <w:pStyle w:val="63"/>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（4）通过银行等金融机构向安置的每位残疾人，按月支付了不低于单位所在区县适用的经省级人民政府批准的月最低工资标准的工资；</w:t>
      </w:r>
    </w:p>
    <w:p>
      <w:pPr>
        <w:pStyle w:val="63"/>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（5）提供本单位制造的货物、承担的工程或者服务（以下简称产品），或者提供其他残疾人福利性单位制造的货物（不包括使用非残疾人福利性单位注册商标的货物）。</w:t>
      </w:r>
    </w:p>
    <w:p>
      <w:pPr>
        <w:pStyle w:val="63"/>
        <w:spacing w:line="450" w:lineRule="atLeast"/>
        <w:rPr>
          <w:rFonts w:ascii="仿宋_GB2312" w:hAnsi="仿宋_GB2312" w:eastAsia="仿宋_GB2312" w:cs="仿宋_GB2312"/>
          <w:color w:val="000000"/>
          <w:kern w:val="0"/>
          <w:szCs w:val="24"/>
        </w:rPr>
      </w:pPr>
      <w:r>
        <w:rPr>
          <w:rFonts w:ascii="仿宋_GB2312" w:hAnsi="仿宋_GB2312" w:eastAsia="仿宋_GB2312" w:cs="仿宋_GB2312"/>
          <w:color w:val="000000"/>
          <w:kern w:val="0"/>
          <w:szCs w:val="24"/>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600" w:lineRule="exact"/>
        <w:ind w:right="532" w:firstLine="720" w:firstLineChars="200"/>
        <w:rPr>
          <w:rFonts w:ascii="仿宋_GB2312" w:hAnsi="仿宋_GB2312" w:eastAsia="仿宋_GB2312" w:cs="仿宋_GB2312"/>
          <w:color w:val="000000"/>
          <w:kern w:val="0"/>
          <w:sz w:val="36"/>
          <w:szCs w:val="36"/>
        </w:rPr>
      </w:pPr>
    </w:p>
    <w:p>
      <w:pPr>
        <w:spacing w:line="440" w:lineRule="exact"/>
        <w:ind w:firstLine="4060" w:firstLineChars="1450"/>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pStyle w:val="2"/>
        <w:rPr>
          <w:rFonts w:ascii="仿宋_GB2312" w:hAnsi="仿宋_GB2312" w:eastAsia="仿宋_GB2312" w:cs="仿宋_GB2312"/>
          <w:color w:val="000000"/>
          <w:kern w:val="0"/>
          <w:sz w:val="28"/>
          <w:szCs w:val="28"/>
        </w:rPr>
      </w:pPr>
    </w:p>
    <w:p>
      <w:pPr>
        <w:snapToGrid w:val="0"/>
        <w:spacing w:beforeLines="50" w:after="50"/>
        <w:rPr>
          <w:rFonts w:hint="default" w:ascii="仿宋_GB2312" w:hAnsi="仿宋_GB2312" w:eastAsia="仿宋_GB2312" w:cs="仿宋_GB2312"/>
          <w:color w:val="000000"/>
          <w:kern w:val="0"/>
          <w:sz w:val="32"/>
          <w:szCs w:val="32"/>
          <w:lang w:val="en-US"/>
        </w:rPr>
      </w:pPr>
      <w:r>
        <w:rPr>
          <w:rFonts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11</w:t>
      </w:r>
    </w:p>
    <w:p>
      <w:pPr>
        <w:keepNext w:val="0"/>
        <w:keepLines w:val="0"/>
        <w:pageBreakBefore w:val="0"/>
        <w:widowControl w:val="0"/>
        <w:kinsoku/>
        <w:wordWrap/>
        <w:overflowPunct/>
        <w:topLinePunct w:val="0"/>
        <w:autoSpaceDE/>
        <w:autoSpaceDN/>
        <w:bidi w:val="0"/>
        <w:adjustRightInd/>
        <w:snapToGrid w:val="0"/>
        <w:spacing w:beforeLines="50" w:after="50" w:line="360" w:lineRule="auto"/>
        <w:jc w:val="center"/>
        <w:textAlignment w:val="auto"/>
      </w:pPr>
      <w:r>
        <w:rPr>
          <w:rFonts w:hint="eastAsia" w:ascii="仿宋_GB2312" w:hAnsi="仿宋_GB2312" w:eastAsia="仿宋_GB2312" w:cs="仿宋_GB2312"/>
          <w:color w:val="000000"/>
          <w:kern w:val="0"/>
          <w:sz w:val="32"/>
          <w:szCs w:val="32"/>
        </w:rPr>
        <w:t>报价参考明细表</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慈溪市市级行政事业单位培训费管理规定》（慈党办〔2022〕64号）、《慈溪市财政局关于进一步规范差旅费等管理有关事项的补充通知》（慈财〔2021〕91号）等有关条款规定（具体规定如下），供应商在报价时应充分考虑相关政策规定。</w:t>
      </w:r>
    </w:p>
    <w:tbl>
      <w:tblPr>
        <w:tblStyle w:val="67"/>
        <w:tblpPr w:leftFromText="180" w:rightFromText="180" w:vertAnchor="text" w:horzAnchor="page" w:tblpX="1333" w:tblpY="80"/>
        <w:tblOverlap w:val="never"/>
        <w:tblW w:w="9657" w:type="dxa"/>
        <w:tblInd w:w="0" w:type="dxa"/>
        <w:tblLayout w:type="fixed"/>
        <w:tblCellMar>
          <w:top w:w="0" w:type="dxa"/>
          <w:left w:w="0" w:type="dxa"/>
          <w:bottom w:w="0" w:type="dxa"/>
          <w:right w:w="0" w:type="dxa"/>
        </w:tblCellMar>
      </w:tblPr>
      <w:tblGrid>
        <w:gridCol w:w="1144"/>
        <w:gridCol w:w="1088"/>
        <w:gridCol w:w="1050"/>
        <w:gridCol w:w="1125"/>
        <w:gridCol w:w="1068"/>
        <w:gridCol w:w="1032"/>
        <w:gridCol w:w="956"/>
        <w:gridCol w:w="956"/>
        <w:gridCol w:w="1238"/>
      </w:tblGrid>
      <w:tr>
        <w:tblPrEx>
          <w:tblCellMar>
            <w:top w:w="0" w:type="dxa"/>
            <w:left w:w="0" w:type="dxa"/>
            <w:bottom w:w="0" w:type="dxa"/>
            <w:right w:w="0" w:type="dxa"/>
          </w:tblCellMar>
        </w:tblPrEx>
        <w:trPr>
          <w:trHeight w:val="462" w:hRule="atLeast"/>
        </w:trPr>
        <w:tc>
          <w:tcPr>
            <w:tcW w:w="4407" w:type="dxa"/>
            <w:gridSpan w:val="4"/>
            <w:tcBorders>
              <w:top w:val="single" w:color="000000" w:sz="8" w:space="0"/>
              <w:left w:val="single" w:color="000000" w:sz="8" w:space="0"/>
              <w:bottom w:val="single" w:color="000000" w:sz="8" w:space="0"/>
              <w:right w:val="single" w:color="000000" w:sz="8" w:space="0"/>
            </w:tcBorders>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教师费用</w:t>
            </w:r>
          </w:p>
        </w:tc>
        <w:tc>
          <w:tcPr>
            <w:tcW w:w="5250" w:type="dxa"/>
            <w:gridSpan w:val="5"/>
            <w:tcBorders>
              <w:top w:val="single" w:color="000000" w:sz="8" w:space="0"/>
              <w:left w:val="single" w:color="000000" w:sz="8" w:space="0"/>
              <w:bottom w:val="single" w:color="000000" w:sz="8" w:space="0"/>
              <w:right w:val="single" w:color="000000" w:sz="8" w:space="0"/>
            </w:tcBorders>
            <w:noWrap/>
            <w:tcMar>
              <w:top w:w="9" w:type="dxa"/>
              <w:left w:w="9" w:type="dxa"/>
              <w:right w:w="9" w:type="dxa"/>
            </w:tcMar>
            <w:vAlign w:val="center"/>
          </w:tcPr>
          <w:p>
            <w:pPr>
              <w:widowControl/>
              <w:spacing w:line="40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学员费用</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rPr>
              <w:t>工作人员费用</w:t>
            </w:r>
          </w:p>
        </w:tc>
      </w:tr>
      <w:tr>
        <w:tblPrEx>
          <w:tblCellMar>
            <w:top w:w="0" w:type="dxa"/>
            <w:left w:w="0" w:type="dxa"/>
            <w:bottom w:w="0" w:type="dxa"/>
            <w:right w:w="0" w:type="dxa"/>
          </w:tblCellMar>
        </w:tblPrEx>
        <w:trPr>
          <w:trHeight w:val="1175" w:hRule="atLeast"/>
        </w:trPr>
        <w:tc>
          <w:tcPr>
            <w:tcW w:w="1144" w:type="dxa"/>
            <w:tcBorders>
              <w:top w:val="single" w:color="000000" w:sz="8" w:space="0"/>
              <w:left w:val="single" w:color="000000" w:sz="8" w:space="0"/>
              <w:bottom w:val="single" w:color="000000" w:sz="8" w:space="0"/>
              <w:right w:val="single" w:color="000000" w:sz="8" w:space="0"/>
            </w:tcBorders>
            <w:noWrap/>
            <w:tcMar>
              <w:top w:w="9" w:type="dxa"/>
              <w:left w:w="9" w:type="dxa"/>
              <w:right w:w="9" w:type="dxa"/>
            </w:tcMar>
            <w:vAlign w:val="center"/>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讲课费</w:t>
            </w:r>
          </w:p>
        </w:tc>
        <w:tc>
          <w:tcPr>
            <w:tcW w:w="1088" w:type="dxa"/>
            <w:tcBorders>
              <w:top w:val="single" w:color="000000" w:sz="8" w:space="0"/>
              <w:left w:val="single" w:color="000000" w:sz="8" w:space="0"/>
              <w:bottom w:val="single" w:color="000000" w:sz="8" w:space="0"/>
              <w:right w:val="single" w:color="000000" w:sz="8" w:space="0"/>
            </w:tcBorders>
            <w:noWrap/>
            <w:tcMar>
              <w:top w:w="9" w:type="dxa"/>
              <w:left w:w="9" w:type="dxa"/>
              <w:right w:w="9" w:type="dxa"/>
            </w:tcMar>
            <w:vAlign w:val="center"/>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住宿费</w:t>
            </w:r>
          </w:p>
        </w:tc>
        <w:tc>
          <w:tcPr>
            <w:tcW w:w="1050"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伙食费</w:t>
            </w:r>
          </w:p>
        </w:tc>
        <w:tc>
          <w:tcPr>
            <w:tcW w:w="1125" w:type="dxa"/>
            <w:tcBorders>
              <w:top w:val="single" w:color="000000" w:sz="8" w:space="0"/>
              <w:left w:val="single" w:color="000000" w:sz="8" w:space="0"/>
              <w:bottom w:val="single" w:color="000000" w:sz="8" w:space="0"/>
              <w:right w:val="single" w:color="000000" w:sz="8" w:space="0"/>
            </w:tcBorders>
            <w:noWrap/>
            <w:tcMar>
              <w:top w:w="9" w:type="dxa"/>
              <w:left w:w="9" w:type="dxa"/>
              <w:right w:w="9" w:type="dxa"/>
            </w:tcMar>
            <w:vAlign w:val="center"/>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城市间</w:t>
            </w:r>
          </w:p>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交通费</w:t>
            </w:r>
          </w:p>
        </w:tc>
        <w:tc>
          <w:tcPr>
            <w:tcW w:w="1068"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住宿费</w:t>
            </w:r>
          </w:p>
        </w:tc>
        <w:tc>
          <w:tcPr>
            <w:tcW w:w="1032" w:type="dxa"/>
            <w:tcBorders>
              <w:top w:val="single" w:color="000000" w:sz="8" w:space="0"/>
              <w:left w:val="single" w:color="000000" w:sz="8" w:space="0"/>
              <w:bottom w:val="single" w:color="000000" w:sz="8" w:space="0"/>
              <w:right w:val="single" w:color="auto" w:sz="4" w:space="0"/>
            </w:tcBorders>
            <w:tcMar>
              <w:top w:w="9" w:type="dxa"/>
              <w:left w:w="9" w:type="dxa"/>
              <w:right w:w="9" w:type="dxa"/>
            </w:tcMar>
            <w:vAlign w:val="center"/>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伙食费</w:t>
            </w:r>
          </w:p>
        </w:tc>
        <w:tc>
          <w:tcPr>
            <w:tcW w:w="956" w:type="dxa"/>
            <w:tcBorders>
              <w:top w:val="single" w:color="000000" w:sz="8" w:space="0"/>
              <w:left w:val="single" w:color="auto" w:sz="4"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场地、资料、交通费</w:t>
            </w:r>
          </w:p>
        </w:tc>
        <w:tc>
          <w:tcPr>
            <w:tcW w:w="956"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其他费用</w:t>
            </w:r>
          </w:p>
        </w:tc>
        <w:tc>
          <w:tcPr>
            <w:tcW w:w="1238"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center"/>
              <w:rPr>
                <w:rFonts w:hint="eastAsia" w:ascii="仿宋_GB2312" w:hAnsi="仿宋_GB2312" w:eastAsia="仿宋_GB2312" w:cs="仿宋_GB2312"/>
                <w:b w:val="0"/>
                <w:bCs w:val="0"/>
                <w:color w:val="000000"/>
                <w:kern w:val="0"/>
                <w:sz w:val="24"/>
                <w:lang w:eastAsia="zh-CN"/>
              </w:rPr>
            </w:pPr>
            <w:r>
              <w:rPr>
                <w:rFonts w:hint="eastAsia" w:ascii="仿宋_GB2312" w:hAnsi="仿宋_GB2312" w:eastAsia="仿宋_GB2312" w:cs="仿宋_GB2312"/>
                <w:color w:val="000000"/>
                <w:kern w:val="0"/>
                <w:sz w:val="24"/>
                <w:lang w:eastAsia="zh-CN"/>
              </w:rPr>
              <w:t>备注</w:t>
            </w:r>
          </w:p>
        </w:tc>
      </w:tr>
      <w:tr>
        <w:tblPrEx>
          <w:tblCellMar>
            <w:top w:w="0" w:type="dxa"/>
            <w:left w:w="0" w:type="dxa"/>
            <w:bottom w:w="0" w:type="dxa"/>
            <w:right w:w="0" w:type="dxa"/>
          </w:tblCellMar>
        </w:tblPrEx>
        <w:trPr>
          <w:trHeight w:val="2984" w:hRule="atLeast"/>
        </w:trPr>
        <w:tc>
          <w:tcPr>
            <w:tcW w:w="1144"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按职称标准结算</w:t>
            </w:r>
          </w:p>
        </w:tc>
        <w:tc>
          <w:tcPr>
            <w:tcW w:w="1088"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最高340元/人/天</w:t>
            </w:r>
          </w:p>
        </w:tc>
        <w:tc>
          <w:tcPr>
            <w:tcW w:w="1050"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最高130元/人/天</w:t>
            </w:r>
          </w:p>
        </w:tc>
        <w:tc>
          <w:tcPr>
            <w:tcW w:w="1125"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按照市级机关差旅费有关规定和标准执行</w:t>
            </w:r>
          </w:p>
        </w:tc>
        <w:tc>
          <w:tcPr>
            <w:tcW w:w="1068"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最高340元/人/天</w:t>
            </w:r>
          </w:p>
        </w:tc>
        <w:tc>
          <w:tcPr>
            <w:tcW w:w="1032" w:type="dxa"/>
            <w:tcBorders>
              <w:top w:val="single" w:color="000000" w:sz="8" w:space="0"/>
              <w:left w:val="single" w:color="000000" w:sz="8" w:space="0"/>
              <w:bottom w:val="single" w:color="000000" w:sz="8" w:space="0"/>
              <w:right w:val="single" w:color="auto" w:sz="4" w:space="0"/>
            </w:tcBorders>
            <w:tcMar>
              <w:top w:w="9" w:type="dxa"/>
              <w:left w:w="9" w:type="dxa"/>
              <w:right w:w="9" w:type="dxa"/>
            </w:tcMar>
            <w:vAlign w:val="center"/>
          </w:tcPr>
          <w:p>
            <w:pPr>
              <w:widowControl/>
              <w:spacing w:line="40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最高130元/人/天</w:t>
            </w:r>
          </w:p>
        </w:tc>
        <w:tc>
          <w:tcPr>
            <w:tcW w:w="956" w:type="dxa"/>
            <w:tcBorders>
              <w:top w:val="single" w:color="000000" w:sz="8" w:space="0"/>
              <w:left w:val="single" w:color="auto" w:sz="4"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top"/>
              <w:rPr>
                <w:rFonts w:hint="default"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最高50元/人/天</w:t>
            </w:r>
          </w:p>
        </w:tc>
        <w:tc>
          <w:tcPr>
            <w:tcW w:w="956"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最高30元/人/天</w:t>
            </w:r>
          </w:p>
        </w:tc>
        <w:tc>
          <w:tcPr>
            <w:tcW w:w="1238" w:type="dxa"/>
            <w:tcBorders>
              <w:top w:val="single" w:color="000000" w:sz="8" w:space="0"/>
              <w:left w:val="single" w:color="000000" w:sz="8" w:space="0"/>
              <w:bottom w:val="single" w:color="000000" w:sz="8" w:space="0"/>
              <w:right w:val="single" w:color="000000" w:sz="8" w:space="0"/>
            </w:tcBorders>
            <w:tcMar>
              <w:top w:w="9" w:type="dxa"/>
              <w:left w:w="9" w:type="dxa"/>
              <w:right w:w="9" w:type="dxa"/>
            </w:tcMar>
            <w:vAlign w:val="center"/>
          </w:tcPr>
          <w:p>
            <w:pPr>
              <w:widowControl/>
              <w:spacing w:line="400" w:lineRule="exact"/>
              <w:jc w:val="left"/>
              <w:textAlignment w:val="top"/>
              <w:rPr>
                <w:rFonts w:hint="eastAsia" w:ascii="仿宋_GB2312" w:hAnsi="仿宋_GB2312" w:eastAsia="仿宋_GB2312" w:cs="仿宋_GB2312"/>
                <w:b/>
                <w:bCs/>
                <w:color w:val="000000"/>
                <w:kern w:val="0"/>
                <w:szCs w:val="21"/>
                <w:lang w:val="en-US" w:eastAsia="zh-CN"/>
              </w:rPr>
            </w:pPr>
            <w:r>
              <w:rPr>
                <w:rFonts w:hint="eastAsia" w:ascii="仿宋_GB2312" w:hAnsi="仿宋_GB2312" w:eastAsia="仿宋_GB2312" w:cs="仿宋_GB2312"/>
                <w:b/>
                <w:bCs/>
                <w:color w:val="000000"/>
                <w:kern w:val="0"/>
                <w:szCs w:val="21"/>
                <w:lang w:val="en-US" w:eastAsia="zh-CN"/>
              </w:rPr>
              <w:t>组织培训的工作人员控制在参训人员总数的10%以内，最多不超过 10 人。</w:t>
            </w:r>
          </w:p>
          <w:p>
            <w:pPr>
              <w:widowControl/>
              <w:spacing w:line="400" w:lineRule="exact"/>
              <w:jc w:val="center"/>
              <w:textAlignment w:val="top"/>
              <w:rPr>
                <w:rFonts w:hint="eastAsia" w:ascii="仿宋_GB2312" w:hAnsi="仿宋_GB2312" w:eastAsia="仿宋_GB2312" w:cs="仿宋_GB2312"/>
                <w:b w:val="0"/>
                <w:bCs w:val="0"/>
                <w:color w:val="000000"/>
                <w:kern w:val="0"/>
                <w:szCs w:val="21"/>
              </w:rPr>
            </w:pPr>
          </w:p>
        </w:tc>
      </w:tr>
    </w:tbl>
    <w:p>
      <w:pPr>
        <w:spacing w:line="400" w:lineRule="exact"/>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注：</w:t>
      </w:r>
    </w:p>
    <w:p>
      <w:pPr>
        <w:spacing w:line="400" w:lineRule="exact"/>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lang w:eastAsia="zh-CN"/>
        </w:rPr>
        <w:t>教师</w:t>
      </w:r>
      <w:r>
        <w:rPr>
          <w:rFonts w:hint="eastAsia" w:ascii="仿宋_GB2312" w:hAnsi="仿宋_GB2312" w:eastAsia="仿宋_GB2312" w:cs="仿宋_GB2312"/>
          <w:color w:val="000000"/>
          <w:kern w:val="0"/>
          <w:sz w:val="24"/>
        </w:rPr>
        <w:t>讲课费（税后） 执行以下标准：中级技术职称及以下专业人员每学时最高不超过 300 元；副高级技术职称专业人员每学时最高不超过 500 元；正高级技术职称专业人员每学时最高不超过1000 元；院士、全国知名专家每学时一般不超过 1500 元。</w:t>
      </w:r>
    </w:p>
    <w:p>
      <w:pPr>
        <w:spacing w:line="400" w:lineRule="exact"/>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讲课费按实际发生的学时计算， 每半天最多按 4 学时计算。</w:t>
      </w:r>
    </w:p>
    <w:p>
      <w:pPr>
        <w:spacing w:line="400" w:lineRule="exact"/>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其他人员讲课参照上述标准执行。</w:t>
      </w:r>
    </w:p>
    <w:p>
      <w:pPr>
        <w:spacing w:line="400" w:lineRule="exact"/>
        <w:ind w:firstLine="480" w:firstLineChars="200"/>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同时为多班次一并授课的，不重复计算讲课费。</w:t>
      </w:r>
    </w:p>
    <w:p>
      <w:pPr>
        <w:spacing w:line="4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（2）学员费用</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rPr>
        <w:t>工作人员费用</w:t>
      </w:r>
      <w:r>
        <w:rPr>
          <w:rFonts w:hint="eastAsia" w:ascii="仿宋_GB2312" w:hAnsi="仿宋_GB2312" w:eastAsia="仿宋_GB2312" w:cs="仿宋_GB2312"/>
          <w:color w:val="000000"/>
          <w:kern w:val="0"/>
          <w:sz w:val="24"/>
          <w:lang w:eastAsia="zh-CN"/>
        </w:rPr>
        <w:t>中各</w:t>
      </w:r>
      <w:r>
        <w:rPr>
          <w:rFonts w:hint="eastAsia" w:ascii="仿宋_GB2312" w:hAnsi="仿宋_GB2312" w:eastAsia="仿宋_GB2312" w:cs="仿宋_GB2312"/>
          <w:color w:val="000000"/>
          <w:kern w:val="0"/>
          <w:sz w:val="24"/>
        </w:rPr>
        <w:t>项</w:t>
      </w:r>
      <w:r>
        <w:rPr>
          <w:rFonts w:hint="eastAsia" w:ascii="仿宋_GB2312" w:hAnsi="仿宋_GB2312" w:eastAsia="仿宋_GB2312" w:cs="仿宋_GB2312"/>
          <w:color w:val="000000"/>
          <w:kern w:val="0"/>
          <w:sz w:val="24"/>
          <w:lang w:eastAsia="zh-CN"/>
        </w:rPr>
        <w:t>费用之间可以按规定调剂使用</w:t>
      </w:r>
      <w:r>
        <w:rPr>
          <w:rFonts w:hint="eastAsia" w:ascii="仿宋_GB2312" w:hAnsi="仿宋_GB2312" w:eastAsia="仿宋_GB2312" w:cs="仿宋_GB2312"/>
          <w:color w:val="000000"/>
          <w:kern w:val="0"/>
          <w:sz w:val="24"/>
        </w:rPr>
        <w:t>，但住宿费、伙食费不能超过标准。</w:t>
      </w:r>
    </w:p>
    <w:p>
      <w:pPr>
        <w:spacing w:line="400" w:lineRule="exact"/>
        <w:ind w:firstLine="480" w:firstLineChars="200"/>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lang w:val="en-US" w:eastAsia="zh-CN"/>
        </w:rPr>
        <w:t>3</w:t>
      </w:r>
      <w:r>
        <w:rPr>
          <w:rFonts w:hint="eastAsia" w:ascii="仿宋_GB2312" w:hAnsi="仿宋_GB2312" w:eastAsia="仿宋_GB2312" w:cs="仿宋_GB2312"/>
          <w:color w:val="000000"/>
          <w:kern w:val="0"/>
          <w:sz w:val="24"/>
          <w:lang w:eastAsia="zh-CN"/>
        </w:rPr>
        <w:t>）交通费是指用于培训所需的人员接送以及与培训有关的考察、调研、异地教学等发生的交通支出。</w:t>
      </w:r>
    </w:p>
    <w:p>
      <w:pPr>
        <w:spacing w:line="400" w:lineRule="exact"/>
        <w:ind w:firstLine="48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lang w:val="en-US" w:eastAsia="zh-CN"/>
        </w:rPr>
        <w:t>4</w:t>
      </w:r>
      <w:r>
        <w:rPr>
          <w:rFonts w:hint="eastAsia" w:ascii="仿宋_GB2312" w:hAnsi="仿宋_GB2312" w:eastAsia="仿宋_GB2312" w:cs="仿宋_GB2312"/>
          <w:color w:val="000000"/>
          <w:kern w:val="0"/>
          <w:sz w:val="24"/>
          <w:lang w:eastAsia="zh-CN"/>
        </w:rPr>
        <w:t>）其他费用是指现场教学费、网络授课线路租赁费、设备租赁费等与培训有关的其他支出。参训人员及工作人员培训头尾往返发生的城市间公共交通费，按照差旅费有关规定回各自所在单位报销。</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Helvetica Neue">
    <w:altName w:val="Segoe UI"/>
    <w:panose1 w:val="00000000000000000000"/>
    <w:charset w:val="00"/>
    <w:family w:val="auto"/>
    <w:pitch w:val="default"/>
    <w:sig w:usb0="00000000" w:usb1="00000000" w:usb2="0000001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040279936"/>
                          </w:sdtPr>
                          <w:sdtContent>
                            <w:p>
                              <w:pPr>
                                <w:pStyle w:val="4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sdt>
                    <w:sdtPr>
                      <w:id w:val="-2040279936"/>
                    </w:sdtPr>
                    <w:sdtContent>
                      <w:p>
                        <w:pPr>
                          <w:pStyle w:val="4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0"/>
                    </w:pPr>
                  </w:p>
                </w:txbxContent>
              </v:textbox>
            </v:shape>
          </w:pict>
        </mc:Fallback>
      </mc:AlternateContent>
    </w:r>
  </w:p>
  <w:p>
    <w:pPr>
      <w:pStyle w:val="4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88BB3"/>
    <w:multiLevelType w:val="singleLevel"/>
    <w:tmpl w:val="97988BB3"/>
    <w:lvl w:ilvl="0" w:tentative="0">
      <w:start w:val="2"/>
      <w:numFmt w:val="decimal"/>
      <w:suff w:val="nothing"/>
      <w:lvlText w:val="%1、"/>
      <w:lvlJc w:val="left"/>
    </w:lvl>
  </w:abstractNum>
  <w:abstractNum w:abstractNumId="1">
    <w:nsid w:val="343FF038"/>
    <w:multiLevelType w:val="singleLevel"/>
    <w:tmpl w:val="343FF038"/>
    <w:lvl w:ilvl="0" w:tentative="0">
      <w:start w:val="2"/>
      <w:numFmt w:val="decimal"/>
      <w:suff w:val="nothing"/>
      <w:lvlText w:val="%1、"/>
      <w:lvlJc w:val="left"/>
    </w:lvl>
  </w:abstractNum>
  <w:abstractNum w:abstractNumId="2">
    <w:nsid w:val="59ACBEE7"/>
    <w:multiLevelType w:val="singleLevel"/>
    <w:tmpl w:val="59ACBEE7"/>
    <w:lvl w:ilvl="0" w:tentative="0">
      <w:start w:val="1"/>
      <w:numFmt w:val="decimal"/>
      <w:suff w:val="nothing"/>
      <w:lvlText w:val="%1、"/>
      <w:lvlJc w:val="left"/>
      <w:rPr>
        <w:rFonts w:cs="Times New Roman"/>
      </w:rPr>
    </w:lvl>
  </w:abstractNum>
  <w:abstractNum w:abstractNumId="3">
    <w:nsid w:val="6E230785"/>
    <w:multiLevelType w:val="multilevel"/>
    <w:tmpl w:val="6E230785"/>
    <w:lvl w:ilvl="0" w:tentative="0">
      <w:start w:val="1"/>
      <w:numFmt w:val="bullet"/>
      <w:pStyle w:val="182"/>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7A14FEF6"/>
    <w:multiLevelType w:val="singleLevel"/>
    <w:tmpl w:val="7A14FEF6"/>
    <w:lvl w:ilvl="0" w:tentative="0">
      <w:start w:val="1"/>
      <w:numFmt w:val="chineseCounting"/>
      <w:suff w:val="nothing"/>
      <w:lvlText w:val="%1、"/>
      <w:lvlJc w:val="left"/>
      <w:rPr>
        <w:rFonts w:hint="eastAsia"/>
      </w:rPr>
    </w:lvl>
  </w:abstractNum>
  <w:abstractNum w:abstractNumId="5">
    <w:nsid w:val="7BB47F4E"/>
    <w:multiLevelType w:val="singleLevel"/>
    <w:tmpl w:val="7BB47F4E"/>
    <w:lvl w:ilvl="0" w:tentative="0">
      <w:start w:val="4"/>
      <w:numFmt w:val="chineseCounting"/>
      <w:suff w:val="space"/>
      <w:lvlText w:val="第%1部分"/>
      <w:lvlJc w:val="left"/>
      <w:rPr>
        <w:rFonts w:hint="eastAsia"/>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YWYxMjg2OTMxMDA3MGI0ODI4ZWRjM2RlN2ZjNTgifQ=="/>
    <w:docVar w:name="KSO_WPS_MARK_KEY" w:val="8b5fff23-386d-4009-b709-982ebe5f7014"/>
  </w:docVars>
  <w:rsids>
    <w:rsidRoot w:val="006756B4"/>
    <w:rsid w:val="00001B84"/>
    <w:rsid w:val="000032D9"/>
    <w:rsid w:val="00004C34"/>
    <w:rsid w:val="00005B35"/>
    <w:rsid w:val="00026A74"/>
    <w:rsid w:val="000300BF"/>
    <w:rsid w:val="00032C76"/>
    <w:rsid w:val="00036F79"/>
    <w:rsid w:val="00044291"/>
    <w:rsid w:val="000517FB"/>
    <w:rsid w:val="00052CE9"/>
    <w:rsid w:val="00067486"/>
    <w:rsid w:val="0007400E"/>
    <w:rsid w:val="00077C9B"/>
    <w:rsid w:val="00077FC4"/>
    <w:rsid w:val="00080786"/>
    <w:rsid w:val="00083D11"/>
    <w:rsid w:val="00093039"/>
    <w:rsid w:val="000A159C"/>
    <w:rsid w:val="000A6FDA"/>
    <w:rsid w:val="000A776A"/>
    <w:rsid w:val="000A79A4"/>
    <w:rsid w:val="000C0C7D"/>
    <w:rsid w:val="000C25FC"/>
    <w:rsid w:val="000C46B3"/>
    <w:rsid w:val="000C628E"/>
    <w:rsid w:val="000C7B6C"/>
    <w:rsid w:val="000D1963"/>
    <w:rsid w:val="000D1C91"/>
    <w:rsid w:val="000D71D9"/>
    <w:rsid w:val="000D7BB7"/>
    <w:rsid w:val="000E67C2"/>
    <w:rsid w:val="000F7633"/>
    <w:rsid w:val="001045AC"/>
    <w:rsid w:val="001157DC"/>
    <w:rsid w:val="0012478D"/>
    <w:rsid w:val="00124F6D"/>
    <w:rsid w:val="00137502"/>
    <w:rsid w:val="001401F2"/>
    <w:rsid w:val="001404A7"/>
    <w:rsid w:val="001453F3"/>
    <w:rsid w:val="00151A4E"/>
    <w:rsid w:val="001535E5"/>
    <w:rsid w:val="00160EF1"/>
    <w:rsid w:val="00173646"/>
    <w:rsid w:val="00177F85"/>
    <w:rsid w:val="00180DED"/>
    <w:rsid w:val="00182F39"/>
    <w:rsid w:val="00192A41"/>
    <w:rsid w:val="00195B49"/>
    <w:rsid w:val="00197BBA"/>
    <w:rsid w:val="001A1C10"/>
    <w:rsid w:val="001A59D7"/>
    <w:rsid w:val="001B4EB1"/>
    <w:rsid w:val="001B6234"/>
    <w:rsid w:val="001B72FB"/>
    <w:rsid w:val="001C0958"/>
    <w:rsid w:val="001C1703"/>
    <w:rsid w:val="001C4C5D"/>
    <w:rsid w:val="001C7039"/>
    <w:rsid w:val="001E16F0"/>
    <w:rsid w:val="001F528B"/>
    <w:rsid w:val="001F53A5"/>
    <w:rsid w:val="001F79C7"/>
    <w:rsid w:val="00204AA4"/>
    <w:rsid w:val="00205876"/>
    <w:rsid w:val="00206645"/>
    <w:rsid w:val="00207B41"/>
    <w:rsid w:val="00207F7E"/>
    <w:rsid w:val="00213167"/>
    <w:rsid w:val="00217674"/>
    <w:rsid w:val="002244C6"/>
    <w:rsid w:val="00230644"/>
    <w:rsid w:val="00233D7F"/>
    <w:rsid w:val="00236617"/>
    <w:rsid w:val="00237286"/>
    <w:rsid w:val="00244650"/>
    <w:rsid w:val="00252AAB"/>
    <w:rsid w:val="00256B26"/>
    <w:rsid w:val="002732EA"/>
    <w:rsid w:val="00276D1F"/>
    <w:rsid w:val="00276FC1"/>
    <w:rsid w:val="00293FF3"/>
    <w:rsid w:val="002B63D2"/>
    <w:rsid w:val="002C1E18"/>
    <w:rsid w:val="002C219B"/>
    <w:rsid w:val="002D15AA"/>
    <w:rsid w:val="002E083E"/>
    <w:rsid w:val="002E493B"/>
    <w:rsid w:val="002E509A"/>
    <w:rsid w:val="002E685D"/>
    <w:rsid w:val="002E7DFD"/>
    <w:rsid w:val="003045E8"/>
    <w:rsid w:val="003047DA"/>
    <w:rsid w:val="00304875"/>
    <w:rsid w:val="0031019C"/>
    <w:rsid w:val="00314FF4"/>
    <w:rsid w:val="00321BE2"/>
    <w:rsid w:val="003225E8"/>
    <w:rsid w:val="0033408C"/>
    <w:rsid w:val="003422CA"/>
    <w:rsid w:val="00361948"/>
    <w:rsid w:val="0036389C"/>
    <w:rsid w:val="00365A20"/>
    <w:rsid w:val="003705CD"/>
    <w:rsid w:val="003727DE"/>
    <w:rsid w:val="003756BD"/>
    <w:rsid w:val="00377059"/>
    <w:rsid w:val="00391FB5"/>
    <w:rsid w:val="003947C7"/>
    <w:rsid w:val="003A0BE1"/>
    <w:rsid w:val="003A7900"/>
    <w:rsid w:val="003B1485"/>
    <w:rsid w:val="003B5F8D"/>
    <w:rsid w:val="003D056E"/>
    <w:rsid w:val="003D148B"/>
    <w:rsid w:val="003D1954"/>
    <w:rsid w:val="003E0037"/>
    <w:rsid w:val="003E04E3"/>
    <w:rsid w:val="003E097E"/>
    <w:rsid w:val="003E3FFE"/>
    <w:rsid w:val="003F07C1"/>
    <w:rsid w:val="003F2F58"/>
    <w:rsid w:val="0040781D"/>
    <w:rsid w:val="004079FA"/>
    <w:rsid w:val="00407BC3"/>
    <w:rsid w:val="00410F80"/>
    <w:rsid w:val="0041365C"/>
    <w:rsid w:val="0041553D"/>
    <w:rsid w:val="00424376"/>
    <w:rsid w:val="00425076"/>
    <w:rsid w:val="004329A0"/>
    <w:rsid w:val="004414F0"/>
    <w:rsid w:val="00465A4E"/>
    <w:rsid w:val="00467E97"/>
    <w:rsid w:val="00473F8A"/>
    <w:rsid w:val="0047666D"/>
    <w:rsid w:val="00481A2C"/>
    <w:rsid w:val="00482E6B"/>
    <w:rsid w:val="004963F3"/>
    <w:rsid w:val="00497849"/>
    <w:rsid w:val="004B04FB"/>
    <w:rsid w:val="004B0E5D"/>
    <w:rsid w:val="004B7006"/>
    <w:rsid w:val="004C6E86"/>
    <w:rsid w:val="004C6EDE"/>
    <w:rsid w:val="004D1476"/>
    <w:rsid w:val="004E2320"/>
    <w:rsid w:val="004F7F10"/>
    <w:rsid w:val="00500F64"/>
    <w:rsid w:val="00513600"/>
    <w:rsid w:val="00516B28"/>
    <w:rsid w:val="00524E78"/>
    <w:rsid w:val="00524E98"/>
    <w:rsid w:val="00525A5F"/>
    <w:rsid w:val="00533481"/>
    <w:rsid w:val="005338D1"/>
    <w:rsid w:val="005369C2"/>
    <w:rsid w:val="0053760C"/>
    <w:rsid w:val="00570B31"/>
    <w:rsid w:val="0059197E"/>
    <w:rsid w:val="00592605"/>
    <w:rsid w:val="005A3C88"/>
    <w:rsid w:val="005B3E36"/>
    <w:rsid w:val="005C261D"/>
    <w:rsid w:val="005D12EE"/>
    <w:rsid w:val="005D28A0"/>
    <w:rsid w:val="005D7FB6"/>
    <w:rsid w:val="005E08A8"/>
    <w:rsid w:val="005F21F2"/>
    <w:rsid w:val="005F3B5B"/>
    <w:rsid w:val="005F617C"/>
    <w:rsid w:val="00601A2D"/>
    <w:rsid w:val="00601D2C"/>
    <w:rsid w:val="00603AFF"/>
    <w:rsid w:val="00611907"/>
    <w:rsid w:val="00615DE1"/>
    <w:rsid w:val="00617301"/>
    <w:rsid w:val="006176F2"/>
    <w:rsid w:val="00617856"/>
    <w:rsid w:val="00623A0C"/>
    <w:rsid w:val="006348C0"/>
    <w:rsid w:val="0064229D"/>
    <w:rsid w:val="0066249D"/>
    <w:rsid w:val="006756B4"/>
    <w:rsid w:val="0068173E"/>
    <w:rsid w:val="00684B9E"/>
    <w:rsid w:val="006A40AB"/>
    <w:rsid w:val="006A7CE8"/>
    <w:rsid w:val="006B1906"/>
    <w:rsid w:val="006B2397"/>
    <w:rsid w:val="006C25C7"/>
    <w:rsid w:val="006D189A"/>
    <w:rsid w:val="006D1A66"/>
    <w:rsid w:val="006D2640"/>
    <w:rsid w:val="006D3FE6"/>
    <w:rsid w:val="006D5183"/>
    <w:rsid w:val="006F17A6"/>
    <w:rsid w:val="006F1EA5"/>
    <w:rsid w:val="006F7C77"/>
    <w:rsid w:val="00702713"/>
    <w:rsid w:val="00703160"/>
    <w:rsid w:val="0070527E"/>
    <w:rsid w:val="007055C6"/>
    <w:rsid w:val="00710563"/>
    <w:rsid w:val="007114C8"/>
    <w:rsid w:val="00711A99"/>
    <w:rsid w:val="00711E1D"/>
    <w:rsid w:val="00714F30"/>
    <w:rsid w:val="0072401C"/>
    <w:rsid w:val="0072506F"/>
    <w:rsid w:val="00725B2F"/>
    <w:rsid w:val="00745DF6"/>
    <w:rsid w:val="00746A6E"/>
    <w:rsid w:val="007616E7"/>
    <w:rsid w:val="00762FD6"/>
    <w:rsid w:val="00763253"/>
    <w:rsid w:val="00766C1B"/>
    <w:rsid w:val="00784268"/>
    <w:rsid w:val="0079541E"/>
    <w:rsid w:val="007A0591"/>
    <w:rsid w:val="007A1B26"/>
    <w:rsid w:val="007A4018"/>
    <w:rsid w:val="007B5650"/>
    <w:rsid w:val="007B6E49"/>
    <w:rsid w:val="007C159C"/>
    <w:rsid w:val="007C2A39"/>
    <w:rsid w:val="007C385D"/>
    <w:rsid w:val="007D01DC"/>
    <w:rsid w:val="007D3C10"/>
    <w:rsid w:val="007E5399"/>
    <w:rsid w:val="007E591E"/>
    <w:rsid w:val="007E6310"/>
    <w:rsid w:val="007E7519"/>
    <w:rsid w:val="007F623E"/>
    <w:rsid w:val="00807600"/>
    <w:rsid w:val="00807D6A"/>
    <w:rsid w:val="00813889"/>
    <w:rsid w:val="00815165"/>
    <w:rsid w:val="00820501"/>
    <w:rsid w:val="00824AD9"/>
    <w:rsid w:val="008264E9"/>
    <w:rsid w:val="00826CB8"/>
    <w:rsid w:val="00833F7F"/>
    <w:rsid w:val="00856CA1"/>
    <w:rsid w:val="0085798C"/>
    <w:rsid w:val="0086207C"/>
    <w:rsid w:val="00866F37"/>
    <w:rsid w:val="008740CC"/>
    <w:rsid w:val="008746CD"/>
    <w:rsid w:val="008925C2"/>
    <w:rsid w:val="00895FD9"/>
    <w:rsid w:val="008A75AC"/>
    <w:rsid w:val="008B186F"/>
    <w:rsid w:val="008C09D4"/>
    <w:rsid w:val="008D6BE9"/>
    <w:rsid w:val="008E1B21"/>
    <w:rsid w:val="008E7BDE"/>
    <w:rsid w:val="008F46EF"/>
    <w:rsid w:val="009012A2"/>
    <w:rsid w:val="00901C85"/>
    <w:rsid w:val="00902A14"/>
    <w:rsid w:val="0090695D"/>
    <w:rsid w:val="00907441"/>
    <w:rsid w:val="00910733"/>
    <w:rsid w:val="009113B9"/>
    <w:rsid w:val="009168FF"/>
    <w:rsid w:val="009359C3"/>
    <w:rsid w:val="009423FC"/>
    <w:rsid w:val="00944242"/>
    <w:rsid w:val="009445F7"/>
    <w:rsid w:val="00945606"/>
    <w:rsid w:val="009614EF"/>
    <w:rsid w:val="00961A45"/>
    <w:rsid w:val="00964D1F"/>
    <w:rsid w:val="00966A28"/>
    <w:rsid w:val="00970339"/>
    <w:rsid w:val="00972D42"/>
    <w:rsid w:val="009828F7"/>
    <w:rsid w:val="009862F0"/>
    <w:rsid w:val="009958CC"/>
    <w:rsid w:val="00996B55"/>
    <w:rsid w:val="009A11C2"/>
    <w:rsid w:val="009A20D6"/>
    <w:rsid w:val="009A6B9B"/>
    <w:rsid w:val="009C6993"/>
    <w:rsid w:val="009E0BEE"/>
    <w:rsid w:val="009F3571"/>
    <w:rsid w:val="009F3C52"/>
    <w:rsid w:val="00A11DA4"/>
    <w:rsid w:val="00A20EEF"/>
    <w:rsid w:val="00A27D3F"/>
    <w:rsid w:val="00A30E12"/>
    <w:rsid w:val="00A34DBB"/>
    <w:rsid w:val="00A375E5"/>
    <w:rsid w:val="00A43937"/>
    <w:rsid w:val="00A51C69"/>
    <w:rsid w:val="00A529C7"/>
    <w:rsid w:val="00A5703C"/>
    <w:rsid w:val="00A62E1C"/>
    <w:rsid w:val="00A63E8B"/>
    <w:rsid w:val="00A753BE"/>
    <w:rsid w:val="00A75E37"/>
    <w:rsid w:val="00A82C7E"/>
    <w:rsid w:val="00A9312A"/>
    <w:rsid w:val="00A941C5"/>
    <w:rsid w:val="00A9783E"/>
    <w:rsid w:val="00AA3772"/>
    <w:rsid w:val="00AC2D02"/>
    <w:rsid w:val="00AC7151"/>
    <w:rsid w:val="00AE1BAC"/>
    <w:rsid w:val="00AE5CF6"/>
    <w:rsid w:val="00AE7DD4"/>
    <w:rsid w:val="00AF6E97"/>
    <w:rsid w:val="00B20AE8"/>
    <w:rsid w:val="00B25989"/>
    <w:rsid w:val="00B26DCA"/>
    <w:rsid w:val="00B34994"/>
    <w:rsid w:val="00B40E76"/>
    <w:rsid w:val="00B41ACA"/>
    <w:rsid w:val="00B44A73"/>
    <w:rsid w:val="00B46DE9"/>
    <w:rsid w:val="00B56C42"/>
    <w:rsid w:val="00B66785"/>
    <w:rsid w:val="00B74E16"/>
    <w:rsid w:val="00B85EDF"/>
    <w:rsid w:val="00B87E11"/>
    <w:rsid w:val="00B97A69"/>
    <w:rsid w:val="00BA14D9"/>
    <w:rsid w:val="00BA6B3F"/>
    <w:rsid w:val="00BC207C"/>
    <w:rsid w:val="00BC62C8"/>
    <w:rsid w:val="00BE29D5"/>
    <w:rsid w:val="00BE4D13"/>
    <w:rsid w:val="00BE6577"/>
    <w:rsid w:val="00BF0D42"/>
    <w:rsid w:val="00BF2153"/>
    <w:rsid w:val="00BF4E90"/>
    <w:rsid w:val="00BF6CC1"/>
    <w:rsid w:val="00C0041A"/>
    <w:rsid w:val="00C13585"/>
    <w:rsid w:val="00C14F8D"/>
    <w:rsid w:val="00C17629"/>
    <w:rsid w:val="00C25F57"/>
    <w:rsid w:val="00C35388"/>
    <w:rsid w:val="00C35449"/>
    <w:rsid w:val="00C35558"/>
    <w:rsid w:val="00C50BA7"/>
    <w:rsid w:val="00C63340"/>
    <w:rsid w:val="00C7130F"/>
    <w:rsid w:val="00C733E9"/>
    <w:rsid w:val="00C757D0"/>
    <w:rsid w:val="00C8455F"/>
    <w:rsid w:val="00C86518"/>
    <w:rsid w:val="00C93163"/>
    <w:rsid w:val="00C93B67"/>
    <w:rsid w:val="00C93CCB"/>
    <w:rsid w:val="00C93FE5"/>
    <w:rsid w:val="00C94CAD"/>
    <w:rsid w:val="00CA2395"/>
    <w:rsid w:val="00CA374E"/>
    <w:rsid w:val="00CA3BCE"/>
    <w:rsid w:val="00CB72F4"/>
    <w:rsid w:val="00CB7F63"/>
    <w:rsid w:val="00CC1242"/>
    <w:rsid w:val="00CC14D2"/>
    <w:rsid w:val="00CC329A"/>
    <w:rsid w:val="00CC7CDC"/>
    <w:rsid w:val="00CD1288"/>
    <w:rsid w:val="00CE198B"/>
    <w:rsid w:val="00CE36B9"/>
    <w:rsid w:val="00CE4310"/>
    <w:rsid w:val="00CE5D35"/>
    <w:rsid w:val="00CE653D"/>
    <w:rsid w:val="00CE7A3D"/>
    <w:rsid w:val="00CF2105"/>
    <w:rsid w:val="00CF3072"/>
    <w:rsid w:val="00D03599"/>
    <w:rsid w:val="00D0687E"/>
    <w:rsid w:val="00D142F3"/>
    <w:rsid w:val="00D1523F"/>
    <w:rsid w:val="00D17EAA"/>
    <w:rsid w:val="00D204AC"/>
    <w:rsid w:val="00D21D67"/>
    <w:rsid w:val="00D35579"/>
    <w:rsid w:val="00D45723"/>
    <w:rsid w:val="00D56488"/>
    <w:rsid w:val="00D63DCC"/>
    <w:rsid w:val="00D7226E"/>
    <w:rsid w:val="00D72987"/>
    <w:rsid w:val="00D72A99"/>
    <w:rsid w:val="00D76498"/>
    <w:rsid w:val="00D7694C"/>
    <w:rsid w:val="00D918B1"/>
    <w:rsid w:val="00D92055"/>
    <w:rsid w:val="00DA4409"/>
    <w:rsid w:val="00DB0FE5"/>
    <w:rsid w:val="00DC7345"/>
    <w:rsid w:val="00DC7F84"/>
    <w:rsid w:val="00DD2265"/>
    <w:rsid w:val="00DD3AA6"/>
    <w:rsid w:val="00DD6F46"/>
    <w:rsid w:val="00DE127D"/>
    <w:rsid w:val="00DE3588"/>
    <w:rsid w:val="00DE5512"/>
    <w:rsid w:val="00DF197A"/>
    <w:rsid w:val="00E008F3"/>
    <w:rsid w:val="00E00F5B"/>
    <w:rsid w:val="00E04E11"/>
    <w:rsid w:val="00E2028F"/>
    <w:rsid w:val="00E24647"/>
    <w:rsid w:val="00E301AF"/>
    <w:rsid w:val="00E34F27"/>
    <w:rsid w:val="00E422D5"/>
    <w:rsid w:val="00E4253B"/>
    <w:rsid w:val="00E4263C"/>
    <w:rsid w:val="00E438E0"/>
    <w:rsid w:val="00E45362"/>
    <w:rsid w:val="00E50BD0"/>
    <w:rsid w:val="00E50DA8"/>
    <w:rsid w:val="00E52F5A"/>
    <w:rsid w:val="00E618CD"/>
    <w:rsid w:val="00E61FB5"/>
    <w:rsid w:val="00E7619F"/>
    <w:rsid w:val="00E775CE"/>
    <w:rsid w:val="00E819A0"/>
    <w:rsid w:val="00E83709"/>
    <w:rsid w:val="00E83D31"/>
    <w:rsid w:val="00E94A58"/>
    <w:rsid w:val="00E95AD0"/>
    <w:rsid w:val="00EA58EF"/>
    <w:rsid w:val="00EB2A61"/>
    <w:rsid w:val="00EB2A8B"/>
    <w:rsid w:val="00EB4FCF"/>
    <w:rsid w:val="00EB67B8"/>
    <w:rsid w:val="00EB7E49"/>
    <w:rsid w:val="00EC0126"/>
    <w:rsid w:val="00EC362E"/>
    <w:rsid w:val="00EC3C4E"/>
    <w:rsid w:val="00EC5C2F"/>
    <w:rsid w:val="00EE5DE8"/>
    <w:rsid w:val="00F03C76"/>
    <w:rsid w:val="00F04854"/>
    <w:rsid w:val="00F124F3"/>
    <w:rsid w:val="00F162D7"/>
    <w:rsid w:val="00F23A38"/>
    <w:rsid w:val="00F623E7"/>
    <w:rsid w:val="00F64F26"/>
    <w:rsid w:val="00F66879"/>
    <w:rsid w:val="00F67B0B"/>
    <w:rsid w:val="00F70ED8"/>
    <w:rsid w:val="00F74E48"/>
    <w:rsid w:val="00F80551"/>
    <w:rsid w:val="00F87912"/>
    <w:rsid w:val="00F90E8B"/>
    <w:rsid w:val="00FA1B96"/>
    <w:rsid w:val="00FA4CEB"/>
    <w:rsid w:val="00FA7218"/>
    <w:rsid w:val="00FB0E82"/>
    <w:rsid w:val="00FB24F6"/>
    <w:rsid w:val="00FD090A"/>
    <w:rsid w:val="00FD1311"/>
    <w:rsid w:val="00FD3014"/>
    <w:rsid w:val="00FD3445"/>
    <w:rsid w:val="00FD799C"/>
    <w:rsid w:val="00FE246C"/>
    <w:rsid w:val="00FF2379"/>
    <w:rsid w:val="00FF627B"/>
    <w:rsid w:val="01097ABC"/>
    <w:rsid w:val="01162CEC"/>
    <w:rsid w:val="015B6D94"/>
    <w:rsid w:val="015E1273"/>
    <w:rsid w:val="01B55654"/>
    <w:rsid w:val="021F6013"/>
    <w:rsid w:val="027A78CF"/>
    <w:rsid w:val="02B51BAC"/>
    <w:rsid w:val="02D61F91"/>
    <w:rsid w:val="02D92666"/>
    <w:rsid w:val="02E24174"/>
    <w:rsid w:val="032B3AAC"/>
    <w:rsid w:val="03E203E0"/>
    <w:rsid w:val="04955223"/>
    <w:rsid w:val="04A6089D"/>
    <w:rsid w:val="05621267"/>
    <w:rsid w:val="05DE1D42"/>
    <w:rsid w:val="06325D54"/>
    <w:rsid w:val="064249C6"/>
    <w:rsid w:val="066D079A"/>
    <w:rsid w:val="0691101F"/>
    <w:rsid w:val="06B62083"/>
    <w:rsid w:val="06BF0FDB"/>
    <w:rsid w:val="071D0C35"/>
    <w:rsid w:val="07420B1F"/>
    <w:rsid w:val="07445856"/>
    <w:rsid w:val="07F6072D"/>
    <w:rsid w:val="08053038"/>
    <w:rsid w:val="08251EAA"/>
    <w:rsid w:val="083E2F66"/>
    <w:rsid w:val="085E6F42"/>
    <w:rsid w:val="086E54B7"/>
    <w:rsid w:val="08B6474A"/>
    <w:rsid w:val="08C86981"/>
    <w:rsid w:val="09624B8B"/>
    <w:rsid w:val="09FC4E8C"/>
    <w:rsid w:val="0A2A425E"/>
    <w:rsid w:val="0AA7474A"/>
    <w:rsid w:val="0AC2447B"/>
    <w:rsid w:val="0AE42C44"/>
    <w:rsid w:val="0B0E6679"/>
    <w:rsid w:val="0B175BAD"/>
    <w:rsid w:val="0B54666F"/>
    <w:rsid w:val="0BA74F32"/>
    <w:rsid w:val="0BBC2E35"/>
    <w:rsid w:val="0BF34520"/>
    <w:rsid w:val="0C05782D"/>
    <w:rsid w:val="0C6A086D"/>
    <w:rsid w:val="0CE22BFB"/>
    <w:rsid w:val="0D0133C1"/>
    <w:rsid w:val="0D1A6C3A"/>
    <w:rsid w:val="0DB27144"/>
    <w:rsid w:val="0DF85BE0"/>
    <w:rsid w:val="0E0B116A"/>
    <w:rsid w:val="0E120F34"/>
    <w:rsid w:val="0E2576F2"/>
    <w:rsid w:val="0E417312"/>
    <w:rsid w:val="0E627313"/>
    <w:rsid w:val="0EA170A3"/>
    <w:rsid w:val="0EBD35D6"/>
    <w:rsid w:val="0ED6500E"/>
    <w:rsid w:val="0EE04B9C"/>
    <w:rsid w:val="0F130CAE"/>
    <w:rsid w:val="0F253D36"/>
    <w:rsid w:val="0F31382A"/>
    <w:rsid w:val="0F3E471A"/>
    <w:rsid w:val="0F7D77D6"/>
    <w:rsid w:val="0F873E91"/>
    <w:rsid w:val="0F892A0B"/>
    <w:rsid w:val="10044A9B"/>
    <w:rsid w:val="10BE4C25"/>
    <w:rsid w:val="10D2410C"/>
    <w:rsid w:val="117049BA"/>
    <w:rsid w:val="119B5A55"/>
    <w:rsid w:val="11A33325"/>
    <w:rsid w:val="11B240DE"/>
    <w:rsid w:val="11BF72FD"/>
    <w:rsid w:val="12227CB8"/>
    <w:rsid w:val="1255782F"/>
    <w:rsid w:val="1256748B"/>
    <w:rsid w:val="125814C7"/>
    <w:rsid w:val="127B203D"/>
    <w:rsid w:val="12B851EB"/>
    <w:rsid w:val="12FD1B16"/>
    <w:rsid w:val="13051231"/>
    <w:rsid w:val="133E2072"/>
    <w:rsid w:val="138C6671"/>
    <w:rsid w:val="13E43E95"/>
    <w:rsid w:val="1445199E"/>
    <w:rsid w:val="14A26037"/>
    <w:rsid w:val="14A43A33"/>
    <w:rsid w:val="14D8416A"/>
    <w:rsid w:val="152C0111"/>
    <w:rsid w:val="15334C4D"/>
    <w:rsid w:val="15451DDD"/>
    <w:rsid w:val="15901032"/>
    <w:rsid w:val="159075B9"/>
    <w:rsid w:val="15972065"/>
    <w:rsid w:val="16670D40"/>
    <w:rsid w:val="168E5D2D"/>
    <w:rsid w:val="16D27376"/>
    <w:rsid w:val="17137263"/>
    <w:rsid w:val="17305923"/>
    <w:rsid w:val="17447B51"/>
    <w:rsid w:val="177236B7"/>
    <w:rsid w:val="17FE2961"/>
    <w:rsid w:val="18040E0B"/>
    <w:rsid w:val="18153F6E"/>
    <w:rsid w:val="18853672"/>
    <w:rsid w:val="192E476D"/>
    <w:rsid w:val="198C6C89"/>
    <w:rsid w:val="19D50AF1"/>
    <w:rsid w:val="19D87B51"/>
    <w:rsid w:val="19DB4E17"/>
    <w:rsid w:val="19DE7C7D"/>
    <w:rsid w:val="19F42FEB"/>
    <w:rsid w:val="19F875B3"/>
    <w:rsid w:val="1A9D1019"/>
    <w:rsid w:val="1B6C276D"/>
    <w:rsid w:val="1B6D4B92"/>
    <w:rsid w:val="1B76004A"/>
    <w:rsid w:val="1BF66EEF"/>
    <w:rsid w:val="1C7C3906"/>
    <w:rsid w:val="1CA82A62"/>
    <w:rsid w:val="1CC03E0C"/>
    <w:rsid w:val="1CCD7F3A"/>
    <w:rsid w:val="1D080607"/>
    <w:rsid w:val="1D6C261F"/>
    <w:rsid w:val="1D704F7A"/>
    <w:rsid w:val="1D92077C"/>
    <w:rsid w:val="1DCE70C1"/>
    <w:rsid w:val="1DD45A3A"/>
    <w:rsid w:val="1DE20E83"/>
    <w:rsid w:val="1E205195"/>
    <w:rsid w:val="1E3447E0"/>
    <w:rsid w:val="1E3E000E"/>
    <w:rsid w:val="1E934263"/>
    <w:rsid w:val="1EAA5C0E"/>
    <w:rsid w:val="1EB17C40"/>
    <w:rsid w:val="1ED80664"/>
    <w:rsid w:val="1EDA66C3"/>
    <w:rsid w:val="1F096472"/>
    <w:rsid w:val="1F4B733C"/>
    <w:rsid w:val="1FDA58F4"/>
    <w:rsid w:val="1FE1000B"/>
    <w:rsid w:val="201D2D84"/>
    <w:rsid w:val="20A01C86"/>
    <w:rsid w:val="20A353E0"/>
    <w:rsid w:val="20C8099E"/>
    <w:rsid w:val="20CF1CFC"/>
    <w:rsid w:val="20E519B9"/>
    <w:rsid w:val="213F2829"/>
    <w:rsid w:val="2145204C"/>
    <w:rsid w:val="2169043A"/>
    <w:rsid w:val="221E7E58"/>
    <w:rsid w:val="22F62F72"/>
    <w:rsid w:val="2330462B"/>
    <w:rsid w:val="23591183"/>
    <w:rsid w:val="237F295E"/>
    <w:rsid w:val="237F64BA"/>
    <w:rsid w:val="23A10B26"/>
    <w:rsid w:val="23D45515"/>
    <w:rsid w:val="241D4300"/>
    <w:rsid w:val="242744A5"/>
    <w:rsid w:val="24381A01"/>
    <w:rsid w:val="248F1F12"/>
    <w:rsid w:val="24D50C41"/>
    <w:rsid w:val="24EE1FCE"/>
    <w:rsid w:val="25114D0B"/>
    <w:rsid w:val="25291319"/>
    <w:rsid w:val="25291494"/>
    <w:rsid w:val="2537157D"/>
    <w:rsid w:val="25480B15"/>
    <w:rsid w:val="255B30CE"/>
    <w:rsid w:val="257242F1"/>
    <w:rsid w:val="25822292"/>
    <w:rsid w:val="25AD1396"/>
    <w:rsid w:val="25C413F5"/>
    <w:rsid w:val="262C184B"/>
    <w:rsid w:val="26B073AF"/>
    <w:rsid w:val="26BE4A72"/>
    <w:rsid w:val="271F78D5"/>
    <w:rsid w:val="2754230F"/>
    <w:rsid w:val="275859A0"/>
    <w:rsid w:val="2762381B"/>
    <w:rsid w:val="276E2735"/>
    <w:rsid w:val="27771BB9"/>
    <w:rsid w:val="27A326FC"/>
    <w:rsid w:val="27F82BC5"/>
    <w:rsid w:val="282747BC"/>
    <w:rsid w:val="28536A02"/>
    <w:rsid w:val="28A975B9"/>
    <w:rsid w:val="28FF5FF9"/>
    <w:rsid w:val="29BF15B0"/>
    <w:rsid w:val="29F55061"/>
    <w:rsid w:val="2A866B7D"/>
    <w:rsid w:val="2AC87630"/>
    <w:rsid w:val="2B0B638E"/>
    <w:rsid w:val="2B0C0213"/>
    <w:rsid w:val="2B0D2F9A"/>
    <w:rsid w:val="2B471FB3"/>
    <w:rsid w:val="2B530DCD"/>
    <w:rsid w:val="2B8374F6"/>
    <w:rsid w:val="2C8B1BF4"/>
    <w:rsid w:val="2C8C639F"/>
    <w:rsid w:val="2D013F59"/>
    <w:rsid w:val="2DBC58A4"/>
    <w:rsid w:val="2DD6070A"/>
    <w:rsid w:val="2DED3C7E"/>
    <w:rsid w:val="2DED5693"/>
    <w:rsid w:val="2E4A7ED6"/>
    <w:rsid w:val="2E707428"/>
    <w:rsid w:val="303944AA"/>
    <w:rsid w:val="308D11BA"/>
    <w:rsid w:val="309663CC"/>
    <w:rsid w:val="30B40633"/>
    <w:rsid w:val="310178A2"/>
    <w:rsid w:val="31A80D16"/>
    <w:rsid w:val="31AD32D0"/>
    <w:rsid w:val="32086E49"/>
    <w:rsid w:val="32107C30"/>
    <w:rsid w:val="327618AB"/>
    <w:rsid w:val="32916CF1"/>
    <w:rsid w:val="32FA790B"/>
    <w:rsid w:val="33437504"/>
    <w:rsid w:val="33935586"/>
    <w:rsid w:val="34541E69"/>
    <w:rsid w:val="34D64AA7"/>
    <w:rsid w:val="35595827"/>
    <w:rsid w:val="359979D0"/>
    <w:rsid w:val="35A65B28"/>
    <w:rsid w:val="36010AB6"/>
    <w:rsid w:val="361E2A63"/>
    <w:rsid w:val="365B6937"/>
    <w:rsid w:val="368D726B"/>
    <w:rsid w:val="36DB063B"/>
    <w:rsid w:val="36F42278"/>
    <w:rsid w:val="36F93266"/>
    <w:rsid w:val="3714117B"/>
    <w:rsid w:val="37405B09"/>
    <w:rsid w:val="37492C0F"/>
    <w:rsid w:val="37530632"/>
    <w:rsid w:val="37A606F1"/>
    <w:rsid w:val="37E34E12"/>
    <w:rsid w:val="37F840FE"/>
    <w:rsid w:val="38611F96"/>
    <w:rsid w:val="38A81130"/>
    <w:rsid w:val="38D93A2E"/>
    <w:rsid w:val="38E15D84"/>
    <w:rsid w:val="38EF5C61"/>
    <w:rsid w:val="394F3EF3"/>
    <w:rsid w:val="39806E71"/>
    <w:rsid w:val="39967579"/>
    <w:rsid w:val="39AD4224"/>
    <w:rsid w:val="39AF346F"/>
    <w:rsid w:val="3A063DC0"/>
    <w:rsid w:val="3A1C4E8C"/>
    <w:rsid w:val="3A1F7F38"/>
    <w:rsid w:val="3A441E05"/>
    <w:rsid w:val="3A444BCF"/>
    <w:rsid w:val="3B0322E7"/>
    <w:rsid w:val="3B254525"/>
    <w:rsid w:val="3B8E54A3"/>
    <w:rsid w:val="3BA4056D"/>
    <w:rsid w:val="3BDF7FE6"/>
    <w:rsid w:val="3C1F6AC7"/>
    <w:rsid w:val="3C865205"/>
    <w:rsid w:val="3D2D59B5"/>
    <w:rsid w:val="3D39673E"/>
    <w:rsid w:val="3D4751CD"/>
    <w:rsid w:val="3DCE7D9D"/>
    <w:rsid w:val="3DD822F8"/>
    <w:rsid w:val="3DF72A77"/>
    <w:rsid w:val="3E4155FF"/>
    <w:rsid w:val="3E45600D"/>
    <w:rsid w:val="3E61666B"/>
    <w:rsid w:val="3EFF1F43"/>
    <w:rsid w:val="400934A4"/>
    <w:rsid w:val="40655AE6"/>
    <w:rsid w:val="40AF6101"/>
    <w:rsid w:val="42084D5B"/>
    <w:rsid w:val="422E7A03"/>
    <w:rsid w:val="42436D7E"/>
    <w:rsid w:val="42472CD3"/>
    <w:rsid w:val="424F15A5"/>
    <w:rsid w:val="42A653BA"/>
    <w:rsid w:val="42CF66A9"/>
    <w:rsid w:val="42D478D5"/>
    <w:rsid w:val="42DE2607"/>
    <w:rsid w:val="43087E22"/>
    <w:rsid w:val="43411D39"/>
    <w:rsid w:val="43417BFC"/>
    <w:rsid w:val="44071E88"/>
    <w:rsid w:val="44416DFD"/>
    <w:rsid w:val="44517955"/>
    <w:rsid w:val="445B26F5"/>
    <w:rsid w:val="446C1C22"/>
    <w:rsid w:val="4473208A"/>
    <w:rsid w:val="45586109"/>
    <w:rsid w:val="45725419"/>
    <w:rsid w:val="458616B6"/>
    <w:rsid w:val="45C753F9"/>
    <w:rsid w:val="46120032"/>
    <w:rsid w:val="462820AE"/>
    <w:rsid w:val="466762F5"/>
    <w:rsid w:val="47A04BCE"/>
    <w:rsid w:val="47B7205D"/>
    <w:rsid w:val="47CA2B61"/>
    <w:rsid w:val="48236534"/>
    <w:rsid w:val="485D2610"/>
    <w:rsid w:val="48BA4DE4"/>
    <w:rsid w:val="4961028C"/>
    <w:rsid w:val="49A27E8E"/>
    <w:rsid w:val="4A74485E"/>
    <w:rsid w:val="4ADA762A"/>
    <w:rsid w:val="4AE911F9"/>
    <w:rsid w:val="4AF869CF"/>
    <w:rsid w:val="4B3B3218"/>
    <w:rsid w:val="4B666BE8"/>
    <w:rsid w:val="4B9C2BC8"/>
    <w:rsid w:val="4BD570D5"/>
    <w:rsid w:val="4BEB11E7"/>
    <w:rsid w:val="4C270F59"/>
    <w:rsid w:val="4C2D1FB1"/>
    <w:rsid w:val="4C453030"/>
    <w:rsid w:val="4C5821AD"/>
    <w:rsid w:val="4C6B4F7E"/>
    <w:rsid w:val="4C7E2F03"/>
    <w:rsid w:val="4CAF57B3"/>
    <w:rsid w:val="4D104871"/>
    <w:rsid w:val="4DAA0A91"/>
    <w:rsid w:val="4DC64B62"/>
    <w:rsid w:val="4DC76040"/>
    <w:rsid w:val="4E850D95"/>
    <w:rsid w:val="4F0D2D7F"/>
    <w:rsid w:val="4F7C76AF"/>
    <w:rsid w:val="4FA47125"/>
    <w:rsid w:val="508008D7"/>
    <w:rsid w:val="50C64981"/>
    <w:rsid w:val="50D6330E"/>
    <w:rsid w:val="51324F5C"/>
    <w:rsid w:val="51A72EFC"/>
    <w:rsid w:val="51C03D38"/>
    <w:rsid w:val="51E85063"/>
    <w:rsid w:val="520F2D33"/>
    <w:rsid w:val="528B26F9"/>
    <w:rsid w:val="52D9630B"/>
    <w:rsid w:val="53763FF1"/>
    <w:rsid w:val="53955863"/>
    <w:rsid w:val="5469403B"/>
    <w:rsid w:val="548522F6"/>
    <w:rsid w:val="54C6769D"/>
    <w:rsid w:val="555717D2"/>
    <w:rsid w:val="55763F24"/>
    <w:rsid w:val="557C41B0"/>
    <w:rsid w:val="56A52AC5"/>
    <w:rsid w:val="56AD68BF"/>
    <w:rsid w:val="571921A6"/>
    <w:rsid w:val="572C74B9"/>
    <w:rsid w:val="57480D96"/>
    <w:rsid w:val="57940DFB"/>
    <w:rsid w:val="57D24929"/>
    <w:rsid w:val="583B164C"/>
    <w:rsid w:val="59AE268A"/>
    <w:rsid w:val="59D76CA2"/>
    <w:rsid w:val="5A9A2CA2"/>
    <w:rsid w:val="5A9E588F"/>
    <w:rsid w:val="5AB26B9A"/>
    <w:rsid w:val="5AF57CA8"/>
    <w:rsid w:val="5B01483E"/>
    <w:rsid w:val="5B3D1EBE"/>
    <w:rsid w:val="5B677F62"/>
    <w:rsid w:val="5BC26416"/>
    <w:rsid w:val="5BC326E1"/>
    <w:rsid w:val="5C7F4D1A"/>
    <w:rsid w:val="5CAF3C8C"/>
    <w:rsid w:val="5D26561D"/>
    <w:rsid w:val="5DC1170F"/>
    <w:rsid w:val="5DD53CE8"/>
    <w:rsid w:val="5E155F26"/>
    <w:rsid w:val="5EB81FFB"/>
    <w:rsid w:val="5ECD209C"/>
    <w:rsid w:val="5ED2780B"/>
    <w:rsid w:val="5EE21E63"/>
    <w:rsid w:val="5F4C126D"/>
    <w:rsid w:val="5F9E76ED"/>
    <w:rsid w:val="5F9F4972"/>
    <w:rsid w:val="5FA00E5A"/>
    <w:rsid w:val="5FA97260"/>
    <w:rsid w:val="5FB824DA"/>
    <w:rsid w:val="605B4B2E"/>
    <w:rsid w:val="605F2D2F"/>
    <w:rsid w:val="60B83228"/>
    <w:rsid w:val="60D01A79"/>
    <w:rsid w:val="614F3D77"/>
    <w:rsid w:val="61902860"/>
    <w:rsid w:val="61DB57A4"/>
    <w:rsid w:val="62494AD4"/>
    <w:rsid w:val="62C42EC0"/>
    <w:rsid w:val="63103A95"/>
    <w:rsid w:val="63141BC4"/>
    <w:rsid w:val="634A5C08"/>
    <w:rsid w:val="637A5D7B"/>
    <w:rsid w:val="63D02F63"/>
    <w:rsid w:val="63F56F6C"/>
    <w:rsid w:val="642A5ECB"/>
    <w:rsid w:val="646B2C8C"/>
    <w:rsid w:val="64E11547"/>
    <w:rsid w:val="6522491C"/>
    <w:rsid w:val="655573D8"/>
    <w:rsid w:val="659A6A51"/>
    <w:rsid w:val="65E2686C"/>
    <w:rsid w:val="66324000"/>
    <w:rsid w:val="663C2EF4"/>
    <w:rsid w:val="666F0E83"/>
    <w:rsid w:val="668E01DB"/>
    <w:rsid w:val="669C5749"/>
    <w:rsid w:val="66BD3492"/>
    <w:rsid w:val="66BF11FA"/>
    <w:rsid w:val="66E8749F"/>
    <w:rsid w:val="670E62A9"/>
    <w:rsid w:val="67144125"/>
    <w:rsid w:val="67263626"/>
    <w:rsid w:val="67463213"/>
    <w:rsid w:val="677016B1"/>
    <w:rsid w:val="67854F5D"/>
    <w:rsid w:val="67D82E5F"/>
    <w:rsid w:val="682A0A7F"/>
    <w:rsid w:val="68610E8A"/>
    <w:rsid w:val="68912DA2"/>
    <w:rsid w:val="68D34A1B"/>
    <w:rsid w:val="6988396D"/>
    <w:rsid w:val="6A527BA0"/>
    <w:rsid w:val="6B6E4002"/>
    <w:rsid w:val="6B8565DF"/>
    <w:rsid w:val="6C184383"/>
    <w:rsid w:val="6CA852A0"/>
    <w:rsid w:val="6CB83548"/>
    <w:rsid w:val="6CB84A19"/>
    <w:rsid w:val="6D8D5E71"/>
    <w:rsid w:val="6E8E3022"/>
    <w:rsid w:val="6EC922AC"/>
    <w:rsid w:val="6ECF0FB0"/>
    <w:rsid w:val="6EEA5679"/>
    <w:rsid w:val="6F1B1883"/>
    <w:rsid w:val="6F3F058C"/>
    <w:rsid w:val="6F674D04"/>
    <w:rsid w:val="700B216F"/>
    <w:rsid w:val="70750AEE"/>
    <w:rsid w:val="7083388A"/>
    <w:rsid w:val="70C45C55"/>
    <w:rsid w:val="717B788E"/>
    <w:rsid w:val="718E1FFE"/>
    <w:rsid w:val="71BA652D"/>
    <w:rsid w:val="72CD013E"/>
    <w:rsid w:val="73561DE6"/>
    <w:rsid w:val="737F4569"/>
    <w:rsid w:val="73994BD6"/>
    <w:rsid w:val="73AB0597"/>
    <w:rsid w:val="73C51294"/>
    <w:rsid w:val="73E313E8"/>
    <w:rsid w:val="73E4024C"/>
    <w:rsid w:val="74435182"/>
    <w:rsid w:val="74922EF9"/>
    <w:rsid w:val="74A71267"/>
    <w:rsid w:val="74C45389"/>
    <w:rsid w:val="74D80B53"/>
    <w:rsid w:val="74F50942"/>
    <w:rsid w:val="753A7A60"/>
    <w:rsid w:val="755A7F85"/>
    <w:rsid w:val="756109E7"/>
    <w:rsid w:val="76344BFF"/>
    <w:rsid w:val="7644002B"/>
    <w:rsid w:val="76554513"/>
    <w:rsid w:val="767B4761"/>
    <w:rsid w:val="768F1578"/>
    <w:rsid w:val="76AC53BB"/>
    <w:rsid w:val="76C739E5"/>
    <w:rsid w:val="76DA0495"/>
    <w:rsid w:val="773E61CD"/>
    <w:rsid w:val="778B0C2E"/>
    <w:rsid w:val="77AA24BF"/>
    <w:rsid w:val="78151DD0"/>
    <w:rsid w:val="7817564F"/>
    <w:rsid w:val="786D1560"/>
    <w:rsid w:val="78C55862"/>
    <w:rsid w:val="798B63B9"/>
    <w:rsid w:val="7A522C4F"/>
    <w:rsid w:val="7A546ECE"/>
    <w:rsid w:val="7ADC5D4A"/>
    <w:rsid w:val="7B510D17"/>
    <w:rsid w:val="7B89437B"/>
    <w:rsid w:val="7BD94FAC"/>
    <w:rsid w:val="7C4D1E27"/>
    <w:rsid w:val="7D423AB9"/>
    <w:rsid w:val="7D4D5E56"/>
    <w:rsid w:val="7D990228"/>
    <w:rsid w:val="7DB2546D"/>
    <w:rsid w:val="7DB3689B"/>
    <w:rsid w:val="7DFE7141"/>
    <w:rsid w:val="7E364C22"/>
    <w:rsid w:val="7E5864DC"/>
    <w:rsid w:val="7E81400A"/>
    <w:rsid w:val="7E9A1CEC"/>
    <w:rsid w:val="7EEB25DF"/>
    <w:rsid w:val="7EFB0CA7"/>
    <w:rsid w:val="7F0E63B0"/>
    <w:rsid w:val="7F220BD9"/>
    <w:rsid w:val="7F231FE1"/>
    <w:rsid w:val="7F6955C6"/>
    <w:rsid w:val="7F911D6A"/>
    <w:rsid w:val="7FB16274"/>
    <w:rsid w:val="7FCA1FDC"/>
    <w:rsid w:val="7FD73C19"/>
    <w:rsid w:val="7FED3C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6"/>
    <w:link w:val="81"/>
    <w:autoRedefine/>
    <w:qFormat/>
    <w:uiPriority w:val="9"/>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82"/>
    <w:autoRedefine/>
    <w:qFormat/>
    <w:uiPriority w:val="0"/>
    <w:pPr>
      <w:keepNext/>
      <w:keepLines/>
      <w:spacing w:before="260" w:after="260" w:line="413" w:lineRule="auto"/>
      <w:outlineLvl w:val="2"/>
    </w:pPr>
    <w:rPr>
      <w:b/>
      <w:sz w:val="32"/>
      <w:szCs w:val="20"/>
    </w:rPr>
  </w:style>
  <w:style w:type="paragraph" w:styleId="8">
    <w:name w:val="heading 4"/>
    <w:basedOn w:val="1"/>
    <w:next w:val="1"/>
    <w:link w:val="83"/>
    <w:autoRedefine/>
    <w:qFormat/>
    <w:uiPriority w:val="0"/>
    <w:pPr>
      <w:keepNext/>
      <w:keepLines/>
      <w:spacing w:before="280" w:after="290" w:line="372" w:lineRule="auto"/>
      <w:outlineLvl w:val="3"/>
    </w:pPr>
    <w:rPr>
      <w:rFonts w:ascii="Arial" w:hAnsi="Arial" w:eastAsia="黑体"/>
      <w:b/>
      <w:sz w:val="28"/>
      <w:szCs w:val="20"/>
    </w:rPr>
  </w:style>
  <w:style w:type="paragraph" w:styleId="9">
    <w:name w:val="heading 5"/>
    <w:basedOn w:val="1"/>
    <w:next w:val="1"/>
    <w:link w:val="84"/>
    <w:autoRedefine/>
    <w:qFormat/>
    <w:uiPriority w:val="0"/>
    <w:pPr>
      <w:keepNext/>
      <w:keepLines/>
      <w:spacing w:before="280" w:after="290" w:line="372" w:lineRule="auto"/>
      <w:outlineLvl w:val="4"/>
    </w:pPr>
    <w:rPr>
      <w:rFonts w:ascii="宋体"/>
      <w:b/>
      <w:sz w:val="28"/>
      <w:szCs w:val="20"/>
    </w:rPr>
  </w:style>
  <w:style w:type="paragraph" w:styleId="10">
    <w:name w:val="heading 6"/>
    <w:basedOn w:val="1"/>
    <w:next w:val="1"/>
    <w:link w:val="85"/>
    <w:autoRedefine/>
    <w:qFormat/>
    <w:uiPriority w:val="0"/>
    <w:pPr>
      <w:keepNext/>
      <w:keepLines/>
      <w:tabs>
        <w:tab w:val="left" w:pos="3120"/>
      </w:tabs>
      <w:autoSpaceDE w:val="0"/>
      <w:autoSpaceDN w:val="0"/>
      <w:adjustRightInd w:val="0"/>
      <w:spacing w:before="240" w:after="64" w:line="317" w:lineRule="auto"/>
      <w:ind w:left="3120" w:hanging="420"/>
      <w:textAlignment w:val="baseline"/>
      <w:outlineLvl w:val="5"/>
    </w:pPr>
    <w:rPr>
      <w:rFonts w:ascii="Arial" w:hAnsi="Arial" w:eastAsia="黑体"/>
      <w:b/>
      <w:sz w:val="24"/>
      <w:szCs w:val="20"/>
    </w:rPr>
  </w:style>
  <w:style w:type="paragraph" w:styleId="11">
    <w:name w:val="heading 7"/>
    <w:basedOn w:val="1"/>
    <w:next w:val="1"/>
    <w:link w:val="86"/>
    <w:autoRedefine/>
    <w:qFormat/>
    <w:uiPriority w:val="0"/>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12">
    <w:name w:val="heading 8"/>
    <w:basedOn w:val="1"/>
    <w:next w:val="1"/>
    <w:link w:val="87"/>
    <w:autoRedefine/>
    <w:qFormat/>
    <w:uiPriority w:val="0"/>
    <w:pPr>
      <w:keepNext/>
      <w:keepLines/>
      <w:tabs>
        <w:tab w:val="left" w:pos="3960"/>
      </w:tabs>
      <w:autoSpaceDE w:val="0"/>
      <w:autoSpaceDN w:val="0"/>
      <w:adjustRightInd w:val="0"/>
      <w:spacing w:before="240" w:after="64" w:line="317" w:lineRule="auto"/>
      <w:ind w:left="3960" w:hanging="420"/>
      <w:textAlignment w:val="baseline"/>
      <w:outlineLvl w:val="7"/>
    </w:pPr>
    <w:rPr>
      <w:rFonts w:ascii="Arial" w:hAnsi="Arial" w:eastAsia="黑体"/>
      <w:sz w:val="24"/>
      <w:szCs w:val="20"/>
    </w:rPr>
  </w:style>
  <w:style w:type="paragraph" w:styleId="13">
    <w:name w:val="heading 9"/>
    <w:basedOn w:val="1"/>
    <w:next w:val="1"/>
    <w:link w:val="88"/>
    <w:autoRedefine/>
    <w:qFormat/>
    <w:uiPriority w:val="0"/>
    <w:pPr>
      <w:keepNext/>
      <w:keepLines/>
      <w:tabs>
        <w:tab w:val="left" w:pos="4380"/>
      </w:tabs>
      <w:autoSpaceDE w:val="0"/>
      <w:autoSpaceDN w:val="0"/>
      <w:adjustRightInd w:val="0"/>
      <w:spacing w:before="240" w:after="64" w:line="317" w:lineRule="auto"/>
      <w:ind w:left="4380" w:hanging="420"/>
      <w:textAlignment w:val="baseline"/>
      <w:outlineLvl w:val="8"/>
    </w:pPr>
    <w:rPr>
      <w:rFonts w:ascii="Arial" w:hAnsi="Arial" w:eastAsia="黑体"/>
      <w:szCs w:val="20"/>
    </w:rPr>
  </w:style>
  <w:style w:type="character" w:default="1" w:styleId="69">
    <w:name w:val="Default Paragraph Font"/>
    <w:autoRedefine/>
    <w:semiHidden/>
    <w:unhideWhenUsed/>
    <w:qFormat/>
    <w:uiPriority w:val="1"/>
  </w:style>
  <w:style w:type="table" w:default="1" w:styleId="6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11"/>
    <w:autoRedefine/>
    <w:qFormat/>
    <w:uiPriority w:val="0"/>
    <w:pPr>
      <w:spacing w:after="120" w:line="240" w:lineRule="auto"/>
      <w:ind w:left="420" w:leftChars="200" w:firstLine="420"/>
    </w:pPr>
    <w:rPr>
      <w:rFonts w:ascii="宋体" w:hAnsi="Times New Roman" w:eastAsia="宋体"/>
      <w:sz w:val="28"/>
      <w:szCs w:val="20"/>
    </w:rPr>
  </w:style>
  <w:style w:type="paragraph" w:styleId="3">
    <w:name w:val="Body Text Indent"/>
    <w:basedOn w:val="1"/>
    <w:link w:val="97"/>
    <w:autoRedefine/>
    <w:qFormat/>
    <w:uiPriority w:val="0"/>
    <w:pPr>
      <w:spacing w:line="360" w:lineRule="auto"/>
      <w:ind w:firstLine="600" w:firstLineChars="200"/>
    </w:pPr>
    <w:rPr>
      <w:rFonts w:ascii="仿宋_GB2312" w:hAnsi="宋体" w:eastAsia="仿宋_GB2312"/>
      <w:sz w:val="30"/>
    </w:rPr>
  </w:style>
  <w:style w:type="paragraph" w:styleId="6">
    <w:name w:val="Normal Indent"/>
    <w:basedOn w:val="1"/>
    <w:link w:val="114"/>
    <w:autoRedefine/>
    <w:qFormat/>
    <w:uiPriority w:val="0"/>
    <w:pPr>
      <w:ind w:firstLine="420"/>
    </w:pPr>
    <w:rPr>
      <w:szCs w:val="20"/>
    </w:rPr>
  </w:style>
  <w:style w:type="paragraph" w:styleId="14">
    <w:name w:val="List 3"/>
    <w:basedOn w:val="1"/>
    <w:autoRedefine/>
    <w:qFormat/>
    <w:uiPriority w:val="0"/>
    <w:pPr>
      <w:ind w:left="100" w:leftChars="400" w:hanging="200" w:hangingChars="200"/>
    </w:pPr>
    <w:rPr>
      <w:rFonts w:ascii="宋体"/>
      <w:sz w:val="28"/>
      <w:szCs w:val="20"/>
    </w:rPr>
  </w:style>
  <w:style w:type="paragraph" w:styleId="15">
    <w:name w:val="List Number 2"/>
    <w:basedOn w:val="1"/>
    <w:autoRedefine/>
    <w:qFormat/>
    <w:uiPriority w:val="0"/>
    <w:pPr>
      <w:tabs>
        <w:tab w:val="left" w:pos="780"/>
      </w:tabs>
      <w:ind w:left="780" w:leftChars="200" w:hanging="360" w:hangingChars="200"/>
    </w:pPr>
    <w:rPr>
      <w:rFonts w:ascii="宋体"/>
      <w:sz w:val="28"/>
      <w:szCs w:val="20"/>
    </w:rPr>
  </w:style>
  <w:style w:type="paragraph" w:styleId="16">
    <w:name w:val="Note Heading"/>
    <w:basedOn w:val="1"/>
    <w:next w:val="1"/>
    <w:link w:val="89"/>
    <w:autoRedefine/>
    <w:qFormat/>
    <w:uiPriority w:val="0"/>
    <w:pPr>
      <w:jc w:val="center"/>
    </w:pPr>
    <w:rPr>
      <w:rFonts w:ascii="宋体"/>
      <w:sz w:val="28"/>
      <w:szCs w:val="20"/>
    </w:rPr>
  </w:style>
  <w:style w:type="paragraph" w:styleId="17">
    <w:name w:val="List Bullet 4"/>
    <w:basedOn w:val="1"/>
    <w:autoRedefine/>
    <w:qFormat/>
    <w:uiPriority w:val="0"/>
    <w:pPr>
      <w:tabs>
        <w:tab w:val="left" w:pos="1620"/>
      </w:tabs>
      <w:ind w:left="1620" w:leftChars="600" w:hanging="360" w:hangingChars="200"/>
    </w:pPr>
    <w:rPr>
      <w:rFonts w:ascii="宋体"/>
      <w:sz w:val="28"/>
      <w:szCs w:val="20"/>
    </w:rPr>
  </w:style>
  <w:style w:type="paragraph" w:styleId="18">
    <w:name w:val="E-mail Signature"/>
    <w:basedOn w:val="1"/>
    <w:link w:val="90"/>
    <w:autoRedefine/>
    <w:qFormat/>
    <w:uiPriority w:val="0"/>
    <w:rPr>
      <w:rFonts w:ascii="宋体"/>
      <w:sz w:val="28"/>
      <w:szCs w:val="20"/>
    </w:rPr>
  </w:style>
  <w:style w:type="paragraph" w:styleId="19">
    <w:name w:val="List Number"/>
    <w:basedOn w:val="1"/>
    <w:autoRedefine/>
    <w:qFormat/>
    <w:uiPriority w:val="0"/>
    <w:pPr>
      <w:tabs>
        <w:tab w:val="left" w:pos="360"/>
      </w:tabs>
      <w:ind w:left="360" w:hanging="360" w:hangingChars="200"/>
    </w:pPr>
    <w:rPr>
      <w:rFonts w:ascii="宋体"/>
      <w:sz w:val="28"/>
      <w:szCs w:val="20"/>
    </w:rPr>
  </w:style>
  <w:style w:type="paragraph" w:styleId="20">
    <w:name w:val="caption"/>
    <w:basedOn w:val="1"/>
    <w:next w:val="1"/>
    <w:link w:val="123"/>
    <w:autoRedefine/>
    <w:qFormat/>
    <w:uiPriority w:val="0"/>
    <w:pPr>
      <w:spacing w:before="152" w:after="160"/>
    </w:pPr>
    <w:rPr>
      <w:rFonts w:ascii="Arial" w:hAnsi="Arial" w:eastAsia="黑体" w:cs="Arial"/>
      <w:sz w:val="20"/>
      <w:szCs w:val="20"/>
    </w:rPr>
  </w:style>
  <w:style w:type="paragraph" w:styleId="21">
    <w:name w:val="List Bullet"/>
    <w:basedOn w:val="1"/>
    <w:autoRedefine/>
    <w:qFormat/>
    <w:uiPriority w:val="0"/>
    <w:pPr>
      <w:tabs>
        <w:tab w:val="left" w:pos="360"/>
      </w:tabs>
      <w:ind w:left="360" w:hanging="360" w:hangingChars="200"/>
    </w:pPr>
    <w:rPr>
      <w:rFonts w:ascii="宋体"/>
      <w:sz w:val="28"/>
      <w:szCs w:val="20"/>
    </w:rPr>
  </w:style>
  <w:style w:type="paragraph" w:styleId="22">
    <w:name w:val="envelope address"/>
    <w:basedOn w:val="1"/>
    <w:autoRedefine/>
    <w:qFormat/>
    <w:uiPriority w:val="0"/>
    <w:pPr>
      <w:snapToGrid w:val="0"/>
      <w:ind w:left="100" w:leftChars="1400"/>
    </w:pPr>
    <w:rPr>
      <w:rFonts w:ascii="Arial" w:hAnsi="Arial"/>
      <w:sz w:val="24"/>
      <w:szCs w:val="20"/>
    </w:rPr>
  </w:style>
  <w:style w:type="paragraph" w:styleId="23">
    <w:name w:val="Document Map"/>
    <w:basedOn w:val="1"/>
    <w:link w:val="91"/>
    <w:autoRedefine/>
    <w:semiHidden/>
    <w:qFormat/>
    <w:uiPriority w:val="0"/>
    <w:pPr>
      <w:shd w:val="clear" w:color="auto" w:fill="000080"/>
    </w:pPr>
    <w:rPr>
      <w:rFonts w:ascii="(使用中文字体)" w:hAnsi="(使用中文字体)" w:eastAsia="(使用中文字体)" w:cs="(使用中文字体)"/>
    </w:rPr>
  </w:style>
  <w:style w:type="paragraph" w:styleId="24">
    <w:name w:val="toa heading"/>
    <w:basedOn w:val="1"/>
    <w:next w:val="1"/>
    <w:autoRedefine/>
    <w:qFormat/>
    <w:uiPriority w:val="0"/>
    <w:pPr>
      <w:spacing w:before="120"/>
    </w:pPr>
    <w:rPr>
      <w:rFonts w:ascii="Arial" w:hAnsi="Arial"/>
      <w:sz w:val="24"/>
    </w:rPr>
  </w:style>
  <w:style w:type="paragraph" w:styleId="25">
    <w:name w:val="annotation text"/>
    <w:basedOn w:val="1"/>
    <w:link w:val="92"/>
    <w:autoRedefine/>
    <w:qFormat/>
    <w:uiPriority w:val="99"/>
    <w:pPr>
      <w:jc w:val="left"/>
    </w:pPr>
  </w:style>
  <w:style w:type="paragraph" w:styleId="26">
    <w:name w:val="Salutation"/>
    <w:basedOn w:val="1"/>
    <w:next w:val="1"/>
    <w:link w:val="93"/>
    <w:autoRedefine/>
    <w:qFormat/>
    <w:uiPriority w:val="0"/>
    <w:rPr>
      <w:rFonts w:ascii="宋体"/>
      <w:sz w:val="28"/>
      <w:szCs w:val="20"/>
    </w:rPr>
  </w:style>
  <w:style w:type="paragraph" w:styleId="27">
    <w:name w:val="Body Text 3"/>
    <w:basedOn w:val="1"/>
    <w:link w:val="94"/>
    <w:autoRedefine/>
    <w:qFormat/>
    <w:uiPriority w:val="0"/>
    <w:pPr>
      <w:spacing w:after="120"/>
    </w:pPr>
    <w:rPr>
      <w:rFonts w:ascii="宋体"/>
      <w:sz w:val="16"/>
      <w:szCs w:val="20"/>
    </w:rPr>
  </w:style>
  <w:style w:type="paragraph" w:styleId="28">
    <w:name w:val="Closing"/>
    <w:basedOn w:val="1"/>
    <w:link w:val="95"/>
    <w:autoRedefine/>
    <w:qFormat/>
    <w:uiPriority w:val="0"/>
    <w:pPr>
      <w:ind w:left="100" w:leftChars="2100"/>
    </w:pPr>
    <w:rPr>
      <w:rFonts w:ascii="宋体"/>
      <w:sz w:val="28"/>
      <w:szCs w:val="20"/>
    </w:rPr>
  </w:style>
  <w:style w:type="paragraph" w:styleId="29">
    <w:name w:val="List Bullet 3"/>
    <w:basedOn w:val="1"/>
    <w:autoRedefine/>
    <w:qFormat/>
    <w:uiPriority w:val="0"/>
    <w:pPr>
      <w:tabs>
        <w:tab w:val="left" w:pos="1200"/>
      </w:tabs>
      <w:ind w:left="1200" w:leftChars="400" w:hanging="360" w:hangingChars="200"/>
    </w:pPr>
    <w:rPr>
      <w:rFonts w:ascii="宋体"/>
      <w:sz w:val="28"/>
      <w:szCs w:val="20"/>
    </w:rPr>
  </w:style>
  <w:style w:type="paragraph" w:styleId="30">
    <w:name w:val="Body Text"/>
    <w:basedOn w:val="1"/>
    <w:next w:val="31"/>
    <w:link w:val="96"/>
    <w:autoRedefine/>
    <w:qFormat/>
    <w:uiPriority w:val="0"/>
    <w:pPr>
      <w:spacing w:line="520" w:lineRule="exact"/>
      <w:jc w:val="center"/>
    </w:pPr>
    <w:rPr>
      <w:rFonts w:eastAsia="黑体"/>
      <w:color w:val="FF0000"/>
      <w:sz w:val="44"/>
    </w:rPr>
  </w:style>
  <w:style w:type="paragraph" w:styleId="31">
    <w:name w:val="Body Text First Indent"/>
    <w:basedOn w:val="30"/>
    <w:next w:val="32"/>
    <w:link w:val="110"/>
    <w:autoRedefine/>
    <w:qFormat/>
    <w:uiPriority w:val="0"/>
    <w:pPr>
      <w:spacing w:after="120" w:line="240" w:lineRule="auto"/>
      <w:ind w:firstLine="420" w:firstLineChars="100"/>
      <w:jc w:val="both"/>
    </w:pPr>
    <w:rPr>
      <w:rFonts w:ascii="宋体" w:eastAsia="宋体"/>
      <w:color w:val="auto"/>
      <w:sz w:val="28"/>
      <w:szCs w:val="20"/>
    </w:rPr>
  </w:style>
  <w:style w:type="paragraph" w:styleId="32">
    <w:name w:val="toc 6"/>
    <w:basedOn w:val="1"/>
    <w:next w:val="1"/>
    <w:autoRedefine/>
    <w:qFormat/>
    <w:uiPriority w:val="0"/>
    <w:pPr>
      <w:ind w:left="1050"/>
      <w:jc w:val="left"/>
    </w:pPr>
    <w:rPr>
      <w:sz w:val="18"/>
      <w:szCs w:val="18"/>
    </w:rPr>
  </w:style>
  <w:style w:type="paragraph" w:styleId="33">
    <w:name w:val="List Number 3"/>
    <w:basedOn w:val="1"/>
    <w:autoRedefine/>
    <w:qFormat/>
    <w:uiPriority w:val="0"/>
    <w:pPr>
      <w:tabs>
        <w:tab w:val="left" w:pos="1200"/>
      </w:tabs>
      <w:ind w:left="1200" w:leftChars="400" w:hanging="360" w:hangingChars="200"/>
    </w:pPr>
    <w:rPr>
      <w:rFonts w:ascii="宋体"/>
      <w:sz w:val="28"/>
      <w:szCs w:val="20"/>
    </w:rPr>
  </w:style>
  <w:style w:type="paragraph" w:styleId="34">
    <w:name w:val="List 2"/>
    <w:basedOn w:val="1"/>
    <w:autoRedefine/>
    <w:qFormat/>
    <w:uiPriority w:val="0"/>
    <w:pPr>
      <w:ind w:left="100" w:leftChars="200" w:hanging="200" w:hangingChars="200"/>
    </w:pPr>
    <w:rPr>
      <w:rFonts w:ascii="宋体"/>
      <w:sz w:val="28"/>
      <w:szCs w:val="20"/>
    </w:rPr>
  </w:style>
  <w:style w:type="paragraph" w:styleId="35">
    <w:name w:val="List Continue"/>
    <w:basedOn w:val="1"/>
    <w:autoRedefine/>
    <w:qFormat/>
    <w:uiPriority w:val="0"/>
    <w:pPr>
      <w:spacing w:after="120"/>
      <w:ind w:left="420" w:leftChars="200"/>
    </w:pPr>
    <w:rPr>
      <w:rFonts w:ascii="宋体"/>
      <w:sz w:val="28"/>
      <w:szCs w:val="20"/>
    </w:rPr>
  </w:style>
  <w:style w:type="paragraph" w:styleId="36">
    <w:name w:val="Block Text"/>
    <w:basedOn w:val="1"/>
    <w:autoRedefine/>
    <w:qFormat/>
    <w:uiPriority w:val="0"/>
    <w:pPr>
      <w:ind w:left="1080" w:right="206" w:firstLine="465"/>
    </w:pPr>
    <w:rPr>
      <w:rFonts w:ascii="楷体_GB2312" w:eastAsia="楷体_GB2312"/>
      <w:sz w:val="28"/>
      <w:szCs w:val="20"/>
    </w:rPr>
  </w:style>
  <w:style w:type="paragraph" w:styleId="37">
    <w:name w:val="List Bullet 2"/>
    <w:basedOn w:val="1"/>
    <w:autoRedefine/>
    <w:qFormat/>
    <w:uiPriority w:val="0"/>
    <w:pPr>
      <w:tabs>
        <w:tab w:val="left" w:pos="780"/>
      </w:tabs>
      <w:ind w:left="780" w:leftChars="200" w:hanging="360" w:hangingChars="200"/>
    </w:pPr>
    <w:rPr>
      <w:rFonts w:ascii="宋体"/>
      <w:sz w:val="28"/>
      <w:szCs w:val="20"/>
    </w:rPr>
  </w:style>
  <w:style w:type="paragraph" w:styleId="38">
    <w:name w:val="HTML Address"/>
    <w:basedOn w:val="1"/>
    <w:link w:val="98"/>
    <w:autoRedefine/>
    <w:qFormat/>
    <w:uiPriority w:val="0"/>
    <w:rPr>
      <w:rFonts w:ascii="宋体"/>
      <w:i/>
      <w:sz w:val="28"/>
      <w:szCs w:val="20"/>
    </w:rPr>
  </w:style>
  <w:style w:type="paragraph" w:styleId="39">
    <w:name w:val="Plain Text"/>
    <w:basedOn w:val="1"/>
    <w:link w:val="99"/>
    <w:autoRedefine/>
    <w:qFormat/>
    <w:uiPriority w:val="0"/>
    <w:rPr>
      <w:rFonts w:ascii="Courier New" w:hAnsi="Courier New"/>
      <w:sz w:val="28"/>
      <w:szCs w:val="20"/>
    </w:rPr>
  </w:style>
  <w:style w:type="paragraph" w:styleId="40">
    <w:name w:val="List Bullet 5"/>
    <w:basedOn w:val="1"/>
    <w:autoRedefine/>
    <w:qFormat/>
    <w:uiPriority w:val="0"/>
    <w:pPr>
      <w:tabs>
        <w:tab w:val="left" w:pos="2040"/>
      </w:tabs>
      <w:ind w:left="2040" w:leftChars="800" w:hanging="360" w:hangingChars="200"/>
    </w:pPr>
    <w:rPr>
      <w:rFonts w:ascii="宋体"/>
      <w:sz w:val="28"/>
      <w:szCs w:val="20"/>
    </w:rPr>
  </w:style>
  <w:style w:type="paragraph" w:styleId="41">
    <w:name w:val="List Number 4"/>
    <w:basedOn w:val="1"/>
    <w:autoRedefine/>
    <w:qFormat/>
    <w:uiPriority w:val="0"/>
    <w:pPr>
      <w:tabs>
        <w:tab w:val="left" w:pos="1620"/>
      </w:tabs>
      <w:ind w:left="1620" w:leftChars="600" w:hanging="360" w:hangingChars="200"/>
    </w:pPr>
    <w:rPr>
      <w:rFonts w:ascii="宋体"/>
      <w:sz w:val="28"/>
      <w:szCs w:val="20"/>
    </w:rPr>
  </w:style>
  <w:style w:type="paragraph" w:styleId="42">
    <w:name w:val="Date"/>
    <w:basedOn w:val="1"/>
    <w:next w:val="1"/>
    <w:link w:val="78"/>
    <w:autoRedefine/>
    <w:unhideWhenUsed/>
    <w:qFormat/>
    <w:uiPriority w:val="0"/>
    <w:pPr>
      <w:ind w:left="100" w:leftChars="2500"/>
    </w:pPr>
  </w:style>
  <w:style w:type="paragraph" w:styleId="43">
    <w:name w:val="Body Text Indent 2"/>
    <w:basedOn w:val="1"/>
    <w:link w:val="100"/>
    <w:autoRedefine/>
    <w:qFormat/>
    <w:uiPriority w:val="0"/>
    <w:pPr>
      <w:spacing w:line="320" w:lineRule="atLeast"/>
      <w:ind w:firstLine="600" w:firstLineChars="250"/>
    </w:pPr>
    <w:rPr>
      <w:rFonts w:ascii="宋体" w:hAnsi="宋体"/>
      <w:sz w:val="24"/>
    </w:rPr>
  </w:style>
  <w:style w:type="paragraph" w:styleId="44">
    <w:name w:val="List Continue 5"/>
    <w:basedOn w:val="1"/>
    <w:autoRedefine/>
    <w:qFormat/>
    <w:uiPriority w:val="0"/>
    <w:pPr>
      <w:spacing w:after="120"/>
      <w:ind w:left="2100" w:leftChars="1000"/>
    </w:pPr>
    <w:rPr>
      <w:rFonts w:ascii="宋体"/>
      <w:sz w:val="28"/>
      <w:szCs w:val="20"/>
    </w:rPr>
  </w:style>
  <w:style w:type="paragraph" w:styleId="45">
    <w:name w:val="Balloon Text"/>
    <w:basedOn w:val="1"/>
    <w:link w:val="101"/>
    <w:autoRedefine/>
    <w:unhideWhenUsed/>
    <w:qFormat/>
    <w:uiPriority w:val="99"/>
    <w:rPr>
      <w:sz w:val="18"/>
      <w:szCs w:val="18"/>
    </w:rPr>
  </w:style>
  <w:style w:type="paragraph" w:styleId="46">
    <w:name w:val="footer"/>
    <w:basedOn w:val="1"/>
    <w:link w:val="77"/>
    <w:autoRedefine/>
    <w:unhideWhenUsed/>
    <w:qFormat/>
    <w:uiPriority w:val="99"/>
    <w:pPr>
      <w:tabs>
        <w:tab w:val="center" w:pos="4153"/>
        <w:tab w:val="right" w:pos="8306"/>
      </w:tabs>
      <w:snapToGrid w:val="0"/>
      <w:jc w:val="left"/>
    </w:pPr>
    <w:rPr>
      <w:sz w:val="18"/>
      <w:szCs w:val="18"/>
    </w:rPr>
  </w:style>
  <w:style w:type="paragraph" w:styleId="47">
    <w:name w:val="envelope return"/>
    <w:basedOn w:val="1"/>
    <w:autoRedefine/>
    <w:qFormat/>
    <w:uiPriority w:val="0"/>
    <w:pPr>
      <w:snapToGrid w:val="0"/>
    </w:pPr>
    <w:rPr>
      <w:rFonts w:ascii="Arial" w:hAnsi="Arial"/>
      <w:sz w:val="28"/>
      <w:szCs w:val="20"/>
    </w:rPr>
  </w:style>
  <w:style w:type="paragraph" w:styleId="48">
    <w:name w:val="header"/>
    <w:basedOn w:val="1"/>
    <w:link w:val="7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9">
    <w:name w:val="Signature"/>
    <w:basedOn w:val="1"/>
    <w:link w:val="102"/>
    <w:autoRedefine/>
    <w:qFormat/>
    <w:uiPriority w:val="0"/>
    <w:pPr>
      <w:ind w:left="100" w:leftChars="2100"/>
    </w:pPr>
    <w:rPr>
      <w:rFonts w:ascii="宋体"/>
      <w:sz w:val="28"/>
      <w:szCs w:val="20"/>
    </w:rPr>
  </w:style>
  <w:style w:type="paragraph" w:styleId="50">
    <w:name w:val="toc 1"/>
    <w:basedOn w:val="1"/>
    <w:next w:val="1"/>
    <w:autoRedefine/>
    <w:semiHidden/>
    <w:qFormat/>
    <w:uiPriority w:val="0"/>
    <w:pPr>
      <w:tabs>
        <w:tab w:val="right" w:leader="dot" w:pos="8296"/>
      </w:tabs>
    </w:pPr>
    <w:rPr>
      <w:rFonts w:ascii="黑体" w:eastAsia="黑体"/>
      <w:b/>
    </w:rPr>
  </w:style>
  <w:style w:type="paragraph" w:styleId="51">
    <w:name w:val="List Continue 4"/>
    <w:basedOn w:val="1"/>
    <w:autoRedefine/>
    <w:qFormat/>
    <w:uiPriority w:val="0"/>
    <w:pPr>
      <w:spacing w:after="120"/>
      <w:ind w:left="1680" w:leftChars="800"/>
    </w:pPr>
    <w:rPr>
      <w:rFonts w:ascii="宋体"/>
      <w:sz w:val="28"/>
      <w:szCs w:val="20"/>
    </w:rPr>
  </w:style>
  <w:style w:type="paragraph" w:styleId="52">
    <w:name w:val="Subtitle"/>
    <w:basedOn w:val="1"/>
    <w:link w:val="103"/>
    <w:autoRedefine/>
    <w:qFormat/>
    <w:uiPriority w:val="0"/>
    <w:pPr>
      <w:spacing w:before="240" w:after="60" w:line="312" w:lineRule="auto"/>
      <w:jc w:val="center"/>
      <w:outlineLvl w:val="1"/>
    </w:pPr>
    <w:rPr>
      <w:rFonts w:ascii="Arial" w:hAnsi="Arial"/>
      <w:b/>
      <w:kern w:val="28"/>
      <w:sz w:val="32"/>
      <w:szCs w:val="20"/>
    </w:rPr>
  </w:style>
  <w:style w:type="paragraph" w:styleId="53">
    <w:name w:val="List Number 5"/>
    <w:basedOn w:val="1"/>
    <w:autoRedefine/>
    <w:qFormat/>
    <w:uiPriority w:val="0"/>
    <w:pPr>
      <w:tabs>
        <w:tab w:val="left" w:pos="2040"/>
      </w:tabs>
      <w:ind w:left="2040" w:leftChars="800" w:hanging="360" w:hangingChars="200"/>
    </w:pPr>
    <w:rPr>
      <w:rFonts w:ascii="宋体"/>
      <w:sz w:val="28"/>
      <w:szCs w:val="20"/>
    </w:rPr>
  </w:style>
  <w:style w:type="paragraph" w:styleId="54">
    <w:name w:val="List"/>
    <w:basedOn w:val="1"/>
    <w:autoRedefine/>
    <w:qFormat/>
    <w:uiPriority w:val="0"/>
    <w:pPr>
      <w:ind w:left="200" w:hanging="200" w:hangingChars="200"/>
    </w:pPr>
    <w:rPr>
      <w:rFonts w:ascii="宋体"/>
      <w:sz w:val="28"/>
      <w:szCs w:val="20"/>
    </w:rPr>
  </w:style>
  <w:style w:type="paragraph" w:styleId="55">
    <w:name w:val="List 5"/>
    <w:basedOn w:val="1"/>
    <w:autoRedefine/>
    <w:qFormat/>
    <w:uiPriority w:val="0"/>
    <w:pPr>
      <w:ind w:left="100" w:leftChars="800" w:hanging="200" w:hangingChars="200"/>
    </w:pPr>
    <w:rPr>
      <w:rFonts w:ascii="宋体"/>
      <w:sz w:val="28"/>
      <w:szCs w:val="20"/>
    </w:rPr>
  </w:style>
  <w:style w:type="paragraph" w:styleId="56">
    <w:name w:val="Body Text Indent 3"/>
    <w:basedOn w:val="1"/>
    <w:link w:val="104"/>
    <w:autoRedefine/>
    <w:qFormat/>
    <w:uiPriority w:val="0"/>
    <w:pPr>
      <w:spacing w:line="560" w:lineRule="exact"/>
      <w:ind w:firstLine="568" w:firstLineChars="200"/>
    </w:pPr>
    <w:rPr>
      <w:rFonts w:ascii="仿宋_GB2312" w:hAnsi="宋体" w:eastAsia="仿宋_GB2312"/>
      <w:spacing w:val="-8"/>
      <w:sz w:val="30"/>
    </w:rPr>
  </w:style>
  <w:style w:type="paragraph" w:styleId="57">
    <w:name w:val="toc 2"/>
    <w:basedOn w:val="1"/>
    <w:next w:val="1"/>
    <w:autoRedefine/>
    <w:semiHidden/>
    <w:qFormat/>
    <w:uiPriority w:val="0"/>
    <w:pPr>
      <w:tabs>
        <w:tab w:val="right" w:leader="dot" w:pos="8296"/>
      </w:tabs>
      <w:ind w:left="420" w:leftChars="200"/>
    </w:pPr>
    <w:rPr>
      <w:rFonts w:ascii="黑体" w:eastAsia="黑体"/>
      <w:b/>
    </w:rPr>
  </w:style>
  <w:style w:type="paragraph" w:styleId="58">
    <w:name w:val="Body Text 2"/>
    <w:basedOn w:val="1"/>
    <w:link w:val="105"/>
    <w:autoRedefine/>
    <w:qFormat/>
    <w:uiPriority w:val="0"/>
    <w:pPr>
      <w:spacing w:line="440" w:lineRule="exact"/>
    </w:pPr>
    <w:rPr>
      <w:rFonts w:ascii="宋体" w:hAnsi="宋体"/>
      <w:sz w:val="24"/>
      <w:szCs w:val="20"/>
    </w:rPr>
  </w:style>
  <w:style w:type="paragraph" w:styleId="59">
    <w:name w:val="List 4"/>
    <w:basedOn w:val="1"/>
    <w:autoRedefine/>
    <w:qFormat/>
    <w:uiPriority w:val="0"/>
    <w:pPr>
      <w:ind w:left="100" w:leftChars="600" w:hanging="200" w:hangingChars="200"/>
    </w:pPr>
    <w:rPr>
      <w:rFonts w:ascii="宋体"/>
      <w:sz w:val="28"/>
      <w:szCs w:val="20"/>
    </w:rPr>
  </w:style>
  <w:style w:type="paragraph" w:styleId="60">
    <w:name w:val="List Continue 2"/>
    <w:basedOn w:val="1"/>
    <w:autoRedefine/>
    <w:qFormat/>
    <w:uiPriority w:val="0"/>
    <w:pPr>
      <w:spacing w:after="120"/>
      <w:ind w:left="840" w:leftChars="400"/>
    </w:pPr>
    <w:rPr>
      <w:rFonts w:ascii="宋体"/>
      <w:sz w:val="28"/>
      <w:szCs w:val="20"/>
    </w:rPr>
  </w:style>
  <w:style w:type="paragraph" w:styleId="61">
    <w:name w:val="Message Header"/>
    <w:basedOn w:val="1"/>
    <w:link w:val="106"/>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styleId="62">
    <w:name w:val="HTML Preformatted"/>
    <w:basedOn w:val="1"/>
    <w:link w:val="107"/>
    <w:autoRedefine/>
    <w:qFormat/>
    <w:uiPriority w:val="99"/>
    <w:rPr>
      <w:rFonts w:ascii="Courier New" w:hAnsi="Courier New"/>
      <w:sz w:val="20"/>
      <w:szCs w:val="20"/>
    </w:rPr>
  </w:style>
  <w:style w:type="paragraph" w:styleId="63">
    <w:name w:val="Normal (Web)"/>
    <w:basedOn w:val="1"/>
    <w:autoRedefine/>
    <w:qFormat/>
    <w:uiPriority w:val="0"/>
    <w:rPr>
      <w:sz w:val="24"/>
      <w:szCs w:val="20"/>
    </w:rPr>
  </w:style>
  <w:style w:type="paragraph" w:styleId="64">
    <w:name w:val="List Continue 3"/>
    <w:basedOn w:val="1"/>
    <w:autoRedefine/>
    <w:qFormat/>
    <w:uiPriority w:val="0"/>
    <w:pPr>
      <w:spacing w:after="120"/>
      <w:ind w:left="1260" w:leftChars="600"/>
    </w:pPr>
    <w:rPr>
      <w:rFonts w:ascii="宋体"/>
      <w:sz w:val="28"/>
      <w:szCs w:val="20"/>
    </w:rPr>
  </w:style>
  <w:style w:type="paragraph" w:styleId="65">
    <w:name w:val="Title"/>
    <w:basedOn w:val="1"/>
    <w:link w:val="108"/>
    <w:autoRedefine/>
    <w:qFormat/>
    <w:uiPriority w:val="0"/>
    <w:pPr>
      <w:spacing w:before="240" w:after="60"/>
      <w:jc w:val="center"/>
      <w:outlineLvl w:val="0"/>
    </w:pPr>
    <w:rPr>
      <w:rFonts w:ascii="Arial" w:hAnsi="Arial"/>
      <w:b/>
      <w:sz w:val="32"/>
      <w:szCs w:val="20"/>
    </w:rPr>
  </w:style>
  <w:style w:type="paragraph" w:styleId="66">
    <w:name w:val="annotation subject"/>
    <w:basedOn w:val="25"/>
    <w:next w:val="25"/>
    <w:link w:val="109"/>
    <w:autoRedefine/>
    <w:unhideWhenUsed/>
    <w:qFormat/>
    <w:uiPriority w:val="99"/>
    <w:rPr>
      <w:b/>
      <w:bCs/>
    </w:rPr>
  </w:style>
  <w:style w:type="table" w:styleId="68">
    <w:name w:val="Table Grid"/>
    <w:basedOn w:val="67"/>
    <w:autoRedefine/>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0">
    <w:name w:val="Strong"/>
    <w:basedOn w:val="69"/>
    <w:autoRedefine/>
    <w:qFormat/>
    <w:uiPriority w:val="0"/>
    <w:rPr>
      <w:b/>
      <w:bCs/>
    </w:rPr>
  </w:style>
  <w:style w:type="character" w:styleId="71">
    <w:name w:val="page number"/>
    <w:basedOn w:val="69"/>
    <w:autoRedefine/>
    <w:qFormat/>
    <w:uiPriority w:val="0"/>
  </w:style>
  <w:style w:type="character" w:styleId="72">
    <w:name w:val="FollowedHyperlink"/>
    <w:basedOn w:val="69"/>
    <w:autoRedefine/>
    <w:qFormat/>
    <w:uiPriority w:val="0"/>
    <w:rPr>
      <w:color w:val="800080"/>
      <w:u w:val="single"/>
    </w:rPr>
  </w:style>
  <w:style w:type="character" w:styleId="73">
    <w:name w:val="Emphasis"/>
    <w:basedOn w:val="69"/>
    <w:autoRedefine/>
    <w:qFormat/>
    <w:uiPriority w:val="20"/>
    <w:rPr>
      <w:rFonts w:eastAsia="宋体"/>
      <w:b/>
      <w:iCs/>
      <w:color w:val="3333FF"/>
      <w:sz w:val="28"/>
    </w:rPr>
  </w:style>
  <w:style w:type="character" w:styleId="74">
    <w:name w:val="Hyperlink"/>
    <w:basedOn w:val="69"/>
    <w:autoRedefine/>
    <w:qFormat/>
    <w:uiPriority w:val="0"/>
    <w:rPr>
      <w:color w:val="0000FF"/>
      <w:u w:val="single"/>
    </w:rPr>
  </w:style>
  <w:style w:type="character" w:styleId="75">
    <w:name w:val="annotation reference"/>
    <w:basedOn w:val="69"/>
    <w:autoRedefine/>
    <w:unhideWhenUsed/>
    <w:qFormat/>
    <w:uiPriority w:val="99"/>
    <w:rPr>
      <w:sz w:val="21"/>
      <w:szCs w:val="21"/>
    </w:rPr>
  </w:style>
  <w:style w:type="character" w:customStyle="1" w:styleId="76">
    <w:name w:val="页眉 Char"/>
    <w:basedOn w:val="69"/>
    <w:link w:val="48"/>
    <w:autoRedefine/>
    <w:qFormat/>
    <w:uiPriority w:val="99"/>
    <w:rPr>
      <w:sz w:val="18"/>
      <w:szCs w:val="18"/>
    </w:rPr>
  </w:style>
  <w:style w:type="character" w:customStyle="1" w:styleId="77">
    <w:name w:val="页脚 Char"/>
    <w:basedOn w:val="69"/>
    <w:link w:val="46"/>
    <w:autoRedefine/>
    <w:qFormat/>
    <w:uiPriority w:val="99"/>
    <w:rPr>
      <w:sz w:val="18"/>
      <w:szCs w:val="18"/>
    </w:rPr>
  </w:style>
  <w:style w:type="character" w:customStyle="1" w:styleId="78">
    <w:name w:val="日期 Char"/>
    <w:basedOn w:val="69"/>
    <w:link w:val="42"/>
    <w:autoRedefine/>
    <w:semiHidden/>
    <w:qFormat/>
    <w:uiPriority w:val="99"/>
    <w:rPr>
      <w:rFonts w:ascii="Times New Roman" w:hAnsi="Times New Roman" w:eastAsia="宋体" w:cs="Times New Roman"/>
      <w:szCs w:val="24"/>
    </w:rPr>
  </w:style>
  <w:style w:type="paragraph" w:styleId="79">
    <w:name w:val="List Paragraph"/>
    <w:basedOn w:val="1"/>
    <w:autoRedefine/>
    <w:qFormat/>
    <w:uiPriority w:val="34"/>
    <w:pPr>
      <w:ind w:firstLine="420" w:firstLineChars="200"/>
    </w:pPr>
  </w:style>
  <w:style w:type="character" w:customStyle="1" w:styleId="80">
    <w:name w:val="标题 1 Char"/>
    <w:basedOn w:val="69"/>
    <w:link w:val="4"/>
    <w:autoRedefine/>
    <w:qFormat/>
    <w:uiPriority w:val="9"/>
    <w:rPr>
      <w:rFonts w:ascii="Times New Roman" w:hAnsi="Times New Roman" w:eastAsia="宋体" w:cs="Times New Roman"/>
      <w:b/>
      <w:bCs/>
      <w:kern w:val="44"/>
      <w:sz w:val="44"/>
      <w:szCs w:val="44"/>
    </w:rPr>
  </w:style>
  <w:style w:type="character" w:customStyle="1" w:styleId="81">
    <w:name w:val="标题 2 Char"/>
    <w:basedOn w:val="69"/>
    <w:link w:val="5"/>
    <w:autoRedefine/>
    <w:qFormat/>
    <w:uiPriority w:val="0"/>
    <w:rPr>
      <w:rFonts w:ascii="Arial" w:hAnsi="Arial" w:eastAsia="黑体" w:cs="Times New Roman"/>
      <w:b/>
      <w:bCs/>
      <w:sz w:val="32"/>
      <w:szCs w:val="32"/>
    </w:rPr>
  </w:style>
  <w:style w:type="character" w:customStyle="1" w:styleId="82">
    <w:name w:val="标题 3 Char"/>
    <w:basedOn w:val="69"/>
    <w:link w:val="7"/>
    <w:autoRedefine/>
    <w:qFormat/>
    <w:uiPriority w:val="0"/>
    <w:rPr>
      <w:rFonts w:ascii="Times New Roman" w:hAnsi="Times New Roman" w:eastAsia="宋体" w:cs="Times New Roman"/>
      <w:b/>
      <w:sz w:val="32"/>
      <w:szCs w:val="20"/>
    </w:rPr>
  </w:style>
  <w:style w:type="character" w:customStyle="1" w:styleId="83">
    <w:name w:val="标题 4 Char"/>
    <w:basedOn w:val="69"/>
    <w:link w:val="8"/>
    <w:autoRedefine/>
    <w:qFormat/>
    <w:uiPriority w:val="0"/>
    <w:rPr>
      <w:rFonts w:ascii="Arial" w:hAnsi="Arial" w:eastAsia="黑体" w:cs="Times New Roman"/>
      <w:b/>
      <w:sz w:val="28"/>
      <w:szCs w:val="20"/>
    </w:rPr>
  </w:style>
  <w:style w:type="character" w:customStyle="1" w:styleId="84">
    <w:name w:val="标题 5 Char"/>
    <w:basedOn w:val="69"/>
    <w:link w:val="9"/>
    <w:autoRedefine/>
    <w:qFormat/>
    <w:uiPriority w:val="0"/>
    <w:rPr>
      <w:rFonts w:ascii="宋体" w:hAnsi="Times New Roman" w:eastAsia="宋体" w:cs="Times New Roman"/>
      <w:b/>
      <w:sz w:val="28"/>
      <w:szCs w:val="20"/>
    </w:rPr>
  </w:style>
  <w:style w:type="character" w:customStyle="1" w:styleId="85">
    <w:name w:val="标题 6 Char"/>
    <w:basedOn w:val="69"/>
    <w:link w:val="10"/>
    <w:autoRedefine/>
    <w:qFormat/>
    <w:uiPriority w:val="0"/>
    <w:rPr>
      <w:rFonts w:ascii="Arial" w:hAnsi="Arial" w:eastAsia="黑体" w:cs="Times New Roman"/>
      <w:b/>
      <w:sz w:val="24"/>
      <w:szCs w:val="20"/>
    </w:rPr>
  </w:style>
  <w:style w:type="character" w:customStyle="1" w:styleId="86">
    <w:name w:val="标题 7 Char"/>
    <w:basedOn w:val="69"/>
    <w:link w:val="11"/>
    <w:autoRedefine/>
    <w:qFormat/>
    <w:uiPriority w:val="0"/>
    <w:rPr>
      <w:rFonts w:ascii="Times New Roman" w:hAnsi="Times New Roman" w:eastAsia="宋体" w:cs="Times New Roman"/>
      <w:b/>
      <w:sz w:val="24"/>
      <w:szCs w:val="20"/>
    </w:rPr>
  </w:style>
  <w:style w:type="character" w:customStyle="1" w:styleId="87">
    <w:name w:val="标题 8 Char"/>
    <w:basedOn w:val="69"/>
    <w:link w:val="12"/>
    <w:autoRedefine/>
    <w:qFormat/>
    <w:uiPriority w:val="0"/>
    <w:rPr>
      <w:rFonts w:ascii="Arial" w:hAnsi="Arial" w:eastAsia="黑体" w:cs="Times New Roman"/>
      <w:sz w:val="24"/>
      <w:szCs w:val="20"/>
    </w:rPr>
  </w:style>
  <w:style w:type="character" w:customStyle="1" w:styleId="88">
    <w:name w:val="标题 9 Char"/>
    <w:basedOn w:val="69"/>
    <w:link w:val="13"/>
    <w:autoRedefine/>
    <w:qFormat/>
    <w:uiPriority w:val="0"/>
    <w:rPr>
      <w:rFonts w:ascii="Arial" w:hAnsi="Arial" w:eastAsia="黑体" w:cs="Times New Roman"/>
      <w:szCs w:val="20"/>
    </w:rPr>
  </w:style>
  <w:style w:type="character" w:customStyle="1" w:styleId="89">
    <w:name w:val="注释标题 Char"/>
    <w:basedOn w:val="69"/>
    <w:link w:val="16"/>
    <w:autoRedefine/>
    <w:qFormat/>
    <w:uiPriority w:val="0"/>
    <w:rPr>
      <w:rFonts w:ascii="宋体" w:hAnsi="Times New Roman" w:eastAsia="宋体" w:cs="Times New Roman"/>
      <w:sz w:val="28"/>
      <w:szCs w:val="20"/>
    </w:rPr>
  </w:style>
  <w:style w:type="character" w:customStyle="1" w:styleId="90">
    <w:name w:val="电子邮件签名 Char"/>
    <w:basedOn w:val="69"/>
    <w:link w:val="18"/>
    <w:autoRedefine/>
    <w:qFormat/>
    <w:uiPriority w:val="0"/>
    <w:rPr>
      <w:rFonts w:ascii="宋体" w:hAnsi="Times New Roman" w:eastAsia="宋体" w:cs="Times New Roman"/>
      <w:sz w:val="28"/>
      <w:szCs w:val="20"/>
    </w:rPr>
  </w:style>
  <w:style w:type="character" w:customStyle="1" w:styleId="91">
    <w:name w:val="文档结构图 Char"/>
    <w:basedOn w:val="69"/>
    <w:link w:val="23"/>
    <w:autoRedefine/>
    <w:semiHidden/>
    <w:qFormat/>
    <w:uiPriority w:val="0"/>
    <w:rPr>
      <w:rFonts w:ascii="(使用中文字体)" w:hAnsi="(使用中文字体)" w:eastAsia="(使用中文字体)" w:cs="(使用中文字体)"/>
      <w:szCs w:val="24"/>
      <w:shd w:val="clear" w:color="auto" w:fill="000080"/>
    </w:rPr>
  </w:style>
  <w:style w:type="character" w:customStyle="1" w:styleId="92">
    <w:name w:val="批注文字 Char"/>
    <w:basedOn w:val="69"/>
    <w:link w:val="25"/>
    <w:autoRedefine/>
    <w:qFormat/>
    <w:uiPriority w:val="99"/>
    <w:rPr>
      <w:rFonts w:ascii="Times New Roman" w:hAnsi="Times New Roman" w:eastAsia="宋体" w:cs="Times New Roman"/>
      <w:szCs w:val="24"/>
    </w:rPr>
  </w:style>
  <w:style w:type="character" w:customStyle="1" w:styleId="93">
    <w:name w:val="称呼 Char"/>
    <w:basedOn w:val="69"/>
    <w:link w:val="26"/>
    <w:autoRedefine/>
    <w:qFormat/>
    <w:uiPriority w:val="0"/>
    <w:rPr>
      <w:rFonts w:ascii="宋体" w:hAnsi="Times New Roman" w:eastAsia="宋体" w:cs="Times New Roman"/>
      <w:sz w:val="28"/>
      <w:szCs w:val="20"/>
    </w:rPr>
  </w:style>
  <w:style w:type="character" w:customStyle="1" w:styleId="94">
    <w:name w:val="正文文本 3 Char"/>
    <w:basedOn w:val="69"/>
    <w:link w:val="27"/>
    <w:autoRedefine/>
    <w:qFormat/>
    <w:uiPriority w:val="0"/>
    <w:rPr>
      <w:rFonts w:ascii="宋体" w:hAnsi="Times New Roman" w:eastAsia="宋体" w:cs="Times New Roman"/>
      <w:sz w:val="16"/>
      <w:szCs w:val="20"/>
    </w:rPr>
  </w:style>
  <w:style w:type="character" w:customStyle="1" w:styleId="95">
    <w:name w:val="结束语 Char"/>
    <w:basedOn w:val="69"/>
    <w:link w:val="28"/>
    <w:autoRedefine/>
    <w:qFormat/>
    <w:uiPriority w:val="0"/>
    <w:rPr>
      <w:rFonts w:ascii="宋体" w:hAnsi="Times New Roman" w:eastAsia="宋体" w:cs="Times New Roman"/>
      <w:sz w:val="28"/>
      <w:szCs w:val="20"/>
    </w:rPr>
  </w:style>
  <w:style w:type="character" w:customStyle="1" w:styleId="96">
    <w:name w:val="正文文本 Char"/>
    <w:basedOn w:val="69"/>
    <w:link w:val="30"/>
    <w:autoRedefine/>
    <w:qFormat/>
    <w:uiPriority w:val="0"/>
    <w:rPr>
      <w:rFonts w:ascii="Times New Roman" w:hAnsi="Times New Roman" w:eastAsia="黑体" w:cs="Times New Roman"/>
      <w:color w:val="FF0000"/>
      <w:sz w:val="44"/>
      <w:szCs w:val="24"/>
    </w:rPr>
  </w:style>
  <w:style w:type="character" w:customStyle="1" w:styleId="97">
    <w:name w:val="正文文本缩进 Char"/>
    <w:basedOn w:val="69"/>
    <w:link w:val="3"/>
    <w:autoRedefine/>
    <w:qFormat/>
    <w:uiPriority w:val="0"/>
    <w:rPr>
      <w:rFonts w:ascii="仿宋_GB2312" w:hAnsi="宋体" w:eastAsia="仿宋_GB2312" w:cs="Times New Roman"/>
      <w:sz w:val="30"/>
      <w:szCs w:val="24"/>
    </w:rPr>
  </w:style>
  <w:style w:type="character" w:customStyle="1" w:styleId="98">
    <w:name w:val="HTML 地址 Char"/>
    <w:basedOn w:val="69"/>
    <w:link w:val="38"/>
    <w:autoRedefine/>
    <w:qFormat/>
    <w:uiPriority w:val="0"/>
    <w:rPr>
      <w:rFonts w:ascii="宋体" w:hAnsi="Times New Roman" w:eastAsia="宋体" w:cs="Times New Roman"/>
      <w:i/>
      <w:sz w:val="28"/>
      <w:szCs w:val="20"/>
    </w:rPr>
  </w:style>
  <w:style w:type="character" w:customStyle="1" w:styleId="99">
    <w:name w:val="纯文本 Char"/>
    <w:basedOn w:val="69"/>
    <w:link w:val="39"/>
    <w:autoRedefine/>
    <w:qFormat/>
    <w:uiPriority w:val="0"/>
    <w:rPr>
      <w:rFonts w:ascii="Courier New" w:hAnsi="Courier New" w:eastAsia="宋体" w:cs="Times New Roman"/>
      <w:sz w:val="28"/>
      <w:szCs w:val="20"/>
    </w:rPr>
  </w:style>
  <w:style w:type="character" w:customStyle="1" w:styleId="100">
    <w:name w:val="正文文本缩进 2 Char"/>
    <w:basedOn w:val="69"/>
    <w:link w:val="43"/>
    <w:autoRedefine/>
    <w:qFormat/>
    <w:uiPriority w:val="0"/>
    <w:rPr>
      <w:rFonts w:ascii="宋体" w:hAnsi="宋体" w:eastAsia="宋体" w:cs="Times New Roman"/>
      <w:sz w:val="24"/>
      <w:szCs w:val="24"/>
    </w:rPr>
  </w:style>
  <w:style w:type="character" w:customStyle="1" w:styleId="101">
    <w:name w:val="批注框文本 Char"/>
    <w:basedOn w:val="69"/>
    <w:link w:val="45"/>
    <w:autoRedefine/>
    <w:qFormat/>
    <w:uiPriority w:val="99"/>
    <w:rPr>
      <w:rFonts w:ascii="Times New Roman" w:hAnsi="Times New Roman" w:eastAsia="宋体" w:cs="Times New Roman"/>
      <w:sz w:val="18"/>
      <w:szCs w:val="18"/>
    </w:rPr>
  </w:style>
  <w:style w:type="character" w:customStyle="1" w:styleId="102">
    <w:name w:val="签名 Char"/>
    <w:basedOn w:val="69"/>
    <w:link w:val="49"/>
    <w:autoRedefine/>
    <w:qFormat/>
    <w:uiPriority w:val="0"/>
    <w:rPr>
      <w:rFonts w:ascii="宋体" w:hAnsi="Times New Roman" w:eastAsia="宋体" w:cs="Times New Roman"/>
      <w:sz w:val="28"/>
      <w:szCs w:val="20"/>
    </w:rPr>
  </w:style>
  <w:style w:type="character" w:customStyle="1" w:styleId="103">
    <w:name w:val="副标题 Char"/>
    <w:basedOn w:val="69"/>
    <w:link w:val="52"/>
    <w:autoRedefine/>
    <w:qFormat/>
    <w:uiPriority w:val="0"/>
    <w:rPr>
      <w:rFonts w:ascii="Arial" w:hAnsi="Arial" w:eastAsia="宋体" w:cs="Times New Roman"/>
      <w:b/>
      <w:kern w:val="28"/>
      <w:sz w:val="32"/>
      <w:szCs w:val="20"/>
    </w:rPr>
  </w:style>
  <w:style w:type="character" w:customStyle="1" w:styleId="104">
    <w:name w:val="正文文本缩进 3 Char"/>
    <w:basedOn w:val="69"/>
    <w:link w:val="56"/>
    <w:autoRedefine/>
    <w:qFormat/>
    <w:uiPriority w:val="0"/>
    <w:rPr>
      <w:rFonts w:ascii="仿宋_GB2312" w:hAnsi="宋体" w:eastAsia="仿宋_GB2312" w:cs="Times New Roman"/>
      <w:spacing w:val="-8"/>
      <w:sz w:val="30"/>
      <w:szCs w:val="24"/>
    </w:rPr>
  </w:style>
  <w:style w:type="character" w:customStyle="1" w:styleId="105">
    <w:name w:val="正文文本 2 Char"/>
    <w:basedOn w:val="69"/>
    <w:link w:val="58"/>
    <w:autoRedefine/>
    <w:qFormat/>
    <w:uiPriority w:val="0"/>
    <w:rPr>
      <w:rFonts w:ascii="宋体" w:hAnsi="宋体" w:eastAsia="宋体" w:cs="Times New Roman"/>
      <w:sz w:val="24"/>
      <w:szCs w:val="20"/>
    </w:rPr>
  </w:style>
  <w:style w:type="character" w:customStyle="1" w:styleId="106">
    <w:name w:val="信息标题 Char"/>
    <w:basedOn w:val="69"/>
    <w:link w:val="61"/>
    <w:autoRedefine/>
    <w:qFormat/>
    <w:uiPriority w:val="0"/>
    <w:rPr>
      <w:rFonts w:ascii="Arial" w:hAnsi="Arial" w:eastAsia="宋体" w:cs="Times New Roman"/>
      <w:sz w:val="24"/>
      <w:szCs w:val="20"/>
      <w:shd w:val="pct20" w:color="auto" w:fill="auto"/>
    </w:rPr>
  </w:style>
  <w:style w:type="character" w:customStyle="1" w:styleId="107">
    <w:name w:val="HTML 预设格式 Char"/>
    <w:basedOn w:val="69"/>
    <w:link w:val="62"/>
    <w:autoRedefine/>
    <w:qFormat/>
    <w:uiPriority w:val="99"/>
    <w:rPr>
      <w:rFonts w:ascii="Courier New" w:hAnsi="Courier New" w:eastAsia="宋体" w:cs="Times New Roman"/>
      <w:sz w:val="20"/>
      <w:szCs w:val="20"/>
    </w:rPr>
  </w:style>
  <w:style w:type="character" w:customStyle="1" w:styleId="108">
    <w:name w:val="标题 Char"/>
    <w:basedOn w:val="69"/>
    <w:link w:val="65"/>
    <w:autoRedefine/>
    <w:qFormat/>
    <w:uiPriority w:val="0"/>
    <w:rPr>
      <w:rFonts w:ascii="Arial" w:hAnsi="Arial" w:eastAsia="宋体" w:cs="Times New Roman"/>
      <w:b/>
      <w:sz w:val="32"/>
      <w:szCs w:val="20"/>
    </w:rPr>
  </w:style>
  <w:style w:type="character" w:customStyle="1" w:styleId="109">
    <w:name w:val="批注主题 Char"/>
    <w:basedOn w:val="92"/>
    <w:link w:val="66"/>
    <w:autoRedefine/>
    <w:qFormat/>
    <w:uiPriority w:val="99"/>
    <w:rPr>
      <w:b/>
      <w:bCs/>
    </w:rPr>
  </w:style>
  <w:style w:type="character" w:customStyle="1" w:styleId="110">
    <w:name w:val="正文首行缩进 Char"/>
    <w:basedOn w:val="96"/>
    <w:link w:val="31"/>
    <w:autoRedefine/>
    <w:qFormat/>
    <w:uiPriority w:val="0"/>
    <w:rPr>
      <w:rFonts w:ascii="宋体" w:eastAsia="宋体"/>
      <w:sz w:val="28"/>
      <w:szCs w:val="20"/>
    </w:rPr>
  </w:style>
  <w:style w:type="character" w:customStyle="1" w:styleId="111">
    <w:name w:val="正文首行缩进 2 Char"/>
    <w:basedOn w:val="97"/>
    <w:link w:val="2"/>
    <w:autoRedefine/>
    <w:qFormat/>
    <w:uiPriority w:val="0"/>
    <w:rPr>
      <w:rFonts w:ascii="宋体" w:hAnsi="Times New Roman" w:eastAsia="宋体"/>
      <w:sz w:val="28"/>
      <w:szCs w:val="20"/>
    </w:rPr>
  </w:style>
  <w:style w:type="character" w:customStyle="1" w:styleId="112">
    <w:name w:val="table-header"/>
    <w:basedOn w:val="69"/>
    <w:autoRedefine/>
    <w:qFormat/>
    <w:uiPriority w:val="0"/>
  </w:style>
  <w:style w:type="character" w:customStyle="1" w:styleId="113">
    <w:name w:val="ptb181"/>
    <w:basedOn w:val="69"/>
    <w:autoRedefine/>
    <w:qFormat/>
    <w:uiPriority w:val="0"/>
    <w:rPr>
      <w:rFonts w:hint="default" w:ascii="Verdana" w:hAnsi="Verdana"/>
      <w:b/>
      <w:bCs/>
      <w:color w:val="000000"/>
      <w:sz w:val="27"/>
      <w:szCs w:val="27"/>
    </w:rPr>
  </w:style>
  <w:style w:type="character" w:customStyle="1" w:styleId="114">
    <w:name w:val="正文缩进 Char"/>
    <w:basedOn w:val="69"/>
    <w:link w:val="6"/>
    <w:autoRedefine/>
    <w:qFormat/>
    <w:uiPriority w:val="0"/>
    <w:rPr>
      <w:rFonts w:ascii="Times New Roman" w:hAnsi="Times New Roman" w:eastAsia="宋体" w:cs="Times New Roman"/>
      <w:szCs w:val="20"/>
    </w:rPr>
  </w:style>
  <w:style w:type="character" w:customStyle="1" w:styleId="115">
    <w:name w:val="Texte Char"/>
    <w:basedOn w:val="69"/>
    <w:autoRedefine/>
    <w:qFormat/>
    <w:uiPriority w:val="0"/>
    <w:rPr>
      <w:rFonts w:ascii="宋体" w:hAnsi="Courier New" w:eastAsia="宋体"/>
      <w:sz w:val="21"/>
      <w:szCs w:val="21"/>
      <w:lang w:val="en-US" w:eastAsia="zh-CN" w:bidi="ar-SA"/>
    </w:rPr>
  </w:style>
  <w:style w:type="character" w:customStyle="1" w:styleId="116">
    <w:name w:val="Char Char12"/>
    <w:autoRedefine/>
    <w:qFormat/>
    <w:uiPriority w:val="0"/>
    <w:rPr>
      <w:rFonts w:ascii="仿宋_GB2312" w:hAnsi="宋体" w:eastAsia="仿宋_GB2312"/>
      <w:kern w:val="2"/>
      <w:sz w:val="30"/>
      <w:szCs w:val="24"/>
      <w:lang w:val="en-US" w:eastAsia="zh-CN" w:bidi="ar-SA"/>
    </w:rPr>
  </w:style>
  <w:style w:type="character" w:customStyle="1" w:styleId="117">
    <w:name w:val="style13"/>
    <w:basedOn w:val="69"/>
    <w:autoRedefine/>
    <w:qFormat/>
    <w:uiPriority w:val="0"/>
  </w:style>
  <w:style w:type="character" w:customStyle="1" w:styleId="118">
    <w:name w:val="Char Char9"/>
    <w:autoRedefine/>
    <w:qFormat/>
    <w:uiPriority w:val="0"/>
    <w:rPr>
      <w:rFonts w:ascii="宋体" w:hAnsi="Courier New" w:eastAsia="宋体"/>
      <w:kern w:val="2"/>
      <w:sz w:val="21"/>
      <w:lang w:val="en-US" w:eastAsia="zh-CN" w:bidi="ar-SA"/>
    </w:rPr>
  </w:style>
  <w:style w:type="character" w:customStyle="1" w:styleId="119">
    <w:name w:val="tw4winJump"/>
    <w:autoRedefine/>
    <w:qFormat/>
    <w:uiPriority w:val="0"/>
    <w:rPr>
      <w:rFonts w:ascii="Courier New" w:hAnsi="Courier New"/>
      <w:color w:val="008080"/>
    </w:rPr>
  </w:style>
  <w:style w:type="character" w:customStyle="1" w:styleId="120">
    <w:name w:val="列出段落 Char"/>
    <w:link w:val="121"/>
    <w:autoRedefine/>
    <w:qFormat/>
    <w:uiPriority w:val="34"/>
  </w:style>
  <w:style w:type="paragraph" w:customStyle="1" w:styleId="121">
    <w:name w:val="列出段落1"/>
    <w:basedOn w:val="1"/>
    <w:link w:val="120"/>
    <w:autoRedefine/>
    <w:qFormat/>
    <w:uiPriority w:val="34"/>
    <w:pPr>
      <w:ind w:firstLine="420" w:firstLineChars="200"/>
    </w:pPr>
    <w:rPr>
      <w:rFonts w:asciiTheme="minorHAnsi" w:hAnsiTheme="minorHAnsi" w:eastAsiaTheme="minorEastAsia" w:cstheme="minorBidi"/>
      <w:szCs w:val="22"/>
    </w:rPr>
  </w:style>
  <w:style w:type="character" w:customStyle="1" w:styleId="122">
    <w:name w:val="Char Char11"/>
    <w:autoRedefine/>
    <w:qFormat/>
    <w:uiPriority w:val="0"/>
    <w:rPr>
      <w:rFonts w:ascii="宋体" w:hAnsi="Courier New" w:eastAsia="宋体"/>
      <w:kern w:val="2"/>
      <w:sz w:val="21"/>
      <w:lang w:val="en-US" w:eastAsia="zh-CN" w:bidi="ar-SA"/>
    </w:rPr>
  </w:style>
  <w:style w:type="character" w:customStyle="1" w:styleId="123">
    <w:name w:val="题注 Char"/>
    <w:link w:val="20"/>
    <w:autoRedefine/>
    <w:qFormat/>
    <w:uiPriority w:val="0"/>
    <w:rPr>
      <w:rFonts w:ascii="Arial" w:hAnsi="Arial" w:eastAsia="黑体" w:cs="Arial"/>
      <w:sz w:val="20"/>
      <w:szCs w:val="20"/>
    </w:rPr>
  </w:style>
  <w:style w:type="character" w:customStyle="1" w:styleId="124">
    <w:name w:val="明显参考1"/>
    <w:basedOn w:val="69"/>
    <w:autoRedefine/>
    <w:qFormat/>
    <w:uiPriority w:val="0"/>
    <w:rPr>
      <w:b/>
      <w:bCs/>
      <w:smallCaps/>
      <w:color w:val="C0504D"/>
      <w:spacing w:val="5"/>
      <w:u w:val="single"/>
    </w:rPr>
  </w:style>
  <w:style w:type="character" w:customStyle="1" w:styleId="125">
    <w:name w:val="标题 1 Char Char"/>
    <w:basedOn w:val="69"/>
    <w:autoRedefine/>
    <w:qFormat/>
    <w:uiPriority w:val="0"/>
    <w:rPr>
      <w:rFonts w:eastAsia="宋体"/>
      <w:b/>
      <w:spacing w:val="-2"/>
      <w:sz w:val="24"/>
      <w:lang w:val="en-US" w:eastAsia="zh-CN" w:bidi="ar-SA"/>
    </w:rPr>
  </w:style>
  <w:style w:type="character" w:customStyle="1" w:styleId="126">
    <w:name w:val="chs1"/>
    <w:basedOn w:val="69"/>
    <w:autoRedefine/>
    <w:qFormat/>
    <w:uiPriority w:val="0"/>
    <w:rPr>
      <w:rFonts w:hint="default"/>
      <w:sz w:val="18"/>
      <w:szCs w:val="18"/>
    </w:rPr>
  </w:style>
  <w:style w:type="character" w:customStyle="1" w:styleId="127">
    <w:name w:val="偏离表字体 Char"/>
    <w:link w:val="128"/>
    <w:autoRedefine/>
    <w:qFormat/>
    <w:uiPriority w:val="0"/>
    <w:rPr>
      <w:rFonts w:ascii="宋体" w:hAnsi="宋体"/>
      <w:szCs w:val="21"/>
    </w:rPr>
  </w:style>
  <w:style w:type="paragraph" w:customStyle="1" w:styleId="128">
    <w:name w:val="偏离表字体"/>
    <w:basedOn w:val="1"/>
    <w:link w:val="127"/>
    <w:autoRedefine/>
    <w:qFormat/>
    <w:uiPriority w:val="0"/>
    <w:pPr>
      <w:tabs>
        <w:tab w:val="left" w:pos="4212"/>
      </w:tabs>
      <w:ind w:left="1" w:right="71" w:rightChars="34"/>
      <w:jc w:val="left"/>
    </w:pPr>
    <w:rPr>
      <w:rFonts w:ascii="宋体" w:hAnsi="宋体" w:eastAsiaTheme="minorEastAsia" w:cstheme="minorBidi"/>
      <w:szCs w:val="21"/>
    </w:rPr>
  </w:style>
  <w:style w:type="character" w:customStyle="1" w:styleId="129">
    <w:name w:val="ding"/>
    <w:basedOn w:val="69"/>
    <w:autoRedefine/>
    <w:qFormat/>
    <w:uiPriority w:val="0"/>
  </w:style>
  <w:style w:type="character" w:customStyle="1" w:styleId="130">
    <w:name w:val="apple-converted-space"/>
    <w:basedOn w:val="69"/>
    <w:autoRedefine/>
    <w:qFormat/>
    <w:uiPriority w:val="0"/>
  </w:style>
  <w:style w:type="character" w:customStyle="1" w:styleId="131">
    <w:name w:val="style61"/>
    <w:basedOn w:val="69"/>
    <w:autoRedefine/>
    <w:qFormat/>
    <w:uiPriority w:val="0"/>
    <w:rPr>
      <w:rFonts w:hint="default" w:ascii="Arial" w:hAnsi="Arial"/>
    </w:rPr>
  </w:style>
  <w:style w:type="character" w:customStyle="1" w:styleId="132">
    <w:name w:val="fontstyle01"/>
    <w:autoRedefine/>
    <w:qFormat/>
    <w:uiPriority w:val="0"/>
    <w:rPr>
      <w:rFonts w:hint="eastAsia" w:ascii="宋体" w:hAnsi="宋体" w:eastAsia="宋体"/>
      <w:color w:val="000000"/>
      <w:sz w:val="22"/>
      <w:szCs w:val="22"/>
    </w:rPr>
  </w:style>
  <w:style w:type="paragraph" w:customStyle="1" w:styleId="133">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134">
    <w:name w:val="_Style 10"/>
    <w:basedOn w:val="1"/>
    <w:autoRedefine/>
    <w:qFormat/>
    <w:uiPriority w:val="0"/>
    <w:pPr>
      <w:spacing w:line="360" w:lineRule="auto"/>
      <w:ind w:firstLine="200" w:firstLineChars="200"/>
    </w:pPr>
  </w:style>
  <w:style w:type="paragraph" w:customStyle="1" w:styleId="13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6">
    <w:name w:val="Char"/>
    <w:basedOn w:val="1"/>
    <w:autoRedefine/>
    <w:qFormat/>
    <w:uiPriority w:val="0"/>
    <w:rPr>
      <w:rFonts w:ascii="仿宋_GB2312" w:eastAsia="仿宋_GB2312"/>
      <w:b/>
      <w:sz w:val="32"/>
      <w:szCs w:val="32"/>
    </w:rPr>
  </w:style>
  <w:style w:type="paragraph" w:customStyle="1" w:styleId="137">
    <w:name w:val="公司名"/>
    <w:basedOn w:val="1"/>
    <w:autoRedefine/>
    <w:qFormat/>
    <w:uiPriority w:val="0"/>
    <w:pPr>
      <w:framePr w:w="3840" w:h="1366" w:wrap="notBeside" w:vAnchor="page" w:hAnchor="margin" w:y="889"/>
      <w:widowControl/>
      <w:adjustRightInd w:val="0"/>
      <w:spacing w:line="280" w:lineRule="atLeast"/>
      <w:jc w:val="left"/>
      <w:textAlignment w:val="baseline"/>
    </w:pPr>
    <w:rPr>
      <w:rFonts w:ascii="Arial Black" w:hAnsi="Arial Black" w:eastAsia="楷体_GB2312"/>
      <w:spacing w:val="-25"/>
      <w:kern w:val="0"/>
      <w:sz w:val="48"/>
      <w:szCs w:val="20"/>
    </w:rPr>
  </w:style>
  <w:style w:type="paragraph" w:customStyle="1" w:styleId="138">
    <w:name w:val="Default Paragraph Font Para Char"/>
    <w:basedOn w:val="1"/>
    <w:autoRedefine/>
    <w:semiHidden/>
    <w:qFormat/>
    <w:uiPriority w:val="0"/>
    <w:pPr>
      <w:widowControl/>
      <w:spacing w:after="160" w:line="240" w:lineRule="exact"/>
      <w:jc w:val="left"/>
    </w:pPr>
    <w:rPr>
      <w:rFonts w:ascii="Verdana" w:hAnsi="Verdana"/>
      <w:kern w:val="0"/>
      <w:sz w:val="20"/>
      <w:szCs w:val="20"/>
      <w:lang w:eastAsia="en-US"/>
    </w:rPr>
  </w:style>
  <w:style w:type="paragraph" w:customStyle="1" w:styleId="139">
    <w:name w:val="正文段"/>
    <w:basedOn w:val="1"/>
    <w:autoRedefine/>
    <w:qFormat/>
    <w:uiPriority w:val="0"/>
    <w:pPr>
      <w:widowControl/>
      <w:snapToGrid w:val="0"/>
      <w:spacing w:afterLines="50"/>
      <w:ind w:firstLine="200" w:firstLineChars="200"/>
    </w:pPr>
    <w:rPr>
      <w:kern w:val="0"/>
      <w:sz w:val="24"/>
      <w:szCs w:val="20"/>
    </w:rPr>
  </w:style>
  <w:style w:type="paragraph" w:customStyle="1" w:styleId="140">
    <w:name w:val="xl25"/>
    <w:basedOn w:val="1"/>
    <w:autoRedefine/>
    <w:qFormat/>
    <w:uiPriority w:val="0"/>
    <w:pPr>
      <w:widowControl/>
      <w:spacing w:before="100" w:beforeAutospacing="1" w:after="100" w:afterAutospacing="1"/>
      <w:jc w:val="center"/>
    </w:pPr>
    <w:rPr>
      <w:rFonts w:hint="eastAsia" w:ascii="楷体_GB2312" w:hAnsi="宋体" w:eastAsia="楷体_GB2312"/>
      <w:kern w:val="0"/>
      <w:sz w:val="24"/>
    </w:rPr>
  </w:style>
  <w:style w:type="paragraph" w:customStyle="1" w:styleId="141">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Char Char Char Char1"/>
    <w:basedOn w:val="1"/>
    <w:autoRedefine/>
    <w:qFormat/>
    <w:uiPriority w:val="0"/>
    <w:rPr>
      <w:rFonts w:ascii="Tahoma" w:hAnsi="Tahoma"/>
      <w:sz w:val="24"/>
      <w:szCs w:val="20"/>
    </w:rPr>
  </w:style>
  <w:style w:type="paragraph" w:customStyle="1" w:styleId="143">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44">
    <w:name w:val="A正文小四"/>
    <w:basedOn w:val="1"/>
    <w:autoRedefine/>
    <w:qFormat/>
    <w:uiPriority w:val="0"/>
    <w:pPr>
      <w:spacing w:line="360" w:lineRule="auto"/>
      <w:ind w:firstLine="600" w:firstLineChars="200"/>
      <w:jc w:val="left"/>
    </w:pPr>
    <w:rPr>
      <w:color w:val="000000"/>
    </w:rPr>
  </w:style>
  <w:style w:type="paragraph" w:customStyle="1" w:styleId="145">
    <w:name w:val="标题1"/>
    <w:basedOn w:val="39"/>
    <w:next w:val="5"/>
    <w:autoRedefine/>
    <w:qFormat/>
    <w:uiPriority w:val="0"/>
    <w:pPr>
      <w:spacing w:line="520" w:lineRule="exact"/>
      <w:jc w:val="center"/>
      <w:outlineLvl w:val="0"/>
    </w:pPr>
    <w:rPr>
      <w:rFonts w:ascii="黑体" w:hAnsi="宋体" w:eastAsia="黑体"/>
      <w:b/>
      <w:kern w:val="0"/>
      <w:sz w:val="36"/>
    </w:rPr>
  </w:style>
  <w:style w:type="paragraph" w:customStyle="1" w:styleId="146">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147">
    <w:name w:val="表格内容"/>
    <w:basedOn w:val="1"/>
    <w:autoRedefine/>
    <w:qFormat/>
    <w:uiPriority w:val="0"/>
    <w:pPr>
      <w:adjustRightInd w:val="0"/>
      <w:spacing w:before="40"/>
      <w:jc w:val="left"/>
      <w:textAlignment w:val="baseline"/>
    </w:pPr>
    <w:rPr>
      <w:sz w:val="24"/>
      <w:szCs w:val="20"/>
    </w:rPr>
  </w:style>
  <w:style w:type="paragraph" w:customStyle="1" w:styleId="148">
    <w:name w:val="表内文字"/>
    <w:basedOn w:val="1"/>
    <w:autoRedefine/>
    <w:qFormat/>
    <w:uiPriority w:val="0"/>
    <w:pPr>
      <w:tabs>
        <w:tab w:val="left" w:pos="1418"/>
      </w:tabs>
      <w:jc w:val="center"/>
    </w:pPr>
    <w:rPr>
      <w:rFonts w:ascii="仿宋_GB2312" w:eastAsia="仿宋_GB2312"/>
      <w:spacing w:val="-20"/>
      <w:kern w:val="0"/>
      <w:sz w:val="24"/>
    </w:rPr>
  </w:style>
  <w:style w:type="paragraph" w:customStyle="1" w:styleId="149">
    <w:name w:val="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0">
    <w:name w:val="p0"/>
    <w:basedOn w:val="1"/>
    <w:autoRedefine/>
    <w:qFormat/>
    <w:uiPriority w:val="99"/>
    <w:pPr>
      <w:widowControl/>
    </w:pPr>
    <w:rPr>
      <w:kern w:val="0"/>
      <w:szCs w:val="21"/>
    </w:rPr>
  </w:style>
  <w:style w:type="paragraph" w:customStyle="1" w:styleId="151">
    <w:name w:val="Char Char15"/>
    <w:basedOn w:val="1"/>
    <w:autoRedefine/>
    <w:qFormat/>
    <w:uiPriority w:val="0"/>
    <w:pPr>
      <w:spacing w:line="360" w:lineRule="auto"/>
      <w:ind w:firstLine="200" w:firstLineChars="200"/>
    </w:pPr>
  </w:style>
  <w:style w:type="paragraph" w:customStyle="1" w:styleId="152">
    <w:name w:val="纯文本1"/>
    <w:basedOn w:val="1"/>
    <w:autoRedefine/>
    <w:qFormat/>
    <w:uiPriority w:val="0"/>
    <w:pPr>
      <w:adjustRightInd w:val="0"/>
      <w:textAlignment w:val="baseline"/>
    </w:pPr>
    <w:rPr>
      <w:rFonts w:ascii="Courier New" w:hAnsi="Courier New"/>
      <w:sz w:val="28"/>
      <w:szCs w:val="20"/>
    </w:rPr>
  </w:style>
  <w:style w:type="paragraph" w:customStyle="1" w:styleId="153">
    <w:name w:val="xl26"/>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kern w:val="0"/>
      <w:sz w:val="18"/>
      <w:szCs w:val="20"/>
    </w:rPr>
  </w:style>
  <w:style w:type="paragraph" w:customStyle="1" w:styleId="154">
    <w:name w:val="Char1"/>
    <w:basedOn w:val="1"/>
    <w:autoRedefine/>
    <w:qFormat/>
    <w:uiPriority w:val="0"/>
    <w:rPr>
      <w:rFonts w:ascii="仿宋_GB2312" w:eastAsia="仿宋_GB2312"/>
      <w:b/>
      <w:sz w:val="32"/>
      <w:szCs w:val="32"/>
    </w:rPr>
  </w:style>
  <w:style w:type="paragraph" w:customStyle="1" w:styleId="155">
    <w:name w:val="Char Char Char Char Char Char"/>
    <w:basedOn w:val="1"/>
    <w:autoRedefine/>
    <w:qFormat/>
    <w:uiPriority w:val="0"/>
    <w:pPr>
      <w:widowControl/>
      <w:spacing w:after="160" w:line="240" w:lineRule="exact"/>
      <w:jc w:val="left"/>
    </w:pPr>
  </w:style>
  <w:style w:type="paragraph" w:customStyle="1" w:styleId="156">
    <w:name w:val="Char Char Char Char Char Char1"/>
    <w:basedOn w:val="1"/>
    <w:autoRedefine/>
    <w:qFormat/>
    <w:uiPriority w:val="0"/>
    <w:pPr>
      <w:widowControl/>
      <w:spacing w:after="160" w:line="240" w:lineRule="exact"/>
      <w:jc w:val="left"/>
    </w:pPr>
    <w:rPr>
      <w:rFonts w:ascii="(使用中文字体)" w:hAnsi="(使用中文字体)" w:eastAsia="(使用中文字体)" w:cs="(使用中文字体)"/>
      <w:kern w:val="0"/>
      <w:sz w:val="20"/>
      <w:szCs w:val="20"/>
      <w:lang w:eastAsia="en-US"/>
    </w:rPr>
  </w:style>
  <w:style w:type="paragraph" w:customStyle="1" w:styleId="157">
    <w:name w:val="列出段落2"/>
    <w:basedOn w:val="1"/>
    <w:autoRedefine/>
    <w:unhideWhenUsed/>
    <w:qFormat/>
    <w:uiPriority w:val="0"/>
    <w:pPr>
      <w:ind w:firstLine="420" w:firstLineChars="200"/>
    </w:pPr>
    <w:rPr>
      <w:rFonts w:ascii="Calibri" w:hAnsi="Calibri"/>
    </w:rPr>
  </w:style>
  <w:style w:type="paragraph" w:customStyle="1" w:styleId="158">
    <w:name w:val="默认段落字体 Para Char Char Char Char"/>
    <w:basedOn w:val="1"/>
    <w:autoRedefine/>
    <w:qFormat/>
    <w:uiPriority w:val="0"/>
  </w:style>
  <w:style w:type="paragraph" w:customStyle="1" w:styleId="159">
    <w:name w:val="Char Char Char Char1 Char Char Char Char"/>
    <w:basedOn w:val="1"/>
    <w:autoRedefine/>
    <w:qFormat/>
    <w:uiPriority w:val="0"/>
    <w:pPr>
      <w:widowControl/>
      <w:spacing w:after="160" w:line="240" w:lineRule="exact"/>
      <w:jc w:val="left"/>
    </w:pPr>
    <w:rPr>
      <w:szCs w:val="20"/>
    </w:rPr>
  </w:style>
  <w:style w:type="paragraph" w:customStyle="1" w:styleId="160">
    <w:name w:val="Char Char Char Char"/>
    <w:basedOn w:val="1"/>
    <w:autoRedefine/>
    <w:qFormat/>
    <w:uiPriority w:val="0"/>
    <w:pPr>
      <w:widowControl/>
    </w:pPr>
    <w:rPr>
      <w:kern w:val="0"/>
      <w:sz w:val="24"/>
      <w:szCs w:val="20"/>
    </w:rPr>
  </w:style>
  <w:style w:type="paragraph" w:styleId="161">
    <w:name w:val="No Spacing"/>
    <w:autoRedefine/>
    <w:qFormat/>
    <w:uiPriority w:val="1"/>
    <w:pPr>
      <w:widowControl w:val="0"/>
    </w:pPr>
    <w:rPr>
      <w:rFonts w:ascii="Times New Roman" w:hAnsi="Times New Roman" w:eastAsia="黑体" w:cs="Times New Roman"/>
      <w:b/>
      <w:kern w:val="2"/>
      <w:sz w:val="21"/>
      <w:szCs w:val="24"/>
      <w:lang w:val="en-US" w:eastAsia="zh-CN" w:bidi="ar-SA"/>
    </w:rPr>
  </w:style>
  <w:style w:type="paragraph" w:customStyle="1" w:styleId="162">
    <w:name w:val="正文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3">
    <w:name w:val="标题3"/>
    <w:next w:val="8"/>
    <w:autoRedefine/>
    <w:qFormat/>
    <w:uiPriority w:val="0"/>
    <w:pPr>
      <w:spacing w:line="520" w:lineRule="exact"/>
      <w:outlineLvl w:val="2"/>
    </w:pPr>
    <w:rPr>
      <w:rFonts w:ascii="黑体" w:hAnsi="宋体" w:eastAsia="黑体" w:cs="Times New Roman"/>
      <w:b/>
      <w:sz w:val="28"/>
      <w:lang w:val="en-US" w:eastAsia="zh-CN" w:bidi="ar-SA"/>
    </w:rPr>
  </w:style>
  <w:style w:type="paragraph" w:customStyle="1" w:styleId="164">
    <w:name w:val="Char Char Char1 Char"/>
    <w:basedOn w:val="1"/>
    <w:autoRedefine/>
    <w:qFormat/>
    <w:uiPriority w:val="0"/>
    <w:pPr>
      <w:spacing w:line="360" w:lineRule="auto"/>
      <w:ind w:firstLine="200" w:firstLineChars="200"/>
    </w:pPr>
    <w:rPr>
      <w:rFonts w:ascii="宋体" w:hAnsi="宋体" w:cs="宋体"/>
      <w:b/>
      <w:sz w:val="24"/>
    </w:rPr>
  </w:style>
  <w:style w:type="paragraph" w:customStyle="1" w:styleId="165">
    <w:name w:val="Char Char Char Char1 Char Char Char Char1"/>
    <w:basedOn w:val="1"/>
    <w:autoRedefine/>
    <w:qFormat/>
    <w:uiPriority w:val="0"/>
    <w:pPr>
      <w:widowControl/>
      <w:spacing w:after="160" w:line="240" w:lineRule="exact"/>
      <w:jc w:val="left"/>
    </w:pPr>
    <w:rPr>
      <w:szCs w:val="20"/>
    </w:rPr>
  </w:style>
  <w:style w:type="paragraph" w:customStyle="1" w:styleId="166">
    <w:name w:val="标题4"/>
    <w:next w:val="1"/>
    <w:autoRedefine/>
    <w:qFormat/>
    <w:uiPriority w:val="0"/>
    <w:pPr>
      <w:spacing w:line="520" w:lineRule="exact"/>
      <w:ind w:firstLine="200" w:firstLineChars="200"/>
      <w:outlineLvl w:val="3"/>
    </w:pPr>
    <w:rPr>
      <w:rFonts w:ascii="宋体" w:hAnsi="Times New Roman" w:eastAsia="宋体" w:cs="Times New Roman"/>
      <w:b/>
      <w:kern w:val="44"/>
      <w:sz w:val="28"/>
      <w:lang w:val="en-US" w:eastAsia="zh-CN" w:bidi="ar-SA"/>
    </w:rPr>
  </w:style>
  <w:style w:type="paragraph" w:customStyle="1" w:styleId="167">
    <w:name w:val="标题2"/>
    <w:next w:val="7"/>
    <w:autoRedefine/>
    <w:qFormat/>
    <w:uiPriority w:val="0"/>
    <w:pPr>
      <w:spacing w:line="520" w:lineRule="exact"/>
      <w:jc w:val="center"/>
      <w:outlineLvl w:val="1"/>
    </w:pPr>
    <w:rPr>
      <w:rFonts w:ascii="黑体" w:hAnsi="宋体" w:eastAsia="黑体" w:cs="Times New Roman"/>
      <w:b/>
      <w:sz w:val="36"/>
      <w:lang w:val="en-US" w:eastAsia="zh-CN" w:bidi="ar-SA"/>
    </w:rPr>
  </w:style>
  <w:style w:type="paragraph" w:customStyle="1" w:styleId="168">
    <w:name w:val="Char Char Char Char2"/>
    <w:basedOn w:val="1"/>
    <w:autoRedefine/>
    <w:qFormat/>
    <w:uiPriority w:val="0"/>
    <w:pPr>
      <w:widowControl/>
    </w:pPr>
    <w:rPr>
      <w:kern w:val="0"/>
      <w:sz w:val="24"/>
      <w:szCs w:val="20"/>
    </w:rPr>
  </w:style>
  <w:style w:type="paragraph" w:customStyle="1" w:styleId="169">
    <w:name w:val="样式3"/>
    <w:basedOn w:val="39"/>
    <w:autoRedefine/>
    <w:qFormat/>
    <w:uiPriority w:val="0"/>
    <w:pPr>
      <w:spacing w:line="0" w:lineRule="atLeast"/>
      <w:outlineLvl w:val="0"/>
    </w:pPr>
  </w:style>
  <w:style w:type="character" w:customStyle="1" w:styleId="170">
    <w:name w:val="无"/>
    <w:autoRedefine/>
    <w:qFormat/>
    <w:uiPriority w:val="0"/>
  </w:style>
  <w:style w:type="character" w:customStyle="1" w:styleId="171">
    <w:name w:val="页码1"/>
    <w:autoRedefine/>
    <w:qFormat/>
    <w:uiPriority w:val="0"/>
    <w:rPr>
      <w:lang w:val="zh-TW" w:eastAsia="zh-TW"/>
    </w:rPr>
  </w:style>
  <w:style w:type="character" w:customStyle="1" w:styleId="172">
    <w:name w:val="明显参考2"/>
    <w:basedOn w:val="69"/>
    <w:autoRedefine/>
    <w:qFormat/>
    <w:uiPriority w:val="0"/>
    <w:rPr>
      <w:b/>
      <w:bCs/>
      <w:smallCaps/>
      <w:color w:val="C0504D"/>
      <w:spacing w:val="5"/>
      <w:u w:val="single"/>
    </w:rPr>
  </w:style>
  <w:style w:type="paragraph" w:customStyle="1" w:styleId="173">
    <w:name w:val="列表段落1"/>
    <w:basedOn w:val="1"/>
    <w:autoRedefine/>
    <w:qFormat/>
    <w:uiPriority w:val="0"/>
    <w:pPr>
      <w:widowControl/>
      <w:topLinePunct/>
      <w:adjustRightInd w:val="0"/>
      <w:snapToGrid w:val="0"/>
      <w:spacing w:line="360" w:lineRule="auto"/>
      <w:ind w:firstLine="420" w:firstLineChars="200"/>
      <w:jc w:val="left"/>
    </w:pPr>
    <w:rPr>
      <w:rFonts w:ascii="Calibri" w:hAnsi="Calibri"/>
      <w:szCs w:val="21"/>
    </w:rPr>
  </w:style>
  <w:style w:type="character" w:customStyle="1" w:styleId="174">
    <w:name w:val="font31"/>
    <w:basedOn w:val="69"/>
    <w:autoRedefine/>
    <w:qFormat/>
    <w:uiPriority w:val="0"/>
    <w:rPr>
      <w:rFonts w:hint="eastAsia" w:ascii="宋体" w:hAnsi="宋体" w:eastAsia="宋体" w:cs="宋体"/>
      <w:color w:val="000000"/>
      <w:sz w:val="21"/>
      <w:szCs w:val="21"/>
      <w:u w:val="none"/>
    </w:rPr>
  </w:style>
  <w:style w:type="paragraph" w:customStyle="1" w:styleId="175">
    <w:name w:val="列出段落11"/>
    <w:basedOn w:val="1"/>
    <w:autoRedefine/>
    <w:qFormat/>
    <w:uiPriority w:val="34"/>
    <w:pPr>
      <w:widowControl/>
      <w:topLinePunct/>
      <w:adjustRightInd w:val="0"/>
      <w:snapToGrid w:val="0"/>
      <w:spacing w:line="360" w:lineRule="auto"/>
      <w:ind w:firstLine="420" w:firstLineChars="200"/>
      <w:jc w:val="left"/>
    </w:pPr>
    <w:rPr>
      <w:rFonts w:ascii="Calibri" w:hAnsi="Calibri"/>
      <w:szCs w:val="21"/>
    </w:rPr>
  </w:style>
  <w:style w:type="paragraph" w:customStyle="1" w:styleId="176">
    <w:name w:val="Table Text"/>
    <w:autoRedefine/>
    <w:qFormat/>
    <w:uiPriority w:val="0"/>
    <w:pPr>
      <w:tabs>
        <w:tab w:val="decimal" w:pos="0"/>
      </w:tabs>
    </w:pPr>
    <w:rPr>
      <w:rFonts w:ascii="Arial" w:hAnsi="Arial" w:eastAsia="宋体" w:cs="Times New Roman"/>
      <w:sz w:val="21"/>
      <w:szCs w:val="21"/>
      <w:lang w:val="en-US" w:eastAsia="zh-CN" w:bidi="ar-SA"/>
    </w:rPr>
  </w:style>
  <w:style w:type="character" w:customStyle="1" w:styleId="177">
    <w:name w:val="font11"/>
    <w:autoRedefine/>
    <w:qFormat/>
    <w:uiPriority w:val="0"/>
    <w:rPr>
      <w:rFonts w:hint="default" w:ascii="Arial" w:hAnsi="Arial" w:cs="Arial"/>
      <w:color w:val="000000"/>
      <w:sz w:val="18"/>
      <w:szCs w:val="18"/>
      <w:u w:val="none"/>
    </w:rPr>
  </w:style>
  <w:style w:type="character" w:customStyle="1" w:styleId="178">
    <w:name w:val="font01"/>
    <w:autoRedefine/>
    <w:qFormat/>
    <w:uiPriority w:val="0"/>
    <w:rPr>
      <w:rFonts w:hint="eastAsia" w:ascii="宋体" w:hAnsi="宋体" w:eastAsia="宋体" w:cs="宋体"/>
      <w:color w:val="000000"/>
      <w:sz w:val="18"/>
      <w:szCs w:val="18"/>
      <w:u w:val="none"/>
    </w:rPr>
  </w:style>
  <w:style w:type="character" w:customStyle="1" w:styleId="179">
    <w:name w:val="标题 1 Char Char Char"/>
    <w:autoRedefine/>
    <w:qFormat/>
    <w:uiPriority w:val="0"/>
    <w:rPr>
      <w:rFonts w:eastAsia="宋体"/>
      <w:b/>
      <w:spacing w:val="-2"/>
      <w:sz w:val="24"/>
      <w:lang w:val="en-US" w:eastAsia="zh-CN" w:bidi="ar-SA"/>
    </w:rPr>
  </w:style>
  <w:style w:type="paragraph" w:customStyle="1" w:styleId="180">
    <w:name w:val="p1"/>
    <w:basedOn w:val="1"/>
    <w:autoRedefine/>
    <w:qFormat/>
    <w:uiPriority w:val="0"/>
    <w:pPr>
      <w:spacing w:line="380" w:lineRule="atLeast"/>
      <w:jc w:val="left"/>
    </w:pPr>
    <w:rPr>
      <w:rFonts w:ascii="Helvetica Neue" w:hAnsi="Helvetica Neue" w:eastAsia="Helvetica Neue"/>
      <w:color w:val="000000"/>
      <w:kern w:val="0"/>
      <w:sz w:val="26"/>
      <w:szCs w:val="26"/>
    </w:rPr>
  </w:style>
  <w:style w:type="paragraph" w:customStyle="1" w:styleId="181">
    <w:name w:val="_Style 2"/>
    <w:basedOn w:val="1"/>
    <w:autoRedefine/>
    <w:qFormat/>
    <w:uiPriority w:val="34"/>
    <w:pPr>
      <w:autoSpaceDE w:val="0"/>
      <w:autoSpaceDN w:val="0"/>
      <w:adjustRightInd w:val="0"/>
      <w:ind w:firstLine="420" w:firstLineChars="200"/>
    </w:pPr>
    <w:rPr>
      <w:color w:val="000000"/>
      <w:kern w:val="0"/>
      <w:szCs w:val="21"/>
    </w:rPr>
  </w:style>
  <w:style w:type="paragraph" w:customStyle="1" w:styleId="182">
    <w:name w:val="Item List in Table"/>
    <w:basedOn w:val="1"/>
    <w:autoRedefine/>
    <w:qFormat/>
    <w:uiPriority w:val="0"/>
    <w:pPr>
      <w:widowControl/>
      <w:numPr>
        <w:ilvl w:val="0"/>
        <w:numId w:val="1"/>
      </w:numPr>
      <w:topLinePunct/>
      <w:adjustRightInd w:val="0"/>
      <w:snapToGrid w:val="0"/>
      <w:spacing w:before="80" w:after="80" w:line="240" w:lineRule="atLeast"/>
      <w:jc w:val="left"/>
    </w:pPr>
    <w:rPr>
      <w:rFonts w:hint="eastAsia" w:cs="Arial"/>
      <w:kern w:val="0"/>
      <w:szCs w:val="21"/>
    </w:rPr>
  </w:style>
  <w:style w:type="paragraph" w:customStyle="1" w:styleId="183">
    <w:name w:val="正文（深信服）"/>
    <w:autoRedefine/>
    <w:qFormat/>
    <w:uiPriority w:val="0"/>
    <w:pPr>
      <w:spacing w:line="360" w:lineRule="auto"/>
    </w:pPr>
    <w:rPr>
      <w:rFonts w:ascii="Arial" w:hAnsi="Arial" w:eastAsia="宋体" w:cs="Times New Roman"/>
      <w:kern w:val="2"/>
      <w:sz w:val="21"/>
      <w:szCs w:val="21"/>
      <w:lang w:val="en-US" w:eastAsia="zh-CN" w:bidi="ar-SA"/>
    </w:rPr>
  </w:style>
  <w:style w:type="paragraph" w:customStyle="1" w:styleId="184">
    <w:name w:val="0"/>
    <w:autoRedefine/>
    <w:qFormat/>
    <w:uiPriority w:val="0"/>
    <w:pPr>
      <w:snapToGrid w:val="0"/>
      <w:jc w:val="both"/>
    </w:pPr>
    <w:rPr>
      <w:rFonts w:ascii="Times New Roman" w:hAnsi="Times New Roman" w:eastAsia="宋体" w:cs="Times New Roman"/>
      <w:sz w:val="21"/>
      <w:szCs w:val="21"/>
      <w:lang w:val="en-US" w:eastAsia="zh-CN" w:bidi="ar-SA"/>
    </w:rPr>
  </w:style>
  <w:style w:type="paragraph" w:customStyle="1" w:styleId="185">
    <w:name w:val="表格 内容"/>
    <w:basedOn w:val="1"/>
    <w:autoRedefine/>
    <w:qFormat/>
    <w:uiPriority w:val="0"/>
    <w:pPr>
      <w:spacing w:before="50" w:beforeLines="50" w:after="50" w:afterLines="50" w:line="360" w:lineRule="auto"/>
      <w:jc w:val="center"/>
    </w:pPr>
    <w:rPr>
      <w:rFonts w:ascii="微软雅黑" w:hAnsi="微软雅黑" w:eastAsia="仿宋"/>
      <w:sz w:val="24"/>
      <w:szCs w:val="20"/>
    </w:rPr>
  </w:style>
  <w:style w:type="table" w:customStyle="1" w:styleId="186">
    <w:name w:val="TableGrid"/>
    <w:autoRedefine/>
    <w:qFormat/>
    <w:uiPriority w:val="0"/>
    <w:tblPr>
      <w:tblCellMar>
        <w:top w:w="0" w:type="dxa"/>
        <w:left w:w="0" w:type="dxa"/>
        <w:bottom w:w="0" w:type="dxa"/>
        <w:right w:w="0" w:type="dxa"/>
      </w:tblCellMar>
    </w:tblPr>
  </w:style>
  <w:style w:type="paragraph" w:customStyle="1" w:styleId="187">
    <w:name w:val="正文2"/>
    <w:basedOn w:val="1"/>
    <w:autoRedefine/>
    <w:qFormat/>
    <w:uiPriority w:val="0"/>
    <w:pPr>
      <w:spacing w:before="156" w:line="360" w:lineRule="auto"/>
      <w:ind w:firstLine="510" w:firstLineChars="200"/>
    </w:pPr>
    <w:rPr>
      <w:sz w:val="24"/>
      <w:szCs w:val="20"/>
    </w:rPr>
  </w:style>
  <w:style w:type="paragraph" w:customStyle="1" w:styleId="188">
    <w:name w:val="样式 正文2 + 仿宋_GB2312 黑色 段前: 0 磅 行距: 固定值 23 磅"/>
    <w:basedOn w:val="187"/>
    <w:autoRedefine/>
    <w:qFormat/>
    <w:uiPriority w:val="0"/>
    <w:pPr>
      <w:spacing w:before="0" w:line="360" w:lineRule="exact"/>
      <w:ind w:left="-51" w:leftChars="-51" w:firstLine="0" w:firstLineChars="0"/>
    </w:pPr>
    <w:rPr>
      <w:rFonts w:ascii="仿宋_GB2312" w:hAnsi="仿宋_GB2312" w:eastAsia="仿宋_GB2312" w:cs="宋体"/>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0F00B-A105-4B22-B28E-8C2D44BF8E96}">
  <ds:schemaRefs/>
</ds:datastoreItem>
</file>

<file path=docProps/app.xml><?xml version="1.0" encoding="utf-8"?>
<Properties xmlns="http://schemas.openxmlformats.org/officeDocument/2006/extended-properties" xmlns:vt="http://schemas.openxmlformats.org/officeDocument/2006/docPropsVTypes">
  <Template>Normal</Template>
  <Pages>60</Pages>
  <Words>25323</Words>
  <Characters>26080</Characters>
  <Lines>194</Lines>
  <Paragraphs>54</Paragraphs>
  <TotalTime>39</TotalTime>
  <ScaleCrop>false</ScaleCrop>
  <LinksUpToDate>false</LinksUpToDate>
  <CharactersWithSpaces>26889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2020-06-08T01:48:00Z</dcterms:created>
  <dc:creator>user</dc:creator>
  <cp:lastModifiedBy>Administrator</cp:lastModifiedBy>
  <cp:lastPrinted>2024-03-01T03:08:00Z</cp:lastPrinted>
  <dcterms:modified xsi:type="dcterms:W3CDTF">2024-03-04T00:51:30Z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6B8FCE83660048ED936FF82127AD5F99_13</vt:lpwstr>
  </property>
</Properties>
</file>