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center" w:pos="4762"/>
          <w:tab w:val="left" w:pos="5715"/>
        </w:tabs>
        <w:ind w:left="-178" w:leftChars="-85" w:right="-376" w:rightChars="-179"/>
        <w:jc w:val="center"/>
        <w:rPr>
          <w:rFonts w:ascii="仿宋_GB2312" w:hAnsi="仿宋_GB2312" w:eastAsia="仿宋_GB2312" w:cs="仿宋_GB2312"/>
          <w:color w:val="000000"/>
          <w:kern w:val="0"/>
          <w:sz w:val="48"/>
          <w:szCs w:val="48"/>
        </w:rPr>
      </w:pPr>
      <w:r>
        <w:rPr>
          <w:rFonts w:ascii="仿宋_GB2312" w:hAnsi="仿宋_GB2312" w:eastAsia="仿宋_GB2312" w:cs="仿宋_GB2312"/>
          <w:color w:val="000000"/>
          <w:kern w:val="0"/>
          <w:sz w:val="48"/>
          <w:szCs w:val="48"/>
        </w:rPr>
        <w:t>慈溪市政府采购中心集中采购项目</w:t>
      </w:r>
    </w:p>
    <w:p>
      <w:pPr>
        <w:tabs>
          <w:tab w:val="center" w:pos="4762"/>
          <w:tab w:val="left" w:pos="5715"/>
        </w:tabs>
        <w:ind w:left="-178" w:leftChars="-85" w:right="-376" w:rightChars="-179"/>
        <w:jc w:val="center"/>
        <w:rPr>
          <w:rFonts w:ascii="仿宋_GB2312" w:hAnsi="仿宋_GB2312" w:eastAsia="仿宋_GB2312" w:cs="仿宋_GB2312"/>
          <w:color w:val="000000"/>
          <w:kern w:val="0"/>
          <w:sz w:val="48"/>
          <w:szCs w:val="48"/>
        </w:rPr>
      </w:pPr>
    </w:p>
    <w:p>
      <w:pPr>
        <w:tabs>
          <w:tab w:val="center" w:pos="4762"/>
          <w:tab w:val="left" w:pos="5715"/>
        </w:tabs>
        <w:ind w:left="-178" w:leftChars="-85" w:right="-376" w:rightChars="-179"/>
        <w:jc w:val="center"/>
        <w:rPr>
          <w:rFonts w:ascii="仿宋_GB2312" w:hAnsi="仿宋_GB2312" w:eastAsia="仿宋_GB2312" w:cs="仿宋_GB2312"/>
          <w:color w:val="000000"/>
          <w:kern w:val="0"/>
          <w:sz w:val="48"/>
          <w:szCs w:val="48"/>
        </w:rPr>
      </w:pPr>
    </w:p>
    <w:p>
      <w:pPr>
        <w:pStyle w:val="28"/>
      </w:pPr>
    </w:p>
    <w:p>
      <w:pPr>
        <w:jc w:val="center"/>
        <w:rPr>
          <w:rFonts w:ascii="仿宋_GB2312" w:hAnsi="仿宋_GB2312" w:eastAsia="仿宋_GB2312" w:cs="仿宋_GB2312"/>
          <w:color w:val="000000"/>
          <w:kern w:val="0"/>
          <w:sz w:val="72"/>
          <w:szCs w:val="72"/>
        </w:rPr>
      </w:pPr>
      <w:r>
        <w:rPr>
          <w:rFonts w:hint="eastAsia" w:ascii="仿宋_GB2312" w:hAnsi="仿宋_GB2312" w:eastAsia="仿宋_GB2312" w:cs="仿宋_GB2312"/>
          <w:color w:val="000000"/>
          <w:kern w:val="0"/>
          <w:sz w:val="72"/>
          <w:szCs w:val="72"/>
        </w:rPr>
        <w:t>公</w:t>
      </w:r>
    </w:p>
    <w:p>
      <w:pPr>
        <w:jc w:val="center"/>
        <w:rPr>
          <w:rFonts w:ascii="仿宋_GB2312" w:hAnsi="仿宋_GB2312" w:eastAsia="仿宋_GB2312" w:cs="仿宋_GB2312"/>
          <w:color w:val="000000"/>
          <w:kern w:val="0"/>
          <w:sz w:val="72"/>
          <w:szCs w:val="72"/>
        </w:rPr>
      </w:pPr>
      <w:r>
        <w:rPr>
          <w:rFonts w:ascii="仿宋_GB2312" w:hAnsi="仿宋_GB2312" w:eastAsia="仿宋_GB2312" w:cs="仿宋_GB2312"/>
          <w:color w:val="000000"/>
          <w:kern w:val="0"/>
          <w:sz w:val="72"/>
          <w:szCs w:val="72"/>
        </w:rPr>
        <w:t>开</w:t>
      </w:r>
    </w:p>
    <w:p>
      <w:pPr>
        <w:jc w:val="center"/>
        <w:rPr>
          <w:rFonts w:ascii="仿宋_GB2312" w:hAnsi="仿宋_GB2312" w:eastAsia="仿宋_GB2312" w:cs="仿宋_GB2312"/>
          <w:color w:val="000000"/>
          <w:kern w:val="0"/>
          <w:sz w:val="72"/>
          <w:szCs w:val="72"/>
        </w:rPr>
      </w:pPr>
      <w:r>
        <w:rPr>
          <w:rFonts w:ascii="仿宋_GB2312" w:hAnsi="仿宋_GB2312" w:eastAsia="仿宋_GB2312" w:cs="仿宋_GB2312"/>
          <w:color w:val="000000"/>
          <w:kern w:val="0"/>
          <w:sz w:val="72"/>
          <w:szCs w:val="72"/>
        </w:rPr>
        <w:t>招</w:t>
      </w:r>
    </w:p>
    <w:p>
      <w:pPr>
        <w:jc w:val="center"/>
        <w:rPr>
          <w:rFonts w:ascii="仿宋_GB2312" w:hAnsi="仿宋_GB2312" w:eastAsia="仿宋_GB2312" w:cs="仿宋_GB2312"/>
          <w:color w:val="000000"/>
          <w:kern w:val="0"/>
          <w:sz w:val="72"/>
          <w:szCs w:val="72"/>
        </w:rPr>
      </w:pPr>
      <w:r>
        <w:rPr>
          <w:rFonts w:ascii="仿宋_GB2312" w:hAnsi="仿宋_GB2312" w:eastAsia="仿宋_GB2312" w:cs="仿宋_GB2312"/>
          <w:color w:val="000000"/>
          <w:kern w:val="0"/>
          <w:sz w:val="72"/>
          <w:szCs w:val="72"/>
        </w:rPr>
        <w:t>标</w:t>
      </w:r>
    </w:p>
    <w:p>
      <w:pPr>
        <w:jc w:val="center"/>
        <w:rPr>
          <w:rFonts w:ascii="仿宋_GB2312" w:hAnsi="仿宋_GB2312" w:eastAsia="仿宋_GB2312" w:cs="仿宋_GB2312"/>
          <w:color w:val="000000"/>
          <w:kern w:val="0"/>
          <w:sz w:val="72"/>
          <w:szCs w:val="72"/>
        </w:rPr>
      </w:pPr>
      <w:r>
        <w:rPr>
          <w:rFonts w:ascii="仿宋_GB2312" w:hAnsi="仿宋_GB2312" w:eastAsia="仿宋_GB2312" w:cs="仿宋_GB2312"/>
          <w:color w:val="000000"/>
          <w:kern w:val="0"/>
          <w:sz w:val="72"/>
          <w:szCs w:val="72"/>
        </w:rPr>
        <w:t>文</w:t>
      </w:r>
    </w:p>
    <w:p>
      <w:pPr>
        <w:jc w:val="center"/>
        <w:rPr>
          <w:rFonts w:ascii="仿宋_GB2312" w:hAnsi="仿宋_GB2312" w:eastAsia="仿宋_GB2312" w:cs="仿宋_GB2312"/>
          <w:color w:val="000000"/>
          <w:kern w:val="0"/>
          <w:sz w:val="72"/>
          <w:szCs w:val="72"/>
        </w:rPr>
      </w:pPr>
      <w:r>
        <w:rPr>
          <w:rFonts w:ascii="仿宋_GB2312" w:hAnsi="仿宋_GB2312" w:eastAsia="仿宋_GB2312" w:cs="仿宋_GB2312"/>
          <w:color w:val="000000"/>
          <w:kern w:val="0"/>
          <w:sz w:val="72"/>
          <w:szCs w:val="72"/>
        </w:rPr>
        <w:t>件</w:t>
      </w:r>
    </w:p>
    <w:p>
      <w:pPr>
        <w:jc w:val="center"/>
        <w:rPr>
          <w:rFonts w:ascii="仿宋_GB2312" w:hAnsi="仿宋_GB2312" w:eastAsia="仿宋_GB2312" w:cs="仿宋_GB2312"/>
          <w:color w:val="000000"/>
          <w:kern w:val="0"/>
          <w:sz w:val="72"/>
          <w:szCs w:val="72"/>
        </w:rPr>
      </w:pPr>
    </w:p>
    <w:p>
      <w:pPr>
        <w:rPr>
          <w:rFonts w:ascii="仿宋_GB2312" w:hAnsi="仿宋_GB2312" w:eastAsia="仿宋_GB2312" w:cs="仿宋_GB2312"/>
          <w:color w:val="000000"/>
          <w:kern w:val="0"/>
          <w:sz w:val="72"/>
          <w:szCs w:val="72"/>
        </w:rPr>
      </w:pPr>
    </w:p>
    <w:p>
      <w:pPr>
        <w:ind w:firstLine="2240" w:firstLineChars="800"/>
        <w:jc w:val="left"/>
        <w:rPr>
          <w:rFonts w:hint="default" w:ascii="仿宋_GB2312" w:hAnsi="仿宋_GB2312" w:eastAsia="仿宋_GB2312" w:cs="仿宋_GB2312"/>
          <w:color w:val="auto"/>
          <w:kern w:val="0"/>
          <w:sz w:val="28"/>
          <w:szCs w:val="28"/>
          <w:highlight w:val="none"/>
          <w:lang w:eastAsia="zh-CN"/>
        </w:rPr>
      </w:pPr>
      <w:r>
        <w:rPr>
          <w:rFonts w:ascii="仿宋_GB2312" w:hAnsi="仿宋_GB2312" w:eastAsia="仿宋_GB2312" w:cs="仿宋_GB2312"/>
          <w:color w:val="000000"/>
          <w:kern w:val="0"/>
          <w:sz w:val="28"/>
          <w:szCs w:val="28"/>
        </w:rPr>
        <w:t>招标编号：</w:t>
      </w:r>
      <w:r>
        <w:rPr>
          <w:rFonts w:hint="eastAsia" w:ascii="仿宋_GB2312" w:hAnsi="仿宋_GB2312" w:eastAsia="仿宋_GB2312" w:cs="仿宋_GB2312"/>
          <w:color w:val="auto"/>
          <w:kern w:val="0"/>
          <w:sz w:val="28"/>
          <w:szCs w:val="28"/>
          <w:highlight w:val="none"/>
          <w:lang w:eastAsia="zh-CN"/>
        </w:rPr>
        <w:t>NBCXZFCG2023108</w:t>
      </w:r>
    </w:p>
    <w:p>
      <w:pPr>
        <w:ind w:firstLine="2240" w:firstLineChars="800"/>
        <w:jc w:val="left"/>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项目名称：</w:t>
      </w:r>
      <w:r>
        <w:rPr>
          <w:rFonts w:hint="eastAsia" w:ascii="仿宋_GB2312" w:hAnsi="仿宋_GB2312" w:eastAsia="仿宋_GB2312" w:cs="仿宋_GB2312"/>
          <w:color w:val="000000"/>
          <w:kern w:val="0"/>
          <w:sz w:val="28"/>
          <w:szCs w:val="28"/>
        </w:rPr>
        <w:t>物业管理服务</w:t>
      </w:r>
    </w:p>
    <w:p>
      <w:pPr>
        <w:ind w:firstLine="2240" w:firstLineChars="800"/>
        <w:jc w:val="left"/>
        <w:rPr>
          <w:rFonts w:hint="eastAsia" w:ascii="仿宋_GB2312" w:hAnsi="仿宋_GB2312" w:eastAsia="仿宋_GB2312" w:cs="仿宋_GB2312"/>
          <w:color w:val="000000"/>
          <w:kern w:val="0"/>
          <w:sz w:val="28"/>
          <w:szCs w:val="28"/>
          <w:highlight w:val="yellow"/>
          <w:lang w:eastAsia="zh-CN"/>
        </w:rPr>
      </w:pPr>
      <w:r>
        <w:rPr>
          <w:rFonts w:ascii="仿宋_GB2312" w:hAnsi="仿宋_GB2312" w:eastAsia="仿宋_GB2312" w:cs="仿宋_GB2312"/>
          <w:color w:val="000000"/>
          <w:kern w:val="0"/>
          <w:sz w:val="28"/>
          <w:szCs w:val="28"/>
        </w:rPr>
        <w:t>采 购 人：慈溪市教育服务和电化教育中心</w:t>
      </w:r>
    </w:p>
    <w:p>
      <w:pPr>
        <w:ind w:firstLine="2240" w:firstLineChars="800"/>
        <w:jc w:val="left"/>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代理机构：慈溪市</w:t>
      </w:r>
      <w:r>
        <w:rPr>
          <w:rFonts w:hint="eastAsia" w:ascii="仿宋_GB2312" w:hAnsi="仿宋_GB2312" w:eastAsia="仿宋_GB2312" w:cs="仿宋_GB2312"/>
          <w:color w:val="000000"/>
          <w:kern w:val="0"/>
          <w:sz w:val="28"/>
          <w:szCs w:val="28"/>
        </w:rPr>
        <w:t>政府采购</w:t>
      </w:r>
      <w:r>
        <w:rPr>
          <w:rFonts w:ascii="仿宋_GB2312" w:hAnsi="仿宋_GB2312" w:eastAsia="仿宋_GB2312" w:cs="仿宋_GB2312"/>
          <w:color w:val="000000"/>
          <w:kern w:val="0"/>
          <w:sz w:val="28"/>
          <w:szCs w:val="28"/>
        </w:rPr>
        <w:t>中心</w:t>
      </w:r>
    </w:p>
    <w:p>
      <w:pPr>
        <w:jc w:val="center"/>
        <w:rPr>
          <w:rFonts w:ascii="仿宋_GB2312" w:hAnsi="仿宋_GB2312" w:eastAsia="仿宋_GB2312" w:cs="仿宋_GB2312"/>
          <w:color w:val="000000"/>
          <w:kern w:val="0"/>
          <w:sz w:val="48"/>
          <w:szCs w:val="48"/>
        </w:rPr>
      </w:pPr>
      <w:r>
        <w:rPr>
          <w:rFonts w:ascii="仿宋_GB2312" w:hAnsi="仿宋_GB2312" w:eastAsia="仿宋_GB2312" w:cs="仿宋_GB2312"/>
          <w:color w:val="000000"/>
          <w:kern w:val="0"/>
          <w:sz w:val="28"/>
          <w:szCs w:val="28"/>
        </w:rPr>
        <w:t>二〇</w:t>
      </w:r>
      <w:r>
        <w:rPr>
          <w:rFonts w:hint="eastAsia" w:ascii="仿宋_GB2312" w:hAnsi="仿宋_GB2312" w:eastAsia="仿宋_GB2312" w:cs="仿宋_GB2312"/>
          <w:color w:val="000000"/>
          <w:kern w:val="0"/>
          <w:sz w:val="28"/>
          <w:szCs w:val="28"/>
        </w:rPr>
        <w:t>二三</w:t>
      </w:r>
      <w:r>
        <w:rPr>
          <w:rFonts w:ascii="仿宋_GB2312" w:hAnsi="仿宋_GB2312" w:eastAsia="仿宋_GB2312" w:cs="仿宋_GB2312"/>
          <w:color w:val="000000"/>
          <w:kern w:val="0"/>
          <w:sz w:val="28"/>
          <w:szCs w:val="28"/>
        </w:rPr>
        <w:t>年</w:t>
      </w:r>
      <w:r>
        <w:rPr>
          <w:rFonts w:hint="eastAsia" w:ascii="仿宋_GB2312" w:hAnsi="仿宋_GB2312" w:eastAsia="仿宋_GB2312" w:cs="仿宋_GB2312"/>
          <w:color w:val="000000"/>
          <w:kern w:val="0"/>
          <w:sz w:val="28"/>
          <w:szCs w:val="28"/>
          <w:lang w:eastAsia="zh-CN"/>
        </w:rPr>
        <w:t>十二</w:t>
      </w:r>
      <w:r>
        <w:rPr>
          <w:rFonts w:ascii="仿宋_GB2312" w:hAnsi="仿宋_GB2312" w:eastAsia="仿宋_GB2312" w:cs="仿宋_GB2312"/>
          <w:color w:val="000000"/>
          <w:kern w:val="0"/>
          <w:sz w:val="28"/>
          <w:szCs w:val="28"/>
        </w:rPr>
        <w:t>月</w:t>
      </w:r>
    </w:p>
    <w:p>
      <w:pPr>
        <w:jc w:val="center"/>
        <w:rPr>
          <w:rFonts w:ascii="仿宋_GB2312" w:hAnsi="仿宋_GB2312" w:eastAsia="仿宋_GB2312" w:cs="仿宋_GB2312"/>
          <w:color w:val="000000"/>
          <w:kern w:val="0"/>
          <w:sz w:val="48"/>
          <w:szCs w:val="48"/>
        </w:rPr>
      </w:pPr>
    </w:p>
    <w:p>
      <w:pPr>
        <w:jc w:val="center"/>
        <w:rPr>
          <w:rFonts w:ascii="仿宋_GB2312" w:hAnsi="仿宋_GB2312" w:eastAsia="仿宋_GB2312" w:cs="仿宋_GB2312"/>
          <w:color w:val="000000"/>
          <w:kern w:val="0"/>
          <w:sz w:val="48"/>
          <w:szCs w:val="48"/>
        </w:rPr>
      </w:pPr>
      <w:r>
        <w:rPr>
          <w:rFonts w:ascii="仿宋_GB2312" w:hAnsi="仿宋_GB2312" w:eastAsia="仿宋_GB2312" w:cs="仿宋_GB2312"/>
          <w:color w:val="000000"/>
          <w:kern w:val="0"/>
          <w:sz w:val="48"/>
          <w:szCs w:val="48"/>
        </w:rPr>
        <w:t>目 录</w:t>
      </w:r>
    </w:p>
    <w:p>
      <w:pPr>
        <w:jc w:val="center"/>
        <w:rPr>
          <w:rFonts w:ascii="仿宋_GB2312" w:hAnsi="仿宋_GB2312" w:eastAsia="仿宋_GB2312" w:cs="仿宋_GB2312"/>
          <w:color w:val="000000"/>
          <w:kern w:val="0"/>
          <w:sz w:val="28"/>
          <w:szCs w:val="28"/>
        </w:rPr>
      </w:pPr>
    </w:p>
    <w:p>
      <w:pPr>
        <w:pStyle w:val="49"/>
        <w:spacing w:line="520" w:lineRule="exact"/>
        <w:rPr>
          <w:rFonts w:ascii="仿宋_GB2312" w:hAnsi="仿宋_GB2312" w:eastAsia="仿宋_GB2312" w:cs="仿宋_GB2312"/>
          <w:b w:val="0"/>
          <w:color w:val="000000"/>
          <w:kern w:val="0"/>
          <w:sz w:val="28"/>
          <w:szCs w:val="28"/>
        </w:rPr>
      </w:pPr>
      <w:bookmarkStart w:id="0" w:name="_Hlt154576457"/>
      <w:bookmarkEnd w:id="0"/>
      <w:r>
        <w:rPr>
          <w:rFonts w:ascii="仿宋_GB2312" w:hAnsi="仿宋_GB2312" w:eastAsia="仿宋_GB2312" w:cs="仿宋_GB2312"/>
          <w:b w:val="0"/>
          <w:color w:val="000000"/>
          <w:kern w:val="0"/>
          <w:sz w:val="28"/>
          <w:szCs w:val="28"/>
        </w:rPr>
        <w:fldChar w:fldCharType="begin"/>
      </w:r>
      <w:r>
        <w:rPr>
          <w:rFonts w:ascii="仿宋_GB2312" w:hAnsi="仿宋_GB2312" w:eastAsia="仿宋_GB2312" w:cs="仿宋_GB2312"/>
          <w:b w:val="0"/>
          <w:color w:val="000000"/>
          <w:kern w:val="0"/>
          <w:sz w:val="28"/>
          <w:szCs w:val="28"/>
        </w:rPr>
        <w:instrText xml:space="preserve"> HYPERLINK \l "_Toc437251183"</w:instrText>
      </w:r>
      <w:r>
        <w:rPr>
          <w:rFonts w:ascii="仿宋_GB2312" w:hAnsi="仿宋_GB2312" w:eastAsia="仿宋_GB2312" w:cs="仿宋_GB2312"/>
          <w:b w:val="0"/>
          <w:color w:val="000000"/>
          <w:kern w:val="0"/>
          <w:sz w:val="28"/>
          <w:szCs w:val="28"/>
        </w:rPr>
        <w:fldChar w:fldCharType="separate"/>
      </w:r>
      <w:r>
        <w:rPr>
          <w:rFonts w:ascii="仿宋_GB2312" w:hAnsi="仿宋_GB2312" w:eastAsia="仿宋_GB2312" w:cs="仿宋_GB2312"/>
          <w:b w:val="0"/>
          <w:color w:val="000000"/>
          <w:kern w:val="0"/>
          <w:sz w:val="28"/>
          <w:szCs w:val="28"/>
        </w:rPr>
        <w:t>第一部分  招标公告</w:t>
      </w:r>
      <w:r>
        <w:rPr>
          <w:rFonts w:ascii="仿宋_GB2312" w:hAnsi="仿宋_GB2312" w:eastAsia="仿宋_GB2312" w:cs="仿宋_GB2312"/>
          <w:b w:val="0"/>
          <w:color w:val="000000"/>
          <w:kern w:val="0"/>
          <w:sz w:val="28"/>
          <w:szCs w:val="28"/>
        </w:rPr>
        <w:tab/>
      </w:r>
      <w:r>
        <w:rPr>
          <w:rFonts w:ascii="仿宋_GB2312" w:hAnsi="仿宋_GB2312" w:eastAsia="仿宋_GB2312" w:cs="仿宋_GB2312"/>
          <w:b w:val="0"/>
          <w:color w:val="000000"/>
          <w:kern w:val="0"/>
          <w:sz w:val="28"/>
          <w:szCs w:val="28"/>
        </w:rPr>
        <w:t>3</w:t>
      </w:r>
      <w:r>
        <w:rPr>
          <w:rFonts w:ascii="仿宋_GB2312" w:hAnsi="仿宋_GB2312" w:eastAsia="仿宋_GB2312" w:cs="仿宋_GB2312"/>
          <w:b w:val="0"/>
          <w:color w:val="000000"/>
          <w:kern w:val="0"/>
          <w:sz w:val="28"/>
          <w:szCs w:val="28"/>
        </w:rPr>
        <w:fldChar w:fldCharType="end"/>
      </w:r>
    </w:p>
    <w:p>
      <w:pPr>
        <w:pStyle w:val="49"/>
        <w:spacing w:line="520" w:lineRule="exact"/>
        <w:rPr>
          <w:rFonts w:ascii="仿宋_GB2312" w:hAnsi="仿宋_GB2312" w:eastAsia="仿宋_GB2312" w:cs="仿宋_GB2312"/>
          <w:b w:val="0"/>
          <w:color w:val="000000"/>
          <w:kern w:val="0"/>
          <w:sz w:val="28"/>
          <w:szCs w:val="28"/>
        </w:rPr>
      </w:pPr>
      <w:r>
        <w:rPr>
          <w:rFonts w:ascii="仿宋_GB2312" w:hAnsi="仿宋_GB2312" w:eastAsia="仿宋_GB2312" w:cs="仿宋_GB2312"/>
          <w:b w:val="0"/>
          <w:color w:val="000000"/>
          <w:kern w:val="0"/>
          <w:sz w:val="28"/>
          <w:szCs w:val="28"/>
        </w:rPr>
        <w:fldChar w:fldCharType="begin"/>
      </w:r>
      <w:r>
        <w:rPr>
          <w:rFonts w:ascii="仿宋_GB2312" w:hAnsi="仿宋_GB2312" w:eastAsia="仿宋_GB2312" w:cs="仿宋_GB2312"/>
          <w:b w:val="0"/>
          <w:color w:val="000000"/>
          <w:kern w:val="0"/>
          <w:sz w:val="28"/>
          <w:szCs w:val="28"/>
        </w:rPr>
        <w:instrText xml:space="preserve"> TOC \o "1-1" \h \z \u </w:instrText>
      </w:r>
      <w:r>
        <w:rPr>
          <w:rFonts w:ascii="仿宋_GB2312" w:hAnsi="仿宋_GB2312" w:eastAsia="仿宋_GB2312" w:cs="仿宋_GB2312"/>
          <w:b w:val="0"/>
          <w:color w:val="000000"/>
          <w:kern w:val="0"/>
          <w:sz w:val="28"/>
          <w:szCs w:val="28"/>
        </w:rPr>
        <w:fldChar w:fldCharType="separate"/>
      </w:r>
      <w:r>
        <w:fldChar w:fldCharType="begin"/>
      </w:r>
      <w:r>
        <w:instrText xml:space="preserve"> HYPERLINK \l "_Toc437251183" </w:instrText>
      </w:r>
      <w:r>
        <w:fldChar w:fldCharType="separate"/>
      </w:r>
      <w:r>
        <w:rPr>
          <w:rFonts w:ascii="仿宋_GB2312" w:hAnsi="仿宋_GB2312" w:eastAsia="仿宋_GB2312" w:cs="仿宋_GB2312"/>
          <w:b w:val="0"/>
          <w:color w:val="000000"/>
          <w:kern w:val="0"/>
          <w:sz w:val="28"/>
          <w:szCs w:val="28"/>
        </w:rPr>
        <w:t>第二部分  招标需求</w:t>
      </w:r>
      <w:r>
        <w:rPr>
          <w:rFonts w:ascii="仿宋_GB2312" w:hAnsi="仿宋_GB2312" w:eastAsia="仿宋_GB2312" w:cs="仿宋_GB2312"/>
          <w:b w:val="0"/>
          <w:color w:val="000000"/>
          <w:kern w:val="0"/>
          <w:sz w:val="28"/>
          <w:szCs w:val="28"/>
        </w:rPr>
        <w:tab/>
      </w:r>
      <w:r>
        <w:rPr>
          <w:rFonts w:hint="eastAsia" w:ascii="仿宋_GB2312" w:hAnsi="仿宋_GB2312" w:eastAsia="仿宋_GB2312" w:cs="仿宋_GB2312"/>
          <w:b w:val="0"/>
          <w:color w:val="000000"/>
          <w:kern w:val="0"/>
          <w:sz w:val="28"/>
          <w:szCs w:val="28"/>
        </w:rPr>
        <w:t>7</w:t>
      </w:r>
      <w:r>
        <w:rPr>
          <w:rFonts w:hint="eastAsia" w:ascii="仿宋_GB2312" w:hAnsi="仿宋_GB2312" w:eastAsia="仿宋_GB2312" w:cs="仿宋_GB2312"/>
          <w:b w:val="0"/>
          <w:color w:val="000000"/>
          <w:kern w:val="0"/>
          <w:sz w:val="28"/>
          <w:szCs w:val="28"/>
        </w:rPr>
        <w:fldChar w:fldCharType="end"/>
      </w:r>
    </w:p>
    <w:p>
      <w:pPr>
        <w:pStyle w:val="49"/>
        <w:spacing w:line="520" w:lineRule="exact"/>
        <w:rPr>
          <w:rFonts w:ascii="仿宋_GB2312" w:hAnsi="仿宋_GB2312" w:eastAsia="仿宋_GB2312" w:cs="仿宋_GB2312"/>
          <w:b w:val="0"/>
          <w:color w:val="000000"/>
          <w:kern w:val="0"/>
          <w:sz w:val="28"/>
          <w:szCs w:val="28"/>
        </w:rPr>
      </w:pPr>
      <w:r>
        <w:fldChar w:fldCharType="begin"/>
      </w:r>
      <w:r>
        <w:instrText xml:space="preserve"> HYPERLINK \l "_Toc437251185" </w:instrText>
      </w:r>
      <w:r>
        <w:fldChar w:fldCharType="separate"/>
      </w:r>
      <w:r>
        <w:rPr>
          <w:rFonts w:ascii="仿宋_GB2312" w:hAnsi="仿宋_GB2312" w:eastAsia="仿宋_GB2312" w:cs="仿宋_GB2312"/>
          <w:b w:val="0"/>
          <w:color w:val="000000"/>
          <w:kern w:val="0"/>
          <w:sz w:val="28"/>
          <w:szCs w:val="28"/>
        </w:rPr>
        <w:t>第三部分  投标人须知</w:t>
      </w:r>
      <w:r>
        <w:rPr>
          <w:rFonts w:ascii="仿宋_GB2312" w:hAnsi="仿宋_GB2312" w:eastAsia="仿宋_GB2312" w:cs="仿宋_GB2312"/>
          <w:b w:val="0"/>
          <w:color w:val="000000"/>
          <w:kern w:val="0"/>
          <w:sz w:val="28"/>
          <w:szCs w:val="28"/>
        </w:rPr>
        <w:tab/>
      </w:r>
      <w:r>
        <w:rPr>
          <w:rFonts w:hint="eastAsia" w:ascii="仿宋_GB2312" w:hAnsi="仿宋_GB2312" w:eastAsia="仿宋_GB2312" w:cs="仿宋_GB2312"/>
          <w:b w:val="0"/>
          <w:color w:val="000000"/>
          <w:kern w:val="0"/>
          <w:sz w:val="28"/>
          <w:szCs w:val="28"/>
        </w:rPr>
        <w:t>1</w:t>
      </w:r>
      <w:r>
        <w:rPr>
          <w:rFonts w:hint="eastAsia" w:ascii="仿宋_GB2312" w:hAnsi="仿宋_GB2312" w:eastAsia="仿宋_GB2312" w:cs="仿宋_GB2312"/>
          <w:b w:val="0"/>
          <w:color w:val="000000"/>
          <w:kern w:val="0"/>
          <w:sz w:val="28"/>
          <w:szCs w:val="28"/>
        </w:rPr>
        <w:fldChar w:fldCharType="end"/>
      </w:r>
      <w:r>
        <w:rPr>
          <w:rFonts w:hint="eastAsia" w:ascii="仿宋_GB2312" w:hAnsi="仿宋_GB2312" w:eastAsia="仿宋_GB2312" w:cs="仿宋_GB2312"/>
          <w:b w:val="0"/>
          <w:color w:val="000000"/>
          <w:kern w:val="0"/>
          <w:sz w:val="28"/>
          <w:szCs w:val="28"/>
        </w:rPr>
        <w:t>2</w:t>
      </w:r>
    </w:p>
    <w:p>
      <w:pPr>
        <w:pStyle w:val="49"/>
        <w:spacing w:line="520" w:lineRule="exact"/>
        <w:rPr>
          <w:rFonts w:ascii="仿宋_GB2312" w:hAnsi="仿宋_GB2312" w:eastAsia="仿宋_GB2312" w:cs="仿宋_GB2312"/>
          <w:b w:val="0"/>
          <w:color w:val="000000"/>
          <w:kern w:val="0"/>
          <w:sz w:val="28"/>
          <w:szCs w:val="28"/>
        </w:rPr>
      </w:pPr>
      <w:r>
        <w:fldChar w:fldCharType="begin"/>
      </w:r>
      <w:r>
        <w:instrText xml:space="preserve"> HYPERLINK \l "_Toc437251186" </w:instrText>
      </w:r>
      <w:r>
        <w:fldChar w:fldCharType="separate"/>
      </w:r>
      <w:r>
        <w:rPr>
          <w:rFonts w:ascii="仿宋_GB2312" w:hAnsi="仿宋_GB2312" w:eastAsia="仿宋_GB2312" w:cs="仿宋_GB2312"/>
          <w:b w:val="0"/>
          <w:color w:val="000000"/>
          <w:kern w:val="0"/>
          <w:sz w:val="28"/>
          <w:szCs w:val="28"/>
        </w:rPr>
        <w:t>第四部分  开标、评标和定标</w:t>
      </w:r>
      <w:r>
        <w:rPr>
          <w:rFonts w:ascii="仿宋_GB2312" w:hAnsi="仿宋_GB2312" w:eastAsia="仿宋_GB2312" w:cs="仿宋_GB2312"/>
          <w:b w:val="0"/>
          <w:color w:val="000000"/>
          <w:kern w:val="0"/>
          <w:sz w:val="28"/>
          <w:szCs w:val="28"/>
        </w:rPr>
        <w:tab/>
      </w:r>
      <w:r>
        <w:rPr>
          <w:rFonts w:hint="eastAsia" w:ascii="仿宋_GB2312" w:hAnsi="仿宋_GB2312" w:eastAsia="仿宋_GB2312" w:cs="仿宋_GB2312"/>
          <w:b w:val="0"/>
          <w:color w:val="000000"/>
          <w:kern w:val="0"/>
          <w:sz w:val="28"/>
          <w:szCs w:val="28"/>
        </w:rPr>
        <w:t>2</w:t>
      </w:r>
      <w:r>
        <w:rPr>
          <w:rFonts w:hint="eastAsia" w:ascii="仿宋_GB2312" w:hAnsi="仿宋_GB2312" w:eastAsia="仿宋_GB2312" w:cs="仿宋_GB2312"/>
          <w:b w:val="0"/>
          <w:color w:val="000000"/>
          <w:kern w:val="0"/>
          <w:sz w:val="28"/>
          <w:szCs w:val="28"/>
        </w:rPr>
        <w:fldChar w:fldCharType="end"/>
      </w:r>
      <w:r>
        <w:rPr>
          <w:rFonts w:hint="eastAsia" w:ascii="仿宋_GB2312" w:hAnsi="仿宋_GB2312" w:eastAsia="仿宋_GB2312" w:cs="仿宋_GB2312"/>
          <w:b w:val="0"/>
          <w:color w:val="000000"/>
          <w:kern w:val="0"/>
          <w:sz w:val="28"/>
          <w:szCs w:val="28"/>
        </w:rPr>
        <w:t>5</w:t>
      </w:r>
    </w:p>
    <w:p>
      <w:pPr>
        <w:pStyle w:val="49"/>
        <w:spacing w:line="520" w:lineRule="exact"/>
        <w:rPr>
          <w:rFonts w:ascii="仿宋_GB2312" w:hAnsi="仿宋_GB2312" w:eastAsia="仿宋_GB2312" w:cs="仿宋_GB2312"/>
          <w:b w:val="0"/>
          <w:color w:val="000000"/>
          <w:kern w:val="0"/>
          <w:sz w:val="28"/>
          <w:szCs w:val="28"/>
        </w:rPr>
      </w:pPr>
      <w:r>
        <w:fldChar w:fldCharType="begin"/>
      </w:r>
      <w:r>
        <w:instrText xml:space="preserve"> HYPERLINK \l "_Toc437251186" </w:instrText>
      </w:r>
      <w:r>
        <w:fldChar w:fldCharType="separate"/>
      </w:r>
      <w:r>
        <w:rPr>
          <w:rFonts w:ascii="仿宋_GB2312" w:hAnsi="仿宋_GB2312" w:eastAsia="仿宋_GB2312" w:cs="仿宋_GB2312"/>
          <w:b w:val="0"/>
          <w:color w:val="000000"/>
          <w:kern w:val="0"/>
          <w:sz w:val="28"/>
          <w:szCs w:val="28"/>
        </w:rPr>
        <w:t>第五部分  评标办法及评分标准</w:t>
      </w:r>
      <w:r>
        <w:rPr>
          <w:rFonts w:ascii="仿宋_GB2312" w:hAnsi="仿宋_GB2312" w:eastAsia="仿宋_GB2312" w:cs="仿宋_GB2312"/>
          <w:b w:val="0"/>
          <w:color w:val="000000"/>
          <w:kern w:val="0"/>
          <w:sz w:val="28"/>
          <w:szCs w:val="28"/>
        </w:rPr>
        <w:tab/>
      </w:r>
      <w:r>
        <w:rPr>
          <w:rFonts w:hint="eastAsia" w:ascii="仿宋_GB2312" w:hAnsi="仿宋_GB2312" w:eastAsia="仿宋_GB2312" w:cs="仿宋_GB2312"/>
          <w:b w:val="0"/>
          <w:color w:val="000000"/>
          <w:kern w:val="0"/>
          <w:sz w:val="28"/>
          <w:szCs w:val="28"/>
        </w:rPr>
        <w:t>3</w:t>
      </w:r>
      <w:r>
        <w:rPr>
          <w:rFonts w:hint="eastAsia" w:ascii="仿宋_GB2312" w:hAnsi="仿宋_GB2312" w:eastAsia="仿宋_GB2312" w:cs="仿宋_GB2312"/>
          <w:b w:val="0"/>
          <w:color w:val="000000"/>
          <w:kern w:val="0"/>
          <w:sz w:val="28"/>
          <w:szCs w:val="28"/>
        </w:rPr>
        <w:fldChar w:fldCharType="end"/>
      </w:r>
      <w:r>
        <w:rPr>
          <w:rFonts w:hint="eastAsia" w:ascii="仿宋_GB2312" w:hAnsi="仿宋_GB2312" w:eastAsia="仿宋_GB2312" w:cs="仿宋_GB2312"/>
          <w:b w:val="0"/>
          <w:color w:val="000000"/>
          <w:kern w:val="0"/>
          <w:sz w:val="28"/>
          <w:szCs w:val="28"/>
        </w:rPr>
        <w:t>1</w:t>
      </w:r>
    </w:p>
    <w:p>
      <w:pPr>
        <w:pStyle w:val="49"/>
        <w:spacing w:line="520" w:lineRule="exact"/>
        <w:rPr>
          <w:rFonts w:ascii="仿宋_GB2312" w:hAnsi="仿宋_GB2312" w:eastAsia="仿宋_GB2312" w:cs="仿宋_GB2312"/>
          <w:b w:val="0"/>
          <w:color w:val="000000"/>
          <w:kern w:val="0"/>
          <w:sz w:val="28"/>
          <w:szCs w:val="28"/>
        </w:rPr>
      </w:pPr>
      <w:r>
        <w:fldChar w:fldCharType="begin"/>
      </w:r>
      <w:r>
        <w:instrText xml:space="preserve"> HYPERLINK \l "_Toc437251187" </w:instrText>
      </w:r>
      <w:r>
        <w:fldChar w:fldCharType="separate"/>
      </w:r>
      <w:r>
        <w:rPr>
          <w:rFonts w:ascii="仿宋_GB2312" w:hAnsi="仿宋_GB2312" w:eastAsia="仿宋_GB2312" w:cs="仿宋_GB2312"/>
          <w:b w:val="0"/>
          <w:color w:val="000000"/>
          <w:kern w:val="0"/>
          <w:sz w:val="28"/>
          <w:szCs w:val="28"/>
        </w:rPr>
        <w:t xml:space="preserve">第六部分  </w:t>
      </w:r>
      <w:r>
        <w:rPr>
          <w:rFonts w:hint="eastAsia" w:ascii="仿宋_GB2312" w:hAnsi="仿宋_GB2312" w:eastAsia="仿宋_GB2312" w:cs="仿宋_GB2312"/>
          <w:b w:val="0"/>
          <w:color w:val="000000"/>
          <w:kern w:val="0"/>
          <w:sz w:val="28"/>
          <w:szCs w:val="28"/>
        </w:rPr>
        <w:t>拟</w:t>
      </w:r>
      <w:r>
        <w:rPr>
          <w:rFonts w:ascii="仿宋_GB2312" w:hAnsi="仿宋_GB2312" w:eastAsia="仿宋_GB2312" w:cs="仿宋_GB2312"/>
          <w:b w:val="0"/>
          <w:color w:val="000000"/>
          <w:kern w:val="0"/>
          <w:sz w:val="28"/>
          <w:szCs w:val="28"/>
        </w:rPr>
        <w:t>签订合同样本</w:t>
      </w:r>
      <w:r>
        <w:rPr>
          <w:rFonts w:ascii="仿宋_GB2312" w:hAnsi="仿宋_GB2312" w:eastAsia="仿宋_GB2312" w:cs="仿宋_GB2312"/>
          <w:b w:val="0"/>
          <w:color w:val="000000"/>
          <w:kern w:val="0"/>
          <w:sz w:val="28"/>
          <w:szCs w:val="28"/>
        </w:rPr>
        <w:tab/>
      </w:r>
      <w:r>
        <w:rPr>
          <w:rFonts w:hint="eastAsia" w:ascii="仿宋_GB2312" w:hAnsi="仿宋_GB2312" w:eastAsia="仿宋_GB2312" w:cs="仿宋_GB2312"/>
          <w:b w:val="0"/>
          <w:color w:val="000000"/>
          <w:kern w:val="0"/>
          <w:sz w:val="28"/>
          <w:szCs w:val="28"/>
        </w:rPr>
        <w:t>3</w:t>
      </w:r>
      <w:r>
        <w:rPr>
          <w:rFonts w:hint="eastAsia" w:ascii="仿宋_GB2312" w:hAnsi="仿宋_GB2312" w:eastAsia="仿宋_GB2312" w:cs="仿宋_GB2312"/>
          <w:b w:val="0"/>
          <w:color w:val="000000"/>
          <w:kern w:val="0"/>
          <w:sz w:val="28"/>
          <w:szCs w:val="28"/>
        </w:rPr>
        <w:fldChar w:fldCharType="end"/>
      </w:r>
      <w:r>
        <w:rPr>
          <w:rFonts w:hint="eastAsia" w:ascii="仿宋_GB2312" w:hAnsi="仿宋_GB2312" w:eastAsia="仿宋_GB2312" w:cs="仿宋_GB2312"/>
          <w:b w:val="0"/>
          <w:color w:val="000000"/>
          <w:kern w:val="0"/>
          <w:sz w:val="28"/>
          <w:szCs w:val="28"/>
        </w:rPr>
        <w:t>4</w:t>
      </w:r>
    </w:p>
    <w:p>
      <w:pPr>
        <w:pStyle w:val="49"/>
        <w:spacing w:line="520" w:lineRule="exact"/>
        <w:rPr>
          <w:rFonts w:ascii="仿宋_GB2312" w:hAnsi="仿宋_GB2312" w:eastAsia="仿宋_GB2312" w:cs="仿宋_GB2312"/>
          <w:b w:val="0"/>
          <w:color w:val="000000"/>
          <w:kern w:val="0"/>
          <w:sz w:val="28"/>
          <w:szCs w:val="28"/>
        </w:rPr>
      </w:pPr>
      <w:r>
        <w:fldChar w:fldCharType="begin"/>
      </w:r>
      <w:r>
        <w:instrText xml:space="preserve"> HYPERLINK \l "_Toc437251188" </w:instrText>
      </w:r>
      <w:r>
        <w:fldChar w:fldCharType="separate"/>
      </w:r>
      <w:r>
        <w:rPr>
          <w:rFonts w:ascii="仿宋_GB2312" w:hAnsi="仿宋_GB2312" w:eastAsia="仿宋_GB2312" w:cs="仿宋_GB2312"/>
          <w:b w:val="0"/>
          <w:color w:val="000000"/>
          <w:kern w:val="0"/>
          <w:sz w:val="28"/>
          <w:szCs w:val="28"/>
        </w:rPr>
        <w:t>第七部分  投标文件格式</w:t>
      </w:r>
      <w:r>
        <w:rPr>
          <w:rFonts w:ascii="仿宋_GB2312" w:hAnsi="仿宋_GB2312" w:eastAsia="仿宋_GB2312" w:cs="仿宋_GB2312"/>
          <w:b w:val="0"/>
          <w:color w:val="000000"/>
          <w:kern w:val="0"/>
          <w:sz w:val="28"/>
          <w:szCs w:val="28"/>
        </w:rPr>
        <w:tab/>
      </w:r>
      <w:r>
        <w:rPr>
          <w:rFonts w:hint="eastAsia" w:ascii="仿宋_GB2312" w:hAnsi="仿宋_GB2312" w:eastAsia="仿宋_GB2312" w:cs="仿宋_GB2312"/>
          <w:b w:val="0"/>
          <w:color w:val="000000"/>
          <w:kern w:val="0"/>
          <w:sz w:val="28"/>
          <w:szCs w:val="28"/>
        </w:rPr>
        <w:t>4</w:t>
      </w:r>
      <w:r>
        <w:rPr>
          <w:rFonts w:hint="eastAsia" w:ascii="仿宋_GB2312" w:hAnsi="仿宋_GB2312" w:eastAsia="仿宋_GB2312" w:cs="仿宋_GB2312"/>
          <w:b w:val="0"/>
          <w:color w:val="000000"/>
          <w:kern w:val="0"/>
          <w:sz w:val="28"/>
          <w:szCs w:val="28"/>
        </w:rPr>
        <w:fldChar w:fldCharType="end"/>
      </w:r>
      <w:r>
        <w:rPr>
          <w:rFonts w:hint="eastAsia" w:ascii="仿宋_GB2312" w:hAnsi="仿宋_GB2312" w:eastAsia="仿宋_GB2312" w:cs="仿宋_GB2312"/>
          <w:b w:val="0"/>
          <w:color w:val="000000"/>
          <w:kern w:val="0"/>
          <w:sz w:val="28"/>
          <w:szCs w:val="28"/>
        </w:rPr>
        <w:t>6</w:t>
      </w:r>
    </w:p>
    <w:p>
      <w:pPr>
        <w:jc w:val="center"/>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fldChar w:fldCharType="end"/>
      </w:r>
    </w:p>
    <w:p>
      <w:pPr>
        <w:jc w:val="center"/>
      </w:pPr>
    </w:p>
    <w:p>
      <w:pPr>
        <w:jc w:val="center"/>
      </w:pPr>
    </w:p>
    <w:p>
      <w:pPr>
        <w:jc w:val="center"/>
      </w:pPr>
    </w:p>
    <w:p>
      <w:pPr>
        <w:jc w:val="center"/>
      </w:pPr>
    </w:p>
    <w:p>
      <w:pPr>
        <w:jc w:val="center"/>
      </w:pPr>
    </w:p>
    <w:p>
      <w:pPr>
        <w:jc w:val="center"/>
      </w:pPr>
    </w:p>
    <w:p>
      <w:pPr>
        <w:jc w:val="center"/>
      </w:pPr>
    </w:p>
    <w:p>
      <w:pPr>
        <w:jc w:val="center"/>
      </w:pPr>
    </w:p>
    <w:p>
      <w:pPr>
        <w:jc w:val="center"/>
      </w:pPr>
    </w:p>
    <w:p>
      <w:pPr>
        <w:jc w:val="center"/>
      </w:pPr>
    </w:p>
    <w:p>
      <w:pPr>
        <w:jc w:val="center"/>
      </w:pPr>
    </w:p>
    <w:p>
      <w:pPr>
        <w:jc w:val="center"/>
      </w:pPr>
    </w:p>
    <w:p>
      <w:pPr>
        <w:jc w:val="center"/>
      </w:pPr>
    </w:p>
    <w:p>
      <w:pPr>
        <w:jc w:val="center"/>
      </w:pPr>
    </w:p>
    <w:p>
      <w:pPr>
        <w:jc w:val="center"/>
      </w:pPr>
    </w:p>
    <w:p>
      <w:pPr>
        <w:jc w:val="center"/>
      </w:pPr>
    </w:p>
    <w:p>
      <w:pPr>
        <w:jc w:val="center"/>
      </w:pPr>
    </w:p>
    <w:p>
      <w:pPr>
        <w:jc w:val="center"/>
      </w:pPr>
    </w:p>
    <w:p>
      <w:pPr>
        <w:pStyle w:val="29"/>
        <w:ind w:firstLine="0" w:firstLineChars="0"/>
      </w:pPr>
    </w:p>
    <w:p>
      <w:pPr>
        <w:pStyle w:val="29"/>
        <w:ind w:firstLine="0" w:firstLineChars="0"/>
      </w:pPr>
    </w:p>
    <w:p>
      <w:pPr>
        <w:pStyle w:val="29"/>
        <w:ind w:firstLine="0" w:firstLineChars="0"/>
      </w:pPr>
    </w:p>
    <w:p/>
    <w:p>
      <w:pPr>
        <w:spacing w:line="360" w:lineRule="auto"/>
        <w:jc w:val="center"/>
        <w:rPr>
          <w:rFonts w:ascii="仿宋_GB2312" w:hAnsi="仿宋_GB2312" w:eastAsia="仿宋_GB2312" w:cs="仿宋_GB2312"/>
          <w:color w:val="000000"/>
          <w:kern w:val="0"/>
          <w:sz w:val="36"/>
          <w:szCs w:val="36"/>
        </w:rPr>
      </w:pPr>
      <w:r>
        <w:rPr>
          <w:rFonts w:ascii="仿宋_GB2312" w:hAnsi="仿宋_GB2312" w:eastAsia="仿宋_GB2312" w:cs="仿宋_GB2312"/>
          <w:color w:val="000000"/>
          <w:kern w:val="0"/>
          <w:sz w:val="36"/>
          <w:szCs w:val="36"/>
        </w:rPr>
        <w:t>第一部分   招标公告</w:t>
      </w:r>
    </w:p>
    <w:p>
      <w:pPr>
        <w:spacing w:line="360" w:lineRule="auto"/>
        <w:jc w:val="center"/>
        <w:rPr>
          <w:rFonts w:ascii="Arial" w:hAnsi="Arial" w:eastAsia="仿宋" w:cs="Arial"/>
          <w:b/>
          <w:sz w:val="36"/>
          <w:szCs w:val="36"/>
        </w:rPr>
      </w:pPr>
    </w:p>
    <w:p>
      <w:pPr>
        <w:spacing w:line="360" w:lineRule="auto"/>
        <w:ind w:firstLine="560" w:firstLineChars="200"/>
        <w:jc w:val="left"/>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根据《中华人民共和国政府采购法》等有关法律规定，慈溪市</w:t>
      </w:r>
      <w:r>
        <w:rPr>
          <w:rFonts w:hint="eastAsia" w:ascii="仿宋_GB2312" w:hAnsi="仿宋_GB2312" w:eastAsia="仿宋_GB2312" w:cs="仿宋_GB2312"/>
          <w:color w:val="000000"/>
          <w:kern w:val="0"/>
          <w:sz w:val="28"/>
          <w:szCs w:val="28"/>
        </w:rPr>
        <w:t>政府采购</w:t>
      </w:r>
      <w:r>
        <w:rPr>
          <w:rFonts w:ascii="仿宋_GB2312" w:hAnsi="仿宋_GB2312" w:eastAsia="仿宋_GB2312" w:cs="仿宋_GB2312"/>
          <w:color w:val="000000"/>
          <w:kern w:val="0"/>
          <w:sz w:val="28"/>
          <w:szCs w:val="28"/>
        </w:rPr>
        <w:t>中心受</w:t>
      </w:r>
      <w:r>
        <w:rPr>
          <w:rFonts w:hint="eastAsia" w:ascii="仿宋_GB2312" w:hAnsi="仿宋_GB2312" w:eastAsia="仿宋_GB2312" w:cs="仿宋_GB2312"/>
          <w:color w:val="000000"/>
          <w:kern w:val="0"/>
          <w:sz w:val="28"/>
          <w:szCs w:val="28"/>
          <w:lang w:eastAsia="zh-CN"/>
        </w:rPr>
        <w:t>慈溪市教育服务和电化教育中心</w:t>
      </w:r>
      <w:r>
        <w:rPr>
          <w:rFonts w:ascii="仿宋_GB2312" w:hAnsi="仿宋_GB2312" w:eastAsia="仿宋_GB2312" w:cs="仿宋_GB2312"/>
          <w:color w:val="000000"/>
          <w:kern w:val="0"/>
          <w:sz w:val="28"/>
          <w:szCs w:val="28"/>
          <w:highlight w:val="none"/>
        </w:rPr>
        <w:t>委</w:t>
      </w:r>
      <w:r>
        <w:rPr>
          <w:rFonts w:ascii="仿宋_GB2312" w:hAnsi="仿宋_GB2312" w:eastAsia="仿宋_GB2312" w:cs="仿宋_GB2312"/>
          <w:color w:val="000000"/>
          <w:kern w:val="0"/>
          <w:sz w:val="28"/>
          <w:szCs w:val="28"/>
        </w:rPr>
        <w:t>托，经政府采购管理部门批准，就</w:t>
      </w:r>
      <w:r>
        <w:rPr>
          <w:rFonts w:hint="eastAsia" w:ascii="仿宋_GB2312" w:hAnsi="仿宋_GB2312" w:eastAsia="仿宋_GB2312" w:cs="仿宋_GB2312"/>
          <w:color w:val="000000"/>
          <w:kern w:val="0"/>
          <w:sz w:val="28"/>
          <w:szCs w:val="28"/>
        </w:rPr>
        <w:t>下列</w:t>
      </w:r>
      <w:r>
        <w:rPr>
          <w:rFonts w:ascii="仿宋_GB2312" w:hAnsi="仿宋_GB2312" w:eastAsia="仿宋_GB2312" w:cs="仿宋_GB2312"/>
          <w:color w:val="000000"/>
          <w:kern w:val="0"/>
          <w:sz w:val="28"/>
          <w:szCs w:val="28"/>
        </w:rPr>
        <w:t>项目进行公开招标，</w:t>
      </w:r>
      <w:r>
        <w:rPr>
          <w:rFonts w:hint="eastAsia" w:ascii="仿宋_GB2312" w:hAnsi="仿宋_GB2312" w:eastAsia="仿宋_GB2312" w:cs="仿宋_GB2312"/>
          <w:color w:val="000000"/>
          <w:kern w:val="0"/>
          <w:sz w:val="28"/>
          <w:szCs w:val="28"/>
        </w:rPr>
        <w:t>现将</w:t>
      </w:r>
      <w:r>
        <w:rPr>
          <w:rFonts w:ascii="仿宋_GB2312" w:hAnsi="仿宋_GB2312" w:eastAsia="仿宋_GB2312" w:cs="仿宋_GB2312"/>
          <w:color w:val="000000"/>
          <w:kern w:val="0"/>
          <w:sz w:val="28"/>
          <w:szCs w:val="28"/>
        </w:rPr>
        <w:t>有关事项公告如下</w:t>
      </w:r>
      <w:r>
        <w:rPr>
          <w:rFonts w:hint="eastAsia" w:ascii="仿宋_GB2312" w:hAnsi="仿宋_GB2312" w:eastAsia="仿宋_GB2312" w:cs="仿宋_GB2312"/>
          <w:color w:val="000000"/>
          <w:kern w:val="0"/>
          <w:sz w:val="28"/>
          <w:szCs w:val="28"/>
        </w:rPr>
        <w:t>：</w:t>
      </w:r>
    </w:p>
    <w:p>
      <w:pPr>
        <w:numPr>
          <w:ilvl w:val="0"/>
          <w:numId w:val="2"/>
        </w:numPr>
        <w:spacing w:line="360" w:lineRule="auto"/>
        <w:ind w:firstLine="562" w:firstLineChars="200"/>
        <w:jc w:val="left"/>
        <w:rPr>
          <w:rFonts w:ascii="仿宋_GB2312" w:hAnsi="仿宋_GB2312" w:eastAsia="仿宋_GB2312" w:cs="仿宋_GB2312"/>
          <w:color w:val="auto"/>
          <w:kern w:val="0"/>
          <w:sz w:val="28"/>
          <w:szCs w:val="28"/>
          <w:highlight w:val="none"/>
        </w:rPr>
      </w:pPr>
      <w:r>
        <w:rPr>
          <w:rFonts w:ascii="仿宋_GB2312" w:hAnsi="仿宋_GB2312" w:eastAsia="仿宋_GB2312" w:cs="仿宋_GB2312"/>
          <w:b/>
          <w:bCs/>
          <w:color w:val="000000"/>
          <w:kern w:val="0"/>
          <w:sz w:val="28"/>
          <w:szCs w:val="28"/>
          <w:highlight w:val="none"/>
        </w:rPr>
        <w:t>招标编号：</w:t>
      </w:r>
      <w:r>
        <w:rPr>
          <w:rFonts w:hint="eastAsia" w:ascii="仿宋_GB2312" w:hAnsi="仿宋_GB2312" w:eastAsia="仿宋_GB2312" w:cs="仿宋_GB2312"/>
          <w:b/>
          <w:bCs/>
          <w:color w:val="auto"/>
          <w:kern w:val="0"/>
          <w:sz w:val="28"/>
          <w:szCs w:val="28"/>
          <w:highlight w:val="none"/>
          <w:lang w:eastAsia="zh-CN"/>
        </w:rPr>
        <w:t>NBCXZFCG2023108</w:t>
      </w:r>
    </w:p>
    <w:p>
      <w:pPr>
        <w:spacing w:line="360" w:lineRule="auto"/>
        <w:ind w:firstLine="562" w:firstLineChars="200"/>
        <w:jc w:val="left"/>
        <w:rPr>
          <w:rFonts w:ascii="仿宋_GB2312" w:hAnsi="仿宋_GB2312" w:eastAsia="仿宋_GB2312" w:cs="仿宋_GB2312"/>
          <w:color w:val="000000"/>
          <w:kern w:val="0"/>
          <w:sz w:val="28"/>
          <w:szCs w:val="28"/>
        </w:rPr>
      </w:pPr>
      <w:r>
        <w:rPr>
          <w:rFonts w:ascii="仿宋_GB2312" w:hAnsi="仿宋_GB2312" w:eastAsia="仿宋_GB2312" w:cs="仿宋_GB2312"/>
          <w:b/>
          <w:color w:val="000000"/>
          <w:kern w:val="0"/>
          <w:sz w:val="28"/>
          <w:szCs w:val="28"/>
        </w:rPr>
        <w:t>二、采购组织类型</w:t>
      </w:r>
      <w:r>
        <w:rPr>
          <w:rFonts w:hint="eastAsia" w:ascii="仿宋_GB2312" w:hAnsi="仿宋_GB2312" w:eastAsia="仿宋_GB2312" w:cs="仿宋_GB2312"/>
          <w:b/>
          <w:color w:val="000000"/>
          <w:kern w:val="0"/>
          <w:sz w:val="28"/>
          <w:szCs w:val="28"/>
        </w:rPr>
        <w:t>：</w:t>
      </w:r>
      <w:r>
        <w:rPr>
          <w:rFonts w:ascii="仿宋_GB2312" w:hAnsi="仿宋_GB2312" w:eastAsia="仿宋_GB2312" w:cs="仿宋_GB2312"/>
          <w:color w:val="000000"/>
          <w:kern w:val="0"/>
          <w:sz w:val="28"/>
          <w:szCs w:val="28"/>
        </w:rPr>
        <w:t>政府集中采购</w:t>
      </w:r>
    </w:p>
    <w:p>
      <w:pPr>
        <w:spacing w:line="360" w:lineRule="auto"/>
        <w:ind w:firstLine="562" w:firstLineChars="200"/>
        <w:jc w:val="left"/>
        <w:rPr>
          <w:rFonts w:ascii="仿宋_GB2312" w:hAnsi="仿宋_GB2312" w:eastAsia="仿宋_GB2312" w:cs="仿宋_GB2312"/>
          <w:color w:val="000000"/>
          <w:kern w:val="0"/>
          <w:sz w:val="28"/>
          <w:szCs w:val="28"/>
        </w:rPr>
      </w:pPr>
      <w:r>
        <w:rPr>
          <w:rFonts w:ascii="仿宋_GB2312" w:hAnsi="仿宋_GB2312" w:eastAsia="仿宋_GB2312" w:cs="仿宋_GB2312"/>
          <w:b/>
          <w:color w:val="000000"/>
          <w:kern w:val="0"/>
          <w:sz w:val="28"/>
          <w:szCs w:val="28"/>
        </w:rPr>
        <w:t>三、招标项目名称及数量：</w:t>
      </w:r>
      <w:r>
        <w:rPr>
          <w:rFonts w:ascii="仿宋_GB2312" w:hAnsi="仿宋_GB2312" w:eastAsia="仿宋_GB2312" w:cs="仿宋_GB2312"/>
          <w:color w:val="000000"/>
          <w:kern w:val="0"/>
          <w:sz w:val="28"/>
          <w:szCs w:val="28"/>
        </w:rPr>
        <w:t>见招标文件</w:t>
      </w:r>
    </w:p>
    <w:tbl>
      <w:tblPr>
        <w:tblStyle w:val="67"/>
        <w:tblW w:w="4511"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24"/>
        <w:gridCol w:w="1050"/>
        <w:gridCol w:w="1979"/>
        <w:gridCol w:w="1214"/>
        <w:gridCol w:w="990"/>
        <w:gridCol w:w="915"/>
        <w:gridCol w:w="91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00" w:hRule="atLeast"/>
          <w:jc w:val="center"/>
        </w:trPr>
        <w:tc>
          <w:tcPr>
            <w:tcW w:w="405" w:type="pct"/>
          </w:tcPr>
          <w:p>
            <w:pPr>
              <w:spacing w:line="360" w:lineRule="auto"/>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标项</w:t>
            </w:r>
          </w:p>
        </w:tc>
        <w:tc>
          <w:tcPr>
            <w:tcW w:w="682" w:type="pct"/>
          </w:tcPr>
          <w:p>
            <w:pPr>
              <w:spacing w:line="360" w:lineRule="auto"/>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标项名称</w:t>
            </w:r>
          </w:p>
        </w:tc>
        <w:tc>
          <w:tcPr>
            <w:tcW w:w="1286" w:type="pct"/>
          </w:tcPr>
          <w:p>
            <w:pPr>
              <w:spacing w:line="360" w:lineRule="auto"/>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服务内容及期限</w:t>
            </w:r>
          </w:p>
        </w:tc>
        <w:tc>
          <w:tcPr>
            <w:tcW w:w="789" w:type="pct"/>
          </w:tcPr>
          <w:p>
            <w:pPr>
              <w:spacing w:line="360" w:lineRule="auto"/>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预算金额(万元)</w:t>
            </w:r>
          </w:p>
        </w:tc>
        <w:tc>
          <w:tcPr>
            <w:tcW w:w="643" w:type="pct"/>
          </w:tcPr>
          <w:p>
            <w:pPr>
              <w:spacing w:line="360" w:lineRule="auto"/>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简要规格描述或标项基本概况介绍</w:t>
            </w:r>
          </w:p>
        </w:tc>
        <w:tc>
          <w:tcPr>
            <w:tcW w:w="594" w:type="pct"/>
          </w:tcPr>
          <w:p>
            <w:pPr>
              <w:spacing w:line="360" w:lineRule="auto"/>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采购单位</w:t>
            </w:r>
          </w:p>
        </w:tc>
        <w:tc>
          <w:tcPr>
            <w:tcW w:w="596" w:type="pct"/>
          </w:tcPr>
          <w:p>
            <w:pPr>
              <w:spacing w:line="360" w:lineRule="auto"/>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405" w:type="pct"/>
          </w:tcPr>
          <w:p>
            <w:pPr>
              <w:spacing w:line="360" w:lineRule="auto"/>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1</w:t>
            </w:r>
          </w:p>
        </w:tc>
        <w:tc>
          <w:tcPr>
            <w:tcW w:w="682" w:type="pct"/>
          </w:tcPr>
          <w:p>
            <w:pPr>
              <w:spacing w:line="360" w:lineRule="auto"/>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物业管理服务</w:t>
            </w:r>
          </w:p>
        </w:tc>
        <w:tc>
          <w:tcPr>
            <w:tcW w:w="1286" w:type="pct"/>
          </w:tcPr>
          <w:p>
            <w:pPr>
              <w:spacing w:line="360" w:lineRule="auto"/>
              <w:rPr>
                <w:rFonts w:ascii="仿宋_GB2312" w:hAnsi="仿宋_GB2312" w:eastAsia="仿宋_GB2312" w:cs="仿宋_GB2312"/>
                <w:color w:val="000000"/>
                <w:kern w:val="0"/>
                <w:sz w:val="24"/>
              </w:rPr>
            </w:pPr>
            <w:r>
              <w:rPr>
                <w:rFonts w:hint="eastAsia" w:ascii="仿宋_GB2312" w:hAnsi="仿宋_GB2312" w:eastAsia="仿宋_GB2312" w:cs="仿宋_GB2312"/>
                <w:color w:val="auto"/>
                <w:kern w:val="0"/>
                <w:sz w:val="24"/>
                <w:lang w:val="en-US" w:eastAsia="zh-CN"/>
              </w:rPr>
              <w:t>本次招标服务期限为一年，一年期满后经采购人年度考核合格，双方协商一致，报相关主管部门备案，可续签下一年度合同，最多可续签二年。</w:t>
            </w:r>
          </w:p>
        </w:tc>
        <w:tc>
          <w:tcPr>
            <w:tcW w:w="789" w:type="pct"/>
          </w:tcPr>
          <w:p>
            <w:pPr>
              <w:spacing w:line="360" w:lineRule="auto"/>
              <w:rPr>
                <w:rFonts w:hint="default" w:ascii="仿宋_GB2312" w:hAnsi="仿宋_GB2312" w:eastAsia="仿宋_GB2312" w:cs="仿宋_GB2312"/>
                <w:color w:val="auto"/>
                <w:kern w:val="0"/>
                <w:sz w:val="24"/>
                <w:lang w:val="en-US" w:eastAsia="zh-CN"/>
              </w:rPr>
            </w:pPr>
            <w:r>
              <w:rPr>
                <w:rFonts w:hint="default" w:ascii="仿宋_GB2312" w:hAnsi="仿宋_GB2312" w:eastAsia="仿宋_GB2312" w:cs="仿宋_GB2312"/>
                <w:color w:val="auto"/>
                <w:kern w:val="0"/>
                <w:sz w:val="24"/>
                <w:lang w:val="en-US" w:eastAsia="zh-CN"/>
              </w:rPr>
              <w:t>117.2459</w:t>
            </w:r>
          </w:p>
        </w:tc>
        <w:tc>
          <w:tcPr>
            <w:tcW w:w="643" w:type="pct"/>
          </w:tcPr>
          <w:p>
            <w:pPr>
              <w:spacing w:line="360" w:lineRule="auto"/>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见招标文件</w:t>
            </w:r>
          </w:p>
        </w:tc>
        <w:tc>
          <w:tcPr>
            <w:tcW w:w="594" w:type="pct"/>
          </w:tcPr>
          <w:p>
            <w:pPr>
              <w:spacing w:line="360" w:lineRule="auto"/>
              <w:rPr>
                <w:rFonts w:hint="default" w:ascii="仿宋_GB2312" w:hAnsi="仿宋_GB2312" w:eastAsia="仿宋_GB2312" w:cs="仿宋_GB2312"/>
                <w:color w:val="000000"/>
                <w:kern w:val="0"/>
                <w:sz w:val="24"/>
                <w:lang w:eastAsia="zh-CN"/>
              </w:rPr>
            </w:pPr>
            <w:r>
              <w:rPr>
                <w:rFonts w:hint="eastAsia" w:ascii="仿宋_GB2312" w:hAnsi="仿宋_GB2312" w:eastAsia="仿宋_GB2312" w:cs="仿宋_GB2312"/>
                <w:color w:val="000000"/>
                <w:kern w:val="0"/>
                <w:sz w:val="24"/>
                <w:lang w:eastAsia="zh-CN"/>
              </w:rPr>
              <w:t>慈溪市教育服务和电化教育中心</w:t>
            </w:r>
          </w:p>
        </w:tc>
        <w:tc>
          <w:tcPr>
            <w:tcW w:w="596" w:type="pct"/>
          </w:tcPr>
          <w:p>
            <w:pPr>
              <w:spacing w:line="360" w:lineRule="auto"/>
              <w:rPr>
                <w:rFonts w:ascii="仿宋_GB2312" w:hAnsi="仿宋_GB2312" w:eastAsia="仿宋_GB2312" w:cs="仿宋_GB2312"/>
                <w:color w:val="000000"/>
                <w:kern w:val="0"/>
                <w:sz w:val="24"/>
              </w:rPr>
            </w:pPr>
          </w:p>
        </w:tc>
      </w:tr>
    </w:tbl>
    <w:p>
      <w:pPr>
        <w:spacing w:line="360" w:lineRule="auto"/>
        <w:ind w:firstLine="562" w:firstLineChars="200"/>
        <w:jc w:val="left"/>
        <w:rPr>
          <w:rFonts w:ascii="仿宋_GB2312" w:hAnsi="仿宋_GB2312" w:eastAsia="仿宋_GB2312" w:cs="仿宋_GB2312"/>
          <w:color w:val="000000"/>
          <w:kern w:val="0"/>
          <w:sz w:val="28"/>
          <w:szCs w:val="28"/>
        </w:rPr>
      </w:pPr>
      <w:r>
        <w:rPr>
          <w:rFonts w:hint="eastAsia" w:ascii="仿宋_GB2312" w:hAnsi="仿宋_GB2312" w:eastAsia="仿宋_GB2312" w:cs="仿宋_GB2312"/>
          <w:b/>
          <w:bCs/>
          <w:color w:val="000000"/>
          <w:kern w:val="0"/>
          <w:sz w:val="28"/>
          <w:szCs w:val="28"/>
        </w:rPr>
        <w:t>四、</w:t>
      </w:r>
      <w:r>
        <w:rPr>
          <w:rFonts w:ascii="仿宋_GB2312" w:hAnsi="仿宋_GB2312" w:eastAsia="仿宋_GB2312" w:cs="仿宋_GB2312"/>
          <w:b/>
          <w:bCs/>
          <w:color w:val="000000"/>
          <w:kern w:val="0"/>
          <w:sz w:val="28"/>
          <w:szCs w:val="28"/>
        </w:rPr>
        <w:t>合格投标人的资格要求：</w:t>
      </w:r>
    </w:p>
    <w:p>
      <w:pPr>
        <w:spacing w:line="360" w:lineRule="auto"/>
        <w:ind w:firstLine="560" w:firstLineChars="200"/>
        <w:jc w:val="left"/>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1.</w:t>
      </w:r>
      <w:r>
        <w:rPr>
          <w:rFonts w:ascii="仿宋_GB2312" w:hAnsi="仿宋_GB2312" w:eastAsia="仿宋_GB2312" w:cs="仿宋_GB2312"/>
          <w:color w:val="000000"/>
          <w:kern w:val="0"/>
          <w:sz w:val="28"/>
          <w:szCs w:val="28"/>
        </w:rPr>
        <w:t>符合《中华人民共和国政府采购法》第二十二条的规定，且未被“信用中国”、中国政府采购网列入失信被执行人、重大税收违法案件当事人名单、政府采购严重违法失信行为记录名单。</w:t>
      </w:r>
    </w:p>
    <w:p>
      <w:pPr>
        <w:spacing w:line="360" w:lineRule="auto"/>
        <w:ind w:firstLine="560" w:firstLineChars="200"/>
        <w:jc w:val="left"/>
        <w:rPr>
          <w:rFonts w:ascii="仿宋_GB2312" w:hAnsi="仿宋_GB2312" w:eastAsia="仿宋_GB2312" w:cs="仿宋_GB2312"/>
          <w:color w:val="000000"/>
          <w:kern w:val="0"/>
          <w:sz w:val="28"/>
          <w:szCs w:val="28"/>
          <w:highlight w:val="none"/>
        </w:rPr>
      </w:pPr>
      <w:r>
        <w:rPr>
          <w:rFonts w:hint="eastAsia" w:ascii="仿宋_GB2312" w:hAnsi="仿宋_GB2312" w:eastAsia="仿宋_GB2312" w:cs="仿宋_GB2312"/>
          <w:color w:val="000000"/>
          <w:kern w:val="0"/>
          <w:sz w:val="28"/>
          <w:szCs w:val="28"/>
          <w:highlight w:val="none"/>
        </w:rPr>
        <w:t>2.本项目资金为中小企业预留，投标人或联合体各方均须为中小企业（符合中小企业划分标准的个体工商户视同中小企业，监狱企业、残疾人福利性单位视同小型、微型企业）。</w:t>
      </w:r>
    </w:p>
    <w:p>
      <w:pPr>
        <w:spacing w:line="360" w:lineRule="auto"/>
        <w:ind w:firstLine="560" w:firstLineChars="200"/>
        <w:jc w:val="left"/>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3.本项目不接受联合体投标。</w:t>
      </w:r>
    </w:p>
    <w:p>
      <w:pPr>
        <w:spacing w:line="360" w:lineRule="auto"/>
        <w:ind w:firstLine="562" w:firstLineChars="200"/>
        <w:jc w:val="left"/>
        <w:rPr>
          <w:rFonts w:ascii="仿宋_GB2312" w:hAnsi="仿宋_GB2312" w:eastAsia="仿宋_GB2312" w:cs="仿宋_GB2312"/>
          <w:b/>
          <w:bCs/>
          <w:color w:val="000000"/>
          <w:kern w:val="0"/>
          <w:sz w:val="28"/>
          <w:szCs w:val="28"/>
          <w:highlight w:val="none"/>
        </w:rPr>
      </w:pPr>
      <w:r>
        <w:rPr>
          <w:rFonts w:hint="eastAsia" w:ascii="仿宋_GB2312" w:hAnsi="仿宋_GB2312" w:eastAsia="仿宋_GB2312" w:cs="仿宋_GB2312"/>
          <w:b/>
          <w:bCs/>
          <w:color w:val="000000"/>
          <w:kern w:val="0"/>
          <w:sz w:val="28"/>
          <w:szCs w:val="28"/>
        </w:rPr>
        <w:t>五、</w:t>
      </w:r>
      <w:r>
        <w:rPr>
          <w:rFonts w:hint="eastAsia" w:ascii="仿宋_GB2312" w:hAnsi="仿宋_GB2312" w:eastAsia="仿宋_GB2312" w:cs="仿宋_GB2312"/>
          <w:b/>
          <w:color w:val="000000"/>
          <w:kern w:val="0"/>
          <w:sz w:val="28"/>
          <w:szCs w:val="28"/>
        </w:rPr>
        <w:t>招标文件获取方式、时间</w:t>
      </w:r>
      <w:r>
        <w:rPr>
          <w:rFonts w:hint="eastAsia" w:ascii="仿宋_GB2312" w:hAnsi="仿宋_GB2312" w:eastAsia="仿宋_GB2312" w:cs="仿宋_GB2312"/>
          <w:b/>
          <w:color w:val="000000"/>
          <w:kern w:val="0"/>
          <w:sz w:val="28"/>
          <w:szCs w:val="28"/>
          <w:highlight w:val="none"/>
        </w:rPr>
        <w:t>及地点等</w:t>
      </w:r>
      <w:r>
        <w:rPr>
          <w:rFonts w:hint="eastAsia" w:ascii="仿宋_GB2312" w:hAnsi="仿宋_GB2312" w:eastAsia="仿宋_GB2312" w:cs="仿宋_GB2312"/>
          <w:b/>
          <w:bCs/>
          <w:color w:val="000000"/>
          <w:kern w:val="0"/>
          <w:sz w:val="28"/>
          <w:szCs w:val="28"/>
          <w:highlight w:val="none"/>
        </w:rPr>
        <w:t>：</w:t>
      </w:r>
    </w:p>
    <w:p>
      <w:pPr>
        <w:spacing w:line="360" w:lineRule="auto"/>
        <w:ind w:firstLine="560" w:firstLineChars="200"/>
        <w:jc w:val="left"/>
        <w:rPr>
          <w:rFonts w:ascii="仿宋_GB2312" w:hAnsi="仿宋_GB2312" w:eastAsia="仿宋_GB2312" w:cs="仿宋_GB2312"/>
          <w:color w:val="auto"/>
          <w:kern w:val="0"/>
          <w:sz w:val="28"/>
          <w:szCs w:val="28"/>
          <w:highlight w:val="none"/>
        </w:rPr>
      </w:pPr>
      <w:r>
        <w:rPr>
          <w:rFonts w:hint="eastAsia" w:ascii="仿宋_GB2312" w:hAnsi="仿宋_GB2312" w:eastAsia="仿宋_GB2312" w:cs="仿宋_GB2312"/>
          <w:color w:val="000000"/>
          <w:kern w:val="0"/>
          <w:sz w:val="28"/>
          <w:szCs w:val="28"/>
          <w:highlight w:val="none"/>
        </w:rPr>
        <w:t>1.</w:t>
      </w:r>
      <w:r>
        <w:rPr>
          <w:rFonts w:ascii="仿宋_GB2312" w:hAnsi="仿宋_GB2312" w:eastAsia="仿宋_GB2312" w:cs="仿宋_GB2312"/>
          <w:color w:val="000000"/>
          <w:kern w:val="0"/>
          <w:sz w:val="28"/>
          <w:szCs w:val="28"/>
          <w:highlight w:val="none"/>
        </w:rPr>
        <w:t>招标文件发售/获取截止日期</w:t>
      </w:r>
      <w:r>
        <w:rPr>
          <w:rFonts w:ascii="仿宋_GB2312" w:hAnsi="仿宋_GB2312" w:eastAsia="仿宋_GB2312" w:cs="仿宋_GB2312"/>
          <w:color w:val="auto"/>
          <w:kern w:val="0"/>
          <w:sz w:val="28"/>
          <w:szCs w:val="28"/>
          <w:highlight w:val="none"/>
        </w:rPr>
        <w:t>：20</w:t>
      </w:r>
      <w:r>
        <w:rPr>
          <w:rFonts w:hint="eastAsia" w:ascii="仿宋_GB2312" w:hAnsi="仿宋_GB2312" w:eastAsia="仿宋_GB2312" w:cs="仿宋_GB2312"/>
          <w:color w:val="auto"/>
          <w:kern w:val="0"/>
          <w:sz w:val="28"/>
          <w:szCs w:val="28"/>
          <w:highlight w:val="none"/>
        </w:rPr>
        <w:t>2</w:t>
      </w:r>
      <w:r>
        <w:rPr>
          <w:rFonts w:hint="eastAsia" w:ascii="仿宋_GB2312" w:hAnsi="仿宋_GB2312" w:eastAsia="仿宋_GB2312" w:cs="仿宋_GB2312"/>
          <w:color w:val="auto"/>
          <w:kern w:val="0"/>
          <w:sz w:val="28"/>
          <w:szCs w:val="28"/>
          <w:highlight w:val="none"/>
          <w:lang w:val="en-US" w:eastAsia="zh-CN"/>
        </w:rPr>
        <w:t>4</w:t>
      </w:r>
      <w:r>
        <w:rPr>
          <w:rFonts w:ascii="仿宋_GB2312" w:hAnsi="仿宋_GB2312" w:eastAsia="仿宋_GB2312" w:cs="仿宋_GB2312"/>
          <w:color w:val="auto"/>
          <w:kern w:val="0"/>
          <w:sz w:val="28"/>
          <w:szCs w:val="28"/>
          <w:highlight w:val="none"/>
        </w:rPr>
        <w:t>年</w:t>
      </w:r>
      <w:r>
        <w:rPr>
          <w:rFonts w:hint="eastAsia" w:ascii="仿宋_GB2312" w:hAnsi="仿宋_GB2312" w:eastAsia="仿宋_GB2312" w:cs="仿宋_GB2312"/>
          <w:color w:val="auto"/>
          <w:kern w:val="0"/>
          <w:sz w:val="28"/>
          <w:szCs w:val="28"/>
          <w:highlight w:val="none"/>
          <w:lang w:val="en-US" w:eastAsia="zh-CN"/>
        </w:rPr>
        <w:t>1</w:t>
      </w:r>
      <w:r>
        <w:rPr>
          <w:rFonts w:ascii="仿宋_GB2312" w:hAnsi="仿宋_GB2312" w:eastAsia="仿宋_GB2312" w:cs="仿宋_GB2312"/>
          <w:color w:val="auto"/>
          <w:kern w:val="0"/>
          <w:sz w:val="28"/>
          <w:szCs w:val="28"/>
          <w:highlight w:val="none"/>
        </w:rPr>
        <w:t>月</w:t>
      </w:r>
      <w:r>
        <w:rPr>
          <w:rFonts w:hint="eastAsia" w:ascii="仿宋_GB2312" w:hAnsi="仿宋_GB2312" w:eastAsia="仿宋_GB2312" w:cs="仿宋_GB2312"/>
          <w:color w:val="auto"/>
          <w:kern w:val="0"/>
          <w:sz w:val="28"/>
          <w:szCs w:val="28"/>
          <w:highlight w:val="none"/>
          <w:lang w:val="en-US" w:eastAsia="zh-CN"/>
        </w:rPr>
        <w:t>9</w:t>
      </w:r>
      <w:r>
        <w:rPr>
          <w:rFonts w:ascii="仿宋_GB2312" w:hAnsi="仿宋_GB2312" w:eastAsia="仿宋_GB2312" w:cs="仿宋_GB2312"/>
          <w:color w:val="auto"/>
          <w:kern w:val="0"/>
          <w:sz w:val="28"/>
          <w:szCs w:val="28"/>
          <w:highlight w:val="none"/>
        </w:rPr>
        <w:t>日</w:t>
      </w:r>
      <w:r>
        <w:rPr>
          <w:rFonts w:hint="eastAsia" w:ascii="仿宋_GB2312" w:hAnsi="仿宋_GB2312" w:eastAsia="仿宋_GB2312" w:cs="仿宋_GB2312"/>
          <w:color w:val="auto"/>
          <w:kern w:val="0"/>
          <w:sz w:val="28"/>
          <w:szCs w:val="28"/>
          <w:highlight w:val="none"/>
          <w:lang w:eastAsia="zh-CN"/>
        </w:rPr>
        <w:t>上</w:t>
      </w:r>
      <w:r>
        <w:rPr>
          <w:rFonts w:ascii="仿宋_GB2312" w:hAnsi="仿宋_GB2312" w:eastAsia="仿宋_GB2312" w:cs="仿宋_GB2312"/>
          <w:color w:val="auto"/>
          <w:kern w:val="0"/>
          <w:sz w:val="28"/>
          <w:szCs w:val="28"/>
          <w:highlight w:val="none"/>
        </w:rPr>
        <w:t>午</w:t>
      </w:r>
      <w:r>
        <w:rPr>
          <w:rFonts w:hint="eastAsia" w:ascii="仿宋_GB2312" w:hAnsi="仿宋_GB2312" w:eastAsia="仿宋_GB2312" w:cs="仿宋_GB2312"/>
          <w:color w:val="auto"/>
          <w:kern w:val="0"/>
          <w:sz w:val="28"/>
          <w:szCs w:val="28"/>
          <w:highlight w:val="none"/>
          <w:lang w:val="en-US" w:eastAsia="zh-CN"/>
        </w:rPr>
        <w:t>9:30</w:t>
      </w:r>
      <w:r>
        <w:rPr>
          <w:rFonts w:ascii="仿宋_GB2312" w:hAnsi="仿宋_GB2312" w:eastAsia="仿宋_GB2312" w:cs="仿宋_GB2312"/>
          <w:color w:val="auto"/>
          <w:kern w:val="0"/>
          <w:sz w:val="28"/>
          <w:szCs w:val="28"/>
          <w:highlight w:val="none"/>
        </w:rPr>
        <w:t>时止</w:t>
      </w:r>
      <w:r>
        <w:rPr>
          <w:rFonts w:hint="eastAsia" w:ascii="仿宋_GB2312" w:hAnsi="仿宋_GB2312" w:eastAsia="仿宋_GB2312" w:cs="仿宋_GB2312"/>
          <w:color w:val="auto"/>
          <w:kern w:val="0"/>
          <w:sz w:val="28"/>
          <w:szCs w:val="28"/>
          <w:highlight w:val="none"/>
        </w:rPr>
        <w:t>。</w:t>
      </w:r>
    </w:p>
    <w:p>
      <w:pPr>
        <w:spacing w:line="360" w:lineRule="auto"/>
        <w:ind w:firstLine="560" w:firstLineChars="200"/>
        <w:jc w:val="left"/>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highlight w:val="none"/>
        </w:rPr>
        <w:t>2.</w:t>
      </w:r>
      <w:r>
        <w:rPr>
          <w:rFonts w:ascii="仿宋_GB2312" w:hAnsi="仿宋_GB2312" w:eastAsia="仿宋_GB2312" w:cs="仿宋_GB2312"/>
          <w:color w:val="000000"/>
          <w:kern w:val="0"/>
          <w:sz w:val="28"/>
          <w:szCs w:val="28"/>
          <w:highlight w:val="none"/>
        </w:rPr>
        <w:t>招标文件发售/获取截止时间之后获取招标文件的潜在供</w:t>
      </w:r>
      <w:r>
        <w:rPr>
          <w:rFonts w:ascii="仿宋_GB2312" w:hAnsi="仿宋_GB2312" w:eastAsia="仿宋_GB2312" w:cs="仿宋_GB2312"/>
          <w:color w:val="000000"/>
          <w:kern w:val="0"/>
          <w:sz w:val="28"/>
          <w:szCs w:val="28"/>
        </w:rPr>
        <w:t>应商，视为未依法获取采购文件，投标时将被拒绝。</w:t>
      </w:r>
    </w:p>
    <w:p>
      <w:pPr>
        <w:spacing w:line="360" w:lineRule="auto"/>
        <w:ind w:firstLine="560" w:firstLineChars="200"/>
        <w:jc w:val="left"/>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3.</w:t>
      </w:r>
      <w:r>
        <w:rPr>
          <w:rFonts w:ascii="仿宋_GB2312" w:hAnsi="仿宋_GB2312" w:eastAsia="仿宋_GB2312" w:cs="仿宋_GB2312"/>
          <w:color w:val="000000"/>
          <w:kern w:val="0"/>
          <w:sz w:val="28"/>
          <w:szCs w:val="28"/>
        </w:rPr>
        <w:t>招标文件发售/获取地址：政府采购云平台</w:t>
      </w:r>
    </w:p>
    <w:p>
      <w:pPr>
        <w:spacing w:line="360" w:lineRule="auto"/>
        <w:ind w:firstLine="560" w:firstLineChars="200"/>
        <w:jc w:val="left"/>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4.</w:t>
      </w:r>
      <w:r>
        <w:rPr>
          <w:rFonts w:ascii="仿宋_GB2312" w:hAnsi="仿宋_GB2312" w:eastAsia="仿宋_GB2312" w:cs="仿宋_GB2312"/>
          <w:color w:val="000000"/>
          <w:kern w:val="0"/>
          <w:sz w:val="28"/>
          <w:szCs w:val="28"/>
        </w:rPr>
        <w:t>招标文件发售／获取方式：政府采购云平台→“政采云用户”登录→【项目采购】→【获取采购文件】</w:t>
      </w:r>
    </w:p>
    <w:p>
      <w:pPr>
        <w:spacing w:line="360" w:lineRule="auto"/>
        <w:ind w:firstLine="560" w:firstLineChars="200"/>
        <w:jc w:val="left"/>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5.</w:t>
      </w:r>
      <w:r>
        <w:rPr>
          <w:rFonts w:ascii="仿宋_GB2312" w:hAnsi="仿宋_GB2312" w:eastAsia="仿宋_GB2312" w:cs="仿宋_GB2312"/>
          <w:color w:val="000000"/>
          <w:kern w:val="0"/>
          <w:sz w:val="28"/>
          <w:szCs w:val="28"/>
        </w:rPr>
        <w:t>招标文件获取条件：已按照《浙江省政府采购供应商注册及诚信管理暂行办法》的规定在浙江政府采购网政采云平台注册登记成为浙江省政府采购注册供应商的。如未注册的供应商请注意注册所需时间。</w:t>
      </w:r>
    </w:p>
    <w:p>
      <w:pPr>
        <w:spacing w:line="360" w:lineRule="auto"/>
        <w:ind w:firstLine="560" w:firstLineChars="200"/>
        <w:jc w:val="left"/>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6.</w:t>
      </w:r>
      <w:r>
        <w:rPr>
          <w:rFonts w:ascii="仿宋_GB2312" w:hAnsi="仿宋_GB2312" w:eastAsia="仿宋_GB2312" w:cs="仿宋_GB2312"/>
          <w:color w:val="000000"/>
          <w:kern w:val="0"/>
          <w:sz w:val="28"/>
          <w:szCs w:val="28"/>
        </w:rPr>
        <w:t>招标文件售价：免费</w:t>
      </w:r>
    </w:p>
    <w:p>
      <w:pPr>
        <w:spacing w:line="360" w:lineRule="auto"/>
        <w:ind w:firstLine="560" w:firstLineChars="200"/>
        <w:jc w:val="left"/>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7.</w:t>
      </w:r>
      <w:r>
        <w:rPr>
          <w:rFonts w:ascii="仿宋_GB2312" w:hAnsi="仿宋_GB2312" w:eastAsia="仿宋_GB2312" w:cs="仿宋_GB2312"/>
          <w:color w:val="000000"/>
          <w:kern w:val="0"/>
          <w:sz w:val="28"/>
          <w:szCs w:val="28"/>
        </w:rPr>
        <w:t>招标人可以对已发出的招标文件进行必要的澄清或者修改，将以“澄清公告”的形式发布在“</w:t>
      </w:r>
      <w:r>
        <w:rPr>
          <w:rFonts w:hint="eastAsia" w:ascii="仿宋_GB2312" w:hAnsi="仿宋_GB2312" w:eastAsia="仿宋_GB2312" w:cs="仿宋_GB2312"/>
          <w:color w:val="000000"/>
          <w:kern w:val="0"/>
          <w:sz w:val="28"/>
          <w:szCs w:val="28"/>
          <w:lang w:eastAsia="zh-CN"/>
        </w:rPr>
        <w:t>浙江政府采购网</w:t>
      </w:r>
      <w:r>
        <w:rPr>
          <w:rFonts w:ascii="仿宋_GB2312" w:hAnsi="仿宋_GB2312" w:eastAsia="仿宋_GB2312" w:cs="仿宋_GB2312"/>
          <w:color w:val="000000"/>
          <w:kern w:val="0"/>
          <w:sz w:val="28"/>
          <w:szCs w:val="28"/>
        </w:rPr>
        <w:t>”政采云平台上，供应商应及时登录政采云平台查看和下载，未及时查看和下载的责任自负。</w:t>
      </w:r>
    </w:p>
    <w:p>
      <w:pPr>
        <w:spacing w:line="360" w:lineRule="auto"/>
        <w:ind w:firstLine="562" w:firstLineChars="200"/>
        <w:jc w:val="left"/>
        <w:rPr>
          <w:rFonts w:ascii="仿宋_GB2312" w:hAnsi="仿宋_GB2312" w:eastAsia="仿宋_GB2312" w:cs="仿宋_GB2312"/>
          <w:b/>
          <w:bCs/>
          <w:color w:val="000000"/>
          <w:kern w:val="0"/>
          <w:sz w:val="28"/>
          <w:szCs w:val="28"/>
        </w:rPr>
      </w:pPr>
      <w:r>
        <w:rPr>
          <w:rFonts w:ascii="仿宋_GB2312" w:hAnsi="仿宋_GB2312" w:eastAsia="仿宋_GB2312" w:cs="仿宋_GB2312"/>
          <w:b/>
          <w:bCs/>
          <w:color w:val="000000"/>
          <w:kern w:val="0"/>
          <w:sz w:val="28"/>
          <w:szCs w:val="28"/>
        </w:rPr>
        <w:t>六</w:t>
      </w:r>
      <w:r>
        <w:rPr>
          <w:rFonts w:hint="eastAsia" w:ascii="仿宋_GB2312" w:hAnsi="仿宋_GB2312" w:eastAsia="仿宋_GB2312" w:cs="仿宋_GB2312"/>
          <w:b/>
          <w:bCs/>
          <w:color w:val="000000"/>
          <w:kern w:val="0"/>
          <w:sz w:val="28"/>
          <w:szCs w:val="28"/>
        </w:rPr>
        <w:t>、投标说明：</w:t>
      </w:r>
    </w:p>
    <w:p>
      <w:pPr>
        <w:spacing w:line="360" w:lineRule="auto"/>
        <w:ind w:firstLine="560" w:firstLineChars="200"/>
        <w:jc w:val="left"/>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1.</w:t>
      </w:r>
      <w:r>
        <w:rPr>
          <w:rFonts w:ascii="仿宋_GB2312" w:hAnsi="仿宋_GB2312" w:eastAsia="仿宋_GB2312" w:cs="仿宋_GB2312"/>
          <w:color w:val="000000"/>
          <w:kern w:val="0"/>
          <w:sz w:val="28"/>
          <w:szCs w:val="28"/>
        </w:rPr>
        <w:t>本项目实行电子投标，应按照本项目招标文件和政采云平台的要求编制、加密并递交投标文件（</w:t>
      </w:r>
      <w:r>
        <w:rPr>
          <w:rFonts w:hint="eastAsia" w:ascii="仿宋_GB2312" w:hAnsi="仿宋_GB2312" w:eastAsia="仿宋_GB2312" w:cs="仿宋_GB2312"/>
          <w:color w:val="000000"/>
          <w:kern w:val="0"/>
          <w:sz w:val="28"/>
          <w:szCs w:val="28"/>
        </w:rPr>
        <w:t>供应商在使用系统进行投标的过程中遇到涉及平台使用的任何问题，可致电政采云平台技术支持热线95763</w:t>
      </w:r>
      <w:r>
        <w:rPr>
          <w:rFonts w:ascii="仿宋_GB2312" w:hAnsi="仿宋_GB2312" w:eastAsia="仿宋_GB2312" w:cs="仿宋_GB2312"/>
          <w:color w:val="000000"/>
          <w:kern w:val="0"/>
          <w:sz w:val="28"/>
          <w:szCs w:val="28"/>
        </w:rPr>
        <w:t>或政采云服务专员电话</w:t>
      </w:r>
      <w:r>
        <w:rPr>
          <w:rFonts w:hint="eastAsia" w:ascii="仿宋_GB2312" w:hAnsi="仿宋_GB2312" w:eastAsia="仿宋_GB2312" w:cs="仿宋_GB2312"/>
          <w:color w:val="000000"/>
          <w:kern w:val="0"/>
          <w:sz w:val="28"/>
          <w:szCs w:val="28"/>
        </w:rPr>
        <w:t>0574-63917219</w:t>
      </w:r>
      <w:r>
        <w:rPr>
          <w:rFonts w:ascii="仿宋_GB2312" w:hAnsi="仿宋_GB2312" w:eastAsia="仿宋_GB2312" w:cs="仿宋_GB2312"/>
          <w:color w:val="000000"/>
          <w:kern w:val="0"/>
          <w:sz w:val="28"/>
          <w:szCs w:val="28"/>
        </w:rPr>
        <w:t>）。</w:t>
      </w:r>
    </w:p>
    <w:p>
      <w:pPr>
        <w:spacing w:line="360" w:lineRule="auto"/>
        <w:ind w:firstLine="560" w:firstLineChars="200"/>
        <w:jc w:val="left"/>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ascii="仿宋_GB2312" w:hAnsi="仿宋_GB2312" w:eastAsia="仿宋_GB2312" w:cs="仿宋_GB2312"/>
          <w:color w:val="000000"/>
          <w:kern w:val="0"/>
          <w:sz w:val="28"/>
          <w:szCs w:val="28"/>
        </w:rPr>
        <w:t>投标人应在开标前完成CA数字证书办理（如遇问题可</w:t>
      </w:r>
      <w:r>
        <w:rPr>
          <w:rFonts w:hint="eastAsia" w:ascii="仿宋_GB2312" w:hAnsi="仿宋_GB2312" w:eastAsia="仿宋_GB2312" w:cs="仿宋_GB2312"/>
          <w:color w:val="000000"/>
          <w:kern w:val="0"/>
          <w:sz w:val="28"/>
          <w:szCs w:val="28"/>
        </w:rPr>
        <w:t>致电政采云平台技术支持热线95763</w:t>
      </w:r>
      <w:r>
        <w:rPr>
          <w:rFonts w:ascii="仿宋_GB2312" w:hAnsi="仿宋_GB2312" w:eastAsia="仿宋_GB2312" w:cs="仿宋_GB2312"/>
          <w:color w:val="000000"/>
          <w:kern w:val="0"/>
          <w:sz w:val="28"/>
          <w:szCs w:val="28"/>
        </w:rPr>
        <w:t>），用于电子投标文件的制作。</w:t>
      </w:r>
    </w:p>
    <w:p>
      <w:pPr>
        <w:spacing w:line="360" w:lineRule="auto"/>
        <w:ind w:firstLine="560" w:firstLineChars="200"/>
        <w:jc w:val="left"/>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3.</w:t>
      </w:r>
      <w:r>
        <w:rPr>
          <w:rFonts w:ascii="仿宋_GB2312" w:hAnsi="仿宋_GB2312" w:eastAsia="仿宋_GB2312" w:cs="仿宋_GB2312"/>
          <w:color w:val="000000"/>
          <w:kern w:val="0"/>
          <w:sz w:val="28"/>
          <w:szCs w:val="28"/>
        </w:rPr>
        <w:t xml:space="preserve"> 投标人通过政采云平台电子投标工具制作投标文件，电子投标工具请供应商自行前往</w:t>
      </w:r>
      <w:r>
        <w:rPr>
          <w:rFonts w:hint="eastAsia" w:ascii="仿宋_GB2312" w:hAnsi="仿宋_GB2312" w:eastAsia="仿宋_GB2312" w:cs="仿宋_GB2312"/>
          <w:color w:val="000000"/>
          <w:kern w:val="0"/>
          <w:sz w:val="28"/>
          <w:szCs w:val="28"/>
          <w:lang w:eastAsia="zh-CN"/>
        </w:rPr>
        <w:t>浙江政府采购网</w:t>
      </w:r>
      <w:r>
        <w:rPr>
          <w:rFonts w:hint="eastAsia" w:ascii="仿宋_GB2312" w:hAnsi="仿宋_GB2312" w:eastAsia="仿宋_GB2312" w:cs="仿宋_GB2312"/>
          <w:color w:val="000000"/>
          <w:kern w:val="0"/>
          <w:sz w:val="28"/>
          <w:szCs w:val="28"/>
        </w:rPr>
        <w:t>下载并安装</w:t>
      </w:r>
      <w:r>
        <w:rPr>
          <w:rFonts w:ascii="仿宋_GB2312" w:hAnsi="仿宋_GB2312" w:eastAsia="仿宋_GB2312" w:cs="仿宋_GB2312"/>
          <w:color w:val="000000"/>
          <w:kern w:val="0"/>
          <w:sz w:val="28"/>
          <w:szCs w:val="28"/>
        </w:rPr>
        <w:t>（如遇问题可</w:t>
      </w:r>
      <w:r>
        <w:rPr>
          <w:rFonts w:hint="eastAsia" w:ascii="仿宋_GB2312" w:hAnsi="仿宋_GB2312" w:eastAsia="仿宋_GB2312" w:cs="仿宋_GB2312"/>
          <w:color w:val="000000"/>
          <w:kern w:val="0"/>
          <w:sz w:val="28"/>
          <w:szCs w:val="28"/>
        </w:rPr>
        <w:t>致电政采云平台技术支持热线95763</w:t>
      </w:r>
      <w:r>
        <w:rPr>
          <w:rFonts w:ascii="仿宋_GB2312" w:hAnsi="仿宋_GB2312" w:eastAsia="仿宋_GB2312" w:cs="仿宋_GB2312"/>
          <w:color w:val="000000"/>
          <w:kern w:val="0"/>
          <w:sz w:val="28"/>
          <w:szCs w:val="28"/>
        </w:rPr>
        <w:t>）。</w:t>
      </w:r>
    </w:p>
    <w:p>
      <w:pPr>
        <w:spacing w:line="360" w:lineRule="auto"/>
        <w:ind w:firstLine="562" w:firstLineChars="200"/>
        <w:jc w:val="left"/>
        <w:rPr>
          <w:rFonts w:ascii="仿宋_GB2312" w:hAnsi="仿宋_GB2312" w:eastAsia="仿宋_GB2312" w:cs="仿宋_GB2312"/>
          <w:b/>
          <w:bCs/>
          <w:color w:val="000000"/>
          <w:kern w:val="0"/>
          <w:sz w:val="28"/>
          <w:szCs w:val="28"/>
        </w:rPr>
      </w:pPr>
      <w:r>
        <w:rPr>
          <w:rFonts w:hint="eastAsia" w:ascii="仿宋_GB2312" w:hAnsi="仿宋_GB2312" w:eastAsia="仿宋_GB2312" w:cs="仿宋_GB2312"/>
          <w:b/>
          <w:bCs/>
          <w:color w:val="000000"/>
          <w:kern w:val="0"/>
          <w:sz w:val="28"/>
          <w:szCs w:val="28"/>
        </w:rPr>
        <w:t>七、</w:t>
      </w:r>
      <w:r>
        <w:rPr>
          <w:rFonts w:ascii="仿宋_GB2312" w:hAnsi="仿宋_GB2312" w:eastAsia="仿宋_GB2312" w:cs="仿宋_GB2312"/>
          <w:b/>
          <w:bCs/>
          <w:color w:val="000000"/>
          <w:kern w:val="0"/>
          <w:sz w:val="28"/>
          <w:szCs w:val="28"/>
        </w:rPr>
        <w:t>投标截止时间、地点及要求</w:t>
      </w:r>
      <w:r>
        <w:rPr>
          <w:rFonts w:hint="eastAsia" w:ascii="仿宋_GB2312" w:hAnsi="仿宋_GB2312" w:eastAsia="仿宋_GB2312" w:cs="仿宋_GB2312"/>
          <w:b/>
          <w:bCs/>
          <w:color w:val="000000"/>
          <w:kern w:val="0"/>
          <w:sz w:val="28"/>
          <w:szCs w:val="28"/>
        </w:rPr>
        <w:t>：</w:t>
      </w:r>
    </w:p>
    <w:p>
      <w:pPr>
        <w:spacing w:line="360" w:lineRule="auto"/>
        <w:ind w:firstLine="560" w:firstLineChars="200"/>
        <w:jc w:val="left"/>
        <w:rPr>
          <w:rFonts w:ascii="仿宋_GB2312" w:hAnsi="仿宋_GB2312" w:eastAsia="仿宋_GB2312" w:cs="仿宋_GB2312"/>
          <w:color w:val="auto"/>
          <w:kern w:val="0"/>
          <w:sz w:val="28"/>
          <w:szCs w:val="28"/>
          <w:highlight w:val="none"/>
        </w:rPr>
      </w:pPr>
      <w:r>
        <w:rPr>
          <w:rFonts w:ascii="仿宋_GB2312" w:hAnsi="仿宋_GB2312" w:eastAsia="仿宋_GB2312" w:cs="仿宋_GB2312"/>
          <w:bCs/>
          <w:color w:val="000000"/>
          <w:kern w:val="0"/>
          <w:sz w:val="28"/>
          <w:szCs w:val="28"/>
        </w:rPr>
        <w:t>1.投标截</w:t>
      </w:r>
      <w:r>
        <w:rPr>
          <w:rFonts w:ascii="仿宋_GB2312" w:hAnsi="仿宋_GB2312" w:eastAsia="仿宋_GB2312" w:cs="仿宋_GB2312"/>
          <w:bCs/>
          <w:kern w:val="0"/>
          <w:sz w:val="28"/>
          <w:szCs w:val="28"/>
        </w:rPr>
        <w:t>止时</w:t>
      </w:r>
      <w:r>
        <w:rPr>
          <w:rFonts w:ascii="仿宋_GB2312" w:hAnsi="仿宋_GB2312" w:eastAsia="仿宋_GB2312" w:cs="仿宋_GB2312"/>
          <w:bCs/>
          <w:kern w:val="0"/>
          <w:sz w:val="28"/>
          <w:szCs w:val="28"/>
          <w:highlight w:val="none"/>
        </w:rPr>
        <w:t>间</w:t>
      </w:r>
      <w:r>
        <w:rPr>
          <w:rFonts w:ascii="仿宋_GB2312" w:hAnsi="仿宋_GB2312" w:eastAsia="仿宋_GB2312" w:cs="仿宋_GB2312"/>
          <w:color w:val="auto"/>
          <w:kern w:val="0"/>
          <w:sz w:val="28"/>
          <w:szCs w:val="28"/>
          <w:highlight w:val="none"/>
        </w:rPr>
        <w:t>：20</w:t>
      </w:r>
      <w:r>
        <w:rPr>
          <w:rFonts w:hint="eastAsia" w:ascii="仿宋_GB2312" w:hAnsi="仿宋_GB2312" w:eastAsia="仿宋_GB2312" w:cs="仿宋_GB2312"/>
          <w:color w:val="auto"/>
          <w:kern w:val="0"/>
          <w:sz w:val="28"/>
          <w:szCs w:val="28"/>
          <w:highlight w:val="none"/>
        </w:rPr>
        <w:t>2</w:t>
      </w:r>
      <w:r>
        <w:rPr>
          <w:rFonts w:hint="eastAsia" w:ascii="仿宋_GB2312" w:hAnsi="仿宋_GB2312" w:eastAsia="仿宋_GB2312" w:cs="仿宋_GB2312"/>
          <w:color w:val="auto"/>
          <w:kern w:val="0"/>
          <w:sz w:val="28"/>
          <w:szCs w:val="28"/>
          <w:highlight w:val="none"/>
          <w:lang w:val="en-US" w:eastAsia="zh-CN"/>
        </w:rPr>
        <w:t>4</w:t>
      </w:r>
      <w:r>
        <w:rPr>
          <w:rFonts w:ascii="仿宋_GB2312" w:hAnsi="仿宋_GB2312" w:eastAsia="仿宋_GB2312" w:cs="仿宋_GB2312"/>
          <w:color w:val="auto"/>
          <w:kern w:val="0"/>
          <w:sz w:val="28"/>
          <w:szCs w:val="28"/>
          <w:highlight w:val="none"/>
        </w:rPr>
        <w:t>年</w:t>
      </w:r>
      <w:r>
        <w:rPr>
          <w:rFonts w:hint="eastAsia" w:ascii="仿宋_GB2312" w:hAnsi="仿宋_GB2312" w:eastAsia="仿宋_GB2312" w:cs="仿宋_GB2312"/>
          <w:color w:val="auto"/>
          <w:kern w:val="0"/>
          <w:sz w:val="28"/>
          <w:szCs w:val="28"/>
          <w:highlight w:val="none"/>
          <w:lang w:val="en-US" w:eastAsia="zh-CN"/>
        </w:rPr>
        <w:t>1</w:t>
      </w:r>
      <w:r>
        <w:rPr>
          <w:rFonts w:ascii="仿宋_GB2312" w:hAnsi="仿宋_GB2312" w:eastAsia="仿宋_GB2312" w:cs="仿宋_GB2312"/>
          <w:color w:val="auto"/>
          <w:kern w:val="0"/>
          <w:sz w:val="28"/>
          <w:szCs w:val="28"/>
          <w:highlight w:val="none"/>
        </w:rPr>
        <w:t>月</w:t>
      </w:r>
      <w:r>
        <w:rPr>
          <w:rFonts w:hint="eastAsia" w:ascii="仿宋_GB2312" w:hAnsi="仿宋_GB2312" w:eastAsia="仿宋_GB2312" w:cs="仿宋_GB2312"/>
          <w:color w:val="auto"/>
          <w:kern w:val="0"/>
          <w:sz w:val="28"/>
          <w:szCs w:val="28"/>
          <w:highlight w:val="none"/>
          <w:lang w:val="en-US" w:eastAsia="zh-CN"/>
        </w:rPr>
        <w:t>9</w:t>
      </w:r>
      <w:r>
        <w:rPr>
          <w:rFonts w:ascii="仿宋_GB2312" w:hAnsi="仿宋_GB2312" w:eastAsia="仿宋_GB2312" w:cs="仿宋_GB2312"/>
          <w:color w:val="auto"/>
          <w:kern w:val="0"/>
          <w:sz w:val="28"/>
          <w:szCs w:val="28"/>
          <w:highlight w:val="none"/>
        </w:rPr>
        <w:t>日</w:t>
      </w:r>
      <w:r>
        <w:rPr>
          <w:rFonts w:hint="eastAsia" w:ascii="仿宋_GB2312" w:hAnsi="仿宋_GB2312" w:eastAsia="仿宋_GB2312" w:cs="仿宋_GB2312"/>
          <w:color w:val="auto"/>
          <w:kern w:val="0"/>
          <w:sz w:val="28"/>
          <w:szCs w:val="28"/>
          <w:highlight w:val="none"/>
          <w:lang w:eastAsia="zh-CN"/>
        </w:rPr>
        <w:t>上</w:t>
      </w:r>
      <w:r>
        <w:rPr>
          <w:rFonts w:ascii="仿宋_GB2312" w:hAnsi="仿宋_GB2312" w:eastAsia="仿宋_GB2312" w:cs="仿宋_GB2312"/>
          <w:color w:val="auto"/>
          <w:kern w:val="0"/>
          <w:sz w:val="28"/>
          <w:szCs w:val="28"/>
          <w:highlight w:val="none"/>
        </w:rPr>
        <w:t>午</w:t>
      </w:r>
      <w:r>
        <w:rPr>
          <w:rFonts w:hint="eastAsia" w:ascii="仿宋_GB2312" w:hAnsi="仿宋_GB2312" w:eastAsia="仿宋_GB2312" w:cs="仿宋_GB2312"/>
          <w:color w:val="auto"/>
          <w:kern w:val="0"/>
          <w:sz w:val="28"/>
          <w:szCs w:val="28"/>
          <w:highlight w:val="none"/>
          <w:lang w:val="en-US" w:eastAsia="zh-CN"/>
        </w:rPr>
        <w:t>9:30</w:t>
      </w:r>
      <w:r>
        <w:rPr>
          <w:rFonts w:ascii="仿宋_GB2312" w:hAnsi="仿宋_GB2312" w:eastAsia="仿宋_GB2312" w:cs="仿宋_GB2312"/>
          <w:color w:val="auto"/>
          <w:kern w:val="0"/>
          <w:sz w:val="28"/>
          <w:szCs w:val="28"/>
          <w:highlight w:val="none"/>
        </w:rPr>
        <w:t>时止</w:t>
      </w:r>
    </w:p>
    <w:p>
      <w:pPr>
        <w:spacing w:line="360" w:lineRule="auto"/>
        <w:ind w:firstLine="560" w:firstLineChars="200"/>
        <w:jc w:val="left"/>
        <w:rPr>
          <w:rFonts w:ascii="仿宋_GB2312" w:hAnsi="仿宋_GB2312" w:eastAsia="仿宋_GB2312" w:cs="仿宋_GB2312"/>
          <w:color w:val="000000"/>
          <w:kern w:val="0"/>
          <w:sz w:val="28"/>
          <w:szCs w:val="28"/>
        </w:rPr>
      </w:pPr>
      <w:r>
        <w:rPr>
          <w:rFonts w:ascii="仿宋_GB2312" w:hAnsi="仿宋_GB2312" w:eastAsia="仿宋_GB2312" w:cs="仿宋_GB2312"/>
          <w:bCs/>
          <w:color w:val="000000"/>
          <w:kern w:val="0"/>
          <w:sz w:val="28"/>
          <w:szCs w:val="28"/>
        </w:rPr>
        <w:t>2.投标地址</w:t>
      </w:r>
      <w:r>
        <w:rPr>
          <w:rFonts w:ascii="仿宋_GB2312" w:hAnsi="仿宋_GB2312" w:eastAsia="仿宋_GB2312" w:cs="仿宋_GB2312"/>
          <w:color w:val="000000"/>
          <w:kern w:val="0"/>
          <w:sz w:val="28"/>
          <w:szCs w:val="28"/>
        </w:rPr>
        <w:t>：</w:t>
      </w:r>
      <w:r>
        <w:rPr>
          <w:rFonts w:hint="eastAsia" w:ascii="仿宋_GB2312" w:hAnsi="仿宋_GB2312" w:eastAsia="仿宋_GB2312" w:cs="仿宋_GB2312"/>
          <w:color w:val="000000"/>
          <w:kern w:val="0"/>
          <w:sz w:val="28"/>
          <w:szCs w:val="28"/>
        </w:rPr>
        <w:t>政府采购云平台</w:t>
      </w:r>
    </w:p>
    <w:p>
      <w:pPr>
        <w:spacing w:line="360" w:lineRule="auto"/>
        <w:ind w:firstLine="560" w:firstLineChars="200"/>
        <w:jc w:val="left"/>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3.投标人应当在投标截止时间前完成电子投标文件的传输递</w:t>
      </w:r>
      <w:r>
        <w:rPr>
          <w:rFonts w:hint="eastAsia" w:ascii="仿宋_GB2312" w:hAnsi="仿宋_GB2312" w:eastAsia="仿宋_GB2312" w:cs="仿宋_GB2312"/>
          <w:color w:val="000000"/>
          <w:kern w:val="0"/>
          <w:sz w:val="28"/>
          <w:szCs w:val="28"/>
        </w:rPr>
        <w:t>交</w:t>
      </w:r>
      <w:r>
        <w:rPr>
          <w:rFonts w:ascii="仿宋_GB2312" w:hAnsi="仿宋_GB2312" w:eastAsia="仿宋_GB2312" w:cs="仿宋_GB2312"/>
          <w:color w:val="000000"/>
          <w:kern w:val="0"/>
          <w:sz w:val="28"/>
          <w:szCs w:val="28"/>
        </w:rPr>
        <w:t>，并可以补充、修改或者撤回电子投标文件。补充或者修改电子投标文件的，应当先行撤回原文件，补充、修改后重新传输递交。投标截止时间前未完成传输的，视为撤回投标文件。投标、响应截止时间后</w:t>
      </w:r>
      <w:r>
        <w:rPr>
          <w:rFonts w:hint="eastAsia" w:ascii="仿宋_GB2312" w:hAnsi="仿宋_GB2312" w:eastAsia="仿宋_GB2312" w:cs="仿宋_GB2312"/>
          <w:color w:val="000000"/>
          <w:kern w:val="0"/>
          <w:sz w:val="28"/>
          <w:szCs w:val="28"/>
          <w:lang w:eastAsia="zh-CN"/>
        </w:rPr>
        <w:t>提交</w:t>
      </w:r>
      <w:r>
        <w:rPr>
          <w:rFonts w:ascii="仿宋_GB2312" w:hAnsi="仿宋_GB2312" w:eastAsia="仿宋_GB2312" w:cs="仿宋_GB2312"/>
          <w:color w:val="000000"/>
          <w:kern w:val="0"/>
          <w:sz w:val="28"/>
          <w:szCs w:val="28"/>
        </w:rPr>
        <w:t>的投标、响应文件，将被政采云平台拒收。</w:t>
      </w:r>
    </w:p>
    <w:p>
      <w:pPr>
        <w:spacing w:line="360" w:lineRule="auto"/>
        <w:ind w:firstLine="562" w:firstLineChars="200"/>
        <w:jc w:val="left"/>
        <w:rPr>
          <w:rFonts w:ascii="仿宋_GB2312" w:hAnsi="仿宋_GB2312" w:eastAsia="仿宋_GB2312" w:cs="仿宋_GB2312"/>
          <w:b/>
          <w:bCs/>
          <w:color w:val="000000"/>
          <w:kern w:val="0"/>
          <w:sz w:val="28"/>
          <w:szCs w:val="28"/>
        </w:rPr>
      </w:pPr>
      <w:r>
        <w:rPr>
          <w:rFonts w:hint="eastAsia" w:ascii="仿宋_GB2312" w:hAnsi="仿宋_GB2312" w:eastAsia="仿宋_GB2312" w:cs="仿宋_GB2312"/>
          <w:b/>
          <w:bCs/>
          <w:color w:val="000000"/>
          <w:kern w:val="0"/>
          <w:sz w:val="28"/>
          <w:szCs w:val="28"/>
        </w:rPr>
        <w:t>八、开标时间及地点：</w:t>
      </w:r>
    </w:p>
    <w:p>
      <w:pPr>
        <w:spacing w:line="360" w:lineRule="auto"/>
        <w:ind w:firstLine="560" w:firstLineChars="200"/>
        <w:jc w:val="left"/>
        <w:rPr>
          <w:rFonts w:hint="eastAsia" w:ascii="仿宋_GB2312" w:hAnsi="仿宋_GB2312" w:eastAsia="仿宋_GB2312" w:cs="仿宋_GB2312"/>
          <w:color w:val="auto"/>
          <w:kern w:val="0"/>
          <w:sz w:val="28"/>
          <w:szCs w:val="28"/>
          <w:highlight w:val="none"/>
          <w:lang w:eastAsia="zh-CN"/>
        </w:rPr>
      </w:pPr>
      <w:r>
        <w:rPr>
          <w:rFonts w:hint="eastAsia" w:ascii="仿宋_GB2312" w:hAnsi="仿宋_GB2312" w:eastAsia="仿宋_GB2312" w:cs="仿宋_GB2312"/>
          <w:bCs/>
          <w:color w:val="000000"/>
          <w:kern w:val="0"/>
          <w:sz w:val="28"/>
          <w:szCs w:val="28"/>
        </w:rPr>
        <w:t>1.</w:t>
      </w:r>
      <w:r>
        <w:rPr>
          <w:rFonts w:ascii="仿宋_GB2312" w:hAnsi="仿宋_GB2312" w:eastAsia="仿宋_GB2312" w:cs="仿宋_GB2312"/>
          <w:bCs/>
          <w:color w:val="000000"/>
          <w:kern w:val="0"/>
          <w:sz w:val="28"/>
          <w:szCs w:val="28"/>
        </w:rPr>
        <w:t>开</w:t>
      </w:r>
      <w:r>
        <w:rPr>
          <w:rFonts w:ascii="仿宋_GB2312" w:hAnsi="仿宋_GB2312" w:eastAsia="仿宋_GB2312" w:cs="仿宋_GB2312"/>
          <w:bCs/>
          <w:kern w:val="0"/>
          <w:sz w:val="28"/>
          <w:szCs w:val="28"/>
        </w:rPr>
        <w:t>标</w:t>
      </w:r>
      <w:r>
        <w:rPr>
          <w:rFonts w:ascii="仿宋_GB2312" w:hAnsi="仿宋_GB2312" w:eastAsia="仿宋_GB2312" w:cs="仿宋_GB2312"/>
          <w:bCs/>
          <w:color w:val="auto"/>
          <w:kern w:val="0"/>
          <w:sz w:val="28"/>
          <w:szCs w:val="28"/>
        </w:rPr>
        <w:t>时</w:t>
      </w:r>
      <w:r>
        <w:rPr>
          <w:rFonts w:ascii="仿宋_GB2312" w:hAnsi="仿宋_GB2312" w:eastAsia="仿宋_GB2312" w:cs="仿宋_GB2312"/>
          <w:bCs/>
          <w:color w:val="auto"/>
          <w:kern w:val="0"/>
          <w:sz w:val="28"/>
          <w:szCs w:val="28"/>
          <w:highlight w:val="none"/>
        </w:rPr>
        <w:t>间</w:t>
      </w:r>
      <w:r>
        <w:rPr>
          <w:rFonts w:ascii="仿宋_GB2312" w:hAnsi="仿宋_GB2312" w:eastAsia="仿宋_GB2312" w:cs="仿宋_GB2312"/>
          <w:color w:val="auto"/>
          <w:kern w:val="0"/>
          <w:sz w:val="28"/>
          <w:szCs w:val="28"/>
          <w:highlight w:val="none"/>
        </w:rPr>
        <w:t>：20</w:t>
      </w:r>
      <w:r>
        <w:rPr>
          <w:rFonts w:hint="eastAsia" w:ascii="仿宋_GB2312" w:hAnsi="仿宋_GB2312" w:eastAsia="仿宋_GB2312" w:cs="仿宋_GB2312"/>
          <w:color w:val="auto"/>
          <w:kern w:val="0"/>
          <w:sz w:val="28"/>
          <w:szCs w:val="28"/>
          <w:highlight w:val="none"/>
        </w:rPr>
        <w:t>2</w:t>
      </w:r>
      <w:r>
        <w:rPr>
          <w:rFonts w:hint="eastAsia" w:ascii="仿宋_GB2312" w:hAnsi="仿宋_GB2312" w:eastAsia="仿宋_GB2312" w:cs="仿宋_GB2312"/>
          <w:color w:val="auto"/>
          <w:kern w:val="0"/>
          <w:sz w:val="28"/>
          <w:szCs w:val="28"/>
          <w:highlight w:val="none"/>
          <w:lang w:val="en-US" w:eastAsia="zh-CN"/>
        </w:rPr>
        <w:t>4</w:t>
      </w:r>
      <w:r>
        <w:rPr>
          <w:rFonts w:ascii="仿宋_GB2312" w:hAnsi="仿宋_GB2312" w:eastAsia="仿宋_GB2312" w:cs="仿宋_GB2312"/>
          <w:color w:val="auto"/>
          <w:kern w:val="0"/>
          <w:sz w:val="28"/>
          <w:szCs w:val="28"/>
          <w:highlight w:val="none"/>
        </w:rPr>
        <w:t>年</w:t>
      </w:r>
      <w:r>
        <w:rPr>
          <w:rFonts w:hint="eastAsia" w:ascii="仿宋_GB2312" w:hAnsi="仿宋_GB2312" w:eastAsia="仿宋_GB2312" w:cs="仿宋_GB2312"/>
          <w:color w:val="auto"/>
          <w:kern w:val="0"/>
          <w:sz w:val="28"/>
          <w:szCs w:val="28"/>
          <w:highlight w:val="none"/>
          <w:lang w:val="en-US" w:eastAsia="zh-CN"/>
        </w:rPr>
        <w:t>1</w:t>
      </w:r>
      <w:r>
        <w:rPr>
          <w:rFonts w:ascii="仿宋_GB2312" w:hAnsi="仿宋_GB2312" w:eastAsia="仿宋_GB2312" w:cs="仿宋_GB2312"/>
          <w:color w:val="auto"/>
          <w:kern w:val="0"/>
          <w:sz w:val="28"/>
          <w:szCs w:val="28"/>
          <w:highlight w:val="none"/>
        </w:rPr>
        <w:t>月</w:t>
      </w:r>
      <w:r>
        <w:rPr>
          <w:rFonts w:hint="eastAsia" w:ascii="仿宋_GB2312" w:hAnsi="仿宋_GB2312" w:eastAsia="仿宋_GB2312" w:cs="仿宋_GB2312"/>
          <w:color w:val="auto"/>
          <w:kern w:val="0"/>
          <w:sz w:val="28"/>
          <w:szCs w:val="28"/>
          <w:highlight w:val="none"/>
          <w:lang w:val="en-US" w:eastAsia="zh-CN"/>
        </w:rPr>
        <w:t>9</w:t>
      </w:r>
      <w:r>
        <w:rPr>
          <w:rFonts w:ascii="仿宋_GB2312" w:hAnsi="仿宋_GB2312" w:eastAsia="仿宋_GB2312" w:cs="仿宋_GB2312"/>
          <w:color w:val="auto"/>
          <w:kern w:val="0"/>
          <w:sz w:val="28"/>
          <w:szCs w:val="28"/>
          <w:highlight w:val="none"/>
        </w:rPr>
        <w:t>日</w:t>
      </w:r>
      <w:r>
        <w:rPr>
          <w:rFonts w:hint="eastAsia" w:ascii="仿宋_GB2312" w:hAnsi="仿宋_GB2312" w:eastAsia="仿宋_GB2312" w:cs="仿宋_GB2312"/>
          <w:color w:val="auto"/>
          <w:kern w:val="0"/>
          <w:sz w:val="28"/>
          <w:szCs w:val="28"/>
          <w:highlight w:val="none"/>
          <w:lang w:eastAsia="zh-CN"/>
        </w:rPr>
        <w:t>上</w:t>
      </w:r>
      <w:r>
        <w:rPr>
          <w:rFonts w:ascii="仿宋_GB2312" w:hAnsi="仿宋_GB2312" w:eastAsia="仿宋_GB2312" w:cs="仿宋_GB2312"/>
          <w:color w:val="auto"/>
          <w:kern w:val="0"/>
          <w:sz w:val="28"/>
          <w:szCs w:val="28"/>
          <w:highlight w:val="none"/>
        </w:rPr>
        <w:t>午</w:t>
      </w:r>
      <w:r>
        <w:rPr>
          <w:rFonts w:hint="eastAsia" w:ascii="仿宋_GB2312" w:hAnsi="仿宋_GB2312" w:eastAsia="仿宋_GB2312" w:cs="仿宋_GB2312"/>
          <w:color w:val="auto"/>
          <w:kern w:val="0"/>
          <w:sz w:val="28"/>
          <w:szCs w:val="28"/>
          <w:highlight w:val="none"/>
          <w:lang w:val="en-US" w:eastAsia="zh-CN"/>
        </w:rPr>
        <w:t>9:30</w:t>
      </w:r>
      <w:r>
        <w:rPr>
          <w:rFonts w:ascii="仿宋_GB2312" w:hAnsi="仿宋_GB2312" w:eastAsia="仿宋_GB2312" w:cs="仿宋_GB2312"/>
          <w:color w:val="auto"/>
          <w:kern w:val="0"/>
          <w:sz w:val="28"/>
          <w:szCs w:val="28"/>
          <w:highlight w:val="none"/>
        </w:rPr>
        <w:t>时</w:t>
      </w:r>
      <w:r>
        <w:rPr>
          <w:rFonts w:hint="eastAsia" w:ascii="仿宋_GB2312" w:hAnsi="仿宋_GB2312" w:eastAsia="仿宋_GB2312" w:cs="仿宋_GB2312"/>
          <w:color w:val="auto"/>
          <w:kern w:val="0"/>
          <w:sz w:val="28"/>
          <w:szCs w:val="28"/>
          <w:highlight w:val="none"/>
          <w:lang w:eastAsia="zh-CN"/>
        </w:rPr>
        <w:t>整</w:t>
      </w:r>
    </w:p>
    <w:p>
      <w:pPr>
        <w:spacing w:line="360" w:lineRule="auto"/>
        <w:ind w:firstLine="560" w:firstLineChars="200"/>
        <w:jc w:val="left"/>
        <w:rPr>
          <w:rFonts w:ascii="仿宋_GB2312" w:hAnsi="仿宋_GB2312" w:eastAsia="仿宋_GB2312" w:cs="仿宋_GB2312"/>
          <w:color w:val="000000"/>
          <w:kern w:val="0"/>
          <w:sz w:val="28"/>
          <w:szCs w:val="28"/>
          <w:highlight w:val="none"/>
        </w:rPr>
      </w:pPr>
      <w:r>
        <w:rPr>
          <w:rFonts w:hint="eastAsia" w:ascii="仿宋_GB2312" w:hAnsi="仿宋_GB2312" w:eastAsia="仿宋_GB2312" w:cs="仿宋_GB2312"/>
          <w:color w:val="000000"/>
          <w:kern w:val="0"/>
          <w:sz w:val="28"/>
          <w:szCs w:val="28"/>
          <w:highlight w:val="none"/>
        </w:rPr>
        <w:t>2.开标地址/网址：浙江省慈溪市公共资源交易中心二楼第五开标室（慈溪市白沙路街道南二环东路1355号）/政府采购云平台</w:t>
      </w:r>
    </w:p>
    <w:p>
      <w:pPr>
        <w:spacing w:line="360" w:lineRule="auto"/>
        <w:ind w:firstLine="562" w:firstLineChars="200"/>
        <w:jc w:val="left"/>
        <w:rPr>
          <w:rFonts w:ascii="仿宋_GB2312" w:hAnsi="仿宋_GB2312" w:eastAsia="仿宋_GB2312" w:cs="仿宋_GB2312"/>
          <w:color w:val="000000"/>
          <w:kern w:val="0"/>
          <w:sz w:val="28"/>
          <w:szCs w:val="28"/>
        </w:rPr>
      </w:pPr>
      <w:r>
        <w:rPr>
          <w:rFonts w:hint="eastAsia" w:ascii="仿宋_GB2312" w:hAnsi="仿宋_GB2312" w:eastAsia="仿宋_GB2312" w:cs="仿宋_GB2312"/>
          <w:b/>
          <w:bCs/>
          <w:color w:val="000000"/>
          <w:kern w:val="0"/>
          <w:sz w:val="28"/>
          <w:szCs w:val="28"/>
        </w:rPr>
        <w:t>九、</w:t>
      </w:r>
      <w:r>
        <w:rPr>
          <w:rFonts w:ascii="仿宋_GB2312" w:hAnsi="仿宋_GB2312" w:eastAsia="仿宋_GB2312" w:cs="仿宋_GB2312"/>
          <w:b/>
          <w:bCs/>
          <w:color w:val="000000"/>
          <w:kern w:val="0"/>
          <w:sz w:val="28"/>
          <w:szCs w:val="28"/>
        </w:rPr>
        <w:t>投标保证金</w:t>
      </w:r>
      <w:r>
        <w:rPr>
          <w:rFonts w:ascii="仿宋_GB2312" w:hAnsi="仿宋_GB2312" w:eastAsia="仿宋_GB2312" w:cs="仿宋_GB2312"/>
          <w:b/>
          <w:color w:val="000000"/>
          <w:kern w:val="0"/>
          <w:sz w:val="28"/>
          <w:szCs w:val="28"/>
        </w:rPr>
        <w:t>：</w:t>
      </w:r>
      <w:r>
        <w:rPr>
          <w:rFonts w:ascii="仿宋_GB2312" w:hAnsi="仿宋_GB2312" w:eastAsia="仿宋_GB2312" w:cs="仿宋_GB2312"/>
          <w:color w:val="000000"/>
          <w:kern w:val="0"/>
          <w:sz w:val="28"/>
          <w:szCs w:val="28"/>
        </w:rPr>
        <w:t>无</w:t>
      </w:r>
    </w:p>
    <w:p>
      <w:pPr>
        <w:spacing w:line="360" w:lineRule="auto"/>
        <w:ind w:firstLine="562" w:firstLineChars="200"/>
        <w:jc w:val="left"/>
        <w:rPr>
          <w:rFonts w:ascii="仿宋_GB2312" w:hAnsi="仿宋_GB2312" w:eastAsia="仿宋_GB2312" w:cs="仿宋_GB2312"/>
          <w:b/>
          <w:color w:val="000000"/>
          <w:kern w:val="0"/>
          <w:sz w:val="28"/>
          <w:szCs w:val="28"/>
        </w:rPr>
      </w:pPr>
      <w:r>
        <w:rPr>
          <w:rFonts w:hint="eastAsia" w:ascii="仿宋_GB2312" w:hAnsi="仿宋_GB2312" w:eastAsia="仿宋_GB2312" w:cs="仿宋_GB2312"/>
          <w:b/>
          <w:color w:val="000000"/>
          <w:kern w:val="0"/>
          <w:sz w:val="28"/>
          <w:szCs w:val="28"/>
        </w:rPr>
        <w:t>十、</w:t>
      </w:r>
      <w:r>
        <w:rPr>
          <w:rFonts w:ascii="仿宋_GB2312" w:hAnsi="仿宋_GB2312" w:eastAsia="仿宋_GB2312" w:cs="仿宋_GB2312"/>
          <w:b/>
          <w:color w:val="000000"/>
          <w:kern w:val="0"/>
          <w:sz w:val="28"/>
          <w:szCs w:val="28"/>
        </w:rPr>
        <w:t>本次招标有关信息公告媒体：</w:t>
      </w:r>
    </w:p>
    <w:p>
      <w:pPr>
        <w:spacing w:line="360" w:lineRule="auto"/>
        <w:ind w:firstLine="560" w:firstLineChars="200"/>
        <w:jc w:val="left"/>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浙江政府采购网</w:t>
      </w:r>
    </w:p>
    <w:p>
      <w:pPr>
        <w:spacing w:line="360" w:lineRule="auto"/>
        <w:ind w:left="559" w:leftChars="266"/>
        <w:jc w:val="left"/>
        <w:rPr>
          <w:rFonts w:hint="eastAsia" w:ascii="仿宋_GB2312" w:hAnsi="仿宋_GB2312" w:eastAsia="仿宋_GB2312" w:cs="仿宋_GB2312"/>
          <w:color w:val="000000"/>
          <w:kern w:val="0"/>
          <w:sz w:val="28"/>
          <w:szCs w:val="28"/>
          <w:lang w:eastAsia="zh-CN"/>
        </w:rPr>
      </w:pPr>
      <w:r>
        <w:rPr>
          <w:rFonts w:hint="eastAsia" w:ascii="仿宋_GB2312" w:hAnsi="仿宋_GB2312" w:eastAsia="仿宋_GB2312" w:cs="仿宋_GB2312"/>
          <w:color w:val="000000"/>
          <w:kern w:val="0"/>
          <w:sz w:val="28"/>
          <w:szCs w:val="28"/>
          <w:lang w:eastAsia="zh-CN"/>
        </w:rPr>
        <w:t>宁波市政务服务办公室-宁波市公共资源交易电子服务系统（慈溪）</w:t>
      </w:r>
    </w:p>
    <w:p>
      <w:pPr>
        <w:spacing w:line="360" w:lineRule="auto"/>
        <w:ind w:firstLine="562" w:firstLineChars="200"/>
        <w:jc w:val="left"/>
        <w:rPr>
          <w:rFonts w:ascii="仿宋_GB2312" w:hAnsi="仿宋_GB2312" w:eastAsia="仿宋_GB2312" w:cs="仿宋_GB2312"/>
          <w:color w:val="000000"/>
          <w:kern w:val="0"/>
          <w:sz w:val="28"/>
          <w:szCs w:val="28"/>
        </w:rPr>
      </w:pPr>
      <w:r>
        <w:rPr>
          <w:rFonts w:ascii="仿宋_GB2312" w:hAnsi="仿宋_GB2312" w:eastAsia="仿宋_GB2312" w:cs="仿宋_GB2312"/>
          <w:b/>
          <w:color w:val="000000"/>
          <w:kern w:val="0"/>
          <w:sz w:val="28"/>
          <w:szCs w:val="28"/>
        </w:rPr>
        <w:t>十一</w:t>
      </w:r>
      <w:r>
        <w:rPr>
          <w:rFonts w:hint="eastAsia" w:ascii="仿宋_GB2312" w:hAnsi="仿宋_GB2312" w:eastAsia="仿宋_GB2312" w:cs="仿宋_GB2312"/>
          <w:b/>
          <w:color w:val="000000"/>
          <w:kern w:val="0"/>
          <w:sz w:val="28"/>
          <w:szCs w:val="28"/>
        </w:rPr>
        <w:t>、本项目</w:t>
      </w:r>
      <w:r>
        <w:rPr>
          <w:rFonts w:ascii="仿宋_GB2312" w:hAnsi="仿宋_GB2312" w:eastAsia="仿宋_GB2312" w:cs="仿宋_GB2312"/>
          <w:b/>
          <w:color w:val="000000"/>
          <w:kern w:val="0"/>
          <w:sz w:val="28"/>
          <w:szCs w:val="28"/>
        </w:rPr>
        <w:t>公告期限：</w:t>
      </w:r>
      <w:r>
        <w:rPr>
          <w:rFonts w:ascii="仿宋_GB2312" w:hAnsi="仿宋_GB2312" w:eastAsia="仿宋_GB2312" w:cs="仿宋_GB2312"/>
          <w:color w:val="000000"/>
          <w:kern w:val="0"/>
          <w:sz w:val="28"/>
          <w:szCs w:val="28"/>
        </w:rPr>
        <w:t>本公告发布之日起5个工作日。</w:t>
      </w:r>
    </w:p>
    <w:p>
      <w:pPr>
        <w:spacing w:line="360" w:lineRule="auto"/>
        <w:ind w:firstLine="562" w:firstLineChars="200"/>
        <w:jc w:val="left"/>
        <w:rPr>
          <w:rFonts w:ascii="仿宋_GB2312" w:hAnsi="仿宋_GB2312" w:eastAsia="仿宋_GB2312" w:cs="仿宋_GB2312"/>
          <w:color w:val="000000"/>
          <w:kern w:val="0"/>
          <w:sz w:val="28"/>
          <w:szCs w:val="28"/>
        </w:rPr>
      </w:pPr>
      <w:r>
        <w:rPr>
          <w:rFonts w:hint="eastAsia" w:ascii="仿宋_GB2312" w:hAnsi="仿宋_GB2312" w:eastAsia="仿宋_GB2312" w:cs="仿宋_GB2312"/>
          <w:b/>
          <w:bCs/>
          <w:color w:val="000000"/>
          <w:kern w:val="0"/>
          <w:sz w:val="28"/>
          <w:szCs w:val="28"/>
        </w:rPr>
        <w:t>十二、</w:t>
      </w:r>
      <w:r>
        <w:rPr>
          <w:rFonts w:ascii="仿宋_GB2312" w:hAnsi="仿宋_GB2312" w:eastAsia="仿宋_GB2312" w:cs="仿宋_GB2312"/>
          <w:color w:val="000000"/>
          <w:kern w:val="0"/>
          <w:sz w:val="28"/>
          <w:szCs w:val="28"/>
        </w:rPr>
        <w:t>供应商认为采购文件、采购过程、中标或者成交结果使自己的权益受到损害的，可以在知道或者应知其权益受到损害之日起7个工作日内，以书面形式提出质疑。</w:t>
      </w:r>
      <w:r>
        <w:rPr>
          <w:rFonts w:ascii="仿宋_GB2312" w:hAnsi="仿宋_GB2312" w:eastAsia="仿宋_GB2312" w:cs="仿宋_GB2312"/>
          <w:b/>
          <w:bCs/>
          <w:color w:val="000000"/>
          <w:kern w:val="0"/>
          <w:sz w:val="28"/>
          <w:szCs w:val="28"/>
          <w:u w:val="single"/>
        </w:rPr>
        <w:t>对采购文件需求条款、评分标准等内容的质疑向采购人提出，对开评标程序的质疑向采购代理机构提出。</w:t>
      </w:r>
      <w:r>
        <w:rPr>
          <w:rFonts w:ascii="仿宋_GB2312" w:hAnsi="仿宋_GB2312" w:eastAsia="仿宋_GB2312" w:cs="仿宋_GB2312"/>
          <w:color w:val="000000"/>
          <w:kern w:val="0"/>
          <w:sz w:val="28"/>
          <w:szCs w:val="28"/>
        </w:rPr>
        <w:t>质疑相关事项见招标文件“第四部分-六、质疑”。</w:t>
      </w:r>
    </w:p>
    <w:p>
      <w:pPr>
        <w:spacing w:line="360" w:lineRule="auto"/>
        <w:ind w:firstLine="562" w:firstLineChars="200"/>
        <w:jc w:val="left"/>
        <w:rPr>
          <w:rFonts w:ascii="仿宋_GB2312" w:hAnsi="仿宋_GB2312" w:eastAsia="仿宋_GB2312" w:cs="仿宋_GB2312"/>
          <w:color w:val="000000"/>
          <w:kern w:val="0"/>
          <w:sz w:val="28"/>
          <w:szCs w:val="28"/>
        </w:rPr>
      </w:pPr>
      <w:r>
        <w:rPr>
          <w:rFonts w:hint="eastAsia" w:ascii="仿宋_GB2312" w:hAnsi="仿宋_GB2312" w:eastAsia="仿宋_GB2312" w:cs="仿宋_GB2312"/>
          <w:b/>
          <w:bCs/>
          <w:color w:val="000000"/>
          <w:kern w:val="0"/>
          <w:sz w:val="28"/>
          <w:szCs w:val="28"/>
          <w:lang w:eastAsia="zh-CN"/>
        </w:rPr>
        <w:t>十三、</w:t>
      </w:r>
      <w:r>
        <w:rPr>
          <w:rFonts w:ascii="仿宋_GB2312" w:hAnsi="仿宋_GB2312" w:eastAsia="仿宋_GB2312" w:cs="仿宋_GB2312"/>
          <w:b/>
          <w:bCs/>
          <w:color w:val="000000"/>
          <w:kern w:val="0"/>
          <w:sz w:val="28"/>
          <w:szCs w:val="28"/>
        </w:rPr>
        <w:t>联系方式：</w:t>
      </w:r>
    </w:p>
    <w:p>
      <w:pPr>
        <w:pStyle w:val="29"/>
        <w:ind w:firstLine="560" w:firstLineChars="200"/>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1.采购人信息</w:t>
      </w:r>
    </w:p>
    <w:p>
      <w:pPr>
        <w:pStyle w:val="29"/>
        <w:ind w:firstLine="560" w:firstLineChars="200"/>
        <w:rPr>
          <w:rFonts w:hint="eastAsia" w:ascii="仿宋_GB2312" w:hAnsi="仿宋_GB2312" w:eastAsia="仿宋_GB2312" w:cs="仿宋_GB2312"/>
          <w:color w:val="000000"/>
          <w:kern w:val="0"/>
          <w:szCs w:val="28"/>
          <w:highlight w:val="none"/>
          <w:lang w:eastAsia="zh-CN"/>
        </w:rPr>
      </w:pPr>
      <w:r>
        <w:rPr>
          <w:rFonts w:hint="eastAsia" w:ascii="仿宋_GB2312" w:hAnsi="仿宋_GB2312" w:eastAsia="仿宋_GB2312" w:cs="仿宋_GB2312"/>
          <w:color w:val="000000"/>
          <w:kern w:val="0"/>
          <w:szCs w:val="28"/>
          <w:highlight w:val="none"/>
          <w:lang w:eastAsia="zh-CN"/>
        </w:rPr>
        <w:t>慈溪市教育服务和电化教育中心（慈溪市白沙路街道文二路288号）</w:t>
      </w:r>
    </w:p>
    <w:p>
      <w:pPr>
        <w:pStyle w:val="29"/>
        <w:ind w:firstLine="560" w:firstLineChars="200"/>
        <w:rPr>
          <w:rFonts w:hint="eastAsia" w:ascii="仿宋_GB2312" w:hAnsi="仿宋_GB2312" w:eastAsia="仿宋_GB2312" w:cs="仿宋_GB2312"/>
          <w:color w:val="auto"/>
          <w:kern w:val="0"/>
          <w:szCs w:val="28"/>
          <w:highlight w:val="none"/>
        </w:rPr>
      </w:pPr>
      <w:r>
        <w:rPr>
          <w:rFonts w:hint="eastAsia" w:ascii="仿宋_GB2312" w:hAnsi="仿宋_GB2312" w:eastAsia="仿宋_GB2312" w:cs="仿宋_GB2312"/>
          <w:color w:val="000000"/>
          <w:kern w:val="0"/>
          <w:szCs w:val="28"/>
          <w:highlight w:val="none"/>
        </w:rPr>
        <w:t>项目联系人（询</w:t>
      </w:r>
      <w:r>
        <w:rPr>
          <w:rFonts w:hint="eastAsia" w:ascii="仿宋_GB2312" w:hAnsi="仿宋_GB2312" w:eastAsia="仿宋_GB2312" w:cs="仿宋_GB2312"/>
          <w:color w:val="auto"/>
          <w:kern w:val="0"/>
          <w:szCs w:val="28"/>
          <w:highlight w:val="none"/>
        </w:rPr>
        <w:t>问）： 吴慈忠，13606881994</w:t>
      </w:r>
    </w:p>
    <w:p>
      <w:pPr>
        <w:pStyle w:val="29"/>
        <w:ind w:firstLine="560" w:firstLineChars="200"/>
        <w:rPr>
          <w:rFonts w:hint="eastAsia"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highlight w:val="none"/>
        </w:rPr>
        <w:t>质疑联系人：戚淼</w:t>
      </w:r>
      <w:r>
        <w:rPr>
          <w:rFonts w:hint="eastAsia" w:ascii="仿宋_GB2312" w:hAnsi="仿宋_GB2312" w:eastAsia="仿宋_GB2312" w:cs="仿宋_GB2312"/>
          <w:color w:val="000000"/>
          <w:kern w:val="0"/>
          <w:szCs w:val="28"/>
        </w:rPr>
        <w:t>，0574-63919069</w:t>
      </w:r>
    </w:p>
    <w:p>
      <w:pPr>
        <w:pStyle w:val="29"/>
        <w:ind w:firstLine="560" w:firstLineChars="200"/>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2.采购代理机构信息</w:t>
      </w:r>
    </w:p>
    <w:p>
      <w:pPr>
        <w:pStyle w:val="29"/>
        <w:ind w:firstLine="560" w:firstLineChars="200"/>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慈溪市政府采购中心</w:t>
      </w:r>
      <w:r>
        <w:rPr>
          <w:rFonts w:hint="eastAsia" w:hAnsi="宋体" w:cs="宋体"/>
          <w:color w:val="000000"/>
          <w:kern w:val="0"/>
          <w:szCs w:val="28"/>
        </w:rPr>
        <w:t>（</w:t>
      </w:r>
      <w:r>
        <w:rPr>
          <w:rFonts w:hint="eastAsia" w:ascii="仿宋_GB2312" w:hAnsi="仿宋_GB2312" w:eastAsia="仿宋_GB2312" w:cs="仿宋_GB2312"/>
          <w:color w:val="000000"/>
          <w:kern w:val="0"/>
          <w:szCs w:val="28"/>
        </w:rPr>
        <w:t>慈溪市白沙路街道南二环东路1355号）</w:t>
      </w:r>
    </w:p>
    <w:p>
      <w:pPr>
        <w:pStyle w:val="29"/>
        <w:ind w:firstLine="560" w:firstLineChars="200"/>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项目联系人（询问）：陆溶溶</w:t>
      </w:r>
      <w:r>
        <w:rPr>
          <w:rFonts w:hint="eastAsia" w:hAnsi="宋体" w:cs="宋体"/>
          <w:color w:val="000000"/>
          <w:kern w:val="0"/>
          <w:szCs w:val="28"/>
        </w:rPr>
        <w:t>，</w:t>
      </w:r>
      <w:r>
        <w:rPr>
          <w:rFonts w:hint="eastAsia" w:ascii="仿宋_GB2312" w:hAnsi="仿宋_GB2312" w:eastAsia="仿宋_GB2312" w:cs="仿宋_GB2312"/>
          <w:color w:val="000000"/>
          <w:kern w:val="0"/>
          <w:szCs w:val="28"/>
        </w:rPr>
        <w:t>0574-63661116</w:t>
      </w:r>
    </w:p>
    <w:p>
      <w:pPr>
        <w:pStyle w:val="29"/>
        <w:ind w:firstLine="560" w:firstLineChars="200"/>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质疑联系人：陈倩芸，0574-63037955</w:t>
      </w:r>
    </w:p>
    <w:p>
      <w:pPr>
        <w:pStyle w:val="29"/>
        <w:ind w:firstLine="560" w:firstLineChars="200"/>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3.同级政府采购监督管理部门</w:t>
      </w:r>
    </w:p>
    <w:p>
      <w:pPr>
        <w:pStyle w:val="29"/>
        <w:ind w:firstLine="560" w:firstLineChars="200"/>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慈溪市财政局（慈溪市白沙路街道南二环东路1158号）</w:t>
      </w:r>
    </w:p>
    <w:p>
      <w:pPr>
        <w:pStyle w:val="29"/>
        <w:ind w:firstLine="560" w:firstLineChars="200"/>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联系人：赵先生、王女士</w:t>
      </w:r>
    </w:p>
    <w:p>
      <w:pPr>
        <w:pStyle w:val="29"/>
        <w:ind w:firstLine="560" w:firstLineChars="200"/>
        <w:rPr>
          <w:rFonts w:ascii="仿宋_GB2312" w:hAnsi="仿宋_GB2312" w:eastAsia="仿宋_GB2312" w:cs="仿宋_GB2312"/>
          <w:color w:val="000000"/>
          <w:kern w:val="0"/>
          <w:sz w:val="36"/>
          <w:szCs w:val="36"/>
        </w:rPr>
      </w:pPr>
      <w:r>
        <w:rPr>
          <w:rFonts w:hint="eastAsia" w:ascii="仿宋_GB2312" w:hAnsi="仿宋_GB2312" w:eastAsia="仿宋_GB2312" w:cs="仿宋_GB2312"/>
          <w:color w:val="000000"/>
          <w:kern w:val="0"/>
          <w:szCs w:val="28"/>
        </w:rPr>
        <w:t>监督投诉电话：0574-63032032 0574-63837170</w:t>
      </w: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both"/>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28"/>
          <w:szCs w:val="28"/>
          <w:highlight w:val="yellow"/>
        </w:rPr>
      </w:pPr>
      <w:r>
        <w:rPr>
          <w:rFonts w:ascii="仿宋_GB2312" w:hAnsi="仿宋_GB2312" w:eastAsia="仿宋_GB2312" w:cs="仿宋_GB2312"/>
          <w:color w:val="000000"/>
          <w:kern w:val="0"/>
          <w:sz w:val="36"/>
          <w:szCs w:val="36"/>
        </w:rPr>
        <w:t>第二部分   招标需求</w:t>
      </w:r>
    </w:p>
    <w:p>
      <w:pPr>
        <w:snapToGrid w:val="0"/>
        <w:spacing w:beforeLines="50" w:afterLines="50" w:line="360" w:lineRule="auto"/>
        <w:rPr>
          <w:rFonts w:ascii="仿宋_GB2312" w:hAnsi="仿宋_GB2312" w:eastAsia="仿宋_GB2312" w:cs="仿宋_GB2312"/>
          <w:b/>
          <w:color w:val="000000"/>
          <w:kern w:val="0"/>
          <w:sz w:val="28"/>
          <w:szCs w:val="28"/>
          <w:u w:val="single"/>
        </w:rPr>
      </w:pPr>
      <w:r>
        <w:rPr>
          <w:rFonts w:ascii="仿宋_GB2312" w:hAnsi="仿宋_GB2312" w:eastAsia="仿宋_GB2312" w:cs="仿宋_GB2312"/>
          <w:b/>
          <w:color w:val="000000"/>
          <w:kern w:val="0"/>
          <w:sz w:val="28"/>
          <w:szCs w:val="28"/>
        </w:rPr>
        <w:t>特别说明：</w:t>
      </w:r>
      <w:r>
        <w:rPr>
          <w:rFonts w:ascii="仿宋_GB2312" w:hAnsi="仿宋_GB2312" w:eastAsia="仿宋_GB2312" w:cs="仿宋_GB2312"/>
          <w:b/>
          <w:color w:val="000000"/>
          <w:kern w:val="0"/>
          <w:sz w:val="28"/>
          <w:szCs w:val="28"/>
          <w:u w:val="single"/>
        </w:rPr>
        <w:t>需求中不允许负偏离的实质性要求和条件，以“★”号标明，如投标人未响应的，将被视为无效。</w:t>
      </w:r>
    </w:p>
    <w:p>
      <w:pPr>
        <w:spacing w:line="360" w:lineRule="auto"/>
        <w:ind w:firstLine="562" w:firstLineChars="200"/>
        <w:jc w:val="left"/>
        <w:rPr>
          <w:rFonts w:ascii="仿宋_GB2312" w:hAnsi="仿宋_GB2312" w:eastAsia="仿宋_GB2312" w:cs="仿宋_GB2312"/>
          <w:b/>
          <w:bCs/>
          <w:color w:val="000000"/>
          <w:kern w:val="0"/>
          <w:sz w:val="28"/>
          <w:szCs w:val="28"/>
        </w:rPr>
      </w:pPr>
      <w:r>
        <w:rPr>
          <w:rFonts w:hint="eastAsia" w:ascii="仿宋_GB2312" w:hAnsi="仿宋_GB2312" w:eastAsia="仿宋_GB2312" w:cs="仿宋_GB2312"/>
          <w:b/>
          <w:bCs/>
          <w:color w:val="000000"/>
          <w:kern w:val="0"/>
          <w:sz w:val="28"/>
          <w:szCs w:val="28"/>
        </w:rPr>
        <w:t>一、项目概况：</w:t>
      </w:r>
    </w:p>
    <w:p>
      <w:pPr>
        <w:spacing w:line="360" w:lineRule="auto"/>
        <w:ind w:firstLine="560" w:firstLineChars="200"/>
        <w:jc w:val="left"/>
        <w:rPr>
          <w:rFonts w:hint="eastAsia" w:ascii="仿宋_GB2312" w:hAnsi="仿宋_GB2312" w:eastAsia="仿宋_GB2312" w:cs="仿宋_GB2312"/>
          <w:b w:val="0"/>
          <w:bCs w:val="0"/>
          <w:color w:val="000000"/>
          <w:kern w:val="0"/>
          <w:sz w:val="28"/>
          <w:szCs w:val="28"/>
        </w:rPr>
      </w:pPr>
      <w:r>
        <w:rPr>
          <w:rFonts w:hint="eastAsia" w:ascii="仿宋_GB2312" w:hAnsi="仿宋_GB2312" w:eastAsia="仿宋_GB2312" w:cs="仿宋_GB2312"/>
          <w:b w:val="0"/>
          <w:bCs w:val="0"/>
          <w:color w:val="000000"/>
          <w:kern w:val="0"/>
          <w:sz w:val="28"/>
          <w:szCs w:val="28"/>
        </w:rPr>
        <w:t>慈溪市</w:t>
      </w:r>
      <w:r>
        <w:rPr>
          <w:rFonts w:hint="eastAsia" w:ascii="仿宋_GB2312" w:hAnsi="仿宋_GB2312" w:eastAsia="仿宋_GB2312" w:cs="仿宋_GB2312"/>
          <w:b w:val="0"/>
          <w:bCs w:val="0"/>
          <w:color w:val="000000"/>
          <w:kern w:val="0"/>
          <w:sz w:val="28"/>
          <w:szCs w:val="28"/>
          <w:lang w:eastAsia="zh-CN"/>
        </w:rPr>
        <w:t>教育服务和电化教育中心</w:t>
      </w:r>
      <w:r>
        <w:rPr>
          <w:rFonts w:hint="eastAsia" w:ascii="仿宋_GB2312" w:hAnsi="仿宋_GB2312" w:eastAsia="仿宋_GB2312" w:cs="仿宋_GB2312"/>
          <w:b w:val="0"/>
          <w:bCs w:val="0"/>
          <w:color w:val="000000"/>
          <w:kern w:val="0"/>
          <w:sz w:val="28"/>
          <w:szCs w:val="28"/>
        </w:rPr>
        <w:t>物业管理及服务项目。服务区域为市</w:t>
      </w:r>
      <w:r>
        <w:rPr>
          <w:rFonts w:hint="eastAsia" w:ascii="仿宋_GB2312" w:hAnsi="仿宋_GB2312" w:eastAsia="仿宋_GB2312" w:cs="仿宋_GB2312"/>
          <w:b w:val="0"/>
          <w:bCs w:val="0"/>
          <w:color w:val="000000"/>
          <w:kern w:val="0"/>
          <w:sz w:val="28"/>
          <w:szCs w:val="28"/>
          <w:lang w:eastAsia="zh-CN"/>
        </w:rPr>
        <w:t>教育服务和电化教育中心内</w:t>
      </w:r>
      <w:r>
        <w:rPr>
          <w:rFonts w:hint="eastAsia" w:ascii="仿宋_GB2312" w:hAnsi="仿宋_GB2312" w:eastAsia="仿宋_GB2312" w:cs="仿宋_GB2312"/>
          <w:b w:val="0"/>
          <w:bCs w:val="0"/>
          <w:color w:val="000000"/>
          <w:kern w:val="0"/>
          <w:sz w:val="28"/>
          <w:szCs w:val="28"/>
        </w:rPr>
        <w:t>所辖办公楼、</w:t>
      </w:r>
      <w:r>
        <w:rPr>
          <w:rFonts w:hint="eastAsia" w:ascii="仿宋_GB2312" w:hAnsi="仿宋_GB2312" w:eastAsia="仿宋_GB2312" w:cs="仿宋_GB2312"/>
          <w:b w:val="0"/>
          <w:bCs w:val="0"/>
          <w:color w:val="000000"/>
          <w:kern w:val="0"/>
          <w:sz w:val="28"/>
          <w:szCs w:val="28"/>
          <w:lang w:eastAsia="zh-CN"/>
        </w:rPr>
        <w:t>大院内</w:t>
      </w:r>
      <w:r>
        <w:rPr>
          <w:rFonts w:hint="eastAsia" w:ascii="仿宋_GB2312" w:hAnsi="仿宋_GB2312" w:eastAsia="仿宋_GB2312" w:cs="仿宋_GB2312"/>
          <w:b w:val="0"/>
          <w:bCs w:val="0"/>
          <w:color w:val="000000"/>
          <w:kern w:val="0"/>
          <w:sz w:val="28"/>
          <w:szCs w:val="28"/>
        </w:rPr>
        <w:t>道路及地上停车场等</w:t>
      </w:r>
      <w:r>
        <w:rPr>
          <w:rFonts w:hint="eastAsia" w:ascii="仿宋_GB2312" w:hAnsi="仿宋_GB2312" w:eastAsia="仿宋_GB2312" w:cs="仿宋_GB2312"/>
          <w:b w:val="0"/>
          <w:bCs w:val="0"/>
          <w:color w:val="000000"/>
          <w:kern w:val="0"/>
          <w:sz w:val="28"/>
          <w:szCs w:val="28"/>
          <w:lang w:eastAsia="zh-CN"/>
        </w:rPr>
        <w:t>。慈溪市教育服务和电化教育中心占地</w:t>
      </w:r>
      <w:r>
        <w:rPr>
          <w:rFonts w:hint="eastAsia" w:ascii="仿宋_GB2312" w:hAnsi="仿宋_GB2312" w:eastAsia="仿宋_GB2312" w:cs="仿宋_GB2312"/>
          <w:b w:val="0"/>
          <w:bCs w:val="0"/>
          <w:color w:val="000000"/>
          <w:kern w:val="0"/>
          <w:sz w:val="28"/>
          <w:szCs w:val="28"/>
          <w:lang w:val="en-US" w:eastAsia="zh-CN"/>
        </w:rPr>
        <w:t>23995㎡</w:t>
      </w:r>
      <w:r>
        <w:rPr>
          <w:rFonts w:hint="eastAsia" w:ascii="仿宋_GB2312" w:hAnsi="仿宋_GB2312" w:eastAsia="仿宋_GB2312" w:cs="仿宋_GB2312"/>
          <w:b w:val="0"/>
          <w:bCs w:val="0"/>
          <w:color w:val="000000"/>
          <w:kern w:val="0"/>
          <w:sz w:val="28"/>
          <w:szCs w:val="28"/>
          <w:lang w:eastAsia="zh-CN"/>
        </w:rPr>
        <w:t>，总建筑</w:t>
      </w:r>
      <w:r>
        <w:rPr>
          <w:rFonts w:hint="eastAsia" w:ascii="仿宋_GB2312" w:hAnsi="仿宋_GB2312" w:eastAsia="仿宋_GB2312" w:cs="仿宋_GB2312"/>
          <w:b w:val="0"/>
          <w:bCs w:val="0"/>
          <w:color w:val="000000"/>
          <w:kern w:val="0"/>
          <w:sz w:val="28"/>
          <w:szCs w:val="28"/>
        </w:rPr>
        <w:t>面积</w:t>
      </w:r>
      <w:r>
        <w:rPr>
          <w:rFonts w:hint="eastAsia" w:ascii="仿宋_GB2312" w:hAnsi="仿宋_GB2312" w:eastAsia="仿宋_GB2312" w:cs="仿宋_GB2312"/>
          <w:b w:val="0"/>
          <w:bCs w:val="0"/>
          <w:color w:val="000000"/>
          <w:kern w:val="0"/>
          <w:sz w:val="28"/>
          <w:szCs w:val="28"/>
          <w:lang w:val="en-US" w:eastAsia="zh-CN"/>
        </w:rPr>
        <w:t>13717㎡</w:t>
      </w:r>
      <w:r>
        <w:rPr>
          <w:rFonts w:hint="eastAsia" w:ascii="仿宋_GB2312" w:hAnsi="仿宋_GB2312" w:eastAsia="仿宋_GB2312" w:cs="仿宋_GB2312"/>
          <w:b w:val="0"/>
          <w:bCs w:val="0"/>
          <w:color w:val="000000"/>
          <w:kern w:val="0"/>
          <w:sz w:val="28"/>
          <w:szCs w:val="28"/>
          <w:lang w:eastAsia="zh-CN"/>
        </w:rPr>
        <w:t>，其中宁波开放大学慈溪学院</w:t>
      </w:r>
      <w:r>
        <w:rPr>
          <w:rFonts w:hint="eastAsia" w:ascii="仿宋_GB2312" w:hAnsi="仿宋_GB2312" w:eastAsia="仿宋_GB2312" w:cs="仿宋_GB2312"/>
          <w:b w:val="0"/>
          <w:bCs w:val="0"/>
          <w:color w:val="000000"/>
          <w:kern w:val="0"/>
          <w:sz w:val="28"/>
          <w:szCs w:val="28"/>
          <w:lang w:val="en-US" w:eastAsia="zh-CN"/>
        </w:rPr>
        <w:t>5107㎡</w:t>
      </w:r>
      <w:r>
        <w:rPr>
          <w:rFonts w:hint="eastAsia" w:ascii="仿宋_GB2312" w:hAnsi="仿宋_GB2312" w:eastAsia="仿宋_GB2312" w:cs="仿宋_GB2312"/>
          <w:b w:val="0"/>
          <w:bCs w:val="0"/>
          <w:color w:val="000000"/>
          <w:kern w:val="0"/>
          <w:sz w:val="28"/>
          <w:szCs w:val="28"/>
          <w:lang w:eastAsia="zh-CN"/>
        </w:rPr>
        <w:t>、教育局</w:t>
      </w:r>
      <w:r>
        <w:rPr>
          <w:rFonts w:hint="eastAsia" w:ascii="仿宋_GB2312" w:hAnsi="仿宋_GB2312" w:eastAsia="仿宋_GB2312" w:cs="仿宋_GB2312"/>
          <w:b w:val="0"/>
          <w:bCs w:val="0"/>
          <w:color w:val="000000"/>
          <w:kern w:val="0"/>
          <w:sz w:val="28"/>
          <w:szCs w:val="28"/>
          <w:lang w:val="en-US" w:eastAsia="zh-CN"/>
        </w:rPr>
        <w:t>3613㎡</w:t>
      </w:r>
      <w:r>
        <w:rPr>
          <w:rFonts w:hint="eastAsia" w:ascii="仿宋_GB2312" w:hAnsi="仿宋_GB2312" w:eastAsia="仿宋_GB2312" w:cs="仿宋_GB2312"/>
          <w:b w:val="0"/>
          <w:bCs w:val="0"/>
          <w:color w:val="000000"/>
          <w:kern w:val="0"/>
          <w:sz w:val="28"/>
          <w:szCs w:val="28"/>
          <w:lang w:eastAsia="zh-CN"/>
        </w:rPr>
        <w:t>、综合楼</w:t>
      </w:r>
      <w:r>
        <w:rPr>
          <w:rFonts w:hint="eastAsia" w:ascii="仿宋_GB2312" w:hAnsi="仿宋_GB2312" w:eastAsia="仿宋_GB2312" w:cs="仿宋_GB2312"/>
          <w:b w:val="0"/>
          <w:bCs w:val="0"/>
          <w:color w:val="000000"/>
          <w:kern w:val="0"/>
          <w:sz w:val="28"/>
          <w:szCs w:val="28"/>
          <w:lang w:val="en-US" w:eastAsia="zh-CN"/>
        </w:rPr>
        <w:t>2125㎡</w:t>
      </w:r>
      <w:r>
        <w:rPr>
          <w:rFonts w:hint="eastAsia" w:ascii="仿宋_GB2312" w:hAnsi="仿宋_GB2312" w:eastAsia="仿宋_GB2312" w:cs="仿宋_GB2312"/>
          <w:b w:val="0"/>
          <w:bCs w:val="0"/>
          <w:color w:val="000000"/>
          <w:kern w:val="0"/>
          <w:sz w:val="28"/>
          <w:szCs w:val="28"/>
          <w:lang w:eastAsia="zh-CN"/>
        </w:rPr>
        <w:t>（内有慈溪市教育服务和电化教育中心、慈溪市教育考试中心、慈溪市教育局职成教教研室），后勤楼</w:t>
      </w:r>
      <w:r>
        <w:rPr>
          <w:rFonts w:hint="eastAsia" w:ascii="仿宋_GB2312" w:hAnsi="仿宋_GB2312" w:eastAsia="仿宋_GB2312" w:cs="仿宋_GB2312"/>
          <w:b w:val="0"/>
          <w:bCs w:val="0"/>
          <w:color w:val="000000"/>
          <w:kern w:val="0"/>
          <w:sz w:val="28"/>
          <w:szCs w:val="28"/>
          <w:lang w:val="en-US" w:eastAsia="zh-CN"/>
        </w:rPr>
        <w:t>2783㎡</w:t>
      </w:r>
      <w:r>
        <w:rPr>
          <w:rFonts w:hint="eastAsia" w:ascii="仿宋_GB2312" w:hAnsi="仿宋_GB2312" w:eastAsia="仿宋_GB2312" w:cs="仿宋_GB2312"/>
          <w:b w:val="0"/>
          <w:bCs w:val="0"/>
          <w:color w:val="000000"/>
          <w:kern w:val="0"/>
          <w:sz w:val="28"/>
          <w:szCs w:val="28"/>
          <w:lang w:eastAsia="zh-CN"/>
        </w:rPr>
        <w:t>（三楼宿舍、二楼报告厅、代理中心办公室、一楼食堂），门卫</w:t>
      </w:r>
      <w:r>
        <w:rPr>
          <w:rFonts w:hint="eastAsia" w:ascii="仿宋_GB2312" w:hAnsi="仿宋_GB2312" w:eastAsia="仿宋_GB2312" w:cs="仿宋_GB2312"/>
          <w:b w:val="0"/>
          <w:bCs w:val="0"/>
          <w:color w:val="000000"/>
          <w:kern w:val="0"/>
          <w:sz w:val="28"/>
          <w:szCs w:val="28"/>
          <w:lang w:val="en-US" w:eastAsia="zh-CN"/>
        </w:rPr>
        <w:t>44㎡</w:t>
      </w:r>
      <w:r>
        <w:rPr>
          <w:rFonts w:hint="eastAsia" w:ascii="仿宋_GB2312" w:hAnsi="仿宋_GB2312" w:eastAsia="仿宋_GB2312" w:cs="仿宋_GB2312"/>
          <w:b w:val="0"/>
          <w:bCs w:val="0"/>
          <w:color w:val="000000"/>
          <w:kern w:val="0"/>
          <w:sz w:val="28"/>
          <w:szCs w:val="28"/>
          <w:lang w:eastAsia="zh-CN"/>
        </w:rPr>
        <w:t>；绿地面积</w:t>
      </w:r>
      <w:r>
        <w:rPr>
          <w:rFonts w:hint="eastAsia" w:ascii="仿宋_GB2312" w:hAnsi="仿宋_GB2312" w:eastAsia="仿宋_GB2312" w:cs="仿宋_GB2312"/>
          <w:b w:val="0"/>
          <w:bCs w:val="0"/>
          <w:color w:val="000000"/>
          <w:kern w:val="0"/>
          <w:sz w:val="28"/>
          <w:szCs w:val="28"/>
          <w:lang w:val="en-US" w:eastAsia="zh-CN"/>
        </w:rPr>
        <w:t>10370㎡</w:t>
      </w:r>
      <w:r>
        <w:rPr>
          <w:rFonts w:hint="eastAsia" w:ascii="仿宋_GB2312" w:hAnsi="仿宋_GB2312" w:eastAsia="仿宋_GB2312" w:cs="仿宋_GB2312"/>
          <w:b w:val="0"/>
          <w:bCs w:val="0"/>
          <w:color w:val="000000"/>
          <w:kern w:val="0"/>
          <w:sz w:val="28"/>
          <w:szCs w:val="28"/>
          <w:lang w:eastAsia="zh-CN"/>
        </w:rPr>
        <w:t>，总计内有五个单位，工作人员</w:t>
      </w:r>
      <w:r>
        <w:rPr>
          <w:rFonts w:hint="eastAsia" w:ascii="仿宋_GB2312" w:hAnsi="仿宋_GB2312" w:eastAsia="仿宋_GB2312" w:cs="仿宋_GB2312"/>
          <w:b w:val="0"/>
          <w:bCs w:val="0"/>
          <w:color w:val="000000"/>
          <w:kern w:val="0"/>
          <w:sz w:val="28"/>
          <w:szCs w:val="28"/>
          <w:lang w:val="en-US" w:eastAsia="zh-CN"/>
        </w:rPr>
        <w:t>180人。</w:t>
      </w:r>
    </w:p>
    <w:p>
      <w:pPr>
        <w:spacing w:line="360" w:lineRule="auto"/>
        <w:ind w:firstLine="562" w:firstLineChars="200"/>
        <w:jc w:val="left"/>
        <w:rPr>
          <w:rFonts w:ascii="仿宋_GB2312" w:hAnsi="仿宋_GB2312" w:eastAsia="仿宋_GB2312" w:cs="仿宋_GB2312"/>
          <w:b/>
          <w:bCs/>
          <w:color w:val="000000"/>
          <w:kern w:val="0"/>
          <w:sz w:val="28"/>
          <w:szCs w:val="28"/>
        </w:rPr>
      </w:pPr>
      <w:r>
        <w:rPr>
          <w:rFonts w:hint="eastAsia" w:ascii="仿宋_GB2312" w:hAnsi="仿宋_GB2312" w:eastAsia="仿宋_GB2312" w:cs="仿宋_GB2312"/>
          <w:b/>
          <w:bCs/>
          <w:color w:val="000000"/>
          <w:kern w:val="0"/>
          <w:sz w:val="28"/>
          <w:szCs w:val="28"/>
        </w:rPr>
        <w:t>二、人员配置及服务内容：</w:t>
      </w:r>
    </w:p>
    <w:p>
      <w:pPr>
        <w:spacing w:line="360" w:lineRule="auto"/>
        <w:ind w:firstLine="560" w:firstLineChars="200"/>
        <w:jc w:val="left"/>
        <w:rPr>
          <w:rFonts w:hint="eastAsia" w:ascii="仿宋" w:hAnsi="仿宋" w:eastAsia="仿宋" w:cs="仿宋_GB2312"/>
          <w:color w:val="000000"/>
          <w:kern w:val="0"/>
          <w:sz w:val="28"/>
          <w:szCs w:val="28"/>
        </w:rPr>
      </w:pPr>
      <w:r>
        <w:rPr>
          <w:rFonts w:hint="eastAsia" w:ascii="仿宋_GB2312" w:hAnsi="仿宋_GB2312" w:eastAsia="仿宋_GB2312" w:cs="仿宋_GB2312"/>
          <w:color w:val="000000"/>
          <w:kern w:val="0"/>
          <w:sz w:val="28"/>
          <w:szCs w:val="28"/>
        </w:rPr>
        <w:t>（一）</w:t>
      </w:r>
      <w:r>
        <w:rPr>
          <w:rFonts w:hint="eastAsia" w:ascii="仿宋" w:hAnsi="仿宋" w:eastAsia="仿宋" w:cs="仿宋_GB2312"/>
          <w:color w:val="000000"/>
          <w:kern w:val="0"/>
          <w:sz w:val="28"/>
          <w:szCs w:val="28"/>
        </w:rPr>
        <w:t>项目人员配置：</w:t>
      </w:r>
      <w:r>
        <w:rPr>
          <w:rFonts w:hint="eastAsia" w:ascii="仿宋_GB2312" w:hAnsi="仿宋_GB2312" w:eastAsia="仿宋_GB2312" w:cs="仿宋_GB2312"/>
          <w:color w:val="000000"/>
          <w:kern w:val="0"/>
          <w:sz w:val="28"/>
          <w:szCs w:val="28"/>
        </w:rPr>
        <w:t>本项目岗位总人数为</w:t>
      </w:r>
      <w:r>
        <w:rPr>
          <w:rFonts w:hint="eastAsia" w:ascii="仿宋_GB2312" w:hAnsi="仿宋_GB2312" w:eastAsia="仿宋_GB2312" w:cs="仿宋_GB2312"/>
          <w:kern w:val="0"/>
          <w:sz w:val="28"/>
          <w:szCs w:val="28"/>
        </w:rPr>
        <w:t>2</w:t>
      </w:r>
      <w:r>
        <w:rPr>
          <w:rFonts w:hint="eastAsia" w:ascii="仿宋_GB2312" w:hAnsi="仿宋_GB2312" w:eastAsia="仿宋_GB2312" w:cs="仿宋_GB2312"/>
          <w:kern w:val="0"/>
          <w:sz w:val="28"/>
          <w:szCs w:val="28"/>
          <w:lang w:val="en-US" w:eastAsia="zh-CN"/>
        </w:rPr>
        <w:t>5</w:t>
      </w:r>
      <w:r>
        <w:rPr>
          <w:rFonts w:hint="eastAsia" w:ascii="仿宋_GB2312" w:hAnsi="仿宋_GB2312" w:eastAsia="仿宋_GB2312" w:cs="仿宋_GB2312"/>
          <w:color w:val="000000"/>
          <w:kern w:val="0"/>
          <w:sz w:val="28"/>
          <w:szCs w:val="28"/>
        </w:rPr>
        <w:t>人</w:t>
      </w:r>
      <w:r>
        <w:rPr>
          <w:rFonts w:hint="eastAsia" w:ascii="仿宋_GB2312" w:hAnsi="仿宋_GB2312" w:eastAsia="仿宋_GB2312" w:cs="仿宋_GB2312"/>
          <w:color w:val="000000"/>
          <w:kern w:val="0"/>
          <w:sz w:val="28"/>
          <w:szCs w:val="28"/>
          <w:lang w:eastAsia="zh-CN"/>
        </w:rPr>
        <w:t>，</w:t>
      </w:r>
      <w:r>
        <w:rPr>
          <w:rFonts w:hint="eastAsia" w:ascii="仿宋_GB2312" w:hAnsi="仿宋_GB2312" w:eastAsia="仿宋_GB2312" w:cs="仿宋_GB2312"/>
          <w:color w:val="000000"/>
          <w:kern w:val="0"/>
          <w:sz w:val="28"/>
          <w:szCs w:val="28"/>
        </w:rPr>
        <w:t>具体要求见岗位配置表：</w:t>
      </w:r>
    </w:p>
    <w:tbl>
      <w:tblPr>
        <w:tblStyle w:val="67"/>
        <w:tblW w:w="8613"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27"/>
        <w:gridCol w:w="1791"/>
        <w:gridCol w:w="709"/>
        <w:gridCol w:w="538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9" w:hRule="atLeast"/>
        </w:trPr>
        <w:tc>
          <w:tcPr>
            <w:tcW w:w="8613" w:type="dxa"/>
            <w:gridSpan w:val="4"/>
            <w:noWrap w:val="0"/>
            <w:vAlign w:val="center"/>
          </w:tcPr>
          <w:p>
            <w:pPr>
              <w:tabs>
                <w:tab w:val="left" w:pos="3011"/>
              </w:tabs>
              <w:spacing w:line="360" w:lineRule="auto"/>
              <w:jc w:val="center"/>
              <w:rPr>
                <w:rFonts w:ascii="宋体" w:hAnsi="宋体" w:cs="宋体"/>
                <w:lang w:bidi="zh-CN"/>
              </w:rPr>
            </w:pPr>
            <w:r>
              <w:rPr>
                <w:rFonts w:hint="eastAsia" w:ascii="仿宋" w:hAnsi="仿宋" w:eastAsia="仿宋" w:cs="仿宋"/>
                <w:color w:val="000000"/>
                <w:kern w:val="0"/>
                <w:sz w:val="28"/>
                <w:szCs w:val="28"/>
                <w:lang w:val="en-US" w:eastAsia="zh-CN"/>
              </w:rPr>
              <w:t xml:space="preserve">  慈溪市教育服务和电化教育中心物业人员</w:t>
            </w:r>
            <w:r>
              <w:rPr>
                <w:rFonts w:hint="eastAsia" w:ascii="仿宋_GB2312" w:hAnsi="仿宋_GB2312" w:eastAsia="仿宋_GB2312" w:cs="仿宋_GB2312"/>
                <w:snapToGrid w:val="0"/>
                <w:spacing w:val="-4"/>
                <w:sz w:val="28"/>
                <w:szCs w:val="28"/>
              </w:rPr>
              <w:t>岗位配置表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7" w:hRule="atLeast"/>
        </w:trPr>
        <w:tc>
          <w:tcPr>
            <w:tcW w:w="727" w:type="dxa"/>
            <w:noWrap w:val="0"/>
            <w:vAlign w:val="center"/>
          </w:tcPr>
          <w:p>
            <w:pPr>
              <w:widowControl/>
              <w:snapToGrid w:val="0"/>
              <w:spacing w:line="216" w:lineRule="auto"/>
              <w:jc w:val="center"/>
              <w:rPr>
                <w:rFonts w:ascii="仿宋_GB2312" w:hAnsi="仿宋_GB2312" w:eastAsia="仿宋_GB2312" w:cs="仿宋_GB2312"/>
                <w:snapToGrid w:val="0"/>
                <w:color w:val="auto"/>
                <w:spacing w:val="-4"/>
                <w:sz w:val="24"/>
              </w:rPr>
            </w:pPr>
            <w:r>
              <w:rPr>
                <w:rFonts w:hint="eastAsia" w:ascii="仿宋_GB2312" w:hAnsi="仿宋_GB2312" w:eastAsia="仿宋_GB2312" w:cs="仿宋_GB2312"/>
                <w:snapToGrid w:val="0"/>
                <w:color w:val="auto"/>
                <w:spacing w:val="-4"/>
                <w:sz w:val="24"/>
              </w:rPr>
              <w:t>序号</w:t>
            </w:r>
          </w:p>
        </w:tc>
        <w:tc>
          <w:tcPr>
            <w:tcW w:w="1791" w:type="dxa"/>
            <w:noWrap w:val="0"/>
            <w:vAlign w:val="center"/>
          </w:tcPr>
          <w:p>
            <w:pPr>
              <w:widowControl/>
              <w:snapToGrid w:val="0"/>
              <w:spacing w:line="216" w:lineRule="auto"/>
              <w:jc w:val="center"/>
              <w:rPr>
                <w:rFonts w:ascii="仿宋_GB2312" w:hAnsi="仿宋_GB2312" w:eastAsia="仿宋_GB2312" w:cs="仿宋_GB2312"/>
                <w:snapToGrid w:val="0"/>
                <w:color w:val="auto"/>
                <w:spacing w:val="-4"/>
                <w:sz w:val="24"/>
              </w:rPr>
            </w:pPr>
            <w:r>
              <w:rPr>
                <w:rFonts w:hint="eastAsia" w:ascii="仿宋_GB2312" w:hAnsi="仿宋_GB2312" w:eastAsia="仿宋_GB2312" w:cs="仿宋_GB2312"/>
                <w:snapToGrid w:val="0"/>
                <w:color w:val="auto"/>
                <w:spacing w:val="-4"/>
                <w:sz w:val="24"/>
              </w:rPr>
              <w:t>岗位名称</w:t>
            </w:r>
          </w:p>
        </w:tc>
        <w:tc>
          <w:tcPr>
            <w:tcW w:w="709" w:type="dxa"/>
            <w:noWrap w:val="0"/>
            <w:vAlign w:val="center"/>
          </w:tcPr>
          <w:p>
            <w:pPr>
              <w:widowControl/>
              <w:snapToGrid w:val="0"/>
              <w:spacing w:line="216" w:lineRule="auto"/>
              <w:jc w:val="center"/>
              <w:rPr>
                <w:rFonts w:ascii="仿宋_GB2312" w:hAnsi="仿宋_GB2312" w:eastAsia="仿宋_GB2312" w:cs="仿宋_GB2312"/>
                <w:snapToGrid w:val="0"/>
                <w:color w:val="auto"/>
                <w:spacing w:val="-4"/>
                <w:sz w:val="24"/>
              </w:rPr>
            </w:pPr>
            <w:r>
              <w:rPr>
                <w:rFonts w:hint="eastAsia" w:ascii="仿宋_GB2312" w:hAnsi="仿宋_GB2312" w:eastAsia="仿宋_GB2312" w:cs="仿宋_GB2312"/>
                <w:snapToGrid w:val="0"/>
                <w:color w:val="auto"/>
                <w:spacing w:val="-4"/>
                <w:sz w:val="24"/>
              </w:rPr>
              <w:t>数量</w:t>
            </w:r>
          </w:p>
        </w:tc>
        <w:tc>
          <w:tcPr>
            <w:tcW w:w="5386" w:type="dxa"/>
            <w:noWrap w:val="0"/>
            <w:vAlign w:val="center"/>
          </w:tcPr>
          <w:p>
            <w:pPr>
              <w:widowControl/>
              <w:snapToGrid w:val="0"/>
              <w:spacing w:line="216" w:lineRule="auto"/>
              <w:jc w:val="center"/>
              <w:rPr>
                <w:rFonts w:ascii="仿宋_GB2312" w:hAnsi="仿宋_GB2312" w:eastAsia="仿宋_GB2312" w:cs="仿宋_GB2312"/>
                <w:snapToGrid w:val="0"/>
                <w:color w:val="auto"/>
                <w:spacing w:val="-4"/>
                <w:sz w:val="24"/>
              </w:rPr>
            </w:pPr>
            <w:r>
              <w:rPr>
                <w:rFonts w:hint="eastAsia" w:ascii="仿宋_GB2312" w:hAnsi="仿宋_GB2312" w:eastAsia="仿宋_GB2312" w:cs="仿宋_GB2312"/>
                <w:snapToGrid w:val="0"/>
                <w:color w:val="auto"/>
                <w:spacing w:val="-4"/>
                <w:sz w:val="24"/>
              </w:rPr>
              <w:t>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3" w:hRule="atLeast"/>
        </w:trPr>
        <w:tc>
          <w:tcPr>
            <w:tcW w:w="727" w:type="dxa"/>
            <w:noWrap w:val="0"/>
            <w:vAlign w:val="center"/>
          </w:tcPr>
          <w:p>
            <w:pPr>
              <w:spacing w:line="360" w:lineRule="auto"/>
              <w:jc w:val="center"/>
              <w:rPr>
                <w:rFonts w:ascii="宋体" w:hAnsi="宋体" w:cs="宋体"/>
                <w:color w:val="auto"/>
              </w:rPr>
            </w:pPr>
            <w:r>
              <w:rPr>
                <w:rFonts w:hint="eastAsia" w:ascii="仿宋_GB2312" w:hAnsi="仿宋_GB2312" w:eastAsia="仿宋_GB2312" w:cs="仿宋_GB2312"/>
                <w:snapToGrid w:val="0"/>
                <w:color w:val="auto"/>
                <w:spacing w:val="-4"/>
                <w:sz w:val="24"/>
              </w:rPr>
              <w:t>1</w:t>
            </w:r>
          </w:p>
        </w:tc>
        <w:tc>
          <w:tcPr>
            <w:tcW w:w="1791" w:type="dxa"/>
            <w:noWrap w:val="0"/>
            <w:vAlign w:val="center"/>
          </w:tcPr>
          <w:p>
            <w:pPr>
              <w:spacing w:line="360" w:lineRule="auto"/>
              <w:jc w:val="center"/>
              <w:rPr>
                <w:rFonts w:hint="eastAsia" w:ascii="仿宋_GB2312" w:hAnsi="仿宋_GB2312" w:eastAsia="仿宋_GB2312" w:cs="仿宋_GB2312"/>
                <w:snapToGrid w:val="0"/>
                <w:color w:val="auto"/>
                <w:spacing w:val="-4"/>
                <w:sz w:val="24"/>
                <w:lang w:val="en-US" w:eastAsia="zh-CN"/>
              </w:rPr>
            </w:pPr>
            <w:r>
              <w:rPr>
                <w:rFonts w:hint="eastAsia" w:ascii="仿宋_GB2312" w:hAnsi="仿宋_GB2312" w:eastAsia="仿宋_GB2312" w:cs="仿宋_GB2312"/>
                <w:snapToGrid w:val="0"/>
                <w:color w:val="auto"/>
                <w:spacing w:val="-4"/>
                <w:sz w:val="24"/>
                <w:lang w:val="en-US" w:eastAsia="zh-CN"/>
              </w:rPr>
              <w:t>物业主任</w:t>
            </w:r>
          </w:p>
        </w:tc>
        <w:tc>
          <w:tcPr>
            <w:tcW w:w="709" w:type="dxa"/>
            <w:noWrap w:val="0"/>
            <w:vAlign w:val="center"/>
          </w:tcPr>
          <w:p>
            <w:pPr>
              <w:spacing w:line="360" w:lineRule="auto"/>
              <w:jc w:val="center"/>
              <w:rPr>
                <w:rFonts w:hint="eastAsia" w:ascii="仿宋_GB2312" w:hAnsi="仿宋_GB2312" w:eastAsia="仿宋_GB2312" w:cs="仿宋_GB2312"/>
                <w:snapToGrid w:val="0"/>
                <w:color w:val="auto"/>
                <w:spacing w:val="-4"/>
                <w:sz w:val="24"/>
                <w:lang w:val="en-US" w:eastAsia="zh-CN"/>
              </w:rPr>
            </w:pPr>
            <w:r>
              <w:rPr>
                <w:rFonts w:hint="eastAsia" w:ascii="仿宋_GB2312" w:hAnsi="仿宋_GB2312" w:eastAsia="仿宋_GB2312" w:cs="仿宋_GB2312"/>
                <w:snapToGrid w:val="0"/>
                <w:color w:val="auto"/>
                <w:spacing w:val="-4"/>
                <w:sz w:val="24"/>
                <w:lang w:val="en-US" w:eastAsia="zh-CN"/>
              </w:rPr>
              <w:t>1</w:t>
            </w:r>
          </w:p>
        </w:tc>
        <w:tc>
          <w:tcPr>
            <w:tcW w:w="5386" w:type="dxa"/>
            <w:noWrap w:val="0"/>
            <w:vAlign w:val="center"/>
          </w:tcPr>
          <w:p>
            <w:pPr>
              <w:spacing w:line="360" w:lineRule="auto"/>
              <w:rPr>
                <w:rFonts w:hint="eastAsia" w:ascii="宋体" w:hAnsi="宋体" w:eastAsia="仿宋_GB2312" w:cs="宋体"/>
                <w:color w:val="auto"/>
                <w:lang w:val="en-US" w:eastAsia="zh-CN"/>
              </w:rPr>
            </w:pPr>
            <w:r>
              <w:rPr>
                <w:rFonts w:hint="eastAsia" w:ascii="仿宋_GB2312" w:hAnsi="仿宋_GB2312" w:eastAsia="仿宋_GB2312" w:cs="仿宋_GB2312"/>
                <w:snapToGrid w:val="0"/>
                <w:spacing w:val="-4"/>
                <w:sz w:val="24"/>
              </w:rPr>
              <w:t xml:space="preserve">55周岁以内，具有物业项目管理经验5年及以上，有良好的团队精神和沟通技巧，有良好的指挥能力、语言交流能力和文字表达能力。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64" w:hRule="atLeast"/>
        </w:trPr>
        <w:tc>
          <w:tcPr>
            <w:tcW w:w="727" w:type="dxa"/>
            <w:noWrap w:val="0"/>
            <w:vAlign w:val="center"/>
          </w:tcPr>
          <w:p>
            <w:pPr>
              <w:spacing w:line="360" w:lineRule="auto"/>
              <w:jc w:val="center"/>
              <w:rPr>
                <w:rFonts w:hint="eastAsia" w:ascii="仿宋_GB2312" w:hAnsi="仿宋_GB2312" w:eastAsia="仿宋_GB2312" w:cs="仿宋_GB2312"/>
                <w:snapToGrid w:val="0"/>
                <w:color w:val="auto"/>
                <w:spacing w:val="-4"/>
                <w:sz w:val="24"/>
                <w:highlight w:val="none"/>
                <w:lang w:val="en-US" w:eastAsia="zh-CN"/>
              </w:rPr>
            </w:pPr>
            <w:r>
              <w:rPr>
                <w:rFonts w:hint="eastAsia" w:ascii="仿宋_GB2312" w:hAnsi="仿宋_GB2312" w:eastAsia="仿宋_GB2312" w:cs="仿宋_GB2312"/>
                <w:snapToGrid w:val="0"/>
                <w:color w:val="auto"/>
                <w:spacing w:val="-4"/>
                <w:sz w:val="24"/>
                <w:highlight w:val="none"/>
                <w:lang w:val="en-US" w:eastAsia="zh-CN"/>
              </w:rPr>
              <w:t>2</w:t>
            </w:r>
          </w:p>
        </w:tc>
        <w:tc>
          <w:tcPr>
            <w:tcW w:w="1791" w:type="dxa"/>
            <w:noWrap w:val="0"/>
            <w:vAlign w:val="center"/>
          </w:tcPr>
          <w:p>
            <w:pPr>
              <w:spacing w:line="360" w:lineRule="auto"/>
              <w:jc w:val="center"/>
              <w:rPr>
                <w:rFonts w:hint="eastAsia" w:ascii="仿宋_GB2312" w:hAnsi="仿宋_GB2312" w:eastAsia="仿宋_GB2312" w:cs="仿宋_GB2312"/>
                <w:snapToGrid w:val="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食堂管理</w:t>
            </w:r>
          </w:p>
        </w:tc>
        <w:tc>
          <w:tcPr>
            <w:tcW w:w="709" w:type="dxa"/>
            <w:noWrap w:val="0"/>
            <w:vAlign w:val="center"/>
          </w:tcPr>
          <w:p>
            <w:pPr>
              <w:spacing w:line="360" w:lineRule="auto"/>
              <w:jc w:val="center"/>
              <w:rPr>
                <w:rFonts w:hint="default" w:ascii="仿宋_GB2312" w:hAnsi="仿宋_GB2312" w:eastAsia="仿宋_GB2312" w:cs="仿宋_GB2312"/>
                <w:snapToGrid w:val="0"/>
                <w:spacing w:val="-4"/>
                <w:sz w:val="24"/>
                <w:lang w:val="en-US" w:eastAsia="zh-CN"/>
              </w:rPr>
            </w:pPr>
            <w:r>
              <w:rPr>
                <w:rFonts w:hint="eastAsia" w:ascii="仿宋_GB2312" w:hAnsi="仿宋_GB2312" w:eastAsia="仿宋_GB2312" w:cs="仿宋_GB2312"/>
                <w:snapToGrid w:val="0"/>
                <w:spacing w:val="-4"/>
                <w:sz w:val="24"/>
                <w:lang w:val="en-US" w:eastAsia="zh-CN"/>
              </w:rPr>
              <w:t>1</w:t>
            </w:r>
          </w:p>
        </w:tc>
        <w:tc>
          <w:tcPr>
            <w:tcW w:w="5386" w:type="dxa"/>
            <w:noWrap w:val="0"/>
            <w:vAlign w:val="center"/>
          </w:tcPr>
          <w:p>
            <w:pPr>
              <w:spacing w:line="360" w:lineRule="auto"/>
              <w:jc w:val="left"/>
              <w:rPr>
                <w:rFonts w:hint="eastAsia" w:ascii="仿宋_GB2312" w:hAnsi="仿宋_GB2312" w:eastAsia="仿宋_GB2312" w:cs="仿宋_GB2312"/>
                <w:snapToGrid w:val="0"/>
                <w:color w:val="auto"/>
                <w:spacing w:val="-4"/>
                <w:sz w:val="24"/>
                <w:lang w:val="en-US" w:eastAsia="zh-CN"/>
              </w:rPr>
            </w:pPr>
            <w:r>
              <w:rPr>
                <w:rFonts w:hint="eastAsia" w:ascii="仿宋_GB2312" w:hAnsi="仿宋_GB2312" w:eastAsia="仿宋_GB2312" w:cs="仿宋_GB2312"/>
                <w:snapToGrid w:val="0"/>
                <w:color w:val="auto"/>
                <w:spacing w:val="-4"/>
                <w:sz w:val="24"/>
                <w:lang w:val="en-US" w:eastAsia="zh-CN"/>
              </w:rPr>
              <w:t>65周岁以内，具有食堂管理经验3年级以上。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89" w:hRule="atLeast"/>
        </w:trPr>
        <w:tc>
          <w:tcPr>
            <w:tcW w:w="727" w:type="dxa"/>
            <w:noWrap w:val="0"/>
            <w:vAlign w:val="center"/>
          </w:tcPr>
          <w:p>
            <w:pPr>
              <w:spacing w:line="360" w:lineRule="auto"/>
              <w:jc w:val="center"/>
              <w:rPr>
                <w:rFonts w:hint="eastAsia" w:ascii="仿宋_GB2312" w:hAnsi="仿宋_GB2312" w:eastAsia="仿宋_GB2312" w:cs="仿宋_GB2312"/>
                <w:snapToGrid w:val="0"/>
                <w:color w:val="auto"/>
                <w:spacing w:val="-4"/>
                <w:sz w:val="24"/>
                <w:highlight w:val="none"/>
                <w:lang w:val="en-US" w:eastAsia="zh-CN"/>
              </w:rPr>
            </w:pPr>
            <w:r>
              <w:rPr>
                <w:rFonts w:hint="eastAsia" w:ascii="仿宋_GB2312" w:hAnsi="仿宋_GB2312" w:eastAsia="仿宋_GB2312" w:cs="仿宋_GB2312"/>
                <w:snapToGrid w:val="0"/>
                <w:color w:val="auto"/>
                <w:spacing w:val="-4"/>
                <w:sz w:val="24"/>
                <w:highlight w:val="none"/>
                <w:lang w:val="en-US" w:eastAsia="zh-CN"/>
              </w:rPr>
              <w:t>3</w:t>
            </w:r>
          </w:p>
        </w:tc>
        <w:tc>
          <w:tcPr>
            <w:tcW w:w="1791" w:type="dxa"/>
            <w:noWrap w:val="0"/>
            <w:vAlign w:val="center"/>
          </w:tcPr>
          <w:p>
            <w:pPr>
              <w:spacing w:line="360" w:lineRule="auto"/>
              <w:jc w:val="center"/>
              <w:rPr>
                <w:rFonts w:hint="eastAsia" w:ascii="仿宋_GB2312" w:hAnsi="仿宋_GB2312" w:eastAsia="仿宋_GB2312" w:cs="仿宋_GB2312"/>
                <w:snapToGrid w:val="0"/>
                <w:spacing w:val="-4"/>
                <w:sz w:val="24"/>
                <w:highlight w:val="none"/>
                <w:lang w:val="en-US" w:eastAsia="zh-CN"/>
              </w:rPr>
            </w:pPr>
            <w:r>
              <w:rPr>
                <w:rFonts w:hint="eastAsia" w:ascii="仿宋_GB2312" w:hAnsi="仿宋_GB2312" w:eastAsia="仿宋_GB2312" w:cs="仿宋_GB2312"/>
                <w:snapToGrid w:val="0"/>
                <w:spacing w:val="-4"/>
                <w:sz w:val="24"/>
                <w:highlight w:val="none"/>
                <w:lang w:val="en-US" w:eastAsia="zh-CN"/>
              </w:rPr>
              <w:t>厨师</w:t>
            </w:r>
          </w:p>
        </w:tc>
        <w:tc>
          <w:tcPr>
            <w:tcW w:w="709" w:type="dxa"/>
            <w:noWrap w:val="0"/>
            <w:vAlign w:val="center"/>
          </w:tcPr>
          <w:p>
            <w:pPr>
              <w:spacing w:line="360" w:lineRule="auto"/>
              <w:jc w:val="center"/>
              <w:rPr>
                <w:rFonts w:hint="default" w:ascii="仿宋_GB2312" w:hAnsi="仿宋_GB2312" w:eastAsia="仿宋_GB2312" w:cs="仿宋_GB2312"/>
                <w:snapToGrid w:val="0"/>
                <w:spacing w:val="-4"/>
                <w:sz w:val="24"/>
                <w:lang w:val="en-US" w:eastAsia="zh-CN"/>
              </w:rPr>
            </w:pPr>
            <w:r>
              <w:rPr>
                <w:rFonts w:hint="eastAsia" w:ascii="仿宋_GB2312" w:hAnsi="仿宋_GB2312" w:eastAsia="仿宋_GB2312" w:cs="仿宋_GB2312"/>
                <w:snapToGrid w:val="0"/>
                <w:spacing w:val="-4"/>
                <w:sz w:val="24"/>
                <w:lang w:val="en-US" w:eastAsia="zh-CN"/>
              </w:rPr>
              <w:t>1</w:t>
            </w:r>
          </w:p>
        </w:tc>
        <w:tc>
          <w:tcPr>
            <w:tcW w:w="5386" w:type="dxa"/>
            <w:noWrap w:val="0"/>
            <w:vAlign w:val="center"/>
          </w:tcPr>
          <w:p>
            <w:pPr>
              <w:spacing w:line="360" w:lineRule="auto"/>
              <w:jc w:val="left"/>
              <w:rPr>
                <w:rFonts w:hint="eastAsia" w:ascii="仿宋_GB2312" w:hAnsi="仿宋_GB2312" w:eastAsia="仿宋_GB2312" w:cs="仿宋_GB2312"/>
                <w:snapToGrid w:val="0"/>
                <w:color w:val="auto"/>
                <w:spacing w:val="-4"/>
                <w:sz w:val="24"/>
                <w:lang w:val="en-US" w:eastAsia="zh-CN"/>
              </w:rPr>
            </w:pPr>
            <w:r>
              <w:rPr>
                <w:rFonts w:hint="eastAsia" w:ascii="仿宋_GB2312" w:hAnsi="仿宋_GB2312" w:eastAsia="仿宋_GB2312" w:cs="仿宋_GB2312"/>
                <w:snapToGrid w:val="0"/>
                <w:color w:val="000000"/>
                <w:spacing w:val="-4"/>
                <w:sz w:val="24"/>
                <w:highlight w:val="none"/>
              </w:rPr>
              <w:t>具有相关厨师工作经验不低于2年</w:t>
            </w:r>
            <w:r>
              <w:rPr>
                <w:rFonts w:hint="eastAsia" w:ascii="仿宋_GB2312" w:hAnsi="仿宋_GB2312" w:eastAsia="仿宋_GB2312" w:cs="仿宋_GB2312"/>
                <w:snapToGrid w:val="0"/>
                <w:color w:val="000000"/>
                <w:spacing w:val="-4"/>
                <w:sz w:val="24"/>
                <w:highlight w:val="none"/>
                <w:lang w:eastAsia="zh-CN"/>
              </w:rPr>
              <w:t>，具有健康证</w:t>
            </w:r>
            <w:r>
              <w:rPr>
                <w:rFonts w:hint="eastAsia" w:ascii="仿宋_GB2312" w:hAnsi="仿宋_GB2312" w:eastAsia="仿宋_GB2312" w:cs="仿宋_GB2312"/>
                <w:snapToGrid w:val="0"/>
                <w:color w:val="000000"/>
                <w:spacing w:val="-4"/>
                <w:sz w:val="24"/>
                <w:highlight w:val="none"/>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89" w:hRule="atLeast"/>
        </w:trPr>
        <w:tc>
          <w:tcPr>
            <w:tcW w:w="727" w:type="dxa"/>
            <w:noWrap w:val="0"/>
            <w:vAlign w:val="center"/>
          </w:tcPr>
          <w:p>
            <w:pPr>
              <w:spacing w:line="360" w:lineRule="auto"/>
              <w:jc w:val="center"/>
              <w:rPr>
                <w:rFonts w:hint="default" w:ascii="仿宋_GB2312" w:hAnsi="仿宋_GB2312" w:eastAsia="仿宋_GB2312" w:cs="仿宋_GB2312"/>
                <w:snapToGrid w:val="0"/>
                <w:color w:val="auto"/>
                <w:spacing w:val="-4"/>
                <w:sz w:val="24"/>
                <w:highlight w:val="none"/>
                <w:lang w:val="en-US" w:eastAsia="zh-CN"/>
              </w:rPr>
            </w:pPr>
            <w:r>
              <w:rPr>
                <w:rFonts w:hint="eastAsia" w:ascii="仿宋_GB2312" w:hAnsi="仿宋_GB2312" w:eastAsia="仿宋_GB2312" w:cs="仿宋_GB2312"/>
                <w:snapToGrid w:val="0"/>
                <w:color w:val="auto"/>
                <w:spacing w:val="-4"/>
                <w:sz w:val="24"/>
                <w:highlight w:val="none"/>
                <w:lang w:val="en-US" w:eastAsia="zh-CN"/>
              </w:rPr>
              <w:t>4</w:t>
            </w:r>
          </w:p>
        </w:tc>
        <w:tc>
          <w:tcPr>
            <w:tcW w:w="1791" w:type="dxa"/>
            <w:noWrap w:val="0"/>
            <w:vAlign w:val="center"/>
          </w:tcPr>
          <w:p>
            <w:pPr>
              <w:spacing w:line="360" w:lineRule="auto"/>
              <w:jc w:val="center"/>
              <w:rPr>
                <w:rFonts w:hint="eastAsia" w:ascii="仿宋_GB2312" w:hAnsi="仿宋_GB2312" w:eastAsia="仿宋_GB2312" w:cs="仿宋_GB2312"/>
                <w:snapToGrid w:val="0"/>
                <w:spacing w:val="-4"/>
                <w:sz w:val="24"/>
                <w:highlight w:val="none"/>
                <w:lang w:val="en-US" w:eastAsia="zh-CN"/>
              </w:rPr>
            </w:pPr>
            <w:r>
              <w:rPr>
                <w:rFonts w:hint="eastAsia" w:ascii="仿宋_GB2312" w:hAnsi="仿宋_GB2312" w:eastAsia="仿宋_GB2312" w:cs="仿宋_GB2312"/>
                <w:snapToGrid w:val="0"/>
                <w:spacing w:val="-4"/>
                <w:sz w:val="24"/>
                <w:highlight w:val="none"/>
                <w:lang w:val="en-US" w:eastAsia="zh-CN"/>
              </w:rPr>
              <w:t>面点师</w:t>
            </w:r>
          </w:p>
        </w:tc>
        <w:tc>
          <w:tcPr>
            <w:tcW w:w="709" w:type="dxa"/>
            <w:noWrap w:val="0"/>
            <w:vAlign w:val="center"/>
          </w:tcPr>
          <w:p>
            <w:pPr>
              <w:spacing w:line="360" w:lineRule="auto"/>
              <w:jc w:val="center"/>
              <w:rPr>
                <w:rFonts w:hint="default" w:ascii="仿宋_GB2312" w:hAnsi="仿宋_GB2312" w:eastAsia="仿宋_GB2312" w:cs="仿宋_GB2312"/>
                <w:snapToGrid w:val="0"/>
                <w:spacing w:val="-4"/>
                <w:sz w:val="24"/>
                <w:lang w:val="en-US" w:eastAsia="zh-CN"/>
              </w:rPr>
            </w:pPr>
            <w:r>
              <w:rPr>
                <w:rFonts w:hint="eastAsia" w:ascii="仿宋_GB2312" w:hAnsi="仿宋_GB2312" w:eastAsia="仿宋_GB2312" w:cs="仿宋_GB2312"/>
                <w:snapToGrid w:val="0"/>
                <w:spacing w:val="-4"/>
                <w:sz w:val="24"/>
                <w:lang w:val="en-US" w:eastAsia="zh-CN"/>
              </w:rPr>
              <w:t>1</w:t>
            </w:r>
          </w:p>
        </w:tc>
        <w:tc>
          <w:tcPr>
            <w:tcW w:w="5386" w:type="dxa"/>
            <w:noWrap w:val="0"/>
            <w:vAlign w:val="center"/>
          </w:tcPr>
          <w:p>
            <w:pPr>
              <w:spacing w:line="360" w:lineRule="auto"/>
              <w:jc w:val="left"/>
              <w:rPr>
                <w:rFonts w:hint="eastAsia" w:ascii="仿宋_GB2312" w:hAnsi="仿宋_GB2312" w:eastAsia="仿宋_GB2312" w:cs="仿宋_GB2312"/>
                <w:snapToGrid w:val="0"/>
                <w:color w:val="auto"/>
                <w:spacing w:val="-4"/>
                <w:sz w:val="24"/>
                <w:lang w:val="en-US" w:eastAsia="zh-CN"/>
              </w:rPr>
            </w:pPr>
            <w:r>
              <w:rPr>
                <w:rFonts w:hint="eastAsia" w:ascii="仿宋_GB2312" w:hAnsi="仿宋_GB2312" w:eastAsia="仿宋_GB2312" w:cs="仿宋_GB2312"/>
                <w:snapToGrid w:val="0"/>
                <w:color w:val="000000"/>
                <w:spacing w:val="-4"/>
                <w:sz w:val="24"/>
                <w:highlight w:val="none"/>
              </w:rPr>
              <w:t>具有相关</w:t>
            </w:r>
            <w:r>
              <w:rPr>
                <w:rFonts w:hint="eastAsia" w:ascii="仿宋_GB2312" w:hAnsi="仿宋_GB2312" w:eastAsia="仿宋_GB2312" w:cs="仿宋_GB2312"/>
                <w:snapToGrid w:val="0"/>
                <w:color w:val="000000"/>
                <w:spacing w:val="-4"/>
                <w:sz w:val="24"/>
                <w:highlight w:val="none"/>
                <w:lang w:val="en-US" w:eastAsia="zh-CN"/>
              </w:rPr>
              <w:t>面点师</w:t>
            </w:r>
            <w:r>
              <w:rPr>
                <w:rFonts w:hint="eastAsia" w:ascii="仿宋_GB2312" w:hAnsi="仿宋_GB2312" w:eastAsia="仿宋_GB2312" w:cs="仿宋_GB2312"/>
                <w:snapToGrid w:val="0"/>
                <w:color w:val="000000"/>
                <w:spacing w:val="-4"/>
                <w:sz w:val="24"/>
                <w:highlight w:val="none"/>
              </w:rPr>
              <w:t>工作经验不低于2年</w:t>
            </w:r>
            <w:r>
              <w:rPr>
                <w:rFonts w:hint="eastAsia" w:ascii="仿宋_GB2312" w:hAnsi="仿宋_GB2312" w:eastAsia="仿宋_GB2312" w:cs="仿宋_GB2312"/>
                <w:snapToGrid w:val="0"/>
                <w:color w:val="000000"/>
                <w:spacing w:val="-4"/>
                <w:sz w:val="24"/>
                <w:highlight w:val="none"/>
                <w:lang w:eastAsia="zh-CN"/>
              </w:rPr>
              <w:t>，具有健康证</w:t>
            </w:r>
            <w:r>
              <w:rPr>
                <w:rFonts w:hint="eastAsia" w:ascii="仿宋_GB2312" w:hAnsi="仿宋_GB2312" w:eastAsia="仿宋_GB2312" w:cs="仿宋_GB2312"/>
                <w:snapToGrid w:val="0"/>
                <w:color w:val="000000"/>
                <w:spacing w:val="-4"/>
                <w:sz w:val="24"/>
                <w:highlight w:val="none"/>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89" w:hRule="atLeast"/>
        </w:trPr>
        <w:tc>
          <w:tcPr>
            <w:tcW w:w="727" w:type="dxa"/>
            <w:noWrap w:val="0"/>
            <w:vAlign w:val="center"/>
          </w:tcPr>
          <w:p>
            <w:pPr>
              <w:spacing w:line="360" w:lineRule="auto"/>
              <w:jc w:val="center"/>
              <w:rPr>
                <w:rFonts w:hint="default" w:ascii="仿宋_GB2312" w:hAnsi="仿宋_GB2312" w:eastAsia="仿宋_GB2312" w:cs="仿宋_GB2312"/>
                <w:snapToGrid w:val="0"/>
                <w:color w:val="auto"/>
                <w:spacing w:val="-4"/>
                <w:sz w:val="24"/>
                <w:highlight w:val="none"/>
                <w:lang w:val="en-US" w:eastAsia="zh-CN"/>
              </w:rPr>
            </w:pPr>
            <w:r>
              <w:rPr>
                <w:rFonts w:hint="eastAsia" w:ascii="仿宋_GB2312" w:hAnsi="仿宋_GB2312" w:eastAsia="仿宋_GB2312" w:cs="仿宋_GB2312"/>
                <w:snapToGrid w:val="0"/>
                <w:color w:val="auto"/>
                <w:spacing w:val="-4"/>
                <w:sz w:val="24"/>
                <w:highlight w:val="none"/>
                <w:lang w:val="en-US" w:eastAsia="zh-CN"/>
              </w:rPr>
              <w:t>5</w:t>
            </w:r>
          </w:p>
        </w:tc>
        <w:tc>
          <w:tcPr>
            <w:tcW w:w="1791" w:type="dxa"/>
            <w:noWrap w:val="0"/>
            <w:vAlign w:val="center"/>
          </w:tcPr>
          <w:p>
            <w:pPr>
              <w:spacing w:line="360" w:lineRule="auto"/>
              <w:jc w:val="center"/>
              <w:rPr>
                <w:rFonts w:hint="eastAsia" w:ascii="仿宋_GB2312" w:hAnsi="仿宋_GB2312" w:eastAsia="仿宋_GB2312" w:cs="仿宋_GB2312"/>
                <w:snapToGrid w:val="0"/>
                <w:spacing w:val="-4"/>
                <w:sz w:val="24"/>
                <w:highlight w:val="none"/>
                <w:lang w:val="en-US" w:eastAsia="zh-CN"/>
              </w:rPr>
            </w:pPr>
            <w:r>
              <w:rPr>
                <w:rFonts w:hint="eastAsia" w:ascii="仿宋_GB2312" w:hAnsi="仿宋_GB2312" w:eastAsia="仿宋_GB2312" w:cs="仿宋_GB2312"/>
                <w:snapToGrid w:val="0"/>
                <w:spacing w:val="-4"/>
                <w:sz w:val="24"/>
                <w:highlight w:val="none"/>
                <w:lang w:val="en-US" w:eastAsia="zh-CN"/>
              </w:rPr>
              <w:t>帮工</w:t>
            </w:r>
          </w:p>
        </w:tc>
        <w:tc>
          <w:tcPr>
            <w:tcW w:w="709" w:type="dxa"/>
            <w:noWrap w:val="0"/>
            <w:vAlign w:val="center"/>
          </w:tcPr>
          <w:p>
            <w:pPr>
              <w:spacing w:line="360" w:lineRule="auto"/>
              <w:jc w:val="center"/>
              <w:rPr>
                <w:rFonts w:hint="default" w:ascii="仿宋_GB2312" w:hAnsi="仿宋_GB2312" w:eastAsia="仿宋_GB2312" w:cs="仿宋_GB2312"/>
                <w:snapToGrid w:val="0"/>
                <w:spacing w:val="-4"/>
                <w:sz w:val="24"/>
                <w:lang w:val="en-US" w:eastAsia="zh-CN"/>
              </w:rPr>
            </w:pPr>
            <w:r>
              <w:rPr>
                <w:rFonts w:hint="eastAsia" w:ascii="仿宋_GB2312" w:hAnsi="仿宋_GB2312" w:eastAsia="仿宋_GB2312" w:cs="仿宋_GB2312"/>
                <w:snapToGrid w:val="0"/>
                <w:spacing w:val="-4"/>
                <w:sz w:val="24"/>
                <w:lang w:val="en-US" w:eastAsia="zh-CN"/>
              </w:rPr>
              <w:t>3</w:t>
            </w:r>
          </w:p>
        </w:tc>
        <w:tc>
          <w:tcPr>
            <w:tcW w:w="5386" w:type="dxa"/>
            <w:noWrap w:val="0"/>
            <w:vAlign w:val="center"/>
          </w:tcPr>
          <w:p>
            <w:pPr>
              <w:spacing w:line="360" w:lineRule="auto"/>
              <w:rPr>
                <w:rFonts w:hint="eastAsia" w:ascii="仿宋_GB2312" w:hAnsi="仿宋_GB2312" w:eastAsia="仿宋_GB2312" w:cs="仿宋_GB2312"/>
                <w:snapToGrid w:val="0"/>
                <w:color w:val="auto"/>
                <w:spacing w:val="-4"/>
                <w:sz w:val="24"/>
                <w:lang w:val="en-US" w:eastAsia="zh-CN"/>
              </w:rPr>
            </w:pPr>
            <w:r>
              <w:rPr>
                <w:rFonts w:hint="eastAsia" w:ascii="仿宋_GB2312" w:hAnsi="仿宋_GB2312" w:eastAsia="仿宋_GB2312" w:cs="仿宋_GB2312"/>
                <w:snapToGrid w:val="0"/>
                <w:color w:val="000000"/>
                <w:spacing w:val="-4"/>
                <w:sz w:val="24"/>
                <w:highlight w:val="none"/>
                <w:lang w:val="en-US" w:eastAsia="zh-CN"/>
              </w:rPr>
              <w:t>具有相关工作经验不低于2年，</w:t>
            </w:r>
            <w:r>
              <w:rPr>
                <w:rFonts w:hint="eastAsia" w:ascii="仿宋_GB2312" w:hAnsi="仿宋_GB2312" w:eastAsia="仿宋_GB2312" w:cs="仿宋_GB2312"/>
                <w:snapToGrid w:val="0"/>
                <w:color w:val="000000"/>
                <w:spacing w:val="-4"/>
                <w:sz w:val="24"/>
                <w:highlight w:val="none"/>
                <w:u w:val="single"/>
                <w:lang w:val="en-US" w:eastAsia="zh-CN"/>
              </w:rPr>
              <w:t>具有健康证</w:t>
            </w:r>
            <w:r>
              <w:rPr>
                <w:rFonts w:hint="eastAsia" w:ascii="仿宋_GB2312" w:hAnsi="仿宋_GB2312" w:eastAsia="仿宋_GB2312" w:cs="仿宋_GB2312"/>
                <w:snapToGrid w:val="0"/>
                <w:color w:val="000000"/>
                <w:spacing w:val="-4"/>
                <w:sz w:val="24"/>
                <w:highlight w:val="none"/>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89" w:hRule="atLeast"/>
        </w:trPr>
        <w:tc>
          <w:tcPr>
            <w:tcW w:w="727" w:type="dxa"/>
            <w:noWrap w:val="0"/>
            <w:vAlign w:val="center"/>
          </w:tcPr>
          <w:p>
            <w:pPr>
              <w:spacing w:line="360" w:lineRule="auto"/>
              <w:jc w:val="center"/>
              <w:rPr>
                <w:rFonts w:hint="default" w:ascii="仿宋_GB2312" w:hAnsi="仿宋_GB2312" w:eastAsia="仿宋_GB2312" w:cs="仿宋_GB2312"/>
                <w:snapToGrid w:val="0"/>
                <w:color w:val="auto"/>
                <w:spacing w:val="-4"/>
                <w:sz w:val="24"/>
                <w:highlight w:val="none"/>
                <w:lang w:val="en-US" w:eastAsia="zh-CN"/>
              </w:rPr>
            </w:pPr>
            <w:r>
              <w:rPr>
                <w:rFonts w:hint="eastAsia" w:ascii="仿宋_GB2312" w:hAnsi="仿宋_GB2312" w:eastAsia="仿宋_GB2312" w:cs="仿宋_GB2312"/>
                <w:snapToGrid w:val="0"/>
                <w:color w:val="auto"/>
                <w:spacing w:val="-4"/>
                <w:sz w:val="24"/>
                <w:highlight w:val="none"/>
                <w:lang w:val="en-US" w:eastAsia="zh-CN"/>
              </w:rPr>
              <w:t>6</w:t>
            </w:r>
          </w:p>
        </w:tc>
        <w:tc>
          <w:tcPr>
            <w:tcW w:w="1791" w:type="dxa"/>
            <w:noWrap w:val="0"/>
            <w:vAlign w:val="center"/>
          </w:tcPr>
          <w:p>
            <w:pPr>
              <w:spacing w:line="360" w:lineRule="auto"/>
              <w:jc w:val="center"/>
              <w:rPr>
                <w:rFonts w:hint="eastAsia" w:ascii="仿宋_GB2312" w:hAnsi="仿宋_GB2312" w:eastAsia="仿宋_GB2312" w:cs="仿宋_GB2312"/>
                <w:snapToGrid w:val="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保洁员</w:t>
            </w:r>
          </w:p>
        </w:tc>
        <w:tc>
          <w:tcPr>
            <w:tcW w:w="709" w:type="dxa"/>
            <w:noWrap w:val="0"/>
            <w:vAlign w:val="center"/>
          </w:tcPr>
          <w:p>
            <w:pPr>
              <w:spacing w:line="360" w:lineRule="auto"/>
              <w:jc w:val="center"/>
              <w:rPr>
                <w:rFonts w:hint="default" w:ascii="仿宋_GB2312" w:hAnsi="仿宋_GB2312" w:eastAsia="仿宋_GB2312" w:cs="仿宋_GB2312"/>
                <w:snapToGrid w:val="0"/>
                <w:spacing w:val="-4"/>
                <w:sz w:val="24"/>
                <w:lang w:val="en-US" w:eastAsia="zh-CN"/>
              </w:rPr>
            </w:pPr>
            <w:r>
              <w:rPr>
                <w:rFonts w:hint="eastAsia" w:ascii="仿宋_GB2312" w:hAnsi="仿宋_GB2312" w:eastAsia="仿宋_GB2312" w:cs="仿宋_GB2312"/>
                <w:snapToGrid w:val="0"/>
                <w:spacing w:val="-4"/>
                <w:sz w:val="24"/>
                <w:lang w:val="en-US" w:eastAsia="zh-CN"/>
              </w:rPr>
              <w:t>8</w:t>
            </w:r>
          </w:p>
        </w:tc>
        <w:tc>
          <w:tcPr>
            <w:tcW w:w="5386" w:type="dxa"/>
            <w:noWrap w:val="0"/>
            <w:vAlign w:val="center"/>
          </w:tcPr>
          <w:p>
            <w:pPr>
              <w:spacing w:line="360" w:lineRule="auto"/>
              <w:rPr>
                <w:rFonts w:hint="eastAsia" w:ascii="仿宋_GB2312" w:hAnsi="仿宋_GB2312" w:eastAsia="仿宋_GB2312" w:cs="仿宋_GB2312"/>
                <w:snapToGrid w:val="0"/>
                <w:color w:val="auto"/>
                <w:spacing w:val="-4"/>
                <w:sz w:val="24"/>
                <w:lang w:val="en-US" w:eastAsia="zh-CN"/>
              </w:rPr>
            </w:pPr>
            <w:r>
              <w:rPr>
                <w:rFonts w:hint="eastAsia" w:ascii="仿宋_GB2312" w:hAnsi="仿宋_GB2312" w:eastAsia="仿宋_GB2312" w:cs="仿宋_GB2312"/>
                <w:snapToGrid w:val="0"/>
                <w:color w:val="000000"/>
                <w:spacing w:val="-4"/>
                <w:sz w:val="24"/>
                <w:highlight w:val="none"/>
                <w:lang w:val="en-US" w:eastAsia="zh-CN"/>
              </w:rPr>
              <w:t>按要求做好责任区域内的保洁工作，60周岁以下，女性。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89" w:hRule="atLeast"/>
        </w:trPr>
        <w:tc>
          <w:tcPr>
            <w:tcW w:w="727" w:type="dxa"/>
            <w:noWrap w:val="0"/>
            <w:vAlign w:val="center"/>
          </w:tcPr>
          <w:p>
            <w:pPr>
              <w:spacing w:line="360" w:lineRule="auto"/>
              <w:jc w:val="center"/>
              <w:rPr>
                <w:rFonts w:hint="default" w:ascii="仿宋_GB2312" w:hAnsi="仿宋_GB2312" w:eastAsia="仿宋_GB2312" w:cs="仿宋_GB2312"/>
                <w:snapToGrid w:val="0"/>
                <w:color w:val="auto"/>
                <w:spacing w:val="-4"/>
                <w:sz w:val="24"/>
                <w:highlight w:val="none"/>
                <w:lang w:val="en-US" w:eastAsia="zh-CN"/>
              </w:rPr>
            </w:pPr>
            <w:r>
              <w:rPr>
                <w:rFonts w:hint="eastAsia" w:ascii="仿宋_GB2312" w:hAnsi="仿宋_GB2312" w:eastAsia="仿宋_GB2312" w:cs="仿宋_GB2312"/>
                <w:snapToGrid w:val="0"/>
                <w:color w:val="auto"/>
                <w:spacing w:val="-4"/>
                <w:sz w:val="24"/>
                <w:highlight w:val="none"/>
                <w:lang w:val="en-US" w:eastAsia="zh-CN"/>
              </w:rPr>
              <w:t>7</w:t>
            </w:r>
          </w:p>
        </w:tc>
        <w:tc>
          <w:tcPr>
            <w:tcW w:w="1791" w:type="dxa"/>
            <w:noWrap w:val="0"/>
            <w:vAlign w:val="center"/>
          </w:tcPr>
          <w:p>
            <w:pPr>
              <w:spacing w:line="360" w:lineRule="auto"/>
              <w:jc w:val="center"/>
              <w:rPr>
                <w:rFonts w:hint="eastAsia" w:ascii="仿宋_GB2312" w:hAnsi="仿宋_GB2312" w:eastAsia="仿宋_GB2312" w:cs="仿宋_GB2312"/>
                <w:snapToGrid w:val="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保安员</w:t>
            </w:r>
          </w:p>
        </w:tc>
        <w:tc>
          <w:tcPr>
            <w:tcW w:w="709" w:type="dxa"/>
            <w:noWrap w:val="0"/>
            <w:vAlign w:val="center"/>
          </w:tcPr>
          <w:p>
            <w:pPr>
              <w:spacing w:line="360" w:lineRule="auto"/>
              <w:jc w:val="center"/>
              <w:rPr>
                <w:rFonts w:hint="default" w:ascii="仿宋_GB2312" w:hAnsi="仿宋_GB2312" w:eastAsia="仿宋_GB2312" w:cs="仿宋_GB2312"/>
                <w:snapToGrid w:val="0"/>
                <w:spacing w:val="-4"/>
                <w:sz w:val="24"/>
                <w:lang w:val="en-US" w:eastAsia="zh-CN"/>
              </w:rPr>
            </w:pPr>
            <w:r>
              <w:rPr>
                <w:rFonts w:hint="eastAsia" w:ascii="仿宋_GB2312" w:hAnsi="仿宋_GB2312" w:eastAsia="仿宋_GB2312" w:cs="仿宋_GB2312"/>
                <w:snapToGrid w:val="0"/>
                <w:spacing w:val="-4"/>
                <w:sz w:val="24"/>
                <w:lang w:val="en-US" w:eastAsia="zh-CN"/>
              </w:rPr>
              <w:t>8</w:t>
            </w:r>
          </w:p>
        </w:tc>
        <w:tc>
          <w:tcPr>
            <w:tcW w:w="5386" w:type="dxa"/>
            <w:noWrap w:val="0"/>
            <w:vAlign w:val="center"/>
          </w:tcPr>
          <w:p>
            <w:pPr>
              <w:spacing w:line="360" w:lineRule="auto"/>
              <w:rPr>
                <w:rFonts w:hint="eastAsia" w:ascii="仿宋_GB2312" w:hAnsi="仿宋_GB2312" w:eastAsia="仿宋_GB2312" w:cs="仿宋_GB2312"/>
                <w:snapToGrid w:val="0"/>
                <w:color w:val="auto"/>
                <w:spacing w:val="-4"/>
                <w:sz w:val="24"/>
                <w:lang w:val="en-US" w:eastAsia="zh-CN"/>
              </w:rPr>
            </w:pPr>
            <w:r>
              <w:rPr>
                <w:rFonts w:hint="eastAsia" w:ascii="仿宋_GB2312" w:hAnsi="仿宋_GB2312" w:eastAsia="仿宋_GB2312" w:cs="仿宋_GB2312"/>
                <w:snapToGrid w:val="0"/>
                <w:color w:val="000000"/>
                <w:spacing w:val="-4"/>
                <w:sz w:val="24"/>
                <w:highlight w:val="none"/>
                <w:u w:val="single"/>
                <w:lang w:val="en-US" w:eastAsia="zh-CN"/>
              </w:rPr>
              <w:t>男性，60周岁以下，持</w:t>
            </w:r>
            <w:r>
              <w:rPr>
                <w:rFonts w:hint="eastAsia" w:ascii="CESI仿宋-GB13000" w:hAnsi="CESI仿宋-GB13000" w:eastAsia="CESI仿宋-GB13000" w:cs="CESI仿宋-GB13000"/>
                <w:i w:val="0"/>
                <w:iCs w:val="0"/>
                <w:caps w:val="0"/>
                <w:color w:val="000000"/>
                <w:spacing w:val="0"/>
                <w:kern w:val="0"/>
                <w:sz w:val="24"/>
                <w:szCs w:val="24"/>
                <w:highlight w:val="none"/>
                <w:u w:val="single"/>
                <w:shd w:val="clear" w:color="auto" w:fill="FFFFFF"/>
                <w:lang w:val="en-US" w:eastAsia="zh-CN" w:bidi="ar"/>
              </w:rPr>
              <w:t>公安部门颁发的</w:t>
            </w:r>
            <w:r>
              <w:rPr>
                <w:rFonts w:hint="eastAsia" w:ascii="仿宋_GB2312" w:hAnsi="仿宋_GB2312" w:eastAsia="仿宋_GB2312" w:cs="仿宋_GB2312"/>
                <w:snapToGrid w:val="0"/>
                <w:color w:val="000000"/>
                <w:spacing w:val="-4"/>
                <w:sz w:val="24"/>
                <w:highlight w:val="none"/>
                <w:u w:val="single"/>
                <w:lang w:val="en-US" w:eastAsia="zh-CN"/>
              </w:rPr>
              <w:t>保安员证。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89" w:hRule="atLeast"/>
        </w:trPr>
        <w:tc>
          <w:tcPr>
            <w:tcW w:w="727" w:type="dxa"/>
            <w:noWrap w:val="0"/>
            <w:vAlign w:val="center"/>
          </w:tcPr>
          <w:p>
            <w:pPr>
              <w:spacing w:line="360" w:lineRule="auto"/>
              <w:jc w:val="center"/>
              <w:rPr>
                <w:rFonts w:hint="default" w:ascii="仿宋_GB2312" w:hAnsi="仿宋_GB2312" w:eastAsia="仿宋_GB2312" w:cs="仿宋_GB2312"/>
                <w:snapToGrid w:val="0"/>
                <w:color w:val="auto"/>
                <w:spacing w:val="-4"/>
                <w:sz w:val="24"/>
                <w:highlight w:val="none"/>
                <w:lang w:val="en-US" w:eastAsia="zh-CN"/>
              </w:rPr>
            </w:pPr>
            <w:r>
              <w:rPr>
                <w:rFonts w:hint="eastAsia" w:ascii="仿宋_GB2312" w:hAnsi="仿宋_GB2312" w:eastAsia="仿宋_GB2312" w:cs="仿宋_GB2312"/>
                <w:snapToGrid w:val="0"/>
                <w:color w:val="auto"/>
                <w:spacing w:val="-4"/>
                <w:sz w:val="24"/>
                <w:highlight w:val="none"/>
                <w:lang w:val="en-US" w:eastAsia="zh-CN"/>
              </w:rPr>
              <w:t>8</w:t>
            </w:r>
          </w:p>
        </w:tc>
        <w:tc>
          <w:tcPr>
            <w:tcW w:w="1791" w:type="dxa"/>
            <w:noWrap w:val="0"/>
            <w:vAlign w:val="center"/>
          </w:tcPr>
          <w:p>
            <w:pPr>
              <w:spacing w:line="360" w:lineRule="auto"/>
              <w:jc w:val="center"/>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绿化工</w:t>
            </w:r>
          </w:p>
        </w:tc>
        <w:tc>
          <w:tcPr>
            <w:tcW w:w="709" w:type="dxa"/>
            <w:noWrap w:val="0"/>
            <w:vAlign w:val="center"/>
          </w:tcPr>
          <w:p>
            <w:pPr>
              <w:spacing w:line="360" w:lineRule="auto"/>
              <w:jc w:val="center"/>
              <w:rPr>
                <w:rFonts w:hint="default" w:ascii="仿宋_GB2312" w:hAnsi="仿宋_GB2312" w:eastAsia="仿宋_GB2312" w:cs="仿宋_GB2312"/>
                <w:snapToGrid w:val="0"/>
                <w:spacing w:val="-4"/>
                <w:sz w:val="24"/>
                <w:lang w:val="en-US" w:eastAsia="zh-CN"/>
              </w:rPr>
            </w:pPr>
            <w:r>
              <w:rPr>
                <w:rFonts w:hint="eastAsia" w:ascii="仿宋_GB2312" w:hAnsi="仿宋_GB2312" w:eastAsia="仿宋_GB2312" w:cs="仿宋_GB2312"/>
                <w:snapToGrid w:val="0"/>
                <w:spacing w:val="-4"/>
                <w:sz w:val="24"/>
                <w:lang w:val="en-US" w:eastAsia="zh-CN"/>
              </w:rPr>
              <w:t>1</w:t>
            </w:r>
          </w:p>
        </w:tc>
        <w:tc>
          <w:tcPr>
            <w:tcW w:w="5386" w:type="dxa"/>
            <w:noWrap w:val="0"/>
            <w:vAlign w:val="center"/>
          </w:tcPr>
          <w:p>
            <w:pPr>
              <w:spacing w:line="360" w:lineRule="auto"/>
              <w:rPr>
                <w:rFonts w:hint="eastAsia" w:ascii="仿宋_GB2312" w:hAnsi="仿宋_GB2312" w:eastAsia="仿宋_GB2312" w:cs="仿宋_GB2312"/>
                <w:snapToGrid w:val="0"/>
                <w:color w:val="000000"/>
                <w:spacing w:val="-4"/>
                <w:sz w:val="24"/>
                <w:highlight w:val="none"/>
                <w:u w:val="single"/>
                <w:lang w:val="en-US" w:eastAsia="zh-CN"/>
              </w:rPr>
            </w:pPr>
            <w:r>
              <w:rPr>
                <w:rFonts w:hint="eastAsia" w:ascii="仿宋_GB2312" w:hAnsi="仿宋_GB2312" w:eastAsia="仿宋_GB2312" w:cs="仿宋_GB2312"/>
                <w:snapToGrid w:val="0"/>
                <w:spacing w:val="-4"/>
                <w:sz w:val="24"/>
                <w:lang w:val="en-US" w:eastAsia="zh-CN"/>
              </w:rPr>
              <w:t>身体健康，</w:t>
            </w:r>
            <w:r>
              <w:rPr>
                <w:rFonts w:hint="eastAsia" w:ascii="仿宋_GB2312" w:hAnsi="仿宋_GB2312" w:eastAsia="仿宋_GB2312" w:cs="仿宋_GB2312"/>
                <w:snapToGrid w:val="0"/>
                <w:spacing w:val="-4"/>
                <w:sz w:val="24"/>
                <w:u w:val="single"/>
                <w:lang w:val="en-US" w:eastAsia="zh-CN"/>
              </w:rPr>
              <w:t>男60周岁、女50周岁以下，具有两年以上绿化养护经验。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89" w:hRule="atLeast"/>
        </w:trPr>
        <w:tc>
          <w:tcPr>
            <w:tcW w:w="727" w:type="dxa"/>
            <w:noWrap w:val="0"/>
            <w:vAlign w:val="center"/>
          </w:tcPr>
          <w:p>
            <w:pPr>
              <w:spacing w:line="360" w:lineRule="auto"/>
              <w:jc w:val="center"/>
              <w:rPr>
                <w:rFonts w:hint="default" w:ascii="仿宋_GB2312" w:hAnsi="仿宋_GB2312" w:eastAsia="仿宋_GB2312" w:cs="仿宋_GB2312"/>
                <w:snapToGrid w:val="0"/>
                <w:color w:val="auto"/>
                <w:spacing w:val="-4"/>
                <w:sz w:val="24"/>
                <w:highlight w:val="none"/>
                <w:lang w:val="en-US" w:eastAsia="zh-CN"/>
              </w:rPr>
            </w:pPr>
            <w:r>
              <w:rPr>
                <w:rFonts w:hint="eastAsia" w:ascii="仿宋_GB2312" w:hAnsi="仿宋_GB2312" w:eastAsia="仿宋_GB2312" w:cs="仿宋_GB2312"/>
                <w:snapToGrid w:val="0"/>
                <w:color w:val="auto"/>
                <w:spacing w:val="-4"/>
                <w:sz w:val="24"/>
                <w:highlight w:val="none"/>
                <w:lang w:val="en-US" w:eastAsia="zh-CN"/>
              </w:rPr>
              <w:t>9</w:t>
            </w:r>
          </w:p>
        </w:tc>
        <w:tc>
          <w:tcPr>
            <w:tcW w:w="1791" w:type="dxa"/>
            <w:noWrap w:val="0"/>
            <w:vAlign w:val="center"/>
          </w:tcPr>
          <w:p>
            <w:pPr>
              <w:spacing w:line="360" w:lineRule="auto"/>
              <w:jc w:val="center"/>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水电工</w:t>
            </w:r>
          </w:p>
        </w:tc>
        <w:tc>
          <w:tcPr>
            <w:tcW w:w="709" w:type="dxa"/>
            <w:noWrap w:val="0"/>
            <w:vAlign w:val="center"/>
          </w:tcPr>
          <w:p>
            <w:pPr>
              <w:spacing w:line="360" w:lineRule="auto"/>
              <w:jc w:val="center"/>
              <w:rPr>
                <w:rFonts w:hint="default" w:ascii="仿宋_GB2312" w:hAnsi="仿宋_GB2312" w:eastAsia="仿宋_GB2312" w:cs="仿宋_GB2312"/>
                <w:snapToGrid w:val="0"/>
                <w:spacing w:val="-4"/>
                <w:sz w:val="24"/>
                <w:lang w:val="en-US" w:eastAsia="zh-CN"/>
              </w:rPr>
            </w:pPr>
            <w:r>
              <w:rPr>
                <w:rFonts w:hint="eastAsia" w:ascii="仿宋_GB2312" w:hAnsi="仿宋_GB2312" w:eastAsia="仿宋_GB2312" w:cs="仿宋_GB2312"/>
                <w:snapToGrid w:val="0"/>
                <w:spacing w:val="-4"/>
                <w:sz w:val="24"/>
                <w:lang w:val="en-US" w:eastAsia="zh-CN"/>
              </w:rPr>
              <w:t>1</w:t>
            </w:r>
          </w:p>
        </w:tc>
        <w:tc>
          <w:tcPr>
            <w:tcW w:w="5386" w:type="dxa"/>
            <w:noWrap w:val="0"/>
            <w:vAlign w:val="center"/>
          </w:tcPr>
          <w:p>
            <w:pPr>
              <w:spacing w:line="360" w:lineRule="auto"/>
              <w:rPr>
                <w:rFonts w:hint="eastAsia" w:ascii="仿宋_GB2312" w:hAnsi="仿宋_GB2312" w:eastAsia="仿宋_GB2312" w:cs="仿宋_GB2312"/>
                <w:snapToGrid w:val="0"/>
                <w:color w:val="000000"/>
                <w:spacing w:val="-4"/>
                <w:sz w:val="24"/>
                <w:highlight w:val="none"/>
                <w:u w:val="single"/>
                <w:lang w:val="en-US" w:eastAsia="zh-CN"/>
              </w:rPr>
            </w:pPr>
            <w:r>
              <w:rPr>
                <w:rFonts w:hint="eastAsia" w:ascii="仿宋_GB2312" w:hAnsi="仿宋_GB2312" w:eastAsia="仿宋_GB2312" w:cs="仿宋_GB2312"/>
                <w:snapToGrid w:val="0"/>
                <w:color w:val="000000"/>
                <w:spacing w:val="-4"/>
                <w:sz w:val="24"/>
                <w:highlight w:val="none"/>
                <w:lang w:val="en-US" w:eastAsia="zh-CN"/>
              </w:rPr>
              <w:t>男性，</w:t>
            </w:r>
            <w:r>
              <w:rPr>
                <w:rFonts w:hint="eastAsia" w:ascii="仿宋_GB2312" w:hAnsi="仿宋_GB2312" w:eastAsia="仿宋_GB2312" w:cs="仿宋_GB2312"/>
                <w:snapToGrid w:val="0"/>
                <w:color w:val="000000"/>
                <w:spacing w:val="-4"/>
                <w:sz w:val="24"/>
                <w:highlight w:val="none"/>
                <w:u w:val="single"/>
                <w:lang w:val="en-US" w:eastAsia="zh-CN"/>
              </w:rPr>
              <w:t>持低压电工作业证。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8" w:hRule="atLeast"/>
        </w:trPr>
        <w:tc>
          <w:tcPr>
            <w:tcW w:w="727" w:type="dxa"/>
            <w:noWrap w:val="0"/>
            <w:vAlign w:val="center"/>
          </w:tcPr>
          <w:p>
            <w:pPr>
              <w:spacing w:line="360" w:lineRule="auto"/>
              <w:jc w:val="center"/>
              <w:rPr>
                <w:rFonts w:hint="eastAsia" w:ascii="仿宋_GB2312" w:hAnsi="仿宋_GB2312" w:eastAsia="仿宋_GB2312" w:cs="仿宋_GB2312"/>
                <w:snapToGrid w:val="0"/>
                <w:color w:val="auto"/>
                <w:spacing w:val="-4"/>
                <w:sz w:val="24"/>
                <w:highlight w:val="none"/>
                <w:lang w:val="en-US" w:eastAsia="zh-CN"/>
              </w:rPr>
            </w:pPr>
          </w:p>
        </w:tc>
        <w:tc>
          <w:tcPr>
            <w:tcW w:w="1791" w:type="dxa"/>
            <w:noWrap w:val="0"/>
            <w:vAlign w:val="center"/>
          </w:tcPr>
          <w:p>
            <w:pPr>
              <w:widowControl/>
              <w:snapToGrid w:val="0"/>
              <w:spacing w:line="216" w:lineRule="auto"/>
              <w:jc w:val="center"/>
              <w:rPr>
                <w:rFonts w:hint="eastAsia" w:ascii="仿宋_GB2312" w:hAnsi="仿宋_GB2312" w:eastAsia="仿宋_GB2312" w:cs="仿宋_GB2312"/>
                <w:snapToGrid w:val="0"/>
                <w:spacing w:val="-4"/>
                <w:sz w:val="24"/>
                <w:lang w:val="en-US" w:eastAsia="zh-CN"/>
              </w:rPr>
            </w:pPr>
            <w:r>
              <w:rPr>
                <w:rFonts w:hint="eastAsia" w:ascii="仿宋_GB2312" w:hAnsi="仿宋_GB2312" w:eastAsia="仿宋_GB2312" w:cs="仿宋_GB2312"/>
                <w:snapToGrid w:val="0"/>
                <w:spacing w:val="-4"/>
                <w:sz w:val="24"/>
                <w:lang w:val="en-US" w:eastAsia="zh-CN"/>
              </w:rPr>
              <w:t>合计</w:t>
            </w:r>
          </w:p>
        </w:tc>
        <w:tc>
          <w:tcPr>
            <w:tcW w:w="709" w:type="dxa"/>
            <w:noWrap w:val="0"/>
            <w:vAlign w:val="center"/>
          </w:tcPr>
          <w:p>
            <w:pPr>
              <w:widowControl/>
              <w:snapToGrid w:val="0"/>
              <w:spacing w:line="216" w:lineRule="auto"/>
              <w:jc w:val="center"/>
              <w:rPr>
                <w:rFonts w:hint="default" w:ascii="仿宋_GB2312" w:hAnsi="仿宋_GB2312" w:eastAsia="仿宋_GB2312" w:cs="仿宋_GB2312"/>
                <w:snapToGrid w:val="0"/>
                <w:spacing w:val="-4"/>
                <w:sz w:val="24"/>
                <w:lang w:val="en-US" w:eastAsia="zh-CN"/>
              </w:rPr>
            </w:pPr>
            <w:r>
              <w:rPr>
                <w:rFonts w:hint="eastAsia" w:ascii="仿宋_GB2312" w:hAnsi="仿宋_GB2312" w:eastAsia="仿宋_GB2312" w:cs="仿宋_GB2312"/>
                <w:snapToGrid w:val="0"/>
                <w:spacing w:val="-4"/>
                <w:sz w:val="24"/>
                <w:lang w:val="en-US" w:eastAsia="zh-CN"/>
              </w:rPr>
              <w:t>25</w:t>
            </w:r>
          </w:p>
        </w:tc>
        <w:tc>
          <w:tcPr>
            <w:tcW w:w="5386" w:type="dxa"/>
            <w:noWrap w:val="0"/>
            <w:vAlign w:val="center"/>
          </w:tcPr>
          <w:p>
            <w:pPr>
              <w:spacing w:line="360" w:lineRule="auto"/>
              <w:rPr>
                <w:rFonts w:hint="eastAsia" w:ascii="仿宋" w:hAnsi="仿宋" w:eastAsia="仿宋" w:cs="仿宋"/>
                <w:color w:val="auto"/>
                <w:kern w:val="0"/>
                <w:sz w:val="24"/>
                <w:szCs w:val="24"/>
                <w:highlight w:val="none"/>
                <w:u w:val="none"/>
                <w:lang w:val="en-US" w:eastAsia="zh-CN"/>
              </w:rPr>
            </w:pPr>
          </w:p>
        </w:tc>
      </w:tr>
    </w:tbl>
    <w:p>
      <w:pPr>
        <w:pStyle w:val="66"/>
        <w:spacing w:line="580" w:lineRule="exact"/>
        <w:ind w:left="0" w:leftChars="0" w:firstLine="0" w:firstLineChars="0"/>
        <w:rPr>
          <w:rFonts w:hint="eastAsia" w:ascii="仿宋" w:hAnsi="仿宋" w:eastAsia="仿宋_GB2312" w:cs="仿宋"/>
          <w:b/>
          <w:bCs/>
          <w:color w:val="FF0000"/>
          <w:sz w:val="28"/>
          <w:szCs w:val="28"/>
          <w:highlight w:val="yellow"/>
          <w:lang w:val="en-US" w:eastAsia="zh-CN"/>
        </w:rPr>
      </w:pPr>
      <w:r>
        <w:rPr>
          <w:rFonts w:hint="eastAsia" w:ascii="仿宋_GB2312" w:hAnsi="仿宋_GB2312" w:eastAsia="仿宋_GB2312" w:cs="仿宋_GB2312"/>
          <w:b/>
          <w:bCs/>
          <w:kern w:val="0"/>
          <w:szCs w:val="28"/>
        </w:rPr>
        <w:t>★</w:t>
      </w:r>
      <w:r>
        <w:rPr>
          <w:rFonts w:ascii="仿宋_GB2312" w:hAnsi="仿宋_GB2312" w:eastAsia="仿宋_GB2312" w:cs="仿宋_GB2312"/>
          <w:b/>
          <w:snapToGrid w:val="0"/>
          <w:spacing w:val="-4"/>
          <w:szCs w:val="28"/>
          <w:u w:val="single"/>
        </w:rPr>
        <w:t>注</w:t>
      </w:r>
      <w:r>
        <w:rPr>
          <w:rFonts w:hint="eastAsia" w:ascii="仿宋_GB2312" w:hAnsi="仿宋_GB2312" w:eastAsia="仿宋_GB2312" w:cs="仿宋_GB2312"/>
          <w:b/>
          <w:snapToGrid w:val="0"/>
          <w:spacing w:val="-4"/>
          <w:szCs w:val="28"/>
          <w:u w:val="single"/>
        </w:rPr>
        <w:t>：人员岗位配置表中划线部分须提供相关证书及证明材料，工作经验提供用工单位盖章出具的证明。</w:t>
      </w:r>
    </w:p>
    <w:p>
      <w:pPr>
        <w:numPr>
          <w:ilvl w:val="0"/>
          <w:numId w:val="3"/>
        </w:numPr>
        <w:spacing w:line="360" w:lineRule="auto"/>
        <w:ind w:left="420" w:leftChars="200"/>
        <w:jc w:val="left"/>
        <w:rPr>
          <w:rFonts w:hint="eastAsia" w:ascii="仿宋_GB2312" w:hAnsi="仿宋_GB2312" w:eastAsia="仿宋_GB2312" w:cs="仿宋_GB2312"/>
          <w:color w:val="000000"/>
          <w:kern w:val="0"/>
          <w:sz w:val="28"/>
          <w:szCs w:val="28"/>
          <w:highlight w:val="none"/>
        </w:rPr>
      </w:pPr>
      <w:r>
        <w:rPr>
          <w:rFonts w:hint="eastAsia" w:ascii="仿宋_GB2312" w:hAnsi="仿宋_GB2312" w:eastAsia="仿宋_GB2312" w:cs="仿宋_GB2312"/>
          <w:color w:val="000000"/>
          <w:kern w:val="0"/>
          <w:sz w:val="28"/>
          <w:szCs w:val="28"/>
          <w:highlight w:val="none"/>
          <w:lang w:eastAsia="zh-CN"/>
        </w:rPr>
        <w:t>岗位</w:t>
      </w:r>
      <w:r>
        <w:rPr>
          <w:rFonts w:hint="eastAsia" w:ascii="仿宋_GB2312" w:hAnsi="仿宋_GB2312" w:eastAsia="仿宋_GB2312" w:cs="仿宋_GB2312"/>
          <w:color w:val="000000"/>
          <w:kern w:val="0"/>
          <w:sz w:val="28"/>
          <w:szCs w:val="28"/>
          <w:highlight w:val="none"/>
        </w:rPr>
        <w:t>服务内容及要求：</w:t>
      </w:r>
    </w:p>
    <w:p>
      <w:pPr>
        <w:spacing w:line="360" w:lineRule="auto"/>
        <w:ind w:firstLine="562" w:firstLineChars="200"/>
        <w:jc w:val="left"/>
        <w:rPr>
          <w:rFonts w:hint="eastAsia" w:ascii="仿宋_GB2312" w:hAnsi="仿宋_GB2312" w:eastAsia="仿宋_GB2312" w:cs="仿宋_GB2312"/>
          <w:b/>
          <w:bCs/>
          <w:color w:val="000000"/>
          <w:kern w:val="0"/>
          <w:sz w:val="28"/>
          <w:szCs w:val="28"/>
          <w:highlight w:val="none"/>
          <w:lang w:val="en-US" w:eastAsia="zh-CN"/>
        </w:rPr>
      </w:pPr>
      <w:r>
        <w:rPr>
          <w:rFonts w:hint="eastAsia" w:ascii="仿宋_GB2312" w:hAnsi="仿宋_GB2312" w:eastAsia="仿宋_GB2312" w:cs="仿宋_GB2312"/>
          <w:b/>
          <w:bCs/>
          <w:color w:val="000000"/>
          <w:kern w:val="0"/>
          <w:sz w:val="28"/>
          <w:szCs w:val="28"/>
          <w:highlight w:val="none"/>
          <w:lang w:val="en-US" w:eastAsia="zh-CN"/>
        </w:rPr>
        <w:t>厨师、帮工</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1.食堂按采购人要求时间供应早餐、中餐、值班、会务接待。因采购人工作性质，双休日、节假日需按要求供应中餐、晚餐、桌餐。</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2.所有厨房员工必须</w:t>
      </w:r>
      <w:r>
        <w:rPr>
          <w:rFonts w:hint="eastAsia" w:ascii="仿宋_GB2312" w:hAnsi="仿宋_GB2312" w:eastAsia="仿宋_GB2312" w:cs="仿宋_GB2312"/>
          <w:color w:val="000000"/>
          <w:kern w:val="0"/>
          <w:sz w:val="28"/>
          <w:szCs w:val="28"/>
          <w:highlight w:val="none"/>
          <w:lang w:val="en-US" w:eastAsia="zh-CN"/>
        </w:rPr>
        <w:fldChar w:fldCharType="begin"/>
      </w:r>
      <w:r>
        <w:rPr>
          <w:rFonts w:hint="eastAsia" w:ascii="仿宋_GB2312" w:hAnsi="仿宋_GB2312" w:eastAsia="仿宋_GB2312" w:cs="仿宋_GB2312"/>
          <w:color w:val="000000"/>
          <w:kern w:val="0"/>
          <w:sz w:val="28"/>
          <w:szCs w:val="28"/>
          <w:highlight w:val="none"/>
          <w:lang w:val="en-US" w:eastAsia="zh-CN"/>
        </w:rPr>
        <w:instrText xml:space="preserve"> HYPERLINK "http://zhidao.baidu.com/search?word=节约用水&amp;fr=qb_search_exp&amp;ie=utf8"</w:instrText>
      </w:r>
      <w:r>
        <w:rPr>
          <w:rFonts w:hint="eastAsia" w:ascii="仿宋_GB2312" w:hAnsi="仿宋_GB2312" w:eastAsia="仿宋_GB2312" w:cs="仿宋_GB2312"/>
          <w:color w:val="000000"/>
          <w:kern w:val="0"/>
          <w:sz w:val="28"/>
          <w:szCs w:val="28"/>
          <w:highlight w:val="none"/>
          <w:lang w:val="en-US" w:eastAsia="zh-CN"/>
        </w:rPr>
        <w:fldChar w:fldCharType="separate"/>
      </w:r>
      <w:r>
        <w:rPr>
          <w:rFonts w:hint="eastAsia" w:ascii="仿宋_GB2312" w:hAnsi="仿宋_GB2312" w:eastAsia="仿宋_GB2312" w:cs="仿宋_GB2312"/>
          <w:color w:val="000000"/>
          <w:kern w:val="0"/>
          <w:sz w:val="28"/>
          <w:szCs w:val="28"/>
          <w:highlight w:val="none"/>
          <w:lang w:val="en-US" w:eastAsia="zh-CN"/>
        </w:rPr>
        <w:t>节约用水</w:t>
      </w:r>
      <w:r>
        <w:rPr>
          <w:rFonts w:hint="eastAsia" w:ascii="仿宋_GB2312" w:hAnsi="仿宋_GB2312" w:eastAsia="仿宋_GB2312" w:cs="仿宋_GB2312"/>
          <w:color w:val="000000"/>
          <w:kern w:val="0"/>
          <w:sz w:val="28"/>
          <w:szCs w:val="28"/>
          <w:highlight w:val="none"/>
          <w:lang w:val="en-US" w:eastAsia="zh-CN"/>
        </w:rPr>
        <w:fldChar w:fldCharType="end"/>
      </w:r>
      <w:r>
        <w:rPr>
          <w:rFonts w:hint="eastAsia" w:ascii="仿宋_GB2312" w:hAnsi="仿宋_GB2312" w:eastAsia="仿宋_GB2312" w:cs="仿宋_GB2312"/>
          <w:color w:val="000000"/>
          <w:kern w:val="0"/>
          <w:sz w:val="28"/>
          <w:szCs w:val="28"/>
          <w:highlight w:val="none"/>
          <w:lang w:val="en-US" w:eastAsia="zh-CN"/>
        </w:rPr>
        <w:t>、用电、油、燃料等，注意消防安全，特别是值班员工要做到人走灯灭、水停、门关，所有厨房燃料关好阀门，各种菜式收捡好方可下班。</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3.厨房清洁设立岗位责任制，所有日常用厨具每天在工作后都必须进行严格消毒清洗时要做到一洗、二刷、三冲、四消毒、五保洁，在消毒后要加盖保管，防止再污染，未经消毒的厨具不得使用。注意各种</w:t>
      </w:r>
      <w:r>
        <w:rPr>
          <w:rFonts w:hint="eastAsia" w:ascii="仿宋_GB2312" w:hAnsi="仿宋_GB2312" w:eastAsia="仿宋_GB2312" w:cs="仿宋_GB2312"/>
          <w:color w:val="000000"/>
          <w:kern w:val="0"/>
          <w:sz w:val="28"/>
          <w:szCs w:val="28"/>
          <w:highlight w:val="none"/>
          <w:lang w:val="en-US" w:eastAsia="zh-CN"/>
        </w:rPr>
        <w:fldChar w:fldCharType="begin"/>
      </w:r>
      <w:r>
        <w:rPr>
          <w:rFonts w:hint="eastAsia" w:ascii="仿宋_GB2312" w:hAnsi="仿宋_GB2312" w:eastAsia="仿宋_GB2312" w:cs="仿宋_GB2312"/>
          <w:color w:val="000000"/>
          <w:kern w:val="0"/>
          <w:sz w:val="28"/>
          <w:szCs w:val="28"/>
          <w:highlight w:val="none"/>
          <w:lang w:val="en-US" w:eastAsia="zh-CN"/>
        </w:rPr>
        <w:instrText xml:space="preserve"> HYPERLINK "http://zhidao.baidu.com/search?word=厨具&amp;fr=qb_search_exp&amp;ie=utf8"</w:instrText>
      </w:r>
      <w:r>
        <w:rPr>
          <w:rFonts w:hint="eastAsia" w:ascii="仿宋_GB2312" w:hAnsi="仿宋_GB2312" w:eastAsia="仿宋_GB2312" w:cs="仿宋_GB2312"/>
          <w:color w:val="000000"/>
          <w:kern w:val="0"/>
          <w:sz w:val="28"/>
          <w:szCs w:val="28"/>
          <w:highlight w:val="none"/>
          <w:lang w:val="en-US" w:eastAsia="zh-CN"/>
        </w:rPr>
        <w:fldChar w:fldCharType="separate"/>
      </w:r>
      <w:r>
        <w:rPr>
          <w:rFonts w:hint="eastAsia" w:ascii="仿宋_GB2312" w:hAnsi="仿宋_GB2312" w:eastAsia="仿宋_GB2312" w:cs="仿宋_GB2312"/>
          <w:color w:val="000000"/>
          <w:kern w:val="0"/>
          <w:sz w:val="28"/>
          <w:szCs w:val="28"/>
          <w:highlight w:val="none"/>
          <w:lang w:val="en-US" w:eastAsia="zh-CN"/>
        </w:rPr>
        <w:t>厨具</w:t>
      </w:r>
      <w:r>
        <w:rPr>
          <w:rFonts w:hint="eastAsia" w:ascii="仿宋_GB2312" w:hAnsi="仿宋_GB2312" w:eastAsia="仿宋_GB2312" w:cs="仿宋_GB2312"/>
          <w:color w:val="000000"/>
          <w:kern w:val="0"/>
          <w:sz w:val="28"/>
          <w:szCs w:val="28"/>
          <w:highlight w:val="none"/>
          <w:lang w:val="en-US" w:eastAsia="zh-CN"/>
        </w:rPr>
        <w:fldChar w:fldCharType="end"/>
      </w:r>
      <w:r>
        <w:rPr>
          <w:rFonts w:hint="eastAsia" w:ascii="仿宋_GB2312" w:hAnsi="仿宋_GB2312" w:eastAsia="仿宋_GB2312" w:cs="仿宋_GB2312"/>
          <w:color w:val="000000"/>
          <w:kern w:val="0"/>
          <w:sz w:val="28"/>
          <w:szCs w:val="28"/>
          <w:highlight w:val="none"/>
          <w:lang w:val="en-US" w:eastAsia="zh-CN"/>
        </w:rPr>
        <w:t>轻拿轻放，避免餐具损坏、打破等现象，保证餐具清洗干净、卫生。</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4.食堂工作人员负责食堂内物品的制作、清洗、保管的全方面食堂工作。负责食堂内物品的清洁保养工作，不对外经营，按规定做好菜品留样。</w:t>
      </w:r>
    </w:p>
    <w:p>
      <w:pPr>
        <w:spacing w:line="360" w:lineRule="auto"/>
        <w:ind w:firstLine="562" w:firstLineChars="200"/>
        <w:jc w:val="left"/>
        <w:rPr>
          <w:rFonts w:hint="eastAsia" w:ascii="仿宋_GB2312" w:hAnsi="仿宋_GB2312" w:eastAsia="仿宋_GB2312" w:cs="仿宋_GB2312"/>
          <w:b/>
          <w:bCs/>
          <w:color w:val="000000"/>
          <w:kern w:val="0"/>
          <w:sz w:val="28"/>
          <w:szCs w:val="28"/>
          <w:highlight w:val="none"/>
          <w:lang w:val="en-US" w:eastAsia="zh-CN"/>
        </w:rPr>
      </w:pPr>
      <w:r>
        <w:rPr>
          <w:rFonts w:hint="eastAsia" w:ascii="仿宋_GB2312" w:hAnsi="仿宋_GB2312" w:eastAsia="仿宋_GB2312" w:cs="仿宋_GB2312"/>
          <w:b/>
          <w:bCs/>
          <w:color w:val="000000"/>
          <w:kern w:val="0"/>
          <w:sz w:val="28"/>
          <w:szCs w:val="28"/>
          <w:highlight w:val="none"/>
          <w:lang w:val="en-US" w:eastAsia="zh-CN"/>
        </w:rPr>
        <w:t>保洁员</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保洁管理范围：各楼层及所有公共区域，公共区域包括地面道路、大楼通道和楼梯、卫生间、会议室、车位、楼顶、大楼前后公共场地及绿化带等，指定办公室、值班室定期打扫。</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具体工作要求：</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1.每天上午上班及下班按照从里到外、从上到下的顺序分两次全面清理卫生，确保区域内干净整洁。</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2.按规定的路线拖擦地坪，每到终点时，应抖清依附在拖把上的灰擦。</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3.用清洁剂清洁茶揩、便池，配好卫生纸、香皂，保证洗手间内无异味，台面干净，便池内无烟蒂。</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4.擦拭玻璃门、窗户、墙并每月清刮一次。</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5.落实垃圾分类要求，及时清运垃圾，清运过程中散落垃圾及时清扫干净，经常清洗垃圾桶内外。</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6.定期清洗墙面，确保花岗岩、瓷砖干净明亮无污迹。</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7.会议室定期打扫、通风，并根据需要随时打扫，确保无结灰、无蜘蛛网。</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8.每月（25-30日）对公共部分进行大清扫，保证干净明亮，无卫生死角。</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9.各层通道、楼梯、扶手每天擦拭一遍，定期消毒、确保干净清洁，无结灰，无蜘蛛网，无卫生死角。</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10.外环境每天清扫一遍，保持地面整洁，无杂物杂草。</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11.楼梯、日常通道、公共走廊、公共设施、公共门窗等区域每天拖擦，并做好不定期巡回保洁。</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12.在雨、雪天气应及时对区内道路积水、积雪进行清扫。</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13.公共场地及绿化带、车位和大楼屋顶等位置要保持整洁无卫生死角。</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14.按照市政府卫生部门规定不定期向服务范围喷洒，投放灭鼠药、消毒剂、除虫剂，协助做好除四害工作。</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15.卫生间设施每天至少二次以上擦拭、冲洗，地面半干湿拖，保持干净无异味，做好巡回保洁并记录。</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①每天分两次重点清理。</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②打开门窗通风，用水冲洗大小便器，用夹子夹出小便器内的烟头杂物。</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③清扫地面垃圾和清倒，换新垃圾袋后放回原处。</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fldChar w:fldCharType="begin"/>
      </w:r>
      <w:r>
        <w:rPr>
          <w:rFonts w:hint="eastAsia" w:ascii="仿宋_GB2312" w:hAnsi="仿宋_GB2312" w:eastAsia="仿宋_GB2312" w:cs="仿宋_GB2312"/>
          <w:color w:val="000000"/>
          <w:kern w:val="0"/>
          <w:sz w:val="28"/>
          <w:szCs w:val="28"/>
          <w:highlight w:val="none"/>
          <w:lang w:val="en-US" w:eastAsia="zh-CN"/>
        </w:rPr>
        <w:instrText xml:space="preserve">= 4 \* GB3</w:instrText>
      </w:r>
      <w:r>
        <w:rPr>
          <w:rFonts w:hint="eastAsia" w:ascii="仿宋_GB2312" w:hAnsi="仿宋_GB2312" w:eastAsia="仿宋_GB2312" w:cs="仿宋_GB2312"/>
          <w:color w:val="000000"/>
          <w:kern w:val="0"/>
          <w:sz w:val="28"/>
          <w:szCs w:val="28"/>
          <w:highlight w:val="none"/>
          <w:lang w:val="en-US" w:eastAsia="zh-CN"/>
        </w:rPr>
        <w:fldChar w:fldCharType="separate"/>
      </w:r>
      <w:r>
        <w:rPr>
          <w:rFonts w:hint="eastAsia" w:ascii="仿宋_GB2312" w:hAnsi="仿宋_GB2312" w:eastAsia="仿宋_GB2312" w:cs="仿宋_GB2312"/>
          <w:color w:val="000000"/>
          <w:kern w:val="0"/>
          <w:sz w:val="28"/>
          <w:szCs w:val="28"/>
          <w:highlight w:val="none"/>
          <w:lang w:val="en-US" w:eastAsia="zh-CN"/>
        </w:rPr>
        <w:t>④</w:t>
      </w:r>
      <w:r>
        <w:rPr>
          <w:rFonts w:hint="eastAsia" w:ascii="仿宋_GB2312" w:hAnsi="仿宋_GB2312" w:eastAsia="仿宋_GB2312" w:cs="仿宋_GB2312"/>
          <w:color w:val="000000"/>
          <w:kern w:val="0"/>
          <w:sz w:val="28"/>
          <w:szCs w:val="28"/>
          <w:highlight w:val="none"/>
          <w:lang w:val="en-US" w:eastAsia="zh-CN"/>
        </w:rPr>
        <w:fldChar w:fldCharType="end"/>
      </w:r>
      <w:r>
        <w:rPr>
          <w:rFonts w:hint="eastAsia" w:ascii="仿宋_GB2312" w:hAnsi="仿宋_GB2312" w:eastAsia="仿宋_GB2312" w:cs="仿宋_GB2312"/>
          <w:color w:val="000000"/>
          <w:kern w:val="0"/>
          <w:sz w:val="28"/>
          <w:szCs w:val="28"/>
          <w:highlight w:val="none"/>
          <w:lang w:val="en-US" w:eastAsia="zh-CN"/>
        </w:rPr>
        <w:t>每月用干毛巾擦灯具一次，清扫天花板一次。</w:t>
      </w:r>
    </w:p>
    <w:p>
      <w:pPr>
        <w:numPr>
          <w:ilvl w:val="0"/>
          <w:numId w:val="0"/>
        </w:numPr>
        <w:spacing w:line="360" w:lineRule="auto"/>
        <w:ind w:firstLine="560" w:firstLineChars="200"/>
        <w:jc w:val="left"/>
        <w:rPr>
          <w:rFonts w:hint="eastAsia" w:ascii="仿宋_GB2312" w:hAnsi="仿宋_GB2312" w:eastAsia="仿宋_GB2312" w:cs="仿宋_GB2312"/>
          <w:b/>
          <w:bCs/>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16.其他如遇突发事件或突击检查时，积极配合搞好迎检工作，保证随叫随到。</w:t>
      </w:r>
    </w:p>
    <w:p>
      <w:pPr>
        <w:spacing w:line="360" w:lineRule="auto"/>
        <w:ind w:firstLine="562" w:firstLineChars="200"/>
        <w:jc w:val="left"/>
        <w:rPr>
          <w:rFonts w:hint="eastAsia" w:ascii="仿宋_GB2312" w:hAnsi="仿宋_GB2312" w:eastAsia="仿宋_GB2312" w:cs="仿宋_GB2312"/>
          <w:b/>
          <w:bCs/>
          <w:color w:val="000000"/>
          <w:kern w:val="0"/>
          <w:sz w:val="28"/>
          <w:szCs w:val="28"/>
          <w:highlight w:val="none"/>
          <w:lang w:val="en-US" w:eastAsia="zh-CN"/>
        </w:rPr>
      </w:pPr>
      <w:r>
        <w:rPr>
          <w:rFonts w:hint="eastAsia" w:ascii="仿宋_GB2312" w:hAnsi="仿宋_GB2312" w:eastAsia="仿宋_GB2312" w:cs="仿宋_GB2312"/>
          <w:b/>
          <w:bCs/>
          <w:color w:val="000000"/>
          <w:kern w:val="0"/>
          <w:sz w:val="28"/>
          <w:szCs w:val="28"/>
          <w:highlight w:val="none"/>
          <w:lang w:val="en-US" w:eastAsia="zh-CN"/>
        </w:rPr>
        <w:t>保安员</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安保服务分为治安安全管理、消防安全管理和车辆交通安全管理。所有保安人员均需要经过系统的培训，并考核合格，按门岗、礼仪岗、监控岗、巡逻岗、车管岗等岗位，建立“外紧内松”的管理环境和“内紧外松”的服务要求，形成24小时多层次，快速反应的安全防范体系，利用对讲机等通讯工具，将人防和技防充分相结合，以快速、准确、有效的防范、控制、处理各类突发事件。</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保安人员要求统一制服，工作规范，作风严谨，注重仪容仪表，精神饱满。</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具体工作要求：</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1.管理区内实行全年365天24小时全天候巡视服务，不定时巡逻，为业主及来客提供礼仪、引导、咨询等服务。</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2.各单位门卫要求24小时有人在岗，严格控制来客来访人员，并做好相关出入登记；做好物品出入管理，对大楼物品的出入做好有效登记，凭单放行。</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3.运用电子监控系统，与人防相结合，进行无盲点的定线或变更线路巡查。</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4.阻止各类乱张贴、乱叫卖现象的发生，并阻止各类无正当理由进入管理区域的小贩、闲杂人员。</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5.规范管理区域内各类车辆的停放，做到车辆分类停放有序、整齐。</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6.及时开、关公共设施和场所空调、照明电器，下班后组织一次全面巡查，检查门窗、灯光是否已经关闭。</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7.坚持巡回检查制度及节假日、重大活动日的全面安全大检查，建立义务消防队，对消防设施、重点部位进行防火检查，发现隐患及时落实整改措施；做好节假日值班工作。</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8.下班后组织一次全面巡查，检查门窗、灯光、空调是否已经关闭。</w:t>
      </w:r>
    </w:p>
    <w:p>
      <w:pPr>
        <w:spacing w:line="360" w:lineRule="auto"/>
        <w:ind w:firstLine="560" w:firstLineChars="200"/>
        <w:jc w:val="left"/>
        <w:rPr>
          <w:rFonts w:hint="default"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9.加强充电桩运行管理，和充电卡登记，非本单位公用车辆不得使用充电桩。</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10.指引进入采购人大院内的车辆按指定地点停放，按指定路线行驶。</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11.报刊杂志分发、递送。</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12.协助做好采购人管理使用指定产权房地产的常态化安保巡查。</w:t>
      </w:r>
    </w:p>
    <w:p>
      <w:pPr>
        <w:spacing w:line="360" w:lineRule="auto"/>
        <w:ind w:firstLine="560" w:firstLineChars="200"/>
        <w:jc w:val="left"/>
        <w:rPr>
          <w:rFonts w:hint="eastAsia"/>
          <w:color w:val="000000"/>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13.完成采购人交办的其他工作（与安保工作有关）。</w:t>
      </w:r>
    </w:p>
    <w:p>
      <w:pPr>
        <w:spacing w:line="360" w:lineRule="auto"/>
        <w:ind w:firstLine="562" w:firstLineChars="200"/>
        <w:jc w:val="left"/>
        <w:rPr>
          <w:rFonts w:hint="eastAsia" w:ascii="仿宋_GB2312" w:hAnsi="仿宋_GB2312" w:eastAsia="仿宋_GB2312" w:cs="仿宋_GB2312"/>
          <w:b/>
          <w:bCs/>
          <w:color w:val="000000"/>
          <w:kern w:val="0"/>
          <w:sz w:val="28"/>
          <w:szCs w:val="28"/>
          <w:highlight w:val="none"/>
          <w:lang w:val="en-US" w:eastAsia="zh-CN"/>
        </w:rPr>
      </w:pPr>
      <w:r>
        <w:rPr>
          <w:rFonts w:hint="eastAsia" w:ascii="仿宋_GB2312" w:hAnsi="仿宋_GB2312" w:eastAsia="仿宋_GB2312" w:cs="仿宋_GB2312"/>
          <w:b/>
          <w:bCs/>
          <w:color w:val="000000"/>
          <w:kern w:val="0"/>
          <w:sz w:val="28"/>
          <w:szCs w:val="28"/>
          <w:highlight w:val="none"/>
          <w:lang w:val="en-US" w:eastAsia="zh-CN"/>
        </w:rPr>
        <w:t>电工</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1.负责办公大楼的日常维修保障，电力设施设备正常使用功能的发挥，每周一次项目巡查，做好设施的运行检查，发现故障或安全隐患及时维修；定期做好设施设备的维护、保养任务。</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2.建立设备设施安全管理制度，为确保设备安全运行，结合大楼的具体情况，制定一系列相应的设备设施管理制度。</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3.做好供电的日常维护和运行管理，急修应在30分钟内及时维修，以保证设施正常运行。</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4.统筹规划，做到合理、节约用电用水。</w:t>
      </w:r>
    </w:p>
    <w:p>
      <w:pPr>
        <w:spacing w:line="360" w:lineRule="auto"/>
        <w:ind w:firstLine="560" w:firstLineChars="200"/>
        <w:jc w:val="left"/>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5.保持设备、阀门、管理工作正常，并建立台汛期间应急处理措施预案。</w:t>
      </w:r>
    </w:p>
    <w:p>
      <w:pPr>
        <w:spacing w:line="360" w:lineRule="auto"/>
        <w:ind w:firstLine="560" w:firstLineChars="200"/>
        <w:jc w:val="left"/>
        <w:rPr>
          <w:rFonts w:hint="default"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6.重大会议视频保障工作。</w:t>
      </w:r>
    </w:p>
    <w:p>
      <w:pPr>
        <w:spacing w:line="360" w:lineRule="auto"/>
        <w:ind w:firstLine="560" w:firstLineChars="200"/>
        <w:jc w:val="left"/>
        <w:rPr>
          <w:rFonts w:hint="eastAsia" w:ascii="仿宋_GB2312" w:hAnsi="仿宋_GB2312" w:eastAsia="仿宋_GB2312" w:cs="仿宋_GB2312"/>
          <w:b/>
          <w:bCs/>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7.完成采购人其他有关工作。</w:t>
      </w:r>
    </w:p>
    <w:p>
      <w:pPr>
        <w:keepNext w:val="0"/>
        <w:keepLines w:val="0"/>
        <w:pageBreakBefore w:val="0"/>
        <w:widowControl w:val="0"/>
        <w:kinsoku/>
        <w:wordWrap/>
        <w:overflowPunct/>
        <w:topLinePunct w:val="0"/>
        <w:autoSpaceDE/>
        <w:autoSpaceDN/>
        <w:bidi w:val="0"/>
        <w:adjustRightInd/>
        <w:snapToGrid/>
        <w:spacing w:line="240" w:lineRule="auto"/>
        <w:ind w:firstLine="551" w:firstLineChars="196"/>
        <w:textAlignment w:val="auto"/>
        <w:rPr>
          <w:rFonts w:hint="eastAsia" w:ascii="仿宋_GB2312" w:hAnsi="仿宋_GB2312" w:eastAsia="仿宋_GB2312" w:cs="仿宋_GB2312"/>
          <w:b/>
          <w:bCs/>
          <w:color w:val="000000"/>
          <w:kern w:val="0"/>
          <w:sz w:val="28"/>
          <w:szCs w:val="28"/>
        </w:rPr>
      </w:pPr>
      <w:r>
        <w:rPr>
          <w:rFonts w:hint="eastAsia" w:ascii="仿宋_GB2312" w:hAnsi="仿宋_GB2312" w:eastAsia="仿宋_GB2312" w:cs="仿宋_GB2312"/>
          <w:b/>
          <w:bCs/>
          <w:color w:val="000000"/>
          <w:kern w:val="0"/>
          <w:sz w:val="28"/>
          <w:szCs w:val="28"/>
          <w:lang w:eastAsia="zh-CN"/>
        </w:rPr>
        <w:t>三</w:t>
      </w:r>
      <w:r>
        <w:rPr>
          <w:rFonts w:hint="eastAsia" w:ascii="仿宋_GB2312" w:hAnsi="仿宋_GB2312" w:eastAsia="仿宋_GB2312" w:cs="仿宋_GB2312"/>
          <w:b/>
          <w:bCs/>
          <w:color w:val="000000"/>
          <w:kern w:val="0"/>
          <w:sz w:val="28"/>
          <w:szCs w:val="28"/>
        </w:rPr>
        <w:t>、其他</w:t>
      </w:r>
    </w:p>
    <w:p>
      <w:pPr>
        <w:spacing w:line="360" w:lineRule="auto"/>
        <w:ind w:firstLine="548" w:firstLineChars="196"/>
        <w:rPr>
          <w:rFonts w:ascii="仿宋_GB2312" w:hAnsi="仿宋_GB2312" w:eastAsia="仿宋_GB2312" w:cs="仿宋_GB2312"/>
          <w:b/>
          <w:bCs/>
          <w:color w:val="000000"/>
          <w:kern w:val="0"/>
          <w:sz w:val="28"/>
          <w:szCs w:val="28"/>
          <w:highlight w:val="none"/>
        </w:rPr>
      </w:pPr>
      <w:r>
        <w:rPr>
          <w:rFonts w:hint="eastAsia" w:ascii="仿宋_GB2312" w:hAnsi="仿宋_GB2312" w:eastAsia="仿宋_GB2312" w:cs="仿宋_GB2312"/>
          <w:color w:val="000000"/>
          <w:kern w:val="0"/>
          <w:sz w:val="28"/>
          <w:szCs w:val="28"/>
          <w:highlight w:val="none"/>
        </w:rPr>
        <w:t>1、日常保洁项目所需耗材、各类工具设备</w:t>
      </w:r>
      <w:r>
        <w:rPr>
          <w:rFonts w:hint="eastAsia" w:ascii="仿宋_GB2312" w:hAnsi="仿宋_GB2312" w:eastAsia="仿宋_GB2312" w:cs="仿宋_GB2312"/>
          <w:color w:val="000000"/>
          <w:kern w:val="0"/>
          <w:sz w:val="28"/>
          <w:szCs w:val="28"/>
          <w:highlight w:val="none"/>
          <w:lang w:eastAsia="zh-CN"/>
        </w:rPr>
        <w:t>及厨房烹饪所需食材、厨具、设备等</w:t>
      </w:r>
      <w:r>
        <w:rPr>
          <w:rFonts w:hint="eastAsia" w:ascii="仿宋_GB2312" w:hAnsi="仿宋_GB2312" w:eastAsia="仿宋_GB2312" w:cs="仿宋_GB2312"/>
          <w:color w:val="000000"/>
          <w:kern w:val="0"/>
          <w:sz w:val="28"/>
          <w:szCs w:val="28"/>
          <w:highlight w:val="none"/>
        </w:rPr>
        <w:t>由</w:t>
      </w:r>
      <w:r>
        <w:rPr>
          <w:rFonts w:hint="eastAsia" w:ascii="仿宋_GB2312" w:hAnsi="仿宋_GB2312" w:eastAsia="仿宋_GB2312" w:cs="仿宋_GB2312"/>
          <w:color w:val="000000"/>
          <w:kern w:val="0"/>
          <w:sz w:val="28"/>
          <w:szCs w:val="28"/>
          <w:highlight w:val="none"/>
          <w:lang w:val="en-US" w:eastAsia="zh-CN"/>
        </w:rPr>
        <w:t>采购人</w:t>
      </w:r>
      <w:r>
        <w:rPr>
          <w:rFonts w:hint="eastAsia" w:ascii="仿宋_GB2312" w:hAnsi="仿宋_GB2312" w:eastAsia="仿宋_GB2312" w:cs="仿宋_GB2312"/>
          <w:color w:val="000000"/>
          <w:kern w:val="0"/>
          <w:sz w:val="28"/>
          <w:szCs w:val="28"/>
          <w:highlight w:val="none"/>
        </w:rPr>
        <w:t>负责提供。</w:t>
      </w:r>
      <w:r>
        <w:rPr>
          <w:rFonts w:hint="eastAsia" w:ascii="仿宋_GB2312" w:hAnsi="仿宋_GB2312" w:eastAsia="仿宋_GB2312" w:cs="仿宋_GB2312"/>
          <w:b/>
          <w:bCs/>
          <w:color w:val="000000"/>
          <w:kern w:val="0"/>
          <w:sz w:val="28"/>
          <w:szCs w:val="28"/>
          <w:highlight w:val="none"/>
        </w:rPr>
        <w:t xml:space="preserve"> </w:t>
      </w:r>
    </w:p>
    <w:p>
      <w:pPr>
        <w:spacing w:line="360" w:lineRule="auto"/>
        <w:ind w:firstLine="551" w:firstLineChars="196"/>
        <w:rPr>
          <w:rFonts w:ascii="仿宋_GB2312" w:hAnsi="仿宋_GB2312" w:eastAsia="仿宋_GB2312" w:cs="仿宋_GB2312"/>
          <w:b/>
          <w:bCs/>
          <w:color w:val="000000"/>
          <w:kern w:val="0"/>
          <w:sz w:val="28"/>
          <w:szCs w:val="28"/>
        </w:rPr>
      </w:pPr>
      <w:r>
        <w:rPr>
          <w:rFonts w:hint="eastAsia" w:ascii="仿宋_GB2312" w:hAnsi="仿宋_GB2312" w:eastAsia="仿宋_GB2312" w:cs="仿宋_GB2312"/>
          <w:b/>
          <w:bCs/>
          <w:color w:val="000000"/>
          <w:kern w:val="0"/>
          <w:sz w:val="28"/>
          <w:szCs w:val="28"/>
          <w:lang w:eastAsia="zh-CN"/>
        </w:rPr>
        <w:t>四</w:t>
      </w:r>
      <w:r>
        <w:rPr>
          <w:rFonts w:hint="eastAsia" w:ascii="仿宋_GB2312" w:hAnsi="仿宋_GB2312" w:eastAsia="仿宋_GB2312" w:cs="仿宋_GB2312"/>
          <w:b/>
          <w:bCs/>
          <w:color w:val="000000"/>
          <w:kern w:val="0"/>
          <w:sz w:val="28"/>
          <w:szCs w:val="28"/>
        </w:rPr>
        <w:t>、商务条款</w:t>
      </w:r>
    </w:p>
    <w:p>
      <w:pPr>
        <w:ind w:firstLine="560" w:firstLineChars="200"/>
        <w:rPr>
          <w:rFonts w:hint="eastAsia" w:ascii="仿宋_GB2312" w:hAnsi="仿宋_GB2312" w:eastAsia="仿宋_GB2312" w:cs="仿宋_GB2312"/>
          <w:color w:val="auto"/>
          <w:kern w:val="0"/>
          <w:sz w:val="28"/>
          <w:szCs w:val="28"/>
          <w:highlight w:val="yellow"/>
        </w:rPr>
      </w:pPr>
      <w:r>
        <w:rPr>
          <w:rFonts w:hint="eastAsia" w:ascii="仿宋" w:hAnsi="仿宋" w:eastAsia="仿宋" w:cs="仿宋"/>
          <w:color w:val="auto"/>
          <w:kern w:val="2"/>
          <w:sz w:val="28"/>
          <w:szCs w:val="28"/>
          <w:lang w:val="en-US" w:eastAsia="zh-CN" w:bidi="ar-SA"/>
        </w:rPr>
        <w:t>1、本次招标服务期限为一年，一年期满后经采购人年度考核合格，双方协商一致，报相关主管部门备案，可续签下一年度合同，最多可续签二年。合同期间和续签合同期间的服务要求和合同价格不变。</w:t>
      </w:r>
    </w:p>
    <w:p>
      <w:pPr>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2、预付款：在合同生效以及具备实施条件后7</w:t>
      </w:r>
      <w:r>
        <w:rPr>
          <w:rFonts w:hint="eastAsia" w:ascii="仿宋_GB2312" w:hAnsi="仿宋_GB2312" w:eastAsia="仿宋_GB2312" w:cs="仿宋_GB2312"/>
          <w:color w:val="000000"/>
          <w:kern w:val="0"/>
          <w:sz w:val="28"/>
          <w:szCs w:val="28"/>
          <w:lang w:eastAsia="zh-CN"/>
        </w:rPr>
        <w:t>个工作日</w:t>
      </w:r>
      <w:r>
        <w:rPr>
          <w:rFonts w:hint="eastAsia" w:ascii="仿宋_GB2312" w:hAnsi="仿宋_GB2312" w:eastAsia="仿宋_GB2312" w:cs="仿宋_GB2312"/>
          <w:color w:val="000000"/>
          <w:kern w:val="0"/>
          <w:sz w:val="28"/>
          <w:szCs w:val="28"/>
        </w:rPr>
        <w:t>内，采购人向中标方支付合同金额</w:t>
      </w:r>
      <w:r>
        <w:rPr>
          <w:rFonts w:hint="eastAsia" w:ascii="仿宋_GB2312" w:hAnsi="仿宋_GB2312" w:eastAsia="仿宋_GB2312" w:cs="仿宋_GB2312"/>
          <w:color w:val="000000"/>
          <w:kern w:val="0"/>
          <w:sz w:val="28"/>
          <w:szCs w:val="28"/>
          <w:highlight w:val="none"/>
        </w:rPr>
        <w:t>25%</w:t>
      </w:r>
      <w:r>
        <w:rPr>
          <w:rFonts w:hint="eastAsia" w:ascii="仿宋_GB2312" w:hAnsi="仿宋_GB2312" w:eastAsia="仿宋_GB2312" w:cs="仿宋_GB2312"/>
          <w:color w:val="000000"/>
          <w:kern w:val="0"/>
          <w:sz w:val="28"/>
          <w:szCs w:val="28"/>
        </w:rPr>
        <w:t>的预付款。下一年度预付时间为次年相对应月份，以此类推；当年度预付款尚未扣回的，次年不重复安排。在签订合同时，供应商明确表示无需预付款或者主动要求降低预付款比例的，采购单位可不适用前述规定。</w:t>
      </w:r>
    </w:p>
    <w:p>
      <w:pPr>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3、履约保证金：如需收取履约保证金，最高比例不得超过合同金额的1%，由甲乙双方在合同中自行约定退回的方式和时间。履约保证金可以现金或银行、保险公司出具的保函形式提交。</w:t>
      </w:r>
    </w:p>
    <w:p>
      <w:pPr>
        <w:pStyle w:val="66"/>
        <w:ind w:left="0" w:leftChars="0" w:firstLine="560"/>
        <w:rPr>
          <w:rFonts w:hint="eastAsia"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4、</w:t>
      </w:r>
      <w:r>
        <w:rPr>
          <w:rFonts w:hint="eastAsia" w:ascii="仿宋" w:hAnsi="仿宋" w:eastAsia="仿宋" w:cs="仿宋_GB2312"/>
          <w:color w:val="000000"/>
          <w:kern w:val="0"/>
          <w:szCs w:val="28"/>
          <w:highlight w:val="none"/>
        </w:rPr>
        <w:t>费用</w:t>
      </w:r>
      <w:r>
        <w:rPr>
          <w:rFonts w:hint="eastAsia" w:ascii="仿宋" w:hAnsi="仿宋" w:eastAsia="仿宋" w:cs="仿宋_GB2312"/>
          <w:color w:val="000000" w:themeColor="text1"/>
          <w:kern w:val="0"/>
          <w:szCs w:val="28"/>
          <w:highlight w:val="none"/>
          <w14:textFill>
            <w14:solidFill>
              <w14:schemeClr w14:val="tx1"/>
            </w14:solidFill>
          </w14:textFill>
        </w:rPr>
        <w:t>结算为</w:t>
      </w:r>
      <w:r>
        <w:rPr>
          <w:rFonts w:hint="eastAsia" w:ascii="仿宋" w:hAnsi="仿宋" w:eastAsia="仿宋" w:cs="仿宋"/>
          <w:color w:val="000000"/>
          <w:kern w:val="0"/>
          <w:sz w:val="28"/>
          <w:szCs w:val="28"/>
          <w:highlight w:val="none"/>
        </w:rPr>
        <w:t>每季度</w:t>
      </w:r>
      <w:r>
        <w:rPr>
          <w:rFonts w:hint="eastAsia" w:ascii="仿宋" w:hAnsi="仿宋" w:eastAsia="仿宋" w:cs="仿宋_GB2312"/>
          <w:color w:val="000000" w:themeColor="text1"/>
          <w:kern w:val="0"/>
          <w:szCs w:val="28"/>
          <w:highlight w:val="none"/>
          <w14:textFill>
            <w14:solidFill>
              <w14:schemeClr w14:val="tx1"/>
            </w14:solidFill>
          </w14:textFill>
        </w:rPr>
        <w:t>结算。剩余合同价款平均分四次，经考核合格后于次月</w:t>
      </w:r>
      <w:r>
        <w:rPr>
          <w:rFonts w:hint="eastAsia" w:ascii="仿宋" w:hAnsi="仿宋" w:eastAsia="仿宋" w:cs="仿宋_GB2312"/>
          <w:color w:val="000000" w:themeColor="text1"/>
          <w:kern w:val="0"/>
          <w:szCs w:val="28"/>
          <w:highlight w:val="none"/>
          <w:lang w:val="en-US" w:eastAsia="zh-CN"/>
          <w14:textFill>
            <w14:solidFill>
              <w14:schemeClr w14:val="tx1"/>
            </w14:solidFill>
          </w14:textFill>
        </w:rPr>
        <w:t>10</w:t>
      </w:r>
      <w:r>
        <w:rPr>
          <w:rFonts w:hint="eastAsia" w:ascii="仿宋" w:hAnsi="仿宋" w:eastAsia="仿宋" w:cs="仿宋_GB2312"/>
          <w:color w:val="000000" w:themeColor="text1"/>
          <w:kern w:val="0"/>
          <w:szCs w:val="28"/>
          <w:highlight w:val="none"/>
          <w14:textFill>
            <w14:solidFill>
              <w14:schemeClr w14:val="tx1"/>
            </w14:solidFill>
          </w14:textFill>
        </w:rPr>
        <w:t>日前结算</w:t>
      </w:r>
      <w:r>
        <w:rPr>
          <w:rFonts w:hint="eastAsia" w:ascii="仿宋_GB2312" w:hAnsi="仿宋_GB2312" w:eastAsia="仿宋_GB2312" w:cs="仿宋_GB2312"/>
          <w:color w:val="000000"/>
          <w:kern w:val="0"/>
          <w:szCs w:val="28"/>
          <w:highlight w:val="none"/>
        </w:rPr>
        <w:t>，</w:t>
      </w:r>
      <w:r>
        <w:rPr>
          <w:rFonts w:hint="eastAsia" w:ascii="仿宋_GB2312" w:hAnsi="仿宋_GB2312" w:eastAsia="仿宋_GB2312" w:cs="仿宋_GB2312"/>
          <w:color w:val="000000"/>
          <w:kern w:val="0"/>
          <w:szCs w:val="28"/>
        </w:rPr>
        <w:t>结算时中标方需提供合法票据，采购人自收到发票后7个工作日内将资金支付到合同约定的</w:t>
      </w:r>
      <w:r>
        <w:rPr>
          <w:rFonts w:hint="eastAsia" w:ascii="仿宋_GB2312" w:hAnsi="仿宋_GB2312" w:eastAsia="仿宋_GB2312" w:cs="仿宋_GB2312"/>
          <w:color w:val="000000"/>
          <w:kern w:val="0"/>
          <w:szCs w:val="28"/>
          <w:lang w:eastAsia="zh-CN"/>
        </w:rPr>
        <w:t>供应商</w:t>
      </w:r>
      <w:r>
        <w:rPr>
          <w:rFonts w:hint="eastAsia" w:ascii="仿宋_GB2312" w:hAnsi="仿宋_GB2312" w:eastAsia="仿宋_GB2312" w:cs="仿宋_GB2312"/>
          <w:color w:val="000000"/>
          <w:kern w:val="0"/>
          <w:szCs w:val="28"/>
        </w:rPr>
        <w:t>账户。在遵守相关法律法规的前提下，总公司中标后，若具体服务全部由项目属地所在分公司提供，且服务质量不低于投标承诺的，经中标方与采购人协商一致，可由分公司开具发票，相关事宜由双方在采购合同中予以约定。</w:t>
      </w:r>
    </w:p>
    <w:p>
      <w:pPr>
        <w:pStyle w:val="66"/>
        <w:keepNext w:val="0"/>
        <w:keepLines w:val="0"/>
        <w:pageBreakBefore w:val="0"/>
        <w:widowControl w:val="0"/>
        <w:kinsoku/>
        <w:wordWrap/>
        <w:overflowPunct/>
        <w:topLinePunct w:val="0"/>
        <w:autoSpaceDE/>
        <w:autoSpaceDN/>
        <w:bidi w:val="0"/>
        <w:adjustRightInd/>
        <w:snapToGrid/>
        <w:ind w:left="0" w:leftChars="0" w:firstLine="560"/>
        <w:textAlignment w:val="auto"/>
        <w:rPr>
          <w:rFonts w:hint="eastAsia" w:ascii="仿宋_GB2312" w:hAnsi="仿宋_GB2312" w:eastAsia="仿宋_GB2312" w:cs="仿宋_GB2312"/>
          <w:color w:val="000000"/>
          <w:kern w:val="0"/>
          <w:szCs w:val="28"/>
          <w:lang w:val="en-US" w:eastAsia="zh-CN"/>
        </w:rPr>
      </w:pPr>
      <w:r>
        <w:rPr>
          <w:rFonts w:hint="eastAsia" w:ascii="仿宋_GB2312" w:hAnsi="仿宋_GB2312" w:eastAsia="仿宋_GB2312" w:cs="仿宋_GB2312"/>
          <w:color w:val="000000"/>
          <w:kern w:val="0"/>
          <w:szCs w:val="28"/>
          <w:lang w:val="en-US" w:eastAsia="zh-CN"/>
        </w:rPr>
        <w:t>5</w:t>
      </w:r>
      <w:r>
        <w:rPr>
          <w:rFonts w:hint="eastAsia" w:ascii="仿宋_GB2312" w:hAnsi="仿宋_GB2312" w:eastAsia="仿宋_GB2312" w:cs="仿宋_GB2312"/>
          <w:color w:val="000000"/>
          <w:kern w:val="0"/>
          <w:szCs w:val="28"/>
        </w:rPr>
        <w:t>、中标方提供的所有配置岗位人员的劳动争议、工伤事故和一切意外伤害均由中标方自行全权负责，相关费用由中标方自行承担。</w:t>
      </w:r>
      <w:r>
        <w:rPr>
          <w:rFonts w:hint="eastAsia" w:ascii="仿宋_GB2312" w:hAnsi="仿宋_GB2312" w:eastAsia="仿宋_GB2312" w:cs="仿宋_GB2312"/>
          <w:color w:val="000000"/>
          <w:kern w:val="0"/>
          <w:szCs w:val="28"/>
          <w:lang w:val="en-US" w:eastAsia="zh-CN"/>
        </w:rPr>
        <w:t xml:space="preserve">  </w:t>
      </w:r>
    </w:p>
    <w:p>
      <w:pPr>
        <w:pStyle w:val="66"/>
        <w:keepNext w:val="0"/>
        <w:keepLines w:val="0"/>
        <w:pageBreakBefore w:val="0"/>
        <w:widowControl w:val="0"/>
        <w:kinsoku/>
        <w:wordWrap/>
        <w:overflowPunct/>
        <w:topLinePunct w:val="0"/>
        <w:autoSpaceDE/>
        <w:autoSpaceDN/>
        <w:bidi w:val="0"/>
        <w:adjustRightInd/>
        <w:snapToGrid/>
        <w:ind w:left="0" w:leftChars="0" w:firstLine="560"/>
        <w:textAlignment w:val="auto"/>
        <w:rPr>
          <w:rFonts w:hint="eastAsia" w:ascii="仿宋_GB2312" w:hAnsi="仿宋_GB2312" w:eastAsia="仿宋_GB2312" w:cs="仿宋_GB2312"/>
          <w:color w:val="000000"/>
          <w:kern w:val="0"/>
          <w:szCs w:val="28"/>
          <w:highlight w:val="none"/>
          <w:lang w:val="en-US" w:eastAsia="zh-CN"/>
        </w:rPr>
      </w:pPr>
      <w:r>
        <w:rPr>
          <w:rFonts w:hint="eastAsia" w:ascii="仿宋_GB2312" w:hAnsi="仿宋_GB2312" w:eastAsia="仿宋_GB2312" w:cs="仿宋_GB2312"/>
          <w:color w:val="000000"/>
          <w:kern w:val="0"/>
          <w:sz w:val="28"/>
          <w:szCs w:val="28"/>
          <w:lang w:val="en-US" w:eastAsia="zh-CN" w:bidi="ar-SA"/>
        </w:rPr>
        <w:t>6、</w:t>
      </w:r>
      <w:r>
        <w:rPr>
          <w:rFonts w:hint="eastAsia" w:ascii="仿宋_GB2312" w:hAnsi="仿宋_GB2312" w:eastAsia="仿宋_GB2312" w:cs="仿宋_GB2312"/>
          <w:color w:val="000000"/>
          <w:kern w:val="0"/>
          <w:szCs w:val="28"/>
          <w:highlight w:val="none"/>
          <w:lang w:val="en-US" w:eastAsia="zh-CN"/>
        </w:rPr>
        <w:t>中标人要无条件接受招标人定期或不定期检查监督，本考核细则按每季度进行打分考核，满分为100分。若每次打分低于80分，本季度物业管理考核为不合格，并做适当的经济处罚，且作为续签下年物业服务的依据。如果中标人管理混乱，经招标人督促后未改进连续两次考核不合格，招标人有权终止合同，并罚没其履约保证金。</w:t>
      </w:r>
    </w:p>
    <w:p>
      <w:pPr>
        <w:spacing w:line="360" w:lineRule="exact"/>
        <w:jc w:val="center"/>
        <w:rPr>
          <w:rFonts w:hint="eastAsia" w:ascii="仿宋_GB2312" w:hAnsi="仿宋_GB2312" w:eastAsia="仿宋_GB2312" w:cs="仿宋_GB2312"/>
          <w:b/>
          <w:bCs/>
          <w:color w:val="000000"/>
          <w:kern w:val="0"/>
          <w:sz w:val="28"/>
          <w:szCs w:val="28"/>
          <w:highlight w:val="none"/>
          <w:lang w:val="en-US" w:eastAsia="zh-CN"/>
        </w:rPr>
      </w:pPr>
      <w:r>
        <w:rPr>
          <w:rFonts w:hint="eastAsia" w:ascii="仿宋_GB2312" w:hAnsi="仿宋_GB2312" w:eastAsia="仿宋_GB2312" w:cs="仿宋_GB2312"/>
          <w:b/>
          <w:bCs/>
          <w:color w:val="000000"/>
          <w:kern w:val="0"/>
          <w:sz w:val="28"/>
          <w:szCs w:val="28"/>
          <w:highlight w:val="none"/>
          <w:lang w:val="en-US" w:eastAsia="zh-CN"/>
        </w:rPr>
        <w:t>《物业监督考核实施办法》</w:t>
      </w:r>
    </w:p>
    <w:p>
      <w:pPr>
        <w:ind w:firstLine="560" w:firstLineChars="200"/>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val="en-US" w:eastAsia="zh-CN"/>
        </w:rPr>
        <w:t>加强招标人单位治安、车辆、保洁等管理，保持机关整体形象及风貌，提高物业人员的工作责任心，促进各项工作的有序开展，制订以下考核细则：</w:t>
      </w:r>
    </w:p>
    <w:tbl>
      <w:tblPr>
        <w:tblStyle w:val="67"/>
        <w:tblpPr w:leftFromText="180" w:rightFromText="180" w:vertAnchor="text" w:horzAnchor="page" w:tblpXSpec="center" w:tblpY="420"/>
        <w:tblOverlap w:val="never"/>
        <w:tblW w:w="88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4"/>
        <w:gridCol w:w="6094"/>
        <w:gridCol w:w="20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71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序号</w:t>
            </w:r>
          </w:p>
        </w:tc>
        <w:tc>
          <w:tcPr>
            <w:tcW w:w="609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考核内容</w:t>
            </w:r>
          </w:p>
        </w:tc>
        <w:tc>
          <w:tcPr>
            <w:tcW w:w="20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处罚内容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71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1</w:t>
            </w:r>
          </w:p>
        </w:tc>
        <w:tc>
          <w:tcPr>
            <w:tcW w:w="609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上班脱岗、缺岗、串岗，上班时间做与工作无关之事，酒后工作，着装不规范，言行举止有损采购人形象</w:t>
            </w:r>
          </w:p>
        </w:tc>
        <w:tc>
          <w:tcPr>
            <w:tcW w:w="20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发现一次扣2分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71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2</w:t>
            </w:r>
          </w:p>
        </w:tc>
        <w:tc>
          <w:tcPr>
            <w:tcW w:w="609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发生任何纠纷和火警，应在5分钟内到达现场，采取适当措施进行阻止和处理，如故意躲避或任由事态发展，造成后果</w:t>
            </w:r>
          </w:p>
        </w:tc>
        <w:tc>
          <w:tcPr>
            <w:tcW w:w="20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发现一次扣5分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71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3</w:t>
            </w:r>
          </w:p>
        </w:tc>
        <w:tc>
          <w:tcPr>
            <w:tcW w:w="609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不按规定巡逻或巡逻无记录，重大事件不汇报</w:t>
            </w:r>
          </w:p>
        </w:tc>
        <w:tc>
          <w:tcPr>
            <w:tcW w:w="20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发现一次扣2分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1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4</w:t>
            </w:r>
          </w:p>
        </w:tc>
        <w:tc>
          <w:tcPr>
            <w:tcW w:w="609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每月定期检查楼内的各类消防设施和设备，定期上交检查结果，设备设施损坏和缺损如实汇报，发现安全隐患及时处理和汇报，以上未做到</w:t>
            </w:r>
          </w:p>
        </w:tc>
        <w:tc>
          <w:tcPr>
            <w:tcW w:w="20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发现一次扣3分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jc w:val="center"/>
        </w:trPr>
        <w:tc>
          <w:tcPr>
            <w:tcW w:w="71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5</w:t>
            </w:r>
          </w:p>
        </w:tc>
        <w:tc>
          <w:tcPr>
            <w:tcW w:w="609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公共场所有烟头、纸屑、痰迹、垃圾滞留时间超过15分钟</w:t>
            </w:r>
          </w:p>
        </w:tc>
        <w:tc>
          <w:tcPr>
            <w:tcW w:w="20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发现一次扣2分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71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6</w:t>
            </w:r>
          </w:p>
        </w:tc>
        <w:tc>
          <w:tcPr>
            <w:tcW w:w="609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卫生间、污洗间有异味、污迹和成片水渍</w:t>
            </w:r>
          </w:p>
        </w:tc>
        <w:tc>
          <w:tcPr>
            <w:tcW w:w="20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发现一次扣2分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8" w:hRule="atLeast"/>
          <w:jc w:val="center"/>
        </w:trPr>
        <w:tc>
          <w:tcPr>
            <w:tcW w:w="71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7</w:t>
            </w:r>
          </w:p>
        </w:tc>
        <w:tc>
          <w:tcPr>
            <w:tcW w:w="609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墙面、门窗目视有积灰、污迹</w:t>
            </w:r>
          </w:p>
        </w:tc>
        <w:tc>
          <w:tcPr>
            <w:tcW w:w="20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发现一次扣2分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71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8</w:t>
            </w:r>
          </w:p>
        </w:tc>
        <w:tc>
          <w:tcPr>
            <w:tcW w:w="609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纱窗、物品摆放不整洁，有损采购人整体形象</w:t>
            </w:r>
          </w:p>
        </w:tc>
        <w:tc>
          <w:tcPr>
            <w:tcW w:w="20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发现一次扣2分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71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9</w:t>
            </w:r>
          </w:p>
        </w:tc>
        <w:tc>
          <w:tcPr>
            <w:tcW w:w="609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发现一个卫生死角</w:t>
            </w:r>
          </w:p>
        </w:tc>
        <w:tc>
          <w:tcPr>
            <w:tcW w:w="20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发现一次扣2分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71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10</w:t>
            </w:r>
          </w:p>
        </w:tc>
        <w:tc>
          <w:tcPr>
            <w:tcW w:w="609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工作人员频繁非合理原因换人</w:t>
            </w:r>
          </w:p>
        </w:tc>
        <w:tc>
          <w:tcPr>
            <w:tcW w:w="20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发现一次扣3分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71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11</w:t>
            </w:r>
          </w:p>
        </w:tc>
        <w:tc>
          <w:tcPr>
            <w:tcW w:w="609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对形象差、工作不力，经教育后仍不改正的物业工作人员，招标人要求更换或辞退，中标人未执行</w:t>
            </w:r>
          </w:p>
        </w:tc>
        <w:tc>
          <w:tcPr>
            <w:tcW w:w="20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出现一次扣6分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71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12</w:t>
            </w:r>
          </w:p>
        </w:tc>
        <w:tc>
          <w:tcPr>
            <w:tcW w:w="609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接待期间场地布置不合理、卫生差</w:t>
            </w:r>
          </w:p>
        </w:tc>
        <w:tc>
          <w:tcPr>
            <w:tcW w:w="20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出现一次扣4分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71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13</w:t>
            </w:r>
          </w:p>
        </w:tc>
        <w:tc>
          <w:tcPr>
            <w:tcW w:w="609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公共区域内有废弃物的</w:t>
            </w:r>
          </w:p>
        </w:tc>
        <w:tc>
          <w:tcPr>
            <w:tcW w:w="20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发现一次扣2分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71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14</w:t>
            </w:r>
          </w:p>
        </w:tc>
        <w:tc>
          <w:tcPr>
            <w:tcW w:w="609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有明显积水（雨天除外）</w:t>
            </w:r>
          </w:p>
        </w:tc>
        <w:tc>
          <w:tcPr>
            <w:tcW w:w="20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发现一次扣2分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71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15</w:t>
            </w:r>
          </w:p>
        </w:tc>
        <w:tc>
          <w:tcPr>
            <w:tcW w:w="609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落叶未及时清扫</w:t>
            </w:r>
          </w:p>
        </w:tc>
        <w:tc>
          <w:tcPr>
            <w:tcW w:w="20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发现一次扣2分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71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16</w:t>
            </w:r>
          </w:p>
        </w:tc>
        <w:tc>
          <w:tcPr>
            <w:tcW w:w="609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垃圾箱未及时清理</w:t>
            </w:r>
          </w:p>
        </w:tc>
        <w:tc>
          <w:tcPr>
            <w:tcW w:w="20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发现一次扣2分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71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17</w:t>
            </w:r>
          </w:p>
        </w:tc>
        <w:tc>
          <w:tcPr>
            <w:tcW w:w="609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出现违规设摊和占道经营</w:t>
            </w:r>
          </w:p>
        </w:tc>
        <w:tc>
          <w:tcPr>
            <w:tcW w:w="20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发现一次扣2分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71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18</w:t>
            </w:r>
          </w:p>
        </w:tc>
        <w:tc>
          <w:tcPr>
            <w:tcW w:w="609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其他违规情况</w:t>
            </w:r>
          </w:p>
        </w:tc>
        <w:tc>
          <w:tcPr>
            <w:tcW w:w="20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发现一次扣2分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71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19</w:t>
            </w:r>
          </w:p>
        </w:tc>
        <w:tc>
          <w:tcPr>
            <w:tcW w:w="6094"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环境卫生差、菜品不新鲜、花色少等</w:t>
            </w:r>
          </w:p>
        </w:tc>
        <w:tc>
          <w:tcPr>
            <w:tcW w:w="2031"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仿宋_GB2312" w:hAnsi="仿宋_GB2312" w:eastAsia="仿宋_GB2312" w:cs="仿宋_GB2312"/>
                <w:snapToGrid w:val="0"/>
                <w:color w:val="000000"/>
                <w:spacing w:val="-4"/>
                <w:sz w:val="24"/>
                <w:highlight w:val="none"/>
                <w:lang w:val="en-US" w:eastAsia="zh-CN"/>
              </w:rPr>
            </w:pPr>
            <w:r>
              <w:rPr>
                <w:rFonts w:hint="eastAsia" w:ascii="仿宋_GB2312" w:hAnsi="仿宋_GB2312" w:eastAsia="仿宋_GB2312" w:cs="仿宋_GB2312"/>
                <w:snapToGrid w:val="0"/>
                <w:color w:val="000000"/>
                <w:spacing w:val="-4"/>
                <w:sz w:val="24"/>
                <w:highlight w:val="none"/>
                <w:lang w:val="en-US" w:eastAsia="zh-CN"/>
              </w:rPr>
              <w:t>发现一次扣2分</w:t>
            </w:r>
          </w:p>
        </w:tc>
      </w:tr>
    </w:tbl>
    <w:p>
      <w:pPr>
        <w:rPr>
          <w:rFonts w:hint="eastAsia" w:ascii="仿宋_GB2312" w:hAnsi="仿宋_GB2312" w:eastAsia="仿宋_GB2312" w:cs="仿宋_GB2312"/>
          <w:color w:val="000000"/>
          <w:kern w:val="0"/>
          <w:szCs w:val="28"/>
          <w:highlight w:val="none"/>
          <w:lang w:val="en-US" w:eastAsia="zh-CN"/>
        </w:rPr>
      </w:pPr>
    </w:p>
    <w:p>
      <w:pPr>
        <w:ind w:firstLine="560" w:firstLineChars="200"/>
        <w:rPr>
          <w:rFonts w:hint="eastAsia" w:ascii="仿宋_GB2312" w:hAnsi="仿宋_GB2312" w:eastAsia="仿宋_GB2312" w:cs="仿宋_GB2312"/>
          <w:color w:val="000000"/>
          <w:kern w:val="0"/>
          <w:sz w:val="28"/>
          <w:szCs w:val="28"/>
        </w:rPr>
      </w:pPr>
    </w:p>
    <w:p>
      <w:pPr>
        <w:ind w:firstLine="562" w:firstLineChars="20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b/>
          <w:bCs/>
          <w:color w:val="000000"/>
          <w:kern w:val="0"/>
          <w:sz w:val="28"/>
          <w:szCs w:val="28"/>
        </w:rPr>
        <w:t>特别说明：</w:t>
      </w:r>
      <w:r>
        <w:rPr>
          <w:rFonts w:hint="eastAsia" w:ascii="仿宋_GB2312" w:hAnsi="仿宋_GB2312" w:eastAsia="仿宋_GB2312" w:cs="仿宋_GB2312"/>
          <w:color w:val="000000"/>
          <w:kern w:val="0"/>
          <w:sz w:val="28"/>
          <w:szCs w:val="28"/>
        </w:rPr>
        <w:t>供应商可自行进行了解项目相关信息及查阅有关资料，不另行统一安排，未进行了解项目相关信息所造成的一切风险由投标方自行承担。采购单位联系人及联系电话见招标公告。</w:t>
      </w:r>
    </w:p>
    <w:p>
      <w:pPr>
        <w:spacing w:line="360" w:lineRule="auto"/>
        <w:jc w:val="both"/>
        <w:rPr>
          <w:rFonts w:ascii="仿宋_GB2312" w:hAnsi="仿宋_GB2312" w:eastAsia="仿宋_GB2312" w:cs="仿宋_GB2312"/>
          <w:color w:val="000000"/>
          <w:kern w:val="0"/>
          <w:sz w:val="36"/>
          <w:szCs w:val="36"/>
        </w:rPr>
      </w:pPr>
    </w:p>
    <w:p>
      <w:pPr>
        <w:pStyle w:val="66"/>
        <w:ind w:left="0" w:leftChars="0" w:firstLine="0" w:firstLineChars="0"/>
        <w:rPr>
          <w:rFonts w:ascii="仿宋_GB2312" w:hAnsi="仿宋_GB2312" w:eastAsia="仿宋_GB2312" w:cs="仿宋_GB2312"/>
          <w:color w:val="000000"/>
          <w:kern w:val="0"/>
          <w:sz w:val="36"/>
          <w:szCs w:val="36"/>
        </w:rPr>
      </w:pPr>
    </w:p>
    <w:p>
      <w:pPr>
        <w:pStyle w:val="66"/>
        <w:ind w:left="0" w:leftChars="0" w:firstLine="0" w:firstLineChars="0"/>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r>
        <w:rPr>
          <w:rFonts w:ascii="仿宋_GB2312" w:hAnsi="仿宋_GB2312" w:eastAsia="仿宋_GB2312" w:cs="仿宋_GB2312"/>
          <w:color w:val="000000"/>
          <w:kern w:val="0"/>
          <w:sz w:val="36"/>
          <w:szCs w:val="36"/>
        </w:rPr>
        <w:t>第</w:t>
      </w:r>
      <w:r>
        <w:rPr>
          <w:rFonts w:hint="eastAsia" w:ascii="仿宋_GB2312" w:hAnsi="仿宋_GB2312" w:eastAsia="仿宋_GB2312" w:cs="仿宋_GB2312"/>
          <w:color w:val="000000"/>
          <w:kern w:val="0"/>
          <w:sz w:val="36"/>
          <w:szCs w:val="36"/>
        </w:rPr>
        <w:t>三</w:t>
      </w:r>
      <w:r>
        <w:rPr>
          <w:rFonts w:ascii="仿宋_GB2312" w:hAnsi="仿宋_GB2312" w:eastAsia="仿宋_GB2312" w:cs="仿宋_GB2312"/>
          <w:color w:val="000000"/>
          <w:kern w:val="0"/>
          <w:sz w:val="36"/>
          <w:szCs w:val="36"/>
        </w:rPr>
        <w:t>部分   投标人须知</w:t>
      </w:r>
    </w:p>
    <w:p>
      <w:pPr>
        <w:autoSpaceDE w:val="0"/>
        <w:autoSpaceDN w:val="0"/>
        <w:adjustRightInd w:val="0"/>
        <w:spacing w:line="360" w:lineRule="auto"/>
        <w:jc w:val="center"/>
        <w:outlineLvl w:val="0"/>
        <w:rPr>
          <w:rFonts w:ascii="Arial" w:hAnsi="仿宋" w:eastAsia="仿宋" w:cs="Arial"/>
          <w:b/>
          <w:bCs/>
          <w:sz w:val="36"/>
          <w:szCs w:val="36"/>
          <w:lang w:val="zh-CN"/>
        </w:rPr>
      </w:pPr>
    </w:p>
    <w:p>
      <w:pPr>
        <w:spacing w:line="360" w:lineRule="auto"/>
        <w:jc w:val="center"/>
        <w:rPr>
          <w:rFonts w:ascii="仿宋_GB2312" w:hAnsi="仿宋_GB2312" w:eastAsia="仿宋_GB2312" w:cs="仿宋_GB2312"/>
          <w:color w:val="000000"/>
          <w:kern w:val="0"/>
          <w:sz w:val="32"/>
          <w:szCs w:val="32"/>
        </w:rPr>
      </w:pPr>
      <w:bookmarkStart w:id="1" w:name="_Toc243192595"/>
      <w:r>
        <w:rPr>
          <w:rFonts w:ascii="仿宋_GB2312" w:hAnsi="仿宋_GB2312" w:eastAsia="仿宋_GB2312" w:cs="仿宋_GB2312"/>
          <w:color w:val="000000"/>
          <w:kern w:val="0"/>
          <w:sz w:val="32"/>
          <w:szCs w:val="32"/>
        </w:rPr>
        <w:t>前   附  表</w:t>
      </w:r>
      <w:bookmarkEnd w:id="1"/>
    </w:p>
    <w:tbl>
      <w:tblPr>
        <w:tblStyle w:val="67"/>
        <w:tblW w:w="91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3"/>
        <w:gridCol w:w="2473"/>
        <w:gridCol w:w="60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643"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序号</w:t>
            </w:r>
          </w:p>
        </w:tc>
        <w:tc>
          <w:tcPr>
            <w:tcW w:w="2473"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项  目</w:t>
            </w:r>
          </w:p>
        </w:tc>
        <w:tc>
          <w:tcPr>
            <w:tcW w:w="6074"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内容与要求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643"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1</w:t>
            </w:r>
          </w:p>
        </w:tc>
        <w:tc>
          <w:tcPr>
            <w:tcW w:w="2473"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采购人</w:t>
            </w:r>
          </w:p>
        </w:tc>
        <w:tc>
          <w:tcPr>
            <w:tcW w:w="6074" w:type="dxa"/>
            <w:vAlign w:val="center"/>
          </w:tcPr>
          <w:p>
            <w:pPr>
              <w:spacing w:line="360" w:lineRule="auto"/>
              <w:jc w:val="center"/>
              <w:rPr>
                <w:rFonts w:hint="default" w:ascii="仿宋_GB2312" w:hAnsi="仿宋_GB2312" w:eastAsia="仿宋_GB2312" w:cs="仿宋_GB2312"/>
                <w:color w:val="000000"/>
                <w:kern w:val="0"/>
                <w:sz w:val="24"/>
                <w:highlight w:val="none"/>
                <w:lang w:eastAsia="zh-CN"/>
              </w:rPr>
            </w:pPr>
            <w:r>
              <w:rPr>
                <w:rFonts w:hint="eastAsia" w:ascii="仿宋_GB2312" w:hAnsi="仿宋_GB2312" w:eastAsia="仿宋_GB2312" w:cs="仿宋_GB2312"/>
                <w:color w:val="000000"/>
                <w:kern w:val="0"/>
                <w:sz w:val="24"/>
                <w:highlight w:val="none"/>
                <w:lang w:eastAsia="zh-CN"/>
              </w:rPr>
              <w:t>慈溪市教育服务和电化教育中心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643"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2</w:t>
            </w:r>
          </w:p>
        </w:tc>
        <w:tc>
          <w:tcPr>
            <w:tcW w:w="2473"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项目名称</w:t>
            </w:r>
          </w:p>
        </w:tc>
        <w:tc>
          <w:tcPr>
            <w:tcW w:w="6074" w:type="dxa"/>
            <w:vAlign w:val="center"/>
          </w:tcPr>
          <w:p>
            <w:pPr>
              <w:spacing w:line="360" w:lineRule="auto"/>
              <w:jc w:val="center"/>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物业管理服务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643"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3</w:t>
            </w:r>
          </w:p>
        </w:tc>
        <w:tc>
          <w:tcPr>
            <w:tcW w:w="2473"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招标编号</w:t>
            </w:r>
          </w:p>
        </w:tc>
        <w:tc>
          <w:tcPr>
            <w:tcW w:w="6074" w:type="dxa"/>
            <w:vAlign w:val="center"/>
          </w:tcPr>
          <w:p>
            <w:pPr>
              <w:spacing w:line="360" w:lineRule="auto"/>
              <w:jc w:val="center"/>
              <w:rPr>
                <w:rFonts w:hint="default" w:ascii="仿宋_GB2312" w:hAnsi="仿宋_GB2312" w:eastAsia="仿宋_GB2312" w:cs="仿宋_GB2312"/>
                <w:color w:val="000000"/>
                <w:kern w:val="0"/>
                <w:sz w:val="24"/>
                <w:highlight w:val="none"/>
                <w:lang w:eastAsia="zh-CN"/>
              </w:rPr>
            </w:pPr>
            <w:r>
              <w:rPr>
                <w:rFonts w:hint="eastAsia" w:ascii="仿宋_GB2312" w:hAnsi="仿宋_GB2312" w:eastAsia="仿宋_GB2312" w:cs="仿宋_GB2312"/>
                <w:color w:val="auto"/>
                <w:kern w:val="0"/>
                <w:sz w:val="24"/>
                <w:highlight w:val="none"/>
                <w:lang w:eastAsia="zh-CN"/>
              </w:rPr>
              <w:t>NBCXZFCG2023108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643" w:type="dxa"/>
            <w:vAlign w:val="center"/>
          </w:tcPr>
          <w:p>
            <w:pPr>
              <w:spacing w:line="360" w:lineRule="auto"/>
              <w:jc w:val="center"/>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4</w:t>
            </w:r>
          </w:p>
        </w:tc>
        <w:tc>
          <w:tcPr>
            <w:tcW w:w="2473" w:type="dxa"/>
            <w:vAlign w:val="center"/>
          </w:tcPr>
          <w:p>
            <w:pPr>
              <w:spacing w:line="360" w:lineRule="auto"/>
              <w:jc w:val="center"/>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服务地点</w:t>
            </w:r>
          </w:p>
        </w:tc>
        <w:tc>
          <w:tcPr>
            <w:tcW w:w="6074"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采购单位指定地点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643" w:type="dxa"/>
            <w:vAlign w:val="center"/>
          </w:tcPr>
          <w:p>
            <w:pPr>
              <w:spacing w:line="360" w:lineRule="auto"/>
              <w:jc w:val="center"/>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5</w:t>
            </w:r>
          </w:p>
        </w:tc>
        <w:tc>
          <w:tcPr>
            <w:tcW w:w="2473"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服务</w:t>
            </w:r>
            <w:r>
              <w:rPr>
                <w:rFonts w:hint="eastAsia" w:ascii="仿宋_GB2312" w:hAnsi="仿宋_GB2312" w:eastAsia="仿宋_GB2312" w:cs="仿宋_GB2312"/>
                <w:color w:val="000000"/>
                <w:kern w:val="0"/>
                <w:sz w:val="24"/>
              </w:rPr>
              <w:t>内容及</w:t>
            </w:r>
            <w:r>
              <w:rPr>
                <w:rFonts w:ascii="仿宋_GB2312" w:hAnsi="仿宋_GB2312" w:eastAsia="仿宋_GB2312" w:cs="仿宋_GB2312"/>
                <w:color w:val="000000"/>
                <w:kern w:val="0"/>
                <w:sz w:val="24"/>
              </w:rPr>
              <w:t>期限</w:t>
            </w:r>
          </w:p>
        </w:tc>
        <w:tc>
          <w:tcPr>
            <w:tcW w:w="6074" w:type="dxa"/>
            <w:vAlign w:val="center"/>
          </w:tcPr>
          <w:p>
            <w:pPr>
              <w:spacing w:line="360" w:lineRule="auto"/>
              <w:jc w:val="center"/>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见招标文件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643" w:type="dxa"/>
            <w:vAlign w:val="center"/>
          </w:tcPr>
          <w:p>
            <w:pPr>
              <w:spacing w:line="360" w:lineRule="auto"/>
              <w:jc w:val="center"/>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6</w:t>
            </w:r>
          </w:p>
        </w:tc>
        <w:tc>
          <w:tcPr>
            <w:tcW w:w="2473"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投标保证金</w:t>
            </w:r>
          </w:p>
        </w:tc>
        <w:tc>
          <w:tcPr>
            <w:tcW w:w="6074" w:type="dxa"/>
            <w:vAlign w:val="center"/>
          </w:tcPr>
          <w:p>
            <w:pPr>
              <w:spacing w:line="360" w:lineRule="auto"/>
              <w:jc w:val="center"/>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643" w:type="dxa"/>
            <w:vAlign w:val="center"/>
          </w:tcPr>
          <w:p>
            <w:pPr>
              <w:spacing w:line="360" w:lineRule="auto"/>
              <w:jc w:val="center"/>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7</w:t>
            </w:r>
          </w:p>
        </w:tc>
        <w:tc>
          <w:tcPr>
            <w:tcW w:w="2473"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投标文件的编制</w:t>
            </w:r>
          </w:p>
        </w:tc>
        <w:tc>
          <w:tcPr>
            <w:tcW w:w="6074" w:type="dxa"/>
            <w:vAlign w:val="center"/>
          </w:tcPr>
          <w:p>
            <w:pPr>
              <w:spacing w:line="360" w:lineRule="auto"/>
              <w:ind w:firstLine="480" w:firstLineChars="200"/>
              <w:jc w:val="left"/>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本项目实行网上投标。</w:t>
            </w:r>
          </w:p>
          <w:p>
            <w:pPr>
              <w:spacing w:line="360" w:lineRule="auto"/>
              <w:ind w:firstLine="480" w:firstLineChars="200"/>
              <w:jc w:val="left"/>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一、电子投标文件，按政采云平台</w:t>
            </w:r>
            <w:r>
              <w:rPr>
                <w:rFonts w:ascii="仿宋_GB2312" w:hAnsi="仿宋_GB2312" w:eastAsia="仿宋_GB2312" w:cs="仿宋_GB2312"/>
                <w:color w:val="000000"/>
                <w:kern w:val="0"/>
                <w:sz w:val="24"/>
                <w:u w:val="single"/>
              </w:rPr>
              <w:t>项目采购</w:t>
            </w:r>
            <w:r>
              <w:rPr>
                <w:rFonts w:hint="eastAsia" w:ascii="仿宋_GB2312" w:hAnsi="仿宋_GB2312" w:eastAsia="仿宋_GB2312" w:cs="仿宋_GB2312"/>
                <w:color w:val="000000"/>
                <w:kern w:val="0"/>
                <w:sz w:val="24"/>
                <w:u w:val="single"/>
              </w:rPr>
              <w:t>-</w:t>
            </w:r>
            <w:r>
              <w:rPr>
                <w:rFonts w:ascii="仿宋_GB2312" w:hAnsi="仿宋_GB2312" w:eastAsia="仿宋_GB2312" w:cs="仿宋_GB2312"/>
                <w:color w:val="000000"/>
                <w:kern w:val="0"/>
                <w:sz w:val="24"/>
                <w:u w:val="single"/>
              </w:rPr>
              <w:t>电子招投标操作指南</w:t>
            </w:r>
            <w:r>
              <w:rPr>
                <w:rFonts w:ascii="仿宋_GB2312" w:hAnsi="仿宋_GB2312" w:eastAsia="仿宋_GB2312" w:cs="仿宋_GB2312"/>
                <w:color w:val="000000"/>
                <w:kern w:val="0"/>
                <w:sz w:val="24"/>
              </w:rPr>
              <w:t>及本招标文件要求制作、加密并递交</w:t>
            </w:r>
            <w:r>
              <w:rPr>
                <w:rFonts w:hint="eastAsia" w:ascii="仿宋_GB2312" w:hAnsi="仿宋_GB2312" w:eastAsia="仿宋_GB2312" w:cs="仿宋_GB2312"/>
                <w:color w:val="000000"/>
                <w:kern w:val="0"/>
                <w:sz w:val="24"/>
              </w:rPr>
              <w:t>；</w:t>
            </w:r>
          </w:p>
          <w:p>
            <w:pPr>
              <w:spacing w:line="360" w:lineRule="auto"/>
              <w:ind w:firstLine="480" w:firstLineChars="200"/>
              <w:jc w:val="left"/>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二、</w:t>
            </w:r>
            <w:r>
              <w:rPr>
                <w:rFonts w:ascii="仿宋_GB2312" w:hAnsi="仿宋_GB2312" w:eastAsia="仿宋_GB2312" w:cs="仿宋_GB2312"/>
                <w:color w:val="000000"/>
                <w:kern w:val="0"/>
                <w:sz w:val="24"/>
              </w:rPr>
              <w:t>投标文件均由资格证明、</w:t>
            </w:r>
            <w:r>
              <w:rPr>
                <w:rFonts w:hint="eastAsia" w:ascii="仿宋_GB2312" w:hAnsi="仿宋_GB2312" w:eastAsia="仿宋_GB2312" w:cs="仿宋_GB2312"/>
                <w:color w:val="000000"/>
                <w:kern w:val="0"/>
                <w:sz w:val="24"/>
              </w:rPr>
              <w:t>商务技术和</w:t>
            </w:r>
            <w:r>
              <w:rPr>
                <w:rFonts w:ascii="仿宋_GB2312" w:hAnsi="仿宋_GB2312" w:eastAsia="仿宋_GB2312" w:cs="仿宋_GB2312"/>
                <w:color w:val="000000"/>
                <w:kern w:val="0"/>
                <w:sz w:val="24"/>
              </w:rPr>
              <w:t>报价三部分组成。电子投标文件中所须加盖公章部分均采用CA签章。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43" w:type="dxa"/>
            <w:vAlign w:val="center"/>
          </w:tcPr>
          <w:p>
            <w:pPr>
              <w:spacing w:line="360" w:lineRule="auto"/>
              <w:jc w:val="center"/>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8</w:t>
            </w:r>
          </w:p>
        </w:tc>
        <w:tc>
          <w:tcPr>
            <w:tcW w:w="2473"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投标文件的接收</w:t>
            </w:r>
          </w:p>
        </w:tc>
        <w:tc>
          <w:tcPr>
            <w:tcW w:w="6074" w:type="dxa"/>
            <w:vAlign w:val="center"/>
          </w:tcPr>
          <w:p>
            <w:pPr>
              <w:autoSpaceDE w:val="0"/>
              <w:autoSpaceDN w:val="0"/>
              <w:snapToGrid w:val="0"/>
              <w:spacing w:line="360" w:lineRule="auto"/>
              <w:ind w:firstLine="470" w:firstLineChars="196"/>
              <w:jc w:val="left"/>
              <w:textAlignment w:val="bottom"/>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w:t>
            </w:r>
            <w:r>
              <w:rPr>
                <w:rFonts w:hint="eastAsia" w:ascii="仿宋_GB2312" w:hAnsi="仿宋_GB2312" w:eastAsia="仿宋_GB2312" w:cs="仿宋_GB2312"/>
                <w:color w:val="000000"/>
                <w:kern w:val="0"/>
                <w:sz w:val="24"/>
                <w:lang w:eastAsia="zh-CN"/>
              </w:rPr>
              <w:t>提交</w:t>
            </w:r>
            <w:r>
              <w:rPr>
                <w:rFonts w:hint="eastAsia" w:ascii="仿宋_GB2312" w:hAnsi="仿宋_GB2312" w:eastAsia="仿宋_GB2312" w:cs="仿宋_GB2312"/>
                <w:color w:val="000000"/>
                <w:kern w:val="0"/>
                <w:sz w:val="24"/>
              </w:rPr>
              <w:t>的投标、响应文件，将被政采云平台拒收。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jc w:val="center"/>
        </w:trPr>
        <w:tc>
          <w:tcPr>
            <w:tcW w:w="643"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9</w:t>
            </w:r>
          </w:p>
        </w:tc>
        <w:tc>
          <w:tcPr>
            <w:tcW w:w="2473"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投标文件提交</w:t>
            </w:r>
          </w:p>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截止时间</w:t>
            </w:r>
          </w:p>
        </w:tc>
        <w:tc>
          <w:tcPr>
            <w:tcW w:w="6074"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见采购公告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643"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10</w:t>
            </w:r>
          </w:p>
        </w:tc>
        <w:tc>
          <w:tcPr>
            <w:tcW w:w="2473"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投标文件提交地点</w:t>
            </w:r>
          </w:p>
        </w:tc>
        <w:tc>
          <w:tcPr>
            <w:tcW w:w="6074"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见采购公告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643"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11</w:t>
            </w:r>
          </w:p>
        </w:tc>
        <w:tc>
          <w:tcPr>
            <w:tcW w:w="2473"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开标时间</w:t>
            </w:r>
          </w:p>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（投标截止时间）</w:t>
            </w:r>
          </w:p>
        </w:tc>
        <w:tc>
          <w:tcPr>
            <w:tcW w:w="6074"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见采购公告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643"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12</w:t>
            </w:r>
          </w:p>
        </w:tc>
        <w:tc>
          <w:tcPr>
            <w:tcW w:w="2473"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开标地点</w:t>
            </w:r>
          </w:p>
        </w:tc>
        <w:tc>
          <w:tcPr>
            <w:tcW w:w="6074"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见采购公告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643"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13</w:t>
            </w:r>
          </w:p>
        </w:tc>
        <w:tc>
          <w:tcPr>
            <w:tcW w:w="2473"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投标有效期</w:t>
            </w:r>
          </w:p>
        </w:tc>
        <w:tc>
          <w:tcPr>
            <w:tcW w:w="6074" w:type="dxa"/>
            <w:vAlign w:val="center"/>
          </w:tcPr>
          <w:p>
            <w:pPr>
              <w:snapToGrid w:val="0"/>
              <w:spacing w:line="360" w:lineRule="auto"/>
              <w:ind w:left="-2" w:firstLine="436"/>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自投标文件提交截止之日起90日历天。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643" w:type="dxa"/>
            <w:vAlign w:val="center"/>
          </w:tcPr>
          <w:p>
            <w:pPr>
              <w:snapToGrid w:val="0"/>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1</w:t>
            </w:r>
            <w:r>
              <w:rPr>
                <w:rFonts w:hint="eastAsia" w:ascii="仿宋_GB2312" w:hAnsi="仿宋_GB2312" w:eastAsia="仿宋_GB2312" w:cs="仿宋_GB2312"/>
                <w:color w:val="000000"/>
                <w:kern w:val="0"/>
                <w:sz w:val="24"/>
              </w:rPr>
              <w:t>4</w:t>
            </w:r>
          </w:p>
        </w:tc>
        <w:tc>
          <w:tcPr>
            <w:tcW w:w="2473"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评标办法及标准</w:t>
            </w:r>
          </w:p>
        </w:tc>
        <w:tc>
          <w:tcPr>
            <w:tcW w:w="6074"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643" w:type="dxa"/>
            <w:vAlign w:val="center"/>
          </w:tcPr>
          <w:p>
            <w:pPr>
              <w:snapToGrid w:val="0"/>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1</w:t>
            </w:r>
            <w:r>
              <w:rPr>
                <w:rFonts w:hint="eastAsia" w:ascii="仿宋_GB2312" w:hAnsi="仿宋_GB2312" w:eastAsia="仿宋_GB2312" w:cs="仿宋_GB2312"/>
                <w:color w:val="000000"/>
                <w:kern w:val="0"/>
                <w:sz w:val="24"/>
              </w:rPr>
              <w:t>5</w:t>
            </w:r>
          </w:p>
        </w:tc>
        <w:tc>
          <w:tcPr>
            <w:tcW w:w="2473" w:type="dxa"/>
            <w:vAlign w:val="center"/>
          </w:tcPr>
          <w:p>
            <w:pPr>
              <w:snapToGrid w:val="0"/>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信用记录</w:t>
            </w:r>
          </w:p>
        </w:tc>
        <w:tc>
          <w:tcPr>
            <w:tcW w:w="6074" w:type="dxa"/>
            <w:vAlign w:val="center"/>
          </w:tcPr>
          <w:p>
            <w:pPr>
              <w:spacing w:line="360" w:lineRule="auto"/>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根据财库[2016]125号文件，通过“信用中国”网站、中国政府采购网信用查询，以开标当日采购人或由采购人委托的评标委员会核实的网页查询记录为准。对列入失信被执行人、重大税收违法案件当事人名单、政府采购严重违法失信行为记录名单的供应商，其投标将作无效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643"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1</w:t>
            </w:r>
            <w:r>
              <w:rPr>
                <w:rFonts w:hint="eastAsia" w:ascii="仿宋_GB2312" w:hAnsi="仿宋_GB2312" w:eastAsia="仿宋_GB2312" w:cs="仿宋_GB2312"/>
                <w:color w:val="000000"/>
                <w:kern w:val="0"/>
                <w:sz w:val="24"/>
              </w:rPr>
              <w:t>6</w:t>
            </w:r>
          </w:p>
        </w:tc>
        <w:tc>
          <w:tcPr>
            <w:tcW w:w="2473" w:type="dxa"/>
            <w:vAlign w:val="center"/>
          </w:tcPr>
          <w:p>
            <w:pPr>
              <w:snapToGrid w:val="0"/>
              <w:spacing w:line="360" w:lineRule="auto"/>
              <w:jc w:val="center"/>
              <w:rPr>
                <w:rFonts w:ascii="仿宋_GB2312" w:hAnsi="仿宋_GB2312" w:eastAsia="仿宋_GB2312" w:cs="仿宋_GB2312"/>
                <w:color w:val="000000"/>
                <w:kern w:val="0"/>
                <w:sz w:val="24"/>
              </w:rPr>
            </w:pPr>
            <w:r>
              <w:rPr>
                <w:rFonts w:hint="eastAsia" w:ascii="Arial" w:hAnsi="仿宋" w:eastAsia="仿宋" w:cs="Arial"/>
                <w:sz w:val="24"/>
              </w:rPr>
              <w:t>中小企业有关政策</w:t>
            </w:r>
          </w:p>
        </w:tc>
        <w:tc>
          <w:tcPr>
            <w:tcW w:w="6074" w:type="dxa"/>
            <w:vAlign w:val="center"/>
          </w:tcPr>
          <w:p>
            <w:pPr>
              <w:snapToGrid w:val="0"/>
              <w:spacing w:line="360" w:lineRule="auto"/>
              <w:jc w:val="left"/>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1、投标人须符合《</w:t>
            </w:r>
            <w:r>
              <w:rPr>
                <w:rFonts w:ascii="仿宋_GB2312" w:hAnsi="仿宋_GB2312" w:eastAsia="仿宋_GB2312" w:cs="仿宋_GB2312"/>
                <w:color w:val="000000"/>
                <w:kern w:val="0"/>
                <w:sz w:val="24"/>
              </w:rPr>
              <w:t>关于印发中小企业划型标准规定的通知》（工信部联企业〔2011〕300号）文件规定的中小企业划分标准</w:t>
            </w:r>
            <w:r>
              <w:rPr>
                <w:rFonts w:hint="eastAsia" w:ascii="仿宋_GB2312" w:hAnsi="仿宋_GB2312" w:eastAsia="仿宋_GB2312" w:cs="仿宋_GB2312"/>
                <w:color w:val="000000"/>
                <w:kern w:val="0"/>
                <w:sz w:val="24"/>
              </w:rPr>
              <w:t>。</w:t>
            </w:r>
            <w:r>
              <w:rPr>
                <w:rFonts w:ascii="仿宋_GB2312" w:hAnsi="仿宋_GB2312" w:eastAsia="仿宋_GB2312" w:cs="仿宋_GB2312"/>
                <w:color w:val="000000"/>
                <w:kern w:val="0"/>
                <w:sz w:val="24"/>
              </w:rPr>
              <w:t>属于中小微型企业的</w:t>
            </w:r>
            <w:r>
              <w:rPr>
                <w:rFonts w:hint="eastAsia" w:ascii="仿宋_GB2312" w:hAnsi="仿宋_GB2312" w:eastAsia="仿宋_GB2312" w:cs="仿宋_GB2312"/>
                <w:color w:val="000000"/>
                <w:kern w:val="0"/>
                <w:sz w:val="24"/>
              </w:rPr>
              <w:t>，</w:t>
            </w:r>
            <w:r>
              <w:rPr>
                <w:rFonts w:ascii="仿宋_GB2312" w:hAnsi="仿宋_GB2312" w:eastAsia="仿宋_GB2312" w:cs="仿宋_GB2312"/>
                <w:color w:val="000000"/>
                <w:kern w:val="0"/>
                <w:sz w:val="24"/>
              </w:rPr>
              <w:t>投标文件中必须提供</w:t>
            </w:r>
            <w:r>
              <w:rPr>
                <w:rFonts w:hint="eastAsia" w:ascii="仿宋_GB2312" w:hAnsi="仿宋_GB2312" w:eastAsia="仿宋_GB2312" w:cs="仿宋_GB2312"/>
                <w:color w:val="000000"/>
                <w:kern w:val="0"/>
                <w:sz w:val="24"/>
              </w:rPr>
              <w:t>《中小企业声明函》（如提供其他中小微型企业制造的货物，请提供该企业为中小微型企业的证明材料）。（注：未提供以上材料的，视为非中小企业投标，投标无效）</w:t>
            </w:r>
          </w:p>
          <w:p>
            <w:pPr>
              <w:snapToGrid w:val="0"/>
              <w:spacing w:line="360" w:lineRule="auto"/>
              <w:jc w:val="left"/>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2、根据财库</w:t>
            </w:r>
            <w:r>
              <w:rPr>
                <w:rFonts w:ascii="仿宋_GB2312" w:hAnsi="仿宋_GB2312" w:eastAsia="仿宋_GB2312" w:cs="仿宋_GB2312"/>
                <w:color w:val="000000"/>
                <w:kern w:val="0"/>
                <w:sz w:val="24"/>
              </w:rPr>
              <w:t>〔20</w:t>
            </w:r>
            <w:r>
              <w:rPr>
                <w:rFonts w:hint="eastAsia" w:ascii="仿宋_GB2312" w:hAnsi="仿宋_GB2312" w:eastAsia="仿宋_GB2312" w:cs="仿宋_GB2312"/>
                <w:color w:val="000000"/>
                <w:kern w:val="0"/>
                <w:sz w:val="24"/>
              </w:rPr>
              <w:t>20</w:t>
            </w:r>
            <w:r>
              <w:rPr>
                <w:rFonts w:ascii="仿宋_GB2312" w:hAnsi="仿宋_GB2312" w:eastAsia="仿宋_GB2312" w:cs="仿宋_GB2312"/>
                <w:color w:val="000000"/>
                <w:kern w:val="0"/>
                <w:sz w:val="24"/>
              </w:rPr>
              <w:t>〕</w:t>
            </w:r>
            <w:r>
              <w:rPr>
                <w:rFonts w:hint="eastAsia" w:ascii="仿宋_GB2312" w:hAnsi="仿宋_GB2312" w:eastAsia="仿宋_GB2312" w:cs="仿宋_GB2312"/>
                <w:color w:val="000000"/>
                <w:kern w:val="0"/>
                <w:sz w:val="24"/>
              </w:rPr>
              <w:t>46</w:t>
            </w:r>
            <w:r>
              <w:rPr>
                <w:rFonts w:ascii="仿宋_GB2312" w:hAnsi="仿宋_GB2312" w:eastAsia="仿宋_GB2312" w:cs="仿宋_GB2312"/>
                <w:color w:val="000000"/>
                <w:kern w:val="0"/>
                <w:sz w:val="24"/>
              </w:rPr>
              <w:t>号文件规定</w:t>
            </w:r>
            <w:r>
              <w:rPr>
                <w:rFonts w:hint="eastAsia" w:ascii="仿宋_GB2312" w:hAnsi="仿宋_GB2312" w:eastAsia="仿宋_GB2312" w:cs="仿宋_GB2312"/>
                <w:color w:val="000000"/>
                <w:kern w:val="0"/>
                <w:sz w:val="24"/>
              </w:rPr>
              <w:t>，</w:t>
            </w:r>
            <w:r>
              <w:rPr>
                <w:rFonts w:ascii="仿宋_GB2312" w:hAnsi="仿宋_GB2312" w:eastAsia="仿宋_GB2312" w:cs="仿宋_GB2312"/>
                <w:color w:val="000000"/>
                <w:kern w:val="0"/>
                <w:sz w:val="24"/>
              </w:rPr>
              <w:t>符合中小企业划分标准的个体工商户视同中小企业</w:t>
            </w:r>
            <w:r>
              <w:rPr>
                <w:rFonts w:hint="eastAsia" w:ascii="仿宋_GB2312" w:hAnsi="仿宋_GB2312" w:eastAsia="仿宋_GB2312" w:cs="仿宋_GB2312"/>
                <w:color w:val="000000"/>
                <w:kern w:val="0"/>
                <w:sz w:val="24"/>
              </w:rPr>
              <w:t>。</w:t>
            </w:r>
          </w:p>
          <w:p>
            <w:pPr>
              <w:snapToGrid w:val="0"/>
              <w:spacing w:line="360" w:lineRule="auto"/>
              <w:jc w:val="left"/>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3、根据财库</w:t>
            </w:r>
            <w:r>
              <w:rPr>
                <w:rFonts w:ascii="仿宋_GB2312" w:hAnsi="仿宋_GB2312" w:eastAsia="仿宋_GB2312" w:cs="仿宋_GB2312"/>
                <w:color w:val="000000"/>
                <w:kern w:val="0"/>
                <w:sz w:val="24"/>
              </w:rPr>
              <w:t>〔20</w:t>
            </w:r>
            <w:r>
              <w:rPr>
                <w:rFonts w:hint="eastAsia" w:ascii="仿宋_GB2312" w:hAnsi="仿宋_GB2312" w:eastAsia="仿宋_GB2312" w:cs="仿宋_GB2312"/>
                <w:color w:val="000000"/>
                <w:kern w:val="0"/>
                <w:sz w:val="24"/>
              </w:rPr>
              <w:t>14</w:t>
            </w:r>
            <w:r>
              <w:rPr>
                <w:rFonts w:ascii="仿宋_GB2312" w:hAnsi="仿宋_GB2312" w:eastAsia="仿宋_GB2312" w:cs="仿宋_GB2312"/>
                <w:color w:val="000000"/>
                <w:kern w:val="0"/>
                <w:sz w:val="24"/>
              </w:rPr>
              <w:t>〕</w:t>
            </w:r>
            <w:r>
              <w:rPr>
                <w:rFonts w:hint="eastAsia" w:ascii="仿宋_GB2312" w:hAnsi="仿宋_GB2312" w:eastAsia="仿宋_GB2312" w:cs="仿宋_GB2312"/>
                <w:color w:val="000000"/>
                <w:kern w:val="0"/>
                <w:sz w:val="24"/>
              </w:rPr>
              <w:t>68</w:t>
            </w:r>
            <w:r>
              <w:rPr>
                <w:rFonts w:ascii="仿宋_GB2312" w:hAnsi="仿宋_GB2312" w:eastAsia="仿宋_GB2312" w:cs="仿宋_GB2312"/>
                <w:color w:val="000000"/>
                <w:kern w:val="0"/>
                <w:sz w:val="24"/>
              </w:rPr>
              <w:t>号</w:t>
            </w:r>
            <w:r>
              <w:rPr>
                <w:rFonts w:hint="eastAsia" w:ascii="仿宋_GB2312" w:hAnsi="仿宋_GB2312" w:eastAsia="仿宋_GB2312" w:cs="仿宋_GB2312"/>
                <w:color w:val="000000"/>
                <w:kern w:val="0"/>
                <w:sz w:val="24"/>
              </w:rPr>
              <w:t>、财库</w:t>
            </w:r>
            <w:r>
              <w:rPr>
                <w:rFonts w:ascii="仿宋_GB2312" w:hAnsi="仿宋_GB2312" w:eastAsia="仿宋_GB2312" w:cs="仿宋_GB2312"/>
                <w:color w:val="000000"/>
                <w:kern w:val="0"/>
                <w:sz w:val="24"/>
              </w:rPr>
              <w:t>〔20</w:t>
            </w:r>
            <w:r>
              <w:rPr>
                <w:rFonts w:hint="eastAsia" w:ascii="仿宋_GB2312" w:hAnsi="仿宋_GB2312" w:eastAsia="仿宋_GB2312" w:cs="仿宋_GB2312"/>
                <w:color w:val="000000"/>
                <w:kern w:val="0"/>
                <w:sz w:val="24"/>
              </w:rPr>
              <w:t>17</w:t>
            </w:r>
            <w:r>
              <w:rPr>
                <w:rFonts w:ascii="仿宋_GB2312" w:hAnsi="仿宋_GB2312" w:eastAsia="仿宋_GB2312" w:cs="仿宋_GB2312"/>
                <w:color w:val="000000"/>
                <w:kern w:val="0"/>
                <w:sz w:val="24"/>
              </w:rPr>
              <w:t>〕</w:t>
            </w:r>
            <w:r>
              <w:rPr>
                <w:rFonts w:hint="eastAsia" w:ascii="仿宋_GB2312" w:hAnsi="仿宋_GB2312" w:eastAsia="仿宋_GB2312" w:cs="仿宋_GB2312"/>
                <w:color w:val="000000"/>
                <w:kern w:val="0"/>
                <w:sz w:val="24"/>
              </w:rPr>
              <w:t>141</w:t>
            </w:r>
            <w:r>
              <w:rPr>
                <w:rFonts w:ascii="仿宋_GB2312" w:hAnsi="仿宋_GB2312" w:eastAsia="仿宋_GB2312" w:cs="仿宋_GB2312"/>
                <w:color w:val="000000"/>
                <w:kern w:val="0"/>
                <w:sz w:val="24"/>
              </w:rPr>
              <w:t>号文件规定</w:t>
            </w:r>
            <w:r>
              <w:rPr>
                <w:rFonts w:hint="eastAsia" w:ascii="仿宋_GB2312" w:hAnsi="仿宋_GB2312" w:eastAsia="仿宋_GB2312" w:cs="仿宋_GB2312"/>
                <w:color w:val="000000"/>
                <w:kern w:val="0"/>
                <w:sz w:val="24"/>
              </w:rPr>
              <w:t>，监狱企业、残疾人福利性单位</w:t>
            </w:r>
            <w:r>
              <w:rPr>
                <w:rFonts w:ascii="仿宋_GB2312" w:hAnsi="仿宋_GB2312" w:eastAsia="仿宋_GB2312" w:cs="仿宋_GB2312"/>
                <w:color w:val="000000"/>
                <w:kern w:val="0"/>
                <w:sz w:val="24"/>
              </w:rPr>
              <w:t>视同小型</w:t>
            </w:r>
            <w:r>
              <w:rPr>
                <w:rFonts w:hint="eastAsia" w:ascii="仿宋_GB2312" w:hAnsi="仿宋_GB2312" w:eastAsia="仿宋_GB2312" w:cs="仿宋_GB2312"/>
                <w:color w:val="000000"/>
                <w:kern w:val="0"/>
                <w:sz w:val="24"/>
              </w:rPr>
              <w:t>、</w:t>
            </w:r>
            <w:r>
              <w:rPr>
                <w:rFonts w:ascii="仿宋_GB2312" w:hAnsi="仿宋_GB2312" w:eastAsia="仿宋_GB2312" w:cs="仿宋_GB2312"/>
                <w:color w:val="000000"/>
                <w:kern w:val="0"/>
                <w:sz w:val="24"/>
              </w:rPr>
              <w:t>微型企业</w:t>
            </w:r>
            <w:r>
              <w:rPr>
                <w:rFonts w:hint="eastAsia" w:ascii="仿宋_GB2312" w:hAnsi="仿宋_GB2312" w:eastAsia="仿宋_GB2312" w:cs="仿宋_GB2312"/>
                <w:color w:val="000000"/>
                <w:kern w:val="0"/>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643" w:type="dxa"/>
            <w:vAlign w:val="center"/>
          </w:tcPr>
          <w:p>
            <w:pPr>
              <w:spacing w:line="360" w:lineRule="auto"/>
              <w:jc w:val="center"/>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17</w:t>
            </w:r>
          </w:p>
        </w:tc>
        <w:tc>
          <w:tcPr>
            <w:tcW w:w="2473" w:type="dxa"/>
            <w:vAlign w:val="center"/>
          </w:tcPr>
          <w:p>
            <w:pPr>
              <w:snapToGrid w:val="0"/>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本次招标有关信息公告媒体</w:t>
            </w:r>
          </w:p>
        </w:tc>
        <w:tc>
          <w:tcPr>
            <w:tcW w:w="6074" w:type="dxa"/>
            <w:vAlign w:val="center"/>
          </w:tcPr>
          <w:p>
            <w:pPr>
              <w:spacing w:line="360" w:lineRule="auto"/>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浙江政府采购网</w:t>
            </w:r>
          </w:p>
          <w:p>
            <w:pPr>
              <w:spacing w:line="360" w:lineRule="auto"/>
              <w:rPr>
                <w:rFonts w:hint="eastAsia" w:ascii="仿宋_GB2312" w:hAnsi="仿宋_GB2312" w:eastAsia="仿宋_GB2312" w:cs="仿宋_GB2312"/>
                <w:color w:val="000000"/>
                <w:kern w:val="0"/>
                <w:sz w:val="24"/>
                <w:lang w:eastAsia="zh-CN"/>
              </w:rPr>
            </w:pPr>
            <w:r>
              <w:rPr>
                <w:rFonts w:hint="eastAsia" w:ascii="仿宋_GB2312" w:hAnsi="仿宋_GB2312" w:eastAsia="仿宋_GB2312" w:cs="仿宋_GB2312"/>
                <w:color w:val="000000"/>
                <w:kern w:val="0"/>
                <w:sz w:val="24"/>
                <w:lang w:eastAsia="zh-CN"/>
              </w:rPr>
              <w:t>宁波市政务服务办公室-宁波市公共资源交易电子服务系统（慈溪）</w:t>
            </w:r>
          </w:p>
          <w:p>
            <w:pPr>
              <w:snapToGrid w:val="0"/>
              <w:spacing w:line="360" w:lineRule="auto"/>
              <w:jc w:val="left"/>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请供应商随时关注本项目自发布采购公告后后续可能出现的修改通知，澄清说明等等，如有错过，后果自负。</w:t>
            </w:r>
          </w:p>
        </w:tc>
      </w:tr>
    </w:tbl>
    <w:p>
      <w:pPr>
        <w:pStyle w:val="2"/>
        <w:keepNext w:val="0"/>
        <w:keepLines w:val="0"/>
        <w:spacing w:line="360" w:lineRule="auto"/>
        <w:ind w:firstLine="548" w:firstLineChars="196"/>
        <w:jc w:val="center"/>
        <w:rPr>
          <w:rFonts w:ascii="仿宋_GB2312" w:hAnsi="仿宋_GB2312" w:eastAsia="仿宋_GB2312" w:cs="仿宋_GB2312"/>
          <w:b w:val="0"/>
          <w:bCs w:val="0"/>
          <w:color w:val="000000"/>
          <w:kern w:val="0"/>
          <w:sz w:val="28"/>
          <w:szCs w:val="28"/>
        </w:rPr>
      </w:pPr>
      <w:bookmarkStart w:id="2" w:name="_Toc360457873"/>
      <w:bookmarkStart w:id="3" w:name="_Toc345423462"/>
      <w:r>
        <w:rPr>
          <w:rFonts w:ascii="仿宋_GB2312" w:hAnsi="仿宋_GB2312" w:eastAsia="仿宋_GB2312" w:cs="仿宋_GB2312"/>
          <w:b w:val="0"/>
          <w:bCs w:val="0"/>
          <w:color w:val="000000"/>
          <w:kern w:val="0"/>
          <w:sz w:val="28"/>
          <w:szCs w:val="28"/>
        </w:rPr>
        <w:t>一、总则</w:t>
      </w:r>
      <w:bookmarkEnd w:id="2"/>
      <w:bookmarkEnd w:id="3"/>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（一）适用范围</w:t>
      </w: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本招标文件适用于本项目投标、评标、定标、验收、合同履约、付款等行为（法律、法规另有规定的，从其规定）。</w:t>
      </w: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（二）定义</w:t>
      </w: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1、“招标方”系指组织本项目采购的慈溪市</w:t>
      </w:r>
      <w:r>
        <w:rPr>
          <w:rFonts w:hint="eastAsia" w:ascii="仿宋_GB2312" w:hAnsi="仿宋_GB2312" w:eastAsia="仿宋_GB2312" w:cs="仿宋_GB2312"/>
          <w:color w:val="000000"/>
          <w:kern w:val="0"/>
          <w:sz w:val="28"/>
          <w:szCs w:val="28"/>
        </w:rPr>
        <w:t>政府采购</w:t>
      </w:r>
      <w:r>
        <w:rPr>
          <w:rFonts w:ascii="仿宋_GB2312" w:hAnsi="仿宋_GB2312" w:eastAsia="仿宋_GB2312" w:cs="仿宋_GB2312"/>
          <w:color w:val="000000"/>
          <w:kern w:val="0"/>
          <w:sz w:val="28"/>
          <w:szCs w:val="28"/>
        </w:rPr>
        <w:t>中心。</w:t>
      </w: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2、“投标人”系指向招标方提交投标文件的供应商。</w:t>
      </w:r>
    </w:p>
    <w:p>
      <w:pPr>
        <w:snapToGrid w:val="0"/>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3、“采购人” 系指委托招标方采购本次项目的国家机关、事业单位和团体组织。</w:t>
      </w:r>
    </w:p>
    <w:p>
      <w:pPr>
        <w:snapToGrid w:val="0"/>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4、“货物”系指招标文件规定投标人须向采购人提供的一切材料、设备、机械、仪器仪表、工具及其它有关技术资料和文字材料。</w:t>
      </w:r>
    </w:p>
    <w:p>
      <w:pPr>
        <w:snapToGrid w:val="0"/>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5、“服务”系指招标文件规定投标人须承担的安装、调试、技术协助、校准、培训、技术指导以及其他类似的义务。</w:t>
      </w:r>
    </w:p>
    <w:p>
      <w:pPr>
        <w:snapToGrid w:val="0"/>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6、“项目”系指投标人按招标文件规定向采购人提供的需求总称。</w:t>
      </w: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7、“★”系指实质性要求条款。</w:t>
      </w: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（三）合格的投标货物或服务</w:t>
      </w: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应该是中国境内提供的投标货物或服务。</w:t>
      </w: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若投标货物或服务属于国家实行许可证制度或生产注册证制度的货物或服务，则应具备相应有效的证书。</w:t>
      </w:r>
    </w:p>
    <w:p>
      <w:pPr>
        <w:spacing w:line="360" w:lineRule="auto"/>
        <w:ind w:left="56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（四）合格的投标人</w:t>
      </w:r>
    </w:p>
    <w:p>
      <w:pPr>
        <w:spacing w:line="360" w:lineRule="auto"/>
        <w:ind w:left="481" w:leftChars="229" w:firstLine="140" w:firstLineChars="5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1、</w:t>
      </w:r>
      <w:r>
        <w:rPr>
          <w:rFonts w:ascii="仿宋_GB2312" w:hAnsi="仿宋_GB2312" w:eastAsia="仿宋_GB2312" w:cs="仿宋_GB2312"/>
          <w:color w:val="000000"/>
          <w:kern w:val="0"/>
          <w:sz w:val="28"/>
          <w:szCs w:val="28"/>
        </w:rPr>
        <w:t>符合《中华人民共和国政府采购法》第二十二条规定的条件；</w:t>
      </w:r>
    </w:p>
    <w:p>
      <w:pPr>
        <w:spacing w:line="360" w:lineRule="auto"/>
        <w:ind w:left="481" w:leftChars="229" w:firstLine="140" w:firstLineChars="5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ascii="仿宋_GB2312" w:hAnsi="仿宋_GB2312" w:eastAsia="仿宋_GB2312" w:cs="仿宋_GB2312"/>
          <w:color w:val="000000"/>
          <w:kern w:val="0"/>
          <w:sz w:val="28"/>
          <w:szCs w:val="28"/>
        </w:rPr>
        <w:t>符合本招标文件招标公告中规定的资格要求。</w:t>
      </w:r>
    </w:p>
    <w:p>
      <w:pPr>
        <w:spacing w:line="360" w:lineRule="auto"/>
        <w:ind w:firstLine="560" w:firstLineChars="200"/>
        <w:rPr>
          <w:rFonts w:ascii="仿宋_GB2312" w:hAnsi="仿宋_GB2312" w:eastAsia="仿宋_GB2312" w:cs="仿宋_GB2312"/>
          <w:color w:val="000000"/>
          <w:kern w:val="0"/>
          <w:sz w:val="28"/>
          <w:szCs w:val="28"/>
        </w:rPr>
      </w:pPr>
      <w:bookmarkStart w:id="4" w:name="_Toc304292180"/>
      <w:bookmarkStart w:id="5" w:name="_Toc317685562"/>
      <w:r>
        <w:rPr>
          <w:rFonts w:ascii="仿宋_GB2312" w:hAnsi="仿宋_GB2312" w:eastAsia="仿宋_GB2312" w:cs="仿宋_GB2312"/>
          <w:color w:val="000000"/>
          <w:kern w:val="0"/>
          <w:sz w:val="28"/>
          <w:szCs w:val="28"/>
        </w:rPr>
        <w:t>（五）投标委</w:t>
      </w:r>
      <w:bookmarkEnd w:id="4"/>
      <w:bookmarkEnd w:id="5"/>
      <w:r>
        <w:rPr>
          <w:rFonts w:ascii="仿宋_GB2312" w:hAnsi="仿宋_GB2312" w:eastAsia="仿宋_GB2312" w:cs="仿宋_GB2312"/>
          <w:color w:val="000000"/>
          <w:kern w:val="0"/>
          <w:sz w:val="28"/>
          <w:szCs w:val="28"/>
        </w:rPr>
        <w:t>托有关说明</w:t>
      </w:r>
    </w:p>
    <w:p>
      <w:pPr>
        <w:spacing w:line="360" w:lineRule="auto"/>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1</w:t>
      </w:r>
      <w:r>
        <w:rPr>
          <w:rFonts w:ascii="仿宋_GB2312" w:hAnsi="仿宋_GB2312" w:eastAsia="仿宋_GB2312" w:cs="仿宋_GB2312"/>
          <w:color w:val="000000"/>
          <w:kern w:val="0"/>
          <w:sz w:val="28"/>
          <w:szCs w:val="28"/>
        </w:rPr>
        <w:t>、单位负责人为同一人或者存在直接控股、管理关系的不同供应商，不得参加同一合同项下的政府采购活动。</w:t>
      </w:r>
    </w:p>
    <w:p>
      <w:pPr>
        <w:spacing w:line="360" w:lineRule="auto"/>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ascii="仿宋_GB2312" w:hAnsi="仿宋_GB2312" w:eastAsia="仿宋_GB2312" w:cs="仿宋_GB2312"/>
          <w:color w:val="000000"/>
          <w:kern w:val="0"/>
          <w:sz w:val="28"/>
          <w:szCs w:val="28"/>
        </w:rPr>
        <w:t>、除单一来源外，为项目提供整体设计、规范编制或者项目管理、监理、检测等服务的供应商不得参加同一合同项下的政府采购活动。</w:t>
      </w:r>
    </w:p>
    <w:p>
      <w:pPr>
        <w:spacing w:line="360" w:lineRule="auto"/>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3</w:t>
      </w:r>
      <w:r>
        <w:rPr>
          <w:rFonts w:ascii="仿宋_GB2312" w:hAnsi="仿宋_GB2312" w:eastAsia="仿宋_GB2312" w:cs="仿宋_GB2312"/>
          <w:color w:val="000000"/>
          <w:kern w:val="0"/>
          <w:sz w:val="28"/>
          <w:szCs w:val="28"/>
        </w:rPr>
        <w:t>、投标人应仔细阅读招标文件的所有内容，按照招标文件的要求提交投标文件，并对所提供的全部资料的真实性承担法律责任。</w:t>
      </w: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（六）投标费用</w:t>
      </w: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无论投标过程和结果如何，投标人自行承担与投标活动有关的全部费用。</w:t>
      </w:r>
    </w:p>
    <w:p>
      <w:pPr>
        <w:pStyle w:val="2"/>
        <w:keepNext w:val="0"/>
        <w:keepLines w:val="0"/>
        <w:spacing w:line="360" w:lineRule="auto"/>
        <w:ind w:firstLine="548" w:firstLineChars="196"/>
        <w:jc w:val="center"/>
        <w:rPr>
          <w:rFonts w:ascii="仿宋_GB2312" w:hAnsi="仿宋_GB2312" w:eastAsia="仿宋_GB2312" w:cs="仿宋_GB2312"/>
          <w:b w:val="0"/>
          <w:bCs w:val="0"/>
          <w:color w:val="000000"/>
          <w:kern w:val="0"/>
          <w:sz w:val="28"/>
          <w:szCs w:val="28"/>
        </w:rPr>
      </w:pPr>
      <w:bookmarkStart w:id="6" w:name="_Toc360457874"/>
      <w:bookmarkStart w:id="7" w:name="_Toc345423463"/>
      <w:r>
        <w:rPr>
          <w:rFonts w:ascii="仿宋_GB2312" w:hAnsi="仿宋_GB2312" w:eastAsia="仿宋_GB2312" w:cs="仿宋_GB2312"/>
          <w:b w:val="0"/>
          <w:bCs w:val="0"/>
          <w:color w:val="000000"/>
          <w:kern w:val="0"/>
          <w:sz w:val="28"/>
          <w:szCs w:val="28"/>
        </w:rPr>
        <w:t>二、招标文件的说明</w:t>
      </w:r>
      <w:bookmarkEnd w:id="6"/>
      <w:bookmarkEnd w:id="7"/>
    </w:p>
    <w:p>
      <w:pPr>
        <w:spacing w:line="360" w:lineRule="auto"/>
        <w:ind w:firstLine="420" w:firstLineChars="15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（一）</w:t>
      </w:r>
      <w:r>
        <w:rPr>
          <w:rFonts w:ascii="仿宋_GB2312" w:hAnsi="仿宋_GB2312" w:eastAsia="仿宋_GB2312" w:cs="仿宋_GB2312"/>
          <w:color w:val="000000"/>
          <w:kern w:val="0"/>
          <w:sz w:val="28"/>
          <w:szCs w:val="28"/>
        </w:rPr>
        <w:t>招标文件的</w:t>
      </w:r>
      <w:r>
        <w:rPr>
          <w:rFonts w:hint="eastAsia" w:ascii="仿宋_GB2312" w:hAnsi="仿宋_GB2312" w:eastAsia="仿宋_GB2312" w:cs="仿宋_GB2312"/>
          <w:color w:val="000000"/>
          <w:kern w:val="0"/>
          <w:sz w:val="28"/>
          <w:szCs w:val="28"/>
        </w:rPr>
        <w:t>组成</w:t>
      </w: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1、招标公告；</w:t>
      </w: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2、招标需求；</w:t>
      </w:r>
    </w:p>
    <w:p>
      <w:pPr>
        <w:spacing w:line="360" w:lineRule="auto"/>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3</w:t>
      </w:r>
      <w:r>
        <w:rPr>
          <w:rFonts w:ascii="仿宋_GB2312" w:hAnsi="仿宋_GB2312" w:eastAsia="仿宋_GB2312" w:cs="仿宋_GB2312"/>
          <w:color w:val="000000"/>
          <w:kern w:val="0"/>
          <w:sz w:val="28"/>
          <w:szCs w:val="28"/>
        </w:rPr>
        <w:t>、投标人须知；</w:t>
      </w:r>
    </w:p>
    <w:p>
      <w:pPr>
        <w:spacing w:line="360" w:lineRule="auto"/>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4</w:t>
      </w:r>
      <w:r>
        <w:rPr>
          <w:rFonts w:ascii="仿宋_GB2312" w:hAnsi="仿宋_GB2312" w:eastAsia="仿宋_GB2312" w:cs="仿宋_GB2312"/>
          <w:color w:val="000000"/>
          <w:kern w:val="0"/>
          <w:sz w:val="28"/>
          <w:szCs w:val="28"/>
        </w:rPr>
        <w:t>、开标</w:t>
      </w:r>
      <w:r>
        <w:rPr>
          <w:rFonts w:hint="eastAsia" w:ascii="仿宋_GB2312" w:hAnsi="仿宋_GB2312" w:eastAsia="仿宋_GB2312" w:cs="仿宋_GB2312"/>
          <w:color w:val="000000"/>
          <w:kern w:val="0"/>
          <w:sz w:val="28"/>
          <w:szCs w:val="28"/>
        </w:rPr>
        <w:t>、</w:t>
      </w:r>
      <w:r>
        <w:rPr>
          <w:rFonts w:ascii="仿宋_GB2312" w:hAnsi="仿宋_GB2312" w:eastAsia="仿宋_GB2312" w:cs="仿宋_GB2312"/>
          <w:color w:val="000000"/>
          <w:kern w:val="0"/>
          <w:sz w:val="28"/>
          <w:szCs w:val="28"/>
        </w:rPr>
        <w:t>评标和定标；</w:t>
      </w:r>
    </w:p>
    <w:p>
      <w:pPr>
        <w:spacing w:line="360" w:lineRule="auto"/>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5、评标办法及评分标准；</w:t>
      </w:r>
    </w:p>
    <w:p>
      <w:pPr>
        <w:spacing w:line="360" w:lineRule="auto"/>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6</w:t>
      </w:r>
      <w:r>
        <w:rPr>
          <w:rFonts w:ascii="仿宋_GB2312" w:hAnsi="仿宋_GB2312" w:eastAsia="仿宋_GB2312" w:cs="仿宋_GB2312"/>
          <w:color w:val="000000"/>
          <w:kern w:val="0"/>
          <w:sz w:val="28"/>
          <w:szCs w:val="28"/>
        </w:rPr>
        <w:t>、</w:t>
      </w:r>
      <w:r>
        <w:rPr>
          <w:rFonts w:hint="eastAsia" w:ascii="仿宋_GB2312" w:hAnsi="仿宋_GB2312" w:eastAsia="仿宋_GB2312" w:cs="仿宋_GB2312"/>
          <w:color w:val="000000"/>
          <w:kern w:val="0"/>
          <w:sz w:val="28"/>
          <w:szCs w:val="28"/>
        </w:rPr>
        <w:t>拟签订合同样本</w:t>
      </w:r>
      <w:r>
        <w:rPr>
          <w:rFonts w:ascii="仿宋_GB2312" w:hAnsi="仿宋_GB2312" w:eastAsia="仿宋_GB2312" w:cs="仿宋_GB2312"/>
          <w:color w:val="000000"/>
          <w:kern w:val="0"/>
          <w:sz w:val="28"/>
          <w:szCs w:val="28"/>
        </w:rPr>
        <w:t>；</w:t>
      </w:r>
    </w:p>
    <w:p>
      <w:pPr>
        <w:spacing w:line="360" w:lineRule="auto"/>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7</w:t>
      </w:r>
      <w:r>
        <w:rPr>
          <w:rFonts w:ascii="仿宋_GB2312" w:hAnsi="仿宋_GB2312" w:eastAsia="仿宋_GB2312" w:cs="仿宋_GB2312"/>
          <w:color w:val="000000"/>
          <w:kern w:val="0"/>
          <w:sz w:val="28"/>
          <w:szCs w:val="28"/>
        </w:rPr>
        <w:t>、投标文件格式；</w:t>
      </w: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投标人应详细阅读招标文件的全部内容，如果投标人没有按照招标文件要求提交全部资料或投标文件没有对招标文件各方面的要求都做出实质性响应</w:t>
      </w:r>
      <w:r>
        <w:rPr>
          <w:rFonts w:hint="eastAsia" w:ascii="仿宋_GB2312" w:hAnsi="仿宋_GB2312" w:eastAsia="仿宋_GB2312" w:cs="仿宋_GB2312"/>
          <w:color w:val="000000"/>
          <w:kern w:val="0"/>
          <w:sz w:val="28"/>
          <w:szCs w:val="28"/>
        </w:rPr>
        <w:t>或</w:t>
      </w:r>
      <w:r>
        <w:rPr>
          <w:rFonts w:hint="eastAsia" w:ascii="仿宋_GB2312" w:hAnsi="仿宋_GB2312" w:eastAsia="仿宋_GB2312" w:cs="仿宋_GB2312"/>
          <w:color w:val="000000"/>
          <w:kern w:val="0"/>
          <w:sz w:val="28"/>
          <w:szCs w:val="28"/>
          <w:u w:val="single"/>
        </w:rPr>
        <w:t>电子投标文件内容未指向指定链接、模块，导致投标文件被误读、漏读或者查找不到相关内容的</w:t>
      </w:r>
      <w:r>
        <w:rPr>
          <w:rFonts w:ascii="仿宋_GB2312" w:hAnsi="仿宋_GB2312" w:eastAsia="仿宋_GB2312" w:cs="仿宋_GB2312"/>
          <w:color w:val="000000"/>
          <w:kern w:val="0"/>
          <w:sz w:val="28"/>
          <w:szCs w:val="28"/>
          <w:u w:val="single"/>
        </w:rPr>
        <w:t>，</w:t>
      </w:r>
      <w:r>
        <w:rPr>
          <w:rFonts w:hint="eastAsia" w:ascii="仿宋_GB2312" w:hAnsi="仿宋_GB2312" w:eastAsia="仿宋_GB2312" w:cs="仿宋_GB2312"/>
          <w:color w:val="000000"/>
          <w:kern w:val="0"/>
          <w:sz w:val="28"/>
          <w:szCs w:val="28"/>
          <w:u w:val="single"/>
        </w:rPr>
        <w:t>由投标人自行承担可能被视作无效标的风险</w:t>
      </w:r>
      <w:r>
        <w:rPr>
          <w:rFonts w:ascii="仿宋_GB2312" w:hAnsi="仿宋_GB2312" w:eastAsia="仿宋_GB2312" w:cs="仿宋_GB2312"/>
          <w:color w:val="000000"/>
          <w:kern w:val="0"/>
          <w:sz w:val="28"/>
          <w:szCs w:val="28"/>
          <w:u w:val="single"/>
        </w:rPr>
        <w:t>。没有实质性响应招标文件要求的投标将</w:t>
      </w:r>
      <w:r>
        <w:rPr>
          <w:rFonts w:hint="eastAsia" w:ascii="仿宋_GB2312" w:hAnsi="仿宋_GB2312" w:eastAsia="仿宋_GB2312" w:cs="仿宋_GB2312"/>
          <w:color w:val="000000"/>
          <w:kern w:val="0"/>
          <w:sz w:val="28"/>
          <w:szCs w:val="28"/>
          <w:u w:val="single"/>
        </w:rPr>
        <w:t>作</w:t>
      </w:r>
      <w:r>
        <w:rPr>
          <w:rFonts w:ascii="仿宋_GB2312" w:hAnsi="仿宋_GB2312" w:eastAsia="仿宋_GB2312" w:cs="仿宋_GB2312"/>
          <w:color w:val="000000"/>
          <w:kern w:val="0"/>
          <w:sz w:val="28"/>
          <w:szCs w:val="28"/>
          <w:u w:val="single"/>
        </w:rPr>
        <w:t>无效标处理。</w:t>
      </w:r>
    </w:p>
    <w:p>
      <w:pPr>
        <w:spacing w:line="360" w:lineRule="auto"/>
        <w:ind w:firstLine="420" w:firstLineChars="15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（二）</w:t>
      </w:r>
      <w:r>
        <w:rPr>
          <w:rFonts w:ascii="仿宋_GB2312" w:hAnsi="仿宋_GB2312" w:eastAsia="仿宋_GB2312" w:cs="仿宋_GB2312"/>
          <w:color w:val="000000"/>
          <w:kern w:val="0"/>
          <w:sz w:val="28"/>
          <w:szCs w:val="28"/>
        </w:rPr>
        <w:t>招标文件的澄清与修改</w:t>
      </w:r>
    </w:p>
    <w:p>
      <w:pPr>
        <w:pStyle w:val="38"/>
        <w:snapToGrid w:val="0"/>
        <w:spacing w:line="360" w:lineRule="auto"/>
        <w:ind w:firstLine="560" w:firstLineChars="200"/>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1、投标人应认真阅读本招标文件，发现其中有误或有不合理要求的，投标人应当在获取采购文件或者采购文件公告期限届满起7个工作日内以书面形式向招标方提出。招标方如认为有必要对已经发出的招标文件进行澄清或修改，将在规定的时间内，在“</w:t>
      </w:r>
      <w:r>
        <w:rPr>
          <w:rFonts w:hint="eastAsia" w:ascii="仿宋_GB2312" w:hAnsi="仿宋_GB2312" w:eastAsia="仿宋_GB2312" w:cs="仿宋_GB2312"/>
          <w:color w:val="000000"/>
          <w:kern w:val="0"/>
          <w:szCs w:val="28"/>
          <w:lang w:eastAsia="zh-CN"/>
        </w:rPr>
        <w:t>浙江政府采购网</w:t>
      </w:r>
      <w:r>
        <w:rPr>
          <w:rFonts w:ascii="仿宋_GB2312" w:hAnsi="仿宋_GB2312" w:eastAsia="仿宋_GB2312" w:cs="仿宋_GB2312"/>
          <w:color w:val="000000"/>
          <w:kern w:val="0"/>
          <w:szCs w:val="28"/>
        </w:rPr>
        <w:t>”政采云平台上发布更正公告。逾期提出招标方将不予受理。</w:t>
      </w:r>
    </w:p>
    <w:p>
      <w:pPr>
        <w:pStyle w:val="38"/>
        <w:snapToGrid w:val="0"/>
        <w:spacing w:line="360" w:lineRule="auto"/>
        <w:ind w:firstLine="560" w:firstLineChars="200"/>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2、招标方主动进行的澄清、修改：招标方无论出于何种原因，均可主动对招标文件中的相关事项，用</w:t>
      </w:r>
      <w:r>
        <w:rPr>
          <w:rFonts w:hint="eastAsia" w:ascii="仿宋_GB2312" w:hAnsi="仿宋_GB2312" w:eastAsia="仿宋_GB2312" w:cs="仿宋_GB2312"/>
          <w:color w:val="000000"/>
          <w:kern w:val="0"/>
          <w:szCs w:val="28"/>
        </w:rPr>
        <w:t>补充</w:t>
      </w:r>
      <w:r>
        <w:rPr>
          <w:rFonts w:ascii="仿宋_GB2312" w:hAnsi="仿宋_GB2312" w:eastAsia="仿宋_GB2312" w:cs="仿宋_GB2312"/>
          <w:color w:val="000000"/>
          <w:kern w:val="0"/>
          <w:szCs w:val="28"/>
        </w:rPr>
        <w:t>公告等方式进行澄清和修改。</w:t>
      </w:r>
    </w:p>
    <w:p>
      <w:pPr>
        <w:pStyle w:val="38"/>
        <w:snapToGrid w:val="0"/>
        <w:spacing w:line="360" w:lineRule="auto"/>
        <w:ind w:firstLine="560" w:firstLineChars="200"/>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3、招标文件澄清、答复、修改、补充的内容为招标文件的组成部分。当招标文件与招标文件的答复、澄清、修改、补充通知就同一内容的表述不一致时，以最后发出的</w:t>
      </w:r>
      <w:r>
        <w:rPr>
          <w:rFonts w:hint="eastAsia" w:ascii="仿宋_GB2312" w:hAnsi="仿宋_GB2312" w:eastAsia="仿宋_GB2312" w:cs="仿宋_GB2312"/>
          <w:color w:val="000000"/>
          <w:kern w:val="0"/>
          <w:szCs w:val="28"/>
        </w:rPr>
        <w:t>内容</w:t>
      </w:r>
      <w:r>
        <w:rPr>
          <w:rFonts w:ascii="仿宋_GB2312" w:hAnsi="仿宋_GB2312" w:eastAsia="仿宋_GB2312" w:cs="仿宋_GB2312"/>
          <w:color w:val="000000"/>
          <w:kern w:val="0"/>
          <w:szCs w:val="28"/>
        </w:rPr>
        <w:t>为准。</w:t>
      </w:r>
    </w:p>
    <w:p>
      <w:pPr>
        <w:pStyle w:val="38"/>
        <w:snapToGrid w:val="0"/>
        <w:spacing w:line="360" w:lineRule="auto"/>
        <w:ind w:firstLine="560" w:firstLineChars="200"/>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4、招标人可以对已发出的招标文件进行必要的澄清或者修改，将以“澄清公告”的形式发布在“</w:t>
      </w:r>
      <w:r>
        <w:rPr>
          <w:rFonts w:hint="eastAsia" w:ascii="仿宋_GB2312" w:hAnsi="仿宋_GB2312" w:eastAsia="仿宋_GB2312" w:cs="仿宋_GB2312"/>
          <w:color w:val="000000"/>
          <w:kern w:val="0"/>
          <w:szCs w:val="28"/>
          <w:lang w:eastAsia="zh-CN"/>
        </w:rPr>
        <w:t>浙江政府采购网</w:t>
      </w:r>
      <w:r>
        <w:rPr>
          <w:rFonts w:ascii="仿宋_GB2312" w:hAnsi="仿宋_GB2312" w:eastAsia="仿宋_GB2312" w:cs="仿宋_GB2312"/>
          <w:color w:val="000000"/>
          <w:kern w:val="0"/>
          <w:szCs w:val="28"/>
        </w:rPr>
        <w:t>”政采云平台上，供应商应及时登录政采云平台查看和下载，未及时查看和下载的责任自负。</w:t>
      </w:r>
    </w:p>
    <w:p>
      <w:pPr>
        <w:pStyle w:val="2"/>
        <w:keepNext w:val="0"/>
        <w:keepLines w:val="0"/>
        <w:spacing w:line="360" w:lineRule="auto"/>
        <w:ind w:firstLine="548" w:firstLineChars="196"/>
        <w:jc w:val="center"/>
        <w:rPr>
          <w:rFonts w:ascii="仿宋_GB2312" w:hAnsi="仿宋_GB2312" w:eastAsia="仿宋_GB2312" w:cs="仿宋_GB2312"/>
          <w:b w:val="0"/>
          <w:bCs w:val="0"/>
          <w:color w:val="000000"/>
          <w:kern w:val="0"/>
          <w:sz w:val="28"/>
          <w:szCs w:val="28"/>
        </w:rPr>
      </w:pPr>
      <w:bookmarkStart w:id="8" w:name="_Toc345423464"/>
      <w:bookmarkStart w:id="9" w:name="_Toc360457875"/>
      <w:r>
        <w:rPr>
          <w:rFonts w:ascii="仿宋_GB2312" w:hAnsi="仿宋_GB2312" w:eastAsia="仿宋_GB2312" w:cs="仿宋_GB2312"/>
          <w:b w:val="0"/>
          <w:bCs w:val="0"/>
          <w:color w:val="000000"/>
          <w:kern w:val="0"/>
          <w:sz w:val="28"/>
          <w:szCs w:val="28"/>
        </w:rPr>
        <w:t>三、投标文件</w:t>
      </w:r>
      <w:bookmarkEnd w:id="8"/>
      <w:bookmarkEnd w:id="9"/>
    </w:p>
    <w:p>
      <w:pPr>
        <w:snapToGrid w:val="0"/>
        <w:spacing w:line="360" w:lineRule="auto"/>
        <w:ind w:firstLine="411" w:firstLineChars="147"/>
        <w:jc w:val="left"/>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（一）电子投标文件，按“政采云供应商项目采购-电子招投标操作指南”及本招标文件要求制作、加密并递交。</w:t>
      </w:r>
    </w:p>
    <w:p>
      <w:pPr>
        <w:spacing w:line="360" w:lineRule="auto"/>
        <w:ind w:firstLine="411" w:firstLineChars="147"/>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（二）投标文件的组成</w:t>
      </w: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投标文件均由</w:t>
      </w:r>
      <w:r>
        <w:rPr>
          <w:rFonts w:hint="eastAsia" w:ascii="仿宋_GB2312" w:hAnsi="仿宋_GB2312" w:eastAsia="仿宋_GB2312" w:cs="仿宋_GB2312"/>
          <w:color w:val="000000"/>
          <w:kern w:val="0"/>
          <w:sz w:val="28"/>
          <w:szCs w:val="28"/>
        </w:rPr>
        <w:t>资格证明</w:t>
      </w:r>
      <w:r>
        <w:rPr>
          <w:rFonts w:ascii="仿宋_GB2312" w:hAnsi="仿宋_GB2312" w:eastAsia="仿宋_GB2312" w:cs="仿宋_GB2312"/>
          <w:color w:val="000000"/>
          <w:kern w:val="0"/>
          <w:sz w:val="28"/>
          <w:szCs w:val="28"/>
        </w:rPr>
        <w:t>、商务</w:t>
      </w:r>
      <w:r>
        <w:rPr>
          <w:rFonts w:hint="eastAsia" w:ascii="仿宋_GB2312" w:hAnsi="仿宋_GB2312" w:eastAsia="仿宋_GB2312" w:cs="仿宋_GB2312"/>
          <w:color w:val="000000"/>
          <w:kern w:val="0"/>
          <w:sz w:val="28"/>
          <w:szCs w:val="28"/>
        </w:rPr>
        <w:t>技术</w:t>
      </w:r>
      <w:r>
        <w:rPr>
          <w:rFonts w:ascii="仿宋_GB2312" w:hAnsi="仿宋_GB2312" w:eastAsia="仿宋_GB2312" w:cs="仿宋_GB2312"/>
          <w:color w:val="000000"/>
          <w:kern w:val="0"/>
          <w:sz w:val="28"/>
          <w:szCs w:val="28"/>
        </w:rPr>
        <w:t>和报价三部分组成。其中电子投标文件中所须加盖公章部分均采用CA签章。</w:t>
      </w:r>
    </w:p>
    <w:p>
      <w:pPr>
        <w:spacing w:line="360" w:lineRule="auto"/>
        <w:ind w:firstLine="560" w:firstLineChars="200"/>
        <w:rPr>
          <w:rFonts w:ascii="仿宋_GB2312" w:hAnsi="仿宋_GB2312" w:eastAsia="仿宋_GB2312" w:cs="仿宋_GB2312"/>
          <w:color w:val="000000"/>
          <w:kern w:val="0"/>
          <w:sz w:val="28"/>
          <w:szCs w:val="28"/>
          <w:highlight w:val="yellow"/>
        </w:rPr>
      </w:pPr>
      <w:r>
        <w:rPr>
          <w:rFonts w:ascii="仿宋_GB2312" w:hAnsi="仿宋_GB2312" w:eastAsia="仿宋_GB2312" w:cs="仿宋_GB2312"/>
          <w:color w:val="000000"/>
          <w:kern w:val="0"/>
          <w:sz w:val="28"/>
          <w:szCs w:val="28"/>
        </w:rPr>
        <w:t>1、资格证明文件包括：</w:t>
      </w:r>
    </w:p>
    <w:p>
      <w:pPr>
        <w:spacing w:line="360" w:lineRule="auto"/>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1.1</w:t>
      </w:r>
      <w:r>
        <w:rPr>
          <w:rFonts w:ascii="仿宋_GB2312" w:hAnsi="仿宋_GB2312" w:eastAsia="仿宋_GB2312" w:cs="仿宋_GB2312"/>
          <w:color w:val="000000"/>
          <w:kern w:val="0"/>
          <w:sz w:val="28"/>
          <w:szCs w:val="28"/>
        </w:rPr>
        <w:t>封面；</w:t>
      </w:r>
    </w:p>
    <w:p>
      <w:pPr>
        <w:spacing w:line="360" w:lineRule="auto"/>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1.2</w:t>
      </w:r>
      <w:r>
        <w:rPr>
          <w:rFonts w:ascii="仿宋_GB2312" w:hAnsi="仿宋_GB2312" w:eastAsia="仿宋_GB2312" w:cs="仿宋_GB2312"/>
          <w:color w:val="000000"/>
          <w:kern w:val="0"/>
          <w:sz w:val="28"/>
          <w:szCs w:val="28"/>
        </w:rPr>
        <w:t>目录；</w:t>
      </w:r>
    </w:p>
    <w:p>
      <w:pPr>
        <w:spacing w:line="360" w:lineRule="auto"/>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1.3</w:t>
      </w:r>
      <w:r>
        <w:rPr>
          <w:rFonts w:ascii="仿宋_GB2312" w:hAnsi="仿宋_GB2312" w:eastAsia="仿宋_GB2312" w:cs="仿宋_GB2312"/>
          <w:color w:val="000000"/>
          <w:kern w:val="0"/>
          <w:sz w:val="28"/>
          <w:szCs w:val="28"/>
        </w:rPr>
        <w:t>投标函（格式见附件</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kern w:val="0"/>
          <w:sz w:val="28"/>
          <w:szCs w:val="28"/>
          <w:u w:val="single"/>
        </w:rPr>
        <w:t>未按附件格式内容提供的视为资格审查未通过，将作无效标处理</w:t>
      </w:r>
      <w:r>
        <w:rPr>
          <w:rFonts w:ascii="仿宋_GB2312" w:hAnsi="仿宋_GB2312" w:eastAsia="仿宋_GB2312" w:cs="仿宋_GB2312"/>
          <w:color w:val="000000"/>
          <w:kern w:val="0"/>
          <w:sz w:val="28"/>
          <w:szCs w:val="28"/>
        </w:rPr>
        <w:t>）；</w:t>
      </w:r>
    </w:p>
    <w:p>
      <w:pPr>
        <w:spacing w:line="360" w:lineRule="auto"/>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1.4</w:t>
      </w:r>
      <w:r>
        <w:rPr>
          <w:rFonts w:ascii="仿宋_GB2312" w:hAnsi="仿宋_GB2312" w:eastAsia="仿宋_GB2312" w:cs="仿宋_GB2312"/>
          <w:color w:val="000000"/>
          <w:kern w:val="0"/>
          <w:sz w:val="28"/>
          <w:szCs w:val="28"/>
        </w:rPr>
        <w:t>提供有效的营业执照复印件（加盖投标人单位公章）；</w:t>
      </w:r>
    </w:p>
    <w:p>
      <w:pPr>
        <w:spacing w:line="360" w:lineRule="auto"/>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1.5</w:t>
      </w:r>
      <w:r>
        <w:rPr>
          <w:rFonts w:ascii="仿宋_GB2312" w:hAnsi="仿宋_GB2312" w:eastAsia="仿宋_GB2312" w:cs="仿宋_GB2312"/>
          <w:color w:val="000000"/>
          <w:kern w:val="0"/>
          <w:sz w:val="28"/>
          <w:szCs w:val="28"/>
        </w:rPr>
        <w:t>法定代表人/负责人授权书（</w:t>
      </w:r>
      <w:r>
        <w:rPr>
          <w:rFonts w:ascii="仿宋_GB2312" w:hAnsi="仿宋_GB2312" w:eastAsia="仿宋_GB2312" w:cs="仿宋_GB2312"/>
          <w:bCs/>
          <w:color w:val="000000"/>
          <w:kern w:val="0"/>
          <w:sz w:val="28"/>
          <w:szCs w:val="28"/>
          <w:u w:val="single"/>
        </w:rPr>
        <w:t>格式见附件，注意按要求签署盖章</w:t>
      </w:r>
      <w:r>
        <w:rPr>
          <w:rFonts w:hint="eastAsia" w:ascii="仿宋_GB2312" w:hAnsi="仿宋_GB2312" w:eastAsia="仿宋_GB2312" w:cs="仿宋_GB2312"/>
          <w:color w:val="000000"/>
          <w:kern w:val="0"/>
          <w:sz w:val="28"/>
          <w:szCs w:val="28"/>
        </w:rPr>
        <w:t>。</w:t>
      </w:r>
      <w:r>
        <w:rPr>
          <w:rFonts w:ascii="仿宋_GB2312" w:hAnsi="仿宋_GB2312" w:eastAsia="仿宋_GB2312" w:cs="仿宋_GB2312"/>
          <w:color w:val="000000"/>
          <w:kern w:val="0"/>
          <w:sz w:val="28"/>
          <w:szCs w:val="28"/>
        </w:rPr>
        <w:t>如供应商代表是法定代表人／负责人的，提供法定代表人／负责人身份证复印件即可）；</w:t>
      </w:r>
    </w:p>
    <w:p>
      <w:pPr>
        <w:spacing w:line="360" w:lineRule="auto"/>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1.6投标人须通过“信用中国”网站、中国政府采购网信用查询，</w:t>
      </w:r>
      <w:r>
        <w:rPr>
          <w:rFonts w:ascii="仿宋_GB2312" w:hAnsi="仿宋_GB2312" w:eastAsia="仿宋_GB2312" w:cs="仿宋_GB2312"/>
          <w:color w:val="000000"/>
          <w:kern w:val="0"/>
          <w:sz w:val="28"/>
          <w:szCs w:val="28"/>
        </w:rPr>
        <w:t>以开标当日采购人或由采购人委托的评标委员会核实的网页查询记录为准</w:t>
      </w:r>
      <w:r>
        <w:rPr>
          <w:rFonts w:hint="eastAsia" w:ascii="仿宋_GB2312" w:hAnsi="仿宋_GB2312" w:eastAsia="仿宋_GB2312" w:cs="仿宋_GB2312"/>
          <w:color w:val="000000"/>
          <w:kern w:val="0"/>
          <w:sz w:val="28"/>
          <w:szCs w:val="28"/>
        </w:rPr>
        <w:t>；</w:t>
      </w:r>
    </w:p>
    <w:p>
      <w:pPr>
        <w:spacing w:line="360" w:lineRule="auto"/>
        <w:ind w:firstLine="560" w:firstLineChars="200"/>
        <w:rPr>
          <w:rFonts w:ascii="仿宋_GB2312" w:hAnsi="仿宋_GB2312" w:eastAsia="仿宋_GB2312" w:cs="仿宋_GB2312"/>
          <w:color w:val="000000"/>
          <w:kern w:val="0"/>
          <w:sz w:val="28"/>
          <w:szCs w:val="28"/>
          <w:u w:val="single"/>
        </w:rPr>
      </w:pPr>
      <w:r>
        <w:rPr>
          <w:rFonts w:hint="eastAsia" w:ascii="仿宋_GB2312" w:hAnsi="仿宋_GB2312" w:eastAsia="仿宋_GB2312" w:cs="仿宋_GB2312"/>
          <w:color w:val="000000"/>
          <w:kern w:val="0"/>
          <w:sz w:val="28"/>
          <w:szCs w:val="28"/>
        </w:rPr>
        <w:t>1.7中小企业声明函（格式见附件，</w:t>
      </w:r>
      <w:r>
        <w:rPr>
          <w:rFonts w:hint="eastAsia" w:ascii="仿宋_GB2312" w:hAnsi="仿宋_GB2312" w:eastAsia="仿宋_GB2312" w:cs="仿宋_GB2312"/>
          <w:color w:val="000000"/>
          <w:kern w:val="0"/>
          <w:sz w:val="28"/>
          <w:szCs w:val="28"/>
          <w:u w:val="single"/>
        </w:rPr>
        <w:t>未按附件格式内容提供的由投标人自行承担可能被视作无效标的风险）；</w:t>
      </w:r>
    </w:p>
    <w:p>
      <w:pPr>
        <w:spacing w:line="360" w:lineRule="auto"/>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1.8</w:t>
      </w:r>
      <w:r>
        <w:rPr>
          <w:rFonts w:ascii="仿宋_GB2312" w:hAnsi="仿宋_GB2312" w:eastAsia="仿宋_GB2312" w:cs="仿宋_GB2312"/>
          <w:color w:val="000000"/>
          <w:kern w:val="0"/>
          <w:sz w:val="28"/>
          <w:szCs w:val="28"/>
        </w:rPr>
        <w:t>投标人认为需要提供的其它说明和资料（如有请提供）。</w:t>
      </w: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2、商务技术文件包括：</w:t>
      </w:r>
    </w:p>
    <w:p>
      <w:pPr>
        <w:spacing w:line="360" w:lineRule="auto"/>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2.1</w:t>
      </w:r>
      <w:r>
        <w:rPr>
          <w:rFonts w:ascii="仿宋_GB2312" w:hAnsi="仿宋_GB2312" w:eastAsia="仿宋_GB2312" w:cs="仿宋_GB2312"/>
          <w:color w:val="000000"/>
          <w:kern w:val="0"/>
          <w:sz w:val="28"/>
          <w:szCs w:val="28"/>
        </w:rPr>
        <w:t>封面；</w:t>
      </w:r>
    </w:p>
    <w:p>
      <w:pPr>
        <w:spacing w:line="360" w:lineRule="auto"/>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2.2</w:t>
      </w:r>
      <w:r>
        <w:rPr>
          <w:rFonts w:ascii="仿宋_GB2312" w:hAnsi="仿宋_GB2312" w:eastAsia="仿宋_GB2312" w:cs="仿宋_GB2312"/>
          <w:color w:val="000000"/>
          <w:kern w:val="0"/>
          <w:sz w:val="28"/>
          <w:szCs w:val="28"/>
        </w:rPr>
        <w:t>目录；</w:t>
      </w:r>
    </w:p>
    <w:p>
      <w:pPr>
        <w:spacing w:line="360" w:lineRule="auto"/>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2.3</w:t>
      </w:r>
      <w:r>
        <w:rPr>
          <w:rFonts w:ascii="仿宋_GB2312" w:hAnsi="仿宋_GB2312" w:eastAsia="仿宋_GB2312" w:cs="仿宋_GB2312"/>
          <w:color w:val="000000"/>
          <w:kern w:val="0"/>
          <w:sz w:val="28"/>
          <w:szCs w:val="28"/>
        </w:rPr>
        <w:t>评分索引表（格式见附件，主要用于评标委员会对应评分内容）；</w:t>
      </w:r>
    </w:p>
    <w:p>
      <w:pPr>
        <w:snapToGrid w:val="0"/>
        <w:spacing w:after="240" w:line="360" w:lineRule="auto"/>
        <w:ind w:firstLine="551" w:firstLineChars="196"/>
        <w:jc w:val="left"/>
        <w:rPr>
          <w:rFonts w:ascii="仿宋_GB2312" w:hAnsi="仿宋_GB2312" w:eastAsia="仿宋_GB2312" w:cs="仿宋_GB2312"/>
          <w:b/>
          <w:color w:val="000000"/>
          <w:kern w:val="0"/>
          <w:sz w:val="28"/>
          <w:szCs w:val="28"/>
          <w:u w:val="single"/>
        </w:rPr>
      </w:pPr>
      <w:r>
        <w:rPr>
          <w:rFonts w:ascii="仿宋_GB2312" w:hAnsi="仿宋_GB2312" w:eastAsia="仿宋_GB2312" w:cs="仿宋_GB2312"/>
          <w:b/>
          <w:color w:val="000000"/>
          <w:kern w:val="0"/>
          <w:sz w:val="28"/>
          <w:szCs w:val="28"/>
          <w:u w:val="single"/>
        </w:rPr>
        <w:t>未尽事宜请各投标人按评分标准技术部分制作。</w:t>
      </w:r>
    </w:p>
    <w:p>
      <w:pPr>
        <w:snapToGrid w:val="0"/>
        <w:spacing w:line="360" w:lineRule="auto"/>
        <w:ind w:firstLine="548" w:firstLineChars="196"/>
        <w:jc w:val="left"/>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3.报价文件包括：</w:t>
      </w:r>
    </w:p>
    <w:p>
      <w:pPr>
        <w:spacing w:line="360" w:lineRule="auto"/>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3.1封面；</w:t>
      </w:r>
    </w:p>
    <w:p>
      <w:pPr>
        <w:spacing w:line="360" w:lineRule="auto"/>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3.2投标一览表（格式见附件）；</w:t>
      </w:r>
    </w:p>
    <w:p>
      <w:pPr>
        <w:spacing w:line="360" w:lineRule="auto"/>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3.3报价明细表（格式见附件）；</w:t>
      </w:r>
    </w:p>
    <w:p>
      <w:pPr>
        <w:spacing w:line="360" w:lineRule="auto"/>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3.4人员费用明细</w:t>
      </w:r>
    </w:p>
    <w:p>
      <w:pPr>
        <w:spacing w:line="360" w:lineRule="auto"/>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3.5中小企业声明函（格式见附件，</w:t>
      </w:r>
      <w:r>
        <w:rPr>
          <w:rFonts w:hint="eastAsia" w:ascii="仿宋_GB2312" w:hAnsi="仿宋_GB2312" w:eastAsia="仿宋_GB2312" w:cs="仿宋_GB2312"/>
          <w:color w:val="000000"/>
          <w:kern w:val="0"/>
          <w:sz w:val="28"/>
          <w:szCs w:val="28"/>
          <w:u w:val="single"/>
        </w:rPr>
        <w:t>未按附件格式内容提供的由投标人自行承担可能被视作无效标的风险）；</w:t>
      </w:r>
    </w:p>
    <w:p>
      <w:pPr>
        <w:spacing w:line="360" w:lineRule="auto"/>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3.6残疾人福利企业声明函（若有，格式见附件）；</w:t>
      </w:r>
    </w:p>
    <w:p>
      <w:pPr>
        <w:spacing w:line="360" w:lineRule="auto"/>
        <w:ind w:firstLine="560" w:firstLineChars="200"/>
        <w:rPr>
          <w:rFonts w:ascii="仿宋_GB2312" w:hAnsi="仿宋_GB2312" w:eastAsia="仿宋_GB2312" w:cs="仿宋_GB2312"/>
          <w:color w:val="000000"/>
          <w:kern w:val="0"/>
          <w:sz w:val="28"/>
          <w:szCs w:val="28"/>
          <w:u w:val="single"/>
        </w:rPr>
      </w:pPr>
      <w:r>
        <w:rPr>
          <w:rFonts w:hint="eastAsia" w:ascii="仿宋_GB2312" w:hAnsi="仿宋_GB2312" w:eastAsia="仿宋_GB2312" w:cs="仿宋_GB2312"/>
          <w:color w:val="000000"/>
          <w:kern w:val="0"/>
          <w:sz w:val="28"/>
          <w:szCs w:val="28"/>
        </w:rPr>
        <w:t>3.7投标人针对报价需要说明的其他文件和说明（格式自拟）。</w:t>
      </w:r>
      <w:r>
        <w:rPr>
          <w:rFonts w:ascii="仿宋_GB2312" w:hAnsi="仿宋_GB2312" w:eastAsia="仿宋_GB2312" w:cs="仿宋_GB2312"/>
          <w:color w:val="000000"/>
          <w:kern w:val="0"/>
          <w:sz w:val="28"/>
          <w:szCs w:val="28"/>
          <w:u w:val="single"/>
        </w:rPr>
        <w:t>注：法定代表人授权委托书、投标函、投标报价明细表必须按招标文件格式要求正确签署并加盖投标人公章。资质文件、技术及商务文件中不得出现项目报价信息</w:t>
      </w:r>
      <w:r>
        <w:rPr>
          <w:rFonts w:hint="eastAsia" w:ascii="仿宋_GB2312" w:hAnsi="仿宋_GB2312" w:eastAsia="仿宋_GB2312" w:cs="仿宋_GB2312"/>
          <w:color w:val="000000"/>
          <w:kern w:val="0"/>
          <w:sz w:val="28"/>
          <w:szCs w:val="28"/>
          <w:u w:val="single"/>
        </w:rPr>
        <w:t>。</w:t>
      </w:r>
      <w:r>
        <w:rPr>
          <w:rFonts w:ascii="仿宋_GB2312" w:hAnsi="仿宋_GB2312" w:eastAsia="仿宋_GB2312" w:cs="仿宋_GB2312"/>
          <w:color w:val="000000"/>
          <w:kern w:val="0"/>
          <w:sz w:val="28"/>
          <w:szCs w:val="28"/>
          <w:u w:val="single"/>
        </w:rPr>
        <w:t>否则将作无效标处理。</w:t>
      </w:r>
    </w:p>
    <w:p>
      <w:pPr>
        <w:snapToGrid w:val="0"/>
        <w:spacing w:line="360" w:lineRule="auto"/>
        <w:ind w:firstLine="548" w:firstLineChars="196"/>
        <w:jc w:val="left"/>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（三）投标文件的语言及计量</w:t>
      </w:r>
    </w:p>
    <w:p>
      <w:pPr>
        <w:snapToGrid w:val="0"/>
        <w:spacing w:line="360" w:lineRule="auto"/>
        <w:ind w:firstLine="560" w:firstLineChars="200"/>
        <w:jc w:val="left"/>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1、投标文件以及投标人与招标方就有关投标事宜的所有来往函电，均应以中文简体字书写。除签名、盖章、专用名称等特殊情形外，投标文件中以中文汉语以外的文字表述部分视同未提供。</w:t>
      </w:r>
    </w:p>
    <w:p>
      <w:pPr>
        <w:snapToGrid w:val="0"/>
        <w:spacing w:line="360" w:lineRule="auto"/>
        <w:ind w:firstLine="560" w:firstLineChars="200"/>
        <w:jc w:val="left"/>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2、投标计量单位，招标文件已有明确规定的，使用招标文件规定的计量单位；招标文件没有规定的，应采用中华人民共和国法定计量单位（货币单位：人民币元），否则将作无效标处理。</w:t>
      </w:r>
    </w:p>
    <w:p>
      <w:pPr>
        <w:pStyle w:val="17"/>
        <w:tabs>
          <w:tab w:val="left" w:pos="720"/>
          <w:tab w:val="clear" w:pos="360"/>
        </w:tabs>
        <w:snapToGrid w:val="0"/>
        <w:spacing w:beforeLines="50" w:line="360" w:lineRule="auto"/>
        <w:ind w:left="0" w:firstLine="548" w:firstLineChars="196"/>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（四）投标有效期</w:t>
      </w:r>
    </w:p>
    <w:p>
      <w:pPr>
        <w:tabs>
          <w:tab w:val="left" w:pos="7740"/>
        </w:tabs>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1、投标有效期为自投标文件提交截止之日起90日历天。在此期限内，凡符合本招标文件要求的投标文件均保持有效。投标有效期不足的投标文件将作无效标处理。</w:t>
      </w: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2、中标人的投标文件自开标之日起至合同履行完毕止均应保持有效。</w:t>
      </w:r>
    </w:p>
    <w:p>
      <w:pPr>
        <w:snapToGrid w:val="0"/>
        <w:spacing w:beforeLines="50" w:line="360" w:lineRule="auto"/>
        <w:ind w:firstLine="548" w:firstLineChars="196"/>
        <w:jc w:val="left"/>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（五）投标文件的</w:t>
      </w:r>
      <w:r>
        <w:rPr>
          <w:rFonts w:hint="eastAsia" w:ascii="仿宋_GB2312" w:hAnsi="仿宋_GB2312" w:eastAsia="仿宋_GB2312" w:cs="仿宋_GB2312"/>
          <w:color w:val="000000"/>
          <w:kern w:val="0"/>
          <w:sz w:val="28"/>
          <w:szCs w:val="28"/>
        </w:rPr>
        <w:t>制作</w:t>
      </w:r>
    </w:p>
    <w:p>
      <w:pPr>
        <w:snapToGrid w:val="0"/>
        <w:spacing w:beforeLines="50" w:line="360" w:lineRule="auto"/>
        <w:ind w:firstLine="548" w:firstLineChars="196"/>
        <w:jc w:val="left"/>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投标人应根据“政采云供应商项目采购-电子招投标操作指南”及本招标文件规定的格式和顺序编制电子投标文件并进行关联定位。</w:t>
      </w:r>
    </w:p>
    <w:p>
      <w:pPr>
        <w:snapToGrid w:val="0"/>
        <w:spacing w:beforeLines="50" w:line="360" w:lineRule="auto"/>
        <w:ind w:firstLine="548" w:firstLineChars="196"/>
        <w:jc w:val="left"/>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（六）投标报价</w:t>
      </w:r>
    </w:p>
    <w:p>
      <w:pPr>
        <w:tabs>
          <w:tab w:val="left" w:pos="525"/>
        </w:tabs>
        <w:snapToGrid w:val="0"/>
        <w:spacing w:line="360" w:lineRule="auto"/>
        <w:ind w:firstLine="560" w:firstLineChars="200"/>
        <w:jc w:val="left"/>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1、投标文件只允许有一个报价，投标报价应按招标文件中相关附表格式填报，该投标报价应与明细报价汇总相等，且不允许出现报价优惠等字样（明细出现“0”元，视同赠送）。</w:t>
      </w:r>
    </w:p>
    <w:p>
      <w:pPr>
        <w:pStyle w:val="38"/>
        <w:snapToGrid w:val="0"/>
        <w:spacing w:before="120" w:line="360" w:lineRule="auto"/>
        <w:ind w:firstLine="560" w:firstLineChars="200"/>
        <w:jc w:val="left"/>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2、投标报价应包含项目所需全部货物、服务，不得缺漏，是履行合同的最终价格（含</w:t>
      </w:r>
      <w:r>
        <w:rPr>
          <w:rFonts w:ascii="仿宋_GB2312" w:hAnsi="仿宋_GB2312" w:eastAsia="仿宋_GB2312" w:cs="仿宋_GB2312"/>
          <w:color w:val="000000"/>
          <w:kern w:val="0"/>
          <w:szCs w:val="21"/>
        </w:rPr>
        <w:t>人工费用(工资、社保、人身意外伤害保险、高温补贴、法定节假日加班费、福利、服装、其他等）、物耗费用、添置费用、管理酬金、税费等项目涉及的所有费用</w:t>
      </w:r>
      <w:r>
        <w:rPr>
          <w:rFonts w:ascii="仿宋_GB2312" w:hAnsi="仿宋_GB2312" w:eastAsia="仿宋_GB2312" w:cs="仿宋_GB2312"/>
          <w:color w:val="000000"/>
          <w:kern w:val="0"/>
          <w:szCs w:val="28"/>
        </w:rPr>
        <w:t>）。</w:t>
      </w:r>
    </w:p>
    <w:p>
      <w:pPr>
        <w:pStyle w:val="38"/>
        <w:snapToGrid w:val="0"/>
        <w:spacing w:before="120" w:line="360" w:lineRule="auto"/>
        <w:ind w:firstLine="560" w:firstLineChars="200"/>
        <w:jc w:val="left"/>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3、投标报价总价金额到元为止，如投标报价总价出现角、分，将被抹除。</w:t>
      </w:r>
    </w:p>
    <w:p>
      <w:pPr>
        <w:snapToGrid w:val="0"/>
        <w:spacing w:line="360" w:lineRule="auto"/>
        <w:ind w:firstLine="414" w:firstLineChars="148"/>
        <w:jc w:val="left"/>
        <w:outlineLvl w:val="1"/>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w:t>
      </w:r>
      <w:r>
        <w:rPr>
          <w:rFonts w:hint="eastAsia" w:ascii="仿宋_GB2312" w:hAnsi="仿宋_GB2312" w:eastAsia="仿宋_GB2312" w:cs="仿宋_GB2312"/>
          <w:color w:val="000000"/>
          <w:kern w:val="0"/>
          <w:sz w:val="28"/>
          <w:szCs w:val="28"/>
        </w:rPr>
        <w:t>七</w:t>
      </w:r>
      <w:r>
        <w:rPr>
          <w:rFonts w:ascii="仿宋_GB2312" w:hAnsi="仿宋_GB2312" w:eastAsia="仿宋_GB2312" w:cs="仿宋_GB2312"/>
          <w:color w:val="000000"/>
          <w:kern w:val="0"/>
          <w:sz w:val="28"/>
          <w:szCs w:val="28"/>
        </w:rPr>
        <w:t>）投标文件的提交</w:t>
      </w:r>
      <w:r>
        <w:rPr>
          <w:rFonts w:hint="eastAsia" w:ascii="仿宋_GB2312" w:hAnsi="仿宋_GB2312" w:eastAsia="仿宋_GB2312" w:cs="仿宋_GB2312"/>
          <w:color w:val="000000"/>
          <w:kern w:val="0"/>
          <w:sz w:val="28"/>
          <w:szCs w:val="28"/>
        </w:rPr>
        <w:t>、</w:t>
      </w:r>
      <w:r>
        <w:rPr>
          <w:rFonts w:ascii="仿宋_GB2312" w:hAnsi="仿宋_GB2312" w:eastAsia="仿宋_GB2312" w:cs="仿宋_GB2312"/>
          <w:color w:val="000000"/>
          <w:kern w:val="0"/>
          <w:sz w:val="28"/>
          <w:szCs w:val="28"/>
        </w:rPr>
        <w:t>补充和修改</w:t>
      </w:r>
      <w:r>
        <w:rPr>
          <w:rFonts w:hint="eastAsia" w:ascii="仿宋_GB2312" w:hAnsi="仿宋_GB2312" w:eastAsia="仿宋_GB2312" w:cs="仿宋_GB2312"/>
          <w:color w:val="000000"/>
          <w:kern w:val="0"/>
          <w:sz w:val="28"/>
          <w:szCs w:val="28"/>
        </w:rPr>
        <w:t>：</w:t>
      </w:r>
    </w:p>
    <w:p>
      <w:pPr>
        <w:snapToGrid w:val="0"/>
        <w:spacing w:line="360" w:lineRule="auto"/>
        <w:ind w:firstLine="414" w:firstLineChars="148"/>
        <w:jc w:val="left"/>
        <w:outlineLvl w:val="1"/>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见招标公告。</w:t>
      </w:r>
    </w:p>
    <w:p>
      <w:pPr>
        <w:snapToGrid w:val="0"/>
        <w:spacing w:line="360" w:lineRule="auto"/>
        <w:ind w:firstLine="414" w:firstLineChars="148"/>
        <w:jc w:val="left"/>
        <w:outlineLvl w:val="1"/>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w:t>
      </w:r>
      <w:r>
        <w:rPr>
          <w:rFonts w:hint="eastAsia" w:ascii="仿宋_GB2312" w:hAnsi="仿宋_GB2312" w:eastAsia="仿宋_GB2312" w:cs="仿宋_GB2312"/>
          <w:color w:val="000000"/>
          <w:kern w:val="0"/>
          <w:sz w:val="28"/>
          <w:szCs w:val="28"/>
        </w:rPr>
        <w:t>八</w:t>
      </w:r>
      <w:r>
        <w:rPr>
          <w:rFonts w:ascii="仿宋_GB2312" w:hAnsi="仿宋_GB2312" w:eastAsia="仿宋_GB2312" w:cs="仿宋_GB2312"/>
          <w:color w:val="000000"/>
          <w:kern w:val="0"/>
          <w:sz w:val="28"/>
          <w:szCs w:val="28"/>
        </w:rPr>
        <w:t>）串通投标认定</w:t>
      </w:r>
    </w:p>
    <w:p>
      <w:pPr>
        <w:snapToGrid w:val="0"/>
        <w:spacing w:line="360" w:lineRule="auto"/>
        <w:ind w:firstLine="414" w:firstLineChars="148"/>
        <w:jc w:val="left"/>
        <w:outlineLvl w:val="1"/>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有下列情形之一的，视为投标人串通投标，其投标无效：</w:t>
      </w:r>
    </w:p>
    <w:p>
      <w:pPr>
        <w:snapToGrid w:val="0"/>
        <w:spacing w:line="360" w:lineRule="auto"/>
        <w:ind w:firstLine="414" w:firstLineChars="148"/>
        <w:jc w:val="left"/>
        <w:outlineLvl w:val="1"/>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1、不同投标人的投标文件由同一单位或者个人编制；</w:t>
      </w:r>
    </w:p>
    <w:p>
      <w:pPr>
        <w:snapToGrid w:val="0"/>
        <w:spacing w:line="360" w:lineRule="auto"/>
        <w:ind w:firstLine="414" w:firstLineChars="148"/>
        <w:jc w:val="left"/>
        <w:outlineLvl w:val="1"/>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2、不同投标人委托同一单位或者个人办理投标事宜；</w:t>
      </w:r>
    </w:p>
    <w:p>
      <w:pPr>
        <w:snapToGrid w:val="0"/>
        <w:spacing w:line="360" w:lineRule="auto"/>
        <w:ind w:firstLine="414" w:firstLineChars="148"/>
        <w:jc w:val="left"/>
        <w:outlineLvl w:val="1"/>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3、不同投标人的投标文件载明的项目管理成员或者联系人员为同一人；</w:t>
      </w:r>
    </w:p>
    <w:p>
      <w:pPr>
        <w:snapToGrid w:val="0"/>
        <w:spacing w:line="360" w:lineRule="auto"/>
        <w:ind w:firstLine="414" w:firstLineChars="148"/>
        <w:jc w:val="left"/>
        <w:outlineLvl w:val="1"/>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4、不同投标人的投标文件异常一致或者投标报价呈规律性差异；</w:t>
      </w:r>
    </w:p>
    <w:p>
      <w:pPr>
        <w:snapToGrid w:val="0"/>
        <w:spacing w:line="360" w:lineRule="auto"/>
        <w:ind w:firstLine="414" w:firstLineChars="148"/>
        <w:jc w:val="left"/>
        <w:outlineLvl w:val="1"/>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5、不同投标人的投标文件出自同一终端设备或在相同Internet主机分配地址（相同IP地址）网上报名投标。</w:t>
      </w:r>
    </w:p>
    <w:p>
      <w:pPr>
        <w:pStyle w:val="38"/>
        <w:snapToGrid w:val="0"/>
        <w:spacing w:before="120" w:after="120" w:line="360" w:lineRule="auto"/>
        <w:ind w:left="759" w:leftChars="228" w:hanging="280" w:hangingChars="100"/>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w:t>
      </w:r>
      <w:r>
        <w:rPr>
          <w:rFonts w:hint="eastAsia" w:ascii="仿宋_GB2312" w:hAnsi="仿宋_GB2312" w:eastAsia="仿宋_GB2312" w:cs="仿宋_GB2312"/>
          <w:color w:val="000000"/>
          <w:kern w:val="0"/>
          <w:szCs w:val="28"/>
        </w:rPr>
        <w:t>九</w:t>
      </w:r>
      <w:r>
        <w:rPr>
          <w:rFonts w:ascii="仿宋_GB2312" w:hAnsi="仿宋_GB2312" w:eastAsia="仿宋_GB2312" w:cs="仿宋_GB2312"/>
          <w:color w:val="000000"/>
          <w:kern w:val="0"/>
          <w:szCs w:val="28"/>
        </w:rPr>
        <w:t>）投标无效的情形</w:t>
      </w:r>
    </w:p>
    <w:p>
      <w:pPr>
        <w:pStyle w:val="38"/>
        <w:snapToGrid w:val="0"/>
        <w:spacing w:before="120" w:after="120" w:line="360" w:lineRule="auto"/>
        <w:ind w:left="759" w:leftChars="228" w:hanging="280" w:hangingChars="100"/>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如发现下列情形之一的，投标文件将被视为无效：</w:t>
      </w:r>
    </w:p>
    <w:p>
      <w:pPr>
        <w:pStyle w:val="38"/>
        <w:snapToGrid w:val="0"/>
        <w:spacing w:before="120" w:after="120" w:line="360" w:lineRule="auto"/>
        <w:ind w:left="759" w:leftChars="228" w:hanging="280" w:hangingChars="100"/>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1</w:t>
      </w:r>
      <w:r>
        <w:rPr>
          <w:rFonts w:ascii="仿宋_GB2312" w:hAnsi="仿宋_GB2312" w:eastAsia="仿宋_GB2312" w:cs="仿宋_GB2312"/>
          <w:color w:val="000000"/>
          <w:kern w:val="0"/>
          <w:szCs w:val="28"/>
        </w:rPr>
        <w:t>、投标方未能提供合格的资格文件、投标有效期不足的；</w:t>
      </w:r>
    </w:p>
    <w:p>
      <w:pPr>
        <w:pStyle w:val="38"/>
        <w:snapToGrid w:val="0"/>
        <w:spacing w:before="120" w:after="120" w:line="360" w:lineRule="auto"/>
        <w:ind w:left="759" w:leftChars="228" w:hanging="280" w:hangingChars="100"/>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2</w:t>
      </w:r>
      <w:r>
        <w:rPr>
          <w:rFonts w:ascii="仿宋_GB2312" w:hAnsi="仿宋_GB2312" w:eastAsia="仿宋_GB2312" w:cs="仿宋_GB2312"/>
          <w:color w:val="000000"/>
          <w:kern w:val="0"/>
          <w:szCs w:val="28"/>
        </w:rPr>
        <w:t>、电子投标文件解密失败的；</w:t>
      </w:r>
    </w:p>
    <w:p>
      <w:pPr>
        <w:pStyle w:val="38"/>
        <w:snapToGrid w:val="0"/>
        <w:spacing w:before="120" w:after="120" w:line="360" w:lineRule="auto"/>
        <w:ind w:left="759" w:leftChars="228" w:hanging="280" w:hangingChars="100"/>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3</w:t>
      </w:r>
      <w:r>
        <w:rPr>
          <w:rFonts w:ascii="仿宋_GB2312" w:hAnsi="仿宋_GB2312" w:eastAsia="仿宋_GB2312" w:cs="仿宋_GB2312"/>
          <w:color w:val="000000"/>
          <w:kern w:val="0"/>
          <w:szCs w:val="28"/>
        </w:rPr>
        <w:t>、投标人被列入失信被执行人、重大税收违法案件当事人名单、政府采购严重违法失信行为记录名单的；</w:t>
      </w:r>
    </w:p>
    <w:p>
      <w:pPr>
        <w:pStyle w:val="38"/>
        <w:snapToGrid w:val="0"/>
        <w:spacing w:before="120" w:after="120" w:line="360" w:lineRule="auto"/>
        <w:ind w:left="759" w:leftChars="228" w:hanging="280" w:hangingChars="100"/>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4</w:t>
      </w:r>
      <w:r>
        <w:rPr>
          <w:rFonts w:ascii="仿宋_GB2312" w:hAnsi="仿宋_GB2312" w:eastAsia="仿宋_GB2312" w:cs="仿宋_GB2312"/>
          <w:color w:val="000000"/>
          <w:kern w:val="0"/>
          <w:szCs w:val="28"/>
        </w:rPr>
        <w:t>、投标文件未按招标文件要求签署、盖章的；</w:t>
      </w:r>
    </w:p>
    <w:p>
      <w:pPr>
        <w:pStyle w:val="38"/>
        <w:snapToGrid w:val="0"/>
        <w:spacing w:before="120" w:after="120" w:line="360" w:lineRule="auto"/>
        <w:ind w:left="759" w:leftChars="228" w:hanging="280" w:hangingChars="100"/>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5</w:t>
      </w:r>
      <w:r>
        <w:rPr>
          <w:rFonts w:ascii="仿宋_GB2312" w:hAnsi="仿宋_GB2312" w:eastAsia="仿宋_GB2312" w:cs="仿宋_GB2312"/>
          <w:color w:val="000000"/>
          <w:kern w:val="0"/>
          <w:szCs w:val="28"/>
        </w:rPr>
        <w:t>、投标文件与招标文件有重大偏离、未满足带“★”号实质性指标的；</w:t>
      </w:r>
    </w:p>
    <w:p>
      <w:pPr>
        <w:pStyle w:val="38"/>
        <w:snapToGrid w:val="0"/>
        <w:spacing w:before="120" w:after="120" w:line="360" w:lineRule="auto"/>
        <w:ind w:left="759" w:leftChars="228" w:hanging="280" w:hangingChars="100"/>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6</w:t>
      </w:r>
      <w:r>
        <w:rPr>
          <w:rFonts w:ascii="仿宋_GB2312" w:hAnsi="仿宋_GB2312" w:eastAsia="仿宋_GB2312" w:cs="仿宋_GB2312"/>
          <w:color w:val="000000"/>
          <w:kern w:val="0"/>
          <w:szCs w:val="28"/>
        </w:rPr>
        <w:t>、资质文件、技术及商务文件中出现投标价格信息的、投标报价超出招标文件中规定的预算金额或者最高限价的；</w:t>
      </w:r>
    </w:p>
    <w:p>
      <w:pPr>
        <w:pStyle w:val="38"/>
        <w:snapToGrid w:val="0"/>
        <w:spacing w:before="120" w:after="120" w:line="360" w:lineRule="auto"/>
        <w:ind w:left="759" w:leftChars="228" w:hanging="280" w:hangingChars="100"/>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7</w:t>
      </w:r>
      <w:r>
        <w:rPr>
          <w:rFonts w:ascii="仿宋_GB2312" w:hAnsi="仿宋_GB2312" w:eastAsia="仿宋_GB2312" w:cs="仿宋_GB2312"/>
          <w:color w:val="000000"/>
          <w:kern w:val="0"/>
          <w:szCs w:val="28"/>
        </w:rPr>
        <w:t>、标项以赠送方式投标的、对一个标项提供两个投标方案或两个报价的；</w:t>
      </w:r>
    </w:p>
    <w:p>
      <w:pPr>
        <w:pStyle w:val="38"/>
        <w:snapToGrid w:val="0"/>
        <w:spacing w:before="120" w:after="120" w:line="360" w:lineRule="auto"/>
        <w:ind w:left="759" w:leftChars="228" w:hanging="280" w:hangingChars="100"/>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8</w:t>
      </w:r>
      <w:r>
        <w:rPr>
          <w:rFonts w:ascii="仿宋_GB2312" w:hAnsi="仿宋_GB2312" w:eastAsia="仿宋_GB2312" w:cs="仿宋_GB2312"/>
          <w:color w:val="000000"/>
          <w:kern w:val="0"/>
          <w:szCs w:val="28"/>
        </w:rPr>
        <w:t>、评标委员会认为投标人的报价明显低于其他通过符合性审查投标人的报价，有可能影响产品质量或者不能诚信履约，且在评标现场合理的时间内不能证明其报价合理性的；</w:t>
      </w:r>
    </w:p>
    <w:p>
      <w:pPr>
        <w:pStyle w:val="38"/>
        <w:snapToGrid w:val="0"/>
        <w:spacing w:before="120" w:after="120" w:line="360" w:lineRule="auto"/>
        <w:ind w:left="759" w:leftChars="228" w:hanging="280" w:hangingChars="100"/>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9</w:t>
      </w:r>
      <w:r>
        <w:rPr>
          <w:rFonts w:ascii="仿宋_GB2312" w:hAnsi="仿宋_GB2312" w:eastAsia="仿宋_GB2312" w:cs="仿宋_GB2312"/>
          <w:color w:val="000000"/>
          <w:kern w:val="0"/>
          <w:szCs w:val="28"/>
        </w:rPr>
        <w:t>、投标人不接受报价文件中修正后的报价的；</w:t>
      </w:r>
    </w:p>
    <w:p>
      <w:pPr>
        <w:pStyle w:val="38"/>
        <w:snapToGrid w:val="0"/>
        <w:spacing w:before="120" w:after="120" w:line="360" w:lineRule="auto"/>
        <w:ind w:left="759" w:leftChars="228" w:hanging="280" w:hangingChars="100"/>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10</w:t>
      </w:r>
      <w:r>
        <w:rPr>
          <w:rFonts w:ascii="仿宋_GB2312" w:hAnsi="仿宋_GB2312" w:eastAsia="仿宋_GB2312" w:cs="仿宋_GB2312"/>
          <w:color w:val="000000"/>
          <w:kern w:val="0"/>
          <w:szCs w:val="28"/>
        </w:rPr>
        <w:t>、未按本章“</w:t>
      </w:r>
      <w:r>
        <w:rPr>
          <w:rFonts w:hint="eastAsia" w:ascii="仿宋_GB2312" w:hAnsi="仿宋_GB2312" w:eastAsia="仿宋_GB2312" w:cs="仿宋_GB2312"/>
          <w:color w:val="000000"/>
          <w:kern w:val="0"/>
          <w:szCs w:val="28"/>
        </w:rPr>
        <w:t>三</w:t>
      </w:r>
      <w:r>
        <w:rPr>
          <w:rFonts w:ascii="仿宋_GB2312" w:hAnsi="仿宋_GB2312" w:eastAsia="仿宋_GB2312" w:cs="仿宋_GB2312"/>
          <w:color w:val="000000"/>
          <w:kern w:val="0"/>
          <w:szCs w:val="28"/>
        </w:rPr>
        <w:t>、投标文件</w:t>
      </w:r>
      <w:r>
        <w:rPr>
          <w:rFonts w:hint="eastAsia" w:ascii="仿宋_GB2312" w:hAnsi="仿宋_GB2312" w:eastAsia="仿宋_GB2312" w:cs="仿宋_GB2312"/>
          <w:color w:val="000000"/>
          <w:kern w:val="0"/>
          <w:szCs w:val="28"/>
        </w:rPr>
        <w:t>（六）</w:t>
      </w:r>
      <w:r>
        <w:rPr>
          <w:rFonts w:ascii="仿宋_GB2312" w:hAnsi="仿宋_GB2312" w:eastAsia="仿宋_GB2312" w:cs="仿宋_GB2312"/>
          <w:color w:val="000000"/>
          <w:kern w:val="0"/>
          <w:szCs w:val="28"/>
        </w:rPr>
        <w:t>投标报价</w:t>
      </w:r>
      <w:r>
        <w:rPr>
          <w:rFonts w:hint="eastAsia" w:ascii="仿宋_GB2312" w:hAnsi="仿宋_GB2312" w:eastAsia="仿宋_GB2312" w:cs="仿宋_GB2312"/>
          <w:color w:val="000000"/>
          <w:kern w:val="0"/>
          <w:szCs w:val="28"/>
        </w:rPr>
        <w:t>”</w:t>
      </w:r>
      <w:r>
        <w:rPr>
          <w:rFonts w:ascii="仿宋_GB2312" w:hAnsi="仿宋_GB2312" w:eastAsia="仿宋_GB2312" w:cs="仿宋_GB2312"/>
          <w:color w:val="000000"/>
          <w:kern w:val="0"/>
          <w:szCs w:val="28"/>
        </w:rPr>
        <w:t>要求报价的；</w:t>
      </w:r>
    </w:p>
    <w:p>
      <w:pPr>
        <w:pStyle w:val="38"/>
        <w:snapToGrid w:val="0"/>
        <w:spacing w:before="120" w:after="120" w:line="360" w:lineRule="auto"/>
        <w:ind w:left="759" w:leftChars="228" w:hanging="280" w:hangingChars="100"/>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11、评审委员会要求</w:t>
      </w:r>
      <w:r>
        <w:rPr>
          <w:rFonts w:hint="eastAsia" w:ascii="仿宋_GB2312" w:hAnsi="仿宋_GB2312" w:eastAsia="仿宋_GB2312" w:cs="仿宋_GB2312"/>
          <w:color w:val="000000"/>
          <w:kern w:val="0"/>
          <w:szCs w:val="28"/>
          <w:lang w:eastAsia="zh-CN"/>
        </w:rPr>
        <w:t>投标</w:t>
      </w:r>
      <w:r>
        <w:rPr>
          <w:rFonts w:hint="eastAsia" w:ascii="仿宋_GB2312" w:hAnsi="仿宋_GB2312" w:eastAsia="仿宋_GB2312" w:cs="仿宋_GB2312"/>
          <w:color w:val="000000"/>
          <w:kern w:val="0"/>
          <w:szCs w:val="28"/>
        </w:rPr>
        <w:t>人予以澄清说明的事项，</w:t>
      </w:r>
      <w:r>
        <w:rPr>
          <w:rFonts w:hint="eastAsia" w:ascii="仿宋_GB2312" w:hAnsi="仿宋_GB2312" w:eastAsia="仿宋_GB2312" w:cs="仿宋_GB2312"/>
          <w:color w:val="000000"/>
          <w:kern w:val="0"/>
          <w:szCs w:val="28"/>
          <w:lang w:eastAsia="zh-CN"/>
        </w:rPr>
        <w:t>投标</w:t>
      </w:r>
      <w:r>
        <w:rPr>
          <w:rFonts w:hint="eastAsia" w:ascii="仿宋_GB2312" w:hAnsi="仿宋_GB2312" w:eastAsia="仿宋_GB2312" w:cs="仿宋_GB2312"/>
          <w:color w:val="000000"/>
          <w:kern w:val="0"/>
          <w:szCs w:val="28"/>
        </w:rPr>
        <w:t>人拒绝澄清说明的；</w:t>
      </w:r>
    </w:p>
    <w:p>
      <w:pPr>
        <w:pStyle w:val="38"/>
        <w:snapToGrid w:val="0"/>
        <w:spacing w:before="120" w:after="120" w:line="360" w:lineRule="auto"/>
        <w:ind w:left="759" w:leftChars="228" w:hanging="280" w:hangingChars="100"/>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12、单位负责人为同一人或者存在直接控股、管理关系的不同供应商同时参加本项目的（均无效）；</w:t>
      </w:r>
    </w:p>
    <w:p>
      <w:pPr>
        <w:pStyle w:val="38"/>
        <w:snapToGrid w:val="0"/>
        <w:spacing w:before="120" w:after="120" w:line="360" w:lineRule="auto"/>
        <w:ind w:left="759" w:leftChars="228" w:hanging="280" w:hangingChars="100"/>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1</w:t>
      </w:r>
      <w:r>
        <w:rPr>
          <w:rFonts w:hint="eastAsia" w:ascii="仿宋_GB2312" w:hAnsi="仿宋_GB2312" w:eastAsia="仿宋_GB2312" w:cs="仿宋_GB2312"/>
          <w:color w:val="000000"/>
          <w:kern w:val="0"/>
          <w:szCs w:val="28"/>
        </w:rPr>
        <w:t>3</w:t>
      </w:r>
      <w:r>
        <w:rPr>
          <w:rFonts w:ascii="仿宋_GB2312" w:hAnsi="仿宋_GB2312" w:eastAsia="仿宋_GB2312" w:cs="仿宋_GB2312"/>
          <w:color w:val="000000"/>
          <w:kern w:val="0"/>
          <w:szCs w:val="28"/>
        </w:rPr>
        <w:t>、投标文件含有采购人不能接受的附加条件的；</w:t>
      </w:r>
    </w:p>
    <w:p>
      <w:pPr>
        <w:pStyle w:val="38"/>
        <w:snapToGrid w:val="0"/>
        <w:spacing w:before="120" w:after="120" w:line="360" w:lineRule="auto"/>
        <w:ind w:left="759" w:leftChars="228" w:hanging="280" w:hangingChars="100"/>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1</w:t>
      </w:r>
      <w:r>
        <w:rPr>
          <w:rFonts w:hint="eastAsia" w:ascii="仿宋_GB2312" w:hAnsi="仿宋_GB2312" w:eastAsia="仿宋_GB2312" w:cs="仿宋_GB2312"/>
          <w:color w:val="000000"/>
          <w:kern w:val="0"/>
          <w:szCs w:val="28"/>
        </w:rPr>
        <w:t>4</w:t>
      </w:r>
      <w:r>
        <w:rPr>
          <w:rFonts w:ascii="仿宋_GB2312" w:hAnsi="仿宋_GB2312" w:eastAsia="仿宋_GB2312" w:cs="仿宋_GB2312"/>
          <w:color w:val="000000"/>
          <w:kern w:val="0"/>
          <w:szCs w:val="28"/>
        </w:rPr>
        <w:t>、投标人被视为串通投标的；</w:t>
      </w:r>
    </w:p>
    <w:p>
      <w:pPr>
        <w:pStyle w:val="38"/>
        <w:snapToGrid w:val="0"/>
        <w:spacing w:before="120" w:after="120" w:line="360" w:lineRule="auto"/>
        <w:ind w:left="759" w:leftChars="228" w:hanging="280" w:hangingChars="100"/>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1</w:t>
      </w:r>
      <w:r>
        <w:rPr>
          <w:rFonts w:hint="eastAsia" w:ascii="仿宋_GB2312" w:hAnsi="仿宋_GB2312" w:eastAsia="仿宋_GB2312" w:cs="仿宋_GB2312"/>
          <w:color w:val="000000"/>
          <w:kern w:val="0"/>
          <w:szCs w:val="28"/>
        </w:rPr>
        <w:t>5</w:t>
      </w:r>
      <w:r>
        <w:rPr>
          <w:rFonts w:ascii="仿宋_GB2312" w:hAnsi="仿宋_GB2312" w:eastAsia="仿宋_GB2312" w:cs="仿宋_GB2312"/>
          <w:color w:val="000000"/>
          <w:kern w:val="0"/>
          <w:szCs w:val="28"/>
        </w:rPr>
        <w:t>、不符合法律、法规和本招标文件规定的其他实质性要求的。</w:t>
      </w:r>
    </w:p>
    <w:p>
      <w:pPr>
        <w:pStyle w:val="38"/>
        <w:snapToGrid w:val="0"/>
        <w:spacing w:before="120" w:after="120" w:line="360" w:lineRule="auto"/>
        <w:ind w:left="759" w:leftChars="228" w:hanging="280" w:hangingChars="100"/>
        <w:rPr>
          <w:rFonts w:ascii="仿宋_GB2312" w:hAnsi="仿宋_GB2312" w:eastAsia="仿宋_GB2312" w:cs="仿宋_GB2312"/>
          <w:color w:val="000000"/>
          <w:kern w:val="0"/>
          <w:szCs w:val="28"/>
        </w:rPr>
      </w:pPr>
      <w:bookmarkStart w:id="10" w:name="_Toc360457878"/>
      <w:bookmarkStart w:id="11" w:name="_Toc345423467"/>
      <w:r>
        <w:rPr>
          <w:rFonts w:ascii="仿宋_GB2312" w:hAnsi="仿宋_GB2312" w:eastAsia="仿宋_GB2312" w:cs="仿宋_GB2312"/>
          <w:color w:val="000000"/>
          <w:kern w:val="0"/>
          <w:szCs w:val="28"/>
        </w:rPr>
        <w:t>（十）错误修正</w:t>
      </w:r>
    </w:p>
    <w:p>
      <w:pPr>
        <w:snapToGrid w:val="0"/>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投标文件报价出现前后不一致的，除招标文件另有规定外，按照下列规定修正：</w:t>
      </w:r>
    </w:p>
    <w:p>
      <w:pPr>
        <w:pStyle w:val="66"/>
        <w:ind w:left="0" w:leftChars="0" w:firstLine="560"/>
        <w:rPr>
          <w:rFonts w:ascii="仿宋_GB2312" w:hAnsi="仿宋_GB2312" w:eastAsia="仿宋_GB2312" w:cs="仿宋_GB2312"/>
          <w:kern w:val="0"/>
          <w:szCs w:val="28"/>
        </w:rPr>
      </w:pPr>
      <w:r>
        <w:rPr>
          <w:rFonts w:hint="eastAsia" w:ascii="仿宋_GB2312" w:hAnsi="仿宋_GB2312" w:eastAsia="仿宋_GB2312" w:cs="仿宋_GB2312"/>
          <w:kern w:val="0"/>
          <w:szCs w:val="28"/>
        </w:rPr>
        <w:t>1、政采云平台输入的开标记录表报价与电子投标文件中的报价文件不一致的，以政采云平台输入的开标记录表为准；</w:t>
      </w:r>
    </w:p>
    <w:p>
      <w:pPr>
        <w:snapToGrid w:val="0"/>
        <w:spacing w:line="360" w:lineRule="auto"/>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ascii="仿宋_GB2312" w:hAnsi="仿宋_GB2312" w:eastAsia="仿宋_GB2312" w:cs="仿宋_GB2312"/>
          <w:color w:val="000000"/>
          <w:kern w:val="0"/>
          <w:sz w:val="28"/>
          <w:szCs w:val="28"/>
        </w:rPr>
        <w:t>电子投标文件中报价明细表内容与电子投标文件中相应内容不一致的，以报价明细表为准；</w:t>
      </w:r>
    </w:p>
    <w:p>
      <w:pPr>
        <w:snapToGrid w:val="0"/>
        <w:spacing w:line="360" w:lineRule="auto"/>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3、</w:t>
      </w:r>
      <w:r>
        <w:rPr>
          <w:rFonts w:ascii="仿宋_GB2312" w:hAnsi="仿宋_GB2312" w:eastAsia="仿宋_GB2312" w:cs="仿宋_GB2312"/>
          <w:color w:val="000000"/>
          <w:kern w:val="0"/>
          <w:sz w:val="28"/>
          <w:szCs w:val="28"/>
        </w:rPr>
        <w:t>大写金额和小写金额不一致的，以大写金额为准；</w:t>
      </w:r>
    </w:p>
    <w:p>
      <w:pPr>
        <w:snapToGrid w:val="0"/>
        <w:spacing w:line="360" w:lineRule="auto"/>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4、</w:t>
      </w:r>
      <w:r>
        <w:rPr>
          <w:rFonts w:ascii="仿宋_GB2312" w:hAnsi="仿宋_GB2312" w:eastAsia="仿宋_GB2312" w:cs="仿宋_GB2312"/>
          <w:color w:val="000000"/>
          <w:kern w:val="0"/>
          <w:sz w:val="28"/>
          <w:szCs w:val="28"/>
        </w:rPr>
        <w:t>单价金额小数点或者百分比有明显错位的，以报价明细表的总价为准，并修改单价；</w:t>
      </w:r>
    </w:p>
    <w:p>
      <w:pPr>
        <w:snapToGrid w:val="0"/>
        <w:spacing w:line="360" w:lineRule="auto"/>
        <w:ind w:firstLine="560" w:firstLineChars="20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5、</w:t>
      </w:r>
      <w:r>
        <w:rPr>
          <w:rFonts w:ascii="仿宋_GB2312" w:hAnsi="仿宋_GB2312" w:eastAsia="仿宋_GB2312" w:cs="仿宋_GB2312"/>
          <w:color w:val="000000"/>
          <w:kern w:val="0"/>
          <w:sz w:val="28"/>
          <w:szCs w:val="28"/>
        </w:rPr>
        <w:t>总价金额与按单价汇总金额不一致的，以单价金额计算结果为准。</w:t>
      </w:r>
    </w:p>
    <w:p>
      <w:pPr>
        <w:snapToGrid w:val="0"/>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同时出现两种以上不一致的，按照前款规定的顺序修正。修正后的报价按照经投标人加盖公章，或者由法定代表人/负责人或其授权的代表签字确认后产生约束力，投标人不确认的，其投标无效。</w:t>
      </w:r>
    </w:p>
    <w:p>
      <w:pPr>
        <w:pStyle w:val="2"/>
        <w:keepNext w:val="0"/>
        <w:keepLines w:val="0"/>
        <w:spacing w:line="360" w:lineRule="auto"/>
        <w:ind w:firstLine="548" w:firstLineChars="196"/>
        <w:jc w:val="center"/>
        <w:rPr>
          <w:rFonts w:ascii="仿宋_GB2312" w:hAnsi="仿宋_GB2312" w:eastAsia="仿宋_GB2312" w:cs="仿宋_GB2312"/>
          <w:b w:val="0"/>
          <w:bCs w:val="0"/>
          <w:color w:val="000000"/>
          <w:kern w:val="0"/>
          <w:sz w:val="28"/>
          <w:szCs w:val="28"/>
        </w:rPr>
      </w:pPr>
      <w:r>
        <w:rPr>
          <w:rFonts w:ascii="仿宋_GB2312" w:hAnsi="仿宋_GB2312" w:eastAsia="仿宋_GB2312" w:cs="仿宋_GB2312"/>
          <w:b w:val="0"/>
          <w:bCs w:val="0"/>
          <w:color w:val="000000"/>
          <w:kern w:val="0"/>
          <w:sz w:val="28"/>
          <w:szCs w:val="28"/>
        </w:rPr>
        <w:t>四、开标、评标</w:t>
      </w:r>
      <w:bookmarkEnd w:id="10"/>
      <w:bookmarkEnd w:id="11"/>
      <w:r>
        <w:rPr>
          <w:rFonts w:ascii="仿宋_GB2312" w:hAnsi="仿宋_GB2312" w:eastAsia="仿宋_GB2312" w:cs="仿宋_GB2312"/>
          <w:b w:val="0"/>
          <w:bCs w:val="0"/>
          <w:color w:val="000000"/>
          <w:kern w:val="0"/>
          <w:sz w:val="28"/>
          <w:szCs w:val="28"/>
        </w:rPr>
        <w:t>和定标</w:t>
      </w:r>
    </w:p>
    <w:p>
      <w:pPr>
        <w:spacing w:line="360" w:lineRule="auto"/>
        <w:ind w:firstLine="548" w:firstLineChars="196"/>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开标、评标和定标见本招标文件第四部分内容。</w:t>
      </w:r>
    </w:p>
    <w:p>
      <w:pPr>
        <w:pStyle w:val="2"/>
        <w:keepNext w:val="0"/>
        <w:keepLines w:val="0"/>
        <w:spacing w:line="360" w:lineRule="auto"/>
        <w:ind w:firstLine="548" w:firstLineChars="196"/>
        <w:jc w:val="center"/>
        <w:rPr>
          <w:rFonts w:ascii="仿宋_GB2312" w:hAnsi="仿宋_GB2312" w:eastAsia="仿宋_GB2312" w:cs="仿宋_GB2312"/>
          <w:b w:val="0"/>
          <w:bCs w:val="0"/>
          <w:color w:val="000000"/>
          <w:kern w:val="0"/>
          <w:sz w:val="28"/>
          <w:szCs w:val="28"/>
        </w:rPr>
      </w:pPr>
      <w:bookmarkStart w:id="12" w:name="_Toc345423468"/>
      <w:bookmarkStart w:id="13" w:name="_Toc360457879"/>
      <w:r>
        <w:rPr>
          <w:rFonts w:ascii="仿宋_GB2312" w:hAnsi="仿宋_GB2312" w:eastAsia="仿宋_GB2312" w:cs="仿宋_GB2312"/>
          <w:b w:val="0"/>
          <w:bCs w:val="0"/>
          <w:color w:val="000000"/>
          <w:kern w:val="0"/>
          <w:sz w:val="28"/>
          <w:szCs w:val="28"/>
        </w:rPr>
        <w:t>五、合同的授予</w:t>
      </w:r>
      <w:bookmarkEnd w:id="12"/>
      <w:bookmarkEnd w:id="13"/>
    </w:p>
    <w:p>
      <w:pPr>
        <w:spacing w:line="360" w:lineRule="auto"/>
        <w:ind w:firstLine="548" w:firstLineChars="196"/>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1、授予合同的依据</w:t>
      </w: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（1）中标通知书；</w:t>
      </w: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（2）招标文件、招标文件的修改及补充文件；</w:t>
      </w:r>
    </w:p>
    <w:p>
      <w:pPr>
        <w:pStyle w:val="31"/>
        <w:ind w:firstLine="560"/>
        <w:rPr>
          <w:rFonts w:hAnsi="仿宋_GB2312" w:cs="仿宋_GB2312"/>
          <w:color w:val="000000"/>
          <w:kern w:val="0"/>
          <w:sz w:val="28"/>
          <w:szCs w:val="28"/>
        </w:rPr>
      </w:pPr>
      <w:r>
        <w:rPr>
          <w:rFonts w:hAnsi="仿宋_GB2312" w:cs="仿宋_GB2312"/>
          <w:color w:val="000000"/>
          <w:kern w:val="0"/>
          <w:sz w:val="28"/>
          <w:szCs w:val="28"/>
        </w:rPr>
        <w:t>（3）投标文件和询标时投标人作出的澄清、说明、纠正、承诺；</w:t>
      </w: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（4）《中华人民共和国</w:t>
      </w:r>
      <w:r>
        <w:rPr>
          <w:rFonts w:hint="eastAsia" w:ascii="仿宋_GB2312" w:hAnsi="仿宋_GB2312" w:eastAsia="仿宋_GB2312" w:cs="仿宋_GB2312"/>
          <w:color w:val="000000"/>
          <w:kern w:val="0"/>
          <w:sz w:val="28"/>
          <w:szCs w:val="28"/>
        </w:rPr>
        <w:t>民法典</w:t>
      </w:r>
      <w:r>
        <w:rPr>
          <w:rFonts w:ascii="仿宋_GB2312" w:hAnsi="仿宋_GB2312" w:eastAsia="仿宋_GB2312" w:cs="仿宋_GB2312"/>
          <w:color w:val="000000"/>
          <w:kern w:val="0"/>
          <w:sz w:val="28"/>
          <w:szCs w:val="28"/>
        </w:rPr>
        <w:t>》的规定。</w:t>
      </w:r>
    </w:p>
    <w:p>
      <w:pPr>
        <w:spacing w:line="360" w:lineRule="auto"/>
        <w:ind w:firstLine="548" w:firstLineChars="196"/>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2、签署合同的要求</w:t>
      </w: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（1）采购人与中标人按照中标通知书规定的时间、地点签订书面合同；</w:t>
      </w:r>
    </w:p>
    <w:p>
      <w:pPr>
        <w:spacing w:line="360" w:lineRule="auto"/>
        <w:ind w:firstLine="700" w:firstLineChars="25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(2)签订合同的时间必须在自中标通知书收到之日起</w:t>
      </w:r>
      <w:r>
        <w:rPr>
          <w:rFonts w:hint="eastAsia" w:ascii="仿宋_GB2312" w:hAnsi="仿宋_GB2312" w:eastAsia="仿宋_GB2312" w:cs="仿宋_GB2312"/>
          <w:color w:val="000000"/>
          <w:kern w:val="0"/>
          <w:sz w:val="28"/>
          <w:szCs w:val="28"/>
        </w:rPr>
        <w:t>三十</w:t>
      </w:r>
      <w:r>
        <w:rPr>
          <w:rFonts w:ascii="仿宋_GB2312" w:hAnsi="仿宋_GB2312" w:eastAsia="仿宋_GB2312" w:cs="仿宋_GB2312"/>
          <w:color w:val="000000"/>
          <w:kern w:val="0"/>
          <w:sz w:val="28"/>
          <w:szCs w:val="28"/>
        </w:rPr>
        <w:t>日内；</w:t>
      </w:r>
    </w:p>
    <w:p>
      <w:pPr>
        <w:spacing w:line="360" w:lineRule="auto"/>
        <w:ind w:firstLine="700" w:firstLineChars="25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(3)所签订的合同内容不得对招标文件和中标人的投标文件作实质性修改；</w:t>
      </w:r>
    </w:p>
    <w:p>
      <w:pPr>
        <w:spacing w:line="360" w:lineRule="auto"/>
        <w:ind w:left="2" w:leftChars="1" w:firstLine="700" w:firstLineChars="250"/>
        <w:jc w:val="left"/>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(4)采购人不得向中标人提出任何不合理的要求，作为签订合同的条件，不得与中标人私下订立背离合同实质性内容的协议</w:t>
      </w:r>
      <w:r>
        <w:rPr>
          <w:rFonts w:hint="eastAsia" w:ascii="仿宋_GB2312" w:hAnsi="仿宋_GB2312" w:eastAsia="仿宋_GB2312" w:cs="仿宋_GB2312"/>
          <w:color w:val="000000"/>
          <w:kern w:val="0"/>
          <w:sz w:val="28"/>
          <w:szCs w:val="28"/>
        </w:rPr>
        <w:t>。</w:t>
      </w:r>
    </w:p>
    <w:p>
      <w:pPr>
        <w:spacing w:line="360" w:lineRule="auto"/>
        <w:ind w:firstLine="548" w:firstLineChars="196"/>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3.合同签订</w:t>
      </w:r>
    </w:p>
    <w:p>
      <w:pPr>
        <w:spacing w:line="360" w:lineRule="auto"/>
        <w:ind w:firstLine="5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（1）采购人与中标人将根据《中华人民共和国</w:t>
      </w:r>
      <w:r>
        <w:rPr>
          <w:rFonts w:hint="eastAsia" w:ascii="仿宋_GB2312" w:hAnsi="仿宋_GB2312" w:eastAsia="仿宋_GB2312" w:cs="仿宋_GB2312"/>
          <w:color w:val="000000"/>
          <w:kern w:val="0"/>
          <w:sz w:val="28"/>
          <w:szCs w:val="28"/>
        </w:rPr>
        <w:t>民法典</w:t>
      </w:r>
      <w:r>
        <w:rPr>
          <w:rFonts w:ascii="仿宋_GB2312" w:hAnsi="仿宋_GB2312" w:eastAsia="仿宋_GB2312" w:cs="仿宋_GB2312"/>
          <w:color w:val="000000"/>
          <w:kern w:val="0"/>
          <w:sz w:val="28"/>
          <w:szCs w:val="28"/>
        </w:rPr>
        <w:t>》的规定，依据招标文件和中标人的投标文件签订书面合同</w:t>
      </w:r>
      <w:r>
        <w:rPr>
          <w:rFonts w:hint="eastAsia" w:ascii="仿宋_GB2312" w:hAnsi="仿宋_GB2312" w:eastAsia="仿宋_GB2312" w:cs="仿宋_GB2312"/>
          <w:color w:val="000000"/>
          <w:kern w:val="0"/>
          <w:sz w:val="28"/>
          <w:szCs w:val="28"/>
        </w:rPr>
        <w:t>。</w:t>
      </w:r>
    </w:p>
    <w:p>
      <w:pPr>
        <w:spacing w:line="360" w:lineRule="auto"/>
        <w:ind w:firstLine="5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（2） 中标人应当按照合同约定履行义务，完成中标项目各项工作，不得将中标项目转让（转包）给他人。</w:t>
      </w:r>
      <w:bookmarkStart w:id="14" w:name="_Toc360457880"/>
      <w:bookmarkStart w:id="15" w:name="_Toc345423469"/>
    </w:p>
    <w:p>
      <w:pPr>
        <w:pStyle w:val="2"/>
        <w:keepNext w:val="0"/>
        <w:keepLines w:val="0"/>
        <w:spacing w:line="360" w:lineRule="auto"/>
        <w:ind w:firstLine="548" w:firstLineChars="196"/>
        <w:jc w:val="center"/>
        <w:rPr>
          <w:rFonts w:ascii="仿宋_GB2312" w:hAnsi="仿宋_GB2312" w:eastAsia="仿宋_GB2312" w:cs="仿宋_GB2312"/>
          <w:b w:val="0"/>
          <w:bCs w:val="0"/>
          <w:color w:val="000000"/>
          <w:kern w:val="0"/>
          <w:sz w:val="28"/>
          <w:szCs w:val="28"/>
        </w:rPr>
      </w:pPr>
      <w:r>
        <w:rPr>
          <w:rFonts w:ascii="仿宋_GB2312" w:hAnsi="仿宋_GB2312" w:eastAsia="仿宋_GB2312" w:cs="仿宋_GB2312"/>
          <w:b w:val="0"/>
          <w:bCs w:val="0"/>
          <w:color w:val="000000"/>
          <w:kern w:val="0"/>
          <w:sz w:val="28"/>
          <w:szCs w:val="28"/>
        </w:rPr>
        <w:t>六、质疑</w:t>
      </w:r>
      <w:bookmarkEnd w:id="14"/>
      <w:bookmarkEnd w:id="15"/>
    </w:p>
    <w:p>
      <w:pPr>
        <w:spacing w:line="360" w:lineRule="auto"/>
        <w:ind w:firstLine="700" w:firstLineChars="250"/>
        <w:rPr>
          <w:rFonts w:hint="eastAsia" w:ascii="仿宋_GB2312" w:hAnsi="仿宋_GB2312" w:eastAsia="仿宋_GB2312" w:cs="仿宋_GB2312"/>
          <w:color w:val="000000"/>
          <w:kern w:val="0"/>
          <w:sz w:val="28"/>
          <w:szCs w:val="28"/>
        </w:rPr>
      </w:pPr>
      <w:bookmarkStart w:id="16" w:name="_Toc360457881"/>
      <w:bookmarkStart w:id="17" w:name="_Toc345423470"/>
      <w:r>
        <w:rPr>
          <w:rFonts w:hint="eastAsia" w:ascii="仿宋_GB2312" w:hAnsi="仿宋_GB2312" w:eastAsia="仿宋_GB2312" w:cs="仿宋_GB2312"/>
          <w:color w:val="000000"/>
          <w:kern w:val="0"/>
          <w:sz w:val="28"/>
          <w:szCs w:val="28"/>
        </w:rPr>
        <w:t>1、供应商认为采购文件、采购过程、中标或者成交结果使自己的权益受到损害的，可以在知道或者应知其权益受到损害之日起7个工作日内，以书面形式提出质疑。对采购文件需求条款、评分标准等内容的质疑向采购人提出，对开评标程序的质疑向采购代理机构提出。供应商须在法定质疑期内一次性提出针对同一采购程序环节的质疑。</w:t>
      </w:r>
    </w:p>
    <w:p>
      <w:pPr>
        <w:spacing w:line="360" w:lineRule="auto"/>
        <w:ind w:firstLine="700" w:firstLineChars="25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提出质疑的供应商应当是参与所质疑项目采购活动的供应商。潜在供应商已依法获取其可质疑的采购文件的，可以对该文件提出质疑。对采购文件提出质疑的，应当在获取采购文件或者采购文件公告期限届满之日起7个工作日内提出。</w:t>
      </w:r>
    </w:p>
    <w:p>
      <w:pPr>
        <w:spacing w:line="360" w:lineRule="auto"/>
        <w:ind w:firstLine="700" w:firstLineChars="25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3、供应商提出质疑应当提交质疑函和必要的证明材料。质疑函应当包括下列内容：</w:t>
      </w:r>
    </w:p>
    <w:p>
      <w:pPr>
        <w:spacing w:line="360" w:lineRule="auto"/>
        <w:ind w:firstLine="700" w:firstLineChars="25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a供应商的姓名或者名称、地址、邮编、联系人及联系电话；</w:t>
      </w:r>
    </w:p>
    <w:p>
      <w:pPr>
        <w:spacing w:line="360" w:lineRule="auto"/>
        <w:ind w:firstLine="700" w:firstLineChars="25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b质疑项目的名称、编号；</w:t>
      </w:r>
    </w:p>
    <w:p>
      <w:pPr>
        <w:spacing w:line="360" w:lineRule="auto"/>
        <w:ind w:firstLine="700" w:firstLineChars="25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c具体、明确的质疑事项和与质疑事项相关的请求；</w:t>
      </w:r>
    </w:p>
    <w:p>
      <w:pPr>
        <w:spacing w:line="360" w:lineRule="auto"/>
        <w:ind w:firstLine="700" w:firstLineChars="25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d事实依据；</w:t>
      </w:r>
    </w:p>
    <w:p>
      <w:pPr>
        <w:spacing w:line="360" w:lineRule="auto"/>
        <w:ind w:firstLine="700" w:firstLineChars="25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e必要的法律依据；</w:t>
      </w:r>
    </w:p>
    <w:p>
      <w:pPr>
        <w:spacing w:line="360" w:lineRule="auto"/>
        <w:ind w:firstLine="700" w:firstLineChars="25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f提出质疑的日期。</w:t>
      </w:r>
    </w:p>
    <w:p>
      <w:pPr>
        <w:spacing w:line="360" w:lineRule="auto"/>
        <w:ind w:firstLine="700" w:firstLineChars="25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供应商为自然人的，应当由本人签字；供应商为法人或其他组织的，应当由法定代表人、主要负责人，或者其授权代表签字或者盖章，并加盖公章。</w:t>
      </w:r>
    </w:p>
    <w:p>
      <w:pPr>
        <w:spacing w:line="360" w:lineRule="auto"/>
        <w:ind w:firstLine="700" w:firstLineChars="25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（质疑函范本可从财政部网站下载</w:t>
      </w:r>
    </w:p>
    <w:p>
      <w:pPr>
        <w:spacing w:line="360" w:lineRule="auto"/>
        <w:ind w:firstLine="700" w:firstLineChars="25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http://gks.mof.gov.cn/ztztz/zhengfucaigouguanli/201802/t20180201_2804589.htm）</w:t>
      </w:r>
    </w:p>
    <w:p>
      <w:pPr>
        <w:spacing w:line="360" w:lineRule="auto"/>
        <w:ind w:firstLine="700" w:firstLineChars="25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4、采购人、采购代理机构将在收到质疑函后7个工作日内作出答复，并以书面形式通知质疑供应商。质疑答复的内容不得涉及商业秘密。</w:t>
      </w:r>
    </w:p>
    <w:p>
      <w:pPr>
        <w:spacing w:line="360" w:lineRule="auto"/>
        <w:ind w:firstLine="700" w:firstLineChars="25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5、质疑供应商对采购人、采购代理机构的答复不满意，或者采购人、采购代理机构未在规定时间内作出答复的，可以在答复期满后15个工作日内向同级政府采购监督管理部门提起投诉（联系方式、地址等见招标公告）。</w:t>
      </w:r>
    </w:p>
    <w:p>
      <w:pPr>
        <w:pStyle w:val="2"/>
        <w:keepNext w:val="0"/>
        <w:keepLines w:val="0"/>
        <w:spacing w:line="360" w:lineRule="auto"/>
        <w:ind w:firstLine="548" w:firstLineChars="196"/>
        <w:jc w:val="center"/>
        <w:rPr>
          <w:rFonts w:ascii="仿宋_GB2312" w:hAnsi="仿宋_GB2312" w:eastAsia="仿宋_GB2312" w:cs="仿宋_GB2312"/>
          <w:b w:val="0"/>
          <w:bCs w:val="0"/>
          <w:color w:val="000000"/>
          <w:kern w:val="0"/>
          <w:sz w:val="28"/>
          <w:szCs w:val="28"/>
        </w:rPr>
      </w:pPr>
      <w:r>
        <w:rPr>
          <w:rFonts w:ascii="仿宋_GB2312" w:hAnsi="仿宋_GB2312" w:eastAsia="仿宋_GB2312" w:cs="仿宋_GB2312"/>
          <w:b w:val="0"/>
          <w:bCs w:val="0"/>
          <w:color w:val="000000"/>
          <w:kern w:val="0"/>
          <w:sz w:val="28"/>
          <w:szCs w:val="28"/>
        </w:rPr>
        <w:t>七、保密和披露</w:t>
      </w:r>
      <w:bookmarkEnd w:id="16"/>
      <w:bookmarkEnd w:id="17"/>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1、投标人自购买招标文件之日起，须承诺承担本招标项目下保密义务，不得将因本次招标获得的信息向第三方外传。</w:t>
      </w: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2、招标方有权</w:t>
      </w:r>
      <w:r>
        <w:rPr>
          <w:rFonts w:hint="eastAsia" w:ascii="仿宋_GB2312" w:hAnsi="仿宋_GB2312" w:eastAsia="仿宋_GB2312" w:cs="仿宋_GB2312"/>
          <w:color w:val="000000"/>
          <w:kern w:val="0"/>
          <w:sz w:val="28"/>
          <w:szCs w:val="28"/>
        </w:rPr>
        <w:t>将</w:t>
      </w:r>
      <w:r>
        <w:rPr>
          <w:rFonts w:ascii="仿宋_GB2312" w:hAnsi="仿宋_GB2312" w:eastAsia="仿宋_GB2312" w:cs="仿宋_GB2312"/>
          <w:color w:val="000000"/>
          <w:kern w:val="0"/>
          <w:sz w:val="28"/>
          <w:szCs w:val="28"/>
        </w:rPr>
        <w:t>投标人提供的所有资料向其他政府部门或有关的非政府机构负责评审标书的人员或与评标有关的人员披露。</w:t>
      </w:r>
    </w:p>
    <w:p>
      <w:pPr>
        <w:spacing w:line="360" w:lineRule="auto"/>
        <w:ind w:firstLine="560" w:firstLineChars="200"/>
        <w:rPr>
          <w:rFonts w:ascii="Arial" w:hAnsi="Arial" w:eastAsia="仿宋" w:cs="Arial"/>
          <w:sz w:val="28"/>
          <w:szCs w:val="28"/>
        </w:rPr>
      </w:pPr>
      <w:r>
        <w:rPr>
          <w:rFonts w:ascii="仿宋_GB2312" w:hAnsi="仿宋_GB2312" w:eastAsia="仿宋_GB2312" w:cs="仿宋_GB2312"/>
          <w:color w:val="000000"/>
          <w:kern w:val="0"/>
          <w:sz w:val="28"/>
          <w:szCs w:val="28"/>
        </w:rPr>
        <w:t>3、招标方有权在认为适当时，或在任何第三者提出要求（书面或其他方式）时，无须事先征求中标人同意而披露关于已订立合同的资料、中标人的名称及地址、中标的有关信息以及合同条款等。</w:t>
      </w:r>
    </w:p>
    <w:p>
      <w:pPr>
        <w:pStyle w:val="2"/>
        <w:keepNext w:val="0"/>
        <w:keepLines w:val="0"/>
        <w:spacing w:line="360" w:lineRule="auto"/>
        <w:ind w:firstLine="548" w:firstLineChars="196"/>
        <w:jc w:val="center"/>
        <w:rPr>
          <w:rFonts w:ascii="仿宋_GB2312" w:hAnsi="仿宋_GB2312" w:eastAsia="仿宋_GB2312" w:cs="仿宋_GB2312"/>
          <w:b w:val="0"/>
          <w:bCs w:val="0"/>
          <w:color w:val="000000"/>
          <w:kern w:val="0"/>
          <w:sz w:val="28"/>
          <w:szCs w:val="28"/>
        </w:rPr>
      </w:pPr>
      <w:bookmarkStart w:id="18" w:name="_Toc345423471"/>
      <w:bookmarkStart w:id="19" w:name="_Toc360457882"/>
      <w:r>
        <w:rPr>
          <w:rFonts w:hint="eastAsia" w:ascii="仿宋_GB2312" w:hAnsi="仿宋_GB2312" w:eastAsia="仿宋_GB2312" w:cs="仿宋_GB2312"/>
          <w:b w:val="0"/>
          <w:bCs w:val="0"/>
          <w:color w:val="000000"/>
          <w:kern w:val="0"/>
          <w:sz w:val="28"/>
          <w:szCs w:val="28"/>
        </w:rPr>
        <w:t>八</w:t>
      </w:r>
      <w:r>
        <w:rPr>
          <w:rFonts w:ascii="仿宋_GB2312" w:hAnsi="仿宋_GB2312" w:eastAsia="仿宋_GB2312" w:cs="仿宋_GB2312"/>
          <w:b w:val="0"/>
          <w:bCs w:val="0"/>
          <w:color w:val="000000"/>
          <w:kern w:val="0"/>
          <w:sz w:val="28"/>
          <w:szCs w:val="28"/>
        </w:rPr>
        <w:t>、特别声明</w:t>
      </w:r>
      <w:bookmarkEnd w:id="18"/>
      <w:bookmarkEnd w:id="19"/>
    </w:p>
    <w:p>
      <w:pPr>
        <w:spacing w:line="360" w:lineRule="auto"/>
        <w:ind w:firstLine="482" w:firstLineChars="200"/>
        <w:jc w:val="left"/>
        <w:rPr>
          <w:rFonts w:ascii="仿宋_GB2312" w:hAnsi="仿宋_GB2312" w:eastAsia="仿宋_GB2312" w:cs="仿宋_GB2312"/>
          <w:b/>
          <w:color w:val="000000"/>
          <w:kern w:val="0"/>
          <w:sz w:val="24"/>
          <w:u w:val="single"/>
        </w:rPr>
      </w:pPr>
      <w:r>
        <w:rPr>
          <w:rFonts w:ascii="仿宋_GB2312" w:hAnsi="仿宋_GB2312" w:eastAsia="仿宋_GB2312" w:cs="仿宋_GB2312"/>
          <w:b/>
          <w:color w:val="000000"/>
          <w:kern w:val="0"/>
          <w:sz w:val="24"/>
          <w:u w:val="single"/>
        </w:rPr>
        <w:t>1、最高限价：本次公开招标设有最高限价，</w:t>
      </w:r>
      <w:r>
        <w:rPr>
          <w:rFonts w:ascii="仿宋_GB2312" w:hAnsi="仿宋_GB2312" w:eastAsia="仿宋_GB2312" w:cs="仿宋_GB2312"/>
          <w:b/>
          <w:color w:val="000000"/>
          <w:kern w:val="0"/>
          <w:sz w:val="24"/>
          <w:highlight w:val="none"/>
          <w:u w:val="single"/>
        </w:rPr>
        <w:t>最高限价是</w:t>
      </w:r>
      <w:r>
        <w:rPr>
          <w:rFonts w:hint="eastAsia" w:ascii="仿宋_GB2312" w:hAnsi="仿宋_GB2312" w:eastAsia="仿宋_GB2312" w:cs="仿宋_GB2312"/>
          <w:b/>
          <w:color w:val="000000"/>
          <w:kern w:val="0"/>
          <w:sz w:val="24"/>
          <w:highlight w:val="none"/>
          <w:u w:val="single"/>
          <w:lang w:val="en-US" w:eastAsia="zh-CN"/>
        </w:rPr>
        <w:t>117.2459万元</w:t>
      </w:r>
      <w:r>
        <w:rPr>
          <w:rFonts w:ascii="仿宋_GB2312" w:hAnsi="仿宋_GB2312" w:eastAsia="仿宋_GB2312" w:cs="仿宋_GB2312"/>
          <w:b/>
          <w:color w:val="000000"/>
          <w:kern w:val="0"/>
          <w:sz w:val="24"/>
          <w:highlight w:val="none"/>
          <w:u w:val="single"/>
        </w:rPr>
        <w:t>整，</w:t>
      </w:r>
      <w:r>
        <w:rPr>
          <w:rFonts w:ascii="仿宋_GB2312" w:hAnsi="仿宋_GB2312" w:eastAsia="仿宋_GB2312" w:cs="仿宋_GB2312"/>
          <w:b/>
          <w:color w:val="000000"/>
          <w:kern w:val="0"/>
          <w:sz w:val="24"/>
          <w:u w:val="single"/>
        </w:rPr>
        <w:t>超出最高限价的视为无效标。</w:t>
      </w:r>
    </w:p>
    <w:p>
      <w:pPr>
        <w:spacing w:line="360" w:lineRule="auto"/>
        <w:ind w:firstLine="480" w:firstLineChars="200"/>
        <w:jc w:val="left"/>
        <w:rPr>
          <w:rFonts w:ascii="仿宋_GB2312" w:hAnsi="仿宋_GB2312" w:eastAsia="仿宋_GB2312" w:cs="仿宋_GB2312"/>
          <w:color w:val="000000"/>
          <w:kern w:val="0"/>
          <w:sz w:val="24"/>
        </w:rPr>
      </w:pPr>
      <w:bookmarkStart w:id="20" w:name="_Toc345423472"/>
      <w:bookmarkStart w:id="21" w:name="_Toc285440050"/>
      <w:bookmarkStart w:id="22" w:name="_Toc360457883"/>
      <w:bookmarkStart w:id="23" w:name="_Toc437251186"/>
      <w:r>
        <w:rPr>
          <w:rFonts w:hint="eastAsia" w:ascii="仿宋_GB2312" w:hAnsi="仿宋_GB2312" w:eastAsia="仿宋_GB2312" w:cs="仿宋_GB2312"/>
          <w:color w:val="000000"/>
          <w:kern w:val="0"/>
          <w:sz w:val="24"/>
        </w:rPr>
        <w:t>2、中型、小型、微型企业投标的，应当符合以下条件：</w:t>
      </w:r>
    </w:p>
    <w:p>
      <w:pPr>
        <w:spacing w:line="360" w:lineRule="auto"/>
        <w:ind w:firstLine="480" w:firstLineChars="200"/>
        <w:jc w:val="left"/>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1）按照《关于印发中小企业划型标准规定的通知》（工信部联企业【2011】300号）文件规定，投标人应当符合中小企业划分标准；所称中小企业划分标准，是指企业从业人员、营业收入、资产总额等指标制定的中小企业划型标准。</w:t>
      </w:r>
    </w:p>
    <w:p>
      <w:pPr>
        <w:spacing w:line="360" w:lineRule="auto"/>
        <w:ind w:firstLine="480" w:firstLineChars="200"/>
        <w:jc w:val="left"/>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（2）提供本企业制造的货物、承担的工程或者服务，或者提供其他中小企业制造的货物。</w:t>
      </w:r>
    </w:p>
    <w:p>
      <w:pPr>
        <w:spacing w:line="360" w:lineRule="auto"/>
        <w:ind w:firstLine="480" w:firstLineChars="200"/>
        <w:jc w:val="left"/>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（3）根据财库〔2020〕46号文件规定，符合中小企业划分标准的个体工商户视同中小企业。</w:t>
      </w:r>
    </w:p>
    <w:p>
      <w:pPr>
        <w:spacing w:line="360" w:lineRule="auto"/>
        <w:ind w:firstLine="480" w:firstLineChars="200"/>
        <w:jc w:val="left"/>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（4）根据财库〔2014〕68号、财库〔2017〕141号文件规定，监狱企业、残疾人福利性单位视同小型、微型企业。</w:t>
      </w:r>
    </w:p>
    <w:p>
      <w:pPr>
        <w:pStyle w:val="2"/>
        <w:keepNext w:val="0"/>
        <w:keepLines w:val="0"/>
      </w:pPr>
    </w:p>
    <w:p>
      <w:pPr>
        <w:pStyle w:val="3"/>
      </w:pPr>
    </w:p>
    <w:p>
      <w:pPr>
        <w:pStyle w:val="3"/>
      </w:pPr>
    </w:p>
    <w:p>
      <w:pPr>
        <w:pStyle w:val="3"/>
      </w:pPr>
    </w:p>
    <w:p>
      <w:pPr>
        <w:pStyle w:val="3"/>
      </w:pPr>
    </w:p>
    <w:p>
      <w:pPr>
        <w:pStyle w:val="3"/>
      </w:pPr>
    </w:p>
    <w:p>
      <w:pPr>
        <w:pStyle w:val="3"/>
      </w:pPr>
    </w:p>
    <w:p>
      <w:pPr>
        <w:pStyle w:val="3"/>
      </w:pPr>
    </w:p>
    <w:p>
      <w:pPr>
        <w:pStyle w:val="3"/>
      </w:pPr>
    </w:p>
    <w:p>
      <w:pPr>
        <w:pStyle w:val="3"/>
      </w:pPr>
    </w:p>
    <w:p>
      <w:pPr>
        <w:pStyle w:val="3"/>
      </w:pPr>
    </w:p>
    <w:p>
      <w:pPr>
        <w:pStyle w:val="3"/>
      </w:pPr>
    </w:p>
    <w:p>
      <w:pPr>
        <w:pStyle w:val="3"/>
      </w:pPr>
    </w:p>
    <w:p>
      <w:pPr>
        <w:pStyle w:val="3"/>
      </w:pPr>
    </w:p>
    <w:p>
      <w:pPr>
        <w:pStyle w:val="3"/>
      </w:pPr>
    </w:p>
    <w:p>
      <w:pPr>
        <w:pStyle w:val="3"/>
      </w:pPr>
    </w:p>
    <w:p>
      <w:pPr>
        <w:pStyle w:val="3"/>
      </w:pPr>
    </w:p>
    <w:p>
      <w:pPr>
        <w:pStyle w:val="3"/>
      </w:pPr>
    </w:p>
    <w:p>
      <w:pPr>
        <w:pStyle w:val="3"/>
      </w:pPr>
    </w:p>
    <w:p>
      <w:pPr>
        <w:pStyle w:val="3"/>
      </w:pPr>
    </w:p>
    <w:p>
      <w:pPr>
        <w:pStyle w:val="3"/>
      </w:pPr>
    </w:p>
    <w:p>
      <w:pPr>
        <w:pStyle w:val="3"/>
      </w:pPr>
    </w:p>
    <w:p>
      <w:pPr>
        <w:pStyle w:val="3"/>
      </w:pPr>
    </w:p>
    <w:p>
      <w:pPr>
        <w:pStyle w:val="3"/>
      </w:pPr>
    </w:p>
    <w:p>
      <w:pPr>
        <w:pStyle w:val="3"/>
      </w:pPr>
    </w:p>
    <w:p>
      <w:pPr>
        <w:pStyle w:val="3"/>
      </w:pPr>
    </w:p>
    <w:p>
      <w:pPr>
        <w:pStyle w:val="3"/>
      </w:pPr>
    </w:p>
    <w:p>
      <w:pPr>
        <w:pStyle w:val="3"/>
      </w:pPr>
    </w:p>
    <w:p>
      <w:pPr>
        <w:pStyle w:val="3"/>
      </w:pPr>
    </w:p>
    <w:p>
      <w:pPr>
        <w:pStyle w:val="3"/>
      </w:pPr>
    </w:p>
    <w:p>
      <w:pPr>
        <w:pStyle w:val="3"/>
      </w:pPr>
    </w:p>
    <w:p>
      <w:pPr>
        <w:pStyle w:val="30"/>
        <w:ind w:left="0"/>
      </w:pPr>
    </w:p>
    <w:bookmarkEnd w:id="20"/>
    <w:bookmarkEnd w:id="21"/>
    <w:bookmarkEnd w:id="22"/>
    <w:bookmarkEnd w:id="23"/>
    <w:p>
      <w:pPr>
        <w:numPr>
          <w:ilvl w:val="0"/>
          <w:numId w:val="4"/>
        </w:numPr>
        <w:spacing w:line="360" w:lineRule="auto"/>
        <w:jc w:val="center"/>
        <w:rPr>
          <w:rFonts w:ascii="仿宋_GB2312" w:hAnsi="仿宋_GB2312" w:eastAsia="仿宋_GB2312" w:cs="仿宋_GB2312"/>
          <w:color w:val="000000"/>
          <w:kern w:val="0"/>
          <w:sz w:val="36"/>
          <w:szCs w:val="36"/>
        </w:rPr>
      </w:pPr>
      <w:r>
        <w:rPr>
          <w:rFonts w:ascii="仿宋_GB2312" w:hAnsi="仿宋_GB2312" w:eastAsia="仿宋_GB2312" w:cs="仿宋_GB2312"/>
          <w:color w:val="000000"/>
          <w:kern w:val="0"/>
          <w:sz w:val="36"/>
          <w:szCs w:val="36"/>
        </w:rPr>
        <w:t>开标、评标和定标</w:t>
      </w:r>
    </w:p>
    <w:p>
      <w:pPr>
        <w:pStyle w:val="2"/>
        <w:keepNext w:val="0"/>
        <w:keepLines w:val="0"/>
        <w:spacing w:before="0" w:after="0" w:line="415" w:lineRule="auto"/>
        <w:jc w:val="center"/>
      </w:pP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一、电子招投标开标及评审程序</w:t>
      </w:r>
    </w:p>
    <w:p>
      <w:pPr>
        <w:pStyle w:val="38"/>
        <w:snapToGrid w:val="0"/>
        <w:spacing w:before="120" w:after="120" w:line="360" w:lineRule="auto"/>
        <w:ind w:firstLine="548" w:firstLineChars="196"/>
        <w:rPr>
          <w:rFonts w:ascii="仿宋_GB2312" w:hAnsi="仿宋_GB2312" w:eastAsia="仿宋_GB2312" w:cs="仿宋_GB2312"/>
          <w:color w:val="000000"/>
          <w:kern w:val="0"/>
          <w:szCs w:val="28"/>
          <w:u w:val="single"/>
        </w:rPr>
      </w:pPr>
      <w:r>
        <w:rPr>
          <w:rFonts w:hint="eastAsia" w:ascii="仿宋_GB2312" w:hAnsi="仿宋_GB2312" w:eastAsia="仿宋_GB2312" w:cs="仿宋_GB2312"/>
          <w:color w:val="000000"/>
          <w:kern w:val="0"/>
          <w:szCs w:val="28"/>
        </w:rPr>
        <w:t>1</w:t>
      </w:r>
      <w:r>
        <w:rPr>
          <w:rFonts w:ascii="仿宋_GB2312" w:hAnsi="仿宋_GB2312" w:eastAsia="仿宋_GB2312" w:cs="仿宋_GB2312"/>
          <w:color w:val="000000"/>
          <w:kern w:val="0"/>
          <w:szCs w:val="28"/>
        </w:rPr>
        <w:t>.1投标截止时间后，投标人登录政采云平台，用“项目采购-开标评标”功能对电子投标文件进行在线解密。</w:t>
      </w:r>
      <w:r>
        <w:rPr>
          <w:rFonts w:ascii="仿宋_GB2312" w:hAnsi="仿宋_GB2312" w:eastAsia="仿宋_GB2312" w:cs="仿宋_GB2312"/>
          <w:color w:val="000000"/>
          <w:kern w:val="0"/>
          <w:szCs w:val="28"/>
          <w:u w:val="single"/>
        </w:rPr>
        <w:t>在线解密电子投标文件时间为开标时间起半个小时内。</w:t>
      </w: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1</w:t>
      </w:r>
      <w:r>
        <w:rPr>
          <w:rFonts w:ascii="仿宋_GB2312" w:hAnsi="仿宋_GB2312" w:eastAsia="仿宋_GB2312" w:cs="仿宋_GB2312"/>
          <w:color w:val="000000"/>
          <w:kern w:val="0"/>
          <w:szCs w:val="28"/>
        </w:rPr>
        <w:t>.2评标委员会对资格和商务技术响应文件进行评审；</w:t>
      </w: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1</w:t>
      </w:r>
      <w:r>
        <w:rPr>
          <w:rFonts w:ascii="仿宋_GB2312" w:hAnsi="仿宋_GB2312" w:eastAsia="仿宋_GB2312" w:cs="仿宋_GB2312"/>
          <w:color w:val="000000"/>
          <w:kern w:val="0"/>
          <w:szCs w:val="28"/>
        </w:rPr>
        <w:t>.3在系统上公开资格和商务技术评审结果；</w:t>
      </w: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1</w:t>
      </w:r>
      <w:r>
        <w:rPr>
          <w:rFonts w:ascii="仿宋_GB2312" w:hAnsi="仿宋_GB2312" w:eastAsia="仿宋_GB2312" w:cs="仿宋_GB2312"/>
          <w:color w:val="000000"/>
          <w:kern w:val="0"/>
          <w:szCs w:val="28"/>
        </w:rPr>
        <w:t>.4在系统上公开报价开标情况；</w:t>
      </w: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1</w:t>
      </w:r>
      <w:r>
        <w:rPr>
          <w:rFonts w:ascii="仿宋_GB2312" w:hAnsi="仿宋_GB2312" w:eastAsia="仿宋_GB2312" w:cs="仿宋_GB2312"/>
          <w:color w:val="000000"/>
          <w:kern w:val="0"/>
          <w:szCs w:val="28"/>
        </w:rPr>
        <w:t>.5评标委员会对报价情况进行评审；</w:t>
      </w: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1</w:t>
      </w:r>
      <w:r>
        <w:rPr>
          <w:rFonts w:ascii="仿宋_GB2312" w:hAnsi="仿宋_GB2312" w:eastAsia="仿宋_GB2312" w:cs="仿宋_GB2312"/>
          <w:color w:val="000000"/>
          <w:kern w:val="0"/>
          <w:szCs w:val="28"/>
        </w:rPr>
        <w:t>.6在系统上公布评审结果。</w:t>
      </w: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特别说明：政采云公司如对电子化开标及评审程序有调整的，按调整后的程序操作。</w:t>
      </w: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2</w:t>
      </w:r>
      <w:r>
        <w:rPr>
          <w:rFonts w:ascii="仿宋_GB2312" w:hAnsi="仿宋_GB2312" w:eastAsia="仿宋_GB2312" w:cs="仿宋_GB2312"/>
          <w:color w:val="000000"/>
          <w:kern w:val="0"/>
          <w:szCs w:val="28"/>
        </w:rPr>
        <w:t>、采购过程中出现以下情形，导致电子交易平台无法正常运行，或者无法保证电子交易的公平、公正和安全时，采购组织机构可中止电子交易活动，但若待出现的下述规定情形消除后，不影响采购公平、公正性的，采购组织机构可以继续组织电子交易活动：</w:t>
      </w: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2</w:t>
      </w:r>
      <w:r>
        <w:rPr>
          <w:rFonts w:ascii="仿宋_GB2312" w:hAnsi="仿宋_GB2312" w:eastAsia="仿宋_GB2312" w:cs="仿宋_GB2312"/>
          <w:color w:val="000000"/>
          <w:kern w:val="0"/>
          <w:szCs w:val="28"/>
        </w:rPr>
        <w:t>.1电子交易平台发生故障而无法登录访问的； </w:t>
      </w: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2</w:t>
      </w:r>
      <w:r>
        <w:rPr>
          <w:rFonts w:ascii="仿宋_GB2312" w:hAnsi="仿宋_GB2312" w:eastAsia="仿宋_GB2312" w:cs="仿宋_GB2312"/>
          <w:color w:val="000000"/>
          <w:kern w:val="0"/>
          <w:szCs w:val="28"/>
        </w:rPr>
        <w:t>.2电子交易平台应用或数据库出现错误，不能进行正常操作的；</w:t>
      </w: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2</w:t>
      </w:r>
      <w:r>
        <w:rPr>
          <w:rFonts w:ascii="仿宋_GB2312" w:hAnsi="仿宋_GB2312" w:eastAsia="仿宋_GB2312" w:cs="仿宋_GB2312"/>
          <w:color w:val="000000"/>
          <w:kern w:val="0"/>
          <w:szCs w:val="28"/>
        </w:rPr>
        <w:t>.3电子交易平台发现严重安全漏洞，有潜在泄密危险的；</w:t>
      </w: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2</w:t>
      </w:r>
      <w:r>
        <w:rPr>
          <w:rFonts w:ascii="仿宋_GB2312" w:hAnsi="仿宋_GB2312" w:eastAsia="仿宋_GB2312" w:cs="仿宋_GB2312"/>
          <w:color w:val="000000"/>
          <w:kern w:val="0"/>
          <w:szCs w:val="28"/>
        </w:rPr>
        <w:t>.4病毒发作导致不能进行正常操作的； </w:t>
      </w: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2</w:t>
      </w:r>
      <w:r>
        <w:rPr>
          <w:rFonts w:ascii="仿宋_GB2312" w:hAnsi="仿宋_GB2312" w:eastAsia="仿宋_GB2312" w:cs="仿宋_GB2312"/>
          <w:color w:val="000000"/>
          <w:kern w:val="0"/>
          <w:szCs w:val="28"/>
        </w:rPr>
        <w:t>.5其他无法保证电子交易的公平、公正和安全的情况。</w:t>
      </w: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二、组织评标程序</w:t>
      </w: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1、</w:t>
      </w:r>
      <w:r>
        <w:rPr>
          <w:rFonts w:ascii="仿宋_GB2312" w:hAnsi="仿宋_GB2312" w:eastAsia="仿宋_GB2312" w:cs="仿宋_GB2312"/>
          <w:color w:val="000000"/>
          <w:kern w:val="0"/>
          <w:szCs w:val="28"/>
        </w:rPr>
        <w:t>招标方将按照招标文件规定的时间、地点和程序组织评标，各评审专家及相关人员应参加评审活动并接受核验、签到，无关人员不得进入评审现场。</w:t>
      </w: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2、</w:t>
      </w:r>
      <w:r>
        <w:rPr>
          <w:rFonts w:ascii="仿宋_GB2312" w:hAnsi="仿宋_GB2312" w:eastAsia="仿宋_GB2312" w:cs="仿宋_GB2312"/>
          <w:color w:val="000000"/>
          <w:kern w:val="0"/>
          <w:szCs w:val="28"/>
        </w:rPr>
        <w:t>采购人可以在评标前说明项目背景和采购需求，说明内容不得含有歧视性、倾向性意见，不得超出招标文件所述范围。</w:t>
      </w: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3、市政府采购中心依法组建评标委员会，推选评标委员会组长。</w:t>
      </w: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4</w:t>
      </w:r>
      <w:r>
        <w:rPr>
          <w:rFonts w:ascii="仿宋_GB2312" w:hAnsi="仿宋_GB2312" w:eastAsia="仿宋_GB2312" w:cs="仿宋_GB2312"/>
          <w:color w:val="000000"/>
          <w:kern w:val="0"/>
          <w:szCs w:val="28"/>
        </w:rPr>
        <w:t>、评标委员会组长组织评审人员独立评审。</w:t>
      </w: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4.1</w:t>
      </w:r>
      <w:r>
        <w:rPr>
          <w:rFonts w:ascii="仿宋_GB2312" w:hAnsi="仿宋_GB2312" w:eastAsia="仿宋_GB2312" w:cs="仿宋_GB2312"/>
          <w:color w:val="000000"/>
          <w:kern w:val="0"/>
          <w:szCs w:val="28"/>
        </w:rPr>
        <w:t>资格性审查</w:t>
      </w:r>
    </w:p>
    <w:p>
      <w:pPr>
        <w:spacing w:line="360" w:lineRule="auto"/>
        <w:ind w:firstLine="5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资格审查小组依据法律、法规和招标文件规定，对投标文件中的资格证明等进行审查，以确定投标人是否具备投标资格。资格性审查资料表如下：</w:t>
      </w:r>
    </w:p>
    <w:tbl>
      <w:tblPr>
        <w:tblStyle w:val="67"/>
        <w:tblW w:w="92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5"/>
        <w:gridCol w:w="2649"/>
        <w:gridCol w:w="2970"/>
        <w:gridCol w:w="30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575"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序号</w:t>
            </w:r>
          </w:p>
        </w:tc>
        <w:tc>
          <w:tcPr>
            <w:tcW w:w="2649"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审查因素</w:t>
            </w:r>
          </w:p>
        </w:tc>
        <w:tc>
          <w:tcPr>
            <w:tcW w:w="2970"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审查内容</w:t>
            </w:r>
          </w:p>
        </w:tc>
        <w:tc>
          <w:tcPr>
            <w:tcW w:w="3098" w:type="dxa"/>
            <w:vAlign w:val="center"/>
          </w:tcPr>
          <w:p>
            <w:pPr>
              <w:spacing w:line="360" w:lineRule="auto"/>
              <w:jc w:val="center"/>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审查标准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575" w:type="dxa"/>
            <w:vAlign w:val="center"/>
          </w:tcPr>
          <w:p>
            <w:pPr>
              <w:spacing w:line="360" w:lineRule="auto"/>
              <w:jc w:val="center"/>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1</w:t>
            </w:r>
          </w:p>
        </w:tc>
        <w:tc>
          <w:tcPr>
            <w:tcW w:w="2649" w:type="dxa"/>
            <w:vAlign w:val="center"/>
          </w:tcPr>
          <w:p>
            <w:pPr>
              <w:spacing w:line="360" w:lineRule="auto"/>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法定代表人</w:t>
            </w:r>
            <w:r>
              <w:rPr>
                <w:rFonts w:ascii="仿宋_GB2312" w:hAnsi="仿宋_GB2312" w:eastAsia="仿宋_GB2312" w:cs="仿宋_GB2312"/>
                <w:color w:val="000000"/>
                <w:kern w:val="0"/>
                <w:sz w:val="24"/>
              </w:rPr>
              <w:t>授权书</w:t>
            </w:r>
          </w:p>
        </w:tc>
        <w:tc>
          <w:tcPr>
            <w:tcW w:w="2970" w:type="dxa"/>
            <w:vAlign w:val="center"/>
          </w:tcPr>
          <w:p>
            <w:pPr>
              <w:spacing w:line="360" w:lineRule="auto"/>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法定代表人</w:t>
            </w:r>
            <w:r>
              <w:rPr>
                <w:rFonts w:ascii="仿宋_GB2312" w:hAnsi="仿宋_GB2312" w:eastAsia="仿宋_GB2312" w:cs="仿宋_GB2312"/>
                <w:color w:val="000000"/>
                <w:kern w:val="0"/>
                <w:sz w:val="24"/>
              </w:rPr>
              <w:t xml:space="preserve">授权书 </w:t>
            </w:r>
          </w:p>
        </w:tc>
        <w:tc>
          <w:tcPr>
            <w:tcW w:w="3098" w:type="dxa"/>
            <w:vAlign w:val="center"/>
          </w:tcPr>
          <w:p>
            <w:pPr>
              <w:spacing w:line="360" w:lineRule="auto"/>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提供</w:t>
            </w:r>
            <w:r>
              <w:rPr>
                <w:rFonts w:ascii="仿宋_GB2312" w:hAnsi="仿宋_GB2312" w:eastAsia="仿宋_GB2312" w:cs="仿宋_GB2312"/>
                <w:color w:val="000000"/>
                <w:kern w:val="0"/>
                <w:sz w:val="24"/>
              </w:rPr>
              <w:t>法定代表人授权委托书</w:t>
            </w:r>
            <w:r>
              <w:rPr>
                <w:rFonts w:hint="eastAsia" w:ascii="仿宋_GB2312" w:hAnsi="仿宋_GB2312" w:eastAsia="仿宋_GB2312" w:cs="仿宋_GB2312"/>
                <w:color w:val="000000"/>
                <w:kern w:val="0"/>
                <w:sz w:val="24"/>
              </w:rPr>
              <w:t>，</w:t>
            </w:r>
            <w:r>
              <w:rPr>
                <w:rFonts w:ascii="仿宋_GB2312" w:hAnsi="仿宋_GB2312" w:eastAsia="仿宋_GB2312" w:cs="仿宋_GB2312"/>
                <w:bCs/>
                <w:color w:val="000000"/>
                <w:kern w:val="0"/>
                <w:sz w:val="24"/>
                <w:u w:val="single"/>
              </w:rPr>
              <w:t>格式以附件为准</w:t>
            </w:r>
            <w:r>
              <w:rPr>
                <w:rFonts w:hint="eastAsia" w:ascii="仿宋_GB2312" w:hAnsi="仿宋_GB2312" w:eastAsia="仿宋_GB2312" w:cs="仿宋_GB2312"/>
                <w:bCs/>
                <w:color w:val="000000"/>
                <w:kern w:val="0"/>
                <w:sz w:val="24"/>
                <w:u w:val="single"/>
              </w:rPr>
              <w:t>，</w:t>
            </w:r>
            <w:r>
              <w:rPr>
                <w:rFonts w:ascii="仿宋_GB2312" w:hAnsi="仿宋_GB2312" w:eastAsia="仿宋_GB2312" w:cs="仿宋_GB2312"/>
                <w:bCs/>
                <w:color w:val="000000"/>
                <w:kern w:val="0"/>
                <w:sz w:val="24"/>
                <w:u w:val="single"/>
              </w:rPr>
              <w:t>注意按要求签署盖章</w:t>
            </w:r>
            <w:r>
              <w:rPr>
                <w:rFonts w:hint="eastAsia" w:ascii="仿宋_GB2312" w:hAnsi="仿宋_GB2312" w:eastAsia="仿宋_GB2312" w:cs="仿宋_GB2312"/>
                <w:bCs/>
                <w:color w:val="000000"/>
                <w:kern w:val="0"/>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575" w:type="dxa"/>
            <w:vAlign w:val="center"/>
          </w:tcPr>
          <w:p>
            <w:pPr>
              <w:spacing w:line="360" w:lineRule="auto"/>
              <w:jc w:val="center"/>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2</w:t>
            </w:r>
          </w:p>
        </w:tc>
        <w:tc>
          <w:tcPr>
            <w:tcW w:w="2649" w:type="dxa"/>
            <w:vAlign w:val="center"/>
          </w:tcPr>
          <w:p>
            <w:pPr>
              <w:spacing w:line="360" w:lineRule="auto"/>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具有独立承担民事责任的能力</w:t>
            </w:r>
          </w:p>
        </w:tc>
        <w:tc>
          <w:tcPr>
            <w:tcW w:w="2970" w:type="dxa"/>
            <w:vAlign w:val="center"/>
          </w:tcPr>
          <w:p>
            <w:pPr>
              <w:spacing w:line="360" w:lineRule="auto"/>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 xml:space="preserve">营业执照（副本）复印件 </w:t>
            </w:r>
          </w:p>
        </w:tc>
        <w:tc>
          <w:tcPr>
            <w:tcW w:w="3098" w:type="dxa"/>
            <w:vAlign w:val="center"/>
          </w:tcPr>
          <w:p>
            <w:pPr>
              <w:spacing w:line="360" w:lineRule="auto"/>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提供营业执照（副本）复印件。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575" w:type="dxa"/>
            <w:vAlign w:val="center"/>
          </w:tcPr>
          <w:p>
            <w:pPr>
              <w:spacing w:line="360" w:lineRule="auto"/>
              <w:jc w:val="center"/>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3</w:t>
            </w:r>
          </w:p>
        </w:tc>
        <w:tc>
          <w:tcPr>
            <w:tcW w:w="2649" w:type="dxa"/>
            <w:vAlign w:val="center"/>
          </w:tcPr>
          <w:p>
            <w:pPr>
              <w:spacing w:line="360" w:lineRule="auto"/>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中小企业资格认定</w:t>
            </w:r>
          </w:p>
        </w:tc>
        <w:tc>
          <w:tcPr>
            <w:tcW w:w="2970" w:type="dxa"/>
            <w:vAlign w:val="center"/>
          </w:tcPr>
          <w:p>
            <w:pPr>
              <w:spacing w:line="360" w:lineRule="auto"/>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中小企业声明函</w:t>
            </w:r>
          </w:p>
        </w:tc>
        <w:tc>
          <w:tcPr>
            <w:tcW w:w="3098" w:type="dxa"/>
            <w:vAlign w:val="center"/>
          </w:tcPr>
          <w:p>
            <w:pPr>
              <w:spacing w:line="360" w:lineRule="auto"/>
              <w:rPr>
                <w:rFonts w:ascii="仿宋_GB2312" w:hAnsi="仿宋_GB2312" w:eastAsia="仿宋" w:cs="仿宋_GB2312"/>
                <w:color w:val="000000"/>
                <w:kern w:val="0"/>
                <w:sz w:val="24"/>
              </w:rPr>
            </w:pPr>
            <w:r>
              <w:rPr>
                <w:rFonts w:hint="eastAsia" w:ascii="仿宋_GB2312" w:hAnsi="仿宋_GB2312" w:eastAsia="仿宋_GB2312" w:cs="仿宋_GB2312"/>
                <w:color w:val="000000"/>
                <w:kern w:val="0"/>
                <w:sz w:val="24"/>
              </w:rPr>
              <w:t>提供《中小企业声明函》（格式见附件）。</w:t>
            </w:r>
            <w:r>
              <w:rPr>
                <w:rFonts w:hint="eastAsia" w:ascii="仿宋_GB2312" w:hAnsi="仿宋_GB2312" w:eastAsia="仿宋_GB2312" w:cs="仿宋_GB2312"/>
                <w:color w:val="000000"/>
                <w:kern w:val="0"/>
                <w:sz w:val="24"/>
                <w:u w:val="single"/>
              </w:rPr>
              <w:t>未按附件格式内容提供的由投标人自行承担可能被视作无效标的风险。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0" w:hRule="atLeast"/>
          <w:jc w:val="center"/>
        </w:trPr>
        <w:tc>
          <w:tcPr>
            <w:tcW w:w="575" w:type="dxa"/>
            <w:vAlign w:val="center"/>
          </w:tcPr>
          <w:p>
            <w:pPr>
              <w:spacing w:line="360" w:lineRule="auto"/>
              <w:jc w:val="center"/>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4</w:t>
            </w:r>
          </w:p>
        </w:tc>
        <w:tc>
          <w:tcPr>
            <w:tcW w:w="2649" w:type="dxa"/>
            <w:vAlign w:val="center"/>
          </w:tcPr>
          <w:p>
            <w:pPr>
              <w:spacing w:line="360" w:lineRule="auto"/>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投标资格及各项承诺</w:t>
            </w:r>
          </w:p>
        </w:tc>
        <w:tc>
          <w:tcPr>
            <w:tcW w:w="2970" w:type="dxa"/>
            <w:vAlign w:val="center"/>
          </w:tcPr>
          <w:p>
            <w:pPr>
              <w:spacing w:line="360" w:lineRule="auto"/>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投标函</w:t>
            </w:r>
          </w:p>
        </w:tc>
        <w:tc>
          <w:tcPr>
            <w:tcW w:w="3098" w:type="dxa"/>
            <w:vAlign w:val="center"/>
          </w:tcPr>
          <w:p>
            <w:pPr>
              <w:spacing w:line="360" w:lineRule="auto"/>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提供投标函</w:t>
            </w:r>
            <w:r>
              <w:rPr>
                <w:rFonts w:hint="eastAsia" w:ascii="仿宋_GB2312" w:hAnsi="仿宋_GB2312" w:eastAsia="仿宋_GB2312" w:cs="仿宋_GB2312"/>
                <w:color w:val="000000"/>
                <w:kern w:val="0"/>
                <w:sz w:val="24"/>
              </w:rPr>
              <w:t>，</w:t>
            </w:r>
            <w:r>
              <w:rPr>
                <w:rFonts w:hint="eastAsia" w:ascii="仿宋_GB2312" w:hAnsi="仿宋_GB2312" w:eastAsia="仿宋_GB2312" w:cs="仿宋_GB2312"/>
                <w:color w:val="000000"/>
                <w:kern w:val="0"/>
                <w:sz w:val="24"/>
                <w:u w:val="single"/>
              </w:rPr>
              <w:t>格式以附件为准，注意按要求签署盖章。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575" w:type="dxa"/>
            <w:vAlign w:val="center"/>
          </w:tcPr>
          <w:p>
            <w:pPr>
              <w:spacing w:line="360" w:lineRule="auto"/>
              <w:jc w:val="center"/>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5</w:t>
            </w:r>
          </w:p>
        </w:tc>
        <w:tc>
          <w:tcPr>
            <w:tcW w:w="2649" w:type="dxa"/>
            <w:vAlign w:val="center"/>
          </w:tcPr>
          <w:p>
            <w:pPr>
              <w:spacing w:line="360" w:lineRule="auto"/>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诚信记录</w:t>
            </w:r>
          </w:p>
        </w:tc>
        <w:tc>
          <w:tcPr>
            <w:tcW w:w="2970" w:type="dxa"/>
            <w:vAlign w:val="center"/>
          </w:tcPr>
          <w:p>
            <w:pPr>
              <w:spacing w:line="360" w:lineRule="auto"/>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投标人“信用中国”网站、中国政府采购网信用记录情况无不良记录。</w:t>
            </w:r>
          </w:p>
        </w:tc>
        <w:tc>
          <w:tcPr>
            <w:tcW w:w="3098" w:type="dxa"/>
            <w:vAlign w:val="center"/>
          </w:tcPr>
          <w:p>
            <w:pPr>
              <w:spacing w:line="360" w:lineRule="auto"/>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开标当日为准对投标人“信用中国”网站、中国政府采购网信用记录情况进行核实，未被列入失信被执行人、重大税收违法案件当事人名单、政府采购严重违法失信行为记录名单。</w:t>
            </w:r>
          </w:p>
        </w:tc>
      </w:tr>
    </w:tbl>
    <w:p>
      <w:pPr>
        <w:spacing w:line="360" w:lineRule="auto"/>
        <w:ind w:firstLine="560" w:firstLineChars="200"/>
        <w:jc w:val="left"/>
        <w:outlineLvl w:val="1"/>
        <w:rPr>
          <w:rFonts w:ascii="仿宋_GB2312" w:hAnsi="仿宋_GB2312" w:eastAsia="仿宋_GB2312" w:cs="仿宋_GB2312"/>
          <w:bCs/>
          <w:color w:val="000000"/>
          <w:kern w:val="0"/>
          <w:sz w:val="28"/>
          <w:szCs w:val="28"/>
        </w:rPr>
      </w:pPr>
      <w:r>
        <w:rPr>
          <w:rFonts w:ascii="仿宋_GB2312" w:hAnsi="仿宋_GB2312" w:eastAsia="仿宋_GB2312" w:cs="仿宋_GB2312"/>
          <w:color w:val="000000"/>
          <w:kern w:val="0"/>
          <w:sz w:val="28"/>
          <w:szCs w:val="28"/>
        </w:rPr>
        <w:t>资格审查采用合格制，投标文件中证明材料齐全且符合上表审查内容的，同时符合国家相关规定和招标文件资格要求的，资格审查结论为合格。资格审查合格的进入评标程序，</w:t>
      </w:r>
      <w:r>
        <w:rPr>
          <w:rFonts w:ascii="仿宋_GB2312" w:hAnsi="仿宋_GB2312" w:eastAsia="仿宋_GB2312" w:cs="仿宋_GB2312"/>
          <w:bCs/>
          <w:color w:val="000000"/>
          <w:kern w:val="0"/>
          <w:sz w:val="28"/>
          <w:szCs w:val="28"/>
          <w:u w:val="single"/>
        </w:rPr>
        <w:t>资格审查不合格的为无效的投标</w:t>
      </w:r>
      <w:r>
        <w:rPr>
          <w:rFonts w:ascii="仿宋_GB2312" w:hAnsi="仿宋_GB2312" w:eastAsia="仿宋_GB2312" w:cs="仿宋_GB2312"/>
          <w:bCs/>
          <w:color w:val="000000"/>
          <w:kern w:val="0"/>
          <w:sz w:val="28"/>
          <w:szCs w:val="28"/>
        </w:rPr>
        <w:t>。</w:t>
      </w: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4.2</w:t>
      </w:r>
      <w:r>
        <w:rPr>
          <w:rFonts w:ascii="仿宋_GB2312" w:hAnsi="仿宋_GB2312" w:eastAsia="仿宋_GB2312" w:cs="仿宋_GB2312"/>
          <w:color w:val="000000"/>
          <w:kern w:val="0"/>
          <w:szCs w:val="28"/>
        </w:rPr>
        <w:t>符合性审查</w:t>
      </w:r>
    </w:p>
    <w:p>
      <w:pPr>
        <w:spacing w:line="360" w:lineRule="auto"/>
        <w:ind w:firstLine="5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评标时，评标委员会将首先评定每份投标文件是否在实质上响应了招标文件的要求。所谓实质上响应，是指投标文件应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w:t>
      </w:r>
    </w:p>
    <w:p>
      <w:pPr>
        <w:spacing w:line="360" w:lineRule="auto"/>
        <w:ind w:firstLine="500"/>
      </w:pPr>
      <w:r>
        <w:rPr>
          <w:rFonts w:hint="eastAsia" w:ascii="仿宋_GB2312" w:hAnsi="仿宋_GB2312" w:eastAsia="仿宋_GB2312" w:cs="仿宋_GB2312"/>
          <w:b/>
          <w:bCs/>
          <w:color w:val="000000"/>
          <w:kern w:val="0"/>
          <w:sz w:val="28"/>
          <w:szCs w:val="28"/>
          <w:u w:val="single"/>
        </w:rPr>
        <w:t>若投标人递交的电子投标文件内容未指向指定链接、模块，导致投标文件被误读、漏读或者查找不到相关内容的</w:t>
      </w:r>
      <w:r>
        <w:rPr>
          <w:rFonts w:ascii="仿宋_GB2312" w:hAnsi="仿宋_GB2312" w:eastAsia="仿宋_GB2312" w:cs="仿宋_GB2312"/>
          <w:b/>
          <w:bCs/>
          <w:color w:val="000000"/>
          <w:kern w:val="0"/>
          <w:sz w:val="28"/>
          <w:szCs w:val="28"/>
          <w:u w:val="single"/>
        </w:rPr>
        <w:t>，</w:t>
      </w:r>
      <w:r>
        <w:rPr>
          <w:rFonts w:hint="eastAsia" w:ascii="仿宋_GB2312" w:hAnsi="仿宋_GB2312" w:eastAsia="仿宋_GB2312" w:cs="仿宋_GB2312"/>
          <w:b/>
          <w:bCs/>
          <w:color w:val="000000"/>
          <w:kern w:val="0"/>
          <w:sz w:val="28"/>
          <w:szCs w:val="28"/>
          <w:u w:val="single"/>
        </w:rPr>
        <w:t>由投标人自行承担可能被视作无效标的风险</w:t>
      </w:r>
      <w:r>
        <w:rPr>
          <w:rFonts w:ascii="仿宋_GB2312" w:hAnsi="仿宋_GB2312" w:eastAsia="仿宋_GB2312" w:cs="仿宋_GB2312"/>
          <w:b/>
          <w:bCs/>
          <w:color w:val="000000"/>
          <w:kern w:val="0"/>
          <w:sz w:val="28"/>
          <w:szCs w:val="28"/>
          <w:u w:val="single"/>
        </w:rPr>
        <w:t>。</w:t>
      </w: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4.3</w:t>
      </w:r>
      <w:r>
        <w:rPr>
          <w:rFonts w:ascii="仿宋_GB2312" w:hAnsi="仿宋_GB2312" w:eastAsia="仿宋_GB2312" w:cs="仿宋_GB2312"/>
          <w:color w:val="000000"/>
          <w:kern w:val="0"/>
          <w:szCs w:val="28"/>
        </w:rPr>
        <w:t>技术和商务评审</w:t>
      </w: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评审人员按招标文件规定的评审方法和评审标准，依法独立对投标人投标文件进行评估、比较，并给予评价或打分，不受任何单位和个人的干预。</w:t>
      </w: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评审人员对各供应商投标文件非实质性内容有疑议或异议，或者审查发现明显的文字或计算错误等，及时向评标委员会组长提出。经评标委员会商议认为需要投标人作出必要澄清或说明的，应通知该投标人作出澄清</w:t>
      </w:r>
      <w:r>
        <w:rPr>
          <w:rFonts w:hint="eastAsia" w:ascii="仿宋_GB2312" w:hAnsi="仿宋_GB2312" w:eastAsia="仿宋_GB2312" w:cs="仿宋_GB2312"/>
          <w:color w:val="000000"/>
          <w:kern w:val="0"/>
          <w:szCs w:val="28"/>
        </w:rPr>
        <w:t>、</w:t>
      </w:r>
      <w:r>
        <w:rPr>
          <w:rFonts w:ascii="仿宋_GB2312" w:hAnsi="仿宋_GB2312" w:eastAsia="仿宋_GB2312" w:cs="仿宋_GB2312"/>
          <w:color w:val="000000"/>
          <w:kern w:val="0"/>
          <w:szCs w:val="28"/>
        </w:rPr>
        <w:t>说明或纠正</w:t>
      </w:r>
      <w:r>
        <w:rPr>
          <w:rFonts w:hint="eastAsia" w:ascii="仿宋_GB2312" w:hAnsi="仿宋_GB2312" w:eastAsia="仿宋_GB2312" w:cs="仿宋_GB2312"/>
          <w:color w:val="000000"/>
          <w:kern w:val="0"/>
          <w:szCs w:val="28"/>
        </w:rPr>
        <w:t>。该过程由</w:t>
      </w:r>
      <w:r>
        <w:rPr>
          <w:rFonts w:ascii="仿宋_GB2312" w:hAnsi="仿宋_GB2312" w:eastAsia="仿宋_GB2312" w:cs="仿宋_GB2312"/>
          <w:color w:val="000000"/>
          <w:kern w:val="0"/>
          <w:szCs w:val="28"/>
        </w:rPr>
        <w:t>投标人与评审小组通过电子交易平台交换数据电文的形式进行</w:t>
      </w:r>
      <w:r>
        <w:rPr>
          <w:rFonts w:hint="eastAsia" w:ascii="仿宋_GB2312" w:hAnsi="仿宋_GB2312" w:eastAsia="仿宋_GB2312" w:cs="仿宋_GB2312"/>
          <w:color w:val="000000"/>
          <w:kern w:val="0"/>
          <w:szCs w:val="28"/>
        </w:rPr>
        <w:t>，给予投标人提交澄清说明或补正的时间不少于半小时，投标人已经明确表示澄清说明或补正完毕的除外。</w:t>
      </w:r>
      <w:r>
        <w:rPr>
          <w:rFonts w:ascii="仿宋_GB2312" w:hAnsi="仿宋_GB2312" w:eastAsia="仿宋_GB2312" w:cs="仿宋_GB2312"/>
          <w:color w:val="000000"/>
          <w:kern w:val="0"/>
          <w:szCs w:val="28"/>
        </w:rPr>
        <w:t>澄清说明</w:t>
      </w:r>
      <w:r>
        <w:rPr>
          <w:rFonts w:hint="eastAsia" w:ascii="仿宋_GB2312" w:hAnsi="仿宋_GB2312" w:eastAsia="仿宋_GB2312" w:cs="仿宋_GB2312"/>
          <w:color w:val="000000"/>
          <w:kern w:val="0"/>
          <w:szCs w:val="28"/>
        </w:rPr>
        <w:t>内容</w:t>
      </w:r>
      <w:r>
        <w:rPr>
          <w:rFonts w:ascii="仿宋_GB2312" w:hAnsi="仿宋_GB2312" w:eastAsia="仿宋_GB2312" w:cs="仿宋_GB2312"/>
          <w:color w:val="000000"/>
          <w:kern w:val="0"/>
          <w:szCs w:val="28"/>
        </w:rPr>
        <w:t>不得超出投标文件的范围或者改变投标文件的实质性内容。</w:t>
      </w: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具体操作步骤及要点：</w:t>
      </w: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 供应商在“询标澄清-待办理”标签页下选择状态为“待澄清”的项目，点击操作栏【澄清】；</w:t>
      </w: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 查看询标函内容，在澄清截止时间前上传澄清文件并对澄清文件进行签章（注：澄清文件必须以 PDF 格式上传，文件大小：50M）；</w:t>
      </w: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 签章完成，文件名称处显示“已签章”，供应商可“撤回签章”修改澄清函和“查看文件”；</w:t>
      </w: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 确认澄清文件内容后，点击右上角【提交】（注：供应商未对澄清文件签章，提交时，弹框提醒“澄清文件未签章，请进行签章操作”，如遇 CA 突发情况无法签章，供应商可点击【放弃签章并提交】提交澄清文件；反之则签章后再提交）；</w:t>
      </w: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完成状态：供应商澄清文件提交成功后，在“询标澄清-全部”标签页下显示状态为“已澄清”。</w:t>
      </w: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4.4</w:t>
      </w:r>
      <w:r>
        <w:rPr>
          <w:rFonts w:ascii="仿宋_GB2312" w:hAnsi="仿宋_GB2312" w:eastAsia="仿宋_GB2312" w:cs="仿宋_GB2312"/>
          <w:color w:val="000000"/>
          <w:kern w:val="0"/>
          <w:szCs w:val="28"/>
        </w:rPr>
        <w:t>评审人员需对评审结果进行确认。如发现分值汇总计算错误、分项评分超出评分标准范围、客观评分不一致以及存在评分畸高、畸低情形（其总评分偏离平均分30%以上的）的，应由相关人员当场改正或作出说明；拒不改正又不作说明的，由现场监督员据实记录。</w:t>
      </w: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4.5</w:t>
      </w:r>
      <w:r>
        <w:rPr>
          <w:rFonts w:ascii="仿宋_GB2312" w:hAnsi="仿宋_GB2312" w:eastAsia="仿宋_GB2312" w:cs="仿宋_GB2312"/>
          <w:color w:val="000000"/>
          <w:kern w:val="0"/>
          <w:szCs w:val="28"/>
        </w:rPr>
        <w:t xml:space="preserve">评标委员会根据评审汇总情况和招标文件规定确定中标候选供应商排序名单。 </w:t>
      </w:r>
    </w:p>
    <w:p>
      <w:pPr>
        <w:pStyle w:val="38"/>
        <w:snapToGrid w:val="0"/>
        <w:spacing w:before="120" w:after="120" w:line="360" w:lineRule="auto"/>
        <w:ind w:firstLine="560" w:firstLineChars="200"/>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三</w:t>
      </w:r>
      <w:r>
        <w:rPr>
          <w:rFonts w:ascii="仿宋_GB2312" w:hAnsi="仿宋_GB2312" w:eastAsia="仿宋_GB2312" w:cs="仿宋_GB2312"/>
          <w:color w:val="000000"/>
          <w:kern w:val="0"/>
          <w:szCs w:val="28"/>
        </w:rPr>
        <w:t>、评审原则</w:t>
      </w:r>
    </w:p>
    <w:p>
      <w:pPr>
        <w:pStyle w:val="38"/>
        <w:snapToGrid w:val="0"/>
        <w:spacing w:beforeLines="100" w:afterLines="100" w:line="360" w:lineRule="auto"/>
        <w:ind w:firstLine="560" w:firstLineChars="200"/>
        <w:jc w:val="left"/>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1、评标委员会必须公平、公正、客观，不带任何倾向性和启发性；不得向外界透露任何与评标有关的内容；任何单位和个人不得干扰、影响评标的正常进行；评标委员会及有关工作人员不得私下与投标人接触。</w:t>
      </w:r>
    </w:p>
    <w:p>
      <w:pPr>
        <w:pStyle w:val="38"/>
        <w:snapToGrid w:val="0"/>
        <w:spacing w:line="360" w:lineRule="auto"/>
        <w:ind w:firstLine="548" w:firstLineChars="196"/>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2、评审专家因回避、临时缺席或健康原因等特殊情况不能继续参加评审工作的，应按规定更换评审专家,被更换的评审人员之前所作出的评审意见不再予以采纳，由更换后的评审人员重新进行评审。无法及时更换专家的，要立即停止评审工作、封存评审资料，并告知投标人择期重新评审的时间和地点。</w:t>
      </w:r>
    </w:p>
    <w:p>
      <w:pPr>
        <w:pStyle w:val="38"/>
        <w:snapToGrid w:val="0"/>
        <w:spacing w:before="120" w:after="120" w:line="360" w:lineRule="auto"/>
        <w:ind w:firstLine="548" w:firstLineChars="196"/>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3、评审人员对有关招标文件、投标文件、样品或现场演示（如有）的说明、解释、要求、标准存在不同意见的，持不同意见的评审人员及其意见或理由应予以完整记录，并在评审过程中按照少数服从多数的原则表决执行。对招标文件本身不明确或存在歧义、矛盾的内容，应作对投标人而非采购人有利的解释；对因招标文件中有关产品技术参数需求表述不清导致投标人实质性响应不一致时，应终止评审，重新组织采购。评审人员拒绝在评审报告中签字又不说明其不同意见或理由的，由现场监督员记录在案后，可视为同意评审结果。</w:t>
      </w: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四、废标</w:t>
      </w: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在招标采购中，出现下列情形之一的，应予废标：</w:t>
      </w: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1、符合专业条件的供应商或者对招标文件作实质响应的供应商不足三家的；</w:t>
      </w: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2、出现影响采购公正的违法、违规行为的；</w:t>
      </w: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3、投标人的报价均超过了采购预算，采购人不能支付的；</w:t>
      </w: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4、因重大变故，采购任务取消的。</w:t>
      </w:r>
    </w:p>
    <w:p>
      <w:pPr>
        <w:spacing w:line="360" w:lineRule="auto"/>
        <w:ind w:firstLine="560" w:firstLineChars="200"/>
        <w:outlineLvl w:val="1"/>
        <w:rPr>
          <w:rFonts w:ascii="仿宋_GB2312" w:hAnsi="仿宋_GB2312" w:eastAsia="仿宋_GB2312" w:cs="仿宋_GB2312"/>
          <w:color w:val="000000"/>
          <w:kern w:val="0"/>
          <w:sz w:val="28"/>
          <w:szCs w:val="28"/>
        </w:rPr>
      </w:pPr>
      <w:bookmarkStart w:id="24" w:name="_Toc360457886"/>
      <w:bookmarkStart w:id="25" w:name="_Toc345423475"/>
      <w:r>
        <w:rPr>
          <w:rFonts w:hint="eastAsia" w:ascii="仿宋_GB2312" w:hAnsi="仿宋_GB2312" w:eastAsia="仿宋_GB2312" w:cs="仿宋_GB2312"/>
          <w:color w:val="000000"/>
          <w:kern w:val="0"/>
          <w:sz w:val="28"/>
          <w:szCs w:val="28"/>
        </w:rPr>
        <w:t>五</w:t>
      </w:r>
      <w:r>
        <w:rPr>
          <w:rFonts w:ascii="仿宋_GB2312" w:hAnsi="仿宋_GB2312" w:eastAsia="仿宋_GB2312" w:cs="仿宋_GB2312"/>
          <w:color w:val="000000"/>
          <w:kern w:val="0"/>
          <w:sz w:val="28"/>
          <w:szCs w:val="28"/>
        </w:rPr>
        <w:t>、定标</w:t>
      </w:r>
      <w:bookmarkEnd w:id="24"/>
      <w:bookmarkEnd w:id="25"/>
    </w:p>
    <w:p>
      <w:pPr>
        <w:pStyle w:val="38"/>
        <w:snapToGrid w:val="0"/>
        <w:spacing w:line="360" w:lineRule="auto"/>
        <w:ind w:firstLine="560" w:firstLineChars="200"/>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 xml:space="preserve"> 1、评标委员会</w:t>
      </w:r>
      <w:r>
        <w:rPr>
          <w:rFonts w:hint="eastAsia" w:ascii="仿宋_GB2312" w:hAnsi="仿宋_GB2312" w:eastAsia="仿宋_GB2312" w:cs="仿宋_GB2312"/>
          <w:color w:val="000000"/>
          <w:kern w:val="0"/>
          <w:szCs w:val="28"/>
        </w:rPr>
        <w:t>依法</w:t>
      </w:r>
      <w:r>
        <w:rPr>
          <w:rFonts w:ascii="仿宋_GB2312" w:hAnsi="仿宋_GB2312" w:eastAsia="仿宋_GB2312" w:cs="仿宋_GB2312"/>
          <w:color w:val="000000"/>
          <w:kern w:val="0"/>
          <w:szCs w:val="28"/>
        </w:rPr>
        <w:t>提出中标候选人排序。</w:t>
      </w:r>
    </w:p>
    <w:p>
      <w:pPr>
        <w:pStyle w:val="38"/>
        <w:snapToGrid w:val="0"/>
        <w:spacing w:line="360" w:lineRule="auto"/>
        <w:ind w:firstLine="560" w:firstLineChars="200"/>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 xml:space="preserve"> 2、采购人应当自收到评审报告之日起５个工作日内在评审报告推荐的中标候选人中按顺序确定中标供应商</w:t>
      </w:r>
      <w:r>
        <w:rPr>
          <w:rFonts w:hint="eastAsia" w:ascii="仿宋_GB2312" w:hAnsi="仿宋_GB2312" w:eastAsia="仿宋_GB2312" w:cs="仿宋_GB2312"/>
          <w:color w:val="000000"/>
          <w:kern w:val="0"/>
          <w:szCs w:val="28"/>
        </w:rPr>
        <w:t>。</w:t>
      </w:r>
      <w:r>
        <w:rPr>
          <w:rFonts w:ascii="仿宋_GB2312" w:hAnsi="仿宋_GB2312" w:eastAsia="仿宋_GB2312" w:cs="仿宋_GB2312"/>
          <w:color w:val="000000"/>
          <w:kern w:val="0"/>
          <w:szCs w:val="28"/>
        </w:rPr>
        <w:t>采购人在收到评审报告5个工作日内未按评审报告推荐的中标候选人顺序确定中标供应商，又不能说明合法理由的，视同按评审报告推荐的顺序确定排名第一的中标候选人为中标人。</w:t>
      </w:r>
    </w:p>
    <w:p>
      <w:pPr>
        <w:spacing w:line="360" w:lineRule="auto"/>
        <w:ind w:firstLine="560" w:firstLineChars="200"/>
        <w:jc w:val="left"/>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 xml:space="preserve"> 3、招标方将于中标供应商确定之日起2个工作日内在政采云平台</w:t>
      </w:r>
      <w:r>
        <w:rPr>
          <w:rFonts w:hint="eastAsia" w:ascii="仿宋_GB2312" w:hAnsi="仿宋_GB2312" w:eastAsia="仿宋_GB2312" w:cs="仿宋_GB2312"/>
          <w:color w:val="000000"/>
          <w:kern w:val="0"/>
          <w:sz w:val="28"/>
          <w:szCs w:val="28"/>
        </w:rPr>
        <w:t>发出</w:t>
      </w:r>
      <w:r>
        <w:rPr>
          <w:rFonts w:ascii="仿宋_GB2312" w:hAnsi="仿宋_GB2312" w:eastAsia="仿宋_GB2312" w:cs="仿宋_GB2312"/>
          <w:color w:val="000000"/>
          <w:kern w:val="0"/>
          <w:sz w:val="28"/>
          <w:szCs w:val="28"/>
        </w:rPr>
        <w:t>中标通知书</w:t>
      </w:r>
      <w:r>
        <w:rPr>
          <w:rFonts w:hint="eastAsia" w:ascii="仿宋_GB2312" w:hAnsi="仿宋_GB2312" w:eastAsia="仿宋_GB2312" w:cs="仿宋_GB2312"/>
          <w:color w:val="000000"/>
          <w:kern w:val="0"/>
          <w:sz w:val="28"/>
          <w:szCs w:val="28"/>
        </w:rPr>
        <w:t>，并</w:t>
      </w:r>
      <w:r>
        <w:rPr>
          <w:rFonts w:ascii="仿宋_GB2312" w:hAnsi="仿宋_GB2312" w:eastAsia="仿宋_GB2312" w:cs="仿宋_GB2312"/>
          <w:color w:val="000000"/>
          <w:kern w:val="0"/>
          <w:sz w:val="28"/>
          <w:szCs w:val="28"/>
        </w:rPr>
        <w:t>在</w:t>
      </w:r>
      <w:r>
        <w:rPr>
          <w:rFonts w:hint="eastAsia" w:ascii="仿宋_GB2312" w:hAnsi="仿宋_GB2312" w:eastAsia="仿宋_GB2312" w:cs="仿宋_GB2312"/>
          <w:color w:val="000000"/>
          <w:kern w:val="0"/>
          <w:sz w:val="28"/>
          <w:szCs w:val="28"/>
        </w:rPr>
        <w:t>浙江政府采购网</w:t>
      </w:r>
      <w:r>
        <w:rPr>
          <w:rFonts w:ascii="仿宋_GB2312" w:hAnsi="仿宋_GB2312" w:eastAsia="仿宋_GB2312" w:cs="仿宋_GB2312"/>
          <w:color w:val="000000"/>
          <w:kern w:val="0"/>
          <w:sz w:val="28"/>
          <w:szCs w:val="28"/>
        </w:rPr>
        <w:t>和</w:t>
      </w:r>
      <w:r>
        <w:rPr>
          <w:rFonts w:hint="eastAsia" w:ascii="仿宋_GB2312" w:hAnsi="仿宋_GB2312" w:eastAsia="仿宋_GB2312" w:cs="仿宋_GB2312"/>
          <w:color w:val="000000"/>
          <w:kern w:val="0"/>
          <w:sz w:val="28"/>
          <w:szCs w:val="28"/>
          <w:lang w:eastAsia="zh-CN"/>
        </w:rPr>
        <w:t>宁波市政务服务办公室-宁波市公共资源交易电子服务系统（慈溪）</w:t>
      </w:r>
      <w:r>
        <w:rPr>
          <w:rFonts w:ascii="仿宋_GB2312" w:hAnsi="仿宋_GB2312" w:eastAsia="仿宋_GB2312" w:cs="仿宋_GB2312"/>
          <w:color w:val="000000"/>
          <w:kern w:val="0"/>
          <w:sz w:val="28"/>
          <w:szCs w:val="28"/>
        </w:rPr>
        <w:t>发布中标公告。中标人</w:t>
      </w:r>
      <w:r>
        <w:rPr>
          <w:rFonts w:hint="eastAsia" w:ascii="仿宋_GB2312" w:hAnsi="仿宋_GB2312" w:eastAsia="仿宋_GB2312" w:cs="仿宋_GB2312"/>
          <w:color w:val="000000"/>
          <w:kern w:val="0"/>
          <w:sz w:val="28"/>
          <w:szCs w:val="28"/>
        </w:rPr>
        <w:t>自行登录政采云平台</w:t>
      </w:r>
      <w:r>
        <w:rPr>
          <w:rFonts w:ascii="仿宋_GB2312" w:hAnsi="仿宋_GB2312" w:eastAsia="仿宋_GB2312" w:cs="仿宋_GB2312"/>
          <w:color w:val="000000"/>
          <w:kern w:val="0"/>
          <w:sz w:val="28"/>
          <w:szCs w:val="28"/>
        </w:rPr>
        <w:t>获取中标通知书</w:t>
      </w:r>
      <w:r>
        <w:rPr>
          <w:rFonts w:hint="eastAsia" w:ascii="仿宋_GB2312" w:hAnsi="仿宋_GB2312" w:eastAsia="仿宋_GB2312" w:cs="仿宋_GB2312"/>
          <w:color w:val="000000"/>
          <w:kern w:val="0"/>
          <w:sz w:val="28"/>
          <w:szCs w:val="28"/>
        </w:rPr>
        <w:t>，并于</w:t>
      </w:r>
      <w:r>
        <w:rPr>
          <w:rFonts w:ascii="仿宋_GB2312" w:hAnsi="仿宋_GB2312" w:eastAsia="仿宋_GB2312" w:cs="仿宋_GB2312"/>
          <w:color w:val="000000"/>
          <w:kern w:val="0"/>
          <w:sz w:val="28"/>
          <w:szCs w:val="28"/>
        </w:rPr>
        <w:t>中标通知书</w:t>
      </w:r>
      <w:r>
        <w:rPr>
          <w:rFonts w:hint="eastAsia" w:ascii="仿宋_GB2312" w:hAnsi="仿宋_GB2312" w:eastAsia="仿宋_GB2312" w:cs="仿宋_GB2312"/>
          <w:color w:val="000000"/>
          <w:kern w:val="0"/>
          <w:sz w:val="28"/>
          <w:szCs w:val="28"/>
        </w:rPr>
        <w:t>发出之日起三十</w:t>
      </w:r>
      <w:r>
        <w:rPr>
          <w:rFonts w:ascii="仿宋_GB2312" w:hAnsi="仿宋_GB2312" w:eastAsia="仿宋_GB2312" w:cs="仿宋_GB2312"/>
          <w:color w:val="000000"/>
          <w:kern w:val="0"/>
          <w:sz w:val="28"/>
          <w:szCs w:val="28"/>
        </w:rPr>
        <w:t>日内与采购人签订合同。</w:t>
      </w: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中标通知书发出后，若中标人无故放弃中标，须承担相应的法律责任，中标通知书对采购人和中标人具有同等法律效力。</w:t>
      </w: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r>
        <w:rPr>
          <w:rFonts w:ascii="仿宋_GB2312" w:hAnsi="仿宋_GB2312" w:eastAsia="仿宋_GB2312" w:cs="仿宋_GB2312"/>
          <w:color w:val="000000"/>
          <w:kern w:val="0"/>
          <w:sz w:val="36"/>
          <w:szCs w:val="36"/>
        </w:rPr>
        <w:t>第</w:t>
      </w:r>
      <w:r>
        <w:rPr>
          <w:rFonts w:hint="eastAsia" w:ascii="仿宋_GB2312" w:hAnsi="仿宋_GB2312" w:eastAsia="仿宋_GB2312" w:cs="仿宋_GB2312"/>
          <w:color w:val="000000"/>
          <w:kern w:val="0"/>
          <w:sz w:val="36"/>
          <w:szCs w:val="36"/>
        </w:rPr>
        <w:t>五</w:t>
      </w:r>
      <w:r>
        <w:rPr>
          <w:rFonts w:ascii="仿宋_GB2312" w:hAnsi="仿宋_GB2312" w:eastAsia="仿宋_GB2312" w:cs="仿宋_GB2312"/>
          <w:color w:val="000000"/>
          <w:kern w:val="0"/>
          <w:sz w:val="36"/>
          <w:szCs w:val="36"/>
        </w:rPr>
        <w:t>部分   评标办法及评分标准</w:t>
      </w:r>
    </w:p>
    <w:p>
      <w:pPr>
        <w:autoSpaceDE w:val="0"/>
        <w:autoSpaceDN w:val="0"/>
        <w:adjustRightInd w:val="0"/>
        <w:spacing w:line="360" w:lineRule="auto"/>
        <w:jc w:val="center"/>
        <w:outlineLvl w:val="0"/>
        <w:rPr>
          <w:rFonts w:ascii="仿宋_GB2312" w:hAnsi="仿宋_GB2312" w:eastAsia="仿宋_GB2312" w:cs="仿宋_GB2312"/>
          <w:color w:val="000000"/>
          <w:kern w:val="0"/>
          <w:sz w:val="28"/>
          <w:szCs w:val="28"/>
        </w:rPr>
      </w:pPr>
    </w:p>
    <w:p>
      <w:pPr>
        <w:spacing w:beforeLines="50" w:afterLines="50" w:line="360" w:lineRule="auto"/>
        <w:ind w:firstLine="42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根据《中华人民共和国政府采购法》等有关法律法规，结合本项目的实际需求，制定本办法。</w:t>
      </w:r>
    </w:p>
    <w:p>
      <w:pPr>
        <w:spacing w:beforeLines="50" w:afterLines="50" w:line="360" w:lineRule="auto"/>
        <w:ind w:firstLine="548" w:firstLineChars="196"/>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一、总则</w:t>
      </w:r>
    </w:p>
    <w:p>
      <w:pPr>
        <w:spacing w:beforeLines="50" w:afterLines="50"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本次评标采用综合评分法，总分为100分。合格投标人的评标得分为各项目汇总得分，中标候选资格按评标得分由高到低顺序排列，得分相同的，按投标报价由低到高顺序排列；得分且投标报价相同的，按技术得分由高到低顺序排列。评分过程中采用四舍五入法，并保留小数2位。</w:t>
      </w:r>
    </w:p>
    <w:p>
      <w:pPr>
        <w:spacing w:beforeLines="50" w:afterLines="50" w:line="360" w:lineRule="auto"/>
        <w:ind w:firstLine="548" w:firstLineChars="196"/>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二、分值的计算</w:t>
      </w:r>
    </w:p>
    <w:p>
      <w:pPr>
        <w:spacing w:beforeLines="50" w:afterLines="50"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技术、商务及其他分按照评标委员会成员的独立评分结果汇总后的算术平均分计算，计算公式为：</w:t>
      </w:r>
    </w:p>
    <w:p>
      <w:pPr>
        <w:spacing w:beforeLines="50" w:afterLines="50" w:line="360" w:lineRule="auto"/>
        <w:ind w:firstLine="495"/>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技术、商务及其他分=评标委员会所有成员评分合计数/评标委员会组成人员数</w:t>
      </w:r>
    </w:p>
    <w:p>
      <w:pPr>
        <w:spacing w:beforeLines="50" w:afterLines="50"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投标人评标综合得分=价格分+(技术分+商务及其他分)</w:t>
      </w:r>
    </w:p>
    <w:p>
      <w:pPr>
        <w:spacing w:line="360" w:lineRule="auto"/>
        <w:outlineLvl w:val="1"/>
        <w:rPr>
          <w:rFonts w:ascii="仿宋_GB2312" w:hAnsi="仿宋_GB2312" w:eastAsia="仿宋_GB2312" w:cs="仿宋_GB2312"/>
          <w:color w:val="000000"/>
          <w:kern w:val="0"/>
          <w:sz w:val="32"/>
          <w:szCs w:val="32"/>
        </w:rPr>
      </w:pPr>
    </w:p>
    <w:p>
      <w:pPr>
        <w:pStyle w:val="2"/>
        <w:keepNext w:val="0"/>
        <w:keepLines w:val="0"/>
      </w:pPr>
    </w:p>
    <w:p>
      <w:pPr>
        <w:spacing w:line="360" w:lineRule="auto"/>
        <w:jc w:val="center"/>
        <w:outlineLvl w:val="1"/>
        <w:rPr>
          <w:rFonts w:ascii="仿宋_GB2312" w:hAnsi="仿宋_GB2312" w:eastAsia="仿宋_GB2312" w:cs="仿宋_GB2312"/>
          <w:color w:val="000000"/>
          <w:kern w:val="0"/>
          <w:sz w:val="32"/>
          <w:szCs w:val="32"/>
        </w:rPr>
      </w:pPr>
    </w:p>
    <w:p>
      <w:pPr>
        <w:spacing w:line="360" w:lineRule="auto"/>
        <w:jc w:val="center"/>
        <w:outlineLvl w:val="1"/>
        <w:rPr>
          <w:rFonts w:ascii="仿宋_GB2312" w:hAnsi="仿宋_GB2312" w:eastAsia="仿宋_GB2312" w:cs="仿宋_GB2312"/>
          <w:color w:val="000000"/>
          <w:kern w:val="0"/>
          <w:sz w:val="32"/>
          <w:szCs w:val="32"/>
          <w:highlight w:val="none"/>
        </w:rPr>
      </w:pPr>
      <w:r>
        <w:rPr>
          <w:rFonts w:ascii="仿宋_GB2312" w:hAnsi="仿宋_GB2312" w:eastAsia="仿宋_GB2312" w:cs="仿宋_GB2312"/>
          <w:color w:val="000000"/>
          <w:kern w:val="0"/>
          <w:sz w:val="32"/>
          <w:szCs w:val="32"/>
          <w:highlight w:val="none"/>
        </w:rPr>
        <w:t>评分标准表</w:t>
      </w:r>
    </w:p>
    <w:p>
      <w:pPr>
        <w:spacing w:line="360" w:lineRule="auto"/>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招标编号：</w:t>
      </w:r>
      <w:r>
        <w:rPr>
          <w:rFonts w:hint="eastAsia" w:ascii="仿宋_GB2312" w:hAnsi="仿宋_GB2312" w:eastAsia="仿宋_GB2312" w:cs="仿宋_GB2312"/>
          <w:color w:val="auto"/>
          <w:kern w:val="0"/>
          <w:sz w:val="24"/>
          <w:highlight w:val="none"/>
          <w:lang w:eastAsia="zh-CN"/>
        </w:rPr>
        <w:t>NBCXZFCG2023108</w:t>
      </w:r>
      <w:r>
        <w:rPr>
          <w:rFonts w:hint="eastAsia" w:ascii="仿宋_GB2312" w:hAnsi="仿宋_GB2312" w:eastAsia="仿宋_GB2312" w:cs="仿宋_GB2312"/>
          <w:color w:val="auto"/>
          <w:kern w:val="0"/>
          <w:sz w:val="24"/>
          <w:highlight w:val="none"/>
        </w:rPr>
        <w:t xml:space="preserve">    </w:t>
      </w:r>
      <w:r>
        <w:rPr>
          <w:rFonts w:hint="eastAsia" w:ascii="仿宋_GB2312" w:hAnsi="仿宋_GB2312" w:eastAsia="仿宋_GB2312" w:cs="仿宋_GB2312"/>
          <w:color w:val="000000"/>
          <w:kern w:val="0"/>
          <w:sz w:val="24"/>
          <w:highlight w:val="none"/>
        </w:rPr>
        <w:t xml:space="preserve">   </w:t>
      </w:r>
      <w:r>
        <w:rPr>
          <w:rFonts w:hint="eastAsia" w:ascii="仿宋_GB2312" w:hAnsi="仿宋_GB2312" w:eastAsia="仿宋_GB2312" w:cs="仿宋_GB2312"/>
          <w:color w:val="000000"/>
          <w:kern w:val="0"/>
          <w:sz w:val="24"/>
        </w:rPr>
        <w:t xml:space="preserve">               </w:t>
      </w:r>
      <w:r>
        <w:rPr>
          <w:rFonts w:ascii="仿宋_GB2312" w:hAnsi="仿宋_GB2312" w:eastAsia="仿宋_GB2312" w:cs="仿宋_GB2312"/>
          <w:color w:val="000000"/>
          <w:kern w:val="0"/>
          <w:sz w:val="24"/>
        </w:rPr>
        <w:t>总分：100分</w:t>
      </w:r>
    </w:p>
    <w:tbl>
      <w:tblPr>
        <w:tblStyle w:val="67"/>
        <w:tblW w:w="8902"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89"/>
        <w:gridCol w:w="1018"/>
        <w:gridCol w:w="854"/>
        <w:gridCol w:w="654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489" w:type="dxa"/>
            <w:tcBorders>
              <w:top w:val="single" w:color="auto" w:sz="12" w:space="0"/>
              <w:left w:val="single" w:color="auto" w:sz="12" w:space="0"/>
              <w:bottom w:val="single" w:color="auto" w:sz="12" w:space="0"/>
              <w:right w:val="single" w:color="auto" w:sz="4" w:space="0"/>
            </w:tcBorders>
            <w:noWrap/>
            <w:vAlign w:val="center"/>
          </w:tcPr>
          <w:p>
            <w:pPr>
              <w:suppressAutoHyphens/>
              <w:spacing w:line="360" w:lineRule="auto"/>
              <w:jc w:val="center"/>
              <w:rPr>
                <w:rFonts w:ascii="仿宋" w:hAnsi="仿宋" w:eastAsia="仿宋" w:cs="仿宋_GB2312"/>
                <w:color w:val="000000"/>
                <w:kern w:val="0"/>
                <w:szCs w:val="21"/>
              </w:rPr>
            </w:pPr>
            <w:r>
              <w:rPr>
                <w:rFonts w:ascii="仿宋" w:hAnsi="仿宋" w:eastAsia="仿宋" w:cs="仿宋_GB2312"/>
                <w:color w:val="000000"/>
                <w:kern w:val="0"/>
                <w:szCs w:val="21"/>
              </w:rPr>
              <w:t>序号</w:t>
            </w:r>
          </w:p>
        </w:tc>
        <w:tc>
          <w:tcPr>
            <w:tcW w:w="1018" w:type="dxa"/>
            <w:tcBorders>
              <w:top w:val="single" w:color="auto" w:sz="12" w:space="0"/>
              <w:left w:val="single" w:color="auto" w:sz="4" w:space="0"/>
              <w:bottom w:val="single" w:color="auto" w:sz="12" w:space="0"/>
              <w:right w:val="single" w:color="auto" w:sz="4" w:space="0"/>
            </w:tcBorders>
            <w:noWrap/>
            <w:vAlign w:val="center"/>
          </w:tcPr>
          <w:p>
            <w:pPr>
              <w:suppressAutoHyphens/>
              <w:spacing w:line="360" w:lineRule="auto"/>
              <w:jc w:val="center"/>
              <w:rPr>
                <w:rFonts w:ascii="仿宋" w:hAnsi="仿宋" w:eastAsia="仿宋" w:cs="仿宋_GB2312"/>
                <w:color w:val="000000"/>
                <w:kern w:val="0"/>
                <w:szCs w:val="21"/>
              </w:rPr>
            </w:pPr>
            <w:r>
              <w:rPr>
                <w:rFonts w:ascii="仿宋" w:hAnsi="仿宋" w:eastAsia="仿宋" w:cs="仿宋_GB2312"/>
                <w:color w:val="000000"/>
                <w:kern w:val="0"/>
                <w:szCs w:val="21"/>
              </w:rPr>
              <w:t>评分内容</w:t>
            </w:r>
          </w:p>
        </w:tc>
        <w:tc>
          <w:tcPr>
            <w:tcW w:w="854" w:type="dxa"/>
            <w:tcBorders>
              <w:top w:val="single" w:color="auto" w:sz="12" w:space="0"/>
              <w:left w:val="single" w:color="auto" w:sz="4" w:space="0"/>
              <w:bottom w:val="single" w:color="auto" w:sz="12" w:space="0"/>
              <w:right w:val="single" w:color="auto" w:sz="4" w:space="0"/>
            </w:tcBorders>
            <w:noWrap/>
            <w:vAlign w:val="center"/>
          </w:tcPr>
          <w:p>
            <w:pPr>
              <w:suppressAutoHyphens/>
              <w:spacing w:line="360" w:lineRule="auto"/>
              <w:jc w:val="center"/>
              <w:rPr>
                <w:rFonts w:ascii="仿宋" w:hAnsi="仿宋" w:eastAsia="仿宋" w:cs="仿宋_GB2312"/>
                <w:color w:val="000000"/>
                <w:kern w:val="0"/>
                <w:szCs w:val="21"/>
              </w:rPr>
            </w:pPr>
            <w:r>
              <w:rPr>
                <w:rFonts w:ascii="仿宋" w:hAnsi="仿宋" w:eastAsia="仿宋" w:cs="仿宋_GB2312"/>
                <w:color w:val="000000"/>
                <w:kern w:val="0"/>
                <w:szCs w:val="21"/>
              </w:rPr>
              <w:t>分值（分）</w:t>
            </w:r>
          </w:p>
        </w:tc>
        <w:tc>
          <w:tcPr>
            <w:tcW w:w="6541" w:type="dxa"/>
            <w:tcBorders>
              <w:top w:val="single" w:color="auto" w:sz="12" w:space="0"/>
              <w:left w:val="single" w:color="auto" w:sz="4" w:space="0"/>
              <w:bottom w:val="single" w:color="auto" w:sz="12" w:space="0"/>
              <w:right w:val="single" w:color="auto" w:sz="12" w:space="0"/>
            </w:tcBorders>
            <w:noWrap/>
            <w:vAlign w:val="center"/>
          </w:tcPr>
          <w:p>
            <w:pPr>
              <w:suppressAutoHyphens/>
              <w:spacing w:line="360" w:lineRule="auto"/>
              <w:jc w:val="center"/>
              <w:rPr>
                <w:rFonts w:ascii="仿宋" w:hAnsi="仿宋" w:eastAsia="仿宋" w:cs="仿宋_GB2312"/>
                <w:color w:val="000000"/>
                <w:kern w:val="0"/>
                <w:szCs w:val="21"/>
              </w:rPr>
            </w:pPr>
            <w:r>
              <w:rPr>
                <w:rFonts w:ascii="仿宋" w:hAnsi="仿宋" w:eastAsia="仿宋" w:cs="仿宋_GB2312"/>
                <w:color w:val="000000"/>
                <w:kern w:val="0"/>
                <w:szCs w:val="21"/>
              </w:rPr>
              <w:t>评分标准说明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489" w:type="dxa"/>
            <w:tcBorders>
              <w:top w:val="single" w:color="auto" w:sz="12" w:space="0"/>
              <w:left w:val="single" w:color="auto" w:sz="12" w:space="0"/>
              <w:bottom w:val="single" w:color="auto" w:sz="4" w:space="0"/>
              <w:right w:val="single" w:color="auto" w:sz="4" w:space="0"/>
            </w:tcBorders>
            <w:noWrap/>
            <w:vAlign w:val="center"/>
          </w:tcPr>
          <w:p>
            <w:pPr>
              <w:suppressAutoHyphens/>
              <w:spacing w:line="360" w:lineRule="auto"/>
              <w:jc w:val="center"/>
              <w:rPr>
                <w:rFonts w:ascii="仿宋" w:hAnsi="仿宋" w:eastAsia="仿宋" w:cs="仿宋_GB2312"/>
                <w:color w:val="000000"/>
                <w:kern w:val="0"/>
                <w:szCs w:val="21"/>
              </w:rPr>
            </w:pPr>
            <w:r>
              <w:rPr>
                <w:rFonts w:ascii="仿宋" w:hAnsi="仿宋" w:eastAsia="仿宋" w:cs="仿宋_GB2312"/>
                <w:color w:val="000000"/>
                <w:kern w:val="0"/>
                <w:szCs w:val="21"/>
              </w:rPr>
              <w:t>1</w:t>
            </w:r>
          </w:p>
        </w:tc>
        <w:tc>
          <w:tcPr>
            <w:tcW w:w="1018" w:type="dxa"/>
            <w:tcBorders>
              <w:top w:val="single" w:color="auto" w:sz="12" w:space="0"/>
              <w:left w:val="single" w:color="auto" w:sz="4" w:space="0"/>
              <w:bottom w:val="single" w:color="auto" w:sz="4" w:space="0"/>
              <w:right w:val="single" w:color="auto" w:sz="4" w:space="0"/>
            </w:tcBorders>
            <w:noWrap/>
            <w:vAlign w:val="center"/>
          </w:tcPr>
          <w:p>
            <w:pPr>
              <w:suppressAutoHyphens/>
              <w:spacing w:line="360" w:lineRule="auto"/>
              <w:jc w:val="center"/>
              <w:rPr>
                <w:rFonts w:ascii="仿宋" w:hAnsi="仿宋" w:eastAsia="仿宋" w:cs="仿宋_GB2312"/>
                <w:color w:val="000000"/>
                <w:kern w:val="0"/>
                <w:szCs w:val="21"/>
              </w:rPr>
            </w:pPr>
            <w:r>
              <w:rPr>
                <w:rFonts w:ascii="仿宋" w:hAnsi="仿宋" w:eastAsia="仿宋" w:cs="仿宋_GB2312"/>
                <w:color w:val="000000"/>
                <w:kern w:val="0"/>
                <w:szCs w:val="21"/>
              </w:rPr>
              <w:t>投标报价</w:t>
            </w:r>
          </w:p>
        </w:tc>
        <w:tc>
          <w:tcPr>
            <w:tcW w:w="854" w:type="dxa"/>
            <w:tcBorders>
              <w:top w:val="single" w:color="auto" w:sz="12" w:space="0"/>
              <w:left w:val="single" w:color="auto" w:sz="4" w:space="0"/>
              <w:bottom w:val="single" w:color="auto" w:sz="4" w:space="0"/>
              <w:right w:val="single" w:color="auto" w:sz="4" w:space="0"/>
            </w:tcBorders>
            <w:noWrap/>
            <w:vAlign w:val="center"/>
          </w:tcPr>
          <w:p>
            <w:pPr>
              <w:suppressAutoHyphens/>
              <w:spacing w:line="360" w:lineRule="auto"/>
              <w:jc w:val="center"/>
              <w:rPr>
                <w:rFonts w:ascii="仿宋" w:hAnsi="仿宋" w:eastAsia="仿宋" w:cs="仿宋_GB2312"/>
                <w:color w:val="000000"/>
                <w:kern w:val="0"/>
                <w:szCs w:val="21"/>
              </w:rPr>
            </w:pPr>
            <w:r>
              <w:rPr>
                <w:rFonts w:ascii="仿宋" w:hAnsi="仿宋" w:eastAsia="仿宋" w:cs="仿宋_GB2312"/>
                <w:color w:val="000000"/>
                <w:kern w:val="0"/>
                <w:szCs w:val="21"/>
              </w:rPr>
              <w:t>2</w:t>
            </w:r>
            <w:r>
              <w:rPr>
                <w:rFonts w:hint="eastAsia" w:ascii="仿宋" w:hAnsi="仿宋" w:eastAsia="仿宋" w:cs="仿宋_GB2312"/>
                <w:color w:val="000000"/>
                <w:kern w:val="0"/>
                <w:szCs w:val="21"/>
              </w:rPr>
              <w:t>0</w:t>
            </w:r>
          </w:p>
        </w:tc>
        <w:tc>
          <w:tcPr>
            <w:tcW w:w="6541" w:type="dxa"/>
            <w:tcBorders>
              <w:top w:val="single" w:color="auto" w:sz="12" w:space="0"/>
              <w:left w:val="single" w:color="auto" w:sz="4" w:space="0"/>
              <w:bottom w:val="single" w:color="auto" w:sz="4" w:space="0"/>
              <w:right w:val="single" w:color="auto" w:sz="12" w:space="0"/>
            </w:tcBorders>
            <w:noWrap/>
            <w:vAlign w:val="center"/>
          </w:tcPr>
          <w:p>
            <w:pPr>
              <w:suppressAutoHyphens/>
              <w:spacing w:line="276" w:lineRule="auto"/>
              <w:rPr>
                <w:rFonts w:ascii="仿宋" w:hAnsi="仿宋" w:eastAsia="仿宋" w:cs="仿宋_GB2312"/>
                <w:color w:val="000000"/>
                <w:kern w:val="0"/>
                <w:szCs w:val="21"/>
              </w:rPr>
            </w:pPr>
            <w:r>
              <w:rPr>
                <w:rFonts w:ascii="仿宋" w:hAnsi="仿宋" w:eastAsia="仿宋" w:cs="仿宋_GB2312"/>
                <w:color w:val="000000"/>
                <w:kern w:val="0"/>
                <w:szCs w:val="21"/>
              </w:rPr>
              <w:t>有效投标报价的最低价作为评标基准价，其最低报价为满分；按照［投标报价得分=（评标基准价/投标报价）*价格权值*100］的计算公式计算</w:t>
            </w:r>
            <w:r>
              <w:rPr>
                <w:rFonts w:hint="eastAsia" w:ascii="仿宋" w:hAnsi="仿宋" w:eastAsia="仿宋" w:cs="仿宋_GB2312"/>
                <w:color w:val="000000"/>
                <w:kern w:val="0"/>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17" w:hRule="atLeast"/>
          <w:jc w:val="center"/>
        </w:trPr>
        <w:tc>
          <w:tcPr>
            <w:tcW w:w="489" w:type="dxa"/>
            <w:vMerge w:val="restart"/>
            <w:tcBorders>
              <w:left w:val="single" w:color="auto" w:sz="12" w:space="0"/>
              <w:right w:val="single" w:color="auto" w:sz="4" w:space="0"/>
            </w:tcBorders>
            <w:noWrap/>
            <w:vAlign w:val="center"/>
          </w:tcPr>
          <w:p>
            <w:pPr>
              <w:suppressAutoHyphens/>
              <w:spacing w:line="360" w:lineRule="auto"/>
              <w:jc w:val="center"/>
              <w:rPr>
                <w:rFonts w:ascii="仿宋" w:hAnsi="仿宋" w:eastAsia="仿宋" w:cs="仿宋_GB2312"/>
                <w:color w:val="000000"/>
                <w:kern w:val="0"/>
                <w:szCs w:val="21"/>
              </w:rPr>
            </w:pPr>
            <w:r>
              <w:rPr>
                <w:rFonts w:hint="eastAsia" w:ascii="仿宋" w:hAnsi="仿宋" w:eastAsia="仿宋" w:cs="仿宋_GB2312"/>
                <w:color w:val="000000"/>
                <w:kern w:val="0"/>
                <w:szCs w:val="21"/>
              </w:rPr>
              <w:t>2</w:t>
            </w:r>
          </w:p>
        </w:tc>
        <w:tc>
          <w:tcPr>
            <w:tcW w:w="1018" w:type="dxa"/>
            <w:vMerge w:val="restart"/>
            <w:tcBorders>
              <w:left w:val="single" w:color="auto" w:sz="4" w:space="0"/>
              <w:right w:val="single" w:color="auto" w:sz="4" w:space="0"/>
            </w:tcBorders>
            <w:noWrap/>
            <w:vAlign w:val="center"/>
          </w:tcPr>
          <w:p>
            <w:pPr>
              <w:suppressAutoHyphens/>
              <w:spacing w:line="360" w:lineRule="auto"/>
              <w:rPr>
                <w:rFonts w:ascii="仿宋" w:hAnsi="仿宋" w:eastAsia="仿宋" w:cs="仿宋_GB2312"/>
                <w:color w:val="000000"/>
                <w:kern w:val="0"/>
                <w:szCs w:val="21"/>
              </w:rPr>
            </w:pPr>
            <w:r>
              <w:rPr>
                <w:rFonts w:hint="eastAsia" w:ascii="仿宋" w:hAnsi="仿宋" w:eastAsia="仿宋" w:cs="仿宋_GB2312"/>
                <w:color w:val="000000"/>
                <w:kern w:val="0"/>
                <w:szCs w:val="21"/>
              </w:rPr>
              <w:t>项目</w:t>
            </w:r>
            <w:r>
              <w:rPr>
                <w:rFonts w:ascii="仿宋" w:hAnsi="仿宋" w:eastAsia="仿宋" w:cs="仿宋_GB2312"/>
                <w:color w:val="000000"/>
                <w:kern w:val="0"/>
                <w:szCs w:val="21"/>
              </w:rPr>
              <w:t>整体方案及策划</w:t>
            </w:r>
          </w:p>
        </w:tc>
        <w:tc>
          <w:tcPr>
            <w:tcW w:w="854" w:type="dxa"/>
            <w:vMerge w:val="restart"/>
            <w:tcBorders>
              <w:left w:val="single" w:color="auto" w:sz="4" w:space="0"/>
              <w:right w:val="single" w:color="auto" w:sz="4" w:space="0"/>
            </w:tcBorders>
            <w:noWrap/>
            <w:vAlign w:val="center"/>
          </w:tcPr>
          <w:p>
            <w:pPr>
              <w:suppressAutoHyphens/>
              <w:spacing w:line="360" w:lineRule="auto"/>
              <w:jc w:val="center"/>
              <w:rPr>
                <w:rFonts w:ascii="仿宋" w:hAnsi="仿宋" w:eastAsia="仿宋" w:cs="仿宋_GB2312"/>
                <w:color w:val="000000"/>
                <w:kern w:val="0"/>
                <w:szCs w:val="21"/>
              </w:rPr>
            </w:pPr>
            <w:r>
              <w:rPr>
                <w:rFonts w:hint="eastAsia" w:ascii="仿宋" w:hAnsi="仿宋" w:eastAsia="仿宋" w:cs="仿宋_GB2312"/>
                <w:color w:val="000000"/>
                <w:kern w:val="0"/>
                <w:szCs w:val="21"/>
              </w:rPr>
              <w:t>18</w:t>
            </w:r>
          </w:p>
        </w:tc>
        <w:tc>
          <w:tcPr>
            <w:tcW w:w="6541" w:type="dxa"/>
            <w:tcBorders>
              <w:top w:val="single" w:color="auto" w:sz="4" w:space="0"/>
              <w:left w:val="single" w:color="auto" w:sz="4" w:space="0"/>
              <w:bottom w:val="single" w:color="auto" w:sz="4" w:space="0"/>
              <w:right w:val="single" w:color="auto" w:sz="12" w:space="0"/>
            </w:tcBorders>
            <w:noWrap/>
            <w:vAlign w:val="center"/>
          </w:tcPr>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对本项目的整体策划、管理方式和措施、工作计划进行综合评分（6分）：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整体策划合理、管理方式和措施针对性强、工作计划明确的，得6分；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整体策划较为合理、管理方式和措施针对性较强、工作计划较为明确的，得3分；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整体策划较不合理、管理方式和措施针对性较差、工作计划较不明确的，得</w:t>
            </w:r>
            <w:r>
              <w:rPr>
                <w:rFonts w:ascii="仿宋" w:hAnsi="仿宋" w:eastAsia="仿宋" w:cs="仿宋_GB2312"/>
                <w:color w:val="000000"/>
                <w:kern w:val="0"/>
                <w:szCs w:val="21"/>
              </w:rPr>
              <w:t>1</w:t>
            </w:r>
            <w:r>
              <w:rPr>
                <w:rFonts w:hint="eastAsia" w:ascii="仿宋" w:hAnsi="仿宋" w:eastAsia="仿宋" w:cs="仿宋_GB2312"/>
                <w:color w:val="000000"/>
                <w:kern w:val="0"/>
                <w:szCs w:val="21"/>
              </w:rPr>
              <w:t>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未提供：不得分。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489" w:type="dxa"/>
            <w:vMerge w:val="continue"/>
            <w:tcBorders>
              <w:left w:val="single" w:color="auto" w:sz="12" w:space="0"/>
              <w:bottom w:val="single" w:color="auto" w:sz="4" w:space="0"/>
              <w:right w:val="single" w:color="auto" w:sz="4" w:space="0"/>
            </w:tcBorders>
            <w:noWrap/>
            <w:vAlign w:val="center"/>
          </w:tcPr>
          <w:p>
            <w:pPr>
              <w:suppressAutoHyphens/>
              <w:spacing w:line="360" w:lineRule="auto"/>
              <w:jc w:val="center"/>
              <w:rPr>
                <w:rFonts w:ascii="仿宋" w:hAnsi="仿宋" w:eastAsia="仿宋" w:cs="仿宋_GB2312"/>
                <w:color w:val="000000"/>
                <w:kern w:val="0"/>
                <w:szCs w:val="21"/>
              </w:rPr>
            </w:pPr>
          </w:p>
        </w:tc>
        <w:tc>
          <w:tcPr>
            <w:tcW w:w="1018" w:type="dxa"/>
            <w:vMerge w:val="continue"/>
            <w:tcBorders>
              <w:left w:val="single" w:color="auto" w:sz="4" w:space="0"/>
              <w:bottom w:val="single" w:color="auto" w:sz="4" w:space="0"/>
              <w:right w:val="single" w:color="auto" w:sz="4" w:space="0"/>
            </w:tcBorders>
            <w:noWrap/>
            <w:vAlign w:val="center"/>
          </w:tcPr>
          <w:p>
            <w:pPr>
              <w:suppressAutoHyphens/>
              <w:spacing w:line="360" w:lineRule="auto"/>
              <w:rPr>
                <w:rFonts w:ascii="仿宋" w:hAnsi="仿宋" w:eastAsia="仿宋" w:cs="仿宋_GB2312"/>
                <w:color w:val="000000"/>
                <w:kern w:val="0"/>
                <w:szCs w:val="21"/>
              </w:rPr>
            </w:pPr>
          </w:p>
        </w:tc>
        <w:tc>
          <w:tcPr>
            <w:tcW w:w="854" w:type="dxa"/>
            <w:vMerge w:val="continue"/>
            <w:tcBorders>
              <w:left w:val="single" w:color="auto" w:sz="4" w:space="0"/>
              <w:bottom w:val="single" w:color="auto" w:sz="4" w:space="0"/>
              <w:right w:val="single" w:color="auto" w:sz="4" w:space="0"/>
            </w:tcBorders>
            <w:noWrap/>
            <w:vAlign w:val="center"/>
          </w:tcPr>
          <w:p>
            <w:pPr>
              <w:suppressAutoHyphens/>
              <w:spacing w:line="360" w:lineRule="auto"/>
              <w:jc w:val="center"/>
              <w:rPr>
                <w:rFonts w:ascii="仿宋" w:hAnsi="仿宋" w:eastAsia="仿宋" w:cs="仿宋_GB2312"/>
                <w:color w:val="000000"/>
                <w:kern w:val="0"/>
                <w:szCs w:val="21"/>
              </w:rPr>
            </w:pPr>
          </w:p>
        </w:tc>
        <w:tc>
          <w:tcPr>
            <w:tcW w:w="6541" w:type="dxa"/>
            <w:tcBorders>
              <w:top w:val="single" w:color="auto" w:sz="4" w:space="0"/>
              <w:left w:val="single" w:color="auto" w:sz="4" w:space="0"/>
              <w:bottom w:val="single" w:color="auto" w:sz="4" w:space="0"/>
              <w:right w:val="single" w:color="auto" w:sz="12" w:space="0"/>
            </w:tcBorders>
            <w:noWrap/>
            <w:vAlign w:val="center"/>
          </w:tcPr>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对人员配置方案进行综合评分。（6分）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人员配置方案可行性、合理性、针对性强的，得6分；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人员配置方案可行性、合理性、针对性较强的，得3分；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人员配置方案可行性、合理性、针对性较差的，得</w:t>
            </w:r>
            <w:r>
              <w:rPr>
                <w:rFonts w:ascii="仿宋" w:hAnsi="仿宋" w:eastAsia="仿宋" w:cs="仿宋_GB2312"/>
                <w:color w:val="000000"/>
                <w:kern w:val="0"/>
                <w:szCs w:val="21"/>
              </w:rPr>
              <w:t>1</w:t>
            </w:r>
            <w:r>
              <w:rPr>
                <w:rFonts w:hint="eastAsia" w:ascii="仿宋" w:hAnsi="仿宋" w:eastAsia="仿宋" w:cs="仿宋_GB2312"/>
                <w:color w:val="000000"/>
                <w:kern w:val="0"/>
                <w:szCs w:val="21"/>
              </w:rPr>
              <w:t>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未提供：不得分。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7" w:hRule="atLeast"/>
          <w:jc w:val="center"/>
        </w:trPr>
        <w:tc>
          <w:tcPr>
            <w:tcW w:w="489" w:type="dxa"/>
            <w:vMerge w:val="continue"/>
            <w:tcBorders>
              <w:left w:val="single" w:color="auto" w:sz="12" w:space="0"/>
              <w:bottom w:val="single" w:color="auto" w:sz="4" w:space="0"/>
              <w:right w:val="single" w:color="auto" w:sz="4" w:space="0"/>
            </w:tcBorders>
            <w:noWrap/>
            <w:vAlign w:val="center"/>
          </w:tcPr>
          <w:p>
            <w:pPr>
              <w:suppressAutoHyphens/>
              <w:spacing w:line="360" w:lineRule="auto"/>
              <w:jc w:val="center"/>
              <w:rPr>
                <w:rFonts w:ascii="仿宋" w:hAnsi="仿宋" w:eastAsia="仿宋" w:cs="仿宋_GB2312"/>
                <w:color w:val="000000"/>
                <w:kern w:val="0"/>
                <w:szCs w:val="21"/>
              </w:rPr>
            </w:pPr>
          </w:p>
        </w:tc>
        <w:tc>
          <w:tcPr>
            <w:tcW w:w="1018" w:type="dxa"/>
            <w:vMerge w:val="continue"/>
            <w:tcBorders>
              <w:left w:val="single" w:color="auto" w:sz="4" w:space="0"/>
              <w:bottom w:val="single" w:color="auto" w:sz="4" w:space="0"/>
              <w:right w:val="single" w:color="auto" w:sz="4" w:space="0"/>
            </w:tcBorders>
            <w:noWrap/>
            <w:vAlign w:val="center"/>
          </w:tcPr>
          <w:p>
            <w:pPr>
              <w:suppressAutoHyphens/>
              <w:spacing w:line="360" w:lineRule="auto"/>
              <w:rPr>
                <w:rFonts w:ascii="仿宋" w:hAnsi="仿宋" w:eastAsia="仿宋" w:cs="仿宋_GB2312"/>
                <w:color w:val="000000"/>
                <w:kern w:val="0"/>
                <w:szCs w:val="21"/>
              </w:rPr>
            </w:pPr>
          </w:p>
        </w:tc>
        <w:tc>
          <w:tcPr>
            <w:tcW w:w="854" w:type="dxa"/>
            <w:vMerge w:val="continue"/>
            <w:tcBorders>
              <w:left w:val="single" w:color="auto" w:sz="4" w:space="0"/>
              <w:bottom w:val="single" w:color="auto" w:sz="4" w:space="0"/>
              <w:right w:val="single" w:color="auto" w:sz="4" w:space="0"/>
            </w:tcBorders>
            <w:noWrap/>
            <w:vAlign w:val="center"/>
          </w:tcPr>
          <w:p>
            <w:pPr>
              <w:suppressAutoHyphens/>
              <w:spacing w:line="360" w:lineRule="auto"/>
              <w:jc w:val="center"/>
              <w:rPr>
                <w:rFonts w:ascii="仿宋" w:hAnsi="仿宋" w:eastAsia="仿宋" w:cs="仿宋_GB2312"/>
                <w:color w:val="000000"/>
                <w:kern w:val="0"/>
                <w:szCs w:val="21"/>
              </w:rPr>
            </w:pPr>
          </w:p>
        </w:tc>
        <w:tc>
          <w:tcPr>
            <w:tcW w:w="6541" w:type="dxa"/>
            <w:tcBorders>
              <w:top w:val="single" w:color="auto" w:sz="4" w:space="0"/>
              <w:left w:val="single" w:color="auto" w:sz="4" w:space="0"/>
              <w:bottom w:val="single" w:color="auto" w:sz="4" w:space="0"/>
              <w:right w:val="single" w:color="auto" w:sz="12" w:space="0"/>
            </w:tcBorders>
            <w:noWrap/>
            <w:vAlign w:val="center"/>
          </w:tcPr>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对人员管理方案进行综合评分。（6分）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人员管理方案可行性、合理性、针对性强，与物业服务单位协调性高的，得6分；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人员管理方案可行性、合理性、针对性较强，与物业服务单位协调性较高的，得3分；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人员管理方案可行性、合理性、针对性较差，与物业服务单位协调性较低的，得</w:t>
            </w:r>
            <w:r>
              <w:rPr>
                <w:rFonts w:ascii="仿宋" w:hAnsi="仿宋" w:eastAsia="仿宋" w:cs="仿宋_GB2312"/>
                <w:color w:val="000000"/>
                <w:kern w:val="0"/>
                <w:szCs w:val="21"/>
              </w:rPr>
              <w:t>1</w:t>
            </w:r>
            <w:r>
              <w:rPr>
                <w:rFonts w:hint="eastAsia" w:ascii="仿宋" w:hAnsi="仿宋" w:eastAsia="仿宋" w:cs="仿宋_GB2312"/>
                <w:color w:val="000000"/>
                <w:kern w:val="0"/>
                <w:szCs w:val="21"/>
              </w:rPr>
              <w:t>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未提供：不得分。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489" w:type="dxa"/>
            <w:tcBorders>
              <w:top w:val="single" w:color="auto" w:sz="4" w:space="0"/>
              <w:left w:val="single" w:color="auto" w:sz="12" w:space="0"/>
              <w:right w:val="single" w:color="auto" w:sz="4" w:space="0"/>
            </w:tcBorders>
            <w:noWrap/>
            <w:vAlign w:val="center"/>
          </w:tcPr>
          <w:p>
            <w:pPr>
              <w:suppressAutoHyphens/>
              <w:spacing w:line="360" w:lineRule="auto"/>
              <w:jc w:val="center"/>
              <w:rPr>
                <w:rFonts w:ascii="仿宋" w:hAnsi="仿宋" w:eastAsia="仿宋" w:cs="仿宋_GB2312"/>
                <w:color w:val="000000"/>
                <w:kern w:val="0"/>
                <w:szCs w:val="21"/>
              </w:rPr>
            </w:pPr>
            <w:r>
              <w:rPr>
                <w:rFonts w:hint="eastAsia" w:ascii="仿宋" w:hAnsi="仿宋" w:eastAsia="仿宋" w:cs="仿宋_GB2312"/>
                <w:color w:val="000000"/>
                <w:kern w:val="0"/>
                <w:szCs w:val="21"/>
              </w:rPr>
              <w:t>3</w:t>
            </w:r>
          </w:p>
        </w:tc>
        <w:tc>
          <w:tcPr>
            <w:tcW w:w="1018" w:type="dxa"/>
            <w:tcBorders>
              <w:top w:val="single" w:color="auto" w:sz="4" w:space="0"/>
              <w:left w:val="single" w:color="auto" w:sz="4" w:space="0"/>
              <w:right w:val="single" w:color="auto" w:sz="4" w:space="0"/>
            </w:tcBorders>
            <w:noWrap/>
            <w:vAlign w:val="center"/>
          </w:tcPr>
          <w:p>
            <w:pPr>
              <w:suppressAutoHyphens/>
              <w:spacing w:line="360" w:lineRule="auto"/>
              <w:rPr>
                <w:rFonts w:ascii="仿宋" w:hAnsi="仿宋" w:eastAsia="仿宋" w:cs="仿宋_GB2312"/>
                <w:color w:val="000000"/>
                <w:kern w:val="0"/>
                <w:szCs w:val="21"/>
              </w:rPr>
            </w:pPr>
            <w:r>
              <w:rPr>
                <w:rFonts w:ascii="仿宋" w:hAnsi="仿宋" w:eastAsia="仿宋" w:cs="仿宋_GB2312"/>
                <w:color w:val="000000"/>
                <w:kern w:val="0"/>
                <w:szCs w:val="21"/>
              </w:rPr>
              <w:t>具体服务方案</w:t>
            </w:r>
          </w:p>
        </w:tc>
        <w:tc>
          <w:tcPr>
            <w:tcW w:w="854" w:type="dxa"/>
            <w:tcBorders>
              <w:top w:val="single" w:color="auto" w:sz="4" w:space="0"/>
              <w:left w:val="single" w:color="auto" w:sz="4" w:space="0"/>
              <w:right w:val="single" w:color="auto" w:sz="4" w:space="0"/>
            </w:tcBorders>
            <w:noWrap/>
            <w:vAlign w:val="center"/>
          </w:tcPr>
          <w:p>
            <w:pPr>
              <w:suppressAutoHyphens/>
              <w:spacing w:line="360" w:lineRule="auto"/>
              <w:jc w:val="center"/>
              <w:rPr>
                <w:rFonts w:hint="eastAsia" w:ascii="仿宋" w:hAnsi="仿宋" w:eastAsia="仿宋" w:cs="仿宋_GB2312"/>
                <w:color w:val="000000"/>
                <w:kern w:val="0"/>
                <w:szCs w:val="21"/>
                <w:lang w:eastAsia="zh-CN"/>
              </w:rPr>
            </w:pPr>
            <w:r>
              <w:rPr>
                <w:rFonts w:hint="eastAsia" w:ascii="仿宋" w:hAnsi="仿宋" w:eastAsia="仿宋" w:cs="仿宋_GB2312"/>
                <w:color w:val="000000"/>
                <w:kern w:val="0"/>
                <w:szCs w:val="21"/>
              </w:rPr>
              <w:t>2</w:t>
            </w:r>
            <w:r>
              <w:rPr>
                <w:rFonts w:hint="eastAsia" w:ascii="仿宋" w:hAnsi="仿宋" w:eastAsia="仿宋" w:cs="仿宋_GB2312"/>
                <w:color w:val="000000"/>
                <w:kern w:val="0"/>
                <w:szCs w:val="21"/>
                <w:lang w:val="en-US" w:eastAsia="zh-CN"/>
              </w:rPr>
              <w:t>3</w:t>
            </w:r>
          </w:p>
        </w:tc>
        <w:tc>
          <w:tcPr>
            <w:tcW w:w="6541" w:type="dxa"/>
            <w:tcBorders>
              <w:top w:val="single" w:color="auto" w:sz="4" w:space="0"/>
              <w:left w:val="single" w:color="auto" w:sz="4" w:space="0"/>
              <w:right w:val="single" w:color="auto" w:sz="12" w:space="0"/>
            </w:tcBorders>
            <w:noWrap/>
            <w:vAlign w:val="center"/>
          </w:tcPr>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根据采购文件“第二部分招标需求”提供以下各类服务的具体方案措施：</w:t>
            </w:r>
          </w:p>
          <w:p>
            <w:pPr>
              <w:widowControl/>
              <w:suppressAutoHyphens/>
              <w:rPr>
                <w:rFonts w:ascii="仿宋" w:hAnsi="仿宋" w:eastAsia="仿宋" w:cs="仿宋_GB2312"/>
                <w:color w:val="000000"/>
                <w:kern w:val="0"/>
                <w:szCs w:val="21"/>
              </w:rPr>
            </w:pPr>
            <w:r>
              <w:rPr>
                <w:rFonts w:hint="eastAsia" w:ascii="仿宋" w:hAnsi="仿宋" w:eastAsia="仿宋" w:cs="仿宋_GB2312"/>
                <w:color w:val="000000"/>
                <w:kern w:val="0"/>
                <w:szCs w:val="21"/>
              </w:rPr>
              <w:t>1、服务区域内公共环境卫生的维护和保洁工作的具体方案措施。（</w:t>
            </w:r>
            <w:r>
              <w:rPr>
                <w:rFonts w:hint="eastAsia" w:ascii="仿宋" w:hAnsi="仿宋" w:eastAsia="仿宋" w:cs="仿宋_GB2312"/>
                <w:color w:val="000000"/>
                <w:kern w:val="0"/>
                <w:szCs w:val="21"/>
                <w:lang w:val="en-US" w:eastAsia="zh-CN"/>
              </w:rPr>
              <w:t>8</w:t>
            </w:r>
            <w:r>
              <w:rPr>
                <w:rFonts w:hint="eastAsia" w:ascii="仿宋" w:hAnsi="仿宋" w:eastAsia="仿宋" w:cs="仿宋_GB2312"/>
                <w:color w:val="000000"/>
                <w:kern w:val="0"/>
                <w:szCs w:val="21"/>
              </w:rPr>
              <w:t>分）</w:t>
            </w:r>
          </w:p>
          <w:p>
            <w:pPr>
              <w:widowControl/>
              <w:suppressAutoHyphens/>
              <w:rPr>
                <w:rFonts w:ascii="仿宋" w:hAnsi="仿宋" w:eastAsia="仿宋" w:cs="仿宋_GB2312"/>
                <w:color w:val="000000"/>
                <w:kern w:val="0"/>
                <w:szCs w:val="21"/>
              </w:rPr>
            </w:pPr>
            <w:r>
              <w:rPr>
                <w:rFonts w:hint="eastAsia" w:ascii="仿宋" w:hAnsi="仿宋" w:eastAsia="仿宋" w:cs="仿宋_GB2312"/>
                <w:color w:val="000000"/>
                <w:kern w:val="0"/>
                <w:szCs w:val="21"/>
              </w:rPr>
              <w:t>方案内容完整性、专业性、可操作性强的，得</w:t>
            </w:r>
            <w:r>
              <w:rPr>
                <w:rFonts w:hint="eastAsia" w:ascii="仿宋" w:hAnsi="仿宋" w:eastAsia="仿宋" w:cs="仿宋_GB2312"/>
                <w:color w:val="000000"/>
                <w:kern w:val="0"/>
                <w:szCs w:val="21"/>
                <w:lang w:val="en-US" w:eastAsia="zh-CN"/>
              </w:rPr>
              <w:t>8</w:t>
            </w:r>
            <w:r>
              <w:rPr>
                <w:rFonts w:hint="eastAsia" w:ascii="仿宋" w:hAnsi="仿宋" w:eastAsia="仿宋" w:cs="仿宋_GB2312"/>
                <w:color w:val="000000"/>
                <w:kern w:val="0"/>
                <w:szCs w:val="21"/>
              </w:rPr>
              <w:t>分；</w:t>
            </w:r>
          </w:p>
          <w:p>
            <w:pPr>
              <w:widowControl/>
              <w:suppressAutoHyphens/>
              <w:rPr>
                <w:rFonts w:ascii="仿宋" w:hAnsi="仿宋" w:eastAsia="仿宋" w:cs="仿宋_GB2312"/>
                <w:color w:val="000000"/>
                <w:kern w:val="0"/>
                <w:szCs w:val="21"/>
              </w:rPr>
            </w:pPr>
            <w:r>
              <w:rPr>
                <w:rFonts w:hint="eastAsia" w:ascii="仿宋" w:hAnsi="仿宋" w:eastAsia="仿宋" w:cs="仿宋_GB2312"/>
                <w:color w:val="000000"/>
                <w:kern w:val="0"/>
                <w:szCs w:val="21"/>
              </w:rPr>
              <w:t>方案内容完整性、专业性、可操作性较强的，得</w:t>
            </w:r>
            <w:r>
              <w:rPr>
                <w:rFonts w:hint="eastAsia" w:ascii="仿宋" w:hAnsi="仿宋" w:eastAsia="仿宋" w:cs="仿宋_GB2312"/>
                <w:color w:val="000000"/>
                <w:kern w:val="0"/>
                <w:szCs w:val="21"/>
                <w:lang w:val="en-US" w:eastAsia="zh-CN"/>
              </w:rPr>
              <w:t>5</w:t>
            </w:r>
            <w:r>
              <w:rPr>
                <w:rFonts w:hint="eastAsia" w:ascii="仿宋" w:hAnsi="仿宋" w:eastAsia="仿宋" w:cs="仿宋_GB2312"/>
                <w:color w:val="000000"/>
                <w:kern w:val="0"/>
                <w:szCs w:val="21"/>
              </w:rPr>
              <w:t>分；</w:t>
            </w:r>
          </w:p>
          <w:p>
            <w:pPr>
              <w:widowControl/>
              <w:suppressAutoHyphens/>
              <w:rPr>
                <w:rFonts w:hint="eastAsia" w:ascii="仿宋" w:hAnsi="仿宋" w:eastAsia="仿宋" w:cs="仿宋_GB2312"/>
                <w:color w:val="000000"/>
                <w:kern w:val="0"/>
                <w:szCs w:val="21"/>
              </w:rPr>
            </w:pPr>
            <w:r>
              <w:rPr>
                <w:rFonts w:hint="eastAsia" w:ascii="仿宋" w:hAnsi="仿宋" w:eastAsia="仿宋" w:cs="仿宋_GB2312"/>
                <w:color w:val="000000"/>
                <w:kern w:val="0"/>
                <w:szCs w:val="21"/>
              </w:rPr>
              <w:t>方案内容完整性、专业性、可操作性</w:t>
            </w:r>
            <w:r>
              <w:rPr>
                <w:rFonts w:hint="eastAsia" w:ascii="仿宋" w:hAnsi="仿宋" w:eastAsia="仿宋" w:cs="仿宋_GB2312"/>
                <w:color w:val="000000"/>
                <w:kern w:val="0"/>
                <w:szCs w:val="21"/>
                <w:lang w:eastAsia="zh-CN"/>
              </w:rPr>
              <w:t>一般</w:t>
            </w:r>
            <w:r>
              <w:rPr>
                <w:rFonts w:hint="eastAsia" w:ascii="仿宋" w:hAnsi="仿宋" w:eastAsia="仿宋" w:cs="仿宋_GB2312"/>
                <w:color w:val="000000"/>
                <w:kern w:val="0"/>
                <w:szCs w:val="21"/>
              </w:rPr>
              <w:t>的，得</w:t>
            </w:r>
            <w:r>
              <w:rPr>
                <w:rFonts w:hint="eastAsia" w:ascii="仿宋" w:hAnsi="仿宋" w:eastAsia="仿宋" w:cs="仿宋_GB2312"/>
                <w:color w:val="000000"/>
                <w:kern w:val="0"/>
                <w:szCs w:val="21"/>
                <w:lang w:val="en-US" w:eastAsia="zh-CN"/>
              </w:rPr>
              <w:t>3</w:t>
            </w:r>
            <w:r>
              <w:rPr>
                <w:rFonts w:hint="eastAsia" w:ascii="仿宋" w:hAnsi="仿宋" w:eastAsia="仿宋" w:cs="仿宋_GB2312"/>
                <w:color w:val="000000"/>
                <w:kern w:val="0"/>
                <w:szCs w:val="21"/>
              </w:rPr>
              <w:t>分；</w:t>
            </w:r>
          </w:p>
          <w:p>
            <w:pPr>
              <w:widowControl/>
              <w:suppressAutoHyphens/>
              <w:rPr>
                <w:rFonts w:ascii="Calibri" w:hAnsi="Calibri"/>
                <w:color w:val="000000"/>
              </w:rPr>
            </w:pPr>
            <w:r>
              <w:rPr>
                <w:rFonts w:hint="eastAsia" w:ascii="仿宋" w:hAnsi="仿宋" w:eastAsia="仿宋" w:cs="仿宋_GB2312"/>
                <w:color w:val="000000"/>
                <w:kern w:val="0"/>
                <w:szCs w:val="21"/>
              </w:rPr>
              <w:t>方案内容完整性、专业性、可操作性较差的，得1分；</w:t>
            </w:r>
          </w:p>
          <w:p>
            <w:pPr>
              <w:widowControl/>
              <w:suppressAutoHyphens/>
              <w:rPr>
                <w:rFonts w:ascii="仿宋" w:hAnsi="仿宋" w:eastAsia="仿宋" w:cs="仿宋_GB2312"/>
                <w:color w:val="000000"/>
                <w:kern w:val="0"/>
                <w:szCs w:val="21"/>
              </w:rPr>
            </w:pPr>
            <w:r>
              <w:rPr>
                <w:rFonts w:hint="eastAsia" w:ascii="仿宋" w:hAnsi="仿宋" w:eastAsia="仿宋" w:cs="仿宋_GB2312"/>
                <w:color w:val="000000"/>
                <w:kern w:val="0"/>
                <w:szCs w:val="21"/>
              </w:rPr>
              <w:t>未提供：不得分。</w:t>
            </w:r>
          </w:p>
          <w:p>
            <w:pPr>
              <w:widowControl/>
              <w:suppressAutoHyphens/>
              <w:rPr>
                <w:rFonts w:ascii="仿宋" w:hAnsi="仿宋" w:eastAsia="仿宋" w:cs="仿宋_GB2312"/>
                <w:color w:val="000000"/>
                <w:kern w:val="0"/>
                <w:szCs w:val="21"/>
              </w:rPr>
            </w:pPr>
            <w:r>
              <w:rPr>
                <w:rFonts w:hint="eastAsia" w:ascii="仿宋" w:hAnsi="仿宋" w:eastAsia="仿宋" w:cs="仿宋_GB2312"/>
                <w:color w:val="000000"/>
                <w:kern w:val="0"/>
                <w:szCs w:val="21"/>
              </w:rPr>
              <w:t>2、服务区域内的保安管理服务的具体方案措施。（</w:t>
            </w:r>
            <w:r>
              <w:rPr>
                <w:rFonts w:hint="eastAsia" w:ascii="仿宋" w:hAnsi="仿宋" w:eastAsia="仿宋" w:cs="仿宋_GB2312"/>
                <w:color w:val="000000"/>
                <w:kern w:val="0"/>
                <w:szCs w:val="21"/>
                <w:lang w:val="en-US" w:eastAsia="zh-CN"/>
              </w:rPr>
              <w:t>7</w:t>
            </w:r>
            <w:r>
              <w:rPr>
                <w:rFonts w:hint="eastAsia" w:ascii="仿宋" w:hAnsi="仿宋" w:eastAsia="仿宋" w:cs="仿宋_GB2312"/>
                <w:color w:val="000000"/>
                <w:kern w:val="0"/>
                <w:szCs w:val="21"/>
              </w:rPr>
              <w:t>分）</w:t>
            </w:r>
          </w:p>
          <w:p>
            <w:pPr>
              <w:widowControl/>
              <w:suppressAutoHyphens/>
              <w:rPr>
                <w:rFonts w:hint="eastAsia" w:ascii="仿宋" w:hAnsi="仿宋" w:eastAsia="仿宋" w:cs="仿宋_GB2312"/>
                <w:color w:val="000000"/>
                <w:kern w:val="0"/>
                <w:szCs w:val="21"/>
              </w:rPr>
            </w:pPr>
            <w:r>
              <w:rPr>
                <w:rFonts w:hint="eastAsia" w:ascii="仿宋" w:hAnsi="仿宋" w:eastAsia="仿宋" w:cs="仿宋_GB2312"/>
                <w:color w:val="000000"/>
                <w:kern w:val="0"/>
                <w:szCs w:val="21"/>
              </w:rPr>
              <w:t>方案内容完整性、专业性、可操作性强的，得</w:t>
            </w:r>
            <w:r>
              <w:rPr>
                <w:rFonts w:hint="eastAsia" w:ascii="仿宋" w:hAnsi="仿宋" w:eastAsia="仿宋" w:cs="仿宋_GB2312"/>
                <w:color w:val="000000"/>
                <w:kern w:val="0"/>
                <w:szCs w:val="21"/>
                <w:lang w:val="en-US" w:eastAsia="zh-CN"/>
              </w:rPr>
              <w:t>7</w:t>
            </w:r>
            <w:r>
              <w:rPr>
                <w:rFonts w:hint="eastAsia" w:ascii="仿宋" w:hAnsi="仿宋" w:eastAsia="仿宋" w:cs="仿宋_GB2312"/>
                <w:color w:val="000000"/>
                <w:kern w:val="0"/>
                <w:szCs w:val="21"/>
              </w:rPr>
              <w:t>分；</w:t>
            </w:r>
          </w:p>
          <w:p>
            <w:pPr>
              <w:widowControl/>
              <w:suppressAutoHyphens/>
              <w:rPr>
                <w:rFonts w:hint="eastAsia" w:ascii="仿宋" w:hAnsi="仿宋" w:eastAsia="仿宋" w:cs="仿宋_GB2312"/>
                <w:color w:val="000000"/>
                <w:kern w:val="0"/>
                <w:szCs w:val="21"/>
              </w:rPr>
            </w:pPr>
            <w:r>
              <w:rPr>
                <w:rFonts w:hint="eastAsia" w:ascii="仿宋" w:hAnsi="仿宋" w:eastAsia="仿宋" w:cs="仿宋_GB2312"/>
                <w:color w:val="000000"/>
                <w:kern w:val="0"/>
                <w:szCs w:val="21"/>
              </w:rPr>
              <w:t>方案内容完整性、专业性、可操作性较强的，得</w:t>
            </w:r>
            <w:r>
              <w:rPr>
                <w:rFonts w:hint="eastAsia" w:ascii="仿宋" w:hAnsi="仿宋" w:eastAsia="仿宋" w:cs="仿宋_GB2312"/>
                <w:color w:val="000000"/>
                <w:kern w:val="0"/>
                <w:szCs w:val="21"/>
                <w:lang w:val="en-US" w:eastAsia="zh-CN"/>
              </w:rPr>
              <w:t>5</w:t>
            </w:r>
            <w:r>
              <w:rPr>
                <w:rFonts w:hint="eastAsia" w:ascii="仿宋" w:hAnsi="仿宋" w:eastAsia="仿宋" w:cs="仿宋_GB2312"/>
                <w:color w:val="000000"/>
                <w:kern w:val="0"/>
                <w:szCs w:val="21"/>
              </w:rPr>
              <w:t>分；</w:t>
            </w:r>
          </w:p>
          <w:p>
            <w:pPr>
              <w:widowControl/>
              <w:suppressAutoHyphens/>
              <w:rPr>
                <w:rFonts w:hint="eastAsia" w:ascii="仿宋" w:hAnsi="仿宋" w:eastAsia="仿宋" w:cs="仿宋_GB2312"/>
                <w:color w:val="000000"/>
                <w:kern w:val="0"/>
                <w:szCs w:val="21"/>
              </w:rPr>
            </w:pPr>
            <w:r>
              <w:rPr>
                <w:rFonts w:hint="eastAsia" w:ascii="仿宋" w:hAnsi="仿宋" w:eastAsia="仿宋" w:cs="仿宋_GB2312"/>
                <w:color w:val="000000"/>
                <w:kern w:val="0"/>
                <w:szCs w:val="21"/>
              </w:rPr>
              <w:t>方案内容完整性、专业性、可操作性</w:t>
            </w:r>
            <w:r>
              <w:rPr>
                <w:rFonts w:hint="eastAsia" w:ascii="仿宋" w:hAnsi="仿宋" w:eastAsia="仿宋" w:cs="仿宋_GB2312"/>
                <w:color w:val="000000"/>
                <w:kern w:val="0"/>
                <w:szCs w:val="21"/>
                <w:lang w:eastAsia="zh-CN"/>
              </w:rPr>
              <w:t>一般</w:t>
            </w:r>
            <w:r>
              <w:rPr>
                <w:rFonts w:hint="eastAsia" w:ascii="仿宋" w:hAnsi="仿宋" w:eastAsia="仿宋" w:cs="仿宋_GB2312"/>
                <w:color w:val="000000"/>
                <w:kern w:val="0"/>
                <w:szCs w:val="21"/>
              </w:rPr>
              <w:t>的，得</w:t>
            </w:r>
            <w:r>
              <w:rPr>
                <w:rFonts w:hint="eastAsia" w:ascii="仿宋" w:hAnsi="仿宋" w:eastAsia="仿宋" w:cs="仿宋_GB2312"/>
                <w:color w:val="000000"/>
                <w:kern w:val="0"/>
                <w:szCs w:val="21"/>
                <w:lang w:val="en-US" w:eastAsia="zh-CN"/>
              </w:rPr>
              <w:t>3</w:t>
            </w:r>
            <w:r>
              <w:rPr>
                <w:rFonts w:hint="eastAsia" w:ascii="仿宋" w:hAnsi="仿宋" w:eastAsia="仿宋" w:cs="仿宋_GB2312"/>
                <w:color w:val="000000"/>
                <w:kern w:val="0"/>
                <w:szCs w:val="21"/>
              </w:rPr>
              <w:t>分；</w:t>
            </w:r>
          </w:p>
          <w:p>
            <w:pPr>
              <w:widowControl/>
              <w:suppressAutoHyphens/>
              <w:rPr>
                <w:rFonts w:ascii="Calibri" w:hAnsi="Calibri"/>
                <w:color w:val="000000"/>
              </w:rPr>
            </w:pPr>
            <w:r>
              <w:rPr>
                <w:rFonts w:hint="eastAsia" w:ascii="仿宋" w:hAnsi="仿宋" w:eastAsia="仿宋" w:cs="仿宋_GB2312"/>
                <w:color w:val="000000"/>
                <w:kern w:val="0"/>
                <w:szCs w:val="21"/>
              </w:rPr>
              <w:t>方案内容完整性、专业性、可操作性较差的，得1分；</w:t>
            </w:r>
          </w:p>
          <w:p>
            <w:pPr>
              <w:widowControl/>
              <w:suppressAutoHyphens/>
              <w:rPr>
                <w:rFonts w:ascii="仿宋" w:hAnsi="仿宋" w:eastAsia="仿宋" w:cs="仿宋_GB2312"/>
                <w:color w:val="000000"/>
                <w:kern w:val="0"/>
                <w:szCs w:val="21"/>
              </w:rPr>
            </w:pPr>
            <w:r>
              <w:rPr>
                <w:rFonts w:hint="eastAsia" w:ascii="仿宋" w:hAnsi="仿宋" w:eastAsia="仿宋" w:cs="仿宋_GB2312"/>
                <w:color w:val="000000"/>
                <w:kern w:val="0"/>
                <w:szCs w:val="21"/>
              </w:rPr>
              <w:t>未提供：不得分。</w:t>
            </w:r>
          </w:p>
          <w:p>
            <w:pPr>
              <w:widowControl/>
              <w:suppressAutoHyphens/>
              <w:rPr>
                <w:rFonts w:ascii="仿宋" w:hAnsi="仿宋" w:eastAsia="仿宋" w:cs="仿宋_GB2312"/>
                <w:color w:val="000000"/>
                <w:kern w:val="0"/>
                <w:szCs w:val="21"/>
              </w:rPr>
            </w:pPr>
            <w:r>
              <w:rPr>
                <w:rFonts w:hint="eastAsia" w:ascii="仿宋" w:hAnsi="仿宋" w:eastAsia="仿宋" w:cs="仿宋_GB2312"/>
                <w:color w:val="000000"/>
                <w:kern w:val="0"/>
                <w:szCs w:val="21"/>
                <w:lang w:val="en-US" w:eastAsia="zh-CN"/>
              </w:rPr>
              <w:t>3</w:t>
            </w:r>
            <w:r>
              <w:rPr>
                <w:rFonts w:hint="eastAsia" w:ascii="仿宋" w:hAnsi="仿宋" w:eastAsia="仿宋" w:cs="仿宋_GB2312"/>
                <w:color w:val="000000"/>
                <w:kern w:val="0"/>
                <w:szCs w:val="21"/>
              </w:rPr>
              <w:t>、服务区域内食堂服务的具体方案措施。（</w:t>
            </w:r>
            <w:r>
              <w:rPr>
                <w:rFonts w:hint="eastAsia" w:ascii="仿宋" w:hAnsi="仿宋" w:eastAsia="仿宋" w:cs="仿宋_GB2312"/>
                <w:color w:val="000000"/>
                <w:kern w:val="0"/>
                <w:szCs w:val="21"/>
                <w:lang w:val="en-US" w:eastAsia="zh-CN"/>
              </w:rPr>
              <w:t>8</w:t>
            </w:r>
            <w:r>
              <w:rPr>
                <w:rFonts w:hint="eastAsia" w:ascii="仿宋" w:hAnsi="仿宋" w:eastAsia="仿宋" w:cs="仿宋_GB2312"/>
                <w:color w:val="000000"/>
                <w:kern w:val="0"/>
                <w:szCs w:val="21"/>
              </w:rPr>
              <w:t>分）</w:t>
            </w:r>
          </w:p>
          <w:p>
            <w:pPr>
              <w:widowControl/>
              <w:suppressAutoHyphens/>
              <w:rPr>
                <w:rFonts w:hint="eastAsia" w:ascii="仿宋" w:hAnsi="仿宋" w:eastAsia="仿宋" w:cs="仿宋_GB2312"/>
                <w:color w:val="000000"/>
                <w:kern w:val="0"/>
                <w:szCs w:val="21"/>
              </w:rPr>
            </w:pPr>
            <w:r>
              <w:rPr>
                <w:rFonts w:hint="eastAsia" w:ascii="仿宋" w:hAnsi="仿宋" w:eastAsia="仿宋" w:cs="仿宋_GB2312"/>
                <w:color w:val="000000"/>
                <w:kern w:val="0"/>
                <w:szCs w:val="21"/>
              </w:rPr>
              <w:t>方案内容完整性、专业性、可操作性强的，得</w:t>
            </w:r>
            <w:r>
              <w:rPr>
                <w:rFonts w:hint="eastAsia" w:ascii="仿宋" w:hAnsi="仿宋" w:eastAsia="仿宋" w:cs="仿宋_GB2312"/>
                <w:color w:val="000000"/>
                <w:kern w:val="0"/>
                <w:szCs w:val="21"/>
                <w:lang w:val="en-US" w:eastAsia="zh-CN"/>
              </w:rPr>
              <w:t>8</w:t>
            </w:r>
            <w:r>
              <w:rPr>
                <w:rFonts w:hint="eastAsia" w:ascii="仿宋" w:hAnsi="仿宋" w:eastAsia="仿宋" w:cs="仿宋_GB2312"/>
                <w:color w:val="000000"/>
                <w:kern w:val="0"/>
                <w:szCs w:val="21"/>
              </w:rPr>
              <w:t>分；</w:t>
            </w:r>
          </w:p>
          <w:p>
            <w:pPr>
              <w:widowControl/>
              <w:suppressAutoHyphens/>
              <w:rPr>
                <w:rFonts w:hint="eastAsia" w:ascii="仿宋" w:hAnsi="仿宋" w:eastAsia="仿宋" w:cs="仿宋_GB2312"/>
                <w:color w:val="000000"/>
                <w:kern w:val="0"/>
                <w:szCs w:val="21"/>
              </w:rPr>
            </w:pPr>
            <w:r>
              <w:rPr>
                <w:rFonts w:hint="eastAsia" w:ascii="仿宋" w:hAnsi="仿宋" w:eastAsia="仿宋" w:cs="仿宋_GB2312"/>
                <w:color w:val="000000"/>
                <w:kern w:val="0"/>
                <w:szCs w:val="21"/>
              </w:rPr>
              <w:t>方案内容完整性、专业性、可操作性较强的，得</w:t>
            </w:r>
            <w:r>
              <w:rPr>
                <w:rFonts w:hint="eastAsia" w:ascii="仿宋" w:hAnsi="仿宋" w:eastAsia="仿宋" w:cs="仿宋_GB2312"/>
                <w:color w:val="000000"/>
                <w:kern w:val="0"/>
                <w:szCs w:val="21"/>
                <w:lang w:val="en-US" w:eastAsia="zh-CN"/>
              </w:rPr>
              <w:t>5</w:t>
            </w:r>
            <w:r>
              <w:rPr>
                <w:rFonts w:hint="eastAsia" w:ascii="仿宋" w:hAnsi="仿宋" w:eastAsia="仿宋" w:cs="仿宋_GB2312"/>
                <w:color w:val="000000"/>
                <w:kern w:val="0"/>
                <w:szCs w:val="21"/>
              </w:rPr>
              <w:t>分；</w:t>
            </w:r>
          </w:p>
          <w:p>
            <w:pPr>
              <w:widowControl/>
              <w:suppressAutoHyphens/>
              <w:rPr>
                <w:rFonts w:hint="eastAsia" w:ascii="仿宋" w:hAnsi="仿宋" w:eastAsia="仿宋" w:cs="仿宋_GB2312"/>
                <w:color w:val="000000"/>
                <w:kern w:val="0"/>
                <w:szCs w:val="21"/>
              </w:rPr>
            </w:pPr>
            <w:r>
              <w:rPr>
                <w:rFonts w:hint="eastAsia" w:ascii="仿宋" w:hAnsi="仿宋" w:eastAsia="仿宋" w:cs="仿宋_GB2312"/>
                <w:color w:val="000000"/>
                <w:kern w:val="0"/>
                <w:szCs w:val="21"/>
              </w:rPr>
              <w:t>方案内容完整性、专业性、可操作性</w:t>
            </w:r>
            <w:r>
              <w:rPr>
                <w:rFonts w:hint="eastAsia" w:ascii="仿宋" w:hAnsi="仿宋" w:eastAsia="仿宋" w:cs="仿宋_GB2312"/>
                <w:color w:val="000000"/>
                <w:kern w:val="0"/>
                <w:szCs w:val="21"/>
                <w:lang w:eastAsia="zh-CN"/>
              </w:rPr>
              <w:t>一般</w:t>
            </w:r>
            <w:r>
              <w:rPr>
                <w:rFonts w:hint="eastAsia" w:ascii="仿宋" w:hAnsi="仿宋" w:eastAsia="仿宋" w:cs="仿宋_GB2312"/>
                <w:color w:val="000000"/>
                <w:kern w:val="0"/>
                <w:szCs w:val="21"/>
              </w:rPr>
              <w:t>的，得</w:t>
            </w:r>
            <w:r>
              <w:rPr>
                <w:rFonts w:hint="eastAsia" w:ascii="仿宋" w:hAnsi="仿宋" w:eastAsia="仿宋" w:cs="仿宋_GB2312"/>
                <w:color w:val="000000"/>
                <w:kern w:val="0"/>
                <w:szCs w:val="21"/>
                <w:lang w:val="en-US" w:eastAsia="zh-CN"/>
              </w:rPr>
              <w:t>3</w:t>
            </w:r>
            <w:r>
              <w:rPr>
                <w:rFonts w:hint="eastAsia" w:ascii="仿宋" w:hAnsi="仿宋" w:eastAsia="仿宋" w:cs="仿宋_GB2312"/>
                <w:color w:val="000000"/>
                <w:kern w:val="0"/>
                <w:szCs w:val="21"/>
              </w:rPr>
              <w:t>分；</w:t>
            </w:r>
          </w:p>
          <w:p>
            <w:pPr>
              <w:widowControl/>
              <w:suppressAutoHyphens/>
              <w:rPr>
                <w:rFonts w:ascii="Calibri" w:hAnsi="Calibri"/>
                <w:color w:val="000000"/>
              </w:rPr>
            </w:pPr>
            <w:r>
              <w:rPr>
                <w:rFonts w:hint="eastAsia" w:ascii="仿宋" w:hAnsi="仿宋" w:eastAsia="仿宋" w:cs="仿宋_GB2312"/>
                <w:color w:val="000000"/>
                <w:kern w:val="0"/>
                <w:szCs w:val="21"/>
              </w:rPr>
              <w:t>方案内容完整性、专业性、可操作性较差的，得1分；</w:t>
            </w:r>
          </w:p>
          <w:p>
            <w:pPr>
              <w:widowControl/>
              <w:suppressAutoHyphens/>
              <w:rPr>
                <w:rFonts w:ascii="仿宋" w:hAnsi="仿宋" w:eastAsia="仿宋" w:cs="仿宋_GB2312"/>
                <w:color w:val="000000"/>
                <w:kern w:val="0"/>
                <w:szCs w:val="21"/>
              </w:rPr>
            </w:pPr>
            <w:r>
              <w:rPr>
                <w:rFonts w:hint="eastAsia" w:ascii="仿宋" w:hAnsi="仿宋" w:eastAsia="仿宋" w:cs="仿宋_GB2312"/>
                <w:color w:val="000000"/>
                <w:kern w:val="0"/>
                <w:szCs w:val="21"/>
              </w:rPr>
              <w:t xml:space="preserve">未提供：不得分。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985" w:hRule="atLeast"/>
          <w:jc w:val="center"/>
        </w:trPr>
        <w:tc>
          <w:tcPr>
            <w:tcW w:w="489" w:type="dxa"/>
            <w:vMerge w:val="restart"/>
            <w:tcBorders>
              <w:top w:val="single" w:color="auto" w:sz="4" w:space="0"/>
              <w:left w:val="single" w:color="auto" w:sz="12" w:space="0"/>
              <w:right w:val="single" w:color="auto" w:sz="4" w:space="0"/>
            </w:tcBorders>
            <w:noWrap/>
            <w:vAlign w:val="center"/>
          </w:tcPr>
          <w:p>
            <w:pPr>
              <w:suppressAutoHyphens/>
              <w:spacing w:line="360" w:lineRule="auto"/>
              <w:jc w:val="center"/>
              <w:rPr>
                <w:rFonts w:ascii="仿宋" w:hAnsi="仿宋" w:eastAsia="仿宋" w:cs="仿宋_GB2312"/>
                <w:color w:val="000000"/>
                <w:kern w:val="0"/>
                <w:szCs w:val="21"/>
              </w:rPr>
            </w:pPr>
            <w:r>
              <w:rPr>
                <w:rFonts w:hint="eastAsia" w:ascii="仿宋" w:hAnsi="仿宋" w:eastAsia="仿宋" w:cs="仿宋_GB2312"/>
                <w:color w:val="000000"/>
                <w:kern w:val="0"/>
                <w:szCs w:val="21"/>
              </w:rPr>
              <w:t>4</w:t>
            </w:r>
          </w:p>
        </w:tc>
        <w:tc>
          <w:tcPr>
            <w:tcW w:w="1018" w:type="dxa"/>
            <w:vMerge w:val="restart"/>
            <w:tcBorders>
              <w:top w:val="single" w:color="auto" w:sz="4" w:space="0"/>
              <w:left w:val="single" w:color="auto" w:sz="4" w:space="0"/>
              <w:right w:val="single" w:color="auto" w:sz="4" w:space="0"/>
            </w:tcBorders>
            <w:noWrap/>
            <w:vAlign w:val="center"/>
          </w:tcPr>
          <w:p>
            <w:pPr>
              <w:suppressAutoHyphens/>
              <w:spacing w:line="360" w:lineRule="auto"/>
              <w:rPr>
                <w:rFonts w:ascii="仿宋" w:hAnsi="仿宋" w:eastAsia="仿宋" w:cs="仿宋_GB2312"/>
                <w:color w:val="000000"/>
                <w:kern w:val="0"/>
                <w:szCs w:val="21"/>
              </w:rPr>
            </w:pPr>
            <w:r>
              <w:rPr>
                <w:rFonts w:hint="eastAsia" w:ascii="仿宋" w:hAnsi="仿宋" w:eastAsia="仿宋" w:cs="仿宋_GB2312"/>
                <w:color w:val="000000"/>
                <w:kern w:val="0"/>
                <w:szCs w:val="21"/>
              </w:rPr>
              <w:t>投入人员</w:t>
            </w:r>
          </w:p>
        </w:tc>
        <w:tc>
          <w:tcPr>
            <w:tcW w:w="854" w:type="dxa"/>
            <w:vMerge w:val="restart"/>
            <w:tcBorders>
              <w:top w:val="single" w:color="auto" w:sz="4" w:space="0"/>
              <w:left w:val="single" w:color="auto" w:sz="4" w:space="0"/>
              <w:right w:val="single" w:color="auto" w:sz="4" w:space="0"/>
            </w:tcBorders>
            <w:noWrap/>
            <w:vAlign w:val="center"/>
          </w:tcPr>
          <w:p>
            <w:pPr>
              <w:suppressAutoHyphens/>
              <w:spacing w:line="360" w:lineRule="auto"/>
              <w:jc w:val="center"/>
              <w:rPr>
                <w:rFonts w:hint="eastAsia" w:ascii="仿宋" w:hAnsi="仿宋" w:eastAsia="仿宋" w:cs="仿宋_GB2312"/>
                <w:color w:val="000000"/>
                <w:kern w:val="0"/>
                <w:szCs w:val="21"/>
                <w:lang w:eastAsia="zh-CN"/>
              </w:rPr>
            </w:pPr>
            <w:r>
              <w:rPr>
                <w:rFonts w:hint="eastAsia" w:ascii="仿宋" w:hAnsi="仿宋" w:eastAsia="仿宋" w:cs="仿宋_GB2312"/>
                <w:color w:val="000000"/>
                <w:kern w:val="0"/>
                <w:szCs w:val="21"/>
              </w:rPr>
              <w:t>1</w:t>
            </w:r>
            <w:r>
              <w:rPr>
                <w:rFonts w:hint="eastAsia" w:ascii="仿宋" w:hAnsi="仿宋" w:eastAsia="仿宋" w:cs="仿宋_GB2312"/>
                <w:color w:val="000000"/>
                <w:kern w:val="0"/>
                <w:szCs w:val="21"/>
                <w:lang w:val="en-US" w:eastAsia="zh-CN"/>
              </w:rPr>
              <w:t>7</w:t>
            </w:r>
          </w:p>
        </w:tc>
        <w:tc>
          <w:tcPr>
            <w:tcW w:w="6541" w:type="dxa"/>
            <w:tcBorders>
              <w:top w:val="single" w:color="auto" w:sz="4" w:space="0"/>
              <w:left w:val="single" w:color="auto" w:sz="4" w:space="0"/>
              <w:right w:val="single" w:color="auto" w:sz="12" w:space="0"/>
            </w:tcBorders>
            <w:noWrap/>
            <w:vAlign w:val="center"/>
          </w:tcPr>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本项目投入人员的素质、经验、资格、能力等（项目经理、保安人员、厨师不在此项中进行比较）。（3分）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本项目投入人员的素质高、经验丰富、资格能力强的，得3分；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本项目投入人员的素质较高、经验较丰富、资格能力较强的，得2分；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本项目投入人员的素质较差、经验较不足、资格能力较弱的，得1分；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未提供：不得分。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以上提供相关证书复印件及2023年</w:t>
            </w:r>
            <w:r>
              <w:rPr>
                <w:rFonts w:hint="eastAsia" w:ascii="仿宋" w:hAnsi="仿宋" w:eastAsia="仿宋" w:cs="仿宋_GB2312"/>
                <w:color w:val="000000"/>
                <w:kern w:val="0"/>
                <w:szCs w:val="21"/>
                <w:lang w:val="en-US" w:eastAsia="zh-CN"/>
              </w:rPr>
              <w:t>10</w:t>
            </w:r>
            <w:r>
              <w:rPr>
                <w:rFonts w:hint="eastAsia" w:ascii="仿宋" w:hAnsi="仿宋" w:eastAsia="仿宋" w:cs="仿宋_GB2312"/>
                <w:color w:val="000000"/>
                <w:kern w:val="0"/>
                <w:szCs w:val="21"/>
              </w:rPr>
              <w:t>月-2023年</w:t>
            </w:r>
            <w:r>
              <w:rPr>
                <w:rFonts w:hint="eastAsia" w:ascii="仿宋" w:hAnsi="仿宋" w:eastAsia="仿宋" w:cs="仿宋_GB2312"/>
                <w:color w:val="000000"/>
                <w:kern w:val="0"/>
                <w:szCs w:val="21"/>
                <w:lang w:val="en-US" w:eastAsia="zh-CN"/>
              </w:rPr>
              <w:t>12</w:t>
            </w:r>
            <w:r>
              <w:rPr>
                <w:rFonts w:hint="eastAsia" w:ascii="仿宋" w:hAnsi="仿宋" w:eastAsia="仿宋" w:cs="仿宋_GB2312"/>
                <w:color w:val="000000"/>
                <w:kern w:val="0"/>
                <w:szCs w:val="21"/>
              </w:rPr>
              <w:t>月投标人为其缴纳的任意一个月的社保证明复印件，材料缺一不得分。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53" w:hRule="atLeast"/>
          <w:jc w:val="center"/>
        </w:trPr>
        <w:tc>
          <w:tcPr>
            <w:tcW w:w="489" w:type="dxa"/>
            <w:vMerge w:val="continue"/>
            <w:tcBorders>
              <w:left w:val="single" w:color="auto" w:sz="12" w:space="0"/>
              <w:right w:val="single" w:color="auto" w:sz="4" w:space="0"/>
            </w:tcBorders>
            <w:noWrap/>
            <w:vAlign w:val="center"/>
          </w:tcPr>
          <w:p>
            <w:pPr>
              <w:suppressAutoHyphens/>
              <w:spacing w:line="360" w:lineRule="auto"/>
              <w:jc w:val="center"/>
              <w:rPr>
                <w:rFonts w:ascii="仿宋" w:hAnsi="仿宋" w:eastAsia="仿宋" w:cs="仿宋_GB2312"/>
                <w:color w:val="000000"/>
                <w:kern w:val="0"/>
                <w:szCs w:val="21"/>
              </w:rPr>
            </w:pPr>
          </w:p>
        </w:tc>
        <w:tc>
          <w:tcPr>
            <w:tcW w:w="1018" w:type="dxa"/>
            <w:vMerge w:val="continue"/>
            <w:tcBorders>
              <w:left w:val="single" w:color="auto" w:sz="4" w:space="0"/>
              <w:right w:val="single" w:color="auto" w:sz="4" w:space="0"/>
            </w:tcBorders>
            <w:noWrap/>
            <w:vAlign w:val="center"/>
          </w:tcPr>
          <w:p>
            <w:pPr>
              <w:suppressAutoHyphens/>
              <w:spacing w:line="360" w:lineRule="auto"/>
              <w:rPr>
                <w:rFonts w:ascii="仿宋" w:hAnsi="仿宋" w:eastAsia="仿宋" w:cs="仿宋_GB2312"/>
                <w:color w:val="000000"/>
                <w:kern w:val="0"/>
                <w:szCs w:val="21"/>
              </w:rPr>
            </w:pPr>
          </w:p>
        </w:tc>
        <w:tc>
          <w:tcPr>
            <w:tcW w:w="854" w:type="dxa"/>
            <w:vMerge w:val="continue"/>
            <w:tcBorders>
              <w:left w:val="single" w:color="auto" w:sz="4" w:space="0"/>
              <w:right w:val="single" w:color="auto" w:sz="4" w:space="0"/>
            </w:tcBorders>
            <w:noWrap/>
            <w:vAlign w:val="center"/>
          </w:tcPr>
          <w:p>
            <w:pPr>
              <w:suppressAutoHyphens/>
              <w:spacing w:line="360" w:lineRule="auto"/>
              <w:jc w:val="center"/>
              <w:rPr>
                <w:rFonts w:ascii="仿宋" w:hAnsi="仿宋" w:eastAsia="仿宋" w:cs="仿宋_GB2312"/>
                <w:color w:val="000000"/>
                <w:kern w:val="0"/>
                <w:szCs w:val="21"/>
              </w:rPr>
            </w:pPr>
          </w:p>
        </w:tc>
        <w:tc>
          <w:tcPr>
            <w:tcW w:w="6541" w:type="dxa"/>
            <w:tcBorders>
              <w:top w:val="single" w:color="auto" w:sz="4" w:space="0"/>
              <w:left w:val="single" w:color="auto" w:sz="4" w:space="0"/>
              <w:right w:val="single" w:color="auto" w:sz="12" w:space="0"/>
            </w:tcBorders>
            <w:noWrap/>
            <w:vAlign w:val="center"/>
          </w:tcPr>
          <w:p>
            <w:pPr>
              <w:numPr>
                <w:ilvl w:val="0"/>
                <w:numId w:val="5"/>
              </w:numPr>
              <w:suppressAutoHyphens/>
              <w:spacing w:line="276" w:lineRule="auto"/>
              <w:rPr>
                <w:rFonts w:hint="eastAsia" w:ascii="仿宋_GB2312" w:hAnsi="仿宋_GB2312" w:eastAsia="仿宋_GB2312" w:cs="仿宋_GB2312"/>
                <w:b/>
                <w:bCs/>
                <w:color w:val="000000"/>
                <w:kern w:val="0"/>
                <w:szCs w:val="21"/>
                <w:lang w:val="en-US" w:eastAsia="zh-CN"/>
              </w:rPr>
            </w:pPr>
            <w:r>
              <w:rPr>
                <w:rFonts w:hint="eastAsia" w:ascii="仿宋_GB2312" w:hAnsi="仿宋_GB2312" w:eastAsia="仿宋_GB2312" w:cs="仿宋_GB2312"/>
                <w:b/>
                <w:bCs/>
                <w:color w:val="000000"/>
                <w:kern w:val="0"/>
                <w:szCs w:val="21"/>
                <w:lang w:val="en-US" w:eastAsia="zh-CN"/>
              </w:rPr>
              <w:t>本项目项目经理投入人员：（2分）</w:t>
            </w:r>
          </w:p>
          <w:p>
            <w:pPr>
              <w:suppressAutoHyphens/>
              <w:spacing w:line="276" w:lineRule="auto"/>
              <w:rPr>
                <w:rFonts w:hint="eastAsia" w:ascii="仿宋" w:hAnsi="仿宋" w:eastAsia="仿宋" w:cs="仿宋_GB2312"/>
                <w:color w:val="000000"/>
                <w:kern w:val="0"/>
                <w:szCs w:val="21"/>
              </w:rPr>
            </w:pPr>
            <w:r>
              <w:rPr>
                <w:rFonts w:hint="eastAsia" w:ascii="仿宋" w:hAnsi="仿宋" w:eastAsia="仿宋" w:cs="仿宋_GB2312"/>
                <w:color w:val="000000"/>
                <w:kern w:val="0"/>
                <w:szCs w:val="21"/>
              </w:rPr>
              <w:t>①持有全国物业管理企业经理证的，得1分；</w:t>
            </w:r>
          </w:p>
          <w:p>
            <w:pPr>
              <w:suppressAutoHyphens/>
              <w:spacing w:line="276" w:lineRule="auto"/>
              <w:rPr>
                <w:rFonts w:hint="eastAsia" w:ascii="仿宋" w:hAnsi="仿宋" w:eastAsia="仿宋" w:cs="仿宋_GB2312"/>
                <w:color w:val="000000" w:themeColor="text1"/>
                <w:kern w:val="0"/>
                <w:szCs w:val="21"/>
                <w14:textFill>
                  <w14:solidFill>
                    <w14:schemeClr w14:val="tx1"/>
                  </w14:solidFill>
                </w14:textFill>
              </w:rPr>
            </w:pPr>
            <w:r>
              <w:rPr>
                <w:rFonts w:hint="eastAsia" w:ascii="仿宋" w:hAnsi="仿宋" w:eastAsia="仿宋" w:cs="仿宋_GB2312"/>
                <w:color w:val="000000" w:themeColor="text1"/>
                <w:kern w:val="0"/>
                <w:szCs w:val="21"/>
                <w14:textFill>
                  <w14:solidFill>
                    <w14:schemeClr w14:val="tx1"/>
                  </w14:solidFill>
                </w14:textFill>
              </w:rPr>
              <w:t>②持有维修专业的大专及以上学历毕业证书的，得</w:t>
            </w:r>
            <w:r>
              <w:rPr>
                <w:rFonts w:hint="eastAsia" w:ascii="仿宋" w:hAnsi="仿宋" w:eastAsia="仿宋" w:cs="仿宋_GB2312"/>
                <w:color w:val="000000" w:themeColor="text1"/>
                <w:kern w:val="0"/>
                <w:szCs w:val="21"/>
                <w:lang w:val="en-US" w:eastAsia="zh-CN"/>
                <w14:textFill>
                  <w14:solidFill>
                    <w14:schemeClr w14:val="tx1"/>
                  </w14:solidFill>
                </w14:textFill>
              </w:rPr>
              <w:t>1</w:t>
            </w:r>
            <w:r>
              <w:rPr>
                <w:rFonts w:hint="eastAsia" w:ascii="仿宋" w:hAnsi="仿宋" w:eastAsia="仿宋" w:cs="仿宋_GB2312"/>
                <w:color w:val="000000" w:themeColor="text1"/>
                <w:kern w:val="0"/>
                <w:szCs w:val="21"/>
                <w14:textFill>
                  <w14:solidFill>
                    <w14:schemeClr w14:val="tx1"/>
                  </w14:solidFill>
                </w14:textFill>
              </w:rPr>
              <w:t>分；</w:t>
            </w:r>
          </w:p>
          <w:p>
            <w:pPr>
              <w:suppressAutoHyphens/>
              <w:spacing w:line="276" w:lineRule="auto"/>
              <w:rPr>
                <w:rFonts w:hint="default"/>
                <w:lang w:val="en-US" w:eastAsia="zh-CN"/>
              </w:rPr>
            </w:pPr>
            <w:r>
              <w:rPr>
                <w:rFonts w:ascii="仿宋" w:hAnsi="仿宋" w:eastAsia="仿宋" w:cs="仿宋_GB2312"/>
                <w:color w:val="000000"/>
                <w:kern w:val="0"/>
                <w:szCs w:val="21"/>
              </w:rPr>
              <w:t>提供</w:t>
            </w:r>
            <w:r>
              <w:rPr>
                <w:rFonts w:hint="eastAsia" w:ascii="仿宋" w:hAnsi="仿宋" w:eastAsia="仿宋" w:cs="仿宋_GB2312"/>
                <w:color w:val="000000"/>
                <w:kern w:val="0"/>
                <w:szCs w:val="21"/>
              </w:rPr>
              <w:t>相应</w:t>
            </w:r>
            <w:r>
              <w:rPr>
                <w:rFonts w:ascii="仿宋" w:hAnsi="仿宋" w:eastAsia="仿宋" w:cs="仿宋_GB2312"/>
                <w:color w:val="000000"/>
                <w:kern w:val="0"/>
                <w:szCs w:val="21"/>
              </w:rPr>
              <w:t>证书复印件</w:t>
            </w:r>
            <w:r>
              <w:rPr>
                <w:rFonts w:hint="eastAsia" w:ascii="仿宋" w:hAnsi="仿宋" w:eastAsia="仿宋" w:cs="仿宋_GB2312"/>
                <w:color w:val="000000"/>
                <w:kern w:val="0"/>
                <w:szCs w:val="21"/>
              </w:rPr>
              <w:t>及2023年</w:t>
            </w:r>
            <w:r>
              <w:rPr>
                <w:rFonts w:hint="eastAsia" w:ascii="仿宋" w:hAnsi="仿宋" w:eastAsia="仿宋" w:cs="仿宋_GB2312"/>
                <w:color w:val="000000"/>
                <w:kern w:val="0"/>
                <w:szCs w:val="21"/>
                <w:lang w:val="en-US" w:eastAsia="zh-CN"/>
              </w:rPr>
              <w:t>10</w:t>
            </w:r>
            <w:r>
              <w:rPr>
                <w:rFonts w:hint="eastAsia" w:ascii="仿宋" w:hAnsi="仿宋" w:eastAsia="仿宋" w:cs="仿宋_GB2312"/>
                <w:color w:val="000000"/>
                <w:kern w:val="0"/>
                <w:szCs w:val="21"/>
              </w:rPr>
              <w:t>月-2023年</w:t>
            </w:r>
            <w:r>
              <w:rPr>
                <w:rFonts w:hint="eastAsia" w:ascii="仿宋" w:hAnsi="仿宋" w:eastAsia="仿宋" w:cs="仿宋_GB2312"/>
                <w:color w:val="000000"/>
                <w:kern w:val="0"/>
                <w:szCs w:val="21"/>
                <w:lang w:val="en-US" w:eastAsia="zh-CN"/>
              </w:rPr>
              <w:t>12</w:t>
            </w:r>
            <w:r>
              <w:rPr>
                <w:rFonts w:hint="eastAsia" w:ascii="仿宋" w:hAnsi="仿宋" w:eastAsia="仿宋" w:cs="仿宋_GB2312"/>
                <w:color w:val="000000"/>
                <w:kern w:val="0"/>
                <w:szCs w:val="21"/>
              </w:rPr>
              <w:t>月投标人为其缴纳的任意一个月的社保证明复印件，材料缺一不得分。</w:t>
            </w:r>
          </w:p>
          <w:p>
            <w:pPr>
              <w:suppressAutoHyphens/>
              <w:spacing w:line="276" w:lineRule="auto"/>
              <w:rPr>
                <w:rFonts w:hint="eastAsia" w:ascii="仿宋_GB2312" w:hAnsi="仿宋_GB2312" w:eastAsia="仿宋_GB2312" w:cs="仿宋_GB2312"/>
                <w:b/>
                <w:bCs/>
                <w:color w:val="000000"/>
                <w:kern w:val="0"/>
                <w:szCs w:val="21"/>
              </w:rPr>
            </w:pPr>
            <w:r>
              <w:rPr>
                <w:rFonts w:hint="eastAsia" w:ascii="仿宋_GB2312" w:hAnsi="仿宋_GB2312" w:eastAsia="仿宋_GB2312" w:cs="仿宋_GB2312"/>
                <w:b/>
                <w:bCs/>
                <w:color w:val="000000"/>
                <w:kern w:val="0"/>
                <w:szCs w:val="21"/>
                <w:lang w:val="en-US" w:eastAsia="zh-CN"/>
              </w:rPr>
              <w:t>2、</w:t>
            </w:r>
            <w:r>
              <w:rPr>
                <w:rFonts w:hint="eastAsia" w:ascii="仿宋_GB2312" w:hAnsi="仿宋_GB2312" w:eastAsia="仿宋_GB2312" w:cs="仿宋_GB2312"/>
                <w:b/>
                <w:bCs/>
                <w:color w:val="000000"/>
                <w:kern w:val="0"/>
                <w:szCs w:val="21"/>
              </w:rPr>
              <w:t>本项目</w:t>
            </w:r>
            <w:r>
              <w:rPr>
                <w:rFonts w:hint="eastAsia" w:ascii="仿宋_GB2312" w:hAnsi="仿宋_GB2312" w:eastAsia="仿宋_GB2312" w:cs="仿宋_GB2312"/>
                <w:b/>
                <w:bCs/>
                <w:color w:val="000000"/>
                <w:kern w:val="0"/>
                <w:szCs w:val="21"/>
                <w:lang w:val="en-US" w:eastAsia="zh-CN"/>
              </w:rPr>
              <w:t>食堂</w:t>
            </w:r>
            <w:r>
              <w:rPr>
                <w:rFonts w:hint="eastAsia" w:ascii="仿宋_GB2312" w:hAnsi="仿宋_GB2312" w:eastAsia="仿宋_GB2312" w:cs="仿宋_GB2312"/>
                <w:b/>
                <w:bCs/>
                <w:color w:val="000000"/>
                <w:kern w:val="0"/>
                <w:szCs w:val="21"/>
              </w:rPr>
              <w:t>投入人员中：（</w:t>
            </w:r>
            <w:r>
              <w:rPr>
                <w:rFonts w:hint="eastAsia" w:ascii="仿宋_GB2312" w:hAnsi="仿宋_GB2312" w:eastAsia="仿宋_GB2312" w:cs="仿宋_GB2312"/>
                <w:b/>
                <w:bCs/>
                <w:color w:val="000000"/>
                <w:kern w:val="0"/>
                <w:szCs w:val="21"/>
                <w:lang w:val="en-US" w:eastAsia="zh-CN"/>
              </w:rPr>
              <w:t>2</w:t>
            </w:r>
            <w:r>
              <w:rPr>
                <w:rFonts w:hint="eastAsia" w:ascii="仿宋_GB2312" w:hAnsi="仿宋_GB2312" w:eastAsia="仿宋_GB2312" w:cs="仿宋_GB2312"/>
                <w:b/>
                <w:bCs/>
                <w:color w:val="000000"/>
                <w:kern w:val="0"/>
                <w:szCs w:val="21"/>
              </w:rPr>
              <w:t>分）</w:t>
            </w:r>
          </w:p>
          <w:p>
            <w:pPr>
              <w:suppressAutoHyphens/>
              <w:spacing w:line="276" w:lineRule="auto"/>
              <w:rPr>
                <w:rFonts w:hint="eastAsia" w:ascii="仿宋" w:hAnsi="仿宋" w:eastAsia="仿宋" w:cs="仿宋_GB2312"/>
                <w:color w:val="000000"/>
                <w:kern w:val="0"/>
                <w:szCs w:val="21"/>
              </w:rPr>
            </w:pPr>
            <w:r>
              <w:rPr>
                <w:rFonts w:hint="eastAsia" w:ascii="仿宋" w:hAnsi="仿宋" w:eastAsia="仿宋" w:cs="仿宋_GB2312"/>
                <w:color w:val="000000"/>
                <w:kern w:val="0"/>
                <w:szCs w:val="21"/>
              </w:rPr>
              <w:t>①</w:t>
            </w:r>
            <w:r>
              <w:rPr>
                <w:rFonts w:hint="eastAsia" w:ascii="仿宋" w:hAnsi="仿宋" w:eastAsia="仿宋" w:cs="仿宋_GB2312"/>
                <w:color w:val="000000"/>
                <w:kern w:val="0"/>
                <w:szCs w:val="21"/>
                <w:lang w:val="en-US" w:eastAsia="zh-CN"/>
              </w:rPr>
              <w:t>厨师</w:t>
            </w:r>
            <w:r>
              <w:rPr>
                <w:rFonts w:hint="eastAsia" w:ascii="仿宋" w:hAnsi="仿宋" w:eastAsia="仿宋" w:cs="仿宋_GB2312"/>
                <w:color w:val="000000"/>
                <w:kern w:val="0"/>
                <w:szCs w:val="21"/>
              </w:rPr>
              <w:t>持人社部颁发的中式烹调师职业资格证书（2021年前）或人社部备案的社会评价组织颁发的中式烹调师职业技能等级证书（2021年起），高级工/三级以上的得</w:t>
            </w:r>
            <w:r>
              <w:rPr>
                <w:rFonts w:hint="eastAsia" w:ascii="仿宋" w:hAnsi="仿宋" w:eastAsia="仿宋" w:cs="仿宋_GB2312"/>
                <w:color w:val="000000"/>
                <w:kern w:val="0"/>
                <w:szCs w:val="21"/>
                <w:lang w:val="en-US" w:eastAsia="zh-CN"/>
              </w:rPr>
              <w:t>2</w:t>
            </w:r>
            <w:r>
              <w:rPr>
                <w:rFonts w:hint="eastAsia" w:ascii="仿宋" w:hAnsi="仿宋" w:eastAsia="仿宋" w:cs="仿宋_GB2312"/>
                <w:color w:val="000000"/>
                <w:kern w:val="0"/>
                <w:szCs w:val="21"/>
              </w:rPr>
              <w:t>分。</w:t>
            </w:r>
          </w:p>
          <w:p>
            <w:pPr>
              <w:suppressAutoHyphens/>
              <w:spacing w:line="276" w:lineRule="auto"/>
              <w:rPr>
                <w:rFonts w:hint="eastAsia" w:ascii="仿宋" w:hAnsi="仿宋" w:eastAsia="仿宋" w:cs="仿宋_GB2312"/>
                <w:color w:val="000000"/>
                <w:kern w:val="0"/>
                <w:szCs w:val="21"/>
              </w:rPr>
            </w:pPr>
            <w:r>
              <w:rPr>
                <w:rFonts w:ascii="仿宋" w:hAnsi="仿宋" w:eastAsia="仿宋" w:cs="仿宋_GB2312"/>
                <w:color w:val="000000"/>
                <w:kern w:val="0"/>
                <w:szCs w:val="21"/>
              </w:rPr>
              <w:t>提供</w:t>
            </w:r>
            <w:r>
              <w:rPr>
                <w:rFonts w:hint="eastAsia" w:ascii="仿宋" w:hAnsi="仿宋" w:eastAsia="仿宋" w:cs="仿宋_GB2312"/>
                <w:color w:val="000000"/>
                <w:kern w:val="0"/>
                <w:szCs w:val="21"/>
              </w:rPr>
              <w:t>相应</w:t>
            </w:r>
            <w:r>
              <w:rPr>
                <w:rFonts w:ascii="仿宋" w:hAnsi="仿宋" w:eastAsia="仿宋" w:cs="仿宋_GB2312"/>
                <w:color w:val="000000"/>
                <w:kern w:val="0"/>
                <w:szCs w:val="21"/>
              </w:rPr>
              <w:t>证书复印件</w:t>
            </w:r>
            <w:r>
              <w:rPr>
                <w:rFonts w:hint="eastAsia" w:ascii="仿宋" w:hAnsi="仿宋" w:eastAsia="仿宋" w:cs="仿宋_GB2312"/>
                <w:color w:val="000000"/>
                <w:kern w:val="0"/>
                <w:szCs w:val="21"/>
              </w:rPr>
              <w:t>及2023年</w:t>
            </w:r>
            <w:r>
              <w:rPr>
                <w:rFonts w:hint="eastAsia" w:ascii="仿宋" w:hAnsi="仿宋" w:eastAsia="仿宋" w:cs="仿宋_GB2312"/>
                <w:color w:val="000000"/>
                <w:kern w:val="0"/>
                <w:szCs w:val="21"/>
                <w:lang w:val="en-US" w:eastAsia="zh-CN"/>
              </w:rPr>
              <w:t>10</w:t>
            </w:r>
            <w:r>
              <w:rPr>
                <w:rFonts w:hint="eastAsia" w:ascii="仿宋" w:hAnsi="仿宋" w:eastAsia="仿宋" w:cs="仿宋_GB2312"/>
                <w:color w:val="000000"/>
                <w:kern w:val="0"/>
                <w:szCs w:val="21"/>
              </w:rPr>
              <w:t>月-2023年</w:t>
            </w:r>
            <w:r>
              <w:rPr>
                <w:rFonts w:hint="eastAsia" w:ascii="仿宋" w:hAnsi="仿宋" w:eastAsia="仿宋" w:cs="仿宋_GB2312"/>
                <w:color w:val="000000"/>
                <w:kern w:val="0"/>
                <w:szCs w:val="21"/>
                <w:lang w:val="en-US" w:eastAsia="zh-CN"/>
              </w:rPr>
              <w:t>12</w:t>
            </w:r>
            <w:r>
              <w:rPr>
                <w:rFonts w:hint="eastAsia" w:ascii="仿宋" w:hAnsi="仿宋" w:eastAsia="仿宋" w:cs="仿宋_GB2312"/>
                <w:color w:val="000000"/>
                <w:kern w:val="0"/>
                <w:szCs w:val="21"/>
              </w:rPr>
              <w:t>月投标人为其缴纳的任意一个月的社保证明复印件，材料缺一不得分。</w:t>
            </w:r>
          </w:p>
          <w:p>
            <w:pPr>
              <w:suppressAutoHyphens/>
              <w:spacing w:line="276" w:lineRule="auto"/>
              <w:rPr>
                <w:rFonts w:hint="eastAsia" w:ascii="仿宋" w:hAnsi="仿宋" w:eastAsia="仿宋" w:cs="仿宋_GB2312"/>
                <w:b/>
                <w:bCs/>
                <w:color w:val="000000"/>
                <w:kern w:val="0"/>
                <w:szCs w:val="21"/>
              </w:rPr>
            </w:pPr>
            <w:r>
              <w:rPr>
                <w:rFonts w:hint="eastAsia" w:ascii="仿宋" w:hAnsi="仿宋" w:eastAsia="仿宋" w:cs="仿宋_GB2312"/>
                <w:b/>
                <w:bCs/>
                <w:color w:val="000000"/>
                <w:kern w:val="0"/>
                <w:szCs w:val="21"/>
                <w:lang w:val="en-US" w:eastAsia="zh-CN"/>
              </w:rPr>
              <w:t>3</w:t>
            </w:r>
            <w:r>
              <w:rPr>
                <w:rFonts w:hint="eastAsia" w:ascii="仿宋" w:hAnsi="仿宋" w:eastAsia="仿宋" w:cs="仿宋_GB2312"/>
                <w:b/>
                <w:bCs/>
                <w:color w:val="000000"/>
                <w:kern w:val="0"/>
                <w:szCs w:val="21"/>
              </w:rPr>
              <w:t>、本项目保安</w:t>
            </w:r>
            <w:r>
              <w:rPr>
                <w:rFonts w:hint="eastAsia" w:ascii="仿宋" w:hAnsi="仿宋" w:eastAsia="仿宋" w:cs="仿宋_GB2312"/>
                <w:b/>
                <w:bCs/>
                <w:color w:val="000000"/>
                <w:kern w:val="0"/>
                <w:szCs w:val="21"/>
                <w:lang w:val="en-US" w:eastAsia="zh-CN"/>
              </w:rPr>
              <w:t>队长</w:t>
            </w:r>
            <w:r>
              <w:rPr>
                <w:rFonts w:hint="eastAsia" w:ascii="仿宋" w:hAnsi="仿宋" w:eastAsia="仿宋" w:cs="仿宋_GB2312"/>
                <w:b/>
                <w:bCs/>
                <w:color w:val="000000"/>
                <w:kern w:val="0"/>
                <w:szCs w:val="21"/>
              </w:rPr>
              <w:t>投入人员中：（</w:t>
            </w:r>
            <w:r>
              <w:rPr>
                <w:rFonts w:hint="eastAsia" w:ascii="仿宋" w:hAnsi="仿宋" w:eastAsia="仿宋" w:cs="仿宋_GB2312"/>
                <w:b/>
                <w:bCs/>
                <w:color w:val="000000"/>
                <w:kern w:val="0"/>
                <w:szCs w:val="21"/>
                <w:lang w:val="en-US" w:eastAsia="zh-CN"/>
              </w:rPr>
              <w:t>3</w:t>
            </w:r>
            <w:r>
              <w:rPr>
                <w:rFonts w:hint="eastAsia" w:ascii="仿宋" w:hAnsi="仿宋" w:eastAsia="仿宋" w:cs="仿宋_GB2312"/>
                <w:b/>
                <w:bCs/>
                <w:color w:val="000000"/>
                <w:kern w:val="0"/>
                <w:szCs w:val="21"/>
              </w:rPr>
              <w:t>分）</w:t>
            </w:r>
          </w:p>
          <w:p>
            <w:pPr>
              <w:suppressAutoHyphens/>
              <w:spacing w:line="276" w:lineRule="auto"/>
              <w:rPr>
                <w:rFonts w:hint="eastAsia" w:ascii="仿宋" w:hAnsi="仿宋" w:eastAsia="仿宋" w:cs="仿宋_GB2312"/>
                <w:color w:val="auto"/>
                <w:kern w:val="0"/>
                <w:szCs w:val="21"/>
                <w:lang w:eastAsia="zh-CN"/>
              </w:rPr>
            </w:pPr>
            <w:r>
              <w:rPr>
                <w:rFonts w:hint="eastAsia" w:ascii="仿宋" w:hAnsi="仿宋" w:eastAsia="仿宋" w:cs="仿宋_GB2312"/>
                <w:color w:val="auto"/>
                <w:kern w:val="0"/>
                <w:szCs w:val="21"/>
                <w:lang w:eastAsia="zh-CN"/>
              </w:rPr>
              <w:t>①</w:t>
            </w:r>
            <w:r>
              <w:rPr>
                <w:rFonts w:hint="eastAsia" w:ascii="仿宋" w:hAnsi="仿宋" w:eastAsia="仿宋" w:cs="仿宋_GB2312"/>
                <w:color w:val="auto"/>
                <w:kern w:val="0"/>
                <w:szCs w:val="21"/>
              </w:rPr>
              <w:t>持人社局颁发的</w:t>
            </w:r>
            <w:r>
              <w:rPr>
                <w:rFonts w:hint="eastAsia" w:ascii="仿宋" w:hAnsi="仿宋" w:eastAsia="仿宋" w:cs="仿宋_GB2312"/>
                <w:color w:val="000000" w:themeColor="text1"/>
                <w:kern w:val="0"/>
                <w:szCs w:val="21"/>
                <w:lang w:eastAsia="zh-CN"/>
                <w14:textFill>
                  <w14:solidFill>
                    <w14:schemeClr w14:val="tx1"/>
                  </w14:solidFill>
                </w14:textFill>
              </w:rPr>
              <w:t>保安员（四级及以上）</w:t>
            </w:r>
            <w:r>
              <w:rPr>
                <w:rFonts w:hint="eastAsia" w:ascii="仿宋" w:hAnsi="仿宋" w:eastAsia="仿宋" w:cs="仿宋_GB2312"/>
                <w:color w:val="auto"/>
                <w:kern w:val="0"/>
                <w:szCs w:val="21"/>
              </w:rPr>
              <w:t>证</w:t>
            </w:r>
            <w:r>
              <w:rPr>
                <w:rFonts w:hint="eastAsia" w:ascii="仿宋" w:hAnsi="仿宋" w:eastAsia="仿宋" w:cs="仿宋_GB2312"/>
                <w:color w:val="auto"/>
                <w:kern w:val="0"/>
                <w:szCs w:val="21"/>
                <w:lang w:eastAsia="zh-CN"/>
              </w:rPr>
              <w:t>书的</w:t>
            </w:r>
            <w:r>
              <w:rPr>
                <w:rFonts w:hint="eastAsia" w:ascii="仿宋" w:hAnsi="仿宋" w:eastAsia="仿宋" w:cs="仿宋_GB2312"/>
                <w:color w:val="auto"/>
                <w:kern w:val="0"/>
                <w:szCs w:val="21"/>
              </w:rPr>
              <w:t>得</w:t>
            </w:r>
            <w:r>
              <w:rPr>
                <w:rFonts w:hint="eastAsia" w:ascii="仿宋" w:hAnsi="仿宋" w:eastAsia="仿宋" w:cs="仿宋_GB2312"/>
                <w:color w:val="auto"/>
                <w:kern w:val="0"/>
                <w:szCs w:val="21"/>
                <w:lang w:val="en-US" w:eastAsia="zh-CN"/>
              </w:rPr>
              <w:t>1</w:t>
            </w:r>
            <w:r>
              <w:rPr>
                <w:rFonts w:hint="eastAsia" w:ascii="仿宋" w:hAnsi="仿宋" w:eastAsia="仿宋" w:cs="仿宋_GB2312"/>
                <w:color w:val="auto"/>
                <w:kern w:val="0"/>
                <w:szCs w:val="21"/>
              </w:rPr>
              <w:t>分</w:t>
            </w:r>
            <w:r>
              <w:rPr>
                <w:rFonts w:hint="eastAsia" w:ascii="仿宋" w:hAnsi="仿宋" w:eastAsia="仿宋" w:cs="仿宋_GB2312"/>
                <w:color w:val="auto"/>
                <w:kern w:val="0"/>
                <w:szCs w:val="21"/>
                <w:lang w:eastAsia="zh-CN"/>
              </w:rPr>
              <w:t>；</w:t>
            </w:r>
          </w:p>
          <w:p>
            <w:pPr>
              <w:suppressAutoHyphens/>
              <w:spacing w:line="276" w:lineRule="auto"/>
              <w:rPr>
                <w:rFonts w:hint="default" w:ascii="仿宋" w:hAnsi="仿宋" w:eastAsia="仿宋" w:cs="仿宋_GB2312"/>
                <w:color w:val="auto"/>
                <w:kern w:val="0"/>
                <w:szCs w:val="21"/>
                <w:highlight w:val="none"/>
                <w:lang w:val="en-US" w:eastAsia="zh-CN"/>
              </w:rPr>
            </w:pPr>
            <w:r>
              <w:rPr>
                <w:rFonts w:hint="eastAsia" w:ascii="仿宋" w:hAnsi="仿宋" w:eastAsia="仿宋" w:cs="仿宋_GB2312"/>
                <w:color w:val="auto"/>
                <w:kern w:val="0"/>
                <w:szCs w:val="21"/>
                <w:lang w:val="en-US" w:eastAsia="zh-CN"/>
              </w:rPr>
              <w:t>②</w:t>
            </w:r>
            <w:r>
              <w:rPr>
                <w:rFonts w:hint="eastAsia" w:ascii="仿宋" w:hAnsi="仿宋" w:eastAsia="仿宋" w:cs="仿宋_GB2312"/>
                <w:color w:val="auto"/>
                <w:kern w:val="0"/>
                <w:szCs w:val="21"/>
                <w:highlight w:val="none"/>
                <w:lang w:val="en-US" w:eastAsia="zh-CN"/>
              </w:rPr>
              <w:t>持有</w:t>
            </w:r>
            <w:r>
              <w:rPr>
                <w:rFonts w:hint="eastAsia" w:ascii="仿宋" w:hAnsi="仿宋" w:eastAsia="仿宋" w:cs="仿宋"/>
                <w:color w:val="auto"/>
                <w:highlight w:val="none"/>
                <w:lang w:val="en-US" w:eastAsia="zh-CN"/>
              </w:rPr>
              <w:t>有效期内的</w:t>
            </w:r>
            <w:r>
              <w:rPr>
                <w:rFonts w:hint="eastAsia" w:ascii="仿宋" w:hAnsi="仿宋" w:eastAsia="仿宋" w:cs="仿宋_GB2312"/>
                <w:color w:val="auto"/>
                <w:kern w:val="0"/>
                <w:szCs w:val="21"/>
                <w:highlight w:val="none"/>
                <w:lang w:val="en-US" w:eastAsia="zh-CN"/>
              </w:rPr>
              <w:t>红十字会颁发的救护员证的得1分；</w:t>
            </w:r>
          </w:p>
          <w:p>
            <w:pPr>
              <w:suppressAutoHyphens/>
              <w:spacing w:line="276" w:lineRule="auto"/>
              <w:rPr>
                <w:rFonts w:hint="eastAsia" w:ascii="仿宋" w:hAnsi="仿宋" w:eastAsia="仿宋" w:cs="仿宋_GB2312"/>
                <w:color w:val="auto"/>
                <w:kern w:val="0"/>
                <w:szCs w:val="21"/>
                <w:lang w:val="en-US" w:eastAsia="zh-CN"/>
              </w:rPr>
            </w:pPr>
            <w:r>
              <w:rPr>
                <w:rFonts w:hint="eastAsia" w:ascii="仿宋" w:hAnsi="仿宋" w:eastAsia="仿宋" w:cs="仿宋_GB2312"/>
                <w:color w:val="auto"/>
                <w:kern w:val="0"/>
                <w:szCs w:val="21"/>
                <w:lang w:val="en-US" w:eastAsia="zh-CN"/>
              </w:rPr>
              <w:t>③持有退伍军人证的得1分</w:t>
            </w:r>
          </w:p>
          <w:p>
            <w:pPr>
              <w:suppressAutoHyphens/>
              <w:spacing w:line="276" w:lineRule="auto"/>
              <w:rPr>
                <w:rFonts w:hint="eastAsia" w:ascii="仿宋" w:hAnsi="仿宋" w:eastAsia="仿宋" w:cs="仿宋_GB2312"/>
                <w:color w:val="auto"/>
                <w:kern w:val="0"/>
                <w:szCs w:val="21"/>
                <w:lang w:val="en-US" w:eastAsia="zh-CN"/>
              </w:rPr>
            </w:pPr>
            <w:r>
              <w:rPr>
                <w:rFonts w:ascii="仿宋" w:hAnsi="仿宋" w:eastAsia="仿宋" w:cs="仿宋_GB2312"/>
                <w:color w:val="000000"/>
                <w:kern w:val="0"/>
                <w:szCs w:val="21"/>
              </w:rPr>
              <w:t>提供</w:t>
            </w:r>
            <w:r>
              <w:rPr>
                <w:rFonts w:hint="eastAsia" w:ascii="仿宋" w:hAnsi="仿宋" w:eastAsia="仿宋" w:cs="仿宋_GB2312"/>
                <w:color w:val="000000"/>
                <w:kern w:val="0"/>
                <w:szCs w:val="21"/>
              </w:rPr>
              <w:t>相应</w:t>
            </w:r>
            <w:r>
              <w:rPr>
                <w:rFonts w:ascii="仿宋" w:hAnsi="仿宋" w:eastAsia="仿宋" w:cs="仿宋_GB2312"/>
                <w:color w:val="000000"/>
                <w:kern w:val="0"/>
                <w:szCs w:val="21"/>
              </w:rPr>
              <w:t>证书复印件及</w:t>
            </w:r>
            <w:r>
              <w:rPr>
                <w:rFonts w:hint="eastAsia" w:ascii="仿宋" w:hAnsi="仿宋" w:eastAsia="仿宋" w:cs="仿宋_GB2312"/>
                <w:color w:val="000000"/>
                <w:kern w:val="0"/>
                <w:szCs w:val="21"/>
              </w:rPr>
              <w:t>2023年</w:t>
            </w:r>
            <w:r>
              <w:rPr>
                <w:rFonts w:hint="eastAsia" w:ascii="仿宋" w:hAnsi="仿宋" w:eastAsia="仿宋" w:cs="仿宋_GB2312"/>
                <w:color w:val="000000"/>
                <w:kern w:val="0"/>
                <w:szCs w:val="21"/>
                <w:lang w:val="en-US" w:eastAsia="zh-CN"/>
              </w:rPr>
              <w:t>10</w:t>
            </w:r>
            <w:r>
              <w:rPr>
                <w:rFonts w:hint="eastAsia" w:ascii="仿宋" w:hAnsi="仿宋" w:eastAsia="仿宋" w:cs="仿宋_GB2312"/>
                <w:color w:val="000000"/>
                <w:kern w:val="0"/>
                <w:szCs w:val="21"/>
              </w:rPr>
              <w:t>月-2023年</w:t>
            </w:r>
            <w:r>
              <w:rPr>
                <w:rFonts w:hint="eastAsia" w:ascii="仿宋" w:hAnsi="仿宋" w:eastAsia="仿宋" w:cs="仿宋_GB2312"/>
                <w:color w:val="000000"/>
                <w:kern w:val="0"/>
                <w:szCs w:val="21"/>
                <w:lang w:val="en-US" w:eastAsia="zh-CN"/>
              </w:rPr>
              <w:t>12</w:t>
            </w:r>
            <w:r>
              <w:rPr>
                <w:rFonts w:hint="eastAsia" w:ascii="仿宋" w:hAnsi="仿宋" w:eastAsia="仿宋" w:cs="仿宋_GB2312"/>
                <w:color w:val="000000"/>
                <w:kern w:val="0"/>
                <w:szCs w:val="21"/>
              </w:rPr>
              <w:t>月投标人为其缴纳的任意一个月的社保证明复印件，材料缺一不得分。</w:t>
            </w:r>
          </w:p>
          <w:p>
            <w:pPr>
              <w:suppressAutoHyphens/>
              <w:spacing w:line="276" w:lineRule="auto"/>
              <w:rPr>
                <w:rFonts w:hint="default" w:ascii="仿宋" w:hAnsi="仿宋" w:eastAsia="仿宋" w:cs="仿宋_GB2312"/>
                <w:b/>
                <w:bCs/>
                <w:color w:val="auto"/>
                <w:kern w:val="0"/>
                <w:szCs w:val="21"/>
                <w:lang w:val="en-US" w:eastAsia="zh-CN"/>
              </w:rPr>
            </w:pPr>
            <w:r>
              <w:rPr>
                <w:rFonts w:hint="eastAsia" w:ascii="仿宋" w:hAnsi="仿宋" w:eastAsia="仿宋" w:cs="仿宋_GB2312"/>
                <w:b/>
                <w:bCs/>
                <w:color w:val="auto"/>
                <w:kern w:val="0"/>
                <w:szCs w:val="21"/>
                <w:lang w:val="en-US" w:eastAsia="zh-CN"/>
              </w:rPr>
              <w:t>4、</w:t>
            </w:r>
            <w:r>
              <w:rPr>
                <w:rFonts w:hint="eastAsia" w:ascii="仿宋" w:hAnsi="仿宋" w:eastAsia="仿宋" w:cs="仿宋_GB2312"/>
                <w:b/>
                <w:bCs/>
                <w:color w:val="000000"/>
                <w:kern w:val="0"/>
                <w:szCs w:val="21"/>
              </w:rPr>
              <w:t>本项目保安</w:t>
            </w:r>
            <w:r>
              <w:rPr>
                <w:rFonts w:hint="eastAsia" w:ascii="仿宋" w:hAnsi="仿宋" w:eastAsia="仿宋" w:cs="仿宋_GB2312"/>
                <w:b/>
                <w:bCs/>
                <w:color w:val="000000"/>
                <w:kern w:val="0"/>
                <w:szCs w:val="21"/>
                <w:lang w:val="en-US" w:eastAsia="zh-CN"/>
              </w:rPr>
              <w:t>员</w:t>
            </w:r>
            <w:r>
              <w:rPr>
                <w:rFonts w:hint="eastAsia" w:ascii="仿宋" w:hAnsi="仿宋" w:eastAsia="仿宋" w:cs="仿宋_GB2312"/>
                <w:b/>
                <w:bCs/>
                <w:color w:val="000000"/>
                <w:kern w:val="0"/>
                <w:szCs w:val="21"/>
              </w:rPr>
              <w:t>投入人员中：（</w:t>
            </w:r>
            <w:r>
              <w:rPr>
                <w:rFonts w:hint="eastAsia" w:ascii="仿宋" w:hAnsi="仿宋" w:eastAsia="仿宋" w:cs="仿宋_GB2312"/>
                <w:b/>
                <w:bCs/>
                <w:color w:val="000000"/>
                <w:kern w:val="0"/>
                <w:szCs w:val="21"/>
                <w:lang w:val="en-US" w:eastAsia="zh-CN"/>
              </w:rPr>
              <w:t>3</w:t>
            </w:r>
            <w:r>
              <w:rPr>
                <w:rFonts w:hint="eastAsia" w:ascii="仿宋" w:hAnsi="仿宋" w:eastAsia="仿宋" w:cs="仿宋_GB2312"/>
                <w:b/>
                <w:bCs/>
                <w:color w:val="000000"/>
                <w:kern w:val="0"/>
                <w:szCs w:val="21"/>
              </w:rPr>
              <w:t>分）</w:t>
            </w:r>
          </w:p>
          <w:p>
            <w:pPr>
              <w:suppressAutoHyphens/>
              <w:spacing w:line="276" w:lineRule="auto"/>
              <w:rPr>
                <w:rFonts w:hint="eastAsia" w:ascii="仿宋" w:hAnsi="仿宋" w:eastAsia="仿宋" w:cs="仿宋_GB2312"/>
                <w:color w:val="000000"/>
                <w:kern w:val="0"/>
                <w:szCs w:val="21"/>
              </w:rPr>
            </w:pPr>
            <w:r>
              <w:rPr>
                <w:rFonts w:hint="eastAsia" w:ascii="仿宋" w:hAnsi="仿宋" w:eastAsia="仿宋" w:cs="仿宋_GB2312"/>
                <w:color w:val="000000"/>
                <w:kern w:val="0"/>
                <w:szCs w:val="21"/>
                <w:lang w:val="en-US" w:eastAsia="zh-CN"/>
              </w:rPr>
              <w:t>①</w:t>
            </w:r>
            <w:r>
              <w:rPr>
                <w:rFonts w:hint="eastAsia" w:ascii="仿宋" w:hAnsi="仿宋" w:eastAsia="仿宋" w:cs="仿宋_GB2312"/>
                <w:color w:val="000000"/>
                <w:kern w:val="0"/>
                <w:szCs w:val="21"/>
              </w:rPr>
              <w:t>持有退伍军人证的，</w:t>
            </w:r>
            <w:r>
              <w:rPr>
                <w:rFonts w:hint="eastAsia" w:ascii="仿宋" w:hAnsi="仿宋" w:eastAsia="仿宋" w:cs="仿宋_GB2312"/>
                <w:color w:val="000000"/>
                <w:kern w:val="0"/>
                <w:szCs w:val="21"/>
                <w:lang w:eastAsia="zh-CN"/>
              </w:rPr>
              <w:t>每个</w:t>
            </w:r>
            <w:r>
              <w:rPr>
                <w:rFonts w:hint="eastAsia" w:ascii="仿宋" w:hAnsi="仿宋" w:eastAsia="仿宋" w:cs="仿宋_GB2312"/>
                <w:color w:val="000000"/>
                <w:kern w:val="0"/>
                <w:szCs w:val="21"/>
              </w:rPr>
              <w:t>得0.5分，最多得</w:t>
            </w:r>
            <w:r>
              <w:rPr>
                <w:rFonts w:hint="eastAsia" w:ascii="仿宋" w:hAnsi="仿宋" w:eastAsia="仿宋" w:cs="仿宋_GB2312"/>
                <w:color w:val="000000"/>
                <w:kern w:val="0"/>
                <w:szCs w:val="21"/>
                <w:lang w:val="en-US" w:eastAsia="zh-CN"/>
              </w:rPr>
              <w:t>3</w:t>
            </w:r>
            <w:r>
              <w:rPr>
                <w:rFonts w:hint="eastAsia" w:ascii="仿宋" w:hAnsi="仿宋" w:eastAsia="仿宋" w:cs="仿宋_GB2312"/>
                <w:color w:val="000000"/>
                <w:kern w:val="0"/>
                <w:szCs w:val="21"/>
              </w:rPr>
              <w:t>分。</w:t>
            </w:r>
          </w:p>
          <w:p>
            <w:pPr>
              <w:suppressAutoHyphens/>
              <w:spacing w:line="276" w:lineRule="auto"/>
              <w:rPr>
                <w:rFonts w:hint="eastAsia" w:ascii="仿宋" w:hAnsi="仿宋" w:eastAsia="仿宋" w:cs="仿宋_GB2312"/>
                <w:color w:val="000000"/>
                <w:kern w:val="0"/>
                <w:szCs w:val="21"/>
              </w:rPr>
            </w:pPr>
            <w:r>
              <w:rPr>
                <w:rFonts w:ascii="仿宋" w:hAnsi="仿宋" w:eastAsia="仿宋" w:cs="仿宋_GB2312"/>
                <w:color w:val="000000"/>
                <w:kern w:val="0"/>
                <w:szCs w:val="21"/>
              </w:rPr>
              <w:t>提供</w:t>
            </w:r>
            <w:r>
              <w:rPr>
                <w:rFonts w:hint="eastAsia" w:ascii="仿宋" w:hAnsi="仿宋" w:eastAsia="仿宋" w:cs="仿宋_GB2312"/>
                <w:color w:val="000000"/>
                <w:kern w:val="0"/>
                <w:szCs w:val="21"/>
              </w:rPr>
              <w:t>相应</w:t>
            </w:r>
            <w:r>
              <w:rPr>
                <w:rFonts w:ascii="仿宋" w:hAnsi="仿宋" w:eastAsia="仿宋" w:cs="仿宋_GB2312"/>
                <w:color w:val="000000"/>
                <w:kern w:val="0"/>
                <w:szCs w:val="21"/>
              </w:rPr>
              <w:t>证书复印件及</w:t>
            </w:r>
            <w:r>
              <w:rPr>
                <w:rFonts w:hint="eastAsia" w:ascii="仿宋" w:hAnsi="仿宋" w:eastAsia="仿宋" w:cs="仿宋_GB2312"/>
                <w:color w:val="000000"/>
                <w:kern w:val="0"/>
                <w:szCs w:val="21"/>
              </w:rPr>
              <w:t>2023年</w:t>
            </w:r>
            <w:r>
              <w:rPr>
                <w:rFonts w:hint="eastAsia" w:ascii="仿宋" w:hAnsi="仿宋" w:eastAsia="仿宋" w:cs="仿宋_GB2312"/>
                <w:color w:val="000000"/>
                <w:kern w:val="0"/>
                <w:szCs w:val="21"/>
                <w:lang w:val="en-US" w:eastAsia="zh-CN"/>
              </w:rPr>
              <w:t>10</w:t>
            </w:r>
            <w:r>
              <w:rPr>
                <w:rFonts w:hint="eastAsia" w:ascii="仿宋" w:hAnsi="仿宋" w:eastAsia="仿宋" w:cs="仿宋_GB2312"/>
                <w:color w:val="000000"/>
                <w:kern w:val="0"/>
                <w:szCs w:val="21"/>
              </w:rPr>
              <w:t>月-2023年</w:t>
            </w:r>
            <w:r>
              <w:rPr>
                <w:rFonts w:hint="eastAsia" w:ascii="仿宋" w:hAnsi="仿宋" w:eastAsia="仿宋" w:cs="仿宋_GB2312"/>
                <w:color w:val="000000"/>
                <w:kern w:val="0"/>
                <w:szCs w:val="21"/>
                <w:lang w:val="en-US" w:eastAsia="zh-CN"/>
              </w:rPr>
              <w:t>12</w:t>
            </w:r>
            <w:r>
              <w:rPr>
                <w:rFonts w:hint="eastAsia" w:ascii="仿宋" w:hAnsi="仿宋" w:eastAsia="仿宋" w:cs="仿宋_GB2312"/>
                <w:color w:val="000000"/>
                <w:kern w:val="0"/>
                <w:szCs w:val="21"/>
              </w:rPr>
              <w:t>月投标人为其缴纳的任意一个月的社保证明复印件，材料缺一不得分。</w:t>
            </w:r>
          </w:p>
          <w:p>
            <w:pPr>
              <w:numPr>
                <w:ilvl w:val="0"/>
                <w:numId w:val="0"/>
              </w:numPr>
              <w:suppressAutoHyphens/>
              <w:spacing w:line="276" w:lineRule="auto"/>
              <w:rPr>
                <w:rFonts w:hint="eastAsia" w:ascii="仿宋" w:hAnsi="仿宋" w:eastAsia="仿宋" w:cs="仿宋_GB2312"/>
                <w:b/>
                <w:bCs/>
                <w:color w:val="000000"/>
                <w:kern w:val="0"/>
                <w:szCs w:val="21"/>
                <w:lang w:val="en-US" w:eastAsia="zh-CN"/>
              </w:rPr>
            </w:pPr>
            <w:r>
              <w:rPr>
                <w:rFonts w:hint="eastAsia" w:ascii="仿宋" w:hAnsi="仿宋" w:eastAsia="仿宋" w:cs="仿宋_GB2312"/>
                <w:b/>
                <w:bCs/>
                <w:color w:val="000000"/>
                <w:kern w:val="0"/>
                <w:szCs w:val="21"/>
                <w:lang w:val="en-US" w:eastAsia="zh-CN"/>
              </w:rPr>
              <w:t>5、本项目电工投入人员中：（1分）</w:t>
            </w:r>
          </w:p>
          <w:p>
            <w:pPr>
              <w:numPr>
                <w:ilvl w:val="0"/>
                <w:numId w:val="0"/>
              </w:numPr>
              <w:suppressAutoHyphens/>
              <w:spacing w:line="276" w:lineRule="auto"/>
              <w:rPr>
                <w:rFonts w:hint="eastAsia" w:ascii="仿宋" w:hAnsi="仿宋" w:eastAsia="仿宋" w:cs="仿宋_GB2312"/>
                <w:color w:val="000000"/>
                <w:kern w:val="0"/>
                <w:szCs w:val="21"/>
                <w:lang w:val="en-US" w:eastAsia="zh-CN"/>
              </w:rPr>
            </w:pPr>
            <w:r>
              <w:rPr>
                <w:rFonts w:hint="eastAsia" w:ascii="仿宋" w:hAnsi="仿宋" w:eastAsia="仿宋" w:cs="仿宋_GB2312"/>
                <w:color w:val="000000"/>
                <w:kern w:val="0"/>
                <w:szCs w:val="21"/>
                <w:lang w:val="en-US" w:eastAsia="zh-CN"/>
              </w:rPr>
              <w:t>①持有高</w:t>
            </w:r>
            <w:r>
              <w:rPr>
                <w:rFonts w:hint="eastAsia" w:ascii="仿宋" w:hAnsi="仿宋" w:eastAsia="仿宋" w:cs="仿宋_GB2312"/>
                <w:color w:val="auto"/>
                <w:kern w:val="0"/>
                <w:szCs w:val="21"/>
                <w:lang w:val="en-US" w:eastAsia="zh-CN"/>
              </w:rPr>
              <w:t>压电工作业证的得1</w:t>
            </w:r>
            <w:r>
              <w:rPr>
                <w:rFonts w:hint="eastAsia" w:ascii="仿宋" w:hAnsi="仿宋" w:eastAsia="仿宋" w:cs="仿宋_GB2312"/>
                <w:color w:val="000000"/>
                <w:kern w:val="0"/>
                <w:szCs w:val="21"/>
                <w:lang w:val="en-US" w:eastAsia="zh-CN"/>
              </w:rPr>
              <w:t>分。</w:t>
            </w:r>
          </w:p>
          <w:p>
            <w:pPr>
              <w:suppressAutoHyphens/>
              <w:spacing w:line="276" w:lineRule="auto"/>
              <w:rPr>
                <w:rFonts w:hint="eastAsia" w:ascii="仿宋" w:hAnsi="仿宋" w:eastAsia="仿宋" w:cs="仿宋_GB2312"/>
                <w:color w:val="000000"/>
                <w:kern w:val="0"/>
                <w:szCs w:val="21"/>
              </w:rPr>
            </w:pPr>
            <w:r>
              <w:rPr>
                <w:rFonts w:ascii="仿宋" w:hAnsi="仿宋" w:eastAsia="仿宋" w:cs="仿宋_GB2312"/>
                <w:color w:val="000000"/>
                <w:kern w:val="0"/>
                <w:szCs w:val="21"/>
              </w:rPr>
              <w:t>提供</w:t>
            </w:r>
            <w:r>
              <w:rPr>
                <w:rFonts w:hint="eastAsia" w:ascii="仿宋" w:hAnsi="仿宋" w:eastAsia="仿宋" w:cs="仿宋_GB2312"/>
                <w:color w:val="000000"/>
                <w:kern w:val="0"/>
                <w:szCs w:val="21"/>
              </w:rPr>
              <w:t>相应</w:t>
            </w:r>
            <w:r>
              <w:rPr>
                <w:rFonts w:ascii="仿宋" w:hAnsi="仿宋" w:eastAsia="仿宋" w:cs="仿宋_GB2312"/>
                <w:color w:val="000000"/>
                <w:kern w:val="0"/>
                <w:szCs w:val="21"/>
              </w:rPr>
              <w:t>证书复印件及</w:t>
            </w:r>
            <w:r>
              <w:rPr>
                <w:rFonts w:hint="eastAsia" w:ascii="仿宋" w:hAnsi="仿宋" w:eastAsia="仿宋" w:cs="仿宋_GB2312"/>
                <w:color w:val="000000"/>
                <w:kern w:val="0"/>
                <w:szCs w:val="21"/>
              </w:rPr>
              <w:t>2023年</w:t>
            </w:r>
            <w:r>
              <w:rPr>
                <w:rFonts w:hint="eastAsia" w:ascii="仿宋" w:hAnsi="仿宋" w:eastAsia="仿宋" w:cs="仿宋_GB2312"/>
                <w:color w:val="000000"/>
                <w:kern w:val="0"/>
                <w:szCs w:val="21"/>
                <w:lang w:val="en-US" w:eastAsia="zh-CN"/>
              </w:rPr>
              <w:t>10</w:t>
            </w:r>
            <w:r>
              <w:rPr>
                <w:rFonts w:hint="eastAsia" w:ascii="仿宋" w:hAnsi="仿宋" w:eastAsia="仿宋" w:cs="仿宋_GB2312"/>
                <w:color w:val="000000"/>
                <w:kern w:val="0"/>
                <w:szCs w:val="21"/>
              </w:rPr>
              <w:t>月-2023年</w:t>
            </w:r>
            <w:r>
              <w:rPr>
                <w:rFonts w:hint="eastAsia" w:ascii="仿宋" w:hAnsi="仿宋" w:eastAsia="仿宋" w:cs="仿宋_GB2312"/>
                <w:color w:val="000000"/>
                <w:kern w:val="0"/>
                <w:szCs w:val="21"/>
                <w:lang w:val="en-US" w:eastAsia="zh-CN"/>
              </w:rPr>
              <w:t>12</w:t>
            </w:r>
            <w:r>
              <w:rPr>
                <w:rFonts w:hint="eastAsia" w:ascii="仿宋" w:hAnsi="仿宋" w:eastAsia="仿宋" w:cs="仿宋_GB2312"/>
                <w:color w:val="000000"/>
                <w:kern w:val="0"/>
                <w:szCs w:val="21"/>
              </w:rPr>
              <w:t>月投标人为其缴纳的任意一个月的社保证明复印件，材料缺一不得分。</w:t>
            </w:r>
          </w:p>
          <w:p>
            <w:pPr>
              <w:spacing w:line="276" w:lineRule="auto"/>
              <w:rPr>
                <w:rFonts w:ascii="仿宋_GB2312" w:hAnsi="仿宋_GB2312" w:eastAsia="仿宋_GB2312" w:cs="仿宋_GB2312"/>
                <w:b/>
                <w:bCs/>
                <w:color w:val="000000"/>
                <w:kern w:val="0"/>
                <w:szCs w:val="21"/>
              </w:rPr>
            </w:pPr>
            <w:r>
              <w:rPr>
                <w:rFonts w:hint="eastAsia" w:ascii="仿宋_GB2312" w:hAnsi="仿宋_GB2312" w:eastAsia="仿宋_GB2312" w:cs="仿宋_GB2312"/>
                <w:b/>
                <w:bCs/>
                <w:color w:val="000000"/>
                <w:kern w:val="0"/>
                <w:szCs w:val="21"/>
                <w:lang w:val="en-US" w:eastAsia="zh-CN"/>
              </w:rPr>
              <w:t>6、</w:t>
            </w:r>
            <w:r>
              <w:rPr>
                <w:rFonts w:hint="eastAsia" w:ascii="仿宋_GB2312" w:hAnsi="仿宋_GB2312" w:eastAsia="仿宋_GB2312" w:cs="仿宋_GB2312"/>
                <w:b/>
                <w:bCs/>
                <w:color w:val="000000"/>
                <w:kern w:val="0"/>
                <w:szCs w:val="21"/>
              </w:rPr>
              <w:t>拟派本项目绿化工持风景园林工程师中级及以上职称证书（人社局颁发）的得3分。</w:t>
            </w:r>
            <w:r>
              <w:rPr>
                <w:rFonts w:hint="eastAsia" w:ascii="仿宋" w:hAnsi="仿宋" w:eastAsia="仿宋" w:cs="仿宋_GB2312"/>
                <w:b/>
                <w:bCs/>
                <w:color w:val="000000"/>
                <w:kern w:val="0"/>
                <w:szCs w:val="21"/>
              </w:rPr>
              <w:t>（</w:t>
            </w:r>
            <w:r>
              <w:rPr>
                <w:rFonts w:hint="eastAsia" w:ascii="仿宋" w:hAnsi="仿宋" w:eastAsia="仿宋" w:cs="仿宋_GB2312"/>
                <w:b/>
                <w:bCs/>
                <w:color w:val="000000"/>
                <w:kern w:val="0"/>
                <w:szCs w:val="21"/>
                <w:lang w:val="en-US" w:eastAsia="zh-CN"/>
              </w:rPr>
              <w:t>3</w:t>
            </w:r>
            <w:r>
              <w:rPr>
                <w:rFonts w:hint="eastAsia" w:ascii="仿宋" w:hAnsi="仿宋" w:eastAsia="仿宋" w:cs="仿宋_GB2312"/>
                <w:b/>
                <w:bCs/>
                <w:color w:val="000000"/>
                <w:kern w:val="0"/>
                <w:szCs w:val="21"/>
              </w:rPr>
              <w:t>分）</w:t>
            </w:r>
          </w:p>
          <w:p>
            <w:pPr>
              <w:pStyle w:val="2"/>
              <w:keepNext/>
              <w:keepLines/>
              <w:pageBreakBefore w:val="0"/>
              <w:widowControl w:val="0"/>
              <w:kinsoku/>
              <w:wordWrap/>
              <w:overflowPunct/>
              <w:topLinePunct w:val="0"/>
              <w:autoSpaceDE/>
              <w:autoSpaceDN/>
              <w:bidi w:val="0"/>
              <w:adjustRightInd/>
              <w:snapToGrid/>
              <w:spacing w:before="0" w:after="0" w:line="240" w:lineRule="auto"/>
              <w:textAlignment w:val="auto"/>
              <w:rPr>
                <w:rFonts w:hint="default"/>
                <w:lang w:val="en-US" w:eastAsia="zh-CN"/>
              </w:rPr>
            </w:pPr>
            <w:r>
              <w:rPr>
                <w:rFonts w:hint="eastAsia" w:ascii="仿宋" w:hAnsi="仿宋" w:eastAsia="仿宋" w:cs="仿宋_GB2312"/>
                <w:b w:val="0"/>
                <w:bCs w:val="0"/>
                <w:color w:val="000000"/>
                <w:kern w:val="0"/>
                <w:sz w:val="21"/>
                <w:szCs w:val="21"/>
                <w:lang w:val="en-US" w:eastAsia="zh-CN" w:bidi="ar-SA"/>
              </w:rPr>
              <w:t>提供相关证书复印件及2023年10月-2023年12月投标人为其缴纳的任意一个月的社保证明复印件，材料缺一不得分。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489" w:type="dxa"/>
            <w:tcBorders>
              <w:left w:val="single" w:color="auto" w:sz="12" w:space="0"/>
              <w:right w:val="single" w:color="auto" w:sz="4" w:space="0"/>
            </w:tcBorders>
            <w:noWrap/>
            <w:vAlign w:val="center"/>
          </w:tcPr>
          <w:p>
            <w:pPr>
              <w:suppressAutoHyphens/>
              <w:spacing w:line="360" w:lineRule="auto"/>
              <w:jc w:val="center"/>
              <w:rPr>
                <w:rFonts w:ascii="仿宋" w:hAnsi="仿宋" w:eastAsia="仿宋" w:cs="仿宋_GB2312"/>
                <w:color w:val="000000"/>
                <w:kern w:val="0"/>
                <w:szCs w:val="21"/>
              </w:rPr>
            </w:pPr>
            <w:r>
              <w:rPr>
                <w:rFonts w:hint="eastAsia" w:ascii="仿宋" w:hAnsi="仿宋" w:eastAsia="仿宋" w:cs="仿宋_GB2312"/>
                <w:color w:val="000000"/>
                <w:kern w:val="0"/>
                <w:szCs w:val="21"/>
              </w:rPr>
              <w:t>5</w:t>
            </w:r>
          </w:p>
        </w:tc>
        <w:tc>
          <w:tcPr>
            <w:tcW w:w="1018" w:type="dxa"/>
            <w:tcBorders>
              <w:left w:val="single" w:color="auto" w:sz="4" w:space="0"/>
              <w:right w:val="single" w:color="auto" w:sz="4" w:space="0"/>
            </w:tcBorders>
            <w:noWrap/>
            <w:vAlign w:val="center"/>
          </w:tcPr>
          <w:p>
            <w:pPr>
              <w:suppressAutoHyphens/>
              <w:spacing w:line="360" w:lineRule="auto"/>
              <w:rPr>
                <w:rFonts w:ascii="仿宋" w:hAnsi="仿宋" w:eastAsia="仿宋" w:cs="仿宋_GB2312"/>
                <w:color w:val="000000"/>
                <w:kern w:val="0"/>
                <w:szCs w:val="21"/>
              </w:rPr>
            </w:pPr>
            <w:r>
              <w:rPr>
                <w:rFonts w:hint="eastAsia" w:ascii="仿宋" w:hAnsi="仿宋" w:eastAsia="仿宋" w:cs="仿宋_GB2312"/>
                <w:color w:val="000000"/>
                <w:kern w:val="0"/>
                <w:szCs w:val="21"/>
              </w:rPr>
              <w:t>制度和保障措施</w:t>
            </w:r>
          </w:p>
        </w:tc>
        <w:tc>
          <w:tcPr>
            <w:tcW w:w="854" w:type="dxa"/>
            <w:tcBorders>
              <w:top w:val="single" w:color="auto" w:sz="4" w:space="0"/>
              <w:left w:val="single" w:color="auto" w:sz="4" w:space="0"/>
              <w:right w:val="single" w:color="auto" w:sz="4" w:space="0"/>
            </w:tcBorders>
            <w:noWrap/>
            <w:vAlign w:val="center"/>
          </w:tcPr>
          <w:p>
            <w:pPr>
              <w:suppressAutoHyphens/>
              <w:spacing w:line="360" w:lineRule="auto"/>
              <w:jc w:val="center"/>
              <w:rPr>
                <w:rFonts w:ascii="仿宋" w:hAnsi="仿宋" w:eastAsia="仿宋" w:cs="仿宋_GB2312"/>
                <w:color w:val="000000"/>
                <w:kern w:val="0"/>
                <w:szCs w:val="21"/>
              </w:rPr>
            </w:pPr>
            <w:r>
              <w:rPr>
                <w:rFonts w:hint="eastAsia" w:ascii="仿宋" w:hAnsi="仿宋" w:eastAsia="仿宋" w:cs="仿宋_GB2312"/>
                <w:color w:val="000000"/>
                <w:kern w:val="0"/>
                <w:szCs w:val="21"/>
              </w:rPr>
              <w:t>8</w:t>
            </w:r>
          </w:p>
        </w:tc>
        <w:tc>
          <w:tcPr>
            <w:tcW w:w="6541" w:type="dxa"/>
            <w:tcBorders>
              <w:top w:val="single" w:color="auto" w:sz="4" w:space="0"/>
              <w:left w:val="single" w:color="auto" w:sz="4" w:space="0"/>
              <w:bottom w:val="single" w:color="auto" w:sz="4" w:space="0"/>
              <w:right w:val="single" w:color="auto" w:sz="12" w:space="0"/>
            </w:tcBorders>
            <w:noWrap/>
            <w:vAlign w:val="center"/>
          </w:tcPr>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1、管理机构设置、管理构架和各岗位职责。（2分）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管理机构设置合理，管理构架和各岗位职责明确的，得2分；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管理机构设置较合理，管理构架和各岗位职责较明确的，得1分；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管理机构设置较不合理，管理构架和各岗位职责较不明确的，得0.5分；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未提供：不得分。</w:t>
            </w:r>
          </w:p>
          <w:p>
            <w:pPr>
              <w:suppressAutoHyphens/>
              <w:spacing w:line="276" w:lineRule="auto"/>
              <w:rPr>
                <w:rFonts w:ascii="仿宋" w:hAnsi="仿宋" w:eastAsia="仿宋" w:cs="仿宋_GB2312"/>
                <w:color w:val="000000"/>
                <w:kern w:val="0"/>
                <w:szCs w:val="21"/>
              </w:rPr>
            </w:pPr>
            <w:r>
              <w:rPr>
                <w:rFonts w:ascii="仿宋" w:hAnsi="仿宋" w:eastAsia="仿宋" w:cs="仿宋_GB2312"/>
                <w:color w:val="000000"/>
                <w:kern w:val="0"/>
                <w:szCs w:val="21"/>
              </w:rPr>
              <w:t>2</w:t>
            </w:r>
            <w:r>
              <w:rPr>
                <w:rFonts w:hint="eastAsia" w:ascii="仿宋" w:hAnsi="仿宋" w:eastAsia="仿宋" w:cs="仿宋_GB2312"/>
                <w:color w:val="000000"/>
                <w:kern w:val="0"/>
                <w:szCs w:val="21"/>
              </w:rPr>
              <w:t>、内部管理、激励、监督、考核、奖惩等规章制度，安全保障及质量保障体系和措施，体系和措施。（2分）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规章制度健全规范，体系和措施可行性、可靠性强的，得2分；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规章制度较健全规范，体系和措施可行性、可靠性较强的，得1分；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规章制度较不健全、较不规范，体系和措施可行性、可靠性较差的，得0</w:t>
            </w:r>
            <w:r>
              <w:rPr>
                <w:rFonts w:ascii="仿宋" w:hAnsi="仿宋" w:eastAsia="仿宋" w:cs="仿宋_GB2312"/>
                <w:color w:val="000000"/>
                <w:kern w:val="0"/>
                <w:szCs w:val="21"/>
              </w:rPr>
              <w:t>.5</w:t>
            </w:r>
            <w:r>
              <w:rPr>
                <w:rFonts w:hint="eastAsia" w:ascii="仿宋" w:hAnsi="仿宋" w:eastAsia="仿宋" w:cs="仿宋_GB2312"/>
                <w:color w:val="000000"/>
                <w:kern w:val="0"/>
                <w:szCs w:val="21"/>
              </w:rPr>
              <w:t>分；</w:t>
            </w:r>
          </w:p>
          <w:p>
            <w:pPr>
              <w:suppressAutoHyphens/>
              <w:spacing w:line="276" w:lineRule="auto"/>
              <w:rPr>
                <w:rFonts w:hint="eastAsia" w:ascii="仿宋" w:hAnsi="仿宋" w:eastAsia="仿宋" w:cs="仿宋_GB2312"/>
                <w:color w:val="000000"/>
                <w:kern w:val="0"/>
                <w:szCs w:val="21"/>
              </w:rPr>
            </w:pPr>
            <w:r>
              <w:rPr>
                <w:rFonts w:hint="eastAsia" w:ascii="仿宋" w:hAnsi="仿宋" w:eastAsia="仿宋" w:cs="仿宋_GB2312"/>
                <w:color w:val="000000"/>
                <w:kern w:val="0"/>
                <w:szCs w:val="21"/>
              </w:rPr>
              <w:t>未提供：不得分。</w:t>
            </w:r>
          </w:p>
          <w:p>
            <w:pPr>
              <w:suppressAutoHyphens/>
              <w:spacing w:line="276" w:lineRule="auto"/>
              <w:rPr>
                <w:rFonts w:ascii="仿宋" w:hAnsi="仿宋" w:eastAsia="仿宋" w:cs="仿宋_GB2312"/>
                <w:color w:val="000000"/>
                <w:kern w:val="0"/>
                <w:szCs w:val="21"/>
              </w:rPr>
            </w:pPr>
            <w:r>
              <w:rPr>
                <w:rFonts w:ascii="仿宋" w:hAnsi="仿宋" w:eastAsia="仿宋" w:cs="仿宋_GB2312"/>
                <w:color w:val="000000"/>
                <w:kern w:val="0"/>
                <w:szCs w:val="21"/>
              </w:rPr>
              <w:t>3</w:t>
            </w:r>
            <w:r>
              <w:rPr>
                <w:rFonts w:hint="eastAsia" w:ascii="仿宋" w:hAnsi="仿宋" w:eastAsia="仿宋" w:cs="仿宋_GB2312"/>
                <w:color w:val="000000"/>
                <w:kern w:val="0"/>
                <w:szCs w:val="21"/>
              </w:rPr>
              <w:t>、人员培训措施。（2分）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内容详细，方式多样的，得2分；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内容较详细，方式较多样的，得1分；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内容较不详细，方式单一的，得0</w:t>
            </w:r>
            <w:r>
              <w:rPr>
                <w:rFonts w:ascii="仿宋" w:hAnsi="仿宋" w:eastAsia="仿宋" w:cs="仿宋_GB2312"/>
                <w:color w:val="000000"/>
                <w:kern w:val="0"/>
                <w:szCs w:val="21"/>
              </w:rPr>
              <w:t>.5</w:t>
            </w:r>
            <w:r>
              <w:rPr>
                <w:rFonts w:hint="eastAsia" w:ascii="仿宋" w:hAnsi="仿宋" w:eastAsia="仿宋" w:cs="仿宋_GB2312"/>
                <w:color w:val="000000"/>
                <w:kern w:val="0"/>
                <w:szCs w:val="21"/>
              </w:rPr>
              <w:t>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未提供：不得分。</w:t>
            </w:r>
          </w:p>
          <w:p>
            <w:pPr>
              <w:suppressAutoHyphens/>
              <w:spacing w:line="276" w:lineRule="auto"/>
              <w:rPr>
                <w:rFonts w:hint="eastAsia" w:ascii="仿宋" w:hAnsi="仿宋" w:eastAsia="仿宋" w:cs="仿宋_GB2312"/>
                <w:color w:val="000000"/>
                <w:kern w:val="0"/>
                <w:szCs w:val="21"/>
              </w:rPr>
            </w:pPr>
            <w:r>
              <w:rPr>
                <w:rFonts w:ascii="仿宋" w:hAnsi="仿宋" w:eastAsia="仿宋" w:cs="仿宋_GB2312"/>
                <w:color w:val="000000"/>
                <w:kern w:val="0"/>
                <w:szCs w:val="21"/>
              </w:rPr>
              <w:t>4</w:t>
            </w:r>
            <w:r>
              <w:rPr>
                <w:rFonts w:hint="eastAsia" w:ascii="仿宋" w:hAnsi="仿宋" w:eastAsia="仿宋" w:cs="仿宋_GB2312"/>
                <w:color w:val="000000"/>
                <w:kern w:val="0"/>
                <w:szCs w:val="21"/>
              </w:rPr>
              <w:t>、人员稳定性保障措施和方案。（2分）</w:t>
            </w:r>
          </w:p>
          <w:p>
            <w:pPr>
              <w:suppressAutoHyphens/>
              <w:spacing w:line="276" w:lineRule="auto"/>
              <w:rPr>
                <w:rFonts w:hint="eastAsia" w:ascii="仿宋" w:hAnsi="仿宋" w:eastAsia="仿宋" w:cs="仿宋_GB2312"/>
                <w:color w:val="000000"/>
                <w:kern w:val="0"/>
                <w:szCs w:val="21"/>
              </w:rPr>
            </w:pPr>
            <w:r>
              <w:rPr>
                <w:rFonts w:hint="eastAsia" w:ascii="仿宋" w:hAnsi="仿宋" w:eastAsia="仿宋" w:cs="仿宋_GB2312"/>
                <w:color w:val="000000"/>
                <w:kern w:val="0"/>
                <w:szCs w:val="21"/>
              </w:rPr>
              <w:t>人员稳定性保障措施和方案合理、完善，可行性强的，得2分；</w:t>
            </w:r>
          </w:p>
          <w:p>
            <w:pPr>
              <w:suppressAutoHyphens/>
              <w:spacing w:line="276" w:lineRule="auto"/>
              <w:rPr>
                <w:rFonts w:hint="eastAsia" w:ascii="仿宋" w:hAnsi="仿宋" w:eastAsia="仿宋" w:cs="仿宋_GB2312"/>
                <w:color w:val="000000"/>
                <w:kern w:val="0"/>
                <w:szCs w:val="21"/>
              </w:rPr>
            </w:pPr>
            <w:r>
              <w:rPr>
                <w:rFonts w:hint="eastAsia" w:ascii="仿宋" w:hAnsi="仿宋" w:eastAsia="仿宋" w:cs="仿宋_GB2312"/>
                <w:color w:val="000000"/>
                <w:kern w:val="0"/>
                <w:szCs w:val="21"/>
              </w:rPr>
              <w:t>人员稳定性保障措施和方案比较合理、比较完善，可行性较强的，得1分；</w:t>
            </w:r>
          </w:p>
          <w:p>
            <w:pPr>
              <w:suppressAutoHyphens/>
              <w:spacing w:line="276" w:lineRule="auto"/>
              <w:rPr>
                <w:rFonts w:hint="eastAsia" w:ascii="仿宋" w:hAnsi="仿宋" w:eastAsia="仿宋" w:cs="仿宋_GB2312"/>
                <w:color w:val="000000"/>
                <w:kern w:val="0"/>
                <w:szCs w:val="21"/>
              </w:rPr>
            </w:pPr>
            <w:r>
              <w:rPr>
                <w:rFonts w:hint="eastAsia" w:ascii="仿宋" w:hAnsi="仿宋" w:eastAsia="仿宋" w:cs="仿宋_GB2312"/>
                <w:color w:val="000000"/>
                <w:kern w:val="0"/>
                <w:szCs w:val="21"/>
              </w:rPr>
              <w:t>人员稳定性保障措施和方案较不合理、较不完善，可行性较弱的，得0.5分；</w:t>
            </w:r>
          </w:p>
          <w:p>
            <w:pPr>
              <w:suppressAutoHyphens/>
              <w:spacing w:line="276" w:lineRule="auto"/>
              <w:rPr>
                <w:rFonts w:ascii="Calibri" w:hAnsi="Calibri"/>
                <w:color w:val="000000"/>
              </w:rPr>
            </w:pPr>
            <w:r>
              <w:rPr>
                <w:rFonts w:hint="eastAsia" w:ascii="仿宋" w:hAnsi="仿宋" w:eastAsia="仿宋" w:cs="仿宋_GB2312"/>
                <w:color w:val="000000"/>
                <w:kern w:val="0"/>
                <w:szCs w:val="21"/>
              </w:rPr>
              <w:t>未提供：不得分。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24" w:hRule="atLeast"/>
          <w:jc w:val="center"/>
        </w:trPr>
        <w:tc>
          <w:tcPr>
            <w:tcW w:w="489" w:type="dxa"/>
            <w:tcBorders>
              <w:top w:val="single" w:color="auto" w:sz="4" w:space="0"/>
              <w:left w:val="single" w:color="auto" w:sz="12" w:space="0"/>
              <w:bottom w:val="single" w:color="auto" w:sz="4" w:space="0"/>
              <w:right w:val="single" w:color="auto" w:sz="4" w:space="0"/>
            </w:tcBorders>
            <w:noWrap/>
            <w:vAlign w:val="center"/>
          </w:tcPr>
          <w:p>
            <w:pPr>
              <w:suppressAutoHyphens/>
              <w:spacing w:line="360" w:lineRule="auto"/>
              <w:jc w:val="center"/>
              <w:rPr>
                <w:rFonts w:hint="eastAsia" w:ascii="仿宋" w:hAnsi="仿宋" w:eastAsia="仿宋" w:cs="仿宋_GB2312"/>
                <w:color w:val="000000"/>
                <w:kern w:val="0"/>
                <w:szCs w:val="21"/>
              </w:rPr>
            </w:pPr>
            <w:r>
              <w:rPr>
                <w:rFonts w:hint="eastAsia" w:ascii="仿宋" w:hAnsi="仿宋" w:eastAsia="仿宋" w:cs="仿宋_GB2312"/>
                <w:color w:val="000000"/>
                <w:kern w:val="0"/>
                <w:szCs w:val="21"/>
              </w:rPr>
              <w:t>6</w:t>
            </w:r>
          </w:p>
        </w:tc>
        <w:tc>
          <w:tcPr>
            <w:tcW w:w="1018" w:type="dxa"/>
            <w:tcBorders>
              <w:top w:val="single" w:color="auto" w:sz="4" w:space="0"/>
              <w:left w:val="single" w:color="auto" w:sz="4" w:space="0"/>
              <w:bottom w:val="single" w:color="auto" w:sz="4" w:space="0"/>
              <w:right w:val="single" w:color="auto" w:sz="4" w:space="0"/>
            </w:tcBorders>
            <w:noWrap/>
            <w:vAlign w:val="center"/>
          </w:tcPr>
          <w:p>
            <w:pPr>
              <w:suppressAutoHyphens/>
              <w:spacing w:line="360" w:lineRule="auto"/>
              <w:rPr>
                <w:rFonts w:ascii="仿宋" w:hAnsi="仿宋" w:eastAsia="仿宋" w:cs="仿宋_GB2312"/>
                <w:color w:val="000000"/>
                <w:kern w:val="0"/>
                <w:szCs w:val="21"/>
              </w:rPr>
            </w:pPr>
            <w:r>
              <w:rPr>
                <w:rFonts w:hint="eastAsia" w:ascii="仿宋" w:hAnsi="仿宋" w:eastAsia="仿宋" w:cs="仿宋_GB2312"/>
                <w:color w:val="000000"/>
                <w:kern w:val="0"/>
                <w:szCs w:val="21"/>
              </w:rPr>
              <w:t>应急措施</w:t>
            </w:r>
          </w:p>
        </w:tc>
        <w:tc>
          <w:tcPr>
            <w:tcW w:w="854" w:type="dxa"/>
            <w:tcBorders>
              <w:top w:val="single" w:color="auto" w:sz="4" w:space="0"/>
              <w:left w:val="single" w:color="auto" w:sz="4" w:space="0"/>
              <w:bottom w:val="single" w:color="auto" w:sz="4" w:space="0"/>
              <w:right w:val="single" w:color="auto" w:sz="4" w:space="0"/>
            </w:tcBorders>
            <w:noWrap/>
            <w:vAlign w:val="center"/>
          </w:tcPr>
          <w:p>
            <w:pPr>
              <w:suppressAutoHyphens/>
              <w:spacing w:line="360" w:lineRule="auto"/>
              <w:jc w:val="center"/>
              <w:rPr>
                <w:rFonts w:ascii="仿宋" w:hAnsi="仿宋" w:eastAsia="仿宋" w:cs="仿宋_GB2312"/>
                <w:color w:val="000000"/>
                <w:kern w:val="0"/>
                <w:szCs w:val="21"/>
              </w:rPr>
            </w:pPr>
            <w:r>
              <w:rPr>
                <w:rFonts w:hint="eastAsia" w:ascii="仿宋" w:hAnsi="仿宋" w:eastAsia="仿宋" w:cs="仿宋_GB2312"/>
                <w:color w:val="000000"/>
                <w:kern w:val="0"/>
                <w:szCs w:val="21"/>
              </w:rPr>
              <w:t>6</w:t>
            </w:r>
          </w:p>
        </w:tc>
        <w:tc>
          <w:tcPr>
            <w:tcW w:w="6541" w:type="dxa"/>
            <w:tcBorders>
              <w:top w:val="single" w:color="auto" w:sz="4" w:space="0"/>
              <w:left w:val="single" w:color="auto" w:sz="4" w:space="0"/>
              <w:bottom w:val="single" w:color="auto" w:sz="4" w:space="0"/>
              <w:right w:val="single" w:color="auto" w:sz="12" w:space="0"/>
            </w:tcBorders>
            <w:noWrap/>
            <w:vAlign w:val="center"/>
          </w:tcPr>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1、对物业突发事件（包括发生台风、暴雨等灾害性天气及其他突发事件）时的应急预案及相应的措施。（3分）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应急预案及相应的措施合理、完善，可行性强的，得3分；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应急预案及相应的措施比较合理、比较完善，可行性较强的，得2分；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应急预案及相应的措施较不合理、较不完善，可行性较弱的，得1分；</w:t>
            </w:r>
          </w:p>
          <w:p>
            <w:pPr>
              <w:suppressAutoHyphens/>
              <w:spacing w:line="276" w:lineRule="auto"/>
              <w:rPr>
                <w:rFonts w:hint="eastAsia" w:ascii="仿宋" w:hAnsi="仿宋" w:eastAsia="仿宋" w:cs="仿宋_GB2312"/>
                <w:color w:val="000000"/>
                <w:kern w:val="0"/>
                <w:szCs w:val="21"/>
              </w:rPr>
            </w:pPr>
            <w:r>
              <w:rPr>
                <w:rFonts w:hint="eastAsia" w:ascii="仿宋" w:hAnsi="仿宋" w:eastAsia="仿宋" w:cs="仿宋_GB2312"/>
                <w:color w:val="000000"/>
                <w:kern w:val="0"/>
                <w:szCs w:val="21"/>
              </w:rPr>
              <w:t>未提供：不得分。</w:t>
            </w:r>
          </w:p>
          <w:p>
            <w:pPr>
              <w:suppressAutoHyphens/>
              <w:spacing w:line="276" w:lineRule="auto"/>
              <w:rPr>
                <w:rFonts w:ascii="仿宋" w:hAnsi="仿宋" w:eastAsia="仿宋" w:cs="仿宋_GB2312"/>
                <w:color w:val="000000"/>
                <w:kern w:val="0"/>
                <w:szCs w:val="21"/>
              </w:rPr>
            </w:pPr>
            <w:r>
              <w:rPr>
                <w:rFonts w:ascii="仿宋" w:hAnsi="仿宋" w:eastAsia="仿宋" w:cs="仿宋_GB2312"/>
                <w:color w:val="000000"/>
                <w:kern w:val="0"/>
                <w:szCs w:val="21"/>
              </w:rPr>
              <w:t>2</w:t>
            </w:r>
            <w:r>
              <w:rPr>
                <w:rFonts w:hint="eastAsia" w:ascii="仿宋" w:hAnsi="仿宋" w:eastAsia="仿宋" w:cs="仿宋_GB2312"/>
                <w:color w:val="000000"/>
                <w:kern w:val="0"/>
                <w:szCs w:val="21"/>
              </w:rPr>
              <w:t>、对物业管理区域内的防盗、防火的安全防范巡查、应急供电系统、给排水设备、电气照明装置等设备应急管理服务措施。（3分）</w:t>
            </w:r>
          </w:p>
          <w:p>
            <w:pPr>
              <w:suppressAutoHyphens/>
              <w:spacing w:line="276" w:lineRule="auto"/>
              <w:rPr>
                <w:rFonts w:hint="eastAsia" w:ascii="仿宋" w:hAnsi="仿宋" w:eastAsia="仿宋" w:cs="仿宋_GB2312"/>
                <w:color w:val="000000"/>
                <w:kern w:val="0"/>
                <w:szCs w:val="21"/>
              </w:rPr>
            </w:pPr>
            <w:r>
              <w:rPr>
                <w:rFonts w:hint="eastAsia" w:ascii="仿宋" w:hAnsi="仿宋" w:eastAsia="仿宋" w:cs="仿宋_GB2312"/>
                <w:color w:val="000000"/>
                <w:kern w:val="0"/>
                <w:szCs w:val="21"/>
              </w:rPr>
              <w:t>应急管理服务措施合理、完善，可行性强的，得3分；</w:t>
            </w:r>
          </w:p>
          <w:p>
            <w:pPr>
              <w:suppressAutoHyphens/>
              <w:spacing w:line="276" w:lineRule="auto"/>
              <w:rPr>
                <w:rFonts w:hint="eastAsia" w:ascii="仿宋" w:hAnsi="仿宋" w:eastAsia="仿宋" w:cs="仿宋_GB2312"/>
                <w:color w:val="000000"/>
                <w:kern w:val="0"/>
                <w:szCs w:val="21"/>
              </w:rPr>
            </w:pPr>
            <w:r>
              <w:rPr>
                <w:rFonts w:hint="eastAsia" w:ascii="仿宋" w:hAnsi="仿宋" w:eastAsia="仿宋" w:cs="仿宋_GB2312"/>
                <w:color w:val="000000"/>
                <w:kern w:val="0"/>
                <w:szCs w:val="21"/>
              </w:rPr>
              <w:t>应急管理服务措施比较合理、比较完善，可行性较强的，得2分；</w:t>
            </w:r>
          </w:p>
          <w:p>
            <w:pPr>
              <w:suppressAutoHyphens/>
              <w:spacing w:line="276" w:lineRule="auto"/>
              <w:rPr>
                <w:rFonts w:hint="eastAsia" w:ascii="仿宋" w:hAnsi="仿宋" w:eastAsia="仿宋" w:cs="仿宋_GB2312"/>
                <w:color w:val="000000"/>
                <w:kern w:val="0"/>
                <w:szCs w:val="21"/>
              </w:rPr>
            </w:pPr>
            <w:r>
              <w:rPr>
                <w:rFonts w:hint="eastAsia" w:ascii="仿宋" w:hAnsi="仿宋" w:eastAsia="仿宋" w:cs="仿宋_GB2312"/>
                <w:color w:val="000000"/>
                <w:kern w:val="0"/>
                <w:szCs w:val="21"/>
              </w:rPr>
              <w:t>应急管理服务措施较不合理、较不完善，可行性较弱的，得1分；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未提供：不得分。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50" w:hRule="atLeast"/>
          <w:jc w:val="center"/>
        </w:trPr>
        <w:tc>
          <w:tcPr>
            <w:tcW w:w="489" w:type="dxa"/>
            <w:tcBorders>
              <w:top w:val="single" w:color="auto" w:sz="4" w:space="0"/>
              <w:left w:val="single" w:color="auto" w:sz="12" w:space="0"/>
              <w:bottom w:val="single" w:color="auto" w:sz="4" w:space="0"/>
              <w:right w:val="single" w:color="auto" w:sz="4" w:space="0"/>
            </w:tcBorders>
            <w:noWrap/>
            <w:vAlign w:val="center"/>
          </w:tcPr>
          <w:p>
            <w:pPr>
              <w:suppressAutoHyphens/>
              <w:spacing w:line="360" w:lineRule="auto"/>
              <w:jc w:val="center"/>
              <w:rPr>
                <w:rFonts w:hint="eastAsia" w:ascii="仿宋" w:hAnsi="仿宋" w:eastAsia="仿宋" w:cs="仿宋_GB2312"/>
                <w:color w:val="000000"/>
                <w:kern w:val="0"/>
                <w:szCs w:val="21"/>
                <w:lang w:eastAsia="zh-CN"/>
              </w:rPr>
            </w:pPr>
            <w:r>
              <w:rPr>
                <w:rFonts w:hint="eastAsia" w:ascii="仿宋" w:hAnsi="仿宋" w:eastAsia="仿宋" w:cs="仿宋_GB2312"/>
                <w:color w:val="000000"/>
                <w:kern w:val="0"/>
                <w:szCs w:val="21"/>
                <w:lang w:val="en-US" w:eastAsia="zh-CN"/>
              </w:rPr>
              <w:t>7</w:t>
            </w:r>
          </w:p>
        </w:tc>
        <w:tc>
          <w:tcPr>
            <w:tcW w:w="1018" w:type="dxa"/>
            <w:tcBorders>
              <w:top w:val="single" w:color="auto" w:sz="4" w:space="0"/>
              <w:left w:val="single" w:color="auto" w:sz="4" w:space="0"/>
              <w:bottom w:val="single" w:color="auto" w:sz="4" w:space="0"/>
              <w:right w:val="single" w:color="auto" w:sz="4" w:space="0"/>
            </w:tcBorders>
            <w:noWrap/>
            <w:vAlign w:val="center"/>
          </w:tcPr>
          <w:p>
            <w:pPr>
              <w:suppressAutoHyphens/>
              <w:spacing w:line="360" w:lineRule="auto"/>
              <w:rPr>
                <w:rFonts w:ascii="仿宋" w:hAnsi="仿宋" w:eastAsia="仿宋" w:cs="仿宋_GB2312"/>
                <w:color w:val="000000"/>
                <w:kern w:val="0"/>
                <w:szCs w:val="21"/>
              </w:rPr>
            </w:pPr>
            <w:r>
              <w:rPr>
                <w:rFonts w:hint="eastAsia" w:ascii="仿宋" w:hAnsi="仿宋" w:eastAsia="仿宋" w:cs="仿宋_GB2312"/>
                <w:color w:val="000000"/>
                <w:kern w:val="0"/>
                <w:szCs w:val="21"/>
              </w:rPr>
              <w:t>其他特色服务</w:t>
            </w:r>
          </w:p>
        </w:tc>
        <w:tc>
          <w:tcPr>
            <w:tcW w:w="854" w:type="dxa"/>
            <w:tcBorders>
              <w:top w:val="single" w:color="auto" w:sz="4" w:space="0"/>
              <w:left w:val="single" w:color="auto" w:sz="4" w:space="0"/>
              <w:bottom w:val="single" w:color="auto" w:sz="4" w:space="0"/>
              <w:right w:val="single" w:color="auto" w:sz="4" w:space="0"/>
            </w:tcBorders>
            <w:noWrap/>
            <w:vAlign w:val="center"/>
          </w:tcPr>
          <w:p>
            <w:pPr>
              <w:suppressAutoHyphens/>
              <w:spacing w:line="360" w:lineRule="auto"/>
              <w:jc w:val="center"/>
              <w:rPr>
                <w:rFonts w:hint="eastAsia" w:ascii="仿宋" w:hAnsi="仿宋" w:eastAsia="仿宋" w:cs="仿宋_GB2312"/>
                <w:color w:val="000000"/>
                <w:kern w:val="0"/>
                <w:szCs w:val="21"/>
              </w:rPr>
            </w:pPr>
            <w:r>
              <w:rPr>
                <w:rFonts w:hint="eastAsia" w:ascii="仿宋" w:hAnsi="仿宋" w:eastAsia="仿宋" w:cs="仿宋_GB2312"/>
                <w:color w:val="000000"/>
                <w:kern w:val="0"/>
                <w:szCs w:val="21"/>
              </w:rPr>
              <w:t>3</w:t>
            </w:r>
          </w:p>
        </w:tc>
        <w:tc>
          <w:tcPr>
            <w:tcW w:w="6541" w:type="dxa"/>
            <w:tcBorders>
              <w:top w:val="single" w:color="auto" w:sz="4" w:space="0"/>
              <w:left w:val="single" w:color="auto" w:sz="4" w:space="0"/>
              <w:bottom w:val="single" w:color="auto" w:sz="4" w:space="0"/>
              <w:right w:val="single" w:color="auto" w:sz="12" w:space="0"/>
            </w:tcBorders>
            <w:noWrap/>
            <w:vAlign w:val="center"/>
          </w:tcPr>
          <w:p>
            <w:pPr>
              <w:suppressAutoHyphens/>
              <w:spacing w:line="276" w:lineRule="auto"/>
              <w:rPr>
                <w:rFonts w:hint="eastAsia" w:ascii="仿宋" w:hAnsi="仿宋" w:eastAsia="仿宋" w:cs="仿宋_GB2312"/>
                <w:color w:val="000000"/>
                <w:kern w:val="0"/>
                <w:szCs w:val="21"/>
              </w:rPr>
            </w:pPr>
            <w:r>
              <w:rPr>
                <w:rFonts w:hint="eastAsia" w:ascii="仿宋" w:hAnsi="仿宋" w:eastAsia="仿宋" w:cs="仿宋_GB2312"/>
                <w:color w:val="000000"/>
                <w:kern w:val="0"/>
                <w:szCs w:val="21"/>
              </w:rPr>
              <w:t>投标人根据本项目情况提供的合理化建议、其他特色服务方案及实质性优惠承诺等。（3分）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合理化建议、其他特色服务方案及实质性优惠承诺针对性强：3分；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合理化建议、其他特色服务方案及实质性优惠承诺针对性较强：2分；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合理化建议、其他特色服务方案及实质性优惠承诺针对性较差：1分；</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未提供：不得分。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11" w:hRule="atLeast"/>
          <w:jc w:val="center"/>
        </w:trPr>
        <w:tc>
          <w:tcPr>
            <w:tcW w:w="489" w:type="dxa"/>
            <w:tcBorders>
              <w:top w:val="single" w:color="auto" w:sz="4" w:space="0"/>
              <w:left w:val="single" w:color="auto" w:sz="12" w:space="0"/>
              <w:bottom w:val="single" w:color="auto" w:sz="4" w:space="0"/>
              <w:right w:val="single" w:color="auto" w:sz="4" w:space="0"/>
            </w:tcBorders>
            <w:noWrap/>
            <w:vAlign w:val="center"/>
          </w:tcPr>
          <w:p>
            <w:pPr>
              <w:suppressAutoHyphens/>
              <w:spacing w:line="360" w:lineRule="auto"/>
              <w:jc w:val="center"/>
              <w:rPr>
                <w:rFonts w:hint="eastAsia" w:ascii="仿宋" w:hAnsi="仿宋" w:eastAsia="仿宋" w:cs="仿宋_GB2312"/>
                <w:color w:val="000000"/>
                <w:kern w:val="0"/>
                <w:szCs w:val="21"/>
                <w:lang w:eastAsia="zh-CN"/>
              </w:rPr>
            </w:pPr>
            <w:r>
              <w:rPr>
                <w:rFonts w:hint="eastAsia" w:ascii="仿宋" w:hAnsi="仿宋" w:eastAsia="仿宋" w:cs="仿宋_GB2312"/>
                <w:color w:val="000000"/>
                <w:kern w:val="0"/>
                <w:szCs w:val="21"/>
                <w:lang w:val="en-US" w:eastAsia="zh-CN"/>
              </w:rPr>
              <w:t>8</w:t>
            </w:r>
          </w:p>
        </w:tc>
        <w:tc>
          <w:tcPr>
            <w:tcW w:w="1018" w:type="dxa"/>
            <w:tcBorders>
              <w:top w:val="single" w:color="auto" w:sz="4" w:space="0"/>
              <w:left w:val="single" w:color="auto" w:sz="4" w:space="0"/>
              <w:bottom w:val="single" w:color="auto" w:sz="4" w:space="0"/>
              <w:right w:val="single" w:color="auto" w:sz="4" w:space="0"/>
            </w:tcBorders>
            <w:noWrap/>
            <w:vAlign w:val="center"/>
          </w:tcPr>
          <w:p>
            <w:pPr>
              <w:suppressAutoHyphens/>
              <w:spacing w:line="360" w:lineRule="auto"/>
              <w:rPr>
                <w:rFonts w:ascii="仿宋" w:hAnsi="仿宋" w:eastAsia="仿宋" w:cs="仿宋_GB2312"/>
                <w:color w:val="000000"/>
                <w:kern w:val="0"/>
                <w:szCs w:val="21"/>
              </w:rPr>
            </w:pPr>
            <w:r>
              <w:rPr>
                <w:rFonts w:hint="eastAsia" w:ascii="仿宋" w:hAnsi="仿宋" w:eastAsia="仿宋" w:cs="仿宋_GB2312"/>
                <w:color w:val="000000"/>
                <w:kern w:val="0"/>
                <w:szCs w:val="21"/>
              </w:rPr>
              <w:t>体系认证</w:t>
            </w:r>
          </w:p>
        </w:tc>
        <w:tc>
          <w:tcPr>
            <w:tcW w:w="854" w:type="dxa"/>
            <w:tcBorders>
              <w:top w:val="single" w:color="auto" w:sz="4" w:space="0"/>
              <w:left w:val="single" w:color="auto" w:sz="4" w:space="0"/>
              <w:bottom w:val="single" w:color="auto" w:sz="4" w:space="0"/>
              <w:right w:val="single" w:color="auto" w:sz="4" w:space="0"/>
            </w:tcBorders>
            <w:noWrap/>
            <w:vAlign w:val="center"/>
          </w:tcPr>
          <w:p>
            <w:pPr>
              <w:suppressAutoHyphens/>
              <w:spacing w:line="360" w:lineRule="auto"/>
              <w:jc w:val="center"/>
              <w:rPr>
                <w:rFonts w:hint="eastAsia" w:ascii="仿宋" w:hAnsi="仿宋" w:eastAsia="仿宋" w:cs="仿宋_GB2312"/>
                <w:color w:val="000000"/>
                <w:kern w:val="0"/>
                <w:szCs w:val="21"/>
              </w:rPr>
            </w:pPr>
            <w:r>
              <w:rPr>
                <w:rFonts w:hint="eastAsia" w:ascii="仿宋" w:hAnsi="仿宋" w:eastAsia="仿宋" w:cs="仿宋_GB2312"/>
                <w:color w:val="000000"/>
                <w:kern w:val="0"/>
                <w:szCs w:val="21"/>
              </w:rPr>
              <w:t>3</w:t>
            </w:r>
          </w:p>
        </w:tc>
        <w:tc>
          <w:tcPr>
            <w:tcW w:w="6541" w:type="dxa"/>
            <w:tcBorders>
              <w:top w:val="single" w:color="auto" w:sz="4" w:space="0"/>
              <w:left w:val="single" w:color="auto" w:sz="4" w:space="0"/>
              <w:bottom w:val="single" w:color="auto" w:sz="4" w:space="0"/>
              <w:right w:val="single" w:color="auto" w:sz="12" w:space="0"/>
            </w:tcBorders>
            <w:noWrap/>
            <w:vAlign w:val="center"/>
          </w:tcPr>
          <w:p>
            <w:pPr>
              <w:suppressAutoHyphens/>
              <w:spacing w:line="276" w:lineRule="auto"/>
              <w:rPr>
                <w:rFonts w:hint="eastAsia" w:ascii="仿宋" w:hAnsi="仿宋" w:eastAsia="仿宋" w:cs="仿宋_GB2312"/>
                <w:color w:val="000000"/>
                <w:kern w:val="0"/>
                <w:szCs w:val="21"/>
              </w:rPr>
            </w:pPr>
            <w:r>
              <w:rPr>
                <w:rFonts w:hint="eastAsia" w:ascii="仿宋" w:hAnsi="仿宋" w:eastAsia="仿宋" w:cs="仿宋_GB2312"/>
                <w:color w:val="000000"/>
                <w:kern w:val="0"/>
                <w:szCs w:val="21"/>
              </w:rPr>
              <w:t>具有以下证书的，每个得1分，最多得3分：</w:t>
            </w:r>
          </w:p>
          <w:p>
            <w:pPr>
              <w:suppressAutoHyphens/>
              <w:spacing w:line="276" w:lineRule="auto"/>
              <w:rPr>
                <w:rFonts w:hint="eastAsia" w:ascii="仿宋" w:hAnsi="仿宋" w:eastAsia="仿宋" w:cs="仿宋_GB2312"/>
                <w:color w:val="000000"/>
                <w:kern w:val="0"/>
                <w:szCs w:val="21"/>
              </w:rPr>
            </w:pPr>
            <w:r>
              <w:rPr>
                <w:rFonts w:hint="eastAsia" w:ascii="仿宋" w:hAnsi="仿宋" w:eastAsia="仿宋" w:cs="仿宋_GB2312"/>
                <w:color w:val="000000"/>
                <w:kern w:val="0"/>
                <w:szCs w:val="21"/>
              </w:rPr>
              <w:t>（1）具有物业服务认证证书；</w:t>
            </w:r>
          </w:p>
          <w:p>
            <w:pPr>
              <w:suppressAutoHyphens/>
              <w:spacing w:line="276" w:lineRule="auto"/>
              <w:rPr>
                <w:rFonts w:hint="eastAsia" w:ascii="仿宋" w:hAnsi="仿宋" w:eastAsia="仿宋" w:cs="仿宋_GB2312"/>
                <w:color w:val="000000"/>
                <w:kern w:val="0"/>
                <w:szCs w:val="21"/>
              </w:rPr>
            </w:pPr>
            <w:r>
              <w:rPr>
                <w:rFonts w:hint="eastAsia" w:ascii="仿宋" w:hAnsi="仿宋" w:eastAsia="仿宋" w:cs="仿宋_GB2312"/>
                <w:color w:val="000000"/>
                <w:kern w:val="0"/>
                <w:szCs w:val="21"/>
              </w:rPr>
              <w:t>（2）具有清洁服务认证证书；</w:t>
            </w:r>
          </w:p>
          <w:p>
            <w:pPr>
              <w:suppressAutoHyphens/>
              <w:spacing w:line="276" w:lineRule="auto"/>
              <w:rPr>
                <w:rFonts w:hint="eastAsia" w:ascii="仿宋" w:hAnsi="仿宋" w:eastAsia="仿宋" w:cs="仿宋_GB2312"/>
                <w:color w:val="000000"/>
                <w:kern w:val="0"/>
                <w:szCs w:val="21"/>
              </w:rPr>
            </w:pPr>
            <w:r>
              <w:rPr>
                <w:rFonts w:hint="eastAsia" w:ascii="仿宋" w:hAnsi="仿宋" w:eastAsia="仿宋" w:cs="仿宋_GB2312"/>
                <w:color w:val="000000"/>
                <w:kern w:val="0"/>
                <w:szCs w:val="21"/>
              </w:rPr>
              <w:t>（3）具有能源管理体系认证证书（ISO50001）。</w:t>
            </w:r>
          </w:p>
          <w:p>
            <w:pPr>
              <w:suppressAutoHyphens/>
              <w:spacing w:line="276" w:lineRule="auto"/>
              <w:rPr>
                <w:rFonts w:ascii="仿宋" w:hAnsi="仿宋" w:eastAsia="仿宋" w:cs="仿宋_GB2312"/>
                <w:color w:val="000000"/>
                <w:kern w:val="0"/>
                <w:szCs w:val="21"/>
              </w:rPr>
            </w:pPr>
            <w:r>
              <w:rPr>
                <w:rFonts w:hint="eastAsia" w:ascii="仿宋" w:hAnsi="仿宋" w:eastAsia="仿宋" w:cs="仿宋_GB2312"/>
                <w:color w:val="000000"/>
                <w:kern w:val="0"/>
                <w:szCs w:val="21"/>
              </w:rPr>
              <w:t>（提供证书复印件，且相关证书需可在“全国认证认可信息公共服务平台 http://cx.cnca.cn/”查</w:t>
            </w:r>
            <w:r>
              <w:rPr>
                <w:rFonts w:hint="eastAsia" w:ascii="仿宋" w:hAnsi="仿宋" w:eastAsia="仿宋" w:cs="仿宋_GB2312"/>
                <w:color w:val="auto"/>
                <w:kern w:val="0"/>
                <w:szCs w:val="21"/>
              </w:rPr>
              <w:t>询</w:t>
            </w:r>
            <w:r>
              <w:rPr>
                <w:rFonts w:hint="eastAsia" w:ascii="仿宋" w:hAnsi="仿宋" w:eastAsia="仿宋" w:cs="仿宋_GB2312"/>
                <w:color w:val="auto"/>
                <w:kern w:val="0"/>
                <w:szCs w:val="21"/>
                <w:lang w:eastAsia="zh-CN"/>
              </w:rPr>
              <w:t>有效</w:t>
            </w:r>
            <w:r>
              <w:rPr>
                <w:rFonts w:hint="eastAsia" w:ascii="仿宋" w:hAnsi="仿宋" w:eastAsia="仿宋" w:cs="仿宋_GB2312"/>
                <w:color w:val="auto"/>
                <w:kern w:val="0"/>
                <w:szCs w:val="21"/>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11" w:hRule="atLeast"/>
          <w:jc w:val="center"/>
        </w:trPr>
        <w:tc>
          <w:tcPr>
            <w:tcW w:w="489" w:type="dxa"/>
            <w:tcBorders>
              <w:top w:val="single" w:color="auto" w:sz="4" w:space="0"/>
              <w:left w:val="single" w:color="auto" w:sz="12" w:space="0"/>
              <w:bottom w:val="single" w:color="auto" w:sz="4" w:space="0"/>
              <w:right w:val="single" w:color="auto" w:sz="4" w:space="0"/>
            </w:tcBorders>
            <w:noWrap/>
            <w:vAlign w:val="center"/>
          </w:tcPr>
          <w:p>
            <w:pPr>
              <w:suppressAutoHyphens/>
              <w:spacing w:line="360" w:lineRule="auto"/>
              <w:jc w:val="center"/>
              <w:rPr>
                <w:rFonts w:hint="default" w:ascii="仿宋" w:hAnsi="仿宋" w:eastAsia="仿宋" w:cs="仿宋_GB2312"/>
                <w:color w:val="000000"/>
                <w:kern w:val="0"/>
                <w:szCs w:val="21"/>
                <w:lang w:val="en-US" w:eastAsia="zh-CN"/>
              </w:rPr>
            </w:pPr>
            <w:r>
              <w:rPr>
                <w:rFonts w:hint="eastAsia" w:ascii="仿宋" w:hAnsi="仿宋" w:eastAsia="仿宋" w:cs="仿宋_GB2312"/>
                <w:color w:val="000000"/>
                <w:kern w:val="0"/>
                <w:szCs w:val="21"/>
                <w:lang w:val="en-US" w:eastAsia="zh-CN"/>
              </w:rPr>
              <w:t>9</w:t>
            </w:r>
          </w:p>
        </w:tc>
        <w:tc>
          <w:tcPr>
            <w:tcW w:w="1018" w:type="dxa"/>
            <w:tcBorders>
              <w:top w:val="single" w:color="auto" w:sz="4" w:space="0"/>
              <w:left w:val="single" w:color="auto" w:sz="4" w:space="0"/>
              <w:bottom w:val="single" w:color="auto" w:sz="4" w:space="0"/>
              <w:right w:val="single" w:color="auto" w:sz="4" w:space="0"/>
            </w:tcBorders>
            <w:noWrap/>
            <w:vAlign w:val="center"/>
          </w:tcPr>
          <w:p>
            <w:pPr>
              <w:suppressAutoHyphens/>
              <w:spacing w:line="360" w:lineRule="auto"/>
              <w:rPr>
                <w:rFonts w:ascii="仿宋" w:hAnsi="仿宋" w:eastAsia="仿宋" w:cs="仿宋_GB2312"/>
                <w:color w:val="000000"/>
                <w:kern w:val="0"/>
                <w:szCs w:val="21"/>
              </w:rPr>
            </w:pPr>
            <w:r>
              <w:rPr>
                <w:rFonts w:ascii="仿宋" w:hAnsi="仿宋" w:eastAsia="仿宋" w:cs="仿宋_GB2312"/>
                <w:color w:val="000000"/>
                <w:kern w:val="0"/>
                <w:szCs w:val="21"/>
              </w:rPr>
              <w:t>业绩及经验</w:t>
            </w:r>
          </w:p>
        </w:tc>
        <w:tc>
          <w:tcPr>
            <w:tcW w:w="854" w:type="dxa"/>
            <w:tcBorders>
              <w:top w:val="single" w:color="auto" w:sz="4" w:space="0"/>
              <w:left w:val="single" w:color="auto" w:sz="4" w:space="0"/>
              <w:bottom w:val="single" w:color="auto" w:sz="4" w:space="0"/>
              <w:right w:val="single" w:color="auto" w:sz="4" w:space="0"/>
            </w:tcBorders>
            <w:noWrap/>
            <w:vAlign w:val="center"/>
          </w:tcPr>
          <w:p>
            <w:pPr>
              <w:suppressAutoHyphens/>
              <w:spacing w:line="360" w:lineRule="auto"/>
              <w:jc w:val="center"/>
              <w:rPr>
                <w:rFonts w:ascii="仿宋" w:hAnsi="仿宋" w:eastAsia="仿宋" w:cs="仿宋_GB2312"/>
                <w:color w:val="000000"/>
                <w:kern w:val="0"/>
                <w:szCs w:val="21"/>
              </w:rPr>
            </w:pPr>
            <w:r>
              <w:rPr>
                <w:rFonts w:hint="eastAsia" w:ascii="仿宋" w:hAnsi="仿宋" w:eastAsia="仿宋" w:cs="仿宋_GB2312"/>
                <w:color w:val="000000"/>
                <w:kern w:val="0"/>
                <w:szCs w:val="21"/>
              </w:rPr>
              <w:t>2</w:t>
            </w:r>
          </w:p>
        </w:tc>
        <w:tc>
          <w:tcPr>
            <w:tcW w:w="6541" w:type="dxa"/>
            <w:tcBorders>
              <w:top w:val="single" w:color="auto" w:sz="4" w:space="0"/>
              <w:left w:val="single" w:color="auto" w:sz="4" w:space="0"/>
              <w:bottom w:val="single" w:color="auto" w:sz="4" w:space="0"/>
              <w:right w:val="single" w:color="auto" w:sz="12" w:space="0"/>
            </w:tcBorders>
            <w:noWrap/>
            <w:vAlign w:val="center"/>
          </w:tcPr>
          <w:p>
            <w:pPr>
              <w:suppressAutoHyphens/>
              <w:spacing w:line="276" w:lineRule="auto"/>
              <w:rPr>
                <w:rFonts w:ascii="仿宋" w:hAnsi="仿宋" w:eastAsia="仿宋" w:cs="仿宋_GB2312"/>
                <w:color w:val="000000"/>
                <w:kern w:val="0"/>
                <w:szCs w:val="21"/>
              </w:rPr>
            </w:pPr>
            <w:bookmarkStart w:id="33" w:name="_GoBack"/>
            <w:r>
              <w:rPr>
                <w:rFonts w:hint="eastAsia" w:ascii="仿宋" w:hAnsi="仿宋" w:eastAsia="仿宋" w:cs="仿宋_GB2312"/>
                <w:color w:val="000000"/>
                <w:kern w:val="0"/>
                <w:szCs w:val="21"/>
              </w:rPr>
              <w:t>2021</w:t>
            </w:r>
            <w:r>
              <w:rPr>
                <w:rFonts w:ascii="仿宋" w:hAnsi="仿宋" w:eastAsia="仿宋" w:cs="仿宋_GB2312"/>
                <w:color w:val="000000"/>
                <w:kern w:val="0"/>
                <w:szCs w:val="21"/>
              </w:rPr>
              <w:t>年以来，单个</w:t>
            </w:r>
            <w:r>
              <w:rPr>
                <w:rFonts w:hint="eastAsia" w:ascii="仿宋" w:hAnsi="仿宋" w:eastAsia="仿宋" w:cs="仿宋_GB2312"/>
                <w:color w:val="000000"/>
                <w:kern w:val="0"/>
                <w:szCs w:val="21"/>
              </w:rPr>
              <w:t>同类物业管理服务</w:t>
            </w:r>
            <w:r>
              <w:rPr>
                <w:rFonts w:ascii="仿宋" w:hAnsi="仿宋" w:eastAsia="仿宋" w:cs="仿宋_GB2312"/>
                <w:color w:val="000000"/>
                <w:kern w:val="0"/>
                <w:szCs w:val="21"/>
              </w:rPr>
              <w:t>项目合同得1分，最多得</w:t>
            </w:r>
            <w:r>
              <w:rPr>
                <w:rFonts w:hint="eastAsia" w:ascii="仿宋" w:hAnsi="仿宋" w:eastAsia="仿宋" w:cs="仿宋_GB2312"/>
                <w:color w:val="000000"/>
                <w:kern w:val="0"/>
                <w:szCs w:val="21"/>
              </w:rPr>
              <w:t>2</w:t>
            </w:r>
            <w:r>
              <w:rPr>
                <w:rFonts w:ascii="仿宋" w:hAnsi="仿宋" w:eastAsia="仿宋" w:cs="仿宋_GB2312"/>
                <w:color w:val="000000"/>
                <w:kern w:val="0"/>
                <w:szCs w:val="21"/>
              </w:rPr>
              <w:t>分。</w:t>
            </w:r>
          </w:p>
          <w:p>
            <w:pPr>
              <w:suppressAutoHyphens/>
              <w:spacing w:line="276" w:lineRule="auto"/>
              <w:rPr>
                <w:rFonts w:hint="eastAsia" w:ascii="仿宋" w:hAnsi="仿宋" w:eastAsia="仿宋" w:cs="仿宋_GB2312"/>
                <w:color w:val="000000"/>
                <w:kern w:val="0"/>
                <w:szCs w:val="21"/>
              </w:rPr>
            </w:pPr>
            <w:r>
              <w:rPr>
                <w:rFonts w:hint="eastAsia" w:ascii="仿宋" w:hAnsi="仿宋" w:eastAsia="仿宋" w:cs="仿宋_GB2312"/>
                <w:color w:val="000000"/>
                <w:kern w:val="0"/>
                <w:szCs w:val="21"/>
              </w:rPr>
              <w:t>提供项目合同及履约完成的证明材料（如发票、验收单等），不提供的不得分。</w:t>
            </w:r>
            <w:bookmarkEnd w:id="33"/>
          </w:p>
        </w:tc>
      </w:tr>
    </w:tbl>
    <w:p>
      <w:pPr>
        <w:spacing w:line="360" w:lineRule="auto"/>
        <w:rPr>
          <w:rFonts w:ascii="仿宋" w:hAnsi="仿宋" w:eastAsia="仿宋" w:cs="仿宋_GB2312"/>
          <w:color w:val="000000"/>
          <w:kern w:val="0"/>
          <w:szCs w:val="21"/>
        </w:rPr>
      </w:pPr>
    </w:p>
    <w:p>
      <w:pPr>
        <w:spacing w:line="360" w:lineRule="auto"/>
        <w:rPr>
          <w:rFonts w:ascii="仿宋" w:hAnsi="仿宋" w:eastAsia="仿宋" w:cs="仿宋_GB2312"/>
          <w:color w:val="000000"/>
          <w:kern w:val="0"/>
          <w:szCs w:val="21"/>
        </w:rPr>
      </w:pPr>
      <w:r>
        <w:rPr>
          <w:rFonts w:ascii="仿宋" w:hAnsi="仿宋" w:eastAsia="仿宋" w:cs="仿宋_GB2312"/>
          <w:color w:val="000000"/>
          <w:kern w:val="0"/>
          <w:szCs w:val="21"/>
        </w:rPr>
        <w:t>注:1、各项得分保留小数点后二位小数，第三位四舍五入。</w:t>
      </w:r>
    </w:p>
    <w:p>
      <w:pPr>
        <w:spacing w:line="440" w:lineRule="exact"/>
        <w:ind w:firstLine="422" w:firstLineChars="200"/>
        <w:rPr>
          <w:rFonts w:ascii="仿宋" w:hAnsi="仿宋" w:eastAsia="仿宋" w:cs="仿宋_GB2312"/>
          <w:color w:val="000000"/>
          <w:kern w:val="0"/>
          <w:sz w:val="36"/>
          <w:szCs w:val="36"/>
        </w:rPr>
      </w:pPr>
      <w:r>
        <w:rPr>
          <w:rFonts w:ascii="仿宋" w:hAnsi="仿宋" w:eastAsia="仿宋" w:cs="仿宋_GB2312"/>
          <w:b/>
          <w:color w:val="000000"/>
          <w:kern w:val="0"/>
          <w:szCs w:val="21"/>
          <w:u w:val="single"/>
        </w:rPr>
        <w:t>2、有关证书均应在有效期内。</w:t>
      </w:r>
    </w:p>
    <w:p/>
    <w:p>
      <w:pPr>
        <w:spacing w:line="360" w:lineRule="auto"/>
        <w:jc w:val="center"/>
        <w:rPr>
          <w:rFonts w:ascii="仿宋_GB2312" w:hAnsi="仿宋_GB2312" w:eastAsia="仿宋_GB2312" w:cs="仿宋_GB2312"/>
          <w:color w:val="000000"/>
          <w:kern w:val="0"/>
          <w:sz w:val="36"/>
          <w:szCs w:val="36"/>
        </w:rPr>
      </w:pPr>
    </w:p>
    <w:p>
      <w:pPr>
        <w:pStyle w:val="3"/>
        <w:ind w:left="0" w:leftChars="0" w:firstLine="0" w:firstLineChars="0"/>
        <w:rPr>
          <w:rFonts w:ascii="仿宋_GB2312" w:hAnsi="仿宋_GB2312" w:eastAsia="仿宋_GB2312" w:cs="仿宋_GB2312"/>
          <w:color w:val="000000"/>
          <w:kern w:val="0"/>
          <w:sz w:val="36"/>
          <w:szCs w:val="36"/>
        </w:rPr>
      </w:pPr>
    </w:p>
    <w:p>
      <w:pPr>
        <w:pStyle w:val="3"/>
        <w:ind w:left="0" w:leftChars="0" w:firstLine="0" w:firstLineChars="0"/>
        <w:rPr>
          <w:rFonts w:ascii="仿宋_GB2312" w:hAnsi="仿宋_GB2312" w:eastAsia="仿宋_GB2312" w:cs="仿宋_GB2312"/>
          <w:color w:val="000000"/>
          <w:kern w:val="0"/>
          <w:sz w:val="36"/>
          <w:szCs w:val="36"/>
        </w:rPr>
      </w:pPr>
    </w:p>
    <w:p>
      <w:pPr>
        <w:spacing w:line="360" w:lineRule="auto"/>
        <w:jc w:val="center"/>
        <w:rPr>
          <w:rFonts w:ascii="仿宋_GB2312" w:hAnsi="仿宋_GB2312" w:eastAsia="仿宋_GB2312" w:cs="仿宋_GB2312"/>
          <w:color w:val="000000"/>
          <w:kern w:val="0"/>
          <w:sz w:val="36"/>
          <w:szCs w:val="36"/>
        </w:rPr>
      </w:pPr>
      <w:r>
        <w:rPr>
          <w:rFonts w:ascii="仿宋_GB2312" w:hAnsi="仿宋_GB2312" w:eastAsia="仿宋_GB2312" w:cs="仿宋_GB2312"/>
          <w:color w:val="000000"/>
          <w:kern w:val="0"/>
          <w:sz w:val="36"/>
          <w:szCs w:val="36"/>
        </w:rPr>
        <w:t>第</w:t>
      </w:r>
      <w:r>
        <w:rPr>
          <w:rFonts w:hint="eastAsia" w:ascii="仿宋_GB2312" w:hAnsi="仿宋_GB2312" w:eastAsia="仿宋_GB2312" w:cs="仿宋_GB2312"/>
          <w:color w:val="000000"/>
          <w:kern w:val="0"/>
          <w:sz w:val="36"/>
          <w:szCs w:val="36"/>
        </w:rPr>
        <w:t>六</w:t>
      </w:r>
      <w:r>
        <w:rPr>
          <w:rFonts w:ascii="仿宋_GB2312" w:hAnsi="仿宋_GB2312" w:eastAsia="仿宋_GB2312" w:cs="仿宋_GB2312"/>
          <w:color w:val="000000"/>
          <w:kern w:val="0"/>
          <w:sz w:val="36"/>
          <w:szCs w:val="36"/>
        </w:rPr>
        <w:t xml:space="preserve">部分   </w:t>
      </w:r>
      <w:r>
        <w:rPr>
          <w:rFonts w:hint="eastAsia" w:ascii="仿宋_GB2312" w:hAnsi="仿宋_GB2312" w:eastAsia="仿宋_GB2312" w:cs="仿宋_GB2312"/>
          <w:color w:val="000000"/>
          <w:kern w:val="0"/>
          <w:sz w:val="36"/>
          <w:szCs w:val="36"/>
        </w:rPr>
        <w:t>拟签订</w:t>
      </w:r>
      <w:r>
        <w:rPr>
          <w:rFonts w:ascii="仿宋_GB2312" w:hAnsi="仿宋_GB2312" w:eastAsia="仿宋_GB2312" w:cs="仿宋_GB2312"/>
          <w:color w:val="000000"/>
          <w:kern w:val="0"/>
          <w:sz w:val="36"/>
          <w:szCs w:val="36"/>
        </w:rPr>
        <w:t>合同样本</w:t>
      </w:r>
    </w:p>
    <w:p>
      <w:pPr>
        <w:pStyle w:val="38"/>
        <w:snapToGrid w:val="0"/>
        <w:spacing w:line="360" w:lineRule="auto"/>
        <w:ind w:firstLine="602"/>
        <w:jc w:val="center"/>
        <w:rPr>
          <w:rFonts w:ascii="仿宋_GB2312" w:hAnsi="仿宋_GB2312" w:eastAsia="仿宋_GB2312" w:cs="仿宋_GB2312"/>
          <w:b/>
          <w:color w:val="000000"/>
          <w:kern w:val="0"/>
          <w:sz w:val="24"/>
          <w:szCs w:val="24"/>
          <w:u w:val="single"/>
        </w:rPr>
      </w:pPr>
      <w:r>
        <w:rPr>
          <w:rFonts w:ascii="仿宋_GB2312" w:hAnsi="仿宋_GB2312" w:eastAsia="仿宋_GB2312" w:cs="仿宋_GB2312"/>
          <w:b/>
          <w:color w:val="000000"/>
          <w:kern w:val="0"/>
          <w:sz w:val="24"/>
          <w:szCs w:val="24"/>
          <w:u w:val="single"/>
        </w:rPr>
        <w:t>（本合同</w:t>
      </w:r>
      <w:r>
        <w:rPr>
          <w:rFonts w:hint="eastAsia" w:ascii="仿宋_GB2312" w:hAnsi="仿宋_GB2312" w:eastAsia="仿宋_GB2312" w:cs="仿宋_GB2312"/>
          <w:b/>
          <w:color w:val="000000"/>
          <w:kern w:val="0"/>
          <w:sz w:val="24"/>
          <w:szCs w:val="24"/>
          <w:u w:val="single"/>
        </w:rPr>
        <w:t>样本</w:t>
      </w:r>
      <w:r>
        <w:rPr>
          <w:rFonts w:ascii="仿宋_GB2312" w:hAnsi="仿宋_GB2312" w:eastAsia="仿宋_GB2312" w:cs="仿宋_GB2312"/>
          <w:b/>
          <w:color w:val="000000"/>
          <w:kern w:val="0"/>
          <w:sz w:val="24"/>
          <w:szCs w:val="24"/>
          <w:u w:val="single"/>
        </w:rPr>
        <w:t>由采购人提供，</w:t>
      </w:r>
      <w:r>
        <w:rPr>
          <w:rFonts w:hint="eastAsia" w:ascii="仿宋_GB2312" w:hAnsi="仿宋_GB2312" w:eastAsia="仿宋_GB2312" w:cs="仿宋_GB2312"/>
          <w:b/>
          <w:color w:val="000000"/>
          <w:kern w:val="0"/>
          <w:sz w:val="24"/>
          <w:szCs w:val="24"/>
          <w:u w:val="single"/>
        </w:rPr>
        <w:t>招标文件已约定的条款以招标文件为准，其他具体条款内容</w:t>
      </w:r>
      <w:r>
        <w:rPr>
          <w:rFonts w:ascii="仿宋_GB2312" w:hAnsi="仿宋_GB2312" w:eastAsia="仿宋_GB2312" w:cs="仿宋_GB2312"/>
          <w:b/>
          <w:color w:val="000000"/>
          <w:kern w:val="0"/>
          <w:sz w:val="24"/>
          <w:szCs w:val="24"/>
          <w:u w:val="single"/>
        </w:rPr>
        <w:t>由甲乙双方协商后</w:t>
      </w:r>
      <w:r>
        <w:rPr>
          <w:rFonts w:hint="eastAsia" w:ascii="仿宋_GB2312" w:hAnsi="仿宋_GB2312" w:eastAsia="仿宋_GB2312" w:cs="仿宋_GB2312"/>
          <w:b/>
          <w:color w:val="000000"/>
          <w:kern w:val="0"/>
          <w:sz w:val="24"/>
          <w:szCs w:val="24"/>
          <w:u w:val="single"/>
        </w:rPr>
        <w:t>根据实际情况</w:t>
      </w:r>
      <w:r>
        <w:rPr>
          <w:rFonts w:ascii="仿宋_GB2312" w:hAnsi="仿宋_GB2312" w:eastAsia="仿宋_GB2312" w:cs="仿宋_GB2312"/>
          <w:b/>
          <w:color w:val="000000"/>
          <w:kern w:val="0"/>
          <w:sz w:val="24"/>
          <w:szCs w:val="24"/>
          <w:u w:val="single"/>
        </w:rPr>
        <w:t xml:space="preserve">确定） </w:t>
      </w:r>
    </w:p>
    <w:p>
      <w:pPr>
        <w:pStyle w:val="38"/>
        <w:snapToGrid w:val="0"/>
        <w:spacing w:line="360" w:lineRule="auto"/>
        <w:ind w:firstLine="602"/>
        <w:jc w:val="center"/>
        <w:rPr>
          <w:rFonts w:ascii="仿宋_GB2312" w:hAnsi="仿宋_GB2312" w:eastAsia="仿宋_GB2312" w:cs="仿宋_GB2312"/>
          <w:color w:val="000000"/>
          <w:kern w:val="0"/>
          <w:szCs w:val="28"/>
        </w:rPr>
      </w:pPr>
      <w:bookmarkStart w:id="26" w:name="_Toc360457889"/>
      <w:bookmarkStart w:id="27" w:name="_Toc437251188"/>
      <w:bookmarkStart w:id="28" w:name="_Toc231780370"/>
      <w:r>
        <w:rPr>
          <w:rFonts w:ascii="仿宋_GB2312" w:hAnsi="仿宋_GB2312" w:eastAsia="仿宋_GB2312" w:cs="仿宋_GB2312"/>
          <w:color w:val="000000"/>
          <w:kern w:val="0"/>
          <w:szCs w:val="28"/>
        </w:rPr>
        <w:t xml:space="preserve">       </w:t>
      </w:r>
    </w:p>
    <w:p>
      <w:pPr>
        <w:pStyle w:val="38"/>
        <w:snapToGrid w:val="0"/>
        <w:spacing w:line="360" w:lineRule="auto"/>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甲  方（</w:t>
      </w:r>
      <w:r>
        <w:rPr>
          <w:rFonts w:hint="eastAsia" w:ascii="仿宋_GB2312" w:hAnsi="仿宋_GB2312" w:eastAsia="仿宋_GB2312" w:cs="仿宋_GB2312"/>
          <w:color w:val="000000"/>
          <w:kern w:val="0"/>
          <w:szCs w:val="28"/>
        </w:rPr>
        <w:t>招标</w:t>
      </w:r>
      <w:r>
        <w:rPr>
          <w:rFonts w:ascii="仿宋_GB2312" w:hAnsi="仿宋_GB2312" w:eastAsia="仿宋_GB2312" w:cs="仿宋_GB2312"/>
          <w:color w:val="000000"/>
          <w:kern w:val="0"/>
          <w:szCs w:val="28"/>
        </w:rPr>
        <w:t xml:space="preserve">方）： </w:t>
      </w:r>
    </w:p>
    <w:p>
      <w:pPr>
        <w:pStyle w:val="38"/>
        <w:snapToGrid w:val="0"/>
        <w:spacing w:line="360" w:lineRule="auto"/>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乙  方（供应商）:</w:t>
      </w:r>
    </w:p>
    <w:p>
      <w:pPr>
        <w:spacing w:line="360" w:lineRule="auto"/>
        <w:ind w:right="-147" w:rightChars="-70"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根据《中华人民共和国政府采购法》《中华人民共和国合同法》等相关法律，甲乙双方根据慈溪市</w:t>
      </w:r>
      <w:r>
        <w:rPr>
          <w:rFonts w:hint="eastAsia" w:ascii="仿宋_GB2312" w:hAnsi="仿宋_GB2312" w:eastAsia="仿宋_GB2312" w:cs="仿宋_GB2312"/>
          <w:color w:val="000000"/>
          <w:kern w:val="0"/>
          <w:sz w:val="28"/>
          <w:szCs w:val="28"/>
        </w:rPr>
        <w:t>政府采购</w:t>
      </w:r>
      <w:r>
        <w:rPr>
          <w:rFonts w:ascii="仿宋_GB2312" w:hAnsi="仿宋_GB2312" w:eastAsia="仿宋_GB2312" w:cs="仿宋_GB2312"/>
          <w:color w:val="000000"/>
          <w:kern w:val="0"/>
          <w:sz w:val="28"/>
          <w:szCs w:val="28"/>
        </w:rPr>
        <w:t>中心关于</w:t>
      </w:r>
      <w:r>
        <w:rPr>
          <w:rFonts w:hint="eastAsia" w:ascii="仿宋_GB2312" w:hAnsi="仿宋_GB2312" w:eastAsia="仿宋_GB2312" w:cs="仿宋_GB2312"/>
          <w:color w:val="000000"/>
          <w:kern w:val="0"/>
          <w:sz w:val="28"/>
          <w:szCs w:val="28"/>
        </w:rPr>
        <w:t>招标编号：</w:t>
      </w:r>
      <w:r>
        <w:rPr>
          <w:rFonts w:hint="eastAsia" w:ascii="仿宋_GB2312" w:hAnsi="仿宋_GB2312" w:eastAsia="仿宋_GB2312" w:cs="仿宋_GB2312"/>
          <w:color w:val="000000"/>
          <w:kern w:val="0"/>
          <w:sz w:val="28"/>
          <w:szCs w:val="28"/>
          <w:lang w:val="en-US" w:eastAsia="zh-CN"/>
        </w:rPr>
        <w:t xml:space="preserve">    </w:t>
      </w:r>
      <w:r>
        <w:rPr>
          <w:rFonts w:ascii="仿宋_GB2312" w:hAnsi="仿宋_GB2312" w:eastAsia="仿宋_GB2312" w:cs="仿宋_GB2312"/>
          <w:color w:val="000000"/>
          <w:kern w:val="0"/>
          <w:sz w:val="28"/>
          <w:szCs w:val="28"/>
        </w:rPr>
        <w:t>项目的公开招标结果，双方充分协商达成合同如下：</w:t>
      </w:r>
    </w:p>
    <w:p>
      <w:pPr>
        <w:pStyle w:val="38"/>
        <w:snapToGrid w:val="0"/>
        <w:spacing w:line="360" w:lineRule="auto"/>
        <w:ind w:firstLine="560" w:firstLineChars="200"/>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第一条：服务内容及合同价格</w:t>
      </w:r>
    </w:p>
    <w:p>
      <w:pPr>
        <w:pStyle w:val="38"/>
        <w:snapToGrid w:val="0"/>
        <w:spacing w:line="360" w:lineRule="auto"/>
        <w:ind w:firstLine="4480" w:firstLineChars="1600"/>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 xml:space="preserve">                            金额单位：元</w:t>
      </w:r>
    </w:p>
    <w:tbl>
      <w:tblPr>
        <w:tblStyle w:val="67"/>
        <w:tblW w:w="936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0"/>
        <w:gridCol w:w="4320"/>
        <w:gridCol w:w="1080"/>
        <w:gridCol w:w="1260"/>
        <w:gridCol w:w="1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1" w:hRule="atLeast"/>
        </w:trPr>
        <w:tc>
          <w:tcPr>
            <w:tcW w:w="1440" w:type="dxa"/>
            <w:noWrap w:val="0"/>
            <w:vAlign w:val="center"/>
          </w:tcPr>
          <w:p>
            <w:pPr>
              <w:spacing w:line="360" w:lineRule="auto"/>
              <w:jc w:val="center"/>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标项</w:t>
            </w:r>
          </w:p>
        </w:tc>
        <w:tc>
          <w:tcPr>
            <w:tcW w:w="4320" w:type="dxa"/>
            <w:noWrap w:val="0"/>
            <w:vAlign w:val="center"/>
          </w:tcPr>
          <w:p>
            <w:pPr>
              <w:spacing w:line="360" w:lineRule="auto"/>
              <w:jc w:val="center"/>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服务内容</w:t>
            </w:r>
          </w:p>
        </w:tc>
        <w:tc>
          <w:tcPr>
            <w:tcW w:w="1080" w:type="dxa"/>
            <w:noWrap w:val="0"/>
            <w:vAlign w:val="center"/>
          </w:tcPr>
          <w:p>
            <w:pPr>
              <w:spacing w:line="360" w:lineRule="auto"/>
              <w:jc w:val="center"/>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数量</w:t>
            </w:r>
          </w:p>
        </w:tc>
        <w:tc>
          <w:tcPr>
            <w:tcW w:w="1260" w:type="dxa"/>
            <w:noWrap w:val="0"/>
            <w:vAlign w:val="center"/>
          </w:tcPr>
          <w:p>
            <w:pPr>
              <w:spacing w:line="360" w:lineRule="auto"/>
              <w:jc w:val="center"/>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单价</w:t>
            </w:r>
          </w:p>
        </w:tc>
        <w:tc>
          <w:tcPr>
            <w:tcW w:w="1260" w:type="dxa"/>
            <w:noWrap w:val="0"/>
            <w:vAlign w:val="center"/>
          </w:tcPr>
          <w:p>
            <w:pPr>
              <w:spacing w:line="360" w:lineRule="auto"/>
              <w:jc w:val="center"/>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0" w:hRule="atLeast"/>
        </w:trPr>
        <w:tc>
          <w:tcPr>
            <w:tcW w:w="1440" w:type="dxa"/>
            <w:noWrap w:val="0"/>
            <w:vAlign w:val="center"/>
          </w:tcPr>
          <w:p>
            <w:pPr>
              <w:spacing w:line="360" w:lineRule="auto"/>
              <w:jc w:val="center"/>
              <w:rPr>
                <w:rFonts w:ascii="仿宋_GB2312" w:hAnsi="仿宋_GB2312" w:eastAsia="仿宋_GB2312" w:cs="仿宋_GB2312"/>
                <w:color w:val="000000"/>
                <w:kern w:val="0"/>
                <w:sz w:val="28"/>
                <w:szCs w:val="28"/>
              </w:rPr>
            </w:pPr>
          </w:p>
        </w:tc>
        <w:tc>
          <w:tcPr>
            <w:tcW w:w="4320" w:type="dxa"/>
            <w:noWrap w:val="0"/>
            <w:vAlign w:val="center"/>
          </w:tcPr>
          <w:p>
            <w:pPr>
              <w:spacing w:line="360" w:lineRule="auto"/>
              <w:jc w:val="center"/>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物业服务</w:t>
            </w:r>
          </w:p>
        </w:tc>
        <w:tc>
          <w:tcPr>
            <w:tcW w:w="2340" w:type="dxa"/>
            <w:gridSpan w:val="2"/>
            <w:noWrap w:val="0"/>
            <w:vAlign w:val="center"/>
          </w:tcPr>
          <w:p>
            <w:pPr>
              <w:spacing w:line="360" w:lineRule="auto"/>
              <w:jc w:val="center"/>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见乙方投标文件中投标服务报价表</w:t>
            </w:r>
          </w:p>
        </w:tc>
        <w:tc>
          <w:tcPr>
            <w:tcW w:w="1260" w:type="dxa"/>
            <w:tcBorders>
              <w:bottom w:val="single" w:color="auto" w:sz="4" w:space="0"/>
            </w:tcBorders>
            <w:noWrap w:val="0"/>
            <w:vAlign w:val="center"/>
          </w:tcPr>
          <w:p>
            <w:pPr>
              <w:spacing w:line="360" w:lineRule="auto"/>
              <w:jc w:val="center"/>
              <w:rPr>
                <w:rFonts w:ascii="仿宋_GB2312" w:hAnsi="仿宋_GB2312" w:eastAsia="仿宋_GB2312" w:cs="仿宋_GB2312"/>
                <w:color w:val="000000"/>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5" w:hRule="atLeast"/>
        </w:trPr>
        <w:tc>
          <w:tcPr>
            <w:tcW w:w="8100" w:type="dxa"/>
            <w:gridSpan w:val="4"/>
            <w:noWrap w:val="0"/>
            <w:vAlign w:val="center"/>
          </w:tcPr>
          <w:p>
            <w:pPr>
              <w:spacing w:line="360" w:lineRule="auto"/>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合计：</w:t>
            </w:r>
          </w:p>
        </w:tc>
        <w:tc>
          <w:tcPr>
            <w:tcW w:w="1260" w:type="dxa"/>
            <w:noWrap w:val="0"/>
            <w:vAlign w:val="center"/>
          </w:tcPr>
          <w:p>
            <w:pPr>
              <w:spacing w:line="360" w:lineRule="auto"/>
              <w:jc w:val="center"/>
              <w:rPr>
                <w:rFonts w:ascii="仿宋_GB2312" w:hAnsi="仿宋_GB2312" w:eastAsia="仿宋_GB2312" w:cs="仿宋_GB2312"/>
                <w:color w:val="000000"/>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 w:hRule="atLeast"/>
        </w:trPr>
        <w:tc>
          <w:tcPr>
            <w:tcW w:w="9360" w:type="dxa"/>
            <w:gridSpan w:val="5"/>
            <w:noWrap w:val="0"/>
            <w:vAlign w:val="center"/>
          </w:tcPr>
          <w:p>
            <w:pPr>
              <w:spacing w:line="360" w:lineRule="auto"/>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合同总价（人民币大写）：                     元整</w:t>
            </w:r>
          </w:p>
        </w:tc>
      </w:tr>
    </w:tbl>
    <w:p>
      <w:pPr>
        <w:pStyle w:val="38"/>
        <w:snapToGrid w:val="0"/>
        <w:spacing w:line="360" w:lineRule="auto"/>
        <w:ind w:right="-687" w:rightChars="-327"/>
        <w:rPr>
          <w:rFonts w:hint="eastAsia"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注：以上合同总价应为含税全包价，包括与提供服务相关的人工、设备、保险、税费、验收及知识产权等一切费用。</w:t>
      </w:r>
    </w:p>
    <w:p>
      <w:pPr>
        <w:pStyle w:val="38"/>
        <w:snapToGrid w:val="0"/>
        <w:spacing w:line="360" w:lineRule="auto"/>
        <w:ind w:right="-687" w:rightChars="-327" w:firstLine="540"/>
        <w:rPr>
          <w:rFonts w:hint="eastAsia"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物业基本情况：（可另附合同附件）</w:t>
      </w:r>
    </w:p>
    <w:p>
      <w:pPr>
        <w:pStyle w:val="38"/>
        <w:snapToGrid w:val="0"/>
        <w:spacing w:line="360" w:lineRule="auto"/>
        <w:ind w:right="-687" w:rightChars="-327" w:firstLine="540"/>
        <w:rPr>
          <w:rFonts w:hint="eastAsia"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物业管理范围</w:t>
      </w:r>
      <w:r>
        <w:rPr>
          <w:rFonts w:hint="eastAsia" w:ascii="仿宋_GB2312" w:hAnsi="仿宋_GB2312" w:eastAsia="仿宋_GB2312" w:cs="仿宋_GB2312"/>
          <w:color w:val="000000"/>
          <w:kern w:val="0"/>
          <w:szCs w:val="28"/>
        </w:rPr>
        <w:t>：（可另附合同附件）</w:t>
      </w:r>
    </w:p>
    <w:p>
      <w:pPr>
        <w:pStyle w:val="38"/>
        <w:snapToGrid w:val="0"/>
        <w:spacing w:line="360" w:lineRule="auto"/>
        <w:ind w:right="-687" w:rightChars="-327" w:firstLine="540"/>
        <w:rPr>
          <w:rFonts w:hint="eastAsia"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具体服务内容：（可另附合同附件）</w:t>
      </w:r>
    </w:p>
    <w:p>
      <w:pPr>
        <w:pStyle w:val="38"/>
        <w:snapToGrid w:val="0"/>
        <w:spacing w:line="360" w:lineRule="auto"/>
        <w:ind w:right="-687" w:rightChars="-327" w:firstLine="540"/>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物业管理期限</w:t>
      </w:r>
      <w:r>
        <w:rPr>
          <w:rFonts w:hint="eastAsia" w:ascii="仿宋_GB2312" w:hAnsi="仿宋_GB2312" w:eastAsia="仿宋_GB2312" w:cs="仿宋_GB2312"/>
          <w:color w:val="000000"/>
          <w:kern w:val="0"/>
          <w:szCs w:val="28"/>
        </w:rPr>
        <w:t>：（可另附合同附件）</w:t>
      </w:r>
    </w:p>
    <w:p>
      <w:pPr>
        <w:spacing w:line="360" w:lineRule="auto"/>
        <w:ind w:firstLine="420" w:firstLineChars="15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第二条：服务质量要求、技术标准、乙方对质量负责的条件和期限及售后服务的承诺</w:t>
      </w:r>
    </w:p>
    <w:p>
      <w:pPr>
        <w:spacing w:line="360" w:lineRule="auto"/>
        <w:ind w:firstLine="420" w:firstLineChars="15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1、乙方应按招标文件规定的技术要求、质量标准向甲方提供服务，同时乙方保证提供的服务符合国家或行业规定的标准。</w:t>
      </w:r>
    </w:p>
    <w:p>
      <w:pPr>
        <w:spacing w:line="360" w:lineRule="auto"/>
        <w:ind w:firstLine="420" w:firstLineChars="150"/>
        <w:rPr>
          <w:rFonts w:hint="eastAsia"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2、乙方没有甲方事先书面同意，不得将由甲方提供的有关合同或任何合同条文或资料提供给与履行本合同无关的任何其他人。即使向履行本合同有关的人员提供，也应注意保密并限于履行合同的必需范围。</w:t>
      </w:r>
    </w:p>
    <w:p>
      <w:pPr>
        <w:spacing w:line="360" w:lineRule="auto"/>
        <w:ind w:firstLine="420" w:firstLineChars="15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w:t>
      </w:r>
    </w:p>
    <w:p>
      <w:pPr>
        <w:pStyle w:val="38"/>
        <w:adjustRightInd w:val="0"/>
        <w:snapToGrid w:val="0"/>
        <w:spacing w:before="120" w:after="120" w:line="360" w:lineRule="auto"/>
        <w:ind w:firstLine="554" w:firstLineChars="198"/>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第三条： 知识产权</w:t>
      </w:r>
    </w:p>
    <w:p>
      <w:pPr>
        <w:pStyle w:val="38"/>
        <w:adjustRightInd w:val="0"/>
        <w:snapToGrid w:val="0"/>
        <w:spacing w:before="120" w:after="120" w:line="360" w:lineRule="auto"/>
        <w:ind w:firstLine="596" w:firstLineChars="213"/>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乙方应保证所提供的服务或其任何一部分均不会侵犯任何第三方的知识产权。</w:t>
      </w:r>
    </w:p>
    <w:p>
      <w:pPr>
        <w:pStyle w:val="38"/>
        <w:adjustRightInd w:val="0"/>
        <w:snapToGrid w:val="0"/>
        <w:spacing w:before="120" w:after="120" w:line="360" w:lineRule="auto"/>
        <w:ind w:firstLine="596" w:firstLineChars="213"/>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第四条：转包或分包</w:t>
      </w:r>
    </w:p>
    <w:p>
      <w:pPr>
        <w:adjustRightInd w:val="0"/>
        <w:snapToGrid w:val="0"/>
        <w:spacing w:before="120" w:beforeLines="50" w:after="120" w:afterLines="50" w:line="360" w:lineRule="auto"/>
        <w:ind w:firstLine="596" w:firstLineChars="213"/>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不允许转包，不允许分包。如乙方将项目转包或分包的，甲方有权解除合同，并追究乙方的违约责任。</w:t>
      </w:r>
    </w:p>
    <w:p>
      <w:pPr>
        <w:pStyle w:val="38"/>
        <w:adjustRightInd w:val="0"/>
        <w:snapToGrid w:val="0"/>
        <w:spacing w:before="120" w:after="120" w:line="360" w:lineRule="auto"/>
        <w:ind w:firstLine="596" w:firstLineChars="213"/>
        <w:rPr>
          <w:rFonts w:hint="eastAsia"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第五条：履约保证金</w:t>
      </w:r>
    </w:p>
    <w:p>
      <w:pPr>
        <w:pStyle w:val="38"/>
        <w:adjustRightInd w:val="0"/>
        <w:snapToGrid w:val="0"/>
        <w:spacing w:before="120" w:after="120" w:line="360" w:lineRule="auto"/>
        <w:ind w:firstLine="596" w:firstLineChars="213"/>
        <w:rPr>
          <w:rFonts w:ascii="仿宋_GB2312" w:hAnsi="仿宋_GB2312" w:eastAsia="仿宋_GB2312" w:cs="仿宋_GB2312"/>
          <w:color w:val="000000"/>
          <w:kern w:val="0"/>
          <w:szCs w:val="28"/>
        </w:rPr>
      </w:pPr>
      <w:r>
        <w:rPr>
          <w:rFonts w:hint="eastAsia" w:ascii="仿宋_GB2312" w:hAnsi="仿宋_GB2312" w:eastAsia="仿宋_GB2312" w:cs="仿宋_GB2312"/>
          <w:color w:val="000000"/>
          <w:kern w:val="0"/>
          <w:szCs w:val="28"/>
        </w:rPr>
        <w:t>合同总价的5%作为履约保证金（由甲乙双方自行约定退回的方式和时间）。履约保证金可以现金或银行、保险公司出具的保函形式提交。</w:t>
      </w:r>
    </w:p>
    <w:p>
      <w:pPr>
        <w:pStyle w:val="38"/>
        <w:adjustRightInd w:val="0"/>
        <w:snapToGrid w:val="0"/>
        <w:spacing w:before="120" w:after="120" w:line="360" w:lineRule="auto"/>
        <w:ind w:firstLine="596" w:firstLineChars="213"/>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第六条：服务期限及服务地点</w:t>
      </w:r>
    </w:p>
    <w:p>
      <w:pPr>
        <w:pStyle w:val="38"/>
        <w:snapToGrid w:val="0"/>
        <w:spacing w:line="360" w:lineRule="auto"/>
        <w:ind w:firstLine="480"/>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 xml:space="preserve">1、服务期限： </w:t>
      </w:r>
    </w:p>
    <w:p>
      <w:pPr>
        <w:pStyle w:val="38"/>
        <w:snapToGrid w:val="0"/>
        <w:spacing w:line="360" w:lineRule="auto"/>
        <w:ind w:firstLine="480"/>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2、服务地点：甲方指定地点。</w:t>
      </w:r>
    </w:p>
    <w:p>
      <w:pPr>
        <w:pStyle w:val="38"/>
        <w:adjustRightInd w:val="0"/>
        <w:snapToGrid w:val="0"/>
        <w:spacing w:before="120" w:after="120" w:line="360" w:lineRule="auto"/>
        <w:ind w:firstLine="596" w:firstLineChars="213"/>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第七条：合同款支付</w:t>
      </w:r>
    </w:p>
    <w:p>
      <w:pPr>
        <w:spacing w:after="240" w:line="360" w:lineRule="auto"/>
        <w:ind w:firstLine="560" w:firstLineChars="20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1、预付款：在合同生效以及具备实施条件后</w:t>
      </w:r>
      <w:r>
        <w:rPr>
          <w:rFonts w:hint="eastAsia" w:ascii="仿宋_GB2312" w:hAnsi="仿宋_GB2312" w:eastAsia="仿宋_GB2312" w:cs="仿宋_GB2312"/>
          <w:color w:val="000000"/>
          <w:kern w:val="0"/>
          <w:sz w:val="28"/>
          <w:szCs w:val="28"/>
          <w:lang w:val="en-US" w:eastAsia="zh-CN"/>
        </w:rPr>
        <w:t>7个工作日</w:t>
      </w:r>
      <w:r>
        <w:rPr>
          <w:rFonts w:hint="eastAsia" w:ascii="仿宋_GB2312" w:hAnsi="仿宋_GB2312" w:eastAsia="仿宋_GB2312" w:cs="仿宋_GB2312"/>
          <w:color w:val="000000"/>
          <w:kern w:val="0"/>
          <w:sz w:val="28"/>
          <w:szCs w:val="28"/>
        </w:rPr>
        <w:t>内，招标方向中标方支付合同金额</w:t>
      </w:r>
      <w:r>
        <w:rPr>
          <w:rFonts w:hint="eastAsia" w:ascii="仿宋_GB2312" w:hAnsi="仿宋_GB2312" w:eastAsia="仿宋_GB2312" w:cs="仿宋_GB2312"/>
          <w:color w:val="000000"/>
          <w:kern w:val="0"/>
          <w:sz w:val="28"/>
          <w:szCs w:val="28"/>
          <w:lang w:val="en-US" w:eastAsia="zh-CN"/>
        </w:rPr>
        <w:t>25</w:t>
      </w:r>
      <w:r>
        <w:rPr>
          <w:rFonts w:hint="eastAsia" w:ascii="仿宋_GB2312" w:hAnsi="仿宋_GB2312" w:eastAsia="仿宋_GB2312" w:cs="仿宋_GB2312"/>
          <w:color w:val="000000"/>
          <w:kern w:val="0"/>
          <w:sz w:val="28"/>
          <w:szCs w:val="28"/>
        </w:rPr>
        <w:t>%的预付款。第二年预付时间为次年相对应月份，以此类推；当年度预付款尚未扣回的，次年不重复安排；</w:t>
      </w:r>
    </w:p>
    <w:p>
      <w:pPr>
        <w:spacing w:after="240" w:line="360" w:lineRule="auto"/>
        <w:ind w:firstLine="560" w:firstLineChars="200"/>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2、费用结算为季度结算。剩余合同价款平均分四次，经考核合格后于</w:t>
      </w:r>
      <w:r>
        <w:rPr>
          <w:rFonts w:hint="eastAsia" w:ascii="仿宋_GB2312" w:hAnsi="仿宋_GB2312" w:eastAsia="仿宋_GB2312" w:cs="仿宋_GB2312"/>
          <w:color w:val="000000"/>
          <w:kern w:val="0"/>
          <w:sz w:val="28"/>
          <w:szCs w:val="28"/>
          <w:lang w:eastAsia="zh-CN"/>
        </w:rPr>
        <w:t>次月</w:t>
      </w:r>
      <w:r>
        <w:rPr>
          <w:rFonts w:hint="eastAsia" w:ascii="仿宋_GB2312" w:hAnsi="仿宋_GB2312" w:eastAsia="仿宋_GB2312" w:cs="仿宋_GB2312"/>
          <w:color w:val="000000"/>
          <w:kern w:val="0"/>
          <w:sz w:val="28"/>
          <w:szCs w:val="28"/>
        </w:rPr>
        <w:t>10日前结算，结算时中标方需提供合法票据；</w:t>
      </w:r>
    </w:p>
    <w:p>
      <w:pPr>
        <w:adjustRightInd w:val="0"/>
        <w:snapToGrid w:val="0"/>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上述款项均通过银行转帐结算。</w:t>
      </w:r>
    </w:p>
    <w:p>
      <w:pPr>
        <w:adjustRightInd w:val="0"/>
        <w:snapToGrid w:val="0"/>
        <w:spacing w:before="120" w:beforeLines="50" w:after="120" w:afterLines="50" w:line="360" w:lineRule="auto"/>
        <w:ind w:firstLine="596" w:firstLineChars="213"/>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第八条：税费</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本合同执行中相关的一切税费均由乙方负担。</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第九条  甲、乙双方的权利和义务</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1、甲方的权利和义务</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（1）检查、监督乙方根据招标文件的规定及中标文件的承诺实施；</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（2）为乙方提供必要的管理用房；</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（3）对乙方违反法规、规章的行为，提请有关部门处理；</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（4）负责对乙方管理服务工作质量的考核，考核标准见招标文件；</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（5）按本合同的要求对乙方的履约质量进行验收，汇总；</w:t>
      </w:r>
    </w:p>
    <w:p>
      <w:pPr>
        <w:pStyle w:val="144"/>
        <w:ind w:firstLine="560"/>
        <w:rPr>
          <w:rFonts w:hint="eastAsia" w:ascii="仿宋_GB2312" w:hAnsi="仿宋_GB2312" w:eastAsia="仿宋_GB2312" w:cs="仿宋_GB2312"/>
          <w:kern w:val="0"/>
          <w:sz w:val="28"/>
          <w:szCs w:val="28"/>
        </w:rPr>
      </w:pPr>
      <w:r>
        <w:rPr>
          <w:rFonts w:ascii="仿宋_GB2312" w:hAnsi="仿宋_GB2312" w:eastAsia="仿宋_GB2312" w:cs="仿宋_GB2312"/>
          <w:kern w:val="0"/>
          <w:sz w:val="28"/>
          <w:szCs w:val="28"/>
        </w:rPr>
        <w:t>（6）按本合同的约定按时支付费用</w:t>
      </w:r>
      <w:r>
        <w:rPr>
          <w:rFonts w:hint="eastAsia" w:ascii="仿宋_GB2312" w:hAnsi="仿宋_GB2312" w:eastAsia="仿宋_GB2312" w:cs="仿宋_GB2312"/>
          <w:kern w:val="0"/>
          <w:sz w:val="28"/>
          <w:szCs w:val="28"/>
        </w:rPr>
        <w:t>;</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2、乙方权利和义务</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（1）根据有关法律、法规及本合同的约定，按中标文件的承诺履约，接受甲方对服务质量进行验收考核；</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（2）建立健全的项目管理档案资料；</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（3）认真听取甲方提出的建议和意见，并接付诸整改实施；</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（4）对服务人员违反法规、规章的行为，根据情节轻重，采取批评、规劝、警告、制止等措施或提请有关部门处理；</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（5）加强治各项教育，做好各项保密工作；</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（6）乙方应做好日常节能工作；</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（7）进入甲方工作的相关人员应经培训，考核合格后上岗；</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（8）协助处理日常工作，接受甲方提出特约服务并收取适当费用；</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（9）乙方应及时发放员工工资及各项福利、补贴等，并为员工缴纳社会保险、人身意外伤害险等；</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（10）未经甲方许可，乙方不得对本项目的公共设施擅自占用或改变功能；</w:t>
      </w:r>
    </w:p>
    <w:p>
      <w:pPr>
        <w:pStyle w:val="144"/>
        <w:ind w:firstLine="560"/>
        <w:rPr>
          <w:rFonts w:hint="eastAsia" w:ascii="仿宋_GB2312" w:hAnsi="仿宋_GB2312" w:eastAsia="仿宋_GB2312" w:cs="仿宋_GB2312"/>
          <w:kern w:val="0"/>
          <w:sz w:val="28"/>
          <w:szCs w:val="28"/>
        </w:rPr>
      </w:pPr>
      <w:r>
        <w:rPr>
          <w:rFonts w:ascii="仿宋_GB2312" w:hAnsi="仿宋_GB2312" w:eastAsia="仿宋_GB2312" w:cs="仿宋_GB2312"/>
          <w:kern w:val="0"/>
          <w:sz w:val="28"/>
          <w:szCs w:val="28"/>
        </w:rPr>
        <w:t>（11）本合同终止时，乙方应及时移交全部管理用房、甲方资产及全部的管理档案资料</w:t>
      </w:r>
      <w:r>
        <w:rPr>
          <w:rFonts w:hint="eastAsia" w:ascii="仿宋_GB2312" w:hAnsi="仿宋_GB2312" w:eastAsia="仿宋_GB2312" w:cs="仿宋_GB2312"/>
          <w:kern w:val="0"/>
          <w:sz w:val="28"/>
          <w:szCs w:val="28"/>
        </w:rPr>
        <w:t>;</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第十条  甲、乙双方责任限定</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1、乙方工作人员在服务过程中，因其工作失职造成甲方损失的．乙方应承担全部责任并负责赔偿。</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2、甲方禁止安排乙方工作人员参与其他违反法律规定的活动。</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3、因不可抗力或甲方自身原因造成的经济损失，乙方不承担责任。</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4、乙方派遣至甲方的所有工作人员，乙方均应为其做好人身意外伤害保险或工伤保险等保障。</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5、乙方工作人员在工作期间发生的各类受伤、致残、身亡等事故，由乙方全权负责。</w:t>
      </w:r>
    </w:p>
    <w:p>
      <w:pPr>
        <w:pStyle w:val="144"/>
        <w:ind w:firstLine="560"/>
        <w:rPr>
          <w:rFonts w:hint="eastAsia" w:ascii="仿宋_GB2312" w:hAnsi="仿宋_GB2312" w:eastAsia="仿宋_GB2312" w:cs="仿宋_GB2312"/>
          <w:kern w:val="0"/>
          <w:sz w:val="28"/>
          <w:szCs w:val="28"/>
        </w:rPr>
      </w:pPr>
      <w:r>
        <w:rPr>
          <w:rFonts w:ascii="仿宋_GB2312" w:hAnsi="仿宋_GB2312" w:eastAsia="仿宋_GB2312" w:cs="仿宋_GB2312"/>
          <w:kern w:val="0"/>
          <w:sz w:val="28"/>
          <w:szCs w:val="28"/>
        </w:rPr>
        <w:t>6、乙方工作人员中途辞职的，乙方应在</w:t>
      </w:r>
      <w:r>
        <w:rPr>
          <w:rFonts w:hint="eastAsia" w:ascii="仿宋_GB2312" w:hAnsi="仿宋_GB2312" w:eastAsia="仿宋_GB2312" w:cs="仿宋_GB2312"/>
          <w:kern w:val="0"/>
          <w:sz w:val="28"/>
          <w:szCs w:val="28"/>
        </w:rPr>
        <w:t>_____</w:t>
      </w:r>
      <w:r>
        <w:rPr>
          <w:rFonts w:ascii="仿宋_GB2312" w:hAnsi="仿宋_GB2312" w:eastAsia="仿宋_GB2312" w:cs="仿宋_GB2312"/>
          <w:kern w:val="0"/>
          <w:sz w:val="28"/>
          <w:szCs w:val="28"/>
        </w:rPr>
        <w:t>天内补足。</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第十一条  合同的变更、终止及违约责任</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1、甲方在乙方存在如下违约情况时，有权单方面终止全部或部分合同，并保留进一步追究乙方责任的权利（包括经济赔偿）。</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（1）乙方未能履行合同规定的义务；</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（2）在考核周期内，有</w:t>
      </w:r>
      <w:r>
        <w:rPr>
          <w:rFonts w:hint="eastAsia" w:ascii="仿宋_GB2312" w:hAnsi="仿宋_GB2312" w:eastAsia="仿宋_GB2312" w:cs="仿宋_GB2312"/>
          <w:kern w:val="0"/>
          <w:sz w:val="28"/>
          <w:szCs w:val="28"/>
        </w:rPr>
        <w:t>_____</w:t>
      </w:r>
      <w:r>
        <w:rPr>
          <w:rFonts w:ascii="仿宋_GB2312" w:hAnsi="仿宋_GB2312" w:eastAsia="仿宋_GB2312" w:cs="仿宋_GB2312"/>
          <w:kern w:val="0"/>
          <w:sz w:val="28"/>
          <w:szCs w:val="28"/>
        </w:rPr>
        <w:t>次出现考核不合格的；</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（3）有严重影响项目有关正常工作及项目形象的；</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（4）有不符合本合同约定的做法或不履行其中标文件的承诺的；</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（5）存在其他违约行为经甲方书面催告后仍不改正的；</w:t>
      </w:r>
    </w:p>
    <w:p>
      <w:pPr>
        <w:pStyle w:val="144"/>
        <w:ind w:firstLine="560"/>
        <w:rPr>
          <w:rFonts w:hint="eastAsia" w:ascii="仿宋_GB2312" w:hAnsi="仿宋_GB2312" w:eastAsia="仿宋_GB2312" w:cs="仿宋_GB2312"/>
          <w:kern w:val="0"/>
          <w:sz w:val="28"/>
          <w:szCs w:val="28"/>
        </w:rPr>
      </w:pPr>
      <w:r>
        <w:rPr>
          <w:rFonts w:ascii="仿宋_GB2312" w:hAnsi="仿宋_GB2312" w:eastAsia="仿宋_GB2312" w:cs="仿宋_GB2312"/>
          <w:kern w:val="0"/>
          <w:sz w:val="28"/>
          <w:szCs w:val="28"/>
        </w:rPr>
        <w:t>（6）在合同有效期内，乙方擅自对合同的部分或全部内容分包或转包的</w:t>
      </w:r>
      <w:r>
        <w:rPr>
          <w:rFonts w:hint="eastAsia" w:ascii="仿宋_GB2312" w:hAnsi="仿宋_GB2312" w:eastAsia="仿宋_GB2312" w:cs="仿宋_GB2312"/>
          <w:kern w:val="0"/>
          <w:sz w:val="28"/>
          <w:szCs w:val="28"/>
        </w:rPr>
        <w:t>;</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2、乙方如要提前中止合同，需提前</w:t>
      </w:r>
      <w:r>
        <w:rPr>
          <w:rFonts w:hint="eastAsia" w:ascii="仿宋_GB2312" w:hAnsi="仿宋_GB2312" w:eastAsia="仿宋_GB2312" w:cs="仿宋_GB2312"/>
          <w:kern w:val="0"/>
          <w:sz w:val="28"/>
          <w:szCs w:val="28"/>
        </w:rPr>
        <w:t>_______</w:t>
      </w:r>
      <w:r>
        <w:rPr>
          <w:rFonts w:ascii="仿宋_GB2312" w:hAnsi="仿宋_GB2312" w:eastAsia="仿宋_GB2312" w:cs="仿宋_GB2312"/>
          <w:kern w:val="0"/>
          <w:sz w:val="28"/>
          <w:szCs w:val="28"/>
        </w:rPr>
        <w:t>，并征得甲方同意，否则按合同执行。</w:t>
      </w:r>
    </w:p>
    <w:p>
      <w:pPr>
        <w:pStyle w:val="144"/>
        <w:ind w:firstLine="560"/>
        <w:rPr>
          <w:rFonts w:hint="eastAsia" w:ascii="仿宋_GB2312" w:hAnsi="仿宋_GB2312" w:eastAsia="仿宋_GB2312" w:cs="仿宋_GB2312"/>
          <w:kern w:val="0"/>
          <w:sz w:val="28"/>
          <w:szCs w:val="28"/>
        </w:rPr>
      </w:pPr>
      <w:r>
        <w:rPr>
          <w:rFonts w:ascii="仿宋_GB2312" w:hAnsi="仿宋_GB2312" w:eastAsia="仿宋_GB2312" w:cs="仿宋_GB2312"/>
          <w:kern w:val="0"/>
          <w:sz w:val="28"/>
          <w:szCs w:val="28"/>
        </w:rPr>
        <w:t>3、除不可抗力以外，如发生乙方不能履行合同义务，或甲方发生中途终止合同等情况，应及时以书面形式通知对方。甲乙双方应本着友好的态度进行协商，妥善解决。如协商无效，按下列规定计算并支付违约金：</w:t>
      </w:r>
    </w:p>
    <w:p>
      <w:pPr>
        <w:pStyle w:val="144"/>
        <w:ind w:firstLine="56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w:t>
      </w:r>
    </w:p>
    <w:p>
      <w:pPr>
        <w:pStyle w:val="144"/>
        <w:ind w:firstLine="56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（2）</w:t>
      </w:r>
    </w:p>
    <w:p>
      <w:pPr>
        <w:pStyle w:val="144"/>
        <w:ind w:firstLine="56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（3）</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w:t>
      </w:r>
      <w:r>
        <w:rPr>
          <w:rFonts w:hint="eastAsia" w:ascii="仿宋_GB2312" w:hAnsi="仿宋_GB2312" w:eastAsia="仿宋_GB2312" w:cs="仿宋_GB2312"/>
          <w:kern w:val="0"/>
          <w:sz w:val="28"/>
          <w:szCs w:val="28"/>
        </w:rPr>
        <w:t>.</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4、乙方因工作疏忽而造成甲方财产损失的，乙方应按损失的价值照价赔偿。</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5、乙方工作人员在工作时间违反甲方的管理制度造成安全事故、综治事件、造成甲方的名誉和形象受损的，乙方应立即采取有效措施，恢复甲方的名誉并向甲方支付违约金，造成甲方损失的，应予赔偿。违约金和赔偿金由甲方依据安全事故的性质、程度以及甲方的名誉、形象受损的范围和程度确定，并在支付合同款时在合同款中扣除。</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6、乙方应在响应文件中承诺本项目的负责人，并不得随意变更。更换前须征得甲方同意，否则</w:t>
      </w:r>
      <w:r>
        <w:rPr>
          <w:rFonts w:hint="eastAsia" w:ascii="仿宋_GB2312" w:hAnsi="仿宋_GB2312" w:eastAsia="仿宋_GB2312" w:cs="仿宋_GB2312"/>
          <w:kern w:val="0"/>
          <w:sz w:val="28"/>
          <w:szCs w:val="28"/>
        </w:rPr>
        <w:t>_____________</w:t>
      </w:r>
      <w:r>
        <w:rPr>
          <w:rFonts w:ascii="仿宋_GB2312" w:hAnsi="仿宋_GB2312" w:eastAsia="仿宋_GB2312" w:cs="仿宋_GB2312"/>
          <w:kern w:val="0"/>
          <w:sz w:val="28"/>
          <w:szCs w:val="28"/>
        </w:rPr>
        <w:t>。</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7、考核：</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8、其他违约情形：</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（1）乙方未确保响应承诺的人员到位，或人员素质不符合招标文件要求，或与响应承诺不一致的，按实际缺席天数扣除人员费用，</w:t>
      </w:r>
      <w:r>
        <w:rPr>
          <w:rFonts w:hint="eastAsia" w:ascii="仿宋_GB2312" w:hAnsi="仿宋_GB2312" w:eastAsia="仿宋_GB2312" w:cs="仿宋_GB2312"/>
          <w:kern w:val="0"/>
          <w:sz w:val="28"/>
          <w:szCs w:val="28"/>
        </w:rPr>
        <w:t>____</w:t>
      </w:r>
      <w:r>
        <w:rPr>
          <w:rFonts w:ascii="仿宋_GB2312" w:hAnsi="仿宋_GB2312" w:eastAsia="仿宋_GB2312" w:cs="仿宋_GB2312"/>
          <w:kern w:val="0"/>
          <w:sz w:val="28"/>
          <w:szCs w:val="28"/>
        </w:rPr>
        <w:t>后仍没到位，</w:t>
      </w:r>
      <w:r>
        <w:rPr>
          <w:rFonts w:hint="eastAsia" w:ascii="仿宋_GB2312" w:hAnsi="仿宋_GB2312" w:eastAsia="仿宋_GB2312" w:cs="仿宋_GB2312"/>
          <w:kern w:val="0"/>
          <w:sz w:val="28"/>
          <w:szCs w:val="28"/>
        </w:rPr>
        <w:t>____________</w:t>
      </w:r>
      <w:r>
        <w:rPr>
          <w:rFonts w:ascii="仿宋_GB2312" w:hAnsi="仿宋_GB2312" w:eastAsia="仿宋_GB2312" w:cs="仿宋_GB2312"/>
          <w:kern w:val="0"/>
          <w:sz w:val="28"/>
          <w:szCs w:val="28"/>
        </w:rPr>
        <w:t>。</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（2）甲方要求乙方变动或更换人员，乙方未在规定时间内变动或更换的，</w:t>
      </w:r>
      <w:r>
        <w:rPr>
          <w:rFonts w:hint="eastAsia" w:ascii="仿宋_GB2312" w:hAnsi="仿宋_GB2312" w:eastAsia="仿宋_GB2312" w:cs="仿宋_GB2312"/>
          <w:kern w:val="0"/>
          <w:sz w:val="28"/>
          <w:szCs w:val="28"/>
        </w:rPr>
        <w:t>________________</w:t>
      </w:r>
      <w:r>
        <w:rPr>
          <w:rFonts w:ascii="仿宋_GB2312" w:hAnsi="仿宋_GB2312" w:eastAsia="仿宋_GB2312" w:cs="仿宋_GB2312"/>
          <w:kern w:val="0"/>
          <w:sz w:val="28"/>
          <w:szCs w:val="28"/>
        </w:rPr>
        <w:t>。</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（3）乙方未按招标文件要求支付工资、加班薪资，缴纳各种社会保险，每人次</w:t>
      </w:r>
      <w:r>
        <w:rPr>
          <w:rFonts w:hint="eastAsia" w:ascii="仿宋_GB2312" w:hAnsi="仿宋_GB2312" w:eastAsia="仿宋_GB2312" w:cs="仿宋_GB2312"/>
          <w:kern w:val="0"/>
          <w:sz w:val="28"/>
          <w:szCs w:val="28"/>
        </w:rPr>
        <w:t>____________</w:t>
      </w:r>
      <w:r>
        <w:rPr>
          <w:rFonts w:ascii="仿宋_GB2312" w:hAnsi="仿宋_GB2312" w:eastAsia="仿宋_GB2312" w:cs="仿宋_GB2312"/>
          <w:kern w:val="0"/>
          <w:sz w:val="28"/>
          <w:szCs w:val="28"/>
        </w:rPr>
        <w:t>。且乙方无条件接受甲方在支付费用时扣除相应的少支付的费用，并将此费用直接支付给员工，由此造成的一切后果由乙方承担全部责任。</w:t>
      </w:r>
    </w:p>
    <w:p>
      <w:pPr>
        <w:pStyle w:val="144"/>
        <w:ind w:firstLine="560"/>
        <w:rPr>
          <w:rFonts w:hint="eastAsia" w:ascii="仿宋_GB2312" w:hAnsi="仿宋_GB2312" w:eastAsia="仿宋_GB2312" w:cs="仿宋_GB2312"/>
          <w:kern w:val="0"/>
          <w:sz w:val="28"/>
          <w:szCs w:val="28"/>
        </w:rPr>
      </w:pPr>
      <w:r>
        <w:rPr>
          <w:rFonts w:ascii="仿宋_GB2312" w:hAnsi="仿宋_GB2312" w:eastAsia="仿宋_GB2312" w:cs="仿宋_GB2312"/>
          <w:kern w:val="0"/>
          <w:sz w:val="28"/>
          <w:szCs w:val="28"/>
        </w:rPr>
        <w:t>（4）乙方未按响应文件承诺配置设备及耗材的，或配置设备及耗材质量、数量不能满足日常需要的，</w:t>
      </w:r>
      <w:r>
        <w:rPr>
          <w:rFonts w:hint="eastAsia" w:ascii="仿宋_GB2312" w:hAnsi="仿宋_GB2312" w:eastAsia="仿宋_GB2312" w:cs="仿宋_GB2312"/>
          <w:kern w:val="0"/>
          <w:sz w:val="28"/>
          <w:szCs w:val="28"/>
        </w:rPr>
        <w:t>_________________</w:t>
      </w:r>
      <w:r>
        <w:rPr>
          <w:rFonts w:ascii="仿宋_GB2312" w:hAnsi="仿宋_GB2312" w:eastAsia="仿宋_GB2312" w:cs="仿宋_GB2312"/>
          <w:kern w:val="0"/>
          <w:sz w:val="28"/>
          <w:szCs w:val="28"/>
        </w:rPr>
        <w:t>。</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第十二条  其它约定事项</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如果乙方破产或无清偿能力时，甲方可在任何时候以书面通知乙方终止合同。该终止合同将不损害或影响甲方已经采取或将要采取的补救措施的权利。</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第十三条  不可抗力事件处理</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1、在合同有效期内，任何一方因不可抗力事件导致不能履行合同，则合同履行期可延长，其延长期与不可抗力影响期相同。</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2、不可抗力事件发生后，应立即通知对方，并寄送有关权威机构出具的证明。</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3、不可抗力事件延续10天及以上，双方应通过友好协商，确定是否继续履行合同。</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第十四条  其他事项</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1、自本合同生效之日起</w:t>
      </w:r>
      <w:r>
        <w:rPr>
          <w:rFonts w:hint="eastAsia" w:ascii="仿宋_GB2312" w:hAnsi="仿宋_GB2312" w:eastAsia="仿宋_GB2312" w:cs="仿宋_GB2312"/>
          <w:kern w:val="0"/>
          <w:sz w:val="28"/>
          <w:szCs w:val="28"/>
        </w:rPr>
        <w:t>_____</w:t>
      </w:r>
      <w:r>
        <w:rPr>
          <w:rFonts w:ascii="仿宋_GB2312" w:hAnsi="仿宋_GB2312" w:eastAsia="仿宋_GB2312" w:cs="仿宋_GB2312"/>
          <w:kern w:val="0"/>
          <w:sz w:val="28"/>
          <w:szCs w:val="28"/>
        </w:rPr>
        <w:t>天内，根据甲方委托管理事项，办理完交接验收手续；</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2、甲、乙方对《招标文件》以外的服务项目及维修，可根据实际情况另行签订补充协议。补充协议和本合同的附件与本合同具有同等效力；</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3、如遇突发或重大事件，乙方管理人员应在第一时间报告甲方有关部门，乙方项目负责人应在第一时间到达现场，适时处理或协助处理有关问题，甲方如认为情况危及到内部人员的安定管理，乙方应无条件同意甲方直接调配乙方资源直至危机结束；</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4、由于乙方原因而损坏设施设备的，由乙方负责赔偿。</w:t>
      </w:r>
    </w:p>
    <w:p>
      <w:pPr>
        <w:pStyle w:val="144"/>
        <w:ind w:firstLine="560"/>
        <w:rPr>
          <w:rFonts w:hint="eastAsia" w:ascii="仿宋_GB2312" w:hAnsi="仿宋_GB2312" w:eastAsia="仿宋_GB2312" w:cs="仿宋_GB2312"/>
          <w:kern w:val="0"/>
          <w:sz w:val="28"/>
          <w:szCs w:val="28"/>
        </w:rPr>
      </w:pPr>
      <w:r>
        <w:rPr>
          <w:rFonts w:ascii="仿宋_GB2312" w:hAnsi="仿宋_GB2312" w:eastAsia="仿宋_GB2312" w:cs="仿宋_GB2312"/>
          <w:kern w:val="0"/>
          <w:sz w:val="28"/>
          <w:szCs w:val="28"/>
        </w:rPr>
        <w:t>5、如因政策性调整，乙方在服务期间因国家相关政策调整致使中途服务停止，乙方不得提出任何索赔</w:t>
      </w:r>
      <w:r>
        <w:rPr>
          <w:rFonts w:hint="eastAsia" w:ascii="仿宋_GB2312" w:hAnsi="仿宋_GB2312" w:eastAsia="仿宋_GB2312" w:cs="仿宋_GB2312"/>
          <w:kern w:val="0"/>
          <w:sz w:val="28"/>
          <w:szCs w:val="28"/>
        </w:rPr>
        <w:t>;</w:t>
      </w:r>
    </w:p>
    <w:p>
      <w:pPr>
        <w:pStyle w:val="144"/>
        <w:ind w:firstLine="560"/>
        <w:rPr>
          <w:rFonts w:ascii="仿宋_GB2312" w:hAnsi="仿宋_GB2312" w:eastAsia="仿宋_GB2312" w:cs="仿宋_GB2312"/>
          <w:kern w:val="0"/>
          <w:sz w:val="28"/>
          <w:szCs w:val="28"/>
        </w:rPr>
      </w:pPr>
      <w:r>
        <w:rPr>
          <w:rFonts w:ascii="仿宋_GB2312" w:hAnsi="仿宋_GB2312" w:eastAsia="仿宋_GB2312" w:cs="仿宋_GB2312"/>
          <w:kern w:val="0"/>
          <w:sz w:val="28"/>
          <w:szCs w:val="28"/>
        </w:rPr>
        <w:t>…</w:t>
      </w:r>
    </w:p>
    <w:p>
      <w:pPr>
        <w:pStyle w:val="38"/>
        <w:adjustRightInd w:val="0"/>
        <w:snapToGrid w:val="0"/>
        <w:spacing w:before="120" w:after="120" w:line="360" w:lineRule="auto"/>
        <w:ind w:firstLine="596" w:firstLineChars="213"/>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第十五条：诉讼</w:t>
      </w:r>
    </w:p>
    <w:p>
      <w:pPr>
        <w:pStyle w:val="38"/>
        <w:adjustRightInd w:val="0"/>
        <w:snapToGrid w:val="0"/>
        <w:spacing w:before="120" w:after="120" w:line="360" w:lineRule="auto"/>
        <w:ind w:left="2" w:firstLine="596" w:firstLineChars="213"/>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双方在执行合同中所发生的一切争议，应通过协商解决。如协商不成，可向甲方所在地法院起诉。</w:t>
      </w:r>
    </w:p>
    <w:p>
      <w:pPr>
        <w:pStyle w:val="38"/>
        <w:adjustRightInd w:val="0"/>
        <w:snapToGrid w:val="0"/>
        <w:spacing w:before="120" w:after="120" w:line="360" w:lineRule="auto"/>
        <w:ind w:firstLine="596" w:firstLineChars="213"/>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第十六条：合同生效及其它</w:t>
      </w:r>
    </w:p>
    <w:p>
      <w:pPr>
        <w:pStyle w:val="38"/>
        <w:adjustRightInd w:val="0"/>
        <w:snapToGrid w:val="0"/>
        <w:spacing w:before="120" w:after="120" w:line="360" w:lineRule="auto"/>
        <w:ind w:firstLine="596" w:firstLineChars="213"/>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1、 合同经甲、乙</w:t>
      </w:r>
      <w:r>
        <w:rPr>
          <w:rFonts w:hint="eastAsia" w:ascii="仿宋_GB2312" w:hAnsi="仿宋_GB2312" w:eastAsia="仿宋_GB2312" w:cs="仿宋_GB2312"/>
          <w:color w:val="000000"/>
          <w:kern w:val="0"/>
          <w:szCs w:val="28"/>
        </w:rPr>
        <w:t>双</w:t>
      </w:r>
      <w:r>
        <w:rPr>
          <w:rFonts w:ascii="仿宋_GB2312" w:hAnsi="仿宋_GB2312" w:eastAsia="仿宋_GB2312" w:cs="仿宋_GB2312"/>
          <w:color w:val="000000"/>
          <w:kern w:val="0"/>
          <w:szCs w:val="28"/>
        </w:rPr>
        <w:t>方签名并加盖单位公章后生效。</w:t>
      </w:r>
    </w:p>
    <w:p>
      <w:pPr>
        <w:pStyle w:val="38"/>
        <w:adjustRightInd w:val="0"/>
        <w:snapToGrid w:val="0"/>
        <w:spacing w:before="120" w:after="120" w:line="360" w:lineRule="auto"/>
        <w:ind w:firstLine="596" w:firstLineChars="213"/>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2、招标文件、投标文件与本合同具有同等法律效力。</w:t>
      </w:r>
    </w:p>
    <w:p>
      <w:pPr>
        <w:pStyle w:val="38"/>
        <w:adjustRightInd w:val="0"/>
        <w:snapToGrid w:val="0"/>
        <w:spacing w:before="120" w:after="120" w:line="360" w:lineRule="auto"/>
        <w:ind w:firstLine="560" w:firstLineChars="200"/>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3、本合同未尽事宜，遵照《合同法》有关条文执行。</w:t>
      </w:r>
    </w:p>
    <w:p>
      <w:pPr>
        <w:pStyle w:val="38"/>
        <w:adjustRightInd w:val="0"/>
        <w:snapToGrid w:val="0"/>
        <w:spacing w:before="120" w:after="120" w:line="360" w:lineRule="auto"/>
        <w:ind w:left="2" w:leftChars="1" w:firstLine="560" w:firstLineChars="200"/>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4、本合同一式肆份，具有同等法律效力，甲、乙各执贰份。</w:t>
      </w:r>
    </w:p>
    <w:p>
      <w:pPr>
        <w:pStyle w:val="38"/>
        <w:adjustRightInd w:val="0"/>
        <w:snapToGrid w:val="0"/>
        <w:spacing w:before="120" w:after="120" w:line="360" w:lineRule="auto"/>
        <w:ind w:firstLine="596" w:firstLineChars="213"/>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第十七条：其他需要补充的内容：无。</w:t>
      </w:r>
    </w:p>
    <w:p>
      <w:pPr>
        <w:pStyle w:val="38"/>
        <w:adjustRightInd w:val="0"/>
        <w:snapToGrid w:val="0"/>
        <w:spacing w:before="120" w:after="120" w:line="360" w:lineRule="auto"/>
        <w:ind w:left="1" w:firstLine="596" w:firstLineChars="213"/>
        <w:rPr>
          <w:rFonts w:ascii="仿宋_GB2312" w:hAnsi="仿宋_GB2312" w:eastAsia="仿宋_GB2312" w:cs="仿宋_GB2312"/>
          <w:color w:val="000000"/>
          <w:kern w:val="0"/>
          <w:szCs w:val="28"/>
        </w:rPr>
      </w:pPr>
    </w:p>
    <w:p>
      <w:pPr>
        <w:pStyle w:val="38"/>
        <w:adjustRightInd w:val="0"/>
        <w:snapToGrid w:val="0"/>
        <w:spacing w:before="120" w:after="120" w:line="360" w:lineRule="auto"/>
        <w:ind w:left="1" w:firstLine="596" w:firstLineChars="213"/>
        <w:rPr>
          <w:rFonts w:ascii="仿宋_GB2312" w:hAnsi="仿宋_GB2312" w:eastAsia="仿宋_GB2312" w:cs="仿宋_GB2312"/>
          <w:color w:val="000000"/>
          <w:kern w:val="0"/>
          <w:szCs w:val="28"/>
        </w:rPr>
      </w:pPr>
    </w:p>
    <w:p>
      <w:pPr>
        <w:pStyle w:val="38"/>
        <w:adjustRightInd w:val="0"/>
        <w:snapToGrid w:val="0"/>
        <w:spacing w:before="120" w:after="120" w:line="360" w:lineRule="auto"/>
        <w:ind w:left="1" w:firstLine="596" w:firstLineChars="213"/>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 xml:space="preserve">甲方（盖章）：                                   </w:t>
      </w:r>
    </w:p>
    <w:p>
      <w:pPr>
        <w:pStyle w:val="38"/>
        <w:adjustRightInd w:val="0"/>
        <w:snapToGrid w:val="0"/>
        <w:spacing w:before="120" w:after="120" w:line="360" w:lineRule="auto"/>
        <w:ind w:firstLine="596" w:firstLineChars="213"/>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 xml:space="preserve">地址：                                   </w:t>
      </w:r>
    </w:p>
    <w:p>
      <w:pPr>
        <w:pStyle w:val="38"/>
        <w:adjustRightInd w:val="0"/>
        <w:snapToGrid w:val="0"/>
        <w:spacing w:before="120" w:after="120" w:line="360" w:lineRule="auto"/>
        <w:ind w:firstLine="596" w:firstLineChars="213"/>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 xml:space="preserve">法定（授权）代表人：                   </w:t>
      </w:r>
    </w:p>
    <w:p>
      <w:pPr>
        <w:pStyle w:val="38"/>
        <w:adjustRightInd w:val="0"/>
        <w:snapToGrid w:val="0"/>
        <w:spacing w:before="120" w:after="120" w:line="360" w:lineRule="auto"/>
        <w:ind w:firstLine="596" w:firstLineChars="213"/>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 xml:space="preserve">签名日期：     年   月   日           </w:t>
      </w:r>
    </w:p>
    <w:p>
      <w:pPr>
        <w:pStyle w:val="38"/>
        <w:adjustRightInd w:val="0"/>
        <w:snapToGrid w:val="0"/>
        <w:spacing w:before="120" w:after="120" w:line="360" w:lineRule="auto"/>
        <w:ind w:firstLine="596" w:firstLineChars="213"/>
        <w:rPr>
          <w:rFonts w:ascii="仿宋_GB2312" w:hAnsi="仿宋_GB2312" w:eastAsia="仿宋_GB2312" w:cs="仿宋_GB2312"/>
          <w:color w:val="000000"/>
          <w:kern w:val="0"/>
          <w:szCs w:val="28"/>
        </w:rPr>
      </w:pPr>
    </w:p>
    <w:p>
      <w:pPr>
        <w:pStyle w:val="38"/>
        <w:adjustRightInd w:val="0"/>
        <w:snapToGrid w:val="0"/>
        <w:spacing w:before="120" w:after="120" w:line="360" w:lineRule="auto"/>
        <w:ind w:firstLine="596" w:firstLineChars="213"/>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乙方（盖章）：</w:t>
      </w:r>
    </w:p>
    <w:p>
      <w:pPr>
        <w:pStyle w:val="38"/>
        <w:adjustRightInd w:val="0"/>
        <w:snapToGrid w:val="0"/>
        <w:spacing w:before="120" w:after="120" w:line="360" w:lineRule="auto"/>
        <w:ind w:firstLine="596" w:firstLineChars="213"/>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 xml:space="preserve">地址： </w:t>
      </w:r>
    </w:p>
    <w:p>
      <w:pPr>
        <w:pStyle w:val="38"/>
        <w:adjustRightInd w:val="0"/>
        <w:snapToGrid w:val="0"/>
        <w:spacing w:before="120" w:after="120" w:line="360" w:lineRule="auto"/>
        <w:ind w:firstLine="596" w:firstLineChars="213"/>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开户行：</w:t>
      </w:r>
    </w:p>
    <w:p>
      <w:pPr>
        <w:pStyle w:val="38"/>
        <w:adjustRightInd w:val="0"/>
        <w:snapToGrid w:val="0"/>
        <w:spacing w:before="120" w:after="120" w:line="360" w:lineRule="auto"/>
        <w:ind w:firstLine="596" w:firstLineChars="213"/>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开户帐号：</w:t>
      </w:r>
    </w:p>
    <w:p>
      <w:pPr>
        <w:pStyle w:val="38"/>
        <w:adjustRightInd w:val="0"/>
        <w:snapToGrid w:val="0"/>
        <w:spacing w:before="120" w:after="120" w:line="360" w:lineRule="auto"/>
        <w:ind w:firstLine="596" w:firstLineChars="213"/>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法定（授权）代表人：</w:t>
      </w:r>
    </w:p>
    <w:p>
      <w:pPr>
        <w:pStyle w:val="38"/>
        <w:adjustRightInd w:val="0"/>
        <w:snapToGrid w:val="0"/>
        <w:spacing w:before="120" w:after="120" w:line="360" w:lineRule="auto"/>
        <w:ind w:firstLine="596" w:firstLineChars="213"/>
        <w:jc w:val="center"/>
        <w:rPr>
          <w:rFonts w:ascii="仿宋_GB2312" w:hAnsi="仿宋_GB2312" w:eastAsia="仿宋_GB2312" w:cs="仿宋_GB2312"/>
          <w:color w:val="000000"/>
          <w:kern w:val="0"/>
          <w:szCs w:val="28"/>
        </w:rPr>
      </w:pPr>
      <w:r>
        <w:rPr>
          <w:rFonts w:ascii="仿宋_GB2312" w:hAnsi="仿宋_GB2312" w:eastAsia="仿宋_GB2312" w:cs="仿宋_GB2312"/>
          <w:color w:val="000000"/>
          <w:kern w:val="0"/>
          <w:szCs w:val="28"/>
        </w:rPr>
        <w:t>签名日期：      年   月   日</w:t>
      </w:r>
    </w:p>
    <w:p>
      <w:pPr>
        <w:pStyle w:val="38"/>
        <w:adjustRightInd w:val="0"/>
        <w:snapToGrid w:val="0"/>
        <w:spacing w:before="120" w:after="120" w:line="360" w:lineRule="auto"/>
        <w:jc w:val="center"/>
        <w:rPr>
          <w:rFonts w:ascii="仿宋_GB2312" w:hAnsi="仿宋_GB2312" w:eastAsia="仿宋_GB2312" w:cs="仿宋_GB2312"/>
          <w:color w:val="000000"/>
          <w:kern w:val="0"/>
          <w:sz w:val="36"/>
          <w:szCs w:val="36"/>
        </w:rPr>
      </w:pPr>
    </w:p>
    <w:p>
      <w:pPr>
        <w:pStyle w:val="38"/>
        <w:adjustRightInd w:val="0"/>
        <w:snapToGrid w:val="0"/>
        <w:spacing w:before="120" w:after="120" w:line="360" w:lineRule="auto"/>
        <w:jc w:val="center"/>
        <w:rPr>
          <w:rFonts w:ascii="仿宋_GB2312" w:hAnsi="仿宋_GB2312" w:eastAsia="仿宋_GB2312" w:cs="仿宋_GB2312"/>
          <w:color w:val="000000"/>
          <w:kern w:val="0"/>
          <w:sz w:val="36"/>
          <w:szCs w:val="36"/>
        </w:rPr>
      </w:pPr>
    </w:p>
    <w:p>
      <w:pPr>
        <w:pStyle w:val="38"/>
        <w:adjustRightInd w:val="0"/>
        <w:snapToGrid w:val="0"/>
        <w:spacing w:before="120" w:after="120" w:line="360" w:lineRule="auto"/>
        <w:jc w:val="center"/>
        <w:rPr>
          <w:rFonts w:ascii="仿宋_GB2312" w:hAnsi="仿宋_GB2312" w:eastAsia="仿宋_GB2312" w:cs="仿宋_GB2312"/>
          <w:color w:val="000000"/>
          <w:kern w:val="0"/>
          <w:sz w:val="36"/>
          <w:szCs w:val="36"/>
        </w:rPr>
      </w:pPr>
    </w:p>
    <w:p>
      <w:pPr>
        <w:pStyle w:val="38"/>
        <w:adjustRightInd w:val="0"/>
        <w:snapToGrid w:val="0"/>
        <w:spacing w:before="120" w:after="120" w:line="360" w:lineRule="auto"/>
        <w:jc w:val="center"/>
        <w:rPr>
          <w:rFonts w:ascii="仿宋_GB2312" w:hAnsi="仿宋_GB2312" w:eastAsia="仿宋_GB2312" w:cs="仿宋_GB2312"/>
          <w:color w:val="000000"/>
          <w:kern w:val="0"/>
          <w:sz w:val="36"/>
          <w:szCs w:val="36"/>
        </w:rPr>
      </w:pPr>
    </w:p>
    <w:p>
      <w:pPr>
        <w:pStyle w:val="38"/>
        <w:adjustRightInd w:val="0"/>
        <w:snapToGrid w:val="0"/>
        <w:spacing w:before="120" w:after="120" w:line="360" w:lineRule="auto"/>
        <w:jc w:val="center"/>
        <w:rPr>
          <w:rFonts w:ascii="仿宋_GB2312" w:hAnsi="仿宋_GB2312" w:eastAsia="仿宋_GB2312" w:cs="仿宋_GB2312"/>
          <w:color w:val="000000"/>
          <w:kern w:val="0"/>
          <w:sz w:val="36"/>
          <w:szCs w:val="36"/>
        </w:rPr>
      </w:pPr>
    </w:p>
    <w:p>
      <w:pPr>
        <w:pStyle w:val="38"/>
        <w:adjustRightInd w:val="0"/>
        <w:snapToGrid w:val="0"/>
        <w:spacing w:before="120" w:after="120" w:line="360" w:lineRule="auto"/>
        <w:jc w:val="center"/>
        <w:rPr>
          <w:rFonts w:ascii="仿宋_GB2312" w:hAnsi="仿宋_GB2312" w:eastAsia="仿宋_GB2312" w:cs="仿宋_GB2312"/>
          <w:color w:val="000000"/>
          <w:kern w:val="0"/>
          <w:sz w:val="36"/>
          <w:szCs w:val="36"/>
        </w:rPr>
      </w:pPr>
    </w:p>
    <w:p>
      <w:pPr>
        <w:pStyle w:val="38"/>
        <w:adjustRightInd w:val="0"/>
        <w:snapToGrid w:val="0"/>
        <w:spacing w:before="120" w:after="120" w:line="360" w:lineRule="auto"/>
        <w:jc w:val="center"/>
        <w:rPr>
          <w:rFonts w:ascii="仿宋_GB2312" w:hAnsi="仿宋_GB2312" w:eastAsia="仿宋_GB2312" w:cs="仿宋_GB2312"/>
          <w:color w:val="000000"/>
          <w:kern w:val="0"/>
          <w:sz w:val="36"/>
          <w:szCs w:val="36"/>
        </w:rPr>
      </w:pPr>
    </w:p>
    <w:p>
      <w:pPr>
        <w:pStyle w:val="38"/>
        <w:adjustRightInd w:val="0"/>
        <w:snapToGrid w:val="0"/>
        <w:spacing w:before="120" w:after="120" w:line="360" w:lineRule="auto"/>
        <w:jc w:val="center"/>
        <w:rPr>
          <w:rFonts w:ascii="仿宋_GB2312" w:hAnsi="仿宋_GB2312" w:eastAsia="仿宋_GB2312" w:cs="仿宋_GB2312"/>
          <w:color w:val="000000"/>
          <w:kern w:val="0"/>
          <w:sz w:val="36"/>
          <w:szCs w:val="36"/>
        </w:rPr>
      </w:pPr>
    </w:p>
    <w:p>
      <w:pPr>
        <w:pStyle w:val="38"/>
        <w:adjustRightInd w:val="0"/>
        <w:snapToGrid w:val="0"/>
        <w:spacing w:before="120" w:after="120" w:line="360" w:lineRule="auto"/>
        <w:jc w:val="center"/>
        <w:rPr>
          <w:rFonts w:ascii="Arial" w:hAnsi="Arial" w:eastAsia="仿宋" w:cs="Arial"/>
          <w:snapToGrid w:val="0"/>
          <w:sz w:val="24"/>
          <w:szCs w:val="24"/>
        </w:rPr>
      </w:pPr>
      <w:r>
        <w:rPr>
          <w:rFonts w:ascii="仿宋_GB2312" w:hAnsi="仿宋_GB2312" w:eastAsia="仿宋_GB2312" w:cs="仿宋_GB2312"/>
          <w:color w:val="000000"/>
          <w:kern w:val="0"/>
          <w:sz w:val="36"/>
          <w:szCs w:val="36"/>
        </w:rPr>
        <w:t>第</w:t>
      </w:r>
      <w:r>
        <w:rPr>
          <w:rFonts w:hint="eastAsia" w:ascii="仿宋_GB2312" w:hAnsi="仿宋_GB2312" w:eastAsia="仿宋_GB2312" w:cs="仿宋_GB2312"/>
          <w:color w:val="000000"/>
          <w:kern w:val="0"/>
          <w:sz w:val="36"/>
          <w:szCs w:val="36"/>
        </w:rPr>
        <w:t>七</w:t>
      </w:r>
      <w:r>
        <w:rPr>
          <w:rFonts w:ascii="仿宋_GB2312" w:hAnsi="仿宋_GB2312" w:eastAsia="仿宋_GB2312" w:cs="仿宋_GB2312"/>
          <w:color w:val="000000"/>
          <w:kern w:val="0"/>
          <w:sz w:val="36"/>
          <w:szCs w:val="36"/>
        </w:rPr>
        <w:t>部分   投标文件格式</w:t>
      </w:r>
      <w:bookmarkEnd w:id="26"/>
      <w:bookmarkEnd w:id="27"/>
      <w:bookmarkEnd w:id="28"/>
    </w:p>
    <w:p>
      <w:pPr>
        <w:spacing w:line="360" w:lineRule="auto"/>
        <w:jc w:val="center"/>
        <w:rPr>
          <w:rFonts w:ascii="Arial" w:hAnsi="Arial" w:eastAsia="仿宋" w:cs="Arial"/>
          <w:b/>
          <w:sz w:val="30"/>
        </w:rPr>
      </w:pPr>
    </w:p>
    <w:p>
      <w:pPr>
        <w:spacing w:line="360" w:lineRule="auto"/>
        <w:jc w:val="center"/>
        <w:rPr>
          <w:rFonts w:ascii="仿宋_GB2312" w:hAnsi="仿宋_GB2312" w:eastAsia="仿宋_GB2312" w:cs="仿宋_GB2312"/>
          <w:b/>
          <w:color w:val="000000"/>
          <w:kern w:val="0"/>
          <w:sz w:val="28"/>
          <w:szCs w:val="28"/>
        </w:rPr>
      </w:pPr>
      <w:r>
        <w:rPr>
          <w:rFonts w:ascii="仿宋_GB2312" w:hAnsi="仿宋_GB2312" w:eastAsia="仿宋_GB2312" w:cs="仿宋_GB2312"/>
          <w:b/>
          <w:color w:val="000000"/>
          <w:kern w:val="0"/>
          <w:sz w:val="28"/>
          <w:szCs w:val="28"/>
        </w:rPr>
        <w:t>投标人提交投标文件须知</w:t>
      </w:r>
    </w:p>
    <w:p>
      <w:pPr>
        <w:spacing w:line="360" w:lineRule="auto"/>
        <w:jc w:val="center"/>
        <w:rPr>
          <w:rFonts w:ascii="仿宋_GB2312" w:hAnsi="仿宋_GB2312" w:eastAsia="仿宋_GB2312" w:cs="仿宋_GB2312"/>
          <w:color w:val="000000"/>
          <w:kern w:val="0"/>
          <w:sz w:val="28"/>
          <w:szCs w:val="28"/>
        </w:rPr>
      </w:pP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1、投标人应严格按照以下次序填写和提交下述规定的全部格式文件以及其他有关资料，混乱的编排导致投标文件被误读或招标方查找不到有效文件是投标人的风险。</w:t>
      </w: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2、所附表格中要求回答全部问题、信息都必须正面回答。</w:t>
      </w: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3、本资格声明的签字人应保证全部声明和问题的回答是真实的和正确的。</w:t>
      </w:r>
    </w:p>
    <w:p>
      <w:pPr>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4、 招标方将应用投标人提交的资料判断和考虑决定投标人履行合同的合格性及能力。</w:t>
      </w:r>
    </w:p>
    <w:p>
      <w:pPr>
        <w:spacing w:line="440" w:lineRule="exact"/>
        <w:ind w:firstLine="560" w:firstLineChars="200"/>
        <w:rPr>
          <w:rFonts w:ascii="仿宋_GB2312" w:hAnsi="仿宋_GB2312" w:eastAsia="仿宋_GB2312" w:cs="仿宋_GB2312"/>
          <w:color w:val="000000"/>
          <w:kern w:val="0"/>
          <w:sz w:val="28"/>
          <w:szCs w:val="28"/>
        </w:rPr>
      </w:pPr>
    </w:p>
    <w:p>
      <w:pPr>
        <w:spacing w:line="440" w:lineRule="exact"/>
        <w:ind w:firstLine="560" w:firstLineChars="200"/>
        <w:rPr>
          <w:rFonts w:ascii="仿宋_GB2312" w:hAnsi="仿宋_GB2312" w:eastAsia="仿宋_GB2312" w:cs="仿宋_GB2312"/>
          <w:color w:val="000000"/>
          <w:kern w:val="0"/>
          <w:sz w:val="28"/>
          <w:szCs w:val="28"/>
        </w:rPr>
      </w:pPr>
    </w:p>
    <w:p>
      <w:pPr>
        <w:spacing w:line="440" w:lineRule="exact"/>
        <w:ind w:firstLine="560" w:firstLineChars="200"/>
        <w:rPr>
          <w:rFonts w:ascii="仿宋_GB2312" w:hAnsi="仿宋_GB2312" w:eastAsia="仿宋_GB2312" w:cs="仿宋_GB2312"/>
          <w:color w:val="000000"/>
          <w:kern w:val="0"/>
          <w:sz w:val="28"/>
          <w:szCs w:val="28"/>
        </w:rPr>
      </w:pPr>
    </w:p>
    <w:p>
      <w:pPr>
        <w:spacing w:line="440" w:lineRule="exact"/>
        <w:ind w:firstLine="560" w:firstLineChars="200"/>
        <w:rPr>
          <w:rFonts w:ascii="仿宋_GB2312" w:hAnsi="仿宋_GB2312" w:eastAsia="仿宋_GB2312" w:cs="仿宋_GB2312"/>
          <w:color w:val="000000"/>
          <w:kern w:val="0"/>
          <w:sz w:val="28"/>
          <w:szCs w:val="28"/>
        </w:rPr>
      </w:pPr>
    </w:p>
    <w:p>
      <w:pPr>
        <w:spacing w:line="440" w:lineRule="exact"/>
        <w:ind w:firstLine="560" w:firstLineChars="200"/>
        <w:rPr>
          <w:rFonts w:ascii="仿宋_GB2312" w:hAnsi="仿宋_GB2312" w:eastAsia="仿宋_GB2312" w:cs="仿宋_GB2312"/>
          <w:color w:val="000000"/>
          <w:kern w:val="0"/>
          <w:sz w:val="28"/>
          <w:szCs w:val="28"/>
        </w:rPr>
      </w:pPr>
    </w:p>
    <w:p>
      <w:pPr>
        <w:spacing w:line="440" w:lineRule="exact"/>
        <w:ind w:firstLine="560" w:firstLineChars="200"/>
        <w:rPr>
          <w:rFonts w:ascii="仿宋_GB2312" w:hAnsi="仿宋_GB2312" w:eastAsia="仿宋_GB2312" w:cs="仿宋_GB2312"/>
          <w:color w:val="000000"/>
          <w:kern w:val="0"/>
          <w:sz w:val="28"/>
          <w:szCs w:val="28"/>
        </w:rPr>
      </w:pPr>
    </w:p>
    <w:p>
      <w:pPr>
        <w:spacing w:line="440" w:lineRule="exact"/>
        <w:ind w:firstLine="560" w:firstLineChars="200"/>
        <w:rPr>
          <w:rFonts w:ascii="仿宋_GB2312" w:hAnsi="仿宋_GB2312" w:eastAsia="仿宋_GB2312" w:cs="仿宋_GB2312"/>
          <w:color w:val="000000"/>
          <w:kern w:val="0"/>
          <w:sz w:val="28"/>
          <w:szCs w:val="28"/>
        </w:rPr>
      </w:pPr>
    </w:p>
    <w:p>
      <w:pPr>
        <w:pStyle w:val="66"/>
        <w:ind w:firstLine="560"/>
      </w:pPr>
    </w:p>
    <w:p>
      <w:pPr>
        <w:spacing w:line="440" w:lineRule="exact"/>
        <w:ind w:firstLine="560" w:firstLineChars="200"/>
        <w:rPr>
          <w:rFonts w:ascii="仿宋_GB2312" w:hAnsi="仿宋_GB2312" w:eastAsia="仿宋_GB2312" w:cs="仿宋_GB2312"/>
          <w:color w:val="000000"/>
          <w:kern w:val="0"/>
          <w:sz w:val="28"/>
          <w:szCs w:val="28"/>
        </w:rPr>
      </w:pPr>
    </w:p>
    <w:p>
      <w:pPr>
        <w:pStyle w:val="66"/>
        <w:ind w:firstLine="560"/>
        <w:rPr>
          <w:rFonts w:ascii="仿宋_GB2312" w:hAnsi="仿宋_GB2312" w:eastAsia="仿宋_GB2312" w:cs="仿宋_GB2312"/>
          <w:color w:val="000000"/>
          <w:kern w:val="0"/>
          <w:szCs w:val="28"/>
        </w:rPr>
      </w:pPr>
    </w:p>
    <w:p>
      <w:pPr>
        <w:pStyle w:val="66"/>
        <w:ind w:firstLine="560"/>
        <w:rPr>
          <w:rFonts w:ascii="仿宋_GB2312" w:hAnsi="仿宋_GB2312" w:eastAsia="仿宋_GB2312" w:cs="仿宋_GB2312"/>
          <w:color w:val="000000"/>
          <w:kern w:val="0"/>
          <w:szCs w:val="28"/>
        </w:rPr>
      </w:pPr>
    </w:p>
    <w:p>
      <w:pPr>
        <w:pStyle w:val="66"/>
        <w:ind w:firstLine="560"/>
        <w:rPr>
          <w:rFonts w:ascii="仿宋_GB2312" w:hAnsi="仿宋_GB2312" w:eastAsia="仿宋_GB2312" w:cs="仿宋_GB2312"/>
          <w:color w:val="000000"/>
          <w:kern w:val="0"/>
          <w:szCs w:val="28"/>
        </w:rPr>
      </w:pPr>
    </w:p>
    <w:p>
      <w:pPr>
        <w:snapToGrid w:val="0"/>
        <w:spacing w:beforeLines="50" w:after="50"/>
        <w:rPr>
          <w:rFonts w:ascii="仿宋_GB2312" w:hAnsi="仿宋_GB2312" w:eastAsia="仿宋_GB2312" w:cs="仿宋_GB2312"/>
          <w:color w:val="000000"/>
          <w:kern w:val="0"/>
          <w:sz w:val="32"/>
          <w:szCs w:val="32"/>
        </w:rPr>
      </w:pPr>
      <w:r>
        <w:rPr>
          <w:rFonts w:ascii="仿宋_GB2312" w:hAnsi="仿宋_GB2312" w:eastAsia="仿宋_GB2312" w:cs="仿宋_GB2312"/>
          <w:color w:val="000000"/>
          <w:kern w:val="0"/>
          <w:sz w:val="32"/>
          <w:szCs w:val="32"/>
        </w:rPr>
        <w:t>附件1</w:t>
      </w:r>
    </w:p>
    <w:p>
      <w:pPr>
        <w:ind w:right="-110"/>
        <w:jc w:val="center"/>
        <w:rPr>
          <w:rFonts w:ascii="仿宋_GB2312" w:hAnsi="仿宋_GB2312" w:eastAsia="仿宋_GB2312" w:cs="仿宋_GB2312"/>
          <w:color w:val="000000"/>
          <w:kern w:val="0"/>
          <w:sz w:val="36"/>
          <w:szCs w:val="36"/>
        </w:rPr>
      </w:pPr>
      <w:r>
        <w:rPr>
          <w:rFonts w:ascii="仿宋_GB2312" w:hAnsi="仿宋_GB2312" w:eastAsia="仿宋_GB2312" w:cs="仿宋_GB2312"/>
          <w:color w:val="000000"/>
          <w:kern w:val="0"/>
          <w:sz w:val="36"/>
          <w:szCs w:val="36"/>
        </w:rPr>
        <w:t>项目名称</w:t>
      </w:r>
    </w:p>
    <w:p>
      <w:pPr>
        <w:spacing w:beforeLines="100" w:line="240" w:lineRule="atLeast"/>
        <w:ind w:right="-108"/>
        <w:jc w:val="center"/>
        <w:rPr>
          <w:rFonts w:ascii="仿宋_GB2312" w:hAnsi="仿宋_GB2312" w:eastAsia="仿宋_GB2312" w:cs="仿宋_GB2312"/>
          <w:color w:val="000000"/>
          <w:kern w:val="0"/>
          <w:sz w:val="36"/>
          <w:szCs w:val="36"/>
        </w:rPr>
      </w:pPr>
      <w:r>
        <w:rPr>
          <w:rFonts w:ascii="仿宋_GB2312" w:hAnsi="仿宋_GB2312" w:eastAsia="仿宋_GB2312" w:cs="仿宋_GB2312"/>
          <w:color w:val="000000"/>
          <w:kern w:val="0"/>
          <w:sz w:val="36"/>
          <w:szCs w:val="36"/>
        </w:rPr>
        <w:t>招标编号：</w:t>
      </w:r>
      <w:r>
        <w:rPr>
          <w:rFonts w:hint="eastAsia" w:ascii="仿宋_GB2312" w:hAnsi="仿宋_GB2312" w:eastAsia="仿宋_GB2312" w:cs="仿宋_GB2312"/>
          <w:color w:val="auto"/>
          <w:kern w:val="0"/>
          <w:sz w:val="36"/>
          <w:szCs w:val="36"/>
          <w:highlight w:val="none"/>
          <w:lang w:eastAsia="zh-CN"/>
        </w:rPr>
        <w:t>NBCXZFCG2023108</w:t>
      </w:r>
      <w:r>
        <w:rPr>
          <w:rFonts w:ascii="仿宋_GB2312" w:hAnsi="仿宋_GB2312" w:eastAsia="仿宋_GB2312" w:cs="仿宋_GB2312"/>
          <w:color w:val="000000"/>
          <w:kern w:val="0"/>
          <w:sz w:val="36"/>
          <w:szCs w:val="36"/>
          <w:highlight w:val="none"/>
        </w:rPr>
        <w:t>（</w:t>
      </w:r>
      <w:r>
        <w:rPr>
          <w:rFonts w:ascii="仿宋_GB2312" w:hAnsi="仿宋_GB2312" w:eastAsia="仿宋_GB2312" w:cs="仿宋_GB2312"/>
          <w:color w:val="000000"/>
          <w:kern w:val="0"/>
          <w:sz w:val="36"/>
          <w:szCs w:val="36"/>
        </w:rPr>
        <w:t>标项）</w:t>
      </w:r>
    </w:p>
    <w:p>
      <w:pPr>
        <w:spacing w:after="100" w:afterAutospacing="1" w:line="800" w:lineRule="exact"/>
        <w:ind w:right="-108"/>
        <w:jc w:val="center"/>
        <w:rPr>
          <w:rFonts w:ascii="仿宋_GB2312" w:hAnsi="仿宋_GB2312" w:eastAsia="仿宋_GB2312" w:cs="仿宋_GB2312"/>
          <w:color w:val="000000"/>
          <w:kern w:val="0"/>
          <w:sz w:val="36"/>
          <w:szCs w:val="36"/>
        </w:rPr>
      </w:pPr>
    </w:p>
    <w:p>
      <w:pPr>
        <w:spacing w:after="100" w:afterAutospacing="1" w:line="800" w:lineRule="exact"/>
        <w:ind w:right="-108"/>
        <w:jc w:val="center"/>
        <w:rPr>
          <w:rFonts w:ascii="仿宋_GB2312" w:hAnsi="仿宋_GB2312" w:eastAsia="仿宋_GB2312" w:cs="仿宋_GB2312"/>
          <w:color w:val="000000"/>
          <w:kern w:val="0"/>
          <w:sz w:val="72"/>
          <w:szCs w:val="72"/>
        </w:rPr>
      </w:pPr>
      <w:r>
        <w:rPr>
          <w:rFonts w:ascii="仿宋_GB2312" w:hAnsi="仿宋_GB2312" w:eastAsia="仿宋_GB2312" w:cs="仿宋_GB2312"/>
          <w:color w:val="000000"/>
          <w:kern w:val="0"/>
          <w:sz w:val="72"/>
          <w:szCs w:val="72"/>
        </w:rPr>
        <w:t>资</w:t>
      </w:r>
    </w:p>
    <w:p>
      <w:pPr>
        <w:spacing w:after="100" w:afterAutospacing="1" w:line="800" w:lineRule="exact"/>
        <w:ind w:right="-108"/>
        <w:jc w:val="center"/>
        <w:rPr>
          <w:rFonts w:ascii="仿宋_GB2312" w:hAnsi="仿宋_GB2312" w:eastAsia="仿宋_GB2312" w:cs="仿宋_GB2312"/>
          <w:color w:val="000000"/>
          <w:kern w:val="0"/>
          <w:sz w:val="72"/>
          <w:szCs w:val="72"/>
        </w:rPr>
      </w:pPr>
      <w:r>
        <w:rPr>
          <w:rFonts w:ascii="仿宋_GB2312" w:hAnsi="仿宋_GB2312" w:eastAsia="仿宋_GB2312" w:cs="仿宋_GB2312"/>
          <w:color w:val="000000"/>
          <w:kern w:val="0"/>
          <w:sz w:val="72"/>
          <w:szCs w:val="72"/>
        </w:rPr>
        <w:t>格</w:t>
      </w:r>
    </w:p>
    <w:p>
      <w:pPr>
        <w:spacing w:after="100" w:afterAutospacing="1" w:line="800" w:lineRule="exact"/>
        <w:ind w:right="-108"/>
        <w:jc w:val="center"/>
        <w:rPr>
          <w:rFonts w:ascii="仿宋_GB2312" w:hAnsi="仿宋_GB2312" w:eastAsia="仿宋_GB2312" w:cs="仿宋_GB2312"/>
          <w:color w:val="000000"/>
          <w:kern w:val="0"/>
          <w:sz w:val="72"/>
          <w:szCs w:val="72"/>
        </w:rPr>
      </w:pPr>
      <w:r>
        <w:rPr>
          <w:rFonts w:ascii="仿宋_GB2312" w:hAnsi="仿宋_GB2312" w:eastAsia="仿宋_GB2312" w:cs="仿宋_GB2312"/>
          <w:color w:val="000000"/>
          <w:kern w:val="0"/>
          <w:sz w:val="72"/>
          <w:szCs w:val="72"/>
        </w:rPr>
        <w:t>证</w:t>
      </w:r>
    </w:p>
    <w:p>
      <w:pPr>
        <w:spacing w:after="100" w:afterAutospacing="1" w:line="800" w:lineRule="exact"/>
        <w:ind w:right="-108"/>
        <w:jc w:val="center"/>
        <w:rPr>
          <w:rFonts w:ascii="仿宋_GB2312" w:hAnsi="仿宋_GB2312" w:eastAsia="仿宋_GB2312" w:cs="仿宋_GB2312"/>
          <w:color w:val="000000"/>
          <w:kern w:val="0"/>
          <w:sz w:val="72"/>
          <w:szCs w:val="72"/>
        </w:rPr>
      </w:pPr>
      <w:r>
        <w:rPr>
          <w:rFonts w:ascii="仿宋_GB2312" w:hAnsi="仿宋_GB2312" w:eastAsia="仿宋_GB2312" w:cs="仿宋_GB2312"/>
          <w:color w:val="000000"/>
          <w:kern w:val="0"/>
          <w:sz w:val="72"/>
          <w:szCs w:val="72"/>
        </w:rPr>
        <w:t>明</w:t>
      </w:r>
    </w:p>
    <w:p>
      <w:pPr>
        <w:spacing w:after="100" w:afterAutospacing="1" w:line="800" w:lineRule="exact"/>
        <w:ind w:right="-108"/>
        <w:jc w:val="center"/>
        <w:rPr>
          <w:rFonts w:ascii="仿宋_GB2312" w:hAnsi="仿宋_GB2312" w:eastAsia="仿宋_GB2312" w:cs="仿宋_GB2312"/>
          <w:color w:val="000000"/>
          <w:kern w:val="0"/>
          <w:sz w:val="72"/>
          <w:szCs w:val="72"/>
        </w:rPr>
      </w:pPr>
      <w:r>
        <w:rPr>
          <w:rFonts w:ascii="仿宋_GB2312" w:hAnsi="仿宋_GB2312" w:eastAsia="仿宋_GB2312" w:cs="仿宋_GB2312"/>
          <w:color w:val="000000"/>
          <w:kern w:val="0"/>
          <w:sz w:val="72"/>
          <w:szCs w:val="72"/>
        </w:rPr>
        <w:t>文</w:t>
      </w:r>
    </w:p>
    <w:p>
      <w:pPr>
        <w:spacing w:after="100" w:afterAutospacing="1" w:line="800" w:lineRule="exact"/>
        <w:ind w:right="-108"/>
        <w:jc w:val="center"/>
        <w:rPr>
          <w:rFonts w:ascii="仿宋_GB2312" w:hAnsi="仿宋_GB2312" w:eastAsia="仿宋_GB2312" w:cs="仿宋_GB2312"/>
          <w:color w:val="000000"/>
          <w:kern w:val="0"/>
          <w:sz w:val="72"/>
          <w:szCs w:val="72"/>
        </w:rPr>
      </w:pPr>
      <w:r>
        <w:rPr>
          <w:rFonts w:ascii="仿宋_GB2312" w:hAnsi="仿宋_GB2312" w:eastAsia="仿宋_GB2312" w:cs="仿宋_GB2312"/>
          <w:color w:val="000000"/>
          <w:kern w:val="0"/>
          <w:sz w:val="72"/>
          <w:szCs w:val="72"/>
        </w:rPr>
        <w:t>件</w:t>
      </w:r>
    </w:p>
    <w:p>
      <w:pPr>
        <w:spacing w:line="500" w:lineRule="exact"/>
        <w:ind w:right="532"/>
        <w:rPr>
          <w:rFonts w:ascii="Arial" w:hAnsi="Arial" w:eastAsia="仿宋" w:cs="Arial"/>
          <w:sz w:val="36"/>
          <w:szCs w:val="36"/>
        </w:rPr>
      </w:pPr>
    </w:p>
    <w:p>
      <w:pPr>
        <w:spacing w:line="500" w:lineRule="exact"/>
        <w:ind w:right="532"/>
        <w:rPr>
          <w:rFonts w:ascii="Arial" w:hAnsi="Arial" w:eastAsia="仿宋" w:cs="Arial"/>
          <w:sz w:val="36"/>
          <w:szCs w:val="36"/>
        </w:rPr>
      </w:pPr>
    </w:p>
    <w:p>
      <w:pPr>
        <w:spacing w:line="600" w:lineRule="exact"/>
        <w:ind w:right="532" w:firstLine="720" w:firstLineChars="200"/>
        <w:rPr>
          <w:rFonts w:ascii="仿宋_GB2312" w:hAnsi="仿宋_GB2312" w:eastAsia="仿宋_GB2312" w:cs="仿宋_GB2312"/>
          <w:color w:val="000000"/>
          <w:kern w:val="0"/>
          <w:sz w:val="36"/>
          <w:szCs w:val="36"/>
        </w:rPr>
      </w:pPr>
      <w:r>
        <w:rPr>
          <w:rFonts w:ascii="仿宋_GB2312" w:hAnsi="仿宋_GB2312" w:eastAsia="仿宋_GB2312" w:cs="仿宋_GB2312"/>
          <w:color w:val="000000"/>
          <w:kern w:val="0"/>
          <w:sz w:val="36"/>
          <w:szCs w:val="36"/>
        </w:rPr>
        <w:t>投标人全称（公章）：</w:t>
      </w:r>
    </w:p>
    <w:p>
      <w:pPr>
        <w:spacing w:line="600" w:lineRule="exact"/>
        <w:ind w:right="532" w:firstLine="720" w:firstLineChars="200"/>
        <w:rPr>
          <w:rFonts w:ascii="仿宋_GB2312" w:hAnsi="仿宋_GB2312" w:eastAsia="仿宋_GB2312" w:cs="仿宋_GB2312"/>
          <w:color w:val="000000"/>
          <w:kern w:val="0"/>
          <w:sz w:val="36"/>
          <w:szCs w:val="36"/>
        </w:rPr>
      </w:pPr>
      <w:r>
        <w:rPr>
          <w:rFonts w:ascii="仿宋_GB2312" w:hAnsi="仿宋_GB2312" w:eastAsia="仿宋_GB2312" w:cs="仿宋_GB2312"/>
          <w:color w:val="000000"/>
          <w:kern w:val="0"/>
          <w:sz w:val="36"/>
          <w:szCs w:val="36"/>
        </w:rPr>
        <w:t>地    址：</w:t>
      </w:r>
    </w:p>
    <w:p>
      <w:pPr>
        <w:spacing w:line="600" w:lineRule="exact"/>
        <w:ind w:right="532" w:firstLine="720" w:firstLineChars="200"/>
        <w:rPr>
          <w:rFonts w:ascii="仿宋_GB2312" w:hAnsi="仿宋_GB2312" w:eastAsia="仿宋_GB2312" w:cs="仿宋_GB2312"/>
          <w:color w:val="000000"/>
          <w:kern w:val="0"/>
          <w:sz w:val="36"/>
          <w:szCs w:val="36"/>
        </w:rPr>
      </w:pPr>
      <w:r>
        <w:rPr>
          <w:rFonts w:ascii="仿宋_GB2312" w:hAnsi="仿宋_GB2312" w:eastAsia="仿宋_GB2312" w:cs="仿宋_GB2312"/>
          <w:color w:val="000000"/>
          <w:kern w:val="0"/>
          <w:sz w:val="36"/>
          <w:szCs w:val="36"/>
        </w:rPr>
        <w:t>时    间：</w:t>
      </w:r>
    </w:p>
    <w:p>
      <w:pPr>
        <w:spacing w:line="440" w:lineRule="exact"/>
        <w:outlineLvl w:val="1"/>
        <w:rPr>
          <w:rFonts w:ascii="仿宋_GB2312" w:hAnsi="仿宋_GB2312" w:eastAsia="仿宋_GB2312" w:cs="仿宋_GB2312"/>
          <w:color w:val="000000"/>
          <w:kern w:val="0"/>
          <w:sz w:val="32"/>
          <w:szCs w:val="32"/>
        </w:rPr>
      </w:pPr>
      <w:bookmarkStart w:id="29" w:name="_Toc360457890"/>
      <w:bookmarkStart w:id="30" w:name="_Toc231780371"/>
    </w:p>
    <w:p>
      <w:pPr>
        <w:spacing w:line="440" w:lineRule="exact"/>
        <w:outlineLvl w:val="1"/>
        <w:rPr>
          <w:rFonts w:ascii="仿宋_GB2312" w:hAnsi="仿宋_GB2312" w:eastAsia="仿宋_GB2312" w:cs="仿宋_GB2312"/>
          <w:color w:val="000000"/>
          <w:kern w:val="0"/>
          <w:sz w:val="32"/>
          <w:szCs w:val="32"/>
        </w:rPr>
      </w:pPr>
    </w:p>
    <w:p>
      <w:pPr>
        <w:pStyle w:val="66"/>
        <w:ind w:firstLine="560"/>
      </w:pPr>
    </w:p>
    <w:bookmarkEnd w:id="29"/>
    <w:bookmarkEnd w:id="30"/>
    <w:p>
      <w:pPr>
        <w:spacing w:line="440" w:lineRule="exact"/>
        <w:outlineLvl w:val="1"/>
        <w:rPr>
          <w:rFonts w:ascii="仿宋_GB2312" w:hAnsi="仿宋_GB2312" w:eastAsia="仿宋_GB2312" w:cs="仿宋_GB2312"/>
          <w:color w:val="000000"/>
          <w:kern w:val="0"/>
          <w:sz w:val="36"/>
          <w:szCs w:val="36"/>
        </w:rPr>
      </w:pPr>
      <w:r>
        <w:rPr>
          <w:rFonts w:ascii="仿宋_GB2312" w:hAnsi="仿宋_GB2312" w:eastAsia="仿宋_GB2312" w:cs="仿宋_GB2312"/>
          <w:color w:val="000000"/>
          <w:kern w:val="0"/>
          <w:sz w:val="32"/>
          <w:szCs w:val="32"/>
        </w:rPr>
        <w:t xml:space="preserve">附件2  </w:t>
      </w:r>
    </w:p>
    <w:p>
      <w:pPr>
        <w:spacing w:after="240" w:line="440" w:lineRule="exact"/>
        <w:jc w:val="center"/>
        <w:outlineLvl w:val="1"/>
        <w:rPr>
          <w:rFonts w:ascii="Arial" w:hAnsi="Arial" w:eastAsia="仿宋" w:cs="Arial"/>
          <w:b/>
          <w:sz w:val="36"/>
          <w:szCs w:val="30"/>
        </w:rPr>
      </w:pPr>
      <w:r>
        <w:rPr>
          <w:rFonts w:ascii="仿宋_GB2312" w:hAnsi="仿宋_GB2312" w:eastAsia="仿宋_GB2312" w:cs="仿宋_GB2312"/>
          <w:color w:val="000000"/>
          <w:kern w:val="0"/>
          <w:sz w:val="36"/>
          <w:szCs w:val="36"/>
        </w:rPr>
        <w:t>投标函</w:t>
      </w:r>
    </w:p>
    <w:p>
      <w:pPr>
        <w:snapToGrid w:val="0"/>
        <w:spacing w:beforeLines="50" w:line="440" w:lineRule="exact"/>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致慈溪市政府采购中心：</w:t>
      </w:r>
    </w:p>
    <w:p>
      <w:pPr>
        <w:snapToGrid w:val="0"/>
        <w:spacing w:beforeLines="50" w:line="440" w:lineRule="exact"/>
        <w:ind w:firstLine="480" w:firstLineChars="200"/>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u w:val="single"/>
        </w:rPr>
        <w:t xml:space="preserve">（投标人名称）      </w:t>
      </w:r>
      <w:r>
        <w:rPr>
          <w:rFonts w:ascii="仿宋_GB2312" w:hAnsi="仿宋_GB2312" w:eastAsia="仿宋_GB2312" w:cs="仿宋_GB2312"/>
          <w:color w:val="000000"/>
          <w:kern w:val="0"/>
          <w:sz w:val="24"/>
        </w:rPr>
        <w:t>系中华人民共和国合法企业，经营地址</w:t>
      </w:r>
      <w:r>
        <w:rPr>
          <w:rFonts w:hint="eastAsia" w:ascii="仿宋_GB2312" w:hAnsi="仿宋_GB2312" w:eastAsia="仿宋_GB2312" w:cs="仿宋_GB2312"/>
          <w:color w:val="000000"/>
          <w:kern w:val="0"/>
          <w:sz w:val="24"/>
        </w:rPr>
        <w:t>____________</w:t>
      </w:r>
      <w:r>
        <w:rPr>
          <w:rFonts w:ascii="仿宋_GB2312" w:hAnsi="仿宋_GB2312" w:eastAsia="仿宋_GB2312" w:cs="仿宋_GB2312"/>
          <w:color w:val="000000"/>
          <w:kern w:val="0"/>
          <w:sz w:val="24"/>
        </w:rPr>
        <w:t>。</w:t>
      </w:r>
    </w:p>
    <w:p>
      <w:pPr>
        <w:snapToGrid w:val="0"/>
        <w:spacing w:beforeLines="50" w:line="440" w:lineRule="exact"/>
        <w:ind w:firstLine="480" w:firstLineChars="200"/>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我</w:t>
      </w:r>
      <w:r>
        <w:rPr>
          <w:rFonts w:ascii="仿宋_GB2312" w:hAnsi="仿宋_GB2312" w:eastAsia="仿宋_GB2312" w:cs="仿宋_GB2312"/>
          <w:color w:val="000000"/>
          <w:kern w:val="0"/>
          <w:sz w:val="24"/>
          <w:u w:val="single"/>
        </w:rPr>
        <w:t>（姓名）</w:t>
      </w:r>
      <w:r>
        <w:rPr>
          <w:rFonts w:ascii="仿宋_GB2312" w:hAnsi="仿宋_GB2312" w:eastAsia="仿宋_GB2312" w:cs="仿宋_GB2312"/>
          <w:color w:val="000000"/>
          <w:kern w:val="0"/>
          <w:sz w:val="24"/>
        </w:rPr>
        <w:t>系</w:t>
      </w:r>
      <w:r>
        <w:rPr>
          <w:rFonts w:ascii="仿宋_GB2312" w:hAnsi="仿宋_GB2312" w:eastAsia="仿宋_GB2312" w:cs="仿宋_GB2312"/>
          <w:color w:val="000000"/>
          <w:kern w:val="0"/>
          <w:sz w:val="24"/>
          <w:u w:val="single"/>
        </w:rPr>
        <w:t>（投标人名称）</w:t>
      </w:r>
      <w:r>
        <w:rPr>
          <w:rFonts w:ascii="仿宋_GB2312" w:hAnsi="仿宋_GB2312" w:eastAsia="仿宋_GB2312" w:cs="仿宋_GB2312"/>
          <w:color w:val="000000"/>
          <w:kern w:val="0"/>
          <w:sz w:val="24"/>
        </w:rPr>
        <w:t>的法定代表人/负责人，我方愿意参加贵方组织的</w:t>
      </w:r>
      <w:r>
        <w:rPr>
          <w:rFonts w:ascii="仿宋_GB2312" w:hAnsi="仿宋_GB2312" w:eastAsia="仿宋_GB2312" w:cs="仿宋_GB2312"/>
          <w:color w:val="000000"/>
          <w:kern w:val="0"/>
          <w:sz w:val="24"/>
          <w:u w:val="single"/>
        </w:rPr>
        <w:t>（招标项目名称）</w:t>
      </w:r>
      <w:r>
        <w:rPr>
          <w:rFonts w:ascii="仿宋_GB2312" w:hAnsi="仿宋_GB2312" w:eastAsia="仿宋_GB2312" w:cs="仿宋_GB2312"/>
          <w:color w:val="000000"/>
          <w:kern w:val="0"/>
          <w:sz w:val="24"/>
        </w:rPr>
        <w:t>（招标编号为</w:t>
      </w:r>
      <w:r>
        <w:rPr>
          <w:rFonts w:hint="eastAsia" w:ascii="仿宋_GB2312" w:hAnsi="仿宋_GB2312" w:eastAsia="仿宋_GB2312" w:cs="仿宋_GB2312"/>
          <w:color w:val="000000"/>
          <w:kern w:val="0"/>
          <w:sz w:val="24"/>
          <w:highlight w:val="none"/>
          <w:u w:val="single"/>
          <w:lang w:eastAsia="zh-CN"/>
        </w:rPr>
        <w:t>NBCXZFCG2023108</w:t>
      </w:r>
      <w:r>
        <w:rPr>
          <w:rFonts w:ascii="仿宋_GB2312" w:hAnsi="仿宋_GB2312" w:eastAsia="仿宋_GB2312" w:cs="仿宋_GB2312"/>
          <w:color w:val="000000"/>
          <w:kern w:val="0"/>
          <w:sz w:val="24"/>
          <w:highlight w:val="none"/>
        </w:rPr>
        <w:t>）的</w:t>
      </w:r>
      <w:r>
        <w:rPr>
          <w:rFonts w:ascii="仿宋_GB2312" w:hAnsi="仿宋_GB2312" w:eastAsia="仿宋_GB2312" w:cs="仿宋_GB2312"/>
          <w:color w:val="000000"/>
          <w:kern w:val="0"/>
          <w:sz w:val="24"/>
        </w:rPr>
        <w:t>投标，为此，我方就本次投标有关事项郑重声明如下：</w:t>
      </w:r>
    </w:p>
    <w:p>
      <w:pPr>
        <w:snapToGrid w:val="0"/>
        <w:spacing w:beforeLines="50" w:line="440" w:lineRule="exact"/>
        <w:ind w:firstLine="480" w:firstLineChars="200"/>
        <w:rPr>
          <w:rFonts w:ascii="仿宋_GB2312" w:hAnsi="仿宋_GB2312" w:eastAsia="仿宋_GB2312" w:cs="仿宋_GB2312"/>
          <w:kern w:val="0"/>
          <w:sz w:val="24"/>
        </w:rPr>
      </w:pPr>
      <w:r>
        <w:rPr>
          <w:rFonts w:hint="eastAsia" w:ascii="仿宋_GB2312" w:hAnsi="仿宋_GB2312" w:eastAsia="仿宋_GB2312" w:cs="仿宋_GB2312"/>
          <w:kern w:val="0"/>
          <w:sz w:val="24"/>
        </w:rPr>
        <w:t>1、我方完全具备《中华人民共和国政府采购法》第二十二条规定的参加政府采购活动的条件，具有独立承担民事责任的能力、具有良好的商业信誉和健全的财务会计制度、具有履行合同所必需的设备和专业技术能力、有依法缴纳税收和社会保障资金的良好记录、参加政府采购活动前三年内，在经营活动中没有重大违法记录、及符合法律、行政法规规定的其他条件。</w:t>
      </w:r>
    </w:p>
    <w:p>
      <w:pPr>
        <w:snapToGrid w:val="0"/>
        <w:spacing w:beforeLines="50" w:line="440" w:lineRule="exact"/>
        <w:ind w:firstLine="480" w:firstLineChars="200"/>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2</w:t>
      </w:r>
      <w:r>
        <w:rPr>
          <w:rFonts w:ascii="仿宋_GB2312" w:hAnsi="仿宋_GB2312" w:eastAsia="仿宋_GB2312" w:cs="仿宋_GB2312"/>
          <w:color w:val="000000"/>
          <w:kern w:val="0"/>
          <w:sz w:val="24"/>
        </w:rPr>
        <w:t>、我方已详细审查全部招标文件，同意招标文件的各项要求。</w:t>
      </w:r>
    </w:p>
    <w:p>
      <w:pPr>
        <w:snapToGrid w:val="0"/>
        <w:spacing w:beforeLines="50" w:line="440" w:lineRule="exact"/>
        <w:ind w:firstLine="480" w:firstLineChars="200"/>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3</w:t>
      </w:r>
      <w:r>
        <w:rPr>
          <w:rFonts w:ascii="仿宋_GB2312" w:hAnsi="仿宋_GB2312" w:eastAsia="仿宋_GB2312" w:cs="仿宋_GB2312"/>
          <w:color w:val="000000"/>
          <w:kern w:val="0"/>
          <w:sz w:val="24"/>
        </w:rPr>
        <w:t>、我方向贵方提交的所有投标文件、资料都是准确的和真实的。</w:t>
      </w:r>
    </w:p>
    <w:p>
      <w:pPr>
        <w:snapToGrid w:val="0"/>
        <w:spacing w:beforeLines="50" w:line="440" w:lineRule="exact"/>
        <w:ind w:firstLine="480" w:firstLineChars="200"/>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4</w:t>
      </w:r>
      <w:r>
        <w:rPr>
          <w:rFonts w:ascii="仿宋_GB2312" w:hAnsi="仿宋_GB2312" w:eastAsia="仿宋_GB2312" w:cs="仿宋_GB2312"/>
          <w:color w:val="000000"/>
          <w:kern w:val="0"/>
          <w:sz w:val="24"/>
        </w:rPr>
        <w:t>、若中标，我方将按招标文件规定履行合同责任和义务。</w:t>
      </w:r>
    </w:p>
    <w:p>
      <w:pPr>
        <w:snapToGrid w:val="0"/>
        <w:spacing w:beforeLines="50" w:line="440" w:lineRule="exact"/>
        <w:ind w:firstLine="480" w:firstLineChars="200"/>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5</w:t>
      </w:r>
      <w:r>
        <w:rPr>
          <w:rFonts w:ascii="仿宋_GB2312" w:hAnsi="仿宋_GB2312" w:eastAsia="仿宋_GB2312" w:cs="仿宋_GB2312"/>
          <w:color w:val="000000"/>
          <w:kern w:val="0"/>
          <w:sz w:val="24"/>
        </w:rPr>
        <w:t>、我方不是采购人的附属机构；在获知本项目采购信息后，与采购人聘请的为此项目提供咨询服务的公司及其附属机构没有任何联系。</w:t>
      </w:r>
    </w:p>
    <w:p>
      <w:pPr>
        <w:snapToGrid w:val="0"/>
        <w:spacing w:beforeLines="50" w:line="440" w:lineRule="exact"/>
        <w:ind w:firstLine="480" w:firstLineChars="200"/>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6</w:t>
      </w:r>
      <w:r>
        <w:rPr>
          <w:rFonts w:ascii="仿宋_GB2312" w:hAnsi="仿宋_GB2312" w:eastAsia="仿宋_GB2312" w:cs="仿宋_GB2312"/>
          <w:color w:val="000000"/>
          <w:kern w:val="0"/>
          <w:sz w:val="24"/>
        </w:rPr>
        <w:t>、投标有效期为自投标文件提交截止之日起90日历天。</w:t>
      </w:r>
    </w:p>
    <w:p>
      <w:pPr>
        <w:snapToGrid w:val="0"/>
        <w:spacing w:beforeLines="50" w:line="440" w:lineRule="exact"/>
        <w:ind w:firstLine="480" w:firstLineChars="200"/>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7</w:t>
      </w:r>
      <w:r>
        <w:rPr>
          <w:rFonts w:ascii="仿宋_GB2312" w:hAnsi="仿宋_GB2312" w:eastAsia="仿宋_GB2312" w:cs="仿宋_GB2312"/>
          <w:color w:val="000000"/>
          <w:kern w:val="0"/>
          <w:sz w:val="24"/>
        </w:rPr>
        <w:t>、我方通过“信用中国”网站、中国政府采购网查询，未被列入失信被执行人、重大税收违法案件当事人名单、政府采购严重违法失信行为记录名单。</w:t>
      </w:r>
    </w:p>
    <w:p>
      <w:pPr>
        <w:snapToGrid w:val="0"/>
        <w:spacing w:beforeLines="50" w:line="440" w:lineRule="exact"/>
        <w:ind w:firstLine="480" w:firstLineChars="200"/>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8</w:t>
      </w:r>
      <w:r>
        <w:rPr>
          <w:rFonts w:ascii="仿宋_GB2312" w:hAnsi="仿宋_GB2312" w:eastAsia="仿宋_GB2312" w:cs="仿宋_GB2312"/>
          <w:color w:val="000000"/>
          <w:kern w:val="0"/>
          <w:sz w:val="24"/>
        </w:rPr>
        <w:t>、以上事项如有虚假或隐瞒，我方愿意承担一切后果，并不再寻求任何旨在减轻或免除法律责任的辩解。</w:t>
      </w:r>
    </w:p>
    <w:p>
      <w:pPr>
        <w:snapToGrid w:val="0"/>
        <w:spacing w:beforeLines="50" w:line="440" w:lineRule="exact"/>
        <w:ind w:firstLine="120" w:firstLineChars="50"/>
        <w:rPr>
          <w:rFonts w:ascii="仿宋_GB2312" w:hAnsi="仿宋_GB2312" w:eastAsia="仿宋_GB2312" w:cs="仿宋_GB2312"/>
          <w:color w:val="000000"/>
          <w:kern w:val="0"/>
          <w:sz w:val="24"/>
        </w:rPr>
      </w:pPr>
    </w:p>
    <w:p>
      <w:pPr>
        <w:snapToGrid w:val="0"/>
        <w:spacing w:beforeLines="50" w:line="440" w:lineRule="exact"/>
        <w:ind w:firstLine="3480" w:firstLineChars="1450"/>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 xml:space="preserve">投标人全称（公章）：                    </w:t>
      </w:r>
    </w:p>
    <w:p>
      <w:pPr>
        <w:tabs>
          <w:tab w:val="left" w:pos="7980"/>
        </w:tabs>
        <w:snapToGrid w:val="0"/>
        <w:spacing w:beforeLines="50" w:after="50" w:line="460" w:lineRule="exact"/>
        <w:ind w:right="-180" w:firstLine="3480" w:firstLineChars="1450"/>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法定代表人签名（或签名章</w:t>
      </w:r>
      <w:r>
        <w:rPr>
          <w:rFonts w:hint="eastAsia" w:ascii="仿宋_GB2312" w:hAnsi="仿宋_GB2312" w:eastAsia="仿宋_GB2312" w:cs="仿宋_GB2312"/>
          <w:color w:val="000000"/>
          <w:kern w:val="0"/>
          <w:sz w:val="24"/>
        </w:rPr>
        <w:t>/法人章</w:t>
      </w:r>
      <w:r>
        <w:rPr>
          <w:rFonts w:ascii="仿宋_GB2312" w:hAnsi="仿宋_GB2312" w:eastAsia="仿宋_GB2312" w:cs="仿宋_GB2312"/>
          <w:color w:val="000000"/>
          <w:kern w:val="0"/>
          <w:sz w:val="24"/>
        </w:rPr>
        <w:t xml:space="preserve">）：          </w:t>
      </w:r>
    </w:p>
    <w:p>
      <w:pPr>
        <w:snapToGrid w:val="0"/>
        <w:spacing w:line="440" w:lineRule="exact"/>
        <w:ind w:firstLine="3480" w:firstLineChars="1450"/>
        <w:rPr>
          <w:rFonts w:ascii="Arial" w:hAnsi="Arial" w:eastAsia="仿宋" w:cs="Arial"/>
          <w:kern w:val="0"/>
          <w:sz w:val="24"/>
        </w:rPr>
      </w:pPr>
      <w:r>
        <w:rPr>
          <w:rFonts w:ascii="仿宋_GB2312" w:hAnsi="仿宋_GB2312" w:eastAsia="仿宋_GB2312" w:cs="仿宋_GB2312"/>
          <w:color w:val="000000"/>
          <w:kern w:val="0"/>
          <w:sz w:val="24"/>
        </w:rPr>
        <w:t>日期：       年      月      日</w:t>
      </w:r>
    </w:p>
    <w:p>
      <w:pPr>
        <w:spacing w:line="440" w:lineRule="exact"/>
        <w:outlineLvl w:val="1"/>
        <w:rPr>
          <w:rFonts w:ascii="Arial" w:hAnsi="Arial" w:eastAsia="仿宋" w:cs="Arial"/>
          <w:b/>
          <w:sz w:val="36"/>
          <w:szCs w:val="30"/>
        </w:rPr>
      </w:pPr>
      <w:bookmarkStart w:id="31" w:name="_Toc231780373"/>
      <w:bookmarkStart w:id="32" w:name="_Toc360457892"/>
      <w:r>
        <w:rPr>
          <w:rFonts w:ascii="仿宋_GB2312" w:hAnsi="仿宋_GB2312" w:eastAsia="仿宋_GB2312" w:cs="仿宋_GB2312"/>
          <w:color w:val="000000"/>
          <w:kern w:val="0"/>
          <w:sz w:val="32"/>
          <w:szCs w:val="32"/>
        </w:rPr>
        <w:t>附件</w:t>
      </w:r>
      <w:r>
        <w:rPr>
          <w:rFonts w:hint="eastAsia" w:ascii="仿宋_GB2312" w:hAnsi="仿宋_GB2312" w:eastAsia="仿宋_GB2312" w:cs="仿宋_GB2312"/>
          <w:color w:val="000000"/>
          <w:kern w:val="0"/>
          <w:sz w:val="32"/>
          <w:szCs w:val="32"/>
        </w:rPr>
        <w:t>3</w:t>
      </w:r>
    </w:p>
    <w:p>
      <w:pPr>
        <w:spacing w:line="440" w:lineRule="exact"/>
        <w:jc w:val="center"/>
        <w:outlineLvl w:val="1"/>
        <w:rPr>
          <w:rFonts w:ascii="仿宋_GB2312" w:hAnsi="仿宋_GB2312" w:eastAsia="仿宋_GB2312" w:cs="仿宋_GB2312"/>
          <w:color w:val="000000"/>
          <w:kern w:val="0"/>
          <w:sz w:val="36"/>
          <w:szCs w:val="36"/>
        </w:rPr>
      </w:pPr>
      <w:r>
        <w:rPr>
          <w:rFonts w:ascii="仿宋_GB2312" w:hAnsi="仿宋_GB2312" w:eastAsia="仿宋_GB2312" w:cs="仿宋_GB2312"/>
          <w:color w:val="000000"/>
          <w:kern w:val="0"/>
          <w:sz w:val="36"/>
          <w:szCs w:val="36"/>
        </w:rPr>
        <w:t>法定代表人授权委托书</w:t>
      </w:r>
      <w:bookmarkEnd w:id="31"/>
      <w:bookmarkEnd w:id="32"/>
    </w:p>
    <w:p>
      <w:pPr>
        <w:spacing w:line="440" w:lineRule="exact"/>
        <w:jc w:val="center"/>
        <w:rPr>
          <w:rFonts w:ascii="Arial" w:hAnsi="Arial" w:eastAsia="仿宋" w:cs="Arial"/>
          <w:b/>
          <w:sz w:val="28"/>
          <w:szCs w:val="28"/>
        </w:rPr>
      </w:pPr>
    </w:p>
    <w:p>
      <w:pPr>
        <w:snapToGrid w:val="0"/>
        <w:spacing w:beforeLines="50" w:after="50" w:line="460" w:lineRule="exact"/>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慈溪市政府采购中心：</w:t>
      </w:r>
    </w:p>
    <w:p>
      <w:pPr>
        <w:snapToGrid w:val="0"/>
        <w:spacing w:beforeLines="50" w:line="440" w:lineRule="exact"/>
        <w:ind w:firstLine="480" w:firstLineChars="200"/>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本人</w:t>
      </w:r>
      <w:r>
        <w:rPr>
          <w:rFonts w:ascii="仿宋_GB2312" w:hAnsi="仿宋_GB2312" w:eastAsia="仿宋_GB2312" w:cs="仿宋_GB2312"/>
          <w:color w:val="000000"/>
          <w:kern w:val="0"/>
          <w:sz w:val="24"/>
          <w:u w:val="single"/>
        </w:rPr>
        <w:t xml:space="preserve">  （姓名） </w:t>
      </w:r>
      <w:r>
        <w:rPr>
          <w:rFonts w:ascii="仿宋_GB2312" w:hAnsi="仿宋_GB2312" w:eastAsia="仿宋_GB2312" w:cs="仿宋_GB2312"/>
          <w:color w:val="000000"/>
          <w:kern w:val="0"/>
          <w:sz w:val="24"/>
        </w:rPr>
        <w:t>系</w:t>
      </w:r>
      <w:r>
        <w:rPr>
          <w:rFonts w:ascii="仿宋_GB2312" w:hAnsi="仿宋_GB2312" w:eastAsia="仿宋_GB2312" w:cs="仿宋_GB2312"/>
          <w:color w:val="000000"/>
          <w:kern w:val="0"/>
          <w:sz w:val="24"/>
          <w:u w:val="single"/>
        </w:rPr>
        <w:t>（投标人名称）</w:t>
      </w:r>
      <w:r>
        <w:rPr>
          <w:rFonts w:ascii="仿宋_GB2312" w:hAnsi="仿宋_GB2312" w:eastAsia="仿宋_GB2312" w:cs="仿宋_GB2312"/>
          <w:color w:val="000000"/>
          <w:kern w:val="0"/>
          <w:sz w:val="24"/>
        </w:rPr>
        <w:t>的法定代表人，现授权委托本单位在职职工</w:t>
      </w:r>
      <w:r>
        <w:rPr>
          <w:rFonts w:hint="eastAsia" w:ascii="仿宋_GB2312" w:hAnsi="仿宋_GB2312" w:eastAsia="仿宋_GB2312" w:cs="仿宋_GB2312"/>
          <w:color w:val="000000"/>
          <w:kern w:val="0"/>
          <w:sz w:val="24"/>
          <w:u w:val="single"/>
        </w:rPr>
        <w:t>（姓名）</w:t>
      </w:r>
      <w:r>
        <w:rPr>
          <w:rFonts w:ascii="仿宋_GB2312" w:hAnsi="仿宋_GB2312" w:eastAsia="仿宋_GB2312" w:cs="仿宋_GB2312"/>
          <w:color w:val="000000"/>
          <w:kern w:val="0"/>
          <w:sz w:val="24"/>
        </w:rPr>
        <w:t>为</w:t>
      </w:r>
      <w:r>
        <w:rPr>
          <w:rFonts w:hint="eastAsia" w:ascii="仿宋_GB2312" w:hAnsi="仿宋_GB2312" w:eastAsia="仿宋_GB2312" w:cs="仿宋_GB2312"/>
          <w:color w:val="000000"/>
          <w:kern w:val="0"/>
          <w:sz w:val="24"/>
        </w:rPr>
        <w:t>我方代理人</w:t>
      </w:r>
      <w:r>
        <w:rPr>
          <w:rFonts w:ascii="仿宋_GB2312" w:hAnsi="仿宋_GB2312" w:eastAsia="仿宋_GB2312" w:cs="仿宋_GB2312"/>
          <w:color w:val="000000"/>
          <w:kern w:val="0"/>
          <w:sz w:val="24"/>
        </w:rPr>
        <w:t>，以我方的名义参加</w:t>
      </w:r>
      <w:r>
        <w:rPr>
          <w:rFonts w:ascii="仿宋_GB2312" w:hAnsi="仿宋_GB2312" w:eastAsia="仿宋_GB2312" w:cs="仿宋_GB2312"/>
          <w:color w:val="000000"/>
          <w:kern w:val="0"/>
          <w:sz w:val="24"/>
          <w:u w:val="single"/>
        </w:rPr>
        <w:t>（招标项目名称）</w:t>
      </w:r>
      <w:r>
        <w:rPr>
          <w:rFonts w:ascii="仿宋_GB2312" w:hAnsi="仿宋_GB2312" w:eastAsia="仿宋_GB2312" w:cs="仿宋_GB2312"/>
          <w:color w:val="000000"/>
          <w:kern w:val="0"/>
          <w:sz w:val="24"/>
        </w:rPr>
        <w:t>（招标编号为</w:t>
      </w:r>
      <w:r>
        <w:rPr>
          <w:rFonts w:hint="eastAsia" w:ascii="仿宋_GB2312" w:hAnsi="仿宋_GB2312" w:eastAsia="仿宋_GB2312" w:cs="仿宋_GB2312"/>
          <w:color w:val="000000"/>
          <w:kern w:val="0"/>
          <w:sz w:val="24"/>
          <w:highlight w:val="none"/>
          <w:u w:val="single"/>
          <w:lang w:eastAsia="zh-CN"/>
        </w:rPr>
        <w:t>NBCXZFCG2023108</w:t>
      </w:r>
      <w:r>
        <w:rPr>
          <w:rFonts w:ascii="仿宋_GB2312" w:hAnsi="仿宋_GB2312" w:eastAsia="仿宋_GB2312" w:cs="仿宋_GB2312"/>
          <w:color w:val="000000"/>
          <w:kern w:val="0"/>
          <w:sz w:val="24"/>
          <w:highlight w:val="none"/>
        </w:rPr>
        <w:t>）的</w:t>
      </w:r>
      <w:r>
        <w:rPr>
          <w:rFonts w:ascii="仿宋_GB2312" w:hAnsi="仿宋_GB2312" w:eastAsia="仿宋_GB2312" w:cs="仿宋_GB2312"/>
          <w:color w:val="000000"/>
          <w:kern w:val="0"/>
          <w:sz w:val="24"/>
        </w:rPr>
        <w:t>投标活动，并代表我方全权办理针对上述项目的投标、开标、评标、签约等</w:t>
      </w:r>
      <w:r>
        <w:rPr>
          <w:rFonts w:hint="eastAsia" w:ascii="仿宋_GB2312" w:hAnsi="仿宋_GB2312" w:eastAsia="仿宋_GB2312" w:cs="仿宋_GB2312"/>
          <w:color w:val="000000"/>
          <w:kern w:val="0"/>
          <w:sz w:val="24"/>
        </w:rPr>
        <w:t>相关事宜</w:t>
      </w:r>
      <w:r>
        <w:rPr>
          <w:rFonts w:ascii="仿宋_GB2312" w:hAnsi="仿宋_GB2312" w:eastAsia="仿宋_GB2312" w:cs="仿宋_GB2312"/>
          <w:color w:val="000000"/>
          <w:kern w:val="0"/>
          <w:sz w:val="24"/>
        </w:rPr>
        <w:t>。我方</w:t>
      </w:r>
      <w:r>
        <w:rPr>
          <w:rFonts w:hint="eastAsia" w:ascii="仿宋_GB2312" w:hAnsi="仿宋_GB2312" w:eastAsia="仿宋_GB2312" w:cs="仿宋_GB2312"/>
          <w:color w:val="000000"/>
          <w:kern w:val="0"/>
          <w:sz w:val="24"/>
        </w:rPr>
        <w:t>对</w:t>
      </w:r>
      <w:r>
        <w:rPr>
          <w:rFonts w:ascii="仿宋_GB2312" w:hAnsi="仿宋_GB2312" w:eastAsia="仿宋_GB2312" w:cs="仿宋_GB2312"/>
          <w:color w:val="000000"/>
          <w:kern w:val="0"/>
          <w:sz w:val="24"/>
        </w:rPr>
        <w:t>代理人的签名事项负全部责任。</w:t>
      </w:r>
    </w:p>
    <w:p>
      <w:pPr>
        <w:snapToGrid w:val="0"/>
        <w:spacing w:beforeLines="50" w:line="440" w:lineRule="exact"/>
        <w:ind w:firstLine="480" w:firstLineChars="200"/>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在撤销授权的书面通知以前，本授权书一直有效。</w:t>
      </w:r>
      <w:r>
        <w:rPr>
          <w:rFonts w:hint="eastAsia" w:ascii="仿宋_GB2312" w:hAnsi="仿宋_GB2312" w:eastAsia="仿宋_GB2312" w:cs="仿宋_GB2312"/>
          <w:color w:val="000000"/>
          <w:kern w:val="0"/>
          <w:sz w:val="24"/>
        </w:rPr>
        <w:t>代理人</w:t>
      </w:r>
      <w:r>
        <w:rPr>
          <w:rFonts w:ascii="仿宋_GB2312" w:hAnsi="仿宋_GB2312" w:eastAsia="仿宋_GB2312" w:cs="仿宋_GB2312"/>
          <w:color w:val="000000"/>
          <w:kern w:val="0"/>
          <w:sz w:val="24"/>
        </w:rPr>
        <w:t>在授权书有效期内签署的所有文件不因授权的撤销而失效。</w:t>
      </w:r>
    </w:p>
    <w:p>
      <w:pPr>
        <w:snapToGrid w:val="0"/>
        <w:spacing w:beforeLines="50" w:line="440" w:lineRule="exact"/>
        <w:ind w:firstLine="480" w:firstLineChars="200"/>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委托期限：</w:t>
      </w:r>
    </w:p>
    <w:p>
      <w:pPr>
        <w:snapToGrid w:val="0"/>
        <w:spacing w:beforeLines="50" w:line="440" w:lineRule="exact"/>
        <w:ind w:firstLine="480" w:firstLineChars="200"/>
        <w:rPr>
          <w:rFonts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代理人</w:t>
      </w:r>
      <w:r>
        <w:rPr>
          <w:rFonts w:ascii="仿宋_GB2312" w:hAnsi="仿宋_GB2312" w:eastAsia="仿宋_GB2312" w:cs="仿宋_GB2312"/>
          <w:color w:val="000000"/>
          <w:kern w:val="0"/>
          <w:sz w:val="24"/>
        </w:rPr>
        <w:t>无转委托权。</w:t>
      </w:r>
    </w:p>
    <w:p>
      <w:pPr>
        <w:pStyle w:val="38"/>
        <w:snapToGrid w:val="0"/>
        <w:spacing w:line="440" w:lineRule="exact"/>
        <w:ind w:firstLine="480" w:firstLineChars="200"/>
        <w:jc w:val="left"/>
        <w:rPr>
          <w:rFonts w:ascii="仿宋_GB2312" w:hAnsi="仿宋_GB2312" w:eastAsia="仿宋_GB2312" w:cs="仿宋_GB2312"/>
          <w:color w:val="000000"/>
          <w:kern w:val="0"/>
          <w:sz w:val="24"/>
          <w:szCs w:val="24"/>
        </w:rPr>
      </w:pPr>
      <w:r>
        <w:rPr>
          <w:rFonts w:ascii="仿宋_GB2312" w:hAnsi="仿宋_GB2312" w:eastAsia="仿宋_GB2312" w:cs="仿宋_GB2312"/>
          <w:color w:val="000000"/>
          <w:kern w:val="0"/>
          <w:sz w:val="24"/>
          <w:szCs w:val="24"/>
        </w:rPr>
        <w:t>本授权委托书于     年   月   日签字之日起生效，特此声明。</w:t>
      </w:r>
    </w:p>
    <w:p>
      <w:pPr>
        <w:snapToGrid w:val="0"/>
        <w:spacing w:beforeLines="50" w:line="440" w:lineRule="exact"/>
        <w:rPr>
          <w:rFonts w:ascii="仿宋_GB2312" w:hAnsi="仿宋_GB2312" w:eastAsia="仿宋_GB2312" w:cs="仿宋_GB2312"/>
          <w:color w:val="000000"/>
          <w:kern w:val="0"/>
          <w:sz w:val="24"/>
        </w:rPr>
      </w:pPr>
    </w:p>
    <w:p>
      <w:pPr>
        <w:snapToGrid w:val="0"/>
        <w:spacing w:beforeLines="50" w:after="50" w:line="460" w:lineRule="exact"/>
        <w:rPr>
          <w:rFonts w:ascii="仿宋_GB2312" w:hAnsi="仿宋_GB2312" w:eastAsia="仿宋_GB2312" w:cs="仿宋_GB2312"/>
          <w:b/>
          <w:color w:val="000000"/>
          <w:kern w:val="0"/>
          <w:sz w:val="24"/>
        </w:rPr>
      </w:pPr>
    </w:p>
    <w:p>
      <w:pPr>
        <w:snapToGrid w:val="0"/>
        <w:spacing w:beforeLines="50" w:after="50" w:line="460" w:lineRule="exact"/>
        <w:rPr>
          <w:rFonts w:ascii="仿宋_GB2312" w:hAnsi="仿宋_GB2312" w:eastAsia="仿宋_GB2312" w:cs="仿宋_GB2312"/>
          <w:b/>
          <w:color w:val="000000"/>
          <w:kern w:val="0"/>
          <w:sz w:val="24"/>
        </w:rPr>
      </w:pPr>
    </w:p>
    <w:p>
      <w:pPr>
        <w:snapToGrid w:val="0"/>
        <w:spacing w:beforeLines="50" w:after="50" w:line="460" w:lineRule="exact"/>
        <w:rPr>
          <w:rFonts w:ascii="仿宋_GB2312" w:hAnsi="仿宋_GB2312" w:eastAsia="仿宋_GB2312" w:cs="仿宋_GB2312"/>
          <w:b/>
          <w:color w:val="000000"/>
          <w:kern w:val="0"/>
          <w:sz w:val="24"/>
        </w:rPr>
      </w:pPr>
      <w:r>
        <w:rPr>
          <w:rFonts w:ascii="仿宋_GB2312" w:hAnsi="仿宋_GB2312" w:eastAsia="仿宋_GB2312" w:cs="仿宋_GB2312"/>
          <w:b/>
          <w:color w:val="000000"/>
          <w:kern w:val="0"/>
          <w:sz w:val="24"/>
        </w:rPr>
        <w:t>（附：法定代表人身份证正反面复印件及其</w:t>
      </w:r>
      <w:r>
        <w:rPr>
          <w:rFonts w:hint="eastAsia" w:ascii="仿宋_GB2312" w:hAnsi="仿宋_GB2312" w:eastAsia="仿宋_GB2312" w:cs="仿宋_GB2312"/>
          <w:b/>
          <w:color w:val="000000"/>
          <w:kern w:val="0"/>
          <w:sz w:val="24"/>
        </w:rPr>
        <w:t>委托</w:t>
      </w:r>
      <w:r>
        <w:rPr>
          <w:rFonts w:ascii="仿宋_GB2312" w:hAnsi="仿宋_GB2312" w:eastAsia="仿宋_GB2312" w:cs="仿宋_GB2312"/>
          <w:b/>
          <w:color w:val="000000"/>
          <w:kern w:val="0"/>
          <w:sz w:val="24"/>
        </w:rPr>
        <w:t>代理人身份证</w:t>
      </w:r>
      <w:r>
        <w:rPr>
          <w:rFonts w:hint="eastAsia" w:ascii="仿宋_GB2312" w:hAnsi="仿宋_GB2312" w:eastAsia="仿宋_GB2312" w:cs="仿宋_GB2312"/>
          <w:b/>
          <w:color w:val="000000"/>
          <w:kern w:val="0"/>
          <w:sz w:val="24"/>
        </w:rPr>
        <w:t>正反面</w:t>
      </w:r>
      <w:r>
        <w:rPr>
          <w:rFonts w:ascii="仿宋_GB2312" w:hAnsi="仿宋_GB2312" w:eastAsia="仿宋_GB2312" w:cs="仿宋_GB2312"/>
          <w:b/>
          <w:color w:val="000000"/>
          <w:kern w:val="0"/>
          <w:sz w:val="24"/>
        </w:rPr>
        <w:t>复印件）</w:t>
      </w:r>
    </w:p>
    <w:p>
      <w:pPr>
        <w:snapToGrid w:val="0"/>
        <w:spacing w:beforeLines="50" w:after="50" w:line="460" w:lineRule="exact"/>
        <w:rPr>
          <w:rFonts w:ascii="仿宋_GB2312" w:hAnsi="仿宋_GB2312" w:eastAsia="仿宋_GB2312" w:cs="仿宋_GB2312"/>
          <w:color w:val="000000"/>
          <w:kern w:val="0"/>
          <w:sz w:val="24"/>
        </w:rPr>
      </w:pPr>
    </w:p>
    <w:p>
      <w:pPr>
        <w:snapToGrid w:val="0"/>
        <w:spacing w:beforeLines="50" w:after="50" w:line="460" w:lineRule="exact"/>
        <w:rPr>
          <w:rFonts w:ascii="仿宋_GB2312" w:hAnsi="仿宋_GB2312" w:eastAsia="仿宋_GB2312" w:cs="仿宋_GB2312"/>
          <w:color w:val="000000"/>
          <w:kern w:val="0"/>
          <w:sz w:val="24"/>
        </w:rPr>
      </w:pPr>
    </w:p>
    <w:p>
      <w:pPr>
        <w:tabs>
          <w:tab w:val="left" w:pos="7980"/>
        </w:tabs>
        <w:snapToGrid w:val="0"/>
        <w:spacing w:beforeLines="50" w:after="50" w:line="460" w:lineRule="exact"/>
        <w:ind w:right="-180"/>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法定代表人签</w:t>
      </w:r>
      <w:r>
        <w:rPr>
          <w:rFonts w:hint="eastAsia" w:ascii="仿宋_GB2312" w:hAnsi="仿宋_GB2312" w:eastAsia="仿宋_GB2312" w:cs="仿宋_GB2312"/>
          <w:color w:val="000000"/>
          <w:kern w:val="0"/>
          <w:sz w:val="24"/>
        </w:rPr>
        <w:t>字</w:t>
      </w:r>
      <w:r>
        <w:rPr>
          <w:rFonts w:ascii="仿宋_GB2312" w:hAnsi="仿宋_GB2312" w:eastAsia="仿宋_GB2312" w:cs="仿宋_GB2312"/>
          <w:color w:val="000000"/>
          <w:kern w:val="0"/>
          <w:sz w:val="24"/>
        </w:rPr>
        <w:t xml:space="preserve">：          </w:t>
      </w:r>
    </w:p>
    <w:p>
      <w:pPr>
        <w:snapToGrid w:val="0"/>
        <w:spacing w:beforeLines="50" w:after="50" w:line="460" w:lineRule="exact"/>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 xml:space="preserve">法定代表人身份证号码：                         </w:t>
      </w:r>
    </w:p>
    <w:p>
      <w:pPr>
        <w:snapToGrid w:val="0"/>
        <w:spacing w:beforeLines="50" w:after="50" w:line="460" w:lineRule="exact"/>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 xml:space="preserve">投标人全称（单位公章）：                                   </w:t>
      </w:r>
    </w:p>
    <w:p>
      <w:pPr>
        <w:snapToGrid w:val="0"/>
        <w:spacing w:beforeLines="50" w:line="440" w:lineRule="exact"/>
        <w:ind w:right="600" w:firstLine="4320" w:firstLineChars="1800"/>
        <w:rPr>
          <w:rFonts w:ascii="仿宋_GB2312" w:hAnsi="仿宋_GB2312" w:eastAsia="仿宋_GB2312" w:cs="仿宋_GB2312"/>
          <w:color w:val="000000"/>
          <w:kern w:val="0"/>
          <w:sz w:val="24"/>
        </w:rPr>
      </w:pPr>
    </w:p>
    <w:p>
      <w:pPr>
        <w:snapToGrid w:val="0"/>
        <w:spacing w:beforeLines="50" w:line="440" w:lineRule="exact"/>
        <w:ind w:right="600" w:firstLine="4320" w:firstLineChars="1800"/>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日期：      年     月     日</w:t>
      </w: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ascii="Arial" w:hAnsi="Arial" w:eastAsia="仿宋_GB2312" w:cs="Arial"/>
          <w:b/>
          <w:sz w:val="30"/>
          <w:szCs w:val="30"/>
        </w:rPr>
      </w:pPr>
      <w:r>
        <w:rPr>
          <w:rFonts w:ascii="仿宋_GB2312" w:hAnsi="仿宋_GB2312" w:eastAsia="仿宋_GB2312" w:cs="仿宋_GB2312"/>
          <w:color w:val="000000"/>
          <w:kern w:val="0"/>
          <w:sz w:val="32"/>
          <w:szCs w:val="32"/>
        </w:rPr>
        <w:t>附件</w:t>
      </w:r>
      <w:r>
        <w:rPr>
          <w:rFonts w:hint="eastAsia" w:ascii="仿宋_GB2312" w:hAnsi="仿宋_GB2312" w:eastAsia="仿宋_GB2312" w:cs="仿宋_GB2312"/>
          <w:color w:val="000000"/>
          <w:kern w:val="0"/>
          <w:sz w:val="32"/>
          <w:szCs w:val="32"/>
        </w:rPr>
        <w:t>4</w:t>
      </w:r>
    </w:p>
    <w:p>
      <w:pPr>
        <w:ind w:right="-110"/>
        <w:jc w:val="center"/>
        <w:rPr>
          <w:rFonts w:ascii="仿宋_GB2312" w:hAnsi="仿宋_GB2312" w:eastAsia="仿宋_GB2312" w:cs="仿宋_GB2312"/>
          <w:color w:val="000000"/>
          <w:kern w:val="0"/>
          <w:sz w:val="36"/>
          <w:szCs w:val="36"/>
        </w:rPr>
      </w:pPr>
      <w:r>
        <w:rPr>
          <w:rFonts w:ascii="仿宋_GB2312" w:hAnsi="仿宋_GB2312" w:eastAsia="仿宋_GB2312" w:cs="仿宋_GB2312"/>
          <w:color w:val="000000"/>
          <w:kern w:val="0"/>
          <w:sz w:val="36"/>
          <w:szCs w:val="36"/>
        </w:rPr>
        <w:t>项目名称</w:t>
      </w:r>
    </w:p>
    <w:p>
      <w:pPr>
        <w:ind w:right="-110"/>
        <w:jc w:val="center"/>
        <w:rPr>
          <w:rFonts w:ascii="仿宋_GB2312" w:hAnsi="仿宋_GB2312" w:eastAsia="仿宋_GB2312" w:cs="仿宋_GB2312"/>
          <w:color w:val="000000"/>
          <w:kern w:val="0"/>
          <w:sz w:val="36"/>
          <w:szCs w:val="36"/>
        </w:rPr>
      </w:pPr>
      <w:r>
        <w:rPr>
          <w:rFonts w:ascii="仿宋_GB2312" w:hAnsi="仿宋_GB2312" w:eastAsia="仿宋_GB2312" w:cs="仿宋_GB2312"/>
          <w:color w:val="000000"/>
          <w:kern w:val="0"/>
          <w:sz w:val="36"/>
          <w:szCs w:val="36"/>
        </w:rPr>
        <w:t>招标编号</w:t>
      </w:r>
      <w:r>
        <w:rPr>
          <w:rFonts w:ascii="仿宋_GB2312" w:hAnsi="仿宋_GB2312" w:eastAsia="仿宋_GB2312" w:cs="仿宋_GB2312"/>
          <w:color w:val="000000"/>
          <w:kern w:val="0"/>
          <w:sz w:val="36"/>
          <w:szCs w:val="36"/>
          <w:highlight w:val="none"/>
        </w:rPr>
        <w:t>：</w:t>
      </w:r>
      <w:r>
        <w:rPr>
          <w:rFonts w:hint="eastAsia" w:ascii="仿宋_GB2312" w:hAnsi="仿宋_GB2312" w:eastAsia="仿宋_GB2312" w:cs="仿宋_GB2312"/>
          <w:color w:val="000000"/>
          <w:kern w:val="0"/>
          <w:sz w:val="36"/>
          <w:szCs w:val="36"/>
          <w:highlight w:val="none"/>
          <w:lang w:eastAsia="zh-CN"/>
        </w:rPr>
        <w:t>NBCXZFCG2023108</w:t>
      </w:r>
      <w:r>
        <w:rPr>
          <w:rFonts w:ascii="仿宋_GB2312" w:hAnsi="仿宋_GB2312" w:eastAsia="仿宋_GB2312" w:cs="仿宋_GB2312"/>
          <w:color w:val="000000"/>
          <w:kern w:val="0"/>
          <w:sz w:val="36"/>
          <w:szCs w:val="36"/>
          <w:highlight w:val="none"/>
        </w:rPr>
        <w:t>（</w:t>
      </w:r>
      <w:r>
        <w:rPr>
          <w:rFonts w:ascii="仿宋_GB2312" w:hAnsi="仿宋_GB2312" w:eastAsia="仿宋_GB2312" w:cs="仿宋_GB2312"/>
          <w:color w:val="000000"/>
          <w:kern w:val="0"/>
          <w:sz w:val="36"/>
          <w:szCs w:val="36"/>
        </w:rPr>
        <w:t>标项  ）</w:t>
      </w:r>
    </w:p>
    <w:p>
      <w:pPr>
        <w:spacing w:after="100" w:afterAutospacing="1" w:line="800" w:lineRule="exact"/>
        <w:ind w:right="-108"/>
        <w:jc w:val="center"/>
        <w:rPr>
          <w:rFonts w:ascii="Arial" w:hAnsi="Arial" w:eastAsia="仿宋" w:cs="Arial"/>
          <w:b/>
          <w:spacing w:val="40"/>
          <w:sz w:val="84"/>
          <w:szCs w:val="84"/>
        </w:rPr>
      </w:pPr>
    </w:p>
    <w:p>
      <w:pPr>
        <w:spacing w:after="100" w:afterAutospacing="1" w:line="800" w:lineRule="exact"/>
        <w:ind w:right="-108"/>
        <w:jc w:val="center"/>
        <w:rPr>
          <w:rFonts w:ascii="仿宋_GB2312" w:hAnsi="仿宋_GB2312" w:eastAsia="仿宋_GB2312" w:cs="仿宋_GB2312"/>
          <w:color w:val="000000"/>
          <w:kern w:val="0"/>
          <w:sz w:val="72"/>
          <w:szCs w:val="72"/>
        </w:rPr>
      </w:pPr>
      <w:r>
        <w:rPr>
          <w:rFonts w:ascii="仿宋_GB2312" w:hAnsi="仿宋_GB2312" w:eastAsia="仿宋_GB2312" w:cs="仿宋_GB2312"/>
          <w:color w:val="000000"/>
          <w:kern w:val="0"/>
          <w:sz w:val="72"/>
          <w:szCs w:val="72"/>
        </w:rPr>
        <w:t>商</w:t>
      </w:r>
    </w:p>
    <w:p>
      <w:pPr>
        <w:spacing w:after="100" w:afterAutospacing="1" w:line="800" w:lineRule="exact"/>
        <w:ind w:right="-108"/>
        <w:jc w:val="center"/>
        <w:rPr>
          <w:rFonts w:ascii="仿宋_GB2312" w:hAnsi="仿宋_GB2312" w:eastAsia="仿宋_GB2312" w:cs="仿宋_GB2312"/>
          <w:color w:val="000000"/>
          <w:kern w:val="0"/>
          <w:sz w:val="72"/>
          <w:szCs w:val="72"/>
        </w:rPr>
      </w:pPr>
      <w:r>
        <w:rPr>
          <w:rFonts w:ascii="仿宋_GB2312" w:hAnsi="仿宋_GB2312" w:eastAsia="仿宋_GB2312" w:cs="仿宋_GB2312"/>
          <w:color w:val="000000"/>
          <w:kern w:val="0"/>
          <w:sz w:val="72"/>
          <w:szCs w:val="72"/>
        </w:rPr>
        <w:t>务</w:t>
      </w:r>
    </w:p>
    <w:p>
      <w:pPr>
        <w:spacing w:after="100" w:afterAutospacing="1" w:line="800" w:lineRule="exact"/>
        <w:ind w:right="-108"/>
        <w:jc w:val="center"/>
        <w:rPr>
          <w:rFonts w:ascii="仿宋_GB2312" w:hAnsi="仿宋_GB2312" w:eastAsia="仿宋_GB2312" w:cs="仿宋_GB2312"/>
          <w:color w:val="000000"/>
          <w:kern w:val="0"/>
          <w:sz w:val="72"/>
          <w:szCs w:val="72"/>
        </w:rPr>
      </w:pPr>
      <w:r>
        <w:rPr>
          <w:rFonts w:ascii="仿宋_GB2312" w:hAnsi="仿宋_GB2312" w:eastAsia="仿宋_GB2312" w:cs="仿宋_GB2312"/>
          <w:color w:val="000000"/>
          <w:kern w:val="0"/>
          <w:sz w:val="72"/>
          <w:szCs w:val="72"/>
        </w:rPr>
        <w:t>技</w:t>
      </w:r>
    </w:p>
    <w:p>
      <w:pPr>
        <w:spacing w:after="100" w:afterAutospacing="1" w:line="800" w:lineRule="exact"/>
        <w:ind w:right="-108"/>
        <w:jc w:val="center"/>
        <w:rPr>
          <w:rFonts w:ascii="仿宋_GB2312" w:hAnsi="仿宋_GB2312" w:eastAsia="仿宋_GB2312" w:cs="仿宋_GB2312"/>
          <w:color w:val="000000"/>
          <w:kern w:val="0"/>
          <w:sz w:val="72"/>
          <w:szCs w:val="72"/>
        </w:rPr>
      </w:pPr>
      <w:r>
        <w:rPr>
          <w:rFonts w:ascii="仿宋_GB2312" w:hAnsi="仿宋_GB2312" w:eastAsia="仿宋_GB2312" w:cs="仿宋_GB2312"/>
          <w:color w:val="000000"/>
          <w:kern w:val="0"/>
          <w:sz w:val="72"/>
          <w:szCs w:val="72"/>
        </w:rPr>
        <w:t>术</w:t>
      </w:r>
    </w:p>
    <w:p>
      <w:pPr>
        <w:spacing w:after="100" w:afterAutospacing="1" w:line="800" w:lineRule="exact"/>
        <w:ind w:right="-108"/>
        <w:jc w:val="center"/>
        <w:rPr>
          <w:rFonts w:ascii="仿宋_GB2312" w:hAnsi="仿宋_GB2312" w:eastAsia="仿宋_GB2312" w:cs="仿宋_GB2312"/>
          <w:color w:val="000000"/>
          <w:kern w:val="0"/>
          <w:sz w:val="72"/>
          <w:szCs w:val="72"/>
        </w:rPr>
      </w:pPr>
      <w:r>
        <w:rPr>
          <w:rFonts w:ascii="仿宋_GB2312" w:hAnsi="仿宋_GB2312" w:eastAsia="仿宋_GB2312" w:cs="仿宋_GB2312"/>
          <w:color w:val="000000"/>
          <w:kern w:val="0"/>
          <w:sz w:val="72"/>
          <w:szCs w:val="72"/>
        </w:rPr>
        <w:t>文</w:t>
      </w:r>
    </w:p>
    <w:p>
      <w:pPr>
        <w:spacing w:after="100" w:afterAutospacing="1" w:line="800" w:lineRule="exact"/>
        <w:ind w:right="-108"/>
        <w:jc w:val="center"/>
        <w:rPr>
          <w:rFonts w:ascii="仿宋_GB2312" w:hAnsi="仿宋_GB2312" w:eastAsia="仿宋_GB2312" w:cs="仿宋_GB2312"/>
          <w:color w:val="000000"/>
          <w:kern w:val="0"/>
          <w:sz w:val="72"/>
          <w:szCs w:val="72"/>
        </w:rPr>
      </w:pPr>
      <w:r>
        <w:rPr>
          <w:rFonts w:ascii="仿宋_GB2312" w:hAnsi="仿宋_GB2312" w:eastAsia="仿宋_GB2312" w:cs="仿宋_GB2312"/>
          <w:color w:val="000000"/>
          <w:kern w:val="0"/>
          <w:sz w:val="72"/>
          <w:szCs w:val="72"/>
        </w:rPr>
        <w:t>件</w:t>
      </w:r>
    </w:p>
    <w:p>
      <w:pPr>
        <w:spacing w:line="500" w:lineRule="exact"/>
        <w:ind w:right="532"/>
        <w:rPr>
          <w:rFonts w:ascii="Arial" w:hAnsi="Arial" w:eastAsia="仿宋" w:cs="Arial"/>
          <w:sz w:val="36"/>
          <w:szCs w:val="36"/>
        </w:rPr>
      </w:pPr>
    </w:p>
    <w:p>
      <w:pPr>
        <w:spacing w:line="500" w:lineRule="exact"/>
        <w:ind w:right="532"/>
        <w:rPr>
          <w:rFonts w:ascii="Arial" w:hAnsi="Arial" w:eastAsia="仿宋" w:cs="Arial"/>
          <w:sz w:val="36"/>
          <w:szCs w:val="36"/>
        </w:rPr>
      </w:pPr>
    </w:p>
    <w:p>
      <w:pPr>
        <w:spacing w:line="600" w:lineRule="exact"/>
        <w:ind w:right="532" w:firstLine="720" w:firstLineChars="200"/>
        <w:rPr>
          <w:rFonts w:ascii="仿宋_GB2312" w:hAnsi="仿宋_GB2312" w:eastAsia="仿宋_GB2312" w:cs="仿宋_GB2312"/>
          <w:color w:val="000000"/>
          <w:kern w:val="0"/>
          <w:sz w:val="36"/>
          <w:szCs w:val="36"/>
        </w:rPr>
      </w:pPr>
      <w:r>
        <w:rPr>
          <w:rFonts w:ascii="仿宋_GB2312" w:hAnsi="仿宋_GB2312" w:eastAsia="仿宋_GB2312" w:cs="仿宋_GB2312"/>
          <w:color w:val="000000"/>
          <w:kern w:val="0"/>
          <w:sz w:val="36"/>
          <w:szCs w:val="36"/>
        </w:rPr>
        <w:t>供应商全称（公章）：</w:t>
      </w:r>
    </w:p>
    <w:p>
      <w:pPr>
        <w:spacing w:line="600" w:lineRule="exact"/>
        <w:ind w:right="532" w:firstLine="720" w:firstLineChars="200"/>
        <w:rPr>
          <w:rFonts w:ascii="仿宋_GB2312" w:hAnsi="仿宋_GB2312" w:eastAsia="仿宋_GB2312" w:cs="仿宋_GB2312"/>
          <w:color w:val="000000"/>
          <w:kern w:val="0"/>
          <w:sz w:val="36"/>
          <w:szCs w:val="36"/>
        </w:rPr>
      </w:pPr>
      <w:r>
        <w:rPr>
          <w:rFonts w:ascii="仿宋_GB2312" w:hAnsi="仿宋_GB2312" w:eastAsia="仿宋_GB2312" w:cs="仿宋_GB2312"/>
          <w:color w:val="000000"/>
          <w:kern w:val="0"/>
          <w:sz w:val="36"/>
          <w:szCs w:val="36"/>
        </w:rPr>
        <w:t>地    址：</w:t>
      </w:r>
    </w:p>
    <w:p>
      <w:pPr>
        <w:spacing w:line="600" w:lineRule="exact"/>
        <w:ind w:right="532" w:firstLine="720" w:firstLineChars="200"/>
        <w:rPr>
          <w:rFonts w:ascii="仿宋_GB2312" w:hAnsi="仿宋_GB2312" w:eastAsia="仿宋_GB2312" w:cs="仿宋_GB2312"/>
          <w:color w:val="000000"/>
          <w:kern w:val="0"/>
          <w:sz w:val="36"/>
          <w:szCs w:val="36"/>
        </w:rPr>
      </w:pPr>
      <w:r>
        <w:rPr>
          <w:rFonts w:ascii="仿宋_GB2312" w:hAnsi="仿宋_GB2312" w:eastAsia="仿宋_GB2312" w:cs="仿宋_GB2312"/>
          <w:color w:val="000000"/>
          <w:kern w:val="0"/>
          <w:sz w:val="36"/>
          <w:szCs w:val="36"/>
        </w:rPr>
        <w:t>时    间：</w:t>
      </w:r>
    </w:p>
    <w:p>
      <w:pPr>
        <w:snapToGrid w:val="0"/>
        <w:spacing w:before="50" w:after="50"/>
        <w:jc w:val="left"/>
        <w:rPr>
          <w:rFonts w:ascii="Arial" w:hAnsi="仿宋" w:eastAsia="仿宋" w:cs="Arial"/>
          <w:sz w:val="30"/>
          <w:szCs w:val="30"/>
        </w:rPr>
      </w:pPr>
    </w:p>
    <w:p>
      <w:pPr>
        <w:snapToGrid w:val="0"/>
        <w:spacing w:before="50" w:after="50"/>
        <w:jc w:val="left"/>
        <w:rPr>
          <w:rFonts w:ascii="Arial" w:hAnsi="仿宋" w:eastAsia="仿宋" w:cs="Arial"/>
          <w:sz w:val="30"/>
          <w:szCs w:val="30"/>
        </w:rPr>
      </w:pPr>
    </w:p>
    <w:p>
      <w:pPr>
        <w:snapToGrid w:val="0"/>
        <w:spacing w:before="50" w:after="50"/>
        <w:jc w:val="left"/>
        <w:rPr>
          <w:rFonts w:ascii="Arial" w:hAnsi="仿宋" w:eastAsia="仿宋" w:cs="Arial"/>
          <w:sz w:val="30"/>
          <w:szCs w:val="30"/>
        </w:rPr>
      </w:pPr>
    </w:p>
    <w:p>
      <w:pPr>
        <w:pStyle w:val="28"/>
      </w:pPr>
    </w:p>
    <w:p>
      <w:pPr>
        <w:snapToGrid w:val="0"/>
        <w:spacing w:beforeLines="50" w:after="50"/>
        <w:rPr>
          <w:rFonts w:ascii="仿宋_GB2312" w:hAnsi="仿宋_GB2312" w:eastAsia="仿宋_GB2312" w:cs="仿宋_GB2312"/>
          <w:color w:val="000000"/>
          <w:kern w:val="0"/>
          <w:sz w:val="32"/>
          <w:szCs w:val="32"/>
        </w:rPr>
      </w:pPr>
      <w:r>
        <w:rPr>
          <w:rFonts w:ascii="仿宋_GB2312" w:hAnsi="仿宋_GB2312" w:eastAsia="仿宋_GB2312" w:cs="仿宋_GB2312"/>
          <w:color w:val="000000"/>
          <w:kern w:val="0"/>
          <w:sz w:val="32"/>
          <w:szCs w:val="32"/>
        </w:rPr>
        <w:t>附件</w:t>
      </w:r>
      <w:r>
        <w:rPr>
          <w:rFonts w:hint="eastAsia" w:ascii="仿宋_GB2312" w:hAnsi="仿宋_GB2312" w:eastAsia="仿宋_GB2312" w:cs="仿宋_GB2312"/>
          <w:color w:val="000000"/>
          <w:kern w:val="0"/>
          <w:sz w:val="32"/>
          <w:szCs w:val="32"/>
        </w:rPr>
        <w:t>5</w:t>
      </w:r>
    </w:p>
    <w:p>
      <w:pPr>
        <w:snapToGrid w:val="0"/>
        <w:spacing w:before="50" w:after="50"/>
        <w:jc w:val="left"/>
        <w:rPr>
          <w:rFonts w:ascii="Arial" w:hAnsi="仿宋" w:eastAsia="仿宋" w:cs="Arial"/>
          <w:b/>
          <w:sz w:val="32"/>
          <w:szCs w:val="32"/>
        </w:rPr>
      </w:pPr>
    </w:p>
    <w:p>
      <w:pPr>
        <w:ind w:right="-110"/>
        <w:jc w:val="center"/>
        <w:rPr>
          <w:rFonts w:ascii="仿宋_GB2312" w:hAnsi="仿宋_GB2312" w:eastAsia="仿宋_GB2312" w:cs="仿宋_GB2312"/>
          <w:color w:val="000000"/>
          <w:kern w:val="0"/>
          <w:sz w:val="36"/>
          <w:szCs w:val="36"/>
        </w:rPr>
      </w:pPr>
      <w:r>
        <w:rPr>
          <w:rFonts w:ascii="仿宋_GB2312" w:hAnsi="仿宋_GB2312" w:eastAsia="仿宋_GB2312" w:cs="仿宋_GB2312"/>
          <w:color w:val="000000"/>
          <w:kern w:val="0"/>
          <w:sz w:val="36"/>
          <w:szCs w:val="36"/>
        </w:rPr>
        <w:t>评分索引表</w:t>
      </w:r>
    </w:p>
    <w:p>
      <w:pPr>
        <w:snapToGrid w:val="0"/>
        <w:spacing w:before="50"/>
        <w:jc w:val="center"/>
        <w:rPr>
          <w:rFonts w:ascii="Arial" w:hAnsi="Arial" w:eastAsia="仿宋" w:cs="Arial"/>
          <w:b/>
          <w:sz w:val="32"/>
          <w:szCs w:val="32"/>
        </w:rPr>
      </w:pPr>
    </w:p>
    <w:tbl>
      <w:tblPr>
        <w:tblStyle w:val="67"/>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888"/>
        <w:gridCol w:w="3060"/>
        <w:gridCol w:w="144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3888" w:type="dxa"/>
            <w:tcBorders>
              <w:top w:val="single" w:color="auto" w:sz="4" w:space="0"/>
              <w:left w:val="single" w:color="auto" w:sz="4" w:space="0"/>
              <w:bottom w:val="single" w:color="auto" w:sz="4" w:space="0"/>
              <w:right w:val="single" w:color="auto" w:sz="4" w:space="0"/>
            </w:tcBorders>
            <w:vAlign w:val="center"/>
          </w:tcPr>
          <w:p>
            <w:pPr>
              <w:ind w:right="-110"/>
              <w:jc w:val="center"/>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评分项目</w:t>
            </w:r>
          </w:p>
        </w:tc>
        <w:tc>
          <w:tcPr>
            <w:tcW w:w="3060" w:type="dxa"/>
            <w:tcBorders>
              <w:top w:val="single" w:color="auto" w:sz="4" w:space="0"/>
              <w:left w:val="single" w:color="auto" w:sz="4" w:space="0"/>
              <w:bottom w:val="single" w:color="auto" w:sz="4" w:space="0"/>
              <w:right w:val="single" w:color="auto" w:sz="4" w:space="0"/>
            </w:tcBorders>
            <w:vAlign w:val="center"/>
          </w:tcPr>
          <w:p>
            <w:pPr>
              <w:ind w:right="-110"/>
              <w:jc w:val="center"/>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投标文件对应资料</w:t>
            </w:r>
          </w:p>
        </w:tc>
        <w:tc>
          <w:tcPr>
            <w:tcW w:w="1440" w:type="dxa"/>
            <w:tcBorders>
              <w:top w:val="single" w:color="auto" w:sz="4" w:space="0"/>
              <w:left w:val="single" w:color="auto" w:sz="4" w:space="0"/>
              <w:bottom w:val="single" w:color="auto" w:sz="4" w:space="0"/>
              <w:right w:val="single" w:color="auto" w:sz="4" w:space="0"/>
            </w:tcBorders>
            <w:vAlign w:val="center"/>
          </w:tcPr>
          <w:p>
            <w:pPr>
              <w:ind w:right="-110"/>
              <w:jc w:val="center"/>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投标文件页码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ind w:right="-110"/>
              <w:jc w:val="center"/>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对应招标文件评分办法及评分标准（报价除外）</w:t>
            </w:r>
          </w:p>
        </w:tc>
        <w:tc>
          <w:tcPr>
            <w:tcW w:w="3060" w:type="dxa"/>
            <w:tcBorders>
              <w:top w:val="single" w:color="auto" w:sz="4" w:space="0"/>
              <w:left w:val="single" w:color="auto" w:sz="4" w:space="0"/>
              <w:bottom w:val="single" w:color="auto" w:sz="4" w:space="0"/>
              <w:right w:val="single" w:color="auto" w:sz="4" w:space="0"/>
            </w:tcBorders>
          </w:tcPr>
          <w:p>
            <w:pPr>
              <w:spacing w:beforeLines="50"/>
              <w:ind w:right="-110"/>
              <w:jc w:val="center"/>
              <w:rPr>
                <w:rFonts w:ascii="仿宋_GB2312" w:hAnsi="仿宋_GB2312" w:eastAsia="仿宋_GB2312" w:cs="仿宋_GB2312"/>
                <w:color w:val="000000"/>
                <w:kern w:val="0"/>
                <w:sz w:val="28"/>
                <w:szCs w:val="28"/>
              </w:rPr>
            </w:pPr>
          </w:p>
        </w:tc>
        <w:tc>
          <w:tcPr>
            <w:tcW w:w="1440" w:type="dxa"/>
            <w:tcBorders>
              <w:top w:val="single" w:color="auto" w:sz="4" w:space="0"/>
              <w:left w:val="single" w:color="auto" w:sz="4" w:space="0"/>
              <w:bottom w:val="single" w:color="auto" w:sz="4" w:space="0"/>
              <w:right w:val="single" w:color="auto" w:sz="4" w:space="0"/>
            </w:tcBorders>
          </w:tcPr>
          <w:p>
            <w:pPr>
              <w:spacing w:beforeLines="50"/>
              <w:ind w:right="-110"/>
              <w:jc w:val="center"/>
              <w:rPr>
                <w:rFonts w:ascii="仿宋_GB2312" w:hAnsi="仿宋_GB2312" w:eastAsia="仿宋_GB2312" w:cs="仿宋_GB2312"/>
                <w:color w:val="000000"/>
                <w:kern w:val="0"/>
                <w:sz w:val="28"/>
                <w:szCs w:val="2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ind w:right="-110"/>
              <w:jc w:val="center"/>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w:t>
            </w:r>
          </w:p>
        </w:tc>
        <w:tc>
          <w:tcPr>
            <w:tcW w:w="3060" w:type="dxa"/>
            <w:tcBorders>
              <w:top w:val="single" w:color="auto" w:sz="4" w:space="0"/>
              <w:left w:val="single" w:color="auto" w:sz="4" w:space="0"/>
              <w:bottom w:val="single" w:color="auto" w:sz="4" w:space="0"/>
              <w:right w:val="single" w:color="auto" w:sz="4" w:space="0"/>
            </w:tcBorders>
          </w:tcPr>
          <w:p>
            <w:pPr>
              <w:spacing w:beforeLines="50"/>
              <w:ind w:right="-110"/>
              <w:jc w:val="center"/>
              <w:rPr>
                <w:rFonts w:ascii="仿宋_GB2312" w:hAnsi="仿宋_GB2312" w:eastAsia="仿宋_GB2312" w:cs="仿宋_GB2312"/>
                <w:color w:val="000000"/>
                <w:kern w:val="0"/>
                <w:sz w:val="28"/>
                <w:szCs w:val="28"/>
              </w:rPr>
            </w:pPr>
          </w:p>
        </w:tc>
        <w:tc>
          <w:tcPr>
            <w:tcW w:w="1440" w:type="dxa"/>
            <w:tcBorders>
              <w:top w:val="single" w:color="auto" w:sz="4" w:space="0"/>
              <w:left w:val="single" w:color="auto" w:sz="4" w:space="0"/>
              <w:bottom w:val="single" w:color="auto" w:sz="4" w:space="0"/>
              <w:right w:val="single" w:color="auto" w:sz="4" w:space="0"/>
            </w:tcBorders>
          </w:tcPr>
          <w:p>
            <w:pPr>
              <w:spacing w:beforeLines="50"/>
              <w:ind w:left="43" w:right="-110"/>
              <w:jc w:val="center"/>
              <w:rPr>
                <w:rFonts w:ascii="仿宋_GB2312" w:hAnsi="仿宋_GB2312" w:eastAsia="仿宋_GB2312" w:cs="仿宋_GB2312"/>
                <w:color w:val="000000"/>
                <w:kern w:val="0"/>
                <w:sz w:val="28"/>
                <w:szCs w:val="2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ind w:right="-110"/>
              <w:jc w:val="center"/>
              <w:rPr>
                <w:rFonts w:ascii="仿宋_GB2312" w:hAnsi="仿宋_GB2312" w:eastAsia="仿宋_GB2312" w:cs="仿宋_GB2312"/>
                <w:color w:val="000000"/>
                <w:kern w:val="0"/>
                <w:sz w:val="28"/>
                <w:szCs w:val="28"/>
              </w:rPr>
            </w:pPr>
          </w:p>
        </w:tc>
        <w:tc>
          <w:tcPr>
            <w:tcW w:w="3060" w:type="dxa"/>
            <w:tcBorders>
              <w:top w:val="single" w:color="auto" w:sz="4" w:space="0"/>
              <w:left w:val="single" w:color="auto" w:sz="4" w:space="0"/>
              <w:bottom w:val="single" w:color="auto" w:sz="4" w:space="0"/>
              <w:right w:val="single" w:color="auto" w:sz="4" w:space="0"/>
            </w:tcBorders>
          </w:tcPr>
          <w:p>
            <w:pPr>
              <w:spacing w:beforeLines="50"/>
              <w:ind w:right="-110"/>
              <w:jc w:val="center"/>
              <w:rPr>
                <w:rFonts w:ascii="仿宋_GB2312" w:hAnsi="仿宋_GB2312" w:eastAsia="仿宋_GB2312" w:cs="仿宋_GB2312"/>
                <w:color w:val="000000"/>
                <w:kern w:val="0"/>
                <w:sz w:val="28"/>
                <w:szCs w:val="28"/>
              </w:rPr>
            </w:pPr>
          </w:p>
        </w:tc>
        <w:tc>
          <w:tcPr>
            <w:tcW w:w="1440" w:type="dxa"/>
            <w:tcBorders>
              <w:top w:val="single" w:color="auto" w:sz="4" w:space="0"/>
              <w:left w:val="single" w:color="auto" w:sz="4" w:space="0"/>
              <w:bottom w:val="single" w:color="auto" w:sz="4" w:space="0"/>
              <w:right w:val="single" w:color="auto" w:sz="4" w:space="0"/>
            </w:tcBorders>
          </w:tcPr>
          <w:p>
            <w:pPr>
              <w:spacing w:beforeLines="50"/>
              <w:ind w:left="43" w:right="-110"/>
              <w:jc w:val="center"/>
              <w:rPr>
                <w:rFonts w:ascii="仿宋_GB2312" w:hAnsi="仿宋_GB2312" w:eastAsia="仿宋_GB2312" w:cs="仿宋_GB2312"/>
                <w:color w:val="000000"/>
                <w:kern w:val="0"/>
                <w:sz w:val="28"/>
                <w:szCs w:val="2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ind w:right="-110"/>
              <w:jc w:val="center"/>
              <w:rPr>
                <w:rFonts w:ascii="仿宋_GB2312" w:hAnsi="仿宋_GB2312" w:eastAsia="仿宋_GB2312" w:cs="仿宋_GB2312"/>
                <w:color w:val="000000"/>
                <w:kern w:val="0"/>
                <w:sz w:val="28"/>
                <w:szCs w:val="28"/>
              </w:rPr>
            </w:pPr>
          </w:p>
        </w:tc>
        <w:tc>
          <w:tcPr>
            <w:tcW w:w="3060" w:type="dxa"/>
            <w:tcBorders>
              <w:top w:val="single" w:color="auto" w:sz="4" w:space="0"/>
              <w:left w:val="single" w:color="auto" w:sz="4" w:space="0"/>
              <w:bottom w:val="single" w:color="auto" w:sz="4" w:space="0"/>
              <w:right w:val="single" w:color="auto" w:sz="4" w:space="0"/>
            </w:tcBorders>
          </w:tcPr>
          <w:p>
            <w:pPr>
              <w:spacing w:beforeLines="50"/>
              <w:ind w:right="-110"/>
              <w:jc w:val="center"/>
              <w:rPr>
                <w:rFonts w:ascii="仿宋_GB2312" w:hAnsi="仿宋_GB2312" w:eastAsia="仿宋_GB2312" w:cs="仿宋_GB2312"/>
                <w:color w:val="000000"/>
                <w:kern w:val="0"/>
                <w:sz w:val="28"/>
                <w:szCs w:val="28"/>
              </w:rPr>
            </w:pPr>
          </w:p>
        </w:tc>
        <w:tc>
          <w:tcPr>
            <w:tcW w:w="1440" w:type="dxa"/>
            <w:tcBorders>
              <w:top w:val="single" w:color="auto" w:sz="4" w:space="0"/>
              <w:left w:val="single" w:color="auto" w:sz="4" w:space="0"/>
              <w:bottom w:val="single" w:color="auto" w:sz="4" w:space="0"/>
              <w:right w:val="single" w:color="auto" w:sz="4" w:space="0"/>
            </w:tcBorders>
          </w:tcPr>
          <w:p>
            <w:pPr>
              <w:spacing w:beforeLines="50"/>
              <w:ind w:left="43" w:right="-110"/>
              <w:jc w:val="center"/>
              <w:rPr>
                <w:rFonts w:ascii="仿宋_GB2312" w:hAnsi="仿宋_GB2312" w:eastAsia="仿宋_GB2312" w:cs="仿宋_GB2312"/>
                <w:color w:val="000000"/>
                <w:kern w:val="0"/>
                <w:sz w:val="28"/>
                <w:szCs w:val="2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ind w:right="-110"/>
              <w:jc w:val="center"/>
              <w:rPr>
                <w:rFonts w:ascii="仿宋_GB2312" w:hAnsi="仿宋_GB2312" w:eastAsia="仿宋_GB2312" w:cs="仿宋_GB2312"/>
                <w:color w:val="000000"/>
                <w:kern w:val="0"/>
                <w:sz w:val="28"/>
                <w:szCs w:val="28"/>
              </w:rPr>
            </w:pPr>
          </w:p>
        </w:tc>
        <w:tc>
          <w:tcPr>
            <w:tcW w:w="3060" w:type="dxa"/>
            <w:tcBorders>
              <w:top w:val="single" w:color="auto" w:sz="4" w:space="0"/>
              <w:left w:val="single" w:color="auto" w:sz="4" w:space="0"/>
              <w:bottom w:val="single" w:color="auto" w:sz="4" w:space="0"/>
              <w:right w:val="single" w:color="auto" w:sz="4" w:space="0"/>
            </w:tcBorders>
          </w:tcPr>
          <w:p>
            <w:pPr>
              <w:spacing w:beforeLines="50"/>
              <w:ind w:right="-110"/>
              <w:jc w:val="center"/>
              <w:rPr>
                <w:rFonts w:ascii="仿宋_GB2312" w:hAnsi="仿宋_GB2312" w:eastAsia="仿宋_GB2312" w:cs="仿宋_GB2312"/>
                <w:color w:val="000000"/>
                <w:kern w:val="0"/>
                <w:sz w:val="28"/>
                <w:szCs w:val="28"/>
              </w:rPr>
            </w:pPr>
          </w:p>
        </w:tc>
        <w:tc>
          <w:tcPr>
            <w:tcW w:w="1440" w:type="dxa"/>
            <w:tcBorders>
              <w:top w:val="single" w:color="auto" w:sz="4" w:space="0"/>
              <w:left w:val="single" w:color="auto" w:sz="4" w:space="0"/>
              <w:bottom w:val="single" w:color="auto" w:sz="4" w:space="0"/>
              <w:right w:val="single" w:color="auto" w:sz="4" w:space="0"/>
            </w:tcBorders>
          </w:tcPr>
          <w:p>
            <w:pPr>
              <w:spacing w:beforeLines="50"/>
              <w:ind w:right="-110"/>
              <w:jc w:val="center"/>
              <w:rPr>
                <w:rFonts w:ascii="仿宋_GB2312" w:hAnsi="仿宋_GB2312" w:eastAsia="仿宋_GB2312" w:cs="仿宋_GB2312"/>
                <w:color w:val="000000"/>
                <w:kern w:val="0"/>
                <w:sz w:val="28"/>
                <w:szCs w:val="2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ind w:right="-110"/>
              <w:jc w:val="center"/>
              <w:rPr>
                <w:rFonts w:ascii="仿宋_GB2312" w:hAnsi="仿宋_GB2312" w:eastAsia="仿宋_GB2312" w:cs="仿宋_GB2312"/>
                <w:color w:val="000000"/>
                <w:kern w:val="0"/>
                <w:sz w:val="28"/>
                <w:szCs w:val="28"/>
              </w:rPr>
            </w:pPr>
          </w:p>
        </w:tc>
        <w:tc>
          <w:tcPr>
            <w:tcW w:w="3060" w:type="dxa"/>
            <w:tcBorders>
              <w:top w:val="single" w:color="auto" w:sz="4" w:space="0"/>
              <w:left w:val="single" w:color="auto" w:sz="4" w:space="0"/>
              <w:bottom w:val="single" w:color="auto" w:sz="4" w:space="0"/>
              <w:right w:val="single" w:color="auto" w:sz="4" w:space="0"/>
            </w:tcBorders>
          </w:tcPr>
          <w:p>
            <w:pPr>
              <w:spacing w:beforeLines="50"/>
              <w:ind w:right="-110"/>
              <w:jc w:val="center"/>
              <w:rPr>
                <w:rFonts w:ascii="仿宋_GB2312" w:hAnsi="仿宋_GB2312" w:eastAsia="仿宋_GB2312" w:cs="仿宋_GB2312"/>
                <w:color w:val="000000"/>
                <w:kern w:val="0"/>
                <w:sz w:val="28"/>
                <w:szCs w:val="28"/>
              </w:rPr>
            </w:pPr>
          </w:p>
        </w:tc>
        <w:tc>
          <w:tcPr>
            <w:tcW w:w="1440" w:type="dxa"/>
            <w:tcBorders>
              <w:top w:val="single" w:color="auto" w:sz="4" w:space="0"/>
              <w:left w:val="single" w:color="auto" w:sz="4" w:space="0"/>
              <w:bottom w:val="single" w:color="auto" w:sz="4" w:space="0"/>
              <w:right w:val="single" w:color="auto" w:sz="4" w:space="0"/>
            </w:tcBorders>
          </w:tcPr>
          <w:p>
            <w:pPr>
              <w:spacing w:beforeLines="50"/>
              <w:ind w:right="-110"/>
              <w:jc w:val="center"/>
              <w:rPr>
                <w:rFonts w:ascii="仿宋_GB2312" w:hAnsi="仿宋_GB2312" w:eastAsia="仿宋_GB2312" w:cs="仿宋_GB2312"/>
                <w:color w:val="000000"/>
                <w:kern w:val="0"/>
                <w:sz w:val="28"/>
                <w:szCs w:val="2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ind w:right="-110"/>
              <w:jc w:val="center"/>
              <w:rPr>
                <w:rFonts w:ascii="仿宋_GB2312" w:hAnsi="仿宋_GB2312" w:eastAsia="仿宋_GB2312" w:cs="仿宋_GB2312"/>
                <w:color w:val="000000"/>
                <w:kern w:val="0"/>
                <w:sz w:val="28"/>
                <w:szCs w:val="28"/>
              </w:rPr>
            </w:pPr>
          </w:p>
        </w:tc>
        <w:tc>
          <w:tcPr>
            <w:tcW w:w="3060" w:type="dxa"/>
            <w:tcBorders>
              <w:top w:val="single" w:color="auto" w:sz="4" w:space="0"/>
              <w:left w:val="single" w:color="auto" w:sz="4" w:space="0"/>
              <w:bottom w:val="single" w:color="auto" w:sz="4" w:space="0"/>
              <w:right w:val="single" w:color="auto" w:sz="4" w:space="0"/>
            </w:tcBorders>
          </w:tcPr>
          <w:p>
            <w:pPr>
              <w:spacing w:beforeLines="50"/>
              <w:ind w:right="-110"/>
              <w:jc w:val="center"/>
              <w:rPr>
                <w:rFonts w:ascii="仿宋_GB2312" w:hAnsi="仿宋_GB2312" w:eastAsia="仿宋_GB2312" w:cs="仿宋_GB2312"/>
                <w:color w:val="000000"/>
                <w:kern w:val="0"/>
                <w:sz w:val="28"/>
                <w:szCs w:val="28"/>
              </w:rPr>
            </w:pPr>
          </w:p>
        </w:tc>
        <w:tc>
          <w:tcPr>
            <w:tcW w:w="1440" w:type="dxa"/>
            <w:tcBorders>
              <w:top w:val="single" w:color="auto" w:sz="4" w:space="0"/>
              <w:left w:val="single" w:color="auto" w:sz="4" w:space="0"/>
              <w:bottom w:val="single" w:color="auto" w:sz="4" w:space="0"/>
              <w:right w:val="single" w:color="auto" w:sz="4" w:space="0"/>
            </w:tcBorders>
          </w:tcPr>
          <w:p>
            <w:pPr>
              <w:spacing w:beforeLines="50"/>
              <w:ind w:right="-110"/>
              <w:jc w:val="center"/>
              <w:rPr>
                <w:rFonts w:ascii="仿宋_GB2312" w:hAnsi="仿宋_GB2312" w:eastAsia="仿宋_GB2312" w:cs="仿宋_GB2312"/>
                <w:color w:val="000000"/>
                <w:kern w:val="0"/>
                <w:sz w:val="28"/>
                <w:szCs w:val="2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ind w:right="-110"/>
              <w:jc w:val="center"/>
              <w:rPr>
                <w:rFonts w:ascii="仿宋_GB2312" w:hAnsi="仿宋_GB2312" w:eastAsia="仿宋_GB2312" w:cs="仿宋_GB2312"/>
                <w:color w:val="000000"/>
                <w:kern w:val="0"/>
                <w:sz w:val="28"/>
                <w:szCs w:val="28"/>
              </w:rPr>
            </w:pPr>
          </w:p>
        </w:tc>
        <w:tc>
          <w:tcPr>
            <w:tcW w:w="3060" w:type="dxa"/>
            <w:tcBorders>
              <w:top w:val="single" w:color="auto" w:sz="4" w:space="0"/>
              <w:left w:val="single" w:color="auto" w:sz="4" w:space="0"/>
              <w:bottom w:val="single" w:color="auto" w:sz="4" w:space="0"/>
              <w:right w:val="single" w:color="auto" w:sz="4" w:space="0"/>
            </w:tcBorders>
          </w:tcPr>
          <w:p>
            <w:pPr>
              <w:spacing w:beforeLines="50"/>
              <w:ind w:right="-110"/>
              <w:jc w:val="center"/>
              <w:rPr>
                <w:rFonts w:ascii="仿宋_GB2312" w:hAnsi="仿宋_GB2312" w:eastAsia="仿宋_GB2312" w:cs="仿宋_GB2312"/>
                <w:color w:val="000000"/>
                <w:kern w:val="0"/>
                <w:sz w:val="28"/>
                <w:szCs w:val="28"/>
              </w:rPr>
            </w:pPr>
          </w:p>
        </w:tc>
        <w:tc>
          <w:tcPr>
            <w:tcW w:w="1440" w:type="dxa"/>
            <w:tcBorders>
              <w:top w:val="single" w:color="auto" w:sz="4" w:space="0"/>
              <w:left w:val="single" w:color="auto" w:sz="4" w:space="0"/>
              <w:bottom w:val="single" w:color="auto" w:sz="4" w:space="0"/>
              <w:right w:val="single" w:color="auto" w:sz="4" w:space="0"/>
            </w:tcBorders>
          </w:tcPr>
          <w:p>
            <w:pPr>
              <w:spacing w:beforeLines="50"/>
              <w:ind w:right="-110"/>
              <w:jc w:val="center"/>
              <w:rPr>
                <w:rFonts w:ascii="仿宋_GB2312" w:hAnsi="仿宋_GB2312" w:eastAsia="仿宋_GB2312" w:cs="仿宋_GB2312"/>
                <w:color w:val="000000"/>
                <w:kern w:val="0"/>
                <w:sz w:val="28"/>
                <w:szCs w:val="2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pPr>
              <w:ind w:right="-110"/>
              <w:jc w:val="center"/>
              <w:rPr>
                <w:rFonts w:ascii="仿宋_GB2312" w:hAnsi="仿宋_GB2312" w:eastAsia="仿宋_GB2312" w:cs="仿宋_GB2312"/>
                <w:color w:val="000000"/>
                <w:kern w:val="0"/>
                <w:sz w:val="28"/>
                <w:szCs w:val="28"/>
              </w:rPr>
            </w:pPr>
          </w:p>
        </w:tc>
        <w:tc>
          <w:tcPr>
            <w:tcW w:w="3060" w:type="dxa"/>
            <w:tcBorders>
              <w:top w:val="single" w:color="auto" w:sz="4" w:space="0"/>
              <w:left w:val="single" w:color="auto" w:sz="4" w:space="0"/>
              <w:bottom w:val="single" w:color="auto" w:sz="4" w:space="0"/>
              <w:right w:val="single" w:color="auto" w:sz="4" w:space="0"/>
            </w:tcBorders>
          </w:tcPr>
          <w:p>
            <w:pPr>
              <w:spacing w:beforeLines="50"/>
              <w:ind w:right="-110"/>
              <w:jc w:val="center"/>
              <w:rPr>
                <w:rFonts w:ascii="仿宋_GB2312" w:hAnsi="仿宋_GB2312" w:eastAsia="仿宋_GB2312" w:cs="仿宋_GB2312"/>
                <w:color w:val="000000"/>
                <w:kern w:val="0"/>
                <w:sz w:val="28"/>
                <w:szCs w:val="28"/>
              </w:rPr>
            </w:pPr>
          </w:p>
        </w:tc>
        <w:tc>
          <w:tcPr>
            <w:tcW w:w="1440" w:type="dxa"/>
            <w:tcBorders>
              <w:top w:val="single" w:color="auto" w:sz="4" w:space="0"/>
              <w:left w:val="single" w:color="auto" w:sz="4" w:space="0"/>
              <w:bottom w:val="single" w:color="auto" w:sz="4" w:space="0"/>
              <w:right w:val="single" w:color="auto" w:sz="4" w:space="0"/>
            </w:tcBorders>
          </w:tcPr>
          <w:p>
            <w:pPr>
              <w:spacing w:beforeLines="50"/>
              <w:ind w:right="-110"/>
              <w:jc w:val="center"/>
              <w:rPr>
                <w:rFonts w:ascii="仿宋_GB2312" w:hAnsi="仿宋_GB2312" w:eastAsia="仿宋_GB2312" w:cs="仿宋_GB2312"/>
                <w:color w:val="000000"/>
                <w:kern w:val="0"/>
                <w:sz w:val="28"/>
                <w:szCs w:val="28"/>
              </w:rPr>
            </w:pPr>
          </w:p>
        </w:tc>
      </w:tr>
    </w:tbl>
    <w:p>
      <w:pPr>
        <w:snapToGrid w:val="0"/>
        <w:spacing w:beforeLines="50" w:line="440" w:lineRule="exact"/>
        <w:ind w:firstLine="140" w:firstLineChars="50"/>
        <w:rPr>
          <w:rFonts w:ascii="Arial" w:hAnsi="Arial" w:eastAsia="仿宋" w:cs="Arial"/>
          <w:sz w:val="28"/>
          <w:szCs w:val="28"/>
        </w:rPr>
      </w:pPr>
    </w:p>
    <w:p>
      <w:pPr>
        <w:snapToGrid w:val="0"/>
        <w:spacing w:beforeLines="50" w:line="440" w:lineRule="exact"/>
        <w:ind w:firstLine="3480" w:firstLineChars="1450"/>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 xml:space="preserve">投标人全称（公章）：                    </w:t>
      </w:r>
    </w:p>
    <w:p>
      <w:pPr>
        <w:tabs>
          <w:tab w:val="left" w:pos="7980"/>
        </w:tabs>
        <w:snapToGrid w:val="0"/>
        <w:spacing w:beforeLines="50" w:after="50" w:line="460" w:lineRule="exact"/>
        <w:ind w:right="-180" w:firstLine="3480" w:firstLineChars="1450"/>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法定代表人签名（或签名章</w:t>
      </w:r>
      <w:r>
        <w:rPr>
          <w:rFonts w:hint="eastAsia" w:ascii="仿宋_GB2312" w:hAnsi="仿宋_GB2312" w:eastAsia="仿宋_GB2312" w:cs="仿宋_GB2312"/>
          <w:color w:val="000000"/>
          <w:kern w:val="0"/>
          <w:sz w:val="24"/>
        </w:rPr>
        <w:t>/法人章</w:t>
      </w:r>
      <w:r>
        <w:rPr>
          <w:rFonts w:ascii="仿宋_GB2312" w:hAnsi="仿宋_GB2312" w:eastAsia="仿宋_GB2312" w:cs="仿宋_GB2312"/>
          <w:color w:val="000000"/>
          <w:kern w:val="0"/>
          <w:sz w:val="24"/>
        </w:rPr>
        <w:t xml:space="preserve">）：          </w:t>
      </w:r>
    </w:p>
    <w:p>
      <w:pPr>
        <w:spacing w:line="440" w:lineRule="exact"/>
        <w:ind w:firstLine="3480" w:firstLineChars="1450"/>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日期：       年      月      日</w:t>
      </w: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ascii="仿宋_GB2312" w:hAnsi="仿宋_GB2312" w:eastAsia="仿宋_GB2312" w:cs="仿宋_GB2312"/>
          <w:color w:val="000000"/>
          <w:kern w:val="0"/>
          <w:sz w:val="32"/>
          <w:szCs w:val="32"/>
        </w:rPr>
      </w:pPr>
      <w:r>
        <w:rPr>
          <w:rFonts w:ascii="仿宋_GB2312" w:hAnsi="仿宋_GB2312" w:eastAsia="仿宋_GB2312" w:cs="仿宋_GB2312"/>
          <w:color w:val="000000"/>
          <w:kern w:val="0"/>
          <w:sz w:val="32"/>
          <w:szCs w:val="32"/>
        </w:rPr>
        <w:t>附件</w:t>
      </w:r>
      <w:r>
        <w:rPr>
          <w:rFonts w:hint="eastAsia" w:ascii="仿宋_GB2312" w:hAnsi="仿宋_GB2312" w:eastAsia="仿宋_GB2312" w:cs="仿宋_GB2312"/>
          <w:color w:val="000000"/>
          <w:kern w:val="0"/>
          <w:sz w:val="32"/>
          <w:szCs w:val="32"/>
        </w:rPr>
        <w:t>6</w:t>
      </w:r>
    </w:p>
    <w:p>
      <w:pPr>
        <w:ind w:right="-110"/>
        <w:jc w:val="center"/>
        <w:rPr>
          <w:rFonts w:ascii="仿宋_GB2312" w:hAnsi="仿宋_GB2312" w:eastAsia="仿宋_GB2312" w:cs="仿宋_GB2312"/>
          <w:color w:val="000000"/>
          <w:kern w:val="0"/>
          <w:sz w:val="36"/>
          <w:szCs w:val="36"/>
        </w:rPr>
      </w:pPr>
      <w:r>
        <w:rPr>
          <w:rFonts w:ascii="仿宋_GB2312" w:hAnsi="仿宋_GB2312" w:eastAsia="仿宋_GB2312" w:cs="仿宋_GB2312"/>
          <w:color w:val="000000"/>
          <w:kern w:val="0"/>
          <w:sz w:val="36"/>
          <w:szCs w:val="36"/>
        </w:rPr>
        <w:t>项目实施人员</w:t>
      </w:r>
    </w:p>
    <w:p>
      <w:pPr>
        <w:pStyle w:val="2"/>
        <w:keepNext w:val="0"/>
        <w:keepLines w:val="0"/>
        <w:spacing w:before="120" w:after="120" w:line="360" w:lineRule="auto"/>
        <w:jc w:val="center"/>
        <w:rPr>
          <w:rFonts w:ascii="仿宋_GB2312" w:hAnsi="仿宋_GB2312" w:eastAsia="仿宋_GB2312" w:cs="仿宋_GB2312"/>
          <w:b w:val="0"/>
          <w:bCs w:val="0"/>
          <w:color w:val="000000"/>
          <w:kern w:val="0"/>
          <w:sz w:val="21"/>
          <w:szCs w:val="21"/>
        </w:rPr>
      </w:pPr>
      <w:r>
        <w:rPr>
          <w:rFonts w:ascii="仿宋_GB2312" w:hAnsi="仿宋_GB2312" w:eastAsia="仿宋_GB2312" w:cs="仿宋_GB2312"/>
          <w:b w:val="0"/>
          <w:bCs w:val="0"/>
          <w:color w:val="000000"/>
          <w:kern w:val="0"/>
          <w:sz w:val="21"/>
          <w:szCs w:val="21"/>
        </w:rPr>
        <w:t>服务人员配备一览表</w:t>
      </w:r>
    </w:p>
    <w:tbl>
      <w:tblPr>
        <w:tblStyle w:val="67"/>
        <w:tblW w:w="8474" w:type="dxa"/>
        <w:jc w:val="center"/>
        <w:tblLayout w:type="fixed"/>
        <w:tblCellMar>
          <w:top w:w="0" w:type="dxa"/>
          <w:left w:w="54" w:type="dxa"/>
          <w:bottom w:w="0" w:type="dxa"/>
          <w:right w:w="54" w:type="dxa"/>
        </w:tblCellMar>
      </w:tblPr>
      <w:tblGrid>
        <w:gridCol w:w="740"/>
        <w:gridCol w:w="1130"/>
        <w:gridCol w:w="705"/>
        <w:gridCol w:w="845"/>
        <w:gridCol w:w="1691"/>
        <w:gridCol w:w="1692"/>
        <w:gridCol w:w="1671"/>
      </w:tblGrid>
      <w:tr>
        <w:tblPrEx>
          <w:tblCellMar>
            <w:top w:w="0" w:type="dxa"/>
            <w:left w:w="54" w:type="dxa"/>
            <w:bottom w:w="0" w:type="dxa"/>
            <w:right w:w="54" w:type="dxa"/>
          </w:tblCellMar>
        </w:tblPrEx>
        <w:trPr>
          <w:trHeight w:val="391" w:hRule="atLeast"/>
          <w:jc w:val="center"/>
        </w:trPr>
        <w:tc>
          <w:tcPr>
            <w:tcW w:w="740" w:type="dxa"/>
            <w:tcBorders>
              <w:top w:val="single" w:color="auto" w:sz="6" w:space="0"/>
              <w:left w:val="single" w:color="auto" w:sz="6" w:space="0"/>
              <w:bottom w:val="single" w:color="auto" w:sz="6" w:space="0"/>
              <w:right w:val="single" w:color="auto" w:sz="6" w:space="0"/>
            </w:tcBorders>
            <w:noWrap/>
          </w:tcPr>
          <w:p>
            <w:pPr>
              <w:jc w:val="cente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序号</w:t>
            </w:r>
          </w:p>
        </w:tc>
        <w:tc>
          <w:tcPr>
            <w:tcW w:w="1130" w:type="dxa"/>
            <w:tcBorders>
              <w:top w:val="single" w:color="auto" w:sz="6" w:space="0"/>
              <w:left w:val="single" w:color="auto" w:sz="6" w:space="0"/>
              <w:bottom w:val="single" w:color="auto" w:sz="6" w:space="0"/>
              <w:right w:val="single" w:color="auto" w:sz="6" w:space="0"/>
            </w:tcBorders>
            <w:noWrap/>
          </w:tcPr>
          <w:p>
            <w:pPr>
              <w:jc w:val="cente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姓名</w:t>
            </w:r>
          </w:p>
        </w:tc>
        <w:tc>
          <w:tcPr>
            <w:tcW w:w="705" w:type="dxa"/>
            <w:tcBorders>
              <w:top w:val="single" w:color="auto" w:sz="6" w:space="0"/>
              <w:left w:val="single" w:color="auto" w:sz="6" w:space="0"/>
              <w:bottom w:val="single" w:color="auto" w:sz="6" w:space="0"/>
              <w:right w:val="single" w:color="auto" w:sz="4" w:space="0"/>
            </w:tcBorders>
            <w:noWrap/>
          </w:tcPr>
          <w:p>
            <w:pPr>
              <w:jc w:val="cente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年龄</w:t>
            </w:r>
          </w:p>
        </w:tc>
        <w:tc>
          <w:tcPr>
            <w:tcW w:w="845" w:type="dxa"/>
            <w:tcBorders>
              <w:top w:val="single" w:color="auto" w:sz="6" w:space="0"/>
              <w:left w:val="single" w:color="auto" w:sz="4" w:space="0"/>
              <w:bottom w:val="single" w:color="auto" w:sz="6" w:space="0"/>
              <w:right w:val="single" w:color="auto" w:sz="4" w:space="0"/>
            </w:tcBorders>
            <w:noWrap/>
          </w:tcPr>
          <w:p>
            <w:pPr>
              <w:jc w:val="cente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性别</w:t>
            </w:r>
          </w:p>
        </w:tc>
        <w:tc>
          <w:tcPr>
            <w:tcW w:w="1691" w:type="dxa"/>
            <w:tcBorders>
              <w:top w:val="single" w:color="auto" w:sz="6" w:space="0"/>
              <w:left w:val="single" w:color="auto" w:sz="4" w:space="0"/>
              <w:bottom w:val="single" w:color="auto" w:sz="6" w:space="0"/>
              <w:right w:val="single" w:color="auto" w:sz="6" w:space="0"/>
            </w:tcBorders>
            <w:noWrap/>
          </w:tcPr>
          <w:p>
            <w:pPr>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从事本工作</w:t>
            </w:r>
            <w:r>
              <w:rPr>
                <w:rFonts w:ascii="仿宋_GB2312" w:hAnsi="仿宋_GB2312" w:eastAsia="仿宋_GB2312" w:cs="仿宋_GB2312"/>
                <w:color w:val="000000"/>
                <w:kern w:val="0"/>
                <w:szCs w:val="21"/>
              </w:rPr>
              <w:t>时间</w:t>
            </w:r>
          </w:p>
        </w:tc>
        <w:tc>
          <w:tcPr>
            <w:tcW w:w="1692" w:type="dxa"/>
            <w:tcBorders>
              <w:top w:val="single" w:color="auto" w:sz="6" w:space="0"/>
              <w:left w:val="single" w:color="auto" w:sz="6" w:space="0"/>
              <w:bottom w:val="single" w:color="auto" w:sz="6" w:space="0"/>
              <w:right w:val="single" w:color="auto" w:sz="6" w:space="0"/>
            </w:tcBorders>
            <w:noWrap/>
          </w:tcPr>
          <w:p>
            <w:pPr>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相关资格证书</w:t>
            </w:r>
          </w:p>
        </w:tc>
        <w:tc>
          <w:tcPr>
            <w:tcW w:w="1671" w:type="dxa"/>
            <w:tcBorders>
              <w:top w:val="single" w:color="auto" w:sz="6" w:space="0"/>
              <w:left w:val="single" w:color="auto" w:sz="6" w:space="0"/>
              <w:bottom w:val="single" w:color="auto" w:sz="6" w:space="0"/>
              <w:right w:val="single" w:color="auto" w:sz="6" w:space="0"/>
            </w:tcBorders>
            <w:noWrap/>
          </w:tcPr>
          <w:p>
            <w:pPr>
              <w:jc w:val="cente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拟任岗位及工作量</w:t>
            </w:r>
          </w:p>
        </w:tc>
      </w:tr>
      <w:tr>
        <w:tblPrEx>
          <w:tblCellMar>
            <w:top w:w="0" w:type="dxa"/>
            <w:left w:w="54" w:type="dxa"/>
            <w:bottom w:w="0" w:type="dxa"/>
            <w:right w:w="54" w:type="dxa"/>
          </w:tblCellMar>
        </w:tblPrEx>
        <w:trPr>
          <w:cantSplit/>
          <w:trHeight w:val="300" w:hRule="exact"/>
          <w:jc w:val="center"/>
        </w:trPr>
        <w:tc>
          <w:tcPr>
            <w:tcW w:w="740" w:type="dxa"/>
            <w:tcBorders>
              <w:top w:val="single" w:color="auto" w:sz="6" w:space="0"/>
              <w:left w:val="single" w:color="auto" w:sz="6" w:space="0"/>
              <w:bottom w:val="single" w:color="auto" w:sz="6" w:space="0"/>
              <w:right w:val="single" w:color="auto" w:sz="6" w:space="0"/>
            </w:tcBorders>
            <w:noWrap/>
          </w:tcPr>
          <w:p>
            <w:pPr>
              <w:jc w:val="cente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1</w:t>
            </w:r>
          </w:p>
        </w:tc>
        <w:tc>
          <w:tcPr>
            <w:tcW w:w="1130" w:type="dxa"/>
            <w:tcBorders>
              <w:top w:val="single" w:color="auto" w:sz="6" w:space="0"/>
              <w:left w:val="single" w:color="auto" w:sz="6" w:space="0"/>
              <w:bottom w:val="single" w:color="auto" w:sz="6" w:space="0"/>
              <w:right w:val="single" w:color="auto" w:sz="6" w:space="0"/>
            </w:tcBorders>
            <w:noWrap/>
          </w:tcPr>
          <w:p>
            <w:pPr>
              <w:rPr>
                <w:rFonts w:ascii="仿宋_GB2312" w:hAnsi="仿宋_GB2312" w:eastAsia="仿宋_GB2312" w:cs="仿宋_GB2312"/>
                <w:color w:val="000000"/>
                <w:kern w:val="0"/>
                <w:szCs w:val="21"/>
              </w:rPr>
            </w:pPr>
          </w:p>
        </w:tc>
        <w:tc>
          <w:tcPr>
            <w:tcW w:w="705" w:type="dxa"/>
            <w:tcBorders>
              <w:top w:val="single" w:color="auto" w:sz="6" w:space="0"/>
              <w:left w:val="single" w:color="auto" w:sz="6" w:space="0"/>
              <w:bottom w:val="single" w:color="auto" w:sz="6" w:space="0"/>
              <w:right w:val="single" w:color="auto" w:sz="4" w:space="0"/>
            </w:tcBorders>
            <w:noWrap/>
          </w:tcPr>
          <w:p>
            <w:pPr>
              <w:rPr>
                <w:rFonts w:ascii="仿宋_GB2312" w:hAnsi="仿宋_GB2312" w:eastAsia="仿宋_GB2312" w:cs="仿宋_GB2312"/>
                <w:color w:val="000000"/>
                <w:kern w:val="0"/>
                <w:szCs w:val="21"/>
              </w:rPr>
            </w:pPr>
          </w:p>
        </w:tc>
        <w:tc>
          <w:tcPr>
            <w:tcW w:w="845" w:type="dxa"/>
            <w:tcBorders>
              <w:top w:val="single" w:color="auto" w:sz="6" w:space="0"/>
              <w:left w:val="single" w:color="auto" w:sz="4" w:space="0"/>
              <w:bottom w:val="single" w:color="auto" w:sz="6" w:space="0"/>
              <w:right w:val="single" w:color="auto" w:sz="4" w:space="0"/>
            </w:tcBorders>
            <w:noWrap/>
          </w:tcPr>
          <w:p>
            <w:pPr>
              <w:rPr>
                <w:rFonts w:ascii="仿宋_GB2312" w:hAnsi="仿宋_GB2312" w:eastAsia="仿宋_GB2312" w:cs="仿宋_GB2312"/>
                <w:color w:val="000000"/>
                <w:kern w:val="0"/>
                <w:szCs w:val="21"/>
              </w:rPr>
            </w:pPr>
          </w:p>
        </w:tc>
        <w:tc>
          <w:tcPr>
            <w:tcW w:w="1691" w:type="dxa"/>
            <w:tcBorders>
              <w:top w:val="single" w:color="auto" w:sz="6" w:space="0"/>
              <w:left w:val="single" w:color="auto" w:sz="4" w:space="0"/>
              <w:bottom w:val="single" w:color="auto" w:sz="6" w:space="0"/>
              <w:right w:val="single" w:color="auto" w:sz="6" w:space="0"/>
            </w:tcBorders>
            <w:noWrap/>
          </w:tcPr>
          <w:p>
            <w:pPr>
              <w:rPr>
                <w:rFonts w:ascii="仿宋_GB2312" w:hAnsi="仿宋_GB2312" w:eastAsia="仿宋_GB2312" w:cs="仿宋_GB2312"/>
                <w:color w:val="000000"/>
                <w:kern w:val="0"/>
                <w:szCs w:val="21"/>
              </w:rPr>
            </w:pPr>
          </w:p>
        </w:tc>
        <w:tc>
          <w:tcPr>
            <w:tcW w:w="1692" w:type="dxa"/>
            <w:tcBorders>
              <w:top w:val="single" w:color="auto" w:sz="6" w:space="0"/>
              <w:left w:val="single" w:color="auto" w:sz="6" w:space="0"/>
              <w:bottom w:val="single" w:color="auto" w:sz="6" w:space="0"/>
              <w:right w:val="single" w:color="auto" w:sz="6" w:space="0"/>
            </w:tcBorders>
            <w:noWrap/>
          </w:tcPr>
          <w:p>
            <w:pPr>
              <w:rPr>
                <w:rFonts w:ascii="仿宋_GB2312" w:hAnsi="仿宋_GB2312" w:eastAsia="仿宋_GB2312" w:cs="仿宋_GB2312"/>
                <w:color w:val="000000"/>
                <w:kern w:val="0"/>
                <w:szCs w:val="21"/>
              </w:rPr>
            </w:pPr>
          </w:p>
        </w:tc>
        <w:tc>
          <w:tcPr>
            <w:tcW w:w="1671" w:type="dxa"/>
            <w:tcBorders>
              <w:top w:val="single" w:color="auto" w:sz="6" w:space="0"/>
              <w:left w:val="single" w:color="auto" w:sz="6" w:space="0"/>
              <w:bottom w:val="single" w:color="auto" w:sz="6" w:space="0"/>
              <w:right w:val="single" w:color="auto" w:sz="6" w:space="0"/>
            </w:tcBorders>
            <w:noWrap/>
          </w:tcPr>
          <w:p>
            <w:pPr>
              <w:rPr>
                <w:rFonts w:ascii="仿宋_GB2312" w:hAnsi="仿宋_GB2312" w:eastAsia="仿宋_GB2312" w:cs="仿宋_GB2312"/>
                <w:color w:val="000000"/>
                <w:kern w:val="0"/>
                <w:szCs w:val="21"/>
              </w:rPr>
            </w:pPr>
          </w:p>
        </w:tc>
      </w:tr>
      <w:tr>
        <w:tblPrEx>
          <w:tblCellMar>
            <w:top w:w="0" w:type="dxa"/>
            <w:left w:w="54" w:type="dxa"/>
            <w:bottom w:w="0" w:type="dxa"/>
            <w:right w:w="54" w:type="dxa"/>
          </w:tblCellMar>
        </w:tblPrEx>
        <w:trPr>
          <w:cantSplit/>
          <w:trHeight w:val="300" w:hRule="exact"/>
          <w:jc w:val="center"/>
        </w:trPr>
        <w:tc>
          <w:tcPr>
            <w:tcW w:w="740" w:type="dxa"/>
            <w:tcBorders>
              <w:top w:val="single" w:color="auto" w:sz="6" w:space="0"/>
              <w:left w:val="single" w:color="auto" w:sz="6" w:space="0"/>
              <w:bottom w:val="single" w:color="auto" w:sz="6" w:space="0"/>
              <w:right w:val="single" w:color="auto" w:sz="6" w:space="0"/>
            </w:tcBorders>
            <w:noWrap/>
          </w:tcPr>
          <w:p>
            <w:pPr>
              <w:jc w:val="cente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2</w:t>
            </w:r>
          </w:p>
        </w:tc>
        <w:tc>
          <w:tcPr>
            <w:tcW w:w="1130" w:type="dxa"/>
            <w:tcBorders>
              <w:top w:val="single" w:color="auto" w:sz="6" w:space="0"/>
              <w:left w:val="single" w:color="auto" w:sz="6" w:space="0"/>
              <w:bottom w:val="single" w:color="auto" w:sz="6" w:space="0"/>
              <w:right w:val="single" w:color="auto" w:sz="6" w:space="0"/>
            </w:tcBorders>
            <w:noWrap/>
          </w:tcPr>
          <w:p>
            <w:pPr>
              <w:pStyle w:val="49"/>
              <w:rPr>
                <w:rFonts w:ascii="仿宋_GB2312" w:hAnsi="仿宋_GB2312" w:eastAsia="仿宋_GB2312" w:cs="仿宋_GB2312"/>
                <w:b w:val="0"/>
                <w:color w:val="000000"/>
                <w:kern w:val="0"/>
                <w:szCs w:val="21"/>
              </w:rPr>
            </w:pPr>
          </w:p>
        </w:tc>
        <w:tc>
          <w:tcPr>
            <w:tcW w:w="705" w:type="dxa"/>
            <w:tcBorders>
              <w:top w:val="single" w:color="auto" w:sz="6" w:space="0"/>
              <w:left w:val="single" w:color="auto" w:sz="6" w:space="0"/>
              <w:bottom w:val="single" w:color="auto" w:sz="6" w:space="0"/>
              <w:right w:val="single" w:color="auto" w:sz="4" w:space="0"/>
            </w:tcBorders>
            <w:noWrap/>
          </w:tcPr>
          <w:p>
            <w:pPr>
              <w:rPr>
                <w:rFonts w:ascii="仿宋_GB2312" w:hAnsi="仿宋_GB2312" w:eastAsia="仿宋_GB2312" w:cs="仿宋_GB2312"/>
                <w:color w:val="000000"/>
                <w:kern w:val="0"/>
                <w:szCs w:val="21"/>
              </w:rPr>
            </w:pPr>
          </w:p>
        </w:tc>
        <w:tc>
          <w:tcPr>
            <w:tcW w:w="845" w:type="dxa"/>
            <w:tcBorders>
              <w:top w:val="single" w:color="auto" w:sz="6" w:space="0"/>
              <w:left w:val="single" w:color="auto" w:sz="4" w:space="0"/>
              <w:bottom w:val="single" w:color="auto" w:sz="6" w:space="0"/>
              <w:right w:val="single" w:color="auto" w:sz="4" w:space="0"/>
            </w:tcBorders>
            <w:noWrap/>
          </w:tcPr>
          <w:p>
            <w:pPr>
              <w:rPr>
                <w:rFonts w:ascii="仿宋_GB2312" w:hAnsi="仿宋_GB2312" w:eastAsia="仿宋_GB2312" w:cs="仿宋_GB2312"/>
                <w:color w:val="000000"/>
                <w:kern w:val="0"/>
                <w:szCs w:val="21"/>
              </w:rPr>
            </w:pPr>
          </w:p>
        </w:tc>
        <w:tc>
          <w:tcPr>
            <w:tcW w:w="1691" w:type="dxa"/>
            <w:tcBorders>
              <w:top w:val="single" w:color="auto" w:sz="6" w:space="0"/>
              <w:left w:val="single" w:color="auto" w:sz="4" w:space="0"/>
              <w:bottom w:val="single" w:color="auto" w:sz="6" w:space="0"/>
              <w:right w:val="single" w:color="auto" w:sz="6" w:space="0"/>
            </w:tcBorders>
            <w:noWrap/>
          </w:tcPr>
          <w:p>
            <w:pPr>
              <w:rPr>
                <w:rFonts w:ascii="仿宋_GB2312" w:hAnsi="仿宋_GB2312" w:eastAsia="仿宋_GB2312" w:cs="仿宋_GB2312"/>
                <w:color w:val="000000"/>
                <w:kern w:val="0"/>
                <w:szCs w:val="21"/>
              </w:rPr>
            </w:pPr>
          </w:p>
        </w:tc>
        <w:tc>
          <w:tcPr>
            <w:tcW w:w="1692" w:type="dxa"/>
            <w:tcBorders>
              <w:top w:val="single" w:color="auto" w:sz="6" w:space="0"/>
              <w:left w:val="single" w:color="auto" w:sz="6" w:space="0"/>
              <w:bottom w:val="single" w:color="auto" w:sz="6" w:space="0"/>
              <w:right w:val="single" w:color="auto" w:sz="6" w:space="0"/>
            </w:tcBorders>
            <w:noWrap/>
          </w:tcPr>
          <w:p>
            <w:pPr>
              <w:rPr>
                <w:rFonts w:ascii="仿宋_GB2312" w:hAnsi="仿宋_GB2312" w:eastAsia="仿宋_GB2312" w:cs="仿宋_GB2312"/>
                <w:color w:val="000000"/>
                <w:kern w:val="0"/>
                <w:szCs w:val="21"/>
              </w:rPr>
            </w:pPr>
          </w:p>
        </w:tc>
        <w:tc>
          <w:tcPr>
            <w:tcW w:w="1671" w:type="dxa"/>
            <w:tcBorders>
              <w:top w:val="single" w:color="auto" w:sz="6" w:space="0"/>
              <w:left w:val="single" w:color="auto" w:sz="6" w:space="0"/>
              <w:bottom w:val="single" w:color="auto" w:sz="6" w:space="0"/>
              <w:right w:val="single" w:color="auto" w:sz="6" w:space="0"/>
            </w:tcBorders>
            <w:noWrap/>
          </w:tcPr>
          <w:p>
            <w:pPr>
              <w:rPr>
                <w:rFonts w:ascii="仿宋_GB2312" w:hAnsi="仿宋_GB2312" w:eastAsia="仿宋_GB2312" w:cs="仿宋_GB2312"/>
                <w:color w:val="000000"/>
                <w:kern w:val="0"/>
                <w:szCs w:val="21"/>
              </w:rPr>
            </w:pPr>
          </w:p>
        </w:tc>
      </w:tr>
      <w:tr>
        <w:tblPrEx>
          <w:tblCellMar>
            <w:top w:w="0" w:type="dxa"/>
            <w:left w:w="54" w:type="dxa"/>
            <w:bottom w:w="0" w:type="dxa"/>
            <w:right w:w="54" w:type="dxa"/>
          </w:tblCellMar>
        </w:tblPrEx>
        <w:trPr>
          <w:cantSplit/>
          <w:trHeight w:val="300" w:hRule="exact"/>
          <w:jc w:val="center"/>
        </w:trPr>
        <w:tc>
          <w:tcPr>
            <w:tcW w:w="740" w:type="dxa"/>
            <w:tcBorders>
              <w:top w:val="single" w:color="auto" w:sz="6" w:space="0"/>
              <w:left w:val="single" w:color="auto" w:sz="6" w:space="0"/>
              <w:bottom w:val="single" w:color="auto" w:sz="6" w:space="0"/>
              <w:right w:val="single" w:color="auto" w:sz="6" w:space="0"/>
            </w:tcBorders>
            <w:noWrap/>
          </w:tcPr>
          <w:p>
            <w:pPr>
              <w:jc w:val="cente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3</w:t>
            </w:r>
          </w:p>
        </w:tc>
        <w:tc>
          <w:tcPr>
            <w:tcW w:w="1130" w:type="dxa"/>
            <w:tcBorders>
              <w:top w:val="single" w:color="auto" w:sz="6" w:space="0"/>
              <w:left w:val="single" w:color="auto" w:sz="6" w:space="0"/>
              <w:bottom w:val="single" w:color="auto" w:sz="6" w:space="0"/>
              <w:right w:val="single" w:color="auto" w:sz="6" w:space="0"/>
            </w:tcBorders>
            <w:noWrap/>
          </w:tcPr>
          <w:p>
            <w:pPr>
              <w:rPr>
                <w:rFonts w:ascii="仿宋_GB2312" w:hAnsi="仿宋_GB2312" w:eastAsia="仿宋_GB2312" w:cs="仿宋_GB2312"/>
                <w:color w:val="000000"/>
                <w:kern w:val="0"/>
                <w:szCs w:val="21"/>
              </w:rPr>
            </w:pPr>
          </w:p>
        </w:tc>
        <w:tc>
          <w:tcPr>
            <w:tcW w:w="705" w:type="dxa"/>
            <w:tcBorders>
              <w:top w:val="single" w:color="auto" w:sz="6" w:space="0"/>
              <w:left w:val="single" w:color="auto" w:sz="6" w:space="0"/>
              <w:bottom w:val="single" w:color="auto" w:sz="6" w:space="0"/>
              <w:right w:val="single" w:color="auto" w:sz="4" w:space="0"/>
            </w:tcBorders>
            <w:noWrap/>
          </w:tcPr>
          <w:p>
            <w:pPr>
              <w:rPr>
                <w:rFonts w:ascii="仿宋_GB2312" w:hAnsi="仿宋_GB2312" w:eastAsia="仿宋_GB2312" w:cs="仿宋_GB2312"/>
                <w:color w:val="000000"/>
                <w:kern w:val="0"/>
                <w:szCs w:val="21"/>
              </w:rPr>
            </w:pPr>
          </w:p>
        </w:tc>
        <w:tc>
          <w:tcPr>
            <w:tcW w:w="845" w:type="dxa"/>
            <w:tcBorders>
              <w:top w:val="single" w:color="auto" w:sz="6" w:space="0"/>
              <w:left w:val="single" w:color="auto" w:sz="4" w:space="0"/>
              <w:bottom w:val="single" w:color="auto" w:sz="6" w:space="0"/>
              <w:right w:val="single" w:color="auto" w:sz="4" w:space="0"/>
            </w:tcBorders>
            <w:noWrap/>
          </w:tcPr>
          <w:p>
            <w:pPr>
              <w:rPr>
                <w:rFonts w:ascii="仿宋_GB2312" w:hAnsi="仿宋_GB2312" w:eastAsia="仿宋_GB2312" w:cs="仿宋_GB2312"/>
                <w:color w:val="000000"/>
                <w:kern w:val="0"/>
                <w:szCs w:val="21"/>
              </w:rPr>
            </w:pPr>
          </w:p>
        </w:tc>
        <w:tc>
          <w:tcPr>
            <w:tcW w:w="1691" w:type="dxa"/>
            <w:tcBorders>
              <w:top w:val="single" w:color="auto" w:sz="6" w:space="0"/>
              <w:left w:val="single" w:color="auto" w:sz="4" w:space="0"/>
              <w:bottom w:val="single" w:color="auto" w:sz="6" w:space="0"/>
              <w:right w:val="single" w:color="auto" w:sz="6" w:space="0"/>
            </w:tcBorders>
            <w:noWrap/>
          </w:tcPr>
          <w:p>
            <w:pPr>
              <w:rPr>
                <w:rFonts w:ascii="仿宋_GB2312" w:hAnsi="仿宋_GB2312" w:eastAsia="仿宋_GB2312" w:cs="仿宋_GB2312"/>
                <w:color w:val="000000"/>
                <w:kern w:val="0"/>
                <w:szCs w:val="21"/>
              </w:rPr>
            </w:pPr>
          </w:p>
        </w:tc>
        <w:tc>
          <w:tcPr>
            <w:tcW w:w="1692" w:type="dxa"/>
            <w:tcBorders>
              <w:top w:val="single" w:color="auto" w:sz="6" w:space="0"/>
              <w:left w:val="single" w:color="auto" w:sz="6" w:space="0"/>
              <w:bottom w:val="single" w:color="auto" w:sz="6" w:space="0"/>
              <w:right w:val="single" w:color="auto" w:sz="6" w:space="0"/>
            </w:tcBorders>
            <w:noWrap/>
          </w:tcPr>
          <w:p>
            <w:pPr>
              <w:rPr>
                <w:rFonts w:ascii="仿宋_GB2312" w:hAnsi="仿宋_GB2312" w:eastAsia="仿宋_GB2312" w:cs="仿宋_GB2312"/>
                <w:color w:val="000000"/>
                <w:kern w:val="0"/>
                <w:szCs w:val="21"/>
              </w:rPr>
            </w:pPr>
          </w:p>
        </w:tc>
        <w:tc>
          <w:tcPr>
            <w:tcW w:w="1671" w:type="dxa"/>
            <w:tcBorders>
              <w:top w:val="single" w:color="auto" w:sz="6" w:space="0"/>
              <w:left w:val="single" w:color="auto" w:sz="6" w:space="0"/>
              <w:bottom w:val="single" w:color="auto" w:sz="6" w:space="0"/>
              <w:right w:val="single" w:color="auto" w:sz="6" w:space="0"/>
            </w:tcBorders>
            <w:noWrap/>
          </w:tcPr>
          <w:p>
            <w:pPr>
              <w:rPr>
                <w:rFonts w:ascii="仿宋_GB2312" w:hAnsi="仿宋_GB2312" w:eastAsia="仿宋_GB2312" w:cs="仿宋_GB2312"/>
                <w:color w:val="000000"/>
                <w:kern w:val="0"/>
                <w:szCs w:val="21"/>
              </w:rPr>
            </w:pPr>
          </w:p>
        </w:tc>
      </w:tr>
      <w:tr>
        <w:tblPrEx>
          <w:tblCellMar>
            <w:top w:w="0" w:type="dxa"/>
            <w:left w:w="54" w:type="dxa"/>
            <w:bottom w:w="0" w:type="dxa"/>
            <w:right w:w="54" w:type="dxa"/>
          </w:tblCellMar>
        </w:tblPrEx>
        <w:trPr>
          <w:cantSplit/>
          <w:trHeight w:val="300" w:hRule="exact"/>
          <w:jc w:val="center"/>
        </w:trPr>
        <w:tc>
          <w:tcPr>
            <w:tcW w:w="740" w:type="dxa"/>
            <w:tcBorders>
              <w:top w:val="single" w:color="auto" w:sz="6" w:space="0"/>
              <w:left w:val="single" w:color="auto" w:sz="6" w:space="0"/>
              <w:bottom w:val="single" w:color="auto" w:sz="6" w:space="0"/>
              <w:right w:val="single" w:color="auto" w:sz="6" w:space="0"/>
            </w:tcBorders>
            <w:noWrap/>
          </w:tcPr>
          <w:p>
            <w:pPr>
              <w:jc w:val="cente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4</w:t>
            </w:r>
          </w:p>
        </w:tc>
        <w:tc>
          <w:tcPr>
            <w:tcW w:w="1130" w:type="dxa"/>
            <w:tcBorders>
              <w:top w:val="single" w:color="auto" w:sz="6" w:space="0"/>
              <w:left w:val="single" w:color="auto" w:sz="6" w:space="0"/>
              <w:bottom w:val="single" w:color="auto" w:sz="6" w:space="0"/>
              <w:right w:val="single" w:color="auto" w:sz="6" w:space="0"/>
            </w:tcBorders>
            <w:noWrap/>
          </w:tcPr>
          <w:p>
            <w:pPr>
              <w:rPr>
                <w:rFonts w:ascii="仿宋_GB2312" w:hAnsi="仿宋_GB2312" w:eastAsia="仿宋_GB2312" w:cs="仿宋_GB2312"/>
                <w:color w:val="000000"/>
                <w:kern w:val="0"/>
                <w:szCs w:val="21"/>
              </w:rPr>
            </w:pPr>
          </w:p>
        </w:tc>
        <w:tc>
          <w:tcPr>
            <w:tcW w:w="705" w:type="dxa"/>
            <w:tcBorders>
              <w:top w:val="single" w:color="auto" w:sz="6" w:space="0"/>
              <w:left w:val="single" w:color="auto" w:sz="6" w:space="0"/>
              <w:bottom w:val="single" w:color="auto" w:sz="6" w:space="0"/>
              <w:right w:val="single" w:color="auto" w:sz="4" w:space="0"/>
            </w:tcBorders>
            <w:noWrap/>
          </w:tcPr>
          <w:p>
            <w:pPr>
              <w:rPr>
                <w:rFonts w:ascii="仿宋_GB2312" w:hAnsi="仿宋_GB2312" w:eastAsia="仿宋_GB2312" w:cs="仿宋_GB2312"/>
                <w:color w:val="000000"/>
                <w:kern w:val="0"/>
                <w:szCs w:val="21"/>
              </w:rPr>
            </w:pPr>
          </w:p>
        </w:tc>
        <w:tc>
          <w:tcPr>
            <w:tcW w:w="845" w:type="dxa"/>
            <w:tcBorders>
              <w:top w:val="single" w:color="auto" w:sz="6" w:space="0"/>
              <w:left w:val="single" w:color="auto" w:sz="4" w:space="0"/>
              <w:bottom w:val="single" w:color="auto" w:sz="6" w:space="0"/>
              <w:right w:val="single" w:color="auto" w:sz="4" w:space="0"/>
            </w:tcBorders>
            <w:noWrap/>
          </w:tcPr>
          <w:p>
            <w:pPr>
              <w:rPr>
                <w:rFonts w:ascii="仿宋_GB2312" w:hAnsi="仿宋_GB2312" w:eastAsia="仿宋_GB2312" w:cs="仿宋_GB2312"/>
                <w:color w:val="000000"/>
                <w:kern w:val="0"/>
                <w:szCs w:val="21"/>
              </w:rPr>
            </w:pPr>
          </w:p>
        </w:tc>
        <w:tc>
          <w:tcPr>
            <w:tcW w:w="1691" w:type="dxa"/>
            <w:tcBorders>
              <w:top w:val="single" w:color="auto" w:sz="6" w:space="0"/>
              <w:left w:val="single" w:color="auto" w:sz="4" w:space="0"/>
              <w:bottom w:val="single" w:color="auto" w:sz="6" w:space="0"/>
              <w:right w:val="single" w:color="auto" w:sz="6" w:space="0"/>
            </w:tcBorders>
            <w:noWrap/>
          </w:tcPr>
          <w:p>
            <w:pPr>
              <w:rPr>
                <w:rFonts w:ascii="仿宋_GB2312" w:hAnsi="仿宋_GB2312" w:eastAsia="仿宋_GB2312" w:cs="仿宋_GB2312"/>
                <w:color w:val="000000"/>
                <w:kern w:val="0"/>
                <w:szCs w:val="21"/>
              </w:rPr>
            </w:pPr>
          </w:p>
        </w:tc>
        <w:tc>
          <w:tcPr>
            <w:tcW w:w="1692" w:type="dxa"/>
            <w:tcBorders>
              <w:top w:val="single" w:color="auto" w:sz="6" w:space="0"/>
              <w:left w:val="single" w:color="auto" w:sz="6" w:space="0"/>
              <w:bottom w:val="single" w:color="auto" w:sz="6" w:space="0"/>
              <w:right w:val="single" w:color="auto" w:sz="6" w:space="0"/>
            </w:tcBorders>
            <w:noWrap/>
          </w:tcPr>
          <w:p>
            <w:pPr>
              <w:rPr>
                <w:rFonts w:ascii="仿宋_GB2312" w:hAnsi="仿宋_GB2312" w:eastAsia="仿宋_GB2312" w:cs="仿宋_GB2312"/>
                <w:color w:val="000000"/>
                <w:kern w:val="0"/>
                <w:szCs w:val="21"/>
              </w:rPr>
            </w:pPr>
          </w:p>
        </w:tc>
        <w:tc>
          <w:tcPr>
            <w:tcW w:w="1671" w:type="dxa"/>
            <w:tcBorders>
              <w:top w:val="single" w:color="auto" w:sz="6" w:space="0"/>
              <w:left w:val="single" w:color="auto" w:sz="6" w:space="0"/>
              <w:bottom w:val="single" w:color="auto" w:sz="6" w:space="0"/>
              <w:right w:val="single" w:color="auto" w:sz="6" w:space="0"/>
            </w:tcBorders>
            <w:noWrap/>
          </w:tcPr>
          <w:p>
            <w:pPr>
              <w:rPr>
                <w:rFonts w:ascii="仿宋_GB2312" w:hAnsi="仿宋_GB2312" w:eastAsia="仿宋_GB2312" w:cs="仿宋_GB2312"/>
                <w:color w:val="000000"/>
                <w:kern w:val="0"/>
                <w:szCs w:val="21"/>
              </w:rPr>
            </w:pPr>
          </w:p>
        </w:tc>
      </w:tr>
      <w:tr>
        <w:tblPrEx>
          <w:tblCellMar>
            <w:top w:w="0" w:type="dxa"/>
            <w:left w:w="54" w:type="dxa"/>
            <w:bottom w:w="0" w:type="dxa"/>
            <w:right w:w="54" w:type="dxa"/>
          </w:tblCellMar>
        </w:tblPrEx>
        <w:trPr>
          <w:cantSplit/>
          <w:trHeight w:val="300" w:hRule="exact"/>
          <w:jc w:val="center"/>
        </w:trPr>
        <w:tc>
          <w:tcPr>
            <w:tcW w:w="740" w:type="dxa"/>
            <w:tcBorders>
              <w:top w:val="single" w:color="auto" w:sz="6" w:space="0"/>
              <w:left w:val="single" w:color="auto" w:sz="6" w:space="0"/>
              <w:bottom w:val="single" w:color="auto" w:sz="6" w:space="0"/>
              <w:right w:val="single" w:color="auto" w:sz="6" w:space="0"/>
            </w:tcBorders>
            <w:noWrap/>
          </w:tcPr>
          <w:p>
            <w:pPr>
              <w:jc w:val="cente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5</w:t>
            </w:r>
          </w:p>
        </w:tc>
        <w:tc>
          <w:tcPr>
            <w:tcW w:w="1130" w:type="dxa"/>
            <w:tcBorders>
              <w:top w:val="single" w:color="auto" w:sz="6" w:space="0"/>
              <w:left w:val="single" w:color="auto" w:sz="6" w:space="0"/>
              <w:bottom w:val="single" w:color="auto" w:sz="6" w:space="0"/>
              <w:right w:val="single" w:color="auto" w:sz="6" w:space="0"/>
            </w:tcBorders>
            <w:noWrap/>
          </w:tcPr>
          <w:p>
            <w:pPr>
              <w:rPr>
                <w:rFonts w:ascii="仿宋_GB2312" w:hAnsi="仿宋_GB2312" w:eastAsia="仿宋_GB2312" w:cs="仿宋_GB2312"/>
                <w:color w:val="000000"/>
                <w:kern w:val="0"/>
                <w:szCs w:val="21"/>
              </w:rPr>
            </w:pPr>
          </w:p>
        </w:tc>
        <w:tc>
          <w:tcPr>
            <w:tcW w:w="705" w:type="dxa"/>
            <w:tcBorders>
              <w:top w:val="single" w:color="auto" w:sz="6" w:space="0"/>
              <w:left w:val="single" w:color="auto" w:sz="6" w:space="0"/>
              <w:bottom w:val="single" w:color="auto" w:sz="6" w:space="0"/>
              <w:right w:val="single" w:color="auto" w:sz="4" w:space="0"/>
            </w:tcBorders>
            <w:noWrap/>
          </w:tcPr>
          <w:p>
            <w:pPr>
              <w:rPr>
                <w:rFonts w:ascii="仿宋_GB2312" w:hAnsi="仿宋_GB2312" w:eastAsia="仿宋_GB2312" w:cs="仿宋_GB2312"/>
                <w:color w:val="000000"/>
                <w:kern w:val="0"/>
                <w:szCs w:val="21"/>
              </w:rPr>
            </w:pPr>
          </w:p>
        </w:tc>
        <w:tc>
          <w:tcPr>
            <w:tcW w:w="845" w:type="dxa"/>
            <w:tcBorders>
              <w:top w:val="single" w:color="auto" w:sz="6" w:space="0"/>
              <w:left w:val="single" w:color="auto" w:sz="4" w:space="0"/>
              <w:bottom w:val="single" w:color="auto" w:sz="6" w:space="0"/>
              <w:right w:val="single" w:color="auto" w:sz="4" w:space="0"/>
            </w:tcBorders>
            <w:noWrap/>
          </w:tcPr>
          <w:p>
            <w:pPr>
              <w:rPr>
                <w:rFonts w:ascii="仿宋_GB2312" w:hAnsi="仿宋_GB2312" w:eastAsia="仿宋_GB2312" w:cs="仿宋_GB2312"/>
                <w:color w:val="000000"/>
                <w:kern w:val="0"/>
                <w:szCs w:val="21"/>
              </w:rPr>
            </w:pPr>
          </w:p>
        </w:tc>
        <w:tc>
          <w:tcPr>
            <w:tcW w:w="1691" w:type="dxa"/>
            <w:tcBorders>
              <w:top w:val="single" w:color="auto" w:sz="6" w:space="0"/>
              <w:left w:val="single" w:color="auto" w:sz="4" w:space="0"/>
              <w:bottom w:val="single" w:color="auto" w:sz="6" w:space="0"/>
              <w:right w:val="single" w:color="auto" w:sz="6" w:space="0"/>
            </w:tcBorders>
            <w:noWrap/>
          </w:tcPr>
          <w:p>
            <w:pPr>
              <w:rPr>
                <w:rFonts w:ascii="仿宋_GB2312" w:hAnsi="仿宋_GB2312" w:eastAsia="仿宋_GB2312" w:cs="仿宋_GB2312"/>
                <w:color w:val="000000"/>
                <w:kern w:val="0"/>
                <w:szCs w:val="21"/>
              </w:rPr>
            </w:pPr>
          </w:p>
        </w:tc>
        <w:tc>
          <w:tcPr>
            <w:tcW w:w="1692" w:type="dxa"/>
            <w:tcBorders>
              <w:top w:val="single" w:color="auto" w:sz="6" w:space="0"/>
              <w:left w:val="single" w:color="auto" w:sz="6" w:space="0"/>
              <w:bottom w:val="single" w:color="auto" w:sz="6" w:space="0"/>
              <w:right w:val="single" w:color="auto" w:sz="6" w:space="0"/>
            </w:tcBorders>
            <w:noWrap/>
          </w:tcPr>
          <w:p>
            <w:pPr>
              <w:rPr>
                <w:rFonts w:ascii="仿宋_GB2312" w:hAnsi="仿宋_GB2312" w:eastAsia="仿宋_GB2312" w:cs="仿宋_GB2312"/>
                <w:color w:val="000000"/>
                <w:kern w:val="0"/>
                <w:szCs w:val="21"/>
              </w:rPr>
            </w:pPr>
          </w:p>
        </w:tc>
        <w:tc>
          <w:tcPr>
            <w:tcW w:w="1671" w:type="dxa"/>
            <w:tcBorders>
              <w:top w:val="single" w:color="auto" w:sz="6" w:space="0"/>
              <w:left w:val="single" w:color="auto" w:sz="6" w:space="0"/>
              <w:bottom w:val="single" w:color="auto" w:sz="6" w:space="0"/>
              <w:right w:val="single" w:color="auto" w:sz="6" w:space="0"/>
            </w:tcBorders>
            <w:noWrap/>
          </w:tcPr>
          <w:p>
            <w:pPr>
              <w:rPr>
                <w:rFonts w:ascii="仿宋_GB2312" w:hAnsi="仿宋_GB2312" w:eastAsia="仿宋_GB2312" w:cs="仿宋_GB2312"/>
                <w:color w:val="000000"/>
                <w:kern w:val="0"/>
                <w:szCs w:val="21"/>
              </w:rPr>
            </w:pPr>
          </w:p>
        </w:tc>
      </w:tr>
      <w:tr>
        <w:tblPrEx>
          <w:tblCellMar>
            <w:top w:w="0" w:type="dxa"/>
            <w:left w:w="54" w:type="dxa"/>
            <w:bottom w:w="0" w:type="dxa"/>
            <w:right w:w="54" w:type="dxa"/>
          </w:tblCellMar>
        </w:tblPrEx>
        <w:trPr>
          <w:cantSplit/>
          <w:trHeight w:val="300" w:hRule="exact"/>
          <w:jc w:val="center"/>
        </w:trPr>
        <w:tc>
          <w:tcPr>
            <w:tcW w:w="740" w:type="dxa"/>
            <w:tcBorders>
              <w:top w:val="single" w:color="auto" w:sz="6" w:space="0"/>
              <w:left w:val="single" w:color="auto" w:sz="6" w:space="0"/>
              <w:bottom w:val="single" w:color="auto" w:sz="6" w:space="0"/>
              <w:right w:val="single" w:color="auto" w:sz="6" w:space="0"/>
            </w:tcBorders>
            <w:noWrap/>
          </w:tcPr>
          <w:p>
            <w:pPr>
              <w:jc w:val="cente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6</w:t>
            </w:r>
          </w:p>
        </w:tc>
        <w:tc>
          <w:tcPr>
            <w:tcW w:w="1130" w:type="dxa"/>
            <w:tcBorders>
              <w:top w:val="single" w:color="auto" w:sz="6" w:space="0"/>
              <w:left w:val="single" w:color="auto" w:sz="6" w:space="0"/>
              <w:bottom w:val="single" w:color="auto" w:sz="6" w:space="0"/>
              <w:right w:val="single" w:color="auto" w:sz="6" w:space="0"/>
            </w:tcBorders>
            <w:noWrap/>
          </w:tcPr>
          <w:p>
            <w:pPr>
              <w:rPr>
                <w:rFonts w:ascii="仿宋_GB2312" w:hAnsi="仿宋_GB2312" w:eastAsia="仿宋_GB2312" w:cs="仿宋_GB2312"/>
                <w:color w:val="000000"/>
                <w:kern w:val="0"/>
                <w:szCs w:val="21"/>
              </w:rPr>
            </w:pPr>
          </w:p>
        </w:tc>
        <w:tc>
          <w:tcPr>
            <w:tcW w:w="705" w:type="dxa"/>
            <w:tcBorders>
              <w:top w:val="single" w:color="auto" w:sz="6" w:space="0"/>
              <w:left w:val="single" w:color="auto" w:sz="6" w:space="0"/>
              <w:bottom w:val="single" w:color="auto" w:sz="6" w:space="0"/>
              <w:right w:val="single" w:color="auto" w:sz="4" w:space="0"/>
            </w:tcBorders>
            <w:noWrap/>
          </w:tcPr>
          <w:p>
            <w:pPr>
              <w:rPr>
                <w:rFonts w:ascii="仿宋_GB2312" w:hAnsi="仿宋_GB2312" w:eastAsia="仿宋_GB2312" w:cs="仿宋_GB2312"/>
                <w:color w:val="000000"/>
                <w:kern w:val="0"/>
                <w:szCs w:val="21"/>
              </w:rPr>
            </w:pPr>
          </w:p>
        </w:tc>
        <w:tc>
          <w:tcPr>
            <w:tcW w:w="845" w:type="dxa"/>
            <w:tcBorders>
              <w:top w:val="single" w:color="auto" w:sz="6" w:space="0"/>
              <w:left w:val="single" w:color="auto" w:sz="4" w:space="0"/>
              <w:bottom w:val="single" w:color="auto" w:sz="6" w:space="0"/>
              <w:right w:val="single" w:color="auto" w:sz="4" w:space="0"/>
            </w:tcBorders>
            <w:noWrap/>
          </w:tcPr>
          <w:p>
            <w:pPr>
              <w:rPr>
                <w:rFonts w:ascii="仿宋_GB2312" w:hAnsi="仿宋_GB2312" w:eastAsia="仿宋_GB2312" w:cs="仿宋_GB2312"/>
                <w:color w:val="000000"/>
                <w:kern w:val="0"/>
                <w:szCs w:val="21"/>
              </w:rPr>
            </w:pPr>
          </w:p>
        </w:tc>
        <w:tc>
          <w:tcPr>
            <w:tcW w:w="1691" w:type="dxa"/>
            <w:tcBorders>
              <w:top w:val="single" w:color="auto" w:sz="6" w:space="0"/>
              <w:left w:val="single" w:color="auto" w:sz="4" w:space="0"/>
              <w:bottom w:val="single" w:color="auto" w:sz="6" w:space="0"/>
              <w:right w:val="single" w:color="auto" w:sz="6" w:space="0"/>
            </w:tcBorders>
            <w:noWrap/>
          </w:tcPr>
          <w:p>
            <w:pPr>
              <w:rPr>
                <w:rFonts w:ascii="仿宋_GB2312" w:hAnsi="仿宋_GB2312" w:eastAsia="仿宋_GB2312" w:cs="仿宋_GB2312"/>
                <w:color w:val="000000"/>
                <w:kern w:val="0"/>
                <w:szCs w:val="21"/>
              </w:rPr>
            </w:pPr>
          </w:p>
        </w:tc>
        <w:tc>
          <w:tcPr>
            <w:tcW w:w="1692" w:type="dxa"/>
            <w:tcBorders>
              <w:top w:val="single" w:color="auto" w:sz="6" w:space="0"/>
              <w:left w:val="single" w:color="auto" w:sz="6" w:space="0"/>
              <w:bottom w:val="single" w:color="auto" w:sz="6" w:space="0"/>
              <w:right w:val="single" w:color="auto" w:sz="6" w:space="0"/>
            </w:tcBorders>
            <w:noWrap/>
          </w:tcPr>
          <w:p>
            <w:pPr>
              <w:rPr>
                <w:rFonts w:ascii="仿宋_GB2312" w:hAnsi="仿宋_GB2312" w:eastAsia="仿宋_GB2312" w:cs="仿宋_GB2312"/>
                <w:color w:val="000000"/>
                <w:kern w:val="0"/>
                <w:szCs w:val="21"/>
              </w:rPr>
            </w:pPr>
          </w:p>
        </w:tc>
        <w:tc>
          <w:tcPr>
            <w:tcW w:w="1671" w:type="dxa"/>
            <w:tcBorders>
              <w:top w:val="single" w:color="auto" w:sz="6" w:space="0"/>
              <w:left w:val="single" w:color="auto" w:sz="6" w:space="0"/>
              <w:bottom w:val="single" w:color="auto" w:sz="6" w:space="0"/>
              <w:right w:val="single" w:color="auto" w:sz="6" w:space="0"/>
            </w:tcBorders>
            <w:noWrap/>
          </w:tcPr>
          <w:p>
            <w:pPr>
              <w:rPr>
                <w:rFonts w:ascii="仿宋_GB2312" w:hAnsi="仿宋_GB2312" w:eastAsia="仿宋_GB2312" w:cs="仿宋_GB2312"/>
                <w:color w:val="000000"/>
                <w:kern w:val="0"/>
                <w:szCs w:val="21"/>
              </w:rPr>
            </w:pPr>
          </w:p>
        </w:tc>
      </w:tr>
      <w:tr>
        <w:tblPrEx>
          <w:tblCellMar>
            <w:top w:w="0" w:type="dxa"/>
            <w:left w:w="54" w:type="dxa"/>
            <w:bottom w:w="0" w:type="dxa"/>
            <w:right w:w="54" w:type="dxa"/>
          </w:tblCellMar>
        </w:tblPrEx>
        <w:trPr>
          <w:cantSplit/>
          <w:trHeight w:val="314" w:hRule="exact"/>
          <w:jc w:val="center"/>
        </w:trPr>
        <w:tc>
          <w:tcPr>
            <w:tcW w:w="740" w:type="dxa"/>
            <w:tcBorders>
              <w:top w:val="single" w:color="auto" w:sz="6" w:space="0"/>
              <w:left w:val="single" w:color="auto" w:sz="6" w:space="0"/>
              <w:bottom w:val="single" w:color="auto" w:sz="6" w:space="0"/>
              <w:right w:val="single" w:color="auto" w:sz="6" w:space="0"/>
            </w:tcBorders>
            <w:noWrap/>
          </w:tcPr>
          <w:p>
            <w:pPr>
              <w:jc w:val="cente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w:t>
            </w:r>
          </w:p>
        </w:tc>
        <w:tc>
          <w:tcPr>
            <w:tcW w:w="1130" w:type="dxa"/>
            <w:tcBorders>
              <w:top w:val="single" w:color="auto" w:sz="6" w:space="0"/>
              <w:left w:val="single" w:color="auto" w:sz="6" w:space="0"/>
              <w:bottom w:val="single" w:color="auto" w:sz="6" w:space="0"/>
              <w:right w:val="single" w:color="auto" w:sz="6" w:space="0"/>
            </w:tcBorders>
            <w:noWrap/>
          </w:tcPr>
          <w:p>
            <w:pPr>
              <w:rPr>
                <w:rFonts w:ascii="仿宋_GB2312" w:hAnsi="仿宋_GB2312" w:eastAsia="仿宋_GB2312" w:cs="仿宋_GB2312"/>
                <w:color w:val="000000"/>
                <w:kern w:val="0"/>
                <w:szCs w:val="21"/>
              </w:rPr>
            </w:pPr>
          </w:p>
        </w:tc>
        <w:tc>
          <w:tcPr>
            <w:tcW w:w="705" w:type="dxa"/>
            <w:tcBorders>
              <w:top w:val="single" w:color="auto" w:sz="6" w:space="0"/>
              <w:left w:val="single" w:color="auto" w:sz="6" w:space="0"/>
              <w:bottom w:val="single" w:color="auto" w:sz="6" w:space="0"/>
              <w:right w:val="single" w:color="auto" w:sz="4" w:space="0"/>
            </w:tcBorders>
            <w:noWrap/>
          </w:tcPr>
          <w:p>
            <w:pPr>
              <w:rPr>
                <w:rFonts w:ascii="仿宋_GB2312" w:hAnsi="仿宋_GB2312" w:eastAsia="仿宋_GB2312" w:cs="仿宋_GB2312"/>
                <w:color w:val="000000"/>
                <w:kern w:val="0"/>
                <w:szCs w:val="21"/>
              </w:rPr>
            </w:pPr>
          </w:p>
        </w:tc>
        <w:tc>
          <w:tcPr>
            <w:tcW w:w="845" w:type="dxa"/>
            <w:tcBorders>
              <w:top w:val="single" w:color="auto" w:sz="6" w:space="0"/>
              <w:left w:val="single" w:color="auto" w:sz="4" w:space="0"/>
              <w:bottom w:val="single" w:color="auto" w:sz="6" w:space="0"/>
              <w:right w:val="single" w:color="auto" w:sz="4" w:space="0"/>
            </w:tcBorders>
            <w:noWrap/>
          </w:tcPr>
          <w:p>
            <w:pPr>
              <w:rPr>
                <w:rFonts w:ascii="仿宋_GB2312" w:hAnsi="仿宋_GB2312" w:eastAsia="仿宋_GB2312" w:cs="仿宋_GB2312"/>
                <w:color w:val="000000"/>
                <w:kern w:val="0"/>
                <w:szCs w:val="21"/>
              </w:rPr>
            </w:pPr>
          </w:p>
        </w:tc>
        <w:tc>
          <w:tcPr>
            <w:tcW w:w="1691" w:type="dxa"/>
            <w:tcBorders>
              <w:top w:val="single" w:color="auto" w:sz="6" w:space="0"/>
              <w:left w:val="single" w:color="auto" w:sz="4" w:space="0"/>
              <w:bottom w:val="single" w:color="auto" w:sz="6" w:space="0"/>
              <w:right w:val="single" w:color="auto" w:sz="6" w:space="0"/>
            </w:tcBorders>
            <w:noWrap/>
          </w:tcPr>
          <w:p>
            <w:pPr>
              <w:rPr>
                <w:rFonts w:ascii="仿宋_GB2312" w:hAnsi="仿宋_GB2312" w:eastAsia="仿宋_GB2312" w:cs="仿宋_GB2312"/>
                <w:color w:val="000000"/>
                <w:kern w:val="0"/>
                <w:szCs w:val="21"/>
              </w:rPr>
            </w:pPr>
          </w:p>
        </w:tc>
        <w:tc>
          <w:tcPr>
            <w:tcW w:w="1692" w:type="dxa"/>
            <w:tcBorders>
              <w:top w:val="single" w:color="auto" w:sz="6" w:space="0"/>
              <w:left w:val="single" w:color="auto" w:sz="6" w:space="0"/>
              <w:bottom w:val="single" w:color="auto" w:sz="6" w:space="0"/>
              <w:right w:val="single" w:color="auto" w:sz="6" w:space="0"/>
            </w:tcBorders>
            <w:noWrap/>
          </w:tcPr>
          <w:p>
            <w:pPr>
              <w:rPr>
                <w:rFonts w:ascii="仿宋_GB2312" w:hAnsi="仿宋_GB2312" w:eastAsia="仿宋_GB2312" w:cs="仿宋_GB2312"/>
                <w:color w:val="000000"/>
                <w:kern w:val="0"/>
                <w:szCs w:val="21"/>
              </w:rPr>
            </w:pPr>
          </w:p>
        </w:tc>
        <w:tc>
          <w:tcPr>
            <w:tcW w:w="1671" w:type="dxa"/>
            <w:tcBorders>
              <w:top w:val="single" w:color="auto" w:sz="6" w:space="0"/>
              <w:left w:val="single" w:color="auto" w:sz="6" w:space="0"/>
              <w:bottom w:val="single" w:color="auto" w:sz="6" w:space="0"/>
              <w:right w:val="single" w:color="auto" w:sz="6" w:space="0"/>
            </w:tcBorders>
            <w:noWrap/>
          </w:tcPr>
          <w:p>
            <w:pPr>
              <w:rPr>
                <w:rFonts w:ascii="仿宋_GB2312" w:hAnsi="仿宋_GB2312" w:eastAsia="仿宋_GB2312" w:cs="仿宋_GB2312"/>
                <w:color w:val="000000"/>
                <w:kern w:val="0"/>
                <w:szCs w:val="21"/>
              </w:rPr>
            </w:pPr>
          </w:p>
        </w:tc>
      </w:tr>
    </w:tbl>
    <w:p>
      <w:pPr>
        <w:ind w:left="630" w:leftChars="200" w:hanging="210" w:hangingChars="100"/>
        <w:rPr>
          <w:rFonts w:ascii="仿宋_GB2312" w:hAnsi="仿宋_GB2312" w:eastAsia="仿宋_GB2312" w:cs="仿宋_GB2312"/>
          <w:color w:val="000000"/>
          <w:kern w:val="0"/>
          <w:szCs w:val="21"/>
        </w:rPr>
      </w:pPr>
    </w:p>
    <w:p>
      <w:pPr>
        <w:ind w:left="630" w:leftChars="200" w:hanging="210" w:hangingChars="100"/>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注：1、填写时，如本表格不适合供应商的实际情况，可根据本表格格式自行划表填写。</w:t>
      </w:r>
    </w:p>
    <w:p>
      <w:pPr>
        <w:spacing w:line="360" w:lineRule="auto"/>
        <w:ind w:firstLine="823" w:firstLineChars="392"/>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2、“项目实施人员”指投标单位针对完成本项目所配备的人员。</w:t>
      </w:r>
    </w:p>
    <w:p>
      <w:pPr>
        <w:spacing w:line="360" w:lineRule="auto"/>
        <w:ind w:firstLine="831" w:firstLineChars="396"/>
        <w:rPr>
          <w:rFonts w:ascii="仿宋_GB2312" w:hAnsi="仿宋_GB2312" w:eastAsia="仿宋_GB2312" w:cs="仿宋_GB2312"/>
          <w:kern w:val="0"/>
          <w:szCs w:val="21"/>
          <w:u w:val="single"/>
        </w:rPr>
      </w:pPr>
      <w:r>
        <w:rPr>
          <w:rFonts w:ascii="仿宋_GB2312" w:hAnsi="仿宋_GB2312" w:eastAsia="仿宋_GB2312" w:cs="仿宋_GB2312"/>
          <w:kern w:val="0"/>
          <w:szCs w:val="21"/>
          <w:u w:val="single"/>
        </w:rPr>
        <w:t>★3、</w:t>
      </w:r>
      <w:r>
        <w:rPr>
          <w:rFonts w:hint="eastAsia" w:ascii="仿宋_GB2312" w:hAnsi="仿宋_GB2312" w:eastAsia="仿宋_GB2312" w:cs="仿宋_GB2312"/>
          <w:kern w:val="0"/>
          <w:szCs w:val="21"/>
          <w:u w:val="single"/>
        </w:rPr>
        <w:t>招标文件第二部分招标需求《人员岗位配置表》中要求提供相关证书、证明材料的人员</w:t>
      </w:r>
      <w:r>
        <w:rPr>
          <w:rFonts w:ascii="仿宋_GB2312" w:hAnsi="仿宋_GB2312" w:eastAsia="仿宋_GB2312" w:cs="仿宋_GB2312"/>
          <w:kern w:val="0"/>
          <w:szCs w:val="21"/>
          <w:u w:val="single"/>
        </w:rPr>
        <w:t>需明确姓名并按要求提供</w:t>
      </w:r>
      <w:r>
        <w:rPr>
          <w:rFonts w:hint="eastAsia" w:ascii="仿宋_GB2312" w:hAnsi="仿宋_GB2312" w:eastAsia="仿宋_GB2312" w:cs="仿宋_GB2312"/>
          <w:kern w:val="0"/>
          <w:szCs w:val="21"/>
          <w:u w:val="single"/>
        </w:rPr>
        <w:t>相关证书、证明材料，</w:t>
      </w:r>
      <w:r>
        <w:rPr>
          <w:rFonts w:ascii="仿宋_GB2312" w:hAnsi="仿宋_GB2312" w:eastAsia="仿宋_GB2312" w:cs="仿宋_GB2312"/>
          <w:kern w:val="0"/>
          <w:szCs w:val="21"/>
          <w:u w:val="single"/>
        </w:rPr>
        <w:t>其它人员可以承诺的方式填写，无须明确姓名。</w:t>
      </w:r>
    </w:p>
    <w:p>
      <w:pPr>
        <w:spacing w:line="360" w:lineRule="auto"/>
        <w:ind w:firstLine="823" w:firstLineChars="392"/>
        <w:rPr>
          <w:rFonts w:ascii="仿宋_GB2312" w:hAnsi="仿宋_GB2312" w:eastAsia="仿宋_GB2312" w:cs="仿宋_GB2312"/>
          <w:color w:val="000000"/>
          <w:kern w:val="0"/>
          <w:szCs w:val="21"/>
        </w:rPr>
      </w:pPr>
    </w:p>
    <w:p>
      <w:pPr>
        <w:spacing w:line="360" w:lineRule="auto"/>
        <w:ind w:firstLine="831" w:firstLineChars="396"/>
        <w:rPr>
          <w:rFonts w:ascii="仿宋_GB2312" w:hAnsi="仿宋_GB2312" w:eastAsia="仿宋_GB2312" w:cs="仿宋_GB2312"/>
          <w:color w:val="000000"/>
          <w:kern w:val="0"/>
          <w:szCs w:val="21"/>
        </w:rPr>
      </w:pPr>
    </w:p>
    <w:p>
      <w:pPr>
        <w:spacing w:line="360" w:lineRule="auto"/>
        <w:ind w:firstLine="1108" w:firstLineChars="396"/>
        <w:rPr>
          <w:rFonts w:ascii="仿宋_GB2312" w:hAnsi="仿宋_GB2312" w:eastAsia="仿宋_GB2312" w:cs="仿宋_GB2312"/>
          <w:color w:val="000000"/>
          <w:kern w:val="0"/>
          <w:sz w:val="28"/>
          <w:szCs w:val="28"/>
          <w:highlight w:val="yellow"/>
          <w:u w:val="single"/>
        </w:rPr>
      </w:pPr>
    </w:p>
    <w:p>
      <w:pPr>
        <w:ind w:right="-110"/>
        <w:jc w:val="center"/>
        <w:rPr>
          <w:rFonts w:ascii="仿宋_GB2312" w:hAnsi="仿宋_GB2312" w:eastAsia="仿宋_GB2312" w:cs="仿宋_GB2312"/>
          <w:color w:val="000000"/>
          <w:kern w:val="0"/>
          <w:sz w:val="36"/>
          <w:szCs w:val="36"/>
        </w:rPr>
      </w:pPr>
    </w:p>
    <w:p>
      <w:pPr>
        <w:snapToGrid w:val="0"/>
        <w:spacing w:beforeLines="50" w:line="440" w:lineRule="exact"/>
        <w:ind w:firstLine="3120" w:firstLineChars="1300"/>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 xml:space="preserve">投标人全称（公章）：                           </w:t>
      </w:r>
    </w:p>
    <w:p>
      <w:pPr>
        <w:tabs>
          <w:tab w:val="left" w:pos="7980"/>
        </w:tabs>
        <w:snapToGrid w:val="0"/>
        <w:spacing w:beforeLines="50" w:after="50" w:line="460" w:lineRule="exact"/>
        <w:ind w:right="-180" w:firstLine="3120" w:firstLineChars="1300"/>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 xml:space="preserve">法定代表人或其授权代表签字：            </w:t>
      </w:r>
    </w:p>
    <w:p>
      <w:pPr>
        <w:spacing w:line="440" w:lineRule="exact"/>
        <w:ind w:firstLine="3120" w:firstLineChars="1300"/>
        <w:rPr>
          <w:rFonts w:ascii="Arial" w:hAnsi="仿宋" w:eastAsia="仿宋" w:cs="Arial"/>
          <w:sz w:val="24"/>
        </w:rPr>
      </w:pPr>
      <w:r>
        <w:rPr>
          <w:rFonts w:ascii="仿宋_GB2312" w:hAnsi="仿宋_GB2312" w:eastAsia="仿宋_GB2312" w:cs="仿宋_GB2312"/>
          <w:color w:val="000000"/>
          <w:kern w:val="0"/>
          <w:sz w:val="24"/>
        </w:rPr>
        <w:t>日 期：       年      月      日</w:t>
      </w:r>
    </w:p>
    <w:p>
      <w:pPr>
        <w:spacing w:line="440" w:lineRule="exact"/>
        <w:ind w:firstLine="3480" w:firstLineChars="1450"/>
        <w:rPr>
          <w:rFonts w:ascii="Arial" w:hAnsi="仿宋" w:eastAsia="仿宋" w:cs="Arial"/>
          <w:sz w:val="24"/>
        </w:rPr>
      </w:pPr>
    </w:p>
    <w:p>
      <w:pPr>
        <w:spacing w:line="440" w:lineRule="exact"/>
        <w:rPr>
          <w:rFonts w:ascii="Arial" w:hAnsi="仿宋" w:eastAsia="仿宋" w:cs="Arial"/>
          <w:sz w:val="24"/>
        </w:rPr>
      </w:pPr>
    </w:p>
    <w:p>
      <w:pPr>
        <w:spacing w:line="440" w:lineRule="exact"/>
        <w:rPr>
          <w:rFonts w:ascii="Arial" w:hAnsi="仿宋" w:eastAsia="仿宋" w:cs="Arial"/>
          <w:sz w:val="24"/>
        </w:rPr>
      </w:pPr>
    </w:p>
    <w:p>
      <w:pPr>
        <w:spacing w:line="440" w:lineRule="exact"/>
        <w:rPr>
          <w:rFonts w:ascii="Arial" w:hAnsi="仿宋" w:eastAsia="仿宋" w:cs="Arial"/>
          <w:sz w:val="24"/>
        </w:rPr>
      </w:pP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ascii="仿宋_GB2312" w:hAnsi="仿宋_GB2312" w:eastAsia="仿宋_GB2312" w:cs="仿宋_GB2312"/>
          <w:color w:val="000000"/>
          <w:kern w:val="0"/>
          <w:sz w:val="32"/>
          <w:szCs w:val="32"/>
        </w:rPr>
      </w:pPr>
      <w:r>
        <w:rPr>
          <w:rFonts w:ascii="仿宋_GB2312" w:hAnsi="仿宋_GB2312" w:eastAsia="仿宋_GB2312" w:cs="仿宋_GB2312"/>
          <w:color w:val="000000"/>
          <w:kern w:val="0"/>
          <w:sz w:val="32"/>
          <w:szCs w:val="32"/>
        </w:rPr>
        <w:t>附件</w:t>
      </w:r>
      <w:r>
        <w:rPr>
          <w:rFonts w:hint="eastAsia" w:ascii="仿宋_GB2312" w:hAnsi="仿宋_GB2312" w:eastAsia="仿宋_GB2312" w:cs="仿宋_GB2312"/>
          <w:color w:val="000000"/>
          <w:kern w:val="0"/>
          <w:sz w:val="32"/>
          <w:szCs w:val="32"/>
        </w:rPr>
        <w:t>7</w:t>
      </w:r>
    </w:p>
    <w:p>
      <w:pPr>
        <w:ind w:right="-110"/>
        <w:jc w:val="center"/>
        <w:rPr>
          <w:rFonts w:ascii="仿宋_GB2312" w:hAnsi="仿宋_GB2312" w:eastAsia="仿宋_GB2312" w:cs="仿宋_GB2312"/>
          <w:color w:val="000000"/>
          <w:kern w:val="0"/>
          <w:sz w:val="36"/>
          <w:szCs w:val="36"/>
        </w:rPr>
      </w:pPr>
      <w:r>
        <w:rPr>
          <w:rFonts w:ascii="仿宋_GB2312" w:hAnsi="仿宋_GB2312" w:eastAsia="仿宋_GB2312" w:cs="仿宋_GB2312"/>
          <w:color w:val="000000"/>
          <w:kern w:val="0"/>
          <w:sz w:val="36"/>
          <w:szCs w:val="36"/>
        </w:rPr>
        <w:t>项目名称</w:t>
      </w:r>
    </w:p>
    <w:p>
      <w:pPr>
        <w:ind w:right="-110"/>
        <w:jc w:val="center"/>
        <w:rPr>
          <w:rFonts w:ascii="仿宋_GB2312" w:hAnsi="仿宋_GB2312" w:eastAsia="仿宋_GB2312" w:cs="仿宋_GB2312"/>
          <w:color w:val="000000"/>
          <w:kern w:val="0"/>
          <w:sz w:val="36"/>
          <w:szCs w:val="36"/>
        </w:rPr>
      </w:pPr>
      <w:r>
        <w:rPr>
          <w:rFonts w:ascii="仿宋_GB2312" w:hAnsi="仿宋_GB2312" w:eastAsia="仿宋_GB2312" w:cs="仿宋_GB2312"/>
          <w:color w:val="000000"/>
          <w:kern w:val="0"/>
          <w:sz w:val="36"/>
          <w:szCs w:val="36"/>
        </w:rPr>
        <w:t>招标编号</w:t>
      </w:r>
      <w:r>
        <w:rPr>
          <w:rFonts w:ascii="仿宋_GB2312" w:hAnsi="仿宋_GB2312" w:eastAsia="仿宋_GB2312" w:cs="仿宋_GB2312"/>
          <w:color w:val="000000"/>
          <w:kern w:val="0"/>
          <w:sz w:val="36"/>
          <w:szCs w:val="36"/>
          <w:highlight w:val="none"/>
        </w:rPr>
        <w:t>：</w:t>
      </w:r>
      <w:r>
        <w:rPr>
          <w:rFonts w:hint="eastAsia" w:ascii="仿宋_GB2312" w:hAnsi="仿宋_GB2312" w:eastAsia="仿宋_GB2312" w:cs="仿宋_GB2312"/>
          <w:color w:val="000000"/>
          <w:kern w:val="0"/>
          <w:sz w:val="36"/>
          <w:szCs w:val="36"/>
          <w:highlight w:val="none"/>
          <w:lang w:eastAsia="zh-CN"/>
        </w:rPr>
        <w:t>NBCXZFCG2023108</w:t>
      </w:r>
      <w:r>
        <w:rPr>
          <w:rFonts w:ascii="仿宋_GB2312" w:hAnsi="仿宋_GB2312" w:eastAsia="仿宋_GB2312" w:cs="仿宋_GB2312"/>
          <w:color w:val="000000"/>
          <w:kern w:val="0"/>
          <w:sz w:val="36"/>
          <w:szCs w:val="36"/>
          <w:highlight w:val="none"/>
        </w:rPr>
        <w:t>（</w:t>
      </w:r>
      <w:r>
        <w:rPr>
          <w:rFonts w:ascii="仿宋_GB2312" w:hAnsi="仿宋_GB2312" w:eastAsia="仿宋_GB2312" w:cs="仿宋_GB2312"/>
          <w:color w:val="000000"/>
          <w:kern w:val="0"/>
          <w:sz w:val="36"/>
          <w:szCs w:val="36"/>
        </w:rPr>
        <w:t>标项）</w:t>
      </w:r>
    </w:p>
    <w:p>
      <w:pPr>
        <w:spacing w:after="100" w:afterAutospacing="1" w:line="800" w:lineRule="exact"/>
        <w:ind w:right="-108"/>
        <w:jc w:val="center"/>
        <w:rPr>
          <w:rFonts w:ascii="Arial" w:hAnsi="Arial" w:eastAsia="仿宋" w:cs="Arial"/>
          <w:b/>
          <w:spacing w:val="40"/>
          <w:sz w:val="84"/>
          <w:szCs w:val="84"/>
        </w:rPr>
      </w:pPr>
    </w:p>
    <w:p>
      <w:pPr>
        <w:spacing w:after="100" w:afterAutospacing="1"/>
        <w:ind w:right="-108"/>
        <w:jc w:val="center"/>
        <w:rPr>
          <w:rFonts w:ascii="仿宋_GB2312" w:hAnsi="仿宋_GB2312" w:eastAsia="仿宋_GB2312" w:cs="仿宋_GB2312"/>
          <w:color w:val="000000"/>
          <w:kern w:val="0"/>
          <w:sz w:val="72"/>
          <w:szCs w:val="72"/>
        </w:rPr>
      </w:pPr>
      <w:r>
        <w:rPr>
          <w:rFonts w:ascii="仿宋_GB2312" w:hAnsi="仿宋_GB2312" w:eastAsia="仿宋_GB2312" w:cs="仿宋_GB2312"/>
          <w:color w:val="000000"/>
          <w:kern w:val="0"/>
          <w:sz w:val="72"/>
          <w:szCs w:val="72"/>
        </w:rPr>
        <w:t>报</w:t>
      </w:r>
    </w:p>
    <w:p>
      <w:pPr>
        <w:spacing w:after="100" w:afterAutospacing="1"/>
        <w:ind w:right="-108"/>
        <w:jc w:val="center"/>
        <w:rPr>
          <w:rFonts w:ascii="仿宋_GB2312" w:hAnsi="仿宋_GB2312" w:eastAsia="仿宋_GB2312" w:cs="仿宋_GB2312"/>
          <w:color w:val="000000"/>
          <w:kern w:val="0"/>
          <w:sz w:val="72"/>
          <w:szCs w:val="72"/>
        </w:rPr>
      </w:pPr>
      <w:r>
        <w:rPr>
          <w:rFonts w:ascii="仿宋_GB2312" w:hAnsi="仿宋_GB2312" w:eastAsia="仿宋_GB2312" w:cs="仿宋_GB2312"/>
          <w:color w:val="000000"/>
          <w:kern w:val="0"/>
          <w:sz w:val="72"/>
          <w:szCs w:val="72"/>
        </w:rPr>
        <w:t>价</w:t>
      </w:r>
    </w:p>
    <w:p>
      <w:pPr>
        <w:spacing w:after="100" w:afterAutospacing="1"/>
        <w:ind w:right="-108"/>
        <w:jc w:val="center"/>
        <w:rPr>
          <w:rFonts w:ascii="仿宋_GB2312" w:hAnsi="仿宋_GB2312" w:eastAsia="仿宋_GB2312" w:cs="仿宋_GB2312"/>
          <w:color w:val="000000"/>
          <w:kern w:val="0"/>
          <w:sz w:val="72"/>
          <w:szCs w:val="72"/>
        </w:rPr>
      </w:pPr>
      <w:r>
        <w:rPr>
          <w:rFonts w:ascii="仿宋_GB2312" w:hAnsi="仿宋_GB2312" w:eastAsia="仿宋_GB2312" w:cs="仿宋_GB2312"/>
          <w:color w:val="000000"/>
          <w:kern w:val="0"/>
          <w:sz w:val="72"/>
          <w:szCs w:val="72"/>
        </w:rPr>
        <w:t>文</w:t>
      </w:r>
    </w:p>
    <w:p>
      <w:pPr>
        <w:spacing w:after="100" w:afterAutospacing="1"/>
        <w:ind w:right="-108"/>
        <w:jc w:val="center"/>
        <w:rPr>
          <w:rFonts w:ascii="仿宋_GB2312" w:hAnsi="仿宋_GB2312" w:eastAsia="仿宋_GB2312" w:cs="仿宋_GB2312"/>
          <w:color w:val="000000"/>
          <w:kern w:val="0"/>
          <w:sz w:val="72"/>
          <w:szCs w:val="72"/>
        </w:rPr>
      </w:pPr>
      <w:r>
        <w:rPr>
          <w:rFonts w:ascii="仿宋_GB2312" w:hAnsi="仿宋_GB2312" w:eastAsia="仿宋_GB2312" w:cs="仿宋_GB2312"/>
          <w:color w:val="000000"/>
          <w:kern w:val="0"/>
          <w:sz w:val="72"/>
          <w:szCs w:val="72"/>
        </w:rPr>
        <w:t>件</w:t>
      </w:r>
    </w:p>
    <w:p>
      <w:pPr>
        <w:spacing w:line="500" w:lineRule="exact"/>
        <w:ind w:right="532"/>
        <w:jc w:val="center"/>
        <w:rPr>
          <w:rFonts w:ascii="Arial" w:hAnsi="Arial" w:eastAsia="仿宋" w:cs="Arial"/>
          <w:sz w:val="36"/>
          <w:szCs w:val="36"/>
        </w:rPr>
      </w:pPr>
    </w:p>
    <w:p>
      <w:pPr>
        <w:spacing w:line="500" w:lineRule="exact"/>
        <w:ind w:right="532"/>
        <w:jc w:val="center"/>
        <w:rPr>
          <w:rFonts w:ascii="Arial" w:hAnsi="Arial" w:eastAsia="仿宋" w:cs="Arial"/>
          <w:sz w:val="36"/>
          <w:szCs w:val="36"/>
        </w:rPr>
      </w:pPr>
    </w:p>
    <w:p>
      <w:pPr>
        <w:pStyle w:val="2"/>
        <w:keepNext w:val="0"/>
        <w:keepLines w:val="0"/>
        <w:spacing w:line="415" w:lineRule="auto"/>
      </w:pPr>
    </w:p>
    <w:p>
      <w:pPr>
        <w:spacing w:line="600" w:lineRule="exact"/>
        <w:ind w:right="532" w:firstLine="720" w:firstLineChars="200"/>
        <w:rPr>
          <w:rFonts w:ascii="仿宋_GB2312" w:hAnsi="仿宋_GB2312" w:eastAsia="仿宋_GB2312" w:cs="仿宋_GB2312"/>
          <w:color w:val="000000"/>
          <w:kern w:val="0"/>
          <w:sz w:val="36"/>
          <w:szCs w:val="36"/>
        </w:rPr>
      </w:pPr>
      <w:r>
        <w:rPr>
          <w:rFonts w:ascii="仿宋_GB2312" w:hAnsi="仿宋_GB2312" w:eastAsia="仿宋_GB2312" w:cs="仿宋_GB2312"/>
          <w:color w:val="000000"/>
          <w:kern w:val="0"/>
          <w:sz w:val="36"/>
          <w:szCs w:val="36"/>
        </w:rPr>
        <w:t>单位全称（公章）：</w:t>
      </w:r>
    </w:p>
    <w:p>
      <w:pPr>
        <w:spacing w:line="600" w:lineRule="exact"/>
        <w:ind w:right="532" w:firstLine="720" w:firstLineChars="200"/>
        <w:rPr>
          <w:rFonts w:ascii="仿宋_GB2312" w:hAnsi="仿宋_GB2312" w:eastAsia="仿宋_GB2312" w:cs="仿宋_GB2312"/>
          <w:color w:val="000000"/>
          <w:kern w:val="0"/>
          <w:sz w:val="36"/>
          <w:szCs w:val="36"/>
        </w:rPr>
      </w:pPr>
      <w:r>
        <w:rPr>
          <w:rFonts w:ascii="仿宋_GB2312" w:hAnsi="仿宋_GB2312" w:eastAsia="仿宋_GB2312" w:cs="仿宋_GB2312"/>
          <w:color w:val="000000"/>
          <w:kern w:val="0"/>
          <w:sz w:val="36"/>
          <w:szCs w:val="36"/>
        </w:rPr>
        <w:t>地    址：</w:t>
      </w:r>
    </w:p>
    <w:p>
      <w:pPr>
        <w:spacing w:line="600" w:lineRule="exact"/>
        <w:ind w:right="532" w:firstLine="720" w:firstLineChars="200"/>
        <w:rPr>
          <w:rFonts w:ascii="仿宋_GB2312" w:hAnsi="仿宋_GB2312" w:eastAsia="仿宋_GB2312" w:cs="仿宋_GB2312"/>
          <w:color w:val="000000"/>
          <w:kern w:val="0"/>
          <w:sz w:val="36"/>
          <w:szCs w:val="36"/>
        </w:rPr>
      </w:pPr>
      <w:r>
        <w:rPr>
          <w:rFonts w:ascii="仿宋_GB2312" w:hAnsi="仿宋_GB2312" w:eastAsia="仿宋_GB2312" w:cs="仿宋_GB2312"/>
          <w:color w:val="000000"/>
          <w:kern w:val="0"/>
          <w:sz w:val="36"/>
          <w:szCs w:val="36"/>
        </w:rPr>
        <w:t>时    间：</w:t>
      </w: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hint="default" w:ascii="仿宋_GB2312" w:hAnsi="仿宋_GB2312" w:eastAsia="仿宋_GB2312" w:cs="仿宋_GB2312"/>
          <w:color w:val="000000"/>
          <w:kern w:val="0"/>
          <w:sz w:val="32"/>
          <w:szCs w:val="32"/>
          <w:lang w:val="en-US" w:eastAsia="zh-CN"/>
        </w:rPr>
      </w:pPr>
      <w:r>
        <w:rPr>
          <w:rFonts w:ascii="仿宋_GB2312" w:hAnsi="仿宋_GB2312" w:eastAsia="仿宋_GB2312" w:cs="仿宋_GB2312"/>
          <w:color w:val="000000"/>
          <w:kern w:val="0"/>
          <w:sz w:val="32"/>
          <w:szCs w:val="32"/>
        </w:rPr>
        <w:t>附件</w:t>
      </w:r>
      <w:r>
        <w:rPr>
          <w:rFonts w:hint="eastAsia" w:ascii="仿宋_GB2312" w:hAnsi="仿宋_GB2312" w:eastAsia="仿宋_GB2312" w:cs="仿宋_GB2312"/>
          <w:color w:val="000000"/>
          <w:kern w:val="0"/>
          <w:sz w:val="32"/>
          <w:szCs w:val="32"/>
          <w:lang w:val="en-US" w:eastAsia="zh-CN"/>
        </w:rPr>
        <w:t>8</w:t>
      </w:r>
    </w:p>
    <w:p>
      <w:pPr>
        <w:pStyle w:val="38"/>
        <w:snapToGrid w:val="0"/>
        <w:spacing w:before="120" w:after="120"/>
        <w:jc w:val="center"/>
        <w:rPr>
          <w:rFonts w:ascii="仿宋_GB2312" w:hAnsi="仿宋_GB2312" w:eastAsia="仿宋_GB2312" w:cs="仿宋_GB2312"/>
          <w:color w:val="000000"/>
          <w:kern w:val="0"/>
          <w:sz w:val="36"/>
          <w:szCs w:val="36"/>
          <w:highlight w:val="yellow"/>
        </w:rPr>
      </w:pPr>
      <w:r>
        <w:rPr>
          <w:rFonts w:ascii="仿宋_GB2312" w:hAnsi="仿宋_GB2312" w:eastAsia="仿宋_GB2312" w:cs="仿宋_GB2312"/>
          <w:color w:val="000000"/>
          <w:kern w:val="0"/>
          <w:sz w:val="36"/>
          <w:szCs w:val="36"/>
        </w:rPr>
        <w:t xml:space="preserve">投 标 </w:t>
      </w:r>
      <w:r>
        <w:rPr>
          <w:rFonts w:hint="eastAsia" w:ascii="仿宋_GB2312" w:hAnsi="仿宋_GB2312" w:eastAsia="仿宋_GB2312" w:cs="仿宋_GB2312"/>
          <w:color w:val="000000"/>
          <w:kern w:val="0"/>
          <w:sz w:val="36"/>
          <w:szCs w:val="36"/>
        </w:rPr>
        <w:t>一 览 表</w:t>
      </w:r>
    </w:p>
    <w:p>
      <w:pPr>
        <w:snapToGrid w:val="0"/>
        <w:rPr>
          <w:rFonts w:ascii="Arial" w:hAnsi="仿宋" w:eastAsia="仿宋" w:cs="Arial"/>
          <w:sz w:val="28"/>
          <w:szCs w:val="28"/>
        </w:rPr>
      </w:pPr>
    </w:p>
    <w:p>
      <w:pPr>
        <w:snapToGrid w:val="0"/>
        <w:rPr>
          <w:rFonts w:ascii="仿宋_GB2312" w:hAnsi="仿宋_GB2312" w:eastAsia="仿宋_GB2312" w:cs="仿宋_GB2312"/>
          <w:color w:val="000000"/>
          <w:kern w:val="0"/>
          <w:sz w:val="28"/>
          <w:szCs w:val="28"/>
          <w:u w:val="single"/>
        </w:rPr>
      </w:pPr>
      <w:r>
        <w:rPr>
          <w:rFonts w:ascii="仿宋_GB2312" w:hAnsi="仿宋_GB2312" w:eastAsia="仿宋_GB2312" w:cs="仿宋_GB2312"/>
          <w:color w:val="000000"/>
          <w:kern w:val="0"/>
          <w:sz w:val="28"/>
          <w:szCs w:val="28"/>
        </w:rPr>
        <w:t>投标人全称（公章）：</w:t>
      </w:r>
    </w:p>
    <w:p>
      <w:pPr>
        <w:snapToGrid w:val="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招标编号及标项：</w:t>
      </w:r>
    </w:p>
    <w:tbl>
      <w:tblPr>
        <w:tblStyle w:val="67"/>
        <w:tblpPr w:leftFromText="180" w:rightFromText="180" w:vertAnchor="text" w:horzAnchor="page" w:tblpX="1424" w:tblpY="663"/>
        <w:tblOverlap w:val="never"/>
        <w:tblW w:w="93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21"/>
        <w:gridCol w:w="34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9" w:hRule="atLeast"/>
        </w:trPr>
        <w:tc>
          <w:tcPr>
            <w:tcW w:w="5821" w:type="dxa"/>
            <w:vAlign w:val="center"/>
          </w:tcPr>
          <w:p>
            <w:pPr>
              <w:jc w:val="cente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本项目总收费报价</w:t>
            </w:r>
            <w:r>
              <w:rPr>
                <w:rFonts w:hint="eastAsia" w:ascii="仿宋_GB2312" w:hAnsi="仿宋_GB2312" w:eastAsia="仿宋_GB2312" w:cs="仿宋_GB2312"/>
                <w:color w:val="000000"/>
                <w:kern w:val="0"/>
                <w:szCs w:val="21"/>
              </w:rPr>
              <w:t>（元/年）</w:t>
            </w:r>
          </w:p>
        </w:tc>
        <w:tc>
          <w:tcPr>
            <w:tcW w:w="3485" w:type="dxa"/>
          </w:tcPr>
          <w:p>
            <w:pPr>
              <w:ind w:firstLine="210"/>
              <w:jc w:val="cente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71" w:hRule="atLeast"/>
        </w:trPr>
        <w:tc>
          <w:tcPr>
            <w:tcW w:w="5821" w:type="dxa"/>
            <w:vAlign w:val="center"/>
          </w:tcPr>
          <w:p>
            <w:pPr>
              <w:spacing w:line="360" w:lineRule="auto"/>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小写</w:t>
            </w:r>
            <w:r>
              <w:rPr>
                <w:rFonts w:hint="eastAsia" w:ascii="仿宋_GB2312" w:hAnsi="仿宋_GB2312" w:eastAsia="仿宋_GB2312" w:cs="仿宋_GB2312"/>
                <w:color w:val="000000"/>
                <w:kern w:val="0"/>
                <w:szCs w:val="21"/>
              </w:rPr>
              <w:t>：</w:t>
            </w:r>
          </w:p>
          <w:p>
            <w:pPr>
              <w:spacing w:line="360" w:lineRule="auto"/>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大写：</w:t>
            </w:r>
          </w:p>
        </w:tc>
        <w:tc>
          <w:tcPr>
            <w:tcW w:w="3485" w:type="dxa"/>
          </w:tcPr>
          <w:p>
            <w:pPr>
              <w:rPr>
                <w:rFonts w:ascii="仿宋_GB2312" w:hAnsi="仿宋_GB2312" w:eastAsia="仿宋_GB2312" w:cs="仿宋_GB2312"/>
                <w:color w:val="000000"/>
                <w:kern w:val="0"/>
                <w:szCs w:val="21"/>
              </w:rPr>
            </w:pPr>
          </w:p>
          <w:p>
            <w:pP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按</w:t>
            </w:r>
            <w:r>
              <w:rPr>
                <w:rFonts w:ascii="仿宋_GB2312" w:hAnsi="仿宋_GB2312" w:eastAsia="仿宋_GB2312" w:cs="仿宋_GB2312"/>
                <w:color w:val="000000"/>
                <w:kern w:val="0"/>
                <w:szCs w:val="21"/>
              </w:rPr>
              <w:t>全年</w:t>
            </w:r>
            <w:r>
              <w:rPr>
                <w:rFonts w:hint="eastAsia" w:ascii="仿宋_GB2312" w:hAnsi="仿宋_GB2312" w:eastAsia="仿宋_GB2312" w:cs="仿宋_GB2312"/>
                <w:color w:val="000000"/>
                <w:kern w:val="0"/>
                <w:szCs w:val="21"/>
              </w:rPr>
              <w:t>12个月报价</w:t>
            </w:r>
          </w:p>
          <w:p>
            <w:pPr>
              <w:rPr>
                <w:rFonts w:ascii="仿宋_GB2312" w:hAnsi="仿宋_GB2312" w:eastAsia="仿宋_GB2312" w:cs="仿宋_GB2312"/>
                <w:color w:val="000000"/>
                <w:kern w:val="0"/>
                <w:szCs w:val="21"/>
              </w:rPr>
            </w:pPr>
          </w:p>
        </w:tc>
      </w:tr>
    </w:tbl>
    <w:p>
      <w:pPr>
        <w:snapToGrid w:val="0"/>
        <w:rPr>
          <w:rFonts w:ascii="Arial" w:hAnsi="Arial" w:eastAsia="仿宋" w:cs="Arial"/>
          <w:b/>
          <w:sz w:val="24"/>
          <w:u w:val="single"/>
        </w:rPr>
      </w:pPr>
    </w:p>
    <w:p>
      <w:pPr>
        <w:snapToGrid w:val="0"/>
        <w:rPr>
          <w:rFonts w:ascii="Arial" w:hAnsi="Arial" w:eastAsia="仿宋" w:cs="Arial"/>
          <w:b/>
          <w:sz w:val="24"/>
          <w:u w:val="single"/>
        </w:rPr>
      </w:pPr>
    </w:p>
    <w:p>
      <w:pPr>
        <w:snapToGrid w:val="0"/>
        <w:rPr>
          <w:rFonts w:ascii="Arial" w:hAnsi="Arial" w:eastAsia="仿宋" w:cs="Arial"/>
          <w:b/>
          <w:sz w:val="24"/>
          <w:u w:val="single"/>
        </w:rPr>
      </w:pPr>
    </w:p>
    <w:p>
      <w:pP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注：</w:t>
      </w:r>
    </w:p>
    <w:p>
      <w:pPr>
        <w:rPr>
          <w:rFonts w:ascii="黑体" w:hAnsi="黑体" w:eastAsia="黑体" w:cs="仿宋_GB2312"/>
          <w:color w:val="000000"/>
          <w:kern w:val="0"/>
          <w:szCs w:val="21"/>
        </w:rPr>
      </w:pPr>
      <w:r>
        <w:rPr>
          <w:rFonts w:ascii="黑体" w:hAnsi="黑体" w:eastAsia="黑体" w:cs="仿宋_GB2312"/>
          <w:color w:val="000000"/>
          <w:kern w:val="0"/>
          <w:szCs w:val="21"/>
        </w:rPr>
        <w:t>1、本项目总收费：指招标文件中所规定的所有服务项目合同期内全年的总报价，此报价作为投标方的投标总价。</w:t>
      </w:r>
    </w:p>
    <w:p>
      <w:pPr>
        <w:rPr>
          <w:rFonts w:ascii="黑体" w:hAnsi="黑体" w:eastAsia="黑体" w:cs="仿宋_GB2312"/>
          <w:color w:val="000000"/>
          <w:kern w:val="0"/>
          <w:szCs w:val="21"/>
        </w:rPr>
      </w:pPr>
      <w:r>
        <w:rPr>
          <w:rFonts w:ascii="黑体" w:hAnsi="黑体" w:eastAsia="黑体" w:cs="仿宋_GB2312"/>
          <w:color w:val="000000"/>
          <w:kern w:val="0"/>
          <w:szCs w:val="21"/>
        </w:rPr>
        <w:t>2、各投标单位还必须按项目内容对各项服务单独报价，并列出明细报价表</w:t>
      </w:r>
      <w:r>
        <w:rPr>
          <w:rFonts w:hint="eastAsia" w:ascii="黑体" w:hAnsi="黑体" w:eastAsia="黑体" w:cs="仿宋_GB2312"/>
          <w:color w:val="000000"/>
          <w:kern w:val="0"/>
          <w:szCs w:val="21"/>
        </w:rPr>
        <w:t>，</w:t>
      </w:r>
      <w:r>
        <w:rPr>
          <w:rFonts w:ascii="黑体" w:hAnsi="黑体" w:eastAsia="黑体" w:cs="仿宋_GB2312"/>
          <w:color w:val="000000"/>
          <w:kern w:val="0"/>
          <w:szCs w:val="21"/>
        </w:rPr>
        <w:t>格式参考附件</w:t>
      </w:r>
      <w:r>
        <w:rPr>
          <w:rFonts w:hint="eastAsia" w:ascii="黑体" w:hAnsi="黑体" w:eastAsia="黑体" w:cs="仿宋_GB2312"/>
          <w:color w:val="000000"/>
          <w:kern w:val="0"/>
          <w:szCs w:val="21"/>
          <w:lang w:val="en-US" w:eastAsia="zh-CN"/>
        </w:rPr>
        <w:t>9</w:t>
      </w:r>
      <w:r>
        <w:rPr>
          <w:rFonts w:ascii="黑体" w:hAnsi="黑体" w:eastAsia="黑体" w:cs="仿宋_GB2312"/>
          <w:color w:val="000000"/>
          <w:kern w:val="0"/>
          <w:szCs w:val="21"/>
        </w:rPr>
        <w:t>。</w:t>
      </w:r>
    </w:p>
    <w:p>
      <w:pPr>
        <w:rPr>
          <w:rFonts w:ascii="黑体" w:hAnsi="黑体" w:eastAsia="黑体" w:cs="仿宋_GB2312"/>
          <w:color w:val="000000"/>
          <w:kern w:val="0"/>
          <w:szCs w:val="21"/>
        </w:rPr>
      </w:pPr>
      <w:r>
        <w:rPr>
          <w:rFonts w:hint="eastAsia" w:ascii="黑体" w:hAnsi="黑体" w:eastAsia="黑体" w:cs="仿宋_GB2312"/>
          <w:color w:val="000000"/>
          <w:kern w:val="0"/>
          <w:szCs w:val="21"/>
        </w:rPr>
        <w:t>3、总收费报价应与附件</w:t>
      </w:r>
      <w:r>
        <w:rPr>
          <w:rFonts w:hint="eastAsia" w:ascii="黑体" w:hAnsi="黑体" w:eastAsia="黑体" w:cs="仿宋_GB2312"/>
          <w:color w:val="000000"/>
          <w:kern w:val="0"/>
          <w:szCs w:val="21"/>
          <w:lang w:val="en-US" w:eastAsia="zh-CN"/>
        </w:rPr>
        <w:t>9</w:t>
      </w:r>
      <w:r>
        <w:rPr>
          <w:rFonts w:hint="eastAsia" w:ascii="黑体" w:hAnsi="黑体" w:eastAsia="黑体" w:cs="仿宋_GB2312"/>
          <w:color w:val="000000"/>
          <w:kern w:val="0"/>
          <w:szCs w:val="21"/>
        </w:rPr>
        <w:t>《报价明细表》中“合计”一栏金额一致。</w:t>
      </w:r>
    </w:p>
    <w:p>
      <w:pPr>
        <w:ind w:firstLine="5295"/>
        <w:rPr>
          <w:rFonts w:ascii="宋体" w:hAnsi="宋体" w:cs="宋体"/>
        </w:rPr>
      </w:pPr>
    </w:p>
    <w:p>
      <w:pPr>
        <w:ind w:firstLine="5295"/>
        <w:rPr>
          <w:rFonts w:ascii="宋体" w:hAnsi="宋体" w:cs="宋体"/>
        </w:rPr>
      </w:pPr>
    </w:p>
    <w:p>
      <w:pPr>
        <w:ind w:firstLine="5295"/>
        <w:rPr>
          <w:rFonts w:ascii="宋体" w:hAnsi="宋体" w:cs="宋体"/>
        </w:rPr>
      </w:pPr>
    </w:p>
    <w:p>
      <w:pPr>
        <w:snapToGrid w:val="0"/>
        <w:spacing w:beforeLines="50" w:line="440" w:lineRule="exact"/>
        <w:ind w:firstLine="3480" w:firstLineChars="1450"/>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 xml:space="preserve">投标人全称（公章）：                    </w:t>
      </w:r>
    </w:p>
    <w:p>
      <w:pPr>
        <w:tabs>
          <w:tab w:val="left" w:pos="7980"/>
        </w:tabs>
        <w:snapToGrid w:val="0"/>
        <w:spacing w:beforeLines="50" w:after="50" w:line="460" w:lineRule="exact"/>
        <w:ind w:right="-180" w:firstLine="3480" w:firstLineChars="1450"/>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法定代表人签名</w:t>
      </w:r>
      <w:r>
        <w:rPr>
          <w:rFonts w:hint="eastAsia" w:ascii="仿宋_GB2312" w:hAnsi="仿宋_GB2312" w:eastAsia="仿宋_GB2312" w:cs="仿宋_GB2312"/>
          <w:color w:val="000000"/>
          <w:kern w:val="0"/>
          <w:sz w:val="24"/>
        </w:rPr>
        <w:t>或其</w:t>
      </w:r>
      <w:r>
        <w:rPr>
          <w:rFonts w:ascii="仿宋_GB2312" w:hAnsi="仿宋_GB2312" w:eastAsia="仿宋_GB2312" w:cs="仿宋_GB2312"/>
          <w:color w:val="000000"/>
          <w:kern w:val="0"/>
          <w:sz w:val="24"/>
        </w:rPr>
        <w:t xml:space="preserve">授权代表签字：             </w:t>
      </w:r>
    </w:p>
    <w:p>
      <w:pPr>
        <w:tabs>
          <w:tab w:val="left" w:pos="7980"/>
        </w:tabs>
        <w:snapToGrid w:val="0"/>
        <w:spacing w:beforeLines="50" w:after="50" w:line="460" w:lineRule="exact"/>
        <w:ind w:right="-180" w:firstLine="3480" w:firstLineChars="145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4"/>
        </w:rPr>
        <w:t>日期：       年      月      日</w:t>
      </w:r>
    </w:p>
    <w:p>
      <w:pPr>
        <w:snapToGrid w:val="0"/>
        <w:spacing w:beforeLines="50" w:after="50"/>
        <w:rPr>
          <w:rFonts w:ascii="仿宋_GB2312" w:hAnsi="仿宋_GB2312" w:eastAsia="仿宋_GB2312" w:cs="仿宋_GB2312"/>
          <w:color w:val="000000"/>
          <w:kern w:val="0"/>
          <w:sz w:val="32"/>
          <w:szCs w:val="32"/>
        </w:rPr>
      </w:pPr>
    </w:p>
    <w:p>
      <w:pPr>
        <w:pStyle w:val="28"/>
        <w:rPr>
          <w:rFonts w:ascii="仿宋_GB2312" w:hAnsi="仿宋_GB2312" w:eastAsia="仿宋_GB2312" w:cs="仿宋_GB2312"/>
          <w:color w:val="000000"/>
          <w:kern w:val="0"/>
          <w:sz w:val="32"/>
          <w:szCs w:val="32"/>
        </w:rPr>
      </w:pPr>
    </w:p>
    <w:p>
      <w:pPr>
        <w:pStyle w:val="29"/>
        <w:ind w:firstLine="320"/>
        <w:rPr>
          <w:rFonts w:ascii="仿宋_GB2312" w:hAnsi="仿宋_GB2312" w:eastAsia="仿宋_GB2312" w:cs="仿宋_GB2312"/>
          <w:color w:val="000000"/>
          <w:kern w:val="0"/>
          <w:sz w:val="32"/>
          <w:szCs w:val="32"/>
        </w:rPr>
      </w:pPr>
    </w:p>
    <w:p>
      <w:pPr>
        <w:pStyle w:val="29"/>
        <w:ind w:firstLine="320"/>
        <w:rPr>
          <w:rFonts w:ascii="仿宋_GB2312" w:hAnsi="仿宋_GB2312" w:eastAsia="仿宋_GB2312" w:cs="仿宋_GB2312"/>
          <w:color w:val="000000"/>
          <w:kern w:val="0"/>
          <w:sz w:val="32"/>
          <w:szCs w:val="32"/>
        </w:rPr>
      </w:pPr>
    </w:p>
    <w:p>
      <w:pPr>
        <w:pStyle w:val="29"/>
        <w:ind w:firstLine="320"/>
        <w:rPr>
          <w:rFonts w:ascii="仿宋_GB2312" w:hAnsi="仿宋_GB2312" w:eastAsia="仿宋_GB2312" w:cs="仿宋_GB2312"/>
          <w:color w:val="000000"/>
          <w:kern w:val="0"/>
          <w:sz w:val="32"/>
          <w:szCs w:val="32"/>
        </w:rPr>
      </w:pPr>
    </w:p>
    <w:p>
      <w:pPr>
        <w:pStyle w:val="29"/>
        <w:ind w:firstLine="320"/>
        <w:rPr>
          <w:rFonts w:ascii="仿宋_GB2312" w:hAnsi="仿宋_GB2312" w:eastAsia="仿宋_GB2312" w:cs="仿宋_GB2312"/>
          <w:color w:val="000000"/>
          <w:kern w:val="0"/>
          <w:sz w:val="32"/>
          <w:szCs w:val="32"/>
        </w:rPr>
      </w:pP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hint="default" w:ascii="仿宋_GB2312" w:hAnsi="仿宋_GB2312" w:eastAsia="仿宋_GB2312" w:cs="仿宋_GB2312"/>
          <w:color w:val="000000"/>
          <w:kern w:val="0"/>
          <w:sz w:val="32"/>
          <w:szCs w:val="32"/>
          <w:highlight w:val="yellow"/>
          <w:lang w:val="en-US" w:eastAsia="zh-CN"/>
        </w:rPr>
      </w:pPr>
      <w:r>
        <w:rPr>
          <w:rFonts w:ascii="仿宋_GB2312" w:hAnsi="仿宋_GB2312" w:eastAsia="仿宋_GB2312" w:cs="仿宋_GB2312"/>
          <w:color w:val="000000"/>
          <w:kern w:val="0"/>
          <w:sz w:val="32"/>
          <w:szCs w:val="32"/>
        </w:rPr>
        <w:t>附件</w:t>
      </w:r>
      <w:r>
        <w:rPr>
          <w:rFonts w:hint="eastAsia" w:ascii="仿宋_GB2312" w:hAnsi="仿宋_GB2312" w:eastAsia="仿宋_GB2312" w:cs="仿宋_GB2312"/>
          <w:color w:val="000000"/>
          <w:kern w:val="0"/>
          <w:sz w:val="32"/>
          <w:szCs w:val="32"/>
          <w:lang w:val="en-US" w:eastAsia="zh-CN"/>
        </w:rPr>
        <w:t>9</w:t>
      </w:r>
    </w:p>
    <w:p>
      <w:pPr>
        <w:pStyle w:val="38"/>
        <w:snapToGrid w:val="0"/>
        <w:spacing w:before="120" w:after="120"/>
        <w:jc w:val="center"/>
        <w:rPr>
          <w:rFonts w:ascii="仿宋_GB2312" w:hAnsi="仿宋_GB2312" w:eastAsia="仿宋_GB2312" w:cs="仿宋_GB2312"/>
          <w:color w:val="000000"/>
          <w:kern w:val="0"/>
          <w:sz w:val="36"/>
          <w:szCs w:val="36"/>
        </w:rPr>
      </w:pPr>
      <w:r>
        <w:rPr>
          <w:rFonts w:ascii="仿宋_GB2312" w:hAnsi="仿宋_GB2312" w:eastAsia="仿宋_GB2312" w:cs="仿宋_GB2312"/>
          <w:color w:val="000000"/>
          <w:kern w:val="0"/>
          <w:sz w:val="36"/>
          <w:szCs w:val="36"/>
        </w:rPr>
        <w:t>报价明细表</w:t>
      </w:r>
    </w:p>
    <w:tbl>
      <w:tblPr>
        <w:tblStyle w:val="67"/>
        <w:tblW w:w="70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0"/>
        <w:gridCol w:w="3240"/>
        <w:gridCol w:w="26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0" w:type="dxa"/>
            <w:noWrap/>
            <w:vAlign w:val="center"/>
          </w:tcPr>
          <w:p>
            <w:pPr>
              <w:adjustRightInd w:val="0"/>
              <w:snapToGrid w:val="0"/>
              <w:jc w:val="cente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序号</w:t>
            </w:r>
          </w:p>
        </w:tc>
        <w:tc>
          <w:tcPr>
            <w:tcW w:w="3240" w:type="dxa"/>
            <w:noWrap/>
            <w:vAlign w:val="center"/>
          </w:tcPr>
          <w:p>
            <w:pPr>
              <w:adjustRightInd w:val="0"/>
              <w:snapToGrid w:val="0"/>
              <w:jc w:val="cente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项目</w:t>
            </w:r>
          </w:p>
        </w:tc>
        <w:tc>
          <w:tcPr>
            <w:tcW w:w="2645" w:type="dxa"/>
            <w:noWrap/>
            <w:vAlign w:val="center"/>
          </w:tcPr>
          <w:p>
            <w:pPr>
              <w:adjustRightInd w:val="0"/>
              <w:snapToGrid w:val="0"/>
              <w:jc w:val="cente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0" w:type="dxa"/>
            <w:noWrap/>
            <w:vAlign w:val="center"/>
          </w:tcPr>
          <w:p>
            <w:pPr>
              <w:adjustRightInd w:val="0"/>
              <w:snapToGrid w:val="0"/>
              <w:jc w:val="cente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1</w:t>
            </w:r>
          </w:p>
        </w:tc>
        <w:tc>
          <w:tcPr>
            <w:tcW w:w="3240" w:type="dxa"/>
            <w:noWrap/>
            <w:vAlign w:val="center"/>
          </w:tcPr>
          <w:p>
            <w:pPr>
              <w:adjustRightInd w:val="0"/>
              <w:snapToGrid w:val="0"/>
              <w:jc w:val="center"/>
              <w:rPr>
                <w:rFonts w:ascii="仿宋_GB2312" w:hAnsi="仿宋_GB2312" w:eastAsia="仿宋_GB2312" w:cs="仿宋_GB2312"/>
                <w:color w:val="000000"/>
                <w:kern w:val="0"/>
                <w:szCs w:val="21"/>
              </w:rPr>
            </w:pPr>
          </w:p>
        </w:tc>
        <w:tc>
          <w:tcPr>
            <w:tcW w:w="2645" w:type="dxa"/>
            <w:noWrap/>
            <w:vAlign w:val="center"/>
          </w:tcPr>
          <w:p>
            <w:pPr>
              <w:adjustRightInd w:val="0"/>
              <w:snapToGrid w:val="0"/>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0" w:type="dxa"/>
            <w:noWrap/>
            <w:vAlign w:val="center"/>
          </w:tcPr>
          <w:p>
            <w:pPr>
              <w:adjustRightInd w:val="0"/>
              <w:snapToGrid w:val="0"/>
              <w:jc w:val="cente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2</w:t>
            </w:r>
          </w:p>
        </w:tc>
        <w:tc>
          <w:tcPr>
            <w:tcW w:w="3240" w:type="dxa"/>
            <w:noWrap/>
            <w:vAlign w:val="center"/>
          </w:tcPr>
          <w:p>
            <w:pPr>
              <w:adjustRightInd w:val="0"/>
              <w:snapToGrid w:val="0"/>
              <w:jc w:val="center"/>
              <w:rPr>
                <w:rFonts w:ascii="仿宋_GB2312" w:hAnsi="仿宋_GB2312" w:eastAsia="仿宋_GB2312" w:cs="仿宋_GB2312"/>
                <w:color w:val="000000"/>
                <w:kern w:val="0"/>
                <w:szCs w:val="21"/>
              </w:rPr>
            </w:pPr>
          </w:p>
        </w:tc>
        <w:tc>
          <w:tcPr>
            <w:tcW w:w="2645" w:type="dxa"/>
            <w:noWrap/>
            <w:vAlign w:val="center"/>
          </w:tcPr>
          <w:p>
            <w:pPr>
              <w:adjustRightInd w:val="0"/>
              <w:snapToGrid w:val="0"/>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0" w:type="dxa"/>
            <w:noWrap/>
            <w:vAlign w:val="center"/>
          </w:tcPr>
          <w:p>
            <w:pPr>
              <w:adjustRightInd w:val="0"/>
              <w:snapToGrid w:val="0"/>
              <w:jc w:val="cente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3</w:t>
            </w:r>
          </w:p>
        </w:tc>
        <w:tc>
          <w:tcPr>
            <w:tcW w:w="3240" w:type="dxa"/>
            <w:noWrap/>
            <w:vAlign w:val="center"/>
          </w:tcPr>
          <w:p>
            <w:pPr>
              <w:adjustRightInd w:val="0"/>
              <w:snapToGrid w:val="0"/>
              <w:jc w:val="center"/>
              <w:rPr>
                <w:rFonts w:ascii="仿宋_GB2312" w:hAnsi="仿宋_GB2312" w:eastAsia="仿宋_GB2312" w:cs="仿宋_GB2312"/>
                <w:color w:val="000000"/>
                <w:kern w:val="0"/>
                <w:szCs w:val="21"/>
              </w:rPr>
            </w:pPr>
          </w:p>
        </w:tc>
        <w:tc>
          <w:tcPr>
            <w:tcW w:w="2645" w:type="dxa"/>
            <w:noWrap/>
            <w:vAlign w:val="center"/>
          </w:tcPr>
          <w:p>
            <w:pPr>
              <w:adjustRightInd w:val="0"/>
              <w:snapToGrid w:val="0"/>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0" w:type="dxa"/>
            <w:noWrap/>
            <w:vAlign w:val="center"/>
          </w:tcPr>
          <w:p>
            <w:pPr>
              <w:adjustRightInd w:val="0"/>
              <w:snapToGrid w:val="0"/>
              <w:jc w:val="cente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4</w:t>
            </w:r>
          </w:p>
        </w:tc>
        <w:tc>
          <w:tcPr>
            <w:tcW w:w="3240" w:type="dxa"/>
            <w:noWrap/>
            <w:vAlign w:val="center"/>
          </w:tcPr>
          <w:p>
            <w:pPr>
              <w:adjustRightInd w:val="0"/>
              <w:snapToGrid w:val="0"/>
              <w:jc w:val="center"/>
              <w:rPr>
                <w:rFonts w:ascii="仿宋_GB2312" w:hAnsi="仿宋_GB2312" w:eastAsia="仿宋_GB2312" w:cs="仿宋_GB2312"/>
                <w:color w:val="000000"/>
                <w:kern w:val="0"/>
                <w:szCs w:val="21"/>
              </w:rPr>
            </w:pPr>
          </w:p>
        </w:tc>
        <w:tc>
          <w:tcPr>
            <w:tcW w:w="2645" w:type="dxa"/>
            <w:noWrap/>
            <w:vAlign w:val="center"/>
          </w:tcPr>
          <w:p>
            <w:pPr>
              <w:adjustRightInd w:val="0"/>
              <w:snapToGrid w:val="0"/>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0" w:type="dxa"/>
            <w:noWrap/>
            <w:vAlign w:val="center"/>
          </w:tcPr>
          <w:p>
            <w:pPr>
              <w:adjustRightInd w:val="0"/>
              <w:snapToGrid w:val="0"/>
              <w:jc w:val="cente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5</w:t>
            </w:r>
          </w:p>
        </w:tc>
        <w:tc>
          <w:tcPr>
            <w:tcW w:w="3240" w:type="dxa"/>
            <w:noWrap/>
            <w:vAlign w:val="center"/>
          </w:tcPr>
          <w:p>
            <w:pPr>
              <w:adjustRightInd w:val="0"/>
              <w:snapToGrid w:val="0"/>
              <w:jc w:val="center"/>
              <w:rPr>
                <w:rFonts w:ascii="仿宋_GB2312" w:hAnsi="仿宋_GB2312" w:eastAsia="仿宋_GB2312" w:cs="仿宋_GB2312"/>
                <w:color w:val="000000"/>
                <w:kern w:val="0"/>
                <w:szCs w:val="21"/>
              </w:rPr>
            </w:pPr>
          </w:p>
        </w:tc>
        <w:tc>
          <w:tcPr>
            <w:tcW w:w="2645" w:type="dxa"/>
            <w:noWrap/>
            <w:vAlign w:val="center"/>
          </w:tcPr>
          <w:p>
            <w:pPr>
              <w:adjustRightInd w:val="0"/>
              <w:snapToGrid w:val="0"/>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0" w:type="dxa"/>
            <w:noWrap/>
            <w:vAlign w:val="center"/>
          </w:tcPr>
          <w:p>
            <w:pPr>
              <w:adjustRightInd w:val="0"/>
              <w:snapToGrid w:val="0"/>
              <w:jc w:val="cente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6</w:t>
            </w:r>
          </w:p>
        </w:tc>
        <w:tc>
          <w:tcPr>
            <w:tcW w:w="3240" w:type="dxa"/>
            <w:noWrap/>
            <w:vAlign w:val="center"/>
          </w:tcPr>
          <w:p>
            <w:pPr>
              <w:adjustRightInd w:val="0"/>
              <w:snapToGrid w:val="0"/>
              <w:jc w:val="center"/>
              <w:rPr>
                <w:rFonts w:ascii="仿宋_GB2312" w:hAnsi="仿宋_GB2312" w:eastAsia="仿宋_GB2312" w:cs="仿宋_GB2312"/>
                <w:color w:val="000000"/>
                <w:kern w:val="0"/>
                <w:szCs w:val="21"/>
              </w:rPr>
            </w:pPr>
          </w:p>
        </w:tc>
        <w:tc>
          <w:tcPr>
            <w:tcW w:w="2645" w:type="dxa"/>
            <w:noWrap/>
            <w:vAlign w:val="center"/>
          </w:tcPr>
          <w:p>
            <w:pPr>
              <w:adjustRightInd w:val="0"/>
              <w:snapToGrid w:val="0"/>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0" w:type="dxa"/>
            <w:noWrap/>
            <w:vAlign w:val="center"/>
          </w:tcPr>
          <w:p>
            <w:pPr>
              <w:adjustRightInd w:val="0"/>
              <w:snapToGrid w:val="0"/>
              <w:jc w:val="cente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7</w:t>
            </w:r>
          </w:p>
        </w:tc>
        <w:tc>
          <w:tcPr>
            <w:tcW w:w="3240" w:type="dxa"/>
            <w:noWrap/>
            <w:vAlign w:val="center"/>
          </w:tcPr>
          <w:p>
            <w:pPr>
              <w:adjustRightInd w:val="0"/>
              <w:snapToGrid w:val="0"/>
              <w:jc w:val="center"/>
              <w:rPr>
                <w:rFonts w:ascii="仿宋_GB2312" w:hAnsi="仿宋_GB2312" w:eastAsia="仿宋_GB2312" w:cs="仿宋_GB2312"/>
                <w:color w:val="000000"/>
                <w:kern w:val="0"/>
                <w:szCs w:val="21"/>
              </w:rPr>
            </w:pPr>
          </w:p>
        </w:tc>
        <w:tc>
          <w:tcPr>
            <w:tcW w:w="2645" w:type="dxa"/>
            <w:noWrap/>
            <w:vAlign w:val="center"/>
          </w:tcPr>
          <w:p>
            <w:pPr>
              <w:adjustRightInd w:val="0"/>
              <w:snapToGrid w:val="0"/>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0" w:type="dxa"/>
            <w:noWrap/>
            <w:vAlign w:val="center"/>
          </w:tcPr>
          <w:p>
            <w:pPr>
              <w:adjustRightInd w:val="0"/>
              <w:snapToGrid w:val="0"/>
              <w:jc w:val="cente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8</w:t>
            </w:r>
          </w:p>
        </w:tc>
        <w:tc>
          <w:tcPr>
            <w:tcW w:w="3240" w:type="dxa"/>
            <w:noWrap/>
            <w:vAlign w:val="center"/>
          </w:tcPr>
          <w:p>
            <w:pPr>
              <w:adjustRightInd w:val="0"/>
              <w:snapToGrid w:val="0"/>
              <w:jc w:val="center"/>
              <w:rPr>
                <w:rFonts w:ascii="仿宋_GB2312" w:hAnsi="仿宋_GB2312" w:eastAsia="仿宋_GB2312" w:cs="仿宋_GB2312"/>
                <w:color w:val="000000"/>
                <w:kern w:val="0"/>
                <w:szCs w:val="21"/>
              </w:rPr>
            </w:pPr>
          </w:p>
        </w:tc>
        <w:tc>
          <w:tcPr>
            <w:tcW w:w="2645" w:type="dxa"/>
            <w:noWrap/>
            <w:vAlign w:val="center"/>
          </w:tcPr>
          <w:p>
            <w:pPr>
              <w:adjustRightInd w:val="0"/>
              <w:snapToGrid w:val="0"/>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0" w:type="dxa"/>
            <w:noWrap/>
            <w:vAlign w:val="center"/>
          </w:tcPr>
          <w:p>
            <w:pPr>
              <w:adjustRightInd w:val="0"/>
              <w:snapToGrid w:val="0"/>
              <w:jc w:val="cente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9</w:t>
            </w:r>
          </w:p>
        </w:tc>
        <w:tc>
          <w:tcPr>
            <w:tcW w:w="3240" w:type="dxa"/>
            <w:noWrap/>
            <w:vAlign w:val="center"/>
          </w:tcPr>
          <w:p>
            <w:pPr>
              <w:adjustRightInd w:val="0"/>
              <w:snapToGrid w:val="0"/>
              <w:jc w:val="center"/>
              <w:rPr>
                <w:rFonts w:ascii="仿宋_GB2312" w:hAnsi="仿宋_GB2312" w:eastAsia="仿宋_GB2312" w:cs="仿宋_GB2312"/>
                <w:color w:val="000000"/>
                <w:kern w:val="0"/>
                <w:szCs w:val="21"/>
              </w:rPr>
            </w:pPr>
          </w:p>
        </w:tc>
        <w:tc>
          <w:tcPr>
            <w:tcW w:w="2645" w:type="dxa"/>
            <w:noWrap/>
            <w:vAlign w:val="center"/>
          </w:tcPr>
          <w:p>
            <w:pPr>
              <w:adjustRightInd w:val="0"/>
              <w:snapToGrid w:val="0"/>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0" w:type="dxa"/>
            <w:noWrap/>
            <w:vAlign w:val="center"/>
          </w:tcPr>
          <w:p>
            <w:pPr>
              <w:adjustRightInd w:val="0"/>
              <w:snapToGrid w:val="0"/>
              <w:jc w:val="cente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10</w:t>
            </w:r>
          </w:p>
        </w:tc>
        <w:tc>
          <w:tcPr>
            <w:tcW w:w="3240" w:type="dxa"/>
            <w:noWrap/>
            <w:vAlign w:val="center"/>
          </w:tcPr>
          <w:p>
            <w:pPr>
              <w:adjustRightInd w:val="0"/>
              <w:snapToGrid w:val="0"/>
              <w:jc w:val="center"/>
              <w:rPr>
                <w:rFonts w:ascii="仿宋_GB2312" w:hAnsi="仿宋_GB2312" w:eastAsia="仿宋_GB2312" w:cs="仿宋_GB2312"/>
                <w:color w:val="000000"/>
                <w:kern w:val="0"/>
                <w:szCs w:val="21"/>
              </w:rPr>
            </w:pPr>
          </w:p>
        </w:tc>
        <w:tc>
          <w:tcPr>
            <w:tcW w:w="2645" w:type="dxa"/>
            <w:noWrap/>
            <w:vAlign w:val="center"/>
          </w:tcPr>
          <w:p>
            <w:pPr>
              <w:adjustRightInd w:val="0"/>
              <w:snapToGrid w:val="0"/>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0" w:type="dxa"/>
            <w:noWrap/>
            <w:vAlign w:val="center"/>
          </w:tcPr>
          <w:p>
            <w:pPr>
              <w:adjustRightInd w:val="0"/>
              <w:snapToGrid w:val="0"/>
              <w:jc w:val="cente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11</w:t>
            </w:r>
          </w:p>
        </w:tc>
        <w:tc>
          <w:tcPr>
            <w:tcW w:w="3240" w:type="dxa"/>
            <w:noWrap/>
            <w:vAlign w:val="center"/>
          </w:tcPr>
          <w:p>
            <w:pPr>
              <w:adjustRightInd w:val="0"/>
              <w:snapToGrid w:val="0"/>
              <w:jc w:val="center"/>
              <w:rPr>
                <w:rFonts w:ascii="仿宋_GB2312" w:hAnsi="仿宋_GB2312" w:eastAsia="仿宋_GB2312" w:cs="仿宋_GB2312"/>
                <w:color w:val="000000"/>
                <w:kern w:val="0"/>
                <w:szCs w:val="21"/>
              </w:rPr>
            </w:pPr>
          </w:p>
        </w:tc>
        <w:tc>
          <w:tcPr>
            <w:tcW w:w="2645" w:type="dxa"/>
            <w:noWrap/>
            <w:vAlign w:val="center"/>
          </w:tcPr>
          <w:p>
            <w:pPr>
              <w:adjustRightInd w:val="0"/>
              <w:snapToGrid w:val="0"/>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0" w:type="dxa"/>
            <w:noWrap/>
            <w:vAlign w:val="center"/>
          </w:tcPr>
          <w:p>
            <w:pPr>
              <w:adjustRightInd w:val="0"/>
              <w:snapToGrid w:val="0"/>
              <w:jc w:val="cente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12</w:t>
            </w:r>
          </w:p>
        </w:tc>
        <w:tc>
          <w:tcPr>
            <w:tcW w:w="3240" w:type="dxa"/>
            <w:noWrap/>
            <w:vAlign w:val="center"/>
          </w:tcPr>
          <w:p>
            <w:pPr>
              <w:adjustRightInd w:val="0"/>
              <w:snapToGrid w:val="0"/>
              <w:jc w:val="center"/>
              <w:rPr>
                <w:rFonts w:ascii="仿宋_GB2312" w:hAnsi="仿宋_GB2312" w:eastAsia="仿宋_GB2312" w:cs="仿宋_GB2312"/>
                <w:color w:val="000000"/>
                <w:kern w:val="0"/>
                <w:szCs w:val="21"/>
              </w:rPr>
            </w:pPr>
          </w:p>
        </w:tc>
        <w:tc>
          <w:tcPr>
            <w:tcW w:w="2645" w:type="dxa"/>
            <w:noWrap/>
            <w:vAlign w:val="center"/>
          </w:tcPr>
          <w:p>
            <w:pPr>
              <w:adjustRightInd w:val="0"/>
              <w:snapToGrid w:val="0"/>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0" w:type="dxa"/>
            <w:noWrap/>
            <w:vAlign w:val="center"/>
          </w:tcPr>
          <w:p>
            <w:pPr>
              <w:adjustRightInd w:val="0"/>
              <w:snapToGrid w:val="0"/>
              <w:jc w:val="cente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w:t>
            </w:r>
          </w:p>
        </w:tc>
        <w:tc>
          <w:tcPr>
            <w:tcW w:w="3240" w:type="dxa"/>
            <w:noWrap/>
            <w:vAlign w:val="center"/>
          </w:tcPr>
          <w:p>
            <w:pPr>
              <w:adjustRightInd w:val="0"/>
              <w:snapToGrid w:val="0"/>
              <w:jc w:val="center"/>
              <w:rPr>
                <w:rFonts w:ascii="仿宋_GB2312" w:hAnsi="仿宋_GB2312" w:eastAsia="仿宋_GB2312" w:cs="仿宋_GB2312"/>
                <w:color w:val="000000"/>
                <w:kern w:val="0"/>
                <w:szCs w:val="21"/>
              </w:rPr>
            </w:pPr>
          </w:p>
        </w:tc>
        <w:tc>
          <w:tcPr>
            <w:tcW w:w="2645" w:type="dxa"/>
            <w:noWrap/>
            <w:vAlign w:val="center"/>
          </w:tcPr>
          <w:p>
            <w:pPr>
              <w:adjustRightInd w:val="0"/>
              <w:snapToGrid w:val="0"/>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180" w:type="dxa"/>
            <w:noWrap/>
            <w:vAlign w:val="center"/>
          </w:tcPr>
          <w:p>
            <w:pPr>
              <w:adjustRightInd w:val="0"/>
              <w:snapToGrid w:val="0"/>
              <w:jc w:val="center"/>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合计</w:t>
            </w:r>
          </w:p>
        </w:tc>
        <w:tc>
          <w:tcPr>
            <w:tcW w:w="5885" w:type="dxa"/>
            <w:gridSpan w:val="2"/>
            <w:noWrap/>
            <w:vAlign w:val="center"/>
          </w:tcPr>
          <w:p>
            <w:pPr>
              <w:adjustRightInd w:val="0"/>
              <w:snapToGrid w:val="0"/>
              <w:jc w:val="center"/>
              <w:rPr>
                <w:rFonts w:ascii="仿宋_GB2312" w:hAnsi="仿宋_GB2312" w:eastAsia="仿宋_GB2312" w:cs="仿宋_GB2312"/>
                <w:color w:val="000000"/>
                <w:kern w:val="0"/>
                <w:szCs w:val="21"/>
              </w:rPr>
            </w:pPr>
          </w:p>
        </w:tc>
      </w:tr>
    </w:tbl>
    <w:p>
      <w:pPr>
        <w:jc w:val="center"/>
        <w:rPr>
          <w:rFonts w:ascii="Arial" w:hAnsi="Arial" w:eastAsia="仿宋" w:cs="Arial"/>
          <w:b/>
          <w:sz w:val="24"/>
        </w:rPr>
      </w:pPr>
    </w:p>
    <w:p>
      <w:pPr>
        <w:tabs>
          <w:tab w:val="left" w:pos="1140"/>
        </w:tabs>
        <w:spacing w:line="440" w:lineRule="exact"/>
        <w:ind w:firstLine="420" w:firstLineChars="200"/>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注</w:t>
      </w:r>
      <w:r>
        <w:rPr>
          <w:rFonts w:hint="eastAsia" w:ascii="仿宋_GB2312" w:hAnsi="仿宋_GB2312" w:eastAsia="仿宋_GB2312" w:cs="仿宋_GB2312"/>
          <w:color w:val="000000"/>
          <w:kern w:val="0"/>
          <w:szCs w:val="21"/>
        </w:rPr>
        <w:t>：</w:t>
      </w:r>
      <w:r>
        <w:rPr>
          <w:rFonts w:ascii="仿宋_GB2312" w:hAnsi="仿宋_GB2312" w:eastAsia="仿宋_GB2312" w:cs="仿宋_GB2312"/>
          <w:color w:val="000000"/>
          <w:kern w:val="0"/>
          <w:szCs w:val="21"/>
        </w:rPr>
        <w:t>1</w:t>
      </w:r>
      <w:r>
        <w:rPr>
          <w:rFonts w:hint="eastAsia" w:ascii="仿宋_GB2312" w:hAnsi="仿宋_GB2312" w:eastAsia="仿宋_GB2312" w:cs="仿宋_GB2312"/>
          <w:color w:val="000000"/>
          <w:kern w:val="0"/>
          <w:szCs w:val="21"/>
        </w:rPr>
        <w:t>、</w:t>
      </w:r>
      <w:r>
        <w:rPr>
          <w:rFonts w:ascii="仿宋_GB2312" w:hAnsi="仿宋_GB2312" w:eastAsia="仿宋_GB2312" w:cs="仿宋_GB2312"/>
          <w:color w:val="000000"/>
          <w:kern w:val="0"/>
          <w:szCs w:val="21"/>
        </w:rPr>
        <w:t>如本表格不适合供应商的实际情况，可根据本表格格式自行划表填写</w:t>
      </w:r>
      <w:r>
        <w:rPr>
          <w:rFonts w:hint="eastAsia" w:ascii="仿宋_GB2312" w:hAnsi="仿宋_GB2312" w:eastAsia="仿宋_GB2312" w:cs="仿宋_GB2312"/>
          <w:color w:val="000000"/>
          <w:kern w:val="0"/>
          <w:szCs w:val="21"/>
        </w:rPr>
        <w:t>；</w:t>
      </w:r>
    </w:p>
    <w:p>
      <w:pPr>
        <w:tabs>
          <w:tab w:val="left" w:pos="1140"/>
        </w:tabs>
        <w:spacing w:line="440" w:lineRule="exact"/>
        <w:ind w:firstLine="840" w:firstLineChars="400"/>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2、以上报价应包含人工费用(工资、社保、人身意外伤害保险、高温补贴、法定节假日加班费、福利、服装、其他等）、物耗费用、添置费用、管理酬金、税费等项目涉及的所有费用</w:t>
      </w:r>
      <w:r>
        <w:rPr>
          <w:rFonts w:hint="eastAsia" w:ascii="仿宋_GB2312" w:hAnsi="仿宋_GB2312" w:eastAsia="仿宋_GB2312" w:cs="仿宋_GB2312"/>
          <w:color w:val="000000"/>
          <w:kern w:val="0"/>
          <w:szCs w:val="21"/>
        </w:rPr>
        <w:t>；</w:t>
      </w:r>
    </w:p>
    <w:p>
      <w:pPr>
        <w:tabs>
          <w:tab w:val="left" w:pos="1140"/>
        </w:tabs>
        <w:spacing w:line="440" w:lineRule="exact"/>
        <w:ind w:firstLine="840" w:firstLineChars="400"/>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3、每人每年报价不得低于本市的最低工资标准，否则投标无效</w:t>
      </w:r>
      <w:r>
        <w:rPr>
          <w:rFonts w:hint="eastAsia" w:ascii="仿宋_GB2312" w:hAnsi="仿宋_GB2312" w:eastAsia="仿宋_GB2312" w:cs="仿宋_GB2312"/>
          <w:color w:val="000000"/>
          <w:kern w:val="0"/>
          <w:szCs w:val="21"/>
        </w:rPr>
        <w:t>。</w:t>
      </w:r>
    </w:p>
    <w:p>
      <w:pPr>
        <w:tabs>
          <w:tab w:val="left" w:pos="1140"/>
        </w:tabs>
        <w:spacing w:line="440" w:lineRule="exact"/>
        <w:ind w:firstLine="840" w:firstLineChars="400"/>
        <w:rPr>
          <w:rFonts w:ascii="仿宋_GB2312" w:hAnsi="仿宋_GB2312" w:eastAsia="仿宋_GB2312" w:cs="仿宋_GB2312"/>
          <w:color w:val="000000"/>
          <w:kern w:val="0"/>
          <w:szCs w:val="21"/>
        </w:rPr>
      </w:pPr>
      <w:r>
        <w:rPr>
          <w:rFonts w:ascii="仿宋_GB2312" w:hAnsi="仿宋_GB2312" w:eastAsia="仿宋_GB2312" w:cs="仿宋_GB2312"/>
          <w:color w:val="000000"/>
          <w:kern w:val="0"/>
          <w:szCs w:val="21"/>
        </w:rPr>
        <w:t>4、物业管理费构成中的人工费用部分必须提供分岗位费用构成明细，</w:t>
      </w:r>
      <w:r>
        <w:rPr>
          <w:rFonts w:hint="eastAsia" w:ascii="仿宋_GB2312" w:hAnsi="仿宋_GB2312" w:eastAsia="仿宋_GB2312" w:cs="仿宋_GB2312"/>
          <w:color w:val="000000"/>
          <w:kern w:val="0"/>
          <w:szCs w:val="21"/>
        </w:rPr>
        <w:t>格式</w:t>
      </w:r>
      <w:r>
        <w:rPr>
          <w:rFonts w:ascii="仿宋_GB2312" w:hAnsi="仿宋_GB2312" w:eastAsia="仿宋_GB2312" w:cs="仿宋_GB2312"/>
          <w:color w:val="000000"/>
          <w:kern w:val="0"/>
          <w:szCs w:val="21"/>
        </w:rPr>
        <w:t>参见附件</w:t>
      </w:r>
      <w:r>
        <w:rPr>
          <w:rFonts w:hint="eastAsia" w:ascii="仿宋_GB2312" w:hAnsi="仿宋_GB2312" w:eastAsia="仿宋_GB2312" w:cs="仿宋_GB2312"/>
          <w:color w:val="000000"/>
          <w:kern w:val="0"/>
          <w:szCs w:val="21"/>
          <w:lang w:val="en-US" w:eastAsia="zh-CN"/>
        </w:rPr>
        <w:t>10</w:t>
      </w:r>
      <w:r>
        <w:rPr>
          <w:rFonts w:ascii="仿宋_GB2312" w:hAnsi="仿宋_GB2312" w:eastAsia="仿宋_GB2312" w:cs="仿宋_GB2312"/>
          <w:color w:val="000000"/>
          <w:kern w:val="0"/>
          <w:szCs w:val="21"/>
        </w:rPr>
        <w:t>。</w:t>
      </w:r>
    </w:p>
    <w:p>
      <w:pPr>
        <w:snapToGrid w:val="0"/>
        <w:spacing w:beforeLines="50" w:line="440" w:lineRule="exact"/>
        <w:rPr>
          <w:rFonts w:ascii="仿宋_GB2312" w:hAnsi="仿宋_GB2312" w:eastAsia="仿宋_GB2312" w:cs="仿宋_GB2312"/>
          <w:color w:val="000000"/>
          <w:kern w:val="0"/>
          <w:sz w:val="24"/>
        </w:rPr>
      </w:pPr>
    </w:p>
    <w:p>
      <w:pPr>
        <w:snapToGrid w:val="0"/>
        <w:spacing w:beforeLines="50" w:line="440" w:lineRule="exact"/>
        <w:ind w:firstLine="3480" w:firstLineChars="1450"/>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 xml:space="preserve">投标人全称（公章）：                    </w:t>
      </w:r>
    </w:p>
    <w:p>
      <w:pPr>
        <w:tabs>
          <w:tab w:val="left" w:pos="7980"/>
        </w:tabs>
        <w:snapToGrid w:val="0"/>
        <w:spacing w:beforeLines="50" w:after="50" w:line="460" w:lineRule="exact"/>
        <w:ind w:right="-180" w:firstLine="3480" w:firstLineChars="1450"/>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法定代表人签名</w:t>
      </w:r>
      <w:r>
        <w:rPr>
          <w:rFonts w:hint="eastAsia" w:ascii="仿宋_GB2312" w:hAnsi="仿宋_GB2312" w:eastAsia="仿宋_GB2312" w:cs="仿宋_GB2312"/>
          <w:color w:val="000000"/>
          <w:kern w:val="0"/>
          <w:sz w:val="24"/>
        </w:rPr>
        <w:t>或其授权代表</w:t>
      </w:r>
      <w:r>
        <w:rPr>
          <w:rFonts w:ascii="仿宋_GB2312" w:hAnsi="仿宋_GB2312" w:eastAsia="仿宋_GB2312" w:cs="仿宋_GB2312"/>
          <w:color w:val="000000"/>
          <w:kern w:val="0"/>
          <w:sz w:val="24"/>
        </w:rPr>
        <w:t xml:space="preserve">签字：           </w:t>
      </w:r>
    </w:p>
    <w:p>
      <w:pPr>
        <w:tabs>
          <w:tab w:val="left" w:pos="7980"/>
        </w:tabs>
        <w:snapToGrid w:val="0"/>
        <w:spacing w:beforeLines="50" w:after="50" w:line="460" w:lineRule="exact"/>
        <w:ind w:right="-180" w:firstLine="3480" w:firstLineChars="145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4"/>
        </w:rPr>
        <w:t>日期：       年      月      日</w:t>
      </w:r>
    </w:p>
    <w:p>
      <w:pPr>
        <w:snapToGrid w:val="0"/>
        <w:spacing w:beforeLines="50" w:after="50"/>
        <w:rPr>
          <w:rFonts w:ascii="仿宋_GB2312" w:hAnsi="仿宋_GB2312" w:eastAsia="仿宋_GB2312" w:cs="仿宋_GB2312"/>
          <w:color w:val="000000"/>
          <w:kern w:val="0"/>
          <w:sz w:val="32"/>
          <w:szCs w:val="32"/>
        </w:rPr>
      </w:pPr>
    </w:p>
    <w:p>
      <w:pPr>
        <w:pStyle w:val="28"/>
      </w:pPr>
    </w:p>
    <w:p>
      <w:pPr>
        <w:pStyle w:val="29"/>
        <w:ind w:firstLine="280"/>
      </w:pPr>
    </w:p>
    <w:p>
      <w:pPr>
        <w:pStyle w:val="30"/>
      </w:pPr>
    </w:p>
    <w:p/>
    <w:p>
      <w:pPr>
        <w:snapToGrid w:val="0"/>
        <w:spacing w:beforeLines="50" w:after="50"/>
        <w:rPr>
          <w:rFonts w:hint="default" w:ascii="仿宋_GB2312" w:hAnsi="仿宋_GB2312" w:eastAsia="仿宋_GB2312" w:cs="仿宋_GB2312"/>
          <w:color w:val="000000"/>
          <w:kern w:val="0"/>
          <w:sz w:val="32"/>
          <w:szCs w:val="32"/>
          <w:lang w:val="en-US" w:eastAsia="zh-CN"/>
        </w:rPr>
      </w:pPr>
      <w:r>
        <w:rPr>
          <w:rFonts w:ascii="仿宋_GB2312" w:hAnsi="仿宋_GB2312" w:eastAsia="仿宋_GB2312" w:cs="仿宋_GB2312"/>
          <w:color w:val="000000"/>
          <w:kern w:val="0"/>
          <w:sz w:val="32"/>
          <w:szCs w:val="32"/>
        </w:rPr>
        <w:t>附件</w:t>
      </w:r>
      <w:r>
        <w:rPr>
          <w:rFonts w:hint="eastAsia" w:ascii="仿宋_GB2312" w:hAnsi="仿宋_GB2312" w:eastAsia="仿宋_GB2312" w:cs="仿宋_GB2312"/>
          <w:color w:val="000000"/>
          <w:kern w:val="0"/>
          <w:sz w:val="32"/>
          <w:szCs w:val="32"/>
          <w:lang w:val="en-US" w:eastAsia="zh-CN"/>
        </w:rPr>
        <w:t>10</w:t>
      </w:r>
    </w:p>
    <w:p>
      <w:pPr>
        <w:pStyle w:val="38"/>
        <w:snapToGrid w:val="0"/>
        <w:spacing w:before="120" w:after="120"/>
        <w:jc w:val="center"/>
        <w:rPr>
          <w:rFonts w:ascii="仿宋_GB2312" w:hAnsi="仿宋_GB2312" w:eastAsia="仿宋_GB2312" w:cs="仿宋_GB2312"/>
          <w:color w:val="auto"/>
          <w:kern w:val="0"/>
          <w:sz w:val="36"/>
          <w:szCs w:val="36"/>
          <w:highlight w:val="none"/>
        </w:rPr>
      </w:pPr>
      <w:r>
        <w:rPr>
          <w:rFonts w:hint="eastAsia" w:ascii="仿宋_GB2312" w:hAnsi="仿宋_GB2312" w:eastAsia="仿宋_GB2312" w:cs="仿宋_GB2312"/>
          <w:color w:val="auto"/>
          <w:kern w:val="0"/>
          <w:sz w:val="36"/>
          <w:szCs w:val="36"/>
          <w:highlight w:val="none"/>
        </w:rPr>
        <w:t>人员费用明细</w:t>
      </w:r>
    </w:p>
    <w:p>
      <w:pPr>
        <w:outlineLvl w:val="1"/>
        <w:rPr>
          <w:rFonts w:ascii="Arial" w:hAnsi="仿宋" w:eastAsia="仿宋" w:cs="Arial"/>
          <w:b/>
          <w:sz w:val="28"/>
          <w:szCs w:val="28"/>
        </w:rPr>
      </w:pPr>
    </w:p>
    <w:tbl>
      <w:tblPr>
        <w:tblStyle w:val="67"/>
        <w:tblW w:w="97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01"/>
        <w:gridCol w:w="1979"/>
        <w:gridCol w:w="1245"/>
        <w:gridCol w:w="28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0" w:hRule="atLeast"/>
          <w:jc w:val="center"/>
        </w:trPr>
        <w:tc>
          <w:tcPr>
            <w:tcW w:w="3601" w:type="dxa"/>
            <w:vAlign w:val="center"/>
          </w:tcPr>
          <w:p>
            <w:pPr>
              <w:adjustRightInd w:val="0"/>
              <w:snapToGrid w:val="0"/>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分项服务人员名称</w:t>
            </w:r>
          </w:p>
        </w:tc>
        <w:tc>
          <w:tcPr>
            <w:tcW w:w="1979" w:type="dxa"/>
            <w:vAlign w:val="center"/>
          </w:tcPr>
          <w:p>
            <w:pPr>
              <w:adjustRightInd w:val="0"/>
              <w:snapToGrid w:val="0"/>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每人每年报价（元）</w:t>
            </w:r>
          </w:p>
        </w:tc>
        <w:tc>
          <w:tcPr>
            <w:tcW w:w="1245" w:type="dxa"/>
            <w:vAlign w:val="center"/>
          </w:tcPr>
          <w:p>
            <w:pPr>
              <w:adjustRightInd w:val="0"/>
              <w:snapToGrid w:val="0"/>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人数</w:t>
            </w:r>
          </w:p>
        </w:tc>
        <w:tc>
          <w:tcPr>
            <w:tcW w:w="2895" w:type="dxa"/>
            <w:vAlign w:val="center"/>
          </w:tcPr>
          <w:p>
            <w:pPr>
              <w:adjustRightInd w:val="0"/>
              <w:snapToGrid w:val="0"/>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601" w:type="dxa"/>
            <w:vAlign w:val="center"/>
          </w:tcPr>
          <w:p>
            <w:pPr>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A</w:t>
            </w:r>
            <w:r>
              <w:rPr>
                <w:rFonts w:hint="eastAsia" w:ascii="仿宋_GB2312" w:hAnsi="仿宋_GB2312" w:eastAsia="仿宋_GB2312" w:cs="仿宋_GB2312"/>
                <w:color w:val="000000"/>
                <w:kern w:val="0"/>
                <w:szCs w:val="21"/>
                <w:lang w:val="en-US" w:eastAsia="zh-CN"/>
              </w:rPr>
              <w:t>物业主任</w:t>
            </w:r>
          </w:p>
        </w:tc>
        <w:tc>
          <w:tcPr>
            <w:tcW w:w="1979" w:type="dxa"/>
            <w:vAlign w:val="center"/>
          </w:tcPr>
          <w:p>
            <w:pPr>
              <w:adjustRightInd w:val="0"/>
              <w:snapToGrid w:val="0"/>
              <w:jc w:val="center"/>
              <w:rPr>
                <w:rFonts w:ascii="仿宋_GB2312" w:hAnsi="仿宋_GB2312" w:eastAsia="仿宋_GB2312" w:cs="仿宋_GB2312"/>
                <w:color w:val="000000"/>
                <w:kern w:val="0"/>
                <w:szCs w:val="21"/>
              </w:rPr>
            </w:pPr>
          </w:p>
        </w:tc>
        <w:tc>
          <w:tcPr>
            <w:tcW w:w="1245" w:type="dxa"/>
            <w:vAlign w:val="center"/>
          </w:tcPr>
          <w:p>
            <w:pPr>
              <w:adjustRightInd w:val="0"/>
              <w:snapToGrid w:val="0"/>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1</w:t>
            </w:r>
          </w:p>
        </w:tc>
        <w:tc>
          <w:tcPr>
            <w:tcW w:w="2895" w:type="dxa"/>
            <w:vAlign w:val="center"/>
          </w:tcPr>
          <w:p>
            <w:pPr>
              <w:adjustRightInd w:val="0"/>
              <w:snapToGrid w:val="0"/>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601" w:type="dxa"/>
            <w:vAlign w:val="center"/>
          </w:tcPr>
          <w:p>
            <w:pPr>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B</w:t>
            </w:r>
            <w:r>
              <w:rPr>
                <w:rFonts w:hint="eastAsia" w:ascii="仿宋_GB2312" w:hAnsi="仿宋_GB2312" w:eastAsia="仿宋_GB2312" w:cs="仿宋_GB2312"/>
                <w:color w:val="000000"/>
                <w:kern w:val="0"/>
                <w:szCs w:val="21"/>
                <w:lang w:val="en-US" w:eastAsia="zh-CN"/>
              </w:rPr>
              <w:t>食堂管理</w:t>
            </w:r>
          </w:p>
        </w:tc>
        <w:tc>
          <w:tcPr>
            <w:tcW w:w="1979" w:type="dxa"/>
            <w:vAlign w:val="center"/>
          </w:tcPr>
          <w:p>
            <w:pPr>
              <w:adjustRightInd w:val="0"/>
              <w:snapToGrid w:val="0"/>
              <w:jc w:val="center"/>
              <w:rPr>
                <w:rFonts w:ascii="仿宋_GB2312" w:hAnsi="仿宋_GB2312" w:eastAsia="仿宋_GB2312" w:cs="仿宋_GB2312"/>
                <w:color w:val="000000"/>
                <w:kern w:val="0"/>
                <w:szCs w:val="21"/>
              </w:rPr>
            </w:pPr>
          </w:p>
        </w:tc>
        <w:tc>
          <w:tcPr>
            <w:tcW w:w="1245" w:type="dxa"/>
            <w:vAlign w:val="center"/>
          </w:tcPr>
          <w:p>
            <w:pPr>
              <w:adjustRightInd w:val="0"/>
              <w:snapToGrid w:val="0"/>
              <w:jc w:val="center"/>
              <w:rPr>
                <w:rFonts w:hint="eastAsia" w:ascii="仿宋_GB2312" w:hAnsi="仿宋_GB2312" w:eastAsia="仿宋_GB2312" w:cs="仿宋_GB2312"/>
                <w:color w:val="000000"/>
                <w:kern w:val="0"/>
                <w:szCs w:val="21"/>
                <w:lang w:eastAsia="zh-CN"/>
              </w:rPr>
            </w:pPr>
            <w:r>
              <w:rPr>
                <w:rFonts w:hint="eastAsia" w:ascii="仿宋_GB2312" w:hAnsi="仿宋_GB2312" w:eastAsia="仿宋_GB2312" w:cs="仿宋_GB2312"/>
                <w:color w:val="000000"/>
                <w:kern w:val="0"/>
                <w:szCs w:val="21"/>
                <w:lang w:val="en-US" w:eastAsia="zh-CN"/>
              </w:rPr>
              <w:t>1</w:t>
            </w:r>
          </w:p>
        </w:tc>
        <w:tc>
          <w:tcPr>
            <w:tcW w:w="2895" w:type="dxa"/>
            <w:vAlign w:val="center"/>
          </w:tcPr>
          <w:p>
            <w:pPr>
              <w:adjustRightInd w:val="0"/>
              <w:snapToGrid w:val="0"/>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601" w:type="dxa"/>
            <w:vAlign w:val="center"/>
          </w:tcPr>
          <w:p>
            <w:pPr>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C</w:t>
            </w:r>
            <w:r>
              <w:rPr>
                <w:rFonts w:hint="eastAsia" w:ascii="仿宋_GB2312" w:hAnsi="仿宋_GB2312" w:eastAsia="仿宋_GB2312" w:cs="仿宋_GB2312"/>
                <w:color w:val="000000"/>
                <w:kern w:val="0"/>
                <w:szCs w:val="21"/>
                <w:lang w:val="en-US" w:eastAsia="zh-CN"/>
              </w:rPr>
              <w:t>厨师</w:t>
            </w:r>
          </w:p>
        </w:tc>
        <w:tc>
          <w:tcPr>
            <w:tcW w:w="1979" w:type="dxa"/>
            <w:vAlign w:val="center"/>
          </w:tcPr>
          <w:p>
            <w:pPr>
              <w:adjustRightInd w:val="0"/>
              <w:snapToGrid w:val="0"/>
              <w:jc w:val="center"/>
              <w:rPr>
                <w:rFonts w:ascii="仿宋_GB2312" w:hAnsi="仿宋_GB2312" w:eastAsia="仿宋_GB2312" w:cs="仿宋_GB2312"/>
                <w:color w:val="000000"/>
                <w:kern w:val="0"/>
                <w:szCs w:val="21"/>
              </w:rPr>
            </w:pPr>
          </w:p>
        </w:tc>
        <w:tc>
          <w:tcPr>
            <w:tcW w:w="1245" w:type="dxa"/>
            <w:vAlign w:val="center"/>
          </w:tcPr>
          <w:p>
            <w:pPr>
              <w:adjustRightInd w:val="0"/>
              <w:snapToGrid w:val="0"/>
              <w:jc w:val="center"/>
              <w:rPr>
                <w:rFonts w:hint="eastAsia" w:ascii="仿宋_GB2312" w:hAnsi="仿宋_GB2312" w:eastAsia="仿宋_GB2312" w:cs="仿宋_GB2312"/>
                <w:color w:val="000000"/>
                <w:kern w:val="0"/>
                <w:szCs w:val="21"/>
                <w:lang w:eastAsia="zh-CN"/>
              </w:rPr>
            </w:pPr>
            <w:r>
              <w:rPr>
                <w:rFonts w:hint="eastAsia" w:ascii="仿宋_GB2312" w:hAnsi="仿宋_GB2312" w:eastAsia="仿宋_GB2312" w:cs="仿宋_GB2312"/>
                <w:color w:val="000000"/>
                <w:kern w:val="0"/>
                <w:szCs w:val="21"/>
                <w:lang w:val="en-US" w:eastAsia="zh-CN"/>
              </w:rPr>
              <w:t>1</w:t>
            </w:r>
          </w:p>
        </w:tc>
        <w:tc>
          <w:tcPr>
            <w:tcW w:w="2895" w:type="dxa"/>
            <w:vAlign w:val="center"/>
          </w:tcPr>
          <w:p>
            <w:pPr>
              <w:adjustRightInd w:val="0"/>
              <w:snapToGrid w:val="0"/>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601" w:type="dxa"/>
            <w:vAlign w:val="center"/>
          </w:tcPr>
          <w:p>
            <w:pPr>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D</w:t>
            </w:r>
            <w:r>
              <w:rPr>
                <w:rFonts w:hint="eastAsia" w:ascii="仿宋_GB2312" w:hAnsi="仿宋_GB2312" w:eastAsia="仿宋_GB2312" w:cs="仿宋_GB2312"/>
                <w:color w:val="000000"/>
                <w:kern w:val="0"/>
                <w:szCs w:val="21"/>
                <w:lang w:val="en-US" w:eastAsia="zh-CN"/>
              </w:rPr>
              <w:t>面点师</w:t>
            </w:r>
          </w:p>
        </w:tc>
        <w:tc>
          <w:tcPr>
            <w:tcW w:w="1979" w:type="dxa"/>
            <w:vAlign w:val="center"/>
          </w:tcPr>
          <w:p>
            <w:pPr>
              <w:adjustRightInd w:val="0"/>
              <w:snapToGrid w:val="0"/>
              <w:jc w:val="center"/>
              <w:rPr>
                <w:rFonts w:ascii="仿宋_GB2312" w:hAnsi="仿宋_GB2312" w:eastAsia="仿宋_GB2312" w:cs="仿宋_GB2312"/>
                <w:color w:val="000000"/>
                <w:kern w:val="0"/>
                <w:szCs w:val="21"/>
              </w:rPr>
            </w:pPr>
          </w:p>
        </w:tc>
        <w:tc>
          <w:tcPr>
            <w:tcW w:w="1245" w:type="dxa"/>
            <w:vAlign w:val="center"/>
          </w:tcPr>
          <w:p>
            <w:pPr>
              <w:adjustRightInd w:val="0"/>
              <w:snapToGrid w:val="0"/>
              <w:jc w:val="center"/>
              <w:rPr>
                <w:rFonts w:hint="eastAsia" w:ascii="仿宋_GB2312" w:hAnsi="仿宋_GB2312" w:eastAsia="仿宋_GB2312" w:cs="仿宋_GB2312"/>
                <w:color w:val="000000"/>
                <w:kern w:val="0"/>
                <w:szCs w:val="21"/>
                <w:lang w:eastAsia="zh-CN"/>
              </w:rPr>
            </w:pPr>
            <w:r>
              <w:rPr>
                <w:rFonts w:hint="eastAsia" w:ascii="仿宋_GB2312" w:hAnsi="仿宋_GB2312" w:eastAsia="仿宋_GB2312" w:cs="仿宋_GB2312"/>
                <w:color w:val="000000"/>
                <w:kern w:val="0"/>
                <w:szCs w:val="21"/>
                <w:lang w:val="en-US" w:eastAsia="zh-CN"/>
              </w:rPr>
              <w:t>1</w:t>
            </w:r>
          </w:p>
        </w:tc>
        <w:tc>
          <w:tcPr>
            <w:tcW w:w="2895" w:type="dxa"/>
            <w:vAlign w:val="center"/>
          </w:tcPr>
          <w:p>
            <w:pPr>
              <w:adjustRightInd w:val="0"/>
              <w:snapToGrid w:val="0"/>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601" w:type="dxa"/>
            <w:vAlign w:val="center"/>
          </w:tcPr>
          <w:p>
            <w:pPr>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E</w:t>
            </w:r>
            <w:r>
              <w:rPr>
                <w:rFonts w:hint="eastAsia" w:ascii="仿宋_GB2312" w:hAnsi="仿宋_GB2312" w:eastAsia="仿宋_GB2312" w:cs="仿宋_GB2312"/>
                <w:color w:val="000000"/>
                <w:kern w:val="0"/>
                <w:szCs w:val="21"/>
                <w:lang w:val="en-US" w:eastAsia="zh-CN"/>
              </w:rPr>
              <w:t>帮工</w:t>
            </w:r>
          </w:p>
        </w:tc>
        <w:tc>
          <w:tcPr>
            <w:tcW w:w="1979" w:type="dxa"/>
            <w:vAlign w:val="center"/>
          </w:tcPr>
          <w:p>
            <w:pPr>
              <w:adjustRightInd w:val="0"/>
              <w:snapToGrid w:val="0"/>
              <w:jc w:val="center"/>
              <w:rPr>
                <w:rFonts w:ascii="仿宋_GB2312" w:hAnsi="仿宋_GB2312" w:eastAsia="仿宋_GB2312" w:cs="仿宋_GB2312"/>
                <w:color w:val="000000"/>
                <w:kern w:val="0"/>
                <w:szCs w:val="21"/>
              </w:rPr>
            </w:pPr>
          </w:p>
        </w:tc>
        <w:tc>
          <w:tcPr>
            <w:tcW w:w="1245" w:type="dxa"/>
            <w:vAlign w:val="center"/>
          </w:tcPr>
          <w:p>
            <w:pPr>
              <w:adjustRightInd w:val="0"/>
              <w:snapToGrid w:val="0"/>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3</w:t>
            </w:r>
          </w:p>
        </w:tc>
        <w:tc>
          <w:tcPr>
            <w:tcW w:w="2895" w:type="dxa"/>
            <w:vAlign w:val="center"/>
          </w:tcPr>
          <w:p>
            <w:pPr>
              <w:adjustRightInd w:val="0"/>
              <w:snapToGrid w:val="0"/>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601" w:type="dxa"/>
            <w:vAlign w:val="center"/>
          </w:tcPr>
          <w:p>
            <w:pPr>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F</w:t>
            </w:r>
            <w:r>
              <w:rPr>
                <w:rFonts w:hint="eastAsia" w:ascii="仿宋_GB2312" w:hAnsi="仿宋_GB2312" w:eastAsia="仿宋_GB2312" w:cs="仿宋_GB2312"/>
                <w:color w:val="000000"/>
                <w:kern w:val="0"/>
                <w:szCs w:val="21"/>
                <w:lang w:val="en-US" w:eastAsia="zh-CN"/>
              </w:rPr>
              <w:t>保洁员</w:t>
            </w:r>
          </w:p>
        </w:tc>
        <w:tc>
          <w:tcPr>
            <w:tcW w:w="1979" w:type="dxa"/>
            <w:vAlign w:val="center"/>
          </w:tcPr>
          <w:p>
            <w:pPr>
              <w:adjustRightInd w:val="0"/>
              <w:snapToGrid w:val="0"/>
              <w:jc w:val="center"/>
              <w:rPr>
                <w:rFonts w:ascii="仿宋_GB2312" w:hAnsi="仿宋_GB2312" w:eastAsia="仿宋_GB2312" w:cs="仿宋_GB2312"/>
                <w:color w:val="000000"/>
                <w:kern w:val="0"/>
                <w:szCs w:val="21"/>
              </w:rPr>
            </w:pPr>
          </w:p>
        </w:tc>
        <w:tc>
          <w:tcPr>
            <w:tcW w:w="1245" w:type="dxa"/>
            <w:vAlign w:val="center"/>
          </w:tcPr>
          <w:p>
            <w:pPr>
              <w:adjustRightInd w:val="0"/>
              <w:snapToGrid w:val="0"/>
              <w:jc w:val="center"/>
              <w:rPr>
                <w:rFonts w:hint="eastAsia" w:ascii="仿宋_GB2312" w:hAnsi="仿宋_GB2312" w:eastAsia="仿宋_GB2312" w:cs="仿宋_GB2312"/>
                <w:color w:val="000000"/>
                <w:kern w:val="0"/>
                <w:szCs w:val="21"/>
                <w:lang w:eastAsia="zh-CN"/>
              </w:rPr>
            </w:pPr>
            <w:r>
              <w:rPr>
                <w:rFonts w:hint="eastAsia" w:ascii="仿宋_GB2312" w:hAnsi="仿宋_GB2312" w:eastAsia="仿宋_GB2312" w:cs="仿宋_GB2312"/>
                <w:color w:val="000000"/>
                <w:kern w:val="0"/>
                <w:szCs w:val="21"/>
                <w:lang w:val="en-US" w:eastAsia="zh-CN"/>
              </w:rPr>
              <w:t>8</w:t>
            </w:r>
          </w:p>
        </w:tc>
        <w:tc>
          <w:tcPr>
            <w:tcW w:w="2895" w:type="dxa"/>
            <w:vAlign w:val="center"/>
          </w:tcPr>
          <w:p>
            <w:pPr>
              <w:adjustRightInd w:val="0"/>
              <w:snapToGrid w:val="0"/>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601" w:type="dxa"/>
            <w:vAlign w:val="center"/>
          </w:tcPr>
          <w:p>
            <w:pPr>
              <w:jc w:val="center"/>
              <w:rPr>
                <w:rFonts w:hint="default" w:ascii="仿宋_GB2312" w:hAnsi="仿宋_GB2312" w:eastAsia="仿宋_GB2312" w:cs="仿宋_GB2312"/>
                <w:color w:val="000000"/>
                <w:kern w:val="0"/>
                <w:szCs w:val="21"/>
                <w:lang w:val="en-US" w:eastAsia="zh-CN"/>
              </w:rPr>
            </w:pPr>
            <w:r>
              <w:rPr>
                <w:rFonts w:hint="eastAsia" w:ascii="仿宋_GB2312" w:hAnsi="仿宋_GB2312" w:eastAsia="仿宋_GB2312" w:cs="仿宋_GB2312"/>
                <w:color w:val="000000"/>
                <w:kern w:val="0"/>
                <w:szCs w:val="21"/>
                <w:lang w:val="en-US" w:eastAsia="zh-CN"/>
              </w:rPr>
              <w:t>G保安员</w:t>
            </w:r>
          </w:p>
        </w:tc>
        <w:tc>
          <w:tcPr>
            <w:tcW w:w="1979" w:type="dxa"/>
            <w:vAlign w:val="center"/>
          </w:tcPr>
          <w:p>
            <w:pPr>
              <w:adjustRightInd w:val="0"/>
              <w:snapToGrid w:val="0"/>
              <w:jc w:val="center"/>
              <w:rPr>
                <w:rFonts w:ascii="仿宋_GB2312" w:hAnsi="仿宋_GB2312" w:eastAsia="仿宋_GB2312" w:cs="仿宋_GB2312"/>
                <w:color w:val="000000"/>
                <w:kern w:val="0"/>
                <w:szCs w:val="21"/>
              </w:rPr>
            </w:pPr>
          </w:p>
        </w:tc>
        <w:tc>
          <w:tcPr>
            <w:tcW w:w="1245" w:type="dxa"/>
            <w:vAlign w:val="center"/>
          </w:tcPr>
          <w:p>
            <w:pPr>
              <w:adjustRightInd w:val="0"/>
              <w:snapToGrid w:val="0"/>
              <w:jc w:val="center"/>
              <w:rPr>
                <w:rFonts w:hint="eastAsia" w:ascii="仿宋_GB2312" w:hAnsi="仿宋_GB2312" w:eastAsia="仿宋_GB2312" w:cs="仿宋_GB2312"/>
                <w:color w:val="000000"/>
                <w:kern w:val="0"/>
                <w:szCs w:val="21"/>
                <w:lang w:val="en-US" w:eastAsia="zh-CN"/>
              </w:rPr>
            </w:pPr>
            <w:r>
              <w:rPr>
                <w:rFonts w:hint="eastAsia" w:ascii="仿宋_GB2312" w:hAnsi="仿宋_GB2312" w:eastAsia="仿宋_GB2312" w:cs="仿宋_GB2312"/>
                <w:color w:val="000000"/>
                <w:kern w:val="0"/>
                <w:szCs w:val="21"/>
                <w:lang w:val="en-US" w:eastAsia="zh-CN"/>
              </w:rPr>
              <w:t>8</w:t>
            </w:r>
          </w:p>
        </w:tc>
        <w:tc>
          <w:tcPr>
            <w:tcW w:w="2895" w:type="dxa"/>
            <w:vAlign w:val="center"/>
          </w:tcPr>
          <w:p>
            <w:pPr>
              <w:adjustRightInd w:val="0"/>
              <w:snapToGrid w:val="0"/>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601" w:type="dxa"/>
            <w:vAlign w:val="center"/>
          </w:tcPr>
          <w:p>
            <w:pPr>
              <w:adjustRightInd w:val="0"/>
              <w:snapToGrid w:val="0"/>
              <w:jc w:val="center"/>
              <w:rPr>
                <w:rFonts w:hint="eastAsia" w:ascii="仿宋_GB2312" w:hAnsi="仿宋_GB2312" w:eastAsia="仿宋_GB2312" w:cs="仿宋_GB2312"/>
                <w:color w:val="000000"/>
                <w:kern w:val="0"/>
                <w:szCs w:val="21"/>
                <w:lang w:val="en-US" w:eastAsia="zh-CN"/>
              </w:rPr>
            </w:pPr>
            <w:r>
              <w:rPr>
                <w:rFonts w:hint="eastAsia" w:ascii="仿宋_GB2312" w:hAnsi="仿宋_GB2312" w:eastAsia="仿宋_GB2312" w:cs="仿宋_GB2312"/>
                <w:color w:val="000000"/>
                <w:kern w:val="0"/>
                <w:szCs w:val="21"/>
                <w:lang w:val="en-US" w:eastAsia="zh-CN"/>
              </w:rPr>
              <w:t>H绿化工</w:t>
            </w:r>
          </w:p>
        </w:tc>
        <w:tc>
          <w:tcPr>
            <w:tcW w:w="1979" w:type="dxa"/>
            <w:vAlign w:val="center"/>
          </w:tcPr>
          <w:p>
            <w:pPr>
              <w:adjustRightInd w:val="0"/>
              <w:snapToGrid w:val="0"/>
              <w:jc w:val="center"/>
              <w:rPr>
                <w:rFonts w:ascii="仿宋_GB2312" w:hAnsi="仿宋_GB2312" w:eastAsia="仿宋_GB2312" w:cs="仿宋_GB2312"/>
                <w:color w:val="000000"/>
                <w:kern w:val="0"/>
                <w:szCs w:val="21"/>
              </w:rPr>
            </w:pPr>
          </w:p>
        </w:tc>
        <w:tc>
          <w:tcPr>
            <w:tcW w:w="1245" w:type="dxa"/>
            <w:vAlign w:val="center"/>
          </w:tcPr>
          <w:p>
            <w:pPr>
              <w:adjustRightInd w:val="0"/>
              <w:snapToGrid w:val="0"/>
              <w:jc w:val="center"/>
              <w:rPr>
                <w:rFonts w:hint="eastAsia" w:ascii="仿宋_GB2312" w:hAnsi="仿宋_GB2312" w:eastAsia="仿宋_GB2312" w:cs="仿宋_GB2312"/>
                <w:color w:val="000000"/>
                <w:kern w:val="0"/>
                <w:szCs w:val="21"/>
                <w:lang w:val="en-US" w:eastAsia="zh-CN"/>
              </w:rPr>
            </w:pPr>
            <w:r>
              <w:rPr>
                <w:rFonts w:hint="eastAsia" w:ascii="仿宋_GB2312" w:hAnsi="仿宋_GB2312" w:eastAsia="仿宋_GB2312" w:cs="仿宋_GB2312"/>
                <w:color w:val="000000"/>
                <w:kern w:val="0"/>
                <w:szCs w:val="21"/>
                <w:lang w:val="en-US" w:eastAsia="zh-CN"/>
              </w:rPr>
              <w:t>1</w:t>
            </w:r>
          </w:p>
        </w:tc>
        <w:tc>
          <w:tcPr>
            <w:tcW w:w="2895" w:type="dxa"/>
            <w:vAlign w:val="center"/>
          </w:tcPr>
          <w:p>
            <w:pPr>
              <w:adjustRightInd w:val="0"/>
              <w:snapToGrid w:val="0"/>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601" w:type="dxa"/>
            <w:vAlign w:val="center"/>
          </w:tcPr>
          <w:p>
            <w:pPr>
              <w:adjustRightInd w:val="0"/>
              <w:snapToGrid w:val="0"/>
              <w:jc w:val="center"/>
              <w:rPr>
                <w:rFonts w:hint="eastAsia" w:ascii="仿宋_GB2312" w:hAnsi="仿宋_GB2312" w:eastAsia="仿宋_GB2312" w:cs="仿宋_GB2312"/>
                <w:color w:val="000000"/>
                <w:kern w:val="0"/>
                <w:szCs w:val="21"/>
                <w:lang w:val="en-US" w:eastAsia="zh-CN"/>
              </w:rPr>
            </w:pPr>
            <w:r>
              <w:rPr>
                <w:rFonts w:hint="eastAsia" w:ascii="仿宋_GB2312" w:hAnsi="仿宋_GB2312" w:eastAsia="仿宋_GB2312" w:cs="仿宋_GB2312"/>
                <w:color w:val="000000"/>
                <w:kern w:val="0"/>
                <w:szCs w:val="21"/>
                <w:lang w:val="en-US" w:eastAsia="zh-CN"/>
              </w:rPr>
              <w:t>I水电工</w:t>
            </w:r>
          </w:p>
        </w:tc>
        <w:tc>
          <w:tcPr>
            <w:tcW w:w="1979" w:type="dxa"/>
            <w:vAlign w:val="center"/>
          </w:tcPr>
          <w:p>
            <w:pPr>
              <w:adjustRightInd w:val="0"/>
              <w:snapToGrid w:val="0"/>
              <w:jc w:val="center"/>
              <w:rPr>
                <w:rFonts w:ascii="仿宋_GB2312" w:hAnsi="仿宋_GB2312" w:eastAsia="仿宋_GB2312" w:cs="仿宋_GB2312"/>
                <w:color w:val="000000"/>
                <w:kern w:val="0"/>
                <w:szCs w:val="21"/>
              </w:rPr>
            </w:pPr>
          </w:p>
        </w:tc>
        <w:tc>
          <w:tcPr>
            <w:tcW w:w="1245" w:type="dxa"/>
            <w:vAlign w:val="center"/>
          </w:tcPr>
          <w:p>
            <w:pPr>
              <w:adjustRightInd w:val="0"/>
              <w:snapToGrid w:val="0"/>
              <w:jc w:val="center"/>
              <w:rPr>
                <w:rFonts w:hint="eastAsia" w:ascii="仿宋_GB2312" w:hAnsi="仿宋_GB2312" w:eastAsia="仿宋_GB2312" w:cs="仿宋_GB2312"/>
                <w:color w:val="000000"/>
                <w:kern w:val="0"/>
                <w:szCs w:val="21"/>
                <w:lang w:val="en-US" w:eastAsia="zh-CN"/>
              </w:rPr>
            </w:pPr>
            <w:r>
              <w:rPr>
                <w:rFonts w:hint="eastAsia" w:ascii="仿宋_GB2312" w:hAnsi="仿宋_GB2312" w:eastAsia="仿宋_GB2312" w:cs="仿宋_GB2312"/>
                <w:color w:val="000000"/>
                <w:kern w:val="0"/>
                <w:szCs w:val="21"/>
                <w:lang w:val="en-US" w:eastAsia="zh-CN"/>
              </w:rPr>
              <w:t>1</w:t>
            </w:r>
          </w:p>
        </w:tc>
        <w:tc>
          <w:tcPr>
            <w:tcW w:w="2895" w:type="dxa"/>
            <w:vAlign w:val="center"/>
          </w:tcPr>
          <w:p>
            <w:pPr>
              <w:adjustRightInd w:val="0"/>
              <w:snapToGrid w:val="0"/>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601" w:type="dxa"/>
            <w:vAlign w:val="center"/>
          </w:tcPr>
          <w:p>
            <w:pPr>
              <w:adjustRightInd w:val="0"/>
              <w:snapToGrid w:val="0"/>
              <w:jc w:val="center"/>
              <w:rPr>
                <w:rFonts w:ascii="仿宋_GB2312" w:hAnsi="仿宋_GB2312" w:eastAsia="仿宋_GB2312" w:cs="仿宋_GB2312"/>
                <w:color w:val="000000"/>
                <w:kern w:val="0"/>
                <w:szCs w:val="21"/>
              </w:rPr>
            </w:pPr>
          </w:p>
        </w:tc>
        <w:tc>
          <w:tcPr>
            <w:tcW w:w="1979" w:type="dxa"/>
            <w:vAlign w:val="center"/>
          </w:tcPr>
          <w:p>
            <w:pPr>
              <w:adjustRightInd w:val="0"/>
              <w:snapToGrid w:val="0"/>
              <w:jc w:val="center"/>
              <w:rPr>
                <w:rFonts w:ascii="仿宋_GB2312" w:hAnsi="仿宋_GB2312" w:eastAsia="仿宋_GB2312" w:cs="仿宋_GB2312"/>
                <w:color w:val="000000"/>
                <w:kern w:val="0"/>
                <w:szCs w:val="21"/>
              </w:rPr>
            </w:pPr>
          </w:p>
        </w:tc>
        <w:tc>
          <w:tcPr>
            <w:tcW w:w="1245" w:type="dxa"/>
            <w:vAlign w:val="center"/>
          </w:tcPr>
          <w:p>
            <w:pPr>
              <w:adjustRightInd w:val="0"/>
              <w:snapToGrid w:val="0"/>
              <w:jc w:val="center"/>
              <w:rPr>
                <w:rFonts w:ascii="仿宋_GB2312" w:hAnsi="仿宋_GB2312" w:eastAsia="仿宋_GB2312" w:cs="仿宋_GB2312"/>
                <w:color w:val="000000"/>
                <w:kern w:val="0"/>
                <w:szCs w:val="21"/>
              </w:rPr>
            </w:pPr>
          </w:p>
        </w:tc>
        <w:tc>
          <w:tcPr>
            <w:tcW w:w="2895" w:type="dxa"/>
            <w:vAlign w:val="center"/>
          </w:tcPr>
          <w:p>
            <w:pPr>
              <w:adjustRightInd w:val="0"/>
              <w:snapToGrid w:val="0"/>
              <w:jc w:val="center"/>
              <w:rPr>
                <w:rFonts w:ascii="仿宋_GB2312" w:hAnsi="仿宋_GB2312" w:eastAsia="仿宋_GB2312" w:cs="仿宋_GB2312"/>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825" w:type="dxa"/>
            <w:gridSpan w:val="3"/>
            <w:vAlign w:val="center"/>
          </w:tcPr>
          <w:p>
            <w:pPr>
              <w:adjustRightInd w:val="0"/>
              <w:snapToGrid w:val="0"/>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合计</w:t>
            </w:r>
          </w:p>
        </w:tc>
        <w:tc>
          <w:tcPr>
            <w:tcW w:w="2895" w:type="dxa"/>
            <w:vAlign w:val="center"/>
          </w:tcPr>
          <w:p>
            <w:pPr>
              <w:adjustRightInd w:val="0"/>
              <w:snapToGrid w:val="0"/>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720" w:type="dxa"/>
            <w:gridSpan w:val="4"/>
            <w:vAlign w:val="center"/>
          </w:tcPr>
          <w:p>
            <w:pPr>
              <w:adjustRightInd w:val="0"/>
              <w:snapToGrid w:val="0"/>
              <w:jc w:val="center"/>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大写：</w:t>
            </w:r>
          </w:p>
        </w:tc>
      </w:tr>
    </w:tbl>
    <w:p>
      <w:pPr>
        <w:jc w:val="left"/>
        <w:outlineLvl w:val="1"/>
        <w:rPr>
          <w:rFonts w:ascii="仿宋_GB2312" w:hAnsi="仿宋_GB2312" w:eastAsia="仿宋_GB2312" w:cs="仿宋_GB2312"/>
          <w:color w:val="000000"/>
          <w:kern w:val="0"/>
          <w:szCs w:val="21"/>
        </w:rPr>
      </w:pPr>
      <w:r>
        <w:rPr>
          <w:rFonts w:hint="eastAsia" w:ascii="仿宋_GB2312" w:hAnsi="仿宋_GB2312" w:eastAsia="仿宋_GB2312" w:cs="仿宋_GB2312"/>
          <w:color w:val="000000"/>
          <w:kern w:val="0"/>
          <w:szCs w:val="21"/>
        </w:rPr>
        <w:t>注：1、本表所列人员及数量为本项目必须配备，各投标人根据人员分工安排，自行在本表基础上进行细分、添加，不得删除。各岗位具体配备人员数量可在满足采购人最低人数要求下自行调配，未尽事宜可备注说明。</w:t>
      </w:r>
    </w:p>
    <w:p>
      <w:pPr>
        <w:pStyle w:val="2"/>
        <w:keepNext w:val="0"/>
        <w:keepLines w:val="0"/>
        <w:spacing w:line="415" w:lineRule="auto"/>
      </w:pPr>
    </w:p>
    <w:p>
      <w:pPr>
        <w:jc w:val="left"/>
        <w:outlineLvl w:val="1"/>
        <w:rPr>
          <w:rFonts w:ascii="仿宋_GB2312" w:hAnsi="仿宋_GB2312" w:eastAsia="仿宋_GB2312" w:cs="仿宋_GB2312"/>
          <w:color w:val="000000"/>
          <w:kern w:val="0"/>
          <w:szCs w:val="21"/>
        </w:rPr>
      </w:pP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ascii="仿宋_GB2312" w:hAnsi="仿宋_GB2312" w:eastAsia="仿宋_GB2312" w:cs="仿宋_GB2312"/>
          <w:color w:val="000000"/>
          <w:kern w:val="0"/>
          <w:sz w:val="32"/>
          <w:szCs w:val="32"/>
        </w:rPr>
      </w:pPr>
    </w:p>
    <w:p>
      <w:pPr>
        <w:pStyle w:val="30"/>
        <w:ind w:left="0"/>
        <w:rPr>
          <w:rFonts w:ascii="仿宋_GB2312" w:hAnsi="仿宋_GB2312" w:eastAsia="仿宋_GB2312" w:cs="仿宋_GB2312"/>
          <w:color w:val="000000"/>
          <w:kern w:val="0"/>
          <w:sz w:val="32"/>
          <w:szCs w:val="32"/>
        </w:rPr>
      </w:pPr>
    </w:p>
    <w:p/>
    <w:p>
      <w:pPr>
        <w:snapToGrid w:val="0"/>
        <w:spacing w:beforeLines="50" w:after="50"/>
        <w:rPr>
          <w:rFonts w:hint="default" w:ascii="仿宋_GB2312" w:hAnsi="仿宋_GB2312" w:eastAsia="仿宋_GB2312" w:cs="仿宋_GB2312"/>
          <w:color w:val="000000"/>
          <w:kern w:val="0"/>
          <w:sz w:val="36"/>
          <w:szCs w:val="36"/>
          <w:lang w:val="en-US" w:eastAsia="zh-CN"/>
        </w:rPr>
      </w:pPr>
      <w:r>
        <w:rPr>
          <w:rFonts w:ascii="仿宋_GB2312" w:hAnsi="仿宋_GB2312" w:eastAsia="仿宋_GB2312" w:cs="仿宋_GB2312"/>
          <w:color w:val="000000"/>
          <w:kern w:val="0"/>
          <w:sz w:val="32"/>
          <w:szCs w:val="32"/>
        </w:rPr>
        <w:t>附件</w:t>
      </w:r>
      <w:r>
        <w:rPr>
          <w:rFonts w:hint="eastAsia" w:ascii="仿宋_GB2312" w:hAnsi="仿宋_GB2312" w:eastAsia="仿宋_GB2312" w:cs="仿宋_GB2312"/>
          <w:color w:val="000000"/>
          <w:kern w:val="0"/>
          <w:sz w:val="32"/>
          <w:szCs w:val="32"/>
          <w:lang w:val="en-US" w:eastAsia="zh-CN"/>
        </w:rPr>
        <w:t>11</w:t>
      </w:r>
    </w:p>
    <w:p>
      <w:pPr>
        <w:pStyle w:val="38"/>
        <w:snapToGrid w:val="0"/>
        <w:spacing w:before="120" w:after="120" w:line="360" w:lineRule="auto"/>
        <w:ind w:firstLine="1000" w:firstLineChars="300"/>
        <w:jc w:val="center"/>
        <w:rPr>
          <w:rFonts w:ascii="Arial" w:hAnsi="仿宋" w:eastAsia="仿宋" w:cs="Arial"/>
          <w:b/>
          <w:spacing w:val="6"/>
          <w:sz w:val="32"/>
          <w:szCs w:val="32"/>
        </w:rPr>
      </w:pPr>
      <w:r>
        <w:rPr>
          <w:rFonts w:hint="eastAsia" w:ascii="Arial" w:hAnsi="仿宋" w:eastAsia="仿宋" w:cs="Arial"/>
          <w:b/>
          <w:spacing w:val="6"/>
          <w:sz w:val="32"/>
          <w:szCs w:val="32"/>
        </w:rPr>
        <w:t>中小企业声明函（服务）</w:t>
      </w:r>
    </w:p>
    <w:p>
      <w:pPr>
        <w:pStyle w:val="28"/>
        <w:spacing w:line="400" w:lineRule="exact"/>
        <w:ind w:firstLine="480" w:firstLineChars="200"/>
        <w:jc w:val="left"/>
        <w:rPr>
          <w:rFonts w:ascii="仿宋_GB2312" w:hAnsi="仿宋_GB2312" w:eastAsia="仿宋_GB2312" w:cs="仿宋_GB2312"/>
          <w:color w:val="000000"/>
          <w:kern w:val="0"/>
          <w:sz w:val="24"/>
          <w:szCs w:val="20"/>
        </w:rPr>
      </w:pPr>
      <w:r>
        <w:rPr>
          <w:rFonts w:hint="eastAsia" w:ascii="仿宋_GB2312" w:hAnsi="仿宋_GB2312" w:eastAsia="仿宋_GB2312" w:cs="仿宋_GB2312"/>
          <w:color w:val="000000"/>
          <w:kern w:val="0"/>
          <w:sz w:val="24"/>
          <w:szCs w:val="20"/>
        </w:rPr>
        <w:t>本公司（联合体）郑重声明，根据《政府采购促进中小企业发展管理办法》（财库﹝2020﹞46 号）的规定，本公司（联合体）参加</w:t>
      </w:r>
      <w:r>
        <w:rPr>
          <w:rFonts w:hint="eastAsia" w:ascii="仿宋_GB2312" w:hAnsi="仿宋_GB2312" w:eastAsia="仿宋_GB2312" w:cs="仿宋_GB2312"/>
          <w:color w:val="000000"/>
          <w:kern w:val="0"/>
          <w:sz w:val="24"/>
          <w:szCs w:val="20"/>
          <w:u w:val="single"/>
        </w:rPr>
        <w:t>（单位名称）</w:t>
      </w:r>
      <w:r>
        <w:rPr>
          <w:rFonts w:hint="eastAsia" w:ascii="仿宋_GB2312" w:hAnsi="仿宋_GB2312" w:eastAsia="仿宋_GB2312" w:cs="仿宋_GB2312"/>
          <w:color w:val="000000"/>
          <w:kern w:val="0"/>
          <w:sz w:val="24"/>
          <w:szCs w:val="20"/>
        </w:rPr>
        <w:t>的</w:t>
      </w:r>
      <w:r>
        <w:rPr>
          <w:rFonts w:hint="eastAsia" w:ascii="仿宋_GB2312" w:hAnsi="仿宋_GB2312" w:eastAsia="仿宋_GB2312" w:cs="仿宋_GB2312"/>
          <w:color w:val="000000"/>
          <w:kern w:val="0"/>
          <w:sz w:val="24"/>
          <w:szCs w:val="20"/>
          <w:u w:val="single"/>
        </w:rPr>
        <w:t>（项目名称）</w:t>
      </w:r>
      <w:r>
        <w:rPr>
          <w:rFonts w:hint="eastAsia" w:ascii="仿宋_GB2312" w:hAnsi="仿宋_GB2312" w:eastAsia="仿宋_GB2312" w:cs="仿宋_GB2312"/>
          <w:color w:val="000000"/>
          <w:kern w:val="0"/>
          <w:sz w:val="24"/>
          <w:szCs w:val="20"/>
        </w:rPr>
        <w:t>采购活动，服务全部由符合政策要求的中小企业承接。相关企业（含联合体中的中小企业、签订分包意向协议的中小企业）的具体情况如下：</w:t>
      </w:r>
    </w:p>
    <w:p>
      <w:pPr>
        <w:pStyle w:val="28"/>
        <w:spacing w:line="400" w:lineRule="exact"/>
        <w:ind w:firstLine="480" w:firstLineChars="200"/>
        <w:jc w:val="left"/>
        <w:rPr>
          <w:rFonts w:ascii="仿宋_GB2312" w:hAnsi="仿宋_GB2312" w:eastAsia="仿宋_GB2312" w:cs="仿宋_GB2312"/>
          <w:color w:val="auto"/>
          <w:kern w:val="0"/>
          <w:sz w:val="24"/>
          <w:szCs w:val="20"/>
          <w:u w:val="single"/>
        </w:rPr>
      </w:pPr>
      <w:r>
        <w:rPr>
          <w:rFonts w:hint="eastAsia" w:ascii="仿宋_GB2312" w:hAnsi="仿宋_GB2312" w:eastAsia="仿宋_GB2312" w:cs="仿宋_GB2312"/>
          <w:color w:val="auto"/>
          <w:kern w:val="0"/>
          <w:sz w:val="24"/>
          <w:szCs w:val="20"/>
        </w:rPr>
        <w:t>1.</w:t>
      </w:r>
      <w:r>
        <w:rPr>
          <w:rFonts w:hint="eastAsia" w:ascii="仿宋_GB2312" w:hAnsi="仿宋_GB2312" w:eastAsia="仿宋_GB2312" w:cs="仿宋_GB2312"/>
          <w:color w:val="auto"/>
          <w:kern w:val="0"/>
          <w:sz w:val="24"/>
          <w:szCs w:val="20"/>
          <w:u w:val="single"/>
          <w:lang w:eastAsia="zh-CN"/>
        </w:rPr>
        <w:t>物业管理服务</w:t>
      </w:r>
      <w:r>
        <w:rPr>
          <w:rFonts w:hint="eastAsia" w:cs="宋体"/>
          <w:iCs/>
          <w:color w:val="auto"/>
          <w:sz w:val="21"/>
          <w:szCs w:val="21"/>
        </w:rPr>
        <w:t>，</w:t>
      </w:r>
      <w:r>
        <w:rPr>
          <w:rFonts w:hint="eastAsia" w:ascii="仿宋_GB2312" w:hAnsi="仿宋_GB2312" w:eastAsia="仿宋_GB2312" w:cs="仿宋_GB2312"/>
          <w:color w:val="auto"/>
          <w:kern w:val="0"/>
          <w:sz w:val="24"/>
          <w:szCs w:val="20"/>
        </w:rPr>
        <w:t>属于</w:t>
      </w:r>
      <w:r>
        <w:rPr>
          <w:rFonts w:hint="eastAsia" w:ascii="仿宋_GB2312" w:hAnsi="仿宋_GB2312" w:eastAsia="仿宋_GB2312" w:cs="仿宋_GB2312"/>
          <w:color w:val="auto"/>
          <w:kern w:val="0"/>
          <w:sz w:val="24"/>
          <w:szCs w:val="20"/>
          <w:u w:val="single"/>
          <w:lang w:eastAsia="zh-CN"/>
        </w:rPr>
        <w:t>物业管理</w:t>
      </w:r>
      <w:r>
        <w:rPr>
          <w:rFonts w:hint="eastAsia" w:ascii="仿宋_GB2312" w:hAnsi="仿宋_GB2312" w:eastAsia="仿宋_GB2312" w:cs="仿宋_GB2312"/>
          <w:color w:val="auto"/>
          <w:kern w:val="0"/>
          <w:sz w:val="24"/>
          <w:szCs w:val="20"/>
        </w:rPr>
        <w:t>行业；承接企业为</w:t>
      </w:r>
      <w:r>
        <w:rPr>
          <w:rFonts w:hint="eastAsia" w:ascii="仿宋_GB2312" w:hAnsi="仿宋_GB2312" w:eastAsia="仿宋_GB2312" w:cs="仿宋_GB2312"/>
          <w:color w:val="auto"/>
          <w:kern w:val="0"/>
          <w:sz w:val="24"/>
          <w:szCs w:val="20"/>
          <w:u w:val="single"/>
        </w:rPr>
        <w:t>（企业名称）</w:t>
      </w:r>
      <w:r>
        <w:rPr>
          <w:rFonts w:hint="eastAsia" w:ascii="仿宋_GB2312" w:hAnsi="仿宋_GB2312" w:eastAsia="仿宋_GB2312" w:cs="仿宋_GB2312"/>
          <w:color w:val="auto"/>
          <w:kern w:val="0"/>
          <w:sz w:val="24"/>
          <w:szCs w:val="20"/>
        </w:rPr>
        <w:t>，从业人员___人，营业收入为___万元，资产总额为___万元，属于</w:t>
      </w:r>
      <w:r>
        <w:rPr>
          <w:rFonts w:hint="eastAsia" w:ascii="仿宋_GB2312" w:hAnsi="仿宋_GB2312" w:eastAsia="仿宋_GB2312" w:cs="仿宋_GB2312"/>
          <w:color w:val="auto"/>
          <w:kern w:val="0"/>
          <w:sz w:val="24"/>
          <w:szCs w:val="20"/>
          <w:u w:val="single"/>
        </w:rPr>
        <w:t>（中型企业、小型企业、微型企业）</w:t>
      </w:r>
      <w:r>
        <w:rPr>
          <w:rFonts w:hint="eastAsia" w:ascii="仿宋_GB2312" w:hAnsi="仿宋_GB2312" w:eastAsia="仿宋_GB2312" w:cs="仿宋_GB2312"/>
          <w:color w:val="auto"/>
          <w:kern w:val="0"/>
          <w:sz w:val="24"/>
          <w:szCs w:val="20"/>
        </w:rPr>
        <w:t>；</w:t>
      </w:r>
    </w:p>
    <w:p>
      <w:pPr>
        <w:pStyle w:val="28"/>
        <w:spacing w:line="400" w:lineRule="exact"/>
        <w:ind w:firstLine="480" w:firstLineChars="200"/>
        <w:jc w:val="left"/>
        <w:rPr>
          <w:rFonts w:cs="宋体"/>
          <w:iCs/>
          <w:color w:val="auto"/>
          <w:sz w:val="21"/>
          <w:szCs w:val="21"/>
        </w:rPr>
      </w:pPr>
      <w:r>
        <w:rPr>
          <w:rFonts w:hint="eastAsia" w:ascii="仿宋_GB2312" w:hAnsi="仿宋_GB2312" w:eastAsia="仿宋_GB2312" w:cs="仿宋_GB2312"/>
          <w:color w:val="auto"/>
          <w:kern w:val="0"/>
          <w:sz w:val="24"/>
          <w:szCs w:val="20"/>
        </w:rPr>
        <w:t>2.</w:t>
      </w:r>
      <w:r>
        <w:rPr>
          <w:rFonts w:hint="eastAsia" w:ascii="仿宋_GB2312" w:hAnsi="仿宋_GB2312" w:eastAsia="仿宋_GB2312" w:cs="仿宋_GB2312"/>
          <w:color w:val="auto"/>
          <w:kern w:val="0"/>
          <w:sz w:val="24"/>
          <w:szCs w:val="20"/>
          <w:u w:val="single"/>
        </w:rPr>
        <w:t>（标的名称），</w:t>
      </w:r>
      <w:r>
        <w:rPr>
          <w:rFonts w:hint="eastAsia" w:ascii="仿宋_GB2312" w:hAnsi="仿宋_GB2312" w:eastAsia="仿宋_GB2312" w:cs="仿宋_GB2312"/>
          <w:color w:val="auto"/>
          <w:kern w:val="0"/>
          <w:sz w:val="24"/>
          <w:szCs w:val="20"/>
        </w:rPr>
        <w:t>属于</w:t>
      </w:r>
      <w:r>
        <w:rPr>
          <w:rFonts w:hint="eastAsia" w:ascii="仿宋_GB2312" w:hAnsi="仿宋_GB2312" w:eastAsia="仿宋_GB2312" w:cs="仿宋_GB2312"/>
          <w:color w:val="auto"/>
          <w:kern w:val="0"/>
          <w:sz w:val="24"/>
          <w:szCs w:val="20"/>
          <w:u w:val="single"/>
        </w:rPr>
        <w:t>（采购文件中明确的所属行业）</w:t>
      </w:r>
      <w:r>
        <w:rPr>
          <w:rFonts w:hint="eastAsia" w:ascii="仿宋_GB2312" w:hAnsi="仿宋_GB2312" w:eastAsia="仿宋_GB2312" w:cs="仿宋_GB2312"/>
          <w:color w:val="auto"/>
          <w:kern w:val="0"/>
          <w:sz w:val="24"/>
          <w:szCs w:val="20"/>
        </w:rPr>
        <w:t>行业；承接企业为</w:t>
      </w:r>
      <w:r>
        <w:rPr>
          <w:rFonts w:hint="eastAsia" w:ascii="仿宋_GB2312" w:hAnsi="仿宋_GB2312" w:eastAsia="仿宋_GB2312" w:cs="仿宋_GB2312"/>
          <w:color w:val="auto"/>
          <w:kern w:val="0"/>
          <w:sz w:val="24"/>
          <w:szCs w:val="20"/>
          <w:u w:val="single"/>
        </w:rPr>
        <w:t>（企业名称）</w:t>
      </w:r>
      <w:r>
        <w:rPr>
          <w:rFonts w:hint="eastAsia" w:ascii="仿宋_GB2312" w:hAnsi="仿宋_GB2312" w:eastAsia="仿宋_GB2312" w:cs="仿宋_GB2312"/>
          <w:color w:val="auto"/>
          <w:kern w:val="0"/>
          <w:sz w:val="24"/>
          <w:szCs w:val="20"/>
        </w:rPr>
        <w:t>，从业人员___人，营业收入为___万元，资产总额为___万元，属于</w:t>
      </w:r>
      <w:r>
        <w:rPr>
          <w:rFonts w:hint="eastAsia" w:ascii="仿宋_GB2312" w:hAnsi="仿宋_GB2312" w:eastAsia="仿宋_GB2312" w:cs="仿宋_GB2312"/>
          <w:color w:val="auto"/>
          <w:kern w:val="0"/>
          <w:sz w:val="24"/>
          <w:szCs w:val="20"/>
          <w:u w:val="single"/>
        </w:rPr>
        <w:t>（中型企业、小型企业、微型企业）</w:t>
      </w:r>
      <w:r>
        <w:rPr>
          <w:rFonts w:hint="eastAsia" w:ascii="仿宋_GB2312" w:hAnsi="仿宋_GB2312" w:eastAsia="仿宋_GB2312" w:cs="仿宋_GB2312"/>
          <w:color w:val="auto"/>
          <w:kern w:val="0"/>
          <w:sz w:val="24"/>
          <w:szCs w:val="20"/>
        </w:rPr>
        <w:t>；</w:t>
      </w:r>
    </w:p>
    <w:p>
      <w:pPr>
        <w:pStyle w:val="144"/>
        <w:ind w:left="840" w:firstLine="0" w:firstLineChars="0"/>
        <w:jc w:val="both"/>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w:t>
      </w:r>
    </w:p>
    <w:p>
      <w:pPr>
        <w:pStyle w:val="28"/>
        <w:spacing w:line="400" w:lineRule="exact"/>
        <w:ind w:firstLine="480" w:firstLineChars="200"/>
        <w:jc w:val="left"/>
        <w:rPr>
          <w:rFonts w:cs="宋体"/>
          <w:color w:val="auto"/>
          <w:sz w:val="21"/>
          <w:szCs w:val="21"/>
        </w:rPr>
      </w:pPr>
      <w:r>
        <w:rPr>
          <w:rFonts w:hint="eastAsia" w:ascii="仿宋_GB2312" w:hAnsi="仿宋_GB2312" w:eastAsia="仿宋_GB2312" w:cs="仿宋_GB2312"/>
          <w:color w:val="auto"/>
          <w:kern w:val="0"/>
          <w:sz w:val="24"/>
          <w:szCs w:val="20"/>
        </w:rPr>
        <w:t>以上企业，不属于大企业的分支机构，不存在控股股东为大企业的情形，也不存在与大企业的负责人为同一人的情形。本企业对上述声明内容的真实性负责。如有虚假，将依法承担相应责任。</w:t>
      </w:r>
    </w:p>
    <w:p>
      <w:pPr>
        <w:pStyle w:val="28"/>
        <w:spacing w:line="400" w:lineRule="exact"/>
        <w:ind w:firstLine="4800" w:firstLineChars="2000"/>
        <w:jc w:val="left"/>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企业名称（盖章）：</w:t>
      </w:r>
    </w:p>
    <w:p>
      <w:pPr>
        <w:pStyle w:val="28"/>
        <w:spacing w:line="400" w:lineRule="exact"/>
        <w:ind w:firstLine="4800" w:firstLineChars="2000"/>
        <w:jc w:val="left"/>
        <w:rPr>
          <w:rFonts w:ascii="仿宋_GB2312" w:hAnsi="仿宋_GB2312" w:eastAsia="仿宋_GB2312" w:cs="仿宋_GB2312"/>
          <w:color w:val="auto"/>
          <w:kern w:val="0"/>
          <w:sz w:val="24"/>
          <w:szCs w:val="20"/>
        </w:rPr>
      </w:pPr>
      <w:r>
        <w:rPr>
          <w:rFonts w:hint="eastAsia" w:ascii="仿宋_GB2312" w:hAnsi="仿宋_GB2312" w:eastAsia="仿宋_GB2312" w:cs="仿宋_GB2312"/>
          <w:color w:val="auto"/>
          <w:kern w:val="0"/>
          <w:sz w:val="24"/>
          <w:szCs w:val="20"/>
        </w:rPr>
        <w:t>日 期：</w:t>
      </w:r>
    </w:p>
    <w:p>
      <w:pPr>
        <w:pStyle w:val="38"/>
        <w:snapToGrid w:val="0"/>
        <w:spacing w:line="480" w:lineRule="exact"/>
        <w:rPr>
          <w:rFonts w:hint="eastAsia" w:ascii="仿宋_GB2312" w:hAnsi="仿宋_GB2312" w:eastAsia="仿宋_GB2312" w:cs="仿宋_GB2312"/>
          <w:b/>
          <w:color w:val="auto"/>
          <w:kern w:val="0"/>
          <w:sz w:val="24"/>
          <w:lang w:eastAsia="zh-CN"/>
        </w:rPr>
      </w:pPr>
      <w:r>
        <w:rPr>
          <w:rFonts w:hint="eastAsia" w:ascii="仿宋_GB2312" w:hAnsi="仿宋_GB2312" w:eastAsia="仿宋_GB2312" w:cs="仿宋_GB2312"/>
          <w:b/>
          <w:color w:val="auto"/>
          <w:kern w:val="0"/>
          <w:sz w:val="24"/>
          <w:lang w:eastAsia="zh-CN"/>
        </w:rPr>
        <w:t>注意：</w:t>
      </w:r>
      <w:r>
        <w:rPr>
          <w:rFonts w:ascii="仿宋_GB2312" w:hAnsi="仿宋_GB2312" w:eastAsia="仿宋_GB2312" w:cs="仿宋_GB2312"/>
          <w:b/>
          <w:color w:val="auto"/>
          <w:kern w:val="0"/>
          <w:sz w:val="24"/>
        </w:rPr>
        <w:t>★</w:t>
      </w:r>
      <w:r>
        <w:rPr>
          <w:rFonts w:hint="eastAsia" w:ascii="仿宋_GB2312" w:hAnsi="仿宋_GB2312" w:eastAsia="仿宋_GB2312" w:cs="仿宋_GB2312"/>
          <w:b/>
          <w:color w:val="auto"/>
          <w:kern w:val="0"/>
          <w:sz w:val="24"/>
          <w:lang w:eastAsia="zh-CN"/>
        </w:rPr>
        <w:t>投标人不按格式内容提供的，所属行业未填写或填写错误的，视为无效的中小企业声明函，</w:t>
      </w:r>
      <w:r>
        <w:rPr>
          <w:rFonts w:hint="eastAsia" w:ascii="仿宋_GB2312" w:hAnsi="仿宋_GB2312" w:eastAsia="仿宋_GB2312" w:cs="仿宋_GB2312"/>
          <w:b/>
          <w:color w:val="auto"/>
          <w:kern w:val="0"/>
          <w:sz w:val="24"/>
        </w:rPr>
        <w:t>投标无效</w:t>
      </w:r>
      <w:r>
        <w:rPr>
          <w:rFonts w:hint="eastAsia" w:ascii="仿宋_GB2312" w:hAnsi="仿宋_GB2312" w:eastAsia="仿宋_GB2312" w:cs="仿宋_GB2312"/>
          <w:b/>
          <w:color w:val="auto"/>
          <w:kern w:val="0"/>
          <w:sz w:val="24"/>
          <w:lang w:eastAsia="zh-CN"/>
        </w:rPr>
        <w:t>。</w:t>
      </w:r>
    </w:p>
    <w:p>
      <w:pPr>
        <w:pStyle w:val="38"/>
        <w:snapToGrid w:val="0"/>
        <w:spacing w:line="480" w:lineRule="exact"/>
        <w:rPr>
          <w:rFonts w:ascii="仿宋_GB2312" w:hAnsi="仿宋_GB2312" w:eastAsia="仿宋_GB2312" w:cs="仿宋_GB2312"/>
          <w:b/>
          <w:color w:val="000000"/>
          <w:kern w:val="0"/>
          <w:sz w:val="24"/>
        </w:rPr>
      </w:pPr>
      <w:r>
        <w:rPr>
          <w:rFonts w:ascii="仿宋_GB2312" w:hAnsi="仿宋_GB2312" w:eastAsia="仿宋_GB2312" w:cs="仿宋_GB2312"/>
          <w:b/>
          <w:color w:val="000000"/>
          <w:kern w:val="0"/>
          <w:sz w:val="24"/>
        </w:rPr>
        <w:t>说明：★</w:t>
      </w:r>
      <w:r>
        <w:rPr>
          <w:rFonts w:hint="eastAsia" w:ascii="仿宋_GB2312" w:hAnsi="仿宋_GB2312" w:eastAsia="仿宋_GB2312" w:cs="仿宋_GB2312"/>
          <w:b/>
          <w:color w:val="000000"/>
          <w:kern w:val="0"/>
          <w:sz w:val="24"/>
        </w:rPr>
        <w:t>1、投标人须符合《</w:t>
      </w:r>
      <w:r>
        <w:rPr>
          <w:rFonts w:ascii="仿宋_GB2312" w:hAnsi="仿宋_GB2312" w:eastAsia="仿宋_GB2312" w:cs="仿宋_GB2312"/>
          <w:b/>
          <w:color w:val="000000"/>
          <w:kern w:val="0"/>
          <w:sz w:val="24"/>
        </w:rPr>
        <w:t>关于印发中小企业划型标准规定的通知》（工信部联企业〔2011〕300号）文件规定的中小企业划分标准</w:t>
      </w:r>
      <w:r>
        <w:rPr>
          <w:rFonts w:hint="eastAsia" w:ascii="仿宋_GB2312" w:hAnsi="仿宋_GB2312" w:eastAsia="仿宋_GB2312" w:cs="仿宋_GB2312"/>
          <w:b/>
          <w:color w:val="000000"/>
          <w:kern w:val="0"/>
          <w:sz w:val="24"/>
        </w:rPr>
        <w:t>。</w:t>
      </w:r>
      <w:r>
        <w:rPr>
          <w:rFonts w:ascii="仿宋_GB2312" w:hAnsi="仿宋_GB2312" w:eastAsia="仿宋_GB2312" w:cs="仿宋_GB2312"/>
          <w:b/>
          <w:color w:val="000000"/>
          <w:kern w:val="0"/>
          <w:sz w:val="24"/>
        </w:rPr>
        <w:t>属于中小微型企业的</w:t>
      </w:r>
      <w:r>
        <w:rPr>
          <w:rFonts w:hint="eastAsia" w:ascii="仿宋_GB2312" w:hAnsi="仿宋_GB2312" w:eastAsia="仿宋_GB2312" w:cs="仿宋_GB2312"/>
          <w:b/>
          <w:color w:val="000000"/>
          <w:kern w:val="0"/>
          <w:sz w:val="24"/>
        </w:rPr>
        <w:t>，</w:t>
      </w:r>
      <w:r>
        <w:rPr>
          <w:rFonts w:ascii="仿宋_GB2312" w:hAnsi="仿宋_GB2312" w:eastAsia="仿宋_GB2312" w:cs="仿宋_GB2312"/>
          <w:b/>
          <w:color w:val="000000"/>
          <w:kern w:val="0"/>
          <w:sz w:val="24"/>
        </w:rPr>
        <w:t>投标文件中必须提供</w:t>
      </w:r>
      <w:r>
        <w:rPr>
          <w:rFonts w:hint="eastAsia" w:ascii="仿宋_GB2312" w:hAnsi="仿宋_GB2312" w:eastAsia="仿宋_GB2312" w:cs="仿宋_GB2312"/>
          <w:b/>
          <w:color w:val="000000"/>
          <w:kern w:val="0"/>
          <w:sz w:val="24"/>
        </w:rPr>
        <w:t>《中小企业声明函》（如提供其他中小微型企业制造的货物，请提供该企业为中小微型企业的证明材料）。（注：未提供以上材料的，视为非中小企业投标，投标无效）</w:t>
      </w:r>
    </w:p>
    <w:p>
      <w:pPr>
        <w:snapToGrid w:val="0"/>
        <w:spacing w:line="480" w:lineRule="exact"/>
        <w:ind w:firstLine="482" w:firstLineChars="200"/>
        <w:jc w:val="left"/>
        <w:rPr>
          <w:rFonts w:ascii="仿宋_GB2312" w:hAnsi="仿宋_GB2312" w:eastAsia="仿宋_GB2312" w:cs="仿宋_GB2312"/>
          <w:b/>
          <w:color w:val="000000"/>
          <w:kern w:val="0"/>
          <w:sz w:val="24"/>
        </w:rPr>
      </w:pPr>
      <w:r>
        <w:rPr>
          <w:rFonts w:hint="eastAsia" w:ascii="仿宋_GB2312" w:hAnsi="仿宋_GB2312" w:eastAsia="仿宋_GB2312" w:cs="仿宋_GB2312"/>
          <w:b/>
          <w:color w:val="000000"/>
          <w:kern w:val="0"/>
          <w:sz w:val="24"/>
        </w:rPr>
        <w:t>2、根据财库</w:t>
      </w:r>
      <w:r>
        <w:rPr>
          <w:rFonts w:ascii="仿宋_GB2312" w:hAnsi="仿宋_GB2312" w:eastAsia="仿宋_GB2312" w:cs="仿宋_GB2312"/>
          <w:b/>
          <w:color w:val="000000"/>
          <w:kern w:val="0"/>
          <w:sz w:val="24"/>
        </w:rPr>
        <w:t>〔20</w:t>
      </w:r>
      <w:r>
        <w:rPr>
          <w:rFonts w:hint="eastAsia" w:ascii="仿宋_GB2312" w:hAnsi="仿宋_GB2312" w:eastAsia="仿宋_GB2312" w:cs="仿宋_GB2312"/>
          <w:b/>
          <w:color w:val="000000"/>
          <w:kern w:val="0"/>
          <w:sz w:val="24"/>
        </w:rPr>
        <w:t>20</w:t>
      </w:r>
      <w:r>
        <w:rPr>
          <w:rFonts w:ascii="仿宋_GB2312" w:hAnsi="仿宋_GB2312" w:eastAsia="仿宋_GB2312" w:cs="仿宋_GB2312"/>
          <w:b/>
          <w:color w:val="000000"/>
          <w:kern w:val="0"/>
          <w:sz w:val="24"/>
        </w:rPr>
        <w:t>〕</w:t>
      </w:r>
      <w:r>
        <w:rPr>
          <w:rFonts w:hint="eastAsia" w:ascii="仿宋_GB2312" w:hAnsi="仿宋_GB2312" w:eastAsia="仿宋_GB2312" w:cs="仿宋_GB2312"/>
          <w:b/>
          <w:color w:val="000000"/>
          <w:kern w:val="0"/>
          <w:sz w:val="24"/>
        </w:rPr>
        <w:t>46</w:t>
      </w:r>
      <w:r>
        <w:rPr>
          <w:rFonts w:ascii="仿宋_GB2312" w:hAnsi="仿宋_GB2312" w:eastAsia="仿宋_GB2312" w:cs="仿宋_GB2312"/>
          <w:b/>
          <w:color w:val="000000"/>
          <w:kern w:val="0"/>
          <w:sz w:val="24"/>
        </w:rPr>
        <w:t>号文件规定</w:t>
      </w:r>
      <w:r>
        <w:rPr>
          <w:rFonts w:hint="eastAsia" w:ascii="仿宋_GB2312" w:hAnsi="仿宋_GB2312" w:eastAsia="仿宋_GB2312" w:cs="仿宋_GB2312"/>
          <w:b/>
          <w:color w:val="000000"/>
          <w:kern w:val="0"/>
          <w:sz w:val="24"/>
        </w:rPr>
        <w:t>，</w:t>
      </w:r>
      <w:r>
        <w:rPr>
          <w:rFonts w:ascii="仿宋_GB2312" w:hAnsi="仿宋_GB2312" w:eastAsia="仿宋_GB2312" w:cs="仿宋_GB2312"/>
          <w:b/>
          <w:color w:val="000000"/>
          <w:kern w:val="0"/>
          <w:sz w:val="24"/>
        </w:rPr>
        <w:t>符合中小企业划分标准的个体工商户视同中小企业</w:t>
      </w:r>
      <w:r>
        <w:rPr>
          <w:rFonts w:hint="eastAsia" w:ascii="仿宋_GB2312" w:hAnsi="仿宋_GB2312" w:eastAsia="仿宋_GB2312" w:cs="仿宋_GB2312"/>
          <w:b/>
          <w:color w:val="000000"/>
          <w:kern w:val="0"/>
          <w:sz w:val="24"/>
        </w:rPr>
        <w:t>。</w:t>
      </w:r>
    </w:p>
    <w:p>
      <w:pPr>
        <w:spacing w:line="480" w:lineRule="exact"/>
        <w:ind w:firstLine="472" w:firstLineChars="196"/>
        <w:rPr>
          <w:rFonts w:ascii="仿宋_GB2312" w:hAnsi="仿宋_GB2312" w:eastAsia="仿宋_GB2312" w:cs="仿宋_GB2312"/>
          <w:color w:val="000000"/>
          <w:kern w:val="0"/>
          <w:sz w:val="32"/>
          <w:szCs w:val="32"/>
        </w:rPr>
      </w:pPr>
      <w:r>
        <w:rPr>
          <w:rFonts w:hint="eastAsia" w:ascii="仿宋_GB2312" w:hAnsi="仿宋_GB2312" w:eastAsia="仿宋_GB2312" w:cs="仿宋_GB2312"/>
          <w:b/>
          <w:color w:val="000000"/>
          <w:kern w:val="0"/>
          <w:sz w:val="24"/>
        </w:rPr>
        <w:t>3、根据财库〔2014〕68号、财库〔2017〕141号文件规定，监狱企业、残疾人福利性单位视同小型、微型企业。监狱企业应当提供由省级以上监狱管理局、戒毒管理局（含新疆生产建设兵团）出具的属于监狱企业的证明文件，残疾人福利性单位应当提供《残疾人福利性单位声明函》（格式见附件。注：未提供以上材料的，视为非中小企业投标，投标无效）。</w:t>
      </w: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ascii="仿宋_GB2312" w:hAnsi="仿宋_GB2312" w:eastAsia="仿宋_GB2312" w:cs="仿宋_GB2312"/>
          <w:color w:val="000000"/>
          <w:kern w:val="0"/>
          <w:sz w:val="32"/>
          <w:szCs w:val="32"/>
        </w:rPr>
      </w:pPr>
    </w:p>
    <w:p>
      <w:pPr>
        <w:snapToGrid w:val="0"/>
        <w:spacing w:beforeLines="50" w:after="50"/>
        <w:rPr>
          <w:rFonts w:hint="default" w:ascii="Arial" w:hAnsi="Arial" w:eastAsia="仿宋_GB2312" w:cs="Arial"/>
          <w:lang w:val="en-US" w:eastAsia="zh-CN"/>
        </w:rPr>
      </w:pPr>
      <w:r>
        <w:rPr>
          <w:rFonts w:ascii="仿宋_GB2312" w:hAnsi="仿宋_GB2312" w:eastAsia="仿宋_GB2312" w:cs="仿宋_GB2312"/>
          <w:color w:val="000000"/>
          <w:kern w:val="0"/>
          <w:sz w:val="32"/>
          <w:szCs w:val="32"/>
        </w:rPr>
        <w:t>附件</w:t>
      </w:r>
      <w:r>
        <w:rPr>
          <w:rFonts w:hint="eastAsia" w:ascii="仿宋_GB2312" w:hAnsi="仿宋_GB2312" w:eastAsia="仿宋_GB2312" w:cs="仿宋_GB2312"/>
          <w:color w:val="000000"/>
          <w:kern w:val="0"/>
          <w:sz w:val="32"/>
          <w:szCs w:val="32"/>
          <w:lang w:val="en-US" w:eastAsia="zh-CN"/>
        </w:rPr>
        <w:t>12</w:t>
      </w:r>
    </w:p>
    <w:p>
      <w:pPr>
        <w:rPr>
          <w:rFonts w:ascii="Arial" w:hAnsi="Arial" w:eastAsia="仿宋" w:cs="Arial"/>
        </w:rPr>
      </w:pPr>
    </w:p>
    <w:p>
      <w:pPr>
        <w:pStyle w:val="38"/>
        <w:snapToGrid w:val="0"/>
        <w:spacing w:before="120" w:after="120"/>
        <w:jc w:val="center"/>
        <w:rPr>
          <w:rFonts w:ascii="仿宋_GB2312" w:hAnsi="仿宋_GB2312" w:eastAsia="仿宋_GB2312" w:cs="仿宋_GB2312"/>
          <w:color w:val="000000"/>
          <w:kern w:val="0"/>
          <w:sz w:val="36"/>
          <w:szCs w:val="36"/>
        </w:rPr>
      </w:pPr>
      <w:r>
        <w:rPr>
          <w:rFonts w:ascii="仿宋_GB2312" w:hAnsi="仿宋_GB2312" w:eastAsia="仿宋_GB2312" w:cs="仿宋_GB2312"/>
          <w:color w:val="000000"/>
          <w:kern w:val="0"/>
          <w:sz w:val="36"/>
          <w:szCs w:val="36"/>
        </w:rPr>
        <w:t>残疾人福利性单位声明函</w:t>
      </w:r>
    </w:p>
    <w:p>
      <w:pPr>
        <w:spacing w:line="588" w:lineRule="exact"/>
        <w:rPr>
          <w:rFonts w:ascii="Arial" w:hAnsi="Arial" w:eastAsia="仿宋" w:cs="Arial"/>
          <w:b/>
          <w:spacing w:val="6"/>
          <w:sz w:val="30"/>
          <w:szCs w:val="30"/>
        </w:rPr>
      </w:pPr>
    </w:p>
    <w:p>
      <w:pPr>
        <w:snapToGrid w:val="0"/>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本单位郑重声明，根据《财政部 民政部 中国残疾人联合会关于促进残疾人就业政府采购政策的通知》（财库〔2017〕 141号）的规定，本单位为符合条件的残疾人福利性单位，且本单位参加______单位的______项目采购活动由本单位提供服务，或者提供其他残疾人福利性单位提供的服务。</w:t>
      </w:r>
    </w:p>
    <w:p>
      <w:pPr>
        <w:snapToGrid w:val="0"/>
        <w:spacing w:line="360" w:lineRule="auto"/>
        <w:ind w:firstLine="560" w:firstLineChars="200"/>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本单位对上述声明的真实性负责。如有虚假，将依法承担相应责任。</w:t>
      </w:r>
    </w:p>
    <w:p>
      <w:pPr>
        <w:snapToGrid w:val="0"/>
        <w:spacing w:line="360" w:lineRule="auto"/>
        <w:ind w:firstLine="560" w:firstLineChars="200"/>
        <w:rPr>
          <w:rFonts w:ascii="Arial" w:hAnsi="Arial" w:eastAsia="仿宋" w:cs="Arial"/>
          <w:sz w:val="28"/>
          <w:szCs w:val="28"/>
        </w:rPr>
      </w:pPr>
    </w:p>
    <w:p>
      <w:pPr>
        <w:spacing w:line="588" w:lineRule="exact"/>
        <w:ind w:firstLine="624" w:firstLineChars="200"/>
        <w:rPr>
          <w:rFonts w:ascii="Arial" w:hAnsi="Arial" w:eastAsia="仿宋" w:cs="Arial"/>
          <w:spacing w:val="6"/>
          <w:sz w:val="30"/>
          <w:szCs w:val="30"/>
        </w:rPr>
      </w:pPr>
    </w:p>
    <w:p>
      <w:pPr>
        <w:tabs>
          <w:tab w:val="center" w:pos="4320"/>
          <w:tab w:val="right" w:pos="8640"/>
        </w:tabs>
        <w:snapToGrid w:val="0"/>
        <w:spacing w:line="360" w:lineRule="auto"/>
        <w:jc w:val="left"/>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企业名称（</w:t>
      </w:r>
      <w:r>
        <w:rPr>
          <w:rFonts w:hint="eastAsia" w:ascii="仿宋_GB2312" w:hAnsi="仿宋_GB2312" w:eastAsia="仿宋_GB2312" w:cs="仿宋_GB2312"/>
          <w:color w:val="000000"/>
          <w:kern w:val="0"/>
          <w:sz w:val="28"/>
          <w:szCs w:val="28"/>
        </w:rPr>
        <w:t>公</w:t>
      </w:r>
      <w:r>
        <w:rPr>
          <w:rFonts w:ascii="仿宋_GB2312" w:hAnsi="仿宋_GB2312" w:eastAsia="仿宋_GB2312" w:cs="仿宋_GB2312"/>
          <w:color w:val="000000"/>
          <w:kern w:val="0"/>
          <w:sz w:val="28"/>
          <w:szCs w:val="28"/>
        </w:rPr>
        <w:t xml:space="preserve">章）： </w:t>
      </w:r>
    </w:p>
    <w:p>
      <w:pPr>
        <w:tabs>
          <w:tab w:val="center" w:pos="4320"/>
          <w:tab w:val="right" w:pos="8640"/>
        </w:tabs>
        <w:snapToGrid w:val="0"/>
        <w:spacing w:line="360" w:lineRule="auto"/>
        <w:ind w:firstLine="4200" w:firstLineChars="1500"/>
        <w:jc w:val="left"/>
        <w:rPr>
          <w:rFonts w:ascii="仿宋_GB2312" w:hAnsi="仿宋_GB2312" w:eastAsia="仿宋_GB2312" w:cs="仿宋_GB2312"/>
          <w:color w:val="000000"/>
          <w:kern w:val="0"/>
          <w:sz w:val="28"/>
          <w:szCs w:val="28"/>
        </w:rPr>
      </w:pPr>
      <w:r>
        <w:rPr>
          <w:rFonts w:ascii="仿宋_GB2312" w:hAnsi="仿宋_GB2312" w:eastAsia="仿宋_GB2312" w:cs="仿宋_GB2312"/>
          <w:color w:val="000000"/>
          <w:kern w:val="0"/>
          <w:sz w:val="28"/>
          <w:szCs w:val="28"/>
        </w:rPr>
        <w:t>日  期：</w:t>
      </w:r>
    </w:p>
    <w:p>
      <w:pPr>
        <w:snapToGrid w:val="0"/>
        <w:spacing w:line="360" w:lineRule="auto"/>
        <w:ind w:right="504"/>
        <w:rPr>
          <w:rFonts w:ascii="Arial" w:hAnsi="仿宋" w:eastAsia="仿宋" w:cs="Arial"/>
          <w:spacing w:val="6"/>
          <w:sz w:val="24"/>
        </w:rPr>
      </w:pPr>
    </w:p>
    <w:p>
      <w:pPr>
        <w:snapToGrid w:val="0"/>
        <w:spacing w:line="360" w:lineRule="auto"/>
        <w:ind w:right="504"/>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填写说明：</w:t>
      </w:r>
    </w:p>
    <w:p>
      <w:pPr>
        <w:numPr>
          <w:ilvl w:val="0"/>
          <w:numId w:val="6"/>
        </w:numPr>
        <w:tabs>
          <w:tab w:val="left" w:pos="4860"/>
        </w:tabs>
        <w:spacing w:line="588" w:lineRule="exact"/>
        <w:ind w:right="106" w:firstLine="480" w:firstLineChars="200"/>
        <w:jc w:val="left"/>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本声明是残疾人福利性单位的提供，其他不符合规定的单位禁止提供，中标、成交单位提供《残疾人福利性单位声明函》的，市政府采购中心将在发布中标、成交公告时同时公告其《残疾人福利性单位声明函》，接受社会监督。</w:t>
      </w:r>
    </w:p>
    <w:p>
      <w:pPr>
        <w:numPr>
          <w:ilvl w:val="0"/>
          <w:numId w:val="6"/>
        </w:numPr>
        <w:tabs>
          <w:tab w:val="left" w:pos="4860"/>
        </w:tabs>
        <w:spacing w:line="588" w:lineRule="exact"/>
        <w:ind w:right="251" w:firstLine="480" w:firstLineChars="200"/>
        <w:jc w:val="left"/>
        <w:rPr>
          <w:rFonts w:ascii="仿宋_GB2312" w:hAnsi="仿宋_GB2312" w:eastAsia="仿宋_GB2312" w:cs="仿宋_GB2312"/>
          <w:color w:val="000000"/>
          <w:kern w:val="0"/>
          <w:sz w:val="24"/>
        </w:rPr>
      </w:pPr>
      <w:r>
        <w:rPr>
          <w:rFonts w:ascii="仿宋_GB2312" w:hAnsi="仿宋_GB2312" w:eastAsia="仿宋_GB2312" w:cs="仿宋_GB2312"/>
          <w:color w:val="000000"/>
          <w:kern w:val="0"/>
          <w:sz w:val="24"/>
        </w:rPr>
        <w:t>享受政府采购支持政策的残疾人福利性单位应当同时满足以下条件：</w:t>
      </w:r>
    </w:p>
    <w:p>
      <w:pPr>
        <w:pStyle w:val="62"/>
        <w:spacing w:line="450" w:lineRule="atLeast"/>
        <w:rPr>
          <w:rFonts w:ascii="仿宋_GB2312" w:hAnsi="仿宋_GB2312" w:eastAsia="仿宋_GB2312" w:cs="仿宋_GB2312"/>
          <w:color w:val="000000"/>
          <w:kern w:val="0"/>
          <w:szCs w:val="24"/>
        </w:rPr>
      </w:pPr>
      <w:r>
        <w:rPr>
          <w:rFonts w:ascii="仿宋_GB2312" w:hAnsi="仿宋_GB2312" w:eastAsia="仿宋_GB2312" w:cs="仿宋_GB2312"/>
          <w:color w:val="000000"/>
          <w:kern w:val="0"/>
          <w:szCs w:val="24"/>
        </w:rPr>
        <w:t>　　（1）安置的残疾人占本单位在职职工人数的比例不低于25%（含25%），并且安置的残疾人人数不少于10人（含10人）；</w:t>
      </w:r>
    </w:p>
    <w:p>
      <w:pPr>
        <w:pStyle w:val="62"/>
        <w:spacing w:line="450" w:lineRule="atLeast"/>
        <w:rPr>
          <w:rFonts w:ascii="仿宋_GB2312" w:hAnsi="仿宋_GB2312" w:eastAsia="仿宋_GB2312" w:cs="仿宋_GB2312"/>
          <w:color w:val="000000"/>
          <w:kern w:val="0"/>
          <w:szCs w:val="24"/>
        </w:rPr>
      </w:pPr>
      <w:r>
        <w:rPr>
          <w:rFonts w:ascii="仿宋_GB2312" w:hAnsi="仿宋_GB2312" w:eastAsia="仿宋_GB2312" w:cs="仿宋_GB2312"/>
          <w:color w:val="000000"/>
          <w:kern w:val="0"/>
          <w:szCs w:val="24"/>
        </w:rPr>
        <w:t>　　（2）依法与安置的每位残疾人签订了一年以上（含一年）的劳动合同或服务协议；</w:t>
      </w:r>
    </w:p>
    <w:p>
      <w:pPr>
        <w:pStyle w:val="62"/>
        <w:spacing w:line="450" w:lineRule="atLeast"/>
        <w:rPr>
          <w:rFonts w:ascii="仿宋_GB2312" w:hAnsi="仿宋_GB2312" w:eastAsia="仿宋_GB2312" w:cs="仿宋_GB2312"/>
          <w:color w:val="000000"/>
          <w:kern w:val="0"/>
          <w:szCs w:val="24"/>
        </w:rPr>
      </w:pPr>
      <w:r>
        <w:rPr>
          <w:rFonts w:ascii="仿宋_GB2312" w:hAnsi="仿宋_GB2312" w:eastAsia="仿宋_GB2312" w:cs="仿宋_GB2312"/>
          <w:color w:val="000000"/>
          <w:kern w:val="0"/>
          <w:szCs w:val="24"/>
        </w:rPr>
        <w:t>　　（3）为安置的每位残疾人按月足额缴纳了基本养老保险、基本医疗保险、失业保险、工伤保险和生育保险等社会保险费；</w:t>
      </w:r>
    </w:p>
    <w:p>
      <w:pPr>
        <w:pStyle w:val="62"/>
        <w:spacing w:line="450" w:lineRule="atLeast"/>
        <w:rPr>
          <w:rFonts w:ascii="仿宋_GB2312" w:hAnsi="仿宋_GB2312" w:eastAsia="仿宋_GB2312" w:cs="仿宋_GB2312"/>
          <w:color w:val="000000"/>
          <w:kern w:val="0"/>
          <w:szCs w:val="24"/>
        </w:rPr>
      </w:pPr>
      <w:r>
        <w:rPr>
          <w:rFonts w:ascii="仿宋_GB2312" w:hAnsi="仿宋_GB2312" w:eastAsia="仿宋_GB2312" w:cs="仿宋_GB2312"/>
          <w:color w:val="000000"/>
          <w:kern w:val="0"/>
          <w:szCs w:val="24"/>
        </w:rPr>
        <w:t>　　（4）通过银行等金融机构向安置的每位残疾人，按月支付了不低于单位所在区县适用的经省级人民政府批准的月最低工资标准的工资；</w:t>
      </w:r>
    </w:p>
    <w:p>
      <w:pPr>
        <w:pStyle w:val="62"/>
        <w:spacing w:line="450" w:lineRule="atLeast"/>
        <w:rPr>
          <w:rFonts w:ascii="仿宋_GB2312" w:hAnsi="仿宋_GB2312" w:eastAsia="仿宋_GB2312" w:cs="仿宋_GB2312"/>
          <w:color w:val="000000"/>
          <w:kern w:val="0"/>
          <w:szCs w:val="24"/>
        </w:rPr>
      </w:pPr>
      <w:r>
        <w:rPr>
          <w:rFonts w:ascii="仿宋_GB2312" w:hAnsi="仿宋_GB2312" w:eastAsia="仿宋_GB2312" w:cs="仿宋_GB2312"/>
          <w:color w:val="000000"/>
          <w:kern w:val="0"/>
          <w:szCs w:val="24"/>
        </w:rPr>
        <w:t>　　（5）提供本单位制造的货物、承担的工程或者服务（以下简称产品），或者提供其他残疾人福利性单位制造的货物（不包括使用非残疾人福利性单位注册商标的货物）。</w:t>
      </w:r>
    </w:p>
    <w:p>
      <w:pPr>
        <w:pStyle w:val="62"/>
        <w:spacing w:line="450" w:lineRule="atLeast"/>
        <w:rPr>
          <w:rFonts w:ascii="仿宋_GB2312" w:hAnsi="仿宋_GB2312" w:eastAsia="仿宋_GB2312" w:cs="仿宋_GB2312"/>
          <w:color w:val="000000"/>
          <w:kern w:val="0"/>
          <w:szCs w:val="24"/>
        </w:rPr>
      </w:pPr>
      <w:r>
        <w:rPr>
          <w:rFonts w:ascii="仿宋_GB2312" w:hAnsi="仿宋_GB2312" w:eastAsia="仿宋_GB2312" w:cs="仿宋_GB2312"/>
          <w:color w:val="000000"/>
          <w:kern w:val="0"/>
          <w:szCs w:val="24"/>
        </w:rPr>
        <w:t>　　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spacing w:line="600" w:lineRule="exact"/>
        <w:ind w:right="532" w:firstLine="720" w:firstLineChars="200"/>
        <w:rPr>
          <w:rFonts w:ascii="仿宋_GB2312" w:hAnsi="仿宋_GB2312" w:eastAsia="仿宋_GB2312" w:cs="仿宋_GB2312"/>
          <w:color w:val="000000"/>
          <w:kern w:val="0"/>
          <w:sz w:val="36"/>
          <w:szCs w:val="36"/>
        </w:rPr>
      </w:pPr>
    </w:p>
    <w:p>
      <w:pPr>
        <w:spacing w:line="440" w:lineRule="exact"/>
        <w:ind w:firstLine="4060" w:firstLineChars="1450"/>
        <w:rPr>
          <w:rFonts w:ascii="仿宋_GB2312" w:hAnsi="仿宋_GB2312" w:eastAsia="仿宋_GB2312" w:cs="仿宋_GB2312"/>
          <w:color w:val="000000"/>
          <w:kern w:val="0"/>
          <w:sz w:val="28"/>
          <w:szCs w:val="28"/>
        </w:rPr>
      </w:pP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使用中文字体)">
    <w:altName w:val="宋体"/>
    <w:panose1 w:val="00000000000000000000"/>
    <w:charset w:val="86"/>
    <w:family w:val="roman"/>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Verdana">
    <w:panose1 w:val="020B0604030504040204"/>
    <w:charset w:val="00"/>
    <w:family w:val="swiss"/>
    <w:pitch w:val="default"/>
    <w:sig w:usb0="A10006FF" w:usb1="4000205B" w:usb2="00000010" w:usb3="00000000" w:csb0="2000019F" w:csb1="00000000"/>
  </w:font>
  <w:font w:name="Arial Black">
    <w:panose1 w:val="020B0A04020102020204"/>
    <w:charset w:val="00"/>
    <w:family w:val="swiss"/>
    <w:pitch w:val="default"/>
    <w:sig w:usb0="00000287" w:usb1="00000000" w:usb2="00000000" w:usb3="00000000" w:csb0="2000009F" w:csb1="DFD70000"/>
  </w:font>
  <w:font w:name="Tahoma">
    <w:panose1 w:val="020B0604030504040204"/>
    <w:charset w:val="00"/>
    <w:family w:val="swiss"/>
    <w:pitch w:val="default"/>
    <w:sig w:usb0="E1002EFF" w:usb1="C000605B" w:usb2="00000029" w:usb3="00000000" w:csb0="200101FF" w:csb1="20280000"/>
  </w:font>
  <w:font w:name="Helvetica Neue">
    <w:altName w:val="Segoe UI"/>
    <w:panose1 w:val="00000000000000000000"/>
    <w:charset w:val="00"/>
    <w:family w:val="auto"/>
    <w:pitch w:val="default"/>
    <w:sig w:usb0="00000000" w:usb1="00000000" w:usb2="00000010" w:usb3="00000000" w:csb0="0000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CESI仿宋-GB13000">
    <w:altName w:val="仿宋"/>
    <w:panose1 w:val="02000500000000000000"/>
    <w:charset w:val="86"/>
    <w:family w:val="auto"/>
    <w:pitch w:val="default"/>
    <w:sig w:usb0="00000000" w:usb1="00000000" w:usb2="00000016" w:usb3="00000000" w:csb0="0004000F" w:csb1="00000000"/>
  </w:font>
  <w:font w:name="楷体">
    <w:panose1 w:val="02010609060101010101"/>
    <w:charset w:val="86"/>
    <w:family w:val="auto"/>
    <w:pitch w:val="default"/>
    <w:sig w:usb0="800002BF" w:usb1="38CF7CFA" w:usb2="00000016" w:usb3="00000000" w:csb0="00040001" w:csb1="00000000"/>
  </w:font>
  <w:font w:name="Segoe UI">
    <w:panose1 w:val="020B0502040204020203"/>
    <w:charset w:val="00"/>
    <w:family w:val="auto"/>
    <w:pitch w:val="default"/>
    <w:sig w:usb0="E10022FF" w:usb1="C000E47F" w:usb2="00000029" w:usb3="00000000" w:csb0="200001DF" w:csb1="2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5"/>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sdt>
                          <w:sdtPr>
                            <w:id w:val="-2040279936"/>
                          </w:sdtPr>
                          <w:sdtContent>
                            <w:p>
                              <w:pPr>
                                <w:pStyle w:val="45"/>
                                <w:jc w:val="center"/>
                              </w:pPr>
                              <w:r>
                                <w:fldChar w:fldCharType="begin"/>
                              </w:r>
                              <w:r>
                                <w:instrText xml:space="preserve"> PAGE   \* MERGEFORMAT </w:instrText>
                              </w:r>
                              <w:r>
                                <w:fldChar w:fldCharType="separate"/>
                              </w:r>
                              <w:r>
                                <w:rPr>
                                  <w:lang w:val="zh-CN"/>
                                </w:rPr>
                                <w:t>1</w:t>
                              </w:r>
                              <w:r>
                                <w:rPr>
                                  <w:lang w:val="zh-CN"/>
                                </w:rPr>
                                <w:fldChar w:fldCharType="end"/>
                              </w:r>
                            </w:p>
                          </w:sdtContent>
                        </w:sdt>
                        <w:p>
                          <w:pPr>
                            <w:pStyle w:val="28"/>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A0c4AgAAb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g7W1fuq&#10;e4AptCxs9NbymCZK5e3yECBtUjwK1KmCTsUD5jD17LIzcdD/PKeop/+JxS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z8DRzgCAABvBAAADgAAAAAAAAABACAAAAAfAQAAZHJzL2Uyb0RvYy54&#10;bWxQSwUGAAAAAAYABgBZAQAAyQUAAAAA&#10;">
              <v:fill on="f" focussize="0,0"/>
              <v:stroke on="f" weight="0.5pt"/>
              <v:imagedata o:title=""/>
              <o:lock v:ext="edit" aspectratio="f"/>
              <v:textbox inset="0mm,0mm,0mm,0mm" style="mso-fit-shape-to-text:t;">
                <w:txbxContent>
                  <w:sdt>
                    <w:sdtPr>
                      <w:id w:val="-2040279936"/>
                    </w:sdtPr>
                    <w:sdtContent>
                      <w:p>
                        <w:pPr>
                          <w:pStyle w:val="45"/>
                          <w:jc w:val="center"/>
                        </w:pPr>
                        <w:r>
                          <w:fldChar w:fldCharType="begin"/>
                        </w:r>
                        <w:r>
                          <w:instrText xml:space="preserve"> PAGE   \* MERGEFORMAT </w:instrText>
                        </w:r>
                        <w:r>
                          <w:fldChar w:fldCharType="separate"/>
                        </w:r>
                        <w:r>
                          <w:rPr>
                            <w:lang w:val="zh-CN"/>
                          </w:rPr>
                          <w:t>1</w:t>
                        </w:r>
                        <w:r>
                          <w:rPr>
                            <w:lang w:val="zh-CN"/>
                          </w:rPr>
                          <w:fldChar w:fldCharType="end"/>
                        </w:r>
                      </w:p>
                    </w:sdtContent>
                  </w:sdt>
                  <w:p>
                    <w:pPr>
                      <w:pStyle w:val="28"/>
                    </w:pPr>
                  </w:p>
                </w:txbxContent>
              </v:textbox>
            </v:shape>
          </w:pict>
        </mc:Fallback>
      </mc:AlternateContent>
    </w:r>
  </w:p>
  <w:p>
    <w:pPr>
      <w:pStyle w:val="4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jc w:val="center"/>
      <w:rPr>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27F247"/>
    <w:multiLevelType w:val="singleLevel"/>
    <w:tmpl w:val="BF27F247"/>
    <w:lvl w:ilvl="0" w:tentative="0">
      <w:start w:val="2"/>
      <w:numFmt w:val="chineseCounting"/>
      <w:suff w:val="nothing"/>
      <w:lvlText w:val="（%1）"/>
      <w:lvlJc w:val="left"/>
      <w:rPr>
        <w:rFonts w:hint="eastAsia"/>
      </w:rPr>
    </w:lvl>
  </w:abstractNum>
  <w:abstractNum w:abstractNumId="1">
    <w:nsid w:val="FF59E265"/>
    <w:multiLevelType w:val="singleLevel"/>
    <w:tmpl w:val="FF59E265"/>
    <w:lvl w:ilvl="0" w:tentative="0">
      <w:start w:val="1"/>
      <w:numFmt w:val="decimal"/>
      <w:suff w:val="nothing"/>
      <w:lvlText w:val="%1、"/>
      <w:lvlJc w:val="left"/>
    </w:lvl>
  </w:abstractNum>
  <w:abstractNum w:abstractNumId="2">
    <w:nsid w:val="59ACBEE7"/>
    <w:multiLevelType w:val="singleLevel"/>
    <w:tmpl w:val="59ACBEE7"/>
    <w:lvl w:ilvl="0" w:tentative="0">
      <w:start w:val="1"/>
      <w:numFmt w:val="decimal"/>
      <w:suff w:val="nothing"/>
      <w:lvlText w:val="%1、"/>
      <w:lvlJc w:val="left"/>
      <w:rPr>
        <w:rFonts w:cs="Times New Roman"/>
      </w:rPr>
    </w:lvl>
  </w:abstractNum>
  <w:abstractNum w:abstractNumId="3">
    <w:nsid w:val="6E230785"/>
    <w:multiLevelType w:val="multilevel"/>
    <w:tmpl w:val="6E230785"/>
    <w:lvl w:ilvl="0" w:tentative="0">
      <w:start w:val="1"/>
      <w:numFmt w:val="bullet"/>
      <w:pStyle w:val="182"/>
      <w:lvlText w:val=""/>
      <w:lvlJc w:val="left"/>
      <w:pPr>
        <w:tabs>
          <w:tab w:val="left" w:pos="284"/>
        </w:tabs>
        <w:ind w:left="284" w:hanging="284"/>
      </w:pPr>
      <w:rPr>
        <w:rFonts w:hint="default" w:ascii="Wingdings" w:hAnsi="Wingdings" w:eastAsia="宋体"/>
        <w:b w:val="0"/>
        <w:i w:val="0"/>
        <w:color w:val="auto"/>
        <w:position w:val="3"/>
        <w:sz w:val="13"/>
        <w:szCs w:val="13"/>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4">
    <w:nsid w:val="7A14FEF6"/>
    <w:multiLevelType w:val="singleLevel"/>
    <w:tmpl w:val="7A14FEF6"/>
    <w:lvl w:ilvl="0" w:tentative="0">
      <w:start w:val="1"/>
      <w:numFmt w:val="chineseCounting"/>
      <w:suff w:val="nothing"/>
      <w:lvlText w:val="%1、"/>
      <w:lvlJc w:val="left"/>
      <w:rPr>
        <w:rFonts w:hint="eastAsia"/>
      </w:rPr>
    </w:lvl>
  </w:abstractNum>
  <w:abstractNum w:abstractNumId="5">
    <w:nsid w:val="7BB47F4E"/>
    <w:multiLevelType w:val="singleLevel"/>
    <w:tmpl w:val="7BB47F4E"/>
    <w:lvl w:ilvl="0" w:tentative="0">
      <w:start w:val="4"/>
      <w:numFmt w:val="chineseCounting"/>
      <w:suff w:val="space"/>
      <w:lvlText w:val="第%1部分"/>
      <w:lvlJc w:val="left"/>
      <w:rPr>
        <w:rFonts w:hint="eastAsia"/>
      </w:rPr>
    </w:lvl>
  </w:abstractNum>
  <w:num w:numId="1">
    <w:abstractNumId w:val="3"/>
  </w:num>
  <w:num w:numId="2">
    <w:abstractNumId w:val="4"/>
  </w:num>
  <w:num w:numId="3">
    <w:abstractNumId w:val="0"/>
  </w:num>
  <w:num w:numId="4">
    <w:abstractNumId w:val="5"/>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QwYWYxMjg2OTMxMDA3MGI0ODI4ZWRjM2RlN2ZjNTgifQ=="/>
    <w:docVar w:name="KSO_WPS_MARK_KEY" w:val="8b5fff23-386d-4009-b709-982ebe5f7014"/>
  </w:docVars>
  <w:rsids>
    <w:rsidRoot w:val="006756B4"/>
    <w:rsid w:val="00001B84"/>
    <w:rsid w:val="000032D9"/>
    <w:rsid w:val="00004C34"/>
    <w:rsid w:val="00005B35"/>
    <w:rsid w:val="00026A74"/>
    <w:rsid w:val="000300BF"/>
    <w:rsid w:val="00032C76"/>
    <w:rsid w:val="00036F79"/>
    <w:rsid w:val="00044291"/>
    <w:rsid w:val="000517FB"/>
    <w:rsid w:val="00052CE9"/>
    <w:rsid w:val="00067486"/>
    <w:rsid w:val="0007400E"/>
    <w:rsid w:val="00077C9B"/>
    <w:rsid w:val="00077FC4"/>
    <w:rsid w:val="00080786"/>
    <w:rsid w:val="00083D11"/>
    <w:rsid w:val="00093039"/>
    <w:rsid w:val="000A159C"/>
    <w:rsid w:val="000A6FDA"/>
    <w:rsid w:val="000A776A"/>
    <w:rsid w:val="000A79A4"/>
    <w:rsid w:val="000C0C7D"/>
    <w:rsid w:val="000C25FC"/>
    <w:rsid w:val="000C46B3"/>
    <w:rsid w:val="000C628E"/>
    <w:rsid w:val="000C7B6C"/>
    <w:rsid w:val="000D1963"/>
    <w:rsid w:val="000D1C91"/>
    <w:rsid w:val="000D71D9"/>
    <w:rsid w:val="000D7BB7"/>
    <w:rsid w:val="000E67C2"/>
    <w:rsid w:val="000F7633"/>
    <w:rsid w:val="001045AC"/>
    <w:rsid w:val="001157DC"/>
    <w:rsid w:val="0012478D"/>
    <w:rsid w:val="00124F6D"/>
    <w:rsid w:val="00137502"/>
    <w:rsid w:val="001401F2"/>
    <w:rsid w:val="001404A7"/>
    <w:rsid w:val="001453F3"/>
    <w:rsid w:val="00151A4E"/>
    <w:rsid w:val="001535E5"/>
    <w:rsid w:val="00160EF1"/>
    <w:rsid w:val="00173646"/>
    <w:rsid w:val="00177F85"/>
    <w:rsid w:val="00180DED"/>
    <w:rsid w:val="00182F39"/>
    <w:rsid w:val="00192A41"/>
    <w:rsid w:val="00195B49"/>
    <w:rsid w:val="00197BBA"/>
    <w:rsid w:val="001A1C10"/>
    <w:rsid w:val="001A59D7"/>
    <w:rsid w:val="001B4EB1"/>
    <w:rsid w:val="001B6234"/>
    <w:rsid w:val="001B72FB"/>
    <w:rsid w:val="001C0958"/>
    <w:rsid w:val="001C1703"/>
    <w:rsid w:val="001C4C5D"/>
    <w:rsid w:val="001C7039"/>
    <w:rsid w:val="001E16F0"/>
    <w:rsid w:val="001F528B"/>
    <w:rsid w:val="001F53A5"/>
    <w:rsid w:val="001F79C7"/>
    <w:rsid w:val="00204AA4"/>
    <w:rsid w:val="00205876"/>
    <w:rsid w:val="00206645"/>
    <w:rsid w:val="00207B41"/>
    <w:rsid w:val="00207F7E"/>
    <w:rsid w:val="00213167"/>
    <w:rsid w:val="00217674"/>
    <w:rsid w:val="002244C6"/>
    <w:rsid w:val="00230644"/>
    <w:rsid w:val="00233D7F"/>
    <w:rsid w:val="00236617"/>
    <w:rsid w:val="00237286"/>
    <w:rsid w:val="00244650"/>
    <w:rsid w:val="00252AAB"/>
    <w:rsid w:val="00256B26"/>
    <w:rsid w:val="002732EA"/>
    <w:rsid w:val="00276D1F"/>
    <w:rsid w:val="00276FC1"/>
    <w:rsid w:val="00293FF3"/>
    <w:rsid w:val="002B63D2"/>
    <w:rsid w:val="002C1E18"/>
    <w:rsid w:val="002C219B"/>
    <w:rsid w:val="002D15AA"/>
    <w:rsid w:val="002E083E"/>
    <w:rsid w:val="002E493B"/>
    <w:rsid w:val="002E509A"/>
    <w:rsid w:val="002E685D"/>
    <w:rsid w:val="002E7DFD"/>
    <w:rsid w:val="003045E8"/>
    <w:rsid w:val="003047DA"/>
    <w:rsid w:val="00304875"/>
    <w:rsid w:val="0031019C"/>
    <w:rsid w:val="00314FF4"/>
    <w:rsid w:val="00321BE2"/>
    <w:rsid w:val="003225E8"/>
    <w:rsid w:val="0033408C"/>
    <w:rsid w:val="003422CA"/>
    <w:rsid w:val="00361948"/>
    <w:rsid w:val="0036389C"/>
    <w:rsid w:val="00365A20"/>
    <w:rsid w:val="003705CD"/>
    <w:rsid w:val="003727DE"/>
    <w:rsid w:val="003756BD"/>
    <w:rsid w:val="00377059"/>
    <w:rsid w:val="00391FB5"/>
    <w:rsid w:val="003947C7"/>
    <w:rsid w:val="003A0BE1"/>
    <w:rsid w:val="003A7900"/>
    <w:rsid w:val="003B1485"/>
    <w:rsid w:val="003B5F8D"/>
    <w:rsid w:val="003D056E"/>
    <w:rsid w:val="003D148B"/>
    <w:rsid w:val="003D1954"/>
    <w:rsid w:val="003E0037"/>
    <w:rsid w:val="003E04E3"/>
    <w:rsid w:val="003E097E"/>
    <w:rsid w:val="003E3FFE"/>
    <w:rsid w:val="003F07C1"/>
    <w:rsid w:val="003F2F58"/>
    <w:rsid w:val="0040781D"/>
    <w:rsid w:val="004079FA"/>
    <w:rsid w:val="00407BC3"/>
    <w:rsid w:val="00410F80"/>
    <w:rsid w:val="0041365C"/>
    <w:rsid w:val="0041553D"/>
    <w:rsid w:val="00424376"/>
    <w:rsid w:val="00425076"/>
    <w:rsid w:val="004329A0"/>
    <w:rsid w:val="004414F0"/>
    <w:rsid w:val="00465A4E"/>
    <w:rsid w:val="00467E97"/>
    <w:rsid w:val="00473F8A"/>
    <w:rsid w:val="0047666D"/>
    <w:rsid w:val="00481A2C"/>
    <w:rsid w:val="00482E6B"/>
    <w:rsid w:val="004963F3"/>
    <w:rsid w:val="00497849"/>
    <w:rsid w:val="004B04FB"/>
    <w:rsid w:val="004B0E5D"/>
    <w:rsid w:val="004B7006"/>
    <w:rsid w:val="004C6E86"/>
    <w:rsid w:val="004C6EDE"/>
    <w:rsid w:val="004D1476"/>
    <w:rsid w:val="004E2320"/>
    <w:rsid w:val="004F7F10"/>
    <w:rsid w:val="00500F64"/>
    <w:rsid w:val="00513600"/>
    <w:rsid w:val="00516B28"/>
    <w:rsid w:val="00524E78"/>
    <w:rsid w:val="00524E98"/>
    <w:rsid w:val="00525A5F"/>
    <w:rsid w:val="00533481"/>
    <w:rsid w:val="005338D1"/>
    <w:rsid w:val="005369C2"/>
    <w:rsid w:val="0053760C"/>
    <w:rsid w:val="00570B31"/>
    <w:rsid w:val="0059197E"/>
    <w:rsid w:val="00591B87"/>
    <w:rsid w:val="00592605"/>
    <w:rsid w:val="005A3C88"/>
    <w:rsid w:val="005B3E36"/>
    <w:rsid w:val="005C261D"/>
    <w:rsid w:val="005D12EE"/>
    <w:rsid w:val="005D28A0"/>
    <w:rsid w:val="005D7FB6"/>
    <w:rsid w:val="005E08A8"/>
    <w:rsid w:val="005F21F2"/>
    <w:rsid w:val="005F3B5B"/>
    <w:rsid w:val="005F617C"/>
    <w:rsid w:val="00601A2D"/>
    <w:rsid w:val="00601D2C"/>
    <w:rsid w:val="00603AFF"/>
    <w:rsid w:val="00611907"/>
    <w:rsid w:val="00615DE1"/>
    <w:rsid w:val="00617301"/>
    <w:rsid w:val="006176F2"/>
    <w:rsid w:val="00617856"/>
    <w:rsid w:val="00623A0C"/>
    <w:rsid w:val="006348C0"/>
    <w:rsid w:val="0064229D"/>
    <w:rsid w:val="0066249D"/>
    <w:rsid w:val="006756B4"/>
    <w:rsid w:val="0068173E"/>
    <w:rsid w:val="00684B9E"/>
    <w:rsid w:val="006A40AB"/>
    <w:rsid w:val="006A7CE8"/>
    <w:rsid w:val="006B1906"/>
    <w:rsid w:val="006B2397"/>
    <w:rsid w:val="006C25C7"/>
    <w:rsid w:val="006D189A"/>
    <w:rsid w:val="006D1A66"/>
    <w:rsid w:val="006D2640"/>
    <w:rsid w:val="006D3FE6"/>
    <w:rsid w:val="006D5183"/>
    <w:rsid w:val="006F17A6"/>
    <w:rsid w:val="006F1EA5"/>
    <w:rsid w:val="006F7C77"/>
    <w:rsid w:val="00702713"/>
    <w:rsid w:val="00703160"/>
    <w:rsid w:val="0070527E"/>
    <w:rsid w:val="007055C6"/>
    <w:rsid w:val="00710563"/>
    <w:rsid w:val="007114C8"/>
    <w:rsid w:val="00711A99"/>
    <w:rsid w:val="00711E1D"/>
    <w:rsid w:val="00714F30"/>
    <w:rsid w:val="0072401C"/>
    <w:rsid w:val="0072506F"/>
    <w:rsid w:val="00725B2F"/>
    <w:rsid w:val="00745DF6"/>
    <w:rsid w:val="00746A6E"/>
    <w:rsid w:val="007616E7"/>
    <w:rsid w:val="00762FD6"/>
    <w:rsid w:val="00763253"/>
    <w:rsid w:val="00766C1B"/>
    <w:rsid w:val="00784268"/>
    <w:rsid w:val="0079541E"/>
    <w:rsid w:val="007A0591"/>
    <w:rsid w:val="007A1B26"/>
    <w:rsid w:val="007A4018"/>
    <w:rsid w:val="007B5650"/>
    <w:rsid w:val="007B6E49"/>
    <w:rsid w:val="007C159C"/>
    <w:rsid w:val="007C2A39"/>
    <w:rsid w:val="007C385D"/>
    <w:rsid w:val="007D01DC"/>
    <w:rsid w:val="007D3C10"/>
    <w:rsid w:val="007E5399"/>
    <w:rsid w:val="007E591E"/>
    <w:rsid w:val="007E6310"/>
    <w:rsid w:val="007E7519"/>
    <w:rsid w:val="007F623E"/>
    <w:rsid w:val="00807600"/>
    <w:rsid w:val="00807D6A"/>
    <w:rsid w:val="00813889"/>
    <w:rsid w:val="00815165"/>
    <w:rsid w:val="00820501"/>
    <w:rsid w:val="00824AD9"/>
    <w:rsid w:val="008264E9"/>
    <w:rsid w:val="00826CB8"/>
    <w:rsid w:val="00833F7F"/>
    <w:rsid w:val="00856CA1"/>
    <w:rsid w:val="0085798C"/>
    <w:rsid w:val="0086207C"/>
    <w:rsid w:val="00866F37"/>
    <w:rsid w:val="008740CC"/>
    <w:rsid w:val="008746CD"/>
    <w:rsid w:val="008925C2"/>
    <w:rsid w:val="00895FD9"/>
    <w:rsid w:val="008A75AC"/>
    <w:rsid w:val="008B186F"/>
    <w:rsid w:val="008C09D4"/>
    <w:rsid w:val="008D6BE9"/>
    <w:rsid w:val="008E1B21"/>
    <w:rsid w:val="008E7BDE"/>
    <w:rsid w:val="008F46EF"/>
    <w:rsid w:val="009012A2"/>
    <w:rsid w:val="00901C85"/>
    <w:rsid w:val="00902A14"/>
    <w:rsid w:val="0090695D"/>
    <w:rsid w:val="00907441"/>
    <w:rsid w:val="00910733"/>
    <w:rsid w:val="009113B9"/>
    <w:rsid w:val="009168FF"/>
    <w:rsid w:val="009359C3"/>
    <w:rsid w:val="009423FC"/>
    <w:rsid w:val="00944242"/>
    <w:rsid w:val="009445F7"/>
    <w:rsid w:val="00945606"/>
    <w:rsid w:val="009614EF"/>
    <w:rsid w:val="00961A45"/>
    <w:rsid w:val="00964D1F"/>
    <w:rsid w:val="00966A28"/>
    <w:rsid w:val="00970339"/>
    <w:rsid w:val="00972D42"/>
    <w:rsid w:val="009828F7"/>
    <w:rsid w:val="009862F0"/>
    <w:rsid w:val="009958CC"/>
    <w:rsid w:val="00996B55"/>
    <w:rsid w:val="009A11C2"/>
    <w:rsid w:val="009A20D6"/>
    <w:rsid w:val="009A6B9B"/>
    <w:rsid w:val="009C6993"/>
    <w:rsid w:val="009E0BEE"/>
    <w:rsid w:val="009F3571"/>
    <w:rsid w:val="009F3C52"/>
    <w:rsid w:val="00A11DA4"/>
    <w:rsid w:val="00A20EEF"/>
    <w:rsid w:val="00A27D3F"/>
    <w:rsid w:val="00A30E12"/>
    <w:rsid w:val="00A34DBB"/>
    <w:rsid w:val="00A375E5"/>
    <w:rsid w:val="00A43937"/>
    <w:rsid w:val="00A51C69"/>
    <w:rsid w:val="00A529C7"/>
    <w:rsid w:val="00A5703C"/>
    <w:rsid w:val="00A62E1C"/>
    <w:rsid w:val="00A63E8B"/>
    <w:rsid w:val="00A753BE"/>
    <w:rsid w:val="00A75E37"/>
    <w:rsid w:val="00A82C7E"/>
    <w:rsid w:val="00A9312A"/>
    <w:rsid w:val="00A941C5"/>
    <w:rsid w:val="00A9783E"/>
    <w:rsid w:val="00AA3772"/>
    <w:rsid w:val="00AC2D02"/>
    <w:rsid w:val="00AC7151"/>
    <w:rsid w:val="00AE1BAC"/>
    <w:rsid w:val="00AE5CF6"/>
    <w:rsid w:val="00AE7DD4"/>
    <w:rsid w:val="00AF6E97"/>
    <w:rsid w:val="00B20AE8"/>
    <w:rsid w:val="00B25989"/>
    <w:rsid w:val="00B26DCA"/>
    <w:rsid w:val="00B34994"/>
    <w:rsid w:val="00B40E76"/>
    <w:rsid w:val="00B41ACA"/>
    <w:rsid w:val="00B44A73"/>
    <w:rsid w:val="00B46DE9"/>
    <w:rsid w:val="00B56C42"/>
    <w:rsid w:val="00B66785"/>
    <w:rsid w:val="00B74E16"/>
    <w:rsid w:val="00B85EDF"/>
    <w:rsid w:val="00B87E11"/>
    <w:rsid w:val="00B97A69"/>
    <w:rsid w:val="00BA14D9"/>
    <w:rsid w:val="00BA6B3F"/>
    <w:rsid w:val="00BC207C"/>
    <w:rsid w:val="00BC62C8"/>
    <w:rsid w:val="00BE29D5"/>
    <w:rsid w:val="00BE4D13"/>
    <w:rsid w:val="00BE6577"/>
    <w:rsid w:val="00BF0D42"/>
    <w:rsid w:val="00BF2153"/>
    <w:rsid w:val="00BF4E90"/>
    <w:rsid w:val="00BF6CC1"/>
    <w:rsid w:val="00C0041A"/>
    <w:rsid w:val="00C13585"/>
    <w:rsid w:val="00C14F8D"/>
    <w:rsid w:val="00C17629"/>
    <w:rsid w:val="00C25F57"/>
    <w:rsid w:val="00C35388"/>
    <w:rsid w:val="00C35449"/>
    <w:rsid w:val="00C35558"/>
    <w:rsid w:val="00C50BA7"/>
    <w:rsid w:val="00C63340"/>
    <w:rsid w:val="00C7130F"/>
    <w:rsid w:val="00C733E9"/>
    <w:rsid w:val="00C757D0"/>
    <w:rsid w:val="00C8455F"/>
    <w:rsid w:val="00C86518"/>
    <w:rsid w:val="00C93163"/>
    <w:rsid w:val="00C93B67"/>
    <w:rsid w:val="00C93CCB"/>
    <w:rsid w:val="00C93FE5"/>
    <w:rsid w:val="00C94CAD"/>
    <w:rsid w:val="00CA2395"/>
    <w:rsid w:val="00CA374E"/>
    <w:rsid w:val="00CA3BCE"/>
    <w:rsid w:val="00CB72F4"/>
    <w:rsid w:val="00CB7F63"/>
    <w:rsid w:val="00CC1242"/>
    <w:rsid w:val="00CC14D2"/>
    <w:rsid w:val="00CC329A"/>
    <w:rsid w:val="00CC7CDC"/>
    <w:rsid w:val="00CD1288"/>
    <w:rsid w:val="00CE198B"/>
    <w:rsid w:val="00CE36B9"/>
    <w:rsid w:val="00CE4310"/>
    <w:rsid w:val="00CE5D35"/>
    <w:rsid w:val="00CE653D"/>
    <w:rsid w:val="00CE7A3D"/>
    <w:rsid w:val="00CF2105"/>
    <w:rsid w:val="00CF3072"/>
    <w:rsid w:val="00D03599"/>
    <w:rsid w:val="00D0687E"/>
    <w:rsid w:val="00D142F3"/>
    <w:rsid w:val="00D1523F"/>
    <w:rsid w:val="00D17EAA"/>
    <w:rsid w:val="00D204AC"/>
    <w:rsid w:val="00D21D67"/>
    <w:rsid w:val="00D35579"/>
    <w:rsid w:val="00D45723"/>
    <w:rsid w:val="00D56488"/>
    <w:rsid w:val="00D63DCC"/>
    <w:rsid w:val="00D7226E"/>
    <w:rsid w:val="00D72987"/>
    <w:rsid w:val="00D72A99"/>
    <w:rsid w:val="00D76498"/>
    <w:rsid w:val="00D7694C"/>
    <w:rsid w:val="00D918B1"/>
    <w:rsid w:val="00D92055"/>
    <w:rsid w:val="00DA4409"/>
    <w:rsid w:val="00DB0FE5"/>
    <w:rsid w:val="00DC7345"/>
    <w:rsid w:val="00DC7F84"/>
    <w:rsid w:val="00DD2265"/>
    <w:rsid w:val="00DD3AA6"/>
    <w:rsid w:val="00DD6F46"/>
    <w:rsid w:val="00DE127D"/>
    <w:rsid w:val="00DE3588"/>
    <w:rsid w:val="00DE5512"/>
    <w:rsid w:val="00DF197A"/>
    <w:rsid w:val="00E008F3"/>
    <w:rsid w:val="00E00F5B"/>
    <w:rsid w:val="00E04E11"/>
    <w:rsid w:val="00E2028F"/>
    <w:rsid w:val="00E24647"/>
    <w:rsid w:val="00E301AF"/>
    <w:rsid w:val="00E34F27"/>
    <w:rsid w:val="00E422D5"/>
    <w:rsid w:val="00E4253B"/>
    <w:rsid w:val="00E4263C"/>
    <w:rsid w:val="00E438E0"/>
    <w:rsid w:val="00E45362"/>
    <w:rsid w:val="00E50BD0"/>
    <w:rsid w:val="00E50DA8"/>
    <w:rsid w:val="00E52F5A"/>
    <w:rsid w:val="00E618CD"/>
    <w:rsid w:val="00E61FB5"/>
    <w:rsid w:val="00E7619F"/>
    <w:rsid w:val="00E775CE"/>
    <w:rsid w:val="00E819A0"/>
    <w:rsid w:val="00E83709"/>
    <w:rsid w:val="00E83D31"/>
    <w:rsid w:val="00E94A58"/>
    <w:rsid w:val="00E95AD0"/>
    <w:rsid w:val="00EA58EF"/>
    <w:rsid w:val="00EB2A61"/>
    <w:rsid w:val="00EB2A8B"/>
    <w:rsid w:val="00EB4FCF"/>
    <w:rsid w:val="00EB67B8"/>
    <w:rsid w:val="00EB7E49"/>
    <w:rsid w:val="00EC0126"/>
    <w:rsid w:val="00EC362E"/>
    <w:rsid w:val="00EC3C4E"/>
    <w:rsid w:val="00EC5C2F"/>
    <w:rsid w:val="00EE5DE8"/>
    <w:rsid w:val="00F03C76"/>
    <w:rsid w:val="00F04854"/>
    <w:rsid w:val="00F124F3"/>
    <w:rsid w:val="00F162D7"/>
    <w:rsid w:val="00F23A38"/>
    <w:rsid w:val="00F623E7"/>
    <w:rsid w:val="00F64F26"/>
    <w:rsid w:val="00F66879"/>
    <w:rsid w:val="00F67B0B"/>
    <w:rsid w:val="00F70ED8"/>
    <w:rsid w:val="00F74E48"/>
    <w:rsid w:val="00F80551"/>
    <w:rsid w:val="00F87912"/>
    <w:rsid w:val="00F90E8B"/>
    <w:rsid w:val="00FA1B96"/>
    <w:rsid w:val="00FA4CEB"/>
    <w:rsid w:val="00FA7218"/>
    <w:rsid w:val="00FB0E82"/>
    <w:rsid w:val="00FB24F6"/>
    <w:rsid w:val="00FD090A"/>
    <w:rsid w:val="00FD1311"/>
    <w:rsid w:val="00FD3014"/>
    <w:rsid w:val="00FD3445"/>
    <w:rsid w:val="00FD799C"/>
    <w:rsid w:val="00FE246C"/>
    <w:rsid w:val="00FF2379"/>
    <w:rsid w:val="00FF627B"/>
    <w:rsid w:val="01097ABC"/>
    <w:rsid w:val="01162CEC"/>
    <w:rsid w:val="014D092E"/>
    <w:rsid w:val="015B6D94"/>
    <w:rsid w:val="015E1273"/>
    <w:rsid w:val="01AA2406"/>
    <w:rsid w:val="01B55654"/>
    <w:rsid w:val="021F6013"/>
    <w:rsid w:val="027A78CF"/>
    <w:rsid w:val="02B51BAC"/>
    <w:rsid w:val="02D61F91"/>
    <w:rsid w:val="02D92666"/>
    <w:rsid w:val="02E24174"/>
    <w:rsid w:val="032B3AAC"/>
    <w:rsid w:val="04A6089D"/>
    <w:rsid w:val="05621267"/>
    <w:rsid w:val="05DE1D42"/>
    <w:rsid w:val="0635308C"/>
    <w:rsid w:val="064249C6"/>
    <w:rsid w:val="066D079A"/>
    <w:rsid w:val="0691101F"/>
    <w:rsid w:val="06B62083"/>
    <w:rsid w:val="06BF0FDB"/>
    <w:rsid w:val="071D0C35"/>
    <w:rsid w:val="07420B1F"/>
    <w:rsid w:val="07F6072D"/>
    <w:rsid w:val="08053038"/>
    <w:rsid w:val="08251EAA"/>
    <w:rsid w:val="083E2F66"/>
    <w:rsid w:val="085E6F42"/>
    <w:rsid w:val="086E54B7"/>
    <w:rsid w:val="08B6474A"/>
    <w:rsid w:val="08C86981"/>
    <w:rsid w:val="09624B8B"/>
    <w:rsid w:val="09FC4E8C"/>
    <w:rsid w:val="0A2A425E"/>
    <w:rsid w:val="0AA7474A"/>
    <w:rsid w:val="0AC2447B"/>
    <w:rsid w:val="0AE42C44"/>
    <w:rsid w:val="0B0E6679"/>
    <w:rsid w:val="0B175BAD"/>
    <w:rsid w:val="0B54666F"/>
    <w:rsid w:val="0B900E77"/>
    <w:rsid w:val="0BA74F32"/>
    <w:rsid w:val="0BF34520"/>
    <w:rsid w:val="0C022F71"/>
    <w:rsid w:val="0C1A3C19"/>
    <w:rsid w:val="0C6A086D"/>
    <w:rsid w:val="0CE22BFB"/>
    <w:rsid w:val="0D0133C1"/>
    <w:rsid w:val="0D1A6C3A"/>
    <w:rsid w:val="0DB27144"/>
    <w:rsid w:val="0DCE3A31"/>
    <w:rsid w:val="0DF85BE0"/>
    <w:rsid w:val="0E0B116A"/>
    <w:rsid w:val="0E120F34"/>
    <w:rsid w:val="0E2576F2"/>
    <w:rsid w:val="0EBD35D6"/>
    <w:rsid w:val="0ED6500E"/>
    <w:rsid w:val="0EE04B9C"/>
    <w:rsid w:val="0F130CAE"/>
    <w:rsid w:val="0F253D36"/>
    <w:rsid w:val="0F31382A"/>
    <w:rsid w:val="0F3E471A"/>
    <w:rsid w:val="0F7D77D6"/>
    <w:rsid w:val="0F873E91"/>
    <w:rsid w:val="0F892A0B"/>
    <w:rsid w:val="10044A9B"/>
    <w:rsid w:val="10BE4C25"/>
    <w:rsid w:val="10D2410C"/>
    <w:rsid w:val="117049BA"/>
    <w:rsid w:val="119B5A55"/>
    <w:rsid w:val="11B240DE"/>
    <w:rsid w:val="11BF72FD"/>
    <w:rsid w:val="12227CB8"/>
    <w:rsid w:val="1255782F"/>
    <w:rsid w:val="1256748B"/>
    <w:rsid w:val="12760FA9"/>
    <w:rsid w:val="127B203D"/>
    <w:rsid w:val="12B851EB"/>
    <w:rsid w:val="12FD1B16"/>
    <w:rsid w:val="13051231"/>
    <w:rsid w:val="133E2072"/>
    <w:rsid w:val="138C6671"/>
    <w:rsid w:val="13E43E95"/>
    <w:rsid w:val="1445199E"/>
    <w:rsid w:val="14A26037"/>
    <w:rsid w:val="14A43A33"/>
    <w:rsid w:val="14D8416A"/>
    <w:rsid w:val="152C0111"/>
    <w:rsid w:val="15334C4D"/>
    <w:rsid w:val="15451DDD"/>
    <w:rsid w:val="159075B9"/>
    <w:rsid w:val="15972065"/>
    <w:rsid w:val="168E5D2D"/>
    <w:rsid w:val="16D27376"/>
    <w:rsid w:val="17137263"/>
    <w:rsid w:val="17305923"/>
    <w:rsid w:val="17447B51"/>
    <w:rsid w:val="177236B7"/>
    <w:rsid w:val="18153F6E"/>
    <w:rsid w:val="192E476D"/>
    <w:rsid w:val="198C6C89"/>
    <w:rsid w:val="19D87B51"/>
    <w:rsid w:val="19DB4E17"/>
    <w:rsid w:val="19DE7C7D"/>
    <w:rsid w:val="19F42FEB"/>
    <w:rsid w:val="19F875B3"/>
    <w:rsid w:val="1A9D1019"/>
    <w:rsid w:val="1B0C66B8"/>
    <w:rsid w:val="1B6C276D"/>
    <w:rsid w:val="1B76004A"/>
    <w:rsid w:val="1BF66EEF"/>
    <w:rsid w:val="1C7C3906"/>
    <w:rsid w:val="1CA82A62"/>
    <w:rsid w:val="1CC03E0C"/>
    <w:rsid w:val="1CCD7F3A"/>
    <w:rsid w:val="1D080607"/>
    <w:rsid w:val="1D6C261F"/>
    <w:rsid w:val="1D704F7A"/>
    <w:rsid w:val="1D92077C"/>
    <w:rsid w:val="1DCE70C1"/>
    <w:rsid w:val="1DD45A3A"/>
    <w:rsid w:val="1DE20E83"/>
    <w:rsid w:val="1E205195"/>
    <w:rsid w:val="1E3447E0"/>
    <w:rsid w:val="1E3E000E"/>
    <w:rsid w:val="1E934263"/>
    <w:rsid w:val="1EAA5C0E"/>
    <w:rsid w:val="1EB17C40"/>
    <w:rsid w:val="1ED80664"/>
    <w:rsid w:val="1EDA66C3"/>
    <w:rsid w:val="1F096472"/>
    <w:rsid w:val="1F4B733C"/>
    <w:rsid w:val="1FDA58F4"/>
    <w:rsid w:val="20A01C86"/>
    <w:rsid w:val="20A353E0"/>
    <w:rsid w:val="20C8099E"/>
    <w:rsid w:val="20E519B9"/>
    <w:rsid w:val="213F2829"/>
    <w:rsid w:val="2145204C"/>
    <w:rsid w:val="2169043A"/>
    <w:rsid w:val="21E40288"/>
    <w:rsid w:val="221E7E58"/>
    <w:rsid w:val="22F62F72"/>
    <w:rsid w:val="237F295E"/>
    <w:rsid w:val="237F64BA"/>
    <w:rsid w:val="23A10B26"/>
    <w:rsid w:val="241D4300"/>
    <w:rsid w:val="242744A5"/>
    <w:rsid w:val="24381A01"/>
    <w:rsid w:val="24467AC1"/>
    <w:rsid w:val="248F1F12"/>
    <w:rsid w:val="24D50C41"/>
    <w:rsid w:val="24EE1FCE"/>
    <w:rsid w:val="25291319"/>
    <w:rsid w:val="25291494"/>
    <w:rsid w:val="2537157D"/>
    <w:rsid w:val="25480B15"/>
    <w:rsid w:val="255B30CE"/>
    <w:rsid w:val="257242F1"/>
    <w:rsid w:val="25822292"/>
    <w:rsid w:val="25AD1396"/>
    <w:rsid w:val="262C184B"/>
    <w:rsid w:val="26B073AF"/>
    <w:rsid w:val="26BE4A72"/>
    <w:rsid w:val="271F78D5"/>
    <w:rsid w:val="274D4645"/>
    <w:rsid w:val="2754230F"/>
    <w:rsid w:val="275859A0"/>
    <w:rsid w:val="2762381B"/>
    <w:rsid w:val="276E2735"/>
    <w:rsid w:val="27771BB9"/>
    <w:rsid w:val="27EE7F08"/>
    <w:rsid w:val="27F82BC5"/>
    <w:rsid w:val="283348E8"/>
    <w:rsid w:val="28A975B9"/>
    <w:rsid w:val="28FF5FF9"/>
    <w:rsid w:val="29BF15B0"/>
    <w:rsid w:val="29F55061"/>
    <w:rsid w:val="2A866B7D"/>
    <w:rsid w:val="2AB065B8"/>
    <w:rsid w:val="2AC87630"/>
    <w:rsid w:val="2B0B638E"/>
    <w:rsid w:val="2B0C0213"/>
    <w:rsid w:val="2B0D2F9A"/>
    <w:rsid w:val="2B471FB3"/>
    <w:rsid w:val="2C8B1BF4"/>
    <w:rsid w:val="2C8C639F"/>
    <w:rsid w:val="2D013F59"/>
    <w:rsid w:val="2DBC58A4"/>
    <w:rsid w:val="2DD6070A"/>
    <w:rsid w:val="2DED5693"/>
    <w:rsid w:val="2E4A7ED6"/>
    <w:rsid w:val="2E707428"/>
    <w:rsid w:val="303944AA"/>
    <w:rsid w:val="308D11BA"/>
    <w:rsid w:val="309663CC"/>
    <w:rsid w:val="30B40633"/>
    <w:rsid w:val="310178A2"/>
    <w:rsid w:val="31A80D16"/>
    <w:rsid w:val="31AD32D0"/>
    <w:rsid w:val="31FD7450"/>
    <w:rsid w:val="32086E49"/>
    <w:rsid w:val="32107C30"/>
    <w:rsid w:val="327618AB"/>
    <w:rsid w:val="32916CF1"/>
    <w:rsid w:val="32FA790B"/>
    <w:rsid w:val="33935586"/>
    <w:rsid w:val="34541E69"/>
    <w:rsid w:val="34D64AA7"/>
    <w:rsid w:val="359979D0"/>
    <w:rsid w:val="35A65B28"/>
    <w:rsid w:val="36010AB6"/>
    <w:rsid w:val="361E2A63"/>
    <w:rsid w:val="365B6937"/>
    <w:rsid w:val="368D726B"/>
    <w:rsid w:val="36DB063B"/>
    <w:rsid w:val="36F42278"/>
    <w:rsid w:val="36F93266"/>
    <w:rsid w:val="3714117B"/>
    <w:rsid w:val="372A1B18"/>
    <w:rsid w:val="37405B09"/>
    <w:rsid w:val="37530632"/>
    <w:rsid w:val="37A606F1"/>
    <w:rsid w:val="37E34E12"/>
    <w:rsid w:val="37F840FE"/>
    <w:rsid w:val="38611F96"/>
    <w:rsid w:val="38A81130"/>
    <w:rsid w:val="38D93A2E"/>
    <w:rsid w:val="38E15D84"/>
    <w:rsid w:val="38EF5C61"/>
    <w:rsid w:val="394F3EF3"/>
    <w:rsid w:val="39806E71"/>
    <w:rsid w:val="39967579"/>
    <w:rsid w:val="39AD4224"/>
    <w:rsid w:val="3A063DC0"/>
    <w:rsid w:val="3A1F7F38"/>
    <w:rsid w:val="3A441E05"/>
    <w:rsid w:val="3A444BCF"/>
    <w:rsid w:val="3B0322E7"/>
    <w:rsid w:val="3B254525"/>
    <w:rsid w:val="3B8E54A3"/>
    <w:rsid w:val="3BA4056D"/>
    <w:rsid w:val="3BDF7FE6"/>
    <w:rsid w:val="3C1F6AC7"/>
    <w:rsid w:val="3C865205"/>
    <w:rsid w:val="3D2D59B5"/>
    <w:rsid w:val="3D39673E"/>
    <w:rsid w:val="3D4751CD"/>
    <w:rsid w:val="3DCE7D9D"/>
    <w:rsid w:val="3DD822F8"/>
    <w:rsid w:val="3DF72A77"/>
    <w:rsid w:val="3E4155FF"/>
    <w:rsid w:val="3E45600D"/>
    <w:rsid w:val="3E61666B"/>
    <w:rsid w:val="3EF206F5"/>
    <w:rsid w:val="3EFF1F43"/>
    <w:rsid w:val="400934A4"/>
    <w:rsid w:val="40655AE6"/>
    <w:rsid w:val="40AF6101"/>
    <w:rsid w:val="42084D5B"/>
    <w:rsid w:val="422E7A03"/>
    <w:rsid w:val="42432F91"/>
    <w:rsid w:val="42436D7E"/>
    <w:rsid w:val="42472CD3"/>
    <w:rsid w:val="424F15A5"/>
    <w:rsid w:val="42CF66A9"/>
    <w:rsid w:val="42D478D5"/>
    <w:rsid w:val="42DE2607"/>
    <w:rsid w:val="43087E22"/>
    <w:rsid w:val="43411D39"/>
    <w:rsid w:val="43417BFC"/>
    <w:rsid w:val="44071E88"/>
    <w:rsid w:val="44416DFD"/>
    <w:rsid w:val="44517955"/>
    <w:rsid w:val="445B26F5"/>
    <w:rsid w:val="446C1C22"/>
    <w:rsid w:val="4473208A"/>
    <w:rsid w:val="45586109"/>
    <w:rsid w:val="45725419"/>
    <w:rsid w:val="458616B6"/>
    <w:rsid w:val="45C753F9"/>
    <w:rsid w:val="462820AE"/>
    <w:rsid w:val="466762F5"/>
    <w:rsid w:val="47A04BCE"/>
    <w:rsid w:val="47B7205D"/>
    <w:rsid w:val="47CA2B61"/>
    <w:rsid w:val="48236534"/>
    <w:rsid w:val="485D2610"/>
    <w:rsid w:val="48BA4DE4"/>
    <w:rsid w:val="4961028C"/>
    <w:rsid w:val="49A27E8E"/>
    <w:rsid w:val="4A74485E"/>
    <w:rsid w:val="4ADA762A"/>
    <w:rsid w:val="4AE911F9"/>
    <w:rsid w:val="4AF869CF"/>
    <w:rsid w:val="4B3B3218"/>
    <w:rsid w:val="4B666BE8"/>
    <w:rsid w:val="4B9C2BC8"/>
    <w:rsid w:val="4BD570D5"/>
    <w:rsid w:val="4BEB11E7"/>
    <w:rsid w:val="4C270F59"/>
    <w:rsid w:val="4C2D1FB1"/>
    <w:rsid w:val="4C453030"/>
    <w:rsid w:val="4C5821AD"/>
    <w:rsid w:val="4C6B4F7E"/>
    <w:rsid w:val="4C7E2F03"/>
    <w:rsid w:val="4D104871"/>
    <w:rsid w:val="4DAA0A91"/>
    <w:rsid w:val="4DC64B62"/>
    <w:rsid w:val="4DC76040"/>
    <w:rsid w:val="4E52437A"/>
    <w:rsid w:val="4E850D95"/>
    <w:rsid w:val="4F0D2D7F"/>
    <w:rsid w:val="4F7C76AF"/>
    <w:rsid w:val="4FA47125"/>
    <w:rsid w:val="508008D7"/>
    <w:rsid w:val="50C64981"/>
    <w:rsid w:val="50D6330E"/>
    <w:rsid w:val="51324F5C"/>
    <w:rsid w:val="51A72EFC"/>
    <w:rsid w:val="51C03D38"/>
    <w:rsid w:val="51E85063"/>
    <w:rsid w:val="528B26F9"/>
    <w:rsid w:val="52D9630B"/>
    <w:rsid w:val="53763FF1"/>
    <w:rsid w:val="5378742B"/>
    <w:rsid w:val="53955863"/>
    <w:rsid w:val="53B51901"/>
    <w:rsid w:val="5469403B"/>
    <w:rsid w:val="548522F6"/>
    <w:rsid w:val="54C6769D"/>
    <w:rsid w:val="555717D2"/>
    <w:rsid w:val="55763F24"/>
    <w:rsid w:val="557C41B0"/>
    <w:rsid w:val="56A52AC5"/>
    <w:rsid w:val="571921A6"/>
    <w:rsid w:val="572C74B9"/>
    <w:rsid w:val="57480D96"/>
    <w:rsid w:val="57940DFB"/>
    <w:rsid w:val="57D24929"/>
    <w:rsid w:val="583B164C"/>
    <w:rsid w:val="59AE268A"/>
    <w:rsid w:val="59D76CA2"/>
    <w:rsid w:val="5A9A2CA2"/>
    <w:rsid w:val="5A9E588F"/>
    <w:rsid w:val="5AB26B9A"/>
    <w:rsid w:val="5AF57CA8"/>
    <w:rsid w:val="5B01483E"/>
    <w:rsid w:val="5B677F62"/>
    <w:rsid w:val="5BC26416"/>
    <w:rsid w:val="5BC326E1"/>
    <w:rsid w:val="5C7F4D1A"/>
    <w:rsid w:val="5CAF3C8C"/>
    <w:rsid w:val="5D26561D"/>
    <w:rsid w:val="5DC1170F"/>
    <w:rsid w:val="5DD53CE8"/>
    <w:rsid w:val="5E155F26"/>
    <w:rsid w:val="5EB81FFB"/>
    <w:rsid w:val="5ECD209C"/>
    <w:rsid w:val="5ED2780B"/>
    <w:rsid w:val="5EE21E63"/>
    <w:rsid w:val="5F4C126D"/>
    <w:rsid w:val="5F9E76ED"/>
    <w:rsid w:val="5F9F4972"/>
    <w:rsid w:val="5FA00E5A"/>
    <w:rsid w:val="5FA97260"/>
    <w:rsid w:val="5FB824DA"/>
    <w:rsid w:val="605B4B2E"/>
    <w:rsid w:val="60B83228"/>
    <w:rsid w:val="60D01A79"/>
    <w:rsid w:val="61902860"/>
    <w:rsid w:val="61DB57A4"/>
    <w:rsid w:val="62494AD4"/>
    <w:rsid w:val="62C42EC0"/>
    <w:rsid w:val="63103A95"/>
    <w:rsid w:val="63141BC4"/>
    <w:rsid w:val="63D02F63"/>
    <w:rsid w:val="63F56F6C"/>
    <w:rsid w:val="642A5ECB"/>
    <w:rsid w:val="646B2C8C"/>
    <w:rsid w:val="64E11547"/>
    <w:rsid w:val="6522491C"/>
    <w:rsid w:val="655573D8"/>
    <w:rsid w:val="658E50F6"/>
    <w:rsid w:val="659A6A51"/>
    <w:rsid w:val="65E2686C"/>
    <w:rsid w:val="66324000"/>
    <w:rsid w:val="663C2EF4"/>
    <w:rsid w:val="666F0E83"/>
    <w:rsid w:val="668E01DB"/>
    <w:rsid w:val="669C5749"/>
    <w:rsid w:val="66BD3492"/>
    <w:rsid w:val="66BF11FA"/>
    <w:rsid w:val="66E8749F"/>
    <w:rsid w:val="670E62A9"/>
    <w:rsid w:val="67144125"/>
    <w:rsid w:val="67263626"/>
    <w:rsid w:val="67463213"/>
    <w:rsid w:val="677016B1"/>
    <w:rsid w:val="67854F5D"/>
    <w:rsid w:val="67D82E5F"/>
    <w:rsid w:val="682A0A7F"/>
    <w:rsid w:val="68912DA2"/>
    <w:rsid w:val="68D34A1B"/>
    <w:rsid w:val="6988396D"/>
    <w:rsid w:val="6A527BA0"/>
    <w:rsid w:val="6AB302C8"/>
    <w:rsid w:val="6B8565DF"/>
    <w:rsid w:val="6BC86D69"/>
    <w:rsid w:val="6C2A542A"/>
    <w:rsid w:val="6CA852A0"/>
    <w:rsid w:val="6CB83548"/>
    <w:rsid w:val="6CB84A19"/>
    <w:rsid w:val="6D8D5E71"/>
    <w:rsid w:val="6E8E3022"/>
    <w:rsid w:val="6EC922AC"/>
    <w:rsid w:val="6ECF0FB0"/>
    <w:rsid w:val="6EEA5679"/>
    <w:rsid w:val="6F674D04"/>
    <w:rsid w:val="700B216F"/>
    <w:rsid w:val="70750AEE"/>
    <w:rsid w:val="7083388A"/>
    <w:rsid w:val="70C45C55"/>
    <w:rsid w:val="718E1FFE"/>
    <w:rsid w:val="71BA57E2"/>
    <w:rsid w:val="71BA652D"/>
    <w:rsid w:val="72CD013E"/>
    <w:rsid w:val="737F4569"/>
    <w:rsid w:val="73AB0597"/>
    <w:rsid w:val="73C51294"/>
    <w:rsid w:val="73E313E8"/>
    <w:rsid w:val="73E4024C"/>
    <w:rsid w:val="74435182"/>
    <w:rsid w:val="74922EF9"/>
    <w:rsid w:val="74A71267"/>
    <w:rsid w:val="74D80B53"/>
    <w:rsid w:val="74F50942"/>
    <w:rsid w:val="75331725"/>
    <w:rsid w:val="753A7A60"/>
    <w:rsid w:val="755A7F85"/>
    <w:rsid w:val="756109E7"/>
    <w:rsid w:val="76344BFF"/>
    <w:rsid w:val="7644002B"/>
    <w:rsid w:val="76554513"/>
    <w:rsid w:val="767B4761"/>
    <w:rsid w:val="768F1578"/>
    <w:rsid w:val="76AC53BB"/>
    <w:rsid w:val="76C66599"/>
    <w:rsid w:val="76C739E5"/>
    <w:rsid w:val="76DA0495"/>
    <w:rsid w:val="773E61CD"/>
    <w:rsid w:val="778B0C2E"/>
    <w:rsid w:val="77AA24BF"/>
    <w:rsid w:val="78151DD0"/>
    <w:rsid w:val="786D1560"/>
    <w:rsid w:val="798B63B9"/>
    <w:rsid w:val="7A522C4F"/>
    <w:rsid w:val="7A546ECE"/>
    <w:rsid w:val="7ADC5D4A"/>
    <w:rsid w:val="7B89437B"/>
    <w:rsid w:val="7BD94FAC"/>
    <w:rsid w:val="7C4D1E27"/>
    <w:rsid w:val="7D423AB9"/>
    <w:rsid w:val="7D4D5E56"/>
    <w:rsid w:val="7D990228"/>
    <w:rsid w:val="7DB2546D"/>
    <w:rsid w:val="7DB3689B"/>
    <w:rsid w:val="7DFE7141"/>
    <w:rsid w:val="7E364C22"/>
    <w:rsid w:val="7E5864DC"/>
    <w:rsid w:val="7E81400A"/>
    <w:rsid w:val="7E9A1CEC"/>
    <w:rsid w:val="7EEB25DF"/>
    <w:rsid w:val="7EFB0CA7"/>
    <w:rsid w:val="7F0E63B0"/>
    <w:rsid w:val="7F220BD9"/>
    <w:rsid w:val="7F231FE1"/>
    <w:rsid w:val="7F6955C6"/>
    <w:rsid w:val="7F911D6A"/>
    <w:rsid w:val="7FB16274"/>
    <w:rsid w:val="7FCA1FDC"/>
    <w:rsid w:val="7FD73C19"/>
    <w:rsid w:val="7FED3C6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name="toc 1"/>
    <w:lsdException w:qFormat="1" w:unhideWhenUsed="0" w:uiPriority="0" w:name="toc 2"/>
    <w:lsdException w:uiPriority="39" w:name="toc 3"/>
    <w:lsdException w:uiPriority="39" w:name="toc 4"/>
    <w:lsdException w:uiPriority="39" w:name="toc 5"/>
    <w:lsdException w:qFormat="1" w:unhideWhenUsed="0" w:uiPriority="0" w:semiHidden="0"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99"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qFormat="1" w:unhideWhenUsed="0" w:uiPriority="0" w:semiHidden="0" w:name="envelope address"/>
    <w:lsdException w:qFormat="1" w:unhideWhenUsed="0" w:uiPriority="0" w:semiHidden="0"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name="Document Map"/>
    <w:lsdException w:qFormat="1" w:unhideWhenUsed="0" w:uiPriority="0" w:semiHidden="0" w:name="Plain Text"/>
    <w:lsdException w:qFormat="1" w:unhideWhenUsed="0" w:uiPriority="0" w:semiHidden="0" w:name="E-mail Signature"/>
    <w:lsdException w:qFormat="1" w:unhideWhenUsed="0" w:uiPriority="0" w:semiHidden="0" w:name="Normal (Web)"/>
    <w:lsdException w:uiPriority="99" w:name="HTML Acronym"/>
    <w:lsdException w:qFormat="1" w:unhideWhenUsed="0" w:uiPriority="0" w:semiHidden="0" w:name="HTML Address"/>
    <w:lsdException w:uiPriority="99" w:name="HTML Cite"/>
    <w:lsdException w:uiPriority="99" w:name="HTML Code"/>
    <w:lsdException w:uiPriority="99" w:name="HTML Definition"/>
    <w:lsdException w:uiPriority="99" w:name="HTML Keyboard"/>
    <w:lsdException w:qFormat="1" w:unhideWhenUsed="0" w:uiPriority="99" w:semiHidden="0"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80"/>
    <w:qFormat/>
    <w:uiPriority w:val="9"/>
    <w:pPr>
      <w:keepNext/>
      <w:keepLines/>
      <w:spacing w:before="340" w:after="330" w:line="578" w:lineRule="auto"/>
      <w:outlineLvl w:val="0"/>
    </w:pPr>
    <w:rPr>
      <w:b/>
      <w:bCs/>
      <w:kern w:val="44"/>
      <w:sz w:val="44"/>
      <w:szCs w:val="44"/>
    </w:rPr>
  </w:style>
  <w:style w:type="paragraph" w:styleId="2">
    <w:name w:val="heading 2"/>
    <w:basedOn w:val="1"/>
    <w:next w:val="3"/>
    <w:link w:val="81"/>
    <w:qFormat/>
    <w:uiPriority w:val="9"/>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link w:val="82"/>
    <w:qFormat/>
    <w:uiPriority w:val="0"/>
    <w:pPr>
      <w:keepNext/>
      <w:keepLines/>
      <w:spacing w:before="260" w:after="260" w:line="413" w:lineRule="auto"/>
      <w:outlineLvl w:val="2"/>
    </w:pPr>
    <w:rPr>
      <w:b/>
      <w:sz w:val="32"/>
      <w:szCs w:val="20"/>
    </w:rPr>
  </w:style>
  <w:style w:type="paragraph" w:styleId="6">
    <w:name w:val="heading 4"/>
    <w:basedOn w:val="1"/>
    <w:next w:val="1"/>
    <w:link w:val="83"/>
    <w:qFormat/>
    <w:uiPriority w:val="0"/>
    <w:pPr>
      <w:keepNext/>
      <w:keepLines/>
      <w:spacing w:before="280" w:after="290" w:line="372" w:lineRule="auto"/>
      <w:outlineLvl w:val="3"/>
    </w:pPr>
    <w:rPr>
      <w:rFonts w:ascii="Arial" w:hAnsi="Arial" w:eastAsia="黑体"/>
      <w:b/>
      <w:sz w:val="28"/>
      <w:szCs w:val="20"/>
    </w:rPr>
  </w:style>
  <w:style w:type="paragraph" w:styleId="7">
    <w:name w:val="heading 5"/>
    <w:basedOn w:val="1"/>
    <w:next w:val="1"/>
    <w:link w:val="84"/>
    <w:qFormat/>
    <w:uiPriority w:val="0"/>
    <w:pPr>
      <w:keepNext/>
      <w:keepLines/>
      <w:spacing w:before="280" w:after="290" w:line="372" w:lineRule="auto"/>
      <w:outlineLvl w:val="4"/>
    </w:pPr>
    <w:rPr>
      <w:rFonts w:ascii="宋体"/>
      <w:b/>
      <w:sz w:val="28"/>
      <w:szCs w:val="20"/>
    </w:rPr>
  </w:style>
  <w:style w:type="paragraph" w:styleId="8">
    <w:name w:val="heading 6"/>
    <w:basedOn w:val="1"/>
    <w:next w:val="1"/>
    <w:link w:val="85"/>
    <w:qFormat/>
    <w:uiPriority w:val="0"/>
    <w:pPr>
      <w:keepNext/>
      <w:keepLines/>
      <w:tabs>
        <w:tab w:val="left" w:pos="3120"/>
      </w:tabs>
      <w:autoSpaceDE w:val="0"/>
      <w:autoSpaceDN w:val="0"/>
      <w:adjustRightInd w:val="0"/>
      <w:spacing w:before="240" w:after="64" w:line="317" w:lineRule="auto"/>
      <w:ind w:left="3120" w:hanging="420"/>
      <w:textAlignment w:val="baseline"/>
      <w:outlineLvl w:val="5"/>
    </w:pPr>
    <w:rPr>
      <w:rFonts w:ascii="Arial" w:hAnsi="Arial" w:eastAsia="黑体"/>
      <w:b/>
      <w:sz w:val="24"/>
      <w:szCs w:val="20"/>
    </w:rPr>
  </w:style>
  <w:style w:type="paragraph" w:styleId="9">
    <w:name w:val="heading 7"/>
    <w:basedOn w:val="1"/>
    <w:next w:val="1"/>
    <w:link w:val="86"/>
    <w:qFormat/>
    <w:uiPriority w:val="0"/>
    <w:pPr>
      <w:keepNext/>
      <w:keepLines/>
      <w:tabs>
        <w:tab w:val="left" w:pos="3540"/>
      </w:tabs>
      <w:autoSpaceDE w:val="0"/>
      <w:autoSpaceDN w:val="0"/>
      <w:adjustRightInd w:val="0"/>
      <w:spacing w:before="240" w:after="64" w:line="317" w:lineRule="auto"/>
      <w:ind w:left="3540" w:hanging="420"/>
      <w:textAlignment w:val="baseline"/>
      <w:outlineLvl w:val="6"/>
    </w:pPr>
    <w:rPr>
      <w:b/>
      <w:sz w:val="24"/>
      <w:szCs w:val="20"/>
    </w:rPr>
  </w:style>
  <w:style w:type="paragraph" w:styleId="10">
    <w:name w:val="heading 8"/>
    <w:basedOn w:val="1"/>
    <w:next w:val="1"/>
    <w:link w:val="87"/>
    <w:qFormat/>
    <w:uiPriority w:val="0"/>
    <w:pPr>
      <w:keepNext/>
      <w:keepLines/>
      <w:tabs>
        <w:tab w:val="left" w:pos="3960"/>
      </w:tabs>
      <w:autoSpaceDE w:val="0"/>
      <w:autoSpaceDN w:val="0"/>
      <w:adjustRightInd w:val="0"/>
      <w:spacing w:before="240" w:after="64" w:line="317" w:lineRule="auto"/>
      <w:ind w:left="3960" w:hanging="420"/>
      <w:textAlignment w:val="baseline"/>
      <w:outlineLvl w:val="7"/>
    </w:pPr>
    <w:rPr>
      <w:rFonts w:ascii="Arial" w:hAnsi="Arial" w:eastAsia="黑体"/>
      <w:sz w:val="24"/>
      <w:szCs w:val="20"/>
    </w:rPr>
  </w:style>
  <w:style w:type="paragraph" w:styleId="11">
    <w:name w:val="heading 9"/>
    <w:basedOn w:val="1"/>
    <w:next w:val="1"/>
    <w:link w:val="88"/>
    <w:qFormat/>
    <w:uiPriority w:val="0"/>
    <w:pPr>
      <w:keepNext/>
      <w:keepLines/>
      <w:tabs>
        <w:tab w:val="left" w:pos="4380"/>
      </w:tabs>
      <w:autoSpaceDE w:val="0"/>
      <w:autoSpaceDN w:val="0"/>
      <w:adjustRightInd w:val="0"/>
      <w:spacing w:before="240" w:after="64" w:line="317" w:lineRule="auto"/>
      <w:ind w:left="4380" w:hanging="420"/>
      <w:textAlignment w:val="baseline"/>
      <w:outlineLvl w:val="8"/>
    </w:pPr>
    <w:rPr>
      <w:rFonts w:ascii="Arial" w:hAnsi="Arial" w:eastAsia="黑体"/>
      <w:szCs w:val="20"/>
    </w:rPr>
  </w:style>
  <w:style w:type="character" w:default="1" w:styleId="69">
    <w:name w:val="Default Paragraph Font"/>
    <w:semiHidden/>
    <w:unhideWhenUsed/>
    <w:qFormat/>
    <w:uiPriority w:val="1"/>
  </w:style>
  <w:style w:type="table" w:default="1" w:styleId="67">
    <w:name w:val="Normal Table"/>
    <w:semiHidden/>
    <w:unhideWhenUsed/>
    <w:qFormat/>
    <w:uiPriority w:val="99"/>
    <w:tblPr>
      <w:tblCellMar>
        <w:top w:w="0" w:type="dxa"/>
        <w:left w:w="108" w:type="dxa"/>
        <w:bottom w:w="0" w:type="dxa"/>
        <w:right w:w="108" w:type="dxa"/>
      </w:tblCellMar>
    </w:tblPr>
  </w:style>
  <w:style w:type="paragraph" w:styleId="3">
    <w:name w:val="Normal Indent"/>
    <w:basedOn w:val="1"/>
    <w:link w:val="114"/>
    <w:qFormat/>
    <w:uiPriority w:val="0"/>
    <w:pPr>
      <w:ind w:firstLine="420"/>
    </w:pPr>
    <w:rPr>
      <w:szCs w:val="20"/>
    </w:rPr>
  </w:style>
  <w:style w:type="paragraph" w:styleId="12">
    <w:name w:val="List 3"/>
    <w:basedOn w:val="1"/>
    <w:qFormat/>
    <w:uiPriority w:val="0"/>
    <w:pPr>
      <w:ind w:left="100" w:leftChars="400" w:hanging="200" w:hangingChars="200"/>
    </w:pPr>
    <w:rPr>
      <w:rFonts w:ascii="宋体"/>
      <w:sz w:val="28"/>
      <w:szCs w:val="20"/>
    </w:rPr>
  </w:style>
  <w:style w:type="paragraph" w:styleId="13">
    <w:name w:val="List Number 2"/>
    <w:basedOn w:val="1"/>
    <w:qFormat/>
    <w:uiPriority w:val="0"/>
    <w:pPr>
      <w:tabs>
        <w:tab w:val="left" w:pos="780"/>
      </w:tabs>
      <w:ind w:left="780" w:leftChars="200" w:hanging="360" w:hangingChars="200"/>
    </w:pPr>
    <w:rPr>
      <w:rFonts w:ascii="宋体"/>
      <w:sz w:val="28"/>
      <w:szCs w:val="20"/>
    </w:rPr>
  </w:style>
  <w:style w:type="paragraph" w:styleId="14">
    <w:name w:val="Note Heading"/>
    <w:basedOn w:val="1"/>
    <w:next w:val="1"/>
    <w:link w:val="89"/>
    <w:qFormat/>
    <w:uiPriority w:val="0"/>
    <w:pPr>
      <w:jc w:val="center"/>
    </w:pPr>
    <w:rPr>
      <w:rFonts w:ascii="宋体"/>
      <w:sz w:val="28"/>
      <w:szCs w:val="20"/>
    </w:rPr>
  </w:style>
  <w:style w:type="paragraph" w:styleId="15">
    <w:name w:val="List Bullet 4"/>
    <w:basedOn w:val="1"/>
    <w:qFormat/>
    <w:uiPriority w:val="0"/>
    <w:pPr>
      <w:tabs>
        <w:tab w:val="left" w:pos="1620"/>
      </w:tabs>
      <w:ind w:left="1620" w:leftChars="600" w:hanging="360" w:hangingChars="200"/>
    </w:pPr>
    <w:rPr>
      <w:rFonts w:ascii="宋体"/>
      <w:sz w:val="28"/>
      <w:szCs w:val="20"/>
    </w:rPr>
  </w:style>
  <w:style w:type="paragraph" w:styleId="16">
    <w:name w:val="E-mail Signature"/>
    <w:basedOn w:val="1"/>
    <w:link w:val="90"/>
    <w:qFormat/>
    <w:uiPriority w:val="0"/>
    <w:rPr>
      <w:rFonts w:ascii="宋体"/>
      <w:sz w:val="28"/>
      <w:szCs w:val="20"/>
    </w:rPr>
  </w:style>
  <w:style w:type="paragraph" w:styleId="17">
    <w:name w:val="List Number"/>
    <w:basedOn w:val="1"/>
    <w:qFormat/>
    <w:uiPriority w:val="0"/>
    <w:pPr>
      <w:tabs>
        <w:tab w:val="left" w:pos="360"/>
      </w:tabs>
      <w:ind w:left="360" w:hanging="360" w:hangingChars="200"/>
    </w:pPr>
    <w:rPr>
      <w:rFonts w:ascii="宋体"/>
      <w:sz w:val="28"/>
      <w:szCs w:val="20"/>
    </w:rPr>
  </w:style>
  <w:style w:type="paragraph" w:styleId="18">
    <w:name w:val="caption"/>
    <w:basedOn w:val="1"/>
    <w:next w:val="1"/>
    <w:link w:val="123"/>
    <w:qFormat/>
    <w:uiPriority w:val="0"/>
    <w:pPr>
      <w:spacing w:before="152" w:after="160"/>
    </w:pPr>
    <w:rPr>
      <w:rFonts w:ascii="Arial" w:hAnsi="Arial" w:eastAsia="黑体" w:cs="Arial"/>
      <w:sz w:val="20"/>
      <w:szCs w:val="20"/>
    </w:rPr>
  </w:style>
  <w:style w:type="paragraph" w:styleId="19">
    <w:name w:val="List Bullet"/>
    <w:basedOn w:val="1"/>
    <w:qFormat/>
    <w:uiPriority w:val="0"/>
    <w:pPr>
      <w:tabs>
        <w:tab w:val="left" w:pos="360"/>
      </w:tabs>
      <w:ind w:left="360" w:hanging="360" w:hangingChars="200"/>
    </w:pPr>
    <w:rPr>
      <w:rFonts w:ascii="宋体"/>
      <w:sz w:val="28"/>
      <w:szCs w:val="20"/>
    </w:rPr>
  </w:style>
  <w:style w:type="paragraph" w:styleId="20">
    <w:name w:val="envelope address"/>
    <w:basedOn w:val="1"/>
    <w:qFormat/>
    <w:uiPriority w:val="0"/>
    <w:pPr>
      <w:snapToGrid w:val="0"/>
      <w:ind w:left="100" w:leftChars="1400"/>
    </w:pPr>
    <w:rPr>
      <w:rFonts w:ascii="Arial" w:hAnsi="Arial"/>
      <w:sz w:val="24"/>
      <w:szCs w:val="20"/>
    </w:rPr>
  </w:style>
  <w:style w:type="paragraph" w:styleId="21">
    <w:name w:val="Document Map"/>
    <w:basedOn w:val="1"/>
    <w:link w:val="91"/>
    <w:semiHidden/>
    <w:qFormat/>
    <w:uiPriority w:val="0"/>
    <w:pPr>
      <w:shd w:val="clear" w:color="auto" w:fill="000080"/>
    </w:pPr>
    <w:rPr>
      <w:rFonts w:ascii="(使用中文字体)" w:hAnsi="(使用中文字体)" w:eastAsia="(使用中文字体)" w:cs="(使用中文字体)"/>
    </w:rPr>
  </w:style>
  <w:style w:type="paragraph" w:styleId="22">
    <w:name w:val="toa heading"/>
    <w:basedOn w:val="1"/>
    <w:next w:val="1"/>
    <w:qFormat/>
    <w:uiPriority w:val="0"/>
    <w:pPr>
      <w:spacing w:before="120"/>
    </w:pPr>
    <w:rPr>
      <w:rFonts w:ascii="Arial" w:hAnsi="Arial"/>
      <w:sz w:val="24"/>
    </w:rPr>
  </w:style>
  <w:style w:type="paragraph" w:styleId="23">
    <w:name w:val="annotation text"/>
    <w:basedOn w:val="1"/>
    <w:link w:val="92"/>
    <w:qFormat/>
    <w:uiPriority w:val="99"/>
    <w:pPr>
      <w:jc w:val="left"/>
    </w:pPr>
  </w:style>
  <w:style w:type="paragraph" w:styleId="24">
    <w:name w:val="Salutation"/>
    <w:basedOn w:val="1"/>
    <w:next w:val="1"/>
    <w:link w:val="93"/>
    <w:qFormat/>
    <w:uiPriority w:val="0"/>
    <w:rPr>
      <w:rFonts w:ascii="宋体"/>
      <w:sz w:val="28"/>
      <w:szCs w:val="20"/>
    </w:rPr>
  </w:style>
  <w:style w:type="paragraph" w:styleId="25">
    <w:name w:val="Body Text 3"/>
    <w:basedOn w:val="1"/>
    <w:link w:val="94"/>
    <w:qFormat/>
    <w:uiPriority w:val="0"/>
    <w:pPr>
      <w:spacing w:after="120"/>
    </w:pPr>
    <w:rPr>
      <w:rFonts w:ascii="宋体"/>
      <w:sz w:val="16"/>
      <w:szCs w:val="20"/>
    </w:rPr>
  </w:style>
  <w:style w:type="paragraph" w:styleId="26">
    <w:name w:val="Closing"/>
    <w:basedOn w:val="1"/>
    <w:link w:val="95"/>
    <w:qFormat/>
    <w:uiPriority w:val="0"/>
    <w:pPr>
      <w:ind w:left="100" w:leftChars="2100"/>
    </w:pPr>
    <w:rPr>
      <w:rFonts w:ascii="宋体"/>
      <w:sz w:val="28"/>
      <w:szCs w:val="20"/>
    </w:rPr>
  </w:style>
  <w:style w:type="paragraph" w:styleId="27">
    <w:name w:val="List Bullet 3"/>
    <w:basedOn w:val="1"/>
    <w:qFormat/>
    <w:uiPriority w:val="0"/>
    <w:pPr>
      <w:tabs>
        <w:tab w:val="left" w:pos="1200"/>
      </w:tabs>
      <w:ind w:left="1200" w:leftChars="400" w:hanging="360" w:hangingChars="200"/>
    </w:pPr>
    <w:rPr>
      <w:rFonts w:ascii="宋体"/>
      <w:sz w:val="28"/>
      <w:szCs w:val="20"/>
    </w:rPr>
  </w:style>
  <w:style w:type="paragraph" w:styleId="28">
    <w:name w:val="Body Text"/>
    <w:basedOn w:val="1"/>
    <w:next w:val="29"/>
    <w:link w:val="96"/>
    <w:qFormat/>
    <w:uiPriority w:val="0"/>
    <w:pPr>
      <w:spacing w:line="520" w:lineRule="exact"/>
      <w:jc w:val="center"/>
    </w:pPr>
    <w:rPr>
      <w:rFonts w:eastAsia="黑体"/>
      <w:color w:val="FF0000"/>
      <w:sz w:val="44"/>
    </w:rPr>
  </w:style>
  <w:style w:type="paragraph" w:styleId="29">
    <w:name w:val="Body Text First Indent"/>
    <w:basedOn w:val="28"/>
    <w:next w:val="30"/>
    <w:link w:val="110"/>
    <w:qFormat/>
    <w:uiPriority w:val="0"/>
    <w:pPr>
      <w:spacing w:after="120" w:line="240" w:lineRule="auto"/>
      <w:ind w:firstLine="420" w:firstLineChars="100"/>
      <w:jc w:val="both"/>
    </w:pPr>
    <w:rPr>
      <w:rFonts w:ascii="宋体" w:eastAsia="宋体"/>
      <w:color w:val="auto"/>
      <w:sz w:val="28"/>
      <w:szCs w:val="20"/>
    </w:rPr>
  </w:style>
  <w:style w:type="paragraph" w:styleId="30">
    <w:name w:val="toc 6"/>
    <w:basedOn w:val="1"/>
    <w:next w:val="1"/>
    <w:qFormat/>
    <w:uiPriority w:val="0"/>
    <w:pPr>
      <w:ind w:left="1050"/>
      <w:jc w:val="left"/>
    </w:pPr>
    <w:rPr>
      <w:sz w:val="18"/>
      <w:szCs w:val="18"/>
    </w:rPr>
  </w:style>
  <w:style w:type="paragraph" w:styleId="31">
    <w:name w:val="Body Text Indent"/>
    <w:basedOn w:val="1"/>
    <w:link w:val="97"/>
    <w:qFormat/>
    <w:uiPriority w:val="0"/>
    <w:pPr>
      <w:spacing w:line="360" w:lineRule="auto"/>
      <w:ind w:firstLine="600" w:firstLineChars="200"/>
    </w:pPr>
    <w:rPr>
      <w:rFonts w:ascii="仿宋_GB2312" w:hAnsi="宋体" w:eastAsia="仿宋_GB2312"/>
      <w:sz w:val="30"/>
    </w:rPr>
  </w:style>
  <w:style w:type="paragraph" w:styleId="32">
    <w:name w:val="List Number 3"/>
    <w:basedOn w:val="1"/>
    <w:qFormat/>
    <w:uiPriority w:val="0"/>
    <w:pPr>
      <w:tabs>
        <w:tab w:val="left" w:pos="1200"/>
      </w:tabs>
      <w:ind w:left="1200" w:leftChars="400" w:hanging="360" w:hangingChars="200"/>
    </w:pPr>
    <w:rPr>
      <w:rFonts w:ascii="宋体"/>
      <w:sz w:val="28"/>
      <w:szCs w:val="20"/>
    </w:rPr>
  </w:style>
  <w:style w:type="paragraph" w:styleId="33">
    <w:name w:val="List 2"/>
    <w:basedOn w:val="1"/>
    <w:qFormat/>
    <w:uiPriority w:val="0"/>
    <w:pPr>
      <w:ind w:left="100" w:leftChars="200" w:hanging="200" w:hangingChars="200"/>
    </w:pPr>
    <w:rPr>
      <w:rFonts w:ascii="宋体"/>
      <w:sz w:val="28"/>
      <w:szCs w:val="20"/>
    </w:rPr>
  </w:style>
  <w:style w:type="paragraph" w:styleId="34">
    <w:name w:val="List Continue"/>
    <w:basedOn w:val="1"/>
    <w:qFormat/>
    <w:uiPriority w:val="0"/>
    <w:pPr>
      <w:spacing w:after="120"/>
      <w:ind w:left="420" w:leftChars="200"/>
    </w:pPr>
    <w:rPr>
      <w:rFonts w:ascii="宋体"/>
      <w:sz w:val="28"/>
      <w:szCs w:val="20"/>
    </w:rPr>
  </w:style>
  <w:style w:type="paragraph" w:styleId="35">
    <w:name w:val="Block Text"/>
    <w:basedOn w:val="1"/>
    <w:qFormat/>
    <w:uiPriority w:val="0"/>
    <w:pPr>
      <w:ind w:left="1080" w:right="206" w:firstLine="465"/>
    </w:pPr>
    <w:rPr>
      <w:rFonts w:ascii="楷体_GB2312" w:eastAsia="楷体_GB2312"/>
      <w:sz w:val="28"/>
      <w:szCs w:val="20"/>
    </w:rPr>
  </w:style>
  <w:style w:type="paragraph" w:styleId="36">
    <w:name w:val="List Bullet 2"/>
    <w:basedOn w:val="1"/>
    <w:qFormat/>
    <w:uiPriority w:val="0"/>
    <w:pPr>
      <w:tabs>
        <w:tab w:val="left" w:pos="780"/>
      </w:tabs>
      <w:ind w:left="780" w:leftChars="200" w:hanging="360" w:hangingChars="200"/>
    </w:pPr>
    <w:rPr>
      <w:rFonts w:ascii="宋体"/>
      <w:sz w:val="28"/>
      <w:szCs w:val="20"/>
    </w:rPr>
  </w:style>
  <w:style w:type="paragraph" w:styleId="37">
    <w:name w:val="HTML Address"/>
    <w:basedOn w:val="1"/>
    <w:link w:val="98"/>
    <w:qFormat/>
    <w:uiPriority w:val="0"/>
    <w:rPr>
      <w:rFonts w:ascii="宋体"/>
      <w:i/>
      <w:sz w:val="28"/>
      <w:szCs w:val="20"/>
    </w:rPr>
  </w:style>
  <w:style w:type="paragraph" w:styleId="38">
    <w:name w:val="Plain Text"/>
    <w:basedOn w:val="1"/>
    <w:link w:val="99"/>
    <w:qFormat/>
    <w:uiPriority w:val="0"/>
    <w:rPr>
      <w:rFonts w:ascii="Courier New" w:hAnsi="Courier New"/>
      <w:sz w:val="28"/>
      <w:szCs w:val="20"/>
    </w:rPr>
  </w:style>
  <w:style w:type="paragraph" w:styleId="39">
    <w:name w:val="List Bullet 5"/>
    <w:basedOn w:val="1"/>
    <w:qFormat/>
    <w:uiPriority w:val="0"/>
    <w:pPr>
      <w:tabs>
        <w:tab w:val="left" w:pos="2040"/>
      </w:tabs>
      <w:ind w:left="2040" w:leftChars="800" w:hanging="360" w:hangingChars="200"/>
    </w:pPr>
    <w:rPr>
      <w:rFonts w:ascii="宋体"/>
      <w:sz w:val="28"/>
      <w:szCs w:val="20"/>
    </w:rPr>
  </w:style>
  <w:style w:type="paragraph" w:styleId="40">
    <w:name w:val="List Number 4"/>
    <w:basedOn w:val="1"/>
    <w:qFormat/>
    <w:uiPriority w:val="0"/>
    <w:pPr>
      <w:tabs>
        <w:tab w:val="left" w:pos="1620"/>
      </w:tabs>
      <w:ind w:left="1620" w:leftChars="600" w:hanging="360" w:hangingChars="200"/>
    </w:pPr>
    <w:rPr>
      <w:rFonts w:ascii="宋体"/>
      <w:sz w:val="28"/>
      <w:szCs w:val="20"/>
    </w:rPr>
  </w:style>
  <w:style w:type="paragraph" w:styleId="41">
    <w:name w:val="Date"/>
    <w:basedOn w:val="1"/>
    <w:next w:val="1"/>
    <w:link w:val="78"/>
    <w:unhideWhenUsed/>
    <w:qFormat/>
    <w:uiPriority w:val="0"/>
    <w:pPr>
      <w:ind w:left="100" w:leftChars="2500"/>
    </w:pPr>
  </w:style>
  <w:style w:type="paragraph" w:styleId="42">
    <w:name w:val="Body Text Indent 2"/>
    <w:basedOn w:val="1"/>
    <w:link w:val="100"/>
    <w:qFormat/>
    <w:uiPriority w:val="0"/>
    <w:pPr>
      <w:spacing w:line="320" w:lineRule="atLeast"/>
      <w:ind w:firstLine="600" w:firstLineChars="250"/>
    </w:pPr>
    <w:rPr>
      <w:rFonts w:ascii="宋体" w:hAnsi="宋体"/>
      <w:sz w:val="24"/>
    </w:rPr>
  </w:style>
  <w:style w:type="paragraph" w:styleId="43">
    <w:name w:val="List Continue 5"/>
    <w:basedOn w:val="1"/>
    <w:qFormat/>
    <w:uiPriority w:val="0"/>
    <w:pPr>
      <w:spacing w:after="120"/>
      <w:ind w:left="2100" w:leftChars="1000"/>
    </w:pPr>
    <w:rPr>
      <w:rFonts w:ascii="宋体"/>
      <w:sz w:val="28"/>
      <w:szCs w:val="20"/>
    </w:rPr>
  </w:style>
  <w:style w:type="paragraph" w:styleId="44">
    <w:name w:val="Balloon Text"/>
    <w:basedOn w:val="1"/>
    <w:link w:val="101"/>
    <w:unhideWhenUsed/>
    <w:qFormat/>
    <w:uiPriority w:val="99"/>
    <w:rPr>
      <w:sz w:val="18"/>
      <w:szCs w:val="18"/>
    </w:rPr>
  </w:style>
  <w:style w:type="paragraph" w:styleId="45">
    <w:name w:val="footer"/>
    <w:basedOn w:val="1"/>
    <w:link w:val="77"/>
    <w:unhideWhenUsed/>
    <w:qFormat/>
    <w:uiPriority w:val="99"/>
    <w:pPr>
      <w:tabs>
        <w:tab w:val="center" w:pos="4153"/>
        <w:tab w:val="right" w:pos="8306"/>
      </w:tabs>
      <w:snapToGrid w:val="0"/>
      <w:jc w:val="left"/>
    </w:pPr>
    <w:rPr>
      <w:sz w:val="18"/>
      <w:szCs w:val="18"/>
    </w:rPr>
  </w:style>
  <w:style w:type="paragraph" w:styleId="46">
    <w:name w:val="envelope return"/>
    <w:basedOn w:val="1"/>
    <w:qFormat/>
    <w:uiPriority w:val="0"/>
    <w:pPr>
      <w:snapToGrid w:val="0"/>
    </w:pPr>
    <w:rPr>
      <w:rFonts w:ascii="Arial" w:hAnsi="Arial"/>
      <w:sz w:val="28"/>
      <w:szCs w:val="20"/>
    </w:rPr>
  </w:style>
  <w:style w:type="paragraph" w:styleId="47">
    <w:name w:val="header"/>
    <w:basedOn w:val="1"/>
    <w:link w:val="76"/>
    <w:unhideWhenUsed/>
    <w:qFormat/>
    <w:uiPriority w:val="99"/>
    <w:pPr>
      <w:pBdr>
        <w:bottom w:val="single" w:color="auto" w:sz="6" w:space="1"/>
      </w:pBdr>
      <w:tabs>
        <w:tab w:val="center" w:pos="4153"/>
        <w:tab w:val="right" w:pos="8306"/>
      </w:tabs>
      <w:snapToGrid w:val="0"/>
      <w:jc w:val="center"/>
    </w:pPr>
    <w:rPr>
      <w:sz w:val="18"/>
      <w:szCs w:val="18"/>
    </w:rPr>
  </w:style>
  <w:style w:type="paragraph" w:styleId="48">
    <w:name w:val="Signature"/>
    <w:basedOn w:val="1"/>
    <w:link w:val="102"/>
    <w:qFormat/>
    <w:uiPriority w:val="0"/>
    <w:pPr>
      <w:ind w:left="100" w:leftChars="2100"/>
    </w:pPr>
    <w:rPr>
      <w:rFonts w:ascii="宋体"/>
      <w:sz w:val="28"/>
      <w:szCs w:val="20"/>
    </w:rPr>
  </w:style>
  <w:style w:type="paragraph" w:styleId="49">
    <w:name w:val="toc 1"/>
    <w:basedOn w:val="1"/>
    <w:next w:val="1"/>
    <w:semiHidden/>
    <w:qFormat/>
    <w:uiPriority w:val="0"/>
    <w:pPr>
      <w:tabs>
        <w:tab w:val="right" w:leader="dot" w:pos="8296"/>
      </w:tabs>
    </w:pPr>
    <w:rPr>
      <w:rFonts w:ascii="黑体" w:eastAsia="黑体"/>
      <w:b/>
    </w:rPr>
  </w:style>
  <w:style w:type="paragraph" w:styleId="50">
    <w:name w:val="List Continue 4"/>
    <w:basedOn w:val="1"/>
    <w:qFormat/>
    <w:uiPriority w:val="0"/>
    <w:pPr>
      <w:spacing w:after="120"/>
      <w:ind w:left="1680" w:leftChars="800"/>
    </w:pPr>
    <w:rPr>
      <w:rFonts w:ascii="宋体"/>
      <w:sz w:val="28"/>
      <w:szCs w:val="20"/>
    </w:rPr>
  </w:style>
  <w:style w:type="paragraph" w:styleId="51">
    <w:name w:val="Subtitle"/>
    <w:basedOn w:val="1"/>
    <w:link w:val="103"/>
    <w:qFormat/>
    <w:uiPriority w:val="0"/>
    <w:pPr>
      <w:spacing w:before="240" w:after="60" w:line="312" w:lineRule="auto"/>
      <w:jc w:val="center"/>
      <w:outlineLvl w:val="1"/>
    </w:pPr>
    <w:rPr>
      <w:rFonts w:ascii="Arial" w:hAnsi="Arial"/>
      <w:b/>
      <w:kern w:val="28"/>
      <w:sz w:val="32"/>
      <w:szCs w:val="20"/>
    </w:rPr>
  </w:style>
  <w:style w:type="paragraph" w:styleId="52">
    <w:name w:val="List Number 5"/>
    <w:basedOn w:val="1"/>
    <w:qFormat/>
    <w:uiPriority w:val="0"/>
    <w:pPr>
      <w:tabs>
        <w:tab w:val="left" w:pos="2040"/>
      </w:tabs>
      <w:ind w:left="2040" w:leftChars="800" w:hanging="360" w:hangingChars="200"/>
    </w:pPr>
    <w:rPr>
      <w:rFonts w:ascii="宋体"/>
      <w:sz w:val="28"/>
      <w:szCs w:val="20"/>
    </w:rPr>
  </w:style>
  <w:style w:type="paragraph" w:styleId="53">
    <w:name w:val="List"/>
    <w:basedOn w:val="1"/>
    <w:qFormat/>
    <w:uiPriority w:val="0"/>
    <w:pPr>
      <w:ind w:left="200" w:hanging="200" w:hangingChars="200"/>
    </w:pPr>
    <w:rPr>
      <w:rFonts w:ascii="宋体"/>
      <w:sz w:val="28"/>
      <w:szCs w:val="20"/>
    </w:rPr>
  </w:style>
  <w:style w:type="paragraph" w:styleId="54">
    <w:name w:val="List 5"/>
    <w:basedOn w:val="1"/>
    <w:qFormat/>
    <w:uiPriority w:val="0"/>
    <w:pPr>
      <w:ind w:left="100" w:leftChars="800" w:hanging="200" w:hangingChars="200"/>
    </w:pPr>
    <w:rPr>
      <w:rFonts w:ascii="宋体"/>
      <w:sz w:val="28"/>
      <w:szCs w:val="20"/>
    </w:rPr>
  </w:style>
  <w:style w:type="paragraph" w:styleId="55">
    <w:name w:val="Body Text Indent 3"/>
    <w:basedOn w:val="1"/>
    <w:link w:val="104"/>
    <w:qFormat/>
    <w:uiPriority w:val="0"/>
    <w:pPr>
      <w:spacing w:line="560" w:lineRule="exact"/>
      <w:ind w:firstLine="568" w:firstLineChars="200"/>
    </w:pPr>
    <w:rPr>
      <w:rFonts w:ascii="仿宋_GB2312" w:hAnsi="宋体" w:eastAsia="仿宋_GB2312"/>
      <w:spacing w:val="-8"/>
      <w:sz w:val="30"/>
    </w:rPr>
  </w:style>
  <w:style w:type="paragraph" w:styleId="56">
    <w:name w:val="toc 2"/>
    <w:basedOn w:val="1"/>
    <w:next w:val="1"/>
    <w:semiHidden/>
    <w:qFormat/>
    <w:uiPriority w:val="0"/>
    <w:pPr>
      <w:tabs>
        <w:tab w:val="right" w:leader="dot" w:pos="8296"/>
      </w:tabs>
      <w:ind w:left="420" w:leftChars="200"/>
    </w:pPr>
    <w:rPr>
      <w:rFonts w:ascii="黑体" w:eastAsia="黑体"/>
      <w:b/>
    </w:rPr>
  </w:style>
  <w:style w:type="paragraph" w:styleId="57">
    <w:name w:val="Body Text 2"/>
    <w:basedOn w:val="1"/>
    <w:link w:val="105"/>
    <w:qFormat/>
    <w:uiPriority w:val="0"/>
    <w:pPr>
      <w:spacing w:line="440" w:lineRule="exact"/>
    </w:pPr>
    <w:rPr>
      <w:rFonts w:ascii="宋体" w:hAnsi="宋体"/>
      <w:sz w:val="24"/>
      <w:szCs w:val="20"/>
    </w:rPr>
  </w:style>
  <w:style w:type="paragraph" w:styleId="58">
    <w:name w:val="List 4"/>
    <w:basedOn w:val="1"/>
    <w:qFormat/>
    <w:uiPriority w:val="0"/>
    <w:pPr>
      <w:ind w:left="100" w:leftChars="600" w:hanging="200" w:hangingChars="200"/>
    </w:pPr>
    <w:rPr>
      <w:rFonts w:ascii="宋体"/>
      <w:sz w:val="28"/>
      <w:szCs w:val="20"/>
    </w:rPr>
  </w:style>
  <w:style w:type="paragraph" w:styleId="59">
    <w:name w:val="List Continue 2"/>
    <w:basedOn w:val="1"/>
    <w:qFormat/>
    <w:uiPriority w:val="0"/>
    <w:pPr>
      <w:spacing w:after="120"/>
      <w:ind w:left="840" w:leftChars="400"/>
    </w:pPr>
    <w:rPr>
      <w:rFonts w:ascii="宋体"/>
      <w:sz w:val="28"/>
      <w:szCs w:val="20"/>
    </w:rPr>
  </w:style>
  <w:style w:type="paragraph" w:styleId="60">
    <w:name w:val="Message Header"/>
    <w:basedOn w:val="1"/>
    <w:link w:val="106"/>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sz w:val="24"/>
      <w:szCs w:val="20"/>
    </w:rPr>
  </w:style>
  <w:style w:type="paragraph" w:styleId="61">
    <w:name w:val="HTML Preformatted"/>
    <w:basedOn w:val="1"/>
    <w:link w:val="107"/>
    <w:qFormat/>
    <w:uiPriority w:val="99"/>
    <w:rPr>
      <w:rFonts w:ascii="Courier New" w:hAnsi="Courier New"/>
      <w:sz w:val="20"/>
      <w:szCs w:val="20"/>
    </w:rPr>
  </w:style>
  <w:style w:type="paragraph" w:styleId="62">
    <w:name w:val="Normal (Web)"/>
    <w:basedOn w:val="1"/>
    <w:qFormat/>
    <w:uiPriority w:val="0"/>
    <w:rPr>
      <w:sz w:val="24"/>
      <w:szCs w:val="20"/>
    </w:rPr>
  </w:style>
  <w:style w:type="paragraph" w:styleId="63">
    <w:name w:val="List Continue 3"/>
    <w:basedOn w:val="1"/>
    <w:qFormat/>
    <w:uiPriority w:val="0"/>
    <w:pPr>
      <w:spacing w:after="120"/>
      <w:ind w:left="1260" w:leftChars="600"/>
    </w:pPr>
    <w:rPr>
      <w:rFonts w:ascii="宋体"/>
      <w:sz w:val="28"/>
      <w:szCs w:val="20"/>
    </w:rPr>
  </w:style>
  <w:style w:type="paragraph" w:styleId="64">
    <w:name w:val="Title"/>
    <w:basedOn w:val="1"/>
    <w:link w:val="108"/>
    <w:qFormat/>
    <w:uiPriority w:val="0"/>
    <w:pPr>
      <w:spacing w:before="240" w:after="60"/>
      <w:jc w:val="center"/>
      <w:outlineLvl w:val="0"/>
    </w:pPr>
    <w:rPr>
      <w:rFonts w:ascii="Arial" w:hAnsi="Arial"/>
      <w:b/>
      <w:sz w:val="32"/>
      <w:szCs w:val="20"/>
    </w:rPr>
  </w:style>
  <w:style w:type="paragraph" w:styleId="65">
    <w:name w:val="annotation subject"/>
    <w:basedOn w:val="23"/>
    <w:next w:val="23"/>
    <w:link w:val="109"/>
    <w:unhideWhenUsed/>
    <w:qFormat/>
    <w:uiPriority w:val="99"/>
    <w:rPr>
      <w:b/>
      <w:bCs/>
    </w:rPr>
  </w:style>
  <w:style w:type="paragraph" w:styleId="66">
    <w:name w:val="Body Text First Indent 2"/>
    <w:basedOn w:val="31"/>
    <w:link w:val="111"/>
    <w:qFormat/>
    <w:uiPriority w:val="0"/>
    <w:pPr>
      <w:spacing w:after="120" w:line="240" w:lineRule="auto"/>
      <w:ind w:left="420" w:leftChars="200" w:firstLine="420"/>
    </w:pPr>
    <w:rPr>
      <w:rFonts w:ascii="宋体" w:hAnsi="Times New Roman" w:eastAsia="宋体"/>
      <w:sz w:val="28"/>
      <w:szCs w:val="20"/>
    </w:rPr>
  </w:style>
  <w:style w:type="table" w:styleId="68">
    <w:name w:val="Table Grid"/>
    <w:basedOn w:val="67"/>
    <w:qFormat/>
    <w:uiPriority w:val="0"/>
    <w:rPr>
      <w:rFonts w:ascii="Calibri" w:hAnsi="Calibri"/>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70">
    <w:name w:val="Strong"/>
    <w:basedOn w:val="69"/>
    <w:qFormat/>
    <w:uiPriority w:val="0"/>
    <w:rPr>
      <w:b/>
      <w:bCs/>
    </w:rPr>
  </w:style>
  <w:style w:type="character" w:styleId="71">
    <w:name w:val="page number"/>
    <w:basedOn w:val="69"/>
    <w:qFormat/>
    <w:uiPriority w:val="0"/>
  </w:style>
  <w:style w:type="character" w:styleId="72">
    <w:name w:val="FollowedHyperlink"/>
    <w:basedOn w:val="69"/>
    <w:qFormat/>
    <w:uiPriority w:val="0"/>
    <w:rPr>
      <w:color w:val="800080"/>
      <w:u w:val="single"/>
    </w:rPr>
  </w:style>
  <w:style w:type="character" w:styleId="73">
    <w:name w:val="Emphasis"/>
    <w:basedOn w:val="69"/>
    <w:qFormat/>
    <w:uiPriority w:val="20"/>
    <w:rPr>
      <w:rFonts w:eastAsia="宋体"/>
      <w:b/>
      <w:iCs/>
      <w:color w:val="3333FF"/>
      <w:sz w:val="28"/>
    </w:rPr>
  </w:style>
  <w:style w:type="character" w:styleId="74">
    <w:name w:val="Hyperlink"/>
    <w:basedOn w:val="69"/>
    <w:qFormat/>
    <w:uiPriority w:val="0"/>
    <w:rPr>
      <w:color w:val="0000FF"/>
      <w:u w:val="single"/>
    </w:rPr>
  </w:style>
  <w:style w:type="character" w:styleId="75">
    <w:name w:val="annotation reference"/>
    <w:basedOn w:val="69"/>
    <w:unhideWhenUsed/>
    <w:qFormat/>
    <w:uiPriority w:val="99"/>
    <w:rPr>
      <w:sz w:val="21"/>
      <w:szCs w:val="21"/>
    </w:rPr>
  </w:style>
  <w:style w:type="character" w:customStyle="1" w:styleId="76">
    <w:name w:val="页眉 Char"/>
    <w:basedOn w:val="69"/>
    <w:link w:val="47"/>
    <w:qFormat/>
    <w:uiPriority w:val="99"/>
    <w:rPr>
      <w:sz w:val="18"/>
      <w:szCs w:val="18"/>
    </w:rPr>
  </w:style>
  <w:style w:type="character" w:customStyle="1" w:styleId="77">
    <w:name w:val="页脚 Char"/>
    <w:basedOn w:val="69"/>
    <w:link w:val="45"/>
    <w:qFormat/>
    <w:uiPriority w:val="99"/>
    <w:rPr>
      <w:sz w:val="18"/>
      <w:szCs w:val="18"/>
    </w:rPr>
  </w:style>
  <w:style w:type="character" w:customStyle="1" w:styleId="78">
    <w:name w:val="日期 Char"/>
    <w:basedOn w:val="69"/>
    <w:link w:val="41"/>
    <w:semiHidden/>
    <w:qFormat/>
    <w:uiPriority w:val="99"/>
    <w:rPr>
      <w:rFonts w:ascii="Times New Roman" w:hAnsi="Times New Roman" w:eastAsia="宋体" w:cs="Times New Roman"/>
      <w:szCs w:val="24"/>
    </w:rPr>
  </w:style>
  <w:style w:type="paragraph" w:styleId="79">
    <w:name w:val="List Paragraph"/>
    <w:basedOn w:val="1"/>
    <w:qFormat/>
    <w:uiPriority w:val="34"/>
    <w:pPr>
      <w:ind w:firstLine="420" w:firstLineChars="200"/>
    </w:pPr>
  </w:style>
  <w:style w:type="character" w:customStyle="1" w:styleId="80">
    <w:name w:val="标题 1 Char"/>
    <w:basedOn w:val="69"/>
    <w:link w:val="4"/>
    <w:qFormat/>
    <w:uiPriority w:val="9"/>
    <w:rPr>
      <w:rFonts w:ascii="Times New Roman" w:hAnsi="Times New Roman" w:eastAsia="宋体" w:cs="Times New Roman"/>
      <w:b/>
      <w:bCs/>
      <w:kern w:val="44"/>
      <w:sz w:val="44"/>
      <w:szCs w:val="44"/>
    </w:rPr>
  </w:style>
  <w:style w:type="character" w:customStyle="1" w:styleId="81">
    <w:name w:val="标题 2 Char"/>
    <w:basedOn w:val="69"/>
    <w:link w:val="2"/>
    <w:qFormat/>
    <w:uiPriority w:val="0"/>
    <w:rPr>
      <w:rFonts w:ascii="Arial" w:hAnsi="Arial" w:eastAsia="黑体" w:cs="Times New Roman"/>
      <w:b/>
      <w:bCs/>
      <w:sz w:val="32"/>
      <w:szCs w:val="32"/>
    </w:rPr>
  </w:style>
  <w:style w:type="character" w:customStyle="1" w:styleId="82">
    <w:name w:val="标题 3 Char"/>
    <w:basedOn w:val="69"/>
    <w:link w:val="5"/>
    <w:qFormat/>
    <w:uiPriority w:val="0"/>
    <w:rPr>
      <w:rFonts w:ascii="Times New Roman" w:hAnsi="Times New Roman" w:eastAsia="宋体" w:cs="Times New Roman"/>
      <w:b/>
      <w:sz w:val="32"/>
      <w:szCs w:val="20"/>
    </w:rPr>
  </w:style>
  <w:style w:type="character" w:customStyle="1" w:styleId="83">
    <w:name w:val="标题 4 Char"/>
    <w:basedOn w:val="69"/>
    <w:link w:val="6"/>
    <w:qFormat/>
    <w:uiPriority w:val="0"/>
    <w:rPr>
      <w:rFonts w:ascii="Arial" w:hAnsi="Arial" w:eastAsia="黑体" w:cs="Times New Roman"/>
      <w:b/>
      <w:sz w:val="28"/>
      <w:szCs w:val="20"/>
    </w:rPr>
  </w:style>
  <w:style w:type="character" w:customStyle="1" w:styleId="84">
    <w:name w:val="标题 5 Char"/>
    <w:basedOn w:val="69"/>
    <w:link w:val="7"/>
    <w:qFormat/>
    <w:uiPriority w:val="0"/>
    <w:rPr>
      <w:rFonts w:ascii="宋体" w:hAnsi="Times New Roman" w:eastAsia="宋体" w:cs="Times New Roman"/>
      <w:b/>
      <w:sz w:val="28"/>
      <w:szCs w:val="20"/>
    </w:rPr>
  </w:style>
  <w:style w:type="character" w:customStyle="1" w:styleId="85">
    <w:name w:val="标题 6 Char"/>
    <w:basedOn w:val="69"/>
    <w:link w:val="8"/>
    <w:qFormat/>
    <w:uiPriority w:val="0"/>
    <w:rPr>
      <w:rFonts w:ascii="Arial" w:hAnsi="Arial" w:eastAsia="黑体" w:cs="Times New Roman"/>
      <w:b/>
      <w:sz w:val="24"/>
      <w:szCs w:val="20"/>
    </w:rPr>
  </w:style>
  <w:style w:type="character" w:customStyle="1" w:styleId="86">
    <w:name w:val="标题 7 Char"/>
    <w:basedOn w:val="69"/>
    <w:link w:val="9"/>
    <w:qFormat/>
    <w:uiPriority w:val="0"/>
    <w:rPr>
      <w:rFonts w:ascii="Times New Roman" w:hAnsi="Times New Roman" w:eastAsia="宋体" w:cs="Times New Roman"/>
      <w:b/>
      <w:sz w:val="24"/>
      <w:szCs w:val="20"/>
    </w:rPr>
  </w:style>
  <w:style w:type="character" w:customStyle="1" w:styleId="87">
    <w:name w:val="标题 8 Char"/>
    <w:basedOn w:val="69"/>
    <w:link w:val="10"/>
    <w:qFormat/>
    <w:uiPriority w:val="0"/>
    <w:rPr>
      <w:rFonts w:ascii="Arial" w:hAnsi="Arial" w:eastAsia="黑体" w:cs="Times New Roman"/>
      <w:sz w:val="24"/>
      <w:szCs w:val="20"/>
    </w:rPr>
  </w:style>
  <w:style w:type="character" w:customStyle="1" w:styleId="88">
    <w:name w:val="标题 9 Char"/>
    <w:basedOn w:val="69"/>
    <w:link w:val="11"/>
    <w:qFormat/>
    <w:uiPriority w:val="0"/>
    <w:rPr>
      <w:rFonts w:ascii="Arial" w:hAnsi="Arial" w:eastAsia="黑体" w:cs="Times New Roman"/>
      <w:szCs w:val="20"/>
    </w:rPr>
  </w:style>
  <w:style w:type="character" w:customStyle="1" w:styleId="89">
    <w:name w:val="注释标题 Char"/>
    <w:basedOn w:val="69"/>
    <w:link w:val="14"/>
    <w:qFormat/>
    <w:uiPriority w:val="0"/>
    <w:rPr>
      <w:rFonts w:ascii="宋体" w:hAnsi="Times New Roman" w:eastAsia="宋体" w:cs="Times New Roman"/>
      <w:sz w:val="28"/>
      <w:szCs w:val="20"/>
    </w:rPr>
  </w:style>
  <w:style w:type="character" w:customStyle="1" w:styleId="90">
    <w:name w:val="电子邮件签名 Char"/>
    <w:basedOn w:val="69"/>
    <w:link w:val="16"/>
    <w:qFormat/>
    <w:uiPriority w:val="0"/>
    <w:rPr>
      <w:rFonts w:ascii="宋体" w:hAnsi="Times New Roman" w:eastAsia="宋体" w:cs="Times New Roman"/>
      <w:sz w:val="28"/>
      <w:szCs w:val="20"/>
    </w:rPr>
  </w:style>
  <w:style w:type="character" w:customStyle="1" w:styleId="91">
    <w:name w:val="文档结构图 Char"/>
    <w:basedOn w:val="69"/>
    <w:link w:val="21"/>
    <w:semiHidden/>
    <w:qFormat/>
    <w:uiPriority w:val="0"/>
    <w:rPr>
      <w:rFonts w:ascii="(使用中文字体)" w:hAnsi="(使用中文字体)" w:eastAsia="(使用中文字体)" w:cs="(使用中文字体)"/>
      <w:szCs w:val="24"/>
      <w:shd w:val="clear" w:color="auto" w:fill="000080"/>
    </w:rPr>
  </w:style>
  <w:style w:type="character" w:customStyle="1" w:styleId="92">
    <w:name w:val="批注文字 Char"/>
    <w:basedOn w:val="69"/>
    <w:link w:val="23"/>
    <w:qFormat/>
    <w:uiPriority w:val="99"/>
    <w:rPr>
      <w:rFonts w:ascii="Times New Roman" w:hAnsi="Times New Roman" w:eastAsia="宋体" w:cs="Times New Roman"/>
      <w:szCs w:val="24"/>
    </w:rPr>
  </w:style>
  <w:style w:type="character" w:customStyle="1" w:styleId="93">
    <w:name w:val="称呼 Char"/>
    <w:basedOn w:val="69"/>
    <w:link w:val="24"/>
    <w:qFormat/>
    <w:uiPriority w:val="0"/>
    <w:rPr>
      <w:rFonts w:ascii="宋体" w:hAnsi="Times New Roman" w:eastAsia="宋体" w:cs="Times New Roman"/>
      <w:sz w:val="28"/>
      <w:szCs w:val="20"/>
    </w:rPr>
  </w:style>
  <w:style w:type="character" w:customStyle="1" w:styleId="94">
    <w:name w:val="正文文本 3 Char"/>
    <w:basedOn w:val="69"/>
    <w:link w:val="25"/>
    <w:qFormat/>
    <w:uiPriority w:val="0"/>
    <w:rPr>
      <w:rFonts w:ascii="宋体" w:hAnsi="Times New Roman" w:eastAsia="宋体" w:cs="Times New Roman"/>
      <w:sz w:val="16"/>
      <w:szCs w:val="20"/>
    </w:rPr>
  </w:style>
  <w:style w:type="character" w:customStyle="1" w:styleId="95">
    <w:name w:val="结束语 Char"/>
    <w:basedOn w:val="69"/>
    <w:link w:val="26"/>
    <w:qFormat/>
    <w:uiPriority w:val="0"/>
    <w:rPr>
      <w:rFonts w:ascii="宋体" w:hAnsi="Times New Roman" w:eastAsia="宋体" w:cs="Times New Roman"/>
      <w:sz w:val="28"/>
      <w:szCs w:val="20"/>
    </w:rPr>
  </w:style>
  <w:style w:type="character" w:customStyle="1" w:styleId="96">
    <w:name w:val="正文文本 Char"/>
    <w:basedOn w:val="69"/>
    <w:link w:val="28"/>
    <w:qFormat/>
    <w:uiPriority w:val="0"/>
    <w:rPr>
      <w:rFonts w:ascii="Times New Roman" w:hAnsi="Times New Roman" w:eastAsia="黑体" w:cs="Times New Roman"/>
      <w:color w:val="FF0000"/>
      <w:sz w:val="44"/>
      <w:szCs w:val="24"/>
    </w:rPr>
  </w:style>
  <w:style w:type="character" w:customStyle="1" w:styleId="97">
    <w:name w:val="正文文本缩进 Char"/>
    <w:basedOn w:val="69"/>
    <w:link w:val="31"/>
    <w:qFormat/>
    <w:uiPriority w:val="0"/>
    <w:rPr>
      <w:rFonts w:ascii="仿宋_GB2312" w:hAnsi="宋体" w:eastAsia="仿宋_GB2312" w:cs="Times New Roman"/>
      <w:sz w:val="30"/>
      <w:szCs w:val="24"/>
    </w:rPr>
  </w:style>
  <w:style w:type="character" w:customStyle="1" w:styleId="98">
    <w:name w:val="HTML 地址 Char"/>
    <w:basedOn w:val="69"/>
    <w:link w:val="37"/>
    <w:qFormat/>
    <w:uiPriority w:val="0"/>
    <w:rPr>
      <w:rFonts w:ascii="宋体" w:hAnsi="Times New Roman" w:eastAsia="宋体" w:cs="Times New Roman"/>
      <w:i/>
      <w:sz w:val="28"/>
      <w:szCs w:val="20"/>
    </w:rPr>
  </w:style>
  <w:style w:type="character" w:customStyle="1" w:styleId="99">
    <w:name w:val="纯文本 Char"/>
    <w:basedOn w:val="69"/>
    <w:link w:val="38"/>
    <w:qFormat/>
    <w:uiPriority w:val="0"/>
    <w:rPr>
      <w:rFonts w:ascii="Courier New" w:hAnsi="Courier New" w:eastAsia="宋体" w:cs="Times New Roman"/>
      <w:sz w:val="28"/>
      <w:szCs w:val="20"/>
    </w:rPr>
  </w:style>
  <w:style w:type="character" w:customStyle="1" w:styleId="100">
    <w:name w:val="正文文本缩进 2 Char"/>
    <w:basedOn w:val="69"/>
    <w:link w:val="42"/>
    <w:qFormat/>
    <w:uiPriority w:val="0"/>
    <w:rPr>
      <w:rFonts w:ascii="宋体" w:hAnsi="宋体" w:eastAsia="宋体" w:cs="Times New Roman"/>
      <w:sz w:val="24"/>
      <w:szCs w:val="24"/>
    </w:rPr>
  </w:style>
  <w:style w:type="character" w:customStyle="1" w:styleId="101">
    <w:name w:val="批注框文本 Char"/>
    <w:basedOn w:val="69"/>
    <w:link w:val="44"/>
    <w:qFormat/>
    <w:uiPriority w:val="99"/>
    <w:rPr>
      <w:rFonts w:ascii="Times New Roman" w:hAnsi="Times New Roman" w:eastAsia="宋体" w:cs="Times New Roman"/>
      <w:sz w:val="18"/>
      <w:szCs w:val="18"/>
    </w:rPr>
  </w:style>
  <w:style w:type="character" w:customStyle="1" w:styleId="102">
    <w:name w:val="签名 Char"/>
    <w:basedOn w:val="69"/>
    <w:link w:val="48"/>
    <w:qFormat/>
    <w:uiPriority w:val="0"/>
    <w:rPr>
      <w:rFonts w:ascii="宋体" w:hAnsi="Times New Roman" w:eastAsia="宋体" w:cs="Times New Roman"/>
      <w:sz w:val="28"/>
      <w:szCs w:val="20"/>
    </w:rPr>
  </w:style>
  <w:style w:type="character" w:customStyle="1" w:styleId="103">
    <w:name w:val="副标题 Char"/>
    <w:basedOn w:val="69"/>
    <w:link w:val="51"/>
    <w:qFormat/>
    <w:uiPriority w:val="0"/>
    <w:rPr>
      <w:rFonts w:ascii="Arial" w:hAnsi="Arial" w:eastAsia="宋体" w:cs="Times New Roman"/>
      <w:b/>
      <w:kern w:val="28"/>
      <w:sz w:val="32"/>
      <w:szCs w:val="20"/>
    </w:rPr>
  </w:style>
  <w:style w:type="character" w:customStyle="1" w:styleId="104">
    <w:name w:val="正文文本缩进 3 Char"/>
    <w:basedOn w:val="69"/>
    <w:link w:val="55"/>
    <w:qFormat/>
    <w:uiPriority w:val="0"/>
    <w:rPr>
      <w:rFonts w:ascii="仿宋_GB2312" w:hAnsi="宋体" w:eastAsia="仿宋_GB2312" w:cs="Times New Roman"/>
      <w:spacing w:val="-8"/>
      <w:sz w:val="30"/>
      <w:szCs w:val="24"/>
    </w:rPr>
  </w:style>
  <w:style w:type="character" w:customStyle="1" w:styleId="105">
    <w:name w:val="正文文本 2 Char"/>
    <w:basedOn w:val="69"/>
    <w:link w:val="57"/>
    <w:qFormat/>
    <w:uiPriority w:val="0"/>
    <w:rPr>
      <w:rFonts w:ascii="宋体" w:hAnsi="宋体" w:eastAsia="宋体" w:cs="Times New Roman"/>
      <w:sz w:val="24"/>
      <w:szCs w:val="20"/>
    </w:rPr>
  </w:style>
  <w:style w:type="character" w:customStyle="1" w:styleId="106">
    <w:name w:val="信息标题 Char"/>
    <w:basedOn w:val="69"/>
    <w:link w:val="60"/>
    <w:qFormat/>
    <w:uiPriority w:val="0"/>
    <w:rPr>
      <w:rFonts w:ascii="Arial" w:hAnsi="Arial" w:eastAsia="宋体" w:cs="Times New Roman"/>
      <w:sz w:val="24"/>
      <w:szCs w:val="20"/>
      <w:shd w:val="pct20" w:color="auto" w:fill="auto"/>
    </w:rPr>
  </w:style>
  <w:style w:type="character" w:customStyle="1" w:styleId="107">
    <w:name w:val="HTML 预设格式 Char"/>
    <w:basedOn w:val="69"/>
    <w:link w:val="61"/>
    <w:qFormat/>
    <w:uiPriority w:val="99"/>
    <w:rPr>
      <w:rFonts w:ascii="Courier New" w:hAnsi="Courier New" w:eastAsia="宋体" w:cs="Times New Roman"/>
      <w:sz w:val="20"/>
      <w:szCs w:val="20"/>
    </w:rPr>
  </w:style>
  <w:style w:type="character" w:customStyle="1" w:styleId="108">
    <w:name w:val="标题 Char"/>
    <w:basedOn w:val="69"/>
    <w:link w:val="64"/>
    <w:qFormat/>
    <w:uiPriority w:val="0"/>
    <w:rPr>
      <w:rFonts w:ascii="Arial" w:hAnsi="Arial" w:eastAsia="宋体" w:cs="Times New Roman"/>
      <w:b/>
      <w:sz w:val="32"/>
      <w:szCs w:val="20"/>
    </w:rPr>
  </w:style>
  <w:style w:type="character" w:customStyle="1" w:styleId="109">
    <w:name w:val="批注主题 Char"/>
    <w:basedOn w:val="92"/>
    <w:link w:val="65"/>
    <w:qFormat/>
    <w:uiPriority w:val="99"/>
    <w:rPr>
      <w:b/>
      <w:bCs/>
    </w:rPr>
  </w:style>
  <w:style w:type="character" w:customStyle="1" w:styleId="110">
    <w:name w:val="正文首行缩进 Char"/>
    <w:basedOn w:val="96"/>
    <w:link w:val="29"/>
    <w:qFormat/>
    <w:uiPriority w:val="0"/>
    <w:rPr>
      <w:rFonts w:ascii="宋体" w:eastAsia="宋体"/>
      <w:sz w:val="28"/>
      <w:szCs w:val="20"/>
    </w:rPr>
  </w:style>
  <w:style w:type="character" w:customStyle="1" w:styleId="111">
    <w:name w:val="正文首行缩进 2 Char"/>
    <w:basedOn w:val="97"/>
    <w:link w:val="66"/>
    <w:qFormat/>
    <w:uiPriority w:val="0"/>
    <w:rPr>
      <w:rFonts w:ascii="宋体" w:hAnsi="Times New Roman" w:eastAsia="宋体"/>
      <w:sz w:val="28"/>
      <w:szCs w:val="20"/>
    </w:rPr>
  </w:style>
  <w:style w:type="character" w:customStyle="1" w:styleId="112">
    <w:name w:val="table-header"/>
    <w:basedOn w:val="69"/>
    <w:qFormat/>
    <w:uiPriority w:val="0"/>
  </w:style>
  <w:style w:type="character" w:customStyle="1" w:styleId="113">
    <w:name w:val="ptb181"/>
    <w:basedOn w:val="69"/>
    <w:qFormat/>
    <w:uiPriority w:val="0"/>
    <w:rPr>
      <w:rFonts w:hint="default" w:ascii="Verdana" w:hAnsi="Verdana"/>
      <w:b/>
      <w:bCs/>
      <w:color w:val="000000"/>
      <w:sz w:val="27"/>
      <w:szCs w:val="27"/>
    </w:rPr>
  </w:style>
  <w:style w:type="character" w:customStyle="1" w:styleId="114">
    <w:name w:val="正文缩进 Char"/>
    <w:basedOn w:val="69"/>
    <w:link w:val="3"/>
    <w:qFormat/>
    <w:uiPriority w:val="0"/>
    <w:rPr>
      <w:rFonts w:ascii="Times New Roman" w:hAnsi="Times New Roman" w:eastAsia="宋体" w:cs="Times New Roman"/>
      <w:szCs w:val="20"/>
    </w:rPr>
  </w:style>
  <w:style w:type="character" w:customStyle="1" w:styleId="115">
    <w:name w:val="Texte Char"/>
    <w:basedOn w:val="69"/>
    <w:qFormat/>
    <w:uiPriority w:val="0"/>
    <w:rPr>
      <w:rFonts w:ascii="宋体" w:hAnsi="Courier New" w:eastAsia="宋体"/>
      <w:sz w:val="21"/>
      <w:szCs w:val="21"/>
      <w:lang w:val="en-US" w:eastAsia="zh-CN" w:bidi="ar-SA"/>
    </w:rPr>
  </w:style>
  <w:style w:type="character" w:customStyle="1" w:styleId="116">
    <w:name w:val="Char Char12"/>
    <w:qFormat/>
    <w:uiPriority w:val="0"/>
    <w:rPr>
      <w:rFonts w:ascii="仿宋_GB2312" w:hAnsi="宋体" w:eastAsia="仿宋_GB2312"/>
      <w:kern w:val="2"/>
      <w:sz w:val="30"/>
      <w:szCs w:val="24"/>
      <w:lang w:val="en-US" w:eastAsia="zh-CN" w:bidi="ar-SA"/>
    </w:rPr>
  </w:style>
  <w:style w:type="character" w:customStyle="1" w:styleId="117">
    <w:name w:val="style13"/>
    <w:basedOn w:val="69"/>
    <w:qFormat/>
    <w:uiPriority w:val="0"/>
  </w:style>
  <w:style w:type="character" w:customStyle="1" w:styleId="118">
    <w:name w:val="Char Char9"/>
    <w:qFormat/>
    <w:uiPriority w:val="0"/>
    <w:rPr>
      <w:rFonts w:ascii="宋体" w:hAnsi="Courier New" w:eastAsia="宋体"/>
      <w:kern w:val="2"/>
      <w:sz w:val="21"/>
      <w:lang w:val="en-US" w:eastAsia="zh-CN" w:bidi="ar-SA"/>
    </w:rPr>
  </w:style>
  <w:style w:type="character" w:customStyle="1" w:styleId="119">
    <w:name w:val="tw4winJump"/>
    <w:qFormat/>
    <w:uiPriority w:val="0"/>
    <w:rPr>
      <w:rFonts w:ascii="Courier New" w:hAnsi="Courier New"/>
      <w:color w:val="008080"/>
    </w:rPr>
  </w:style>
  <w:style w:type="character" w:customStyle="1" w:styleId="120">
    <w:name w:val="列出段落 Char"/>
    <w:link w:val="121"/>
    <w:qFormat/>
    <w:uiPriority w:val="34"/>
  </w:style>
  <w:style w:type="paragraph" w:customStyle="1" w:styleId="121">
    <w:name w:val="列出段落1"/>
    <w:basedOn w:val="1"/>
    <w:link w:val="120"/>
    <w:qFormat/>
    <w:uiPriority w:val="34"/>
    <w:pPr>
      <w:ind w:firstLine="420" w:firstLineChars="200"/>
    </w:pPr>
    <w:rPr>
      <w:rFonts w:asciiTheme="minorHAnsi" w:hAnsiTheme="minorHAnsi" w:eastAsiaTheme="minorEastAsia" w:cstheme="minorBidi"/>
      <w:szCs w:val="22"/>
    </w:rPr>
  </w:style>
  <w:style w:type="character" w:customStyle="1" w:styleId="122">
    <w:name w:val="Char Char11"/>
    <w:qFormat/>
    <w:uiPriority w:val="0"/>
    <w:rPr>
      <w:rFonts w:ascii="宋体" w:hAnsi="Courier New" w:eastAsia="宋体"/>
      <w:kern w:val="2"/>
      <w:sz w:val="21"/>
      <w:lang w:val="en-US" w:eastAsia="zh-CN" w:bidi="ar-SA"/>
    </w:rPr>
  </w:style>
  <w:style w:type="character" w:customStyle="1" w:styleId="123">
    <w:name w:val="题注 Char"/>
    <w:link w:val="18"/>
    <w:qFormat/>
    <w:uiPriority w:val="0"/>
    <w:rPr>
      <w:rFonts w:ascii="Arial" w:hAnsi="Arial" w:eastAsia="黑体" w:cs="Arial"/>
      <w:sz w:val="20"/>
      <w:szCs w:val="20"/>
    </w:rPr>
  </w:style>
  <w:style w:type="character" w:customStyle="1" w:styleId="124">
    <w:name w:val="明显参考1"/>
    <w:basedOn w:val="69"/>
    <w:qFormat/>
    <w:uiPriority w:val="0"/>
    <w:rPr>
      <w:b/>
      <w:bCs/>
      <w:smallCaps/>
      <w:color w:val="C0504D"/>
      <w:spacing w:val="5"/>
      <w:u w:val="single"/>
    </w:rPr>
  </w:style>
  <w:style w:type="character" w:customStyle="1" w:styleId="125">
    <w:name w:val="标题 1 Char Char"/>
    <w:basedOn w:val="69"/>
    <w:qFormat/>
    <w:uiPriority w:val="0"/>
    <w:rPr>
      <w:rFonts w:eastAsia="宋体"/>
      <w:b/>
      <w:spacing w:val="-2"/>
      <w:sz w:val="24"/>
      <w:lang w:val="en-US" w:eastAsia="zh-CN" w:bidi="ar-SA"/>
    </w:rPr>
  </w:style>
  <w:style w:type="character" w:customStyle="1" w:styleId="126">
    <w:name w:val="chs1"/>
    <w:basedOn w:val="69"/>
    <w:qFormat/>
    <w:uiPriority w:val="0"/>
    <w:rPr>
      <w:rFonts w:hint="default"/>
      <w:sz w:val="18"/>
      <w:szCs w:val="18"/>
    </w:rPr>
  </w:style>
  <w:style w:type="character" w:customStyle="1" w:styleId="127">
    <w:name w:val="偏离表字体 Char"/>
    <w:link w:val="128"/>
    <w:qFormat/>
    <w:uiPriority w:val="0"/>
    <w:rPr>
      <w:rFonts w:ascii="宋体" w:hAnsi="宋体"/>
      <w:szCs w:val="21"/>
    </w:rPr>
  </w:style>
  <w:style w:type="paragraph" w:customStyle="1" w:styleId="128">
    <w:name w:val="偏离表字体"/>
    <w:basedOn w:val="1"/>
    <w:link w:val="127"/>
    <w:qFormat/>
    <w:uiPriority w:val="0"/>
    <w:pPr>
      <w:tabs>
        <w:tab w:val="left" w:pos="4212"/>
      </w:tabs>
      <w:ind w:left="1" w:right="71" w:rightChars="34"/>
      <w:jc w:val="left"/>
    </w:pPr>
    <w:rPr>
      <w:rFonts w:ascii="宋体" w:hAnsi="宋体" w:eastAsiaTheme="minorEastAsia" w:cstheme="minorBidi"/>
      <w:szCs w:val="21"/>
    </w:rPr>
  </w:style>
  <w:style w:type="character" w:customStyle="1" w:styleId="129">
    <w:name w:val="ding"/>
    <w:basedOn w:val="69"/>
    <w:qFormat/>
    <w:uiPriority w:val="0"/>
  </w:style>
  <w:style w:type="character" w:customStyle="1" w:styleId="130">
    <w:name w:val="apple-converted-space"/>
    <w:basedOn w:val="69"/>
    <w:qFormat/>
    <w:uiPriority w:val="0"/>
  </w:style>
  <w:style w:type="character" w:customStyle="1" w:styleId="131">
    <w:name w:val="style61"/>
    <w:basedOn w:val="69"/>
    <w:qFormat/>
    <w:uiPriority w:val="0"/>
    <w:rPr>
      <w:rFonts w:hint="default" w:ascii="Arial" w:hAnsi="Arial"/>
    </w:rPr>
  </w:style>
  <w:style w:type="character" w:customStyle="1" w:styleId="132">
    <w:name w:val="fontstyle01"/>
    <w:qFormat/>
    <w:uiPriority w:val="0"/>
    <w:rPr>
      <w:rFonts w:hint="eastAsia" w:ascii="宋体" w:hAnsi="宋体" w:eastAsia="宋体"/>
      <w:color w:val="000000"/>
      <w:sz w:val="22"/>
      <w:szCs w:val="22"/>
    </w:rPr>
  </w:style>
  <w:style w:type="paragraph" w:customStyle="1" w:styleId="133">
    <w:name w:val="xl2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18"/>
      <w:szCs w:val="20"/>
    </w:rPr>
  </w:style>
  <w:style w:type="paragraph" w:customStyle="1" w:styleId="134">
    <w:name w:val="_Style 10"/>
    <w:basedOn w:val="1"/>
    <w:qFormat/>
    <w:uiPriority w:val="0"/>
    <w:pPr>
      <w:spacing w:line="360" w:lineRule="auto"/>
      <w:ind w:firstLine="200" w:firstLineChars="200"/>
    </w:pPr>
  </w:style>
  <w:style w:type="paragraph" w:customStyle="1" w:styleId="135">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36">
    <w:name w:val="Char"/>
    <w:basedOn w:val="1"/>
    <w:qFormat/>
    <w:uiPriority w:val="0"/>
    <w:rPr>
      <w:rFonts w:ascii="仿宋_GB2312" w:eastAsia="仿宋_GB2312"/>
      <w:b/>
      <w:sz w:val="32"/>
      <w:szCs w:val="32"/>
    </w:rPr>
  </w:style>
  <w:style w:type="paragraph" w:customStyle="1" w:styleId="137">
    <w:name w:val="公司名"/>
    <w:basedOn w:val="1"/>
    <w:qFormat/>
    <w:uiPriority w:val="0"/>
    <w:pPr>
      <w:framePr w:w="3840" w:h="1366" w:wrap="notBeside" w:vAnchor="page" w:hAnchor="margin" w:y="889"/>
      <w:widowControl/>
      <w:adjustRightInd w:val="0"/>
      <w:spacing w:line="280" w:lineRule="atLeast"/>
      <w:jc w:val="left"/>
      <w:textAlignment w:val="baseline"/>
    </w:pPr>
    <w:rPr>
      <w:rFonts w:ascii="Arial Black" w:hAnsi="Arial Black" w:eastAsia="楷体_GB2312"/>
      <w:spacing w:val="-25"/>
      <w:kern w:val="0"/>
      <w:sz w:val="48"/>
      <w:szCs w:val="20"/>
    </w:rPr>
  </w:style>
  <w:style w:type="paragraph" w:customStyle="1" w:styleId="138">
    <w:name w:val="Default Paragraph Font Para Char"/>
    <w:basedOn w:val="1"/>
    <w:semiHidden/>
    <w:qFormat/>
    <w:uiPriority w:val="0"/>
    <w:pPr>
      <w:widowControl/>
      <w:spacing w:after="160" w:line="240" w:lineRule="exact"/>
      <w:jc w:val="left"/>
    </w:pPr>
    <w:rPr>
      <w:rFonts w:ascii="Verdana" w:hAnsi="Verdana"/>
      <w:kern w:val="0"/>
      <w:sz w:val="20"/>
      <w:szCs w:val="20"/>
      <w:lang w:eastAsia="en-US"/>
    </w:rPr>
  </w:style>
  <w:style w:type="paragraph" w:customStyle="1" w:styleId="139">
    <w:name w:val="正文段"/>
    <w:basedOn w:val="1"/>
    <w:qFormat/>
    <w:uiPriority w:val="0"/>
    <w:pPr>
      <w:widowControl/>
      <w:snapToGrid w:val="0"/>
      <w:spacing w:afterLines="50"/>
      <w:ind w:firstLine="200" w:firstLineChars="200"/>
    </w:pPr>
    <w:rPr>
      <w:kern w:val="0"/>
      <w:sz w:val="24"/>
      <w:szCs w:val="20"/>
    </w:rPr>
  </w:style>
  <w:style w:type="paragraph" w:customStyle="1" w:styleId="140">
    <w:name w:val="xl25"/>
    <w:basedOn w:val="1"/>
    <w:qFormat/>
    <w:uiPriority w:val="0"/>
    <w:pPr>
      <w:widowControl/>
      <w:spacing w:before="100" w:beforeAutospacing="1" w:after="100" w:afterAutospacing="1"/>
      <w:jc w:val="center"/>
    </w:pPr>
    <w:rPr>
      <w:rFonts w:hint="eastAsia" w:ascii="楷体_GB2312" w:hAnsi="宋体" w:eastAsia="楷体_GB2312"/>
      <w:kern w:val="0"/>
      <w:sz w:val="24"/>
    </w:rPr>
  </w:style>
  <w:style w:type="paragraph" w:customStyle="1" w:styleId="141">
    <w:name w:val="自动更正"/>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2">
    <w:name w:val="Char Char Char Char1"/>
    <w:basedOn w:val="1"/>
    <w:qFormat/>
    <w:uiPriority w:val="0"/>
    <w:rPr>
      <w:rFonts w:ascii="Tahoma" w:hAnsi="Tahoma"/>
      <w:sz w:val="24"/>
      <w:szCs w:val="20"/>
    </w:rPr>
  </w:style>
  <w:style w:type="paragraph" w:customStyle="1" w:styleId="143">
    <w:name w:val="Default"/>
    <w:qFormat/>
    <w:uiPriority w:val="0"/>
    <w:pPr>
      <w:autoSpaceDE w:val="0"/>
      <w:autoSpaceDN w:val="0"/>
      <w:adjustRightInd w:val="0"/>
    </w:pPr>
    <w:rPr>
      <w:rFonts w:ascii="Arial" w:hAnsi="Arial" w:eastAsia="宋体" w:cs="Arial"/>
      <w:color w:val="000000"/>
      <w:sz w:val="24"/>
      <w:szCs w:val="24"/>
      <w:lang w:val="en-US" w:eastAsia="zh-CN" w:bidi="ar-SA"/>
    </w:rPr>
  </w:style>
  <w:style w:type="paragraph" w:customStyle="1" w:styleId="144">
    <w:name w:val="A正文小四"/>
    <w:basedOn w:val="1"/>
    <w:qFormat/>
    <w:uiPriority w:val="0"/>
    <w:pPr>
      <w:spacing w:line="360" w:lineRule="auto"/>
      <w:ind w:firstLine="600" w:firstLineChars="200"/>
      <w:jc w:val="left"/>
    </w:pPr>
    <w:rPr>
      <w:color w:val="000000"/>
    </w:rPr>
  </w:style>
  <w:style w:type="paragraph" w:customStyle="1" w:styleId="145">
    <w:name w:val="标题1"/>
    <w:basedOn w:val="38"/>
    <w:next w:val="2"/>
    <w:qFormat/>
    <w:uiPriority w:val="0"/>
    <w:pPr>
      <w:spacing w:line="520" w:lineRule="exact"/>
      <w:jc w:val="center"/>
      <w:outlineLvl w:val="0"/>
    </w:pPr>
    <w:rPr>
      <w:rFonts w:ascii="黑体" w:hAnsi="宋体" w:eastAsia="黑体"/>
      <w:b/>
      <w:kern w:val="0"/>
      <w:sz w:val="36"/>
    </w:rPr>
  </w:style>
  <w:style w:type="paragraph" w:customStyle="1" w:styleId="146">
    <w:name w:val="Proposals body"/>
    <w:basedOn w:val="1"/>
    <w:next w:val="1"/>
    <w:qFormat/>
    <w:uiPriority w:val="0"/>
    <w:pPr>
      <w:widowControl/>
      <w:spacing w:line="360" w:lineRule="auto"/>
      <w:jc w:val="left"/>
    </w:pPr>
    <w:rPr>
      <w:rFonts w:ascii="宋体"/>
      <w:snapToGrid w:val="0"/>
      <w:color w:val="000000"/>
      <w:kern w:val="0"/>
      <w:sz w:val="24"/>
      <w:szCs w:val="20"/>
    </w:rPr>
  </w:style>
  <w:style w:type="paragraph" w:customStyle="1" w:styleId="147">
    <w:name w:val="表格内容"/>
    <w:basedOn w:val="1"/>
    <w:qFormat/>
    <w:uiPriority w:val="0"/>
    <w:pPr>
      <w:adjustRightInd w:val="0"/>
      <w:spacing w:before="40"/>
      <w:jc w:val="left"/>
      <w:textAlignment w:val="baseline"/>
    </w:pPr>
    <w:rPr>
      <w:sz w:val="24"/>
      <w:szCs w:val="20"/>
    </w:rPr>
  </w:style>
  <w:style w:type="paragraph" w:customStyle="1" w:styleId="148">
    <w:name w:val="表内文字"/>
    <w:basedOn w:val="1"/>
    <w:qFormat/>
    <w:uiPriority w:val="0"/>
    <w:pPr>
      <w:tabs>
        <w:tab w:val="left" w:pos="1418"/>
      </w:tabs>
      <w:jc w:val="center"/>
    </w:pPr>
    <w:rPr>
      <w:rFonts w:ascii="仿宋_GB2312" w:eastAsia="仿宋_GB2312"/>
      <w:spacing w:val="-20"/>
      <w:kern w:val="0"/>
      <w:sz w:val="24"/>
    </w:rPr>
  </w:style>
  <w:style w:type="paragraph" w:customStyle="1" w:styleId="149">
    <w:name w:val="a2"/>
    <w:basedOn w:val="1"/>
    <w:qFormat/>
    <w:uiPriority w:val="0"/>
    <w:pPr>
      <w:widowControl/>
      <w:spacing w:before="100" w:beforeAutospacing="1" w:after="100" w:afterAutospacing="1"/>
      <w:jc w:val="left"/>
    </w:pPr>
    <w:rPr>
      <w:rFonts w:ascii="宋体" w:hAnsi="宋体" w:cs="宋体"/>
      <w:kern w:val="0"/>
      <w:sz w:val="24"/>
    </w:rPr>
  </w:style>
  <w:style w:type="paragraph" w:customStyle="1" w:styleId="150">
    <w:name w:val="p0"/>
    <w:basedOn w:val="1"/>
    <w:qFormat/>
    <w:uiPriority w:val="99"/>
    <w:pPr>
      <w:widowControl/>
    </w:pPr>
    <w:rPr>
      <w:kern w:val="0"/>
      <w:szCs w:val="21"/>
    </w:rPr>
  </w:style>
  <w:style w:type="paragraph" w:customStyle="1" w:styleId="151">
    <w:name w:val="Char Char15"/>
    <w:basedOn w:val="1"/>
    <w:qFormat/>
    <w:uiPriority w:val="0"/>
    <w:pPr>
      <w:spacing w:line="360" w:lineRule="auto"/>
      <w:ind w:firstLine="200" w:firstLineChars="200"/>
    </w:pPr>
  </w:style>
  <w:style w:type="paragraph" w:customStyle="1" w:styleId="152">
    <w:name w:val="纯文本1"/>
    <w:basedOn w:val="1"/>
    <w:qFormat/>
    <w:uiPriority w:val="0"/>
    <w:pPr>
      <w:adjustRightInd w:val="0"/>
      <w:textAlignment w:val="baseline"/>
    </w:pPr>
    <w:rPr>
      <w:rFonts w:ascii="Courier New" w:hAnsi="Courier New"/>
      <w:sz w:val="28"/>
      <w:szCs w:val="20"/>
    </w:rPr>
  </w:style>
  <w:style w:type="paragraph" w:customStyle="1" w:styleId="153">
    <w:name w:val="xl26"/>
    <w:basedOn w:val="1"/>
    <w:qFormat/>
    <w:uiPriority w:val="0"/>
    <w:pPr>
      <w:widowControl/>
      <w:pBdr>
        <w:bottom w:val="single" w:color="auto" w:sz="4" w:space="0"/>
        <w:right w:val="single" w:color="auto" w:sz="4" w:space="0"/>
      </w:pBdr>
      <w:spacing w:before="100" w:beforeAutospacing="1" w:after="100" w:afterAutospacing="1"/>
    </w:pPr>
    <w:rPr>
      <w:rFonts w:ascii="宋体" w:hAnsi="宋体"/>
      <w:kern w:val="0"/>
      <w:sz w:val="18"/>
      <w:szCs w:val="20"/>
    </w:rPr>
  </w:style>
  <w:style w:type="paragraph" w:customStyle="1" w:styleId="154">
    <w:name w:val="Char1"/>
    <w:basedOn w:val="1"/>
    <w:qFormat/>
    <w:uiPriority w:val="0"/>
    <w:rPr>
      <w:rFonts w:ascii="仿宋_GB2312" w:eastAsia="仿宋_GB2312"/>
      <w:b/>
      <w:sz w:val="32"/>
      <w:szCs w:val="32"/>
    </w:rPr>
  </w:style>
  <w:style w:type="paragraph" w:customStyle="1" w:styleId="155">
    <w:name w:val="Char Char Char Char Char Char"/>
    <w:basedOn w:val="1"/>
    <w:qFormat/>
    <w:uiPriority w:val="0"/>
    <w:pPr>
      <w:widowControl/>
      <w:spacing w:after="160" w:line="240" w:lineRule="exact"/>
      <w:jc w:val="left"/>
    </w:pPr>
  </w:style>
  <w:style w:type="paragraph" w:customStyle="1" w:styleId="156">
    <w:name w:val="Char Char Char Char Char Char1"/>
    <w:basedOn w:val="1"/>
    <w:qFormat/>
    <w:uiPriority w:val="0"/>
    <w:pPr>
      <w:widowControl/>
      <w:spacing w:after="160" w:line="240" w:lineRule="exact"/>
      <w:jc w:val="left"/>
    </w:pPr>
    <w:rPr>
      <w:rFonts w:ascii="(使用中文字体)" w:hAnsi="(使用中文字体)" w:eastAsia="(使用中文字体)" w:cs="(使用中文字体)"/>
      <w:kern w:val="0"/>
      <w:sz w:val="20"/>
      <w:szCs w:val="20"/>
      <w:lang w:eastAsia="en-US"/>
    </w:rPr>
  </w:style>
  <w:style w:type="paragraph" w:customStyle="1" w:styleId="157">
    <w:name w:val="列出段落2"/>
    <w:basedOn w:val="1"/>
    <w:unhideWhenUsed/>
    <w:qFormat/>
    <w:uiPriority w:val="0"/>
    <w:pPr>
      <w:ind w:firstLine="420" w:firstLineChars="200"/>
    </w:pPr>
    <w:rPr>
      <w:rFonts w:ascii="Calibri" w:hAnsi="Calibri"/>
    </w:rPr>
  </w:style>
  <w:style w:type="paragraph" w:customStyle="1" w:styleId="158">
    <w:name w:val="默认段落字体 Para Char Char Char Char"/>
    <w:basedOn w:val="1"/>
    <w:qFormat/>
    <w:uiPriority w:val="0"/>
  </w:style>
  <w:style w:type="paragraph" w:customStyle="1" w:styleId="159">
    <w:name w:val="Char Char Char Char1 Char Char Char Char"/>
    <w:basedOn w:val="1"/>
    <w:qFormat/>
    <w:uiPriority w:val="0"/>
    <w:pPr>
      <w:widowControl/>
      <w:spacing w:after="160" w:line="240" w:lineRule="exact"/>
      <w:jc w:val="left"/>
    </w:pPr>
    <w:rPr>
      <w:szCs w:val="20"/>
    </w:rPr>
  </w:style>
  <w:style w:type="paragraph" w:customStyle="1" w:styleId="160">
    <w:name w:val="Char Char Char Char"/>
    <w:basedOn w:val="1"/>
    <w:qFormat/>
    <w:uiPriority w:val="0"/>
    <w:pPr>
      <w:widowControl/>
    </w:pPr>
    <w:rPr>
      <w:kern w:val="0"/>
      <w:sz w:val="24"/>
      <w:szCs w:val="20"/>
    </w:rPr>
  </w:style>
  <w:style w:type="paragraph" w:styleId="161">
    <w:name w:val="No Spacing"/>
    <w:qFormat/>
    <w:uiPriority w:val="1"/>
    <w:pPr>
      <w:widowControl w:val="0"/>
    </w:pPr>
    <w:rPr>
      <w:rFonts w:ascii="Times New Roman" w:hAnsi="Times New Roman" w:eastAsia="黑体" w:cs="Times New Roman"/>
      <w:b/>
      <w:kern w:val="2"/>
      <w:sz w:val="21"/>
      <w:szCs w:val="24"/>
      <w:lang w:val="en-US" w:eastAsia="zh-CN" w:bidi="ar-SA"/>
    </w:rPr>
  </w:style>
  <w:style w:type="paragraph" w:customStyle="1" w:styleId="162">
    <w:name w:val="正文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63">
    <w:name w:val="标题3"/>
    <w:next w:val="6"/>
    <w:qFormat/>
    <w:uiPriority w:val="0"/>
    <w:pPr>
      <w:spacing w:line="520" w:lineRule="exact"/>
      <w:outlineLvl w:val="2"/>
    </w:pPr>
    <w:rPr>
      <w:rFonts w:ascii="黑体" w:hAnsi="宋体" w:eastAsia="黑体" w:cs="Times New Roman"/>
      <w:b/>
      <w:sz w:val="28"/>
      <w:lang w:val="en-US" w:eastAsia="zh-CN" w:bidi="ar-SA"/>
    </w:rPr>
  </w:style>
  <w:style w:type="paragraph" w:customStyle="1" w:styleId="164">
    <w:name w:val="Char Char Char1 Char"/>
    <w:basedOn w:val="1"/>
    <w:qFormat/>
    <w:uiPriority w:val="0"/>
    <w:pPr>
      <w:spacing w:line="360" w:lineRule="auto"/>
      <w:ind w:firstLine="200" w:firstLineChars="200"/>
    </w:pPr>
    <w:rPr>
      <w:rFonts w:ascii="宋体" w:hAnsi="宋体" w:cs="宋体"/>
      <w:b/>
      <w:sz w:val="24"/>
    </w:rPr>
  </w:style>
  <w:style w:type="paragraph" w:customStyle="1" w:styleId="165">
    <w:name w:val="Char Char Char Char1 Char Char Char Char1"/>
    <w:basedOn w:val="1"/>
    <w:qFormat/>
    <w:uiPriority w:val="0"/>
    <w:pPr>
      <w:widowControl/>
      <w:spacing w:after="160" w:line="240" w:lineRule="exact"/>
      <w:jc w:val="left"/>
    </w:pPr>
    <w:rPr>
      <w:szCs w:val="20"/>
    </w:rPr>
  </w:style>
  <w:style w:type="paragraph" w:customStyle="1" w:styleId="166">
    <w:name w:val="标题4"/>
    <w:next w:val="1"/>
    <w:qFormat/>
    <w:uiPriority w:val="0"/>
    <w:pPr>
      <w:spacing w:line="520" w:lineRule="exact"/>
      <w:ind w:firstLine="200" w:firstLineChars="200"/>
      <w:outlineLvl w:val="3"/>
    </w:pPr>
    <w:rPr>
      <w:rFonts w:ascii="宋体" w:hAnsi="Times New Roman" w:eastAsia="宋体" w:cs="Times New Roman"/>
      <w:b/>
      <w:kern w:val="44"/>
      <w:sz w:val="28"/>
      <w:lang w:val="en-US" w:eastAsia="zh-CN" w:bidi="ar-SA"/>
    </w:rPr>
  </w:style>
  <w:style w:type="paragraph" w:customStyle="1" w:styleId="167">
    <w:name w:val="标题2"/>
    <w:next w:val="5"/>
    <w:qFormat/>
    <w:uiPriority w:val="0"/>
    <w:pPr>
      <w:spacing w:line="520" w:lineRule="exact"/>
      <w:jc w:val="center"/>
      <w:outlineLvl w:val="1"/>
    </w:pPr>
    <w:rPr>
      <w:rFonts w:ascii="黑体" w:hAnsi="宋体" w:eastAsia="黑体" w:cs="Times New Roman"/>
      <w:b/>
      <w:sz w:val="36"/>
      <w:lang w:val="en-US" w:eastAsia="zh-CN" w:bidi="ar-SA"/>
    </w:rPr>
  </w:style>
  <w:style w:type="paragraph" w:customStyle="1" w:styleId="168">
    <w:name w:val="Char Char Char Char2"/>
    <w:basedOn w:val="1"/>
    <w:qFormat/>
    <w:uiPriority w:val="0"/>
    <w:pPr>
      <w:widowControl/>
    </w:pPr>
    <w:rPr>
      <w:kern w:val="0"/>
      <w:sz w:val="24"/>
      <w:szCs w:val="20"/>
    </w:rPr>
  </w:style>
  <w:style w:type="paragraph" w:customStyle="1" w:styleId="169">
    <w:name w:val="样式3"/>
    <w:basedOn w:val="38"/>
    <w:qFormat/>
    <w:uiPriority w:val="0"/>
    <w:pPr>
      <w:spacing w:line="0" w:lineRule="atLeast"/>
      <w:outlineLvl w:val="0"/>
    </w:pPr>
  </w:style>
  <w:style w:type="character" w:customStyle="1" w:styleId="170">
    <w:name w:val="无"/>
    <w:qFormat/>
    <w:uiPriority w:val="0"/>
  </w:style>
  <w:style w:type="character" w:customStyle="1" w:styleId="171">
    <w:name w:val="页码1"/>
    <w:qFormat/>
    <w:uiPriority w:val="0"/>
    <w:rPr>
      <w:lang w:val="zh-TW" w:eastAsia="zh-TW"/>
    </w:rPr>
  </w:style>
  <w:style w:type="character" w:customStyle="1" w:styleId="172">
    <w:name w:val="明显参考2"/>
    <w:basedOn w:val="69"/>
    <w:qFormat/>
    <w:uiPriority w:val="0"/>
    <w:rPr>
      <w:b/>
      <w:bCs/>
      <w:smallCaps/>
      <w:color w:val="C0504D"/>
      <w:spacing w:val="5"/>
      <w:u w:val="single"/>
    </w:rPr>
  </w:style>
  <w:style w:type="paragraph" w:customStyle="1" w:styleId="173">
    <w:name w:val="列表段落1"/>
    <w:basedOn w:val="1"/>
    <w:qFormat/>
    <w:uiPriority w:val="0"/>
    <w:pPr>
      <w:widowControl/>
      <w:topLinePunct/>
      <w:adjustRightInd w:val="0"/>
      <w:snapToGrid w:val="0"/>
      <w:spacing w:line="360" w:lineRule="auto"/>
      <w:ind w:firstLine="420" w:firstLineChars="200"/>
      <w:jc w:val="left"/>
    </w:pPr>
    <w:rPr>
      <w:rFonts w:ascii="Calibri" w:hAnsi="Calibri"/>
      <w:szCs w:val="21"/>
    </w:rPr>
  </w:style>
  <w:style w:type="character" w:customStyle="1" w:styleId="174">
    <w:name w:val="font31"/>
    <w:basedOn w:val="69"/>
    <w:qFormat/>
    <w:uiPriority w:val="0"/>
    <w:rPr>
      <w:rFonts w:hint="eastAsia" w:ascii="宋体" w:hAnsi="宋体" w:eastAsia="宋体" w:cs="宋体"/>
      <w:color w:val="000000"/>
      <w:sz w:val="21"/>
      <w:szCs w:val="21"/>
      <w:u w:val="none"/>
    </w:rPr>
  </w:style>
  <w:style w:type="paragraph" w:customStyle="1" w:styleId="175">
    <w:name w:val="列出段落11"/>
    <w:basedOn w:val="1"/>
    <w:qFormat/>
    <w:uiPriority w:val="34"/>
    <w:pPr>
      <w:widowControl/>
      <w:topLinePunct/>
      <w:adjustRightInd w:val="0"/>
      <w:snapToGrid w:val="0"/>
      <w:spacing w:line="360" w:lineRule="auto"/>
      <w:ind w:firstLine="420" w:firstLineChars="200"/>
      <w:jc w:val="left"/>
    </w:pPr>
    <w:rPr>
      <w:rFonts w:ascii="Calibri" w:hAnsi="Calibri"/>
      <w:szCs w:val="21"/>
    </w:rPr>
  </w:style>
  <w:style w:type="paragraph" w:customStyle="1" w:styleId="176">
    <w:name w:val="Table Text"/>
    <w:qFormat/>
    <w:uiPriority w:val="0"/>
    <w:pPr>
      <w:tabs>
        <w:tab w:val="decimal" w:pos="0"/>
      </w:tabs>
    </w:pPr>
    <w:rPr>
      <w:rFonts w:ascii="Arial" w:hAnsi="Arial" w:eastAsia="宋体" w:cs="Times New Roman"/>
      <w:sz w:val="21"/>
      <w:szCs w:val="21"/>
      <w:lang w:val="en-US" w:eastAsia="zh-CN" w:bidi="ar-SA"/>
    </w:rPr>
  </w:style>
  <w:style w:type="character" w:customStyle="1" w:styleId="177">
    <w:name w:val="font11"/>
    <w:qFormat/>
    <w:uiPriority w:val="0"/>
    <w:rPr>
      <w:rFonts w:hint="default" w:ascii="Arial" w:hAnsi="Arial" w:cs="Arial"/>
      <w:color w:val="000000"/>
      <w:sz w:val="18"/>
      <w:szCs w:val="18"/>
      <w:u w:val="none"/>
    </w:rPr>
  </w:style>
  <w:style w:type="character" w:customStyle="1" w:styleId="178">
    <w:name w:val="font01"/>
    <w:qFormat/>
    <w:uiPriority w:val="0"/>
    <w:rPr>
      <w:rFonts w:hint="eastAsia" w:ascii="宋体" w:hAnsi="宋体" w:eastAsia="宋体" w:cs="宋体"/>
      <w:color w:val="000000"/>
      <w:sz w:val="18"/>
      <w:szCs w:val="18"/>
      <w:u w:val="none"/>
    </w:rPr>
  </w:style>
  <w:style w:type="character" w:customStyle="1" w:styleId="179">
    <w:name w:val="标题 1 Char Char Char"/>
    <w:qFormat/>
    <w:uiPriority w:val="0"/>
    <w:rPr>
      <w:rFonts w:eastAsia="宋体"/>
      <w:b/>
      <w:spacing w:val="-2"/>
      <w:sz w:val="24"/>
      <w:lang w:val="en-US" w:eastAsia="zh-CN" w:bidi="ar-SA"/>
    </w:rPr>
  </w:style>
  <w:style w:type="paragraph" w:customStyle="1" w:styleId="180">
    <w:name w:val="p1"/>
    <w:basedOn w:val="1"/>
    <w:qFormat/>
    <w:uiPriority w:val="0"/>
    <w:pPr>
      <w:spacing w:line="380" w:lineRule="atLeast"/>
      <w:jc w:val="left"/>
    </w:pPr>
    <w:rPr>
      <w:rFonts w:ascii="Helvetica Neue" w:hAnsi="Helvetica Neue" w:eastAsia="Helvetica Neue"/>
      <w:color w:val="000000"/>
      <w:kern w:val="0"/>
      <w:sz w:val="26"/>
      <w:szCs w:val="26"/>
    </w:rPr>
  </w:style>
  <w:style w:type="paragraph" w:customStyle="1" w:styleId="181">
    <w:name w:val="_Style 2"/>
    <w:basedOn w:val="1"/>
    <w:qFormat/>
    <w:uiPriority w:val="34"/>
    <w:pPr>
      <w:autoSpaceDE w:val="0"/>
      <w:autoSpaceDN w:val="0"/>
      <w:adjustRightInd w:val="0"/>
      <w:ind w:firstLine="420" w:firstLineChars="200"/>
    </w:pPr>
    <w:rPr>
      <w:color w:val="000000"/>
      <w:kern w:val="0"/>
      <w:szCs w:val="21"/>
    </w:rPr>
  </w:style>
  <w:style w:type="paragraph" w:customStyle="1" w:styleId="182">
    <w:name w:val="Item List in Table"/>
    <w:basedOn w:val="1"/>
    <w:qFormat/>
    <w:uiPriority w:val="0"/>
    <w:pPr>
      <w:widowControl/>
      <w:numPr>
        <w:ilvl w:val="0"/>
        <w:numId w:val="1"/>
      </w:numPr>
      <w:topLinePunct/>
      <w:adjustRightInd w:val="0"/>
      <w:snapToGrid w:val="0"/>
      <w:spacing w:before="80" w:after="80" w:line="240" w:lineRule="atLeast"/>
      <w:jc w:val="left"/>
    </w:pPr>
    <w:rPr>
      <w:rFonts w:hint="eastAsia" w:cs="Arial"/>
      <w:kern w:val="0"/>
      <w:szCs w:val="21"/>
    </w:rPr>
  </w:style>
  <w:style w:type="paragraph" w:customStyle="1" w:styleId="183">
    <w:name w:val="正文（深信服）"/>
    <w:qFormat/>
    <w:uiPriority w:val="0"/>
    <w:pPr>
      <w:spacing w:line="360" w:lineRule="auto"/>
    </w:pPr>
    <w:rPr>
      <w:rFonts w:ascii="Arial" w:hAnsi="Arial" w:eastAsia="宋体" w:cs="Times New Roman"/>
      <w:kern w:val="2"/>
      <w:sz w:val="21"/>
      <w:szCs w:val="21"/>
      <w:lang w:val="en-US" w:eastAsia="zh-CN" w:bidi="ar-SA"/>
    </w:rPr>
  </w:style>
  <w:style w:type="paragraph" w:customStyle="1" w:styleId="184">
    <w:name w:val="0"/>
    <w:qFormat/>
    <w:uiPriority w:val="0"/>
    <w:pPr>
      <w:snapToGrid w:val="0"/>
      <w:jc w:val="both"/>
    </w:pPr>
    <w:rPr>
      <w:rFonts w:ascii="Times New Roman" w:hAnsi="Times New Roman" w:eastAsia="宋体" w:cs="Times New Roman"/>
      <w:sz w:val="21"/>
      <w:szCs w:val="21"/>
      <w:lang w:val="en-US" w:eastAsia="zh-CN" w:bidi="ar-SA"/>
    </w:rPr>
  </w:style>
  <w:style w:type="paragraph" w:customStyle="1" w:styleId="185">
    <w:name w:val="表格 内容"/>
    <w:basedOn w:val="1"/>
    <w:qFormat/>
    <w:uiPriority w:val="0"/>
    <w:pPr>
      <w:spacing w:before="50" w:beforeLines="50" w:after="50" w:afterLines="50" w:line="360" w:lineRule="auto"/>
      <w:jc w:val="center"/>
    </w:pPr>
    <w:rPr>
      <w:rFonts w:ascii="微软雅黑" w:hAnsi="微软雅黑" w:eastAsia="仿宋"/>
      <w:sz w:val="24"/>
      <w:szCs w:val="20"/>
    </w:rPr>
  </w:style>
  <w:style w:type="table" w:customStyle="1" w:styleId="186">
    <w:name w:val="TableGrid"/>
    <w:qFormat/>
    <w:uiPriority w:val="0"/>
    <w:tblPr>
      <w:tblCellMar>
        <w:top w:w="0" w:type="dxa"/>
        <w:left w:w="0" w:type="dxa"/>
        <w:bottom w:w="0" w:type="dxa"/>
        <w:right w:w="0" w:type="dxa"/>
      </w:tblCellMar>
    </w:tblPr>
  </w:style>
  <w:style w:type="paragraph" w:customStyle="1" w:styleId="187">
    <w:name w:val="正文2"/>
    <w:basedOn w:val="1"/>
    <w:qFormat/>
    <w:uiPriority w:val="0"/>
    <w:pPr>
      <w:spacing w:before="156" w:line="360" w:lineRule="auto"/>
      <w:ind w:firstLine="510" w:firstLineChars="200"/>
    </w:pPr>
    <w:rPr>
      <w:sz w:val="24"/>
      <w:szCs w:val="20"/>
    </w:rPr>
  </w:style>
  <w:style w:type="paragraph" w:customStyle="1" w:styleId="188">
    <w:name w:val="样式 正文2 + 仿宋_GB2312 黑色 段前: 0 磅 行距: 固定值 23 磅"/>
    <w:basedOn w:val="187"/>
    <w:qFormat/>
    <w:uiPriority w:val="0"/>
    <w:pPr>
      <w:spacing w:before="0" w:line="360" w:lineRule="exact"/>
      <w:ind w:left="-51" w:leftChars="-51" w:firstLine="0" w:firstLineChars="0"/>
    </w:pPr>
    <w:rPr>
      <w:rFonts w:ascii="仿宋_GB2312" w:hAnsi="仿宋_GB2312" w:eastAsia="仿宋_GB2312" w:cs="宋体"/>
      <w:color w:val="000000"/>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EB0F00B-A105-4B22-B28E-8C2D44BF8E96}">
  <ds:schemaRefs/>
</ds:datastoreItem>
</file>

<file path=docProps/app.xml><?xml version="1.0" encoding="utf-8"?>
<Properties xmlns="http://schemas.openxmlformats.org/officeDocument/2006/extended-properties" xmlns:vt="http://schemas.openxmlformats.org/officeDocument/2006/docPropsVTypes">
  <Template>Normal</Template>
  <Pages>60</Pages>
  <Words>25323</Words>
  <Characters>26080</Characters>
  <Lines>194</Lines>
  <Paragraphs>54</Paragraphs>
  <TotalTime>22</TotalTime>
  <ScaleCrop>false</ScaleCrop>
  <LinksUpToDate>false</LinksUpToDate>
  <CharactersWithSpaces>26889</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2020-06-08T01:48:00Z</dcterms:created>
  <dc:creator>user</dc:creator>
  <cp:lastModifiedBy>Administrator</cp:lastModifiedBy>
  <cp:lastPrinted>2023-11-09T06:36:00Z</cp:lastPrinted>
  <dcterms:modified xsi:type="dcterms:W3CDTF">2023-12-08T06:17:35Z</dcterms:modified>
  <cp:revision>246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BA60D707543B4BF4B99059D848A635BC_13</vt:lpwstr>
  </property>
</Properties>
</file>