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auto"/>
          <w:sz w:val="40"/>
          <w:szCs w:val="44"/>
          <w:highlight w:val="none"/>
        </w:rPr>
      </w:pPr>
      <w:bookmarkStart w:id="72" w:name="_GoBack"/>
      <w:bookmarkEnd w:id="72"/>
      <w:r>
        <w:rPr>
          <w:rFonts w:hint="eastAsia" w:ascii="宋体" w:hAnsi="宋体"/>
          <w:b/>
          <w:color w:val="auto"/>
          <w:sz w:val="40"/>
          <w:szCs w:val="44"/>
          <w:highlight w:val="none"/>
          <w:lang w:eastAsia="zh-CN"/>
        </w:rPr>
        <w:t>掌起镇交管站综合安保辅助管理服务</w:t>
      </w:r>
      <w:r>
        <w:rPr>
          <w:rFonts w:hint="eastAsia" w:ascii="宋体" w:hAnsi="宋体"/>
          <w:b/>
          <w:color w:val="auto"/>
          <w:sz w:val="40"/>
          <w:szCs w:val="44"/>
          <w:highlight w:val="none"/>
        </w:rPr>
        <w:t>采购项目</w:t>
      </w:r>
    </w:p>
    <w:p>
      <w:pPr>
        <w:spacing w:after="120" w:line="900" w:lineRule="exact"/>
        <w:jc w:val="center"/>
        <w:rPr>
          <w:rFonts w:ascii="宋体" w:hAnsi="宋体"/>
          <w:b/>
          <w:color w:val="auto"/>
          <w:sz w:val="48"/>
          <w:szCs w:val="52"/>
          <w:highlight w:val="none"/>
        </w:rPr>
      </w:pPr>
      <w:r>
        <w:rPr>
          <w:rFonts w:hint="eastAsia" w:ascii="宋体" w:hAnsi="宋体"/>
          <w:b/>
          <w:color w:val="auto"/>
          <w:sz w:val="48"/>
          <w:szCs w:val="52"/>
          <w:highlight w:val="none"/>
        </w:rPr>
        <w:t>政府采购</w:t>
      </w:r>
    </w:p>
    <w:p>
      <w:pPr>
        <w:pStyle w:val="30"/>
        <w:rPr>
          <w:rFonts w:hint="eastAsia"/>
          <w:color w:val="auto"/>
          <w:sz w:val="28"/>
          <w:szCs w:val="24"/>
          <w:highlight w:val="none"/>
          <w:lang w:val="en-US" w:eastAsia="zh-CN"/>
        </w:rPr>
      </w:pPr>
      <w:r>
        <w:rPr>
          <w:rFonts w:hint="eastAsia"/>
          <w:color w:val="auto"/>
          <w:sz w:val="28"/>
          <w:szCs w:val="24"/>
          <w:highlight w:val="none"/>
          <w:lang w:val="en-US" w:eastAsia="zh-CN"/>
        </w:rPr>
        <w:t xml:space="preserve"> </w:t>
      </w:r>
    </w:p>
    <w:p>
      <w:pPr>
        <w:pStyle w:val="30"/>
        <w:rPr>
          <w:rFonts w:hint="eastAsia"/>
          <w:color w:val="auto"/>
          <w:sz w:val="28"/>
          <w:szCs w:val="24"/>
          <w:highlight w:val="none"/>
          <w:lang w:val="en-US" w:eastAsia="zh-CN"/>
        </w:rPr>
      </w:pPr>
      <w:r>
        <w:rPr>
          <w:rFonts w:hint="eastAsia"/>
          <w:color w:val="auto"/>
          <w:sz w:val="28"/>
          <w:szCs w:val="24"/>
          <w:highlight w:val="none"/>
          <w:lang w:val="en-US" w:eastAsia="zh-CN"/>
        </w:rPr>
        <w:t xml:space="preserve"> </w:t>
      </w:r>
    </w:p>
    <w:p>
      <w:pPr>
        <w:pStyle w:val="30"/>
        <w:rPr>
          <w:rFonts w:hint="eastAsia"/>
          <w:color w:val="auto"/>
          <w:sz w:val="28"/>
          <w:szCs w:val="24"/>
          <w:highlight w:val="none"/>
          <w:lang w:val="en-US" w:eastAsia="zh-CN"/>
        </w:rPr>
      </w:pP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pPr>
        <w:rPr>
          <w:rFonts w:ascii="宋体" w:hAnsi="宋体"/>
          <w:b/>
          <w:color w:val="auto"/>
          <w:sz w:val="36"/>
          <w:szCs w:val="36"/>
          <w:highlight w:val="none"/>
        </w:rPr>
      </w:pPr>
    </w:p>
    <w:p>
      <w:pPr>
        <w:pStyle w:val="3"/>
        <w:rPr>
          <w:color w:val="auto"/>
          <w:highlight w:val="none"/>
        </w:rPr>
      </w:pPr>
    </w:p>
    <w:p>
      <w:pPr>
        <w:spacing w:line="700" w:lineRule="exact"/>
        <w:rPr>
          <w:rFonts w:hint="eastAsia" w:ascii="宋体" w:hAnsi="宋体"/>
          <w:b/>
          <w:color w:val="auto"/>
          <w:sz w:val="28"/>
          <w:szCs w:val="28"/>
          <w:highlight w:val="none"/>
        </w:rPr>
      </w:pPr>
      <w:r>
        <w:rPr>
          <w:rFonts w:hint="eastAsia" w:ascii="宋体" w:hAnsi="宋体"/>
          <w:b/>
          <w:color w:val="auto"/>
          <w:sz w:val="28"/>
          <w:szCs w:val="28"/>
          <w:highlight w:val="none"/>
        </w:rPr>
        <w:t>项目编号：</w:t>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HYPERLINK "https://pay.zcygov.cn/purchaseplan_front/" \l "/plan/list/detail?id=1000000000007380172&amp;encrypt=87a787e5734cc1a9c65464f9d8fae133" \t "_blank" </w:instrText>
      </w:r>
      <w:r>
        <w:rPr>
          <w:rFonts w:ascii="宋体" w:hAnsi="宋体"/>
          <w:b/>
          <w:color w:val="auto"/>
          <w:sz w:val="28"/>
          <w:szCs w:val="28"/>
          <w:highlight w:val="none"/>
        </w:rPr>
        <w:fldChar w:fldCharType="separate"/>
      </w:r>
      <w:r>
        <w:rPr>
          <w:rFonts w:hint="eastAsia" w:ascii="宋体" w:hAnsi="宋体"/>
          <w:b/>
          <w:color w:val="auto"/>
          <w:sz w:val="28"/>
          <w:szCs w:val="28"/>
          <w:highlight w:val="none"/>
          <w:lang w:eastAsia="zh-CN"/>
        </w:rPr>
        <w:t>330282202310006863</w:t>
      </w:r>
      <w:r>
        <w:rPr>
          <w:rFonts w:ascii="宋体" w:hAnsi="宋体"/>
          <w:b/>
          <w:color w:val="auto"/>
          <w:sz w:val="28"/>
          <w:szCs w:val="28"/>
          <w:highlight w:val="none"/>
        </w:rPr>
        <w:fldChar w:fldCharType="end"/>
      </w:r>
    </w:p>
    <w:p>
      <w:pPr>
        <w:spacing w:line="7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慈溪市掌起镇人民政府</w:t>
      </w:r>
    </w:p>
    <w:p>
      <w:pPr>
        <w:spacing w:line="700" w:lineRule="exact"/>
        <w:rPr>
          <w:rFonts w:hint="eastAsia" w:ascii="宋体" w:hAnsi="宋体"/>
          <w:b/>
          <w:color w:val="auto"/>
          <w:sz w:val="28"/>
          <w:szCs w:val="28"/>
          <w:highlight w:val="none"/>
        </w:rPr>
      </w:pPr>
      <w:r>
        <w:rPr>
          <w:rFonts w:hint="eastAsia" w:ascii="宋体" w:hAnsi="宋体"/>
          <w:b/>
          <w:color w:val="auto"/>
          <w:sz w:val="28"/>
          <w:szCs w:val="28"/>
          <w:highlight w:val="none"/>
        </w:rPr>
        <w:t>代理机构：慈溪永真工程管理有限公司</w:t>
      </w:r>
    </w:p>
    <w:p>
      <w:pPr>
        <w:tabs>
          <w:tab w:val="center" w:pos="4196"/>
        </w:tabs>
        <w:spacing w:line="700" w:lineRule="exact"/>
        <w:rPr>
          <w:rFonts w:hint="eastAsia"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3年</w:t>
      </w:r>
      <w:r>
        <w:rPr>
          <w:rFonts w:hint="eastAsia" w:ascii="宋体" w:hAnsi="宋体"/>
          <w:b/>
          <w:color w:val="auto"/>
          <w:sz w:val="28"/>
          <w:szCs w:val="28"/>
          <w:highlight w:val="none"/>
          <w:lang w:val="en-US" w:eastAsia="zh-CN"/>
        </w:rPr>
        <w:t>1</w:t>
      </w:r>
      <w:r>
        <w:rPr>
          <w:rFonts w:hint="eastAsia" w:ascii="宋体" w:hAnsi="宋体"/>
          <w:b/>
          <w:color w:val="auto"/>
          <w:sz w:val="28"/>
          <w:szCs w:val="28"/>
          <w:highlight w:val="none"/>
          <w:lang w:val="en-US" w:eastAsia="zh-CN"/>
        </w:rPr>
        <w:t>0</w:t>
      </w:r>
      <w:r>
        <w:rPr>
          <w:rFonts w:hint="eastAsia" w:ascii="宋体" w:hAnsi="宋体"/>
          <w:b/>
          <w:color w:val="auto"/>
          <w:sz w:val="28"/>
          <w:szCs w:val="28"/>
          <w:highlight w:val="none"/>
        </w:rPr>
        <w:t>月</w:t>
      </w:r>
    </w:p>
    <w:p>
      <w:pPr>
        <w:spacing w:line="1200" w:lineRule="exact"/>
        <w:jc w:val="both"/>
        <w:rPr>
          <w:rFonts w:hint="eastAsia" w:ascii="宋体" w:hAnsi="宋体"/>
          <w:b/>
          <w:color w:val="auto"/>
          <w:sz w:val="56"/>
          <w:szCs w:val="56"/>
          <w:highlight w:val="none"/>
        </w:rPr>
        <w:sectPr>
          <w:headerReference r:id="rId3" w:type="default"/>
          <w:footerReference r:id="rId4" w:type="default"/>
          <w:type w:val="nextColumn"/>
          <w:pgSz w:w="11907" w:h="16840"/>
          <w:pgMar w:top="1361" w:right="1757" w:bottom="1423" w:left="1757" w:header="569" w:footer="700" w:gutter="0"/>
          <w:cols w:space="720" w:num="1"/>
          <w:docGrid w:linePitch="285" w:charSpace="0"/>
        </w:sectPr>
      </w:pPr>
    </w:p>
    <w:p>
      <w:pPr>
        <w:spacing w:line="1200" w:lineRule="exact"/>
        <w:jc w:val="center"/>
        <w:rPr>
          <w:rFonts w:ascii="宋体" w:hAnsi="宋体"/>
          <w:b/>
          <w:color w:val="auto"/>
          <w:sz w:val="72"/>
          <w:szCs w:val="72"/>
          <w:highlight w:val="none"/>
        </w:rPr>
      </w:pPr>
      <w:r>
        <w:rPr>
          <w:rFonts w:hint="eastAsia" w:ascii="宋体" w:hAnsi="宋体"/>
          <w:b/>
          <w:color w:val="auto"/>
          <w:sz w:val="56"/>
          <w:szCs w:val="56"/>
          <w:highlight w:val="none"/>
        </w:rPr>
        <w:t>温馨提醒</w:t>
      </w:r>
    </w:p>
    <w:p>
      <w:pPr>
        <w:spacing w:line="920" w:lineRule="exact"/>
        <w:ind w:firstLine="562" w:firstLineChars="200"/>
        <w:jc w:val="left"/>
        <w:rPr>
          <w:rFonts w:ascii="宋体" w:hAnsi="宋体"/>
          <w:b/>
          <w:color w:val="auto"/>
          <w:sz w:val="28"/>
          <w:szCs w:val="28"/>
          <w:highlight w:val="none"/>
        </w:rPr>
      </w:pPr>
    </w:p>
    <w:p>
      <w:pPr>
        <w:spacing w:line="920" w:lineRule="exact"/>
        <w:ind w:firstLine="562" w:firstLineChars="200"/>
        <w:jc w:val="left"/>
        <w:rPr>
          <w:rFonts w:ascii="宋体" w:hAnsi="宋体"/>
          <w:b/>
          <w:color w:val="auto"/>
          <w:sz w:val="28"/>
          <w:szCs w:val="28"/>
          <w:highlight w:val="none"/>
        </w:rPr>
      </w:pPr>
      <w:r>
        <w:rPr>
          <w:rFonts w:ascii="宋体" w:hAnsi="宋体"/>
          <w:b/>
          <w:color w:val="auto"/>
          <w:sz w:val="28"/>
          <w:szCs w:val="28"/>
          <w:highlight w:val="none"/>
        </w:rPr>
        <w:t>1</w:t>
      </w:r>
      <w:r>
        <w:rPr>
          <w:rFonts w:hint="eastAsia" w:ascii="宋体" w:hAnsi="宋体"/>
          <w:b/>
          <w:color w:val="auto"/>
          <w:sz w:val="28"/>
          <w:szCs w:val="28"/>
          <w:highlight w:val="none"/>
        </w:rPr>
        <w:t>.投标文件应按招标文件要求将“资格文件”、“商务和技术文件”、“报价文件”分别编制。</w:t>
      </w:r>
    </w:p>
    <w:p>
      <w:pPr>
        <w:spacing w:line="920" w:lineRule="exact"/>
        <w:ind w:firstLine="562" w:firstLineChars="200"/>
        <w:jc w:val="left"/>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.“商务和技术文件”中不得出现涉及投标价格的内容，否则作无效标处理。</w:t>
      </w:r>
    </w:p>
    <w:p>
      <w:pPr>
        <w:spacing w:line="920" w:lineRule="exact"/>
        <w:ind w:firstLine="562" w:firstLineChars="200"/>
        <w:jc w:val="left"/>
        <w:rPr>
          <w:rFonts w:hint="eastAsia" w:ascii="宋体" w:hAnsi="宋体"/>
          <w:b/>
          <w:color w:val="auto"/>
          <w:sz w:val="28"/>
          <w:szCs w:val="28"/>
          <w:highlight w:val="none"/>
        </w:rPr>
      </w:pPr>
      <w:r>
        <w:rPr>
          <w:rFonts w:hint="eastAsia" w:ascii="宋体" w:hAnsi="宋体"/>
          <w:b/>
          <w:color w:val="auto"/>
          <w:sz w:val="28"/>
          <w:szCs w:val="28"/>
          <w:highlight w:val="none"/>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color w:val="auto"/>
          <w:sz w:val="52"/>
          <w:szCs w:val="52"/>
          <w:highlight w:val="none"/>
        </w:rPr>
      </w:pPr>
      <w:r>
        <w:rPr>
          <w:rFonts w:ascii="宋体" w:hAnsi="宋体"/>
          <w:b/>
          <w:bCs/>
          <w:color w:val="auto"/>
          <w:sz w:val="32"/>
          <w:szCs w:val="32"/>
          <w:highlight w:val="none"/>
        </w:rPr>
        <w:br w:type="page"/>
      </w: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32"/>
        <w:tabs>
          <w:tab w:val="right" w:leader="dot" w:pos="8393"/>
          <w:tab w:val="clear" w:pos="8721"/>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_Toc2699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_Toc2699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_Toc18897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_Toc18897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2"/>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_Toc18361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_Toc18361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2"/>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_Toc31491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采购合同样本</w:t>
      </w:r>
      <w:r>
        <w:rPr>
          <w:color w:val="auto"/>
          <w:highlight w:val="none"/>
        </w:rPr>
        <w:tab/>
      </w:r>
      <w:r>
        <w:rPr>
          <w:color w:val="auto"/>
          <w:highlight w:val="none"/>
        </w:rPr>
        <w:fldChar w:fldCharType="begin"/>
      </w:r>
      <w:r>
        <w:rPr>
          <w:color w:val="auto"/>
          <w:highlight w:val="none"/>
        </w:rPr>
        <w:instrText xml:space="preserve"> PAGEREF _Toc31491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2"/>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_Toc31122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_Toc31122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2"/>
        <w:tabs>
          <w:tab w:val="right" w:leader="dot" w:pos="8393"/>
          <w:tab w:val="clear" w:pos="8721"/>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_Toc5712 </w:instrText>
      </w:r>
      <w:r>
        <w:rPr>
          <w:color w:val="auto"/>
          <w:highlight w:val="none"/>
        </w:rPr>
        <w:fldChar w:fldCharType="separate"/>
      </w:r>
      <w:r>
        <w:rPr>
          <w:rFonts w:hint="eastAsia"/>
          <w:color w:val="auto"/>
          <w:highlight w:val="none"/>
        </w:rPr>
        <w:t>第六章  商务条款</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pPr>
        <w:pStyle w:val="32"/>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_Toc4552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_Toc4552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spacing w:line="1000" w:lineRule="exact"/>
        <w:jc w:val="center"/>
        <w:rPr>
          <w:rFonts w:ascii="宋体" w:hAnsi="宋体"/>
          <w:b/>
          <w:color w:val="auto"/>
          <w:sz w:val="32"/>
          <w:highlight w:val="none"/>
        </w:rPr>
      </w:pPr>
      <w:r>
        <w:rPr>
          <w:rFonts w:ascii="宋体" w:hAnsi="宋体"/>
          <w:color w:val="auto"/>
          <w:szCs w:val="32"/>
          <w:highlight w:val="none"/>
        </w:rPr>
        <w:fldChar w:fldCharType="end"/>
      </w:r>
    </w:p>
    <w:p>
      <w:pPr>
        <w:spacing w:line="400" w:lineRule="exact"/>
        <w:jc w:val="center"/>
        <w:rPr>
          <w:rFonts w:ascii="宋体" w:hAnsi="宋体"/>
          <w:b/>
          <w:color w:val="auto"/>
          <w:sz w:val="32"/>
          <w:highlight w:val="none"/>
        </w:rPr>
        <w:sectPr>
          <w:footerReference r:id="rId5" w:type="default"/>
          <w:pgSz w:w="11907" w:h="16840"/>
          <w:pgMar w:top="1361" w:right="1757" w:bottom="1423" w:left="1757" w:header="569" w:footer="700" w:gutter="0"/>
          <w:pgNumType w:start="1"/>
          <w:cols w:space="720" w:num="1"/>
          <w:docGrid w:linePitch="285" w:charSpace="0"/>
        </w:sectPr>
      </w:pPr>
    </w:p>
    <w:p>
      <w:pPr>
        <w:spacing w:line="400" w:lineRule="exact"/>
        <w:jc w:val="center"/>
        <w:outlineLvl w:val="0"/>
        <w:rPr>
          <w:rFonts w:ascii="宋体" w:hAnsi="宋体"/>
          <w:b/>
          <w:color w:val="auto"/>
          <w:sz w:val="32"/>
          <w:highlight w:val="none"/>
        </w:rPr>
      </w:pPr>
      <w:bookmarkStart w:id="0" w:name="_Toc2699"/>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pPr>
        <w:pStyle w:val="41"/>
        <w:spacing w:before="0" w:beforeAutospacing="0" w:after="0" w:afterAutospacing="0" w:line="400" w:lineRule="exact"/>
        <w:rPr>
          <w:rFonts w:hint="eastAsia"/>
          <w:b/>
          <w:color w:val="auto"/>
          <w:sz w:val="21"/>
          <w:szCs w:val="21"/>
          <w:highlight w:val="none"/>
        </w:rPr>
      </w:pPr>
      <w:r>
        <w:rPr>
          <w:rFonts w:hint="eastAsia"/>
          <w:b/>
          <w:color w:val="auto"/>
          <w:sz w:val="21"/>
          <w:szCs w:val="21"/>
          <w:highlight w:val="none"/>
        </w:rPr>
        <w:t>项目概况</w:t>
      </w:r>
    </w:p>
    <w:p>
      <w:pPr>
        <w:pStyle w:val="41"/>
        <w:wordWrap w:val="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lang w:eastAsia="zh-CN"/>
        </w:rPr>
        <w:t>掌起镇交管站综合安保辅助管理服务</w:t>
      </w:r>
      <w:r>
        <w:rPr>
          <w:rFonts w:hint="eastAsia"/>
          <w:color w:val="auto"/>
          <w:sz w:val="21"/>
          <w:szCs w:val="21"/>
          <w:highlight w:val="none"/>
        </w:rPr>
        <w:t>采购项目的潜在投标人应在政府采购云平台（www.zcygov.cn）获取（下载）招标文件，并于</w:t>
      </w:r>
      <w:r>
        <w:rPr>
          <w:rFonts w:hint="eastAsia" w:cs="仿宋"/>
          <w:color w:val="auto"/>
          <w:sz w:val="21"/>
          <w:szCs w:val="21"/>
          <w:highlight w:val="none"/>
        </w:rPr>
        <w:t>2023年</w:t>
      </w:r>
      <w:r>
        <w:rPr>
          <w:rFonts w:hint="eastAsia" w:cs="仿宋"/>
          <w:color w:val="auto"/>
          <w:sz w:val="21"/>
          <w:szCs w:val="21"/>
          <w:highlight w:val="none"/>
          <w:lang w:val="en-US" w:eastAsia="zh-CN"/>
        </w:rPr>
        <w:t>11</w:t>
      </w:r>
      <w:r>
        <w:rPr>
          <w:rFonts w:hint="eastAsia" w:cs="仿宋"/>
          <w:color w:val="auto"/>
          <w:sz w:val="21"/>
          <w:szCs w:val="21"/>
          <w:highlight w:val="none"/>
        </w:rPr>
        <w:t>月</w:t>
      </w:r>
      <w:r>
        <w:rPr>
          <w:rFonts w:hint="eastAsia" w:cs="仿宋"/>
          <w:color w:val="auto"/>
          <w:sz w:val="21"/>
          <w:szCs w:val="21"/>
          <w:highlight w:val="none"/>
          <w:lang w:val="en-US" w:eastAsia="zh-CN"/>
        </w:rPr>
        <w:t>10</w:t>
      </w:r>
      <w:r>
        <w:rPr>
          <w:rFonts w:hint="eastAsia" w:cs="仿宋"/>
          <w:color w:val="auto"/>
          <w:sz w:val="21"/>
          <w:szCs w:val="21"/>
          <w:highlight w:val="none"/>
        </w:rPr>
        <w:t>日</w:t>
      </w:r>
      <w:r>
        <w:rPr>
          <w:rFonts w:hint="eastAsia" w:cs="仿宋"/>
          <w:color w:val="auto"/>
          <w:sz w:val="21"/>
          <w:szCs w:val="21"/>
          <w:highlight w:val="none"/>
          <w:lang w:val="en-US" w:eastAsia="zh-CN"/>
        </w:rPr>
        <w:t>14</w:t>
      </w:r>
      <w:r>
        <w:rPr>
          <w:rFonts w:hint="eastAsia" w:cs="仿宋"/>
          <w:color w:val="auto"/>
          <w:sz w:val="21"/>
          <w:szCs w:val="21"/>
          <w:highlight w:val="none"/>
        </w:rPr>
        <w:t>：30</w:t>
      </w:r>
      <w:r>
        <w:rPr>
          <w:rFonts w:hint="eastAsia"/>
          <w:color w:val="auto"/>
          <w:sz w:val="21"/>
          <w:szCs w:val="21"/>
          <w:highlight w:val="none"/>
        </w:rPr>
        <w:t>（北京时间）前递交（上传）投标文件。</w:t>
      </w:r>
    </w:p>
    <w:p>
      <w:pPr>
        <w:pStyle w:val="41"/>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一、项目基本情况</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项目编号：</w:t>
      </w:r>
      <w:r>
        <w:rPr>
          <w:color w:val="auto"/>
          <w:sz w:val="21"/>
          <w:szCs w:val="21"/>
          <w:highlight w:val="none"/>
        </w:rPr>
        <w:fldChar w:fldCharType="begin"/>
      </w:r>
      <w:r>
        <w:rPr>
          <w:color w:val="auto"/>
          <w:sz w:val="21"/>
          <w:szCs w:val="21"/>
          <w:highlight w:val="none"/>
        </w:rPr>
        <w:instrText xml:space="preserve"> HYPERLINK "https://pay.zcygov.cn/purchaseplan_front/" \l "/plan/list/detail?id=1000000000007380172&amp;encrypt=87a787e5734cc1a9c65464f9d8fae133" \t "_blank" </w:instrText>
      </w:r>
      <w:r>
        <w:rPr>
          <w:color w:val="auto"/>
          <w:sz w:val="21"/>
          <w:szCs w:val="21"/>
          <w:highlight w:val="none"/>
        </w:rPr>
        <w:fldChar w:fldCharType="separate"/>
      </w:r>
      <w:r>
        <w:rPr>
          <w:rFonts w:hint="eastAsia"/>
          <w:color w:val="auto"/>
          <w:sz w:val="21"/>
          <w:szCs w:val="21"/>
          <w:highlight w:val="none"/>
          <w:lang w:eastAsia="zh-CN"/>
        </w:rPr>
        <w:t>330282202310006863</w:t>
      </w:r>
      <w:r>
        <w:rPr>
          <w:color w:val="auto"/>
          <w:sz w:val="21"/>
          <w:szCs w:val="21"/>
          <w:highlight w:val="none"/>
        </w:rPr>
        <w:fldChar w:fldCharType="end"/>
      </w:r>
      <w:r>
        <w:rPr>
          <w:rFonts w:hint="eastAsia"/>
          <w:color w:val="auto"/>
          <w:sz w:val="21"/>
          <w:szCs w:val="21"/>
          <w:highlight w:val="none"/>
        </w:rPr>
        <w:t xml:space="preserve">                                </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掌起镇交管站综合安保辅助管理服务</w:t>
      </w:r>
      <w:r>
        <w:rPr>
          <w:rFonts w:hint="eastAsia"/>
          <w:color w:val="auto"/>
          <w:sz w:val="21"/>
          <w:szCs w:val="21"/>
          <w:highlight w:val="none"/>
        </w:rPr>
        <w:t>采购项目</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val="en-US" w:eastAsia="zh-CN"/>
        </w:rPr>
        <w:t>970000元</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最高限价（元）：</w:t>
      </w:r>
      <w:r>
        <w:rPr>
          <w:rFonts w:hint="eastAsia"/>
          <w:color w:val="auto"/>
          <w:sz w:val="21"/>
          <w:szCs w:val="21"/>
          <w:highlight w:val="none"/>
          <w:lang w:val="en-US" w:eastAsia="zh-CN"/>
        </w:rPr>
        <w:t>970000元</w:t>
      </w:r>
    </w:p>
    <w:p>
      <w:pPr>
        <w:pStyle w:val="41"/>
        <w:spacing w:before="0" w:beforeAutospacing="0" w:after="0" w:afterAutospacing="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采购需求：本次</w:t>
      </w:r>
      <w:r>
        <w:rPr>
          <w:rFonts w:hint="eastAsia" w:ascii="宋体" w:hAnsi="宋体" w:eastAsia="宋体" w:cs="宋体"/>
          <w:color w:val="auto"/>
          <w:sz w:val="21"/>
          <w:szCs w:val="21"/>
          <w:highlight w:val="none"/>
          <w:lang w:val="en-US" w:eastAsia="zh-CN"/>
        </w:rPr>
        <w:t>采购为主要负责慈溪市掌起镇政府交管站辖区内道路管理等服务，听从业主单位工作安排及指导工作，本项目服务总人数不低于12人，</w:t>
      </w:r>
      <w:r>
        <w:rPr>
          <w:rFonts w:hint="eastAsia" w:ascii="宋体" w:hAnsi="宋体" w:eastAsia="宋体" w:cs="宋体"/>
          <w:color w:val="auto"/>
          <w:sz w:val="21"/>
          <w:szCs w:val="21"/>
          <w:highlight w:val="none"/>
          <w:lang w:val="en-US" w:eastAsia="zh-CN"/>
        </w:rPr>
        <w:t>具体服务需求见采购文件。</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备注：</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合同履约期限：</w:t>
      </w:r>
      <w:r>
        <w:rPr>
          <w:rFonts w:hint="eastAsia"/>
          <w:color w:val="auto"/>
          <w:sz w:val="21"/>
          <w:szCs w:val="21"/>
          <w:highlight w:val="none"/>
          <w:lang w:eastAsia="zh-CN"/>
        </w:rPr>
        <w:t>本项目服务期三年，合同一年一签。第一年度合同期满后，经采购人考核合格，可续签下一年度合同，最多可续签二年</w:t>
      </w:r>
      <w:r>
        <w:rPr>
          <w:rFonts w:hint="eastAsia"/>
          <w:color w:val="auto"/>
          <w:sz w:val="21"/>
          <w:szCs w:val="21"/>
          <w:highlight w:val="none"/>
        </w:rPr>
        <w:t>。</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本项目（否）接受联合体投标。</w:t>
      </w:r>
    </w:p>
    <w:p>
      <w:pPr>
        <w:pStyle w:val="41"/>
        <w:spacing w:before="0" w:beforeAutospacing="0" w:after="0" w:afterAutospacing="0" w:line="400" w:lineRule="exact"/>
        <w:rPr>
          <w:rFonts w:hint="eastAsia"/>
          <w:color w:val="auto"/>
          <w:sz w:val="21"/>
          <w:szCs w:val="21"/>
          <w:highlight w:val="none"/>
        </w:rPr>
      </w:pPr>
      <w:r>
        <w:rPr>
          <w:rStyle w:val="48"/>
          <w:rFonts w:hint="eastAsia"/>
          <w:color w:val="auto"/>
          <w:sz w:val="21"/>
          <w:szCs w:val="21"/>
          <w:highlight w:val="none"/>
        </w:rPr>
        <w:t>二、申请人的资格要求：</w:t>
      </w:r>
    </w:p>
    <w:p>
      <w:pPr>
        <w:pStyle w:val="41"/>
        <w:wordWrap w:val="0"/>
        <w:spacing w:before="0" w:beforeAutospacing="0" w:after="0" w:afterAutospacing="0" w:line="400" w:lineRule="exact"/>
        <w:ind w:firstLine="420" w:firstLineChars="200"/>
        <w:rPr>
          <w:rFonts w:hint="eastAsia" w:cs="仿宋"/>
          <w:color w:val="auto"/>
          <w:sz w:val="21"/>
          <w:szCs w:val="21"/>
          <w:highlight w:val="none"/>
        </w:rPr>
      </w:pPr>
      <w:r>
        <w:rPr>
          <w:rFonts w:hint="eastAsia" w:cs="仿宋"/>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1"/>
        <w:spacing w:before="0" w:beforeAutospacing="0" w:after="0" w:afterAutospacing="0" w:line="400" w:lineRule="exact"/>
        <w:ind w:firstLine="420" w:firstLineChars="200"/>
        <w:rPr>
          <w:rFonts w:hint="eastAsia" w:cs="仿宋"/>
          <w:color w:val="auto"/>
          <w:sz w:val="21"/>
          <w:szCs w:val="21"/>
          <w:highlight w:val="none"/>
        </w:rPr>
      </w:pPr>
      <w:r>
        <w:rPr>
          <w:rFonts w:hint="eastAsia" w:cs="仿宋"/>
          <w:color w:val="auto"/>
          <w:sz w:val="21"/>
          <w:szCs w:val="21"/>
          <w:highlight w:val="none"/>
        </w:rPr>
        <w:t>2.落实政府采购政策需满足的资格要求：本项目为专门面向中小企业采购的项目（监狱企业、残疾人福利性</w:t>
      </w:r>
      <w:r>
        <w:rPr>
          <w:rFonts w:hint="eastAsia" w:ascii="宋体" w:hAnsi="宋体" w:eastAsia="宋体" w:cs="仿宋"/>
          <w:color w:val="auto"/>
          <w:sz w:val="21"/>
          <w:szCs w:val="21"/>
          <w:highlight w:val="none"/>
        </w:rPr>
        <w:t>单位视同小型、微型企业）</w:t>
      </w:r>
      <w:r>
        <w:rPr>
          <w:rFonts w:hint="eastAsia" w:cs="仿宋"/>
          <w:color w:val="auto"/>
          <w:sz w:val="21"/>
          <w:szCs w:val="21"/>
          <w:highlight w:val="none"/>
        </w:rPr>
        <w:t>。</w:t>
      </w:r>
    </w:p>
    <w:p>
      <w:pPr>
        <w:pStyle w:val="41"/>
        <w:spacing w:before="0" w:beforeAutospacing="0" w:after="0" w:afterAutospacing="0" w:line="400" w:lineRule="exact"/>
        <w:ind w:firstLine="420" w:firstLineChars="200"/>
        <w:rPr>
          <w:rFonts w:hint="eastAsia" w:cs="仿宋"/>
          <w:color w:val="auto"/>
          <w:sz w:val="21"/>
          <w:szCs w:val="21"/>
          <w:highlight w:val="none"/>
        </w:rPr>
      </w:pPr>
      <w:r>
        <w:rPr>
          <w:rFonts w:hint="eastAsia" w:cs="仿宋"/>
          <w:color w:val="auto"/>
          <w:sz w:val="21"/>
          <w:szCs w:val="21"/>
          <w:highlight w:val="none"/>
        </w:rPr>
        <w:t>3.本项目的特定资格要求：</w:t>
      </w:r>
      <w:r>
        <w:rPr>
          <w:rFonts w:hint="eastAsia" w:ascii="宋体" w:hAnsi="宋体" w:eastAsia="宋体" w:cs="仿宋"/>
          <w:color w:val="auto"/>
          <w:sz w:val="21"/>
          <w:szCs w:val="21"/>
          <w:highlight w:val="none"/>
        </w:rPr>
        <w:t>具有公安机关核发的保安服务许可证。</w:t>
      </w:r>
    </w:p>
    <w:p>
      <w:pPr>
        <w:pStyle w:val="41"/>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三、获取招标文件</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时间：</w:t>
      </w:r>
      <w:r>
        <w:rPr>
          <w:rFonts w:hint="eastAsia" w:cs="仿宋"/>
          <w:color w:val="auto"/>
          <w:sz w:val="21"/>
          <w:szCs w:val="21"/>
          <w:highlight w:val="none"/>
        </w:rPr>
        <w:t>2023年</w:t>
      </w:r>
      <w:r>
        <w:rPr>
          <w:rFonts w:hint="eastAsia" w:cs="仿宋"/>
          <w:color w:val="auto"/>
          <w:sz w:val="21"/>
          <w:szCs w:val="21"/>
          <w:highlight w:val="none"/>
          <w:lang w:val="en-US" w:eastAsia="zh-CN"/>
        </w:rPr>
        <w:t>10</w:t>
      </w:r>
      <w:r>
        <w:rPr>
          <w:rFonts w:hint="eastAsia" w:cs="仿宋"/>
          <w:color w:val="auto"/>
          <w:sz w:val="21"/>
          <w:szCs w:val="21"/>
          <w:highlight w:val="none"/>
        </w:rPr>
        <w:t>月</w:t>
      </w:r>
      <w:r>
        <w:rPr>
          <w:rFonts w:hint="eastAsia" w:cs="仿宋"/>
          <w:color w:val="auto"/>
          <w:sz w:val="21"/>
          <w:szCs w:val="21"/>
          <w:highlight w:val="none"/>
          <w:lang w:val="en-US" w:eastAsia="zh-CN"/>
        </w:rPr>
        <w:t>20</w:t>
      </w:r>
      <w:r>
        <w:rPr>
          <w:rFonts w:hint="eastAsia" w:cs="仿宋"/>
          <w:color w:val="auto"/>
          <w:sz w:val="21"/>
          <w:szCs w:val="21"/>
          <w:highlight w:val="none"/>
        </w:rPr>
        <w:t>日</w:t>
      </w:r>
      <w:r>
        <w:rPr>
          <w:rFonts w:hint="eastAsia"/>
          <w:color w:val="auto"/>
          <w:sz w:val="21"/>
          <w:szCs w:val="21"/>
          <w:highlight w:val="none"/>
        </w:rPr>
        <w:t>至</w:t>
      </w:r>
      <w:r>
        <w:rPr>
          <w:rFonts w:hint="eastAsia" w:cs="仿宋"/>
          <w:color w:val="auto"/>
          <w:sz w:val="21"/>
          <w:szCs w:val="21"/>
          <w:highlight w:val="none"/>
        </w:rPr>
        <w:t>2023年</w:t>
      </w:r>
      <w:r>
        <w:rPr>
          <w:rFonts w:hint="eastAsia" w:cs="仿宋"/>
          <w:color w:val="auto"/>
          <w:sz w:val="21"/>
          <w:szCs w:val="21"/>
          <w:highlight w:val="none"/>
          <w:lang w:val="en-US" w:eastAsia="zh-CN"/>
        </w:rPr>
        <w:t>10</w:t>
      </w:r>
      <w:r>
        <w:rPr>
          <w:rFonts w:hint="eastAsia" w:cs="仿宋"/>
          <w:color w:val="auto"/>
          <w:sz w:val="21"/>
          <w:szCs w:val="21"/>
          <w:highlight w:val="none"/>
        </w:rPr>
        <w:t>月</w:t>
      </w:r>
      <w:r>
        <w:rPr>
          <w:rFonts w:hint="eastAsia" w:cs="仿宋"/>
          <w:color w:val="auto"/>
          <w:sz w:val="21"/>
          <w:szCs w:val="21"/>
          <w:highlight w:val="none"/>
          <w:lang w:val="en-US" w:eastAsia="zh-CN"/>
        </w:rPr>
        <w:t>27</w:t>
      </w:r>
      <w:r>
        <w:rPr>
          <w:rFonts w:hint="eastAsia" w:cs="仿宋"/>
          <w:color w:val="auto"/>
          <w:sz w:val="21"/>
          <w:szCs w:val="21"/>
          <w:highlight w:val="none"/>
        </w:rPr>
        <w:t>日</w:t>
      </w:r>
      <w:r>
        <w:rPr>
          <w:rFonts w:hint="eastAsia"/>
          <w:color w:val="auto"/>
          <w:sz w:val="21"/>
          <w:szCs w:val="21"/>
          <w:highlight w:val="none"/>
        </w:rPr>
        <w:t>，每天上午00：00至12：00，下午12：00至23：59（北京时间，线上获取法定节假日均可）</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地点（网址）：政府采购云平台（www.zcygov.cn）</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方式：</w:t>
      </w:r>
      <w:r>
        <w:rPr>
          <w:rFonts w:hint="eastAsia" w:ascii="宋体" w:hAnsi="宋体" w:eastAsia="宋体" w:cs="宋体"/>
          <w:color w:val="auto"/>
          <w:sz w:val="21"/>
          <w:szCs w:val="21"/>
          <w:highlight w:val="none"/>
        </w:rPr>
        <w:t>（1）供应商登录政府</w:t>
      </w:r>
      <w:r>
        <w:rPr>
          <w:rFonts w:hint="eastAsia"/>
          <w:color w:val="auto"/>
          <w:sz w:val="21"/>
          <w:szCs w:val="21"/>
          <w:highlight w:val="none"/>
        </w:rPr>
        <w:t>采购云平台（www.zcygov.cn）的注册账号后，进入政采云系统“项目采购”模块“获取采购文件”菜单，进行网上获取招标文件。（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登记”。注册咨询电话：</w:t>
      </w:r>
      <w:r>
        <w:rPr>
          <w:rFonts w:hint="eastAsia"/>
          <w:color w:val="auto"/>
          <w:sz w:val="21"/>
          <w:szCs w:val="21"/>
          <w:highlight w:val="none"/>
          <w:lang w:eastAsia="zh-CN"/>
        </w:rPr>
        <w:t>95763</w:t>
      </w:r>
      <w:r>
        <w:rPr>
          <w:rFonts w:hint="eastAsia"/>
          <w:color w:val="auto"/>
          <w:sz w:val="21"/>
          <w:szCs w:val="21"/>
          <w:highlight w:val="none"/>
        </w:rPr>
        <w:t>，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售价（元）：0</w:t>
      </w:r>
    </w:p>
    <w:p>
      <w:pPr>
        <w:pStyle w:val="41"/>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四、提交投标文件截止时间、开标时间和地点</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提交投标文件截止时间：</w:t>
      </w:r>
      <w:r>
        <w:rPr>
          <w:rFonts w:hint="eastAsia" w:cs="仿宋"/>
          <w:color w:val="auto"/>
          <w:sz w:val="21"/>
          <w:szCs w:val="21"/>
          <w:highlight w:val="none"/>
        </w:rPr>
        <w:t>2023年</w:t>
      </w:r>
      <w:r>
        <w:rPr>
          <w:rFonts w:hint="eastAsia" w:cs="仿宋"/>
          <w:color w:val="auto"/>
          <w:sz w:val="21"/>
          <w:szCs w:val="21"/>
          <w:highlight w:val="none"/>
          <w:lang w:val="en-US" w:eastAsia="zh-CN"/>
        </w:rPr>
        <w:t>11</w:t>
      </w:r>
      <w:r>
        <w:rPr>
          <w:rFonts w:hint="eastAsia" w:cs="仿宋"/>
          <w:color w:val="auto"/>
          <w:sz w:val="21"/>
          <w:szCs w:val="21"/>
          <w:highlight w:val="none"/>
        </w:rPr>
        <w:t>月</w:t>
      </w:r>
      <w:r>
        <w:rPr>
          <w:rFonts w:hint="eastAsia" w:cs="仿宋"/>
          <w:color w:val="auto"/>
          <w:sz w:val="21"/>
          <w:szCs w:val="21"/>
          <w:highlight w:val="none"/>
          <w:lang w:val="en-US" w:eastAsia="zh-CN"/>
        </w:rPr>
        <w:t>10</w:t>
      </w:r>
      <w:r>
        <w:rPr>
          <w:rFonts w:hint="eastAsia" w:cs="仿宋"/>
          <w:color w:val="auto"/>
          <w:sz w:val="21"/>
          <w:szCs w:val="21"/>
          <w:highlight w:val="none"/>
        </w:rPr>
        <w:t>日</w:t>
      </w:r>
      <w:r>
        <w:rPr>
          <w:rFonts w:hint="eastAsia" w:cs="仿宋"/>
          <w:color w:val="auto"/>
          <w:sz w:val="21"/>
          <w:szCs w:val="21"/>
          <w:highlight w:val="none"/>
          <w:lang w:val="en-US" w:eastAsia="zh-CN"/>
        </w:rPr>
        <w:t>14</w:t>
      </w:r>
      <w:r>
        <w:rPr>
          <w:rFonts w:hint="eastAsia" w:cs="仿宋"/>
          <w:color w:val="auto"/>
          <w:sz w:val="21"/>
          <w:szCs w:val="21"/>
          <w:highlight w:val="none"/>
        </w:rPr>
        <w:t>：30</w:t>
      </w:r>
      <w:r>
        <w:rPr>
          <w:rFonts w:hint="eastAsia"/>
          <w:color w:val="auto"/>
          <w:sz w:val="21"/>
          <w:szCs w:val="21"/>
          <w:highlight w:val="none"/>
        </w:rPr>
        <w:t>（北京时间）</w:t>
      </w:r>
    </w:p>
    <w:p>
      <w:pPr>
        <w:pStyle w:val="41"/>
        <w:spacing w:before="0" w:beforeAutospacing="0" w:after="0" w:afterAutospacing="0" w:line="400" w:lineRule="exact"/>
        <w:ind w:firstLine="422" w:firstLineChars="200"/>
        <w:rPr>
          <w:rFonts w:hint="eastAsia"/>
          <w:b/>
          <w:bCs/>
          <w:color w:val="auto"/>
          <w:sz w:val="21"/>
          <w:szCs w:val="21"/>
          <w:highlight w:val="none"/>
        </w:rPr>
      </w:pPr>
      <w:r>
        <w:rPr>
          <w:rFonts w:hint="eastAsia"/>
          <w:b/>
          <w:bCs/>
          <w:color w:val="auto"/>
          <w:sz w:val="21"/>
          <w:szCs w:val="21"/>
          <w:highlight w:val="none"/>
        </w:rPr>
        <w:t>投标地点（网址）：政采云平台开标大厅</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开标时间：</w:t>
      </w:r>
      <w:r>
        <w:rPr>
          <w:rFonts w:hint="eastAsia" w:cs="仿宋"/>
          <w:color w:val="auto"/>
          <w:sz w:val="21"/>
          <w:szCs w:val="21"/>
          <w:highlight w:val="none"/>
        </w:rPr>
        <w:t>2023年</w:t>
      </w:r>
      <w:r>
        <w:rPr>
          <w:rFonts w:hint="eastAsia" w:cs="仿宋"/>
          <w:color w:val="auto"/>
          <w:sz w:val="21"/>
          <w:szCs w:val="21"/>
          <w:highlight w:val="none"/>
          <w:lang w:val="en-US" w:eastAsia="zh-CN"/>
        </w:rPr>
        <w:t>11</w:t>
      </w:r>
      <w:r>
        <w:rPr>
          <w:rFonts w:hint="eastAsia" w:cs="仿宋"/>
          <w:color w:val="auto"/>
          <w:sz w:val="21"/>
          <w:szCs w:val="21"/>
          <w:highlight w:val="none"/>
        </w:rPr>
        <w:t>月</w:t>
      </w:r>
      <w:r>
        <w:rPr>
          <w:rFonts w:hint="eastAsia" w:cs="仿宋"/>
          <w:color w:val="auto"/>
          <w:sz w:val="21"/>
          <w:szCs w:val="21"/>
          <w:highlight w:val="none"/>
          <w:lang w:val="en-US" w:eastAsia="zh-CN"/>
        </w:rPr>
        <w:t>10</w:t>
      </w:r>
      <w:r>
        <w:rPr>
          <w:rFonts w:hint="eastAsia" w:cs="仿宋"/>
          <w:color w:val="auto"/>
          <w:sz w:val="21"/>
          <w:szCs w:val="21"/>
          <w:highlight w:val="none"/>
        </w:rPr>
        <w:t>日</w:t>
      </w:r>
      <w:r>
        <w:rPr>
          <w:rFonts w:hint="eastAsia" w:cs="仿宋"/>
          <w:color w:val="auto"/>
          <w:sz w:val="21"/>
          <w:szCs w:val="21"/>
          <w:highlight w:val="none"/>
          <w:lang w:val="en-US" w:eastAsia="zh-CN"/>
        </w:rPr>
        <w:t>14</w:t>
      </w:r>
      <w:r>
        <w:rPr>
          <w:rFonts w:hint="eastAsia" w:cs="仿宋"/>
          <w:color w:val="auto"/>
          <w:sz w:val="21"/>
          <w:szCs w:val="21"/>
          <w:highlight w:val="none"/>
        </w:rPr>
        <w:t>：30（北京时间）</w:t>
      </w:r>
    </w:p>
    <w:p>
      <w:pPr>
        <w:pStyle w:val="41"/>
        <w:spacing w:before="0" w:beforeAutospacing="0" w:after="0" w:afterAutospacing="0" w:line="400" w:lineRule="exact"/>
        <w:ind w:firstLine="422" w:firstLineChars="200"/>
        <w:rPr>
          <w:rFonts w:hint="eastAsia"/>
          <w:b/>
          <w:bCs/>
          <w:color w:val="auto"/>
          <w:sz w:val="21"/>
          <w:szCs w:val="21"/>
          <w:highlight w:val="none"/>
        </w:rPr>
      </w:pPr>
      <w:r>
        <w:rPr>
          <w:rFonts w:hint="eastAsia"/>
          <w:b/>
          <w:bCs/>
          <w:color w:val="auto"/>
          <w:sz w:val="21"/>
          <w:szCs w:val="21"/>
          <w:highlight w:val="none"/>
        </w:rPr>
        <w:t>开标地点（网址）：政采云平台开标大厅</w:t>
      </w:r>
    </w:p>
    <w:p>
      <w:pPr>
        <w:pStyle w:val="41"/>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五、公告期限</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自本公告发布之日起5个工作日。</w:t>
      </w:r>
    </w:p>
    <w:p>
      <w:pPr>
        <w:pStyle w:val="41"/>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六、其他补充事宜</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其他事项：（1）单位负责人为同一人或者存在直接控股、管理关系的不同供应商，不得参加同一子包号的投标；（2）为本项目提供整体设计、规范编制或者项目管理、监理、检测等服务的供应商，不得再参加本项目的投标；（3）公益一类事业单位不属于政府购买服务的承接主体，不得参与承接政府购买服务；（4）落实的政策：《关于促进残疾人就业政府采购政策的通知》（财库[2017]141号）、《政府采购促进中小企业发展管理办法》（财库〔2020〕46号）、《关于政府采购支持监狱企业发展有关问题的通知》（财库[2014]68号）。</w:t>
      </w:r>
    </w:p>
    <w:p>
      <w:pPr>
        <w:pStyle w:val="41"/>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七、对本次采购提出询问、质疑、投诉，请按以下方式联系</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1.采购人信息</w:t>
      </w:r>
    </w:p>
    <w:p>
      <w:pPr>
        <w:pStyle w:val="41"/>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慈溪市掌起镇人民政府</w:t>
      </w:r>
    </w:p>
    <w:p>
      <w:pPr>
        <w:pStyle w:val="41"/>
        <w:spacing w:before="0" w:beforeAutospacing="0" w:after="0" w:afterAutospacing="0" w:line="400" w:lineRule="exact"/>
        <w:ind w:firstLine="420" w:firstLineChars="200"/>
        <w:rPr>
          <w:rFonts w:hint="eastAsia" w:eastAsia="宋体"/>
          <w:color w:val="auto"/>
          <w:sz w:val="21"/>
          <w:szCs w:val="21"/>
          <w:highlight w:val="none"/>
          <w:lang w:val="zh-CN" w:eastAsia="zh-CN"/>
        </w:rPr>
      </w:pPr>
      <w:r>
        <w:rPr>
          <w:rFonts w:hint="eastAsia"/>
          <w:color w:val="auto"/>
          <w:sz w:val="21"/>
          <w:szCs w:val="21"/>
          <w:highlight w:val="none"/>
          <w:lang w:val="zh-CN"/>
        </w:rPr>
        <w:t>地址：</w:t>
      </w:r>
      <w:r>
        <w:rPr>
          <w:rFonts w:hint="eastAsia"/>
          <w:color w:val="auto"/>
          <w:sz w:val="21"/>
          <w:szCs w:val="21"/>
          <w:highlight w:val="none"/>
          <w:lang w:eastAsia="zh-CN"/>
        </w:rPr>
        <w:t>慈溪市掌起镇横街509号</w:t>
      </w:r>
    </w:p>
    <w:p>
      <w:pPr>
        <w:pStyle w:val="41"/>
        <w:spacing w:before="0" w:beforeAutospacing="0" w:after="0" w:afterAutospacing="0" w:line="400" w:lineRule="exact"/>
        <w:ind w:firstLine="420" w:firstLineChars="200"/>
        <w:rPr>
          <w:rFonts w:hint="eastAsia"/>
          <w:color w:val="auto"/>
          <w:sz w:val="21"/>
          <w:szCs w:val="21"/>
          <w:highlight w:val="none"/>
          <w:lang w:val="zh-CN"/>
        </w:rPr>
      </w:pPr>
      <w:r>
        <w:rPr>
          <w:rFonts w:hint="eastAsia"/>
          <w:color w:val="auto"/>
          <w:sz w:val="21"/>
          <w:szCs w:val="21"/>
          <w:highlight w:val="none"/>
          <w:lang w:val="zh-CN"/>
        </w:rPr>
        <w:t>传真：/</w:t>
      </w:r>
    </w:p>
    <w:p>
      <w:pPr>
        <w:pStyle w:val="41"/>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唐逸斌</w:t>
      </w:r>
    </w:p>
    <w:p>
      <w:pPr>
        <w:pStyle w:val="41"/>
        <w:spacing w:before="0" w:beforeAutospacing="0" w:after="0" w:afterAutospacing="0" w:line="400" w:lineRule="exact"/>
        <w:ind w:firstLine="420" w:firstLineChars="200"/>
        <w:rPr>
          <w:rFonts w:hint="default"/>
          <w:color w:val="auto"/>
          <w:sz w:val="21"/>
          <w:szCs w:val="21"/>
          <w:highlight w:val="none"/>
          <w:lang w:val="en-US" w:eastAsia="zh-CN"/>
        </w:rPr>
      </w:pPr>
      <w:r>
        <w:rPr>
          <w:rFonts w:hint="eastAsia"/>
          <w:color w:val="auto"/>
          <w:sz w:val="21"/>
          <w:szCs w:val="21"/>
          <w:highlight w:val="none"/>
        </w:rPr>
        <w:t>项目联系方式（询问）：</w:t>
      </w:r>
      <w:r>
        <w:rPr>
          <w:rFonts w:hint="eastAsia"/>
          <w:color w:val="auto"/>
          <w:sz w:val="21"/>
          <w:szCs w:val="21"/>
          <w:highlight w:val="none"/>
          <w:lang w:val="en-US" w:eastAsia="zh-CN"/>
        </w:rPr>
        <w:t>13685877575</w:t>
      </w:r>
    </w:p>
    <w:p>
      <w:pPr>
        <w:pStyle w:val="41"/>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 xml:space="preserve">乐益渊 </w:t>
      </w:r>
    </w:p>
    <w:p>
      <w:pPr>
        <w:pStyle w:val="41"/>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质疑联系方式：</w:t>
      </w:r>
      <w:r>
        <w:rPr>
          <w:rFonts w:hint="eastAsia"/>
          <w:color w:val="auto"/>
          <w:sz w:val="21"/>
          <w:szCs w:val="21"/>
          <w:highlight w:val="none"/>
          <w:lang w:val="en-US" w:eastAsia="zh-CN"/>
        </w:rPr>
        <w:t>18858476078</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2.采购代理机构信息</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名称：慈溪永真工程管理有限公司</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地址：慈溪市商务二路永利大厦8楼</w:t>
      </w:r>
    </w:p>
    <w:p>
      <w:pPr>
        <w:pStyle w:val="41"/>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传真：</w:t>
      </w:r>
      <w:r>
        <w:rPr>
          <w:rFonts w:hint="eastAsia"/>
          <w:color w:val="auto"/>
          <w:sz w:val="21"/>
          <w:szCs w:val="21"/>
          <w:highlight w:val="none"/>
          <w:lang w:val="en-US" w:eastAsia="zh-CN"/>
        </w:rPr>
        <w:t>0574-63837838</w:t>
      </w:r>
    </w:p>
    <w:p>
      <w:pPr>
        <w:pStyle w:val="41"/>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侯维雁</w:t>
      </w:r>
    </w:p>
    <w:p>
      <w:pPr>
        <w:pStyle w:val="41"/>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项目联系方式（询问）：0574-63837858</w:t>
      </w:r>
    </w:p>
    <w:p>
      <w:pPr>
        <w:pStyle w:val="41"/>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 徐烨</w:t>
      </w:r>
    </w:p>
    <w:p>
      <w:pPr>
        <w:pStyle w:val="41"/>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质疑联系方式：0574-63837838</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3.同级政府采购监督管理部门</w:t>
      </w:r>
    </w:p>
    <w:p>
      <w:pPr>
        <w:pStyle w:val="41"/>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慈溪市财政局</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地址：慈溪市南二环东路</w:t>
      </w:r>
      <w:r>
        <w:rPr>
          <w:rFonts w:hint="eastAsia"/>
          <w:color w:val="auto"/>
          <w:sz w:val="21"/>
          <w:szCs w:val="21"/>
          <w:highlight w:val="none"/>
          <w:lang w:val="en-US" w:eastAsia="zh-CN"/>
        </w:rPr>
        <w:t>1158</w:t>
      </w:r>
      <w:r>
        <w:rPr>
          <w:rFonts w:hint="eastAsia"/>
          <w:color w:val="auto"/>
          <w:sz w:val="21"/>
          <w:szCs w:val="21"/>
          <w:highlight w:val="none"/>
        </w:rPr>
        <w:t>号</w:t>
      </w:r>
    </w:p>
    <w:p>
      <w:pPr>
        <w:pStyle w:val="41"/>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传真：</w:t>
      </w:r>
      <w:r>
        <w:rPr>
          <w:rFonts w:hint="eastAsia"/>
          <w:color w:val="auto"/>
          <w:sz w:val="21"/>
          <w:szCs w:val="21"/>
          <w:highlight w:val="none"/>
          <w:lang w:val="en-US" w:eastAsia="zh-CN"/>
        </w:rPr>
        <w:t>/</w:t>
      </w:r>
    </w:p>
    <w:p>
      <w:pPr>
        <w:pStyle w:val="4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联系人：赵先生、王女士</w:t>
      </w:r>
    </w:p>
    <w:p>
      <w:pPr>
        <w:pStyle w:val="41"/>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监督投诉电话：0574-63032032、0574-6383717</w:t>
      </w:r>
    </w:p>
    <w:p>
      <w:pPr>
        <w:widowControl/>
        <w:spacing w:line="400" w:lineRule="exact"/>
        <w:ind w:firstLine="420" w:firstLineChars="200"/>
        <w:jc w:val="left"/>
        <w:rPr>
          <w:rFonts w:ascii="宋体" w:hAnsi="宋体" w:cs="宋体"/>
          <w:color w:val="auto"/>
          <w:kern w:val="0"/>
          <w:szCs w:val="21"/>
          <w:highlight w:val="none"/>
          <w:lang w:bidi="ar"/>
        </w:rPr>
      </w:pPr>
    </w:p>
    <w:p>
      <w:pPr>
        <w:widowControl/>
        <w:spacing w:line="400" w:lineRule="exact"/>
        <w:ind w:firstLine="420" w:firstLineChars="200"/>
        <w:jc w:val="left"/>
        <w:rPr>
          <w:rFonts w:hint="eastAsia" w:ascii="宋体" w:hAnsi="宋体" w:cs="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 w:name="_Toc18897"/>
      <w:r>
        <w:rPr>
          <w:rFonts w:hint="eastAsia" w:ascii="宋体" w:hAnsi="宋体"/>
          <w:b/>
          <w:color w:val="auto"/>
          <w:sz w:val="36"/>
          <w:szCs w:val="21"/>
          <w:highlight w:val="none"/>
        </w:rPr>
        <w:t>第二章</w:t>
      </w:r>
      <w:r>
        <w:rPr>
          <w:rFonts w:ascii="宋体" w:hAnsi="宋体"/>
          <w:b/>
          <w:color w:val="auto"/>
          <w:sz w:val="36"/>
          <w:szCs w:val="21"/>
          <w:highlight w:val="none"/>
        </w:rPr>
        <w:t xml:space="preserve">  </w:t>
      </w:r>
      <w:r>
        <w:rPr>
          <w:rFonts w:hint="eastAsia" w:ascii="宋体" w:hAnsi="宋体"/>
          <w:b/>
          <w:color w:val="auto"/>
          <w:sz w:val="36"/>
          <w:szCs w:val="21"/>
          <w:highlight w:val="none"/>
        </w:rPr>
        <w:t>投标须知</w:t>
      </w:r>
      <w:bookmarkEnd w:id="1"/>
    </w:p>
    <w:p>
      <w:pPr>
        <w:spacing w:line="400" w:lineRule="exact"/>
        <w:ind w:firstLine="422" w:firstLineChars="200"/>
        <w:rPr>
          <w:rFonts w:hint="eastAsia" w:ascii="宋体" w:hAnsi="宋体" w:cs="宋体"/>
          <w:b/>
          <w:color w:val="auto"/>
          <w:szCs w:val="21"/>
          <w:highlight w:val="none"/>
        </w:rPr>
      </w:pP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一、适用范围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二、定义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1.“采购人”系指</w:t>
      </w:r>
      <w:r>
        <w:rPr>
          <w:rFonts w:hint="eastAsia" w:ascii="宋体" w:hAnsi="宋体" w:cs="宋体"/>
          <w:color w:val="auto"/>
          <w:szCs w:val="21"/>
          <w:highlight w:val="none"/>
          <w:lang w:eastAsia="zh-CN"/>
        </w:rPr>
        <w:t>慈溪市掌起镇人民政府</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2.“代理机构”系指慈溪永真工程管理有限公司。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3.“供应商（投标人）”系指向采购人提交投标文件的供应商。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4.“服务”系指招标文件规定供应商须承担的</w:t>
      </w:r>
      <w:r>
        <w:rPr>
          <w:rFonts w:hint="eastAsia" w:ascii="宋体" w:hAnsi="宋体" w:cs="宋体"/>
          <w:color w:val="auto"/>
          <w:szCs w:val="21"/>
          <w:highlight w:val="none"/>
          <w:lang w:eastAsia="zh-CN"/>
        </w:rPr>
        <w:t>掌起镇交管站综合安保辅助管理服务</w:t>
      </w:r>
      <w:r>
        <w:rPr>
          <w:rFonts w:hint="eastAsia" w:ascii="宋体" w:hAnsi="宋体" w:cs="宋体"/>
          <w:color w:val="auto"/>
          <w:szCs w:val="21"/>
          <w:highlight w:val="none"/>
        </w:rPr>
        <w:t>以及其他类似的义务。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5.“货物”系指满足服务要求，投标人需具有的车辆、设备、工具、易耗品等。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5.“同级政府采购监管部门”系指</w:t>
      </w:r>
      <w:r>
        <w:rPr>
          <w:rFonts w:hint="eastAsia" w:ascii="宋体" w:hAnsi="宋体" w:cs="宋体"/>
          <w:color w:val="auto"/>
          <w:szCs w:val="21"/>
          <w:highlight w:val="none"/>
          <w:lang w:val="zh-CN"/>
        </w:rPr>
        <w:t>慈溪市财政局。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6.“★”系指实质性响应条款。</w:t>
      </w:r>
    </w:p>
    <w:p>
      <w:pPr>
        <w:spacing w:line="400" w:lineRule="exact"/>
        <w:ind w:firstLine="210" w:firstLineChars="1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三、供应商的资格要求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详见招标公告。</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四、投标费用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五、投标报价</w:t>
      </w:r>
    </w:p>
    <w:p>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1.投标报价以人民币为结算货币。</w:t>
      </w:r>
    </w:p>
    <w:p>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2.投标报价是履行合同的最终价格，包含需缴纳的所有税费及其他一切相关费用。供应商少报或漏报的工作量，采购单位将视为已包含在投标总价中，并不予调整。</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六、投标有效期</w:t>
      </w:r>
    </w:p>
    <w:p>
      <w:pPr>
        <w:spacing w:line="400" w:lineRule="exact"/>
        <w:ind w:firstLine="210" w:firstLineChars="100"/>
        <w:rPr>
          <w:rFonts w:hint="eastAsia" w:ascii="宋体" w:hAnsi="宋体" w:cs="宋体"/>
          <w:b/>
          <w:color w:val="auto"/>
          <w:szCs w:val="21"/>
          <w:highlight w:val="none"/>
        </w:rPr>
      </w:pPr>
      <w:r>
        <w:rPr>
          <w:rFonts w:hint="eastAsia" w:ascii="宋体" w:hAnsi="宋体" w:cs="宋体"/>
          <w:color w:val="auto"/>
          <w:szCs w:val="21"/>
          <w:highlight w:val="none"/>
        </w:rPr>
        <w:t>★1.投标文件从开标之日起，投标有效期为90个日历日。投标有效期不能小于招标文件的要求。</w:t>
      </w:r>
    </w:p>
    <w:p>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3.供应商可拒绝接受延期要求。同意延长有效期的供应商不能修改投标文件。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七、投标文件的形式和效力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1.投标文件分为电子投标文件，还可以提交以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2.电子投标文件，按“项目采购－电子招投标操作指南”及本招标文件要求制作，并加密。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备份投标文件，按“项目采购－电子招投标操作指南”制作的电子备份文件（若提交的）。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5.投标文件的效力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电子投标文件未能按时解密，供应商提供了电子备份投标文件的，以电子备份投标文件作为依据，否则视为投标无效。电子投标文件已按时解密的，电子备份投标文件自动失效。</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八、投标文件的组成、份数、制作</w:t>
      </w:r>
    </w:p>
    <w:p>
      <w:pPr>
        <w:snapToGrid w:val="0"/>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1.投标文件的组成：</w:t>
      </w:r>
    </w:p>
    <w:p>
      <w:pPr>
        <w:snapToGrid w:val="0"/>
        <w:spacing w:line="400" w:lineRule="exact"/>
        <w:ind w:firstLine="413" w:firstLineChars="196"/>
        <w:rPr>
          <w:rFonts w:hint="eastAsia" w:ascii="宋体" w:hAnsi="宋体" w:cs="宋体"/>
          <w:b/>
          <w:color w:val="auto"/>
          <w:szCs w:val="21"/>
          <w:highlight w:val="none"/>
        </w:rPr>
      </w:pPr>
      <w:bookmarkStart w:id="2" w:name="_Hlk23147633"/>
      <w:bookmarkStart w:id="3" w:name="_Hlk23150950"/>
      <w:r>
        <w:rPr>
          <w:rFonts w:hint="eastAsia" w:ascii="宋体" w:hAnsi="宋体" w:cs="宋体"/>
          <w:b/>
          <w:color w:val="auto"/>
          <w:szCs w:val="21"/>
          <w:highlight w:val="none"/>
        </w:rPr>
        <w:t>A.第一册：资格文件</w:t>
      </w:r>
    </w:p>
    <w:p>
      <w:pPr>
        <w:spacing w:line="400" w:lineRule="exact"/>
        <w:ind w:firstLine="420" w:firstLineChars="200"/>
        <w:rPr>
          <w:rFonts w:hint="eastAsia" w:ascii="宋体" w:hAnsi="宋体" w:cs="宋体"/>
          <w:color w:val="auto"/>
          <w:szCs w:val="21"/>
          <w:highlight w:val="none"/>
        </w:rPr>
      </w:pPr>
      <w:bookmarkStart w:id="4" w:name="_Hlk4309479"/>
      <w:bookmarkStart w:id="5" w:name="_Hlk39154056"/>
      <w:r>
        <w:rPr>
          <w:rFonts w:hint="eastAsia" w:ascii="宋体" w:hAnsi="宋体" w:cs="宋体"/>
          <w:color w:val="auto"/>
          <w:szCs w:val="21"/>
          <w:highlight w:val="none"/>
        </w:rPr>
        <w:t>A1.关于资格的承诺函；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w:t>
      </w:r>
    </w:p>
    <w:p>
      <w:pPr>
        <w:spacing w:line="400" w:lineRule="exact"/>
        <w:ind w:left="42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A3</w:t>
      </w:r>
      <w:r>
        <w:rPr>
          <w:rFonts w:hint="eastAsia" w:ascii="宋体" w:hAnsi="宋体" w:eastAsia="宋体" w:cs="宋体"/>
          <w:color w:val="auto"/>
          <w:szCs w:val="21"/>
          <w:highlight w:val="none"/>
          <w:lang w:bidi="ar"/>
        </w:rPr>
        <w:t>.公安机关核发的保安服务许可证</w:t>
      </w:r>
      <w:r>
        <w:rPr>
          <w:rFonts w:hint="eastAsia" w:ascii="宋体" w:hAnsi="宋体" w:eastAsia="宋体" w:cs="宋体"/>
          <w:color w:val="auto"/>
          <w:szCs w:val="21"/>
          <w:highlight w:val="none"/>
          <w:lang w:val="en-US" w:eastAsia="zh-CN" w:bidi="ar"/>
        </w:rPr>
        <w:t>扫描</w:t>
      </w:r>
      <w:r>
        <w:rPr>
          <w:rFonts w:hint="eastAsia" w:ascii="宋体" w:hAnsi="宋体" w:eastAsia="宋体" w:cs="宋体"/>
          <w:color w:val="auto"/>
          <w:szCs w:val="21"/>
          <w:highlight w:val="none"/>
          <w:lang w:bidi="ar"/>
        </w:rPr>
        <w:t>件加盖供应商公章</w:t>
      </w:r>
      <w:r>
        <w:rPr>
          <w:rFonts w:hint="eastAsia" w:ascii="宋体" w:hAnsi="宋体" w:eastAsia="宋体" w:cs="宋体"/>
          <w:color w:val="auto"/>
          <w:szCs w:val="21"/>
          <w:highlight w:val="none"/>
          <w:lang w:eastAsia="zh-CN" w:bidi="ar"/>
        </w:rPr>
        <w:t>；</w:t>
      </w:r>
    </w:p>
    <w:p>
      <w:pPr>
        <w:spacing w:line="400" w:lineRule="exact"/>
        <w:ind w:left="42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A4</w:t>
      </w:r>
      <w:r>
        <w:rPr>
          <w:rFonts w:hint="eastAsia" w:ascii="宋体" w:hAnsi="宋体" w:eastAsia="宋体" w:cs="宋体"/>
          <w:color w:val="auto"/>
          <w:szCs w:val="21"/>
          <w:highlight w:val="none"/>
          <w:lang w:bidi="ar"/>
        </w:rPr>
        <w:t>.中小企业声明函；</w:t>
      </w:r>
    </w:p>
    <w:p>
      <w:pPr>
        <w:spacing w:line="400" w:lineRule="exact"/>
        <w:ind w:left="42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A5</w:t>
      </w:r>
      <w:r>
        <w:rPr>
          <w:rFonts w:hint="eastAsia" w:ascii="宋体" w:hAnsi="宋体" w:eastAsia="宋体" w:cs="宋体"/>
          <w:color w:val="auto"/>
          <w:szCs w:val="21"/>
          <w:highlight w:val="none"/>
          <w:lang w:bidi="ar"/>
        </w:rPr>
        <w:t>.残疾人福利性单位的：提供残疾人福利性单位声明函（如有需提供）；</w:t>
      </w:r>
    </w:p>
    <w:p>
      <w:pPr>
        <w:spacing w:line="400" w:lineRule="exact"/>
        <w:ind w:left="42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A6</w:t>
      </w:r>
      <w:r>
        <w:rPr>
          <w:rFonts w:hint="eastAsia" w:ascii="宋体" w:hAnsi="宋体" w:eastAsia="宋体" w:cs="宋体"/>
          <w:color w:val="auto"/>
          <w:szCs w:val="21"/>
          <w:highlight w:val="none"/>
          <w:lang w:bidi="ar"/>
        </w:rPr>
        <w:t>.监狱企业（监狱和戒毒企业）提供自己企业的产品（服务）的：提供由省级以上监狱管理局、戒毒管理局（含新疆生产建设兵团）出具的属于监狱企业的证明文件扫描件（如有需提供）；</w:t>
      </w:r>
    </w:p>
    <w:p>
      <w:pPr>
        <w:spacing w:line="420" w:lineRule="exact"/>
        <w:ind w:left="420"/>
        <w:jc w:val="left"/>
        <w:rPr>
          <w:rFonts w:hint="eastAsia"/>
          <w:color w:val="auto"/>
        </w:rPr>
      </w:pPr>
      <w:r>
        <w:rPr>
          <w:rFonts w:hint="eastAsia" w:ascii="宋体" w:hAnsi="宋体" w:cs="宋体"/>
          <w:color w:val="auto"/>
          <w:szCs w:val="21"/>
          <w:highlight w:val="none"/>
          <w:lang w:val="en-US" w:eastAsia="zh-CN" w:bidi="ar"/>
        </w:rPr>
        <w:t>A7</w:t>
      </w:r>
      <w:r>
        <w:rPr>
          <w:rFonts w:hint="eastAsia" w:ascii="宋体" w:hAnsi="宋体" w:cs="宋体"/>
          <w:color w:val="auto"/>
          <w:szCs w:val="21"/>
          <w:highlight w:val="none"/>
          <w:lang w:bidi="ar"/>
        </w:rPr>
        <w:t>.其他资格要求需提供的资料。</w:t>
      </w:r>
    </w:p>
    <w:p>
      <w:pPr>
        <w:spacing w:line="400" w:lineRule="exact"/>
        <w:ind w:left="420"/>
        <w:jc w:val="left"/>
        <w:rPr>
          <w:rFonts w:hint="eastAsia" w:ascii="宋体" w:hAnsi="宋体" w:cs="宋体"/>
          <w:b/>
          <w:color w:val="auto"/>
          <w:szCs w:val="21"/>
          <w:highlight w:val="none"/>
        </w:rPr>
      </w:pPr>
      <w:r>
        <w:rPr>
          <w:rFonts w:hint="eastAsia" w:ascii="宋体" w:hAnsi="宋体" w:cs="宋体"/>
          <w:b/>
          <w:color w:val="auto"/>
          <w:szCs w:val="21"/>
          <w:highlight w:val="none"/>
        </w:rPr>
        <w:t>B.第二册：商务和技术文件</w:t>
      </w:r>
    </w:p>
    <w:bookmarkEnd w:id="4"/>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B1.投标书；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B2.法定代表人身份证明；</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B3.法定代表人授权书（投标文件由授权代表签字的须提供）；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B4.供应商一般情况表；</w:t>
      </w:r>
    </w:p>
    <w:p>
      <w:pPr>
        <w:spacing w:line="400" w:lineRule="exact"/>
        <w:ind w:firstLine="420" w:firstLineChars="200"/>
        <w:rPr>
          <w:rFonts w:hint="eastAsia" w:ascii="宋体" w:hAnsi="宋体" w:cs="宋体"/>
          <w:color w:val="auto"/>
          <w:szCs w:val="21"/>
          <w:highlight w:val="none"/>
        </w:rPr>
      </w:pPr>
      <w:bookmarkStart w:id="6" w:name="_Hlk37403535"/>
      <w:r>
        <w:rPr>
          <w:rFonts w:hint="eastAsia" w:ascii="宋体" w:hAnsi="宋体" w:cs="宋体"/>
          <w:color w:val="auto"/>
          <w:szCs w:val="21"/>
          <w:highlight w:val="none"/>
        </w:rPr>
        <w:t>B5.商务条款响应表；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B6.合同条款响应表；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B7.技术条款响应表；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B8.类似业绩合同汇总表（如有）；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B9.技术服务方案；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B10.第三章“评标办法及标准”中“商务和技术评分表”要求提供的其他资料（如有需提供）；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B11.供应商认为需要的其他资料（如有需提供）。</w:t>
      </w:r>
    </w:p>
    <w:bookmarkEnd w:id="6"/>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★“商务和技术文件”中不得出现涉及投标价格的内容，否则作无效标处理。</w:t>
      </w:r>
    </w:p>
    <w:bookmarkEnd w:id="2"/>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C.第三册：报价文件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C1.开标一览表；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C2.分项报价表；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.供应商认为需要的其他资料（如有需提供）。</w:t>
      </w:r>
    </w:p>
    <w:bookmarkEnd w:id="3"/>
    <w:bookmarkEnd w:id="5"/>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2.投标文件的份数：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（1）上传到政府采购云平台的电子投标文件（含资格文件、商务和技术文件、报价文件）1份。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（2）以U盘或光盘存储的电子备份投标文件（含资格文件、商务和技术文件、报价文件）1份（由投标人自行决定是否提供）。</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投标文件制作：</w:t>
      </w:r>
    </w:p>
    <w:p>
      <w:pPr>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eastAsia="宋体" w:cs="宋体"/>
          <w:bCs/>
          <w:color w:val="auto"/>
          <w:szCs w:val="21"/>
          <w:highlight w:val="none"/>
          <w:lang w:eastAsia="zh-CN"/>
        </w:rPr>
        <w:t>95763</w:t>
      </w:r>
      <w:r>
        <w:rPr>
          <w:rFonts w:hint="eastAsia" w:ascii="宋体" w:hAnsi="宋体" w:eastAsia="宋体" w:cs="宋体"/>
          <w:bCs/>
          <w:color w:val="auto"/>
          <w:szCs w:val="21"/>
          <w:highlight w:val="none"/>
        </w:rPr>
        <w:t>。</w:t>
      </w:r>
    </w:p>
    <w:p>
      <w:pPr>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（2）供应商通过政府采购云平台电子投标工具制作投标文件。电子投标工具请供应商自行前往浙江政府采购网下载并安装。</w:t>
      </w:r>
    </w:p>
    <w:p>
      <w:pPr>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九、投标文件的签署盖章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十、投标文件的密封和标记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用封袋密封后递交（若递交电子备份投标文件的）。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pPr>
        <w:tabs>
          <w:tab w:val="left" w:pos="900"/>
        </w:tabs>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（1）注    明：</w:t>
      </w:r>
      <w:r>
        <w:rPr>
          <w:rFonts w:hint="eastAsia" w:ascii="宋体" w:hAnsi="宋体" w:cs="宋体"/>
          <w:color w:val="auto"/>
          <w:szCs w:val="21"/>
          <w:highlight w:val="none"/>
          <w:u w:val="single"/>
        </w:rPr>
        <w:t xml:space="preserve">   “电子备份投标文件”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lang w:eastAsia="zh-CN"/>
        </w:rPr>
        <w:t>330282202310006863</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lang w:eastAsia="zh-CN"/>
        </w:rPr>
        <w:t>掌起镇交管站综合安保辅助管理服务</w:t>
      </w:r>
      <w:r>
        <w:rPr>
          <w:rFonts w:hint="eastAsia" w:ascii="宋体" w:hAnsi="宋体" w:cs="宋体"/>
          <w:color w:val="auto"/>
          <w:szCs w:val="21"/>
          <w:highlight w:val="none"/>
          <w:u w:val="single"/>
        </w:rPr>
        <w:t>采购项目</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u w:val="single"/>
        </w:rPr>
        <w:t xml:space="preserve"> 2023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:30（规定的开标日期和时间）前不准启封；</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十一、投标文件的递交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1.投标文件递交的具体要求：</w:t>
      </w:r>
    </w:p>
    <w:p>
      <w:pPr>
        <w:adjustRightInd w:val="0"/>
        <w:snapToGrid w:val="0"/>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（1）供应商应于提交投标文件截止时间前将电子投标文件上传到政府采购云平台（</w:t>
      </w:r>
      <w:r>
        <w:rPr>
          <w:rFonts w:hint="eastAsia" w:ascii="宋体" w:hAnsi="宋体" w:cs="宋体"/>
          <w:b/>
          <w:bCs/>
          <w:color w:val="auto"/>
          <w:kern w:val="0"/>
          <w:szCs w:val="21"/>
          <w:highlight w:val="none"/>
        </w:rPr>
        <w:fldChar w:fldCharType="begin"/>
      </w:r>
      <w:r>
        <w:rPr>
          <w:rFonts w:hint="eastAsia" w:ascii="宋体" w:hAnsi="宋体" w:cs="宋体"/>
          <w:b/>
          <w:bCs/>
          <w:color w:val="auto"/>
          <w:kern w:val="0"/>
          <w:szCs w:val="21"/>
          <w:highlight w:val="none"/>
        </w:rPr>
        <w:instrText xml:space="preserve"> HYPERLINK "http://www.zcygov.cn" </w:instrText>
      </w:r>
      <w:r>
        <w:rPr>
          <w:rFonts w:hint="eastAsia" w:ascii="宋体" w:hAnsi="宋体" w:cs="宋体"/>
          <w:b/>
          <w:bCs/>
          <w:color w:val="auto"/>
          <w:kern w:val="0"/>
          <w:szCs w:val="21"/>
          <w:highlight w:val="none"/>
        </w:rPr>
        <w:fldChar w:fldCharType="separate"/>
      </w:r>
      <w:r>
        <w:rPr>
          <w:rStyle w:val="53"/>
          <w:rFonts w:hint="eastAsia" w:ascii="宋体" w:hAnsi="宋体" w:cs="宋体"/>
          <w:b/>
          <w:bCs/>
          <w:color w:val="auto"/>
          <w:kern w:val="0"/>
          <w:highlight w:val="none"/>
          <w:u w:val="none"/>
        </w:rPr>
        <w:t>www.zcygov.cn</w:t>
      </w:r>
      <w:r>
        <w:rPr>
          <w:rFonts w:hint="eastAsia" w:ascii="宋体" w:hAnsi="宋体" w:cs="宋体"/>
          <w:b/>
          <w:bCs/>
          <w:color w:val="auto"/>
          <w:kern w:val="0"/>
          <w:szCs w:val="21"/>
          <w:highlight w:val="none"/>
        </w:rPr>
        <w:fldChar w:fldCharType="end"/>
      </w:r>
      <w:r>
        <w:rPr>
          <w:rFonts w:hint="eastAsia" w:ascii="宋体" w:hAnsi="宋体" w:cs="宋体"/>
          <w:b/>
          <w:bCs/>
          <w:color w:val="auto"/>
          <w:kern w:val="0"/>
          <w:szCs w:val="21"/>
          <w:highlight w:val="none"/>
        </w:rPr>
        <w:t>），并</w:t>
      </w:r>
      <w:r>
        <w:rPr>
          <w:rFonts w:hint="eastAsia" w:ascii="宋体" w:hAnsi="宋体" w:cs="宋体"/>
          <w:b/>
          <w:bCs/>
          <w:color w:val="auto"/>
          <w:szCs w:val="21"/>
          <w:highlight w:val="none"/>
        </w:rPr>
        <w:t>应于提交投标文件截止时间</w:t>
      </w:r>
      <w:r>
        <w:rPr>
          <w:rFonts w:hint="eastAsia" w:ascii="宋体" w:hAnsi="宋体" w:cs="宋体"/>
          <w:b/>
          <w:bCs/>
          <w:color w:val="auto"/>
          <w:kern w:val="0"/>
          <w:szCs w:val="21"/>
          <w:highlight w:val="none"/>
        </w:rPr>
        <w:t>前，将以U盘或光盘存储的电子备份投标文件密封后按以下方式送达（若提供电子备份投标文件）：</w:t>
      </w:r>
    </w:p>
    <w:p>
      <w:pPr>
        <w:snapToGrid w:val="0"/>
        <w:spacing w:line="36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邮寄送达地址：慈溪永真工程管理有限公司（慈溪市商务二路永利大厦8楼</w:t>
      </w:r>
      <w:r>
        <w:rPr>
          <w:rFonts w:hint="eastAsia" w:ascii="宋体" w:hAnsi="宋体" w:cs="宋体"/>
          <w:b/>
          <w:bCs/>
          <w:color w:val="auto"/>
          <w:kern w:val="0"/>
          <w:szCs w:val="21"/>
          <w:highlight w:val="none"/>
          <w:lang w:val="en-US" w:eastAsia="zh-CN"/>
        </w:rPr>
        <w:t>812</w:t>
      </w:r>
      <w:r>
        <w:rPr>
          <w:rFonts w:hint="eastAsia" w:ascii="宋体" w:hAnsi="宋体" w:cs="宋体"/>
          <w:b/>
          <w:bCs/>
          <w:color w:val="auto"/>
          <w:kern w:val="0"/>
          <w:szCs w:val="21"/>
          <w:highlight w:val="none"/>
        </w:rPr>
        <w:t>），联系方式：</w:t>
      </w:r>
      <w:r>
        <w:rPr>
          <w:rFonts w:hint="eastAsia" w:ascii="宋体" w:hAnsi="宋体" w:cs="宋体"/>
          <w:b/>
          <w:bCs/>
          <w:color w:val="auto"/>
          <w:kern w:val="0"/>
          <w:szCs w:val="21"/>
          <w:highlight w:val="none"/>
          <w:lang w:val="en-US" w:eastAsia="zh-CN"/>
        </w:rPr>
        <w:t>侯维雁0574-63837858</w:t>
      </w:r>
      <w:r>
        <w:rPr>
          <w:rFonts w:hint="eastAsia" w:ascii="宋体" w:hAnsi="宋体" w:cs="宋体"/>
          <w:b/>
          <w:bCs/>
          <w:color w:val="auto"/>
          <w:kern w:val="0"/>
          <w:szCs w:val="21"/>
          <w:highlight w:val="none"/>
        </w:rPr>
        <w:t>。供应商邮寄后须将邮件单号发送至代理机构电子邮箱（电子邮箱：</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lang w:val="en-US" w:eastAsia="zh-CN"/>
        </w:rPr>
        <w:t>62153643</w:t>
      </w:r>
      <w:r>
        <w:rPr>
          <w:rFonts w:hint="eastAsia" w:ascii="宋体" w:hAnsi="宋体" w:cs="宋体"/>
          <w:b/>
          <w:bCs/>
          <w:color w:val="auto"/>
          <w:kern w:val="0"/>
          <w:szCs w:val="21"/>
          <w:highlight w:val="none"/>
        </w:rPr>
        <w:t>@qq.com），并致电采购代理机构，以便采购代理机构查询物流记录。各供应商应当确保电子备份投标文件的密封包装在邮寄过程保持完好，并在邮寄包裹上注明项目名称、项目编号，因邮寄造成电子备份投标文件密封破损而不符合采购文件对投标文件的密封要求或邮寄过程中导致电子备份投标文件未能在投标截止时间之前送达的，代理机构将拒绝其电子备份投标文件。各供应商自行考虑邮寄在途时间，电子备份投标文件送达时间以代理机构工作人员实际签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2.供应商未按上述要求密封的电子备份投标文件，代理机构不予受理。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4.投标文件的补充、修改</w:t>
      </w:r>
    </w:p>
    <w:p>
      <w:pPr>
        <w:spacing w:line="40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rPr>
        <w:t>投标截止时间前，供应商可以对递交的投标文件进行补充、修改，</w:t>
      </w:r>
      <w:r>
        <w:rPr>
          <w:rFonts w:hint="eastAsia" w:ascii="宋体" w:hAnsi="宋体" w:cs="宋体"/>
          <w:color w:val="auto"/>
          <w:szCs w:val="21"/>
          <w:highlight w:val="none"/>
          <w:lang w:val="en"/>
        </w:rPr>
        <w:t>补充、修改</w:t>
      </w:r>
      <w:r>
        <w:rPr>
          <w:rFonts w:hint="eastAsia" w:ascii="宋体" w:hAnsi="宋体" w:cs="宋体"/>
          <w:color w:val="auto"/>
          <w:szCs w:val="21"/>
          <w:highlight w:val="none"/>
        </w:rPr>
        <w:t>电子投标文件</w:t>
      </w:r>
      <w:r>
        <w:rPr>
          <w:rFonts w:hint="eastAsia" w:ascii="宋体" w:hAnsi="宋体" w:cs="宋体"/>
          <w:color w:val="auto"/>
          <w:szCs w:val="21"/>
          <w:highlight w:val="none"/>
          <w:lang w:val="en"/>
        </w:rPr>
        <w:t>的，应当先行撤回原文件，补充、修改后重新上传，电子备份投标文件也应重新制作。</w:t>
      </w:r>
      <w:r>
        <w:rPr>
          <w:rFonts w:hint="eastAsia" w:ascii="宋体" w:hAnsi="宋体" w:cs="宋体"/>
          <w:color w:val="auto"/>
          <w:szCs w:val="21"/>
          <w:highlight w:val="none"/>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十二、开标</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在招标文件规定的时间和地点公开开标，本项目为不见面开评标项目，供应商可通过浙江省“电子交易/不见面开评标”学习专题提前进行专题学习，熟悉操作，避免影响采购活动（https://edu.zcygov.cn/luban/e-biding）。</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b/>
          <w:bCs/>
          <w:color w:val="auto"/>
          <w:kern w:val="0"/>
          <w:szCs w:val="21"/>
          <w:highlight w:val="none"/>
        </w:rPr>
        <w:t>政府采购云平台</w:t>
      </w:r>
      <w:r>
        <w:rPr>
          <w:rFonts w:hint="eastAsia" w:ascii="宋体" w:hAnsi="宋体" w:cs="宋体"/>
          <w:b/>
          <w:bCs/>
          <w:color w:val="auto"/>
          <w:szCs w:val="21"/>
          <w:highlight w:val="none"/>
        </w:rPr>
        <w:t>如对电子化开标及评审程序有调整的，按调整后的程序操作</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本项目原则上采用政采云电子投标开标及评审程序，但有下列情形之一的，按以下情况处理：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十三、评标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2.评标活动遵循公开、公平、公正、科学和择优的原则。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十四、招标文件的澄清和修改</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十五、质疑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1.供应商认为采购文件、采购过程、中标或者成交结果使自己的权益受到损害的，可以在知道或者应知其权益受到损害之日起7个工作日内，以书面形式</w:t>
      </w:r>
      <w:r>
        <w:rPr>
          <w:rFonts w:hint="eastAsia"/>
          <w:color w:val="auto"/>
          <w:szCs w:val="21"/>
          <w:highlight w:val="none"/>
        </w:rPr>
        <w:t>或者通过政采云平台在线</w:t>
      </w:r>
      <w:r>
        <w:rPr>
          <w:rFonts w:hint="eastAsia" w:ascii="宋体" w:hAnsi="宋体" w:cs="宋体"/>
          <w:color w:val="auto"/>
          <w:szCs w:val="21"/>
          <w:highlight w:val="none"/>
        </w:rPr>
        <w:t>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5.采购人、代理机构接收质疑函的方式：只接收供应商以当面递交、邮寄、传真、电子邮件或通过政采云平台在线方式提出的质疑函，以其他方式提出的质疑不予接收。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6.采购人、代理机构以实际收到质疑函原件之日作为收到质疑函的日期，将在收到质疑函后7个工作日内作出答复。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7.采购人、代理机构接收质疑函的联系人、联系电话和通讯地址等信息详见招标公告。</w:t>
      </w:r>
    </w:p>
    <w:p>
      <w:pPr>
        <w:spacing w:line="400" w:lineRule="exact"/>
        <w:ind w:firstLine="420" w:firstLineChars="200"/>
        <w:rPr>
          <w:rFonts w:hint="eastAsia" w:eastAsia="方正书宋简体"/>
          <w:color w:val="auto"/>
          <w:highlight w:val="none"/>
        </w:rPr>
      </w:pPr>
      <w:r>
        <w:rPr>
          <w:rFonts w:hint="eastAsia" w:ascii="宋体" w:hAnsi="宋体" w:cs="宋体"/>
          <w:color w:val="auto"/>
          <w:szCs w:val="21"/>
          <w:highlight w:val="none"/>
        </w:rPr>
        <w:t>8.政采云平台在线方式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★十六、预算价</w:t>
      </w:r>
    </w:p>
    <w:p>
      <w:pPr>
        <w:spacing w:line="400" w:lineRule="exact"/>
        <w:ind w:firstLine="420" w:firstLineChars="200"/>
        <w:rPr>
          <w:rFonts w:hint="eastAsia" w:ascii="宋体" w:hAnsi="宋体" w:cs="宋体"/>
          <w:color w:val="auto"/>
          <w:szCs w:val="21"/>
          <w:highlight w:val="none"/>
        </w:rPr>
      </w:pPr>
      <w:bookmarkStart w:id="7" w:name="_Hlk37142004"/>
      <w:r>
        <w:rPr>
          <w:rFonts w:hint="eastAsia" w:ascii="宋体" w:hAnsi="宋体" w:cs="宋体"/>
          <w:color w:val="auto"/>
          <w:szCs w:val="21"/>
          <w:highlight w:val="none"/>
        </w:rPr>
        <w:t xml:space="preserve">本次公开招标设有预算价： </w:t>
      </w:r>
      <w:r>
        <w:rPr>
          <w:rFonts w:hint="eastAsia" w:ascii="宋体" w:hAnsi="宋体" w:cs="宋体"/>
          <w:color w:val="auto"/>
          <w:szCs w:val="21"/>
          <w:highlight w:val="none"/>
          <w:lang w:val="en-US" w:eastAsia="zh-CN"/>
        </w:rPr>
        <w:t>970000元</w:t>
      </w:r>
      <w:r>
        <w:rPr>
          <w:rFonts w:hint="eastAsia" w:ascii="宋体" w:hAnsi="宋体" w:cs="宋体"/>
          <w:color w:val="auto"/>
          <w:szCs w:val="21"/>
          <w:highlight w:val="none"/>
        </w:rPr>
        <w:t>。</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十七、招标代理服务费</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1.本项目招标代理费：</w:t>
      </w:r>
      <w:r>
        <w:rPr>
          <w:rFonts w:hint="eastAsia" w:ascii="宋体" w:hAnsi="宋体"/>
          <w:color w:val="auto"/>
          <w:szCs w:val="21"/>
          <w:highlight w:val="none"/>
          <w:lang w:val="en-US" w:eastAsia="zh-CN"/>
        </w:rPr>
        <w:t>12000</w:t>
      </w:r>
      <w:r>
        <w:rPr>
          <w:rFonts w:hint="eastAsia" w:ascii="宋体" w:hAnsi="宋体"/>
          <w:color w:val="auto"/>
          <w:szCs w:val="21"/>
          <w:highlight w:val="none"/>
        </w:rPr>
        <w:t>元，向中标人收取招标代理服务费。</w:t>
      </w:r>
    </w:p>
    <w:bookmarkEnd w:id="7"/>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十八、特别说明</w:t>
      </w:r>
    </w:p>
    <w:p>
      <w:pPr>
        <w:spacing w:line="400" w:lineRule="exact"/>
        <w:ind w:firstLine="420" w:firstLineChars="200"/>
        <w:rPr>
          <w:rFonts w:hint="eastAsia" w:ascii="宋体" w:hAnsi="宋体" w:cs="宋体"/>
          <w:color w:val="auto"/>
          <w:szCs w:val="21"/>
          <w:highlight w:val="none"/>
        </w:rPr>
      </w:pPr>
      <w:bookmarkStart w:id="8" w:name="_Toc419729150"/>
      <w:bookmarkStart w:id="9" w:name="_Toc436408700"/>
      <w:bookmarkStart w:id="10" w:name="_Toc441316546"/>
      <w:bookmarkStart w:id="11" w:name="_Toc21541007"/>
      <w:r>
        <w:rPr>
          <w:rFonts w:hint="eastAsia" w:ascii="宋体" w:hAnsi="宋体" w:cs="宋体"/>
          <w:color w:val="auto"/>
          <w:szCs w:val="21"/>
          <w:highlight w:val="none"/>
        </w:rPr>
        <w:t>1.执行财政部、工业和信息化部《政府采购促进中小企业发展管理办法》（财库〔2020〕46号）。政府采购活动中有关中小企业的相关规定如下：</w:t>
      </w:r>
      <w:bookmarkEnd w:id="8"/>
      <w:bookmarkEnd w:id="9"/>
      <w:bookmarkEnd w:id="10"/>
      <w:bookmarkEnd w:id="11"/>
    </w:p>
    <w:p>
      <w:pPr>
        <w:spacing w:line="400" w:lineRule="exact"/>
        <w:ind w:firstLine="420" w:firstLineChars="200"/>
        <w:rPr>
          <w:rFonts w:hint="eastAsia" w:ascii="宋体" w:hAnsi="宋体" w:cs="宋体"/>
          <w:color w:val="auto"/>
          <w:szCs w:val="21"/>
          <w:highlight w:val="none"/>
        </w:rPr>
      </w:pPr>
      <w:bookmarkStart w:id="12" w:name="_Toc21541008"/>
      <w:bookmarkStart w:id="13" w:name="_Toc419729151"/>
      <w:bookmarkStart w:id="14" w:name="_Toc436408701"/>
      <w:bookmarkStart w:id="15" w:name="_Toc441316547"/>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2"/>
      <w:bookmarkEnd w:id="13"/>
      <w:bookmarkEnd w:id="14"/>
      <w:bookmarkEnd w:id="15"/>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bookmarkStart w:id="16" w:name="_Toc21541009"/>
      <w:bookmarkStart w:id="17" w:name="_Toc436408702"/>
      <w:bookmarkStart w:id="18" w:name="_Toc441316548"/>
      <w:bookmarkStart w:id="19" w:name="_Toc419729152"/>
      <w:r>
        <w:rPr>
          <w:rFonts w:hint="eastAsia" w:ascii="宋体" w:hAnsi="宋体" w:cs="宋体"/>
          <w:color w:val="auto"/>
          <w:szCs w:val="21"/>
          <w:highlight w:val="none"/>
        </w:rPr>
        <w:t>①在货物采购项目中，货物由中小企业制造，即货物由中小企业生产且使用该中小企业商号或者注册商标；</w:t>
      </w:r>
      <w:bookmarkEnd w:id="16"/>
      <w:bookmarkEnd w:id="17"/>
      <w:bookmarkEnd w:id="18"/>
      <w:bookmarkEnd w:id="19"/>
    </w:p>
    <w:p>
      <w:pPr>
        <w:spacing w:line="400" w:lineRule="exact"/>
        <w:ind w:firstLine="420" w:firstLineChars="200"/>
        <w:rPr>
          <w:rFonts w:hint="eastAsia" w:ascii="宋体" w:hAnsi="宋体" w:cs="宋体"/>
          <w:color w:val="auto"/>
          <w:szCs w:val="21"/>
          <w:highlight w:val="none"/>
        </w:rPr>
      </w:pPr>
      <w:bookmarkStart w:id="20" w:name="_Toc436408703"/>
      <w:bookmarkStart w:id="21" w:name="_Toc21541010"/>
      <w:bookmarkStart w:id="22" w:name="_Toc419729153"/>
      <w:bookmarkStart w:id="23" w:name="_Toc441316549"/>
      <w:r>
        <w:rPr>
          <w:rFonts w:hint="eastAsia" w:ascii="宋体" w:hAnsi="宋体" w:cs="宋体"/>
          <w:color w:val="auto"/>
          <w:szCs w:val="21"/>
          <w:highlight w:val="none"/>
        </w:rPr>
        <w:t>②在工程采购项目中，工程由中小企业承建，即工程施工单位为中小企业</w:t>
      </w:r>
      <w:bookmarkEnd w:id="20"/>
      <w:bookmarkEnd w:id="21"/>
      <w:bookmarkEnd w:id="22"/>
      <w:bookmarkEnd w:id="23"/>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cs="宋体"/>
          <w:color w:val="auto"/>
          <w:szCs w:val="21"/>
          <w:highlight w:val="none"/>
        </w:rPr>
      </w:pPr>
      <w:bookmarkStart w:id="24" w:name="_Toc495244277"/>
      <w:bookmarkStart w:id="25" w:name="_Toc21541015"/>
      <w:r>
        <w:rPr>
          <w:rFonts w:hint="eastAsia" w:ascii="宋体" w:hAnsi="宋体" w:cs="宋体"/>
          <w:color w:val="auto"/>
          <w:szCs w:val="21"/>
          <w:highlight w:val="none"/>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4"/>
      <w:bookmarkEnd w:id="25"/>
    </w:p>
    <w:p>
      <w:pPr>
        <w:spacing w:line="400" w:lineRule="exact"/>
        <w:ind w:firstLine="420" w:firstLineChars="200"/>
        <w:rPr>
          <w:rFonts w:hint="eastAsia" w:ascii="宋体" w:hAnsi="宋体" w:cs="宋体"/>
          <w:color w:val="auto"/>
          <w:szCs w:val="21"/>
          <w:highlight w:val="none"/>
        </w:rPr>
      </w:pPr>
      <w:bookmarkStart w:id="26" w:name="_Toc21541016"/>
      <w:r>
        <w:rPr>
          <w:rFonts w:hint="eastAsia" w:ascii="宋体" w:hAnsi="宋体" w:cs="宋体"/>
          <w:color w:val="auto"/>
          <w:szCs w:val="21"/>
          <w:highlight w:val="none"/>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6"/>
    </w:p>
    <w:p>
      <w:pPr>
        <w:spacing w:line="400" w:lineRule="exact"/>
        <w:ind w:firstLine="420" w:firstLineChars="200"/>
        <w:rPr>
          <w:rFonts w:hint="eastAsia" w:ascii="宋体" w:hAnsi="宋体" w:cs="宋体"/>
          <w:color w:val="auto"/>
          <w:szCs w:val="21"/>
          <w:highlight w:val="none"/>
        </w:rPr>
      </w:pPr>
      <w:bookmarkStart w:id="27" w:name="_Toc21541017"/>
      <w:bookmarkStart w:id="28" w:name="_Toc419729158"/>
      <w:r>
        <w:rPr>
          <w:rFonts w:hint="eastAsia" w:ascii="宋体" w:hAnsi="宋体" w:cs="宋体"/>
          <w:color w:val="auto"/>
          <w:szCs w:val="21"/>
          <w:highlight w:val="none"/>
        </w:rPr>
        <w:t>4.本项目不组织潜在供应商现场考察或者召开开标前答疑。</w:t>
      </w:r>
      <w:bookmarkEnd w:id="27"/>
    </w:p>
    <w:p>
      <w:pPr>
        <w:spacing w:line="400" w:lineRule="exact"/>
        <w:ind w:firstLine="420" w:firstLineChars="200"/>
        <w:rPr>
          <w:rFonts w:hint="eastAsia" w:ascii="宋体" w:hAnsi="宋体" w:cs="宋体"/>
          <w:color w:val="auto"/>
          <w:szCs w:val="21"/>
          <w:highlight w:val="none"/>
        </w:rPr>
      </w:pPr>
      <w:bookmarkStart w:id="29" w:name="_Toc21541018"/>
      <w:r>
        <w:rPr>
          <w:rFonts w:hint="eastAsia" w:ascii="宋体" w:hAnsi="宋体" w:cs="宋体"/>
          <w:color w:val="auto"/>
          <w:szCs w:val="21"/>
          <w:highlight w:val="none"/>
        </w:rPr>
        <w:t>5.本文件未及事项，在签订合同时供需及使用方友好商定。</w:t>
      </w:r>
      <w:bookmarkEnd w:id="28"/>
      <w:bookmarkEnd w:id="29"/>
    </w:p>
    <w:p>
      <w:pPr>
        <w:spacing w:line="400" w:lineRule="exact"/>
        <w:ind w:firstLine="420" w:firstLineChars="200"/>
        <w:rPr>
          <w:rFonts w:hint="eastAsia" w:ascii="宋体" w:hAnsi="宋体" w:cs="宋体"/>
          <w:color w:val="auto"/>
          <w:szCs w:val="21"/>
          <w:highlight w:val="none"/>
        </w:rPr>
      </w:pPr>
      <w:bookmarkStart w:id="30" w:name="_Toc419729159"/>
      <w:r>
        <w:rPr>
          <w:rFonts w:hint="eastAsia" w:ascii="宋体" w:hAnsi="宋体" w:cs="宋体"/>
          <w:color w:val="auto"/>
          <w:szCs w:val="21"/>
          <w:highlight w:val="none"/>
        </w:rPr>
        <w:t>6.本招标文件解释权归采购人。</w:t>
      </w:r>
      <w:bookmarkEnd w:id="30"/>
    </w:p>
    <w:p>
      <w:pPr>
        <w:spacing w:line="400" w:lineRule="exact"/>
        <w:ind w:firstLine="420" w:firstLineChars="200"/>
        <w:rPr>
          <w:rFonts w:hint="eastAsia" w:ascii="宋体" w:hAnsi="宋体" w:cs="宋体"/>
          <w:color w:val="auto"/>
          <w:szCs w:val="21"/>
          <w:highlight w:val="none"/>
        </w:rPr>
      </w:pPr>
    </w:p>
    <w:p>
      <w:pPr>
        <w:spacing w:line="400" w:lineRule="exact"/>
        <w:ind w:firstLine="422" w:firstLineChars="200"/>
        <w:rPr>
          <w:rFonts w:ascii="宋体" w:hAnsi="宋体"/>
          <w:b/>
          <w:color w:val="auto"/>
          <w:szCs w:val="21"/>
          <w:highlight w:val="none"/>
        </w:rPr>
      </w:pPr>
    </w:p>
    <w:p>
      <w:pPr>
        <w:spacing w:line="400" w:lineRule="exact"/>
        <w:jc w:val="center"/>
        <w:outlineLvl w:val="0"/>
        <w:rPr>
          <w:rFonts w:hint="eastAsia" w:ascii="宋体" w:hAnsi="宋体"/>
          <w:b/>
          <w:color w:val="auto"/>
          <w:sz w:val="32"/>
          <w:highlight w:val="none"/>
        </w:rPr>
      </w:pPr>
      <w:bookmarkStart w:id="31" w:name="_Toc18361"/>
      <w:r>
        <w:rPr>
          <w:rFonts w:hint="eastAsia" w:ascii="宋体" w:hAnsi="宋体"/>
          <w:b/>
          <w:color w:val="auto"/>
          <w:sz w:val="32"/>
          <w:highlight w:val="none"/>
        </w:rPr>
        <w:br w:type="page"/>
      </w:r>
    </w:p>
    <w:p>
      <w:pPr>
        <w:spacing w:line="400" w:lineRule="exact"/>
        <w:jc w:val="center"/>
        <w:outlineLvl w:val="0"/>
        <w:rPr>
          <w:rFonts w:hint="eastAsia" w:ascii="宋体" w:hAnsi="宋体"/>
          <w:b/>
          <w:color w:val="auto"/>
          <w:sz w:val="36"/>
          <w:szCs w:val="21"/>
          <w:highlight w:val="none"/>
        </w:rPr>
      </w:pPr>
    </w:p>
    <w:p>
      <w:pPr>
        <w:spacing w:line="400" w:lineRule="exact"/>
        <w:jc w:val="center"/>
        <w:outlineLvl w:val="0"/>
        <w:rPr>
          <w:rFonts w:ascii="宋体" w:hAnsi="宋体"/>
          <w:b/>
          <w:color w:val="auto"/>
          <w:sz w:val="36"/>
          <w:szCs w:val="21"/>
          <w:highlight w:val="none"/>
        </w:rPr>
      </w:pPr>
      <w:r>
        <w:rPr>
          <w:rFonts w:hint="eastAsia" w:ascii="宋体" w:hAnsi="宋体"/>
          <w:b/>
          <w:color w:val="auto"/>
          <w:sz w:val="36"/>
          <w:szCs w:val="21"/>
          <w:highlight w:val="none"/>
        </w:rPr>
        <w:t>第三章</w:t>
      </w:r>
      <w:r>
        <w:rPr>
          <w:rFonts w:ascii="宋体" w:hAnsi="宋体"/>
          <w:b/>
          <w:color w:val="auto"/>
          <w:sz w:val="36"/>
          <w:szCs w:val="21"/>
          <w:highlight w:val="none"/>
        </w:rPr>
        <w:t xml:space="preserve">  </w:t>
      </w:r>
      <w:r>
        <w:rPr>
          <w:rFonts w:hint="eastAsia" w:ascii="宋体" w:hAnsi="宋体"/>
          <w:b/>
          <w:color w:val="auto"/>
          <w:sz w:val="36"/>
          <w:szCs w:val="21"/>
          <w:highlight w:val="none"/>
        </w:rPr>
        <w:t>评标办法及标准</w:t>
      </w:r>
      <w:bookmarkEnd w:id="31"/>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left="-2" w:leftChars="-1"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1.1本项目评标采用综合评分法。</w:t>
      </w:r>
    </w:p>
    <w:p>
      <w:pPr>
        <w:spacing w:line="400" w:lineRule="exact"/>
        <w:ind w:left="-2" w:leftChars="-1"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并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hint="eastAsia" w:ascii="宋体" w:hAnsi="宋体" w:cs="仿宋"/>
          <w:color w:val="auto"/>
          <w:szCs w:val="21"/>
          <w:highlight w:val="none"/>
        </w:rPr>
      </w:pPr>
      <w:r>
        <w:rPr>
          <w:rFonts w:ascii="宋体" w:hAnsi="宋体" w:cs="仿宋"/>
          <w:color w:val="auto"/>
          <w:szCs w:val="21"/>
          <w:highlight w:val="none"/>
        </w:rPr>
        <w:t>1.4</w:t>
      </w:r>
      <w:r>
        <w:rPr>
          <w:rFonts w:hint="eastAsia" w:ascii="宋体" w:hAnsi="宋体" w:cs="仿宋"/>
          <w:b/>
          <w:bCs/>
          <w:color w:val="auto"/>
          <w:szCs w:val="21"/>
          <w:highlight w:val="none"/>
        </w:rPr>
        <w:t>本次采购为专门面向中小企业</w:t>
      </w:r>
      <w:r>
        <w:rPr>
          <w:rFonts w:hint="eastAsia" w:ascii="宋体" w:hAnsi="宋体" w:cs="仿宋"/>
          <w:color w:val="auto"/>
          <w:szCs w:val="21"/>
          <w:highlight w:val="none"/>
        </w:rPr>
        <w:t>，采购标的对应的中小企业划分标准所属行业：</w:t>
      </w:r>
      <w:r>
        <w:rPr>
          <w:rFonts w:hint="eastAsia" w:ascii="宋体" w:hAnsi="宋体" w:cs="仿宋"/>
          <w:b/>
          <w:bCs/>
          <w:color w:val="auto"/>
          <w:szCs w:val="21"/>
          <w:highlight w:val="none"/>
          <w:u w:val="single"/>
          <w:lang w:val="en-US" w:eastAsia="zh-CN"/>
        </w:rPr>
        <w:t>租赁和商务服务业</w:t>
      </w:r>
      <w:r>
        <w:rPr>
          <w:rFonts w:hint="eastAsia" w:ascii="宋体" w:hAnsi="宋体" w:cs="仿宋"/>
          <w:color w:val="auto"/>
          <w:szCs w:val="21"/>
          <w:highlight w:val="none"/>
        </w:rPr>
        <w:t>。</w:t>
      </w:r>
    </w:p>
    <w:p>
      <w:pPr>
        <w:spacing w:line="400" w:lineRule="exact"/>
        <w:ind w:left="-2" w:leftChars="-1"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1.5评标委员会成员对需要共同认定的事项存在争议的，应当按照少数服从多数的原则作出结论。</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（3）大写金额和小写金额不一致的，以大写金额为准；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3评标委员会根据“附表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4综合评估：供应商的综合得分为商务和技术得分与报价得分之和。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5推荐中标候选人：评标结果按评审后得分由高到低顺序排列。得分相同的，按投标报价由低到高顺序排列。得分且投标报价相同的并列，采取随机抽签的方式确定排序，并按排列顺序推荐中标候选人。</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个工作日内在评审报告推荐的中标候选人中按顺序确定1名中标供应商。采购人或采购代理机构应当自中标供应商确定之日起2个工作日内发出中标通知书并</w:t>
      </w:r>
      <w:r>
        <w:rPr>
          <w:rFonts w:hint="eastAsia" w:ascii="宋体" w:hAnsi="宋体" w:cs="宋体"/>
          <w:color w:val="auto"/>
          <w:szCs w:val="22"/>
          <w:highlight w:val="none"/>
          <w:lang w:bidi="ar"/>
        </w:rPr>
        <w:t>在发布招标公告的网站上对中标结果进行公示，公告期限为1个工作日。</w:t>
      </w:r>
      <w:r>
        <w:rPr>
          <w:rFonts w:hint="eastAsia" w:ascii="宋体" w:hAnsi="宋体"/>
          <w:color w:val="auto"/>
          <w:szCs w:val="21"/>
          <w:highlight w:val="none"/>
        </w:rPr>
        <w:t>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作出必要的澄清。供应商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3供应商未在截止时间前完成澄清，将被视作自动放弃。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ascii="宋体" w:hAnsi="宋体"/>
          <w:color w:val="auto"/>
          <w:sz w:val="24"/>
          <w:szCs w:val="24"/>
          <w:highlight w:val="none"/>
        </w:rPr>
      </w:pPr>
      <w:r>
        <w:rPr>
          <w:rFonts w:ascii="宋体" w:hAnsi="宋体"/>
          <w:color w:val="auto"/>
          <w:sz w:val="24"/>
          <w:szCs w:val="24"/>
          <w:highlight w:val="none"/>
        </w:rPr>
        <w:br w:type="page"/>
      </w:r>
    </w:p>
    <w:p>
      <w:pPr>
        <w:spacing w:line="400" w:lineRule="exact"/>
        <w:rPr>
          <w:rFonts w:hint="eastAsia" w:ascii="宋体" w:hAnsi="宋体"/>
          <w:color w:val="auto"/>
          <w:szCs w:val="21"/>
          <w:highlight w:val="none"/>
        </w:rPr>
      </w:pPr>
      <w:r>
        <w:rPr>
          <w:rFonts w:hint="eastAsia" w:ascii="宋体" w:hAnsi="宋体"/>
          <w:b/>
          <w:bCs/>
          <w:color w:val="auto"/>
          <w:sz w:val="22"/>
          <w:szCs w:val="22"/>
          <w:highlight w:val="none"/>
        </w:rPr>
        <w:t>附表</w:t>
      </w:r>
      <w:r>
        <w:rPr>
          <w:rFonts w:ascii="宋体" w:hAnsi="宋体"/>
          <w:b/>
          <w:bCs/>
          <w:color w:val="auto"/>
          <w:sz w:val="22"/>
          <w:szCs w:val="22"/>
          <w:highlight w:val="none"/>
        </w:rPr>
        <w:t>1</w:t>
      </w:r>
      <w:r>
        <w:rPr>
          <w:rFonts w:hint="eastAsia" w:ascii="宋体" w:hAnsi="宋体"/>
          <w:b/>
          <w:bCs/>
          <w:color w:val="auto"/>
          <w:sz w:val="22"/>
          <w:szCs w:val="22"/>
          <w:highlight w:val="none"/>
        </w:rPr>
        <w:t>：</w:t>
      </w:r>
      <w:r>
        <w:rPr>
          <w:rFonts w:hint="eastAsia"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资格性审查表</w:t>
      </w:r>
    </w:p>
    <w:tbl>
      <w:tblPr>
        <w:tblStyle w:val="4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035"/>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035"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736"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035" w:type="dxa"/>
            <w:noWrap w:val="0"/>
            <w:vAlign w:val="center"/>
          </w:tcPr>
          <w:p>
            <w:pPr>
              <w:spacing w:line="400" w:lineRule="exact"/>
              <w:jc w:val="left"/>
              <w:rPr>
                <w:rFonts w:hint="eastAsia" w:ascii="宋体" w:hAnsi="宋体"/>
                <w:color w:val="auto"/>
                <w:szCs w:val="21"/>
                <w:highlight w:val="none"/>
              </w:rPr>
            </w:pPr>
            <w:r>
              <w:rPr>
                <w:rFonts w:hint="eastAsia" w:ascii="宋体" w:hAnsi="宋体"/>
                <w:color w:val="auto"/>
                <w:szCs w:val="21"/>
                <w:highlight w:val="none"/>
              </w:rPr>
              <w:t>A1.关于资格的承诺函；</w:t>
            </w:r>
          </w:p>
          <w:p>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w:t>
            </w:r>
          </w:p>
        </w:tc>
        <w:tc>
          <w:tcPr>
            <w:tcW w:w="4736" w:type="dxa"/>
            <w:noWrap w:val="0"/>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035" w:type="dxa"/>
            <w:noWrap w:val="0"/>
            <w:vAlign w:val="center"/>
          </w:tcPr>
          <w:p>
            <w:pPr>
              <w:spacing w:line="400" w:lineRule="exact"/>
              <w:jc w:val="left"/>
              <w:rPr>
                <w:rFonts w:hint="eastAsia" w:ascii="宋体" w:hAnsi="宋体"/>
                <w:color w:val="auto"/>
                <w:szCs w:val="21"/>
                <w:highlight w:val="none"/>
              </w:rPr>
            </w:pPr>
            <w:r>
              <w:rPr>
                <w:rFonts w:hint="eastAsia" w:ascii="宋体" w:hAnsi="宋体" w:eastAsia="宋体" w:cs="宋体"/>
                <w:color w:val="auto"/>
                <w:kern w:val="2"/>
                <w:sz w:val="21"/>
                <w:szCs w:val="21"/>
                <w:highlight w:val="none"/>
                <w:lang w:bidi="ar"/>
              </w:rPr>
              <w:t>具有公安机关核发的保安服务许可证</w:t>
            </w:r>
            <w:r>
              <w:rPr>
                <w:rFonts w:hint="eastAsia" w:ascii="宋体" w:hAnsi="宋体" w:eastAsia="宋体" w:cs="宋体"/>
                <w:color w:val="auto"/>
                <w:kern w:val="2"/>
                <w:sz w:val="21"/>
                <w:szCs w:val="21"/>
                <w:highlight w:val="none"/>
                <w:lang w:val="en-US" w:eastAsia="zh-CN" w:bidi="ar"/>
              </w:rPr>
              <w:t>扫描件</w:t>
            </w:r>
          </w:p>
        </w:tc>
        <w:tc>
          <w:tcPr>
            <w:tcW w:w="4736" w:type="dxa"/>
            <w:noWrap w:val="0"/>
            <w:vAlign w:val="center"/>
          </w:tcPr>
          <w:p>
            <w:pPr>
              <w:spacing w:line="400" w:lineRule="exact"/>
              <w:jc w:val="left"/>
              <w:rPr>
                <w:rFonts w:hint="eastAsia" w:ascii="宋体" w:hAnsi="宋体" w:cs="仿宋"/>
                <w:color w:val="auto"/>
                <w:szCs w:val="21"/>
                <w:highlight w:val="none"/>
              </w:rPr>
            </w:pPr>
            <w:r>
              <w:rPr>
                <w:rFonts w:hint="eastAsia" w:ascii="宋体" w:hAnsi="宋体" w:eastAsia="宋体" w:cs="宋体"/>
                <w:color w:val="auto"/>
                <w:kern w:val="2"/>
                <w:sz w:val="21"/>
                <w:szCs w:val="21"/>
                <w:highlight w:val="none"/>
                <w:lang w:bidi="ar"/>
              </w:rPr>
              <w:t>具有公安机关核发的保安服务许可证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spacing w:line="360" w:lineRule="exact"/>
              <w:jc w:val="center"/>
              <w:rPr>
                <w:rFonts w:hint="eastAsia" w:ascii="宋体" w:hAnsi="宋体" w:eastAsia="宋体" w:cs="宋体"/>
                <w:color w:val="auto"/>
                <w:kern w:val="2"/>
                <w:sz w:val="20"/>
                <w:highlight w:val="none"/>
                <w:lang w:val="en-US" w:eastAsia="zh-CN" w:bidi="ar"/>
              </w:rPr>
            </w:pPr>
            <w:r>
              <w:rPr>
                <w:rFonts w:hint="eastAsia" w:ascii="宋体" w:hAnsi="宋体" w:cs="宋体"/>
                <w:color w:val="auto"/>
                <w:sz w:val="20"/>
                <w:highlight w:val="none"/>
                <w:lang w:val="en-US" w:eastAsia="zh-CN" w:bidi="ar"/>
              </w:rPr>
              <w:t>3</w:t>
            </w:r>
          </w:p>
        </w:tc>
        <w:tc>
          <w:tcPr>
            <w:tcW w:w="4035" w:type="dxa"/>
            <w:noWrap w:val="0"/>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A3.</w:t>
            </w:r>
            <w:r>
              <w:rPr>
                <w:rFonts w:hint="eastAsia" w:ascii="宋体" w:hAnsi="宋体" w:cs="宋体"/>
                <w:color w:val="auto"/>
                <w:szCs w:val="21"/>
                <w:highlight w:val="none"/>
              </w:rPr>
              <w:t>中小企业声明函；</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A4.</w:t>
            </w:r>
            <w:r>
              <w:rPr>
                <w:rFonts w:hint="eastAsia" w:ascii="宋体" w:hAnsi="宋体" w:cs="宋体"/>
                <w:color w:val="auto"/>
                <w:szCs w:val="21"/>
                <w:highlight w:val="none"/>
              </w:rPr>
              <w:t>残疾人福利性单位的：提供残疾人福利性单位声明函（如有需提供）；</w:t>
            </w:r>
          </w:p>
          <w:p>
            <w:pPr>
              <w:spacing w:line="320" w:lineRule="exact"/>
              <w:rPr>
                <w:rFonts w:hint="eastAsia"/>
                <w:color w:val="auto"/>
                <w:kern w:val="2"/>
                <w:sz w:val="21"/>
                <w:szCs w:val="22"/>
                <w:highlight w:val="none"/>
                <w:lang w:val="en-US" w:eastAsia="zh-CN" w:bidi="ar-SA"/>
              </w:rPr>
            </w:pPr>
            <w:r>
              <w:rPr>
                <w:rFonts w:hint="eastAsia" w:ascii="宋体" w:hAnsi="宋体" w:cs="宋体"/>
                <w:color w:val="auto"/>
                <w:szCs w:val="21"/>
                <w:highlight w:val="none"/>
                <w:lang w:val="en-US" w:eastAsia="zh-CN"/>
              </w:rPr>
              <w:t>A5.</w:t>
            </w:r>
            <w:r>
              <w:rPr>
                <w:rFonts w:hint="eastAsia" w:ascii="宋体" w:hAnsi="宋体" w:cs="宋体"/>
                <w:color w:val="auto"/>
                <w:szCs w:val="21"/>
                <w:highlight w:val="none"/>
              </w:rPr>
              <w:t>监狱企业（监狱和戒毒企业）提供自己企业的产品（服务）的：提供由省级以上监狱管理局、戒毒管理局（含新疆生产建设兵团）出具的属于监狱企业的证明文件扫描件（如有需提供）；</w:t>
            </w:r>
          </w:p>
        </w:tc>
        <w:tc>
          <w:tcPr>
            <w:tcW w:w="4736" w:type="dxa"/>
            <w:noWrap w:val="0"/>
            <w:vAlign w:val="center"/>
          </w:tcPr>
          <w:p>
            <w:pPr>
              <w:spacing w:line="320" w:lineRule="exact"/>
              <w:rPr>
                <w:rFonts w:hint="eastAsia"/>
                <w:color w:val="auto"/>
                <w:kern w:val="2"/>
                <w:sz w:val="21"/>
                <w:szCs w:val="22"/>
                <w:highlight w:val="none"/>
                <w:lang w:val="en-US" w:eastAsia="zh-CN" w:bidi="ar-SA"/>
              </w:rPr>
            </w:pPr>
            <w:r>
              <w:rPr>
                <w:rFonts w:hint="eastAsia" w:ascii="宋体" w:hAnsi="宋体"/>
                <w:color w:val="auto"/>
                <w:szCs w:val="21"/>
                <w:highlight w:val="none"/>
              </w:rPr>
              <w:t>落实政府采购政策需满足的资格要求：本项目为专门面向中小企业采购的项目（监狱企业、残疾人福利性单位视同小型、微型企业）。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5" w:type="dxa"/>
            <w:gridSpan w:val="2"/>
            <w:noWrap w:val="0"/>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736" w:type="dxa"/>
            <w:noWrap w:val="0"/>
            <w:vAlign w:val="center"/>
          </w:tcPr>
          <w:p>
            <w:pPr>
              <w:spacing w:line="400" w:lineRule="exact"/>
              <w:jc w:val="center"/>
              <w:rPr>
                <w:rFonts w:ascii="宋体" w:hAnsi="宋体"/>
                <w:color w:val="auto"/>
                <w:szCs w:val="21"/>
                <w:highlight w:val="none"/>
              </w:rPr>
            </w:pPr>
          </w:p>
        </w:tc>
      </w:tr>
    </w:tbl>
    <w:p>
      <w:pPr>
        <w:spacing w:line="340" w:lineRule="exact"/>
        <w:rPr>
          <w:rFonts w:hint="eastAsia"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2.上述审查项目中，任意一项不符合的，资格性审查不合格。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auto"/>
          <w:szCs w:val="21"/>
          <w:highlight w:val="none"/>
        </w:rPr>
      </w:pPr>
      <w:r>
        <w:rPr>
          <w:rFonts w:ascii="宋体" w:hAnsi="宋体"/>
          <w:color w:val="auto"/>
          <w:szCs w:val="21"/>
          <w:highlight w:val="none"/>
        </w:rPr>
        <w:br w:type="page"/>
      </w:r>
    </w:p>
    <w:p>
      <w:pPr>
        <w:spacing w:line="400" w:lineRule="exact"/>
        <w:rPr>
          <w:rFonts w:ascii="宋体" w:hAnsi="宋体"/>
          <w:color w:val="auto"/>
          <w:szCs w:val="21"/>
          <w:highlight w:val="none"/>
        </w:rPr>
      </w:pPr>
      <w:r>
        <w:rPr>
          <w:rFonts w:hint="eastAsia" w:ascii="宋体" w:hAnsi="宋体"/>
          <w:b/>
          <w:bCs/>
          <w:color w:val="auto"/>
          <w:sz w:val="22"/>
          <w:szCs w:val="22"/>
          <w:highlight w:val="none"/>
        </w:rPr>
        <w:t>附表</w:t>
      </w:r>
      <w:r>
        <w:rPr>
          <w:rFonts w:ascii="宋体" w:hAnsi="宋体"/>
          <w:b/>
          <w:bCs/>
          <w:color w:val="auto"/>
          <w:sz w:val="22"/>
          <w:szCs w:val="22"/>
          <w:highlight w:val="none"/>
        </w:rPr>
        <w:t>2</w:t>
      </w:r>
      <w:r>
        <w:rPr>
          <w:rFonts w:hint="eastAsia" w:ascii="宋体" w:hAnsi="宋体"/>
          <w:b/>
          <w:bCs/>
          <w:color w:val="auto"/>
          <w:sz w:val="22"/>
          <w:szCs w:val="22"/>
          <w:highlight w:val="none"/>
        </w:rPr>
        <w:t>：</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7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1"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378"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522"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77"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452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52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（2）投标文件由授权代表签字的，提供“法定代表人身份证明”和“法定代表人授权书”并提供社保部门出具的供应商单位</w:t>
            </w:r>
            <w:r>
              <w:rPr>
                <w:rFonts w:hint="eastAsia" w:ascii="宋体" w:hAnsi="宋体"/>
                <w:color w:val="auto"/>
                <w:szCs w:val="21"/>
                <w:highlight w:val="none"/>
                <w:lang w:eastAsia="zh-CN"/>
              </w:rPr>
              <w:t>2023年07月-2023年09月</w:t>
            </w:r>
            <w:r>
              <w:rPr>
                <w:rFonts w:hint="eastAsia" w:ascii="宋体" w:hAnsi="宋体"/>
                <w:color w:val="auto"/>
                <w:szCs w:val="21"/>
                <w:highlight w:val="none"/>
              </w:rPr>
              <w:t>为授权代表缴纳社保的证明资料扫描件。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商务和技术文件中不得出现涉及投标价格的内容。</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5098" w:type="dxa"/>
            <w:gridSpan w:val="2"/>
            <w:noWrap w:val="0"/>
            <w:vAlign w:val="center"/>
          </w:tcPr>
          <w:p>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符合性审查结论</w:t>
            </w:r>
          </w:p>
        </w:tc>
        <w:tc>
          <w:tcPr>
            <w:tcW w:w="4522" w:type="dxa"/>
            <w:noWrap w:val="0"/>
            <w:vAlign w:val="center"/>
          </w:tcPr>
          <w:p>
            <w:pPr>
              <w:spacing w:line="400" w:lineRule="exact"/>
              <w:rPr>
                <w:rFonts w:hint="eastAsia" w:ascii="宋体" w:hAnsi="宋体"/>
                <w:color w:val="auto"/>
                <w:szCs w:val="21"/>
                <w:highlight w:val="none"/>
              </w:rPr>
            </w:pPr>
          </w:p>
        </w:tc>
      </w:tr>
    </w:tbl>
    <w:p>
      <w:pPr>
        <w:spacing w:line="400" w:lineRule="exact"/>
        <w:rPr>
          <w:rFonts w:hint="eastAsia" w:ascii="宋体" w:hAnsi="宋体"/>
          <w:b/>
          <w:color w:val="auto"/>
          <w:highlight w:val="none"/>
        </w:rPr>
      </w:pPr>
      <w:r>
        <w:rPr>
          <w:rFonts w:hint="eastAsia" w:ascii="宋体" w:hAnsi="宋体"/>
          <w:b/>
          <w:color w:val="auto"/>
          <w:highlight w:val="none"/>
        </w:rPr>
        <w:t>注：上述审查项目中，任意一项不符合的，符合性审查不合格。</w:t>
      </w:r>
    </w:p>
    <w:p>
      <w:pPr>
        <w:spacing w:line="400" w:lineRule="exact"/>
        <w:rPr>
          <w:rFonts w:hint="eastAsia" w:ascii="宋体" w:hAnsi="宋体"/>
          <w:color w:val="auto"/>
          <w:szCs w:val="21"/>
          <w:highlight w:val="none"/>
        </w:rPr>
      </w:pPr>
      <w:r>
        <w:rPr>
          <w:rFonts w:ascii="宋体" w:hAnsi="宋体"/>
          <w:b/>
          <w:color w:val="auto"/>
          <w:highlight w:val="none"/>
        </w:rPr>
        <w:t xml:space="preserve"> </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4"/>
          <w:szCs w:val="24"/>
          <w:highlight w:val="none"/>
        </w:rPr>
        <w:t>附表</w:t>
      </w:r>
      <w:r>
        <w:rPr>
          <w:rFonts w:ascii="宋体" w:hAnsi="宋体"/>
          <w:b/>
          <w:bCs/>
          <w:color w:val="auto"/>
          <w:sz w:val="24"/>
          <w:szCs w:val="24"/>
          <w:highlight w:val="none"/>
        </w:rPr>
        <w:t>3</w:t>
      </w:r>
      <w:r>
        <w:rPr>
          <w:rFonts w:hint="eastAsia" w:ascii="宋体" w:hAnsi="宋体"/>
          <w:b/>
          <w:bCs/>
          <w:color w:val="auto"/>
          <w:sz w:val="24"/>
          <w:szCs w:val="24"/>
          <w:highlight w:val="none"/>
        </w:rPr>
        <w:t>：</w:t>
      </w:r>
    </w:p>
    <w:p>
      <w:pPr>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商务和技术评分表</w:t>
      </w:r>
    </w:p>
    <w:tbl>
      <w:tblPr>
        <w:tblStyle w:val="4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74"/>
        <w:gridCol w:w="682"/>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113" w:type="dxa"/>
            <w:gridSpan w:val="3"/>
            <w:tcBorders>
              <w:top w:val="double" w:color="auto" w:sz="4" w:space="0"/>
              <w:left w:val="double" w:color="auto" w:sz="4" w:space="0"/>
              <w:bottom w:val="single" w:color="auto" w:sz="4" w:space="0"/>
              <w:right w:val="single" w:color="auto" w:sz="4" w:space="0"/>
              <w:tl2br w:val="single" w:color="000000" w:sz="4" w:space="0"/>
            </w:tcBorders>
            <w:noWrap w:val="0"/>
            <w:vAlign w:val="top"/>
          </w:tcPr>
          <w:p>
            <w:pPr>
              <w:jc w:val="right"/>
              <w:rPr>
                <w:rFonts w:ascii="宋体" w:hAnsi="宋体" w:cs="宋体"/>
                <w:szCs w:val="21"/>
              </w:rPr>
            </w:pPr>
            <w:r>
              <w:rPr>
                <w:rFonts w:hint="eastAsia" w:ascii="宋体" w:hAnsi="宋体" w:cs="宋体"/>
                <w:szCs w:val="21"/>
              </w:rPr>
              <w:t>投标人得分</w:t>
            </w:r>
          </w:p>
          <w:p>
            <w:pPr>
              <w:rPr>
                <w:rFonts w:ascii="宋体" w:hAnsi="宋体" w:cs="宋体"/>
                <w:szCs w:val="21"/>
                <w:lang w:val="ru-RU"/>
              </w:rPr>
            </w:pPr>
            <w:r>
              <w:rPr>
                <w:rFonts w:hint="eastAsia" w:ascii="宋体" w:hAnsi="宋体" w:cs="宋体"/>
                <w:szCs w:val="21"/>
              </w:rPr>
              <w:t>评分内容及分值</w:t>
            </w:r>
          </w:p>
        </w:tc>
        <w:tc>
          <w:tcPr>
            <w:tcW w:w="515" w:type="dxa"/>
            <w:vMerge w:val="restart"/>
            <w:tcBorders>
              <w:top w:val="double" w:color="auto" w:sz="4" w:space="0"/>
              <w:left w:val="single" w:color="auto" w:sz="4" w:space="0"/>
              <w:bottom w:val="single" w:color="auto" w:sz="4" w:space="0"/>
              <w:right w:val="double" w:color="auto" w:sz="4" w:space="0"/>
            </w:tcBorders>
            <w:noWrap w:val="0"/>
            <w:vAlign w:val="center"/>
          </w:tcPr>
          <w:p>
            <w:pPr>
              <w:rPr>
                <w:rFonts w:ascii="宋体" w:hAnsi="宋体" w:cs="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431" w:type="dxa"/>
            <w:gridSpan w:val="2"/>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评分内容</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lang w:val="ru-RU"/>
              </w:rPr>
            </w:pPr>
            <w:r>
              <w:rPr>
                <w:rFonts w:hint="eastAsia" w:ascii="宋体" w:hAnsi="宋体" w:cs="宋体"/>
                <w:szCs w:val="21"/>
              </w:rPr>
              <w:t>分值</w:t>
            </w:r>
          </w:p>
        </w:tc>
        <w:tc>
          <w:tcPr>
            <w:tcW w:w="515" w:type="dxa"/>
            <w:vMerge w:val="continue"/>
            <w:tcBorders>
              <w:top w:val="double" w:color="auto" w:sz="4" w:space="0"/>
              <w:left w:val="single" w:color="auto" w:sz="4" w:space="0"/>
              <w:bottom w:val="single" w:color="auto" w:sz="4" w:space="0"/>
              <w:right w:val="double" w:color="auto" w:sz="4" w:space="0"/>
            </w:tcBorders>
            <w:noWrap w:val="0"/>
            <w:vAlign w:val="center"/>
          </w:tcPr>
          <w:p>
            <w:pPr>
              <w:widowControl/>
              <w:jc w:val="left"/>
              <w:rPr>
                <w:rFonts w:ascii="宋体" w:hAnsi="宋体" w:cs="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 w:type="dxa"/>
            <w:vMerge w:val="restart"/>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商</w:t>
            </w:r>
          </w:p>
          <w:p>
            <w:pPr>
              <w:jc w:val="center"/>
              <w:rPr>
                <w:rFonts w:ascii="宋体" w:hAnsi="宋体" w:cs="宋体"/>
                <w:szCs w:val="21"/>
              </w:rPr>
            </w:pPr>
            <w:r>
              <w:rPr>
                <w:rFonts w:hint="eastAsia" w:ascii="宋体" w:hAnsi="宋体" w:cs="宋体"/>
                <w:szCs w:val="21"/>
              </w:rPr>
              <w:t>务</w:t>
            </w:r>
          </w:p>
          <w:p>
            <w:pPr>
              <w:jc w:val="center"/>
              <w:rPr>
                <w:rFonts w:ascii="宋体" w:hAnsi="宋体" w:cs="宋体"/>
                <w:szCs w:val="21"/>
              </w:rPr>
            </w:pPr>
            <w:r>
              <w:rPr>
                <w:rFonts w:hint="eastAsia" w:ascii="宋体" w:hAnsi="宋体" w:cs="宋体"/>
                <w:szCs w:val="21"/>
              </w:rPr>
              <w:t>技</w:t>
            </w:r>
          </w:p>
          <w:p>
            <w:pPr>
              <w:jc w:val="center"/>
              <w:rPr>
                <w:rFonts w:ascii="宋体" w:hAnsi="宋体" w:cs="宋体"/>
                <w:szCs w:val="21"/>
              </w:rPr>
            </w:pPr>
            <w:r>
              <w:rPr>
                <w:rFonts w:hint="eastAsia" w:ascii="宋体" w:hAnsi="宋体" w:cs="宋体"/>
                <w:szCs w:val="21"/>
              </w:rPr>
              <w:t>术</w:t>
            </w:r>
          </w:p>
          <w:p>
            <w:pPr>
              <w:jc w:val="center"/>
              <w:rPr>
                <w:rFonts w:ascii="宋体" w:hAnsi="宋体" w:cs="宋体"/>
                <w:szCs w:val="21"/>
              </w:rPr>
            </w:pPr>
            <w:r>
              <w:rPr>
                <w:rFonts w:hint="eastAsia" w:ascii="宋体" w:hAnsi="宋体" w:cs="宋体"/>
                <w:szCs w:val="21"/>
              </w:rPr>
              <w:t>分</w:t>
            </w:r>
          </w:p>
          <w:p>
            <w:pPr>
              <w:pStyle w:val="2"/>
              <w:ind w:firstLine="0" w:firstLineChars="0"/>
              <w:jc w:val="center"/>
              <w:rPr>
                <w:rFonts w:ascii="宋体" w:hAnsi="宋体" w:cs="宋体"/>
                <w:szCs w:val="21"/>
              </w:rPr>
            </w:pPr>
            <w:r>
              <w:rPr>
                <w:rFonts w:hint="eastAsia" w:ascii="宋体" w:hAnsi="宋体" w:cs="宋体"/>
                <w:szCs w:val="21"/>
              </w:rPr>
              <w:t>85</w:t>
            </w:r>
          </w:p>
          <w:p>
            <w:pPr>
              <w:pStyle w:val="2"/>
              <w:ind w:firstLine="0" w:firstLineChars="0"/>
              <w:jc w:val="center"/>
              <w:rPr>
                <w:rFonts w:ascii="宋体" w:hAnsi="宋体" w:cs="宋体"/>
                <w:szCs w:val="21"/>
              </w:rPr>
            </w:pPr>
            <w:r>
              <w:rPr>
                <w:rFonts w:hint="eastAsia" w:ascii="宋体" w:hAnsi="宋体" w:cs="宋体"/>
                <w:szCs w:val="21"/>
              </w:rPr>
              <w:t>分</w:t>
            </w:r>
          </w:p>
          <w:p>
            <w:pPr>
              <w:pStyle w:val="2"/>
              <w:jc w:val="center"/>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szCs w:val="21"/>
              </w:rPr>
            </w:pPr>
            <w:r>
              <w:rPr>
                <w:rFonts w:hint="eastAsia" w:ascii="宋体" w:hAnsi="宋体" w:cs="宋体"/>
                <w:b/>
                <w:szCs w:val="21"/>
              </w:rPr>
              <w:t>1</w:t>
            </w:r>
            <w:r>
              <w:rPr>
                <w:rFonts w:hint="eastAsia" w:ascii="宋体" w:hAnsi="宋体" w:cs="宋体"/>
                <w:b/>
                <w:szCs w:val="21"/>
                <w:lang w:val="en-US" w:eastAsia="zh-CN"/>
              </w:rPr>
              <w:t>.</w:t>
            </w:r>
            <w:r>
              <w:rPr>
                <w:rFonts w:hint="eastAsia" w:ascii="宋体" w:hAnsi="宋体" w:cs="宋体"/>
                <w:b/>
                <w:szCs w:val="21"/>
              </w:rPr>
              <w:t>业绩（</w:t>
            </w:r>
            <w:r>
              <w:rPr>
                <w:rFonts w:hint="eastAsia" w:ascii="宋体" w:hAnsi="宋体" w:cs="宋体"/>
                <w:b/>
                <w:szCs w:val="21"/>
                <w:lang w:val="en-US" w:eastAsia="zh-CN"/>
              </w:rPr>
              <w:t>1.5</w:t>
            </w:r>
            <w:r>
              <w:rPr>
                <w:rFonts w:hint="eastAsia" w:ascii="宋体" w:hAnsi="宋体" w:cs="宋体"/>
                <w:b/>
                <w:szCs w:val="21"/>
              </w:rPr>
              <w:t>分）：</w:t>
            </w:r>
            <w:r>
              <w:rPr>
                <w:rFonts w:hint="eastAsia" w:ascii="宋体" w:hAnsi="宋体" w:cs="宋体"/>
                <w:szCs w:val="21"/>
              </w:rPr>
              <w:t xml:space="preserve"> 自 2020 年 1 月 1 日至今（以合同签订日为准），具有已完成或正在服务的与本项目类似的保安服务业绩的，每提供一个得</w:t>
            </w:r>
            <w:r>
              <w:rPr>
                <w:rFonts w:hint="eastAsia" w:ascii="宋体" w:hAnsi="宋体" w:cs="宋体"/>
                <w:szCs w:val="21"/>
                <w:lang w:val="en-US" w:eastAsia="zh-CN"/>
              </w:rPr>
              <w:t>0.75</w:t>
            </w:r>
            <w:r>
              <w:rPr>
                <w:rFonts w:hint="eastAsia" w:ascii="宋体" w:hAnsi="宋体" w:cs="宋体"/>
                <w:szCs w:val="21"/>
              </w:rPr>
              <w:t xml:space="preserve"> 分，最多得 </w:t>
            </w:r>
            <w:r>
              <w:rPr>
                <w:rFonts w:hint="eastAsia" w:ascii="宋体" w:hAnsi="宋体" w:cs="宋体"/>
                <w:szCs w:val="21"/>
                <w:lang w:val="en-US" w:eastAsia="zh-CN"/>
              </w:rPr>
              <w:t>1.5</w:t>
            </w:r>
            <w:r>
              <w:rPr>
                <w:rFonts w:hint="eastAsia" w:ascii="宋体" w:hAnsi="宋体" w:cs="宋体"/>
                <w:szCs w:val="21"/>
              </w:rPr>
              <w:t>分，同一采购人同一项目不同年度合同不累计得分。</w:t>
            </w:r>
          </w:p>
          <w:p>
            <w:pPr>
              <w:spacing w:line="320" w:lineRule="exact"/>
              <w:rPr>
                <w:rFonts w:ascii="宋体" w:hAnsi="宋体" w:cs="宋体"/>
                <w:szCs w:val="21"/>
              </w:rPr>
            </w:pPr>
            <w:r>
              <w:rPr>
                <w:rFonts w:hint="eastAsia" w:ascii="宋体" w:hAnsi="宋体" w:cs="宋体"/>
                <w:szCs w:val="21"/>
              </w:rPr>
              <w:t>备注：提供业绩合同扫描件并加盖投标人公章，业绩合同不能体现相关服务内容的 ，另需提供业绩合同的业主单位证明资料原件扫描件,未提供以上资料或不满足得分要求的不得分，续签合同不累计得分。</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szCs w:val="21"/>
              </w:rPr>
            </w:pPr>
            <w:r>
              <w:rPr>
                <w:rFonts w:hint="eastAsia" w:ascii="宋体" w:hAnsi="宋体" w:cs="宋体"/>
                <w:b/>
                <w:szCs w:val="21"/>
              </w:rPr>
              <w:t>2</w:t>
            </w:r>
            <w:r>
              <w:rPr>
                <w:rFonts w:hint="eastAsia" w:ascii="宋体" w:hAnsi="宋体" w:cs="宋体"/>
                <w:b/>
                <w:szCs w:val="21"/>
                <w:lang w:val="en-US" w:eastAsia="zh-CN"/>
              </w:rPr>
              <w:t>.</w:t>
            </w:r>
            <w:r>
              <w:rPr>
                <w:rFonts w:hint="eastAsia" w:ascii="宋体" w:hAnsi="宋体" w:cs="宋体"/>
                <w:b/>
                <w:szCs w:val="21"/>
              </w:rPr>
              <w:t>体系认证（5分）：</w:t>
            </w:r>
            <w:r>
              <w:rPr>
                <w:rFonts w:hint="eastAsia" w:ascii="宋体" w:hAnsi="宋体" w:cs="宋体"/>
                <w:szCs w:val="21"/>
              </w:rPr>
              <w:t>投标人具有有效的质量管理体系认证证书得 1 分，具有有效的环境管理体系认证证书得 1 分，具有有效的职业健康安全管理体系认证证书得 1 分，具有有效的企业诚信管理体系认证证书的得 1 分，具有有效的社会责任管理体系认证证书得 1 分 （投标文件中提供有效的证书复印件加盖公章，且以上认证必须在开标当天经“全国认证认可信息公共服务平台 http://cx.cnca.cn/” 查询证书状态为“有效”）   。</w:t>
            </w:r>
          </w:p>
          <w:p>
            <w:pPr>
              <w:spacing w:line="300" w:lineRule="exact"/>
              <w:rPr>
                <w:rFonts w:ascii="宋体" w:hAnsi="宋体" w:cs="宋体"/>
                <w:szCs w:val="21"/>
              </w:rPr>
            </w:pPr>
            <w:r>
              <w:rPr>
                <w:rFonts w:hint="eastAsia" w:ascii="宋体" w:hAnsi="宋体" w:cs="宋体"/>
                <w:szCs w:val="21"/>
              </w:rPr>
              <w:t>注：投标文件中须提供相关体系认证证书原件扫描件，扫描件加盖投标人公章。</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szCs w:val="21"/>
              </w:rPr>
            </w:pPr>
            <w:r>
              <w:rPr>
                <w:rFonts w:hint="eastAsia" w:ascii="宋体" w:hAnsi="宋体" w:cs="宋体"/>
                <w:b/>
                <w:bCs/>
                <w:szCs w:val="21"/>
              </w:rPr>
              <w:t>3</w:t>
            </w:r>
            <w:r>
              <w:rPr>
                <w:rFonts w:hint="eastAsia" w:ascii="宋体" w:hAnsi="宋体" w:cs="宋体"/>
                <w:b/>
                <w:bCs/>
                <w:szCs w:val="21"/>
                <w:lang w:val="en-US" w:eastAsia="zh-CN"/>
              </w:rPr>
              <w:t>.</w:t>
            </w:r>
            <w:r>
              <w:rPr>
                <w:rFonts w:hint="eastAsia" w:ascii="宋体" w:hAnsi="宋体" w:cs="宋体"/>
                <w:b/>
                <w:bCs/>
                <w:szCs w:val="21"/>
              </w:rPr>
              <w:t>项目负责人（4</w:t>
            </w:r>
            <w:r>
              <w:rPr>
                <w:rFonts w:hint="eastAsia" w:ascii="宋体" w:hAnsi="宋体" w:cs="宋体"/>
                <w:b/>
                <w:bCs/>
                <w:szCs w:val="21"/>
                <w:lang w:val="en-US" w:eastAsia="zh-CN"/>
              </w:rPr>
              <w:t>.5</w:t>
            </w:r>
            <w:r>
              <w:rPr>
                <w:rFonts w:hint="eastAsia" w:ascii="宋体" w:hAnsi="宋体" w:cs="宋体"/>
                <w:b/>
                <w:bCs/>
                <w:szCs w:val="21"/>
              </w:rPr>
              <w:t>分）：</w:t>
            </w:r>
            <w:r>
              <w:rPr>
                <w:rFonts w:hint="eastAsia" w:ascii="宋体" w:hAnsi="宋体" w:cs="宋体"/>
                <w:szCs w:val="21"/>
              </w:rPr>
              <w:t>拟派本项目负责人具有退伍军人证的得 1</w:t>
            </w:r>
            <w:r>
              <w:rPr>
                <w:rFonts w:hint="eastAsia" w:ascii="宋体" w:hAnsi="宋体" w:cs="宋体"/>
                <w:szCs w:val="21"/>
                <w:lang w:val="en-US" w:eastAsia="zh-CN"/>
              </w:rPr>
              <w:t>.5</w:t>
            </w:r>
            <w:r>
              <w:rPr>
                <w:rFonts w:hint="eastAsia" w:ascii="宋体" w:hAnsi="宋体" w:cs="宋体"/>
                <w:szCs w:val="21"/>
              </w:rPr>
              <w:t xml:space="preserve"> 分，具有人社部门颁发的二级（含）以上保安员（师）资格证书的得 2 分；具有本科及以上学历的得 1 分，以上得分可累计，最高得</w:t>
            </w:r>
            <w:r>
              <w:rPr>
                <w:rFonts w:hint="eastAsia" w:ascii="宋体" w:hAnsi="宋体" w:cs="宋体"/>
                <w:szCs w:val="21"/>
                <w:lang w:val="en-US" w:eastAsia="zh-CN"/>
              </w:rPr>
              <w:t>4.5</w:t>
            </w:r>
            <w:r>
              <w:rPr>
                <w:rFonts w:hint="eastAsia" w:ascii="宋体" w:hAnsi="宋体" w:cs="宋体"/>
                <w:szCs w:val="21"/>
              </w:rPr>
              <w:t>分。</w:t>
            </w:r>
          </w:p>
          <w:p>
            <w:pPr>
              <w:spacing w:line="340" w:lineRule="exact"/>
              <w:rPr>
                <w:rFonts w:ascii="Times New Roman" w:hAnsi="Times New Roman"/>
                <w:sz w:val="28"/>
                <w:szCs w:val="28"/>
              </w:rPr>
            </w:pPr>
            <w:r>
              <w:rPr>
                <w:rFonts w:hint="eastAsia" w:ascii="宋体" w:hAnsi="宋体" w:cs="宋体"/>
                <w:szCs w:val="21"/>
              </w:rPr>
              <w:t>备注：投标文件中提供相关证书、投标人单近三个月任一个月（2023年5、6、7月）为其缴纳的社保证明扫描件并加盖投标人公章。</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服务管理整体设想及策划</w:t>
            </w:r>
            <w:r>
              <w:rPr>
                <w:rFonts w:hint="eastAsia" w:ascii="宋体" w:hAnsi="宋体" w:cs="宋体"/>
                <w:b/>
                <w:bCs/>
                <w:szCs w:val="21"/>
              </w:rPr>
              <w:t>（10分）</w:t>
            </w:r>
            <w:r>
              <w:rPr>
                <w:rFonts w:hint="eastAsia" w:ascii="宋体" w:hAnsi="宋体" w:cs="宋体"/>
                <w:szCs w:val="21"/>
              </w:rPr>
              <w:t>：针对本项目详细说明整体保障措施、专业化管理及规范的管理手段进行评定，合理科学的得10分，基本合理的得</w:t>
            </w:r>
            <w:r>
              <w:rPr>
                <w:rFonts w:hint="eastAsia" w:ascii="宋体" w:hAnsi="宋体" w:cs="宋体"/>
                <w:szCs w:val="21"/>
                <w:lang w:val="en-US" w:eastAsia="zh-CN"/>
              </w:rPr>
              <w:t>7</w:t>
            </w:r>
            <w:r>
              <w:rPr>
                <w:rFonts w:hint="eastAsia" w:ascii="宋体" w:hAnsi="宋体" w:cs="宋体"/>
                <w:szCs w:val="21"/>
              </w:rPr>
              <w:t>分，存在缺陷的</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项目分析及解决方案</w:t>
            </w:r>
            <w:r>
              <w:rPr>
                <w:rFonts w:hint="eastAsia" w:ascii="宋体" w:hAnsi="宋体" w:cs="宋体"/>
                <w:b/>
                <w:bCs/>
                <w:szCs w:val="21"/>
              </w:rPr>
              <w:t>（8分）</w:t>
            </w:r>
            <w:r>
              <w:rPr>
                <w:rFonts w:hint="eastAsia" w:ascii="宋体" w:hAnsi="宋体" w:cs="宋体"/>
                <w:szCs w:val="21"/>
              </w:rPr>
              <w:t>： 针对本项目的重点、特点、难点分析到位，解决方案可行的得8分，针对本项目的重点、特点、难点分析基本到位，解决方案基本可行的得5分，针对本项目的重点、特点、难点分析欠到位，解决方案欠可行的得3分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人员的配置</w:t>
            </w:r>
            <w:r>
              <w:rPr>
                <w:rFonts w:hint="eastAsia" w:ascii="宋体" w:hAnsi="宋体" w:cs="宋体"/>
                <w:b/>
                <w:bCs/>
                <w:szCs w:val="21"/>
              </w:rPr>
              <w:t>（8分）</w:t>
            </w:r>
            <w:r>
              <w:rPr>
                <w:rFonts w:hint="eastAsia" w:ascii="宋体" w:hAnsi="宋体" w:cs="宋体"/>
                <w:szCs w:val="21"/>
              </w:rPr>
              <w:t>（至少包括姓名、年龄、职称（如有）、文化程度、工作经历、岗位证书）、培训与管理措施；针对本项目详细说明项目的整体人员配置的合理性及优越性进行评定；</w:t>
            </w:r>
          </w:p>
          <w:p>
            <w:pPr>
              <w:spacing w:line="320" w:lineRule="exact"/>
              <w:rPr>
                <w:rFonts w:ascii="宋体" w:hAnsi="宋体" w:cs="宋体"/>
                <w:kern w:val="0"/>
                <w:szCs w:val="21"/>
              </w:rPr>
            </w:pPr>
            <w:r>
              <w:rPr>
                <w:rFonts w:hint="eastAsia" w:ascii="宋体" w:hAnsi="宋体" w:cs="宋体"/>
                <w:szCs w:val="21"/>
              </w:rPr>
              <w:t>人员配置优越、培训与管理措施合理的得8分，人员配置、培训与管理措施基本合理的得5分，人员配置、培训与管理措施欠合理的得3分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设备装备计划</w:t>
            </w:r>
            <w:r>
              <w:rPr>
                <w:rFonts w:hint="eastAsia" w:ascii="宋体" w:hAnsi="宋体" w:cs="宋体"/>
                <w:b/>
                <w:bCs/>
                <w:szCs w:val="21"/>
              </w:rPr>
              <w:t>（6分）</w:t>
            </w:r>
            <w:r>
              <w:rPr>
                <w:rFonts w:hint="eastAsia" w:ascii="宋体" w:hAnsi="宋体" w:cs="宋体"/>
                <w:szCs w:val="21"/>
              </w:rPr>
              <w:t>：针对本项目的整体项目物资配置的合理性进行评定；配置合理，物资齐备得6分；配置基本合理，物资齐备基本齐备得4分；配置不够合理，人员物资齐备未齐备得2分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制度和档案的建立与管理</w:t>
            </w:r>
            <w:r>
              <w:rPr>
                <w:rFonts w:hint="eastAsia" w:ascii="宋体" w:hAnsi="宋体" w:cs="宋体"/>
                <w:b/>
                <w:bCs/>
                <w:szCs w:val="21"/>
              </w:rPr>
              <w:t>（8分）</w:t>
            </w:r>
            <w:r>
              <w:rPr>
                <w:rFonts w:hint="eastAsia" w:ascii="宋体" w:hAnsi="宋体" w:cs="宋体"/>
                <w:szCs w:val="21"/>
              </w:rPr>
              <w:t>：针对本项目说明各服务管理制度的完善性及可操作性进行评定；管理制度完善且可操作性强的得8分；管理制度基本完善且具有可操作性的得5分；管理制度欠完善且可操作性欠缺的得3分。</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9</w:t>
            </w:r>
            <w:r>
              <w:rPr>
                <w:rFonts w:hint="eastAsia" w:ascii="宋体" w:hAnsi="宋体" w:cs="宋体"/>
                <w:szCs w:val="21"/>
                <w:lang w:val="en-US" w:eastAsia="zh-CN"/>
              </w:rPr>
              <w:t>.</w:t>
            </w:r>
            <w:r>
              <w:rPr>
                <w:rFonts w:hint="eastAsia" w:ascii="宋体" w:hAnsi="宋体" w:cs="宋体"/>
                <w:szCs w:val="21"/>
              </w:rPr>
              <w:t>项目的服务与管理</w:t>
            </w:r>
            <w:r>
              <w:rPr>
                <w:rFonts w:hint="eastAsia" w:ascii="宋体" w:hAnsi="宋体" w:cs="宋体"/>
                <w:b/>
                <w:bCs/>
                <w:szCs w:val="21"/>
              </w:rPr>
              <w:t>（8分）</w:t>
            </w:r>
            <w:r>
              <w:rPr>
                <w:rFonts w:hint="eastAsia" w:ascii="宋体" w:hAnsi="宋体" w:cs="宋体"/>
                <w:szCs w:val="21"/>
              </w:rPr>
              <w:t>：针对本项目说明服务管理项目的保障措施进行评定；保障措施可操作性强的得8分；保障措施可操作性一般的得5分；保障措施可操作性欠缺的得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10</w:t>
            </w:r>
            <w:r>
              <w:rPr>
                <w:rFonts w:hint="eastAsia" w:ascii="宋体" w:hAnsi="宋体" w:cs="宋体"/>
                <w:szCs w:val="21"/>
                <w:lang w:val="en-US" w:eastAsia="zh-CN"/>
              </w:rPr>
              <w:t>.</w:t>
            </w:r>
            <w:r>
              <w:rPr>
                <w:rFonts w:hint="eastAsia" w:ascii="宋体" w:hAnsi="宋体" w:cs="宋体"/>
                <w:szCs w:val="21"/>
              </w:rPr>
              <w:t>文明作业</w:t>
            </w:r>
            <w:r>
              <w:rPr>
                <w:rFonts w:hint="eastAsia" w:ascii="宋体" w:hAnsi="宋体" w:cs="宋体"/>
                <w:b/>
                <w:bCs/>
                <w:szCs w:val="21"/>
              </w:rPr>
              <w:t>（6分）</w:t>
            </w:r>
            <w:r>
              <w:rPr>
                <w:rFonts w:hint="eastAsia" w:ascii="宋体" w:hAnsi="宋体" w:cs="宋体"/>
                <w:szCs w:val="21"/>
              </w:rPr>
              <w:t>：评针对本项目文明作业方案及措施进行评分。内容齐全、完整，操作性强，科学、合理的得6分，内容基本完整、操作性及合理性较为一般的得4分，内容不齐全、混乱，不能很好符合项目实际开展的得2分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Cs/>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w:t>
            </w:r>
            <w:r>
              <w:rPr>
                <w:rFonts w:hint="eastAsia" w:ascii="宋体" w:hAnsi="宋体" w:cs="宋体"/>
                <w:szCs w:val="21"/>
              </w:rPr>
              <w:t>运作流程、质量过程控制及协调机制</w:t>
            </w:r>
            <w:r>
              <w:rPr>
                <w:rFonts w:hint="eastAsia" w:ascii="宋体" w:hAnsi="宋体" w:cs="宋体"/>
                <w:b/>
                <w:bCs/>
                <w:szCs w:val="21"/>
              </w:rPr>
              <w:t>（7分）</w:t>
            </w:r>
            <w:r>
              <w:rPr>
                <w:rFonts w:hint="eastAsia" w:ascii="宋体" w:hAnsi="宋体" w:cs="宋体"/>
                <w:szCs w:val="21"/>
              </w:rPr>
              <w:t>：</w:t>
            </w:r>
          </w:p>
          <w:p>
            <w:pPr>
              <w:spacing w:line="320" w:lineRule="exact"/>
              <w:rPr>
                <w:rFonts w:ascii="宋体" w:hAnsi="宋体" w:cs="宋体"/>
                <w:kern w:val="0"/>
                <w:szCs w:val="21"/>
              </w:rPr>
            </w:pPr>
            <w:r>
              <w:rPr>
                <w:rFonts w:hint="eastAsia" w:ascii="宋体" w:hAnsi="宋体" w:cs="宋体"/>
                <w:szCs w:val="21"/>
              </w:rPr>
              <w:t>根据管理服务组织机构设置（附组织机构图）、运作流程（附流程图）、激励机制、监督机制、自我约束机制和信息反馈机制等进行评审；运作流程及协调机制可行性强的得7分，运作流程及协调机制可行性具有可操作性的得4分，运作流程及协调机制可行性欠缺的得2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12</w:t>
            </w:r>
            <w:r>
              <w:rPr>
                <w:rFonts w:hint="eastAsia" w:ascii="宋体" w:hAnsi="宋体" w:cs="宋体"/>
                <w:szCs w:val="21"/>
                <w:lang w:val="en-US" w:eastAsia="zh-CN"/>
              </w:rPr>
              <w:t>.</w:t>
            </w:r>
            <w:r>
              <w:rPr>
                <w:rFonts w:hint="eastAsia" w:ascii="宋体" w:hAnsi="宋体" w:cs="宋体"/>
                <w:szCs w:val="21"/>
              </w:rPr>
              <w:t>突发事件应急处理措施</w:t>
            </w:r>
            <w:r>
              <w:rPr>
                <w:rFonts w:hint="eastAsia" w:ascii="宋体" w:hAnsi="宋体" w:cs="宋体"/>
                <w:b/>
                <w:bCs/>
                <w:szCs w:val="21"/>
              </w:rPr>
              <w:t>（8分）</w:t>
            </w:r>
            <w:r>
              <w:rPr>
                <w:rFonts w:hint="eastAsia" w:ascii="宋体" w:hAnsi="宋体" w:cs="宋体"/>
                <w:szCs w:val="21"/>
              </w:rPr>
              <w:t>：针对本项目的特性及针对本行业制订的紧急预案与配备的应急响应装备，并具有可操作性进行评定；紧急预案可操作性强，配备的应急响应装备齐备得8分；紧急预案基本具有可操作性，配备的应急响应装备基本齐备得5分；紧急预案操作性欠缺，配备的应急响应装备未齐备得3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9113"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4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kern w:val="0"/>
                <w:szCs w:val="21"/>
              </w:rPr>
            </w:pPr>
            <w:r>
              <w:rPr>
                <w:rFonts w:hint="eastAsia" w:ascii="宋体" w:hAnsi="宋体" w:cs="宋体"/>
                <w:szCs w:val="21"/>
              </w:rPr>
              <w:t>13</w:t>
            </w:r>
            <w:r>
              <w:rPr>
                <w:rFonts w:hint="eastAsia" w:ascii="宋体" w:hAnsi="宋体" w:cs="宋体"/>
                <w:szCs w:val="21"/>
                <w:lang w:val="en-US" w:eastAsia="zh-CN"/>
              </w:rPr>
              <w:t>.</w:t>
            </w:r>
            <w:r>
              <w:rPr>
                <w:rFonts w:hint="eastAsia" w:ascii="宋体" w:hAnsi="宋体" w:cs="宋体"/>
                <w:szCs w:val="21"/>
              </w:rPr>
              <w:t>投标方本地化服务能力及其组织情况</w:t>
            </w:r>
            <w:r>
              <w:rPr>
                <w:rFonts w:hint="eastAsia" w:ascii="宋体" w:hAnsi="宋体" w:cs="宋体"/>
                <w:b/>
                <w:bCs/>
                <w:szCs w:val="21"/>
              </w:rPr>
              <w:t>（5分）</w:t>
            </w:r>
            <w:r>
              <w:rPr>
                <w:rFonts w:hint="eastAsia" w:ascii="宋体" w:hAnsi="宋体" w:cs="宋体"/>
                <w:szCs w:val="21"/>
                <w:lang w:eastAsia="zh-CN"/>
              </w:rPr>
              <w:t>：</w:t>
            </w:r>
            <w:r>
              <w:rPr>
                <w:rFonts w:hint="eastAsia" w:ascii="宋体" w:hAnsi="宋体" w:cs="宋体"/>
                <w:szCs w:val="21"/>
              </w:rPr>
              <w:t>由评委根据各投标方提供的本地化服务方案进行评定；服务体系完善且具有本地化服务并能及时响应的得5分，本地化服务体系基本具备、响应时间满足要求的得3分，服务体系有所欠缺的的1分</w:t>
            </w:r>
            <w:r>
              <w:rPr>
                <w:rFonts w:hint="eastAsia" w:ascii="宋体" w:hAnsi="宋体" w:cs="宋体"/>
                <w:kern w:val="0"/>
                <w:szCs w:val="21"/>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199" w:firstLineChars="95"/>
              <w:rPr>
                <w:rFonts w:ascii="宋体" w:hAnsi="宋体" w:cs="宋体"/>
                <w:kern w:val="0"/>
                <w:szCs w:val="21"/>
              </w:rPr>
            </w:pPr>
          </w:p>
        </w:tc>
        <w:tc>
          <w:tcPr>
            <w:tcW w:w="515" w:type="dxa"/>
            <w:tcBorders>
              <w:top w:val="single" w:color="auto" w:sz="4" w:space="0"/>
              <w:left w:val="single" w:color="auto" w:sz="4" w:space="0"/>
              <w:bottom w:val="single" w:color="auto" w:sz="4" w:space="0"/>
              <w:right w:val="double" w:color="auto" w:sz="4" w:space="0"/>
            </w:tcBorders>
            <w:noWrap w:val="0"/>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431" w:type="dxa"/>
            <w:gridSpan w:val="2"/>
            <w:tcBorders>
              <w:top w:val="single" w:color="auto" w:sz="4" w:space="0"/>
              <w:left w:val="double" w:color="auto" w:sz="4" w:space="0"/>
              <w:bottom w:val="doub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总得分</w:t>
            </w:r>
          </w:p>
        </w:tc>
        <w:tc>
          <w:tcPr>
            <w:tcW w:w="682" w:type="dxa"/>
            <w:tcBorders>
              <w:top w:val="single" w:color="auto" w:sz="4" w:space="0"/>
              <w:left w:val="single" w:color="auto" w:sz="4" w:space="0"/>
              <w:bottom w:val="double" w:color="auto" w:sz="4" w:space="0"/>
              <w:right w:val="single" w:color="auto" w:sz="4" w:space="0"/>
            </w:tcBorders>
            <w:noWrap w:val="0"/>
            <w:vAlign w:val="center"/>
          </w:tcPr>
          <w:p>
            <w:pPr>
              <w:jc w:val="center"/>
              <w:rPr>
                <w:rFonts w:ascii="宋体" w:hAnsi="宋体" w:cs="宋体"/>
                <w:szCs w:val="21"/>
              </w:rPr>
            </w:pPr>
          </w:p>
        </w:tc>
        <w:tc>
          <w:tcPr>
            <w:tcW w:w="515" w:type="dxa"/>
            <w:tcBorders>
              <w:top w:val="single" w:color="auto" w:sz="4" w:space="0"/>
              <w:left w:val="single" w:color="auto" w:sz="4" w:space="0"/>
              <w:bottom w:val="double" w:color="auto" w:sz="4" w:space="0"/>
              <w:right w:val="double" w:color="auto" w:sz="4" w:space="0"/>
            </w:tcBorders>
            <w:noWrap w:val="0"/>
            <w:vAlign w:val="center"/>
          </w:tcPr>
          <w:p>
            <w:pPr>
              <w:rPr>
                <w:rFonts w:ascii="宋体" w:hAnsi="宋体" w:cs="宋体"/>
                <w:szCs w:val="21"/>
              </w:rPr>
            </w:pPr>
          </w:p>
        </w:tc>
      </w:tr>
    </w:tbl>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pPr>
        <w:jc w:val="left"/>
        <w:rPr>
          <w:rFonts w:hint="eastAsia" w:ascii="宋体" w:hAnsi="宋体" w:cs="宋体"/>
          <w:b/>
          <w:bCs/>
          <w:color w:val="auto"/>
          <w:sz w:val="22"/>
          <w:szCs w:val="22"/>
          <w:highlight w:val="none"/>
          <w:lang w:bidi="ar"/>
        </w:rPr>
      </w:pPr>
    </w:p>
    <w:p>
      <w:pPr>
        <w:pStyle w:val="19"/>
        <w:rPr>
          <w:rFonts w:hint="eastAsia"/>
          <w:color w:val="auto"/>
          <w:highlight w:val="none"/>
        </w:rPr>
      </w:pPr>
    </w:p>
    <w:p>
      <w:pPr>
        <w:jc w:val="left"/>
        <w:rPr>
          <w:rFonts w:ascii="宋体" w:hAnsi="宋体" w:cs="宋体"/>
          <w:b/>
          <w:bCs/>
          <w:color w:val="auto"/>
          <w:sz w:val="22"/>
          <w:szCs w:val="22"/>
          <w:highlight w:val="none"/>
          <w:lang w:bidi="ar"/>
        </w:rPr>
      </w:pPr>
      <w:r>
        <w:rPr>
          <w:rFonts w:hint="eastAsia" w:ascii="宋体" w:hAnsi="宋体" w:cs="宋体"/>
          <w:b/>
          <w:bCs/>
          <w:color w:val="auto"/>
          <w:sz w:val="22"/>
          <w:szCs w:val="22"/>
          <w:highlight w:val="none"/>
          <w:lang w:bidi="ar"/>
        </w:rPr>
        <w:t xml:space="preserve">评委签名：                                               年  月   日  </w:t>
      </w:r>
    </w:p>
    <w:p>
      <w:pPr>
        <w:rPr>
          <w:rFonts w:hint="eastAsia"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br w:type="page"/>
      </w:r>
    </w:p>
    <w:p>
      <w:pPr>
        <w:spacing w:line="400" w:lineRule="exact"/>
        <w:rPr>
          <w:rFonts w:ascii="宋体" w:hAnsi="宋体"/>
          <w:color w:val="auto"/>
          <w:szCs w:val="21"/>
          <w:highlight w:val="none"/>
        </w:rPr>
      </w:pPr>
      <w:r>
        <w:rPr>
          <w:rFonts w:hint="eastAsia" w:ascii="宋体" w:hAnsi="宋体"/>
          <w:b/>
          <w:bCs/>
          <w:color w:val="auto"/>
          <w:sz w:val="22"/>
          <w:szCs w:val="22"/>
          <w:highlight w:val="none"/>
        </w:rPr>
        <w:t>附表</w:t>
      </w:r>
      <w:r>
        <w:rPr>
          <w:rFonts w:ascii="宋体" w:hAnsi="宋体"/>
          <w:b/>
          <w:bCs/>
          <w:color w:val="auto"/>
          <w:sz w:val="22"/>
          <w:szCs w:val="22"/>
          <w:highlight w:val="none"/>
        </w:rPr>
        <w:t>4</w:t>
      </w:r>
    </w:p>
    <w:p>
      <w:pPr>
        <w:widowControl/>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初步审查表</w:t>
      </w:r>
    </w:p>
    <w:tbl>
      <w:tblPr>
        <w:tblStyle w:val="4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56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560"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135"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560" w:type="dxa"/>
            <w:noWrap w:val="0"/>
            <w:vAlign w:val="center"/>
          </w:tcPr>
          <w:p>
            <w:pPr>
              <w:spacing w:line="400" w:lineRule="exact"/>
              <w:rPr>
                <w:rFonts w:ascii="宋体" w:hAnsi="宋体"/>
                <w:color w:val="auto"/>
                <w:szCs w:val="21"/>
                <w:highlight w:val="none"/>
              </w:rPr>
            </w:pPr>
            <w:r>
              <w:rPr>
                <w:rFonts w:hint="eastAsia" w:ascii="宋体" w:hAnsi="宋体" w:cs="宋体"/>
                <w:bCs/>
                <w:color w:val="auto"/>
                <w:szCs w:val="21"/>
                <w:highlight w:val="none"/>
                <w:lang w:bidi="ar"/>
              </w:rPr>
              <w:t>投标报价超出预算价或最高限价的的投标为无效投标</w:t>
            </w:r>
            <w:r>
              <w:rPr>
                <w:rFonts w:hint="eastAsia" w:ascii="宋体" w:hAnsi="宋体"/>
                <w:color w:val="auto"/>
                <w:szCs w:val="21"/>
                <w:highlight w:val="none"/>
              </w:rPr>
              <w:t>。</w:t>
            </w:r>
          </w:p>
        </w:tc>
        <w:tc>
          <w:tcPr>
            <w:tcW w:w="313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560"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135"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560"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服务质量或者不能诚信履约的，应当要求其在评标现场合理的时间内提供说明，必要时提交相关证明材料；供应商不能证明其报价合理性的，评标委员会应当将其作为无效投标处理。</w:t>
            </w:r>
          </w:p>
        </w:tc>
        <w:tc>
          <w:tcPr>
            <w:tcW w:w="3135"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560"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3135"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6280" w:type="dxa"/>
            <w:gridSpan w:val="2"/>
            <w:noWrap w:val="0"/>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3135" w:type="dxa"/>
            <w:noWrap w:val="0"/>
            <w:vAlign w:val="center"/>
          </w:tcPr>
          <w:p>
            <w:pPr>
              <w:spacing w:line="400" w:lineRule="exact"/>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rPr>
          <w:rFonts w:hint="eastAsia" w:ascii="宋体" w:hAnsi="宋体"/>
          <w:color w:val="auto"/>
          <w:szCs w:val="21"/>
          <w:highlight w:val="none"/>
        </w:rPr>
      </w:pPr>
      <w:r>
        <w:rPr>
          <w:rFonts w:hint="eastAsia" w:ascii="宋体" w:hAnsi="宋体"/>
          <w:b/>
          <w:color w:val="auto"/>
          <w:highlight w:val="none"/>
        </w:rPr>
        <w:t xml:space="preserve"> </w:t>
      </w:r>
    </w:p>
    <w:p>
      <w:pPr>
        <w:spacing w:line="400" w:lineRule="exact"/>
        <w:rPr>
          <w:rFonts w:ascii="宋体" w:hAnsi="宋体"/>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rPr>
        <w:t>附表</w:t>
      </w:r>
      <w:r>
        <w:rPr>
          <w:rFonts w:ascii="宋体" w:hAnsi="宋体"/>
          <w:b/>
          <w:bCs/>
          <w:color w:val="auto"/>
          <w:szCs w:val="21"/>
          <w:highlight w:val="none"/>
        </w:rPr>
        <w:t>5</w:t>
      </w:r>
    </w:p>
    <w:p>
      <w:pPr>
        <w:widowControl/>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价格评分表</w:t>
      </w:r>
    </w:p>
    <w:p>
      <w:pPr>
        <w:spacing w:line="320" w:lineRule="exact"/>
        <w:rPr>
          <w:rFonts w:hint="eastAsia" w:ascii="宋体" w:hAnsi="宋体"/>
          <w:b/>
          <w:color w:val="auto"/>
          <w:szCs w:val="21"/>
          <w:highlight w:val="none"/>
        </w:rPr>
      </w:pPr>
      <w:r>
        <w:rPr>
          <w:rFonts w:hint="eastAsia" w:ascii="宋体" w:hAnsi="宋体"/>
          <w:b/>
          <w:color w:val="auto"/>
          <w:szCs w:val="21"/>
          <w:highlight w:val="none"/>
        </w:rPr>
        <w:t xml:space="preserve">项目编号：                                </w:t>
      </w:r>
      <w:r>
        <w:rPr>
          <w:rFonts w:ascii="宋体" w:hAnsi="宋体"/>
          <w:b/>
          <w:color w:val="auto"/>
          <w:szCs w:val="21"/>
          <w:highlight w:val="none"/>
        </w:rPr>
        <w:t xml:space="preserve">                                            </w:t>
      </w:r>
    </w:p>
    <w:tbl>
      <w:tblPr>
        <w:tblStyle w:val="45"/>
        <w:tblW w:w="9094"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28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91" w:hRule="atLeast"/>
        </w:trPr>
        <w:tc>
          <w:tcPr>
            <w:tcW w:w="8280" w:type="dxa"/>
            <w:gridSpan w:val="2"/>
            <w:tcBorders>
              <w:tl2br w:val="single" w:color="000000" w:sz="4" w:space="0"/>
            </w:tcBorders>
            <w:noWrap w:val="0"/>
            <w:vAlign w:val="top"/>
          </w:tcPr>
          <w:p>
            <w:pPr>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14" w:type="dxa"/>
            <w:noWrap w:val="0"/>
            <w:vAlign w:val="center"/>
          </w:tcPr>
          <w:p>
            <w:pPr>
              <w:spacing w:line="32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411" w:hRule="atLeast"/>
        </w:trPr>
        <w:tc>
          <w:tcPr>
            <w:tcW w:w="1000" w:type="dxa"/>
            <w:noWrap w:val="0"/>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7280" w:type="dxa"/>
            <w:noWrap w:val="0"/>
            <w:vAlign w:val="center"/>
          </w:tcPr>
          <w:p>
            <w:pPr>
              <w:spacing w:line="340" w:lineRule="exact"/>
              <w:rPr>
                <w:rFonts w:hint="eastAsia" w:ascii="宋体" w:hAnsi="宋体"/>
                <w:b/>
                <w:bCs/>
                <w:color w:val="auto"/>
                <w:szCs w:val="21"/>
                <w:highlight w:val="none"/>
              </w:rPr>
            </w:pPr>
            <w:r>
              <w:rPr>
                <w:rFonts w:hint="eastAsia" w:ascii="宋体" w:hAnsi="宋体"/>
                <w:b/>
                <w:bCs/>
                <w:color w:val="auto"/>
                <w:szCs w:val="21"/>
                <w:highlight w:val="none"/>
              </w:rPr>
              <w:t>参与评审的价格=投标价</w:t>
            </w:r>
          </w:p>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评标基准价=满足招标文件要求且“参与评审的价格”中最低的价格为评标基准价</w:t>
            </w:r>
          </w:p>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基准价得分为满分</w:t>
            </w:r>
            <w:r>
              <w:rPr>
                <w:rFonts w:hint="eastAsia" w:ascii="宋体" w:hAnsi="宋体" w:eastAsia="宋体" w:cs="宋体"/>
                <w:color w:val="auto"/>
                <w:szCs w:val="21"/>
                <w:highlight w:val="none"/>
                <w:lang w:val="en-US" w:eastAsia="zh-CN" w:bidi="ar"/>
              </w:rPr>
              <w:t>15</w:t>
            </w:r>
            <w:r>
              <w:rPr>
                <w:rFonts w:hint="eastAsia" w:ascii="宋体" w:hAnsi="宋体" w:eastAsia="宋体" w:cs="宋体"/>
                <w:color w:val="auto"/>
                <w:szCs w:val="21"/>
                <w:highlight w:val="none"/>
                <w:lang w:bidi="ar"/>
              </w:rPr>
              <w:t>分，其他供应商报价得分计算公式如下：</w:t>
            </w:r>
          </w:p>
          <w:p>
            <w:pPr>
              <w:spacing w:line="340" w:lineRule="exact"/>
              <w:rPr>
                <w:rFonts w:ascii="宋体" w:hAnsi="宋体"/>
                <w:color w:val="auto"/>
                <w:szCs w:val="21"/>
                <w:highlight w:val="none"/>
              </w:rPr>
            </w:pPr>
            <w:r>
              <w:rPr>
                <w:rFonts w:hint="eastAsia" w:ascii="宋体" w:hAnsi="宋体" w:eastAsia="宋体" w:cs="宋体"/>
                <w:color w:val="auto"/>
                <w:szCs w:val="21"/>
                <w:highlight w:val="none"/>
                <w:lang w:bidi="ar"/>
              </w:rPr>
              <w:t>其他供应商报价得分=（评标基准价/参与评审的价格）×</w:t>
            </w:r>
            <w:r>
              <w:rPr>
                <w:rFonts w:hint="eastAsia" w:ascii="宋体" w:hAnsi="宋体" w:eastAsia="宋体" w:cs="宋体"/>
                <w:color w:val="auto"/>
                <w:szCs w:val="21"/>
                <w:highlight w:val="none"/>
                <w:lang w:val="en-US" w:eastAsia="zh-CN" w:bidi="ar"/>
              </w:rPr>
              <w:t>15</w:t>
            </w:r>
            <w:r>
              <w:rPr>
                <w:rFonts w:hint="eastAsia" w:ascii="宋体" w:hAnsi="宋体" w:eastAsia="宋体" w:cs="宋体"/>
                <w:color w:val="auto"/>
                <w:szCs w:val="21"/>
                <w:highlight w:val="none"/>
                <w:lang w:bidi="ar"/>
              </w:rPr>
              <w:t>%×100</w:t>
            </w:r>
          </w:p>
        </w:tc>
        <w:tc>
          <w:tcPr>
            <w:tcW w:w="814" w:type="dxa"/>
            <w:noWrap w:val="0"/>
            <w:vAlign w:val="center"/>
          </w:tcPr>
          <w:p>
            <w:pPr>
              <w:spacing w:line="32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7" w:hRule="atLeast"/>
        </w:trPr>
        <w:tc>
          <w:tcPr>
            <w:tcW w:w="8280" w:type="dxa"/>
            <w:gridSpan w:val="2"/>
            <w:noWrap w:val="0"/>
            <w:vAlign w:val="center"/>
          </w:tcPr>
          <w:p>
            <w:pPr>
              <w:spacing w:line="32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1</w:t>
            </w:r>
            <w:r>
              <w:rPr>
                <w:rFonts w:hint="eastAsia" w:ascii="宋体" w:hAnsi="宋体"/>
                <w:b/>
                <w:color w:val="auto"/>
                <w:szCs w:val="21"/>
                <w:highlight w:val="none"/>
                <w:lang w:val="en-US" w:eastAsia="zh-CN"/>
              </w:rPr>
              <w:t>5</w:t>
            </w:r>
            <w:r>
              <w:rPr>
                <w:rFonts w:hint="eastAsia" w:ascii="宋体" w:hAnsi="宋体"/>
                <w:b/>
                <w:color w:val="auto"/>
                <w:szCs w:val="21"/>
                <w:highlight w:val="none"/>
              </w:rPr>
              <w:t>分）</w:t>
            </w:r>
          </w:p>
        </w:tc>
        <w:tc>
          <w:tcPr>
            <w:tcW w:w="814" w:type="dxa"/>
            <w:noWrap w:val="0"/>
            <w:vAlign w:val="center"/>
          </w:tcPr>
          <w:p>
            <w:pPr>
              <w:spacing w:line="320" w:lineRule="exact"/>
              <w:jc w:val="center"/>
              <w:rPr>
                <w:rFonts w:ascii="宋体" w:hAnsi="宋体"/>
                <w:color w:val="auto"/>
                <w:szCs w:val="21"/>
                <w:highlight w:val="none"/>
              </w:rPr>
            </w:pPr>
          </w:p>
        </w:tc>
      </w:tr>
    </w:tbl>
    <w:p>
      <w:pPr>
        <w:spacing w:line="320" w:lineRule="exact"/>
        <w:rPr>
          <w:rFonts w:ascii="宋体" w:hAnsi="宋体"/>
          <w:color w:val="auto"/>
          <w:sz w:val="28"/>
          <w:szCs w:val="28"/>
          <w:highlight w:val="none"/>
        </w:rPr>
      </w:pPr>
    </w:p>
    <w:p>
      <w:pPr>
        <w:ind w:right="-1226" w:rightChars="-584"/>
        <w:jc w:val="left"/>
        <w:rPr>
          <w:rFonts w:ascii="宋体" w:hAnsi="宋体"/>
          <w:color w:val="auto"/>
          <w:sz w:val="28"/>
          <w:szCs w:val="28"/>
          <w:highlight w:val="none"/>
        </w:rPr>
      </w:pPr>
    </w:p>
    <w:p>
      <w:pPr>
        <w:ind w:right="-1226" w:rightChars="-584"/>
        <w:jc w:val="center"/>
        <w:rPr>
          <w:rFonts w:ascii="宋体" w:hAnsi="宋体"/>
          <w:color w:val="auto"/>
          <w:sz w:val="28"/>
          <w:szCs w:val="28"/>
          <w:highlight w:val="none"/>
        </w:rPr>
        <w:sectPr>
          <w:headerReference r:id="rId6" w:type="default"/>
          <w:footerReference r:id="rId7" w:type="default"/>
          <w:type w:val="nextColumn"/>
          <w:pgSz w:w="11907" w:h="16840"/>
          <w:pgMar w:top="854" w:right="1588" w:bottom="1066" w:left="1418" w:header="285" w:footer="616" w:gutter="0"/>
          <w:cols w:space="720" w:num="1"/>
          <w:docGrid w:linePitch="285" w:charSpace="0"/>
        </w:sectPr>
      </w:pPr>
    </w:p>
    <w:p>
      <w:pPr>
        <w:spacing w:line="400" w:lineRule="exact"/>
        <w:jc w:val="center"/>
        <w:outlineLvl w:val="0"/>
        <w:rPr>
          <w:rFonts w:ascii="宋体" w:hAnsi="宋体"/>
          <w:b/>
          <w:color w:val="auto"/>
          <w:sz w:val="36"/>
          <w:szCs w:val="21"/>
          <w:highlight w:val="none"/>
        </w:rPr>
      </w:pPr>
      <w:bookmarkStart w:id="32" w:name="_Toc31491"/>
      <w:r>
        <w:rPr>
          <w:rFonts w:hint="eastAsia" w:ascii="宋体" w:hAnsi="宋体"/>
          <w:b/>
          <w:color w:val="auto"/>
          <w:sz w:val="36"/>
          <w:szCs w:val="21"/>
          <w:highlight w:val="none"/>
        </w:rPr>
        <w:t>第四章</w:t>
      </w:r>
      <w:r>
        <w:rPr>
          <w:rFonts w:ascii="宋体" w:hAnsi="宋体"/>
          <w:b/>
          <w:color w:val="auto"/>
          <w:sz w:val="36"/>
          <w:szCs w:val="21"/>
          <w:highlight w:val="none"/>
        </w:rPr>
        <w:t xml:space="preserve">  </w:t>
      </w:r>
      <w:r>
        <w:rPr>
          <w:rFonts w:hint="eastAsia" w:ascii="宋体" w:hAnsi="宋体"/>
          <w:b/>
          <w:color w:val="auto"/>
          <w:sz w:val="36"/>
          <w:szCs w:val="21"/>
          <w:highlight w:val="none"/>
        </w:rPr>
        <w:t>采购合同</w:t>
      </w:r>
      <w:bookmarkEnd w:id="32"/>
    </w:p>
    <w:p>
      <w:pPr>
        <w:pStyle w:val="41"/>
        <w:spacing w:line="540" w:lineRule="atLeast"/>
        <w:ind w:firstLine="602"/>
        <w:jc w:val="center"/>
        <w:rPr>
          <w:rFonts w:hint="eastAsia" w:ascii="黑体" w:eastAsia="黑体"/>
          <w:b/>
          <w:color w:val="auto"/>
          <w:sz w:val="36"/>
          <w:szCs w:val="36"/>
          <w:highlight w:val="none"/>
        </w:rPr>
      </w:pPr>
      <w:bookmarkStart w:id="33" w:name="_Toc216662965"/>
    </w:p>
    <w:p>
      <w:pPr>
        <w:pStyle w:val="41"/>
        <w:spacing w:line="540" w:lineRule="atLeast"/>
        <w:ind w:firstLine="602"/>
        <w:jc w:val="center"/>
        <w:rPr>
          <w:rFonts w:hint="eastAsia" w:ascii="黑体" w:eastAsia="黑体"/>
          <w:b/>
          <w:color w:val="auto"/>
          <w:sz w:val="36"/>
          <w:szCs w:val="36"/>
          <w:highlight w:val="none"/>
        </w:rPr>
      </w:pPr>
      <w:r>
        <w:rPr>
          <w:rFonts w:hint="eastAsia" w:ascii="黑体" w:eastAsia="黑体"/>
          <w:b/>
          <w:color w:val="auto"/>
          <w:sz w:val="36"/>
          <w:szCs w:val="36"/>
          <w:highlight w:val="none"/>
          <w:lang w:eastAsia="zh-CN"/>
        </w:rPr>
        <w:t>掌起镇交管站综合安保辅助管理服务</w:t>
      </w:r>
      <w:r>
        <w:rPr>
          <w:rFonts w:hint="eastAsia" w:ascii="黑体" w:eastAsia="黑体"/>
          <w:b/>
          <w:color w:val="auto"/>
          <w:sz w:val="36"/>
          <w:szCs w:val="36"/>
          <w:highlight w:val="none"/>
        </w:rPr>
        <w:t>采购项目</w:t>
      </w:r>
    </w:p>
    <w:p>
      <w:pPr>
        <w:pStyle w:val="41"/>
        <w:spacing w:line="540" w:lineRule="atLeast"/>
        <w:ind w:firstLine="602"/>
        <w:jc w:val="center"/>
        <w:rPr>
          <w:rFonts w:hint="eastAsia" w:ascii="黑体" w:eastAsia="黑体"/>
          <w:b/>
          <w:color w:val="auto"/>
          <w:sz w:val="36"/>
          <w:szCs w:val="36"/>
          <w:highlight w:val="none"/>
        </w:rPr>
      </w:pPr>
      <w:r>
        <w:rPr>
          <w:rFonts w:hint="eastAsia" w:ascii="黑体" w:eastAsia="黑体"/>
          <w:b/>
          <w:color w:val="auto"/>
          <w:sz w:val="36"/>
          <w:szCs w:val="36"/>
          <w:highlight w:val="none"/>
        </w:rPr>
        <w:t>采购合同</w:t>
      </w: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600"/>
        <w:rPr>
          <w:rFonts w:hint="eastAsia"/>
          <w:color w:val="auto"/>
          <w:sz w:val="30"/>
          <w:szCs w:val="30"/>
          <w:highlight w:val="none"/>
        </w:rPr>
      </w:pPr>
    </w:p>
    <w:p>
      <w:pPr>
        <w:pStyle w:val="41"/>
        <w:spacing w:line="540" w:lineRule="atLeast"/>
        <w:ind w:firstLine="1024" w:firstLineChars="366"/>
        <w:jc w:val="both"/>
        <w:rPr>
          <w:rFonts w:hint="eastAsia"/>
          <w:color w:val="auto"/>
          <w:sz w:val="28"/>
          <w:highlight w:val="none"/>
        </w:rPr>
      </w:pPr>
      <w:r>
        <w:rPr>
          <w:rFonts w:hint="eastAsia"/>
          <w:color w:val="auto"/>
          <w:sz w:val="28"/>
          <w:highlight w:val="none"/>
        </w:rPr>
        <w:t>委托方（甲方）:</w:t>
      </w:r>
      <w:r>
        <w:rPr>
          <w:rFonts w:hint="eastAsia"/>
          <w:color w:val="auto"/>
          <w:sz w:val="28"/>
          <w:highlight w:val="none"/>
          <w:u w:val="single"/>
        </w:rPr>
        <w:t xml:space="preserve">  </w:t>
      </w:r>
      <w:r>
        <w:rPr>
          <w:rFonts w:hint="eastAsia"/>
          <w:bCs/>
          <w:color w:val="auto"/>
          <w:sz w:val="28"/>
          <w:highlight w:val="none"/>
          <w:u w:val="single"/>
          <w:lang w:eastAsia="zh-CN"/>
        </w:rPr>
        <w:t>慈溪市掌起镇人民政府</w:t>
      </w:r>
      <w:r>
        <w:rPr>
          <w:rFonts w:hint="eastAsia"/>
          <w:bCs/>
          <w:color w:val="auto"/>
          <w:sz w:val="28"/>
          <w:highlight w:val="none"/>
          <w:u w:val="single"/>
        </w:rPr>
        <w:t xml:space="preserve">  </w:t>
      </w:r>
    </w:p>
    <w:p>
      <w:pPr>
        <w:pStyle w:val="41"/>
        <w:spacing w:line="540" w:lineRule="atLeast"/>
        <w:ind w:firstLine="1024" w:firstLineChars="366"/>
        <w:rPr>
          <w:rFonts w:hint="eastAsia"/>
          <w:color w:val="auto"/>
          <w:sz w:val="28"/>
          <w:highlight w:val="none"/>
          <w:u w:val="single"/>
        </w:rPr>
      </w:pPr>
      <w:r>
        <w:rPr>
          <w:rFonts w:hint="eastAsia"/>
          <w:color w:val="auto"/>
          <w:sz w:val="28"/>
          <w:highlight w:val="none"/>
        </w:rPr>
        <w:t>受托方（乙方）：</w:t>
      </w:r>
      <w:r>
        <w:rPr>
          <w:rFonts w:hint="eastAsia"/>
          <w:color w:val="auto"/>
          <w:sz w:val="28"/>
          <w:highlight w:val="none"/>
          <w:u w:val="single"/>
        </w:rPr>
        <w:t xml:space="preserve">                       </w:t>
      </w:r>
    </w:p>
    <w:p>
      <w:pPr>
        <w:pStyle w:val="41"/>
        <w:spacing w:line="540" w:lineRule="atLeast"/>
        <w:ind w:firstLine="960" w:firstLineChars="300"/>
        <w:rPr>
          <w:rFonts w:hint="eastAsia"/>
          <w:color w:val="auto"/>
          <w:sz w:val="28"/>
          <w:highlight w:val="none"/>
        </w:rPr>
      </w:pPr>
      <w:r>
        <w:rPr>
          <w:rFonts w:hint="eastAsia"/>
          <w:color w:val="auto"/>
          <w:spacing w:val="20"/>
          <w:sz w:val="28"/>
          <w:highlight w:val="none"/>
        </w:rPr>
        <w:t>签 订 时 间 ：</w:t>
      </w:r>
      <w:r>
        <w:rPr>
          <w:rFonts w:hint="eastAsia"/>
          <w:color w:val="auto"/>
          <w:spacing w:val="20"/>
          <w:sz w:val="28"/>
          <w:highlight w:val="none"/>
          <w:u w:val="single"/>
        </w:rPr>
        <w:t xml:space="preserve">           </w:t>
      </w:r>
      <w:r>
        <w:rPr>
          <w:rFonts w:hint="eastAsia"/>
          <w:color w:val="auto"/>
          <w:sz w:val="28"/>
          <w:highlight w:val="none"/>
          <w:u w:val="single"/>
        </w:rPr>
        <w:t xml:space="preserve">         </w:t>
      </w:r>
    </w:p>
    <w:p>
      <w:pPr>
        <w:spacing w:line="500" w:lineRule="exact"/>
        <w:ind w:firstLine="560"/>
        <w:rPr>
          <w:rFonts w:hint="eastAsia" w:ascii="宋体" w:hAnsi="宋体"/>
          <w:color w:val="auto"/>
          <w:kern w:val="0"/>
          <w:sz w:val="28"/>
          <w:highlight w:val="none"/>
        </w:rPr>
      </w:pPr>
    </w:p>
    <w:p>
      <w:pPr>
        <w:pStyle w:val="24"/>
        <w:rPr>
          <w:rFonts w:hint="eastAsia" w:hAnsi="宋体"/>
          <w:color w:val="auto"/>
          <w:sz w:val="28"/>
          <w:highlight w:val="none"/>
        </w:rPr>
      </w:pPr>
    </w:p>
    <w:p>
      <w:pPr>
        <w:pStyle w:val="24"/>
        <w:rPr>
          <w:rFonts w:hint="eastAsia" w:hAnsi="宋体"/>
          <w:color w:val="auto"/>
          <w:sz w:val="28"/>
          <w:highlight w:val="none"/>
        </w:rPr>
      </w:pPr>
    </w:p>
    <w:p>
      <w:pPr>
        <w:spacing w:line="420" w:lineRule="exact"/>
        <w:ind w:firstLine="420"/>
        <w:rPr>
          <w:rFonts w:hint="eastAsia" w:ascii="宋体" w:hAnsi="宋体" w:cs="宋体"/>
          <w:color w:val="auto"/>
          <w:szCs w:val="21"/>
        </w:rPr>
      </w:pPr>
      <w:r>
        <w:rPr>
          <w:rFonts w:hint="eastAsia" w:ascii="宋体" w:hAnsi="宋体" w:cs="宋体"/>
          <w:color w:val="auto"/>
          <w:szCs w:val="21"/>
        </w:rPr>
        <w:t>甲方：（招标方）</w:t>
      </w:r>
    </w:p>
    <w:p>
      <w:pPr>
        <w:spacing w:line="420" w:lineRule="exact"/>
        <w:ind w:firstLine="420"/>
        <w:rPr>
          <w:rFonts w:hint="eastAsia" w:ascii="宋体" w:hAnsi="宋体" w:cs="宋体"/>
          <w:color w:val="auto"/>
          <w:szCs w:val="21"/>
        </w:rPr>
      </w:pPr>
      <w:r>
        <w:rPr>
          <w:rFonts w:hint="eastAsia" w:ascii="宋体" w:hAnsi="宋体" w:cs="宋体"/>
          <w:color w:val="auto"/>
          <w:szCs w:val="21"/>
        </w:rPr>
        <w:t>乙方：（中标方）</w:t>
      </w:r>
    </w:p>
    <w:p>
      <w:pPr>
        <w:spacing w:line="420" w:lineRule="exact"/>
        <w:ind w:firstLine="420"/>
        <w:rPr>
          <w:rFonts w:hint="eastAsia" w:ascii="宋体" w:hAnsi="宋体" w:cs="宋体"/>
          <w:color w:val="auto"/>
          <w:szCs w:val="21"/>
        </w:rPr>
      </w:pPr>
      <w:r>
        <w:rPr>
          <w:rFonts w:hint="eastAsia" w:ascii="宋体" w:hAnsi="宋体" w:cs="宋体"/>
          <w:color w:val="auto"/>
          <w:szCs w:val="21"/>
        </w:rPr>
        <w:t>经过公开招标，确定</w:t>
      </w:r>
      <w:r>
        <w:rPr>
          <w:rFonts w:hint="eastAsia" w:ascii="宋体" w:hAnsi="宋体" w:cs="宋体"/>
          <w:color w:val="auto"/>
          <w:szCs w:val="21"/>
          <w:u w:val="single"/>
        </w:rPr>
        <w:t xml:space="preserve">  （乙方）</w:t>
      </w:r>
      <w:r>
        <w:rPr>
          <w:rFonts w:hint="eastAsia" w:ascii="宋体" w:hAnsi="宋体" w:cs="宋体"/>
          <w:color w:val="auto"/>
          <w:szCs w:val="21"/>
        </w:rPr>
        <w:t>为</w:t>
      </w:r>
      <w:r>
        <w:rPr>
          <w:rFonts w:hint="eastAsia" w:ascii="宋体" w:hAnsi="宋体" w:cs="宋体"/>
          <w:color w:val="auto"/>
          <w:szCs w:val="21"/>
          <w:u w:val="single"/>
        </w:rPr>
        <w:t xml:space="preserve">  （项目名称）</w:t>
      </w:r>
      <w:r>
        <w:rPr>
          <w:rFonts w:hint="eastAsia" w:ascii="宋体" w:hAnsi="宋体" w:cs="宋体"/>
          <w:color w:val="auto"/>
          <w:szCs w:val="21"/>
        </w:rPr>
        <w:t>的中标方，双方在自愿、平等、协商一致的基础上，特订立本合同。</w:t>
      </w:r>
    </w:p>
    <w:p>
      <w:pPr>
        <w:spacing w:line="420" w:lineRule="exact"/>
        <w:ind w:firstLine="420"/>
        <w:rPr>
          <w:rFonts w:hint="eastAsia" w:ascii="宋体" w:hAnsi="宋体" w:cs="宋体"/>
          <w:color w:val="auto"/>
          <w:szCs w:val="21"/>
        </w:rPr>
      </w:pPr>
      <w:r>
        <w:rPr>
          <w:rFonts w:hint="eastAsia" w:ascii="宋体" w:hAnsi="宋体" w:cs="宋体"/>
          <w:color w:val="auto"/>
          <w:szCs w:val="21"/>
        </w:rPr>
        <w:t>第一条  合同事项</w:t>
      </w:r>
    </w:p>
    <w:p>
      <w:pPr>
        <w:spacing w:line="420" w:lineRule="exact"/>
        <w:ind w:firstLine="420"/>
        <w:rPr>
          <w:rFonts w:hint="eastAsia" w:ascii="宋体" w:hAnsi="宋体" w:cs="宋体"/>
          <w:color w:val="auto"/>
          <w:szCs w:val="21"/>
        </w:rPr>
      </w:pPr>
      <w:r>
        <w:rPr>
          <w:rFonts w:hint="eastAsia" w:ascii="宋体" w:hAnsi="宋体" w:cs="宋体"/>
          <w:color w:val="auto"/>
          <w:szCs w:val="21"/>
        </w:rPr>
        <w:t>本合同就甲方委托乙方管理的事项仅做如下简要说明，具体详见甲方发出的“</w:t>
      </w:r>
      <w:r>
        <w:rPr>
          <w:rFonts w:hint="eastAsia" w:ascii="宋体" w:hAnsi="宋体" w:cs="宋体"/>
          <w:color w:val="auto"/>
          <w:szCs w:val="21"/>
          <w:lang w:eastAsia="zh-CN"/>
        </w:rPr>
        <w:t>慈溪市掌起镇人民政府大学城区域市容秩序服务外包</w:t>
      </w:r>
      <w:r>
        <w:rPr>
          <w:rFonts w:hint="eastAsia" w:ascii="宋体" w:hAnsi="宋体" w:cs="宋体"/>
          <w:color w:val="auto"/>
          <w:szCs w:val="21"/>
        </w:rPr>
        <w:t>采购项目”招标文件及乙方针对本项目的投标文件。</w:t>
      </w:r>
    </w:p>
    <w:p>
      <w:pPr>
        <w:spacing w:line="420" w:lineRule="exact"/>
        <w:ind w:firstLine="420"/>
        <w:rPr>
          <w:rFonts w:hint="eastAsia" w:ascii="宋体" w:hAnsi="宋体" w:cs="宋体"/>
          <w:color w:val="auto"/>
          <w:szCs w:val="21"/>
        </w:rPr>
      </w:pPr>
      <w:r>
        <w:rPr>
          <w:rFonts w:hint="eastAsia" w:ascii="宋体" w:hAnsi="宋体" w:cs="宋体"/>
          <w:color w:val="auto"/>
          <w:szCs w:val="21"/>
        </w:rPr>
        <w:t>第二条  合同文件组成及解释顺序</w:t>
      </w:r>
    </w:p>
    <w:p>
      <w:pPr>
        <w:spacing w:line="420" w:lineRule="exact"/>
        <w:ind w:firstLine="420"/>
        <w:rPr>
          <w:rFonts w:hint="eastAsia" w:ascii="宋体" w:hAnsi="宋体" w:cs="宋体"/>
          <w:color w:val="auto"/>
          <w:szCs w:val="21"/>
        </w:rPr>
      </w:pPr>
      <w:r>
        <w:rPr>
          <w:rFonts w:hint="eastAsia" w:ascii="宋体" w:hAnsi="宋体" w:cs="宋体"/>
          <w:color w:val="auto"/>
          <w:szCs w:val="21"/>
        </w:rPr>
        <w:t>1、下列文件一起组成本合同文件：</w:t>
      </w:r>
    </w:p>
    <w:p>
      <w:pPr>
        <w:spacing w:line="420" w:lineRule="exact"/>
        <w:ind w:firstLine="420"/>
        <w:rPr>
          <w:rFonts w:hint="eastAsia" w:ascii="宋体" w:hAnsi="宋体" w:cs="宋体"/>
          <w:color w:val="auto"/>
          <w:szCs w:val="21"/>
        </w:rPr>
      </w:pPr>
      <w:r>
        <w:rPr>
          <w:rFonts w:hint="eastAsia" w:ascii="宋体" w:hAnsi="宋体" w:cs="宋体"/>
          <w:color w:val="auto"/>
          <w:szCs w:val="21"/>
        </w:rPr>
        <w:t>（1）本采购合同及其补充协议（如有）；</w:t>
      </w:r>
    </w:p>
    <w:p>
      <w:pPr>
        <w:spacing w:line="420" w:lineRule="exact"/>
        <w:ind w:firstLine="420"/>
        <w:rPr>
          <w:rFonts w:hint="eastAsia" w:ascii="宋体" w:hAnsi="宋体" w:cs="宋体"/>
          <w:color w:val="auto"/>
          <w:szCs w:val="21"/>
        </w:rPr>
      </w:pPr>
      <w:r>
        <w:rPr>
          <w:rFonts w:hint="eastAsia" w:ascii="宋体" w:hAnsi="宋体" w:cs="宋体"/>
          <w:color w:val="auto"/>
          <w:szCs w:val="21"/>
        </w:rPr>
        <w:t>（2）中标通知书；</w:t>
      </w:r>
    </w:p>
    <w:p>
      <w:pPr>
        <w:spacing w:line="420" w:lineRule="exact"/>
        <w:ind w:firstLine="420"/>
        <w:rPr>
          <w:rFonts w:hint="eastAsia" w:ascii="宋体" w:hAnsi="宋体" w:cs="宋体"/>
          <w:color w:val="auto"/>
          <w:szCs w:val="21"/>
        </w:rPr>
      </w:pPr>
      <w:r>
        <w:rPr>
          <w:rFonts w:hint="eastAsia" w:ascii="宋体" w:hAnsi="宋体" w:cs="宋体"/>
          <w:color w:val="auto"/>
          <w:szCs w:val="21"/>
        </w:rPr>
        <w:t>（3）招标文件及其修改、补充文件（如有）；</w:t>
      </w:r>
    </w:p>
    <w:p>
      <w:pPr>
        <w:spacing w:line="420" w:lineRule="exact"/>
        <w:ind w:firstLine="420"/>
        <w:rPr>
          <w:rFonts w:hint="eastAsia" w:ascii="宋体" w:hAnsi="宋体" w:cs="宋体"/>
          <w:color w:val="auto"/>
          <w:szCs w:val="21"/>
        </w:rPr>
      </w:pPr>
      <w:r>
        <w:rPr>
          <w:rFonts w:hint="eastAsia" w:ascii="宋体" w:hAnsi="宋体" w:cs="宋体"/>
          <w:color w:val="auto"/>
          <w:szCs w:val="21"/>
        </w:rPr>
        <w:t>（4）询标承诺、询疑答复；</w:t>
      </w:r>
    </w:p>
    <w:p>
      <w:pPr>
        <w:spacing w:line="420" w:lineRule="exact"/>
        <w:ind w:firstLine="420"/>
        <w:rPr>
          <w:rFonts w:hint="eastAsia" w:ascii="宋体" w:hAnsi="宋体" w:cs="宋体"/>
          <w:color w:val="auto"/>
          <w:szCs w:val="21"/>
        </w:rPr>
      </w:pPr>
      <w:r>
        <w:rPr>
          <w:rFonts w:hint="eastAsia" w:ascii="宋体" w:hAnsi="宋体" w:cs="宋体"/>
          <w:color w:val="auto"/>
          <w:szCs w:val="21"/>
        </w:rPr>
        <w:t>（5）投标文件及其补充文件；</w:t>
      </w:r>
    </w:p>
    <w:p>
      <w:pPr>
        <w:spacing w:line="420" w:lineRule="exact"/>
        <w:ind w:firstLine="420"/>
        <w:rPr>
          <w:rFonts w:hint="eastAsia" w:ascii="宋体" w:hAnsi="宋体" w:cs="宋体"/>
          <w:color w:val="auto"/>
          <w:szCs w:val="21"/>
        </w:rPr>
      </w:pPr>
      <w:r>
        <w:rPr>
          <w:rFonts w:hint="eastAsia" w:ascii="宋体" w:hAnsi="宋体" w:cs="宋体"/>
          <w:color w:val="auto"/>
          <w:szCs w:val="21"/>
        </w:rPr>
        <w:t>（6）双方来函</w:t>
      </w:r>
    </w:p>
    <w:p>
      <w:pPr>
        <w:spacing w:line="420" w:lineRule="exact"/>
        <w:ind w:firstLine="420"/>
        <w:rPr>
          <w:rFonts w:hint="eastAsia" w:ascii="宋体" w:hAnsi="宋体" w:cs="宋体"/>
          <w:color w:val="auto"/>
          <w:szCs w:val="21"/>
        </w:rPr>
      </w:pPr>
      <w:r>
        <w:rPr>
          <w:rFonts w:hint="eastAsia" w:ascii="宋体" w:hAnsi="宋体" w:cs="宋体"/>
          <w:color w:val="auto"/>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420" w:lineRule="exact"/>
        <w:ind w:firstLine="420"/>
        <w:rPr>
          <w:rFonts w:hint="eastAsia" w:ascii="宋体" w:hAnsi="宋体" w:cs="宋体"/>
          <w:color w:val="auto"/>
          <w:szCs w:val="21"/>
        </w:rPr>
      </w:pPr>
      <w:r>
        <w:rPr>
          <w:rFonts w:hint="eastAsia" w:ascii="宋体" w:hAnsi="宋体" w:cs="宋体"/>
          <w:color w:val="auto"/>
          <w:szCs w:val="21"/>
        </w:rPr>
        <w:t>第三条  服务期限</w:t>
      </w:r>
    </w:p>
    <w:p>
      <w:pPr>
        <w:spacing w:line="420" w:lineRule="exact"/>
        <w:ind w:firstLine="420"/>
        <w:rPr>
          <w:rFonts w:hint="eastAsia" w:ascii="宋体" w:hAnsi="宋体" w:cs="宋体"/>
          <w:color w:val="auto"/>
          <w:szCs w:val="21"/>
        </w:rPr>
      </w:pPr>
      <w:r>
        <w:rPr>
          <w:rFonts w:hint="eastAsia" w:ascii="宋体" w:hAnsi="宋体" w:cs="宋体"/>
          <w:color w:val="auto"/>
          <w:szCs w:val="21"/>
        </w:rPr>
        <w:t>1、服务期限为壹年，自</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2023</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2024</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日止。</w:t>
      </w:r>
    </w:p>
    <w:p>
      <w:pPr>
        <w:spacing w:line="420" w:lineRule="exact"/>
        <w:ind w:firstLine="420"/>
        <w:rPr>
          <w:rFonts w:hint="eastAsia" w:ascii="宋体" w:hAnsi="宋体" w:cs="宋体"/>
          <w:color w:val="auto"/>
          <w:szCs w:val="21"/>
        </w:rPr>
      </w:pPr>
      <w:r>
        <w:rPr>
          <w:rFonts w:hint="eastAsia" w:ascii="宋体" w:hAnsi="宋体" w:cs="宋体"/>
          <w:color w:val="auto"/>
          <w:szCs w:val="21"/>
        </w:rPr>
        <w:t>第四条  合同金额及费用支付</w:t>
      </w:r>
    </w:p>
    <w:p>
      <w:pPr>
        <w:spacing w:line="420" w:lineRule="exact"/>
        <w:ind w:firstLine="420"/>
        <w:rPr>
          <w:rFonts w:hint="eastAsia" w:ascii="宋体" w:hAnsi="宋体" w:cs="宋体"/>
          <w:color w:val="auto"/>
          <w:szCs w:val="21"/>
        </w:rPr>
      </w:pPr>
      <w:r>
        <w:rPr>
          <w:rFonts w:hint="eastAsia" w:ascii="宋体" w:hAnsi="宋体" w:cs="宋体"/>
          <w:color w:val="auto"/>
          <w:szCs w:val="21"/>
        </w:rPr>
        <w:t>1、合同金额：本合同金额为</w:t>
      </w:r>
      <w:r>
        <w:rPr>
          <w:rFonts w:hint="eastAsia" w:ascii="宋体" w:hAnsi="宋体" w:cs="宋体"/>
          <w:color w:val="auto"/>
          <w:szCs w:val="21"/>
          <w:u w:val="single"/>
        </w:rPr>
        <w:t xml:space="preserve">      </w:t>
      </w:r>
      <w:r>
        <w:rPr>
          <w:rFonts w:hint="eastAsia" w:ascii="宋体" w:hAnsi="宋体" w:cs="宋体"/>
          <w:color w:val="auto"/>
          <w:szCs w:val="21"/>
        </w:rPr>
        <w:t xml:space="preserve">元/年。 </w:t>
      </w:r>
    </w:p>
    <w:p>
      <w:pPr>
        <w:spacing w:line="420" w:lineRule="exact"/>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olor w:val="auto"/>
          <w:szCs w:val="21"/>
        </w:rPr>
        <w:t>项目费用为完成本项目一年期的</w:t>
      </w:r>
      <w:r>
        <w:rPr>
          <w:rFonts w:hint="eastAsia" w:ascii="宋体" w:hAnsi="宋体"/>
          <w:bCs/>
          <w:color w:val="auto"/>
          <w:szCs w:val="21"/>
          <w:lang w:val="en-US" w:eastAsia="zh-CN"/>
        </w:rPr>
        <w:t>人员基本工资，各类福利补贴（如高温、加班等）社保（五金）各种保险、人员工作服、作业工具耗材、食宿费、管理费（管理人员工资、人员培训费、办公用房租赁费、其他管理费用）、安全文明作业费、税金及其他费用</w:t>
      </w:r>
      <w:r>
        <w:rPr>
          <w:rFonts w:hint="eastAsia" w:ascii="宋体" w:hAnsi="宋体"/>
          <w:color w:val="auto"/>
          <w:szCs w:val="21"/>
        </w:rPr>
        <w:t>。除以上费用外，涉及重大活动保障的甲方要求乙方提供合同外人员到场执勤的费用可另计，价格按投标人员工资单价。</w:t>
      </w:r>
    </w:p>
    <w:p>
      <w:pPr>
        <w:spacing w:line="420" w:lineRule="exact"/>
        <w:ind w:firstLine="420"/>
        <w:rPr>
          <w:rFonts w:hint="eastAsia" w:ascii="宋体" w:hAnsi="宋体" w:cs="宋体"/>
          <w:color w:val="auto"/>
          <w:szCs w:val="21"/>
        </w:rPr>
      </w:pPr>
      <w:bookmarkStart w:id="34" w:name="_Hlk10544831"/>
      <w:r>
        <w:rPr>
          <w:rFonts w:hint="eastAsia" w:ascii="宋体" w:hAnsi="宋体"/>
          <w:color w:val="auto"/>
          <w:szCs w:val="21"/>
        </w:rPr>
        <w:t>服务期内服务人员工资福利、社保等不得违反慈溪市政府及当地劳动部门相关规定，合同期遇社保或最低基本工资调整，相应差价报甲方审核后可作相应调整。</w:t>
      </w:r>
    </w:p>
    <w:bookmarkEnd w:id="34"/>
    <w:p>
      <w:pPr>
        <w:spacing w:line="420" w:lineRule="exact"/>
        <w:ind w:firstLine="420"/>
        <w:rPr>
          <w:rFonts w:hint="eastAsia" w:ascii="宋体" w:hAnsi="宋体" w:cs="宋体"/>
          <w:color w:val="auto"/>
          <w:szCs w:val="21"/>
        </w:rPr>
      </w:pPr>
      <w:r>
        <w:rPr>
          <w:rFonts w:hint="eastAsia" w:ascii="宋体" w:hAnsi="宋体" w:cs="宋体"/>
          <w:color w:val="auto"/>
          <w:szCs w:val="21"/>
        </w:rPr>
        <w:t>（2）</w:t>
      </w:r>
      <w:r>
        <w:rPr>
          <w:rFonts w:hint="eastAsia" w:ascii="宋体" w:hAnsi="宋体"/>
          <w:color w:val="auto"/>
          <w:szCs w:val="21"/>
        </w:rPr>
        <w:t>政府采购合同履行过程中，甲方需增加合同标的相同服务的，在不改变合同其他条款的前提下，与乙方协商签订补充合同，但所有补充合同的采购金额不得超过原合同采购金额的10%。</w:t>
      </w:r>
    </w:p>
    <w:p>
      <w:pPr>
        <w:tabs>
          <w:tab w:val="left" w:pos="840"/>
        </w:tabs>
        <w:spacing w:line="360" w:lineRule="exact"/>
        <w:ind w:firstLine="420" w:firstLineChars="200"/>
        <w:rPr>
          <w:rFonts w:hint="eastAsia" w:ascii="宋体" w:hAnsi="宋体" w:eastAsia="宋体" w:cs="Times New Roman"/>
          <w:color w:val="auto"/>
          <w:szCs w:val="21"/>
          <w:lang w:val="en-US" w:eastAsia="zh-CN"/>
        </w:rPr>
      </w:pPr>
      <w:r>
        <w:rPr>
          <w:rFonts w:hint="eastAsia" w:ascii="宋体" w:hAnsi="宋体" w:cs="Times New Roman"/>
          <w:color w:val="auto"/>
          <w:szCs w:val="21"/>
        </w:rPr>
        <w:t>2、</w:t>
      </w:r>
      <w:r>
        <w:rPr>
          <w:rFonts w:hint="eastAsia" w:ascii="宋体" w:hAnsi="宋体" w:cs="Times New Roman"/>
          <w:color w:val="auto"/>
          <w:szCs w:val="21"/>
          <w:lang w:val="en-US" w:eastAsia="zh-CN"/>
        </w:rPr>
        <w:t>付款方式</w:t>
      </w:r>
      <w:r>
        <w:rPr>
          <w:rFonts w:hint="eastAsia" w:ascii="宋体" w:hAnsi="宋体" w:cs="Times New Roman"/>
          <w:color w:val="auto"/>
          <w:szCs w:val="21"/>
        </w:rPr>
        <w:t>：</w:t>
      </w:r>
      <w:r>
        <w:rPr>
          <w:rFonts w:hint="eastAsia" w:ascii="宋体" w:hAnsi="宋体" w:eastAsia="宋体" w:cs="Times New Roman"/>
          <w:color w:val="auto"/>
          <w:szCs w:val="21"/>
          <w:highlight w:val="none"/>
        </w:rPr>
        <w:t>每服务完成一个</w:t>
      </w:r>
      <w:r>
        <w:rPr>
          <w:rFonts w:hint="eastAsia" w:ascii="宋体" w:hAnsi="宋体" w:eastAsia="宋体" w:cs="Times New Roman"/>
          <w:color w:val="auto"/>
          <w:szCs w:val="21"/>
          <w:highlight w:val="none"/>
          <w:lang w:val="en-US" w:eastAsia="zh-CN"/>
        </w:rPr>
        <w:t>月</w:t>
      </w:r>
      <w:r>
        <w:rPr>
          <w:rFonts w:hint="eastAsia" w:ascii="宋体" w:hAnsi="宋体" w:eastAsia="宋体" w:cs="Times New Roman"/>
          <w:color w:val="auto"/>
          <w:szCs w:val="21"/>
          <w:highlight w:val="none"/>
        </w:rPr>
        <w:t>后支付合同价的</w:t>
      </w:r>
      <w:r>
        <w:rPr>
          <w:rFonts w:hint="eastAsia" w:ascii="宋体" w:hAnsi="宋体" w:eastAsia="宋体" w:cs="Times New Roman"/>
          <w:color w:val="auto"/>
          <w:szCs w:val="21"/>
          <w:highlight w:val="none"/>
          <w:lang w:val="en-US" w:eastAsia="zh-CN"/>
        </w:rPr>
        <w:t>1/12</w:t>
      </w:r>
      <w:r>
        <w:rPr>
          <w:rFonts w:hint="eastAsia" w:ascii="宋体" w:hAnsi="宋体" w:eastAsia="宋体" w:cs="Times New Roman"/>
          <w:color w:val="auto"/>
          <w:szCs w:val="21"/>
          <w:highlight w:val="none"/>
        </w:rPr>
        <w:t>，服务期满后按实结清余款，费用支付前根据考核情况扣除应扣款，</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rPr>
        <w:t>收到相关发票后</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个工作日内支付</w:t>
      </w:r>
      <w:r>
        <w:rPr>
          <w:rFonts w:hint="eastAsia" w:ascii="宋体" w:hAnsi="宋体"/>
          <w:color w:val="auto"/>
          <w:szCs w:val="21"/>
          <w:lang w:eastAsia="zh-CN"/>
        </w:rPr>
        <w:t>。</w:t>
      </w:r>
    </w:p>
    <w:p>
      <w:pPr>
        <w:spacing w:line="420" w:lineRule="exact"/>
        <w:ind w:firstLine="420"/>
        <w:rPr>
          <w:rFonts w:hint="eastAsia" w:ascii="宋体" w:hAnsi="宋体" w:cs="宋体"/>
          <w:color w:val="auto"/>
          <w:szCs w:val="21"/>
        </w:rPr>
      </w:pPr>
      <w:r>
        <w:rPr>
          <w:rFonts w:hint="eastAsia" w:ascii="宋体" w:hAnsi="宋体"/>
          <w:color w:val="auto"/>
          <w:szCs w:val="21"/>
        </w:rPr>
        <w:t>甲方根据乙方实际服务质量，认为按招标文件人员配置仍不能达到招标文件中采购质量要求的，甲方有权要求乙方增派人员以确保服务质量，但不得增加费用</w:t>
      </w:r>
      <w:r>
        <w:rPr>
          <w:rFonts w:hint="eastAsia" w:ascii="宋体" w:hAnsi="宋体" w:cs="宋体"/>
          <w:color w:val="auto"/>
          <w:szCs w:val="21"/>
        </w:rPr>
        <w:t>。</w:t>
      </w:r>
    </w:p>
    <w:p>
      <w:pPr>
        <w:spacing w:line="420" w:lineRule="exact"/>
        <w:ind w:firstLine="420"/>
        <w:rPr>
          <w:rFonts w:hint="eastAsia" w:ascii="宋体" w:hAnsi="宋体" w:cs="宋体"/>
          <w:color w:val="auto"/>
          <w:szCs w:val="21"/>
        </w:rPr>
      </w:pPr>
      <w:r>
        <w:rPr>
          <w:rFonts w:hint="eastAsia" w:ascii="宋体" w:hAnsi="宋体" w:cs="宋体"/>
          <w:color w:val="auto"/>
          <w:szCs w:val="21"/>
        </w:rPr>
        <w:t>第五条  履约保证</w:t>
      </w:r>
    </w:p>
    <w:p>
      <w:pPr>
        <w:spacing w:line="420" w:lineRule="exact"/>
        <w:ind w:firstLine="420"/>
        <w:rPr>
          <w:rFonts w:hint="eastAsia" w:ascii="宋体" w:hAnsi="宋体" w:cs="宋体"/>
          <w:color w:val="auto"/>
          <w:szCs w:val="21"/>
        </w:rPr>
      </w:pPr>
      <w:r>
        <w:rPr>
          <w:rFonts w:hint="eastAsia" w:ascii="宋体" w:hAnsi="宋体" w:cs="宋体"/>
          <w:color w:val="auto"/>
          <w:szCs w:val="21"/>
        </w:rPr>
        <w:t>本合同履约保证金为合同总价的</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可以采用银行保函、保险保单、担保公司担保等方式</w:t>
      </w:r>
      <w:r>
        <w:rPr>
          <w:rFonts w:hint="eastAsia" w:ascii="宋体" w:hAnsi="宋体" w:cs="宋体"/>
          <w:color w:val="auto"/>
          <w:szCs w:val="21"/>
          <w:lang w:eastAsia="zh-CN"/>
        </w:rPr>
        <w:t>）</w:t>
      </w:r>
      <w:r>
        <w:rPr>
          <w:rFonts w:hint="eastAsia" w:ascii="宋体" w:hAnsi="宋体" w:cs="宋体"/>
          <w:color w:val="auto"/>
          <w:szCs w:val="21"/>
        </w:rPr>
        <w:t>，计￥</w:t>
      </w:r>
      <w:r>
        <w:rPr>
          <w:rFonts w:hint="eastAsia" w:ascii="宋体" w:hAnsi="宋体" w:cs="宋体"/>
          <w:color w:val="auto"/>
          <w:szCs w:val="21"/>
          <w:u w:val="single"/>
        </w:rPr>
        <w:t xml:space="preserve">        </w:t>
      </w:r>
      <w:r>
        <w:rPr>
          <w:rFonts w:hint="eastAsia" w:ascii="宋体" w:hAnsi="宋体" w:cs="宋体"/>
          <w:color w:val="auto"/>
          <w:szCs w:val="21"/>
        </w:rPr>
        <w:t>元，乙方在签订合同</w:t>
      </w:r>
      <w:r>
        <w:rPr>
          <w:rFonts w:hint="eastAsia" w:ascii="宋体" w:hAnsi="宋体" w:cs="宋体"/>
          <w:color w:val="auto"/>
          <w:szCs w:val="21"/>
          <w:lang w:val="en-US" w:eastAsia="zh-CN"/>
        </w:rPr>
        <w:t>后5个工作日内</w:t>
      </w:r>
      <w:r>
        <w:rPr>
          <w:rFonts w:hint="eastAsia" w:ascii="宋体" w:hAnsi="宋体" w:cs="宋体"/>
          <w:color w:val="auto"/>
          <w:szCs w:val="21"/>
        </w:rPr>
        <w:t>提交。</w:t>
      </w:r>
      <w:r>
        <w:rPr>
          <w:rFonts w:hint="eastAsia" w:ascii="宋体" w:hAnsi="宋体"/>
          <w:color w:val="auto"/>
          <w:szCs w:val="21"/>
        </w:rPr>
        <w:t>履约保证金有效期到乙方按合同要求完成合同义务后终止，履约保证金于有效期止后30天内无息退还；但如果存在合同履行争议且尚未解决，则履约保证金有效期等争议最终解决且理赔完毕后终止。</w:t>
      </w:r>
    </w:p>
    <w:p>
      <w:pPr>
        <w:spacing w:line="420" w:lineRule="exact"/>
        <w:ind w:firstLine="420"/>
        <w:rPr>
          <w:rFonts w:hint="eastAsia" w:ascii="宋体" w:hAnsi="宋体" w:cs="宋体"/>
          <w:color w:val="auto"/>
          <w:szCs w:val="21"/>
        </w:rPr>
      </w:pPr>
      <w:r>
        <w:rPr>
          <w:rFonts w:hint="eastAsia" w:ascii="宋体" w:hAnsi="宋体" w:cs="宋体"/>
          <w:color w:val="auto"/>
          <w:szCs w:val="21"/>
        </w:rPr>
        <w:t>第六条  甲、乙双方的权利和义务</w:t>
      </w:r>
    </w:p>
    <w:p>
      <w:pPr>
        <w:spacing w:line="420" w:lineRule="exact"/>
        <w:ind w:firstLine="420"/>
        <w:rPr>
          <w:rFonts w:hint="eastAsia" w:ascii="宋体" w:hAnsi="宋体" w:cs="宋体"/>
          <w:color w:val="auto"/>
          <w:szCs w:val="21"/>
        </w:rPr>
      </w:pPr>
      <w:r>
        <w:rPr>
          <w:rFonts w:hint="eastAsia" w:ascii="宋体" w:hAnsi="宋体" w:cs="宋体"/>
          <w:color w:val="auto"/>
          <w:szCs w:val="21"/>
        </w:rPr>
        <w:t>1、甲方的权利和义务</w:t>
      </w:r>
    </w:p>
    <w:p>
      <w:pPr>
        <w:spacing w:line="420" w:lineRule="exact"/>
        <w:ind w:firstLine="420"/>
        <w:rPr>
          <w:rFonts w:hint="eastAsia" w:ascii="宋体" w:hAnsi="宋体" w:cs="宋体"/>
          <w:color w:val="auto"/>
          <w:szCs w:val="21"/>
        </w:rPr>
      </w:pPr>
      <w:r>
        <w:rPr>
          <w:rFonts w:hint="eastAsia" w:ascii="宋体" w:hAnsi="宋体" w:cs="宋体"/>
          <w:color w:val="auto"/>
          <w:szCs w:val="21"/>
        </w:rPr>
        <w:t>（1）代表和维护甲方的合法权益；审定乙方制定的管理服务方案、制度；</w:t>
      </w:r>
    </w:p>
    <w:p>
      <w:pPr>
        <w:spacing w:line="420" w:lineRule="exact"/>
        <w:ind w:firstLine="420"/>
        <w:rPr>
          <w:rFonts w:hint="eastAsia" w:ascii="宋体" w:hAnsi="宋体" w:cs="宋体"/>
          <w:color w:val="auto"/>
          <w:szCs w:val="21"/>
        </w:rPr>
      </w:pPr>
      <w:r>
        <w:rPr>
          <w:rFonts w:hint="eastAsia" w:ascii="宋体" w:hAnsi="宋体" w:cs="宋体"/>
          <w:color w:val="auto"/>
          <w:szCs w:val="21"/>
        </w:rPr>
        <w:t>（2）检查监督乙方根据招标文件、投标文件及管理方案的实施和制度的实行情况；</w:t>
      </w:r>
    </w:p>
    <w:p>
      <w:pPr>
        <w:spacing w:line="420" w:lineRule="exact"/>
        <w:ind w:firstLine="420"/>
        <w:rPr>
          <w:rFonts w:hint="eastAsia" w:ascii="宋体" w:hAnsi="宋体" w:cs="宋体"/>
          <w:color w:val="auto"/>
          <w:szCs w:val="21"/>
        </w:rPr>
      </w:pPr>
      <w:r>
        <w:rPr>
          <w:rFonts w:hint="eastAsia" w:ascii="宋体" w:hAnsi="宋体" w:cs="宋体"/>
          <w:color w:val="auto"/>
          <w:szCs w:val="21"/>
        </w:rPr>
        <w:t>（3）审议乙方制订的服务年度计划等；</w:t>
      </w:r>
    </w:p>
    <w:p>
      <w:pPr>
        <w:spacing w:line="420" w:lineRule="exact"/>
        <w:ind w:firstLine="420"/>
        <w:rPr>
          <w:rFonts w:hint="eastAsia" w:ascii="宋体" w:hAnsi="宋体" w:cs="宋体"/>
          <w:color w:val="auto"/>
          <w:szCs w:val="21"/>
        </w:rPr>
      </w:pPr>
      <w:r>
        <w:rPr>
          <w:rFonts w:hint="eastAsia" w:ascii="宋体" w:hAnsi="宋体" w:cs="宋体"/>
          <w:color w:val="auto"/>
          <w:szCs w:val="21"/>
        </w:rPr>
        <w:t>（4）按本合同的规定支付费用；</w:t>
      </w:r>
    </w:p>
    <w:p>
      <w:pPr>
        <w:spacing w:line="420" w:lineRule="exact"/>
        <w:ind w:firstLine="420"/>
        <w:rPr>
          <w:rFonts w:hint="eastAsia" w:ascii="宋体" w:hAnsi="宋体" w:cs="宋体"/>
          <w:color w:val="auto"/>
          <w:szCs w:val="21"/>
        </w:rPr>
      </w:pPr>
      <w:r>
        <w:rPr>
          <w:rFonts w:hint="eastAsia" w:ascii="宋体" w:hAnsi="宋体" w:cs="宋体"/>
          <w:color w:val="auto"/>
          <w:szCs w:val="21"/>
        </w:rPr>
        <w:t>（5）负责对乙方执行日常工作的监督及乙方派驻现场的工作人员的监督；</w:t>
      </w:r>
    </w:p>
    <w:p>
      <w:pPr>
        <w:spacing w:line="420" w:lineRule="exact"/>
        <w:ind w:firstLine="420"/>
        <w:rPr>
          <w:rFonts w:hint="eastAsia" w:ascii="宋体" w:hAnsi="宋体" w:cs="宋体"/>
          <w:color w:val="auto"/>
          <w:szCs w:val="21"/>
        </w:rPr>
      </w:pPr>
      <w:r>
        <w:rPr>
          <w:rFonts w:hint="eastAsia" w:ascii="宋体" w:hAnsi="宋体" w:cs="宋体"/>
          <w:color w:val="auto"/>
          <w:szCs w:val="21"/>
        </w:rPr>
        <w:t>（6）协助乙方做好服务工作和服务的宣传工作；</w:t>
      </w:r>
    </w:p>
    <w:p>
      <w:pPr>
        <w:spacing w:line="420" w:lineRule="exact"/>
        <w:ind w:firstLine="420"/>
        <w:rPr>
          <w:rFonts w:hint="eastAsia" w:ascii="宋体" w:hAnsi="宋体" w:cs="宋体"/>
          <w:color w:val="auto"/>
          <w:szCs w:val="21"/>
        </w:rPr>
      </w:pPr>
      <w:r>
        <w:rPr>
          <w:rFonts w:hint="eastAsia" w:ascii="宋体" w:hAnsi="宋体" w:cs="宋体"/>
          <w:color w:val="auto"/>
          <w:szCs w:val="21"/>
        </w:rPr>
        <w:t>（7）处理合同期间在管理服务工作中需甲方出面协调的问题；</w:t>
      </w:r>
    </w:p>
    <w:p>
      <w:pPr>
        <w:spacing w:line="420" w:lineRule="exact"/>
        <w:ind w:firstLine="420"/>
        <w:rPr>
          <w:rFonts w:hint="eastAsia" w:ascii="宋体" w:hAnsi="宋体" w:cs="宋体"/>
          <w:color w:val="auto"/>
          <w:szCs w:val="21"/>
        </w:rPr>
      </w:pPr>
      <w:r>
        <w:rPr>
          <w:rFonts w:hint="eastAsia" w:ascii="宋体" w:hAnsi="宋体" w:cs="宋体"/>
          <w:color w:val="auto"/>
          <w:szCs w:val="21"/>
        </w:rPr>
        <w:t>（8）配合乙方共同协调处理相关问题；</w:t>
      </w:r>
    </w:p>
    <w:p>
      <w:pPr>
        <w:spacing w:line="420" w:lineRule="exact"/>
        <w:ind w:firstLine="420"/>
        <w:rPr>
          <w:rFonts w:hint="eastAsia" w:ascii="宋体" w:hAnsi="宋体" w:cs="宋体"/>
          <w:color w:val="auto"/>
          <w:szCs w:val="21"/>
        </w:rPr>
      </w:pPr>
      <w:r>
        <w:rPr>
          <w:rFonts w:hint="eastAsia" w:ascii="宋体" w:hAnsi="宋体" w:cs="宋体"/>
          <w:color w:val="auto"/>
          <w:szCs w:val="21"/>
        </w:rPr>
        <w:t>（9）对乙方违反法规、规章的行为，提请有关部门处理；</w:t>
      </w:r>
    </w:p>
    <w:p>
      <w:pPr>
        <w:spacing w:line="420" w:lineRule="exact"/>
        <w:ind w:firstLine="420"/>
        <w:rPr>
          <w:rFonts w:hint="eastAsia" w:ascii="宋体" w:hAnsi="宋体" w:cs="宋体"/>
          <w:color w:val="auto"/>
          <w:szCs w:val="21"/>
        </w:rPr>
      </w:pPr>
      <w:r>
        <w:rPr>
          <w:rFonts w:hint="eastAsia" w:ascii="宋体" w:hAnsi="宋体" w:cs="宋体"/>
          <w:color w:val="auto"/>
          <w:szCs w:val="21"/>
        </w:rPr>
        <w:t>（10）负责对乙方管理服务工作质量的考核，考核标准详见</w:t>
      </w:r>
      <w:r>
        <w:rPr>
          <w:rFonts w:hint="eastAsia" w:ascii="宋体" w:hAnsi="宋体" w:cs="宋体"/>
          <w:color w:val="auto"/>
          <w:szCs w:val="21"/>
          <w:lang w:val="en-US" w:eastAsia="zh-CN"/>
        </w:rPr>
        <w:t>采购</w:t>
      </w:r>
      <w:r>
        <w:rPr>
          <w:rFonts w:hint="eastAsia" w:ascii="宋体" w:hAnsi="宋体" w:cs="宋体"/>
          <w:color w:val="auto"/>
          <w:szCs w:val="21"/>
        </w:rPr>
        <w:t>文件。</w:t>
      </w:r>
    </w:p>
    <w:p>
      <w:pPr>
        <w:spacing w:line="420" w:lineRule="exact"/>
        <w:ind w:firstLine="420"/>
        <w:rPr>
          <w:rFonts w:hint="eastAsia" w:ascii="宋体" w:hAnsi="宋体" w:cs="宋体"/>
          <w:color w:val="auto"/>
          <w:szCs w:val="21"/>
        </w:rPr>
      </w:pPr>
      <w:r>
        <w:rPr>
          <w:rFonts w:hint="eastAsia" w:ascii="宋体" w:hAnsi="宋体" w:cs="宋体"/>
          <w:color w:val="auto"/>
          <w:szCs w:val="21"/>
        </w:rPr>
        <w:t>2、乙方权利和义务</w:t>
      </w:r>
    </w:p>
    <w:p>
      <w:pPr>
        <w:spacing w:line="420" w:lineRule="exact"/>
        <w:ind w:firstLine="420"/>
        <w:rPr>
          <w:rFonts w:hint="eastAsia" w:ascii="宋体" w:hAnsi="宋体" w:cs="宋体"/>
          <w:color w:val="auto"/>
          <w:szCs w:val="21"/>
        </w:rPr>
      </w:pPr>
      <w:r>
        <w:rPr>
          <w:rFonts w:hint="eastAsia" w:ascii="宋体" w:hAnsi="宋体" w:cs="宋体"/>
          <w:color w:val="auto"/>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spacing w:line="420" w:lineRule="exact"/>
        <w:ind w:firstLine="420"/>
        <w:rPr>
          <w:rFonts w:hint="eastAsia" w:ascii="宋体" w:hAnsi="宋体" w:cs="宋体"/>
          <w:color w:val="auto"/>
          <w:szCs w:val="21"/>
        </w:rPr>
      </w:pPr>
      <w:r>
        <w:rPr>
          <w:rFonts w:hint="eastAsia" w:ascii="宋体" w:hAnsi="宋体" w:cs="宋体"/>
          <w:color w:val="auto"/>
          <w:szCs w:val="21"/>
        </w:rPr>
        <w:t>（2）需建立健全项目管理档案资料，如</w:t>
      </w:r>
      <w:r>
        <w:rPr>
          <w:rFonts w:hint="eastAsia" w:ascii="宋体" w:hAnsi="宋体" w:cs="宋体"/>
          <w:color w:val="auto"/>
          <w:szCs w:val="21"/>
          <w:lang w:val="en-US" w:eastAsia="zh-CN"/>
        </w:rPr>
        <w:t>巡逻</w:t>
      </w:r>
      <w:r>
        <w:rPr>
          <w:rFonts w:hint="eastAsia" w:ascii="宋体" w:hAnsi="宋体" w:cs="宋体"/>
          <w:color w:val="auto"/>
          <w:szCs w:val="21"/>
        </w:rPr>
        <w:t>工作记录以及其他需要记录在案的文档，并做好各项保密工作；</w:t>
      </w:r>
    </w:p>
    <w:p>
      <w:pPr>
        <w:spacing w:line="420" w:lineRule="exact"/>
        <w:ind w:firstLine="420"/>
        <w:rPr>
          <w:rFonts w:hint="eastAsia" w:ascii="宋体" w:hAnsi="宋体" w:cs="宋体"/>
          <w:color w:val="auto"/>
          <w:szCs w:val="21"/>
        </w:rPr>
      </w:pPr>
      <w:r>
        <w:rPr>
          <w:rFonts w:hint="eastAsia" w:ascii="宋体" w:hAnsi="宋体" w:cs="宋体"/>
          <w:color w:val="auto"/>
          <w:szCs w:val="21"/>
        </w:rPr>
        <w:t>（3）应认真听取甲方提出的建议和意见，并接受甲方的考核管理规定，对在服务管理中出现的问题和薄弱环节应立即整改；</w:t>
      </w:r>
    </w:p>
    <w:p>
      <w:pPr>
        <w:spacing w:line="420" w:lineRule="exact"/>
        <w:ind w:firstLine="420"/>
        <w:rPr>
          <w:rFonts w:hint="eastAsia" w:ascii="宋体" w:hAnsi="宋体" w:cs="宋体"/>
          <w:color w:val="auto"/>
          <w:szCs w:val="21"/>
        </w:rPr>
      </w:pPr>
      <w:r>
        <w:rPr>
          <w:rFonts w:hint="eastAsia" w:ascii="宋体" w:hAnsi="宋体" w:cs="宋体"/>
          <w:color w:val="auto"/>
          <w:szCs w:val="21"/>
        </w:rPr>
        <w:t>（4）对服务人员违反法规、规章的行为，根据情节轻重，采取批评、规劝、警告、制止等措施或提请有关部门处理；</w:t>
      </w:r>
    </w:p>
    <w:p>
      <w:pPr>
        <w:spacing w:line="420" w:lineRule="exact"/>
        <w:ind w:firstLine="420"/>
        <w:rPr>
          <w:rFonts w:hint="eastAsia" w:ascii="宋体" w:hAnsi="宋体" w:cs="宋体"/>
          <w:color w:val="auto"/>
          <w:szCs w:val="21"/>
        </w:rPr>
      </w:pPr>
      <w:r>
        <w:rPr>
          <w:rFonts w:hint="eastAsia" w:ascii="宋体" w:hAnsi="宋体" w:cs="宋体"/>
          <w:color w:val="auto"/>
          <w:szCs w:val="21"/>
        </w:rPr>
        <w:t>（5）加强治安形势教育和加强内部管理，根据项目开展的工作进度适时调整管理办法；</w:t>
      </w:r>
    </w:p>
    <w:p>
      <w:pPr>
        <w:spacing w:line="420" w:lineRule="exact"/>
        <w:ind w:firstLine="420"/>
        <w:rPr>
          <w:rFonts w:hint="eastAsia" w:ascii="宋体" w:hAnsi="宋体" w:cs="宋体"/>
          <w:color w:val="auto"/>
          <w:szCs w:val="21"/>
        </w:rPr>
      </w:pPr>
      <w:r>
        <w:rPr>
          <w:rFonts w:hint="eastAsia" w:ascii="宋体" w:hAnsi="宋体" w:cs="宋体"/>
          <w:color w:val="auto"/>
          <w:szCs w:val="21"/>
        </w:rPr>
        <w:t>（6）项目实施过程中服务年度计划、月度人员排班计划，以及人员调动情况需及时上报甲方备案；</w:t>
      </w:r>
    </w:p>
    <w:p>
      <w:pPr>
        <w:spacing w:line="420" w:lineRule="exact"/>
        <w:ind w:firstLine="420"/>
        <w:rPr>
          <w:rFonts w:hint="eastAsia" w:ascii="宋体" w:hAnsi="宋体" w:cs="宋体"/>
          <w:color w:val="auto"/>
          <w:szCs w:val="21"/>
        </w:rPr>
      </w:pPr>
      <w:r>
        <w:rPr>
          <w:rFonts w:hint="eastAsia" w:ascii="宋体" w:hAnsi="宋体" w:cs="宋体"/>
          <w:color w:val="auto"/>
          <w:szCs w:val="21"/>
        </w:rPr>
        <w:t>（7）所有项目人员必须经严格培训，经考核合格后上岗，要求身体健康，无犯罪等不良记录；</w:t>
      </w:r>
    </w:p>
    <w:p>
      <w:pPr>
        <w:spacing w:line="420" w:lineRule="exact"/>
        <w:ind w:firstLine="42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）乙方应按照甲方要求做好日常节能工作；</w:t>
      </w:r>
    </w:p>
    <w:p>
      <w:pPr>
        <w:spacing w:line="420" w:lineRule="exact"/>
        <w:ind w:firstLine="420"/>
        <w:rPr>
          <w:rFonts w:hint="eastAsia" w:ascii="宋体" w:hAnsi="宋体" w:cs="宋体"/>
          <w:color w:val="auto"/>
          <w:szCs w:val="21"/>
        </w:rPr>
      </w:pPr>
      <w:r>
        <w:rPr>
          <w:rFonts w:hint="eastAsia" w:ascii="宋体" w:hAnsi="宋体" w:cs="宋体"/>
          <w:color w:val="auto"/>
          <w:szCs w:val="21"/>
        </w:rPr>
        <w:t>（9）本合同终止时，乙方必须向甲方移交全部管理用房、甲方资产及全部的管理档案资料；</w:t>
      </w:r>
    </w:p>
    <w:p>
      <w:pPr>
        <w:spacing w:line="420" w:lineRule="exact"/>
        <w:ind w:firstLine="420"/>
        <w:rPr>
          <w:rFonts w:hint="eastAsia" w:ascii="宋体" w:hAnsi="宋体" w:cs="宋体"/>
          <w:color w:val="auto"/>
          <w:szCs w:val="21"/>
        </w:rPr>
      </w:pPr>
      <w:r>
        <w:rPr>
          <w:rFonts w:hint="eastAsia" w:ascii="宋体" w:hAnsi="宋体" w:cs="宋体"/>
          <w:color w:val="auto"/>
          <w:szCs w:val="21"/>
        </w:rPr>
        <w:t>（10）乙方不得将整体或部分管理责任及利益对外转让或发包，不得将未征得甲方同意的服务业务对外分包或转包。</w:t>
      </w:r>
    </w:p>
    <w:p>
      <w:pPr>
        <w:spacing w:line="420" w:lineRule="exact"/>
        <w:ind w:firstLine="420"/>
        <w:rPr>
          <w:rFonts w:hint="eastAsia" w:ascii="宋体" w:hAnsi="宋体" w:cs="宋体"/>
          <w:color w:val="auto"/>
          <w:szCs w:val="21"/>
        </w:rPr>
      </w:pPr>
      <w:r>
        <w:rPr>
          <w:rFonts w:hint="eastAsia" w:ascii="宋体" w:hAnsi="宋体" w:cs="宋体"/>
          <w:color w:val="auto"/>
          <w:szCs w:val="21"/>
        </w:rPr>
        <w:t xml:space="preserve">第七条 </w:t>
      </w:r>
      <w:bookmarkStart w:id="35" w:name="_Hlk10545471"/>
      <w:r>
        <w:rPr>
          <w:rFonts w:hint="eastAsia" w:ascii="宋体" w:hAnsi="宋体" w:cs="宋体"/>
          <w:color w:val="auto"/>
          <w:szCs w:val="21"/>
        </w:rPr>
        <w:t xml:space="preserve"> 甲、乙双方责任限定</w:t>
      </w:r>
    </w:p>
    <w:p>
      <w:pPr>
        <w:spacing w:line="420" w:lineRule="exact"/>
        <w:ind w:firstLine="420"/>
        <w:rPr>
          <w:rFonts w:hint="eastAsia" w:ascii="宋体" w:hAnsi="宋体" w:cs="宋体"/>
          <w:color w:val="auto"/>
          <w:szCs w:val="21"/>
        </w:rPr>
      </w:pPr>
      <w:r>
        <w:rPr>
          <w:rFonts w:hint="eastAsia" w:ascii="宋体" w:hAnsi="宋体" w:cs="宋体"/>
          <w:color w:val="auto"/>
          <w:szCs w:val="21"/>
        </w:rPr>
        <w:t>1、乙方工作人员在服务过程中，因其工作失职造成甲方损失的．乙方应承担相应的经济赔偿。</w:t>
      </w:r>
    </w:p>
    <w:p>
      <w:pPr>
        <w:spacing w:line="420" w:lineRule="exact"/>
        <w:ind w:firstLine="420"/>
        <w:rPr>
          <w:rFonts w:hint="eastAsia" w:ascii="宋体" w:hAnsi="宋体" w:cs="宋体"/>
          <w:color w:val="auto"/>
          <w:szCs w:val="21"/>
        </w:rPr>
      </w:pPr>
      <w:r>
        <w:rPr>
          <w:rFonts w:hint="eastAsia" w:ascii="宋体" w:hAnsi="宋体" w:cs="宋体"/>
          <w:color w:val="auto"/>
          <w:szCs w:val="21"/>
        </w:rPr>
        <w:t>2、甲方禁止安排乙方工作人员参与其他违反法律规定及工作职责以外的活动，违者由甲方承担法律和经济责任。</w:t>
      </w:r>
    </w:p>
    <w:p>
      <w:pPr>
        <w:spacing w:line="420" w:lineRule="exact"/>
        <w:ind w:firstLine="420"/>
        <w:rPr>
          <w:rFonts w:hint="eastAsia" w:ascii="宋体" w:hAnsi="宋体" w:cs="宋体"/>
          <w:color w:val="auto"/>
          <w:szCs w:val="21"/>
        </w:rPr>
      </w:pPr>
      <w:r>
        <w:rPr>
          <w:rFonts w:hint="eastAsia" w:ascii="宋体" w:hAnsi="宋体" w:cs="宋体"/>
          <w:color w:val="auto"/>
          <w:szCs w:val="21"/>
        </w:rPr>
        <w:t>3、乙方派遣至甲方的所有工作人员，其食宿、着装、社会保险、意外伤害保险、培训等各类费用及发生的各种工伤事故和意外事故均由乙方承担，乙方按有关规定按实足额支付工资加班费用并为全体员工缴纳社会保险、人身意外伤害险等，乙方如有违反，由劳务保障部门按有关规定处理，与甲方无涉。</w:t>
      </w:r>
    </w:p>
    <w:p>
      <w:pPr>
        <w:spacing w:line="420" w:lineRule="exact"/>
        <w:ind w:firstLine="420"/>
        <w:rPr>
          <w:rFonts w:hint="eastAsia" w:ascii="宋体" w:hAnsi="宋体" w:cs="宋体"/>
          <w:color w:val="auto"/>
          <w:szCs w:val="21"/>
        </w:rPr>
      </w:pPr>
      <w:r>
        <w:rPr>
          <w:rFonts w:hint="eastAsia" w:ascii="宋体" w:hAnsi="宋体" w:cs="宋体"/>
          <w:color w:val="auto"/>
          <w:szCs w:val="21"/>
        </w:rPr>
        <w:t>4、乙方在服务期间如遇招工困难，造成项目人员数量配置不足，应在5个工作日内及时补齐，并扣除缺岗人员的所有费用。缺岗人数累加超过20人次的，甲方有权终止合同，并罚没其履约保证金。</w:t>
      </w:r>
    </w:p>
    <w:bookmarkEnd w:id="35"/>
    <w:p>
      <w:pPr>
        <w:spacing w:line="420" w:lineRule="exact"/>
        <w:ind w:firstLine="420"/>
        <w:rPr>
          <w:rFonts w:hint="eastAsia" w:ascii="宋体" w:hAnsi="宋体" w:cs="宋体"/>
          <w:color w:val="auto"/>
          <w:szCs w:val="21"/>
        </w:rPr>
      </w:pPr>
      <w:r>
        <w:rPr>
          <w:rFonts w:hint="eastAsia" w:ascii="宋体" w:hAnsi="宋体" w:cs="宋体"/>
          <w:color w:val="auto"/>
          <w:szCs w:val="21"/>
        </w:rPr>
        <w:t>第八条  合同的变更、终止及违约责任</w:t>
      </w:r>
    </w:p>
    <w:p>
      <w:pPr>
        <w:spacing w:line="420" w:lineRule="exact"/>
        <w:ind w:firstLine="420"/>
        <w:rPr>
          <w:rFonts w:hint="eastAsia" w:ascii="宋体" w:hAnsi="宋体" w:cs="宋体"/>
          <w:color w:val="auto"/>
          <w:szCs w:val="21"/>
        </w:rPr>
      </w:pPr>
      <w:r>
        <w:rPr>
          <w:rFonts w:hint="eastAsia" w:ascii="宋体" w:hAnsi="宋体" w:cs="宋体"/>
          <w:color w:val="auto"/>
          <w:szCs w:val="21"/>
        </w:rPr>
        <w:t>1、甲方在乙方存在如下违约情况时，有权单方面终止全部或部分合同，乙方所交的履约保证金不予退还，并保留进一步追究乙方责任的权利（包括经济赔偿）。</w:t>
      </w:r>
    </w:p>
    <w:p>
      <w:pPr>
        <w:spacing w:line="420" w:lineRule="exact"/>
        <w:ind w:firstLine="420"/>
        <w:rPr>
          <w:rFonts w:hint="eastAsia" w:ascii="宋体" w:hAnsi="宋体" w:cs="宋体"/>
          <w:color w:val="auto"/>
          <w:szCs w:val="21"/>
        </w:rPr>
      </w:pPr>
      <w:r>
        <w:rPr>
          <w:rFonts w:hint="eastAsia" w:ascii="宋体" w:hAnsi="宋体" w:cs="宋体"/>
          <w:color w:val="auto"/>
          <w:szCs w:val="21"/>
        </w:rPr>
        <w:t>（1）乙方未能履行合同规定的义务；</w:t>
      </w:r>
    </w:p>
    <w:p>
      <w:pPr>
        <w:spacing w:line="420" w:lineRule="exact"/>
        <w:ind w:firstLine="420"/>
        <w:rPr>
          <w:rFonts w:hint="eastAsia" w:ascii="宋体" w:hAnsi="宋体" w:cs="宋体"/>
          <w:color w:val="auto"/>
          <w:szCs w:val="21"/>
        </w:rPr>
      </w:pPr>
      <w:r>
        <w:rPr>
          <w:rFonts w:hint="eastAsia" w:ascii="宋体" w:hAnsi="宋体" w:cs="宋体"/>
          <w:color w:val="auto"/>
          <w:szCs w:val="21"/>
        </w:rPr>
        <w:t>（2）有严重影响项目正常工作及甲方形象；</w:t>
      </w:r>
    </w:p>
    <w:p>
      <w:pPr>
        <w:spacing w:line="420" w:lineRule="exact"/>
        <w:ind w:firstLine="420"/>
        <w:rPr>
          <w:rFonts w:hint="eastAsia" w:ascii="宋体" w:hAnsi="宋体" w:cs="宋体"/>
          <w:color w:val="auto"/>
          <w:szCs w:val="21"/>
        </w:rPr>
      </w:pPr>
      <w:r>
        <w:rPr>
          <w:rFonts w:hint="eastAsia" w:ascii="宋体" w:hAnsi="宋体" w:cs="宋体"/>
          <w:color w:val="auto"/>
          <w:szCs w:val="21"/>
        </w:rPr>
        <w:t>（3）乙方存在与招标文件不符合的做法，或不履行其响应文件的承诺；</w:t>
      </w:r>
    </w:p>
    <w:p>
      <w:pPr>
        <w:spacing w:line="420" w:lineRule="exact"/>
        <w:ind w:firstLine="420"/>
        <w:rPr>
          <w:rFonts w:hint="eastAsia" w:ascii="宋体" w:hAnsi="宋体" w:cs="宋体"/>
          <w:color w:val="auto"/>
          <w:szCs w:val="21"/>
        </w:rPr>
      </w:pPr>
      <w:r>
        <w:rPr>
          <w:rFonts w:hint="eastAsia" w:ascii="宋体" w:hAnsi="宋体" w:cs="宋体"/>
          <w:color w:val="auto"/>
          <w:szCs w:val="21"/>
        </w:rPr>
        <w:t>（4）乙方存在其他违约行为经甲方书面催告后仍不改正的；</w:t>
      </w:r>
    </w:p>
    <w:p>
      <w:pPr>
        <w:spacing w:line="420" w:lineRule="exact"/>
        <w:ind w:firstLine="420"/>
        <w:rPr>
          <w:rFonts w:hint="eastAsia" w:ascii="宋体" w:hAnsi="宋体" w:cs="宋体"/>
          <w:color w:val="auto"/>
          <w:szCs w:val="21"/>
        </w:rPr>
      </w:pPr>
      <w:r>
        <w:rPr>
          <w:rFonts w:hint="eastAsia" w:ascii="宋体" w:hAnsi="宋体" w:cs="宋体"/>
          <w:color w:val="auto"/>
          <w:szCs w:val="21"/>
        </w:rPr>
        <w:t>（5）在合同有效期内，对本合同范围内的工作内容乙方擅自委托或转包给其它单位或个人。</w:t>
      </w:r>
    </w:p>
    <w:p>
      <w:pPr>
        <w:spacing w:line="420" w:lineRule="exact"/>
        <w:ind w:firstLine="420"/>
        <w:rPr>
          <w:rFonts w:hint="eastAsia" w:ascii="宋体" w:hAnsi="宋体" w:cs="宋体"/>
          <w:color w:val="auto"/>
          <w:szCs w:val="21"/>
        </w:rPr>
      </w:pPr>
      <w:r>
        <w:rPr>
          <w:rFonts w:hint="eastAsia" w:ascii="宋体" w:hAnsi="宋体" w:cs="宋体"/>
          <w:color w:val="auto"/>
          <w:szCs w:val="21"/>
        </w:rPr>
        <w:t>2、乙方如要提前中止合同，需提前3个月，并征得甲方同意，否则按合同执行。</w:t>
      </w:r>
    </w:p>
    <w:p>
      <w:pPr>
        <w:spacing w:line="420" w:lineRule="exact"/>
        <w:ind w:firstLine="420"/>
        <w:rPr>
          <w:rFonts w:hint="eastAsia" w:ascii="宋体" w:hAnsi="宋体" w:cs="宋体"/>
          <w:color w:val="auto"/>
          <w:szCs w:val="21"/>
        </w:rPr>
      </w:pPr>
      <w:r>
        <w:rPr>
          <w:rFonts w:hint="eastAsia" w:ascii="宋体" w:hAnsi="宋体" w:cs="宋体"/>
          <w:color w:val="auto"/>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420" w:lineRule="exact"/>
        <w:ind w:firstLine="420"/>
        <w:rPr>
          <w:rFonts w:hint="eastAsia" w:ascii="宋体" w:hAnsi="宋体" w:cs="宋体"/>
          <w:color w:val="auto"/>
          <w:szCs w:val="21"/>
        </w:rPr>
      </w:pPr>
      <w:r>
        <w:rPr>
          <w:rFonts w:hint="eastAsia" w:ascii="宋体" w:hAnsi="宋体" w:cs="宋体"/>
          <w:color w:val="auto"/>
          <w:szCs w:val="21"/>
        </w:rPr>
        <w:t>（1）乙方不能履行合同义务，应按未履行部分合同价格的10%向甲方偿付违约金，同时履约保证金不予退还。</w:t>
      </w:r>
    </w:p>
    <w:p>
      <w:pPr>
        <w:spacing w:line="420" w:lineRule="exact"/>
        <w:ind w:firstLine="420"/>
        <w:rPr>
          <w:rFonts w:hint="eastAsia" w:ascii="宋体" w:hAnsi="宋体" w:cs="宋体"/>
          <w:color w:val="auto"/>
          <w:szCs w:val="21"/>
        </w:rPr>
      </w:pPr>
      <w:r>
        <w:rPr>
          <w:rFonts w:hint="eastAsia" w:ascii="宋体" w:hAnsi="宋体" w:cs="宋体"/>
          <w:color w:val="auto"/>
          <w:szCs w:val="21"/>
        </w:rPr>
        <w:t>（2）如乙方未能履行合同规定的任何一项义务，甲方均有权从履约保证金中得到补偿。</w:t>
      </w:r>
    </w:p>
    <w:p>
      <w:pPr>
        <w:spacing w:line="420" w:lineRule="exact"/>
        <w:ind w:firstLine="420"/>
        <w:rPr>
          <w:rFonts w:hint="eastAsia" w:ascii="宋体" w:hAnsi="宋体" w:cs="宋体"/>
          <w:color w:val="auto"/>
          <w:szCs w:val="21"/>
        </w:rPr>
      </w:pPr>
      <w:r>
        <w:rPr>
          <w:rFonts w:hint="eastAsia" w:ascii="宋体" w:hAnsi="宋体" w:cs="宋体"/>
          <w:color w:val="auto"/>
          <w:szCs w:val="21"/>
        </w:rPr>
        <w:t>（3）经双方协商可终止部分或全部合同的，无须承担违约责任。</w:t>
      </w:r>
    </w:p>
    <w:p>
      <w:pPr>
        <w:spacing w:line="420" w:lineRule="exact"/>
        <w:ind w:firstLine="420"/>
        <w:rPr>
          <w:rFonts w:hint="eastAsia" w:ascii="宋体" w:hAnsi="宋体" w:cs="宋体"/>
          <w:color w:val="auto"/>
          <w:szCs w:val="21"/>
        </w:rPr>
      </w:pPr>
      <w:r>
        <w:rPr>
          <w:rFonts w:hint="eastAsia" w:ascii="宋体" w:hAnsi="宋体" w:cs="宋体"/>
          <w:color w:val="auto"/>
          <w:szCs w:val="21"/>
        </w:rPr>
        <w:t>4、乙方因工作疏忽而造成甲方财产损失的，乙方应按损失的价值照价赔偿。</w:t>
      </w:r>
    </w:p>
    <w:p>
      <w:pPr>
        <w:spacing w:line="420" w:lineRule="exact"/>
        <w:ind w:firstLine="420"/>
        <w:rPr>
          <w:rFonts w:hint="eastAsia" w:ascii="宋体" w:hAnsi="宋体" w:cs="宋体"/>
          <w:color w:val="auto"/>
          <w:szCs w:val="21"/>
        </w:rPr>
      </w:pPr>
      <w:r>
        <w:rPr>
          <w:rFonts w:hint="eastAsia" w:ascii="宋体" w:hAnsi="宋体" w:cs="宋体"/>
          <w:color w:val="auto"/>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420" w:lineRule="exact"/>
        <w:ind w:firstLine="420"/>
        <w:rPr>
          <w:rFonts w:hint="eastAsia" w:eastAsia="宋体"/>
          <w:color w:val="auto"/>
          <w:lang w:eastAsia="zh-CN"/>
        </w:rPr>
      </w:pPr>
      <w:r>
        <w:rPr>
          <w:rFonts w:hint="eastAsia" w:ascii="宋体" w:hAnsi="宋体" w:cs="宋体"/>
          <w:color w:val="auto"/>
          <w:szCs w:val="21"/>
        </w:rPr>
        <w:t>6、考核：乙方应无条件接受甲方定期或不定期检查监督，按附件考核细则</w:t>
      </w:r>
      <w:r>
        <w:rPr>
          <w:rFonts w:hint="eastAsia" w:ascii="宋体" w:hAnsi="宋体" w:cs="宋体"/>
          <w:color w:val="auto"/>
          <w:szCs w:val="21"/>
          <w:lang w:eastAsia="zh-CN"/>
        </w:rPr>
        <w:t>开展月度考核和季度考核工作</w:t>
      </w:r>
      <w:r>
        <w:rPr>
          <w:rFonts w:hint="eastAsia"/>
        </w:rPr>
        <w:t>，每月服务费与该月考评结果挂钩：</w:t>
      </w:r>
      <w:r>
        <w:rPr>
          <w:rFonts w:hint="eastAsia"/>
          <w:szCs w:val="21"/>
        </w:rPr>
        <w:t>综合考核分在90分以上（含90分）的为“好”，综合考核分在70（含）~90分（不含）的为 “良”，综合考核分在60（含）~70分（不含）的为“合格”，要求乙方进行整改，如第二个月未改进，甲方有权扣除相应的部分管理费，综合考核分在60分（不含）以下的为“不合格”，要求乙方进行整改，如第二个月未改进，甲方有权扣除相应的部分管理费，如连续或累计三个月考核为“不合格”，采购人有权单方解除合同并不予拨付任何费用，由此产生的后果由中标人自行承担</w:t>
      </w:r>
      <w:r>
        <w:rPr>
          <w:rFonts w:hint="eastAsia"/>
          <w:color w:val="auto"/>
        </w:rPr>
        <w:t>。</w:t>
      </w:r>
    </w:p>
    <w:p>
      <w:pPr>
        <w:spacing w:line="420" w:lineRule="exact"/>
        <w:ind w:firstLine="420"/>
        <w:rPr>
          <w:rFonts w:hint="eastAsia" w:ascii="宋体" w:hAnsi="宋体" w:cs="宋体"/>
          <w:color w:val="auto"/>
          <w:szCs w:val="21"/>
        </w:rPr>
      </w:pPr>
      <w:r>
        <w:rPr>
          <w:rFonts w:hint="eastAsia" w:ascii="宋体" w:hAnsi="宋体" w:cs="宋体"/>
          <w:color w:val="auto"/>
          <w:szCs w:val="21"/>
        </w:rPr>
        <w:t>7、其他违约情形：</w:t>
      </w:r>
    </w:p>
    <w:p>
      <w:pPr>
        <w:spacing w:line="420" w:lineRule="exact"/>
        <w:ind w:firstLine="420"/>
        <w:rPr>
          <w:rFonts w:hint="eastAsia" w:ascii="宋体" w:hAnsi="宋体" w:cs="宋体"/>
          <w:color w:val="auto"/>
          <w:szCs w:val="21"/>
        </w:rPr>
      </w:pPr>
      <w:r>
        <w:rPr>
          <w:rFonts w:hint="eastAsia" w:ascii="宋体" w:hAnsi="宋体" w:cs="宋体"/>
          <w:color w:val="auto"/>
          <w:szCs w:val="21"/>
        </w:rPr>
        <w:t>（1）乙方未确保响应承诺的人员到位，或人员素质不符合招标文件要求，或与响应承诺不一致的，按实际缺席天数扣除人员费用，一周后仍没到位，加扣当月服务费的50%。</w:t>
      </w:r>
    </w:p>
    <w:p>
      <w:pPr>
        <w:spacing w:line="420" w:lineRule="exact"/>
        <w:ind w:firstLine="420"/>
        <w:rPr>
          <w:rFonts w:hint="eastAsia" w:ascii="宋体" w:hAnsi="宋体" w:cs="宋体"/>
          <w:color w:val="auto"/>
          <w:szCs w:val="21"/>
        </w:rPr>
      </w:pPr>
      <w:r>
        <w:rPr>
          <w:rFonts w:hint="eastAsia" w:ascii="宋体" w:hAnsi="宋体" w:cs="宋体"/>
          <w:color w:val="auto"/>
          <w:szCs w:val="21"/>
        </w:rPr>
        <w:t>（2）甲方要求乙方变动或更换人员，乙方未在规定时间内变动或更换的，每人次扣1000元。</w:t>
      </w:r>
    </w:p>
    <w:p>
      <w:pPr>
        <w:spacing w:line="420" w:lineRule="exact"/>
        <w:ind w:firstLine="420"/>
        <w:rPr>
          <w:rFonts w:hint="eastAsia" w:ascii="宋体" w:hAnsi="宋体" w:cs="宋体"/>
          <w:color w:val="auto"/>
          <w:szCs w:val="21"/>
        </w:rPr>
      </w:pPr>
      <w:r>
        <w:rPr>
          <w:rFonts w:hint="eastAsia" w:ascii="宋体" w:hAnsi="宋体" w:cs="宋体"/>
          <w:color w:val="auto"/>
          <w:szCs w:val="21"/>
        </w:rPr>
        <w:t>第九条  不可抗力事件处理</w:t>
      </w:r>
    </w:p>
    <w:p>
      <w:pPr>
        <w:spacing w:line="420" w:lineRule="exact"/>
        <w:ind w:firstLine="420"/>
        <w:rPr>
          <w:rFonts w:hint="eastAsia"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spacing w:line="420" w:lineRule="exact"/>
        <w:ind w:firstLine="420"/>
        <w:rPr>
          <w:rFonts w:hint="eastAsia"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20" w:lineRule="exact"/>
        <w:ind w:firstLine="420"/>
        <w:rPr>
          <w:rFonts w:hint="eastAsia" w:ascii="宋体" w:hAnsi="宋体" w:cs="宋体"/>
          <w:color w:val="auto"/>
          <w:szCs w:val="21"/>
        </w:rPr>
      </w:pPr>
      <w:r>
        <w:rPr>
          <w:rFonts w:hint="eastAsia" w:ascii="宋体" w:hAnsi="宋体" w:cs="宋体"/>
          <w:color w:val="auto"/>
          <w:szCs w:val="21"/>
        </w:rPr>
        <w:t>3、不可抗力事件延续10天及以上，双方应通过友好协商，确定是否继续履行合同。</w:t>
      </w:r>
    </w:p>
    <w:p>
      <w:pPr>
        <w:spacing w:line="420" w:lineRule="exact"/>
        <w:ind w:firstLine="420"/>
        <w:rPr>
          <w:rFonts w:hint="eastAsia" w:ascii="宋体" w:hAnsi="宋体" w:cs="宋体"/>
          <w:color w:val="auto"/>
          <w:szCs w:val="21"/>
        </w:rPr>
      </w:pPr>
      <w:r>
        <w:rPr>
          <w:rFonts w:hint="eastAsia" w:ascii="宋体" w:hAnsi="宋体" w:cs="宋体"/>
          <w:color w:val="auto"/>
          <w:szCs w:val="21"/>
        </w:rPr>
        <w:t>第十条  其他事项</w:t>
      </w:r>
    </w:p>
    <w:p>
      <w:pPr>
        <w:spacing w:line="420" w:lineRule="exact"/>
        <w:ind w:firstLine="420"/>
        <w:rPr>
          <w:rFonts w:hint="eastAsia" w:ascii="宋体" w:hAnsi="宋体" w:cs="宋体"/>
          <w:color w:val="auto"/>
          <w:szCs w:val="21"/>
        </w:rPr>
      </w:pPr>
      <w:r>
        <w:rPr>
          <w:rFonts w:hint="eastAsia" w:ascii="宋体" w:hAnsi="宋体" w:cs="宋体"/>
          <w:color w:val="auto"/>
          <w:szCs w:val="21"/>
        </w:rPr>
        <w:t>1、自本合同生效之日起15个自然日内，根据甲方委托管理事项，办理完交接验收手续。</w:t>
      </w:r>
    </w:p>
    <w:p>
      <w:pPr>
        <w:spacing w:line="420" w:lineRule="exact"/>
        <w:ind w:firstLine="420"/>
        <w:rPr>
          <w:rFonts w:hint="eastAsia" w:ascii="宋体" w:hAnsi="宋体" w:cs="宋体"/>
          <w:color w:val="auto"/>
          <w:szCs w:val="21"/>
        </w:rPr>
      </w:pPr>
      <w:r>
        <w:rPr>
          <w:rFonts w:hint="eastAsia" w:ascii="宋体" w:hAnsi="宋体" w:cs="宋体"/>
          <w:color w:val="auto"/>
          <w:szCs w:val="21"/>
        </w:rPr>
        <w:t>2、甲、乙方对《招标文件》以外的服务项目，可根据实际情况另行签订补充协议。补充协议和本合同的附件与本合同具有同等效力。</w:t>
      </w:r>
    </w:p>
    <w:p>
      <w:pPr>
        <w:spacing w:line="420" w:lineRule="exact"/>
        <w:ind w:firstLine="420"/>
        <w:rPr>
          <w:rFonts w:hint="eastAsia" w:ascii="宋体" w:hAnsi="宋体" w:cs="宋体"/>
          <w:color w:val="auto"/>
          <w:szCs w:val="21"/>
        </w:rPr>
      </w:pPr>
      <w:r>
        <w:rPr>
          <w:rFonts w:hint="eastAsia" w:ascii="宋体" w:hAnsi="宋体" w:cs="宋体"/>
          <w:color w:val="auto"/>
          <w:szCs w:val="21"/>
        </w:rPr>
        <w:t>3、本合同在履行过程中发生争议时，当事人双方应及时协调解决。协商不成时，向慈溪市人民法院起诉。</w:t>
      </w:r>
    </w:p>
    <w:p>
      <w:pPr>
        <w:spacing w:line="420" w:lineRule="exact"/>
        <w:ind w:firstLine="420"/>
        <w:rPr>
          <w:rFonts w:hint="eastAsia" w:ascii="宋体" w:hAnsi="宋体" w:cs="宋体"/>
          <w:color w:val="auto"/>
          <w:szCs w:val="21"/>
        </w:rPr>
      </w:pPr>
      <w:r>
        <w:rPr>
          <w:rFonts w:hint="eastAsia" w:ascii="宋体" w:hAnsi="宋体" w:cs="宋体"/>
          <w:color w:val="auto"/>
          <w:szCs w:val="21"/>
        </w:rPr>
        <w:t>4、如遇突发或重大事件，乙方管理人员应在第一时间报告**室负责人和甲方负责人，乙方相关负责人应在第一时间到达现场，适时处理或协助处理有关问题；甲方如认为情况危及到内部人员的安定管理，乙方应无条件同意甲方直接调配乙方资源直至危机结束。</w:t>
      </w:r>
    </w:p>
    <w:p>
      <w:pPr>
        <w:spacing w:line="420" w:lineRule="exact"/>
        <w:ind w:firstLine="420"/>
        <w:rPr>
          <w:rFonts w:hint="eastAsia" w:ascii="宋体" w:hAnsi="宋体" w:cs="宋体"/>
          <w:color w:val="auto"/>
          <w:szCs w:val="21"/>
        </w:rPr>
      </w:pPr>
      <w:r>
        <w:rPr>
          <w:rFonts w:hint="eastAsia" w:ascii="宋体" w:hAnsi="宋体" w:cs="宋体"/>
          <w:color w:val="auto"/>
          <w:szCs w:val="21"/>
        </w:rPr>
        <w:t>5、由于乙方原因而损坏设施设备的，由乙方负责赔偿。</w:t>
      </w:r>
    </w:p>
    <w:p>
      <w:pPr>
        <w:spacing w:line="420" w:lineRule="exact"/>
        <w:ind w:firstLine="420"/>
        <w:rPr>
          <w:rFonts w:hint="eastAsia" w:ascii="宋体" w:hAnsi="宋体" w:cs="宋体"/>
          <w:color w:val="auto"/>
          <w:szCs w:val="21"/>
        </w:rPr>
      </w:pPr>
      <w:r>
        <w:rPr>
          <w:rFonts w:hint="eastAsia" w:ascii="宋体" w:hAnsi="宋体" w:cs="宋体"/>
          <w:color w:val="auto"/>
          <w:szCs w:val="21"/>
        </w:rPr>
        <w:t>6、如因政策性调整，乙方在服务期间因国家相关政策调整致使中途服务停止，乙方不得提出任何索赔。</w:t>
      </w:r>
    </w:p>
    <w:p>
      <w:pPr>
        <w:spacing w:line="420" w:lineRule="exact"/>
        <w:ind w:firstLine="420"/>
        <w:rPr>
          <w:rFonts w:hint="eastAsia" w:ascii="宋体" w:hAnsi="宋体" w:cs="宋体"/>
          <w:color w:val="auto"/>
          <w:szCs w:val="21"/>
        </w:rPr>
      </w:pPr>
      <w:r>
        <w:rPr>
          <w:rFonts w:hint="eastAsia" w:ascii="宋体" w:hAnsi="宋体" w:cs="宋体"/>
          <w:color w:val="auto"/>
          <w:szCs w:val="21"/>
        </w:rPr>
        <w:t>第十一条  合同生效及其他</w:t>
      </w:r>
    </w:p>
    <w:p>
      <w:pPr>
        <w:spacing w:line="420" w:lineRule="exact"/>
        <w:ind w:firstLine="420"/>
        <w:rPr>
          <w:rFonts w:hint="eastAsia" w:ascii="宋体" w:hAnsi="宋体" w:cs="宋体"/>
          <w:color w:val="auto"/>
          <w:szCs w:val="21"/>
        </w:rPr>
      </w:pPr>
      <w:r>
        <w:rPr>
          <w:rFonts w:hint="eastAsia" w:ascii="宋体" w:hAnsi="宋体" w:cs="宋体"/>
          <w:color w:val="auto"/>
          <w:szCs w:val="21"/>
        </w:rPr>
        <w:t>1、合同经双方法定代表人或授权代表签字加盖单位公章，且乙方提交履约保证金后生效。</w:t>
      </w:r>
    </w:p>
    <w:p>
      <w:pPr>
        <w:spacing w:line="420" w:lineRule="exact"/>
        <w:ind w:firstLine="420"/>
        <w:rPr>
          <w:rFonts w:hint="eastAsia" w:ascii="宋体" w:hAnsi="宋体" w:cs="宋体"/>
          <w:color w:val="auto"/>
          <w:szCs w:val="21"/>
        </w:rPr>
      </w:pPr>
      <w:r>
        <w:rPr>
          <w:rFonts w:hint="eastAsia" w:ascii="宋体" w:hAnsi="宋体" w:cs="宋体"/>
          <w:color w:val="auto"/>
          <w:szCs w:val="21"/>
        </w:rPr>
        <w:t>2、本合同未尽事宜，经双方协商一致，签订补充协议，补充协议与本协议书具有同等效力。</w:t>
      </w:r>
    </w:p>
    <w:p>
      <w:pPr>
        <w:spacing w:line="420" w:lineRule="exact"/>
        <w:ind w:firstLine="420"/>
        <w:rPr>
          <w:rFonts w:hint="eastAsia" w:ascii="宋体" w:hAnsi="宋体" w:cs="宋体"/>
          <w:color w:val="auto"/>
          <w:szCs w:val="21"/>
        </w:rPr>
      </w:pPr>
      <w:r>
        <w:rPr>
          <w:rFonts w:hint="eastAsia" w:ascii="宋体" w:hAnsi="宋体" w:cs="宋体"/>
          <w:color w:val="auto"/>
          <w:szCs w:val="21"/>
        </w:rPr>
        <w:t>3、本合同一式六份，甲、乙双方各执三份，均具有同等效力。</w:t>
      </w:r>
    </w:p>
    <w:p>
      <w:pPr>
        <w:spacing w:line="420" w:lineRule="exact"/>
        <w:ind w:firstLine="420"/>
        <w:rPr>
          <w:rFonts w:hint="eastAsia" w:ascii="宋体" w:hAnsi="宋体" w:cs="宋体"/>
          <w:color w:val="auto"/>
          <w:szCs w:val="21"/>
        </w:rPr>
      </w:pPr>
    </w:p>
    <w:p>
      <w:pPr>
        <w:spacing w:line="420" w:lineRule="exact"/>
        <w:ind w:firstLine="420"/>
        <w:rPr>
          <w:rFonts w:hint="eastAsia" w:ascii="宋体" w:hAnsi="宋体" w:cs="宋体"/>
          <w:color w:val="auto"/>
          <w:szCs w:val="21"/>
        </w:rPr>
      </w:pPr>
    </w:p>
    <w:p>
      <w:pPr>
        <w:spacing w:line="420" w:lineRule="exact"/>
        <w:ind w:firstLine="420"/>
        <w:rPr>
          <w:rFonts w:hint="eastAsia" w:ascii="宋体" w:hAnsi="宋体" w:cs="宋体"/>
          <w:color w:val="auto"/>
          <w:szCs w:val="21"/>
        </w:rPr>
      </w:pPr>
    </w:p>
    <w:tbl>
      <w:tblPr>
        <w:tblStyle w:val="45"/>
        <w:tblW w:w="0" w:type="auto"/>
        <w:jc w:val="center"/>
        <w:tblLayout w:type="fixed"/>
        <w:tblCellMar>
          <w:top w:w="0" w:type="dxa"/>
          <w:left w:w="108" w:type="dxa"/>
          <w:bottom w:w="0" w:type="dxa"/>
          <w:right w:w="108" w:type="dxa"/>
        </w:tblCellMar>
      </w:tblPr>
      <w:tblGrid>
        <w:gridCol w:w="1526"/>
        <w:gridCol w:w="3120"/>
        <w:gridCol w:w="1559"/>
        <w:gridCol w:w="3084"/>
      </w:tblGrid>
      <w:tr>
        <w:tblPrEx>
          <w:tblCellMar>
            <w:top w:w="0" w:type="dxa"/>
            <w:left w:w="108" w:type="dxa"/>
            <w:bottom w:w="0" w:type="dxa"/>
            <w:right w:w="108" w:type="dxa"/>
          </w:tblCellMar>
        </w:tblPrEx>
        <w:trPr>
          <w:trHeight w:val="535" w:hRule="atLeast"/>
          <w:jc w:val="center"/>
        </w:trPr>
        <w:tc>
          <w:tcPr>
            <w:tcW w:w="1526"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甲  方</w:t>
            </w:r>
          </w:p>
        </w:tc>
        <w:tc>
          <w:tcPr>
            <w:tcW w:w="3120" w:type="dxa"/>
            <w:noWrap w:val="0"/>
            <w:vAlign w:val="center"/>
          </w:tcPr>
          <w:p>
            <w:pPr>
              <w:spacing w:line="520" w:lineRule="exact"/>
              <w:ind w:firstLine="420"/>
              <w:rPr>
                <w:rFonts w:hint="eastAsia" w:ascii="宋体" w:hAnsi="宋体" w:cs="宋体"/>
                <w:color w:val="auto"/>
                <w:szCs w:val="21"/>
              </w:rPr>
            </w:pPr>
            <w:r>
              <w:rPr>
                <w:rFonts w:hint="eastAsia" w:ascii="宋体" w:hAnsi="宋体" w:cs="宋体"/>
                <w:color w:val="auto"/>
                <w:szCs w:val="21"/>
              </w:rPr>
              <w:t>（盖章）</w:t>
            </w:r>
          </w:p>
        </w:tc>
        <w:tc>
          <w:tcPr>
            <w:tcW w:w="1559"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乙  方</w:t>
            </w:r>
          </w:p>
        </w:tc>
        <w:tc>
          <w:tcPr>
            <w:tcW w:w="3084" w:type="dxa"/>
            <w:noWrap w:val="0"/>
            <w:vAlign w:val="center"/>
          </w:tcPr>
          <w:p>
            <w:pPr>
              <w:spacing w:line="520" w:lineRule="exact"/>
              <w:ind w:firstLine="420"/>
              <w:rPr>
                <w:rFonts w:hint="eastAsia" w:ascii="宋体" w:hAnsi="宋体" w:cs="宋体"/>
                <w:color w:val="auto"/>
                <w:szCs w:val="21"/>
              </w:rPr>
            </w:pPr>
            <w:r>
              <w:rPr>
                <w:rFonts w:hint="eastAsia" w:ascii="宋体" w:hAnsi="宋体" w:cs="宋体"/>
                <w:color w:val="auto"/>
                <w:szCs w:val="21"/>
              </w:rPr>
              <w:t>（盖章）</w:t>
            </w: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0" w:firstLineChars="0"/>
              <w:rPr>
                <w:rFonts w:hint="eastAsia" w:ascii="宋体" w:hAnsi="宋体" w:cs="宋体"/>
                <w:color w:val="auto"/>
                <w:szCs w:val="21"/>
              </w:rPr>
            </w:pPr>
            <w:r>
              <w:rPr>
                <w:rFonts w:hint="eastAsia" w:ascii="宋体" w:hAnsi="宋体" w:cs="宋体"/>
                <w:color w:val="auto"/>
                <w:szCs w:val="21"/>
              </w:rPr>
              <w:t>法定代表人</w:t>
            </w:r>
          </w:p>
        </w:tc>
        <w:tc>
          <w:tcPr>
            <w:tcW w:w="3120" w:type="dxa"/>
            <w:vMerge w:val="restart"/>
            <w:noWrap w:val="0"/>
            <w:vAlign w:val="center"/>
          </w:tcPr>
          <w:p>
            <w:pPr>
              <w:spacing w:line="520" w:lineRule="exact"/>
              <w:ind w:firstLine="420"/>
              <w:rPr>
                <w:rFonts w:hint="eastAsia" w:ascii="宋体" w:hAnsi="宋体" w:cs="宋体"/>
                <w:color w:val="auto"/>
                <w:szCs w:val="21"/>
              </w:rPr>
            </w:pPr>
            <w:r>
              <w:rPr>
                <w:rFonts w:hint="eastAsia" w:ascii="宋体" w:hAnsi="宋体" w:cs="宋体"/>
                <w:color w:val="auto"/>
                <w:szCs w:val="21"/>
              </w:rPr>
              <w:t>（签字）</w:t>
            </w:r>
          </w:p>
        </w:tc>
        <w:tc>
          <w:tcPr>
            <w:tcW w:w="1559" w:type="dxa"/>
            <w:noWrap w:val="0"/>
            <w:vAlign w:val="top"/>
          </w:tcPr>
          <w:p>
            <w:pPr>
              <w:spacing w:line="520" w:lineRule="exact"/>
              <w:ind w:firstLine="0" w:firstLineChars="0"/>
              <w:rPr>
                <w:rFonts w:hint="eastAsia" w:ascii="宋体" w:hAnsi="宋体" w:cs="宋体"/>
                <w:color w:val="auto"/>
                <w:szCs w:val="21"/>
              </w:rPr>
            </w:pPr>
            <w:r>
              <w:rPr>
                <w:rFonts w:hint="eastAsia" w:ascii="宋体" w:hAnsi="宋体" w:cs="宋体"/>
                <w:color w:val="auto"/>
                <w:szCs w:val="21"/>
              </w:rPr>
              <w:t>法定代表人</w:t>
            </w:r>
          </w:p>
        </w:tc>
        <w:tc>
          <w:tcPr>
            <w:tcW w:w="3084" w:type="dxa"/>
            <w:vMerge w:val="restart"/>
            <w:noWrap w:val="0"/>
            <w:vAlign w:val="center"/>
          </w:tcPr>
          <w:p>
            <w:pPr>
              <w:spacing w:line="520" w:lineRule="exact"/>
              <w:ind w:firstLine="420"/>
              <w:rPr>
                <w:rFonts w:hint="eastAsia" w:ascii="宋体" w:hAnsi="宋体" w:cs="宋体"/>
                <w:color w:val="auto"/>
                <w:szCs w:val="21"/>
              </w:rPr>
            </w:pPr>
            <w:r>
              <w:rPr>
                <w:rFonts w:hint="eastAsia" w:ascii="宋体" w:hAnsi="宋体" w:cs="宋体"/>
                <w:color w:val="auto"/>
                <w:szCs w:val="21"/>
              </w:rPr>
              <w:t>（签字）</w:t>
            </w: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0" w:firstLineChars="0"/>
              <w:rPr>
                <w:rFonts w:hint="eastAsia" w:ascii="宋体" w:hAnsi="宋体" w:cs="宋体"/>
                <w:color w:val="auto"/>
                <w:szCs w:val="21"/>
              </w:rPr>
            </w:pPr>
            <w:r>
              <w:rPr>
                <w:rFonts w:hint="eastAsia" w:ascii="宋体" w:hAnsi="宋体" w:cs="宋体"/>
                <w:color w:val="auto"/>
                <w:szCs w:val="21"/>
              </w:rPr>
              <w:t>或受委托人</w:t>
            </w:r>
          </w:p>
        </w:tc>
        <w:tc>
          <w:tcPr>
            <w:tcW w:w="3120" w:type="dxa"/>
            <w:vMerge w:val="continue"/>
            <w:noWrap w:val="0"/>
            <w:vAlign w:val="top"/>
          </w:tcPr>
          <w:p>
            <w:pPr>
              <w:spacing w:line="520" w:lineRule="exact"/>
              <w:ind w:firstLine="420"/>
              <w:rPr>
                <w:rFonts w:hint="eastAsia" w:ascii="宋体" w:hAnsi="宋体" w:cs="宋体"/>
                <w:color w:val="auto"/>
                <w:szCs w:val="21"/>
              </w:rPr>
            </w:pPr>
          </w:p>
        </w:tc>
        <w:tc>
          <w:tcPr>
            <w:tcW w:w="1559" w:type="dxa"/>
            <w:noWrap w:val="0"/>
            <w:vAlign w:val="top"/>
          </w:tcPr>
          <w:p>
            <w:pPr>
              <w:spacing w:line="520" w:lineRule="exact"/>
              <w:ind w:firstLine="0" w:firstLineChars="0"/>
              <w:rPr>
                <w:rFonts w:hint="eastAsia" w:ascii="宋体" w:hAnsi="宋体" w:cs="宋体"/>
                <w:color w:val="auto"/>
                <w:szCs w:val="21"/>
              </w:rPr>
            </w:pPr>
            <w:r>
              <w:rPr>
                <w:rFonts w:hint="eastAsia" w:ascii="宋体" w:hAnsi="宋体" w:cs="宋体"/>
                <w:color w:val="auto"/>
                <w:szCs w:val="21"/>
              </w:rPr>
              <w:t>或受委托人</w:t>
            </w:r>
          </w:p>
        </w:tc>
        <w:tc>
          <w:tcPr>
            <w:tcW w:w="3084" w:type="dxa"/>
            <w:vMerge w:val="continue"/>
            <w:noWrap w:val="0"/>
            <w:vAlign w:val="top"/>
          </w:tcPr>
          <w:p>
            <w:pPr>
              <w:spacing w:line="520" w:lineRule="exact"/>
              <w:ind w:firstLine="420"/>
              <w:rPr>
                <w:rFonts w:hint="eastAsia" w:ascii="宋体" w:hAnsi="宋体" w:cs="宋体"/>
                <w:color w:val="auto"/>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地  址：</w:t>
            </w:r>
          </w:p>
        </w:tc>
        <w:tc>
          <w:tcPr>
            <w:tcW w:w="3120" w:type="dxa"/>
            <w:noWrap w:val="0"/>
            <w:vAlign w:val="top"/>
          </w:tcPr>
          <w:p>
            <w:pPr>
              <w:spacing w:line="520" w:lineRule="exact"/>
              <w:ind w:firstLine="420"/>
              <w:rPr>
                <w:rFonts w:hint="eastAsia" w:ascii="宋体" w:hAnsi="宋体" w:cs="宋体"/>
                <w:color w:val="auto"/>
                <w:szCs w:val="21"/>
              </w:rPr>
            </w:pPr>
          </w:p>
        </w:tc>
        <w:tc>
          <w:tcPr>
            <w:tcW w:w="1559"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地 址：</w:t>
            </w:r>
          </w:p>
        </w:tc>
        <w:tc>
          <w:tcPr>
            <w:tcW w:w="3084" w:type="dxa"/>
            <w:noWrap w:val="0"/>
            <w:vAlign w:val="top"/>
          </w:tcPr>
          <w:p>
            <w:pPr>
              <w:spacing w:line="520" w:lineRule="exact"/>
              <w:ind w:firstLine="420"/>
              <w:rPr>
                <w:rFonts w:hint="eastAsia" w:ascii="宋体" w:hAnsi="宋体" w:cs="宋体"/>
                <w:color w:val="auto"/>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电  话：</w:t>
            </w:r>
          </w:p>
        </w:tc>
        <w:tc>
          <w:tcPr>
            <w:tcW w:w="3120" w:type="dxa"/>
            <w:noWrap w:val="0"/>
            <w:vAlign w:val="top"/>
          </w:tcPr>
          <w:p>
            <w:pPr>
              <w:spacing w:line="520" w:lineRule="exact"/>
              <w:ind w:firstLine="420"/>
              <w:rPr>
                <w:rFonts w:hint="eastAsia" w:ascii="宋体" w:hAnsi="宋体" w:cs="宋体"/>
                <w:color w:val="auto"/>
                <w:szCs w:val="21"/>
              </w:rPr>
            </w:pPr>
          </w:p>
        </w:tc>
        <w:tc>
          <w:tcPr>
            <w:tcW w:w="1559"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电  话：</w:t>
            </w:r>
          </w:p>
        </w:tc>
        <w:tc>
          <w:tcPr>
            <w:tcW w:w="3084" w:type="dxa"/>
            <w:noWrap w:val="0"/>
            <w:vAlign w:val="top"/>
          </w:tcPr>
          <w:p>
            <w:pPr>
              <w:spacing w:line="520" w:lineRule="exact"/>
              <w:ind w:firstLine="420"/>
              <w:rPr>
                <w:rFonts w:hint="eastAsia" w:ascii="宋体" w:hAnsi="宋体" w:cs="宋体"/>
                <w:color w:val="auto"/>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210" w:firstLineChars="100"/>
              <w:rPr>
                <w:rFonts w:hint="eastAsia" w:ascii="宋体" w:hAnsi="宋体" w:cs="宋体"/>
                <w:color w:val="auto"/>
                <w:szCs w:val="21"/>
              </w:rPr>
            </w:pPr>
            <w:r>
              <w:rPr>
                <w:rFonts w:hint="eastAsia" w:ascii="宋体" w:hAnsi="宋体" w:cs="宋体"/>
                <w:color w:val="auto"/>
                <w:szCs w:val="21"/>
              </w:rPr>
              <w:t>开户银行：</w:t>
            </w:r>
          </w:p>
        </w:tc>
        <w:tc>
          <w:tcPr>
            <w:tcW w:w="3120" w:type="dxa"/>
            <w:noWrap w:val="0"/>
            <w:vAlign w:val="top"/>
          </w:tcPr>
          <w:p>
            <w:pPr>
              <w:spacing w:line="520" w:lineRule="exact"/>
              <w:ind w:firstLine="420"/>
              <w:rPr>
                <w:rFonts w:hint="eastAsia" w:ascii="宋体" w:hAnsi="宋体" w:cs="宋体"/>
                <w:color w:val="auto"/>
                <w:szCs w:val="21"/>
              </w:rPr>
            </w:pPr>
          </w:p>
        </w:tc>
        <w:tc>
          <w:tcPr>
            <w:tcW w:w="1559" w:type="dxa"/>
            <w:noWrap w:val="0"/>
            <w:vAlign w:val="top"/>
          </w:tcPr>
          <w:p>
            <w:pPr>
              <w:spacing w:line="520" w:lineRule="exact"/>
              <w:ind w:firstLine="0" w:firstLineChars="0"/>
              <w:rPr>
                <w:rFonts w:hint="eastAsia" w:ascii="宋体" w:hAnsi="宋体" w:cs="宋体"/>
                <w:color w:val="auto"/>
                <w:szCs w:val="21"/>
              </w:rPr>
            </w:pPr>
            <w:r>
              <w:rPr>
                <w:rFonts w:hint="eastAsia" w:ascii="宋体" w:hAnsi="宋体" w:cs="宋体"/>
                <w:color w:val="auto"/>
                <w:szCs w:val="21"/>
              </w:rPr>
              <w:t>开户银行：</w:t>
            </w:r>
          </w:p>
        </w:tc>
        <w:tc>
          <w:tcPr>
            <w:tcW w:w="3084" w:type="dxa"/>
            <w:noWrap w:val="0"/>
            <w:vAlign w:val="top"/>
          </w:tcPr>
          <w:p>
            <w:pPr>
              <w:spacing w:line="520" w:lineRule="exact"/>
              <w:ind w:firstLine="420"/>
              <w:rPr>
                <w:rFonts w:hint="eastAsia" w:ascii="宋体" w:hAnsi="宋体" w:cs="宋体"/>
                <w:color w:val="auto"/>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帐  号：</w:t>
            </w:r>
          </w:p>
        </w:tc>
        <w:tc>
          <w:tcPr>
            <w:tcW w:w="3120" w:type="dxa"/>
            <w:noWrap w:val="0"/>
            <w:vAlign w:val="top"/>
          </w:tcPr>
          <w:p>
            <w:pPr>
              <w:spacing w:line="520" w:lineRule="exact"/>
              <w:ind w:firstLine="420"/>
              <w:rPr>
                <w:rFonts w:hint="eastAsia" w:ascii="宋体" w:hAnsi="宋体" w:cs="宋体"/>
                <w:color w:val="auto"/>
                <w:szCs w:val="21"/>
              </w:rPr>
            </w:pPr>
          </w:p>
        </w:tc>
        <w:tc>
          <w:tcPr>
            <w:tcW w:w="1559" w:type="dxa"/>
            <w:noWrap w:val="0"/>
            <w:vAlign w:val="top"/>
          </w:tcPr>
          <w:p>
            <w:pPr>
              <w:spacing w:line="520" w:lineRule="exact"/>
              <w:ind w:firstLine="420"/>
              <w:rPr>
                <w:rFonts w:hint="eastAsia" w:ascii="宋体" w:hAnsi="宋体" w:cs="宋体"/>
                <w:color w:val="auto"/>
                <w:szCs w:val="21"/>
              </w:rPr>
            </w:pPr>
            <w:r>
              <w:rPr>
                <w:rFonts w:hint="eastAsia" w:ascii="宋体" w:hAnsi="宋体" w:cs="宋体"/>
                <w:color w:val="auto"/>
                <w:szCs w:val="21"/>
              </w:rPr>
              <w:t>帐  号：</w:t>
            </w:r>
          </w:p>
        </w:tc>
        <w:tc>
          <w:tcPr>
            <w:tcW w:w="3084" w:type="dxa"/>
            <w:noWrap w:val="0"/>
            <w:vAlign w:val="top"/>
          </w:tcPr>
          <w:p>
            <w:pPr>
              <w:spacing w:line="520" w:lineRule="exact"/>
              <w:ind w:firstLine="420"/>
              <w:rPr>
                <w:rFonts w:hint="eastAsia" w:ascii="宋体" w:hAnsi="宋体" w:cs="宋体"/>
                <w:color w:val="auto"/>
                <w:szCs w:val="21"/>
              </w:rPr>
            </w:pPr>
          </w:p>
        </w:tc>
      </w:tr>
    </w:tbl>
    <w:p>
      <w:pPr>
        <w:pStyle w:val="24"/>
        <w:adjustRightInd w:val="0"/>
        <w:snapToGrid w:val="0"/>
        <w:spacing w:before="0" w:beforeAutospacing="0" w:after="0" w:afterAutospacing="0"/>
        <w:ind w:firstLine="420"/>
        <w:rPr>
          <w:rFonts w:hint="eastAsia" w:hAnsi="宋体" w:cs="宋体"/>
          <w:color w:val="auto"/>
          <w:spacing w:val="-16"/>
          <w:sz w:val="21"/>
          <w:szCs w:val="21"/>
          <w:highlight w:val="none"/>
        </w:rPr>
      </w:pPr>
      <w:r>
        <w:rPr>
          <w:rFonts w:hint="eastAsia" w:hAnsi="宋体" w:cs="宋体"/>
          <w:color w:val="auto"/>
          <w:spacing w:val="-16"/>
          <w:sz w:val="21"/>
          <w:szCs w:val="21"/>
          <w:highlight w:val="none"/>
        </w:rPr>
        <w:br w:type="page"/>
      </w:r>
    </w:p>
    <w:p>
      <w:pPr>
        <w:numPr>
          <w:ilvl w:val="0"/>
          <w:numId w:val="4"/>
        </w:numPr>
        <w:spacing w:line="400" w:lineRule="exact"/>
        <w:jc w:val="center"/>
        <w:outlineLvl w:val="0"/>
        <w:rPr>
          <w:rFonts w:hint="eastAsia" w:ascii="宋体" w:hAnsi="宋体"/>
          <w:b/>
          <w:color w:val="auto"/>
          <w:sz w:val="32"/>
          <w:highlight w:val="none"/>
        </w:rPr>
      </w:pPr>
      <w:bookmarkStart w:id="36" w:name="_Toc31122"/>
      <w:r>
        <w:rPr>
          <w:rFonts w:hint="eastAsia" w:ascii="宋体" w:hAnsi="宋体"/>
          <w:b/>
          <w:color w:val="auto"/>
          <w:sz w:val="32"/>
          <w:highlight w:val="none"/>
        </w:rPr>
        <w:t>招标内容与技术需求</w:t>
      </w:r>
      <w:bookmarkEnd w:id="36"/>
    </w:p>
    <w:p>
      <w:pPr>
        <w:pStyle w:val="246"/>
        <w:ind w:left="0"/>
        <w:rPr>
          <w:rFonts w:hint="eastAsia"/>
          <w:color w:val="auto"/>
          <w:highlight w:val="none"/>
        </w:rPr>
      </w:pPr>
    </w:p>
    <w:p>
      <w:pPr>
        <w:spacing w:line="400" w:lineRule="exact"/>
        <w:ind w:firstLine="420"/>
        <w:rPr>
          <w:rFonts w:ascii="宋体" w:hAnsi="宋体" w:cs="宋体"/>
          <w:sz w:val="21"/>
          <w:szCs w:val="21"/>
        </w:rPr>
      </w:pPr>
      <w:bookmarkStart w:id="37" w:name="_Toc5926"/>
      <w:r>
        <w:rPr>
          <w:rFonts w:hint="eastAsia" w:ascii="宋体" w:hAnsi="宋体" w:cs="宋体"/>
          <w:sz w:val="21"/>
          <w:szCs w:val="21"/>
        </w:rPr>
        <w:t>主要负责慈溪市掌起镇政府交管站辖区内道路管理等服务，听从业主单位工作安排及指导工作。</w:t>
      </w:r>
    </w:p>
    <w:p>
      <w:pPr>
        <w:spacing w:line="400" w:lineRule="exact"/>
        <w:rPr>
          <w:rFonts w:ascii="宋体" w:hAnsi="宋体" w:cs="宋体"/>
          <w:b/>
          <w:bCs/>
          <w:szCs w:val="21"/>
        </w:rPr>
      </w:pPr>
      <w:r>
        <w:rPr>
          <w:rFonts w:hint="eastAsia" w:ascii="宋体" w:hAnsi="宋体" w:cs="宋体"/>
          <w:b/>
          <w:bCs/>
          <w:szCs w:val="21"/>
        </w:rPr>
        <w:t>一、人员要求</w:t>
      </w:r>
    </w:p>
    <w:p>
      <w:pPr>
        <w:spacing w:line="400" w:lineRule="exact"/>
        <w:ind w:firstLine="420"/>
        <w:rPr>
          <w:rFonts w:ascii="宋体" w:hAnsi="宋体" w:cs="宋体"/>
          <w:szCs w:val="21"/>
        </w:rPr>
      </w:pPr>
      <w:r>
        <w:rPr>
          <w:rFonts w:hint="eastAsia" w:ascii="宋体" w:hAnsi="宋体" w:cs="仿宋_GB2312"/>
          <w:b/>
          <w:szCs w:val="21"/>
        </w:rPr>
        <w:t>★</w:t>
      </w:r>
      <w:r>
        <w:rPr>
          <w:rFonts w:hint="eastAsia" w:ascii="宋体" w:hAnsi="宋体" w:cs="宋体"/>
          <w:szCs w:val="21"/>
        </w:rPr>
        <w:t>1、</w:t>
      </w:r>
      <w:r>
        <w:rPr>
          <w:rFonts w:hint="eastAsia"/>
          <w:szCs w:val="21"/>
        </w:rPr>
        <w:t>由 12 名协勤组成的交管站,协勤人员在一般保安要求基础上，要求男性，身高不低于165cm，队长年龄55周岁（含）以下，其他队员年龄45周岁（含）以下</w:t>
      </w:r>
      <w:r>
        <w:rPr>
          <w:rFonts w:hint="eastAsia" w:ascii="宋体" w:hAnsi="宋体" w:cs="宋体"/>
          <w:szCs w:val="21"/>
        </w:rPr>
        <w:t>，初中及以上学历，退伍军人优先，必须服从市业主单位日常检查、监督和指导。</w:t>
      </w:r>
    </w:p>
    <w:p>
      <w:pPr>
        <w:spacing w:line="400" w:lineRule="exact"/>
        <w:ind w:firstLine="420" w:firstLineChars="200"/>
        <w:contextualSpacing/>
        <w:rPr>
          <w:szCs w:val="21"/>
        </w:rPr>
      </w:pPr>
      <w:r>
        <w:rPr>
          <w:rFonts w:hint="eastAsia"/>
          <w:szCs w:val="21"/>
        </w:rPr>
        <w:t>2、从业人员必须是经过政审合格的人员，政治立场坚定，有良好职业道德、身体健康、责任心强，必须做到恪尽职守，严格遵守工作制度，服从管理，对不称职的人员，采购人有权建议调换，对要求给予调换人员的，中标人应无条件配合。</w:t>
      </w:r>
    </w:p>
    <w:p>
      <w:pPr>
        <w:spacing w:line="400" w:lineRule="exact"/>
        <w:ind w:firstLine="420" w:firstLineChars="200"/>
        <w:contextualSpacing/>
        <w:rPr>
          <w:szCs w:val="21"/>
        </w:rPr>
      </w:pPr>
      <w:r>
        <w:rPr>
          <w:rFonts w:hint="eastAsia"/>
          <w:szCs w:val="21"/>
        </w:rPr>
        <w:t>3、工作人员允许在确定中标后进行配置，但必须在中标通知书发放后一个月内全部配置完毕。</w:t>
      </w:r>
    </w:p>
    <w:p>
      <w:pPr>
        <w:spacing w:line="400" w:lineRule="exact"/>
        <w:ind w:firstLine="420" w:firstLineChars="200"/>
        <w:contextualSpacing/>
        <w:rPr>
          <w:szCs w:val="21"/>
        </w:rPr>
      </w:pPr>
      <w:r>
        <w:rPr>
          <w:rFonts w:hint="eastAsia"/>
          <w:szCs w:val="21"/>
        </w:rPr>
        <w:t>4、合同执行过程中，中标人如需更换人员的，需提前一个月书面告知采购人并征得其同意。</w:t>
      </w:r>
    </w:p>
    <w:p>
      <w:pPr>
        <w:spacing w:line="400" w:lineRule="exact"/>
        <w:ind w:firstLine="420" w:firstLineChars="200"/>
        <w:contextualSpacing/>
        <w:rPr>
          <w:szCs w:val="21"/>
        </w:rPr>
      </w:pPr>
      <w:r>
        <w:rPr>
          <w:rFonts w:hint="eastAsia"/>
          <w:szCs w:val="21"/>
        </w:rPr>
        <w:t>5、如中标人未按招标文件上述要求及报价承诺履行合同的，一经发现采购人有权单方面解除合同，由此产生的一切责任与损失均由中标人自行承担。</w:t>
      </w:r>
    </w:p>
    <w:p>
      <w:pPr>
        <w:spacing w:line="400" w:lineRule="exact"/>
        <w:rPr>
          <w:rFonts w:ascii="宋体" w:hAnsi="宋体" w:cs="宋体"/>
          <w:b/>
          <w:bCs/>
          <w:szCs w:val="21"/>
        </w:rPr>
      </w:pPr>
      <w:r>
        <w:rPr>
          <w:rFonts w:hint="eastAsia" w:ascii="宋体" w:hAnsi="宋体" w:cs="宋体"/>
          <w:szCs w:val="21"/>
        </w:rPr>
        <w:t>二、</w:t>
      </w:r>
      <w:r>
        <w:rPr>
          <w:rFonts w:hint="eastAsia" w:ascii="宋体" w:hAnsi="宋体" w:cs="宋体"/>
          <w:b/>
          <w:bCs/>
          <w:szCs w:val="21"/>
        </w:rPr>
        <w:t>日常服务时间</w:t>
      </w:r>
    </w:p>
    <w:p>
      <w:pPr>
        <w:spacing w:line="400" w:lineRule="exact"/>
        <w:ind w:firstLine="420"/>
        <w:rPr>
          <w:rFonts w:ascii="宋体" w:hAnsi="宋体" w:cs="宋体"/>
          <w:szCs w:val="21"/>
        </w:rPr>
      </w:pPr>
      <w:r>
        <w:rPr>
          <w:rFonts w:hint="eastAsia" w:ascii="宋体" w:hAnsi="宋体" w:cs="宋体"/>
          <w:szCs w:val="21"/>
        </w:rPr>
        <w:t xml:space="preserve">工作时间为早上7:00-11：30、下午2:00-5:30 </w:t>
      </w:r>
      <w:r>
        <w:rPr>
          <w:rFonts w:hint="eastAsia" w:ascii="宋体" w:hAnsi="宋体" w:cs="宋体"/>
          <w:szCs w:val="21"/>
          <w:lang w:val="en-US" w:eastAsia="zh-CN"/>
        </w:rPr>
        <w:t xml:space="preserve"> </w:t>
      </w:r>
      <w:r>
        <w:rPr>
          <w:rFonts w:hint="eastAsia" w:ascii="宋体" w:hAnsi="宋体" w:cs="宋体"/>
          <w:szCs w:val="21"/>
        </w:rPr>
        <w:t>8小时制；单双休， 8天左右值一个晚班。其它细节由聘用单位具体安排</w:t>
      </w:r>
    </w:p>
    <w:p>
      <w:pPr>
        <w:spacing w:line="400" w:lineRule="exact"/>
        <w:rPr>
          <w:rFonts w:ascii="宋体" w:hAnsi="宋体" w:cs="宋体"/>
          <w:b/>
          <w:bCs/>
          <w:szCs w:val="21"/>
        </w:rPr>
      </w:pPr>
      <w:r>
        <w:rPr>
          <w:rFonts w:hint="eastAsia" w:ascii="宋体" w:hAnsi="宋体" w:cs="宋体"/>
          <w:b/>
          <w:bCs/>
          <w:szCs w:val="21"/>
        </w:rPr>
        <w:t>三、管理内容：</w:t>
      </w:r>
    </w:p>
    <w:p>
      <w:pPr>
        <w:spacing w:line="400" w:lineRule="exact"/>
        <w:ind w:firstLine="420" w:firstLineChars="200"/>
        <w:contextualSpacing/>
        <w:rPr>
          <w:szCs w:val="21"/>
        </w:rPr>
      </w:pPr>
      <w:r>
        <w:rPr>
          <w:rFonts w:hint="eastAsia"/>
          <w:szCs w:val="21"/>
        </w:rPr>
        <w:t>1、交通违法行为劝导，主要负责制止路口车辆、行人闯红灯和车辆越线停车；骑乘电动自行车未佩戴安全头盔；制止人力三轮车、板车、畜力车等禁行车辆走禁区；制止非机动车和行人在划有中心黄实线的路段横穿马路；制止车辆、行人不各行其道；制止燃油助力车上路行驶；制止路口或路段有效路面（指机动车和非机动车道）内违章停放的车辆；清理占道停车、“僵尸车”。</w:t>
      </w:r>
    </w:p>
    <w:p>
      <w:pPr>
        <w:spacing w:line="400" w:lineRule="exact"/>
        <w:ind w:firstLine="420" w:firstLineChars="200"/>
        <w:contextualSpacing/>
        <w:rPr>
          <w:szCs w:val="21"/>
        </w:rPr>
      </w:pPr>
      <w:r>
        <w:rPr>
          <w:rFonts w:hint="eastAsia"/>
          <w:szCs w:val="21"/>
        </w:rPr>
        <w:t>2、交通疏导，主要负责协助交警做好路面车辆、行人的交通疏导工作；及时制止货运车辆随意占道卸货或卸货影响正常交通秩序。</w:t>
      </w:r>
    </w:p>
    <w:p>
      <w:pPr>
        <w:spacing w:line="400" w:lineRule="exact"/>
        <w:ind w:firstLine="420" w:firstLineChars="200"/>
        <w:contextualSpacing/>
        <w:rPr>
          <w:szCs w:val="21"/>
        </w:rPr>
      </w:pPr>
      <w:r>
        <w:rPr>
          <w:rFonts w:hint="eastAsia"/>
          <w:szCs w:val="21"/>
        </w:rPr>
        <w:t>3、文明执勤，工作中做到文明执勤，礼貌待人，态度友善。</w:t>
      </w:r>
    </w:p>
    <w:p>
      <w:pPr>
        <w:spacing w:line="400" w:lineRule="exact"/>
        <w:ind w:firstLine="420" w:firstLineChars="200"/>
        <w:contextualSpacing/>
        <w:rPr>
          <w:szCs w:val="21"/>
        </w:rPr>
      </w:pPr>
      <w:r>
        <w:rPr>
          <w:rFonts w:hint="eastAsia"/>
          <w:szCs w:val="21"/>
        </w:rPr>
        <w:t>4、黑车管理，制止路面道路黑车的逗留。</w:t>
      </w:r>
    </w:p>
    <w:p>
      <w:pPr>
        <w:spacing w:line="400" w:lineRule="exact"/>
        <w:rPr>
          <w:b/>
          <w:szCs w:val="21"/>
        </w:rPr>
      </w:pPr>
      <w:r>
        <w:rPr>
          <w:rFonts w:hint="eastAsia"/>
          <w:b/>
          <w:szCs w:val="21"/>
        </w:rPr>
        <w:t>四、服务要求</w:t>
      </w:r>
    </w:p>
    <w:p>
      <w:pPr>
        <w:spacing w:line="400" w:lineRule="exact"/>
        <w:ind w:firstLine="420"/>
        <w:rPr>
          <w:rFonts w:ascii="宋体" w:hAnsi="宋体" w:cs="宋体"/>
          <w:szCs w:val="21"/>
        </w:rPr>
      </w:pPr>
      <w:r>
        <w:rPr>
          <w:rFonts w:hint="eastAsia" w:ascii="宋体" w:hAnsi="宋体" w:cs="宋体"/>
          <w:szCs w:val="21"/>
        </w:rPr>
        <w:t>队员应遵守以下纪律：</w:t>
      </w:r>
    </w:p>
    <w:p>
      <w:pPr>
        <w:spacing w:line="400" w:lineRule="exact"/>
        <w:ind w:firstLine="420"/>
        <w:rPr>
          <w:rFonts w:ascii="宋体" w:hAnsi="宋体" w:cs="宋体"/>
          <w:szCs w:val="21"/>
        </w:rPr>
      </w:pPr>
      <w:r>
        <w:rPr>
          <w:rFonts w:hint="eastAsia" w:ascii="宋体" w:hAnsi="宋体" w:cs="宋体"/>
          <w:szCs w:val="21"/>
        </w:rPr>
        <w:t>1、严格遵守党和国家的政策法令，遵守公民道德和各项规章制度，依法办事，秉公办事；</w:t>
      </w:r>
    </w:p>
    <w:p>
      <w:pPr>
        <w:spacing w:line="400" w:lineRule="exact"/>
        <w:ind w:firstLine="420"/>
        <w:rPr>
          <w:rFonts w:ascii="宋体" w:hAnsi="宋体" w:cs="宋体"/>
          <w:szCs w:val="21"/>
        </w:rPr>
      </w:pPr>
      <w:r>
        <w:rPr>
          <w:rFonts w:hint="eastAsia" w:ascii="宋体" w:hAnsi="宋体" w:cs="宋体"/>
          <w:szCs w:val="21"/>
        </w:rPr>
        <w:t>2、爱岗敬业，吃苦耐劳，认真负责，服从命令，听从指挥，忠于职守；</w:t>
      </w:r>
    </w:p>
    <w:p>
      <w:pPr>
        <w:spacing w:line="400" w:lineRule="exact"/>
        <w:ind w:firstLine="420"/>
        <w:rPr>
          <w:rFonts w:ascii="宋体" w:hAnsi="宋体" w:cs="宋体"/>
          <w:szCs w:val="21"/>
        </w:rPr>
      </w:pPr>
      <w:r>
        <w:rPr>
          <w:rFonts w:hint="eastAsia" w:ascii="宋体" w:hAnsi="宋体" w:cs="宋体"/>
          <w:szCs w:val="21"/>
        </w:rPr>
        <w:t>3、按规定着装，讲究仪表，文明执勤，礼貌待人，谦虚谨慎，接受监督；</w:t>
      </w:r>
    </w:p>
    <w:p>
      <w:pPr>
        <w:spacing w:line="400" w:lineRule="exact"/>
        <w:ind w:firstLine="420"/>
        <w:rPr>
          <w:rFonts w:ascii="宋体" w:hAnsi="宋体" w:cs="宋体"/>
          <w:szCs w:val="21"/>
        </w:rPr>
      </w:pPr>
      <w:r>
        <w:rPr>
          <w:rFonts w:hint="eastAsia" w:ascii="宋体" w:hAnsi="宋体" w:cs="宋体"/>
          <w:szCs w:val="21"/>
        </w:rPr>
        <w:t>4、不准以权谋私、假公济私、贪脏杜法、包庇坏人：不准白吃白占白拿，侵犯群众利益；</w:t>
      </w:r>
    </w:p>
    <w:p>
      <w:pPr>
        <w:spacing w:line="400" w:lineRule="exact"/>
        <w:ind w:firstLine="420"/>
        <w:rPr>
          <w:rFonts w:ascii="宋体" w:hAnsi="宋体" w:cs="宋体"/>
          <w:szCs w:val="21"/>
        </w:rPr>
      </w:pPr>
      <w:r>
        <w:rPr>
          <w:rFonts w:hint="eastAsia" w:ascii="宋体" w:hAnsi="宋体" w:cs="宋体"/>
          <w:szCs w:val="21"/>
        </w:rPr>
        <w:t>5、不准打人、骂人、体罚人；不准虚报假报或隐情不报；</w:t>
      </w:r>
    </w:p>
    <w:p>
      <w:pPr>
        <w:spacing w:line="400" w:lineRule="exact"/>
        <w:ind w:firstLine="420"/>
        <w:rPr>
          <w:szCs w:val="21"/>
        </w:rPr>
      </w:pPr>
      <w:r>
        <w:rPr>
          <w:rFonts w:hint="eastAsia" w:ascii="宋体" w:hAnsi="宋体" w:cs="宋体"/>
          <w:szCs w:val="21"/>
        </w:rPr>
        <w:t>6、严守保密规定，不该问的不问，不该说的不说，不该看的不看，不该传的不传。</w:t>
      </w:r>
    </w:p>
    <w:p>
      <w:pPr>
        <w:spacing w:line="400" w:lineRule="exact"/>
        <w:rPr>
          <w:szCs w:val="21"/>
        </w:rPr>
      </w:pPr>
    </w:p>
    <w:p>
      <w:pPr>
        <w:spacing w:line="400" w:lineRule="exact"/>
        <w:rPr>
          <w:rFonts w:hint="eastAsia"/>
          <w:b/>
          <w:szCs w:val="21"/>
        </w:rPr>
      </w:pPr>
      <w:r>
        <w:rPr>
          <w:rFonts w:hint="eastAsia"/>
          <w:b/>
          <w:szCs w:val="21"/>
        </w:rPr>
        <w:t>六、考核制度</w:t>
      </w:r>
    </w:p>
    <w:p>
      <w:pPr>
        <w:spacing w:line="400" w:lineRule="exact"/>
        <w:ind w:firstLine="420"/>
        <w:rPr>
          <w:rFonts w:hint="eastAsia"/>
          <w:szCs w:val="21"/>
        </w:rPr>
      </w:pPr>
      <w:r>
        <w:rPr>
          <w:rFonts w:hint="eastAsia"/>
          <w:szCs w:val="21"/>
        </w:rPr>
        <w:t>交通管理人员的考核由采购单位制定具体考核办法（详见附件），并组织实施。</w:t>
      </w:r>
    </w:p>
    <w:p>
      <w:pPr>
        <w:spacing w:line="400" w:lineRule="exact"/>
        <w:ind w:firstLine="420"/>
        <w:rPr>
          <w:rFonts w:hint="eastAsia"/>
          <w:szCs w:val="21"/>
        </w:rPr>
      </w:pPr>
      <w:r>
        <w:rPr>
          <w:rFonts w:hint="eastAsia"/>
          <w:szCs w:val="21"/>
        </w:rPr>
        <w:t>交通管理人员应遵守采购单位各项工作制度和执法要求，对违反工作制度引起的后果承担责任。采购单位根据交通管理人员工作表现，可以向中标单位提出更换交通管理人员要求，中标单位应要求安排符合上岗条件的人员接替；中标单位需要变动人员的，须提前一个月告知采购单位。</w:t>
      </w:r>
    </w:p>
    <w:p>
      <w:pPr>
        <w:spacing w:line="400" w:lineRule="exact"/>
        <w:ind w:firstLine="420"/>
        <w:rPr>
          <w:rFonts w:hint="eastAsia" w:ascii="宋体" w:hAnsi="宋体" w:cs="宋体"/>
          <w:color w:val="auto"/>
          <w:sz w:val="21"/>
          <w:szCs w:val="21"/>
        </w:rPr>
      </w:pPr>
      <w:r>
        <w:rPr>
          <w:rFonts w:hint="eastAsia"/>
          <w:szCs w:val="21"/>
        </w:rPr>
        <w:t>采购人将进行随即抽查，每月服务费与该月考评结果挂钩：综合考核分在90分以上（含90分）的为“好”，综合考核分在70（含）~90分（不含）的为 “良”，综合考核分在60（含）~70分（不含）的为“合格”，要求乙方进行整改，如第二个月未改进，甲方有权扣除相应的部分管理费，综合考核分在60分（不含）以下的为“不合格”，要求乙方进行整改，如第二个月未改进，甲方有权扣除相应的部分管理费，如连续或累计三个月考核为“不合格”，采购人有权单方解除合同并不予拨付任何费用，由此产生的后果由中标人自行承担。</w:t>
      </w:r>
    </w:p>
    <w:p>
      <w:pPr>
        <w:spacing w:line="400" w:lineRule="exact"/>
        <w:ind w:firstLine="422" w:firstLineChars="200"/>
        <w:rPr>
          <w:rFonts w:hint="eastAsia"/>
          <w:b/>
          <w:color w:val="auto"/>
          <w:sz w:val="21"/>
          <w:szCs w:val="21"/>
        </w:rPr>
      </w:pPr>
      <w:r>
        <w:rPr>
          <w:rFonts w:hint="eastAsia"/>
          <w:b/>
          <w:color w:val="auto"/>
          <w:sz w:val="21"/>
          <w:szCs w:val="21"/>
        </w:rPr>
        <w:t>七、其他说明</w:t>
      </w:r>
    </w:p>
    <w:p>
      <w:pPr>
        <w:spacing w:line="400" w:lineRule="exact"/>
        <w:ind w:firstLine="420"/>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政府采购合同履行过程中，若遇社会保障保险缴费基数上调，经采购人同意结合财政审批情况，予以调整合同金额或者招标方需增加合同标的相同服务的，在不改变合同其他条款的前提下，与中标方协商签订补充合同，但所有补充合同的采购金额不得超过原合同采购金额的10%。</w:t>
      </w:r>
    </w:p>
    <w:p>
      <w:pPr>
        <w:spacing w:line="400" w:lineRule="exact"/>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.招标方根据中标方实际服务质量，认为按招标文件人员配置仍不能达到招标文件中采购质量要求的，招标方有权要求中标方增派人员以确保服务质量，但不得增加费用。</w:t>
      </w:r>
    </w:p>
    <w:p>
      <w:pPr>
        <w:spacing w:line="400" w:lineRule="exact"/>
        <w:ind w:firstLine="420"/>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.中标方的工作人员在服务过程中，因工作失职造成的损失，由中标方全责承担。</w:t>
      </w:r>
    </w:p>
    <w:p>
      <w:pPr>
        <w:spacing w:line="400" w:lineRule="exact"/>
        <w:ind w:firstLine="420"/>
        <w:rPr>
          <w:rFonts w:hint="eastAsia"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.因中标方所派遣的服务人员因纪律松懈、工作不力或其他不能胜任的原因，采购单位提出要求更换辅勤人员的，中标方须在3日之内无条件更换到位。</w:t>
      </w:r>
    </w:p>
    <w:p>
      <w:pPr>
        <w:spacing w:line="400" w:lineRule="exact"/>
        <w:ind w:firstLine="420" w:firstLineChars="200"/>
        <w:contextualSpacing/>
        <w:rPr>
          <w:rFonts w:hint="eastAsia"/>
          <w:color w:val="auto"/>
          <w:sz w:val="21"/>
          <w:szCs w:val="21"/>
        </w:rPr>
      </w:pPr>
      <w:r>
        <w:rPr>
          <w:rFonts w:hint="eastAsia"/>
          <w:color w:val="auto"/>
          <w:sz w:val="21"/>
          <w:szCs w:val="21"/>
        </w:rPr>
        <w:t>5、中标人必须为每位符合国家规定社保（基本养老、基本医疗、工伤、生育、失业保险）条件的职工参加保险，并对所有符合参加人身意外伤害保险条件的人员统一进行参保（社会保险参保人员除外）。如发生安全生产责任事故或交通事故或其他劳动纠纷，由中标人承担一切责任及损失。</w:t>
      </w:r>
    </w:p>
    <w:p>
      <w:pPr>
        <w:spacing w:line="400" w:lineRule="exact"/>
        <w:ind w:firstLine="420" w:firstLineChars="200"/>
        <w:contextualSpacing/>
        <w:rPr>
          <w:rFonts w:hint="eastAsia"/>
          <w:color w:val="auto"/>
          <w:sz w:val="21"/>
          <w:szCs w:val="21"/>
        </w:rPr>
      </w:pPr>
      <w:r>
        <w:rPr>
          <w:rFonts w:hint="eastAsia"/>
          <w:color w:val="auto"/>
          <w:sz w:val="21"/>
          <w:szCs w:val="21"/>
        </w:rPr>
        <w:t>6、中标人应根据服务区域范围实际情况拟定服务工作方案，符合市城管执法部门要求的工作时间和工作量，经报采购人审核同意后落实。</w:t>
      </w:r>
    </w:p>
    <w:p>
      <w:pPr>
        <w:spacing w:line="400" w:lineRule="exact"/>
        <w:ind w:firstLine="420" w:firstLineChars="200"/>
        <w:contextualSpacing/>
        <w:rPr>
          <w:rFonts w:hint="eastAsia"/>
          <w:color w:val="auto"/>
          <w:sz w:val="21"/>
          <w:szCs w:val="21"/>
        </w:rPr>
      </w:pPr>
      <w:r>
        <w:rPr>
          <w:rFonts w:hint="eastAsia"/>
          <w:color w:val="auto"/>
          <w:sz w:val="21"/>
          <w:szCs w:val="21"/>
        </w:rPr>
        <w:t>7、若遇如突击检查、应急抢险、上级部门考核、各类创建活动等特殊情况，中标人须无条件做好服务范围内的相关工作，服从采购人指挥，增加人员或加班加点（不另行向采购人收费）。</w:t>
      </w:r>
    </w:p>
    <w:p>
      <w:pPr>
        <w:spacing w:line="400" w:lineRule="exact"/>
        <w:ind w:firstLine="420" w:firstLineChars="200"/>
        <w:contextualSpacing/>
        <w:jc w:val="left"/>
        <w:rPr>
          <w:rFonts w:hint="eastAsia"/>
          <w:color w:val="auto"/>
          <w:sz w:val="21"/>
          <w:szCs w:val="21"/>
        </w:rPr>
      </w:pPr>
      <w:r>
        <w:rPr>
          <w:rFonts w:hint="eastAsia"/>
          <w:color w:val="auto"/>
          <w:sz w:val="21"/>
          <w:szCs w:val="21"/>
        </w:rPr>
        <w:t>8、中标人应定期向采购人上报阶段性工作计划，建立各类工作台账，实施制度化、规划化管理；定期组织开展业务培训，不断提高服务质量和人员素质，树立良好企业形象。中标人应建立健全安全生产管理制度，服从采购人及相关行政管理部门的管理。</w:t>
      </w:r>
    </w:p>
    <w:p>
      <w:pPr>
        <w:spacing w:line="400" w:lineRule="exact"/>
        <w:ind w:firstLine="420" w:firstLineChars="200"/>
        <w:contextualSpacing/>
        <w:jc w:val="left"/>
        <w:rPr>
          <w:color w:val="auto"/>
          <w:szCs w:val="22"/>
        </w:rPr>
      </w:pPr>
      <w:r>
        <w:rPr>
          <w:rFonts w:hint="eastAsia"/>
          <w:color w:val="auto"/>
          <w:szCs w:val="22"/>
        </w:rPr>
        <w:t>9、中标人免费提供2次集中整治和2次拆违辅助工作。</w:t>
      </w:r>
    </w:p>
    <w:p>
      <w:pPr>
        <w:spacing w:line="400" w:lineRule="exact"/>
        <w:ind w:firstLine="420" w:firstLineChars="200"/>
        <w:contextualSpacing/>
        <w:jc w:val="left"/>
        <w:rPr>
          <w:rFonts w:hint="eastAsia"/>
          <w:color w:val="auto"/>
          <w:szCs w:val="22"/>
        </w:rPr>
      </w:pPr>
      <w:r>
        <w:rPr>
          <w:rFonts w:hint="eastAsia"/>
          <w:color w:val="auto"/>
          <w:szCs w:val="22"/>
        </w:rPr>
        <w:t>10、中标人在合同期内不得以任何理由进行转包或分包，否则应承担违约责任。</w:t>
      </w:r>
    </w:p>
    <w:p>
      <w:pPr>
        <w:pStyle w:val="2"/>
        <w:rPr>
          <w:rFonts w:hint="eastAsia"/>
        </w:rPr>
      </w:pPr>
      <w:r>
        <w:rPr>
          <w:rFonts w:hint="eastAsia"/>
          <w:color w:val="auto"/>
          <w:szCs w:val="22"/>
        </w:rPr>
        <w:br w:type="page"/>
      </w:r>
    </w:p>
    <w:tbl>
      <w:tblPr>
        <w:tblStyle w:val="45"/>
        <w:tblW w:w="9920" w:type="dxa"/>
        <w:tblInd w:w="-176" w:type="dxa"/>
        <w:tblLayout w:type="fixed"/>
        <w:tblCellMar>
          <w:top w:w="0" w:type="dxa"/>
          <w:left w:w="108" w:type="dxa"/>
          <w:bottom w:w="0" w:type="dxa"/>
          <w:right w:w="108" w:type="dxa"/>
        </w:tblCellMar>
      </w:tblPr>
      <w:tblGrid>
        <w:gridCol w:w="487"/>
        <w:gridCol w:w="485"/>
        <w:gridCol w:w="3201"/>
        <w:gridCol w:w="2947"/>
        <w:gridCol w:w="825"/>
        <w:gridCol w:w="653"/>
        <w:gridCol w:w="611"/>
        <w:gridCol w:w="711"/>
      </w:tblGrid>
      <w:tr>
        <w:tblPrEx>
          <w:tblCellMar>
            <w:top w:w="0" w:type="dxa"/>
            <w:left w:w="108" w:type="dxa"/>
            <w:bottom w:w="0" w:type="dxa"/>
            <w:right w:w="108" w:type="dxa"/>
          </w:tblCellMar>
        </w:tblPrEx>
        <w:trPr>
          <w:trHeight w:val="482" w:hRule="atLeast"/>
        </w:trPr>
        <w:tc>
          <w:tcPr>
            <w:tcW w:w="9920" w:type="dxa"/>
            <w:gridSpan w:val="8"/>
            <w:tcBorders>
              <w:top w:val="nil"/>
              <w:left w:val="nil"/>
              <w:bottom w:val="nil"/>
              <w:right w:val="nil"/>
            </w:tcBorders>
            <w:noWrap/>
            <w:vAlign w:val="bottom"/>
          </w:tcPr>
          <w:p>
            <w:pPr>
              <w:widowControl/>
              <w:jc w:val="left"/>
              <w:rPr>
                <w:rFonts w:hint="eastAsia" w:ascii="宋体" w:hAnsi="宋体" w:cs="宋体"/>
                <w:b/>
                <w:bCs/>
                <w:color w:val="000000"/>
                <w:kern w:val="0"/>
                <w:sz w:val="18"/>
                <w:szCs w:val="20"/>
              </w:rPr>
            </w:pPr>
            <w:r>
              <w:rPr>
                <w:rFonts w:hint="eastAsia" w:ascii="宋体" w:hAnsi="宋体" w:cs="宋体"/>
                <w:color w:val="000000"/>
                <w:sz w:val="18"/>
                <w:szCs w:val="20"/>
              </w:rPr>
              <w:t>附表：</w:t>
            </w:r>
            <w:r>
              <w:rPr>
                <w:rFonts w:hint="eastAsia" w:ascii="宋体" w:hAnsi="宋体" w:cs="宋体"/>
                <w:b/>
                <w:color w:val="000000"/>
                <w:sz w:val="18"/>
                <w:szCs w:val="20"/>
              </w:rPr>
              <w:t xml:space="preserve">                                              </w:t>
            </w:r>
            <w:r>
              <w:rPr>
                <w:rFonts w:hint="eastAsia" w:ascii="宋体" w:hAnsi="宋体" w:cs="宋体"/>
                <w:b/>
                <w:bCs/>
                <w:color w:val="000000"/>
                <w:kern w:val="0"/>
                <w:sz w:val="21"/>
                <w:szCs w:val="22"/>
              </w:rPr>
              <w:t>交通管理人员考核表</w:t>
            </w:r>
          </w:p>
        </w:tc>
      </w:tr>
      <w:tr>
        <w:tblPrEx>
          <w:tblCellMar>
            <w:top w:w="0" w:type="dxa"/>
            <w:left w:w="108" w:type="dxa"/>
            <w:bottom w:w="0" w:type="dxa"/>
            <w:right w:w="108" w:type="dxa"/>
          </w:tblCellMar>
        </w:tblPrEx>
        <w:trPr>
          <w:trHeight w:val="397" w:hRule="atLeast"/>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序号</w:t>
            </w: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考核项目</w:t>
            </w:r>
          </w:p>
        </w:tc>
        <w:tc>
          <w:tcPr>
            <w:tcW w:w="32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考核内容</w:t>
            </w:r>
          </w:p>
        </w:tc>
        <w:tc>
          <w:tcPr>
            <w:tcW w:w="29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评分标准</w:t>
            </w:r>
          </w:p>
        </w:tc>
        <w:tc>
          <w:tcPr>
            <w:tcW w:w="280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扣分明细</w:t>
            </w:r>
          </w:p>
        </w:tc>
      </w:tr>
      <w:tr>
        <w:tblPrEx>
          <w:tblCellMar>
            <w:top w:w="0" w:type="dxa"/>
            <w:left w:w="108" w:type="dxa"/>
            <w:bottom w:w="0" w:type="dxa"/>
            <w:right w:w="108" w:type="dxa"/>
          </w:tblCellMar>
        </w:tblPrEx>
        <w:trPr>
          <w:trHeight w:val="318" w:hRule="atLeast"/>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20"/>
              </w:rPr>
            </w:pPr>
          </w:p>
        </w:tc>
        <w:tc>
          <w:tcPr>
            <w:tcW w:w="32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20"/>
              </w:rPr>
            </w:pPr>
          </w:p>
        </w:tc>
        <w:tc>
          <w:tcPr>
            <w:tcW w:w="29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20"/>
              </w:rPr>
            </w:pP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20"/>
              </w:rPr>
            </w:pPr>
            <w:r>
              <w:rPr>
                <w:rFonts w:hint="eastAsia" w:ascii="宋体" w:hAnsi="宋体" w:cs="宋体"/>
                <w:color w:val="000000"/>
                <w:kern w:val="0"/>
                <w:sz w:val="18"/>
                <w:szCs w:val="20"/>
              </w:rPr>
              <w:t>合计</w:t>
            </w:r>
          </w:p>
        </w:tc>
      </w:tr>
      <w:tr>
        <w:tblPrEx>
          <w:tblCellMar>
            <w:top w:w="0" w:type="dxa"/>
            <w:left w:w="108" w:type="dxa"/>
            <w:bottom w:w="0" w:type="dxa"/>
            <w:right w:w="108" w:type="dxa"/>
          </w:tblCellMar>
        </w:tblPrEx>
        <w:trPr>
          <w:trHeight w:val="568" w:hRule="atLeast"/>
        </w:trPr>
        <w:tc>
          <w:tcPr>
            <w:tcW w:w="48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1</w:t>
            </w:r>
          </w:p>
        </w:tc>
        <w:tc>
          <w:tcPr>
            <w:tcW w:w="48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在岗履职</w:t>
            </w: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在岗人数和工作时间不得少于规定要求；</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在岗人数不足或未达到规定工作时间的，每人次扣0.5分。</w:t>
            </w: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46" w:hRule="atLeast"/>
        </w:trPr>
        <w:tc>
          <w:tcPr>
            <w:tcW w:w="48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2</w:t>
            </w:r>
          </w:p>
        </w:tc>
        <w:tc>
          <w:tcPr>
            <w:tcW w:w="48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组织机构</w:t>
            </w: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公司组织架构完整合理；各级职责分工明确；人员配备符合要求，科学合理；</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不符合要求的，每人次扣0.5分。</w:t>
            </w: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76" w:hRule="atLeast"/>
        </w:trPr>
        <w:tc>
          <w:tcPr>
            <w:tcW w:w="48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3</w:t>
            </w:r>
          </w:p>
        </w:tc>
        <w:tc>
          <w:tcPr>
            <w:tcW w:w="48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纪律制度</w:t>
            </w: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各项制度规范，培训教育到位，积极参加会议、活动；</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各项制度内容不规范，宣传教育不到位的，每人次扣0.5分；缺席会议、活动的，每人次扣0.2分。</w:t>
            </w: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46" w:hRule="atLeast"/>
        </w:trPr>
        <w:tc>
          <w:tcPr>
            <w:tcW w:w="487"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4</w:t>
            </w:r>
          </w:p>
        </w:tc>
        <w:tc>
          <w:tcPr>
            <w:tcW w:w="485"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交通违法行为劝导</w:t>
            </w: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制止路口车辆、行人闯红灯、骑乘电动自行车未佩戴头盔，行人不走人行横道和车辆越线停车等重点违法行为；</w:t>
            </w:r>
          </w:p>
        </w:tc>
        <w:tc>
          <w:tcPr>
            <w:tcW w:w="2947"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机动车、非机动车、行人守法率达到85%的得满分，每少1个百分点（不足1个百分点的按1个百分点计算，扣0.5分，依次扣分</w:t>
            </w: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568"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制止非机动车带人、电瓶三轮车闯禁区；</w:t>
            </w:r>
          </w:p>
        </w:tc>
        <w:tc>
          <w:tcPr>
            <w:tcW w:w="294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568"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制止行人在未施划人行横道线的路段横穿马路；</w:t>
            </w:r>
          </w:p>
        </w:tc>
        <w:tc>
          <w:tcPr>
            <w:tcW w:w="294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318"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制止车辆、行人不各行其道；</w:t>
            </w:r>
          </w:p>
        </w:tc>
        <w:tc>
          <w:tcPr>
            <w:tcW w:w="294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46"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制止路口或路段车行道（指机动车和非机动车道）内违法停放的车辆</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车行道有违停的按每1辆扣0.2分，依次扣分。</w:t>
            </w: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318" w:hRule="atLeast"/>
        </w:trPr>
        <w:tc>
          <w:tcPr>
            <w:tcW w:w="48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cs="宋体"/>
                <w:color w:val="000000"/>
                <w:kern w:val="0"/>
                <w:sz w:val="18"/>
                <w:szCs w:val="20"/>
              </w:rPr>
            </w:pP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制止燃油助力车上道路行驶。</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发现一辆上路行驶的扣0.5分，扣完为止</w:t>
            </w:r>
          </w:p>
        </w:tc>
        <w:tc>
          <w:tcPr>
            <w:tcW w:w="82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46" w:hRule="atLeast"/>
        </w:trPr>
        <w:tc>
          <w:tcPr>
            <w:tcW w:w="48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5</w:t>
            </w:r>
          </w:p>
        </w:tc>
        <w:tc>
          <w:tcPr>
            <w:tcW w:w="485"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交通疏导</w:t>
            </w: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协助交警做好路面车辆、行人的交通疏导工作</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责任区域有明显交通拥堵或交通事故发生时，不及时报告、疏导或处置的，发现一起扣0.5分，扣完为止</w:t>
            </w:r>
          </w:p>
        </w:tc>
        <w:tc>
          <w:tcPr>
            <w:tcW w:w="825"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56" w:hRule="atLeast"/>
        </w:trPr>
        <w:tc>
          <w:tcPr>
            <w:tcW w:w="487"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6</w:t>
            </w:r>
          </w:p>
        </w:tc>
        <w:tc>
          <w:tcPr>
            <w:tcW w:w="485" w:type="dxa"/>
            <w:tcBorders>
              <w:top w:val="nil"/>
              <w:left w:val="nil"/>
              <w:bottom w:val="single" w:color="auto" w:sz="4" w:space="0"/>
              <w:right w:val="single" w:color="auto" w:sz="4" w:space="0"/>
            </w:tcBorders>
            <w:noWrap/>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文明执勤</w:t>
            </w:r>
          </w:p>
        </w:tc>
        <w:tc>
          <w:tcPr>
            <w:tcW w:w="3201"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工作中做到文明执勤，礼貌待人，态度友善</w:t>
            </w:r>
          </w:p>
        </w:tc>
        <w:tc>
          <w:tcPr>
            <w:tcW w:w="294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000000"/>
                <w:kern w:val="0"/>
                <w:sz w:val="18"/>
                <w:szCs w:val="20"/>
              </w:rPr>
            </w:pPr>
            <w:r>
              <w:rPr>
                <w:rFonts w:hint="eastAsia" w:ascii="宋体" w:hAnsi="宋体" w:cs="宋体"/>
                <w:color w:val="000000"/>
                <w:kern w:val="0"/>
                <w:sz w:val="18"/>
                <w:szCs w:val="20"/>
              </w:rPr>
              <w:t>工作中与违章者发生冲突和纠纷，未及时通知交警部门而影响交通秩序和工作正常进行的，发现一起扣0.5分，扣完为止</w:t>
            </w:r>
          </w:p>
        </w:tc>
        <w:tc>
          <w:tcPr>
            <w:tcW w:w="825"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53"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611"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c>
          <w:tcPr>
            <w:tcW w:w="711" w:type="dxa"/>
            <w:tcBorders>
              <w:top w:val="nil"/>
              <w:left w:val="nil"/>
              <w:bottom w:val="single" w:color="auto" w:sz="4" w:space="0"/>
              <w:right w:val="single" w:color="auto" w:sz="4" w:space="0"/>
            </w:tcBorders>
            <w:noWrap/>
            <w:vAlign w:val="bottom"/>
          </w:tcPr>
          <w:p>
            <w:pPr>
              <w:widowControl/>
              <w:spacing w:line="260" w:lineRule="exact"/>
              <w:jc w:val="left"/>
              <w:rPr>
                <w:rFonts w:hint="eastAsia" w:ascii="宋体" w:hAnsi="宋体" w:cs="宋体"/>
                <w:color w:val="000000"/>
                <w:kern w:val="0"/>
                <w:sz w:val="18"/>
                <w:szCs w:val="20"/>
              </w:rPr>
            </w:pPr>
            <w:r>
              <w:rPr>
                <w:rFonts w:hint="eastAsia" w:ascii="宋体" w:hAnsi="宋体" w:cs="宋体"/>
                <w:color w:val="000000"/>
                <w:kern w:val="0"/>
                <w:sz w:val="18"/>
                <w:szCs w:val="20"/>
              </w:rPr>
              <w:t>　</w:t>
            </w:r>
          </w:p>
        </w:tc>
      </w:tr>
    </w:tbl>
    <w:p>
      <w:pPr>
        <w:spacing w:line="400" w:lineRule="exact"/>
        <w:rPr>
          <w:rFonts w:hint="eastAsia" w:ascii="宋体" w:hAnsi="宋体" w:cs="宋体"/>
          <w:b/>
          <w:bCs/>
          <w:color w:val="auto"/>
          <w:szCs w:val="21"/>
          <w:highlight w:val="none"/>
        </w:rPr>
      </w:pPr>
    </w:p>
    <w:bookmarkEnd w:id="37"/>
    <w:p>
      <w:pPr>
        <w:pStyle w:val="246"/>
        <w:ind w:left="0"/>
        <w:rPr>
          <w:color w:val="auto"/>
          <w:highlight w:val="none"/>
        </w:rPr>
      </w:pPr>
      <w:r>
        <w:rPr>
          <w:color w:val="auto"/>
          <w:highlight w:val="none"/>
        </w:rPr>
        <w:br w:type="page"/>
      </w:r>
    </w:p>
    <w:p>
      <w:pPr>
        <w:spacing w:line="400" w:lineRule="exact"/>
        <w:jc w:val="center"/>
        <w:outlineLvl w:val="0"/>
        <w:rPr>
          <w:rFonts w:hint="eastAsia" w:ascii="宋体" w:hAnsi="宋体"/>
          <w:b/>
          <w:color w:val="auto"/>
          <w:sz w:val="32"/>
          <w:highlight w:val="none"/>
        </w:rPr>
      </w:pPr>
      <w:bookmarkStart w:id="38" w:name="_Toc5712"/>
      <w:r>
        <w:rPr>
          <w:rFonts w:hint="eastAsia" w:ascii="宋体" w:hAnsi="宋体"/>
          <w:b/>
          <w:color w:val="auto"/>
          <w:sz w:val="32"/>
          <w:highlight w:val="none"/>
        </w:rPr>
        <w:t>第六章  商务条款</w:t>
      </w:r>
      <w:bookmarkEnd w:id="38"/>
    </w:p>
    <w:p>
      <w:pPr>
        <w:ind w:right="-199" w:rightChars="-95" w:firstLine="420"/>
        <w:jc w:val="left"/>
        <w:rPr>
          <w:rFonts w:hint="eastAsia" w:ascii="宋体" w:hAnsi="宋体" w:cs="宋体"/>
          <w:color w:val="auto"/>
          <w:szCs w:val="21"/>
          <w:highlight w:val="none"/>
        </w:rPr>
      </w:pPr>
      <w:r>
        <w:rPr>
          <w:rFonts w:hint="eastAsia" w:ascii="宋体" w:hAnsi="宋体" w:cs="仿宋_GB2312"/>
          <w:b/>
          <w:color w:val="auto"/>
          <w:spacing w:val="-2"/>
          <w:szCs w:val="21"/>
          <w:highlight w:val="none"/>
        </w:rPr>
        <w:t>★</w:t>
      </w:r>
      <w:r>
        <w:rPr>
          <w:rFonts w:hint="eastAsia" w:ascii="宋体" w:hAnsi="宋体" w:cs="仿宋_GB2312"/>
          <w:b/>
          <w:color w:val="auto"/>
          <w:szCs w:val="21"/>
          <w:highlight w:val="none"/>
        </w:rPr>
        <w:t>一、合同付款：</w:t>
      </w:r>
      <w:bookmarkStart w:id="39" w:name="_Hlk10544900"/>
    </w:p>
    <w:p>
      <w:pPr>
        <w:spacing w:line="440" w:lineRule="exact"/>
        <w:ind w:firstLine="420" w:firstLineChars="200"/>
        <w:rPr>
          <w:rFonts w:hint="eastAsia"/>
          <w:color w:val="auto"/>
          <w:highlight w:val="none"/>
        </w:rPr>
      </w:pPr>
      <w:r>
        <w:rPr>
          <w:rFonts w:hint="eastAsia" w:ascii="宋体" w:hAnsi="宋体" w:cs="宋体"/>
          <w:color w:val="auto"/>
          <w:szCs w:val="21"/>
          <w:highlight w:val="none"/>
        </w:rPr>
        <w:t>付款方式：</w:t>
      </w:r>
      <w:r>
        <w:rPr>
          <w:rFonts w:hint="eastAsia" w:ascii="宋体" w:hAnsi="宋体" w:eastAsia="宋体" w:cs="Times New Roman"/>
          <w:color w:val="auto"/>
          <w:szCs w:val="21"/>
          <w:highlight w:val="none"/>
        </w:rPr>
        <w:t>每服务完成一个</w:t>
      </w:r>
      <w:r>
        <w:rPr>
          <w:rFonts w:hint="eastAsia" w:ascii="宋体" w:hAnsi="宋体" w:eastAsia="宋体" w:cs="Times New Roman"/>
          <w:color w:val="auto"/>
          <w:szCs w:val="21"/>
          <w:highlight w:val="none"/>
          <w:lang w:val="en-US" w:eastAsia="zh-CN"/>
        </w:rPr>
        <w:t>月</w:t>
      </w:r>
      <w:r>
        <w:rPr>
          <w:rFonts w:hint="eastAsia" w:ascii="宋体" w:hAnsi="宋体" w:eastAsia="宋体" w:cs="Times New Roman"/>
          <w:color w:val="auto"/>
          <w:szCs w:val="21"/>
          <w:highlight w:val="none"/>
        </w:rPr>
        <w:t>后支付合同价的</w:t>
      </w:r>
      <w:r>
        <w:rPr>
          <w:rFonts w:hint="eastAsia" w:ascii="宋体" w:hAnsi="宋体" w:eastAsia="宋体" w:cs="Times New Roman"/>
          <w:color w:val="auto"/>
          <w:szCs w:val="21"/>
          <w:highlight w:val="none"/>
          <w:lang w:val="en-US" w:eastAsia="zh-CN"/>
        </w:rPr>
        <w:t>1/12</w:t>
      </w:r>
      <w:r>
        <w:rPr>
          <w:rFonts w:hint="eastAsia" w:ascii="宋体" w:hAnsi="宋体" w:eastAsia="宋体" w:cs="Times New Roman"/>
          <w:color w:val="auto"/>
          <w:szCs w:val="21"/>
          <w:highlight w:val="none"/>
        </w:rPr>
        <w:t>，服务期满后按实结清余款，费用支付前根据考核情况扣除应扣款，</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rPr>
        <w:t>收到相关发票后</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个工作日内支付。</w:t>
      </w:r>
    </w:p>
    <w:bookmarkEnd w:id="39"/>
    <w:p>
      <w:pPr>
        <w:spacing w:line="440" w:lineRule="exact"/>
        <w:ind w:firstLine="414"/>
        <w:rPr>
          <w:rFonts w:hint="eastAsia" w:ascii="宋体" w:hAnsi="宋体" w:cs="仿宋_GB2312"/>
          <w:b/>
          <w:color w:val="auto"/>
          <w:szCs w:val="21"/>
          <w:highlight w:val="none"/>
        </w:rPr>
      </w:pPr>
      <w:r>
        <w:rPr>
          <w:rFonts w:hint="eastAsia" w:ascii="宋体" w:hAnsi="宋体" w:cs="仿宋_GB2312"/>
          <w:b/>
          <w:color w:val="auto"/>
          <w:spacing w:val="-2"/>
          <w:szCs w:val="21"/>
          <w:highlight w:val="none"/>
        </w:rPr>
        <w:t>★</w:t>
      </w:r>
      <w:r>
        <w:rPr>
          <w:rFonts w:hint="eastAsia" w:ascii="宋体" w:hAnsi="宋体" w:cs="仿宋_GB2312"/>
          <w:b/>
          <w:color w:val="auto"/>
          <w:szCs w:val="21"/>
          <w:highlight w:val="none"/>
        </w:rPr>
        <w:t>二、履约保证：</w:t>
      </w:r>
      <w:r>
        <w:rPr>
          <w:rFonts w:hint="eastAsia" w:ascii="宋体" w:hAnsi="宋体" w:cs="宋体"/>
          <w:color w:val="auto"/>
          <w:szCs w:val="21"/>
          <w:highlight w:val="none"/>
        </w:rPr>
        <w:t>本合同履约保证金为合同总价的1%（可以采用银行保函、保险保单、担保公司担保等方式），中标供应商在签订合同后5个工作日内提交。</w:t>
      </w:r>
    </w:p>
    <w:p>
      <w:pPr>
        <w:tabs>
          <w:tab w:val="left" w:pos="1243"/>
        </w:tabs>
        <w:autoSpaceDE w:val="0"/>
        <w:autoSpaceDN w:val="0"/>
        <w:adjustRightInd w:val="0"/>
        <w:snapToGrid w:val="0"/>
        <w:spacing w:line="440" w:lineRule="exact"/>
        <w:ind w:firstLine="420"/>
        <w:textAlignment w:val="bottom"/>
        <w:rPr>
          <w:rFonts w:hint="eastAsia" w:ascii="宋体" w:hAnsi="宋体" w:cs="仿宋_GB2312"/>
          <w:bCs/>
          <w:color w:val="auto"/>
          <w:szCs w:val="21"/>
          <w:highlight w:val="none"/>
        </w:rPr>
      </w:pPr>
      <w:r>
        <w:rPr>
          <w:rFonts w:hint="eastAsia" w:ascii="宋体" w:hAnsi="宋体" w:cs="仿宋_GB2312"/>
          <w:b/>
          <w:color w:val="auto"/>
          <w:spacing w:val="-2"/>
          <w:szCs w:val="21"/>
          <w:highlight w:val="none"/>
        </w:rPr>
        <w:t>★</w:t>
      </w:r>
      <w:r>
        <w:rPr>
          <w:rFonts w:hint="eastAsia" w:ascii="宋体" w:hAnsi="宋体" w:cs="仿宋_GB2312"/>
          <w:bCs/>
          <w:color w:val="auto"/>
          <w:szCs w:val="21"/>
          <w:highlight w:val="none"/>
        </w:rPr>
        <w:t>三</w:t>
      </w:r>
      <w:r>
        <w:rPr>
          <w:rFonts w:hint="eastAsia" w:ascii="宋体" w:hAnsi="宋体" w:cs="仿宋_GB2312"/>
          <w:b/>
          <w:bCs/>
          <w:color w:val="auto"/>
          <w:szCs w:val="21"/>
          <w:highlight w:val="none"/>
        </w:rPr>
        <w:t>、服务期：</w:t>
      </w:r>
    </w:p>
    <w:p>
      <w:pPr>
        <w:widowControl/>
        <w:spacing w:line="400" w:lineRule="exact"/>
        <w:ind w:firstLine="420" w:firstLineChars="200"/>
        <w:rPr>
          <w:rFonts w:hint="eastAsia" w:ascii="宋体" w:hAnsi="宋体" w:cs="宋体"/>
          <w:color w:val="auto"/>
          <w:szCs w:val="21"/>
          <w:highlight w:val="none"/>
        </w:rPr>
      </w:pPr>
      <w:r>
        <w:rPr>
          <w:rFonts w:hint="eastAsia"/>
          <w:color w:val="auto"/>
          <w:szCs w:val="21"/>
          <w:highlight w:val="none"/>
          <w:lang w:eastAsia="zh-CN"/>
        </w:rPr>
        <w:t>本项目服务期三年，合同一年一签。第一年度合同期满后，经采购人考核合格，可续签下一年度合同，最多可续签二年</w:t>
      </w:r>
      <w:r>
        <w:rPr>
          <w:rFonts w:hint="eastAsia" w:ascii="宋体" w:hAnsi="宋体" w:cs="仿宋_GB2312"/>
          <w:bCs/>
          <w:color w:val="auto"/>
          <w:szCs w:val="21"/>
          <w:highlight w:val="none"/>
        </w:rPr>
        <w:t>。</w:t>
      </w:r>
    </w:p>
    <w:p>
      <w:pPr>
        <w:tabs>
          <w:tab w:val="left" w:pos="1243"/>
        </w:tabs>
        <w:autoSpaceDE w:val="0"/>
        <w:autoSpaceDN w:val="0"/>
        <w:adjustRightInd w:val="0"/>
        <w:snapToGrid w:val="0"/>
        <w:spacing w:line="440" w:lineRule="exact"/>
        <w:ind w:firstLine="420"/>
        <w:textAlignment w:val="bottom"/>
        <w:rPr>
          <w:rFonts w:hint="eastAsia" w:ascii="宋体" w:hAnsi="宋体" w:cs="仿宋_GB2312"/>
          <w:b/>
          <w:bCs/>
          <w:color w:val="auto"/>
          <w:szCs w:val="21"/>
          <w:highlight w:val="none"/>
        </w:rPr>
      </w:pPr>
      <w:r>
        <w:rPr>
          <w:rFonts w:hint="eastAsia" w:ascii="宋体" w:hAnsi="宋体" w:cs="仿宋_GB2312"/>
          <w:b/>
          <w:bCs/>
          <w:color w:val="auto"/>
          <w:szCs w:val="21"/>
          <w:highlight w:val="none"/>
        </w:rPr>
        <w:t>★</w:t>
      </w:r>
      <w:r>
        <w:rPr>
          <w:rFonts w:hint="eastAsia" w:ascii="宋体" w:hAnsi="宋体" w:cs="仿宋_GB2312"/>
          <w:b/>
          <w:bCs/>
          <w:color w:val="auto"/>
          <w:szCs w:val="21"/>
          <w:highlight w:val="none"/>
          <w:lang w:val="en-US" w:eastAsia="zh-CN"/>
        </w:rPr>
        <w:t>四</w:t>
      </w:r>
      <w:r>
        <w:rPr>
          <w:rFonts w:hint="eastAsia" w:ascii="宋体" w:hAnsi="宋体" w:cs="仿宋_GB2312"/>
          <w:b/>
          <w:bCs/>
          <w:color w:val="auto"/>
          <w:szCs w:val="21"/>
          <w:highlight w:val="none"/>
        </w:rPr>
        <w:t>、其他</w:t>
      </w:r>
    </w:p>
    <w:p>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1.在中标通知书发出后30日历天内，与采购人签订服务合同，否则招标方有权取消中标方的中标资格，可推荐排序居次的中标候选人为中标方</w:t>
      </w:r>
      <w:r>
        <w:rPr>
          <w:rFonts w:hint="eastAsia" w:ascii="宋体" w:hAnsi="宋体" w:cs="宋体"/>
          <w:color w:val="auto"/>
          <w:szCs w:val="21"/>
          <w:highlight w:val="none"/>
          <w:lang w:val="en-US" w:eastAsia="zh-CN"/>
        </w:rPr>
        <w:t>或重新招标</w:t>
      </w:r>
      <w:r>
        <w:rPr>
          <w:rFonts w:hint="eastAsia" w:ascii="宋体" w:hAnsi="宋体" w:cs="宋体"/>
          <w:color w:val="auto"/>
          <w:szCs w:val="21"/>
          <w:highlight w:val="none"/>
        </w:rPr>
        <w:t>。</w:t>
      </w:r>
    </w:p>
    <w:p>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.中标方不得将本项目转包或分包，否则招标方视中标方单方面违约，招标方可单方面终止合同，中标方承担违约赔偿责任，并没收履约保证金</w:t>
      </w:r>
    </w:p>
    <w:p>
      <w:pPr>
        <w:spacing w:line="420" w:lineRule="exact"/>
        <w:ind w:firstLine="420"/>
        <w:rPr>
          <w:rFonts w:ascii="宋体" w:hAnsi="宋体"/>
          <w:b/>
          <w:color w:val="auto"/>
          <w:sz w:val="32"/>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olor w:val="auto"/>
          <w:szCs w:val="21"/>
          <w:highlight w:val="none"/>
        </w:rPr>
        <w:t>服务期内服务人员工资福利、社保等不得违反慈溪市政府及当地人社部门相关规定，合同期遇社保或最低基本工资调整，相应差价不予增补。</w:t>
      </w:r>
      <w:r>
        <w:rPr>
          <w:rFonts w:hint="eastAsia" w:ascii="宋体" w:hAnsi="宋体"/>
          <w:bCs/>
          <w:color w:val="auto"/>
          <w:sz w:val="24"/>
          <w:highlight w:val="none"/>
        </w:rPr>
        <w:br w:type="page"/>
      </w:r>
      <w:bookmarkEnd w:id="33"/>
      <w:bookmarkStart w:id="40" w:name="_Toc4552"/>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40"/>
    </w:p>
    <w:p>
      <w:pPr>
        <w:autoSpaceDE w:val="0"/>
        <w:autoSpaceDN w:val="0"/>
        <w:adjustRightInd w:val="0"/>
        <w:spacing w:before="960" w:beforeLines="400" w:line="420" w:lineRule="exact"/>
        <w:jc w:val="center"/>
        <w:rPr>
          <w:rStyle w:val="129"/>
          <w:rFonts w:ascii="宋体" w:hAnsi="宋体"/>
          <w:color w:val="auto"/>
          <w:sz w:val="32"/>
          <w:szCs w:val="32"/>
          <w:highlight w:val="none"/>
        </w:rPr>
      </w:pPr>
      <w:r>
        <w:rPr>
          <w:rStyle w:val="129"/>
          <w:rFonts w:ascii="宋体" w:hAnsi="宋体"/>
          <w:color w:val="auto"/>
          <w:sz w:val="32"/>
          <w:szCs w:val="32"/>
          <w:highlight w:val="none"/>
        </w:rPr>
        <w:t>A.</w:t>
      </w:r>
      <w:r>
        <w:rPr>
          <w:rStyle w:val="129"/>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color w:val="auto"/>
          <w:sz w:val="28"/>
          <w:highlight w:val="none"/>
        </w:rPr>
      </w:pPr>
      <w:r>
        <w:rPr>
          <w:rFonts w:ascii="宋体" w:hAnsi="宋体"/>
          <w:color w:val="auto"/>
          <w:sz w:val="28"/>
          <w:highlight w:val="none"/>
        </w:rPr>
        <w:br w:type="page"/>
      </w: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pPr>
        <w:pStyle w:val="238"/>
        <w:rPr>
          <w:color w:val="auto"/>
          <w:highlight w:val="none"/>
        </w:rPr>
      </w:pPr>
    </w:p>
    <w:p>
      <w:pPr>
        <w:spacing w:line="360" w:lineRule="auto"/>
        <w:jc w:val="center"/>
        <w:rPr>
          <w:rFonts w:hint="eastAsia" w:ascii="宋体" w:hAnsi="宋体"/>
          <w:color w:val="auto"/>
          <w:sz w:val="40"/>
          <w:szCs w:val="48"/>
          <w:highlight w:val="none"/>
        </w:rPr>
      </w:pPr>
      <w:r>
        <w:rPr>
          <w:rFonts w:hint="eastAsia" w:ascii="宋体" w:hAnsi="宋体"/>
          <w:b/>
          <w:color w:val="auto"/>
          <w:sz w:val="40"/>
          <w:szCs w:val="48"/>
          <w:highlight w:val="none"/>
          <w:lang w:eastAsia="zh-CN"/>
        </w:rPr>
        <w:t>掌起镇交管站综合安保辅助管理服务</w:t>
      </w:r>
      <w:r>
        <w:rPr>
          <w:rFonts w:hint="eastAsia" w:ascii="宋体" w:hAnsi="宋体"/>
          <w:b/>
          <w:color w:val="auto"/>
          <w:sz w:val="40"/>
          <w:szCs w:val="48"/>
          <w:highlight w:val="none"/>
        </w:rPr>
        <w:t>采购项目</w:t>
      </w:r>
    </w:p>
    <w:p>
      <w:pPr>
        <w:spacing w:line="360" w:lineRule="auto"/>
        <w:jc w:val="center"/>
        <w:rPr>
          <w:rFonts w:hint="eastAsia" w:ascii="宋体" w:hAnsi="宋体"/>
          <w:color w:val="auto"/>
          <w:sz w:val="36"/>
          <w:szCs w:val="36"/>
          <w:highlight w:val="none"/>
        </w:rPr>
      </w:pPr>
    </w:p>
    <w:p>
      <w:pPr>
        <w:spacing w:line="360" w:lineRule="auto"/>
        <w:ind w:firstLine="1440" w:firstLineChars="400"/>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u w:val="single"/>
        </w:rPr>
        <w:fldChar w:fldCharType="begin"/>
      </w:r>
      <w:r>
        <w:rPr>
          <w:rFonts w:hint="eastAsia" w:ascii="宋体" w:hAnsi="宋体"/>
          <w:color w:val="auto"/>
          <w:sz w:val="36"/>
          <w:szCs w:val="36"/>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 w:val="36"/>
          <w:szCs w:val="36"/>
          <w:highlight w:val="none"/>
          <w:u w:val="single"/>
        </w:rPr>
        <w:fldChar w:fldCharType="separate"/>
      </w:r>
      <w:r>
        <w:rPr>
          <w:rFonts w:hint="eastAsia" w:ascii="宋体" w:hAnsi="宋体"/>
          <w:color w:val="auto"/>
          <w:sz w:val="36"/>
          <w:szCs w:val="36"/>
          <w:highlight w:val="none"/>
          <w:u w:val="single"/>
          <w:lang w:eastAsia="zh-CN"/>
        </w:rPr>
        <w:t>CXZFCG[2023]  号</w:t>
      </w:r>
      <w:r>
        <w:rPr>
          <w:rFonts w:hint="eastAsia" w:ascii="宋体" w:hAnsi="宋体"/>
          <w:color w:val="auto"/>
          <w:sz w:val="36"/>
          <w:szCs w:val="36"/>
          <w:highlight w:val="none"/>
          <w:u w:val="single"/>
        </w:rPr>
        <w:fldChar w:fldCharType="end"/>
      </w:r>
      <w:r>
        <w:rPr>
          <w:rFonts w:hint="eastAsia" w:ascii="宋体" w:hAnsi="宋体"/>
          <w:color w:val="auto"/>
          <w:sz w:val="36"/>
          <w:szCs w:val="36"/>
          <w:highlight w:val="none"/>
          <w:u w:val="single"/>
        </w:rPr>
        <w:t xml:space="preserve"> </w:t>
      </w:r>
    </w:p>
    <w:p>
      <w:pPr>
        <w:rPr>
          <w:rFonts w:hint="eastAsia" w:ascii="宋体" w:hAnsi="宋体"/>
          <w:color w:val="auto"/>
          <w:sz w:val="28"/>
          <w:szCs w:val="28"/>
          <w:highlight w:val="none"/>
        </w:rPr>
      </w:pPr>
    </w:p>
    <w:p>
      <w:pPr>
        <w:spacing w:line="360" w:lineRule="auto"/>
        <w:jc w:val="center"/>
        <w:rPr>
          <w:rFonts w:ascii="宋体" w:hAnsi="宋体"/>
          <w:color w:val="auto"/>
          <w:sz w:val="40"/>
          <w:szCs w:val="40"/>
          <w:highlight w:val="none"/>
        </w:rPr>
      </w:pPr>
      <w:r>
        <w:rPr>
          <w:rFonts w:hint="eastAsia" w:ascii="宋体" w:hAnsi="宋体"/>
          <w:color w:val="auto"/>
          <w:sz w:val="40"/>
          <w:szCs w:val="40"/>
          <w:highlight w:val="none"/>
        </w:rPr>
        <w:t>（资格文件）</w:t>
      </w:r>
    </w:p>
    <w:p>
      <w:pPr>
        <w:spacing w:line="360" w:lineRule="auto"/>
        <w:jc w:val="center"/>
        <w:rPr>
          <w:rFonts w:hint="eastAsia"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pStyle w:val="3"/>
        <w:rPr>
          <w:color w:val="auto"/>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6"/>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spacing w:line="360" w:lineRule="auto"/>
        <w:rPr>
          <w:rStyle w:val="129"/>
          <w:rFonts w:ascii="宋体" w:hAnsi="宋体"/>
          <w:color w:val="auto"/>
          <w:sz w:val="21"/>
          <w:szCs w:val="21"/>
          <w:highlight w:val="none"/>
        </w:rPr>
      </w:pPr>
      <w:r>
        <w:rPr>
          <w:rStyle w:val="129"/>
          <w:rFonts w:ascii="宋体" w:hAnsi="宋体"/>
          <w:color w:val="auto"/>
          <w:sz w:val="21"/>
          <w:szCs w:val="21"/>
          <w:highlight w:val="none"/>
        </w:rPr>
        <w:br w:type="page"/>
      </w:r>
    </w:p>
    <w:p>
      <w:pPr>
        <w:spacing w:line="400" w:lineRule="exact"/>
        <w:jc w:val="center"/>
        <w:rPr>
          <w:rFonts w:ascii="宋体" w:hAnsi="宋体"/>
          <w:b/>
          <w:color w:val="auto"/>
          <w:szCs w:val="21"/>
          <w:highlight w:val="none"/>
        </w:rPr>
      </w:pPr>
      <w:r>
        <w:rPr>
          <w:rFonts w:hint="eastAsia" w:ascii="宋体" w:hAnsi="宋体"/>
          <w:b/>
          <w:color w:val="auto"/>
          <w:szCs w:val="21"/>
          <w:highlight w:val="none"/>
        </w:rPr>
        <w:t>A1.关于资格的承诺函</w:t>
      </w:r>
    </w:p>
    <w:p>
      <w:pPr>
        <w:spacing w:line="400" w:lineRule="exact"/>
        <w:ind w:left="540" w:firstLine="30"/>
        <w:jc w:val="center"/>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hint="eastAsia"/>
          <w:color w:val="auto"/>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1"/>
        <w:spacing w:before="0" w:beforeAutospacing="0" w:after="0" w:afterAutospacing="0" w:line="400" w:lineRule="exact"/>
        <w:ind w:right="159" w:firstLine="660"/>
        <w:jc w:val="both"/>
        <w:rPr>
          <w:bCs/>
          <w:color w:val="auto"/>
          <w:sz w:val="21"/>
          <w:szCs w:val="21"/>
          <w:highlight w:val="none"/>
        </w:rPr>
      </w:pPr>
    </w:p>
    <w:p>
      <w:pPr>
        <w:pStyle w:val="41"/>
        <w:spacing w:before="0" w:beforeAutospacing="0" w:after="0" w:afterAutospacing="0" w:line="400" w:lineRule="exact"/>
        <w:ind w:right="159" w:firstLine="660"/>
        <w:jc w:val="both"/>
        <w:rPr>
          <w:bCs/>
          <w:color w:val="auto"/>
          <w:sz w:val="21"/>
          <w:szCs w:val="21"/>
          <w:highlight w:val="none"/>
        </w:rPr>
      </w:pPr>
    </w:p>
    <w:p>
      <w:pPr>
        <w:spacing w:line="400" w:lineRule="exact"/>
        <w:ind w:firstLine="420" w:firstLineChars="200"/>
        <w:rPr>
          <w:bCs/>
          <w:color w:val="auto"/>
          <w:szCs w:val="21"/>
          <w:highlight w:val="none"/>
        </w:rPr>
      </w:pPr>
      <w:r>
        <w:rPr>
          <w:rFonts w:hint="eastAsia" w:ascii="宋体" w:hAnsi="宋体"/>
          <w:bCs/>
          <w:color w:val="auto"/>
          <w:szCs w:val="21"/>
          <w:highlight w:val="none"/>
        </w:rPr>
        <w:t>注：</w:t>
      </w:r>
      <w:r>
        <w:rPr>
          <w:rFonts w:hint="eastAsia"/>
          <w:bCs/>
          <w:color w:val="auto"/>
          <w:szCs w:val="21"/>
          <w:highlight w:val="none"/>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auto"/>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jc w:val="center"/>
        <w:rPr>
          <w:rFonts w:ascii="宋体" w:hAnsi="宋体"/>
          <w:b/>
          <w:color w:val="auto"/>
          <w:szCs w:val="21"/>
          <w:highlight w:val="none"/>
        </w:rPr>
      </w:pPr>
    </w:p>
    <w:p>
      <w:pPr>
        <w:spacing w:line="400" w:lineRule="exact"/>
        <w:jc w:val="center"/>
        <w:rPr>
          <w:rFonts w:hint="eastAsia" w:ascii="宋体" w:hAnsi="宋体"/>
          <w:b/>
          <w:color w:val="auto"/>
          <w:szCs w:val="21"/>
          <w:highlight w:val="none"/>
        </w:rPr>
      </w:pPr>
      <w:r>
        <w:rPr>
          <w:rStyle w:val="129"/>
          <w:rFonts w:ascii="宋体" w:hAnsi="宋体"/>
          <w:color w:val="auto"/>
          <w:sz w:val="21"/>
          <w:szCs w:val="21"/>
          <w:highlight w:val="none"/>
        </w:rPr>
        <w:br w:type="page"/>
      </w:r>
      <w:r>
        <w:rPr>
          <w:rFonts w:hint="eastAsia" w:ascii="宋体" w:hAnsi="宋体"/>
          <w:b/>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w:t>
      </w:r>
    </w:p>
    <w:p>
      <w:pPr>
        <w:pStyle w:val="19"/>
      </w:pPr>
    </w:p>
    <w:p>
      <w:pPr>
        <w:spacing w:line="360" w:lineRule="auto"/>
        <w:jc w:val="both"/>
        <w:rPr>
          <w:rFonts w:ascii="宋体" w:hAnsi="宋体"/>
          <w:b/>
          <w:color w:val="auto"/>
          <w:szCs w:val="21"/>
          <w:highlight w:val="none"/>
        </w:rPr>
      </w:pPr>
      <w:bookmarkStart w:id="41" w:name="_Toc74987467"/>
      <w:bookmarkStart w:id="42" w:name="_Toc21541033"/>
      <w:bookmarkStart w:id="43" w:name="_Toc74987435"/>
      <w:r>
        <w:rPr>
          <w:rFonts w:hint="eastAsia" w:ascii="宋体" w:hAnsi="宋体"/>
          <w:b/>
          <w:color w:val="auto"/>
          <w:szCs w:val="21"/>
          <w:highlight w:val="none"/>
        </w:rPr>
        <w:t>A</w:t>
      </w:r>
      <w:r>
        <w:rPr>
          <w:rFonts w:hint="eastAsia" w:ascii="宋体" w:hAnsi="宋体"/>
          <w:b/>
          <w:color w:val="auto"/>
          <w:szCs w:val="21"/>
          <w:highlight w:val="none"/>
          <w:lang w:val="en-US" w:eastAsia="zh-CN"/>
        </w:rPr>
        <w:t>3</w:t>
      </w:r>
      <w:r>
        <w:rPr>
          <w:rFonts w:hint="eastAsia" w:ascii="宋体" w:hAnsi="宋体"/>
          <w:b/>
          <w:color w:val="auto"/>
          <w:szCs w:val="21"/>
          <w:highlight w:val="none"/>
        </w:rPr>
        <w:t>.</w:t>
      </w:r>
      <w:r>
        <w:rPr>
          <w:rFonts w:hint="eastAsia" w:ascii="宋体" w:hAnsi="宋体" w:eastAsia="宋体" w:cs="宋体"/>
          <w:color w:val="auto"/>
          <w:szCs w:val="21"/>
          <w:highlight w:val="yellow"/>
          <w:lang w:bidi="ar"/>
        </w:rPr>
        <w:t>公安机关核发的保安服务许可证</w:t>
      </w:r>
      <w:r>
        <w:rPr>
          <w:rFonts w:hint="eastAsia" w:ascii="宋体" w:hAnsi="宋体" w:eastAsia="宋体" w:cs="宋体"/>
          <w:color w:val="auto"/>
          <w:szCs w:val="21"/>
          <w:highlight w:val="yellow"/>
          <w:lang w:val="en-US" w:eastAsia="zh-CN" w:bidi="ar"/>
        </w:rPr>
        <w:t>扫描</w:t>
      </w:r>
      <w:r>
        <w:rPr>
          <w:rFonts w:hint="eastAsia" w:ascii="宋体" w:hAnsi="宋体" w:eastAsia="宋体" w:cs="宋体"/>
          <w:color w:val="auto"/>
          <w:szCs w:val="21"/>
          <w:highlight w:val="yellow"/>
          <w:lang w:bidi="ar"/>
        </w:rPr>
        <w:t>件</w:t>
      </w:r>
      <w:r>
        <w:rPr>
          <w:rFonts w:hint="eastAsia" w:ascii="宋体" w:hAnsi="宋体" w:cs="宋体"/>
          <w:color w:val="auto"/>
          <w:szCs w:val="21"/>
          <w:highlight w:val="yellow"/>
        </w:rPr>
        <w:t>加盖供应商公章</w:t>
      </w:r>
      <w:r>
        <w:rPr>
          <w:rFonts w:hint="eastAsia" w:ascii="宋体" w:hAnsi="宋体" w:cs="宋体"/>
          <w:color w:val="auto"/>
          <w:szCs w:val="21"/>
          <w:highlight w:val="yellow"/>
          <w:lang w:eastAsia="zh-CN"/>
        </w:rPr>
        <w:t>；</w:t>
      </w:r>
      <w:r>
        <w:rPr>
          <w:rFonts w:hint="eastAsia" w:ascii="宋体" w:hAnsi="宋体"/>
          <w:b/>
          <w:color w:val="auto"/>
          <w:szCs w:val="21"/>
          <w:highlight w:val="none"/>
        </w:rPr>
        <w:br w:type="page"/>
      </w:r>
      <w:r>
        <w:rPr>
          <w:rFonts w:hint="eastAsia" w:ascii="宋体" w:hAnsi="宋体"/>
          <w:b/>
          <w:color w:val="auto"/>
          <w:sz w:val="22"/>
          <w:szCs w:val="22"/>
          <w:highlight w:val="none"/>
          <w:lang w:val="en-US" w:eastAsia="zh-CN"/>
        </w:rPr>
        <w:t>A4</w:t>
      </w:r>
      <w:r>
        <w:rPr>
          <w:rFonts w:hint="eastAsia" w:ascii="宋体" w:hAnsi="宋体"/>
          <w:b/>
          <w:color w:val="auto"/>
          <w:sz w:val="22"/>
          <w:szCs w:val="22"/>
          <w:highlight w:val="none"/>
        </w:rPr>
        <w:t>.中小企业声明函（工程、服务）</w:t>
      </w:r>
    </w:p>
    <w:p>
      <w:pPr>
        <w:spacing w:line="400" w:lineRule="exact"/>
        <w:rPr>
          <w:rFonts w:ascii="宋体" w:hAnsi="宋体"/>
          <w:b/>
          <w:color w:val="auto"/>
          <w:spacing w:val="6"/>
          <w:szCs w:val="21"/>
          <w:highlight w:val="none"/>
        </w:rPr>
      </w:pPr>
    </w:p>
    <w:p>
      <w:pPr>
        <w:pStyle w:val="19"/>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9"/>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1.</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9"/>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2.</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9"/>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 xml:space="preserve">…… </w:t>
      </w:r>
    </w:p>
    <w:p>
      <w:pPr>
        <w:pStyle w:val="19"/>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pPr>
        <w:pStyle w:val="19"/>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pPr>
        <w:pStyle w:val="19"/>
        <w:spacing w:line="400" w:lineRule="exact"/>
        <w:ind w:firstLine="3360" w:firstLineChars="1600"/>
        <w:jc w:val="left"/>
        <w:rPr>
          <w:rFonts w:hint="eastAsia" w:cs="宋体"/>
          <w:color w:val="auto"/>
          <w:sz w:val="21"/>
          <w:szCs w:val="21"/>
          <w:highlight w:val="none"/>
        </w:rPr>
      </w:pPr>
    </w:p>
    <w:p>
      <w:pPr>
        <w:pStyle w:val="20"/>
        <w:rPr>
          <w:rFonts w:hint="eastAsia"/>
          <w:color w:val="auto"/>
        </w:rPr>
      </w:pPr>
    </w:p>
    <w:p>
      <w:pPr>
        <w:pStyle w:val="19"/>
        <w:spacing w:line="400" w:lineRule="exact"/>
        <w:ind w:firstLine="4095" w:firstLineChars="1950"/>
        <w:jc w:val="left"/>
        <w:rPr>
          <w:rFonts w:hint="eastAsia" w:cs="宋体"/>
          <w:color w:val="auto"/>
          <w:sz w:val="21"/>
          <w:szCs w:val="21"/>
          <w:highlight w:val="none"/>
        </w:rPr>
      </w:pPr>
      <w:r>
        <w:rPr>
          <w:rFonts w:hint="eastAsia" w:cs="宋体"/>
          <w:color w:val="auto"/>
          <w:sz w:val="21"/>
          <w:szCs w:val="21"/>
          <w:highlight w:val="none"/>
        </w:rPr>
        <w:t>企业名称（盖章）：</w:t>
      </w:r>
    </w:p>
    <w:p>
      <w:pPr>
        <w:pStyle w:val="3"/>
        <w:spacing w:line="400" w:lineRule="exact"/>
        <w:ind w:firstLine="4095" w:firstLineChars="1950"/>
        <w:rPr>
          <w:rFonts w:ascii="宋体" w:hAnsi="宋体" w:eastAsia="宋体"/>
          <w:color w:val="auto"/>
          <w:sz w:val="21"/>
          <w:szCs w:val="21"/>
          <w:highlight w:val="none"/>
        </w:rPr>
      </w:pPr>
      <w:r>
        <w:rPr>
          <w:rFonts w:hint="eastAsia" w:ascii="宋体" w:hAnsi="宋体" w:eastAsia="宋体" w:cs="宋体"/>
          <w:color w:val="auto"/>
          <w:sz w:val="21"/>
          <w:szCs w:val="21"/>
          <w:highlight w:val="none"/>
        </w:rPr>
        <w:t>日 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ind w:firstLine="3780" w:firstLineChars="1800"/>
        <w:rPr>
          <w:rFonts w:ascii="宋体" w:hAnsi="宋体"/>
          <w:color w:val="auto"/>
          <w:szCs w:val="21"/>
          <w:highlight w:val="none"/>
        </w:rPr>
      </w:pPr>
    </w:p>
    <w:p>
      <w:pPr>
        <w:numPr>
          <w:ilvl w:val="0"/>
          <w:numId w:val="0"/>
        </w:numPr>
        <w:spacing w:line="588" w:lineRule="exact"/>
        <w:jc w:val="both"/>
        <w:rPr>
          <w:rFonts w:hint="eastAsia"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从业人员、营业收入、资产总额填报上一年度数据，无上一年度数据的新成立企业可不填报。</w:t>
      </w:r>
    </w:p>
    <w:p>
      <w:pPr>
        <w:numPr>
          <w:ilvl w:val="0"/>
          <w:numId w:val="0"/>
        </w:numPr>
        <w:spacing w:line="588"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采购文件中明确的所属行业：详见招标文件第三章。</w:t>
      </w:r>
    </w:p>
    <w:p>
      <w:pPr>
        <w:spacing w:line="400" w:lineRule="exact"/>
        <w:ind w:firstLine="420" w:firstLineChars="200"/>
        <w:jc w:val="center"/>
        <w:rPr>
          <w:rFonts w:hint="eastAsia" w:ascii="宋体" w:hAnsi="宋体"/>
          <w:color w:val="auto"/>
          <w:szCs w:val="21"/>
          <w:highlight w:val="none"/>
        </w:rPr>
      </w:pP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 w:val="22"/>
          <w:szCs w:val="22"/>
          <w:highlight w:val="none"/>
          <w:lang w:val="en-US" w:eastAsia="zh-CN"/>
        </w:rPr>
        <w:t>A5</w:t>
      </w:r>
      <w:r>
        <w:rPr>
          <w:rFonts w:hint="eastAsia" w:ascii="宋体" w:hAnsi="宋体"/>
          <w:b/>
          <w:color w:val="auto"/>
          <w:sz w:val="22"/>
          <w:szCs w:val="22"/>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40" w:lineRule="exact"/>
        <w:jc w:val="left"/>
        <w:rPr>
          <w:rFonts w:hint="eastAsia"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spacing w:line="440" w:lineRule="exact"/>
        <w:jc w:val="center"/>
        <w:rPr>
          <w:rFonts w:hint="eastAsia" w:ascii="宋体" w:hAnsi="宋体"/>
          <w:color w:val="auto"/>
          <w:szCs w:val="21"/>
          <w:highlight w:val="none"/>
        </w:rPr>
      </w:pPr>
    </w:p>
    <w:p>
      <w:pPr>
        <w:spacing w:line="440" w:lineRule="exact"/>
        <w:jc w:val="center"/>
        <w:rPr>
          <w:rFonts w:hint="eastAsia" w:ascii="宋体" w:hAnsi="宋体"/>
          <w:color w:val="auto"/>
          <w:szCs w:val="21"/>
          <w:highlight w:val="none"/>
        </w:rPr>
      </w:pPr>
    </w:p>
    <w:p>
      <w:pPr>
        <w:spacing w:line="440" w:lineRule="exact"/>
        <w:jc w:val="center"/>
        <w:rPr>
          <w:rFonts w:hint="eastAsia" w:ascii="宋体" w:hAnsi="宋体"/>
          <w:color w:val="auto"/>
          <w:szCs w:val="21"/>
          <w:highlight w:val="none"/>
        </w:rPr>
      </w:pPr>
    </w:p>
    <w:p>
      <w:pPr>
        <w:spacing w:line="440" w:lineRule="exact"/>
        <w:jc w:val="center"/>
        <w:rPr>
          <w:rFonts w:hint="eastAsia" w:ascii="宋体" w:hAnsi="宋体"/>
          <w:color w:val="auto"/>
          <w:szCs w:val="21"/>
          <w:highlight w:val="none"/>
        </w:rPr>
      </w:pPr>
    </w:p>
    <w:p>
      <w:pPr>
        <w:spacing w:line="440" w:lineRule="exact"/>
        <w:jc w:val="center"/>
        <w:rPr>
          <w:rFonts w:hint="eastAsia" w:ascii="宋体" w:hAnsi="宋体"/>
          <w:color w:val="auto"/>
          <w:szCs w:val="21"/>
          <w:highlight w:val="none"/>
        </w:rPr>
      </w:pPr>
    </w:p>
    <w:bookmarkEnd w:id="41"/>
    <w:bookmarkEnd w:id="42"/>
    <w:bookmarkEnd w:id="43"/>
    <w:p>
      <w:pPr>
        <w:spacing w:line="400" w:lineRule="exact"/>
        <w:jc w:val="center"/>
        <w:rPr>
          <w:rStyle w:val="129"/>
          <w:rFonts w:ascii="宋体" w:hAnsi="宋体"/>
          <w:color w:val="auto"/>
          <w:sz w:val="32"/>
          <w:szCs w:val="32"/>
          <w:highlight w:val="none"/>
        </w:rPr>
      </w:pPr>
      <w:r>
        <w:rPr>
          <w:rStyle w:val="129"/>
          <w:rFonts w:hint="eastAsia" w:ascii="宋体" w:hAnsi="宋体"/>
          <w:color w:val="auto"/>
          <w:sz w:val="21"/>
          <w:szCs w:val="21"/>
          <w:highlight w:val="none"/>
        </w:rPr>
        <w:br w:type="page"/>
      </w:r>
      <w:bookmarkStart w:id="44" w:name="_Toc21541026"/>
      <w:bookmarkStart w:id="45" w:name="_Toc74987429"/>
      <w:bookmarkStart w:id="46" w:name="_Toc74987461"/>
      <w:r>
        <w:rPr>
          <w:rStyle w:val="129"/>
          <w:rFonts w:ascii="宋体" w:hAnsi="宋体"/>
          <w:color w:val="auto"/>
          <w:sz w:val="32"/>
          <w:szCs w:val="32"/>
          <w:highlight w:val="none"/>
        </w:rPr>
        <w:t>B.</w:t>
      </w:r>
      <w:r>
        <w:rPr>
          <w:rStyle w:val="129"/>
          <w:rFonts w:hint="eastAsia" w:ascii="宋体" w:hAnsi="宋体"/>
          <w:color w:val="auto"/>
          <w:sz w:val="32"/>
          <w:szCs w:val="32"/>
          <w:highlight w:val="none"/>
        </w:rPr>
        <w:t>商务和技术文件</w:t>
      </w:r>
      <w:bookmarkEnd w:id="44"/>
      <w:bookmarkEnd w:id="45"/>
      <w:bookmarkEnd w:id="46"/>
    </w:p>
    <w:p>
      <w:pPr>
        <w:autoSpaceDE w:val="0"/>
        <w:autoSpaceDN w:val="0"/>
        <w:adjustRightInd w:val="0"/>
        <w:spacing w:line="420" w:lineRule="exact"/>
        <w:rPr>
          <w:rStyle w:val="129"/>
          <w:rFonts w:ascii="宋体" w:hAnsi="宋体"/>
          <w:b w:val="0"/>
          <w:color w:val="auto"/>
          <w:highlight w:val="none"/>
          <w:lang w:val="zh-CN"/>
        </w:rPr>
      </w:pPr>
      <w:r>
        <w:rPr>
          <w:rStyle w:val="129"/>
          <w:rFonts w:hint="eastAsia" w:ascii="宋体" w:hAnsi="宋体"/>
          <w:color w:val="auto"/>
          <w:sz w:val="21"/>
          <w:szCs w:val="21"/>
          <w:highlight w:val="none"/>
        </w:rPr>
        <w:t>封面</w:t>
      </w:r>
    </w:p>
    <w:p>
      <w:pPr>
        <w:spacing w:line="360" w:lineRule="auto"/>
        <w:rPr>
          <w:rFonts w:hint="eastAsia" w:ascii="宋体" w:hAnsi="宋体"/>
          <w:color w:val="auto"/>
          <w:sz w:val="28"/>
          <w:szCs w:val="28"/>
          <w:highlight w:val="none"/>
        </w:rPr>
      </w:pPr>
    </w:p>
    <w:p>
      <w:pPr>
        <w:pStyle w:val="238"/>
        <w:rPr>
          <w:color w:val="auto"/>
          <w:highlight w:val="none"/>
        </w:rPr>
      </w:pPr>
    </w:p>
    <w:p>
      <w:pPr>
        <w:spacing w:line="360" w:lineRule="auto"/>
        <w:jc w:val="center"/>
        <w:rPr>
          <w:rFonts w:hint="eastAsia" w:ascii="宋体" w:hAnsi="宋体"/>
          <w:color w:val="auto"/>
          <w:sz w:val="40"/>
          <w:szCs w:val="48"/>
          <w:highlight w:val="none"/>
          <w:u w:val="single"/>
        </w:rPr>
      </w:pPr>
      <w:r>
        <w:rPr>
          <w:rFonts w:hint="eastAsia" w:ascii="宋体" w:hAnsi="宋体"/>
          <w:b/>
          <w:color w:val="auto"/>
          <w:sz w:val="40"/>
          <w:szCs w:val="48"/>
          <w:highlight w:val="none"/>
          <w:lang w:eastAsia="zh-CN"/>
        </w:rPr>
        <w:t>掌起镇交管站综合安保辅助管理服务</w:t>
      </w:r>
      <w:r>
        <w:rPr>
          <w:rFonts w:hint="eastAsia" w:ascii="宋体" w:hAnsi="宋体"/>
          <w:b/>
          <w:color w:val="auto"/>
          <w:sz w:val="40"/>
          <w:szCs w:val="48"/>
          <w:highlight w:val="none"/>
        </w:rPr>
        <w:t>采购项目</w:t>
      </w:r>
    </w:p>
    <w:p>
      <w:pPr>
        <w:spacing w:line="360" w:lineRule="auto"/>
        <w:ind w:firstLine="2520" w:firstLineChars="900"/>
        <w:rPr>
          <w:rFonts w:hint="eastAsia" w:ascii="宋体" w:hAnsi="宋体"/>
          <w:color w:val="auto"/>
          <w:sz w:val="28"/>
          <w:szCs w:val="28"/>
          <w:highlight w:val="none"/>
          <w:u w:val="singl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 w:val="28"/>
          <w:szCs w:val="28"/>
          <w:highlight w:val="none"/>
          <w:u w:val="single"/>
        </w:rPr>
        <w:fldChar w:fldCharType="separate"/>
      </w:r>
      <w:r>
        <w:rPr>
          <w:rFonts w:hint="eastAsia" w:ascii="宋体" w:hAnsi="宋体"/>
          <w:color w:val="auto"/>
          <w:sz w:val="28"/>
          <w:szCs w:val="28"/>
          <w:highlight w:val="none"/>
          <w:u w:val="single"/>
          <w:lang w:eastAsia="zh-CN"/>
        </w:rPr>
        <w:t>330282202310006863</w:t>
      </w:r>
      <w:r>
        <w:rPr>
          <w:rFonts w:hint="eastAsia" w:ascii="宋体" w:hAnsi="宋体"/>
          <w:color w:val="auto"/>
          <w:sz w:val="28"/>
          <w:szCs w:val="28"/>
          <w:highlight w:val="none"/>
          <w:u w:val="single"/>
        </w:rPr>
        <w:fldChar w:fldCharType="end"/>
      </w:r>
    </w:p>
    <w:p>
      <w:pPr>
        <w:rPr>
          <w:rFonts w:hint="eastAsia" w:ascii="宋体" w:hAnsi="宋体"/>
          <w:color w:val="auto"/>
          <w:sz w:val="28"/>
          <w:szCs w:val="28"/>
          <w:highlight w:val="none"/>
        </w:rPr>
      </w:pPr>
    </w:p>
    <w:p>
      <w:pPr>
        <w:pStyle w:val="24"/>
        <w:rPr>
          <w:rFonts w:hint="eastAsia"/>
          <w:color w:val="auto"/>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ind w:firstLine="2520" w:firstLineChars="700"/>
        <w:rPr>
          <w:rFonts w:hint="eastAsia" w:ascii="宋体" w:hAnsi="宋体"/>
          <w:color w:val="auto"/>
          <w:sz w:val="36"/>
          <w:szCs w:val="36"/>
          <w:highlight w:val="none"/>
        </w:rPr>
      </w:pPr>
      <w:r>
        <w:rPr>
          <w:rFonts w:hint="eastAsia" w:ascii="宋体" w:hAnsi="宋体"/>
          <w:color w:val="auto"/>
          <w:sz w:val="36"/>
          <w:szCs w:val="36"/>
          <w:highlight w:val="none"/>
        </w:rPr>
        <w:t xml:space="preserve">        </w:t>
      </w:r>
    </w:p>
    <w:p>
      <w:pPr>
        <w:rPr>
          <w:color w:val="auto"/>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6"/>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29"/>
          <w:rFonts w:ascii="宋体" w:hAnsi="宋体"/>
          <w:color w:val="auto"/>
          <w:sz w:val="28"/>
          <w:szCs w:val="28"/>
          <w:highlight w:val="none"/>
        </w:rPr>
      </w:pPr>
      <w:bookmarkStart w:id="47" w:name="_Toc74987462"/>
      <w:bookmarkStart w:id="48" w:name="_Toc6520"/>
      <w:bookmarkStart w:id="49" w:name="_Toc21541027"/>
      <w:bookmarkStart w:id="50" w:name="_Toc74987561"/>
      <w:bookmarkStart w:id="51" w:name="_Toc74987430"/>
      <w:bookmarkStart w:id="52" w:name="_Toc85732608"/>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47"/>
      <w:bookmarkEnd w:id="48"/>
      <w:bookmarkEnd w:id="49"/>
      <w:bookmarkEnd w:id="50"/>
      <w:bookmarkEnd w:id="51"/>
      <w:bookmarkEnd w:id="52"/>
    </w:p>
    <w:p>
      <w:pPr>
        <w:spacing w:line="360" w:lineRule="auto"/>
        <w:ind w:firstLine="4200" w:firstLineChars="2000"/>
        <w:jc w:val="left"/>
        <w:rPr>
          <w:rFonts w:ascii="宋体" w:hAnsi="宋体"/>
          <w:color w:val="auto"/>
          <w:szCs w:val="21"/>
          <w:highlight w:val="none"/>
        </w:rPr>
      </w:pPr>
    </w:p>
    <w:p>
      <w:pPr>
        <w:spacing w:line="360" w:lineRule="auto"/>
        <w:jc w:val="center"/>
        <w:rPr>
          <w:rFonts w:hint="eastAsia" w:ascii="宋体" w:hAnsi="宋体"/>
          <w:b/>
          <w:color w:val="auto"/>
          <w:szCs w:val="21"/>
          <w:highlight w:val="none"/>
        </w:rPr>
      </w:pPr>
      <w:r>
        <w:rPr>
          <w:rStyle w:val="129"/>
          <w:rFonts w:ascii="宋体" w:hAnsi="宋体"/>
          <w:color w:val="auto"/>
          <w:sz w:val="21"/>
          <w:szCs w:val="21"/>
          <w:highlight w:val="none"/>
        </w:rPr>
        <w:br w:type="page"/>
      </w:r>
      <w:r>
        <w:rPr>
          <w:rFonts w:hint="eastAsia" w:ascii="宋体" w:hAnsi="宋体"/>
          <w:b/>
          <w:color w:val="auto"/>
          <w:sz w:val="22"/>
          <w:szCs w:val="22"/>
          <w:highlight w:val="none"/>
        </w:rPr>
        <w:t>B1.投标书</w:t>
      </w:r>
    </w:p>
    <w:p>
      <w:pPr>
        <w:pStyle w:val="200"/>
        <w:rPr>
          <w:rFonts w:hint="eastAsia"/>
          <w:color w:val="auto"/>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致：慈溪永真工程管理有限公司</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掌起镇交管站综合安保辅助管理服务</w:t>
      </w:r>
      <w:r>
        <w:rPr>
          <w:rFonts w:hint="eastAsia" w:ascii="宋体" w:hAnsi="宋体"/>
          <w:color w:val="auto"/>
          <w:szCs w:val="21"/>
          <w:highlight w:val="none"/>
          <w:u w:val="single"/>
        </w:rPr>
        <w:t>采购项目</w:t>
      </w:r>
      <w:r>
        <w:rPr>
          <w:rFonts w:hint="eastAsia" w:ascii="宋体" w:hAnsi="宋体"/>
          <w:color w:val="auto"/>
          <w:szCs w:val="21"/>
          <w:highlight w:val="none"/>
        </w:rPr>
        <w:t>（项目编号：</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Cs w:val="21"/>
          <w:highlight w:val="none"/>
          <w:u w:val="single"/>
        </w:rPr>
        <w:fldChar w:fldCharType="separate"/>
      </w:r>
      <w:r>
        <w:rPr>
          <w:rFonts w:hint="eastAsia" w:ascii="宋体" w:hAnsi="宋体"/>
          <w:color w:val="auto"/>
          <w:szCs w:val="21"/>
          <w:highlight w:val="none"/>
          <w:u w:val="single"/>
          <w:lang w:eastAsia="zh-CN"/>
        </w:rPr>
        <w:t>330282202310006863</w:t>
      </w:r>
      <w:r>
        <w:rPr>
          <w:rFonts w:hint="eastAsia" w:ascii="宋体" w:hAnsi="宋体"/>
          <w:color w:val="auto"/>
          <w:szCs w:val="21"/>
          <w:highlight w:val="none"/>
          <w:u w:val="single"/>
        </w:rPr>
        <w:fldChar w:fldCharType="end"/>
      </w:r>
      <w:r>
        <w:rPr>
          <w:rFonts w:hint="eastAsia" w:ascii="宋体" w:hAnsi="宋体"/>
          <w:color w:val="auto"/>
          <w:szCs w:val="21"/>
          <w:highlight w:val="none"/>
          <w:u w:val="single"/>
        </w:rPr>
        <w:t xml:space="preserve"> </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pPr>
        <w:spacing w:line="400" w:lineRule="exact"/>
        <w:ind w:firstLine="420" w:firstLineChars="200"/>
        <w:jc w:val="left"/>
        <w:rPr>
          <w:rFonts w:hint="eastAsia" w:ascii="宋体"/>
          <w:color w:val="auto"/>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highlight w:val="none"/>
        </w:rPr>
        <w:t>9、</w:t>
      </w:r>
      <w:r>
        <w:rPr>
          <w:rFonts w:hint="eastAsia"/>
          <w:color w:val="auto"/>
          <w:highlight w:val="none"/>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540" w:firstLine="30"/>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atLeast"/>
        <w:ind w:firstLine="210" w:firstLineChars="100"/>
        <w:jc w:val="left"/>
        <w:rPr>
          <w:rFonts w:ascii="宋体" w:hAnsi="宋体"/>
          <w:color w:val="auto"/>
          <w:szCs w:val="21"/>
          <w:highlight w:val="none"/>
          <w:u w:val="single"/>
        </w:rPr>
      </w:pP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atLeast"/>
        <w:ind w:firstLine="210" w:firstLineChars="100"/>
        <w:jc w:val="left"/>
        <w:rPr>
          <w:rStyle w:val="129"/>
          <w:rFonts w:ascii="宋体" w:hAnsi="宋体"/>
          <w:color w:val="auto"/>
          <w:sz w:val="21"/>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期：</w:t>
      </w:r>
      <w:r>
        <w:rPr>
          <w:rStyle w:val="129"/>
          <w:rFonts w:ascii="宋体" w:hAnsi="宋体"/>
          <w:color w:val="auto"/>
          <w:sz w:val="21"/>
          <w:szCs w:val="21"/>
          <w:highlight w:val="none"/>
        </w:rPr>
        <w:br w:type="page"/>
      </w:r>
    </w:p>
    <w:p>
      <w:pPr>
        <w:spacing w:line="360" w:lineRule="auto"/>
        <w:jc w:val="center"/>
        <w:rPr>
          <w:rFonts w:ascii="宋体" w:hAnsi="宋体"/>
          <w:b/>
          <w:color w:val="auto"/>
          <w:szCs w:val="21"/>
          <w:highlight w:val="none"/>
        </w:rPr>
      </w:pPr>
      <w:r>
        <w:rPr>
          <w:rStyle w:val="129"/>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pPr>
        <w:spacing w:after="120" w:afterLines="50" w:line="400" w:lineRule="exact"/>
        <w:rPr>
          <w:rFonts w:hint="eastAsia" w:ascii="宋体" w:hAnsi="宋体"/>
          <w:color w:val="auto"/>
          <w:szCs w:val="21"/>
          <w:highlight w:val="none"/>
        </w:rPr>
      </w:pP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性别：</w:t>
      </w:r>
      <w:r>
        <w:rPr>
          <w:rFonts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职务：</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pPr>
        <w:spacing w:line="400" w:lineRule="atLeast"/>
        <w:rPr>
          <w:rFonts w:ascii="宋体" w:hAnsi="宋体"/>
          <w:color w:val="auto"/>
          <w:szCs w:val="21"/>
          <w:highlight w:val="none"/>
          <w:u w:val="single"/>
        </w:rPr>
      </w:pPr>
    </w:p>
    <w:p>
      <w:pPr>
        <w:spacing w:line="400" w:lineRule="exact"/>
        <w:jc w:val="center"/>
        <w:rPr>
          <w:rFonts w:ascii="宋体" w:hAnsi="宋体"/>
          <w:b/>
          <w:color w:val="auto"/>
          <w:szCs w:val="21"/>
          <w:highlight w:val="none"/>
        </w:rPr>
      </w:pPr>
      <w:r>
        <w:rPr>
          <w:rStyle w:val="129"/>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7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掌起镇交管站综合安保辅助管理服务</w:t>
      </w:r>
      <w:r>
        <w:rPr>
          <w:rFonts w:hint="eastAsia" w:ascii="宋体" w:hAnsi="宋体"/>
          <w:color w:val="auto"/>
          <w:szCs w:val="21"/>
          <w:highlight w:val="none"/>
          <w:u w:val="single"/>
        </w:rPr>
        <w:t>采购项目</w:t>
      </w:r>
      <w:r>
        <w:rPr>
          <w:rFonts w:hint="eastAsia" w:ascii="宋体" w:hAnsi="宋体"/>
          <w:color w:val="auto"/>
          <w:szCs w:val="21"/>
          <w:highlight w:val="none"/>
        </w:rPr>
        <w:t>，项目编号为</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Cs w:val="21"/>
          <w:highlight w:val="none"/>
          <w:u w:val="single"/>
        </w:rPr>
        <w:fldChar w:fldCharType="separate"/>
      </w:r>
      <w:r>
        <w:rPr>
          <w:rFonts w:hint="eastAsia" w:ascii="宋体" w:hAnsi="宋体"/>
          <w:color w:val="auto"/>
          <w:szCs w:val="21"/>
          <w:highlight w:val="none"/>
          <w:u w:val="single"/>
        </w:rPr>
        <w:t>CXZFCG[2023]  号</w:t>
      </w:r>
      <w:r>
        <w:rPr>
          <w:rFonts w:hint="eastAsia" w:ascii="宋体" w:hAnsi="宋体"/>
          <w:color w:val="auto"/>
          <w:szCs w:val="21"/>
          <w:highlight w:val="none"/>
          <w:u w:val="single"/>
        </w:rPr>
        <w:fldChar w:fldCharType="end"/>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.授权代表身份证扫描件（不同页的须加盖供应商公章）；</w:t>
      </w:r>
    </w:p>
    <w:p>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.提供社保部门出具的投标单位</w:t>
      </w:r>
      <w:r>
        <w:rPr>
          <w:rFonts w:hint="eastAsia" w:ascii="宋体" w:hAnsi="宋体"/>
          <w:color w:val="auto"/>
          <w:szCs w:val="21"/>
          <w:highlight w:val="none"/>
          <w:lang w:eastAsia="zh-CN"/>
        </w:rPr>
        <w:t>2023年07月-2023年09月</w:t>
      </w:r>
      <w:r>
        <w:rPr>
          <w:rFonts w:hint="eastAsia" w:ascii="宋体" w:hAnsi="宋体"/>
          <w:color w:val="auto"/>
          <w:szCs w:val="21"/>
          <w:highlight w:val="none"/>
        </w:rPr>
        <w:t>为授权代表缴纳社保的证明资料扫描件。</w:t>
      </w:r>
    </w:p>
    <w:p>
      <w:pPr>
        <w:spacing w:line="360" w:lineRule="auto"/>
        <w:ind w:firstLine="517" w:firstLineChars="250"/>
        <w:jc w:val="center"/>
        <w:rPr>
          <w:rFonts w:ascii="宋体" w:hAnsi="宋体"/>
          <w:b/>
          <w:color w:val="auto"/>
          <w:szCs w:val="21"/>
          <w:highlight w:val="none"/>
        </w:rPr>
      </w:pPr>
      <w:r>
        <w:rPr>
          <w:rStyle w:val="129"/>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29"/>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7971"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7971"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7971"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12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12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12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7971"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7971"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138"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138"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806"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138"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noWrap w:val="0"/>
            <w:vAlign w:val="center"/>
          </w:tcPr>
          <w:p>
            <w:pPr>
              <w:spacing w:line="400" w:lineRule="exact"/>
              <w:rPr>
                <w:rFonts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Style w:val="129"/>
          <w:rFonts w:ascii="宋体" w:hAnsi="宋体"/>
          <w:color w:val="auto"/>
          <w:sz w:val="21"/>
          <w:szCs w:val="21"/>
          <w:highlight w:val="none"/>
        </w:rPr>
      </w:pPr>
      <w:r>
        <w:rPr>
          <w:rFonts w:ascii="宋体" w:hAnsi="宋体"/>
          <w:color w:val="auto"/>
          <w:szCs w:val="21"/>
          <w:highlight w:val="none"/>
        </w:rPr>
        <w:br w:type="page"/>
      </w:r>
    </w:p>
    <w:p>
      <w:pPr>
        <w:spacing w:line="44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掌起镇交管站综合安保辅助管理服务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Cs w:val="21"/>
          <w:highlight w:val="none"/>
          <w:u w:val="single"/>
        </w:rPr>
        <w:fldChar w:fldCharType="separate"/>
      </w:r>
      <w:r>
        <w:rPr>
          <w:rFonts w:hint="eastAsia" w:ascii="宋体" w:hAnsi="宋体"/>
          <w:color w:val="auto"/>
          <w:szCs w:val="21"/>
          <w:highlight w:val="none"/>
          <w:u w:val="single"/>
          <w:lang w:eastAsia="zh-CN"/>
        </w:rPr>
        <w:t>330282202310006863</w:t>
      </w:r>
      <w:r>
        <w:rPr>
          <w:rFonts w:hint="eastAsia" w:ascii="宋体" w:hAnsi="宋体"/>
          <w:color w:val="auto"/>
          <w:szCs w:val="21"/>
          <w:highlight w:val="none"/>
          <w:u w:val="single"/>
        </w:rPr>
        <w:fldChar w:fldCharType="end"/>
      </w:r>
      <w:r>
        <w:rPr>
          <w:rFonts w:hint="eastAsia" w:ascii="宋体" w:hAnsi="宋体"/>
          <w:color w:val="auto"/>
          <w:szCs w:val="21"/>
          <w:highlight w:val="none"/>
          <w:u w:val="single"/>
        </w:rPr>
        <w:t xml:space="preserve">  </w:t>
      </w:r>
    </w:p>
    <w:tbl>
      <w:tblPr>
        <w:tblStyle w:val="45"/>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038"/>
        <w:gridCol w:w="2912"/>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3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912"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07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3038" w:type="dxa"/>
            <w:noWrap w:val="0"/>
            <w:vAlign w:val="center"/>
          </w:tcPr>
          <w:p>
            <w:pPr>
              <w:adjustRightInd w:val="0"/>
              <w:snapToGrid w:val="0"/>
              <w:spacing w:line="400" w:lineRule="exact"/>
              <w:jc w:val="center"/>
              <w:rPr>
                <w:rFonts w:ascii="宋体" w:hAnsi="宋体"/>
                <w:color w:val="auto"/>
                <w:szCs w:val="21"/>
                <w:highlight w:val="none"/>
              </w:rPr>
            </w:pPr>
          </w:p>
        </w:tc>
        <w:tc>
          <w:tcPr>
            <w:tcW w:w="2912" w:type="dxa"/>
            <w:noWrap w:val="0"/>
            <w:vAlign w:val="center"/>
          </w:tcPr>
          <w:p>
            <w:pPr>
              <w:adjustRightInd w:val="0"/>
              <w:snapToGrid w:val="0"/>
              <w:spacing w:line="400" w:lineRule="exact"/>
              <w:jc w:val="center"/>
              <w:rPr>
                <w:rFonts w:ascii="宋体" w:hAnsi="宋体"/>
                <w:color w:val="auto"/>
                <w:szCs w:val="21"/>
                <w:highlight w:val="none"/>
              </w:rPr>
            </w:pPr>
          </w:p>
        </w:tc>
        <w:tc>
          <w:tcPr>
            <w:tcW w:w="2078"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3038" w:type="dxa"/>
            <w:noWrap w:val="0"/>
            <w:vAlign w:val="center"/>
          </w:tcPr>
          <w:p>
            <w:pPr>
              <w:adjustRightInd w:val="0"/>
              <w:snapToGrid w:val="0"/>
              <w:spacing w:line="400" w:lineRule="exact"/>
              <w:jc w:val="center"/>
              <w:rPr>
                <w:rFonts w:ascii="宋体" w:hAnsi="宋体"/>
                <w:color w:val="auto"/>
                <w:szCs w:val="21"/>
                <w:highlight w:val="none"/>
              </w:rPr>
            </w:pPr>
          </w:p>
        </w:tc>
        <w:tc>
          <w:tcPr>
            <w:tcW w:w="2912" w:type="dxa"/>
            <w:noWrap w:val="0"/>
            <w:vAlign w:val="center"/>
          </w:tcPr>
          <w:p>
            <w:pPr>
              <w:adjustRightInd w:val="0"/>
              <w:snapToGrid w:val="0"/>
              <w:spacing w:line="400" w:lineRule="exact"/>
              <w:jc w:val="center"/>
              <w:rPr>
                <w:rFonts w:ascii="宋体" w:hAnsi="宋体"/>
                <w:color w:val="auto"/>
                <w:szCs w:val="21"/>
                <w:highlight w:val="none"/>
              </w:rPr>
            </w:pPr>
          </w:p>
        </w:tc>
        <w:tc>
          <w:tcPr>
            <w:tcW w:w="2078"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3038" w:type="dxa"/>
            <w:noWrap w:val="0"/>
            <w:vAlign w:val="center"/>
          </w:tcPr>
          <w:p>
            <w:pPr>
              <w:adjustRightInd w:val="0"/>
              <w:snapToGrid w:val="0"/>
              <w:spacing w:line="400" w:lineRule="exact"/>
              <w:jc w:val="center"/>
              <w:rPr>
                <w:rFonts w:ascii="宋体" w:hAnsi="宋体"/>
                <w:color w:val="auto"/>
                <w:szCs w:val="21"/>
                <w:highlight w:val="none"/>
              </w:rPr>
            </w:pPr>
          </w:p>
        </w:tc>
        <w:tc>
          <w:tcPr>
            <w:tcW w:w="2912" w:type="dxa"/>
            <w:noWrap w:val="0"/>
            <w:vAlign w:val="center"/>
          </w:tcPr>
          <w:p>
            <w:pPr>
              <w:adjustRightInd w:val="0"/>
              <w:snapToGrid w:val="0"/>
              <w:spacing w:line="400" w:lineRule="exact"/>
              <w:jc w:val="center"/>
              <w:rPr>
                <w:rFonts w:ascii="宋体" w:hAnsi="宋体"/>
                <w:color w:val="auto"/>
                <w:szCs w:val="21"/>
                <w:highlight w:val="none"/>
              </w:rPr>
            </w:pPr>
          </w:p>
        </w:tc>
        <w:tc>
          <w:tcPr>
            <w:tcW w:w="2078"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3038" w:type="dxa"/>
            <w:noWrap w:val="0"/>
            <w:vAlign w:val="center"/>
          </w:tcPr>
          <w:p>
            <w:pPr>
              <w:adjustRightInd w:val="0"/>
              <w:snapToGrid w:val="0"/>
              <w:spacing w:line="400" w:lineRule="exact"/>
              <w:jc w:val="center"/>
              <w:rPr>
                <w:rFonts w:ascii="宋体" w:hAnsi="宋体"/>
                <w:color w:val="auto"/>
                <w:szCs w:val="21"/>
                <w:highlight w:val="none"/>
              </w:rPr>
            </w:pPr>
          </w:p>
        </w:tc>
        <w:tc>
          <w:tcPr>
            <w:tcW w:w="2912" w:type="dxa"/>
            <w:noWrap w:val="0"/>
            <w:vAlign w:val="center"/>
          </w:tcPr>
          <w:p>
            <w:pPr>
              <w:adjustRightInd w:val="0"/>
              <w:snapToGrid w:val="0"/>
              <w:spacing w:line="400" w:lineRule="exact"/>
              <w:jc w:val="center"/>
              <w:rPr>
                <w:rFonts w:ascii="宋体" w:hAnsi="宋体"/>
                <w:color w:val="auto"/>
                <w:szCs w:val="21"/>
                <w:highlight w:val="none"/>
              </w:rPr>
            </w:pPr>
          </w:p>
        </w:tc>
        <w:tc>
          <w:tcPr>
            <w:tcW w:w="2078"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3038" w:type="dxa"/>
            <w:noWrap w:val="0"/>
            <w:vAlign w:val="center"/>
          </w:tcPr>
          <w:p>
            <w:pPr>
              <w:adjustRightInd w:val="0"/>
              <w:snapToGrid w:val="0"/>
              <w:spacing w:line="400" w:lineRule="exact"/>
              <w:jc w:val="center"/>
              <w:rPr>
                <w:rFonts w:ascii="宋体" w:hAnsi="宋体"/>
                <w:color w:val="auto"/>
                <w:szCs w:val="21"/>
                <w:highlight w:val="none"/>
              </w:rPr>
            </w:pPr>
          </w:p>
        </w:tc>
        <w:tc>
          <w:tcPr>
            <w:tcW w:w="2912" w:type="dxa"/>
            <w:noWrap w:val="0"/>
            <w:vAlign w:val="center"/>
          </w:tcPr>
          <w:p>
            <w:pPr>
              <w:adjustRightInd w:val="0"/>
              <w:snapToGrid w:val="0"/>
              <w:spacing w:line="400" w:lineRule="exact"/>
              <w:jc w:val="center"/>
              <w:rPr>
                <w:rFonts w:ascii="宋体" w:hAnsi="宋体"/>
                <w:color w:val="auto"/>
                <w:szCs w:val="21"/>
                <w:highlight w:val="none"/>
              </w:rPr>
            </w:pPr>
          </w:p>
        </w:tc>
        <w:tc>
          <w:tcPr>
            <w:tcW w:w="2078"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bookmarkStart w:id="53" w:name="_Toc436408720"/>
      <w:bookmarkStart w:id="54" w:name="_Toc441316563"/>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hint="eastAsia" w:ascii="宋体" w:hAnsi="宋体"/>
          <w:b/>
          <w:bCs/>
          <w:color w:val="auto"/>
          <w:sz w:val="22"/>
          <w:szCs w:val="22"/>
          <w:highlight w:val="none"/>
        </w:rPr>
      </w:pPr>
      <w:r>
        <w:rPr>
          <w:rFonts w:ascii="宋体" w:hAnsi="宋体"/>
          <w:color w:val="auto"/>
          <w:szCs w:val="21"/>
          <w:highlight w:val="none"/>
        </w:rPr>
        <w:br w:type="page"/>
      </w:r>
      <w:bookmarkEnd w:id="53"/>
      <w:bookmarkStart w:id="55" w:name="_Toc441316564"/>
      <w:r>
        <w:rPr>
          <w:rFonts w:ascii="宋体" w:hAnsi="宋体"/>
          <w:b/>
          <w:color w:val="auto"/>
          <w:sz w:val="22"/>
          <w:szCs w:val="22"/>
          <w:highlight w:val="none"/>
        </w:rPr>
        <w:t>B</w:t>
      </w:r>
      <w:r>
        <w:rPr>
          <w:rFonts w:hint="eastAsia" w:ascii="宋体" w:hAnsi="宋体"/>
          <w:b/>
          <w:color w:val="auto"/>
          <w:sz w:val="22"/>
          <w:szCs w:val="22"/>
          <w:highlight w:val="none"/>
        </w:rPr>
        <w:t>6.</w:t>
      </w:r>
      <w:r>
        <w:rPr>
          <w:rFonts w:hint="eastAsia" w:ascii="宋体" w:hAnsi="宋体"/>
          <w:b/>
          <w:bCs/>
          <w:color w:val="auto"/>
          <w:sz w:val="22"/>
          <w:szCs w:val="22"/>
          <w:highlight w:val="none"/>
        </w:rPr>
        <w:t>合同条款响应表</w:t>
      </w:r>
    </w:p>
    <w:p>
      <w:pPr>
        <w:pStyle w:val="19"/>
        <w:rPr>
          <w:rFonts w:hint="eastAsia"/>
          <w:color w:val="auto"/>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掌起镇交管站综合安保辅助管理服务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Cs w:val="21"/>
          <w:highlight w:val="none"/>
          <w:u w:val="single"/>
        </w:rPr>
        <w:fldChar w:fldCharType="separate"/>
      </w:r>
      <w:r>
        <w:rPr>
          <w:rFonts w:hint="eastAsia" w:ascii="宋体" w:hAnsi="宋体"/>
          <w:color w:val="auto"/>
          <w:szCs w:val="21"/>
          <w:highlight w:val="none"/>
          <w:u w:val="single"/>
          <w:lang w:eastAsia="zh-CN"/>
        </w:rPr>
        <w:t>330282202310006863</w:t>
      </w:r>
      <w:r>
        <w:rPr>
          <w:rFonts w:hint="eastAsia" w:ascii="宋体" w:hAnsi="宋体"/>
          <w:color w:val="auto"/>
          <w:szCs w:val="21"/>
          <w:highlight w:val="none"/>
          <w:u w:val="single"/>
        </w:rPr>
        <w:fldChar w:fldCharType="end"/>
      </w:r>
      <w:r>
        <w:rPr>
          <w:rFonts w:hint="eastAsia" w:ascii="宋体" w:hAnsi="宋体"/>
          <w:color w:val="auto"/>
          <w:szCs w:val="21"/>
          <w:highlight w:val="none"/>
          <w:u w:val="single"/>
        </w:rPr>
        <w:t xml:space="preserve">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713"/>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71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pPr>
              <w:adjustRightInd w:val="0"/>
              <w:snapToGrid w:val="0"/>
              <w:spacing w:line="400" w:lineRule="exact"/>
              <w:jc w:val="center"/>
              <w:rPr>
                <w:rFonts w:ascii="宋体" w:hAnsi="宋体"/>
                <w:color w:val="auto"/>
                <w:szCs w:val="21"/>
                <w:highlight w:val="none"/>
              </w:rPr>
            </w:pPr>
          </w:p>
        </w:tc>
        <w:tc>
          <w:tcPr>
            <w:tcW w:w="2713"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pPr>
              <w:adjustRightInd w:val="0"/>
              <w:snapToGrid w:val="0"/>
              <w:spacing w:line="400" w:lineRule="exact"/>
              <w:jc w:val="center"/>
              <w:rPr>
                <w:rFonts w:ascii="宋体" w:hAnsi="宋体"/>
                <w:color w:val="auto"/>
                <w:szCs w:val="21"/>
                <w:highlight w:val="none"/>
              </w:rPr>
            </w:pPr>
          </w:p>
        </w:tc>
        <w:tc>
          <w:tcPr>
            <w:tcW w:w="2713"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pPr>
              <w:adjustRightInd w:val="0"/>
              <w:snapToGrid w:val="0"/>
              <w:spacing w:line="400" w:lineRule="exact"/>
              <w:jc w:val="center"/>
              <w:rPr>
                <w:rFonts w:ascii="宋体" w:hAnsi="宋体"/>
                <w:color w:val="auto"/>
                <w:szCs w:val="21"/>
                <w:highlight w:val="none"/>
              </w:rPr>
            </w:pPr>
          </w:p>
        </w:tc>
        <w:tc>
          <w:tcPr>
            <w:tcW w:w="2713"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9" w:type="dxa"/>
            <w:noWrap w:val="0"/>
            <w:vAlign w:val="center"/>
          </w:tcPr>
          <w:p>
            <w:pPr>
              <w:adjustRightInd w:val="0"/>
              <w:snapToGrid w:val="0"/>
              <w:spacing w:line="400" w:lineRule="exact"/>
              <w:jc w:val="center"/>
              <w:rPr>
                <w:rFonts w:ascii="宋体" w:hAnsi="宋体"/>
                <w:color w:val="auto"/>
                <w:szCs w:val="21"/>
                <w:highlight w:val="none"/>
              </w:rPr>
            </w:pPr>
          </w:p>
        </w:tc>
        <w:tc>
          <w:tcPr>
            <w:tcW w:w="2713"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注：须与“第四章</w:t>
      </w:r>
      <w:r>
        <w:rPr>
          <w:rFonts w:ascii="宋体" w:hAnsi="宋体"/>
          <w:color w:val="auto"/>
          <w:szCs w:val="21"/>
          <w:highlight w:val="none"/>
        </w:rPr>
        <w:t xml:space="preserve">  </w:t>
      </w:r>
      <w:r>
        <w:rPr>
          <w:rFonts w:hint="eastAsia" w:ascii="宋体" w:hAnsi="宋体"/>
          <w:color w:val="auto"/>
          <w:szCs w:val="21"/>
          <w:highlight w:val="none"/>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hint="eastAsia" w:ascii="宋体" w:hAnsi="宋体"/>
          <w:b/>
          <w:bCs/>
          <w:color w:val="auto"/>
          <w:szCs w:val="21"/>
          <w:highlight w:val="none"/>
        </w:rPr>
      </w:pPr>
      <w:r>
        <w:rPr>
          <w:rFonts w:ascii="宋体" w:hAnsi="宋体"/>
          <w:color w:val="auto"/>
          <w:szCs w:val="21"/>
          <w:highlight w:val="none"/>
        </w:rPr>
        <w:br w:type="page"/>
      </w:r>
      <w:r>
        <w:rPr>
          <w:rFonts w:ascii="宋体" w:hAnsi="宋体"/>
          <w:b/>
          <w:color w:val="auto"/>
          <w:szCs w:val="21"/>
          <w:highlight w:val="none"/>
        </w:rPr>
        <w:t>B7</w:t>
      </w:r>
      <w:r>
        <w:rPr>
          <w:rFonts w:hint="eastAsia" w:ascii="宋体" w:hAnsi="宋体"/>
          <w:b/>
          <w:color w:val="auto"/>
          <w:szCs w:val="21"/>
          <w:highlight w:val="none"/>
        </w:rPr>
        <w:t>.</w:t>
      </w:r>
      <w:r>
        <w:rPr>
          <w:rFonts w:hint="eastAsia" w:ascii="宋体" w:hAnsi="宋体"/>
          <w:b/>
          <w:bCs/>
          <w:color w:val="auto"/>
          <w:szCs w:val="21"/>
          <w:highlight w:val="none"/>
        </w:rPr>
        <w:t>技术条款响应表</w:t>
      </w:r>
    </w:p>
    <w:p>
      <w:pPr>
        <w:pStyle w:val="19"/>
        <w:rPr>
          <w:rFonts w:hint="eastAsia"/>
          <w:color w:val="auto"/>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掌起镇交管站综合安保辅助管理服务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Cs w:val="21"/>
          <w:highlight w:val="none"/>
          <w:u w:val="single"/>
        </w:rPr>
        <w:fldChar w:fldCharType="separate"/>
      </w:r>
      <w:r>
        <w:rPr>
          <w:rFonts w:hint="eastAsia" w:ascii="宋体" w:hAnsi="宋体"/>
          <w:color w:val="auto"/>
          <w:szCs w:val="21"/>
          <w:highlight w:val="none"/>
          <w:u w:val="single"/>
          <w:lang w:eastAsia="zh-CN"/>
        </w:rPr>
        <w:t>330282202310006863</w:t>
      </w:r>
      <w:r>
        <w:rPr>
          <w:rFonts w:hint="eastAsia" w:ascii="宋体" w:hAnsi="宋体"/>
          <w:color w:val="auto"/>
          <w:szCs w:val="21"/>
          <w:highlight w:val="none"/>
          <w:u w:val="single"/>
        </w:rPr>
        <w:fldChar w:fldCharType="end"/>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601"/>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601"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 w:type="dxa"/>
            <w:noWrap w:val="0"/>
            <w:vAlign w:val="center"/>
          </w:tcPr>
          <w:p>
            <w:pPr>
              <w:adjustRightInd w:val="0"/>
              <w:snapToGrid w:val="0"/>
              <w:spacing w:line="400" w:lineRule="exact"/>
              <w:jc w:val="center"/>
              <w:rPr>
                <w:rFonts w:ascii="宋体" w:hAnsi="宋体"/>
                <w:color w:val="auto"/>
                <w:szCs w:val="21"/>
                <w:highlight w:val="none"/>
              </w:rPr>
            </w:pPr>
          </w:p>
        </w:tc>
        <w:tc>
          <w:tcPr>
            <w:tcW w:w="2601"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 w:type="dxa"/>
            <w:noWrap w:val="0"/>
            <w:vAlign w:val="center"/>
          </w:tcPr>
          <w:p>
            <w:pPr>
              <w:adjustRightInd w:val="0"/>
              <w:snapToGrid w:val="0"/>
              <w:spacing w:line="400" w:lineRule="exact"/>
              <w:jc w:val="center"/>
              <w:rPr>
                <w:rFonts w:ascii="宋体" w:hAnsi="宋体"/>
                <w:color w:val="auto"/>
                <w:szCs w:val="21"/>
                <w:highlight w:val="none"/>
              </w:rPr>
            </w:pPr>
          </w:p>
        </w:tc>
        <w:tc>
          <w:tcPr>
            <w:tcW w:w="2601"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 w:type="dxa"/>
            <w:noWrap w:val="0"/>
            <w:vAlign w:val="center"/>
          </w:tcPr>
          <w:p>
            <w:pPr>
              <w:adjustRightInd w:val="0"/>
              <w:snapToGrid w:val="0"/>
              <w:spacing w:line="400" w:lineRule="exact"/>
              <w:jc w:val="center"/>
              <w:rPr>
                <w:rFonts w:ascii="宋体" w:hAnsi="宋体"/>
                <w:color w:val="auto"/>
                <w:szCs w:val="21"/>
                <w:highlight w:val="none"/>
              </w:rPr>
            </w:pPr>
          </w:p>
        </w:tc>
        <w:tc>
          <w:tcPr>
            <w:tcW w:w="2601"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 w:type="dxa"/>
            <w:noWrap w:val="0"/>
            <w:vAlign w:val="center"/>
          </w:tcPr>
          <w:p>
            <w:pPr>
              <w:adjustRightInd w:val="0"/>
              <w:snapToGrid w:val="0"/>
              <w:spacing w:line="400" w:lineRule="exact"/>
              <w:jc w:val="center"/>
              <w:rPr>
                <w:rFonts w:ascii="宋体" w:hAnsi="宋体"/>
                <w:color w:val="auto"/>
                <w:szCs w:val="21"/>
                <w:highlight w:val="none"/>
              </w:rPr>
            </w:pPr>
          </w:p>
        </w:tc>
        <w:tc>
          <w:tcPr>
            <w:tcW w:w="2601"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hint="eastAsia" w:ascii="宋体" w:hAnsi="宋体"/>
          <w:b/>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须与“第五章 招标内容与技术需求”相应标项内容逐项比较填写；</w:t>
      </w:r>
      <w:r>
        <w:rPr>
          <w:rFonts w:hint="eastAsia" w:ascii="宋体" w:hAnsi="宋体"/>
          <w:color w:val="auto"/>
          <w:szCs w:val="21"/>
          <w:highlight w:val="none"/>
        </w:rPr>
        <w:t>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exact"/>
        <w:jc w:val="center"/>
        <w:rPr>
          <w:rStyle w:val="129"/>
          <w:rFonts w:ascii="宋体" w:hAnsi="宋体"/>
          <w:color w:val="auto"/>
          <w:sz w:val="21"/>
          <w:szCs w:val="21"/>
          <w:highlight w:val="none"/>
        </w:rPr>
      </w:pPr>
      <w:r>
        <w:rPr>
          <w:rStyle w:val="129"/>
          <w:rFonts w:ascii="宋体" w:hAnsi="宋体"/>
          <w:color w:val="auto"/>
          <w:sz w:val="21"/>
          <w:szCs w:val="21"/>
          <w:highlight w:val="none"/>
        </w:rPr>
        <w:br w:type="page"/>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B8.类似业绩合同汇总表</w:t>
      </w:r>
    </w:p>
    <w:p>
      <w:pPr>
        <w:pStyle w:val="24"/>
        <w:rPr>
          <w:color w:val="auto"/>
          <w:highlight w:val="none"/>
        </w:rPr>
      </w:pPr>
    </w:p>
    <w:p>
      <w:pPr>
        <w:adjustRightInd w:val="0"/>
        <w:snapToGrid w:val="0"/>
        <w:spacing w:after="120" w:afterLines="50"/>
        <w:rPr>
          <w:rFonts w:ascii="宋体" w:hAnsi="宋体" w:cs="仿宋_GB2312"/>
          <w:color w:val="auto"/>
          <w:kern w:val="0"/>
          <w:szCs w:val="21"/>
          <w:highlight w:val="none"/>
        </w:rPr>
      </w:pPr>
      <w:r>
        <w:rPr>
          <w:rFonts w:hint="eastAsia" w:ascii="宋体" w:hAnsi="宋体" w:cs="仿宋_GB2312"/>
          <w:color w:val="auto"/>
          <w:kern w:val="0"/>
          <w:szCs w:val="21"/>
          <w:highlight w:val="none"/>
        </w:rPr>
        <w:t>项目名称：</w:t>
      </w:r>
      <w:r>
        <w:rPr>
          <w:rFonts w:hint="eastAsia" w:ascii="宋体" w:hAnsi="宋体" w:cs="宋体"/>
          <w:color w:val="auto"/>
          <w:szCs w:val="21"/>
          <w:highlight w:val="none"/>
          <w:lang w:eastAsia="zh-CN"/>
        </w:rPr>
        <w:t>掌起镇交管站综合安保辅助管理服务</w:t>
      </w:r>
      <w:r>
        <w:rPr>
          <w:rFonts w:hint="eastAsia" w:ascii="宋体" w:hAnsi="宋体" w:cs="宋体"/>
          <w:color w:val="auto"/>
          <w:szCs w:val="21"/>
          <w:highlight w:val="none"/>
        </w:rPr>
        <w:t>采购项目</w:t>
      </w:r>
      <w:r>
        <w:rPr>
          <w:rFonts w:hint="eastAsia" w:ascii="宋体" w:hAnsi="宋体" w:cs="仿宋_GB2312"/>
          <w:color w:val="auto"/>
          <w:kern w:val="0"/>
          <w:szCs w:val="21"/>
          <w:highlight w:val="none"/>
        </w:rPr>
        <w:t xml:space="preserve">   </w:t>
      </w:r>
    </w:p>
    <w:p>
      <w:pPr>
        <w:adjustRightInd w:val="0"/>
        <w:snapToGrid w:val="0"/>
        <w:spacing w:after="120" w:afterLines="50"/>
        <w:rPr>
          <w:rFonts w:hint="eastAsia" w:ascii="宋体" w:hAnsi="宋体"/>
          <w:b/>
          <w:color w:val="auto"/>
          <w:szCs w:val="21"/>
          <w:highlight w:val="none"/>
        </w:rPr>
      </w:pPr>
      <w:r>
        <w:rPr>
          <w:rFonts w:hint="eastAsia" w:ascii="宋体" w:hAnsi="宋体" w:cs="仿宋_GB2312"/>
          <w:color w:val="auto"/>
          <w:kern w:val="0"/>
          <w:szCs w:val="21"/>
          <w:highlight w:val="none"/>
        </w:rPr>
        <w:t>项目编号：</w:t>
      </w:r>
      <w:r>
        <w:rPr>
          <w:rFonts w:hint="eastAsia" w:ascii="宋体" w:hAnsi="宋体" w:cs="宋体"/>
          <w:color w:val="auto"/>
          <w:szCs w:val="21"/>
          <w:highlight w:val="none"/>
          <w:lang w:eastAsia="zh-CN"/>
        </w:rPr>
        <w:t>330282202310006863</w:t>
      </w:r>
      <w:r>
        <w:rPr>
          <w:rFonts w:hint="eastAsia" w:ascii="宋体" w:hAnsi="宋体" w:cs="宋体"/>
          <w:color w:val="auto"/>
          <w:szCs w:val="21"/>
          <w:highlight w:val="none"/>
        </w:rPr>
        <w:t xml:space="preserve"> </w:t>
      </w:r>
      <w:r>
        <w:rPr>
          <w:rFonts w:ascii="宋体" w:hAnsi="宋体" w:cs="仿宋_GB2312"/>
          <w:color w:val="auto"/>
          <w:kern w:val="0"/>
          <w:szCs w:val="21"/>
          <w:highlight w:val="non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96"/>
        <w:gridCol w:w="3015"/>
        <w:gridCol w:w="194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序号</w:t>
            </w:r>
          </w:p>
        </w:tc>
        <w:tc>
          <w:tcPr>
            <w:tcW w:w="2196"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采购人名称</w:t>
            </w:r>
          </w:p>
        </w:tc>
        <w:tc>
          <w:tcPr>
            <w:tcW w:w="3015"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项目名称</w:t>
            </w:r>
          </w:p>
        </w:tc>
        <w:tc>
          <w:tcPr>
            <w:tcW w:w="1942"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合同金额</w:t>
            </w:r>
          </w:p>
          <w:p>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（万元）</w:t>
            </w:r>
          </w:p>
        </w:tc>
        <w:tc>
          <w:tcPr>
            <w:tcW w:w="1574" w:type="dxa"/>
            <w:noWrap w:val="0"/>
            <w:vAlign w:val="center"/>
          </w:tcPr>
          <w:p>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7"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2196" w:type="dxa"/>
            <w:noWrap w:val="0"/>
            <w:vAlign w:val="center"/>
          </w:tcPr>
          <w:p>
            <w:pPr>
              <w:jc w:val="center"/>
              <w:rPr>
                <w:rFonts w:ascii="宋体" w:hAnsi="宋体" w:cs="仿宋_GB2312"/>
                <w:color w:val="auto"/>
                <w:szCs w:val="21"/>
                <w:highlight w:val="none"/>
              </w:rPr>
            </w:pPr>
          </w:p>
        </w:tc>
        <w:tc>
          <w:tcPr>
            <w:tcW w:w="3015" w:type="dxa"/>
            <w:noWrap w:val="0"/>
            <w:vAlign w:val="center"/>
          </w:tcPr>
          <w:p>
            <w:pPr>
              <w:jc w:val="center"/>
              <w:rPr>
                <w:rFonts w:ascii="宋体" w:hAnsi="宋体" w:cs="仿宋_GB2312"/>
                <w:color w:val="auto"/>
                <w:szCs w:val="21"/>
                <w:highlight w:val="none"/>
              </w:rPr>
            </w:pPr>
          </w:p>
        </w:tc>
        <w:tc>
          <w:tcPr>
            <w:tcW w:w="1942" w:type="dxa"/>
            <w:noWrap w:val="0"/>
            <w:vAlign w:val="center"/>
          </w:tcPr>
          <w:p>
            <w:pPr>
              <w:jc w:val="center"/>
              <w:rPr>
                <w:rFonts w:ascii="宋体" w:hAnsi="宋体" w:cs="仿宋_GB2312"/>
                <w:color w:val="auto"/>
                <w:szCs w:val="21"/>
                <w:highlight w:val="none"/>
              </w:rPr>
            </w:pPr>
          </w:p>
        </w:tc>
        <w:tc>
          <w:tcPr>
            <w:tcW w:w="1574"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7" w:type="dxa"/>
            <w:noWrap w:val="0"/>
            <w:vAlign w:val="center"/>
          </w:tcPr>
          <w:p>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2196" w:type="dxa"/>
            <w:noWrap w:val="0"/>
            <w:vAlign w:val="center"/>
          </w:tcPr>
          <w:p>
            <w:pPr>
              <w:jc w:val="center"/>
              <w:rPr>
                <w:rFonts w:ascii="宋体" w:hAnsi="宋体" w:cs="仿宋_GB2312"/>
                <w:color w:val="auto"/>
                <w:szCs w:val="21"/>
                <w:highlight w:val="none"/>
              </w:rPr>
            </w:pPr>
          </w:p>
        </w:tc>
        <w:tc>
          <w:tcPr>
            <w:tcW w:w="3015" w:type="dxa"/>
            <w:noWrap w:val="0"/>
            <w:vAlign w:val="center"/>
          </w:tcPr>
          <w:p>
            <w:pPr>
              <w:jc w:val="center"/>
              <w:rPr>
                <w:rFonts w:ascii="宋体" w:hAnsi="宋体" w:cs="仿宋_GB2312"/>
                <w:color w:val="auto"/>
                <w:szCs w:val="21"/>
                <w:highlight w:val="none"/>
              </w:rPr>
            </w:pPr>
          </w:p>
        </w:tc>
        <w:tc>
          <w:tcPr>
            <w:tcW w:w="1942" w:type="dxa"/>
            <w:noWrap w:val="0"/>
            <w:vAlign w:val="center"/>
          </w:tcPr>
          <w:p>
            <w:pPr>
              <w:jc w:val="center"/>
              <w:rPr>
                <w:rFonts w:ascii="宋体" w:hAnsi="宋体" w:cs="仿宋_GB2312"/>
                <w:color w:val="auto"/>
                <w:szCs w:val="21"/>
                <w:highlight w:val="none"/>
              </w:rPr>
            </w:pPr>
          </w:p>
        </w:tc>
        <w:tc>
          <w:tcPr>
            <w:tcW w:w="1574"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7" w:type="dxa"/>
            <w:noWrap w:val="0"/>
            <w:vAlign w:val="center"/>
          </w:tcPr>
          <w:p>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2196" w:type="dxa"/>
            <w:noWrap w:val="0"/>
            <w:vAlign w:val="center"/>
          </w:tcPr>
          <w:p>
            <w:pPr>
              <w:jc w:val="center"/>
              <w:rPr>
                <w:rFonts w:ascii="宋体" w:hAnsi="宋体" w:cs="仿宋_GB2312"/>
                <w:color w:val="auto"/>
                <w:szCs w:val="21"/>
                <w:highlight w:val="none"/>
              </w:rPr>
            </w:pPr>
          </w:p>
        </w:tc>
        <w:tc>
          <w:tcPr>
            <w:tcW w:w="3015" w:type="dxa"/>
            <w:noWrap w:val="0"/>
            <w:vAlign w:val="center"/>
          </w:tcPr>
          <w:p>
            <w:pPr>
              <w:jc w:val="center"/>
              <w:rPr>
                <w:rFonts w:ascii="宋体" w:hAnsi="宋体" w:cs="仿宋_GB2312"/>
                <w:color w:val="auto"/>
                <w:szCs w:val="21"/>
                <w:highlight w:val="none"/>
              </w:rPr>
            </w:pPr>
          </w:p>
        </w:tc>
        <w:tc>
          <w:tcPr>
            <w:tcW w:w="1942" w:type="dxa"/>
            <w:noWrap w:val="0"/>
            <w:vAlign w:val="center"/>
          </w:tcPr>
          <w:p>
            <w:pPr>
              <w:jc w:val="center"/>
              <w:rPr>
                <w:rFonts w:ascii="宋体" w:hAnsi="宋体" w:cs="仿宋_GB2312"/>
                <w:color w:val="auto"/>
                <w:szCs w:val="21"/>
                <w:highlight w:val="none"/>
              </w:rPr>
            </w:pPr>
          </w:p>
        </w:tc>
        <w:tc>
          <w:tcPr>
            <w:tcW w:w="1574"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87" w:type="dxa"/>
            <w:noWrap w:val="0"/>
            <w:vAlign w:val="center"/>
          </w:tcPr>
          <w:p>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w:t>
            </w:r>
          </w:p>
        </w:tc>
        <w:tc>
          <w:tcPr>
            <w:tcW w:w="2196" w:type="dxa"/>
            <w:noWrap w:val="0"/>
            <w:vAlign w:val="center"/>
          </w:tcPr>
          <w:p>
            <w:pPr>
              <w:jc w:val="center"/>
              <w:rPr>
                <w:rFonts w:ascii="宋体" w:hAnsi="宋体" w:cs="仿宋_GB2312"/>
                <w:color w:val="auto"/>
                <w:szCs w:val="21"/>
                <w:highlight w:val="none"/>
              </w:rPr>
            </w:pPr>
          </w:p>
        </w:tc>
        <w:tc>
          <w:tcPr>
            <w:tcW w:w="3015" w:type="dxa"/>
            <w:noWrap w:val="0"/>
            <w:vAlign w:val="center"/>
          </w:tcPr>
          <w:p>
            <w:pPr>
              <w:jc w:val="center"/>
              <w:rPr>
                <w:rFonts w:ascii="宋体" w:hAnsi="宋体" w:cs="仿宋_GB2312"/>
                <w:color w:val="auto"/>
                <w:szCs w:val="21"/>
                <w:highlight w:val="none"/>
              </w:rPr>
            </w:pPr>
          </w:p>
        </w:tc>
        <w:tc>
          <w:tcPr>
            <w:tcW w:w="1942" w:type="dxa"/>
            <w:noWrap w:val="0"/>
            <w:vAlign w:val="center"/>
          </w:tcPr>
          <w:p>
            <w:pPr>
              <w:jc w:val="center"/>
              <w:rPr>
                <w:rFonts w:ascii="宋体" w:hAnsi="宋体" w:cs="仿宋_GB2312"/>
                <w:color w:val="auto"/>
                <w:szCs w:val="21"/>
                <w:highlight w:val="none"/>
              </w:rPr>
            </w:pPr>
          </w:p>
        </w:tc>
        <w:tc>
          <w:tcPr>
            <w:tcW w:w="1574" w:type="dxa"/>
            <w:noWrap w:val="0"/>
            <w:vAlign w:val="center"/>
          </w:tcPr>
          <w:p>
            <w:pPr>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87" w:type="dxa"/>
            <w:noWrap w:val="0"/>
            <w:vAlign w:val="center"/>
          </w:tcPr>
          <w:p>
            <w:pPr>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196" w:type="dxa"/>
            <w:noWrap w:val="0"/>
            <w:vAlign w:val="center"/>
          </w:tcPr>
          <w:p>
            <w:pPr>
              <w:jc w:val="center"/>
              <w:rPr>
                <w:rFonts w:ascii="宋体" w:hAnsi="宋体" w:cs="仿宋_GB2312"/>
                <w:color w:val="auto"/>
                <w:szCs w:val="21"/>
                <w:highlight w:val="none"/>
              </w:rPr>
            </w:pPr>
          </w:p>
        </w:tc>
        <w:tc>
          <w:tcPr>
            <w:tcW w:w="3015" w:type="dxa"/>
            <w:noWrap w:val="0"/>
            <w:vAlign w:val="center"/>
          </w:tcPr>
          <w:p>
            <w:pPr>
              <w:jc w:val="center"/>
              <w:rPr>
                <w:rFonts w:ascii="宋体" w:hAnsi="宋体" w:cs="仿宋_GB2312"/>
                <w:color w:val="auto"/>
                <w:szCs w:val="21"/>
                <w:highlight w:val="none"/>
              </w:rPr>
            </w:pPr>
          </w:p>
        </w:tc>
        <w:tc>
          <w:tcPr>
            <w:tcW w:w="1942" w:type="dxa"/>
            <w:noWrap w:val="0"/>
            <w:vAlign w:val="center"/>
          </w:tcPr>
          <w:p>
            <w:pPr>
              <w:jc w:val="center"/>
              <w:rPr>
                <w:rFonts w:ascii="宋体" w:hAnsi="宋体" w:cs="仿宋_GB2312"/>
                <w:color w:val="auto"/>
                <w:szCs w:val="21"/>
                <w:highlight w:val="none"/>
              </w:rPr>
            </w:pPr>
          </w:p>
        </w:tc>
        <w:tc>
          <w:tcPr>
            <w:tcW w:w="1574" w:type="dxa"/>
            <w:noWrap w:val="0"/>
            <w:vAlign w:val="center"/>
          </w:tcPr>
          <w:p>
            <w:pPr>
              <w:jc w:val="center"/>
              <w:rPr>
                <w:rFonts w:ascii="宋体" w:hAnsi="宋体" w:cs="仿宋_GB2312"/>
                <w:color w:val="auto"/>
                <w:szCs w:val="21"/>
                <w:highlight w:val="none"/>
              </w:rPr>
            </w:pPr>
          </w:p>
        </w:tc>
      </w:tr>
    </w:tbl>
    <w:p>
      <w:pPr>
        <w:spacing w:line="480" w:lineRule="auto"/>
        <w:jc w:val="left"/>
        <w:rPr>
          <w:rStyle w:val="129"/>
          <w:rFonts w:hint="eastAsia" w:ascii="宋体" w:hAnsi="宋体" w:cs="宋体"/>
          <w:color w:val="auto"/>
          <w:highlight w:val="none"/>
        </w:rPr>
      </w:pPr>
    </w:p>
    <w:p>
      <w:pPr>
        <w:spacing w:line="480" w:lineRule="auto"/>
        <w:jc w:val="left"/>
        <w:rPr>
          <w:rStyle w:val="129"/>
          <w:rFonts w:hint="eastAsia" w:ascii="宋体" w:hAnsi="宋体" w:cs="宋体"/>
          <w:color w:val="auto"/>
          <w:highlight w:val="none"/>
        </w:rPr>
      </w:pPr>
    </w:p>
    <w:p>
      <w:pPr>
        <w:spacing w:line="40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（公章）</w:t>
      </w:r>
    </w:p>
    <w:p>
      <w:pPr>
        <w:snapToGrid w:val="0"/>
        <w:spacing w:line="400" w:lineRule="exact"/>
        <w:ind w:firstLine="3150" w:firstLineChars="1500"/>
        <w:rPr>
          <w:rFonts w:hint="eastAsia" w:ascii="宋体" w:hAnsi="宋体" w:cs="宋体"/>
          <w:color w:val="auto"/>
          <w:szCs w:val="21"/>
          <w:highlight w:val="none"/>
        </w:rPr>
      </w:pPr>
    </w:p>
    <w:p>
      <w:pPr>
        <w:spacing w:line="400" w:lineRule="exact"/>
        <w:jc w:val="center"/>
        <w:rPr>
          <w:rStyle w:val="129"/>
          <w:rFonts w:hint="eastAsia" w:ascii="宋体" w:hAnsi="宋体" w:cs="宋体"/>
          <w:color w:val="auto"/>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rPr>
          <w:rStyle w:val="129"/>
          <w:rFonts w:hint="eastAsia" w:ascii="宋体" w:hAnsi="宋体"/>
          <w:color w:val="auto"/>
          <w:sz w:val="21"/>
          <w:szCs w:val="21"/>
          <w:highlight w:val="none"/>
        </w:rPr>
      </w:pPr>
    </w:p>
    <w:p>
      <w:pPr>
        <w:spacing w:line="400" w:lineRule="exact"/>
        <w:rPr>
          <w:rStyle w:val="129"/>
          <w:rFonts w:hint="eastAsia" w:ascii="宋体" w:hAnsi="宋体"/>
          <w:color w:val="auto"/>
          <w:sz w:val="21"/>
          <w:szCs w:val="21"/>
          <w:highlight w:val="none"/>
        </w:rPr>
      </w:pPr>
      <w:r>
        <w:rPr>
          <w:rStyle w:val="129"/>
          <w:rFonts w:hint="eastAsia" w:ascii="宋体" w:hAnsi="宋体"/>
          <w:color w:val="auto"/>
          <w:sz w:val="21"/>
          <w:szCs w:val="21"/>
          <w:highlight w:val="none"/>
        </w:rPr>
        <w:t>B9.技术服务方案；</w:t>
      </w:r>
    </w:p>
    <w:p>
      <w:pPr>
        <w:spacing w:line="400" w:lineRule="exact"/>
        <w:rPr>
          <w:rStyle w:val="129"/>
          <w:rFonts w:hint="eastAsia" w:ascii="宋体" w:hAnsi="宋体"/>
          <w:color w:val="auto"/>
          <w:sz w:val="21"/>
          <w:szCs w:val="21"/>
          <w:highlight w:val="none"/>
        </w:rPr>
      </w:pPr>
      <w:r>
        <w:rPr>
          <w:rStyle w:val="129"/>
          <w:rFonts w:hint="eastAsia" w:ascii="宋体" w:hAnsi="宋体"/>
          <w:color w:val="auto"/>
          <w:sz w:val="21"/>
          <w:szCs w:val="21"/>
          <w:highlight w:val="none"/>
        </w:rPr>
        <w:t>B10.第三章“评标办法及标准”中“商务和技术评分表”要求提供的其他资料（如有需提供）；</w:t>
      </w:r>
    </w:p>
    <w:p>
      <w:pPr>
        <w:pBdr>
          <w:bottom w:val="single" w:color="auto" w:sz="6" w:space="1"/>
        </w:pBdr>
        <w:spacing w:line="400" w:lineRule="exact"/>
        <w:rPr>
          <w:rStyle w:val="129"/>
          <w:rFonts w:ascii="宋体" w:hAnsi="宋体"/>
          <w:color w:val="auto"/>
          <w:sz w:val="21"/>
          <w:szCs w:val="21"/>
          <w:highlight w:val="none"/>
        </w:rPr>
      </w:pPr>
      <w:r>
        <w:rPr>
          <w:rStyle w:val="129"/>
          <w:rFonts w:hint="eastAsia" w:ascii="宋体" w:hAnsi="宋体"/>
          <w:color w:val="auto"/>
          <w:sz w:val="21"/>
          <w:szCs w:val="21"/>
          <w:highlight w:val="none"/>
        </w:rPr>
        <w:t>B11.供应商认为需要的其他资料（如有需提供）。</w:t>
      </w:r>
    </w:p>
    <w:p>
      <w:pPr>
        <w:pStyle w:val="24"/>
        <w:adjustRightInd w:val="0"/>
        <w:snapToGrid w:val="0"/>
        <w:spacing w:line="400" w:lineRule="exact"/>
        <w:rPr>
          <w:rStyle w:val="129"/>
          <w:rFonts w:hint="eastAsia" w:hAnsi="宋体"/>
          <w:color w:val="auto"/>
          <w:sz w:val="21"/>
          <w:szCs w:val="21"/>
          <w:highlight w:val="none"/>
        </w:rPr>
      </w:pPr>
    </w:p>
    <w:p>
      <w:pPr>
        <w:pStyle w:val="24"/>
        <w:adjustRightInd w:val="0"/>
        <w:snapToGrid w:val="0"/>
        <w:spacing w:line="400" w:lineRule="exact"/>
        <w:rPr>
          <w:rStyle w:val="129"/>
          <w:rFonts w:hint="eastAsia" w:hAnsi="宋体"/>
          <w:color w:val="auto"/>
          <w:sz w:val="21"/>
          <w:szCs w:val="21"/>
          <w:highlight w:val="none"/>
        </w:rPr>
      </w:pPr>
    </w:p>
    <w:p>
      <w:pPr>
        <w:pStyle w:val="24"/>
        <w:adjustRightInd w:val="0"/>
        <w:snapToGrid w:val="0"/>
        <w:spacing w:line="400" w:lineRule="exact"/>
        <w:rPr>
          <w:rStyle w:val="129"/>
          <w:rFonts w:hint="eastAsia" w:hAnsi="宋体"/>
          <w:color w:val="auto"/>
          <w:sz w:val="21"/>
          <w:szCs w:val="21"/>
          <w:highlight w:val="none"/>
        </w:rPr>
      </w:pPr>
    </w:p>
    <w:p>
      <w:pPr>
        <w:pStyle w:val="24"/>
        <w:adjustRightInd w:val="0"/>
        <w:snapToGrid w:val="0"/>
        <w:spacing w:line="400" w:lineRule="exact"/>
        <w:rPr>
          <w:rStyle w:val="129"/>
          <w:rFonts w:hint="eastAsia" w:hAnsi="宋体"/>
          <w:color w:val="auto"/>
          <w:sz w:val="21"/>
          <w:szCs w:val="21"/>
          <w:highlight w:val="none"/>
        </w:rPr>
      </w:pPr>
    </w:p>
    <w:p>
      <w:pPr>
        <w:pStyle w:val="24"/>
        <w:adjustRightInd w:val="0"/>
        <w:snapToGrid w:val="0"/>
        <w:spacing w:line="400" w:lineRule="exact"/>
        <w:rPr>
          <w:rStyle w:val="129"/>
          <w:rFonts w:hint="eastAsia" w:hAnsi="宋体"/>
          <w:color w:val="auto"/>
          <w:sz w:val="21"/>
          <w:szCs w:val="21"/>
          <w:highlight w:val="none"/>
        </w:rPr>
      </w:pPr>
    </w:p>
    <w:p>
      <w:pPr>
        <w:spacing w:line="400" w:lineRule="exact"/>
        <w:rPr>
          <w:rFonts w:hint="eastAsia" w:ascii="宋体" w:hAnsi="宋体"/>
          <w:b/>
          <w:color w:val="auto"/>
          <w:szCs w:val="21"/>
          <w:highlight w:val="none"/>
        </w:rPr>
      </w:pPr>
    </w:p>
    <w:p>
      <w:pPr>
        <w:autoSpaceDE w:val="0"/>
        <w:autoSpaceDN w:val="0"/>
        <w:adjustRightInd w:val="0"/>
        <w:spacing w:before="960" w:beforeLines="400" w:line="420" w:lineRule="exact"/>
        <w:jc w:val="center"/>
        <w:rPr>
          <w:rStyle w:val="129"/>
          <w:rFonts w:ascii="宋体" w:hAnsi="宋体"/>
          <w:color w:val="auto"/>
          <w:sz w:val="32"/>
          <w:szCs w:val="32"/>
          <w:highlight w:val="none"/>
        </w:rPr>
      </w:pPr>
      <w:bookmarkStart w:id="56" w:name="_Toc74987431"/>
      <w:bookmarkStart w:id="57" w:name="_Toc21541028"/>
      <w:bookmarkStart w:id="58" w:name="_Toc74987463"/>
      <w:bookmarkStart w:id="59" w:name="_Toc443468293"/>
    </w:p>
    <w:p>
      <w:pPr>
        <w:autoSpaceDE w:val="0"/>
        <w:autoSpaceDN w:val="0"/>
        <w:adjustRightInd w:val="0"/>
        <w:spacing w:before="960" w:beforeLines="400" w:line="420" w:lineRule="exact"/>
        <w:jc w:val="center"/>
        <w:rPr>
          <w:rStyle w:val="129"/>
          <w:rFonts w:ascii="宋体" w:hAnsi="宋体"/>
          <w:color w:val="auto"/>
          <w:sz w:val="32"/>
          <w:szCs w:val="32"/>
          <w:highlight w:val="none"/>
        </w:rPr>
      </w:pPr>
      <w:r>
        <w:rPr>
          <w:rStyle w:val="129"/>
          <w:rFonts w:ascii="宋体" w:hAnsi="宋体"/>
          <w:color w:val="auto"/>
          <w:sz w:val="32"/>
          <w:szCs w:val="32"/>
          <w:highlight w:val="none"/>
        </w:rPr>
        <w:t>C.</w:t>
      </w:r>
      <w:r>
        <w:rPr>
          <w:rStyle w:val="129"/>
          <w:rFonts w:hint="eastAsia" w:ascii="宋体" w:hAnsi="宋体"/>
          <w:color w:val="auto"/>
          <w:sz w:val="32"/>
          <w:szCs w:val="32"/>
          <w:highlight w:val="none"/>
        </w:rPr>
        <w:t>报价文件</w:t>
      </w:r>
      <w:bookmarkEnd w:id="56"/>
      <w:bookmarkEnd w:id="57"/>
      <w:bookmarkEnd w:id="58"/>
      <w:bookmarkEnd w:id="59"/>
    </w:p>
    <w:p>
      <w:pPr>
        <w:autoSpaceDE w:val="0"/>
        <w:autoSpaceDN w:val="0"/>
        <w:adjustRightInd w:val="0"/>
        <w:spacing w:line="420" w:lineRule="exact"/>
        <w:rPr>
          <w:rStyle w:val="129"/>
          <w:rFonts w:ascii="宋体" w:hAnsi="宋体"/>
          <w:b w:val="0"/>
          <w:color w:val="auto"/>
          <w:highlight w:val="none"/>
          <w:lang w:val="zh-CN"/>
        </w:rPr>
      </w:pPr>
      <w:r>
        <w:rPr>
          <w:rStyle w:val="129"/>
          <w:rFonts w:ascii="宋体" w:hAnsi="宋体"/>
          <w:color w:val="auto"/>
          <w:sz w:val="32"/>
          <w:szCs w:val="32"/>
          <w:highlight w:val="none"/>
        </w:rPr>
        <w:br w:type="page"/>
      </w:r>
      <w:r>
        <w:rPr>
          <w:rStyle w:val="129"/>
          <w:rFonts w:hint="eastAsia" w:ascii="宋体" w:hAnsi="宋体"/>
          <w:color w:val="auto"/>
          <w:sz w:val="21"/>
          <w:szCs w:val="21"/>
          <w:highlight w:val="none"/>
        </w:rPr>
        <w:t>封面</w:t>
      </w:r>
    </w:p>
    <w:p>
      <w:pPr>
        <w:pStyle w:val="238"/>
        <w:rPr>
          <w:color w:val="auto"/>
          <w:highlight w:val="none"/>
        </w:rPr>
      </w:pPr>
    </w:p>
    <w:p>
      <w:pPr>
        <w:pStyle w:val="238"/>
        <w:rPr>
          <w:color w:val="auto"/>
          <w:highlight w:val="none"/>
        </w:rPr>
      </w:pPr>
    </w:p>
    <w:p>
      <w:pPr>
        <w:spacing w:line="360" w:lineRule="auto"/>
        <w:jc w:val="center"/>
        <w:rPr>
          <w:rFonts w:hint="eastAsia" w:ascii="宋体" w:hAnsi="宋体"/>
          <w:color w:val="auto"/>
          <w:sz w:val="40"/>
          <w:szCs w:val="48"/>
          <w:highlight w:val="none"/>
          <w:u w:val="single"/>
        </w:rPr>
      </w:pPr>
      <w:r>
        <w:rPr>
          <w:rFonts w:hint="eastAsia" w:ascii="宋体" w:hAnsi="宋体"/>
          <w:b/>
          <w:color w:val="auto"/>
          <w:sz w:val="40"/>
          <w:szCs w:val="48"/>
          <w:highlight w:val="none"/>
          <w:lang w:eastAsia="zh-CN"/>
        </w:rPr>
        <w:t>掌起镇交管站综合安保辅助管理服务</w:t>
      </w:r>
      <w:r>
        <w:rPr>
          <w:rFonts w:hint="eastAsia" w:ascii="宋体" w:hAnsi="宋体"/>
          <w:b/>
          <w:color w:val="auto"/>
          <w:sz w:val="40"/>
          <w:szCs w:val="48"/>
          <w:highlight w:val="none"/>
        </w:rPr>
        <w:t>采购项目</w:t>
      </w:r>
    </w:p>
    <w:p>
      <w:pPr>
        <w:spacing w:line="360" w:lineRule="auto"/>
        <w:jc w:val="center"/>
        <w:rPr>
          <w:rFonts w:hint="eastAsia" w:ascii="宋体" w:hAnsi="宋体"/>
          <w:color w:val="auto"/>
          <w:sz w:val="36"/>
          <w:szCs w:val="36"/>
          <w:highlight w:val="none"/>
          <w:u w:val="single"/>
        </w:rPr>
      </w:pPr>
    </w:p>
    <w:p>
      <w:pPr>
        <w:spacing w:line="360" w:lineRule="auto"/>
        <w:ind w:firstLine="2160" w:firstLineChars="600"/>
        <w:rPr>
          <w:rFonts w:hint="eastAsia"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2"/>
          <w:szCs w:val="32"/>
          <w:highlight w:val="none"/>
          <w:u w:val="single"/>
        </w:rPr>
        <w:fldChar w:fldCharType="begin"/>
      </w:r>
      <w:r>
        <w:rPr>
          <w:rFonts w:hint="eastAsia" w:ascii="宋体" w:hAnsi="宋体"/>
          <w:color w:val="auto"/>
          <w:sz w:val="32"/>
          <w:szCs w:val="32"/>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color w:val="auto"/>
          <w:sz w:val="32"/>
          <w:szCs w:val="32"/>
          <w:highlight w:val="none"/>
          <w:u w:val="single"/>
        </w:rPr>
        <w:fldChar w:fldCharType="separate"/>
      </w:r>
      <w:r>
        <w:rPr>
          <w:rFonts w:hint="eastAsia" w:ascii="宋体" w:hAnsi="宋体"/>
          <w:color w:val="auto"/>
          <w:sz w:val="32"/>
          <w:szCs w:val="32"/>
          <w:highlight w:val="none"/>
          <w:u w:val="single"/>
          <w:lang w:eastAsia="zh-CN"/>
        </w:rPr>
        <w:t>330282202310006863</w:t>
      </w:r>
      <w:r>
        <w:rPr>
          <w:rFonts w:hint="eastAsia" w:ascii="宋体" w:hAnsi="宋体"/>
          <w:color w:val="auto"/>
          <w:sz w:val="32"/>
          <w:szCs w:val="32"/>
          <w:highlight w:val="none"/>
          <w:u w:val="single"/>
        </w:rPr>
        <w:fldChar w:fldCharType="end"/>
      </w:r>
    </w:p>
    <w:p>
      <w:pPr>
        <w:rPr>
          <w:rFonts w:hint="eastAsia" w:ascii="宋体" w:hAnsi="宋体"/>
          <w:color w:val="auto"/>
          <w:sz w:val="28"/>
          <w:szCs w:val="28"/>
          <w:highlight w:val="none"/>
        </w:rPr>
      </w:pPr>
    </w:p>
    <w:p>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（报价文件）</w:t>
      </w:r>
    </w:p>
    <w:p>
      <w:pPr>
        <w:pStyle w:val="24"/>
        <w:rPr>
          <w:color w:val="auto"/>
          <w:highlight w:val="none"/>
        </w:rPr>
      </w:pPr>
    </w:p>
    <w:p>
      <w:pPr>
        <w:pStyle w:val="24"/>
        <w:rPr>
          <w:color w:val="auto"/>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6"/>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29"/>
          <w:rFonts w:ascii="宋体" w:hAnsi="宋体"/>
          <w:color w:val="auto"/>
          <w:sz w:val="28"/>
          <w:szCs w:val="28"/>
          <w:highlight w:val="none"/>
        </w:rPr>
      </w:pPr>
      <w:bookmarkStart w:id="60" w:name="_Toc443468294"/>
      <w:bookmarkStart w:id="61" w:name="_Toc74987562"/>
      <w:bookmarkStart w:id="62" w:name="_Toc21541029"/>
      <w:bookmarkStart w:id="63" w:name="_Toc85732609"/>
      <w:bookmarkStart w:id="64" w:name="_Toc74987432"/>
      <w:bookmarkStart w:id="65" w:name="_Toc1675"/>
      <w:bookmarkStart w:id="66" w:name="_Toc74987464"/>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60"/>
      <w:bookmarkEnd w:id="61"/>
      <w:bookmarkEnd w:id="62"/>
      <w:bookmarkEnd w:id="63"/>
      <w:bookmarkEnd w:id="64"/>
      <w:bookmarkEnd w:id="65"/>
      <w:bookmarkEnd w:id="66"/>
    </w:p>
    <w:p>
      <w:pPr>
        <w:autoSpaceDE w:val="0"/>
        <w:autoSpaceDN w:val="0"/>
        <w:adjustRightInd w:val="0"/>
        <w:spacing w:line="400" w:lineRule="exact"/>
        <w:jc w:val="center"/>
        <w:outlineLvl w:val="0"/>
        <w:rPr>
          <w:rStyle w:val="129"/>
          <w:rFonts w:ascii="宋体" w:hAnsi="宋体"/>
          <w:color w:val="auto"/>
          <w:sz w:val="28"/>
          <w:szCs w:val="28"/>
          <w:highlight w:val="none"/>
        </w:rPr>
      </w:pPr>
    </w:p>
    <w:p>
      <w:pPr>
        <w:spacing w:line="360" w:lineRule="auto"/>
        <w:jc w:val="center"/>
        <w:rPr>
          <w:rFonts w:hint="eastAsia" w:ascii="宋体" w:hAnsi="宋体"/>
          <w:b/>
          <w:color w:val="auto"/>
          <w:sz w:val="22"/>
          <w:szCs w:val="22"/>
          <w:highlight w:val="none"/>
        </w:rPr>
      </w:pPr>
      <w:r>
        <w:rPr>
          <w:rStyle w:val="129"/>
          <w:rFonts w:ascii="宋体" w:hAnsi="宋体"/>
          <w:color w:val="auto"/>
          <w:sz w:val="28"/>
          <w:szCs w:val="28"/>
          <w:highlight w:val="none"/>
        </w:rPr>
        <w:br w:type="page"/>
      </w:r>
      <w:bookmarkEnd w:id="54"/>
      <w:bookmarkEnd w:id="55"/>
      <w:bookmarkStart w:id="67" w:name="_Toc74987465"/>
      <w:bookmarkStart w:id="68" w:name="_Toc21541030"/>
      <w:bookmarkStart w:id="69" w:name="_Toc74987433"/>
      <w:r>
        <w:rPr>
          <w:rFonts w:hint="eastAsia" w:ascii="宋体" w:hAnsi="宋体"/>
          <w:b/>
          <w:color w:val="auto"/>
          <w:sz w:val="22"/>
          <w:szCs w:val="22"/>
          <w:highlight w:val="none"/>
        </w:rPr>
        <w:t>C1.开标一览表</w:t>
      </w:r>
      <w:bookmarkEnd w:id="67"/>
      <w:bookmarkEnd w:id="68"/>
      <w:bookmarkEnd w:id="69"/>
    </w:p>
    <w:p>
      <w:pPr>
        <w:pStyle w:val="24"/>
        <w:rPr>
          <w:color w:val="auto"/>
          <w:highlight w:val="none"/>
        </w:rPr>
      </w:pPr>
    </w:p>
    <w:p>
      <w:pPr>
        <w:adjustRightInd w:val="0"/>
        <w:snapToGrid w:val="0"/>
        <w:spacing w:after="120" w:afterLines="50"/>
        <w:rPr>
          <w:rFonts w:hint="eastAsia" w:ascii="宋体" w:hAnsi="宋体" w:cs="宋体"/>
          <w:color w:val="auto"/>
          <w:szCs w:val="21"/>
          <w:highlight w:val="none"/>
          <w:u w:val="single"/>
        </w:rPr>
      </w:pPr>
      <w:r>
        <w:rPr>
          <w:rFonts w:hint="eastAsia" w:ascii="宋体" w:hAnsi="宋体" w:cs="宋体"/>
          <w:color w:val="auto"/>
          <w:kern w:val="0"/>
          <w:szCs w:val="21"/>
          <w:highlight w:val="none"/>
        </w:rPr>
        <w:t>项目名称：</w:t>
      </w:r>
      <w:r>
        <w:rPr>
          <w:rFonts w:hint="eastAsia" w:ascii="宋体" w:hAnsi="宋体" w:cs="宋体"/>
          <w:color w:val="auto"/>
          <w:szCs w:val="21"/>
          <w:highlight w:val="none"/>
          <w:u w:val="single"/>
          <w:lang w:eastAsia="zh-CN"/>
        </w:rPr>
        <w:t>掌起镇交管站综合安保辅助管理服务</w:t>
      </w:r>
      <w:r>
        <w:rPr>
          <w:rFonts w:hint="eastAsia" w:ascii="宋体" w:hAnsi="宋体" w:cs="宋体"/>
          <w:color w:val="auto"/>
          <w:szCs w:val="21"/>
          <w:highlight w:val="none"/>
          <w:u w:val="single"/>
        </w:rPr>
        <w:t>采购项目</w:t>
      </w:r>
    </w:p>
    <w:p>
      <w:pPr>
        <w:adjustRightInd w:val="0"/>
        <w:snapToGrid w:val="0"/>
        <w:spacing w:after="120" w:afterLines="50"/>
        <w:rPr>
          <w:rFonts w:hint="eastAsia" w:ascii="宋体" w:hAnsi="宋体" w:cs="宋体"/>
          <w:color w:val="auto"/>
          <w:szCs w:val="21"/>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eastAsia="宋体"/>
          <w:color w:val="auto"/>
          <w:sz w:val="21"/>
          <w:szCs w:val="21"/>
          <w:highlight w:val="none"/>
          <w:u w:val="single"/>
        </w:rPr>
        <w:fldChar w:fldCharType="begin"/>
      </w:r>
      <w:r>
        <w:rPr>
          <w:rFonts w:hint="eastAsia" w:ascii="宋体" w:hAnsi="宋体" w:eastAsia="宋体"/>
          <w:color w:val="auto"/>
          <w:sz w:val="21"/>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olor w:val="auto"/>
          <w:sz w:val="21"/>
          <w:szCs w:val="21"/>
          <w:highlight w:val="none"/>
          <w:u w:val="single"/>
        </w:rPr>
        <w:fldChar w:fldCharType="separate"/>
      </w:r>
      <w:r>
        <w:rPr>
          <w:rFonts w:hint="eastAsia" w:ascii="宋体" w:hAnsi="宋体" w:eastAsia="宋体"/>
          <w:color w:val="auto"/>
          <w:sz w:val="21"/>
          <w:szCs w:val="21"/>
          <w:highlight w:val="none"/>
          <w:u w:val="single"/>
          <w:lang w:eastAsia="zh-CN"/>
        </w:rPr>
        <w:t>330282202310006863</w:t>
      </w:r>
      <w:r>
        <w:rPr>
          <w:rFonts w:hint="eastAsia" w:ascii="宋体" w:hAnsi="宋体" w:eastAsia="宋体"/>
          <w:color w:val="auto"/>
          <w:sz w:val="21"/>
          <w:szCs w:val="21"/>
          <w:highlight w:val="none"/>
          <w:u w:val="single"/>
        </w:rPr>
        <w:fldChar w:fldCharType="end"/>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 xml:space="preserve"> </w:t>
      </w:r>
    </w:p>
    <w:p>
      <w:pPr>
        <w:pStyle w:val="19"/>
        <w:rPr>
          <w:rFonts w:hint="eastAsia"/>
          <w:color w:val="auto"/>
          <w:highlight w:val="none"/>
        </w:rPr>
      </w:pPr>
    </w:p>
    <w:tbl>
      <w:tblPr>
        <w:tblStyle w:val="4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1738"/>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57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1738"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4825" w:type="dxa"/>
            <w:noWrap w:val="0"/>
            <w:vAlign w:val="center"/>
          </w:tcPr>
          <w:p>
            <w:pPr>
              <w:ind w:firstLine="420"/>
              <w:jc w:val="center"/>
              <w:rPr>
                <w:rFonts w:ascii="宋体" w:hAnsi="宋体" w:cs="宋体"/>
                <w:color w:val="auto"/>
                <w:szCs w:val="21"/>
                <w:highlight w:val="none"/>
              </w:rPr>
            </w:pPr>
            <w:r>
              <w:rPr>
                <w:rFonts w:hint="eastAsia" w:ascii="宋体" w:hAnsi="宋体"/>
                <w:color w:val="auto"/>
                <w:szCs w:val="21"/>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572" w:type="dxa"/>
            <w:noWrap w:val="0"/>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掌起镇交管站综合安保辅助管理服务</w:t>
            </w:r>
          </w:p>
        </w:tc>
        <w:tc>
          <w:tcPr>
            <w:tcW w:w="1738"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一年</w:t>
            </w:r>
          </w:p>
        </w:tc>
        <w:tc>
          <w:tcPr>
            <w:tcW w:w="4825" w:type="dxa"/>
            <w:noWrap w:val="0"/>
            <w:vAlign w:val="center"/>
          </w:tcPr>
          <w:p>
            <w:pPr>
              <w:widowControl/>
              <w:spacing w:line="480" w:lineRule="auto"/>
              <w:rPr>
                <w:rFonts w:ascii="宋体" w:hAnsi="宋体" w:cs="宋体"/>
                <w:color w:val="auto"/>
                <w:szCs w:val="21"/>
                <w:highlight w:val="none"/>
                <w:u w:val="singl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tc>
      </w:tr>
    </w:tbl>
    <w:p>
      <w:pPr>
        <w:ind w:firstLine="422"/>
        <w:rPr>
          <w:rFonts w:hint="eastAsia" w:ascii="宋体" w:hAnsi="宋体" w:cs="宋体"/>
          <w:b/>
          <w:bCs/>
          <w:color w:val="auto"/>
          <w:szCs w:val="21"/>
          <w:highlight w:val="none"/>
        </w:rPr>
      </w:pPr>
    </w:p>
    <w:p>
      <w:pPr>
        <w:spacing w:line="400" w:lineRule="exact"/>
        <w:ind w:firstLine="3570" w:firstLineChars="1700"/>
        <w:rPr>
          <w:rFonts w:hint="eastAsia" w:ascii="宋体" w:hAnsi="宋体" w:cs="宋体"/>
          <w:color w:val="auto"/>
          <w:szCs w:val="21"/>
          <w:highlight w:val="none"/>
        </w:rPr>
      </w:pPr>
    </w:p>
    <w:p>
      <w:pPr>
        <w:spacing w:line="360" w:lineRule="auto"/>
        <w:ind w:left="170"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spacing w:line="360" w:lineRule="auto"/>
        <w:rPr>
          <w:rFonts w:hint="eastAsia" w:ascii="宋体" w:hAnsi="宋体" w:cs="宋体"/>
          <w:color w:val="auto"/>
          <w:szCs w:val="21"/>
          <w:highlight w:val="none"/>
        </w:rPr>
        <w:sectPr>
          <w:pgSz w:w="11906" w:h="16838"/>
          <w:pgMar w:top="1361" w:right="1247" w:bottom="1361" w:left="1361" w:header="851" w:footer="992" w:gutter="0"/>
          <w:cols w:space="720" w:num="1"/>
          <w:titlePg/>
          <w:docGrid w:linePitch="391" w:charSpace="0"/>
        </w:sectPr>
      </w:pPr>
      <w:r>
        <w:rPr>
          <w:rFonts w:hint="eastAsia" w:ascii="宋体" w:hAnsi="宋体" w:cs="宋体"/>
          <w:color w:val="auto"/>
          <w:szCs w:val="21"/>
          <w:highlight w:val="none"/>
        </w:rPr>
        <w:t xml:space="preserve">                                   投标日期：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C2.分项报价表</w:t>
      </w:r>
    </w:p>
    <w:p>
      <w:pPr>
        <w:pStyle w:val="3"/>
        <w:spacing w:line="400" w:lineRule="exact"/>
        <w:ind w:firstLine="0"/>
        <w:rPr>
          <w:rFonts w:hint="eastAsia" w:ascii="宋体" w:hAnsi="宋体" w:eastAsia="宋体"/>
          <w:color w:val="auto"/>
          <w:sz w:val="21"/>
          <w:szCs w:val="21"/>
          <w:highlight w:val="none"/>
        </w:rPr>
      </w:pPr>
    </w:p>
    <w:p>
      <w:pPr>
        <w:pStyle w:val="3"/>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掌起镇交管站综合安保辅助管理服务</w:t>
      </w:r>
      <w:r>
        <w:rPr>
          <w:rFonts w:hint="eastAsia" w:ascii="宋体" w:hAnsi="宋体" w:eastAsia="宋体"/>
          <w:color w:val="auto"/>
          <w:sz w:val="21"/>
          <w:szCs w:val="21"/>
          <w:highlight w:val="none"/>
          <w:u w:val="single"/>
        </w:rPr>
        <w:t>采购项目</w:t>
      </w:r>
      <w:r>
        <w:rPr>
          <w:rFonts w:hint="eastAsia" w:ascii="宋体" w:hAnsi="宋体" w:eastAsia="宋体"/>
          <w:color w:val="auto"/>
          <w:sz w:val="21"/>
          <w:szCs w:val="21"/>
          <w:highlight w:val="none"/>
        </w:rPr>
        <w:t xml:space="preserve">              </w:t>
      </w:r>
    </w:p>
    <w:p>
      <w:pPr>
        <w:pStyle w:val="3"/>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采购编号：</w:t>
      </w:r>
      <w:r>
        <w:rPr>
          <w:rFonts w:hint="eastAsia" w:ascii="宋体" w:hAnsi="宋体" w:eastAsia="宋体"/>
          <w:color w:val="auto"/>
          <w:sz w:val="21"/>
          <w:szCs w:val="21"/>
          <w:highlight w:val="none"/>
          <w:u w:val="single"/>
        </w:rPr>
        <w:fldChar w:fldCharType="begin"/>
      </w:r>
      <w:r>
        <w:rPr>
          <w:rFonts w:hint="eastAsia" w:ascii="宋体" w:hAnsi="宋体" w:eastAsia="宋体"/>
          <w:color w:val="auto"/>
          <w:sz w:val="21"/>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olor w:val="auto"/>
          <w:sz w:val="21"/>
          <w:szCs w:val="21"/>
          <w:highlight w:val="none"/>
          <w:u w:val="single"/>
        </w:rPr>
        <w:fldChar w:fldCharType="separate"/>
      </w:r>
      <w:r>
        <w:rPr>
          <w:rFonts w:hint="eastAsia" w:ascii="宋体" w:hAnsi="宋体" w:eastAsia="宋体"/>
          <w:color w:val="auto"/>
          <w:sz w:val="21"/>
          <w:szCs w:val="21"/>
          <w:highlight w:val="none"/>
          <w:u w:val="single"/>
          <w:lang w:eastAsia="zh-CN"/>
        </w:rPr>
        <w:t>330282202310006863</w:t>
      </w:r>
      <w:r>
        <w:rPr>
          <w:rFonts w:hint="eastAsia" w:ascii="宋体" w:hAnsi="宋体" w:eastAsia="宋体"/>
          <w:color w:val="auto"/>
          <w:sz w:val="21"/>
          <w:szCs w:val="21"/>
          <w:highlight w:val="none"/>
          <w:u w:val="single"/>
        </w:rPr>
        <w:fldChar w:fldCharType="end"/>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2354"/>
        <w:gridCol w:w="2127"/>
        <w:gridCol w:w="1559"/>
        <w:gridCol w:w="198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4" w:space="0"/>
              <w:left w:val="single" w:color="auto" w:sz="4" w:space="0"/>
              <w:bottom w:val="single" w:color="auto" w:sz="4"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354" w:type="dxa"/>
            <w:tcBorders>
              <w:top w:val="single" w:color="auto" w:sz="4" w:space="0"/>
              <w:left w:val="single" w:color="auto" w:sz="2" w:space="0"/>
              <w:bottom w:val="single" w:color="auto" w:sz="4"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服务名称</w:t>
            </w:r>
          </w:p>
        </w:tc>
        <w:tc>
          <w:tcPr>
            <w:tcW w:w="2127" w:type="dxa"/>
            <w:tcBorders>
              <w:top w:val="single" w:color="auto" w:sz="4" w:space="0"/>
              <w:left w:val="single" w:color="auto" w:sz="2" w:space="0"/>
              <w:bottom w:val="single" w:color="auto" w:sz="4"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单价</w:t>
            </w: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1985" w:type="dxa"/>
            <w:tcBorders>
              <w:top w:val="single" w:color="auto" w:sz="4" w:space="0"/>
              <w:left w:val="single" w:color="auto" w:sz="2" w:space="0"/>
              <w:bottom w:val="single" w:color="auto" w:sz="4"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4" w:space="0"/>
              <w:left w:val="single" w:color="auto" w:sz="4" w:space="0"/>
              <w:bottom w:val="single" w:color="auto" w:sz="4"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54" w:type="dxa"/>
            <w:tcBorders>
              <w:top w:val="single" w:color="auto" w:sz="4" w:space="0"/>
              <w:left w:val="single" w:color="auto" w:sz="2" w:space="0"/>
              <w:bottom w:val="single" w:color="auto" w:sz="4"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员工工资</w:t>
            </w:r>
          </w:p>
        </w:tc>
        <w:tc>
          <w:tcPr>
            <w:tcW w:w="2127" w:type="dxa"/>
            <w:tcBorders>
              <w:top w:val="single" w:color="auto" w:sz="4" w:space="0"/>
              <w:left w:val="single" w:color="auto" w:sz="2" w:space="0"/>
              <w:bottom w:val="single" w:color="auto" w:sz="4"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4"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54" w:type="dxa"/>
            <w:tcBorders>
              <w:top w:val="single" w:color="auto" w:sz="4" w:space="0"/>
              <w:left w:val="single" w:color="auto" w:sz="2" w:space="0"/>
              <w:bottom w:val="single" w:color="auto" w:sz="4"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社会保障及福利</w:t>
            </w:r>
          </w:p>
        </w:tc>
        <w:tc>
          <w:tcPr>
            <w:tcW w:w="2127" w:type="dxa"/>
            <w:tcBorders>
              <w:top w:val="single" w:color="auto" w:sz="4" w:space="0"/>
              <w:left w:val="single" w:color="auto" w:sz="2" w:space="0"/>
              <w:bottom w:val="single" w:color="auto" w:sz="4"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4"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4"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54"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服装</w:t>
            </w:r>
          </w:p>
        </w:tc>
        <w:tc>
          <w:tcPr>
            <w:tcW w:w="2127"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354"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设备折旧</w:t>
            </w:r>
          </w:p>
        </w:tc>
        <w:tc>
          <w:tcPr>
            <w:tcW w:w="2127"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354"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p>
        </w:tc>
        <w:tc>
          <w:tcPr>
            <w:tcW w:w="2127"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354"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w:t>
            </w:r>
          </w:p>
        </w:tc>
        <w:tc>
          <w:tcPr>
            <w:tcW w:w="2127"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2354"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widowControl/>
              <w:spacing w:line="400" w:lineRule="exact"/>
              <w:contextualSpacing/>
              <w:jc w:val="center"/>
              <w:rPr>
                <w:rFonts w:hint="default"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管理费、利润</w:t>
            </w:r>
          </w:p>
        </w:tc>
        <w:tc>
          <w:tcPr>
            <w:tcW w:w="2127"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276" w:type="dxa"/>
            <w:tcBorders>
              <w:top w:val="single" w:color="auto" w:sz="2"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2354"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widowControl/>
              <w:spacing w:line="400" w:lineRule="exact"/>
              <w:contextualSpacing/>
              <w:jc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税金</w:t>
            </w:r>
          </w:p>
        </w:tc>
        <w:tc>
          <w:tcPr>
            <w:tcW w:w="2127" w:type="dxa"/>
            <w:tcBorders>
              <w:top w:val="single" w:color="auto" w:sz="4" w:space="0"/>
              <w:left w:val="single" w:color="auto" w:sz="2"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p>
        </w:tc>
        <w:tc>
          <w:tcPr>
            <w:tcW w:w="1559"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c>
          <w:tcPr>
            <w:tcW w:w="198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7316" w:type="dxa"/>
            <w:gridSpan w:val="4"/>
            <w:tcBorders>
              <w:top w:val="single" w:color="auto" w:sz="4" w:space="0"/>
              <w:left w:val="single" w:color="auto" w:sz="4" w:space="0"/>
              <w:bottom w:val="single" w:color="auto" w:sz="2" w:space="0"/>
              <w:right w:val="single" w:color="auto" w:sz="2" w:space="0"/>
            </w:tcBorders>
            <w:noWrap w:val="0"/>
            <w:tcMar>
              <w:left w:w="0" w:type="dxa"/>
              <w:right w:w="0" w:type="dxa"/>
            </w:tcMar>
            <w:vAlign w:val="center"/>
          </w:tcPr>
          <w:p>
            <w:pPr>
              <w:spacing w:line="400" w:lineRule="exact"/>
              <w:contextualSpacing/>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1985" w:type="dxa"/>
            <w:tcBorders>
              <w:top w:val="single" w:color="auto" w:sz="4" w:space="0"/>
              <w:left w:val="single" w:color="auto" w:sz="4" w:space="0"/>
              <w:bottom w:val="single" w:color="auto" w:sz="2" w:space="0"/>
              <w:right w:val="single" w:color="auto" w:sz="2" w:space="0"/>
            </w:tcBorders>
            <w:noWrap w:val="0"/>
            <w:vAlign w:val="center"/>
          </w:tcPr>
          <w:p>
            <w:pPr>
              <w:spacing w:line="400" w:lineRule="exact"/>
              <w:contextualSpacing/>
              <w:jc w:val="center"/>
              <w:rPr>
                <w:rFonts w:hint="eastAsia" w:ascii="宋体" w:hAnsi="宋体" w:eastAsia="宋体" w:cs="宋体"/>
                <w:color w:val="auto"/>
                <w:kern w:val="0"/>
                <w:sz w:val="21"/>
                <w:szCs w:val="21"/>
              </w:rPr>
            </w:pPr>
          </w:p>
        </w:tc>
      </w:tr>
    </w:tbl>
    <w:p>
      <w:pPr>
        <w:adjustRightInd w:val="0"/>
        <w:snapToGrid w:val="0"/>
        <w:ind w:firstLine="50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 xml:space="preserve">   </w:t>
      </w:r>
    </w:p>
    <w:p>
      <w:pPr>
        <w:rPr>
          <w:rFonts w:hint="eastAsia"/>
          <w:b/>
          <w:bCs/>
          <w:color w:val="auto"/>
          <w:highlight w:val="none"/>
        </w:rPr>
      </w:pPr>
      <w:r>
        <w:rPr>
          <w:rFonts w:hint="eastAsia"/>
          <w:b/>
          <w:bCs/>
          <w:color w:val="auto"/>
          <w:highlight w:val="none"/>
        </w:rPr>
        <w:t>注：1.本表可根据实际情况调整；</w:t>
      </w:r>
    </w:p>
    <w:p>
      <w:pPr>
        <w:ind w:firstLine="422" w:firstLineChars="200"/>
        <w:rPr>
          <w:b/>
          <w:bCs/>
          <w:color w:val="auto"/>
          <w:highlight w:val="none"/>
        </w:rPr>
      </w:pPr>
      <w:r>
        <w:rPr>
          <w:rFonts w:hint="eastAsia"/>
          <w:b/>
          <w:bCs/>
          <w:color w:val="auto"/>
          <w:highlight w:val="none"/>
        </w:rPr>
        <w:t>2.总计金额需与C1开标一览表中投标报价一致。</w:t>
      </w:r>
    </w:p>
    <w:p>
      <w:pPr>
        <w:spacing w:line="360" w:lineRule="auto"/>
        <w:ind w:left="170" w:firstLine="4200" w:firstLineChars="2000"/>
        <w:rPr>
          <w:rFonts w:hint="eastAsia" w:ascii="宋体" w:hAnsi="宋体" w:cs="宋体"/>
          <w:color w:val="auto"/>
          <w:szCs w:val="21"/>
          <w:highlight w:val="none"/>
        </w:rPr>
      </w:pPr>
    </w:p>
    <w:p>
      <w:pPr>
        <w:spacing w:line="360" w:lineRule="auto"/>
        <w:ind w:left="170"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spacing w:line="360" w:lineRule="auto"/>
        <w:rPr>
          <w:rFonts w:hint="eastAsia" w:ascii="宋体" w:hAnsi="宋体" w:cs="宋体"/>
          <w:color w:val="auto"/>
          <w:szCs w:val="21"/>
          <w:highlight w:val="none"/>
        </w:rPr>
        <w:sectPr>
          <w:pgSz w:w="11906" w:h="16838"/>
          <w:pgMar w:top="1361" w:right="1247" w:bottom="1361" w:left="1361" w:header="851" w:footer="992" w:gutter="0"/>
          <w:cols w:space="720" w:num="1"/>
          <w:titlePg/>
          <w:docGrid w:linePitch="391" w:charSpace="0"/>
        </w:sectPr>
      </w:pPr>
      <w:r>
        <w:rPr>
          <w:rFonts w:hint="eastAsia" w:ascii="宋体" w:hAnsi="宋体" w:cs="宋体"/>
          <w:color w:val="auto"/>
          <w:szCs w:val="21"/>
          <w:highlight w:val="none"/>
        </w:rPr>
        <w:t xml:space="preserve">                                           投标日期：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ascii="宋体" w:hAnsi="宋体"/>
          <w:b/>
          <w:color w:val="auto"/>
          <w:szCs w:val="21"/>
          <w:highlight w:val="none"/>
        </w:rPr>
      </w:pPr>
      <w:bookmarkStart w:id="70" w:name="_Toc74987468"/>
      <w:bookmarkStart w:id="71" w:name="_Toc74987436"/>
      <w:r>
        <w:rPr>
          <w:rFonts w:hint="eastAsia" w:ascii="宋体" w:hAnsi="宋体"/>
          <w:b/>
          <w:color w:val="auto"/>
          <w:szCs w:val="21"/>
          <w:highlight w:val="none"/>
        </w:rPr>
        <w:t>政府采购活动现场确认声明书</w:t>
      </w:r>
      <w:bookmarkEnd w:id="70"/>
      <w:bookmarkEnd w:id="71"/>
    </w:p>
    <w:p>
      <w:pPr>
        <w:pStyle w:val="101"/>
        <w:snapToGrid w:val="0"/>
        <w:spacing w:line="400" w:lineRule="exact"/>
        <w:rPr>
          <w:rFonts w:hAnsi="宋体"/>
          <w:color w:val="auto"/>
          <w:szCs w:val="21"/>
          <w:highlight w:val="none"/>
        </w:rPr>
      </w:pPr>
      <w:r>
        <w:rPr>
          <w:rFonts w:hint="eastAsia" w:hAnsi="宋体"/>
          <w:color w:val="auto"/>
          <w:szCs w:val="21"/>
          <w:highlight w:val="none"/>
        </w:rPr>
        <w:t>致：采购人</w:t>
      </w:r>
    </w:p>
    <w:p>
      <w:pPr>
        <w:pStyle w:val="101"/>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（供应商名称）法定代表人</w:t>
      </w:r>
      <w:r>
        <w:rPr>
          <w:rFonts w:hint="eastAsia" w:hAnsi="宋体"/>
          <w:color w:val="auto"/>
          <w:szCs w:val="21"/>
          <w:highlight w:val="none"/>
        </w:rPr>
        <w:t>（负责人）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掌起镇交管站综合安保辅助管理服务</w:t>
      </w:r>
      <w:r>
        <w:rPr>
          <w:rFonts w:hint="eastAsia" w:hAnsi="宋体"/>
          <w:color w:val="auto"/>
          <w:szCs w:val="21"/>
          <w:highlight w:val="none"/>
          <w:u w:val="single"/>
        </w:rPr>
        <w:t>采购项目</w:t>
      </w:r>
      <w:r>
        <w:rPr>
          <w:rFonts w:hint="eastAsia" w:hAnsi="宋体"/>
          <w:color w:val="auto"/>
          <w:szCs w:val="21"/>
          <w:highlight w:val="none"/>
        </w:rPr>
        <w:t>（项目编号：</w:t>
      </w:r>
      <w:r>
        <w:rPr>
          <w:rFonts w:hint="eastAsia" w:hAnsi="宋体"/>
          <w:color w:val="auto"/>
          <w:szCs w:val="21"/>
          <w:highlight w:val="none"/>
          <w:u w:val="single"/>
        </w:rPr>
        <w:t xml:space="preserve"> </w:t>
      </w:r>
      <w:r>
        <w:rPr>
          <w:rFonts w:hint="eastAsia" w:hAnsi="宋体"/>
          <w:color w:val="auto"/>
          <w:szCs w:val="21"/>
          <w:highlight w:val="none"/>
          <w:u w:val="single"/>
        </w:rPr>
        <w:fldChar w:fldCharType="begin"/>
      </w:r>
      <w:r>
        <w:rPr>
          <w:rFonts w:hint="eastAsia" w:hAnsi="宋体"/>
          <w:color w:val="auto"/>
          <w:szCs w:val="21"/>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hAnsi="宋体"/>
          <w:color w:val="auto"/>
          <w:szCs w:val="21"/>
          <w:highlight w:val="none"/>
          <w:u w:val="single"/>
        </w:rPr>
        <w:fldChar w:fldCharType="separate"/>
      </w:r>
      <w:r>
        <w:rPr>
          <w:rFonts w:hint="eastAsia" w:hAnsi="宋体"/>
          <w:color w:val="auto"/>
          <w:szCs w:val="21"/>
          <w:highlight w:val="none"/>
          <w:u w:val="single"/>
          <w:lang w:eastAsia="zh-CN"/>
        </w:rPr>
        <w:t>330282202310006863</w:t>
      </w:r>
      <w:r>
        <w:rPr>
          <w:rFonts w:hint="eastAsia" w:hAnsi="宋体"/>
          <w:color w:val="auto"/>
          <w:szCs w:val="21"/>
          <w:highlight w:val="none"/>
          <w:u w:val="single"/>
        </w:rPr>
        <w:fldChar w:fldCharType="end"/>
      </w:r>
      <w:r>
        <w:rPr>
          <w:rFonts w:hint="eastAsia" w:hAnsi="宋体"/>
          <w:color w:val="auto"/>
          <w:szCs w:val="21"/>
          <w:highlight w:val="none"/>
          <w:u w:val="single"/>
        </w:rPr>
        <w:t xml:space="preserve"> </w:t>
      </w:r>
      <w:r>
        <w:rPr>
          <w:rFonts w:hint="eastAsia" w:hAnsi="宋体"/>
          <w:color w:val="auto"/>
          <w:szCs w:val="21"/>
          <w:highlight w:val="none"/>
        </w:rPr>
        <w:t>）政府采购活动，经与本单位法定代表人（负责人）联系确认，现就有关公平竞争事项郑重声明如下：</w:t>
      </w:r>
    </w:p>
    <w:p>
      <w:pPr>
        <w:pStyle w:val="201"/>
        <w:widowControl/>
        <w:numPr>
          <w:ilvl w:val="0"/>
          <w:numId w:val="5"/>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201"/>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201"/>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201"/>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201"/>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01"/>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201"/>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201"/>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201"/>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201"/>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201"/>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pPr>
        <w:pStyle w:val="101"/>
        <w:snapToGrid w:val="0"/>
        <w:spacing w:line="400" w:lineRule="exact"/>
        <w:ind w:firstLine="420" w:firstLineChars="200"/>
        <w:rPr>
          <w:rFonts w:hAnsi="宋体"/>
          <w:color w:val="auto"/>
          <w:szCs w:val="21"/>
          <w:highlight w:val="none"/>
        </w:rPr>
      </w:pPr>
    </w:p>
    <w:p>
      <w:pPr>
        <w:pStyle w:val="101"/>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ascii="宋体" w:hAnsi="宋体"/>
          <w:b/>
          <w:color w:val="auto"/>
          <w:sz w:val="22"/>
          <w:szCs w:val="22"/>
          <w:highlight w:val="none"/>
        </w:rPr>
        <w:t>1</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rPr>
        <w:t>本表非投标文件的组成内容，不须在投标文件中提供。</w:t>
      </w:r>
    </w:p>
    <w:p>
      <w:pPr>
        <w:spacing w:line="500" w:lineRule="exact"/>
        <w:ind w:firstLine="431" w:firstLineChars="195"/>
        <w:rPr>
          <w:rFonts w:ascii="宋体" w:hAnsi="宋体"/>
          <w:b/>
          <w:color w:val="auto"/>
          <w:sz w:val="22"/>
          <w:szCs w:val="22"/>
          <w:highlight w:val="none"/>
        </w:rPr>
      </w:pPr>
      <w:r>
        <w:rPr>
          <w:rFonts w:ascii="宋体" w:hAnsi="宋体"/>
          <w:b/>
          <w:color w:val="auto"/>
          <w:sz w:val="22"/>
          <w:szCs w:val="22"/>
          <w:highlight w:val="none"/>
        </w:rPr>
        <w:t>2</w:t>
      </w:r>
      <w:r>
        <w:rPr>
          <w:rFonts w:hint="eastAsia" w:ascii="宋体" w:hAnsi="宋体"/>
          <w:b/>
          <w:color w:val="auto"/>
          <w:sz w:val="22"/>
          <w:szCs w:val="22"/>
          <w:highlight w:val="none"/>
          <w:lang w:val="en-US" w:eastAsia="zh-CN"/>
        </w:rPr>
        <w:t>.</w:t>
      </w:r>
      <w:r>
        <w:rPr>
          <w:rFonts w:hint="eastAsia" w:ascii="宋体" w:hAnsi="宋体"/>
          <w:b/>
          <w:color w:val="auto"/>
          <w:sz w:val="22"/>
          <w:szCs w:val="22"/>
          <w:highlight w:val="none"/>
        </w:rPr>
        <w:t>开标现场，供应商如发现有上述相关利害关系的，应签署提供，未提供的视为不存在上述关系。</w:t>
      </w:r>
    </w:p>
    <w:p>
      <w:pPr>
        <w:spacing w:line="400" w:lineRule="exact"/>
        <w:rPr>
          <w:rFonts w:ascii="宋体" w:hAnsi="宋体"/>
          <w:b/>
          <w:color w:val="auto"/>
          <w:sz w:val="28"/>
          <w:szCs w:val="28"/>
          <w:highlight w:val="none"/>
        </w:rPr>
      </w:pPr>
    </w:p>
    <w:p>
      <w:pPr>
        <w:pStyle w:val="26"/>
        <w:spacing w:line="360" w:lineRule="auto"/>
        <w:ind w:left="101" w:leftChars="48" w:firstLine="2880" w:firstLineChars="800"/>
        <w:jc w:val="left"/>
        <w:rPr>
          <w:rFonts w:hAnsi="宋体"/>
          <w:color w:val="auto"/>
          <w:sz w:val="36"/>
          <w:szCs w:val="36"/>
          <w:highlight w:val="none"/>
        </w:rPr>
        <w:sectPr>
          <w:headerReference r:id="rId8" w:type="default"/>
          <w:footerReference r:id="rId9" w:type="default"/>
          <w:pgSz w:w="11907" w:h="16840"/>
          <w:pgMar w:top="1138" w:right="1588" w:bottom="1423" w:left="1339" w:header="285" w:footer="990" w:gutter="0"/>
          <w:cols w:space="720" w:num="1"/>
          <w:docGrid w:linePitch="285" w:charSpace="0"/>
        </w:sectPr>
      </w:pPr>
    </w:p>
    <w:tbl>
      <w:tblPr>
        <w:tblStyle w:val="45"/>
        <w:tblW w:w="15077" w:type="dxa"/>
        <w:tblInd w:w="-176" w:type="dxa"/>
        <w:tblLayout w:type="fixed"/>
        <w:tblCellMar>
          <w:top w:w="0" w:type="dxa"/>
          <w:left w:w="108" w:type="dxa"/>
          <w:bottom w:w="0" w:type="dxa"/>
          <w:right w:w="108" w:type="dxa"/>
        </w:tblCellMar>
      </w:tblPr>
      <w:tblGrid>
        <w:gridCol w:w="2003"/>
        <w:gridCol w:w="1563"/>
        <w:gridCol w:w="1728"/>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auto"/>
          <w:trHeight w:val="437"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Before w:w="0" w:type="auto"/>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Before w:w="0" w:type="auto"/>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auto"/>
                <w:kern w:val="0"/>
                <w:sz w:val="24"/>
                <w:highlight w:val="none"/>
              </w:rPr>
            </w:pPr>
          </w:p>
        </w:tc>
        <w:tc>
          <w:tcPr>
            <w:tcW w:w="1563"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28"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63"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wBefore w:w="0" w:type="auto"/>
          <w:trHeight w:val="961" w:hRule="atLeast"/>
        </w:trPr>
        <w:tc>
          <w:tcPr>
            <w:tcW w:w="15077" w:type="dxa"/>
            <w:gridSpan w:val="11"/>
            <w:tcBorders>
              <w:top w:val="nil"/>
              <w:left w:val="nil"/>
              <w:bottom w:val="nil"/>
              <w:right w:val="nil"/>
            </w:tcBorders>
            <w:noWrap w:val="0"/>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6"/>
        <w:tabs>
          <w:tab w:val="left" w:pos="811"/>
        </w:tabs>
        <w:spacing w:line="360" w:lineRule="auto"/>
        <w:jc w:val="left"/>
        <w:rPr>
          <w:rFonts w:hint="eastAsia" w:hAnsi="宋体"/>
          <w:color w:val="auto"/>
          <w:sz w:val="36"/>
          <w:szCs w:val="36"/>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Univers">
    <w:altName w:val="Segoe Print"/>
    <w:panose1 w:val="020B0603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rPr>
                              <w:lang/>
                            </w:rP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T6O1skBAACZAwAADgAAAGRycy9lMm9Eb2MueG1srVPNjtMwEL4j8Q6W 79TZI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BPo7WyQEAAJkDAAAOAAAAAAAAAAEAIAAAAB4BAABkcnMvZTJvRG9j LnhtbFBLBQYAAAAABgAGAFkBAABZBQAAAAA= ">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rPr>
                        <w:lang/>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9"/>
                            </w:rPr>
                          </w:pPr>
                          <w:r>
                            <w:fldChar w:fldCharType="begin"/>
                          </w:r>
                          <w:r>
                            <w:rPr>
                              <w:rStyle w:val="49"/>
                            </w:rPr>
                            <w:instrText xml:space="preserve">PAGE  </w:instrText>
                          </w:r>
                          <w:r>
                            <w:fldChar w:fldCharType="separate"/>
                          </w:r>
                          <w:r>
                            <w:rPr>
                              <w:rStyle w:val="49"/>
                              <w:lang/>
                            </w:rPr>
                            <w:t>36</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fPguc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h8+C5yQEAAJkDAAAOAAAAAAAAAAEAIAAAAB4BAABkcnMvZTJvRG9j LnhtbFBLBQYAAAAABgAGAFkBAABZBQAAAAA= ">
              <v:fill on="f" focussize="0,0"/>
              <v:stroke on="f"/>
              <v:imagedata o:title=""/>
              <o:lock v:ext="edit" aspectratio="f"/>
              <v:textbox inset="0mm,0mm,0mm,0mm" style="mso-fit-shape-to-text:t;">
                <w:txbxContent>
                  <w:p>
                    <w:pPr>
                      <w:pStyle w:val="29"/>
                      <w:rPr>
                        <w:rStyle w:val="49"/>
                      </w:rPr>
                    </w:pPr>
                    <w:r>
                      <w:fldChar w:fldCharType="begin"/>
                    </w:r>
                    <w:r>
                      <w:rPr>
                        <w:rStyle w:val="49"/>
                      </w:rPr>
                      <w:instrText xml:space="preserve">PAGE  </w:instrText>
                    </w:r>
                    <w:r>
                      <w:fldChar w:fldCharType="separate"/>
                    </w:r>
                    <w:r>
                      <w:rPr>
                        <w:rStyle w:val="49"/>
                        <w:lang/>
                      </w:rP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jc w:val="center"/>
                            <w:rPr>
                              <w:rStyle w:val="49"/>
                            </w:rPr>
                          </w:pPr>
                          <w:r>
                            <w:fldChar w:fldCharType="begin"/>
                          </w:r>
                          <w:r>
                            <w:rPr>
                              <w:rStyle w:val="49"/>
                            </w:rPr>
                            <w:instrText xml:space="preserve">PAGE  </w:instrText>
                          </w:r>
                          <w:r>
                            <w:fldChar w:fldCharType="separate"/>
                          </w:r>
                          <w:r>
                            <w:rPr>
                              <w:rStyle w:val="49"/>
                              <w:lang/>
                            </w:rPr>
                            <w:t>81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pStyle w:val="29"/>
                      <w:jc w:val="center"/>
                      <w:rPr>
                        <w:rStyle w:val="49"/>
                      </w:rPr>
                    </w:pPr>
                    <w:r>
                      <w:fldChar w:fldCharType="begin"/>
                    </w:r>
                    <w:r>
                      <w:rPr>
                        <w:rStyle w:val="49"/>
                      </w:rPr>
                      <w:instrText xml:space="preserve">PAGE  </w:instrText>
                    </w:r>
                    <w:r>
                      <w:fldChar w:fldCharType="separate"/>
                    </w:r>
                    <w:r>
                      <w:rPr>
                        <w:rStyle w:val="49"/>
                        <w:lang/>
                      </w:rP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95EA3"/>
    <w:multiLevelType w:val="singleLevel"/>
    <w:tmpl w:val="EF395EA3"/>
    <w:lvl w:ilvl="0" w:tentative="0">
      <w:start w:val="5"/>
      <w:numFmt w:val="chineseCounting"/>
      <w:suff w:val="space"/>
      <w:lvlText w:val="第%1章"/>
      <w:lvlJc w:val="left"/>
      <w:rPr>
        <w:rFonts w:hint="eastAsia"/>
      </w:rPr>
    </w:lvl>
  </w:abstractNum>
  <w:abstractNum w:abstractNumId="1">
    <w:nsid w:val="00000009"/>
    <w:multiLevelType w:val="multilevel"/>
    <w:tmpl w:val="00000009"/>
    <w:lvl w:ilvl="0" w:tentative="0">
      <w:start w:val="1"/>
      <w:numFmt w:val="bullet"/>
      <w:pStyle w:val="98"/>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A"/>
    <w:multiLevelType w:val="multilevel"/>
    <w:tmpl w:val="0000000A"/>
    <w:lvl w:ilvl="0" w:tentative="0">
      <w:start w:val="1"/>
      <w:numFmt w:val="decimal"/>
      <w:pStyle w:val="231"/>
      <w:lvlText w:val="(%1)"/>
      <w:lvlJc w:val="left"/>
      <w:pPr>
        <w:tabs>
          <w:tab w:val="left" w:pos="510"/>
        </w:tabs>
        <w:ind w:left="510" w:hanging="390"/>
      </w:pPr>
      <w:rPr>
        <w:rFonts w:hint="eastAsia"/>
      </w:rPr>
    </w:lvl>
    <w:lvl w:ilvl="1" w:tentative="0">
      <w:start w:val="1"/>
      <w:numFmt w:val="lowerLetter"/>
      <w:pStyle w:val="219"/>
      <w:lvlText w:val="%2)"/>
      <w:lvlJc w:val="left"/>
      <w:pPr>
        <w:tabs>
          <w:tab w:val="left" w:pos="840"/>
        </w:tabs>
        <w:ind w:left="840" w:hanging="420"/>
      </w:pPr>
    </w:lvl>
    <w:lvl w:ilvl="2" w:tentative="0">
      <w:start w:val="1"/>
      <w:numFmt w:val="lowerRoman"/>
      <w:pStyle w:val="24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abstractNum w:abstractNumId="5">
    <w:nsid w:val="57A74C8F"/>
    <w:multiLevelType w:val="singleLevel"/>
    <w:tmpl w:val="57A74C8F"/>
    <w:lvl w:ilvl="0" w:tentative="0">
      <w:start w:val="1"/>
      <w:numFmt w:val="chineseCounting"/>
      <w:pStyle w:val="240"/>
      <w:suff w:val="nothing"/>
      <w:lvlText w:val="%1、"/>
      <w:lvlJc w:val="left"/>
      <w:rPr>
        <w:rFonts w:hint="eastAsia" w:cs="Times New Roman"/>
      </w:rPr>
    </w:lvl>
  </w:abstractNum>
  <w:num w:numId="1">
    <w:abstractNumId w:val="1"/>
  </w:num>
  <w:num w:numId="2">
    <w:abstractNumId w:val="2"/>
    <w:lvlOverride w:ilvl="1">
      <w:startOverride w:val="1"/>
    </w:lvlOverride>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ZhYWQ4MWZiMTA2MjQ0OTEzZmVlZDBkNmZhODIifQ=="/>
  </w:docVars>
  <w:rsids>
    <w:rsidRoot w:val="00D719E6"/>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491C"/>
    <w:rsid w:val="00035959"/>
    <w:rsid w:val="00036257"/>
    <w:rsid w:val="0003725C"/>
    <w:rsid w:val="000378FE"/>
    <w:rsid w:val="00037CE4"/>
    <w:rsid w:val="00037EA3"/>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77A"/>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A28"/>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21B"/>
    <w:rsid w:val="000C7792"/>
    <w:rsid w:val="000D190D"/>
    <w:rsid w:val="000D24F3"/>
    <w:rsid w:val="000D2D36"/>
    <w:rsid w:val="000D3592"/>
    <w:rsid w:val="000D4B07"/>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5E1"/>
    <w:rsid w:val="0011397C"/>
    <w:rsid w:val="0011637E"/>
    <w:rsid w:val="00116D80"/>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BF8"/>
    <w:rsid w:val="00170FC3"/>
    <w:rsid w:val="0017189E"/>
    <w:rsid w:val="00171CC9"/>
    <w:rsid w:val="001728DE"/>
    <w:rsid w:val="00172D38"/>
    <w:rsid w:val="00172D6A"/>
    <w:rsid w:val="00172F64"/>
    <w:rsid w:val="00173821"/>
    <w:rsid w:val="00173A5D"/>
    <w:rsid w:val="00173CEE"/>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3AE"/>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06"/>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ADA"/>
    <w:rsid w:val="001F3C7A"/>
    <w:rsid w:val="001F3FD4"/>
    <w:rsid w:val="001F41D3"/>
    <w:rsid w:val="001F44E5"/>
    <w:rsid w:val="001F5D5D"/>
    <w:rsid w:val="001F708B"/>
    <w:rsid w:val="001F7226"/>
    <w:rsid w:val="001F7322"/>
    <w:rsid w:val="001F743C"/>
    <w:rsid w:val="00201011"/>
    <w:rsid w:val="0020120B"/>
    <w:rsid w:val="0020244F"/>
    <w:rsid w:val="00203AA5"/>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0286"/>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2F"/>
    <w:rsid w:val="002835E1"/>
    <w:rsid w:val="002837B8"/>
    <w:rsid w:val="00285089"/>
    <w:rsid w:val="00285374"/>
    <w:rsid w:val="002856F1"/>
    <w:rsid w:val="00285B3B"/>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4315"/>
    <w:rsid w:val="002A51E1"/>
    <w:rsid w:val="002A5301"/>
    <w:rsid w:val="002A5E7E"/>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2C82"/>
    <w:rsid w:val="002D3091"/>
    <w:rsid w:val="002D34B3"/>
    <w:rsid w:val="002D4263"/>
    <w:rsid w:val="002D4657"/>
    <w:rsid w:val="002D4757"/>
    <w:rsid w:val="002D4CB6"/>
    <w:rsid w:val="002D4D0A"/>
    <w:rsid w:val="002D5305"/>
    <w:rsid w:val="002D5563"/>
    <w:rsid w:val="002D601D"/>
    <w:rsid w:val="002D69EE"/>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E7F18"/>
    <w:rsid w:val="002F0A9A"/>
    <w:rsid w:val="002F0C9C"/>
    <w:rsid w:val="002F125E"/>
    <w:rsid w:val="002F12B2"/>
    <w:rsid w:val="002F1CCB"/>
    <w:rsid w:val="002F37D5"/>
    <w:rsid w:val="002F4187"/>
    <w:rsid w:val="002F4337"/>
    <w:rsid w:val="002F46C6"/>
    <w:rsid w:val="002F4E75"/>
    <w:rsid w:val="002F5AB2"/>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1D6A"/>
    <w:rsid w:val="00312165"/>
    <w:rsid w:val="00312D44"/>
    <w:rsid w:val="0031372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3E85"/>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027"/>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B47"/>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8F6"/>
    <w:rsid w:val="00390BF4"/>
    <w:rsid w:val="003913E8"/>
    <w:rsid w:val="003914BE"/>
    <w:rsid w:val="003914CA"/>
    <w:rsid w:val="003927CB"/>
    <w:rsid w:val="003927F9"/>
    <w:rsid w:val="00392FA6"/>
    <w:rsid w:val="003933C7"/>
    <w:rsid w:val="00394575"/>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2789"/>
    <w:rsid w:val="003B3E34"/>
    <w:rsid w:val="003B430C"/>
    <w:rsid w:val="003B4547"/>
    <w:rsid w:val="003B58C2"/>
    <w:rsid w:val="003B5C8A"/>
    <w:rsid w:val="003B5C90"/>
    <w:rsid w:val="003B643A"/>
    <w:rsid w:val="003B7092"/>
    <w:rsid w:val="003B7B18"/>
    <w:rsid w:val="003C1064"/>
    <w:rsid w:val="003C109F"/>
    <w:rsid w:val="003C1669"/>
    <w:rsid w:val="003C1F05"/>
    <w:rsid w:val="003C21AE"/>
    <w:rsid w:val="003C221A"/>
    <w:rsid w:val="003C22E8"/>
    <w:rsid w:val="003C23B0"/>
    <w:rsid w:val="003C457F"/>
    <w:rsid w:val="003C5618"/>
    <w:rsid w:val="003C5E1D"/>
    <w:rsid w:val="003C6DB3"/>
    <w:rsid w:val="003C6EAD"/>
    <w:rsid w:val="003C72D1"/>
    <w:rsid w:val="003C7532"/>
    <w:rsid w:val="003D1A6C"/>
    <w:rsid w:val="003D1B33"/>
    <w:rsid w:val="003D2447"/>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6D1"/>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9C"/>
    <w:rsid w:val="003F4AF6"/>
    <w:rsid w:val="003F4DE2"/>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7C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30A"/>
    <w:rsid w:val="004364F1"/>
    <w:rsid w:val="00436A31"/>
    <w:rsid w:val="004375C6"/>
    <w:rsid w:val="00440340"/>
    <w:rsid w:val="004410E9"/>
    <w:rsid w:val="00441703"/>
    <w:rsid w:val="00441DDA"/>
    <w:rsid w:val="00441FBA"/>
    <w:rsid w:val="00442E01"/>
    <w:rsid w:val="00443374"/>
    <w:rsid w:val="00444D3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6A35"/>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54A5"/>
    <w:rsid w:val="004966B6"/>
    <w:rsid w:val="00497E63"/>
    <w:rsid w:val="004A06AD"/>
    <w:rsid w:val="004A09A8"/>
    <w:rsid w:val="004A0BDA"/>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80A"/>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ECD"/>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0C8"/>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4F15"/>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A86"/>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518"/>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3DB"/>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6AAA"/>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E7DDE"/>
    <w:rsid w:val="005F0341"/>
    <w:rsid w:val="005F1614"/>
    <w:rsid w:val="005F27F0"/>
    <w:rsid w:val="005F346B"/>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5EA1"/>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57E21"/>
    <w:rsid w:val="0066117E"/>
    <w:rsid w:val="006613F6"/>
    <w:rsid w:val="00661C60"/>
    <w:rsid w:val="006620BB"/>
    <w:rsid w:val="00662470"/>
    <w:rsid w:val="00663289"/>
    <w:rsid w:val="00663B10"/>
    <w:rsid w:val="00663D54"/>
    <w:rsid w:val="00666630"/>
    <w:rsid w:val="00666806"/>
    <w:rsid w:val="00666F7A"/>
    <w:rsid w:val="006678BA"/>
    <w:rsid w:val="00667B8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6F84"/>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0EAB"/>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97F"/>
    <w:rsid w:val="006D0B78"/>
    <w:rsid w:val="006D0E11"/>
    <w:rsid w:val="006D1930"/>
    <w:rsid w:val="006D2A98"/>
    <w:rsid w:val="006D2C91"/>
    <w:rsid w:val="006D2E3E"/>
    <w:rsid w:val="006D317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6DB8"/>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5F10"/>
    <w:rsid w:val="007163B4"/>
    <w:rsid w:val="0071675A"/>
    <w:rsid w:val="00716AB7"/>
    <w:rsid w:val="00717276"/>
    <w:rsid w:val="007212CC"/>
    <w:rsid w:val="00721F96"/>
    <w:rsid w:val="007224A1"/>
    <w:rsid w:val="00722C0C"/>
    <w:rsid w:val="00723528"/>
    <w:rsid w:val="00723566"/>
    <w:rsid w:val="00724372"/>
    <w:rsid w:val="00724674"/>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486"/>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549"/>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C6D"/>
    <w:rsid w:val="007B3F50"/>
    <w:rsid w:val="007B548B"/>
    <w:rsid w:val="007B5B21"/>
    <w:rsid w:val="007B60E4"/>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6B2"/>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51"/>
    <w:rsid w:val="00821EED"/>
    <w:rsid w:val="00822327"/>
    <w:rsid w:val="00822A3E"/>
    <w:rsid w:val="00822B95"/>
    <w:rsid w:val="00822BEF"/>
    <w:rsid w:val="00824794"/>
    <w:rsid w:val="00824900"/>
    <w:rsid w:val="00824DB5"/>
    <w:rsid w:val="00824FC2"/>
    <w:rsid w:val="008252EA"/>
    <w:rsid w:val="00825CF0"/>
    <w:rsid w:val="00825DD2"/>
    <w:rsid w:val="00826652"/>
    <w:rsid w:val="00827933"/>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5A61"/>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1679"/>
    <w:rsid w:val="00862E95"/>
    <w:rsid w:val="0086443B"/>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2CDF"/>
    <w:rsid w:val="00883375"/>
    <w:rsid w:val="00884644"/>
    <w:rsid w:val="00884C8C"/>
    <w:rsid w:val="00885189"/>
    <w:rsid w:val="00885803"/>
    <w:rsid w:val="008860C1"/>
    <w:rsid w:val="008861AF"/>
    <w:rsid w:val="008862E0"/>
    <w:rsid w:val="00887821"/>
    <w:rsid w:val="00887A9A"/>
    <w:rsid w:val="00887D35"/>
    <w:rsid w:val="008900A9"/>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868"/>
    <w:rsid w:val="008C1FDA"/>
    <w:rsid w:val="008C2C2C"/>
    <w:rsid w:val="008C3283"/>
    <w:rsid w:val="008C381D"/>
    <w:rsid w:val="008C4081"/>
    <w:rsid w:val="008C509D"/>
    <w:rsid w:val="008C533F"/>
    <w:rsid w:val="008C5BBD"/>
    <w:rsid w:val="008C63DE"/>
    <w:rsid w:val="008C64A6"/>
    <w:rsid w:val="008C76D0"/>
    <w:rsid w:val="008C7D51"/>
    <w:rsid w:val="008C7E5F"/>
    <w:rsid w:val="008D0806"/>
    <w:rsid w:val="008D0D16"/>
    <w:rsid w:val="008D1552"/>
    <w:rsid w:val="008D1AD9"/>
    <w:rsid w:val="008D1E10"/>
    <w:rsid w:val="008D1EB3"/>
    <w:rsid w:val="008D2A79"/>
    <w:rsid w:val="008D2E02"/>
    <w:rsid w:val="008D3C32"/>
    <w:rsid w:val="008D4594"/>
    <w:rsid w:val="008D4D38"/>
    <w:rsid w:val="008D54E3"/>
    <w:rsid w:val="008D5A4A"/>
    <w:rsid w:val="008D61EE"/>
    <w:rsid w:val="008D6C4B"/>
    <w:rsid w:val="008D719E"/>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1C4"/>
    <w:rsid w:val="008F7E22"/>
    <w:rsid w:val="00902364"/>
    <w:rsid w:val="00902FB2"/>
    <w:rsid w:val="009030DE"/>
    <w:rsid w:val="00904BAF"/>
    <w:rsid w:val="00904BB5"/>
    <w:rsid w:val="00905548"/>
    <w:rsid w:val="0090674A"/>
    <w:rsid w:val="009072BC"/>
    <w:rsid w:val="0090776B"/>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472"/>
    <w:rsid w:val="0093150A"/>
    <w:rsid w:val="00931613"/>
    <w:rsid w:val="00931776"/>
    <w:rsid w:val="00932FB6"/>
    <w:rsid w:val="0093374B"/>
    <w:rsid w:val="009337A8"/>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63E"/>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1F"/>
    <w:rsid w:val="00980DF8"/>
    <w:rsid w:val="00980FE1"/>
    <w:rsid w:val="00981256"/>
    <w:rsid w:val="009816B2"/>
    <w:rsid w:val="0098170D"/>
    <w:rsid w:val="009826DC"/>
    <w:rsid w:val="0098288A"/>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3BC8"/>
    <w:rsid w:val="00994462"/>
    <w:rsid w:val="00994ACD"/>
    <w:rsid w:val="00996FF7"/>
    <w:rsid w:val="009A0165"/>
    <w:rsid w:val="009A01F5"/>
    <w:rsid w:val="009A0205"/>
    <w:rsid w:val="009A035D"/>
    <w:rsid w:val="009A06E4"/>
    <w:rsid w:val="009A0B64"/>
    <w:rsid w:val="009A0DE5"/>
    <w:rsid w:val="009A0F46"/>
    <w:rsid w:val="009A1B5D"/>
    <w:rsid w:val="009A1C91"/>
    <w:rsid w:val="009A21DA"/>
    <w:rsid w:val="009A2740"/>
    <w:rsid w:val="009A2840"/>
    <w:rsid w:val="009A289D"/>
    <w:rsid w:val="009A3A3A"/>
    <w:rsid w:val="009A4249"/>
    <w:rsid w:val="009A47DB"/>
    <w:rsid w:val="009A511B"/>
    <w:rsid w:val="009A5857"/>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58A1"/>
    <w:rsid w:val="00A87C75"/>
    <w:rsid w:val="00A9060A"/>
    <w:rsid w:val="00A91447"/>
    <w:rsid w:val="00A91456"/>
    <w:rsid w:val="00A91E31"/>
    <w:rsid w:val="00A92265"/>
    <w:rsid w:val="00A92624"/>
    <w:rsid w:val="00A92B1A"/>
    <w:rsid w:val="00A946B4"/>
    <w:rsid w:val="00A94B62"/>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338"/>
    <w:rsid w:val="00AD7E6C"/>
    <w:rsid w:val="00AE01CA"/>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27C"/>
    <w:rsid w:val="00B10760"/>
    <w:rsid w:val="00B10DF2"/>
    <w:rsid w:val="00B11A45"/>
    <w:rsid w:val="00B12355"/>
    <w:rsid w:val="00B12B95"/>
    <w:rsid w:val="00B133B6"/>
    <w:rsid w:val="00B138EA"/>
    <w:rsid w:val="00B13AB9"/>
    <w:rsid w:val="00B13E03"/>
    <w:rsid w:val="00B13E92"/>
    <w:rsid w:val="00B146D5"/>
    <w:rsid w:val="00B1504F"/>
    <w:rsid w:val="00B15653"/>
    <w:rsid w:val="00B15782"/>
    <w:rsid w:val="00B1588A"/>
    <w:rsid w:val="00B15980"/>
    <w:rsid w:val="00B15DE4"/>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690"/>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0CC8"/>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87F5C"/>
    <w:rsid w:val="00B90EA1"/>
    <w:rsid w:val="00B91436"/>
    <w:rsid w:val="00B91782"/>
    <w:rsid w:val="00B921E7"/>
    <w:rsid w:val="00B92943"/>
    <w:rsid w:val="00B92E2F"/>
    <w:rsid w:val="00B9354F"/>
    <w:rsid w:val="00B9357E"/>
    <w:rsid w:val="00B9487E"/>
    <w:rsid w:val="00B94979"/>
    <w:rsid w:val="00B95172"/>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0329"/>
    <w:rsid w:val="00BF10B3"/>
    <w:rsid w:val="00BF1635"/>
    <w:rsid w:val="00BF16EB"/>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A5C"/>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0CA2"/>
    <w:rsid w:val="00C6142B"/>
    <w:rsid w:val="00C62193"/>
    <w:rsid w:val="00C62A10"/>
    <w:rsid w:val="00C62FBD"/>
    <w:rsid w:val="00C6464A"/>
    <w:rsid w:val="00C65432"/>
    <w:rsid w:val="00C6632D"/>
    <w:rsid w:val="00C667B5"/>
    <w:rsid w:val="00C703F6"/>
    <w:rsid w:val="00C71DCC"/>
    <w:rsid w:val="00C73D11"/>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6C7"/>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F4B"/>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3A76"/>
    <w:rsid w:val="00CC42B4"/>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3F1"/>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4"/>
    <w:rsid w:val="00CF243E"/>
    <w:rsid w:val="00CF2721"/>
    <w:rsid w:val="00CF2C4F"/>
    <w:rsid w:val="00CF3779"/>
    <w:rsid w:val="00CF3C14"/>
    <w:rsid w:val="00CF3F32"/>
    <w:rsid w:val="00CF5688"/>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CCC"/>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4C9"/>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285"/>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099F"/>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A7F44"/>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85B"/>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7BD"/>
    <w:rsid w:val="00E27AA5"/>
    <w:rsid w:val="00E27ACD"/>
    <w:rsid w:val="00E27B6E"/>
    <w:rsid w:val="00E303B2"/>
    <w:rsid w:val="00E30D22"/>
    <w:rsid w:val="00E315A9"/>
    <w:rsid w:val="00E31E80"/>
    <w:rsid w:val="00E325EC"/>
    <w:rsid w:val="00E32ED8"/>
    <w:rsid w:val="00E340C8"/>
    <w:rsid w:val="00E34B7D"/>
    <w:rsid w:val="00E3518A"/>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1999"/>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9B2"/>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DCB"/>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8A6"/>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0EEF"/>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0966"/>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D95"/>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3EA0"/>
    <w:rsid w:val="00F84D12"/>
    <w:rsid w:val="00F85D99"/>
    <w:rsid w:val="00F87AFA"/>
    <w:rsid w:val="00F9139C"/>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B753F"/>
    <w:rsid w:val="00FC0401"/>
    <w:rsid w:val="00FC1F44"/>
    <w:rsid w:val="00FC2129"/>
    <w:rsid w:val="00FC2F4B"/>
    <w:rsid w:val="00FC39A8"/>
    <w:rsid w:val="00FC3A6B"/>
    <w:rsid w:val="00FC3B03"/>
    <w:rsid w:val="00FC3C05"/>
    <w:rsid w:val="00FC40F4"/>
    <w:rsid w:val="00FC45D3"/>
    <w:rsid w:val="00FC6410"/>
    <w:rsid w:val="00FC7280"/>
    <w:rsid w:val="00FC78D9"/>
    <w:rsid w:val="00FD00FF"/>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D7DF3"/>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537"/>
    <w:rsid w:val="00FF472C"/>
    <w:rsid w:val="00FF4A0A"/>
    <w:rsid w:val="00FF4A3E"/>
    <w:rsid w:val="00FF4B29"/>
    <w:rsid w:val="00FF67DE"/>
    <w:rsid w:val="00FF7A1B"/>
    <w:rsid w:val="011473B7"/>
    <w:rsid w:val="011B2144"/>
    <w:rsid w:val="0136557F"/>
    <w:rsid w:val="013B7F28"/>
    <w:rsid w:val="01431A4A"/>
    <w:rsid w:val="014A0A20"/>
    <w:rsid w:val="014A2DD9"/>
    <w:rsid w:val="0164426F"/>
    <w:rsid w:val="01696CBC"/>
    <w:rsid w:val="017436F8"/>
    <w:rsid w:val="019963C0"/>
    <w:rsid w:val="01A324E9"/>
    <w:rsid w:val="01B0790E"/>
    <w:rsid w:val="01C54B55"/>
    <w:rsid w:val="01CD4DD9"/>
    <w:rsid w:val="01E44FDB"/>
    <w:rsid w:val="01E46AB5"/>
    <w:rsid w:val="01E8307D"/>
    <w:rsid w:val="01FB6E36"/>
    <w:rsid w:val="02095476"/>
    <w:rsid w:val="020967F0"/>
    <w:rsid w:val="02247ACE"/>
    <w:rsid w:val="022841F2"/>
    <w:rsid w:val="0296055D"/>
    <w:rsid w:val="02B35D48"/>
    <w:rsid w:val="02BC63E7"/>
    <w:rsid w:val="02C31095"/>
    <w:rsid w:val="02D0381A"/>
    <w:rsid w:val="02DA4260"/>
    <w:rsid w:val="02FD1971"/>
    <w:rsid w:val="02FF7A7B"/>
    <w:rsid w:val="031B2C7F"/>
    <w:rsid w:val="03217B69"/>
    <w:rsid w:val="0328714A"/>
    <w:rsid w:val="032C4E8C"/>
    <w:rsid w:val="0338676F"/>
    <w:rsid w:val="034D09C7"/>
    <w:rsid w:val="03604B36"/>
    <w:rsid w:val="036050B1"/>
    <w:rsid w:val="03655DEA"/>
    <w:rsid w:val="039610A4"/>
    <w:rsid w:val="03970EF3"/>
    <w:rsid w:val="039C5442"/>
    <w:rsid w:val="039E740C"/>
    <w:rsid w:val="03B62156"/>
    <w:rsid w:val="03B877EB"/>
    <w:rsid w:val="03B91F1D"/>
    <w:rsid w:val="03B94246"/>
    <w:rsid w:val="03BD55AE"/>
    <w:rsid w:val="03CC21CB"/>
    <w:rsid w:val="03D14FF0"/>
    <w:rsid w:val="03D3399E"/>
    <w:rsid w:val="03E07A24"/>
    <w:rsid w:val="03E811F5"/>
    <w:rsid w:val="03FE4719"/>
    <w:rsid w:val="03FE4DF0"/>
    <w:rsid w:val="04021815"/>
    <w:rsid w:val="04041965"/>
    <w:rsid w:val="04194CE4"/>
    <w:rsid w:val="04207E21"/>
    <w:rsid w:val="042E69E2"/>
    <w:rsid w:val="045447CF"/>
    <w:rsid w:val="04565F0C"/>
    <w:rsid w:val="045E6757"/>
    <w:rsid w:val="045F6B9B"/>
    <w:rsid w:val="04664A43"/>
    <w:rsid w:val="048530D3"/>
    <w:rsid w:val="04974587"/>
    <w:rsid w:val="04CA13E5"/>
    <w:rsid w:val="04D1736D"/>
    <w:rsid w:val="04D57FCB"/>
    <w:rsid w:val="05113F0C"/>
    <w:rsid w:val="052E47BF"/>
    <w:rsid w:val="05445479"/>
    <w:rsid w:val="05507FC6"/>
    <w:rsid w:val="0559183C"/>
    <w:rsid w:val="056106F1"/>
    <w:rsid w:val="056A376A"/>
    <w:rsid w:val="05746676"/>
    <w:rsid w:val="059D3E1F"/>
    <w:rsid w:val="05A14F91"/>
    <w:rsid w:val="05A30D0A"/>
    <w:rsid w:val="05BC559D"/>
    <w:rsid w:val="05DB4947"/>
    <w:rsid w:val="05E732EC"/>
    <w:rsid w:val="05F81055"/>
    <w:rsid w:val="06066A9D"/>
    <w:rsid w:val="062B46A2"/>
    <w:rsid w:val="06563FCE"/>
    <w:rsid w:val="065906F6"/>
    <w:rsid w:val="06622C7D"/>
    <w:rsid w:val="06691980"/>
    <w:rsid w:val="068E19BA"/>
    <w:rsid w:val="069A3EBB"/>
    <w:rsid w:val="06C126E2"/>
    <w:rsid w:val="06C968FB"/>
    <w:rsid w:val="06E57A2A"/>
    <w:rsid w:val="06F86967"/>
    <w:rsid w:val="07002067"/>
    <w:rsid w:val="07041C7C"/>
    <w:rsid w:val="070D6D82"/>
    <w:rsid w:val="07147BAB"/>
    <w:rsid w:val="071E0080"/>
    <w:rsid w:val="07381153"/>
    <w:rsid w:val="073D3CA0"/>
    <w:rsid w:val="073D6DD6"/>
    <w:rsid w:val="07473893"/>
    <w:rsid w:val="075C5614"/>
    <w:rsid w:val="079A5B18"/>
    <w:rsid w:val="07A16757"/>
    <w:rsid w:val="07A62D33"/>
    <w:rsid w:val="07B47EE7"/>
    <w:rsid w:val="07C12BA0"/>
    <w:rsid w:val="07D371FC"/>
    <w:rsid w:val="081859DF"/>
    <w:rsid w:val="08210E81"/>
    <w:rsid w:val="08316AA1"/>
    <w:rsid w:val="08493DEA"/>
    <w:rsid w:val="084C38DA"/>
    <w:rsid w:val="087D0817"/>
    <w:rsid w:val="088F0EC7"/>
    <w:rsid w:val="08A2174C"/>
    <w:rsid w:val="08A533B6"/>
    <w:rsid w:val="08A6214B"/>
    <w:rsid w:val="08CE609D"/>
    <w:rsid w:val="08D35DAA"/>
    <w:rsid w:val="08E04023"/>
    <w:rsid w:val="08E65ADD"/>
    <w:rsid w:val="08EB4EA1"/>
    <w:rsid w:val="08EF7436"/>
    <w:rsid w:val="0902043D"/>
    <w:rsid w:val="091F291D"/>
    <w:rsid w:val="09306D58"/>
    <w:rsid w:val="09563B8E"/>
    <w:rsid w:val="096B38AC"/>
    <w:rsid w:val="09954DC5"/>
    <w:rsid w:val="099B705D"/>
    <w:rsid w:val="09A11172"/>
    <w:rsid w:val="09B513A5"/>
    <w:rsid w:val="09C76530"/>
    <w:rsid w:val="09D04097"/>
    <w:rsid w:val="09E162A4"/>
    <w:rsid w:val="09ED69F7"/>
    <w:rsid w:val="09F71624"/>
    <w:rsid w:val="0A041DCA"/>
    <w:rsid w:val="0A051F93"/>
    <w:rsid w:val="0A073BAC"/>
    <w:rsid w:val="0A1E4E03"/>
    <w:rsid w:val="0A583965"/>
    <w:rsid w:val="0A717628"/>
    <w:rsid w:val="0A830841"/>
    <w:rsid w:val="0AE40B42"/>
    <w:rsid w:val="0AFA60E7"/>
    <w:rsid w:val="0B021449"/>
    <w:rsid w:val="0B0E7430"/>
    <w:rsid w:val="0B275F39"/>
    <w:rsid w:val="0B2B3C7B"/>
    <w:rsid w:val="0B357F7F"/>
    <w:rsid w:val="0B454EE2"/>
    <w:rsid w:val="0B4B5A24"/>
    <w:rsid w:val="0B561C40"/>
    <w:rsid w:val="0B64718D"/>
    <w:rsid w:val="0B8B296C"/>
    <w:rsid w:val="0B8D4A3E"/>
    <w:rsid w:val="0B974CD9"/>
    <w:rsid w:val="0BBA5704"/>
    <w:rsid w:val="0BCF5F42"/>
    <w:rsid w:val="0BD240F7"/>
    <w:rsid w:val="0BE13394"/>
    <w:rsid w:val="0BE75377"/>
    <w:rsid w:val="0BE8099C"/>
    <w:rsid w:val="0BF027CF"/>
    <w:rsid w:val="0C045514"/>
    <w:rsid w:val="0C0544CC"/>
    <w:rsid w:val="0C104C1F"/>
    <w:rsid w:val="0C236700"/>
    <w:rsid w:val="0C3152C1"/>
    <w:rsid w:val="0C324B95"/>
    <w:rsid w:val="0C6236CC"/>
    <w:rsid w:val="0C70010D"/>
    <w:rsid w:val="0C71390F"/>
    <w:rsid w:val="0C7B02EA"/>
    <w:rsid w:val="0C7B4F16"/>
    <w:rsid w:val="0C92450A"/>
    <w:rsid w:val="0CB169C3"/>
    <w:rsid w:val="0D1D75F3"/>
    <w:rsid w:val="0D2C7836"/>
    <w:rsid w:val="0D3455E0"/>
    <w:rsid w:val="0D38267F"/>
    <w:rsid w:val="0D5364A5"/>
    <w:rsid w:val="0D7C07BE"/>
    <w:rsid w:val="0D892EDB"/>
    <w:rsid w:val="0DAA4E50"/>
    <w:rsid w:val="0DAB19A6"/>
    <w:rsid w:val="0DC932D7"/>
    <w:rsid w:val="0DCD4CA3"/>
    <w:rsid w:val="0DCD726B"/>
    <w:rsid w:val="0DD03D90"/>
    <w:rsid w:val="0DD71E98"/>
    <w:rsid w:val="0DE620DB"/>
    <w:rsid w:val="0DEC0073"/>
    <w:rsid w:val="0E123581"/>
    <w:rsid w:val="0E1C3D4F"/>
    <w:rsid w:val="0E1D4B66"/>
    <w:rsid w:val="0E207588"/>
    <w:rsid w:val="0E464928"/>
    <w:rsid w:val="0E5434E9"/>
    <w:rsid w:val="0E6179B4"/>
    <w:rsid w:val="0E67321C"/>
    <w:rsid w:val="0E7C3D83"/>
    <w:rsid w:val="0E9D4A1E"/>
    <w:rsid w:val="0E9E35C0"/>
    <w:rsid w:val="0EA43707"/>
    <w:rsid w:val="0EA904C1"/>
    <w:rsid w:val="0EB53759"/>
    <w:rsid w:val="0EB6385C"/>
    <w:rsid w:val="0EB63C8B"/>
    <w:rsid w:val="0EE52393"/>
    <w:rsid w:val="0F001570"/>
    <w:rsid w:val="0F1A028E"/>
    <w:rsid w:val="0F3550C8"/>
    <w:rsid w:val="0F3B6457"/>
    <w:rsid w:val="0F4075C9"/>
    <w:rsid w:val="0F426216"/>
    <w:rsid w:val="0F4946D0"/>
    <w:rsid w:val="0F4E18BB"/>
    <w:rsid w:val="0F603118"/>
    <w:rsid w:val="0F781459"/>
    <w:rsid w:val="0F81030D"/>
    <w:rsid w:val="0F904A8F"/>
    <w:rsid w:val="0F956847"/>
    <w:rsid w:val="0F980C7B"/>
    <w:rsid w:val="0F9A07CB"/>
    <w:rsid w:val="0FB029A1"/>
    <w:rsid w:val="0FEB145D"/>
    <w:rsid w:val="0FF7237E"/>
    <w:rsid w:val="102B6602"/>
    <w:rsid w:val="10983F52"/>
    <w:rsid w:val="10991687"/>
    <w:rsid w:val="10A0102D"/>
    <w:rsid w:val="10A42527"/>
    <w:rsid w:val="10B61C33"/>
    <w:rsid w:val="10B86030"/>
    <w:rsid w:val="10D9500B"/>
    <w:rsid w:val="10E356F7"/>
    <w:rsid w:val="111B02EE"/>
    <w:rsid w:val="113849FC"/>
    <w:rsid w:val="113E3FDC"/>
    <w:rsid w:val="11557AE1"/>
    <w:rsid w:val="115F625F"/>
    <w:rsid w:val="11695CA6"/>
    <w:rsid w:val="116C6D9B"/>
    <w:rsid w:val="117D68B3"/>
    <w:rsid w:val="119B6361"/>
    <w:rsid w:val="11CE5360"/>
    <w:rsid w:val="11D24C0A"/>
    <w:rsid w:val="12016853"/>
    <w:rsid w:val="12160F3D"/>
    <w:rsid w:val="121A2F8C"/>
    <w:rsid w:val="12217B86"/>
    <w:rsid w:val="12294108"/>
    <w:rsid w:val="12296A3A"/>
    <w:rsid w:val="122A4C8C"/>
    <w:rsid w:val="12383670"/>
    <w:rsid w:val="125A6BF4"/>
    <w:rsid w:val="126E269F"/>
    <w:rsid w:val="127C16A5"/>
    <w:rsid w:val="129465AA"/>
    <w:rsid w:val="129E10BB"/>
    <w:rsid w:val="12AC765E"/>
    <w:rsid w:val="12C614D5"/>
    <w:rsid w:val="12C94F9C"/>
    <w:rsid w:val="12CD3CFD"/>
    <w:rsid w:val="12DE15D3"/>
    <w:rsid w:val="12E54A8E"/>
    <w:rsid w:val="12F232D0"/>
    <w:rsid w:val="13023513"/>
    <w:rsid w:val="13031039"/>
    <w:rsid w:val="13113756"/>
    <w:rsid w:val="132E255A"/>
    <w:rsid w:val="1354736C"/>
    <w:rsid w:val="1360023A"/>
    <w:rsid w:val="13632822"/>
    <w:rsid w:val="137361BF"/>
    <w:rsid w:val="137D30A6"/>
    <w:rsid w:val="139158EF"/>
    <w:rsid w:val="13922762"/>
    <w:rsid w:val="13A929FF"/>
    <w:rsid w:val="13AE71F7"/>
    <w:rsid w:val="13B567D8"/>
    <w:rsid w:val="13C24A51"/>
    <w:rsid w:val="13CC4D06"/>
    <w:rsid w:val="13D46144"/>
    <w:rsid w:val="13DA623E"/>
    <w:rsid w:val="13FD43C9"/>
    <w:rsid w:val="140137CB"/>
    <w:rsid w:val="14065285"/>
    <w:rsid w:val="14186D67"/>
    <w:rsid w:val="14221993"/>
    <w:rsid w:val="1424570B"/>
    <w:rsid w:val="142A0116"/>
    <w:rsid w:val="143119FB"/>
    <w:rsid w:val="144A20C6"/>
    <w:rsid w:val="146B158C"/>
    <w:rsid w:val="147E1869"/>
    <w:rsid w:val="14A30D26"/>
    <w:rsid w:val="14D964F6"/>
    <w:rsid w:val="14DE5AA5"/>
    <w:rsid w:val="14E063A4"/>
    <w:rsid w:val="152A4FA3"/>
    <w:rsid w:val="152F6116"/>
    <w:rsid w:val="15406575"/>
    <w:rsid w:val="15633BC1"/>
    <w:rsid w:val="1574621E"/>
    <w:rsid w:val="15883A98"/>
    <w:rsid w:val="15B17473"/>
    <w:rsid w:val="15B34F99"/>
    <w:rsid w:val="15BB209F"/>
    <w:rsid w:val="15C3049A"/>
    <w:rsid w:val="15C57B3F"/>
    <w:rsid w:val="15D867AD"/>
    <w:rsid w:val="15E45152"/>
    <w:rsid w:val="160752E5"/>
    <w:rsid w:val="16243949"/>
    <w:rsid w:val="16323177"/>
    <w:rsid w:val="16390B6C"/>
    <w:rsid w:val="163A7468"/>
    <w:rsid w:val="16473933"/>
    <w:rsid w:val="1658748E"/>
    <w:rsid w:val="165B2F3A"/>
    <w:rsid w:val="16873D30"/>
    <w:rsid w:val="16C136E5"/>
    <w:rsid w:val="16CC677D"/>
    <w:rsid w:val="16D03928"/>
    <w:rsid w:val="16D2144F"/>
    <w:rsid w:val="16D3646B"/>
    <w:rsid w:val="16DA0303"/>
    <w:rsid w:val="16FC296F"/>
    <w:rsid w:val="17017F86"/>
    <w:rsid w:val="17060718"/>
    <w:rsid w:val="170D06D9"/>
    <w:rsid w:val="17230BEA"/>
    <w:rsid w:val="172F4B81"/>
    <w:rsid w:val="17377EDE"/>
    <w:rsid w:val="17667DE9"/>
    <w:rsid w:val="17707953"/>
    <w:rsid w:val="17822E75"/>
    <w:rsid w:val="178B36A1"/>
    <w:rsid w:val="17976192"/>
    <w:rsid w:val="17981FF4"/>
    <w:rsid w:val="17BC3B81"/>
    <w:rsid w:val="17C0399D"/>
    <w:rsid w:val="17D26E39"/>
    <w:rsid w:val="17D905BB"/>
    <w:rsid w:val="17DC4231"/>
    <w:rsid w:val="181157F2"/>
    <w:rsid w:val="183A374F"/>
    <w:rsid w:val="183C74C7"/>
    <w:rsid w:val="185C36C6"/>
    <w:rsid w:val="185D11EC"/>
    <w:rsid w:val="187B78F4"/>
    <w:rsid w:val="188328A0"/>
    <w:rsid w:val="18954E2A"/>
    <w:rsid w:val="18A5319B"/>
    <w:rsid w:val="18A93FD3"/>
    <w:rsid w:val="18B52B28"/>
    <w:rsid w:val="18BF1EA7"/>
    <w:rsid w:val="18C15C1F"/>
    <w:rsid w:val="18C75DFD"/>
    <w:rsid w:val="18D57097"/>
    <w:rsid w:val="18F356AC"/>
    <w:rsid w:val="19145D4E"/>
    <w:rsid w:val="19151A93"/>
    <w:rsid w:val="1917583F"/>
    <w:rsid w:val="19315E61"/>
    <w:rsid w:val="193E101D"/>
    <w:rsid w:val="19483C4A"/>
    <w:rsid w:val="19540841"/>
    <w:rsid w:val="19757013"/>
    <w:rsid w:val="19945255"/>
    <w:rsid w:val="199649B5"/>
    <w:rsid w:val="19A30E80"/>
    <w:rsid w:val="19D075C2"/>
    <w:rsid w:val="19E162BD"/>
    <w:rsid w:val="19E51499"/>
    <w:rsid w:val="19F44FB8"/>
    <w:rsid w:val="1A153A81"/>
    <w:rsid w:val="1A153D9C"/>
    <w:rsid w:val="1A155C41"/>
    <w:rsid w:val="1A1A3838"/>
    <w:rsid w:val="1A3D12D5"/>
    <w:rsid w:val="1A461EBC"/>
    <w:rsid w:val="1A4B40F2"/>
    <w:rsid w:val="1A4E19E1"/>
    <w:rsid w:val="1A5537A1"/>
    <w:rsid w:val="1A5A3C35"/>
    <w:rsid w:val="1A6E7911"/>
    <w:rsid w:val="1A8A3DEE"/>
    <w:rsid w:val="1A9829AF"/>
    <w:rsid w:val="1AC1147D"/>
    <w:rsid w:val="1ACC3A7D"/>
    <w:rsid w:val="1ADF3326"/>
    <w:rsid w:val="1AE300CE"/>
    <w:rsid w:val="1B045BC5"/>
    <w:rsid w:val="1B2B3D6C"/>
    <w:rsid w:val="1B3B19AF"/>
    <w:rsid w:val="1B48001A"/>
    <w:rsid w:val="1B530684"/>
    <w:rsid w:val="1B5643D9"/>
    <w:rsid w:val="1B57738F"/>
    <w:rsid w:val="1B6028EE"/>
    <w:rsid w:val="1B61418F"/>
    <w:rsid w:val="1B7A5921"/>
    <w:rsid w:val="1B7D578C"/>
    <w:rsid w:val="1B911640"/>
    <w:rsid w:val="1B917B2A"/>
    <w:rsid w:val="1B947CCE"/>
    <w:rsid w:val="1BA24EA3"/>
    <w:rsid w:val="1BAF7FB0"/>
    <w:rsid w:val="1BD25A4D"/>
    <w:rsid w:val="1BDD5CC2"/>
    <w:rsid w:val="1BEC2FB3"/>
    <w:rsid w:val="1BEC6DDA"/>
    <w:rsid w:val="1BFB39E5"/>
    <w:rsid w:val="1BFC2ACA"/>
    <w:rsid w:val="1C024584"/>
    <w:rsid w:val="1C1237ED"/>
    <w:rsid w:val="1C124DF9"/>
    <w:rsid w:val="1C1517A1"/>
    <w:rsid w:val="1C3A12E6"/>
    <w:rsid w:val="1C600BE3"/>
    <w:rsid w:val="1C6568C1"/>
    <w:rsid w:val="1C676ADD"/>
    <w:rsid w:val="1C817B9F"/>
    <w:rsid w:val="1C8D3242"/>
    <w:rsid w:val="1C9605EF"/>
    <w:rsid w:val="1CA4388D"/>
    <w:rsid w:val="1CB533A4"/>
    <w:rsid w:val="1CCB2BC8"/>
    <w:rsid w:val="1CF87735"/>
    <w:rsid w:val="1CFD009B"/>
    <w:rsid w:val="1D0467DB"/>
    <w:rsid w:val="1D1C78C7"/>
    <w:rsid w:val="1D24677C"/>
    <w:rsid w:val="1D2D295F"/>
    <w:rsid w:val="1D33076D"/>
    <w:rsid w:val="1D4548DE"/>
    <w:rsid w:val="1D752B34"/>
    <w:rsid w:val="1D9E208B"/>
    <w:rsid w:val="1DA04055"/>
    <w:rsid w:val="1DA742AF"/>
    <w:rsid w:val="1DB26E5A"/>
    <w:rsid w:val="1DBC14DB"/>
    <w:rsid w:val="1DF24184"/>
    <w:rsid w:val="1DFA3861"/>
    <w:rsid w:val="1E036392"/>
    <w:rsid w:val="1E04274B"/>
    <w:rsid w:val="1E0E2DA5"/>
    <w:rsid w:val="1E2C3B3A"/>
    <w:rsid w:val="1E652BA8"/>
    <w:rsid w:val="1E6A2FD8"/>
    <w:rsid w:val="1E74728F"/>
    <w:rsid w:val="1E764DB5"/>
    <w:rsid w:val="1E7D4409"/>
    <w:rsid w:val="1E8079E2"/>
    <w:rsid w:val="1E9811D0"/>
    <w:rsid w:val="1EAD7657"/>
    <w:rsid w:val="1ECC0E79"/>
    <w:rsid w:val="1ED8487F"/>
    <w:rsid w:val="1ED949A9"/>
    <w:rsid w:val="1EDC75E7"/>
    <w:rsid w:val="1EFB52BB"/>
    <w:rsid w:val="1F106FB8"/>
    <w:rsid w:val="1F1926EB"/>
    <w:rsid w:val="1F1C0096"/>
    <w:rsid w:val="1F264A2D"/>
    <w:rsid w:val="1F392ED5"/>
    <w:rsid w:val="1F473FF8"/>
    <w:rsid w:val="1F5E41C7"/>
    <w:rsid w:val="1F656C21"/>
    <w:rsid w:val="1F721A21"/>
    <w:rsid w:val="1F775289"/>
    <w:rsid w:val="1F8A4FBC"/>
    <w:rsid w:val="1F917602"/>
    <w:rsid w:val="1F974FE3"/>
    <w:rsid w:val="1FA83694"/>
    <w:rsid w:val="1FC57DA2"/>
    <w:rsid w:val="1FCA4FB8"/>
    <w:rsid w:val="20043675"/>
    <w:rsid w:val="200563F1"/>
    <w:rsid w:val="2006356E"/>
    <w:rsid w:val="20282F0E"/>
    <w:rsid w:val="20362A4E"/>
    <w:rsid w:val="203B6958"/>
    <w:rsid w:val="20576F39"/>
    <w:rsid w:val="206770AC"/>
    <w:rsid w:val="20713A86"/>
    <w:rsid w:val="20831A0C"/>
    <w:rsid w:val="209D487B"/>
    <w:rsid w:val="20A953AC"/>
    <w:rsid w:val="20C52024"/>
    <w:rsid w:val="20E00C0C"/>
    <w:rsid w:val="20E36EBF"/>
    <w:rsid w:val="20F75181"/>
    <w:rsid w:val="20F9407B"/>
    <w:rsid w:val="20FF1092"/>
    <w:rsid w:val="21196B08"/>
    <w:rsid w:val="211C67FD"/>
    <w:rsid w:val="213276BA"/>
    <w:rsid w:val="21350F58"/>
    <w:rsid w:val="214918B6"/>
    <w:rsid w:val="214F03B6"/>
    <w:rsid w:val="21577F5D"/>
    <w:rsid w:val="215B0293"/>
    <w:rsid w:val="215B7C77"/>
    <w:rsid w:val="216058A9"/>
    <w:rsid w:val="21837F15"/>
    <w:rsid w:val="219537A4"/>
    <w:rsid w:val="21981101"/>
    <w:rsid w:val="21BF13C3"/>
    <w:rsid w:val="21C015A7"/>
    <w:rsid w:val="21C36564"/>
    <w:rsid w:val="21C8715A"/>
    <w:rsid w:val="21D84D5F"/>
    <w:rsid w:val="21E6121E"/>
    <w:rsid w:val="21E949C3"/>
    <w:rsid w:val="2208666C"/>
    <w:rsid w:val="22105521"/>
    <w:rsid w:val="22254E0E"/>
    <w:rsid w:val="224623B3"/>
    <w:rsid w:val="225C2514"/>
    <w:rsid w:val="226A4C31"/>
    <w:rsid w:val="22835CF3"/>
    <w:rsid w:val="22B67E76"/>
    <w:rsid w:val="22D4654E"/>
    <w:rsid w:val="22EF1233"/>
    <w:rsid w:val="23111B23"/>
    <w:rsid w:val="23132B8B"/>
    <w:rsid w:val="23190E75"/>
    <w:rsid w:val="23403BE4"/>
    <w:rsid w:val="235356C5"/>
    <w:rsid w:val="2362397B"/>
    <w:rsid w:val="23713D9D"/>
    <w:rsid w:val="23953F30"/>
    <w:rsid w:val="23A91789"/>
    <w:rsid w:val="23BC14BC"/>
    <w:rsid w:val="23C30A9D"/>
    <w:rsid w:val="23D34A58"/>
    <w:rsid w:val="23D9206E"/>
    <w:rsid w:val="23E26A49"/>
    <w:rsid w:val="23E4737F"/>
    <w:rsid w:val="23FC1A3E"/>
    <w:rsid w:val="24113F6E"/>
    <w:rsid w:val="2420009A"/>
    <w:rsid w:val="24455956"/>
    <w:rsid w:val="244F4DD3"/>
    <w:rsid w:val="24764DC1"/>
    <w:rsid w:val="248D262D"/>
    <w:rsid w:val="24C22B02"/>
    <w:rsid w:val="24D10F97"/>
    <w:rsid w:val="250F386E"/>
    <w:rsid w:val="252510E2"/>
    <w:rsid w:val="253B0B07"/>
    <w:rsid w:val="254E4396"/>
    <w:rsid w:val="256E2D8B"/>
    <w:rsid w:val="256F7002"/>
    <w:rsid w:val="25777813"/>
    <w:rsid w:val="2581355B"/>
    <w:rsid w:val="25AA584B"/>
    <w:rsid w:val="25D446E3"/>
    <w:rsid w:val="25D52D09"/>
    <w:rsid w:val="25DF5936"/>
    <w:rsid w:val="25FF7D86"/>
    <w:rsid w:val="2610789E"/>
    <w:rsid w:val="26117431"/>
    <w:rsid w:val="261B33F3"/>
    <w:rsid w:val="262827A7"/>
    <w:rsid w:val="26390EBE"/>
    <w:rsid w:val="264F486A"/>
    <w:rsid w:val="26710DE8"/>
    <w:rsid w:val="268325A1"/>
    <w:rsid w:val="26844E74"/>
    <w:rsid w:val="268A3AF4"/>
    <w:rsid w:val="26993D37"/>
    <w:rsid w:val="26A85D28"/>
    <w:rsid w:val="26B41E2F"/>
    <w:rsid w:val="26B50445"/>
    <w:rsid w:val="26C71ADC"/>
    <w:rsid w:val="26D66D39"/>
    <w:rsid w:val="26DA70F0"/>
    <w:rsid w:val="26EC45CA"/>
    <w:rsid w:val="26EC4E82"/>
    <w:rsid w:val="270F2017"/>
    <w:rsid w:val="27280C17"/>
    <w:rsid w:val="27413455"/>
    <w:rsid w:val="274E23DE"/>
    <w:rsid w:val="2751016E"/>
    <w:rsid w:val="275D6B12"/>
    <w:rsid w:val="27740D1E"/>
    <w:rsid w:val="27873B8F"/>
    <w:rsid w:val="279374D9"/>
    <w:rsid w:val="27986411"/>
    <w:rsid w:val="27B506FD"/>
    <w:rsid w:val="27D843EB"/>
    <w:rsid w:val="27DF6728"/>
    <w:rsid w:val="27F66FE1"/>
    <w:rsid w:val="280B47C0"/>
    <w:rsid w:val="281A4A03"/>
    <w:rsid w:val="281D1A18"/>
    <w:rsid w:val="28213FE4"/>
    <w:rsid w:val="28453578"/>
    <w:rsid w:val="284A55CE"/>
    <w:rsid w:val="284C02EB"/>
    <w:rsid w:val="28537F15"/>
    <w:rsid w:val="285F1E1A"/>
    <w:rsid w:val="287714CF"/>
    <w:rsid w:val="287F06EA"/>
    <w:rsid w:val="28887BBF"/>
    <w:rsid w:val="289823B6"/>
    <w:rsid w:val="28A075FF"/>
    <w:rsid w:val="28A92EBD"/>
    <w:rsid w:val="28C57E02"/>
    <w:rsid w:val="28CD2F54"/>
    <w:rsid w:val="28E54ED2"/>
    <w:rsid w:val="28FB4835"/>
    <w:rsid w:val="28FD67FF"/>
    <w:rsid w:val="2916166F"/>
    <w:rsid w:val="294B7E09"/>
    <w:rsid w:val="294C32E2"/>
    <w:rsid w:val="29650277"/>
    <w:rsid w:val="296C310E"/>
    <w:rsid w:val="297939AC"/>
    <w:rsid w:val="297D4984"/>
    <w:rsid w:val="298F1421"/>
    <w:rsid w:val="29A62492"/>
    <w:rsid w:val="29D11A3A"/>
    <w:rsid w:val="29D137E8"/>
    <w:rsid w:val="29D15596"/>
    <w:rsid w:val="29D37560"/>
    <w:rsid w:val="29DA4680"/>
    <w:rsid w:val="2A1D4C7F"/>
    <w:rsid w:val="2A2B2EF8"/>
    <w:rsid w:val="2A4370E4"/>
    <w:rsid w:val="2A4B3E74"/>
    <w:rsid w:val="2A6C6D93"/>
    <w:rsid w:val="2A6D6BF8"/>
    <w:rsid w:val="2A77613D"/>
    <w:rsid w:val="2A831341"/>
    <w:rsid w:val="2A9A007E"/>
    <w:rsid w:val="2ACF254B"/>
    <w:rsid w:val="2AD52EFE"/>
    <w:rsid w:val="2AEA0A59"/>
    <w:rsid w:val="2AF27EBA"/>
    <w:rsid w:val="2B0100FD"/>
    <w:rsid w:val="2B011EAB"/>
    <w:rsid w:val="2B05199B"/>
    <w:rsid w:val="2B0C2F93"/>
    <w:rsid w:val="2B110340"/>
    <w:rsid w:val="2B2426AA"/>
    <w:rsid w:val="2B2C517A"/>
    <w:rsid w:val="2B34402E"/>
    <w:rsid w:val="2B3948A4"/>
    <w:rsid w:val="2B407AF1"/>
    <w:rsid w:val="2B426E94"/>
    <w:rsid w:val="2B4C3B06"/>
    <w:rsid w:val="2B7B1CD4"/>
    <w:rsid w:val="2B870602"/>
    <w:rsid w:val="2B9D1BD3"/>
    <w:rsid w:val="2BAA1DCD"/>
    <w:rsid w:val="2BAA42F0"/>
    <w:rsid w:val="2BB80B2C"/>
    <w:rsid w:val="2BC40A0A"/>
    <w:rsid w:val="2BCD6DAC"/>
    <w:rsid w:val="2BD33847"/>
    <w:rsid w:val="2BD75CEC"/>
    <w:rsid w:val="2BE11CDE"/>
    <w:rsid w:val="2BFB4B4C"/>
    <w:rsid w:val="2C1106C8"/>
    <w:rsid w:val="2C407BBE"/>
    <w:rsid w:val="2C475FE3"/>
    <w:rsid w:val="2C531232"/>
    <w:rsid w:val="2C561CCD"/>
    <w:rsid w:val="2C5F6625"/>
    <w:rsid w:val="2C646B95"/>
    <w:rsid w:val="2C8935BA"/>
    <w:rsid w:val="2CA00D0A"/>
    <w:rsid w:val="2CAD46B5"/>
    <w:rsid w:val="2CD258AD"/>
    <w:rsid w:val="2CFE48F4"/>
    <w:rsid w:val="2D2221E3"/>
    <w:rsid w:val="2D2307FE"/>
    <w:rsid w:val="2D2B320F"/>
    <w:rsid w:val="2D3630AA"/>
    <w:rsid w:val="2D4C74A5"/>
    <w:rsid w:val="2D55028C"/>
    <w:rsid w:val="2D8E0D27"/>
    <w:rsid w:val="2DB17BB8"/>
    <w:rsid w:val="2DB96A6D"/>
    <w:rsid w:val="2DF53F49"/>
    <w:rsid w:val="2DFF1ECC"/>
    <w:rsid w:val="2E053A60"/>
    <w:rsid w:val="2E163EBF"/>
    <w:rsid w:val="2E186047"/>
    <w:rsid w:val="2E204D3E"/>
    <w:rsid w:val="2E2D5B6D"/>
    <w:rsid w:val="2E7B2D57"/>
    <w:rsid w:val="2E7F1A64"/>
    <w:rsid w:val="2E89643F"/>
    <w:rsid w:val="2ECF282D"/>
    <w:rsid w:val="2ED55B28"/>
    <w:rsid w:val="2EDA313F"/>
    <w:rsid w:val="2EDA6C9B"/>
    <w:rsid w:val="2EDE49DD"/>
    <w:rsid w:val="2EE31FF3"/>
    <w:rsid w:val="2EE93382"/>
    <w:rsid w:val="2EF20488"/>
    <w:rsid w:val="2EF24CD6"/>
    <w:rsid w:val="2F0D2540"/>
    <w:rsid w:val="2F287C43"/>
    <w:rsid w:val="2F2D326E"/>
    <w:rsid w:val="2F300FB0"/>
    <w:rsid w:val="2F5527C5"/>
    <w:rsid w:val="2F5A693F"/>
    <w:rsid w:val="2F624903"/>
    <w:rsid w:val="2F656EAC"/>
    <w:rsid w:val="2F6C023B"/>
    <w:rsid w:val="2F6C1017"/>
    <w:rsid w:val="2F851C2B"/>
    <w:rsid w:val="2F8B5E11"/>
    <w:rsid w:val="2F953F5B"/>
    <w:rsid w:val="2F9B6BBA"/>
    <w:rsid w:val="2FA675E1"/>
    <w:rsid w:val="2FB41BE1"/>
    <w:rsid w:val="2FC85829"/>
    <w:rsid w:val="2FF57AA6"/>
    <w:rsid w:val="301A3026"/>
    <w:rsid w:val="302208F9"/>
    <w:rsid w:val="30282C4A"/>
    <w:rsid w:val="304535F9"/>
    <w:rsid w:val="3048309B"/>
    <w:rsid w:val="30534281"/>
    <w:rsid w:val="308B2942"/>
    <w:rsid w:val="30F74B66"/>
    <w:rsid w:val="30F96E53"/>
    <w:rsid w:val="310271F1"/>
    <w:rsid w:val="3104458E"/>
    <w:rsid w:val="310D71B6"/>
    <w:rsid w:val="313305B8"/>
    <w:rsid w:val="31336B36"/>
    <w:rsid w:val="313708CB"/>
    <w:rsid w:val="313C35D6"/>
    <w:rsid w:val="31666F0B"/>
    <w:rsid w:val="31741628"/>
    <w:rsid w:val="31813D45"/>
    <w:rsid w:val="31D9592F"/>
    <w:rsid w:val="31E0281A"/>
    <w:rsid w:val="31EA1DC2"/>
    <w:rsid w:val="31EF5153"/>
    <w:rsid w:val="31FE5396"/>
    <w:rsid w:val="322E2CC1"/>
    <w:rsid w:val="32566F80"/>
    <w:rsid w:val="32744B8F"/>
    <w:rsid w:val="327A0EC0"/>
    <w:rsid w:val="329C77E0"/>
    <w:rsid w:val="33093FF2"/>
    <w:rsid w:val="330D3AE3"/>
    <w:rsid w:val="33601ACE"/>
    <w:rsid w:val="337D69FA"/>
    <w:rsid w:val="33813B89"/>
    <w:rsid w:val="33821C32"/>
    <w:rsid w:val="33890C8F"/>
    <w:rsid w:val="33927FA5"/>
    <w:rsid w:val="33AC27B5"/>
    <w:rsid w:val="33D4015C"/>
    <w:rsid w:val="33EF143A"/>
    <w:rsid w:val="33FC5905"/>
    <w:rsid w:val="34166EB3"/>
    <w:rsid w:val="3424001A"/>
    <w:rsid w:val="342F5CDB"/>
    <w:rsid w:val="34587BAC"/>
    <w:rsid w:val="3459046D"/>
    <w:rsid w:val="345A5CDB"/>
    <w:rsid w:val="345C54F6"/>
    <w:rsid w:val="346466B6"/>
    <w:rsid w:val="34714C20"/>
    <w:rsid w:val="347E05C9"/>
    <w:rsid w:val="348304E7"/>
    <w:rsid w:val="349631E8"/>
    <w:rsid w:val="34DC1F18"/>
    <w:rsid w:val="34DE6EB2"/>
    <w:rsid w:val="35131158"/>
    <w:rsid w:val="353E374D"/>
    <w:rsid w:val="356928AF"/>
    <w:rsid w:val="3575771D"/>
    <w:rsid w:val="359E15E2"/>
    <w:rsid w:val="35A149B6"/>
    <w:rsid w:val="35B77D36"/>
    <w:rsid w:val="35CA3E1A"/>
    <w:rsid w:val="35D46B3A"/>
    <w:rsid w:val="35D51839"/>
    <w:rsid w:val="35E623C9"/>
    <w:rsid w:val="35FC2E1B"/>
    <w:rsid w:val="360F1920"/>
    <w:rsid w:val="36215AC7"/>
    <w:rsid w:val="36317AE8"/>
    <w:rsid w:val="3632365F"/>
    <w:rsid w:val="363C351B"/>
    <w:rsid w:val="36405F7D"/>
    <w:rsid w:val="3651018A"/>
    <w:rsid w:val="367E0853"/>
    <w:rsid w:val="368C11C2"/>
    <w:rsid w:val="36A01C7A"/>
    <w:rsid w:val="36A354F3"/>
    <w:rsid w:val="36BC7573"/>
    <w:rsid w:val="36CA3A99"/>
    <w:rsid w:val="36D86C0D"/>
    <w:rsid w:val="36F116EB"/>
    <w:rsid w:val="36FB77C2"/>
    <w:rsid w:val="37034C96"/>
    <w:rsid w:val="3715740A"/>
    <w:rsid w:val="37313B18"/>
    <w:rsid w:val="37386C54"/>
    <w:rsid w:val="373A154E"/>
    <w:rsid w:val="373A1EFF"/>
    <w:rsid w:val="37514E7C"/>
    <w:rsid w:val="37922808"/>
    <w:rsid w:val="37C318AF"/>
    <w:rsid w:val="37CB0907"/>
    <w:rsid w:val="37F4701F"/>
    <w:rsid w:val="37F76B0F"/>
    <w:rsid w:val="37FA1570"/>
    <w:rsid w:val="38376F0C"/>
    <w:rsid w:val="38392C84"/>
    <w:rsid w:val="38995E18"/>
    <w:rsid w:val="38A36078"/>
    <w:rsid w:val="38CE5AC2"/>
    <w:rsid w:val="38D155B2"/>
    <w:rsid w:val="39017524"/>
    <w:rsid w:val="39255B4E"/>
    <w:rsid w:val="394B5341"/>
    <w:rsid w:val="3958538C"/>
    <w:rsid w:val="39820717"/>
    <w:rsid w:val="39A570A9"/>
    <w:rsid w:val="39CE564E"/>
    <w:rsid w:val="39D54C2E"/>
    <w:rsid w:val="39DA296F"/>
    <w:rsid w:val="39E65E7D"/>
    <w:rsid w:val="39E66E3B"/>
    <w:rsid w:val="39EC3D26"/>
    <w:rsid w:val="39FC588F"/>
    <w:rsid w:val="3A013C75"/>
    <w:rsid w:val="3A173499"/>
    <w:rsid w:val="3A1F40FB"/>
    <w:rsid w:val="3A26548A"/>
    <w:rsid w:val="3A353BF0"/>
    <w:rsid w:val="3A451DB4"/>
    <w:rsid w:val="3A4F49E1"/>
    <w:rsid w:val="3A6366DE"/>
    <w:rsid w:val="3A9F4C9C"/>
    <w:rsid w:val="3ABF0EE4"/>
    <w:rsid w:val="3AC0768C"/>
    <w:rsid w:val="3AC54194"/>
    <w:rsid w:val="3ACC4283"/>
    <w:rsid w:val="3AD331DF"/>
    <w:rsid w:val="3AFD4728"/>
    <w:rsid w:val="3B1654FE"/>
    <w:rsid w:val="3B263C85"/>
    <w:rsid w:val="3B295232"/>
    <w:rsid w:val="3B3B31B7"/>
    <w:rsid w:val="3B587B7A"/>
    <w:rsid w:val="3B7444A1"/>
    <w:rsid w:val="3B7F12F6"/>
    <w:rsid w:val="3B847FBD"/>
    <w:rsid w:val="3B8C3A12"/>
    <w:rsid w:val="3B973B49"/>
    <w:rsid w:val="3BB22730"/>
    <w:rsid w:val="3BD74EAC"/>
    <w:rsid w:val="3BFD4FB1"/>
    <w:rsid w:val="3BFE1F56"/>
    <w:rsid w:val="3C137FF3"/>
    <w:rsid w:val="3C161445"/>
    <w:rsid w:val="3C17152E"/>
    <w:rsid w:val="3C3D6ABB"/>
    <w:rsid w:val="3C406EAC"/>
    <w:rsid w:val="3C4B267E"/>
    <w:rsid w:val="3C614900"/>
    <w:rsid w:val="3C6601EC"/>
    <w:rsid w:val="3C6E4D25"/>
    <w:rsid w:val="3C747F7D"/>
    <w:rsid w:val="3C7523AB"/>
    <w:rsid w:val="3C7C081B"/>
    <w:rsid w:val="3C7C2505"/>
    <w:rsid w:val="3CAB1C76"/>
    <w:rsid w:val="3CB7061B"/>
    <w:rsid w:val="3CB940B6"/>
    <w:rsid w:val="3CEF24AB"/>
    <w:rsid w:val="3CEF4259"/>
    <w:rsid w:val="3D0870C9"/>
    <w:rsid w:val="3D252AEF"/>
    <w:rsid w:val="3D540560"/>
    <w:rsid w:val="3D5630FB"/>
    <w:rsid w:val="3D6407A3"/>
    <w:rsid w:val="3D7E5F6F"/>
    <w:rsid w:val="3D8B043B"/>
    <w:rsid w:val="3D962926"/>
    <w:rsid w:val="3DA46DF1"/>
    <w:rsid w:val="3DC47494"/>
    <w:rsid w:val="3DC72AE0"/>
    <w:rsid w:val="3DD07BE6"/>
    <w:rsid w:val="3DD44DB4"/>
    <w:rsid w:val="3DE713D4"/>
    <w:rsid w:val="3DF04170"/>
    <w:rsid w:val="3E184036"/>
    <w:rsid w:val="3E2972F7"/>
    <w:rsid w:val="3E381EFD"/>
    <w:rsid w:val="3E391F41"/>
    <w:rsid w:val="3E492E08"/>
    <w:rsid w:val="3E4D56DB"/>
    <w:rsid w:val="3E6F6F6D"/>
    <w:rsid w:val="3E7C1B1C"/>
    <w:rsid w:val="3E7F160D"/>
    <w:rsid w:val="3E8804C1"/>
    <w:rsid w:val="3E886713"/>
    <w:rsid w:val="3E97296B"/>
    <w:rsid w:val="3E974BA8"/>
    <w:rsid w:val="3EA846BF"/>
    <w:rsid w:val="3ED967CE"/>
    <w:rsid w:val="3F2C05B5"/>
    <w:rsid w:val="3F3F1C78"/>
    <w:rsid w:val="3F676329"/>
    <w:rsid w:val="3FBD23EC"/>
    <w:rsid w:val="3FE756BB"/>
    <w:rsid w:val="3FED2FEE"/>
    <w:rsid w:val="3FF0411E"/>
    <w:rsid w:val="3FF42DD7"/>
    <w:rsid w:val="3FF64C40"/>
    <w:rsid w:val="400B13AA"/>
    <w:rsid w:val="404B79F8"/>
    <w:rsid w:val="404D2686"/>
    <w:rsid w:val="404E74E8"/>
    <w:rsid w:val="405368AD"/>
    <w:rsid w:val="406805AA"/>
    <w:rsid w:val="40747133"/>
    <w:rsid w:val="40784565"/>
    <w:rsid w:val="40A6112C"/>
    <w:rsid w:val="40B27A77"/>
    <w:rsid w:val="40D01062"/>
    <w:rsid w:val="40D43E92"/>
    <w:rsid w:val="4125649B"/>
    <w:rsid w:val="41592C89"/>
    <w:rsid w:val="416D1BF0"/>
    <w:rsid w:val="417A4326"/>
    <w:rsid w:val="41911D83"/>
    <w:rsid w:val="41924A76"/>
    <w:rsid w:val="41970A1B"/>
    <w:rsid w:val="419B135E"/>
    <w:rsid w:val="419B675D"/>
    <w:rsid w:val="41A1082C"/>
    <w:rsid w:val="41A736CF"/>
    <w:rsid w:val="41AC2719"/>
    <w:rsid w:val="41D37CA5"/>
    <w:rsid w:val="41F30A12"/>
    <w:rsid w:val="41F52311"/>
    <w:rsid w:val="41F67047"/>
    <w:rsid w:val="422A188F"/>
    <w:rsid w:val="42301A8E"/>
    <w:rsid w:val="423B4701"/>
    <w:rsid w:val="42426BD9"/>
    <w:rsid w:val="425B44EE"/>
    <w:rsid w:val="427636CC"/>
    <w:rsid w:val="427F607F"/>
    <w:rsid w:val="428E0070"/>
    <w:rsid w:val="42AD609A"/>
    <w:rsid w:val="42B97A25"/>
    <w:rsid w:val="42BC2E2F"/>
    <w:rsid w:val="42BE0955"/>
    <w:rsid w:val="42E47C90"/>
    <w:rsid w:val="42F53B29"/>
    <w:rsid w:val="430622FC"/>
    <w:rsid w:val="43120CA1"/>
    <w:rsid w:val="43200D5B"/>
    <w:rsid w:val="432B3B11"/>
    <w:rsid w:val="433A4C14"/>
    <w:rsid w:val="433D01FE"/>
    <w:rsid w:val="436301DA"/>
    <w:rsid w:val="436F39FE"/>
    <w:rsid w:val="438A6A89"/>
    <w:rsid w:val="4392593E"/>
    <w:rsid w:val="439873F8"/>
    <w:rsid w:val="4399767D"/>
    <w:rsid w:val="43A51B15"/>
    <w:rsid w:val="43B35FE0"/>
    <w:rsid w:val="43C26223"/>
    <w:rsid w:val="43D441A9"/>
    <w:rsid w:val="43D560EF"/>
    <w:rsid w:val="43F56AA3"/>
    <w:rsid w:val="43F839F3"/>
    <w:rsid w:val="440C749E"/>
    <w:rsid w:val="44271E03"/>
    <w:rsid w:val="44290050"/>
    <w:rsid w:val="443342FC"/>
    <w:rsid w:val="446E1F07"/>
    <w:rsid w:val="44811405"/>
    <w:rsid w:val="44A15C7B"/>
    <w:rsid w:val="44A21BB1"/>
    <w:rsid w:val="44A9589D"/>
    <w:rsid w:val="44B55D88"/>
    <w:rsid w:val="44C242D6"/>
    <w:rsid w:val="44D81A76"/>
    <w:rsid w:val="44E87B8C"/>
    <w:rsid w:val="44EE3FA4"/>
    <w:rsid w:val="451B3DA8"/>
    <w:rsid w:val="452105C8"/>
    <w:rsid w:val="45237196"/>
    <w:rsid w:val="45365B70"/>
    <w:rsid w:val="4537679D"/>
    <w:rsid w:val="45444DCB"/>
    <w:rsid w:val="454F1D39"/>
    <w:rsid w:val="459F5A93"/>
    <w:rsid w:val="45A007E6"/>
    <w:rsid w:val="45AE5285"/>
    <w:rsid w:val="45CA7A30"/>
    <w:rsid w:val="45CC1151"/>
    <w:rsid w:val="45CE1EE4"/>
    <w:rsid w:val="45D51747"/>
    <w:rsid w:val="45D522D6"/>
    <w:rsid w:val="45F37724"/>
    <w:rsid w:val="45F621B4"/>
    <w:rsid w:val="45FB06B0"/>
    <w:rsid w:val="45FC0CDF"/>
    <w:rsid w:val="45FC6BC4"/>
    <w:rsid w:val="460055F1"/>
    <w:rsid w:val="461E02FB"/>
    <w:rsid w:val="462C7752"/>
    <w:rsid w:val="463E53AE"/>
    <w:rsid w:val="465B27D3"/>
    <w:rsid w:val="46645519"/>
    <w:rsid w:val="4673578D"/>
    <w:rsid w:val="467557CF"/>
    <w:rsid w:val="46767799"/>
    <w:rsid w:val="467D28D5"/>
    <w:rsid w:val="46854808"/>
    <w:rsid w:val="468A243D"/>
    <w:rsid w:val="46A47E62"/>
    <w:rsid w:val="46B856BC"/>
    <w:rsid w:val="46BA50B0"/>
    <w:rsid w:val="46CD5CDF"/>
    <w:rsid w:val="46DD3374"/>
    <w:rsid w:val="46F012F9"/>
    <w:rsid w:val="47197576"/>
    <w:rsid w:val="471A2341"/>
    <w:rsid w:val="472207C0"/>
    <w:rsid w:val="47482EE3"/>
    <w:rsid w:val="47507FEA"/>
    <w:rsid w:val="47685334"/>
    <w:rsid w:val="476A357B"/>
    <w:rsid w:val="476D294A"/>
    <w:rsid w:val="47737835"/>
    <w:rsid w:val="47971775"/>
    <w:rsid w:val="47AA7A75"/>
    <w:rsid w:val="47C54534"/>
    <w:rsid w:val="47D209FF"/>
    <w:rsid w:val="47DD2C1E"/>
    <w:rsid w:val="47DF7F53"/>
    <w:rsid w:val="47F866B8"/>
    <w:rsid w:val="48194880"/>
    <w:rsid w:val="481B4154"/>
    <w:rsid w:val="482374AD"/>
    <w:rsid w:val="482E032B"/>
    <w:rsid w:val="4840038A"/>
    <w:rsid w:val="485A0F31"/>
    <w:rsid w:val="48616187"/>
    <w:rsid w:val="48B06F92"/>
    <w:rsid w:val="48CD115B"/>
    <w:rsid w:val="48D662CD"/>
    <w:rsid w:val="48DB38E3"/>
    <w:rsid w:val="48DC7D87"/>
    <w:rsid w:val="48DF33D4"/>
    <w:rsid w:val="48DF5182"/>
    <w:rsid w:val="48E25830"/>
    <w:rsid w:val="48ED301E"/>
    <w:rsid w:val="48F03833"/>
    <w:rsid w:val="4913307D"/>
    <w:rsid w:val="493019DF"/>
    <w:rsid w:val="493A4AAE"/>
    <w:rsid w:val="49667651"/>
    <w:rsid w:val="49757894"/>
    <w:rsid w:val="497625E2"/>
    <w:rsid w:val="497D499A"/>
    <w:rsid w:val="499046CE"/>
    <w:rsid w:val="49942410"/>
    <w:rsid w:val="49A3785C"/>
    <w:rsid w:val="49BF6D61"/>
    <w:rsid w:val="49D071C0"/>
    <w:rsid w:val="49D825AA"/>
    <w:rsid w:val="49D92519"/>
    <w:rsid w:val="49E05655"/>
    <w:rsid w:val="49ED38CE"/>
    <w:rsid w:val="49EF142F"/>
    <w:rsid w:val="4A0330F2"/>
    <w:rsid w:val="4A062BE2"/>
    <w:rsid w:val="4A084BAC"/>
    <w:rsid w:val="4A34774F"/>
    <w:rsid w:val="4A404346"/>
    <w:rsid w:val="4A781081"/>
    <w:rsid w:val="4A9D3546"/>
    <w:rsid w:val="4AAA5C63"/>
    <w:rsid w:val="4AB56AE2"/>
    <w:rsid w:val="4ADE1CC2"/>
    <w:rsid w:val="4ADF76BB"/>
    <w:rsid w:val="4AEC002A"/>
    <w:rsid w:val="4B0E1D4E"/>
    <w:rsid w:val="4B163324"/>
    <w:rsid w:val="4B454A8C"/>
    <w:rsid w:val="4B4B5BA4"/>
    <w:rsid w:val="4B540C01"/>
    <w:rsid w:val="4B7778F3"/>
    <w:rsid w:val="4B7A3887"/>
    <w:rsid w:val="4B7D2E0D"/>
    <w:rsid w:val="4B857DCA"/>
    <w:rsid w:val="4B8612C6"/>
    <w:rsid w:val="4B95421D"/>
    <w:rsid w:val="4BA35E91"/>
    <w:rsid w:val="4C0373D9"/>
    <w:rsid w:val="4C2C4B82"/>
    <w:rsid w:val="4C2C7C0F"/>
    <w:rsid w:val="4C3B0A62"/>
    <w:rsid w:val="4C4C2747"/>
    <w:rsid w:val="4C4F0870"/>
    <w:rsid w:val="4C87625C"/>
    <w:rsid w:val="4C8A1BEF"/>
    <w:rsid w:val="4C9444D5"/>
    <w:rsid w:val="4CA03F15"/>
    <w:rsid w:val="4CAC5CC3"/>
    <w:rsid w:val="4CB700C0"/>
    <w:rsid w:val="4CBF59F6"/>
    <w:rsid w:val="4CC2070E"/>
    <w:rsid w:val="4CC354DE"/>
    <w:rsid w:val="4CCC6BC0"/>
    <w:rsid w:val="4D0D15DD"/>
    <w:rsid w:val="4D7762D0"/>
    <w:rsid w:val="4D8E5C93"/>
    <w:rsid w:val="4D903B74"/>
    <w:rsid w:val="4DBA0643"/>
    <w:rsid w:val="4DD3727F"/>
    <w:rsid w:val="4DFA0CB0"/>
    <w:rsid w:val="4E173610"/>
    <w:rsid w:val="4E4D5283"/>
    <w:rsid w:val="4E4F2DA9"/>
    <w:rsid w:val="4E606D65"/>
    <w:rsid w:val="4E6B160F"/>
    <w:rsid w:val="4E760336"/>
    <w:rsid w:val="4E775E5C"/>
    <w:rsid w:val="4E7A0A5F"/>
    <w:rsid w:val="4E7C3473"/>
    <w:rsid w:val="4E7F743E"/>
    <w:rsid w:val="4E9702AC"/>
    <w:rsid w:val="4EA12ED9"/>
    <w:rsid w:val="4EBC01AF"/>
    <w:rsid w:val="4EC4429B"/>
    <w:rsid w:val="4ECA68D4"/>
    <w:rsid w:val="4EDD0DB8"/>
    <w:rsid w:val="4EEC5046"/>
    <w:rsid w:val="4EEC684A"/>
    <w:rsid w:val="4EF27870"/>
    <w:rsid w:val="4F0128CE"/>
    <w:rsid w:val="4F156272"/>
    <w:rsid w:val="4F35438F"/>
    <w:rsid w:val="4F363F69"/>
    <w:rsid w:val="4F3D70A6"/>
    <w:rsid w:val="4F45079D"/>
    <w:rsid w:val="4F555DCF"/>
    <w:rsid w:val="4F582E1E"/>
    <w:rsid w:val="4F5A4CA7"/>
    <w:rsid w:val="4F810D59"/>
    <w:rsid w:val="4F8E4330"/>
    <w:rsid w:val="4F950C90"/>
    <w:rsid w:val="4F9F566B"/>
    <w:rsid w:val="4FB456D3"/>
    <w:rsid w:val="4FE0244B"/>
    <w:rsid w:val="4FE20A13"/>
    <w:rsid w:val="4FFC114C"/>
    <w:rsid w:val="500D7E2D"/>
    <w:rsid w:val="500E27F0"/>
    <w:rsid w:val="502142D2"/>
    <w:rsid w:val="50431B11"/>
    <w:rsid w:val="504B75A0"/>
    <w:rsid w:val="507C5B02"/>
    <w:rsid w:val="509176A9"/>
    <w:rsid w:val="509E5922"/>
    <w:rsid w:val="50B213CE"/>
    <w:rsid w:val="50C87602"/>
    <w:rsid w:val="50F41A29"/>
    <w:rsid w:val="50F653A2"/>
    <w:rsid w:val="51071719"/>
    <w:rsid w:val="510734C7"/>
    <w:rsid w:val="510C6D30"/>
    <w:rsid w:val="51136310"/>
    <w:rsid w:val="511703CE"/>
    <w:rsid w:val="51391941"/>
    <w:rsid w:val="51595CED"/>
    <w:rsid w:val="51791EEB"/>
    <w:rsid w:val="517D392F"/>
    <w:rsid w:val="519122F3"/>
    <w:rsid w:val="51A20A8F"/>
    <w:rsid w:val="51C8534D"/>
    <w:rsid w:val="51CB045D"/>
    <w:rsid w:val="51E37298"/>
    <w:rsid w:val="51F07A9F"/>
    <w:rsid w:val="51F872B4"/>
    <w:rsid w:val="51F94007"/>
    <w:rsid w:val="52021EE1"/>
    <w:rsid w:val="522D5F9E"/>
    <w:rsid w:val="52354064"/>
    <w:rsid w:val="523E73BD"/>
    <w:rsid w:val="524A77D1"/>
    <w:rsid w:val="524C01BF"/>
    <w:rsid w:val="524E3378"/>
    <w:rsid w:val="525F5585"/>
    <w:rsid w:val="52715451"/>
    <w:rsid w:val="527A416D"/>
    <w:rsid w:val="52A15B9E"/>
    <w:rsid w:val="52C5363A"/>
    <w:rsid w:val="52CD24EF"/>
    <w:rsid w:val="52D95337"/>
    <w:rsid w:val="52E00474"/>
    <w:rsid w:val="530154A1"/>
    <w:rsid w:val="532E0611"/>
    <w:rsid w:val="53320238"/>
    <w:rsid w:val="53596EA6"/>
    <w:rsid w:val="536E11E4"/>
    <w:rsid w:val="53725DB9"/>
    <w:rsid w:val="537E4CD3"/>
    <w:rsid w:val="53876649"/>
    <w:rsid w:val="539E1218"/>
    <w:rsid w:val="53A21BCD"/>
    <w:rsid w:val="53A70F92"/>
    <w:rsid w:val="53B75ECF"/>
    <w:rsid w:val="53B8319F"/>
    <w:rsid w:val="53F964C6"/>
    <w:rsid w:val="540208BE"/>
    <w:rsid w:val="54047A2B"/>
    <w:rsid w:val="541C3BC8"/>
    <w:rsid w:val="541C5B37"/>
    <w:rsid w:val="54224844"/>
    <w:rsid w:val="54322F51"/>
    <w:rsid w:val="54336CC9"/>
    <w:rsid w:val="54532EC8"/>
    <w:rsid w:val="54534179"/>
    <w:rsid w:val="54626AC8"/>
    <w:rsid w:val="54632C3F"/>
    <w:rsid w:val="54686E5F"/>
    <w:rsid w:val="547277F2"/>
    <w:rsid w:val="54952A74"/>
    <w:rsid w:val="54AF6350"/>
    <w:rsid w:val="54DE4E87"/>
    <w:rsid w:val="54DF47E6"/>
    <w:rsid w:val="550D6AF2"/>
    <w:rsid w:val="55474B37"/>
    <w:rsid w:val="554A42CB"/>
    <w:rsid w:val="556233C2"/>
    <w:rsid w:val="558C6691"/>
    <w:rsid w:val="55AB5DB5"/>
    <w:rsid w:val="55B41744"/>
    <w:rsid w:val="55C0054A"/>
    <w:rsid w:val="55C6638D"/>
    <w:rsid w:val="55D818D6"/>
    <w:rsid w:val="55F83D27"/>
    <w:rsid w:val="5604752C"/>
    <w:rsid w:val="560721BC"/>
    <w:rsid w:val="56193EF6"/>
    <w:rsid w:val="56263D1A"/>
    <w:rsid w:val="564E64E5"/>
    <w:rsid w:val="56754CFD"/>
    <w:rsid w:val="56866500"/>
    <w:rsid w:val="56C90C63"/>
    <w:rsid w:val="56D7432E"/>
    <w:rsid w:val="56DE4CCA"/>
    <w:rsid w:val="56EF1B35"/>
    <w:rsid w:val="57032983"/>
    <w:rsid w:val="570B1D7A"/>
    <w:rsid w:val="571E156B"/>
    <w:rsid w:val="572D5C52"/>
    <w:rsid w:val="57303F7D"/>
    <w:rsid w:val="573A3649"/>
    <w:rsid w:val="57580F21"/>
    <w:rsid w:val="5763497E"/>
    <w:rsid w:val="57792DAF"/>
    <w:rsid w:val="57853398"/>
    <w:rsid w:val="578A4E52"/>
    <w:rsid w:val="579251E4"/>
    <w:rsid w:val="579463E2"/>
    <w:rsid w:val="579B0E0D"/>
    <w:rsid w:val="57A53A3A"/>
    <w:rsid w:val="57F4051E"/>
    <w:rsid w:val="580C34B0"/>
    <w:rsid w:val="583F5C3D"/>
    <w:rsid w:val="584D1551"/>
    <w:rsid w:val="587753D7"/>
    <w:rsid w:val="587C13DB"/>
    <w:rsid w:val="58B008E9"/>
    <w:rsid w:val="58BE3005"/>
    <w:rsid w:val="58D22AF9"/>
    <w:rsid w:val="58DD4440"/>
    <w:rsid w:val="58EC42C6"/>
    <w:rsid w:val="59043171"/>
    <w:rsid w:val="59086494"/>
    <w:rsid w:val="592947BA"/>
    <w:rsid w:val="593257A1"/>
    <w:rsid w:val="5939034E"/>
    <w:rsid w:val="594352B9"/>
    <w:rsid w:val="596F60AE"/>
    <w:rsid w:val="59710078"/>
    <w:rsid w:val="597C07CB"/>
    <w:rsid w:val="599124C8"/>
    <w:rsid w:val="5996188C"/>
    <w:rsid w:val="599975CF"/>
    <w:rsid w:val="59A815C0"/>
    <w:rsid w:val="59AC10B0"/>
    <w:rsid w:val="59CE4445"/>
    <w:rsid w:val="59FD190B"/>
    <w:rsid w:val="5A0E4094"/>
    <w:rsid w:val="5A1A1F62"/>
    <w:rsid w:val="5A1A7200"/>
    <w:rsid w:val="5A1D3D5C"/>
    <w:rsid w:val="5A1E20C2"/>
    <w:rsid w:val="5A24333C"/>
    <w:rsid w:val="5A2E7D17"/>
    <w:rsid w:val="5A357CBF"/>
    <w:rsid w:val="5A3B7A47"/>
    <w:rsid w:val="5A3D7F5A"/>
    <w:rsid w:val="5A4532B2"/>
    <w:rsid w:val="5A762D88"/>
    <w:rsid w:val="5A8B33BB"/>
    <w:rsid w:val="5A9056E2"/>
    <w:rsid w:val="5A932270"/>
    <w:rsid w:val="5A9A53AC"/>
    <w:rsid w:val="5ABE2890"/>
    <w:rsid w:val="5ACD39D4"/>
    <w:rsid w:val="5AF80325"/>
    <w:rsid w:val="5B0B723D"/>
    <w:rsid w:val="5B37709F"/>
    <w:rsid w:val="5BA10461"/>
    <w:rsid w:val="5BCB77E7"/>
    <w:rsid w:val="5BEA3E40"/>
    <w:rsid w:val="5C3433E4"/>
    <w:rsid w:val="5C4E1BFE"/>
    <w:rsid w:val="5C5B6DBD"/>
    <w:rsid w:val="5C5E240A"/>
    <w:rsid w:val="5C60789B"/>
    <w:rsid w:val="5C7D4F86"/>
    <w:rsid w:val="5C7E45A2"/>
    <w:rsid w:val="5CA45C48"/>
    <w:rsid w:val="5CA644DC"/>
    <w:rsid w:val="5CB30143"/>
    <w:rsid w:val="5CB87FB6"/>
    <w:rsid w:val="5CCB7A9F"/>
    <w:rsid w:val="5CF40B40"/>
    <w:rsid w:val="5CF44E50"/>
    <w:rsid w:val="5D1A0A26"/>
    <w:rsid w:val="5D1A4582"/>
    <w:rsid w:val="5D1E5CA6"/>
    <w:rsid w:val="5D301FF8"/>
    <w:rsid w:val="5D3A4C25"/>
    <w:rsid w:val="5D481F40"/>
    <w:rsid w:val="5D4B3FA0"/>
    <w:rsid w:val="5D6F5686"/>
    <w:rsid w:val="5D7E0FB5"/>
    <w:rsid w:val="5D861C18"/>
    <w:rsid w:val="5D9407D9"/>
    <w:rsid w:val="5D982259"/>
    <w:rsid w:val="5DB55BCD"/>
    <w:rsid w:val="5DDC5CDC"/>
    <w:rsid w:val="5DDC6795"/>
    <w:rsid w:val="5DE8500B"/>
    <w:rsid w:val="5DFC012C"/>
    <w:rsid w:val="5E2B11CC"/>
    <w:rsid w:val="5E4C4C10"/>
    <w:rsid w:val="5E7D3D41"/>
    <w:rsid w:val="5E893424"/>
    <w:rsid w:val="5EB34C8F"/>
    <w:rsid w:val="5EBF1885"/>
    <w:rsid w:val="5ED74E21"/>
    <w:rsid w:val="5F092B01"/>
    <w:rsid w:val="5F322057"/>
    <w:rsid w:val="5F337B7D"/>
    <w:rsid w:val="5F396B15"/>
    <w:rsid w:val="5F3C4C84"/>
    <w:rsid w:val="5F482947"/>
    <w:rsid w:val="5F630BAE"/>
    <w:rsid w:val="5F701483"/>
    <w:rsid w:val="5F99763F"/>
    <w:rsid w:val="5FC02ACC"/>
    <w:rsid w:val="5FC324AB"/>
    <w:rsid w:val="5FCD7FD2"/>
    <w:rsid w:val="5FD82410"/>
    <w:rsid w:val="5FDC1FC3"/>
    <w:rsid w:val="5FE62E42"/>
    <w:rsid w:val="5FF067F2"/>
    <w:rsid w:val="5FF13CC0"/>
    <w:rsid w:val="5FFC08B7"/>
    <w:rsid w:val="5FFE2E5B"/>
    <w:rsid w:val="60082DB8"/>
    <w:rsid w:val="600F2399"/>
    <w:rsid w:val="602A2D2E"/>
    <w:rsid w:val="602D0A71"/>
    <w:rsid w:val="6051475F"/>
    <w:rsid w:val="6062696C"/>
    <w:rsid w:val="60857C17"/>
    <w:rsid w:val="609C1EB0"/>
    <w:rsid w:val="609D5BF6"/>
    <w:rsid w:val="60C3607A"/>
    <w:rsid w:val="60CA73DF"/>
    <w:rsid w:val="60DC3B3E"/>
    <w:rsid w:val="60FE69AF"/>
    <w:rsid w:val="61066D33"/>
    <w:rsid w:val="61273712"/>
    <w:rsid w:val="6129748A"/>
    <w:rsid w:val="613025C6"/>
    <w:rsid w:val="613E2DF6"/>
    <w:rsid w:val="613F280A"/>
    <w:rsid w:val="61445A16"/>
    <w:rsid w:val="61471ACE"/>
    <w:rsid w:val="615C33BC"/>
    <w:rsid w:val="615C785F"/>
    <w:rsid w:val="61654D4B"/>
    <w:rsid w:val="61671D60"/>
    <w:rsid w:val="61703AF0"/>
    <w:rsid w:val="617E77D6"/>
    <w:rsid w:val="617F354E"/>
    <w:rsid w:val="61A3723C"/>
    <w:rsid w:val="61AF3E33"/>
    <w:rsid w:val="61C55405"/>
    <w:rsid w:val="61D25D9B"/>
    <w:rsid w:val="61F41846"/>
    <w:rsid w:val="61FB21BD"/>
    <w:rsid w:val="61FE0917"/>
    <w:rsid w:val="620A12CA"/>
    <w:rsid w:val="62165216"/>
    <w:rsid w:val="621974FF"/>
    <w:rsid w:val="626D784A"/>
    <w:rsid w:val="62976675"/>
    <w:rsid w:val="62B55E6C"/>
    <w:rsid w:val="62C05BCC"/>
    <w:rsid w:val="62C236F2"/>
    <w:rsid w:val="630470F0"/>
    <w:rsid w:val="630945DD"/>
    <w:rsid w:val="630B32EB"/>
    <w:rsid w:val="631A1780"/>
    <w:rsid w:val="635D166D"/>
    <w:rsid w:val="637644DD"/>
    <w:rsid w:val="639C03E7"/>
    <w:rsid w:val="63FA510E"/>
    <w:rsid w:val="641F55CF"/>
    <w:rsid w:val="643979E4"/>
    <w:rsid w:val="64406FC4"/>
    <w:rsid w:val="64591E34"/>
    <w:rsid w:val="646B1B68"/>
    <w:rsid w:val="648A0240"/>
    <w:rsid w:val="64917820"/>
    <w:rsid w:val="64966BE4"/>
    <w:rsid w:val="64C74A0D"/>
    <w:rsid w:val="64D83B7D"/>
    <w:rsid w:val="64FD41BE"/>
    <w:rsid w:val="65063A90"/>
    <w:rsid w:val="65175B08"/>
    <w:rsid w:val="651A5A67"/>
    <w:rsid w:val="651B533C"/>
    <w:rsid w:val="653A605D"/>
    <w:rsid w:val="65424FBE"/>
    <w:rsid w:val="654E0AAD"/>
    <w:rsid w:val="655A5E64"/>
    <w:rsid w:val="65990E75"/>
    <w:rsid w:val="65B53BCB"/>
    <w:rsid w:val="65DE4CE7"/>
    <w:rsid w:val="66071BDE"/>
    <w:rsid w:val="664034E9"/>
    <w:rsid w:val="6655487D"/>
    <w:rsid w:val="665705F5"/>
    <w:rsid w:val="66652D12"/>
    <w:rsid w:val="66A001EE"/>
    <w:rsid w:val="66B23A7E"/>
    <w:rsid w:val="66B82FCF"/>
    <w:rsid w:val="66C043ED"/>
    <w:rsid w:val="66C7577B"/>
    <w:rsid w:val="66CE0461"/>
    <w:rsid w:val="66CF63DE"/>
    <w:rsid w:val="66E300DB"/>
    <w:rsid w:val="670C7632"/>
    <w:rsid w:val="671309C0"/>
    <w:rsid w:val="6754503C"/>
    <w:rsid w:val="6766071E"/>
    <w:rsid w:val="679A4C3E"/>
    <w:rsid w:val="679A610E"/>
    <w:rsid w:val="67A338E4"/>
    <w:rsid w:val="67EE31DB"/>
    <w:rsid w:val="68065131"/>
    <w:rsid w:val="681A3FD0"/>
    <w:rsid w:val="681B6E66"/>
    <w:rsid w:val="681F35C3"/>
    <w:rsid w:val="683F11A2"/>
    <w:rsid w:val="68441D23"/>
    <w:rsid w:val="685625D8"/>
    <w:rsid w:val="68701E42"/>
    <w:rsid w:val="68793917"/>
    <w:rsid w:val="688D47A2"/>
    <w:rsid w:val="689773CF"/>
    <w:rsid w:val="689C0228"/>
    <w:rsid w:val="68B97345"/>
    <w:rsid w:val="68CF0917"/>
    <w:rsid w:val="68E048D2"/>
    <w:rsid w:val="69085BD7"/>
    <w:rsid w:val="691150BC"/>
    <w:rsid w:val="69132EFA"/>
    <w:rsid w:val="692F4A98"/>
    <w:rsid w:val="69360585"/>
    <w:rsid w:val="693764BC"/>
    <w:rsid w:val="69382A2C"/>
    <w:rsid w:val="693C50DC"/>
    <w:rsid w:val="69434640"/>
    <w:rsid w:val="69565192"/>
    <w:rsid w:val="69594684"/>
    <w:rsid w:val="695F0D98"/>
    <w:rsid w:val="696F18F8"/>
    <w:rsid w:val="6984202F"/>
    <w:rsid w:val="69872FA0"/>
    <w:rsid w:val="69DB5D7C"/>
    <w:rsid w:val="69F36887"/>
    <w:rsid w:val="6A016E46"/>
    <w:rsid w:val="6A040A94"/>
    <w:rsid w:val="6A121DB3"/>
    <w:rsid w:val="6A130CD7"/>
    <w:rsid w:val="6A1862EE"/>
    <w:rsid w:val="6A287F43"/>
    <w:rsid w:val="6A4D41E9"/>
    <w:rsid w:val="6A505A87"/>
    <w:rsid w:val="6A5135AE"/>
    <w:rsid w:val="6A6E4160"/>
    <w:rsid w:val="6A9C0CCD"/>
    <w:rsid w:val="6AB20692"/>
    <w:rsid w:val="6AC10733"/>
    <w:rsid w:val="6AE34B4E"/>
    <w:rsid w:val="6AFB6F7F"/>
    <w:rsid w:val="6AFC5AC4"/>
    <w:rsid w:val="6B016D82"/>
    <w:rsid w:val="6B166CD1"/>
    <w:rsid w:val="6B277D58"/>
    <w:rsid w:val="6B2D6E6C"/>
    <w:rsid w:val="6B385C49"/>
    <w:rsid w:val="6B517D09"/>
    <w:rsid w:val="6B5E3C8A"/>
    <w:rsid w:val="6B7A2BC8"/>
    <w:rsid w:val="6B7D28AC"/>
    <w:rsid w:val="6B8A22C6"/>
    <w:rsid w:val="6BBA3B00"/>
    <w:rsid w:val="6BC12AD2"/>
    <w:rsid w:val="6BD91AAD"/>
    <w:rsid w:val="6BDC2773"/>
    <w:rsid w:val="6C0B435C"/>
    <w:rsid w:val="6C3A1A09"/>
    <w:rsid w:val="6C545122"/>
    <w:rsid w:val="6C6C00BA"/>
    <w:rsid w:val="6C7F2654"/>
    <w:rsid w:val="6C8C617A"/>
    <w:rsid w:val="6C920B69"/>
    <w:rsid w:val="6C9446F5"/>
    <w:rsid w:val="6CB3536E"/>
    <w:rsid w:val="6CC4639B"/>
    <w:rsid w:val="6CD3133C"/>
    <w:rsid w:val="6D135240"/>
    <w:rsid w:val="6D173468"/>
    <w:rsid w:val="6D1D63C6"/>
    <w:rsid w:val="6D3B47CD"/>
    <w:rsid w:val="6D4713C4"/>
    <w:rsid w:val="6D4B0788"/>
    <w:rsid w:val="6D506283"/>
    <w:rsid w:val="6D626411"/>
    <w:rsid w:val="6D6C0E2A"/>
    <w:rsid w:val="6D962290"/>
    <w:rsid w:val="6DAC11D0"/>
    <w:rsid w:val="6DE309C1"/>
    <w:rsid w:val="6DEB5F95"/>
    <w:rsid w:val="6DEF7AF4"/>
    <w:rsid w:val="6DF350A8"/>
    <w:rsid w:val="6DF87AF7"/>
    <w:rsid w:val="6E027099"/>
    <w:rsid w:val="6E1119D2"/>
    <w:rsid w:val="6E337B9A"/>
    <w:rsid w:val="6E427879"/>
    <w:rsid w:val="6E5E46AE"/>
    <w:rsid w:val="6E674081"/>
    <w:rsid w:val="6E987ABA"/>
    <w:rsid w:val="6EB3379C"/>
    <w:rsid w:val="6ECA33EC"/>
    <w:rsid w:val="6F0F4163"/>
    <w:rsid w:val="6F1359BD"/>
    <w:rsid w:val="6F16439A"/>
    <w:rsid w:val="6F4162E7"/>
    <w:rsid w:val="6F571666"/>
    <w:rsid w:val="6F6864A9"/>
    <w:rsid w:val="6F712728"/>
    <w:rsid w:val="6F860C79"/>
    <w:rsid w:val="6F865AA7"/>
    <w:rsid w:val="6F891280"/>
    <w:rsid w:val="6F906926"/>
    <w:rsid w:val="6FD360C5"/>
    <w:rsid w:val="6FE1733C"/>
    <w:rsid w:val="6FE55124"/>
    <w:rsid w:val="6FF62C2D"/>
    <w:rsid w:val="701A2DBF"/>
    <w:rsid w:val="703379DD"/>
    <w:rsid w:val="703D7894"/>
    <w:rsid w:val="70553DF8"/>
    <w:rsid w:val="70765B1C"/>
    <w:rsid w:val="70840239"/>
    <w:rsid w:val="709B37D5"/>
    <w:rsid w:val="70CD2A9F"/>
    <w:rsid w:val="70D903E3"/>
    <w:rsid w:val="70E70B82"/>
    <w:rsid w:val="710111C0"/>
    <w:rsid w:val="710E63FD"/>
    <w:rsid w:val="713729D0"/>
    <w:rsid w:val="715E6A26"/>
    <w:rsid w:val="7161172B"/>
    <w:rsid w:val="716D33C3"/>
    <w:rsid w:val="717A5259"/>
    <w:rsid w:val="71A60683"/>
    <w:rsid w:val="71B42DA0"/>
    <w:rsid w:val="71B44B4E"/>
    <w:rsid w:val="71D05A85"/>
    <w:rsid w:val="71E748C2"/>
    <w:rsid w:val="72086C48"/>
    <w:rsid w:val="72111FA0"/>
    <w:rsid w:val="72133067"/>
    <w:rsid w:val="72200435"/>
    <w:rsid w:val="7235077A"/>
    <w:rsid w:val="723E08BB"/>
    <w:rsid w:val="72596DA7"/>
    <w:rsid w:val="725F4BB0"/>
    <w:rsid w:val="728704B4"/>
    <w:rsid w:val="728A3B01"/>
    <w:rsid w:val="728E539F"/>
    <w:rsid w:val="72927005"/>
    <w:rsid w:val="72A77E7B"/>
    <w:rsid w:val="72AC6C58"/>
    <w:rsid w:val="72B312A9"/>
    <w:rsid w:val="72E05808"/>
    <w:rsid w:val="72E53669"/>
    <w:rsid w:val="72EB6979"/>
    <w:rsid w:val="730833A3"/>
    <w:rsid w:val="730F1B13"/>
    <w:rsid w:val="73215F87"/>
    <w:rsid w:val="733B501F"/>
    <w:rsid w:val="73505BF0"/>
    <w:rsid w:val="7352461E"/>
    <w:rsid w:val="73675F75"/>
    <w:rsid w:val="737C3A86"/>
    <w:rsid w:val="73B13A3B"/>
    <w:rsid w:val="73D03795"/>
    <w:rsid w:val="73D06D40"/>
    <w:rsid w:val="73F456D6"/>
    <w:rsid w:val="73F531FC"/>
    <w:rsid w:val="740A53C7"/>
    <w:rsid w:val="74155779"/>
    <w:rsid w:val="74312486"/>
    <w:rsid w:val="743261FE"/>
    <w:rsid w:val="74511518"/>
    <w:rsid w:val="746740F9"/>
    <w:rsid w:val="74714F78"/>
    <w:rsid w:val="748372AA"/>
    <w:rsid w:val="748A7DE8"/>
    <w:rsid w:val="74962C31"/>
    <w:rsid w:val="749E5641"/>
    <w:rsid w:val="74BE7A92"/>
    <w:rsid w:val="74EA4FDD"/>
    <w:rsid w:val="74EF3519"/>
    <w:rsid w:val="74F55BA9"/>
    <w:rsid w:val="75022074"/>
    <w:rsid w:val="75061B64"/>
    <w:rsid w:val="751D63AC"/>
    <w:rsid w:val="752C0E9F"/>
    <w:rsid w:val="75427DFE"/>
    <w:rsid w:val="75596138"/>
    <w:rsid w:val="756248C1"/>
    <w:rsid w:val="756E3266"/>
    <w:rsid w:val="759A22AD"/>
    <w:rsid w:val="75B6550E"/>
    <w:rsid w:val="75BA64AB"/>
    <w:rsid w:val="76120095"/>
    <w:rsid w:val="761600B6"/>
    <w:rsid w:val="762027B2"/>
    <w:rsid w:val="763A6804"/>
    <w:rsid w:val="763C15B6"/>
    <w:rsid w:val="764861AD"/>
    <w:rsid w:val="764F3097"/>
    <w:rsid w:val="766E211A"/>
    <w:rsid w:val="76726D86"/>
    <w:rsid w:val="768947FB"/>
    <w:rsid w:val="768A287F"/>
    <w:rsid w:val="76AC04E9"/>
    <w:rsid w:val="76AF247D"/>
    <w:rsid w:val="76B16DEA"/>
    <w:rsid w:val="76D66732"/>
    <w:rsid w:val="76F02B12"/>
    <w:rsid w:val="76F44CC9"/>
    <w:rsid w:val="770B1E2E"/>
    <w:rsid w:val="77166842"/>
    <w:rsid w:val="771C566F"/>
    <w:rsid w:val="77387FCF"/>
    <w:rsid w:val="773D7165"/>
    <w:rsid w:val="775A6197"/>
    <w:rsid w:val="77670E9A"/>
    <w:rsid w:val="77862AE9"/>
    <w:rsid w:val="77AD6983"/>
    <w:rsid w:val="77C269C6"/>
    <w:rsid w:val="77CA55F2"/>
    <w:rsid w:val="77DD7B94"/>
    <w:rsid w:val="77E36DBE"/>
    <w:rsid w:val="77EE068E"/>
    <w:rsid w:val="78000AED"/>
    <w:rsid w:val="78004535"/>
    <w:rsid w:val="780633AF"/>
    <w:rsid w:val="78085BF3"/>
    <w:rsid w:val="782567A5"/>
    <w:rsid w:val="78393FFF"/>
    <w:rsid w:val="78746DE5"/>
    <w:rsid w:val="7875061E"/>
    <w:rsid w:val="787B0173"/>
    <w:rsid w:val="78950E64"/>
    <w:rsid w:val="78B57239"/>
    <w:rsid w:val="78C7160B"/>
    <w:rsid w:val="78D24D05"/>
    <w:rsid w:val="78E57CE3"/>
    <w:rsid w:val="78F32400"/>
    <w:rsid w:val="79077D7B"/>
    <w:rsid w:val="7911045C"/>
    <w:rsid w:val="793B555D"/>
    <w:rsid w:val="79515378"/>
    <w:rsid w:val="79554FB7"/>
    <w:rsid w:val="797272AE"/>
    <w:rsid w:val="79751067"/>
    <w:rsid w:val="79B41A4E"/>
    <w:rsid w:val="79B73810"/>
    <w:rsid w:val="79F6450D"/>
    <w:rsid w:val="79FC52E4"/>
    <w:rsid w:val="7A432F13"/>
    <w:rsid w:val="7A6F1F5A"/>
    <w:rsid w:val="7A747570"/>
    <w:rsid w:val="7A7C3AE0"/>
    <w:rsid w:val="7A936B29"/>
    <w:rsid w:val="7AA95AE6"/>
    <w:rsid w:val="7ACA7190"/>
    <w:rsid w:val="7AD0650C"/>
    <w:rsid w:val="7AEA7832"/>
    <w:rsid w:val="7AF81F4F"/>
    <w:rsid w:val="7B0A1C83"/>
    <w:rsid w:val="7B0A3A31"/>
    <w:rsid w:val="7B0F1047"/>
    <w:rsid w:val="7B226F38"/>
    <w:rsid w:val="7B28499C"/>
    <w:rsid w:val="7B2C4CE7"/>
    <w:rsid w:val="7B3A497C"/>
    <w:rsid w:val="7B431633"/>
    <w:rsid w:val="7B437FDF"/>
    <w:rsid w:val="7B476A33"/>
    <w:rsid w:val="7B542FB9"/>
    <w:rsid w:val="7B6E2211"/>
    <w:rsid w:val="7B7037A4"/>
    <w:rsid w:val="7B7223D6"/>
    <w:rsid w:val="7B737828"/>
    <w:rsid w:val="7B742755"/>
    <w:rsid w:val="7B861FC5"/>
    <w:rsid w:val="7B8C2698"/>
    <w:rsid w:val="7B9A1258"/>
    <w:rsid w:val="7BA109FB"/>
    <w:rsid w:val="7BB17C45"/>
    <w:rsid w:val="7BB65736"/>
    <w:rsid w:val="7BC41E31"/>
    <w:rsid w:val="7BCC6F38"/>
    <w:rsid w:val="7BCD09DE"/>
    <w:rsid w:val="7BE61DA8"/>
    <w:rsid w:val="7BF87D2D"/>
    <w:rsid w:val="7BFC1C1F"/>
    <w:rsid w:val="7C045812"/>
    <w:rsid w:val="7C0E60D1"/>
    <w:rsid w:val="7C2823C0"/>
    <w:rsid w:val="7C4C347A"/>
    <w:rsid w:val="7C5A65DC"/>
    <w:rsid w:val="7C8D3673"/>
    <w:rsid w:val="7C8E6F15"/>
    <w:rsid w:val="7C945A09"/>
    <w:rsid w:val="7C9537CE"/>
    <w:rsid w:val="7CA352BF"/>
    <w:rsid w:val="7CB225D2"/>
    <w:rsid w:val="7CF14CE5"/>
    <w:rsid w:val="7D1B0177"/>
    <w:rsid w:val="7D2C7C8E"/>
    <w:rsid w:val="7D453655"/>
    <w:rsid w:val="7D562F5D"/>
    <w:rsid w:val="7D7D15ED"/>
    <w:rsid w:val="7D7D678B"/>
    <w:rsid w:val="7D8201F6"/>
    <w:rsid w:val="7D8908E5"/>
    <w:rsid w:val="7D932742"/>
    <w:rsid w:val="7D943A85"/>
    <w:rsid w:val="7D983576"/>
    <w:rsid w:val="7DAF266D"/>
    <w:rsid w:val="7DBA0D19"/>
    <w:rsid w:val="7E087814"/>
    <w:rsid w:val="7E2C4AFF"/>
    <w:rsid w:val="7E3964D6"/>
    <w:rsid w:val="7E3C2153"/>
    <w:rsid w:val="7E407B5E"/>
    <w:rsid w:val="7E6B21F2"/>
    <w:rsid w:val="7E6B79EA"/>
    <w:rsid w:val="7E7318ED"/>
    <w:rsid w:val="7E891110"/>
    <w:rsid w:val="7EAC2A89"/>
    <w:rsid w:val="7EBB576E"/>
    <w:rsid w:val="7EC860DC"/>
    <w:rsid w:val="7ED20D09"/>
    <w:rsid w:val="7ED61168"/>
    <w:rsid w:val="7EE43213"/>
    <w:rsid w:val="7EF944E8"/>
    <w:rsid w:val="7F0569E9"/>
    <w:rsid w:val="7F127358"/>
    <w:rsid w:val="7F141322"/>
    <w:rsid w:val="7F1864F8"/>
    <w:rsid w:val="7F1C3D32"/>
    <w:rsid w:val="7F4339B5"/>
    <w:rsid w:val="7F545075"/>
    <w:rsid w:val="7F671451"/>
    <w:rsid w:val="7F7737E9"/>
    <w:rsid w:val="7F912972"/>
    <w:rsid w:val="7F930498"/>
    <w:rsid w:val="7F972712"/>
    <w:rsid w:val="7F9B7693"/>
    <w:rsid w:val="7FCD3EE0"/>
    <w:rsid w:val="7FF54CAF"/>
    <w:rsid w:val="7FFE15C8"/>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57"/>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58"/>
    <w:qFormat/>
    <w:uiPriority w:val="0"/>
    <w:pPr>
      <w:keepNext/>
      <w:keepLines/>
      <w:tabs>
        <w:tab w:val="left" w:pos="578"/>
      </w:tabs>
      <w:spacing w:beforeLines="50" w:afterLines="50" w:line="360" w:lineRule="auto"/>
      <w:ind w:left="578" w:hanging="578"/>
      <w:outlineLvl w:val="1"/>
    </w:pPr>
    <w:rPr>
      <w:rFonts w:ascii="Arial" w:hAnsi="Arial" w:eastAsia="黑体"/>
      <w:b/>
      <w:bCs/>
      <w:sz w:val="32"/>
      <w:szCs w:val="32"/>
      <w:lang w:eastAsia="en-US"/>
    </w:rPr>
  </w:style>
  <w:style w:type="paragraph" w:styleId="6">
    <w:name w:val="heading 3"/>
    <w:basedOn w:val="1"/>
    <w:next w:val="1"/>
    <w:link w:val="59"/>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0"/>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1"/>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2"/>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3"/>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64"/>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65"/>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unhideWhenUsed/>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5"/>
      <w:tblCellMar>
        <w:top w:w="0" w:type="dxa"/>
        <w:left w:w="108" w:type="dxa"/>
        <w:bottom w:w="0" w:type="dxa"/>
        <w:right w:w="108" w:type="dxa"/>
      </w:tblCellMar>
    </w:tblPr>
  </w:style>
  <w:style w:type="paragraph" w:styleId="2">
    <w:name w:val="Body Text First Indent 2"/>
    <w:basedOn w:val="3"/>
    <w:next w:val="1"/>
    <w:link w:val="56"/>
    <w:unhideWhenUsed/>
    <w:uiPriority w:val="0"/>
    <w:pPr>
      <w:ind w:firstLine="420" w:firstLineChars="200"/>
    </w:pPr>
    <w:rPr>
      <w:rFonts w:ascii="Verdana" w:hAnsi="Verdana" w:eastAsia="宋体"/>
      <w:sz w:val="21"/>
      <w:lang w:eastAsia="en-US"/>
    </w:rPr>
  </w:style>
  <w:style w:type="paragraph" w:styleId="3">
    <w:name w:val="Body Text Indent"/>
    <w:basedOn w:val="1"/>
    <w:next w:val="1"/>
    <w:link w:val="55"/>
    <w:qFormat/>
    <w:uiPriority w:val="99"/>
    <w:pPr>
      <w:spacing w:line="380" w:lineRule="exact"/>
      <w:ind w:firstLine="480"/>
    </w:pPr>
    <w:rPr>
      <w:rFonts w:eastAsia="方正书宋简体"/>
      <w:sz w:val="24"/>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link w:val="66"/>
    <w:qFormat/>
    <w:uiPriority w:val="0"/>
    <w:pPr>
      <w:ind w:firstLine="420" w:firstLineChars="200"/>
    </w:pPr>
    <w:rPr>
      <w:rFonts w:ascii="宋体" w:hAnsi="宋体"/>
      <w:spacing w:val="14"/>
      <w:kern w:val="24"/>
      <w:sz w:val="24"/>
      <w:szCs w:val="24"/>
    </w:rPr>
  </w:style>
  <w:style w:type="paragraph" w:styleId="15">
    <w:name w:val="Document Map"/>
    <w:basedOn w:val="1"/>
    <w:link w:val="67"/>
    <w:semiHidden/>
    <w:qFormat/>
    <w:uiPriority w:val="99"/>
    <w:pPr>
      <w:shd w:val="clear" w:color="auto" w:fill="000080"/>
    </w:pPr>
  </w:style>
  <w:style w:type="paragraph" w:styleId="16">
    <w:name w:val="toa heading"/>
    <w:basedOn w:val="1"/>
    <w:next w:val="1"/>
    <w:uiPriority w:val="0"/>
    <w:pPr>
      <w:spacing w:before="120"/>
    </w:pPr>
    <w:rPr>
      <w:rFonts w:ascii="Arial" w:hAnsi="Arial" w:cs="Arial"/>
      <w:sz w:val="24"/>
    </w:rPr>
  </w:style>
  <w:style w:type="paragraph" w:styleId="17">
    <w:name w:val="annotation text"/>
    <w:basedOn w:val="1"/>
    <w:link w:val="68"/>
    <w:qFormat/>
    <w:uiPriority w:val="99"/>
    <w:pPr>
      <w:jc w:val="left"/>
    </w:pPr>
    <w:rPr>
      <w:rFonts w:ascii="宋体" w:hAnsi="宋体"/>
      <w:szCs w:val="21"/>
    </w:rPr>
  </w:style>
  <w:style w:type="paragraph" w:styleId="18">
    <w:name w:val="Body Text 3"/>
    <w:basedOn w:val="1"/>
    <w:link w:val="69"/>
    <w:qFormat/>
    <w:uiPriority w:val="99"/>
    <w:pPr>
      <w:spacing w:after="120" w:line="360" w:lineRule="auto"/>
    </w:pPr>
    <w:rPr>
      <w:kern w:val="0"/>
      <w:sz w:val="16"/>
    </w:rPr>
  </w:style>
  <w:style w:type="paragraph" w:styleId="19">
    <w:name w:val="Body Text"/>
    <w:basedOn w:val="1"/>
    <w:next w:val="20"/>
    <w:link w:val="70"/>
    <w:qFormat/>
    <w:uiPriority w:val="99"/>
    <w:rPr>
      <w:rFonts w:ascii="宋体" w:hAnsi="宋体"/>
      <w:kern w:val="0"/>
      <w:sz w:val="20"/>
    </w:rPr>
  </w:style>
  <w:style w:type="paragraph" w:styleId="20">
    <w:name w:val="toc 2"/>
    <w:basedOn w:val="1"/>
    <w:next w:val="1"/>
    <w:qFormat/>
    <w:uiPriority w:val="39"/>
    <w:pPr>
      <w:ind w:left="210"/>
      <w:jc w:val="left"/>
    </w:pPr>
    <w:rPr>
      <w:smallCaps/>
      <w:sz w:val="20"/>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link w:val="71"/>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2"/>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73"/>
    <w:qFormat/>
    <w:uiPriority w:val="99"/>
    <w:pPr>
      <w:spacing w:line="380" w:lineRule="exact"/>
      <w:ind w:left="840" w:hanging="45"/>
    </w:pPr>
    <w:rPr>
      <w:rFonts w:ascii="宋体"/>
      <w:sz w:val="24"/>
    </w:rPr>
  </w:style>
  <w:style w:type="paragraph" w:styleId="28">
    <w:name w:val="Balloon Text"/>
    <w:basedOn w:val="1"/>
    <w:link w:val="74"/>
    <w:semiHidden/>
    <w:qFormat/>
    <w:uiPriority w:val="99"/>
    <w:rPr>
      <w:rFonts w:ascii="宋体" w:hAnsi="宋体"/>
      <w:sz w:val="18"/>
      <w:szCs w:val="18"/>
    </w:rPr>
  </w:style>
  <w:style w:type="paragraph" w:styleId="29">
    <w:name w:val="footer"/>
    <w:basedOn w:val="1"/>
    <w:link w:val="75"/>
    <w:qFormat/>
    <w:uiPriority w:val="99"/>
    <w:pPr>
      <w:tabs>
        <w:tab w:val="center" w:pos="4153"/>
        <w:tab w:val="right" w:pos="8306"/>
      </w:tabs>
      <w:snapToGrid w:val="0"/>
      <w:jc w:val="left"/>
    </w:pPr>
    <w:rPr>
      <w:rFonts w:ascii="宋体" w:hAnsi="宋体"/>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7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qFormat/>
    <w:uiPriority w:val="39"/>
    <w:pPr>
      <w:ind w:left="630"/>
      <w:jc w:val="left"/>
    </w:pPr>
    <w:rPr>
      <w:sz w:val="18"/>
      <w:szCs w:val="18"/>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77"/>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78"/>
    <w:qFormat/>
    <w:uiPriority w:val="99"/>
    <w:pPr>
      <w:spacing w:after="120" w:line="480" w:lineRule="auto"/>
    </w:pPr>
    <w:rPr>
      <w:kern w:val="0"/>
      <w:sz w:val="24"/>
    </w:rPr>
  </w:style>
  <w:style w:type="paragraph" w:styleId="40">
    <w:name w:val="HTML Preformatted"/>
    <w:basedOn w:val="1"/>
    <w:link w:val="79"/>
    <w:qFormat/>
    <w:uiPriority w:val="99"/>
    <w:rPr>
      <w:rFonts w:ascii="Courier New" w:hAnsi="Courier New"/>
      <w:sz w:val="20"/>
    </w:rPr>
  </w:style>
  <w:style w:type="paragraph" w:styleId="41">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2">
    <w:name w:val="index 1"/>
    <w:basedOn w:val="1"/>
    <w:next w:val="1"/>
    <w:semiHidden/>
    <w:qFormat/>
    <w:uiPriority w:val="99"/>
  </w:style>
  <w:style w:type="paragraph" w:styleId="43">
    <w:name w:val="annotation subject"/>
    <w:basedOn w:val="17"/>
    <w:next w:val="17"/>
    <w:link w:val="80"/>
    <w:semiHidden/>
    <w:qFormat/>
    <w:uiPriority w:val="99"/>
    <w:rPr>
      <w:b/>
    </w:rPr>
  </w:style>
  <w:style w:type="paragraph" w:styleId="44">
    <w:name w:val="Body Text First Indent"/>
    <w:basedOn w:val="19"/>
    <w:next w:val="35"/>
    <w:link w:val="81"/>
    <w:qFormat/>
    <w:uiPriority w:val="99"/>
    <w:pPr>
      <w:spacing w:after="120"/>
      <w:ind w:firstLine="420" w:firstLineChars="100"/>
    </w:pPr>
    <w:rPr>
      <w:i/>
      <w:kern w:val="2"/>
      <w:sz w:val="24"/>
    </w:rPr>
  </w:style>
  <w:style w:type="table" w:styleId="46">
    <w:name w:val="Table Grid"/>
    <w:basedOn w:val="45"/>
    <w:qFormat/>
    <w:uiPriority w:val="5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qFormat/>
    <w:uiPriority w:val="99"/>
    <w:rPr>
      <w:rFonts w:cs="Times New Roman"/>
    </w:rPr>
  </w:style>
  <w:style w:type="character" w:styleId="50">
    <w:name w:val="FollowedHyperlink"/>
    <w:qFormat/>
    <w:uiPriority w:val="99"/>
    <w:rPr>
      <w:color w:val="800080"/>
      <w:u w:val="single"/>
    </w:rPr>
  </w:style>
  <w:style w:type="character" w:styleId="51">
    <w:name w:val="Emphasis"/>
    <w:qFormat/>
    <w:uiPriority w:val="20"/>
    <w:rPr>
      <w:i/>
    </w:rPr>
  </w:style>
  <w:style w:type="character" w:styleId="52">
    <w:name w:val="HTML Typewriter"/>
    <w:qFormat/>
    <w:uiPriority w:val="99"/>
    <w:rPr>
      <w:rFonts w:ascii="Courier New" w:hAnsi="Courier New"/>
      <w:sz w:val="20"/>
    </w:rPr>
  </w:style>
  <w:style w:type="character" w:styleId="53">
    <w:name w:val="Hyperlink"/>
    <w:qFormat/>
    <w:uiPriority w:val="99"/>
    <w:rPr>
      <w:color w:val="0000FF"/>
      <w:u w:val="single"/>
    </w:rPr>
  </w:style>
  <w:style w:type="character" w:styleId="54">
    <w:name w:val="annotation reference"/>
    <w:semiHidden/>
    <w:qFormat/>
    <w:uiPriority w:val="99"/>
    <w:rPr>
      <w:sz w:val="21"/>
    </w:rPr>
  </w:style>
  <w:style w:type="character" w:customStyle="1" w:styleId="55">
    <w:name w:val="正文文本缩进 Char2"/>
    <w:link w:val="3"/>
    <w:qFormat/>
    <w:locked/>
    <w:uiPriority w:val="99"/>
    <w:rPr>
      <w:rFonts w:eastAsia="方正书宋简体"/>
      <w:kern w:val="2"/>
      <w:sz w:val="24"/>
      <w:lang w:val="en-US" w:eastAsia="zh-CN"/>
    </w:rPr>
  </w:style>
  <w:style w:type="character" w:customStyle="1" w:styleId="56">
    <w:name w:val="正文首行缩进 2 Char"/>
    <w:link w:val="2"/>
    <w:uiPriority w:val="0"/>
    <w:rPr>
      <w:rFonts w:hint="default" w:ascii="Verdana" w:hAnsi="Verdana" w:cs="Verdana"/>
      <w:kern w:val="2"/>
      <w:sz w:val="21"/>
      <w:szCs w:val="20"/>
      <w:lang w:eastAsia="en-US"/>
    </w:rPr>
  </w:style>
  <w:style w:type="character" w:customStyle="1" w:styleId="57">
    <w:name w:val="标题 1 Char1"/>
    <w:link w:val="4"/>
    <w:locked/>
    <w:uiPriority w:val="9"/>
    <w:rPr>
      <w:rFonts w:ascii="宋体" w:hAnsi="宋体" w:eastAsia="宋体" w:cs="宋体"/>
      <w:b/>
      <w:kern w:val="44"/>
      <w:sz w:val="44"/>
      <w:szCs w:val="44"/>
      <w:lang w:val="en-US" w:eastAsia="zh-CN"/>
    </w:rPr>
  </w:style>
  <w:style w:type="character" w:customStyle="1" w:styleId="58">
    <w:name w:val="标题 2 Char2"/>
    <w:link w:val="5"/>
    <w:uiPriority w:val="0"/>
    <w:rPr>
      <w:rFonts w:hint="default" w:ascii="Arial" w:hAnsi="Arial" w:eastAsia="黑体" w:cs="Arial"/>
      <w:b/>
      <w:bCs/>
      <w:kern w:val="2"/>
      <w:sz w:val="32"/>
      <w:szCs w:val="32"/>
      <w:lang w:eastAsia="en-US"/>
    </w:rPr>
  </w:style>
  <w:style w:type="character" w:customStyle="1" w:styleId="59">
    <w:name w:val="标题 3 Char1"/>
    <w:link w:val="6"/>
    <w:locked/>
    <w:uiPriority w:val="9"/>
    <w:rPr>
      <w:rFonts w:ascii="宋体" w:hAnsi="宋体" w:eastAsia="宋体" w:cs="宋体"/>
      <w:b/>
      <w:kern w:val="2"/>
      <w:sz w:val="32"/>
      <w:szCs w:val="32"/>
      <w:lang w:val="en-US" w:eastAsia="zh-CN"/>
    </w:rPr>
  </w:style>
  <w:style w:type="character" w:customStyle="1" w:styleId="60">
    <w:name w:val="标题 4 Char"/>
    <w:link w:val="7"/>
    <w:qFormat/>
    <w:locked/>
    <w:uiPriority w:val="0"/>
    <w:rPr>
      <w:rFonts w:ascii="Arial" w:hAnsi="Arial" w:eastAsia="黑体"/>
      <w:b/>
      <w:kern w:val="2"/>
      <w:sz w:val="28"/>
      <w:lang w:val="en-US" w:eastAsia="zh-CN"/>
    </w:rPr>
  </w:style>
  <w:style w:type="character" w:customStyle="1" w:styleId="61">
    <w:name w:val="标题 5 Char"/>
    <w:link w:val="8"/>
    <w:qFormat/>
    <w:locked/>
    <w:uiPriority w:val="9"/>
    <w:rPr>
      <w:rFonts w:eastAsia="宋体"/>
      <w:b/>
      <w:kern w:val="2"/>
      <w:sz w:val="28"/>
      <w:lang w:val="en-US" w:eastAsia="zh-CN"/>
    </w:rPr>
  </w:style>
  <w:style w:type="character" w:customStyle="1" w:styleId="62">
    <w:name w:val="标题 6 Char"/>
    <w:link w:val="9"/>
    <w:qFormat/>
    <w:locked/>
    <w:uiPriority w:val="9"/>
    <w:rPr>
      <w:rFonts w:ascii="Cambria" w:hAnsi="Cambria" w:eastAsia="宋体"/>
      <w:b/>
      <w:kern w:val="2"/>
      <w:sz w:val="24"/>
      <w:lang w:val="en-US" w:eastAsia="zh-CN"/>
    </w:rPr>
  </w:style>
  <w:style w:type="character" w:customStyle="1" w:styleId="63">
    <w:name w:val="标题 7 Char"/>
    <w:link w:val="10"/>
    <w:qFormat/>
    <w:locked/>
    <w:uiPriority w:val="9"/>
    <w:rPr>
      <w:b/>
      <w:kern w:val="2"/>
      <w:sz w:val="24"/>
    </w:rPr>
  </w:style>
  <w:style w:type="character" w:customStyle="1" w:styleId="64">
    <w:name w:val="标题 8 Char"/>
    <w:link w:val="11"/>
    <w:qFormat/>
    <w:locked/>
    <w:uiPriority w:val="9"/>
    <w:rPr>
      <w:rFonts w:ascii="Arial" w:hAnsi="Arial" w:eastAsia="黑体"/>
      <w:kern w:val="2"/>
      <w:sz w:val="24"/>
    </w:rPr>
  </w:style>
  <w:style w:type="character" w:customStyle="1" w:styleId="65">
    <w:name w:val="标题 9 Char"/>
    <w:link w:val="12"/>
    <w:qFormat/>
    <w:locked/>
    <w:uiPriority w:val="9"/>
    <w:rPr>
      <w:rFonts w:ascii="Arial" w:hAnsi="Arial" w:eastAsia="黑体"/>
      <w:kern w:val="2"/>
      <w:sz w:val="21"/>
    </w:rPr>
  </w:style>
  <w:style w:type="character" w:customStyle="1" w:styleId="66">
    <w:name w:val="正文缩进 Char1"/>
    <w:link w:val="14"/>
    <w:locked/>
    <w:uiPriority w:val="0"/>
    <w:rPr>
      <w:rFonts w:ascii="宋体" w:hAnsi="宋体" w:eastAsia="宋体" w:cs="宋体"/>
      <w:spacing w:val="14"/>
      <w:kern w:val="24"/>
      <w:sz w:val="24"/>
      <w:szCs w:val="24"/>
      <w:lang w:val="en-US" w:eastAsia="zh-CN"/>
    </w:rPr>
  </w:style>
  <w:style w:type="character" w:customStyle="1" w:styleId="67">
    <w:name w:val="文档结构图 Char"/>
    <w:link w:val="15"/>
    <w:qFormat/>
    <w:locked/>
    <w:uiPriority w:val="99"/>
    <w:rPr>
      <w:rFonts w:eastAsia="宋体"/>
      <w:kern w:val="2"/>
      <w:sz w:val="21"/>
      <w:lang w:val="en-US" w:eastAsia="zh-CN"/>
    </w:rPr>
  </w:style>
  <w:style w:type="character" w:customStyle="1" w:styleId="68">
    <w:name w:val="批注文字 Char1"/>
    <w:link w:val="17"/>
    <w:locked/>
    <w:uiPriority w:val="99"/>
    <w:rPr>
      <w:rFonts w:ascii="宋体" w:hAnsi="宋体" w:eastAsia="宋体" w:cs="宋体"/>
      <w:kern w:val="2"/>
      <w:sz w:val="21"/>
      <w:szCs w:val="21"/>
      <w:lang w:val="en-US" w:eastAsia="zh-CN"/>
    </w:rPr>
  </w:style>
  <w:style w:type="character" w:customStyle="1" w:styleId="69">
    <w:name w:val="正文文本 3 Char"/>
    <w:link w:val="18"/>
    <w:qFormat/>
    <w:locked/>
    <w:uiPriority w:val="99"/>
    <w:rPr>
      <w:rFonts w:eastAsia="宋体"/>
      <w:sz w:val="16"/>
    </w:rPr>
  </w:style>
  <w:style w:type="character" w:customStyle="1" w:styleId="70">
    <w:name w:val="正文文本 Char2"/>
    <w:link w:val="19"/>
    <w:locked/>
    <w:uiPriority w:val="99"/>
    <w:rPr>
      <w:rFonts w:ascii="宋体" w:hAnsi="宋体" w:eastAsia="宋体" w:cs="宋体"/>
      <w:lang w:val="en-US" w:eastAsia="zh-CN"/>
    </w:rPr>
  </w:style>
  <w:style w:type="character" w:customStyle="1" w:styleId="71">
    <w:name w:val="纯文本 Char3"/>
    <w:link w:val="24"/>
    <w:qFormat/>
    <w:locked/>
    <w:uiPriority w:val="0"/>
    <w:rPr>
      <w:rFonts w:ascii="宋体" w:hAnsi="Courier New" w:eastAsia="宋体" w:cs="宋体"/>
      <w:lang w:val="en-US" w:eastAsia="zh-CN"/>
    </w:rPr>
  </w:style>
  <w:style w:type="character" w:customStyle="1" w:styleId="72">
    <w:name w:val="日期 Char"/>
    <w:link w:val="26"/>
    <w:qFormat/>
    <w:locked/>
    <w:uiPriority w:val="99"/>
    <w:rPr>
      <w:rFonts w:ascii="宋体" w:cs="Times New Roman"/>
      <w:sz w:val="24"/>
    </w:rPr>
  </w:style>
  <w:style w:type="character" w:customStyle="1" w:styleId="73">
    <w:name w:val="正文文本缩进 2 Char"/>
    <w:link w:val="27"/>
    <w:qFormat/>
    <w:locked/>
    <w:uiPriority w:val="99"/>
    <w:rPr>
      <w:rFonts w:ascii="宋体" w:eastAsia="宋体"/>
      <w:kern w:val="2"/>
      <w:sz w:val="24"/>
      <w:lang w:val="en-US" w:eastAsia="zh-CN"/>
    </w:rPr>
  </w:style>
  <w:style w:type="character" w:customStyle="1" w:styleId="74">
    <w:name w:val="批注框文本 Char1"/>
    <w:link w:val="28"/>
    <w:locked/>
    <w:uiPriority w:val="99"/>
    <w:rPr>
      <w:rFonts w:ascii="宋体" w:hAnsi="宋体" w:eastAsia="宋体" w:cs="宋体"/>
      <w:kern w:val="2"/>
      <w:sz w:val="18"/>
      <w:szCs w:val="18"/>
      <w:lang w:val="en-US" w:eastAsia="zh-CN"/>
    </w:rPr>
  </w:style>
  <w:style w:type="character" w:customStyle="1" w:styleId="75">
    <w:name w:val="页脚 Char1"/>
    <w:link w:val="29"/>
    <w:locked/>
    <w:uiPriority w:val="99"/>
    <w:rPr>
      <w:rFonts w:ascii="宋体" w:hAnsi="宋体" w:eastAsia="宋体" w:cs="宋体"/>
      <w:kern w:val="2"/>
      <w:sz w:val="18"/>
      <w:szCs w:val="18"/>
      <w:lang w:val="en-US" w:eastAsia="zh-CN"/>
    </w:rPr>
  </w:style>
  <w:style w:type="character" w:customStyle="1" w:styleId="76">
    <w:name w:val="页眉 Char1"/>
    <w:link w:val="31"/>
    <w:locked/>
    <w:uiPriority w:val="99"/>
    <w:rPr>
      <w:rFonts w:ascii="宋体" w:hAnsi="宋体" w:eastAsia="宋体" w:cs="宋体"/>
      <w:kern w:val="2"/>
      <w:sz w:val="18"/>
      <w:szCs w:val="18"/>
      <w:lang w:val="en-US" w:eastAsia="zh-CN"/>
    </w:rPr>
  </w:style>
  <w:style w:type="character" w:customStyle="1" w:styleId="77">
    <w:name w:val="正文文本缩进 3 Char1"/>
    <w:link w:val="36"/>
    <w:locked/>
    <w:uiPriority w:val="99"/>
    <w:rPr>
      <w:rFonts w:ascii="宋体" w:hAnsi="宋体" w:eastAsia="宋体" w:cs="宋体"/>
      <w:b/>
      <w:kern w:val="2"/>
      <w:sz w:val="24"/>
      <w:szCs w:val="24"/>
      <w:lang w:val="en-US" w:eastAsia="zh-CN"/>
    </w:rPr>
  </w:style>
  <w:style w:type="character" w:customStyle="1" w:styleId="78">
    <w:name w:val="正文文本 2 Char"/>
    <w:link w:val="39"/>
    <w:qFormat/>
    <w:locked/>
    <w:uiPriority w:val="99"/>
    <w:rPr>
      <w:rFonts w:eastAsia="宋体"/>
      <w:sz w:val="24"/>
    </w:rPr>
  </w:style>
  <w:style w:type="character" w:customStyle="1" w:styleId="79">
    <w:name w:val="HTML 预设格式 Char"/>
    <w:link w:val="40"/>
    <w:qFormat/>
    <w:locked/>
    <w:uiPriority w:val="99"/>
    <w:rPr>
      <w:rFonts w:ascii="Courier New" w:hAnsi="Courier New"/>
      <w:kern w:val="2"/>
    </w:rPr>
  </w:style>
  <w:style w:type="character" w:customStyle="1" w:styleId="80">
    <w:name w:val="批注主题 Char1"/>
    <w:link w:val="43"/>
    <w:locked/>
    <w:uiPriority w:val="99"/>
    <w:rPr>
      <w:rFonts w:ascii="宋体" w:hAnsi="宋体" w:eastAsia="宋体" w:cs="宋体"/>
      <w:b/>
      <w:kern w:val="2"/>
      <w:sz w:val="21"/>
      <w:szCs w:val="21"/>
      <w:lang w:val="en-US" w:eastAsia="zh-CN"/>
    </w:rPr>
  </w:style>
  <w:style w:type="character" w:customStyle="1" w:styleId="81">
    <w:name w:val="正文首行缩进 Char"/>
    <w:link w:val="44"/>
    <w:qFormat/>
    <w:locked/>
    <w:uiPriority w:val="99"/>
    <w:rPr>
      <w:rFonts w:ascii="宋体" w:hAnsi="宋体" w:eastAsia="宋体" w:cs="宋体"/>
      <w:i/>
      <w:kern w:val="2"/>
      <w:sz w:val="24"/>
      <w:lang w:val="en-US" w:eastAsia="zh-CN"/>
    </w:rPr>
  </w:style>
  <w:style w:type="character" w:customStyle="1" w:styleId="82">
    <w:name w:val="列出段落 Char"/>
    <w:link w:val="83"/>
    <w:qFormat/>
    <w:locked/>
    <w:uiPriority w:val="34"/>
    <w:rPr>
      <w:rFonts w:eastAsia="宋体"/>
      <w:kern w:val="2"/>
      <w:sz w:val="24"/>
      <w:lang w:val="en-US" w:eastAsia="zh-CN"/>
    </w:rPr>
  </w:style>
  <w:style w:type="paragraph" w:styleId="83">
    <w:name w:val="List Paragraph"/>
    <w:basedOn w:val="1"/>
    <w:link w:val="82"/>
    <w:qFormat/>
    <w:uiPriority w:val="34"/>
    <w:pPr>
      <w:ind w:firstLine="420" w:firstLineChars="200"/>
    </w:pPr>
    <w:rPr>
      <w:sz w:val="24"/>
    </w:rPr>
  </w:style>
  <w:style w:type="character" w:customStyle="1" w:styleId="84">
    <w:name w:val="页脚 Char"/>
    <w:qFormat/>
    <w:uiPriority w:val="99"/>
    <w:rPr>
      <w:rFonts w:eastAsia="宋体"/>
      <w:kern w:val="2"/>
      <w:sz w:val="18"/>
      <w:lang w:val="en-US" w:eastAsia="zh-CN"/>
    </w:rPr>
  </w:style>
  <w:style w:type="character" w:customStyle="1" w:styleId="85">
    <w:name w:val="HTML 预设格式 字符"/>
    <w:qFormat/>
    <w:locked/>
    <w:uiPriority w:val="99"/>
    <w:rPr>
      <w:rFonts w:ascii="Courier New" w:hAnsi="Courier New"/>
      <w:kern w:val="2"/>
    </w:rPr>
  </w:style>
  <w:style w:type="character" w:customStyle="1" w:styleId="86">
    <w:name w:val="apple-converted-space"/>
    <w:qFormat/>
    <w:uiPriority w:val="0"/>
    <w:rPr>
      <w:rFonts w:cs="Times New Roman"/>
    </w:rPr>
  </w:style>
  <w:style w:type="character" w:customStyle="1" w:styleId="87">
    <w:name w:val="未处理的提及"/>
    <w:unhideWhenUsed/>
    <w:uiPriority w:val="99"/>
    <w:rPr>
      <w:color w:val="605E5C"/>
      <w:shd w:val="clear" w:color="auto" w:fill="E1DFDD"/>
    </w:rPr>
  </w:style>
  <w:style w:type="character" w:customStyle="1" w:styleId="88">
    <w:name w:val="页眉 字符"/>
    <w:locked/>
    <w:uiPriority w:val="99"/>
    <w:rPr>
      <w:rFonts w:ascii="宋体" w:hAnsi="宋体" w:eastAsia="宋体" w:cs="宋体"/>
      <w:kern w:val="2"/>
      <w:sz w:val="18"/>
      <w:szCs w:val="18"/>
      <w:lang w:val="en-US" w:eastAsia="zh-CN"/>
    </w:rPr>
  </w:style>
  <w:style w:type="character" w:customStyle="1" w:styleId="89">
    <w:name w:val="哈哈正文 Char"/>
    <w:link w:val="90"/>
    <w:qFormat/>
    <w:locked/>
    <w:uiPriority w:val="0"/>
    <w:rPr>
      <w:rFonts w:ascii="宋体" w:hAnsi="宋体" w:eastAsia="宋体"/>
      <w:kern w:val="2"/>
      <w:sz w:val="24"/>
      <w:lang w:val="en-US" w:eastAsia="zh-CN"/>
    </w:rPr>
  </w:style>
  <w:style w:type="paragraph" w:customStyle="1" w:styleId="90">
    <w:name w:val="哈哈正文"/>
    <w:basedOn w:val="1"/>
    <w:link w:val="89"/>
    <w:qFormat/>
    <w:uiPriority w:val="0"/>
    <w:pPr>
      <w:spacing w:line="360" w:lineRule="auto"/>
      <w:ind w:firstLine="200" w:firstLineChars="200"/>
    </w:pPr>
    <w:rPr>
      <w:rFonts w:ascii="宋体" w:hAnsi="宋体"/>
      <w:sz w:val="24"/>
    </w:rPr>
  </w:style>
  <w:style w:type="character" w:customStyle="1" w:styleId="91">
    <w:name w:val="批注文字 Char"/>
    <w:qFormat/>
    <w:locked/>
    <w:uiPriority w:val="0"/>
    <w:rPr>
      <w:rFonts w:cs="Times New Roman"/>
      <w:kern w:val="2"/>
      <w:sz w:val="21"/>
    </w:rPr>
  </w:style>
  <w:style w:type="character" w:customStyle="1" w:styleId="92">
    <w:name w:val="批注文字 字符1"/>
    <w:semiHidden/>
    <w:uiPriority w:val="99"/>
    <w:rPr>
      <w:kern w:val="2"/>
      <w:sz w:val="21"/>
    </w:rPr>
  </w:style>
  <w:style w:type="character" w:customStyle="1" w:styleId="93">
    <w:name w:val="正文文本缩进 3 Char"/>
    <w:qFormat/>
    <w:uiPriority w:val="0"/>
    <w:rPr>
      <w:rFonts w:ascii="宋体" w:eastAsia="宋体"/>
      <w:kern w:val="2"/>
      <w:sz w:val="24"/>
      <w:lang w:val="en-US" w:eastAsia="zh-CN"/>
    </w:rPr>
  </w:style>
  <w:style w:type="character" w:customStyle="1" w:styleId="94">
    <w:name w:val="正文文本 Char1"/>
    <w:uiPriority w:val="0"/>
    <w:rPr>
      <w:rFonts w:ascii="Times New Roman" w:hAnsi="Times New Roman" w:eastAsia="宋体" w:cs="Times New Roman"/>
      <w:sz w:val="24"/>
      <w:szCs w:val="24"/>
    </w:rPr>
  </w:style>
  <w:style w:type="character" w:customStyle="1" w:styleId="95">
    <w:name w:val="标题 5 字符"/>
    <w:qFormat/>
    <w:locked/>
    <w:uiPriority w:val="9"/>
    <w:rPr>
      <w:rFonts w:eastAsia="宋体"/>
      <w:b/>
      <w:kern w:val="2"/>
      <w:sz w:val="28"/>
      <w:lang w:val="en-US" w:eastAsia="zh-CN"/>
    </w:rPr>
  </w:style>
  <w:style w:type="character" w:customStyle="1" w:styleId="96">
    <w:name w:val="批注框文本 字符"/>
    <w:locked/>
    <w:uiPriority w:val="99"/>
    <w:rPr>
      <w:rFonts w:ascii="宋体" w:hAnsi="宋体" w:eastAsia="宋体" w:cs="宋体"/>
      <w:kern w:val="2"/>
      <w:sz w:val="18"/>
      <w:szCs w:val="18"/>
      <w:lang w:val="en-US" w:eastAsia="zh-CN"/>
    </w:rPr>
  </w:style>
  <w:style w:type="character" w:customStyle="1" w:styleId="97">
    <w:name w:val="注： Char Char"/>
    <w:basedOn w:val="47"/>
    <w:link w:val="98"/>
    <w:qFormat/>
    <w:uiPriority w:val="0"/>
    <w:rPr>
      <w:rFonts w:ascii="宋体" w:hAnsi="Tahoma"/>
      <w:sz w:val="18"/>
      <w:lang w:val="en-US" w:eastAsia="zh-CN" w:bidi="ar-SA"/>
    </w:rPr>
  </w:style>
  <w:style w:type="paragraph" w:customStyle="1" w:styleId="98">
    <w:name w:val="注："/>
    <w:next w:val="99"/>
    <w:link w:val="97"/>
    <w:qFormat/>
    <w:uiPriority w:val="0"/>
    <w:pPr>
      <w:widowControl w:val="0"/>
      <w:numPr>
        <w:ilvl w:val="0"/>
        <w:numId w:val="1"/>
      </w:numPr>
      <w:tabs>
        <w:tab w:val="left" w:pos="700"/>
      </w:tabs>
      <w:autoSpaceDE w:val="0"/>
      <w:autoSpaceDN w:val="0"/>
      <w:jc w:val="both"/>
    </w:pPr>
    <w:rPr>
      <w:rFonts w:ascii="宋体" w:hAnsi="Tahoma"/>
      <w:sz w:val="18"/>
      <w:lang w:val="en-US" w:eastAsia="zh-CN" w:bidi="ar-SA"/>
    </w:rPr>
  </w:style>
  <w:style w:type="paragraph" w:customStyle="1" w:styleId="99">
    <w:name w:val="段"/>
    <w:qFormat/>
    <w:uiPriority w:val="0"/>
    <w:pPr>
      <w:autoSpaceDE w:val="0"/>
      <w:autoSpaceDN w:val="0"/>
      <w:ind w:firstLine="200" w:firstLineChars="200"/>
      <w:jc w:val="both"/>
    </w:pPr>
    <w:rPr>
      <w:rFonts w:ascii="宋体"/>
      <w:sz w:val="21"/>
      <w:lang w:val="en-US" w:eastAsia="zh-CN" w:bidi="ar-SA"/>
    </w:rPr>
  </w:style>
  <w:style w:type="character" w:customStyle="1" w:styleId="100">
    <w:name w:val="纯文本 Char Char"/>
    <w:link w:val="101"/>
    <w:uiPriority w:val="0"/>
    <w:rPr>
      <w:rFonts w:ascii="宋体" w:hAnsi="Courier New"/>
      <w:kern w:val="2"/>
      <w:sz w:val="21"/>
    </w:rPr>
  </w:style>
  <w:style w:type="paragraph" w:customStyle="1" w:styleId="101">
    <w:name w:val="纯文本1"/>
    <w:basedOn w:val="1"/>
    <w:link w:val="100"/>
    <w:qFormat/>
    <w:uiPriority w:val="0"/>
    <w:rPr>
      <w:rFonts w:ascii="宋体" w:hAnsi="Courier New"/>
    </w:rPr>
  </w:style>
  <w:style w:type="character" w:customStyle="1" w:styleId="102">
    <w:name w:val="样式1 Char"/>
    <w:link w:val="103"/>
    <w:qFormat/>
    <w:locked/>
    <w:uiPriority w:val="0"/>
    <w:rPr>
      <w:rFonts w:ascii="黑体" w:hAnsi="黑体" w:eastAsia="黑体"/>
      <w:b/>
      <w:kern w:val="2"/>
      <w:sz w:val="32"/>
    </w:rPr>
  </w:style>
  <w:style w:type="paragraph" w:customStyle="1" w:styleId="103">
    <w:name w:val="样式1"/>
    <w:basedOn w:val="5"/>
    <w:link w:val="102"/>
    <w:qFormat/>
    <w:uiPriority w:val="0"/>
    <w:pPr>
      <w:tabs>
        <w:tab w:val="clear" w:pos="578"/>
      </w:tabs>
      <w:spacing w:beforeLines="0" w:afterLines="0"/>
      <w:ind w:left="0" w:firstLine="0"/>
    </w:pPr>
    <w:rPr>
      <w:rFonts w:ascii="黑体" w:hAnsi="黑体"/>
      <w:bCs w:val="0"/>
      <w:szCs w:val="20"/>
    </w:rPr>
  </w:style>
  <w:style w:type="character" w:customStyle="1" w:styleId="104">
    <w:name w:val="font11"/>
    <w:qFormat/>
    <w:uiPriority w:val="0"/>
    <w:rPr>
      <w:rFonts w:ascii="Times New Roman" w:hAnsi="Times New Roman"/>
      <w:color w:val="000000"/>
      <w:sz w:val="24"/>
      <w:u w:val="none"/>
    </w:rPr>
  </w:style>
  <w:style w:type="character" w:customStyle="1" w:styleId="105">
    <w:name w:val="批注主题 字符1"/>
    <w:semiHidden/>
    <w:uiPriority w:val="99"/>
    <w:rPr>
      <w:b/>
      <w:bCs/>
      <w:kern w:val="2"/>
      <w:sz w:val="21"/>
    </w:rPr>
  </w:style>
  <w:style w:type="character" w:customStyle="1" w:styleId="106">
    <w:name w:val="正文文本缩进 2 字符"/>
    <w:qFormat/>
    <w:locked/>
    <w:uiPriority w:val="99"/>
    <w:rPr>
      <w:rFonts w:ascii="宋体" w:eastAsia="宋体"/>
      <w:kern w:val="2"/>
      <w:sz w:val="24"/>
      <w:lang w:val="en-US" w:eastAsia="zh-CN"/>
    </w:rPr>
  </w:style>
  <w:style w:type="character" w:customStyle="1" w:styleId="107">
    <w:name w:val="正文文本 字符"/>
    <w:locked/>
    <w:uiPriority w:val="99"/>
    <w:rPr>
      <w:rFonts w:ascii="宋体" w:hAnsi="宋体" w:eastAsia="宋体" w:cs="宋体"/>
      <w:lang w:val="en-US" w:eastAsia="zh-CN"/>
    </w:rPr>
  </w:style>
  <w:style w:type="character" w:customStyle="1" w:styleId="108">
    <w:name w:val="标题 1 Char"/>
    <w:uiPriority w:val="0"/>
    <w:rPr>
      <w:rFonts w:hint="default" w:ascii="Verdana" w:hAnsi="Verdana" w:cs="Verdana"/>
      <w:b/>
      <w:bCs/>
      <w:kern w:val="44"/>
      <w:sz w:val="44"/>
      <w:szCs w:val="44"/>
      <w:lang w:eastAsia="en-US"/>
    </w:rPr>
  </w:style>
  <w:style w:type="character" w:customStyle="1" w:styleId="109">
    <w:name w:val="15"/>
    <w:uiPriority w:val="0"/>
    <w:rPr>
      <w:rFonts w:hint="default" w:ascii="Times New Roman" w:hAnsi="Times New Roman" w:eastAsia="宋体" w:cs="Times New Roman"/>
      <w:b/>
      <w:spacing w:val="-2"/>
      <w:sz w:val="24"/>
      <w:szCs w:val="24"/>
    </w:rPr>
  </w:style>
  <w:style w:type="character" w:customStyle="1" w:styleId="110">
    <w:name w:val="标题 9 字符"/>
    <w:qFormat/>
    <w:locked/>
    <w:uiPriority w:val="9"/>
    <w:rPr>
      <w:rFonts w:ascii="Arial" w:hAnsi="Arial" w:eastAsia="黑体"/>
      <w:kern w:val="2"/>
      <w:sz w:val="21"/>
    </w:rPr>
  </w:style>
  <w:style w:type="character" w:customStyle="1" w:styleId="111">
    <w:name w:val="标题 2 字符"/>
    <w:locked/>
    <w:uiPriority w:val="9"/>
    <w:rPr>
      <w:rFonts w:ascii="Cambria" w:hAnsi="Cambria" w:eastAsia="宋体" w:cs="Cambria"/>
      <w:kern w:val="2"/>
      <w:sz w:val="21"/>
      <w:szCs w:val="21"/>
      <w:lang w:val="en-US" w:eastAsia="zh-CN"/>
    </w:rPr>
  </w:style>
  <w:style w:type="character" w:customStyle="1" w:styleId="112">
    <w:name w:val="无间距字符"/>
    <w:link w:val="113"/>
    <w:qFormat/>
    <w:locked/>
    <w:uiPriority w:val="0"/>
    <w:rPr>
      <w:sz w:val="22"/>
      <w:lang w:val="en-US" w:eastAsia="zh-CN" w:bidi="ar-SA"/>
    </w:rPr>
  </w:style>
  <w:style w:type="paragraph" w:customStyle="1" w:styleId="113">
    <w:name w:val="无间距"/>
    <w:link w:val="112"/>
    <w:qFormat/>
    <w:uiPriority w:val="0"/>
    <w:rPr>
      <w:sz w:val="22"/>
      <w:lang w:val="en-US" w:eastAsia="zh-CN" w:bidi="ar-SA"/>
    </w:rPr>
  </w:style>
  <w:style w:type="character" w:customStyle="1" w:styleId="114">
    <w:name w:val="纯文本 字符1"/>
    <w:semiHidden/>
    <w:uiPriority w:val="99"/>
    <w:rPr>
      <w:rFonts w:ascii="等线" w:hAnsi="Courier New" w:eastAsia="等线" w:cs="Courier New"/>
      <w:kern w:val="2"/>
      <w:sz w:val="21"/>
    </w:rPr>
  </w:style>
  <w:style w:type="character" w:customStyle="1" w:styleId="115">
    <w:name w:val="正文文本缩进 Char1"/>
    <w:qFormat/>
    <w:uiPriority w:val="0"/>
    <w:rPr>
      <w:rFonts w:eastAsia="方正书宋简体"/>
      <w:kern w:val="2"/>
      <w:sz w:val="24"/>
      <w:lang w:val="en-US" w:eastAsia="zh-CN"/>
    </w:rPr>
  </w:style>
  <w:style w:type="character" w:customStyle="1" w:styleId="116">
    <w:name w:val="纯文本 字符"/>
    <w:qFormat/>
    <w:locked/>
    <w:uiPriority w:val="0"/>
    <w:rPr>
      <w:rFonts w:ascii="宋体" w:hAnsi="Courier New" w:eastAsia="宋体" w:cs="宋体"/>
      <w:lang w:val="en-US" w:eastAsia="zh-CN"/>
    </w:rPr>
  </w:style>
  <w:style w:type="character" w:customStyle="1" w:styleId="117">
    <w:name w:val="正文文本 2 字符"/>
    <w:qFormat/>
    <w:locked/>
    <w:uiPriority w:val="99"/>
    <w:rPr>
      <w:rFonts w:eastAsia="宋体"/>
      <w:sz w:val="24"/>
    </w:rPr>
  </w:style>
  <w:style w:type="character" w:customStyle="1" w:styleId="118">
    <w:name w:val="中等深浅网格 1 - 强调文字颜色 2 Char"/>
    <w:link w:val="119"/>
    <w:qFormat/>
    <w:locked/>
    <w:uiPriority w:val="34"/>
    <w:rPr>
      <w:rFonts w:ascii="Calibri" w:hAnsi="Calibri"/>
      <w:kern w:val="2"/>
      <w:sz w:val="22"/>
    </w:rPr>
  </w:style>
  <w:style w:type="paragraph" w:customStyle="1" w:styleId="119">
    <w:name w:val="中等深浅网格 1 - 强调文字颜色 21"/>
    <w:basedOn w:val="1"/>
    <w:link w:val="118"/>
    <w:qFormat/>
    <w:uiPriority w:val="34"/>
    <w:pPr>
      <w:ind w:firstLine="420" w:firstLineChars="200"/>
    </w:pPr>
    <w:rPr>
      <w:rFonts w:ascii="Calibri" w:hAnsi="Calibri"/>
      <w:sz w:val="22"/>
    </w:rPr>
  </w:style>
  <w:style w:type="character" w:customStyle="1" w:styleId="120">
    <w:name w:val="标题 8 字符"/>
    <w:qFormat/>
    <w:locked/>
    <w:uiPriority w:val="9"/>
    <w:rPr>
      <w:rFonts w:ascii="Arial" w:hAnsi="Arial" w:eastAsia="黑体"/>
      <w:kern w:val="2"/>
      <w:sz w:val="24"/>
    </w:rPr>
  </w:style>
  <w:style w:type="character" w:customStyle="1" w:styleId="121">
    <w:name w:val="正文首行缩进 字符"/>
    <w:qFormat/>
    <w:locked/>
    <w:uiPriority w:val="99"/>
    <w:rPr>
      <w:rFonts w:ascii="宋体" w:hAnsi="宋体" w:eastAsia="宋体" w:cs="宋体"/>
      <w:i/>
      <w:kern w:val="2"/>
      <w:sz w:val="24"/>
      <w:lang w:val="en-US" w:eastAsia="zh-CN"/>
    </w:rPr>
  </w:style>
  <w:style w:type="character" w:customStyle="1" w:styleId="122">
    <w:name w:val="标题 2 Char"/>
    <w:aliases w:val="H2 Char,标题 1.1 Char,Title2 Char,h2 Char,Underrubrik1 Char,prop2 Char,标题二 Char,H21 Char,Heading 2 Hidden Char,Heading 2 CCBS Char,heading 2 Char,Level 2 Topic Heading Char,Second Level Topic Char,- Para Char,sect 1.2 Char,sect 1.21 Char,2 Char"/>
    <w:qFormat/>
    <w:uiPriority w:val="0"/>
    <w:rPr>
      <w:rFonts w:ascii="Arial" w:hAnsi="Arial" w:eastAsia="黑体"/>
      <w:b/>
      <w:kern w:val="2"/>
      <w:sz w:val="32"/>
      <w:lang w:val="en-US" w:eastAsia="zh-CN"/>
    </w:rPr>
  </w:style>
  <w:style w:type="character" w:customStyle="1" w:styleId="123">
    <w:name w:val="样式5 Char"/>
    <w:link w:val="124"/>
    <w:qFormat/>
    <w:locked/>
    <w:uiPriority w:val="0"/>
    <w:rPr>
      <w:rFonts w:eastAsia="宋体"/>
      <w:b/>
      <w:kern w:val="2"/>
      <w:sz w:val="28"/>
      <w:lang w:val="en-US" w:eastAsia="zh-CN"/>
    </w:rPr>
  </w:style>
  <w:style w:type="paragraph" w:customStyle="1" w:styleId="124">
    <w:name w:val="样式5"/>
    <w:basedOn w:val="1"/>
    <w:link w:val="123"/>
    <w:qFormat/>
    <w:uiPriority w:val="0"/>
    <w:pPr>
      <w:keepNext/>
      <w:keepLines/>
      <w:spacing w:before="280" w:after="290" w:line="376" w:lineRule="auto"/>
      <w:ind w:left="210" w:leftChars="100" w:right="210" w:rightChars="100"/>
      <w:outlineLvl w:val="4"/>
    </w:pPr>
    <w:rPr>
      <w:b/>
      <w:sz w:val="28"/>
    </w:rPr>
  </w:style>
  <w:style w:type="character" w:customStyle="1" w:styleId="125">
    <w:name w:val="正文文本 3 字符1"/>
    <w:semiHidden/>
    <w:uiPriority w:val="99"/>
    <w:rPr>
      <w:kern w:val="2"/>
      <w:sz w:val="16"/>
      <w:szCs w:val="16"/>
    </w:rPr>
  </w:style>
  <w:style w:type="character" w:customStyle="1" w:styleId="126">
    <w:name w:val="正文文本首行缩进 字符"/>
    <w:semiHidden/>
    <w:uiPriority w:val="99"/>
  </w:style>
  <w:style w:type="character" w:customStyle="1" w:styleId="127">
    <w:name w:val="标题 6 字符"/>
    <w:qFormat/>
    <w:locked/>
    <w:uiPriority w:val="9"/>
    <w:rPr>
      <w:rFonts w:ascii="Cambria" w:hAnsi="Cambria" w:eastAsia="宋体"/>
      <w:b/>
      <w:kern w:val="2"/>
      <w:sz w:val="24"/>
      <w:lang w:val="en-US" w:eastAsia="zh-CN"/>
    </w:rPr>
  </w:style>
  <w:style w:type="character" w:customStyle="1" w:styleId="128">
    <w:name w:val="页脚 字符1"/>
    <w:semiHidden/>
    <w:uiPriority w:val="99"/>
    <w:rPr>
      <w:kern w:val="2"/>
      <w:sz w:val="18"/>
      <w:szCs w:val="18"/>
    </w:rPr>
  </w:style>
  <w:style w:type="character" w:customStyle="1" w:styleId="129">
    <w:name w:val="标题 1 Char Char"/>
    <w:qFormat/>
    <w:uiPriority w:val="0"/>
    <w:rPr>
      <w:rFonts w:eastAsia="宋体"/>
      <w:b/>
      <w:spacing w:val="-2"/>
      <w:sz w:val="24"/>
      <w:lang w:val="en-US" w:eastAsia="zh-CN"/>
    </w:rPr>
  </w:style>
  <w:style w:type="character" w:customStyle="1" w:styleId="130">
    <w:name w:val="List Paragraph Char"/>
    <w:link w:val="131"/>
    <w:qFormat/>
    <w:locked/>
    <w:uiPriority w:val="0"/>
    <w:rPr>
      <w:rFonts w:ascii="Calibri" w:hAnsi="Calibri" w:eastAsia="宋体"/>
      <w:kern w:val="2"/>
      <w:sz w:val="22"/>
      <w:lang w:val="en-US" w:eastAsia="zh-CN"/>
    </w:rPr>
  </w:style>
  <w:style w:type="paragraph" w:customStyle="1" w:styleId="131">
    <w:name w:val="列出段落1"/>
    <w:basedOn w:val="1"/>
    <w:link w:val="130"/>
    <w:qFormat/>
    <w:uiPriority w:val="0"/>
    <w:pPr>
      <w:ind w:firstLine="420" w:firstLineChars="200"/>
    </w:pPr>
    <w:rPr>
      <w:rFonts w:ascii="Calibri" w:hAnsi="Calibri"/>
      <w:sz w:val="22"/>
    </w:rPr>
  </w:style>
  <w:style w:type="character" w:customStyle="1" w:styleId="132">
    <w:name w:val="正文文本 Char"/>
    <w:qFormat/>
    <w:uiPriority w:val="0"/>
    <w:rPr>
      <w:rFonts w:eastAsia="宋体"/>
      <w:i/>
      <w:kern w:val="2"/>
      <w:sz w:val="18"/>
      <w:lang w:val="en-US" w:eastAsia="zh-CN"/>
    </w:rPr>
  </w:style>
  <w:style w:type="character" w:customStyle="1" w:styleId="133">
    <w:name w:val="正文缩进 Char"/>
    <w:qFormat/>
    <w:uiPriority w:val="0"/>
    <w:rPr>
      <w:rFonts w:eastAsia="宋体"/>
      <w:kern w:val="2"/>
      <w:sz w:val="24"/>
      <w:lang w:val="en-US" w:eastAsia="zh-CN"/>
    </w:rPr>
  </w:style>
  <w:style w:type="character" w:customStyle="1" w:styleId="134">
    <w:name w:val="批注主题 Char"/>
    <w:semiHidden/>
    <w:qFormat/>
    <w:locked/>
    <w:uiPriority w:val="0"/>
    <w:rPr>
      <w:rFonts w:cs="Times New Roman"/>
      <w:b/>
      <w:bCs/>
      <w:kern w:val="2"/>
      <w:sz w:val="21"/>
    </w:rPr>
  </w:style>
  <w:style w:type="character" w:customStyle="1" w:styleId="135">
    <w:name w:val="正文文本缩进 字符2"/>
    <w:semiHidden/>
    <w:uiPriority w:val="99"/>
    <w:rPr>
      <w:kern w:val="2"/>
      <w:sz w:val="21"/>
    </w:rPr>
  </w:style>
  <w:style w:type="character" w:customStyle="1" w:styleId="136">
    <w:name w:val="批注文字 字符"/>
    <w:locked/>
    <w:uiPriority w:val="99"/>
    <w:rPr>
      <w:rFonts w:ascii="宋体" w:hAnsi="宋体" w:eastAsia="宋体" w:cs="宋体"/>
      <w:kern w:val="2"/>
      <w:sz w:val="21"/>
      <w:szCs w:val="21"/>
      <w:lang w:val="en-US" w:eastAsia="zh-CN"/>
    </w:rPr>
  </w:style>
  <w:style w:type="character" w:customStyle="1" w:styleId="137">
    <w:name w:val="列表段落 字符"/>
    <w:qFormat/>
    <w:locked/>
    <w:uiPriority w:val="34"/>
    <w:rPr>
      <w:rFonts w:eastAsia="宋体"/>
      <w:sz w:val="24"/>
    </w:rPr>
  </w:style>
  <w:style w:type="character" w:customStyle="1" w:styleId="138">
    <w:name w:val="HTML 预设格式 字符1"/>
    <w:semiHidden/>
    <w:uiPriority w:val="99"/>
    <w:rPr>
      <w:rFonts w:ascii="Courier New" w:hAnsi="Courier New" w:cs="Courier New"/>
      <w:kern w:val="2"/>
    </w:rPr>
  </w:style>
  <w:style w:type="character" w:customStyle="1" w:styleId="139">
    <w:name w:val="font61"/>
    <w:qFormat/>
    <w:uiPriority w:val="0"/>
    <w:rPr>
      <w:rFonts w:ascii="Times New Roman" w:hAnsi="Times New Roman"/>
      <w:color w:val="000000"/>
      <w:sz w:val="20"/>
      <w:u w:val="none"/>
    </w:rPr>
  </w:style>
  <w:style w:type="character" w:customStyle="1" w:styleId="140">
    <w:name w:val="批注主题 字符"/>
    <w:locked/>
    <w:uiPriority w:val="99"/>
    <w:rPr>
      <w:rFonts w:ascii="宋体" w:hAnsi="宋体" w:eastAsia="宋体" w:cs="宋体"/>
      <w:b/>
      <w:kern w:val="2"/>
      <w:sz w:val="21"/>
      <w:szCs w:val="21"/>
      <w:lang w:val="en-US" w:eastAsia="zh-CN"/>
    </w:rPr>
  </w:style>
  <w:style w:type="character" w:customStyle="1" w:styleId="141">
    <w:name w:val="样式2 Char"/>
    <w:link w:val="142"/>
    <w:qFormat/>
    <w:locked/>
    <w:uiPriority w:val="0"/>
    <w:rPr>
      <w:rFonts w:ascii="黑体" w:hAnsi="黑体" w:eastAsia="黑体"/>
      <w:color w:val="FF0000"/>
      <w:kern w:val="2"/>
      <w:sz w:val="32"/>
      <w:lang w:val="en-US" w:eastAsia="zh-CN"/>
    </w:rPr>
  </w:style>
  <w:style w:type="paragraph" w:customStyle="1" w:styleId="142">
    <w:name w:val="样式2"/>
    <w:basedOn w:val="6"/>
    <w:link w:val="141"/>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43">
    <w:name w:val="方案－正文 Char"/>
    <w:link w:val="144"/>
    <w:qFormat/>
    <w:locked/>
    <w:uiPriority w:val="0"/>
    <w:rPr>
      <w:rFonts w:ascii="仿宋_GB2312" w:hAnsi="宋体"/>
      <w:sz w:val="24"/>
    </w:rPr>
  </w:style>
  <w:style w:type="paragraph" w:customStyle="1" w:styleId="144">
    <w:name w:val="方案－正文"/>
    <w:basedOn w:val="1"/>
    <w:link w:val="143"/>
    <w:qFormat/>
    <w:uiPriority w:val="0"/>
    <w:pPr>
      <w:spacing w:line="360" w:lineRule="auto"/>
      <w:ind w:firstLine="480" w:firstLineChars="200"/>
    </w:pPr>
    <w:rPr>
      <w:rFonts w:ascii="仿宋_GB2312" w:hAnsi="宋体"/>
      <w:kern w:val="0"/>
      <w:sz w:val="24"/>
    </w:rPr>
  </w:style>
  <w:style w:type="character" w:customStyle="1" w:styleId="145">
    <w:name w:val="页眉 字符1"/>
    <w:semiHidden/>
    <w:uiPriority w:val="99"/>
    <w:rPr>
      <w:kern w:val="2"/>
      <w:sz w:val="18"/>
      <w:szCs w:val="18"/>
    </w:rPr>
  </w:style>
  <w:style w:type="character" w:customStyle="1" w:styleId="146">
    <w:name w:val="标题 3 字符"/>
    <w:locked/>
    <w:uiPriority w:val="9"/>
    <w:rPr>
      <w:rFonts w:ascii="宋体" w:hAnsi="宋体" w:eastAsia="宋体" w:cs="宋体"/>
      <w:b/>
      <w:kern w:val="2"/>
      <w:sz w:val="32"/>
      <w:szCs w:val="32"/>
      <w:lang w:val="en-US" w:eastAsia="zh-CN"/>
    </w:rPr>
  </w:style>
  <w:style w:type="character" w:customStyle="1" w:styleId="147">
    <w:name w:val="正文文本 字符1"/>
    <w:semiHidden/>
    <w:uiPriority w:val="99"/>
    <w:rPr>
      <w:kern w:val="2"/>
      <w:sz w:val="21"/>
    </w:rPr>
  </w:style>
  <w:style w:type="character" w:customStyle="1" w:styleId="148">
    <w:name w:val="列出段落 字符"/>
    <w:qFormat/>
    <w:locked/>
    <w:uiPriority w:val="34"/>
    <w:rPr>
      <w:rFonts w:eastAsia="宋体"/>
      <w:kern w:val="2"/>
      <w:sz w:val="24"/>
      <w:lang w:val="en-US" w:eastAsia="zh-CN"/>
    </w:rPr>
  </w:style>
  <w:style w:type="character" w:customStyle="1" w:styleId="149">
    <w:name w:val="font01"/>
    <w:qFormat/>
    <w:uiPriority w:val="0"/>
    <w:rPr>
      <w:rFonts w:ascii="宋体" w:hAnsi="宋体" w:eastAsia="宋体"/>
      <w:color w:val="000000"/>
      <w:sz w:val="24"/>
      <w:u w:val="none"/>
    </w:rPr>
  </w:style>
  <w:style w:type="character" w:customStyle="1" w:styleId="150">
    <w:name w:val="标题 1 Char"/>
    <w:aliases w:val="卷标题 Char,合同标题 Char,featurehead Char,Title1 Char,LN Char,H1 Char,H11 Char,H12 Char,H13 Char,H14 Char,H15 Char,H16 Char,H17 Char,H111 Char,H121 Char,H131 Char,H141 Char,H151 Char,H161 Char,H18 Char,H112 Char,H122 Char,H132 Char,H142 Char,l1 Char"/>
    <w:qFormat/>
    <w:uiPriority w:val="0"/>
    <w:rPr>
      <w:rFonts w:ascii="宋体" w:eastAsia="宋体"/>
      <w:b/>
      <w:kern w:val="2"/>
      <w:sz w:val="28"/>
      <w:lang w:val="en-US" w:eastAsia="zh-CN"/>
    </w:rPr>
  </w:style>
  <w:style w:type="character" w:customStyle="1" w:styleId="151">
    <w:name w:val="文档结构图 字符1"/>
    <w:semiHidden/>
    <w:uiPriority w:val="99"/>
    <w:rPr>
      <w:rFonts w:ascii="Microsoft YaHei UI" w:eastAsia="Microsoft YaHei UI"/>
      <w:kern w:val="2"/>
      <w:sz w:val="18"/>
      <w:szCs w:val="18"/>
    </w:rPr>
  </w:style>
  <w:style w:type="character" w:customStyle="1" w:styleId="152">
    <w:name w:val="表格用 Char Char"/>
    <w:link w:val="153"/>
    <w:qFormat/>
    <w:locked/>
    <w:uiPriority w:val="0"/>
    <w:rPr>
      <w:rFonts w:ascii="宋体" w:hAnsi="宋体" w:cs="宋体"/>
      <w:szCs w:val="24"/>
    </w:rPr>
  </w:style>
  <w:style w:type="paragraph" w:customStyle="1" w:styleId="153">
    <w:name w:val="表格用"/>
    <w:basedOn w:val="1"/>
    <w:link w:val="152"/>
    <w:qFormat/>
    <w:uiPriority w:val="0"/>
    <w:pPr>
      <w:widowControl/>
      <w:spacing w:line="360" w:lineRule="auto"/>
      <w:jc w:val="left"/>
    </w:pPr>
    <w:rPr>
      <w:rFonts w:ascii="宋体" w:hAnsi="宋体"/>
      <w:kern w:val="0"/>
      <w:sz w:val="20"/>
      <w:szCs w:val="24"/>
    </w:rPr>
  </w:style>
  <w:style w:type="character" w:customStyle="1" w:styleId="154">
    <w:name w:val="h6 Char"/>
    <w:qFormat/>
    <w:uiPriority w:val="0"/>
    <w:rPr>
      <w:rFonts w:ascii="Arial" w:hAnsi="Arial" w:eastAsia="宋体"/>
      <w:b/>
      <w:kern w:val="2"/>
      <w:sz w:val="24"/>
      <w:lang w:val="en-US" w:eastAsia="zh-CN"/>
    </w:rPr>
  </w:style>
  <w:style w:type="character" w:customStyle="1" w:styleId="155">
    <w:name w:val="正文缩进 字符"/>
    <w:locked/>
    <w:uiPriority w:val="0"/>
    <w:rPr>
      <w:rFonts w:ascii="宋体" w:hAnsi="宋体" w:eastAsia="宋体" w:cs="宋体"/>
      <w:spacing w:val="14"/>
      <w:kern w:val="24"/>
      <w:sz w:val="24"/>
      <w:szCs w:val="24"/>
      <w:lang w:val="en-US" w:eastAsia="zh-CN"/>
    </w:rPr>
  </w:style>
  <w:style w:type="character" w:customStyle="1" w:styleId="156">
    <w:name w:val="正文文本缩进 2 字符1"/>
    <w:semiHidden/>
    <w:uiPriority w:val="99"/>
    <w:rPr>
      <w:kern w:val="2"/>
      <w:sz w:val="21"/>
    </w:rPr>
  </w:style>
  <w:style w:type="character" w:customStyle="1" w:styleId="157">
    <w:name w:val="页眉 Char"/>
    <w:qFormat/>
    <w:uiPriority w:val="99"/>
    <w:rPr>
      <w:rFonts w:eastAsia="宋体"/>
      <w:kern w:val="2"/>
      <w:sz w:val="18"/>
      <w:lang w:val="en-US" w:eastAsia="zh-CN"/>
    </w:rPr>
  </w:style>
  <w:style w:type="character" w:customStyle="1" w:styleId="158">
    <w:name w:val="纯文本 Char1"/>
    <w:locked/>
    <w:uiPriority w:val="99"/>
    <w:rPr>
      <w:rFonts w:ascii="宋体" w:hAnsi="Courier New" w:eastAsia="宋体" w:cs="宋体"/>
      <w:lang w:val="en-US" w:eastAsia="zh-CN"/>
    </w:rPr>
  </w:style>
  <w:style w:type="character" w:customStyle="1" w:styleId="159">
    <w:name w:val="正文文本缩进 3 字符1"/>
    <w:semiHidden/>
    <w:uiPriority w:val="99"/>
    <w:rPr>
      <w:kern w:val="2"/>
      <w:sz w:val="16"/>
      <w:szCs w:val="16"/>
    </w:rPr>
  </w:style>
  <w:style w:type="character" w:customStyle="1" w:styleId="160">
    <w:name w:val="标题 4 字符"/>
    <w:qFormat/>
    <w:locked/>
    <w:uiPriority w:val="9"/>
    <w:rPr>
      <w:rFonts w:ascii="Arial" w:hAnsi="Arial" w:eastAsia="黑体"/>
      <w:b/>
      <w:kern w:val="2"/>
      <w:sz w:val="28"/>
      <w:lang w:val="en-US" w:eastAsia="zh-CN"/>
    </w:rPr>
  </w:style>
  <w:style w:type="character" w:customStyle="1" w:styleId="161">
    <w:name w:val="文档结构图 字符"/>
    <w:qFormat/>
    <w:locked/>
    <w:uiPriority w:val="99"/>
    <w:rPr>
      <w:rFonts w:eastAsia="宋体"/>
      <w:kern w:val="2"/>
      <w:sz w:val="21"/>
      <w:lang w:val="en-US" w:eastAsia="zh-CN"/>
    </w:rPr>
  </w:style>
  <w:style w:type="character" w:customStyle="1" w:styleId="162">
    <w:name w:val="font131"/>
    <w:uiPriority w:val="0"/>
    <w:rPr>
      <w:rFonts w:hint="default" w:ascii="Times New Roman" w:hAnsi="Times New Roman" w:cs="Times New Roman"/>
      <w:color w:val="000000"/>
      <w:sz w:val="24"/>
      <w:szCs w:val="24"/>
      <w:u w:val="none"/>
    </w:rPr>
  </w:style>
  <w:style w:type="character" w:customStyle="1" w:styleId="163">
    <w:name w:val="标题2正文 Char Char"/>
    <w:link w:val="164"/>
    <w:qFormat/>
    <w:locked/>
    <w:uiPriority w:val="0"/>
    <w:rPr>
      <w:rFonts w:eastAsia="宋体"/>
      <w:sz w:val="24"/>
    </w:rPr>
  </w:style>
  <w:style w:type="paragraph" w:customStyle="1" w:styleId="164">
    <w:name w:val="标题2正文 Char"/>
    <w:basedOn w:val="1"/>
    <w:link w:val="163"/>
    <w:qFormat/>
    <w:uiPriority w:val="0"/>
    <w:pPr>
      <w:spacing w:beforeLines="50" w:afterLines="50"/>
      <w:ind w:right="38" w:rightChars="18" w:firstLine="420"/>
    </w:pPr>
    <w:rPr>
      <w:kern w:val="0"/>
      <w:sz w:val="24"/>
    </w:rPr>
  </w:style>
  <w:style w:type="character" w:customStyle="1" w:styleId="165">
    <w:name w:val="纯文本 字符2"/>
    <w:locked/>
    <w:uiPriority w:val="99"/>
    <w:rPr>
      <w:rFonts w:ascii="宋体" w:hAnsi="Courier New" w:cs="宋体"/>
    </w:rPr>
  </w:style>
  <w:style w:type="character" w:customStyle="1" w:styleId="166">
    <w:name w:val="apple-style-span"/>
    <w:qFormat/>
    <w:uiPriority w:val="0"/>
    <w:rPr>
      <w:rFonts w:cs="Times New Roman"/>
    </w:rPr>
  </w:style>
  <w:style w:type="character" w:customStyle="1" w:styleId="167">
    <w:name w:val="正文文本 2 字符1"/>
    <w:semiHidden/>
    <w:uiPriority w:val="99"/>
    <w:rPr>
      <w:kern w:val="2"/>
      <w:sz w:val="21"/>
    </w:rPr>
  </w:style>
  <w:style w:type="character" w:customStyle="1" w:styleId="168">
    <w:name w:val="样式4 Char"/>
    <w:link w:val="169"/>
    <w:qFormat/>
    <w:locked/>
    <w:uiPriority w:val="0"/>
    <w:rPr>
      <w:rFonts w:ascii="黑体" w:hAnsi="黑体" w:eastAsia="黑体"/>
      <w:kern w:val="44"/>
      <w:sz w:val="44"/>
      <w:lang w:val="en-US" w:eastAsia="zh-CN"/>
    </w:rPr>
  </w:style>
  <w:style w:type="paragraph" w:customStyle="1" w:styleId="169">
    <w:name w:val="样式4"/>
    <w:basedOn w:val="4"/>
    <w:link w:val="168"/>
    <w:qFormat/>
    <w:uiPriority w:val="0"/>
    <w:pPr>
      <w:keepLines/>
      <w:spacing w:line="360" w:lineRule="auto"/>
    </w:pPr>
    <w:rPr>
      <w:rFonts w:ascii="黑体" w:hAnsi="黑体" w:eastAsia="黑体"/>
      <w:b w:val="0"/>
      <w:szCs w:val="20"/>
    </w:rPr>
  </w:style>
  <w:style w:type="character" w:customStyle="1" w:styleId="170">
    <w:name w:val="页脚 字符"/>
    <w:locked/>
    <w:uiPriority w:val="99"/>
    <w:rPr>
      <w:rFonts w:ascii="宋体" w:hAnsi="宋体" w:eastAsia="宋体" w:cs="宋体"/>
      <w:kern w:val="2"/>
      <w:sz w:val="18"/>
      <w:szCs w:val="18"/>
      <w:lang w:val="en-US" w:eastAsia="zh-CN"/>
    </w:rPr>
  </w:style>
  <w:style w:type="character" w:customStyle="1" w:styleId="171">
    <w:name w:val="正文文本缩进 Char"/>
    <w:qFormat/>
    <w:locked/>
    <w:uiPriority w:val="99"/>
    <w:rPr>
      <w:rFonts w:eastAsia="方正书宋简体"/>
      <w:kern w:val="2"/>
      <w:sz w:val="24"/>
      <w:lang w:val="en-US" w:eastAsia="zh-CN"/>
    </w:rPr>
  </w:style>
  <w:style w:type="character" w:customStyle="1" w:styleId="172">
    <w:name w:val="font151"/>
    <w:uiPriority w:val="0"/>
    <w:rPr>
      <w:rFonts w:hint="eastAsia" w:ascii="宋体" w:hAnsi="宋体" w:eastAsia="宋体" w:cs="宋体"/>
      <w:color w:val="000000"/>
      <w:sz w:val="24"/>
      <w:szCs w:val="24"/>
      <w:u w:val="none"/>
    </w:rPr>
  </w:style>
  <w:style w:type="character" w:customStyle="1" w:styleId="173">
    <w:name w:val="日期 字符1"/>
    <w:semiHidden/>
    <w:uiPriority w:val="99"/>
    <w:rPr>
      <w:kern w:val="2"/>
      <w:sz w:val="21"/>
    </w:rPr>
  </w:style>
  <w:style w:type="character" w:customStyle="1" w:styleId="174">
    <w:name w:val="纯文本 Char"/>
    <w:qFormat/>
    <w:uiPriority w:val="99"/>
    <w:rPr>
      <w:rFonts w:ascii="宋体" w:hAnsi="宋体" w:eastAsia="宋体"/>
      <w:color w:val="000000"/>
      <w:sz w:val="24"/>
      <w:lang w:val="en-US" w:eastAsia="zh-CN"/>
    </w:rPr>
  </w:style>
  <w:style w:type="character" w:customStyle="1" w:styleId="175">
    <w:name w:val="NormalCharacter"/>
    <w:semiHidden/>
    <w:qFormat/>
    <w:uiPriority w:val="0"/>
  </w:style>
  <w:style w:type="character" w:customStyle="1" w:styleId="176">
    <w:name w:val="批注框文本 Char"/>
    <w:semiHidden/>
    <w:qFormat/>
    <w:locked/>
    <w:uiPriority w:val="99"/>
    <w:rPr>
      <w:rFonts w:cs="Times New Roman"/>
      <w:kern w:val="2"/>
      <w:sz w:val="18"/>
      <w:szCs w:val="18"/>
    </w:rPr>
  </w:style>
  <w:style w:type="character" w:customStyle="1" w:styleId="177">
    <w:name w:val="纯文本 Char2"/>
    <w:qFormat/>
    <w:uiPriority w:val="0"/>
    <w:rPr>
      <w:rFonts w:ascii="宋体" w:hAnsi="宋体" w:eastAsia="宋体"/>
      <w:color w:val="000000"/>
      <w:sz w:val="24"/>
      <w:lang w:val="en-US" w:eastAsia="zh-CN"/>
    </w:rPr>
  </w:style>
  <w:style w:type="character" w:customStyle="1" w:styleId="178">
    <w:name w:val="标题 1 字符"/>
    <w:locked/>
    <w:uiPriority w:val="9"/>
    <w:rPr>
      <w:rFonts w:ascii="宋体" w:hAnsi="宋体" w:eastAsia="宋体" w:cs="宋体"/>
      <w:b/>
      <w:kern w:val="44"/>
      <w:sz w:val="44"/>
      <w:szCs w:val="44"/>
      <w:lang w:val="en-US" w:eastAsia="zh-CN"/>
    </w:rPr>
  </w:style>
  <w:style w:type="character" w:customStyle="1" w:styleId="179">
    <w:name w:val="标题 2 Char1"/>
    <w:locked/>
    <w:uiPriority w:val="9"/>
    <w:rPr>
      <w:rFonts w:ascii="Cambria" w:hAnsi="Cambria" w:eastAsia="宋体" w:cs="Cambria"/>
      <w:kern w:val="2"/>
      <w:sz w:val="21"/>
      <w:szCs w:val="21"/>
      <w:lang w:val="en-US" w:eastAsia="zh-CN"/>
    </w:rPr>
  </w:style>
  <w:style w:type="character" w:customStyle="1" w:styleId="180">
    <w:name w:val="标题 3 Char"/>
    <w:aliases w:val="H3 Char,h3 Char,3rd level Char,Level 3 Head Char,l3 Char,CT Char,Heading 3 - old Char,ISO2 Char,L3 Char,sect1.2.3 Char,sect1.2.31 Char,sect1.2.32 Char,sect1.2.311 Char,sect1.2.33 Char,sect1.2.312 Char,3 Char,sl3 Char,Heading 3under Char"/>
    <w:qFormat/>
    <w:uiPriority w:val="0"/>
    <w:rPr>
      <w:rFonts w:ascii="Arial" w:hAnsi="Arial" w:eastAsia="黑体"/>
      <w:b/>
      <w:kern w:val="2"/>
      <w:sz w:val="32"/>
      <w:lang w:val="en-US" w:eastAsia="zh-CN"/>
    </w:rPr>
  </w:style>
  <w:style w:type="character" w:customStyle="1" w:styleId="181">
    <w:name w:val="font161"/>
    <w:uiPriority w:val="0"/>
    <w:rPr>
      <w:rFonts w:hint="eastAsia" w:ascii="宋体" w:hAnsi="宋体" w:eastAsia="宋体" w:cs="宋体"/>
      <w:color w:val="000000"/>
      <w:sz w:val="24"/>
      <w:szCs w:val="24"/>
      <w:u w:val="none"/>
    </w:rPr>
  </w:style>
  <w:style w:type="character" w:customStyle="1" w:styleId="182">
    <w:name w:val="正文文本缩进 字符1"/>
    <w:qFormat/>
    <w:locked/>
    <w:uiPriority w:val="99"/>
    <w:rPr>
      <w:rFonts w:eastAsia="方正书宋简体"/>
      <w:kern w:val="2"/>
      <w:sz w:val="24"/>
      <w:lang w:val="en-US" w:eastAsia="zh-CN"/>
    </w:rPr>
  </w:style>
  <w:style w:type="character" w:customStyle="1" w:styleId="183">
    <w:name w:val="hui3"/>
    <w:qFormat/>
    <w:uiPriority w:val="0"/>
    <w:rPr>
      <w:color w:val="333333"/>
    </w:rPr>
  </w:style>
  <w:style w:type="character" w:customStyle="1" w:styleId="184">
    <w:name w:val="正文文本缩进 字符"/>
    <w:uiPriority w:val="0"/>
    <w:rPr>
      <w:rFonts w:ascii="Calibri" w:hAnsi="Calibri" w:cs="Calibri"/>
    </w:rPr>
  </w:style>
  <w:style w:type="character" w:customStyle="1" w:styleId="185">
    <w:name w:val="日期 字符"/>
    <w:qFormat/>
    <w:locked/>
    <w:uiPriority w:val="99"/>
    <w:rPr>
      <w:rFonts w:ascii="宋体" w:cs="Times New Roman"/>
      <w:sz w:val="24"/>
    </w:rPr>
  </w:style>
  <w:style w:type="character" w:customStyle="1" w:styleId="186">
    <w:name w:val="正文文本缩进 3 字符"/>
    <w:locked/>
    <w:uiPriority w:val="99"/>
    <w:rPr>
      <w:rFonts w:ascii="宋体" w:hAnsi="宋体" w:eastAsia="宋体" w:cs="宋体"/>
      <w:b/>
      <w:kern w:val="2"/>
      <w:sz w:val="24"/>
      <w:szCs w:val="24"/>
      <w:lang w:val="en-US" w:eastAsia="zh-CN"/>
    </w:rPr>
  </w:style>
  <w:style w:type="character" w:customStyle="1" w:styleId="187">
    <w:name w:val="正文文本 3 字符"/>
    <w:qFormat/>
    <w:locked/>
    <w:uiPriority w:val="99"/>
    <w:rPr>
      <w:rFonts w:eastAsia="宋体"/>
      <w:sz w:val="16"/>
    </w:rPr>
  </w:style>
  <w:style w:type="character" w:customStyle="1" w:styleId="188">
    <w:name w:val="标题 7 字符"/>
    <w:qFormat/>
    <w:locked/>
    <w:uiPriority w:val="9"/>
    <w:rPr>
      <w:b/>
      <w:kern w:val="2"/>
      <w:sz w:val="24"/>
    </w:rPr>
  </w:style>
  <w:style w:type="character" w:customStyle="1" w:styleId="189">
    <w:name w:val="批注框文本 字符1"/>
    <w:semiHidden/>
    <w:uiPriority w:val="99"/>
    <w:rPr>
      <w:kern w:val="2"/>
      <w:sz w:val="18"/>
      <w:szCs w:val="18"/>
    </w:rPr>
  </w:style>
  <w:style w:type="character" w:customStyle="1" w:styleId="190">
    <w:name w:val="金保标题3 Char"/>
    <w:link w:val="191"/>
    <w:qFormat/>
    <w:locked/>
    <w:uiPriority w:val="0"/>
    <w:rPr>
      <w:rFonts w:ascii="楷体" w:hAnsi="楷体" w:eastAsia="楷体"/>
      <w:b/>
      <w:sz w:val="28"/>
    </w:rPr>
  </w:style>
  <w:style w:type="paragraph" w:customStyle="1" w:styleId="191">
    <w:name w:val="金保标题3"/>
    <w:basedOn w:val="6"/>
    <w:next w:val="1"/>
    <w:link w:val="19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paragraph" w:customStyle="1" w:styleId="192">
    <w:name w:val="列出段落11"/>
    <w:basedOn w:val="1"/>
    <w:qFormat/>
    <w:uiPriority w:val="0"/>
    <w:pPr>
      <w:ind w:firstLine="420" w:firstLineChars="200"/>
    </w:pPr>
    <w:rPr>
      <w:szCs w:val="24"/>
    </w:rPr>
  </w:style>
  <w:style w:type="paragraph" w:customStyle="1" w:styleId="19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94">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标题1"/>
    <w:basedOn w:val="24"/>
    <w:qFormat/>
    <w:uiPriority w:val="0"/>
    <w:pPr>
      <w:keepLines/>
      <w:tabs>
        <w:tab w:val="left" w:pos="397"/>
      </w:tabs>
      <w:spacing w:before="120" w:after="120" w:line="300" w:lineRule="auto"/>
      <w:ind w:firstLine="340"/>
    </w:pPr>
    <w:rPr>
      <w:rFonts w:ascii="黑体" w:hAnsi="宋体" w:eastAsia="黑体"/>
      <w:b/>
      <w:bCs/>
      <w:spacing w:val="6"/>
      <w:kern w:val="44"/>
      <w:sz w:val="36"/>
    </w:rPr>
  </w:style>
  <w:style w:type="paragraph" w:customStyle="1" w:styleId="196">
    <w:name w:val="Char Char Char Char Char Char Char"/>
    <w:basedOn w:val="1"/>
    <w:qFormat/>
    <w:uiPriority w:val="0"/>
    <w:pPr>
      <w:tabs>
        <w:tab w:val="left" w:pos="432"/>
      </w:tabs>
      <w:ind w:left="432" w:hanging="432"/>
    </w:pPr>
    <w:rPr>
      <w:rFonts w:ascii="Tahoma" w:hAnsi="Tahoma"/>
      <w:sz w:val="24"/>
    </w:rPr>
  </w:style>
  <w:style w:type="paragraph" w:customStyle="1" w:styleId="197">
    <w:name w:val="Body Text Indent"/>
    <w:basedOn w:val="1"/>
    <w:uiPriority w:val="0"/>
    <w:pPr>
      <w:spacing w:after="120"/>
      <w:ind w:left="420" w:leftChars="200"/>
    </w:pPr>
    <w:rPr>
      <w:szCs w:val="24"/>
    </w:r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200">
    <w:name w:val="[Normal]"/>
    <w:qFormat/>
    <w:uiPriority w:val="0"/>
    <w:rPr>
      <w:rFonts w:ascii="宋体" w:hAnsi="宋体"/>
      <w:sz w:val="24"/>
      <w:szCs w:val="22"/>
      <w:lang w:val="zh-CN" w:eastAsia="zh-CN" w:bidi="ar-SA"/>
    </w:rPr>
  </w:style>
  <w:style w:type="paragraph" w:customStyle="1" w:styleId="201">
    <w:name w:val="正文1"/>
    <w:qFormat/>
    <w:uiPriority w:val="0"/>
    <w:pPr>
      <w:widowControl w:val="0"/>
      <w:jc w:val="both"/>
    </w:pPr>
    <w:rPr>
      <w:kern w:val="2"/>
      <w:sz w:val="21"/>
      <w:lang w:val="en-US" w:eastAsia="zh-CN" w:bidi="ar-SA"/>
    </w:rPr>
  </w:style>
  <w:style w:type="paragraph" w:customStyle="1" w:styleId="202">
    <w:name w:val=" Char"/>
    <w:basedOn w:val="1"/>
    <w:qFormat/>
    <w:uiPriority w:val="0"/>
    <w:rPr>
      <w:rFonts w:ascii="仿宋_GB2312" w:eastAsia="仿宋_GB2312"/>
      <w:b/>
      <w:sz w:val="32"/>
      <w:szCs w:val="32"/>
    </w:rPr>
  </w:style>
  <w:style w:type="paragraph" w:customStyle="1" w:styleId="203">
    <w:name w:val="Char Char1 Char Char Char Char"/>
    <w:basedOn w:val="1"/>
    <w:qFormat/>
    <w:uiPriority w:val="0"/>
    <w:rPr>
      <w:rFonts w:ascii="Tahoma" w:hAnsi="Tahoma"/>
      <w:sz w:val="24"/>
    </w:rPr>
  </w:style>
  <w:style w:type="paragraph" w:customStyle="1" w:styleId="204">
    <w:name w:val="正文编码"/>
    <w:basedOn w:val="44"/>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05">
    <w:name w:val="样式 正文缩进 + 首行缩进:  2 字符"/>
    <w:basedOn w:val="14"/>
    <w:qFormat/>
    <w:uiPriority w:val="99"/>
    <w:pPr>
      <w:spacing w:line="360" w:lineRule="auto"/>
      <w:ind w:firstLine="200"/>
    </w:pPr>
  </w:style>
  <w:style w:type="paragraph" w:customStyle="1" w:styleId="206">
    <w:name w:val="彩色列表 - 强调文字颜色 11"/>
    <w:basedOn w:val="1"/>
    <w:qFormat/>
    <w:uiPriority w:val="0"/>
    <w:pPr>
      <w:ind w:firstLine="420" w:firstLineChars="200"/>
    </w:pPr>
    <w:rPr>
      <w:rFonts w:ascii="Calibri" w:hAnsi="Calibri"/>
      <w:szCs w:val="22"/>
    </w:rPr>
  </w:style>
  <w:style w:type="paragraph" w:customStyle="1" w:styleId="207">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9">
    <w:name w:val="Char2"/>
    <w:basedOn w:val="1"/>
    <w:qFormat/>
    <w:uiPriority w:val="0"/>
    <w:pPr>
      <w:tabs>
        <w:tab w:val="left" w:pos="1200"/>
      </w:tabs>
      <w:ind w:left="1200" w:hanging="720"/>
    </w:pPr>
    <w:rPr>
      <w:sz w:val="24"/>
      <w:szCs w:val="24"/>
    </w:rPr>
  </w:style>
  <w:style w:type="paragraph" w:customStyle="1" w:styleId="21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11">
    <w:name w:val="p0"/>
    <w:basedOn w:val="1"/>
    <w:qFormat/>
    <w:uiPriority w:val="0"/>
    <w:pPr>
      <w:widowControl/>
    </w:pPr>
    <w:rPr>
      <w:kern w:val="0"/>
      <w:szCs w:val="21"/>
    </w:rPr>
  </w:style>
  <w:style w:type="paragraph" w:customStyle="1" w:styleId="21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13">
    <w:name w:val="符号 2"/>
    <w:basedOn w:val="214"/>
    <w:qFormat/>
    <w:uiPriority w:val="0"/>
    <w:pPr>
      <w:tabs>
        <w:tab w:val="left" w:pos="1320"/>
      </w:tabs>
      <w:ind w:left="1320" w:hanging="420"/>
    </w:pPr>
  </w:style>
  <w:style w:type="paragraph" w:customStyle="1" w:styleId="214">
    <w:name w:val="符号 1"/>
    <w:basedOn w:val="3"/>
    <w:qFormat/>
    <w:uiPriority w:val="0"/>
    <w:pPr>
      <w:tabs>
        <w:tab w:val="left" w:pos="900"/>
      </w:tabs>
      <w:spacing w:line="360" w:lineRule="auto"/>
      <w:ind w:left="1200" w:hanging="720"/>
    </w:pPr>
    <w:rPr>
      <w:rFonts w:eastAsia="宋体"/>
      <w:kern w:val="28"/>
      <w:szCs w:val="24"/>
    </w:rPr>
  </w:style>
  <w:style w:type="paragraph" w:customStyle="1" w:styleId="215">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6">
    <w:name w:val="Char Char Char Char1"/>
    <w:basedOn w:val="1"/>
    <w:uiPriority w:val="0"/>
    <w:rPr>
      <w:rFonts w:ascii="Tahoma" w:hAnsi="Tahoma" w:cs="Times New Roman"/>
      <w:sz w:val="24"/>
    </w:rPr>
  </w:style>
  <w:style w:type="paragraph" w:customStyle="1" w:styleId="217">
    <w:name w:val="标准正文"/>
    <w:basedOn w:val="1"/>
    <w:qFormat/>
    <w:uiPriority w:val="0"/>
    <w:pPr>
      <w:adjustRightInd w:val="0"/>
      <w:spacing w:line="360" w:lineRule="auto"/>
      <w:ind w:firstLine="480" w:firstLineChars="200"/>
    </w:pPr>
    <w:rPr>
      <w:kern w:val="0"/>
      <w:sz w:val="24"/>
    </w:r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章标题"/>
    <w:next w:val="99"/>
    <w:qFormat/>
    <w:uiPriority w:val="0"/>
    <w:pPr>
      <w:numPr>
        <w:ilvl w:val="1"/>
        <w:numId w:val="2"/>
      </w:numPr>
      <w:tabs>
        <w:tab w:val="left" w:pos="1440"/>
      </w:tabs>
      <w:spacing w:before="156" w:beforeLines="50" w:after="156" w:afterLines="50"/>
      <w:jc w:val="both"/>
      <w:outlineLvl w:val="1"/>
    </w:pPr>
    <w:rPr>
      <w:rFonts w:ascii="黑体" w:eastAsia="黑体"/>
      <w:sz w:val="21"/>
      <w:lang w:val="en-US" w:eastAsia="zh-CN" w:bidi="ar-SA"/>
    </w:rPr>
  </w:style>
  <w:style w:type="paragraph" w:customStyle="1" w:styleId="220">
    <w:name w:val="Table Text"/>
    <w:basedOn w:val="1"/>
    <w:qFormat/>
    <w:uiPriority w:val="0"/>
    <w:pPr>
      <w:widowControl/>
      <w:jc w:val="left"/>
    </w:pPr>
    <w:rPr>
      <w:rFonts w:ascii="Arial" w:hAnsi="Arial"/>
      <w:kern w:val="0"/>
      <w:szCs w:val="21"/>
    </w:rPr>
  </w:style>
  <w:style w:type="paragraph" w:customStyle="1" w:styleId="221">
    <w:name w:val="Body text|1"/>
    <w:basedOn w:val="1"/>
    <w:qFormat/>
    <w:uiPriority w:val="0"/>
    <w:pPr>
      <w:widowControl w:val="0"/>
      <w:shd w:val="clear" w:color="auto" w:fill="auto"/>
      <w:spacing w:line="461" w:lineRule="auto"/>
      <w:ind w:firstLine="400"/>
    </w:pPr>
    <w:rPr>
      <w:rFonts w:ascii="宋体" w:hAnsi="宋体" w:eastAsia="宋体" w:cs="宋体"/>
      <w:sz w:val="28"/>
      <w:szCs w:val="28"/>
      <w:u w:val="none"/>
      <w:shd w:val="clear" w:color="auto" w:fill="auto"/>
      <w:lang w:val="zh-TW" w:eastAsia="zh-TW" w:bidi="zh-TW"/>
    </w:rPr>
  </w:style>
  <w:style w:type="paragraph" w:customStyle="1" w:styleId="222">
    <w:name w:val="正文 居中"/>
    <w:basedOn w:val="1"/>
    <w:qFormat/>
    <w:uiPriority w:val="0"/>
    <w:pPr>
      <w:spacing w:line="360" w:lineRule="auto"/>
      <w:jc w:val="center"/>
    </w:pPr>
    <w:rPr>
      <w:rFonts w:cs="宋体"/>
      <w:sz w:val="24"/>
    </w:rPr>
  </w:style>
  <w:style w:type="paragraph" w:customStyle="1" w:styleId="223">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4">
    <w:name w:val="此正文"/>
    <w:basedOn w:val="1"/>
    <w:uiPriority w:val="0"/>
    <w:pPr>
      <w:spacing w:line="360" w:lineRule="auto"/>
      <w:ind w:firstLine="200" w:firstLineChars="200"/>
    </w:pPr>
    <w:rPr>
      <w:sz w:val="24"/>
      <w:szCs w:val="24"/>
    </w:rPr>
  </w:style>
  <w:style w:type="paragraph" w:customStyle="1" w:styleId="225">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26">
    <w:name w:val="Char11"/>
    <w:basedOn w:val="1"/>
    <w:qFormat/>
    <w:uiPriority w:val="0"/>
    <w:rPr>
      <w:szCs w:val="24"/>
    </w:rPr>
  </w:style>
  <w:style w:type="paragraph" w:customStyle="1" w:styleId="22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styleId="228">
    <w:name w:val="No Spacing"/>
    <w:qFormat/>
    <w:uiPriority w:val="1"/>
    <w:pPr>
      <w:widowControl w:val="0"/>
      <w:jc w:val="both"/>
    </w:pPr>
    <w:rPr>
      <w:kern w:val="2"/>
      <w:sz w:val="21"/>
      <w:lang w:val="en-US" w:eastAsia="zh-CN" w:bidi="ar-SA"/>
    </w:rPr>
  </w:style>
  <w:style w:type="paragraph" w:customStyle="1" w:styleId="22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30">
    <w:name w:val="默认段落字体 Para Char Char Char Char Char Char Char Char Char1 Char Char Char Char"/>
    <w:basedOn w:val="1"/>
    <w:qFormat/>
    <w:uiPriority w:val="0"/>
    <w:rPr>
      <w:rFonts w:ascii="Tahoma" w:hAnsi="Tahoma"/>
      <w:sz w:val="24"/>
    </w:rPr>
  </w:style>
  <w:style w:type="paragraph" w:customStyle="1" w:styleId="231">
    <w:name w:val="正文表标题"/>
    <w:next w:val="99"/>
    <w:qFormat/>
    <w:uiPriority w:val="0"/>
    <w:pPr>
      <w:numPr>
        <w:ilvl w:val="0"/>
        <w:numId w:val="2"/>
      </w:numPr>
      <w:tabs>
        <w:tab w:val="left" w:pos="360"/>
      </w:tabs>
      <w:jc w:val="center"/>
    </w:pPr>
    <w:rPr>
      <w:rFonts w:ascii="黑体" w:eastAsia="黑体"/>
      <w:sz w:val="21"/>
      <w:lang w:val="en-US" w:eastAsia="zh-CN" w:bidi="ar-SA"/>
    </w:rPr>
  </w:style>
  <w:style w:type="paragraph" w:customStyle="1" w:styleId="232">
    <w:name w:val="表格内容"/>
    <w:basedOn w:val="1"/>
    <w:qFormat/>
    <w:uiPriority w:val="0"/>
    <w:pPr>
      <w:spacing w:line="240" w:lineRule="auto"/>
      <w:ind w:firstLine="0" w:firstLineChars="0"/>
      <w:jc w:val="center"/>
    </w:pPr>
    <w:rPr>
      <w:rFonts w:hint="eastAsia"/>
    </w:rPr>
  </w:style>
  <w:style w:type="paragraph" w:customStyle="1" w:styleId="233">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35">
    <w:name w:val="UserStyle_4"/>
    <w:basedOn w:val="1"/>
    <w:qFormat/>
    <w:uiPriority w:val="0"/>
    <w:pPr>
      <w:widowControl/>
      <w:ind w:firstLine="420" w:firstLineChars="200"/>
    </w:pPr>
    <w:rPr>
      <w:rFonts w:ascii="Calibri" w:hAnsi="Calibri" w:cs="Times New Roman"/>
      <w:szCs w:val="22"/>
    </w:rPr>
  </w:style>
  <w:style w:type="paragraph" w:customStyle="1" w:styleId="236">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37">
    <w:name w:val="表格文字"/>
    <w:basedOn w:val="1"/>
    <w:next w:val="19"/>
    <w:qFormat/>
    <w:uiPriority w:val="0"/>
    <w:pPr>
      <w:widowControl w:val="0"/>
      <w:spacing w:before="25" w:beforeLines="0" w:after="25" w:afterLines="0"/>
    </w:pPr>
    <w:rPr>
      <w:bCs/>
      <w:spacing w:val="10"/>
      <w:sz w:val="24"/>
    </w:rPr>
  </w:style>
  <w:style w:type="paragraph" w:customStyle="1" w:styleId="238">
    <w:name w:val="首行缩进"/>
    <w:basedOn w:val="1"/>
    <w:qFormat/>
    <w:uiPriority w:val="0"/>
    <w:pPr>
      <w:spacing w:line="360" w:lineRule="auto"/>
      <w:ind w:firstLine="480" w:firstLineChars="200"/>
      <w:jc w:val="left"/>
    </w:pPr>
    <w:rPr>
      <w:rFonts w:ascii="宋体" w:hAnsi="宋体"/>
      <w:sz w:val="24"/>
    </w:rPr>
  </w:style>
  <w:style w:type="paragraph" w:customStyle="1" w:styleId="239">
    <w:name w:val="无间隔1"/>
    <w:qFormat/>
    <w:uiPriority w:val="0"/>
    <w:rPr>
      <w:sz w:val="21"/>
      <w:lang w:val="en-US" w:eastAsia="zh-CN" w:bidi="ar-SA"/>
    </w:rPr>
  </w:style>
  <w:style w:type="paragraph" w:customStyle="1" w:styleId="240">
    <w:name w:val="Item List in Table"/>
    <w:basedOn w:val="1"/>
    <w:qFormat/>
    <w:uiPriority w:val="0"/>
    <w:pPr>
      <w:widowControl/>
      <w:numPr>
        <w:ilvl w:val="0"/>
        <w:numId w:val="3"/>
      </w:numPr>
      <w:tabs>
        <w:tab w:val="left" w:pos="284"/>
      </w:tabs>
      <w:topLinePunct/>
      <w:adjustRightInd w:val="0"/>
      <w:snapToGrid w:val="0"/>
      <w:spacing w:before="80" w:after="80" w:line="240" w:lineRule="atLeast"/>
      <w:jc w:val="left"/>
    </w:pPr>
    <w:rPr>
      <w:rFonts w:cs="Arial"/>
      <w:kern w:val="0"/>
      <w:szCs w:val="21"/>
    </w:rPr>
  </w:style>
  <w:style w:type="paragraph" w:customStyle="1" w:styleId="241">
    <w:name w:val="Body"/>
    <w:qFormat/>
    <w:uiPriority w:val="0"/>
    <w:pPr>
      <w:spacing w:before="130" w:after="130" w:line="260" w:lineRule="exact"/>
    </w:pPr>
    <w:rPr>
      <w:rFonts w:ascii="Univers" w:hAnsi="Univers"/>
      <w:color w:val="000000"/>
      <w:sz w:val="22"/>
      <w:lang w:val="en-US" w:eastAsia="en-US" w:bidi="ar-SA"/>
    </w:rPr>
  </w:style>
  <w:style w:type="paragraph" w:customStyle="1" w:styleId="242">
    <w:name w:val="一级条标题"/>
    <w:next w:val="99"/>
    <w:qFormat/>
    <w:uiPriority w:val="0"/>
    <w:pPr>
      <w:numPr>
        <w:ilvl w:val="2"/>
        <w:numId w:val="2"/>
      </w:numPr>
      <w:tabs>
        <w:tab w:val="left" w:pos="2160"/>
      </w:tabs>
      <w:outlineLvl w:val="2"/>
    </w:pPr>
    <w:rPr>
      <w:rFonts w:eastAsia="黑体"/>
      <w:sz w:val="21"/>
      <w:lang w:val="en-US" w:eastAsia="zh-CN" w:bidi="ar-SA"/>
    </w:rPr>
  </w:style>
  <w:style w:type="paragraph" w:customStyle="1" w:styleId="243">
    <w:name w:val="Char Char Char Char"/>
    <w:basedOn w:val="1"/>
    <w:qFormat/>
    <w:uiPriority w:val="0"/>
    <w:pPr>
      <w:widowControl/>
      <w:spacing w:line="400" w:lineRule="exact"/>
      <w:jc w:val="center"/>
    </w:pPr>
    <w:rPr>
      <w:rFonts w:ascii="Verdana" w:hAnsi="Verdana"/>
      <w:kern w:val="0"/>
      <w:lang w:eastAsia="en-US"/>
    </w:rPr>
  </w:style>
  <w:style w:type="paragraph" w:customStyle="1" w:styleId="244">
    <w:name w:val="默认段落字体11"/>
    <w:basedOn w:val="1"/>
    <w:uiPriority w:val="0"/>
    <w:pPr>
      <w:widowControl/>
      <w:spacing w:before="100" w:beforeAutospacing="1" w:after="100" w:afterAutospacing="1"/>
      <w:jc w:val="left"/>
    </w:pPr>
    <w:rPr>
      <w:szCs w:val="22"/>
    </w:rPr>
  </w:style>
  <w:style w:type="paragraph" w:customStyle="1" w:styleId="245">
    <w:name w:val="Char Char Char1 Char"/>
    <w:basedOn w:val="1"/>
    <w:qFormat/>
    <w:uiPriority w:val="0"/>
    <w:pPr>
      <w:spacing w:line="360" w:lineRule="auto"/>
      <w:ind w:firstLine="200" w:firstLineChars="200"/>
    </w:pPr>
  </w:style>
  <w:style w:type="paragraph" w:customStyle="1" w:styleId="246">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247">
    <w:name w:val="Char Char Char"/>
    <w:basedOn w:val="1"/>
    <w:qFormat/>
    <w:uiPriority w:val="0"/>
    <w:pPr>
      <w:spacing w:before="120" w:after="120" w:line="360" w:lineRule="auto"/>
      <w:ind w:firstLine="200" w:firstLineChars="200"/>
    </w:pPr>
    <w:rPr>
      <w:rFonts w:ascii="Tahoma" w:hAnsi="Tahoma"/>
      <w:sz w:val="24"/>
    </w:rPr>
  </w:style>
  <w:style w:type="paragraph" w:customStyle="1" w:styleId="248">
    <w:name w:val="A正文小四"/>
    <w:basedOn w:val="1"/>
    <w:uiPriority w:val="0"/>
    <w:pPr>
      <w:keepNext w:val="0"/>
      <w:keepLines w:val="0"/>
      <w:widowControl w:val="0"/>
      <w:suppressLineNumbers w:val="0"/>
      <w:spacing w:before="0" w:beforeAutospacing="0" w:after="0" w:afterAutospacing="0" w:line="360" w:lineRule="auto"/>
      <w:ind w:left="0" w:right="0" w:firstLine="600" w:firstLineChars="200"/>
      <w:jc w:val="left"/>
    </w:pPr>
    <w:rPr>
      <w:rFonts w:hint="default" w:ascii="Times New Roman" w:hAnsi="Times New Roman" w:eastAsia="宋体" w:cs="Times New Roman"/>
      <w:color w:val="000000"/>
      <w:kern w:val="2"/>
      <w:sz w:val="21"/>
      <w:szCs w:val="24"/>
      <w:lang w:val="en-US" w:eastAsia="zh-CN" w:bidi="ar"/>
    </w:rPr>
  </w:style>
  <w:style w:type="paragraph" w:customStyle="1" w:styleId="249">
    <w:name w:val="List Paragraph1"/>
    <w:basedOn w:val="1"/>
    <w:qFormat/>
    <w:uiPriority w:val="34"/>
    <w:pPr>
      <w:ind w:firstLine="420" w:firstLineChars="200"/>
    </w:pPr>
    <w:rPr>
      <w:szCs w:val="24"/>
    </w:rPr>
  </w:style>
  <w:style w:type="paragraph" w:customStyle="1" w:styleId="25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51">
    <w:name w:val="Proposals body"/>
    <w:basedOn w:val="1"/>
    <w:next w:val="1"/>
    <w:qFormat/>
    <w:uiPriority w:val="0"/>
    <w:pPr>
      <w:widowControl/>
      <w:spacing w:line="360" w:lineRule="auto"/>
      <w:jc w:val="left"/>
    </w:pPr>
    <w:rPr>
      <w:rFonts w:ascii="宋体"/>
      <w:color w:val="000000"/>
      <w:kern w:val="0"/>
      <w:sz w:val="24"/>
    </w:rPr>
  </w:style>
  <w:style w:type="paragraph" w:customStyle="1" w:styleId="252">
    <w:name w:val="Char1"/>
    <w:basedOn w:val="1"/>
    <w:qFormat/>
    <w:uiPriority w:val="0"/>
    <w:rPr>
      <w:rFonts w:ascii="仿宋_GB2312" w:eastAsia="仿宋_GB2312"/>
      <w:b/>
      <w:sz w:val="32"/>
      <w:szCs w:val="32"/>
    </w:rPr>
  </w:style>
  <w:style w:type="paragraph" w:customStyle="1" w:styleId="253">
    <w:name w:val="默认段落字体 Para Char Char Char Char Char Char Char Char Char Char"/>
    <w:basedOn w:val="1"/>
    <w:qFormat/>
    <w:uiPriority w:val="0"/>
    <w:rPr>
      <w:rFonts w:ascii="Tahoma" w:hAnsi="Tahoma"/>
      <w:sz w:val="24"/>
    </w:rPr>
  </w:style>
  <w:style w:type="paragraph" w:customStyle="1" w:styleId="254">
    <w:name w:val="表格正文"/>
    <w:basedOn w:val="1"/>
    <w:qFormat/>
    <w:uiPriority w:val="0"/>
    <w:rPr>
      <w:rFonts w:eastAsia="黑体"/>
    </w:rPr>
  </w:style>
  <w:style w:type="paragraph" w:customStyle="1" w:styleId="255">
    <w:name w:val="正文段"/>
    <w:basedOn w:val="1"/>
    <w:qFormat/>
    <w:uiPriority w:val="0"/>
    <w:pPr>
      <w:widowControl/>
      <w:snapToGrid w:val="0"/>
      <w:spacing w:afterLines="50"/>
      <w:ind w:firstLine="200" w:firstLineChars="200"/>
    </w:pPr>
    <w:rPr>
      <w:kern w:val="0"/>
      <w:sz w:val="24"/>
    </w:rPr>
  </w:style>
  <w:style w:type="paragraph" w:customStyle="1" w:styleId="25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57">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58">
    <w:name w:val="正文2"/>
    <w:basedOn w:val="1"/>
    <w:qFormat/>
    <w:uiPriority w:val="0"/>
    <w:pPr>
      <w:spacing w:beforeLines="50" w:afterLines="50" w:line="360" w:lineRule="auto"/>
      <w:ind w:firstLine="480" w:firstLineChars="200"/>
    </w:pPr>
    <w:rPr>
      <w:rFonts w:ascii="宋体" w:hAnsi="宋体"/>
      <w:sz w:val="24"/>
      <w:szCs w:val="24"/>
    </w:rPr>
  </w:style>
  <w:style w:type="table" w:customStyle="1" w:styleId="259">
    <w:name w:val="Table Normal"/>
    <w:unhideWhenUsed/>
    <w:qFormat/>
    <w:uiPriority w:val="0"/>
    <w:rPr>
      <w:rFonts w:ascii="Arial" w:hAnsi="Arial" w:cs="Arial"/>
      <w:snapToGrid w:val="0"/>
      <w:color w:val="000000"/>
      <w:sz w:val="21"/>
      <w:szCs w:val="21"/>
      <w:lang w:val="en-US" w:eastAsia="zh-CN" w:bidi="ar-SA"/>
    </w:rPr>
    <w:tblPr>
      <w:tblStyle w:val="45"/>
      <w:tblCellMar>
        <w:top w:w="0" w:type="dxa"/>
        <w:left w:w="0" w:type="dxa"/>
        <w:bottom w:w="0" w:type="dxa"/>
        <w:right w:w="0" w:type="dxa"/>
      </w:tblCellMar>
    </w:tblPr>
  </w:style>
  <w:style w:type="paragraph" w:customStyle="1" w:styleId="260">
    <w:name w:val="_Style 3"/>
    <w:qFormat/>
    <w:uiPriority w:val="0"/>
    <w:rPr>
      <w:rFonts w:ascii="Calibri" w:hAnsi="Calibri"/>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52</Pages>
  <Words>26868</Words>
  <Characters>28271</Characters>
  <Lines>454</Lines>
  <Paragraphs>127</Paragraphs>
  <TotalTime>121</TotalTime>
  <ScaleCrop>false</ScaleCrop>
  <LinksUpToDate>false</LinksUpToDate>
  <CharactersWithSpaces>29936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2023-05-25T02:42:00Z</dcterms:created>
  <dc:creator>dyp</dc:creator>
  <cp:lastModifiedBy>WPS_1701756769</cp:lastModifiedBy>
  <cp:lastPrinted>2023-10-17T03:53:16Z</cp:lastPrinted>
  <dcterms:modified xsi:type="dcterms:W3CDTF">2024-02-22T03:30:20Z</dcterms:modified>
  <cp:revision>2</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8A956B3C41F5451582BFB1B3E6609EB2_13</vt:lpwstr>
  </property>
</Properties>
</file>